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BE" w:rsidRDefault="00FD04A3">
      <w:pPr>
        <w:pStyle w:val="SPCnadpis"/>
        <w:spacing w:before="0" w:after="0"/>
        <w:rPr>
          <w:rFonts w:cs="Times New Roman"/>
          <w:lang w:val="sk-SK"/>
        </w:rPr>
      </w:pPr>
      <w:r w:rsidRPr="00732313">
        <w:rPr>
          <w:rFonts w:cs="Times New Roman"/>
          <w:lang w:val="sk-SK"/>
        </w:rPr>
        <w:t>SÚHRN CHARAKTERISTICKÝCH VLASTNOSTÍ LIEKU</w:t>
      </w:r>
    </w:p>
    <w:p w:rsidR="00AE0CBE" w:rsidRDefault="00AE0CBE">
      <w:pPr>
        <w:pStyle w:val="SPCnadpis"/>
        <w:spacing w:before="0" w:after="0"/>
      </w:pPr>
    </w:p>
    <w:p w:rsidR="00AE0CBE" w:rsidRDefault="00AE0CBE">
      <w:pPr>
        <w:pStyle w:val="SPCnadpis"/>
        <w:spacing w:before="0" w:after="0"/>
      </w:pPr>
    </w:p>
    <w:p w:rsidR="00AE0CBE" w:rsidRDefault="00FD04A3">
      <w:pPr>
        <w:pStyle w:val="Styl10"/>
        <w:spacing w:before="0" w:after="0"/>
      </w:pPr>
      <w:r w:rsidRPr="00732313">
        <w:t>Názov lieku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r w:rsidRPr="00732313">
        <w:t>GYRABLOCK 400 mg</w:t>
      </w:r>
    </w:p>
    <w:p w:rsidR="00AE0CBE" w:rsidRDefault="00302A67">
      <w:pPr>
        <w:rPr>
          <w:lang w:val="sk-SK"/>
        </w:rPr>
      </w:pPr>
      <w:r>
        <w:rPr>
          <w:lang w:val="sk-SK"/>
        </w:rPr>
        <w:t>filmom obalené tablety</w:t>
      </w:r>
    </w:p>
    <w:p w:rsidR="00AE0CBE" w:rsidRDefault="00AE0CBE">
      <w:pPr>
        <w:pStyle w:val="Normlndobloku"/>
        <w:spacing w:after="0"/>
      </w:pPr>
    </w:p>
    <w:p w:rsidR="00AE0CBE" w:rsidRDefault="00AE0CBE">
      <w:pPr>
        <w:pStyle w:val="Normlndobloku"/>
        <w:spacing w:after="0"/>
      </w:pPr>
    </w:p>
    <w:p w:rsidR="00AE0CBE" w:rsidRDefault="00FD04A3">
      <w:pPr>
        <w:pStyle w:val="Styl10"/>
        <w:spacing w:before="0" w:after="0"/>
      </w:pPr>
      <w:r w:rsidRPr="00732313">
        <w:t>Kvantitatívne a kvalitatívne zloženie</w:t>
      </w:r>
    </w:p>
    <w:p w:rsidR="00AE0CBE" w:rsidRDefault="00AE0CBE">
      <w:pPr>
        <w:pStyle w:val="Styl10"/>
        <w:numPr>
          <w:ilvl w:val="0"/>
          <w:numId w:val="0"/>
        </w:numPr>
        <w:spacing w:before="0" w:after="0"/>
      </w:pPr>
    </w:p>
    <w:p w:rsidR="00AE0CBE" w:rsidRDefault="00302A67">
      <w:pPr>
        <w:pStyle w:val="Normlndobloku"/>
        <w:spacing w:after="0"/>
      </w:pPr>
      <w:r>
        <w:t>Jedna</w:t>
      </w:r>
      <w:r w:rsidR="00FD04A3" w:rsidRPr="00732313">
        <w:t xml:space="preserve"> filmom obalená tableta obsahuje 400 mg</w:t>
      </w:r>
      <w:r w:rsidR="00DB4EA0">
        <w:t xml:space="preserve"> </w:t>
      </w:r>
      <w:proofErr w:type="spellStart"/>
      <w:r w:rsidR="00DB4EA0">
        <w:t>norfloxacínu</w:t>
      </w:r>
      <w:proofErr w:type="spellEnd"/>
      <w:r w:rsidR="00FD04A3" w:rsidRPr="00732313">
        <w:t>.</w:t>
      </w:r>
    </w:p>
    <w:p w:rsidR="00AE0CBE" w:rsidRDefault="00AE0CBE">
      <w:pPr>
        <w:pStyle w:val="Normlndobloku"/>
        <w:spacing w:after="0"/>
      </w:pPr>
    </w:p>
    <w:p w:rsidR="00AE0CBE" w:rsidRDefault="00302A67">
      <w:pPr>
        <w:pStyle w:val="Normlndobloku"/>
        <w:spacing w:after="0"/>
      </w:pPr>
      <w:r>
        <w:t>Úplný zoznam pomocných látok, pozri časť 6.1.</w:t>
      </w:r>
    </w:p>
    <w:p w:rsidR="00AE0CBE" w:rsidRDefault="00AE0CBE">
      <w:pPr>
        <w:pStyle w:val="Normlndobloku"/>
        <w:spacing w:after="0"/>
      </w:pPr>
    </w:p>
    <w:p w:rsidR="00AE0CBE" w:rsidRDefault="00AE0CBE">
      <w:pPr>
        <w:pStyle w:val="Normlndobloku"/>
        <w:spacing w:after="0"/>
      </w:pPr>
    </w:p>
    <w:p w:rsidR="00AE0CBE" w:rsidRDefault="00FD04A3">
      <w:pPr>
        <w:pStyle w:val="Styl10"/>
        <w:spacing w:before="0" w:after="0"/>
      </w:pPr>
      <w:r w:rsidRPr="00732313">
        <w:t>Lieková forma</w:t>
      </w:r>
    </w:p>
    <w:p w:rsidR="00AE0CBE" w:rsidRDefault="00AE0CBE">
      <w:pPr>
        <w:pStyle w:val="Styl10"/>
        <w:numPr>
          <w:ilvl w:val="0"/>
          <w:numId w:val="0"/>
        </w:numPr>
        <w:spacing w:before="0" w:after="0"/>
      </w:pPr>
    </w:p>
    <w:p w:rsidR="00AE0CBE" w:rsidRDefault="00FD04A3">
      <w:pPr>
        <w:pStyle w:val="Normlndobloku"/>
        <w:spacing w:after="0"/>
      </w:pPr>
      <w:r w:rsidRPr="00732313">
        <w:t>Filmom obalená tableta</w:t>
      </w:r>
    </w:p>
    <w:p w:rsidR="00AE0CBE" w:rsidRDefault="00AE0CBE">
      <w:pPr>
        <w:pStyle w:val="Normlndobloku"/>
        <w:spacing w:after="0"/>
      </w:pPr>
    </w:p>
    <w:p w:rsidR="00AE0CBE" w:rsidRDefault="00554031">
      <w:pPr>
        <w:pStyle w:val="Normlndobloku"/>
        <w:spacing w:after="0"/>
      </w:pPr>
      <w:r w:rsidRPr="00732313">
        <w:t>Žlt</w:t>
      </w:r>
      <w:r>
        <w:t>á</w:t>
      </w:r>
      <w:r w:rsidRPr="00732313">
        <w:t xml:space="preserve"> ováln</w:t>
      </w:r>
      <w:r>
        <w:t>a</w:t>
      </w:r>
      <w:r w:rsidRPr="00732313">
        <w:t xml:space="preserve"> bikonvexn</w:t>
      </w:r>
      <w:r>
        <w:t>á</w:t>
      </w:r>
      <w:r w:rsidRPr="00732313">
        <w:t xml:space="preserve"> tablet</w:t>
      </w:r>
      <w:r>
        <w:t>a</w:t>
      </w:r>
      <w:r w:rsidRPr="00732313">
        <w:t xml:space="preserve"> </w:t>
      </w:r>
      <w:r w:rsidR="00FD04A3" w:rsidRPr="00732313">
        <w:t xml:space="preserve">s deliacou ryhou na jednej strane, 14 x </w:t>
      </w:r>
      <w:smartTag w:uri="urn:schemas-microsoft-com:office:smarttags" w:element="metricconverter">
        <w:smartTagPr>
          <w:attr w:name="ProductID" w:val="8 mm"/>
        </w:smartTagPr>
        <w:r w:rsidR="00FD04A3" w:rsidRPr="00732313">
          <w:t>8 mm</w:t>
        </w:r>
      </w:smartTag>
      <w:r w:rsidR="00FD04A3" w:rsidRPr="00732313">
        <w:t>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r w:rsidRPr="00732313">
        <w:t>Deliaca ryha iba pomáha rozlomiť tabletu</w:t>
      </w:r>
      <w:r w:rsidR="007C407D">
        <w:t>, aby sa dala ľahšie preh</w:t>
      </w:r>
      <w:r w:rsidR="00302A67">
        <w:t>l</w:t>
      </w:r>
      <w:r w:rsidR="007C407D">
        <w:t>tnúť</w:t>
      </w:r>
      <w:r w:rsidRPr="00732313">
        <w:t xml:space="preserve"> a neslúži na rozdelenie na rovnaké dávky.</w:t>
      </w:r>
    </w:p>
    <w:p w:rsidR="00AE0CBE" w:rsidRDefault="00AE0CBE">
      <w:pPr>
        <w:pStyle w:val="Normlndobloku"/>
        <w:spacing w:after="0"/>
      </w:pPr>
    </w:p>
    <w:p w:rsidR="00AE0CBE" w:rsidRDefault="00AE0CBE">
      <w:pPr>
        <w:pStyle w:val="Normlndobloku"/>
        <w:spacing w:after="0"/>
      </w:pPr>
    </w:p>
    <w:p w:rsidR="00AE0CBE" w:rsidRDefault="00FD04A3">
      <w:pPr>
        <w:pStyle w:val="Styl10"/>
        <w:spacing w:before="0" w:after="0"/>
      </w:pPr>
      <w:r w:rsidRPr="00732313">
        <w:t>Klinické údaje</w:t>
      </w:r>
    </w:p>
    <w:p w:rsidR="00AE0CBE" w:rsidRDefault="00AE0CBE">
      <w:pPr>
        <w:pStyle w:val="Styl10"/>
        <w:numPr>
          <w:ilvl w:val="0"/>
          <w:numId w:val="0"/>
        </w:numPr>
        <w:spacing w:before="0" w:after="0"/>
      </w:pPr>
    </w:p>
    <w:p w:rsidR="00AE0CBE" w:rsidRDefault="00FD04A3">
      <w:pPr>
        <w:pStyle w:val="Styl2"/>
        <w:spacing w:after="0"/>
      </w:pPr>
      <w:r w:rsidRPr="00732313">
        <w:t>Terapeutické indikácie</w:t>
      </w:r>
    </w:p>
    <w:p w:rsidR="00AE0CBE" w:rsidRDefault="00AE0CBE">
      <w:pPr>
        <w:pStyle w:val="Styl2"/>
        <w:numPr>
          <w:ilvl w:val="0"/>
          <w:numId w:val="0"/>
        </w:numPr>
        <w:spacing w:after="0"/>
      </w:pPr>
    </w:p>
    <w:p w:rsidR="00AE0CBE" w:rsidRDefault="00FD04A3">
      <w:pPr>
        <w:pStyle w:val="Normlndobloku"/>
        <w:spacing w:after="0"/>
      </w:pPr>
      <w:r w:rsidRPr="00732313">
        <w:t xml:space="preserve">GYRABLOCK 400 mg je </w:t>
      </w:r>
      <w:proofErr w:type="spellStart"/>
      <w:r w:rsidRPr="00732313">
        <w:t>chinolónové</w:t>
      </w:r>
      <w:proofErr w:type="spellEnd"/>
      <w:r w:rsidRPr="00732313">
        <w:t xml:space="preserve"> </w:t>
      </w:r>
      <w:proofErr w:type="spellStart"/>
      <w:r w:rsidRPr="00732313">
        <w:t>chemoterapeutikum</w:t>
      </w:r>
      <w:proofErr w:type="spellEnd"/>
      <w:r w:rsidRPr="00732313">
        <w:t xml:space="preserve"> indikované na liečbu akútnej a</w:t>
      </w:r>
      <w:r w:rsidR="00302A67">
        <w:t> </w:t>
      </w:r>
      <w:r w:rsidRPr="00732313">
        <w:t>chronickej nekomplikovanej a</w:t>
      </w:r>
      <w:r w:rsidR="00302A67">
        <w:t> </w:t>
      </w:r>
      <w:r w:rsidRPr="00732313">
        <w:t>komplikovanej infekcie horných a</w:t>
      </w:r>
      <w:r w:rsidR="00302A67">
        <w:t> </w:t>
      </w:r>
      <w:r w:rsidRPr="00732313">
        <w:t xml:space="preserve">dolných močových ciest spôsobenej baktériami citlivými na </w:t>
      </w:r>
      <w:proofErr w:type="spellStart"/>
      <w:r w:rsidRPr="00732313">
        <w:t>norfloxacín</w:t>
      </w:r>
      <w:proofErr w:type="spellEnd"/>
      <w:r w:rsidRPr="00732313">
        <w:t>. Ide o</w:t>
      </w:r>
      <w:r w:rsidR="00302A67">
        <w:t> </w:t>
      </w:r>
      <w:r w:rsidRPr="00732313">
        <w:t>tieto infekcie:</w:t>
      </w:r>
    </w:p>
    <w:p w:rsidR="00AE0CBE" w:rsidRDefault="00FD04A3">
      <w:pPr>
        <w:pStyle w:val="Normlndoblokusodrkami"/>
        <w:spacing w:after="0"/>
      </w:pPr>
      <w:r w:rsidRPr="00C7045E">
        <w:t>infekcie, ktoré vznikli v</w:t>
      </w:r>
      <w:r w:rsidR="00302A67" w:rsidRPr="00C7045E">
        <w:t> </w:t>
      </w:r>
      <w:r w:rsidRPr="00036EC5">
        <w:t>súvislosti s</w:t>
      </w:r>
      <w:r w:rsidR="00302A67" w:rsidRPr="00036EC5">
        <w:t> </w:t>
      </w:r>
      <w:r w:rsidRPr="00AE4604">
        <w:t>urologickým chirurgickým zákrokom</w:t>
      </w:r>
    </w:p>
    <w:p w:rsidR="00AE0CBE" w:rsidRDefault="00FD04A3">
      <w:pPr>
        <w:pStyle w:val="Normlndoblokusodrkami"/>
        <w:spacing w:after="0"/>
      </w:pPr>
      <w:r w:rsidRPr="00C7045E">
        <w:t>chronická prostatitída</w:t>
      </w:r>
    </w:p>
    <w:p w:rsidR="00AE0CBE" w:rsidRDefault="00FD04A3">
      <w:pPr>
        <w:pStyle w:val="Normlndoblokusodrkami"/>
        <w:spacing w:after="0"/>
      </w:pPr>
      <w:r w:rsidRPr="00C7045E">
        <w:t>cystitída</w:t>
      </w:r>
    </w:p>
    <w:p w:rsidR="00AE0CBE" w:rsidRDefault="00FD04A3">
      <w:pPr>
        <w:pStyle w:val="Normlndoblokusodrkami"/>
        <w:spacing w:after="0"/>
      </w:pPr>
      <w:r w:rsidRPr="00C7045E">
        <w:t>pyelitída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Styl2"/>
        <w:spacing w:after="0"/>
      </w:pPr>
      <w:r w:rsidRPr="00732313">
        <w:t>Dávkovanie a spôsob podávania</w:t>
      </w:r>
    </w:p>
    <w:p w:rsidR="00AE0CBE" w:rsidRDefault="00AE0CBE">
      <w:pPr>
        <w:pStyle w:val="Styl3"/>
        <w:spacing w:after="0"/>
      </w:pPr>
    </w:p>
    <w:p w:rsidR="00AE0CBE" w:rsidRDefault="00302A67">
      <w:pPr>
        <w:pStyle w:val="Styl3"/>
        <w:spacing w:after="0"/>
      </w:pPr>
      <w:r>
        <w:t>Dávkovanie</w:t>
      </w:r>
    </w:p>
    <w:p w:rsidR="00AE0CBE" w:rsidRDefault="00AE0CBE">
      <w:pPr>
        <w:pStyle w:val="Styl3"/>
        <w:spacing w:after="0"/>
      </w:pPr>
    </w:p>
    <w:p w:rsidR="00AE0CBE" w:rsidRDefault="00F64A65">
      <w:pPr>
        <w:pStyle w:val="tl4"/>
        <w:spacing w:after="0"/>
        <w:rPr>
          <w:u w:val="none"/>
        </w:rPr>
      </w:pPr>
      <w:r w:rsidRPr="00F64A65">
        <w:rPr>
          <w:u w:val="none"/>
        </w:rPr>
        <w:t>Dospelí</w:t>
      </w:r>
    </w:p>
    <w:p w:rsidR="00AE0CBE" w:rsidRDefault="00AE0CBE">
      <w:pPr>
        <w:pStyle w:val="tl4"/>
        <w:spacing w:after="0"/>
      </w:pPr>
    </w:p>
    <w:p w:rsidR="00AE0CBE" w:rsidRDefault="00FD04A3">
      <w:pPr>
        <w:pStyle w:val="Normlndobloku"/>
        <w:spacing w:after="0"/>
      </w:pPr>
      <w:r w:rsidRPr="00732313">
        <w:t>Infekcie dolných močových ciest, nekomplikované: 400 mg dvakrát denne počas troch dní.</w:t>
      </w:r>
    </w:p>
    <w:p w:rsidR="00AE0CBE" w:rsidRDefault="00F64A65">
      <w:pPr>
        <w:pStyle w:val="Normlndobloku"/>
        <w:spacing w:after="0"/>
      </w:pPr>
      <w:r w:rsidRPr="00F64A65">
        <w:t>Infekcie močových ciest:</w:t>
      </w:r>
      <w:r w:rsidR="00FD04A3" w:rsidRPr="00732313">
        <w:t xml:space="preserve"> 400 mg dvakrát denne počas siedmich až desiatich dní.</w:t>
      </w:r>
    </w:p>
    <w:p w:rsidR="00DB38D7" w:rsidRDefault="00F64A65">
      <w:pPr>
        <w:pStyle w:val="tl4"/>
        <w:spacing w:after="0"/>
      </w:pPr>
      <w:r w:rsidRPr="00F64A65">
        <w:rPr>
          <w:i w:val="0"/>
        </w:rPr>
        <w:t>Chronické a </w:t>
      </w:r>
      <w:proofErr w:type="spellStart"/>
      <w:r w:rsidRPr="00F64A65">
        <w:rPr>
          <w:i w:val="0"/>
        </w:rPr>
        <w:t>relabujúce</w:t>
      </w:r>
      <w:proofErr w:type="spellEnd"/>
      <w:r w:rsidRPr="00F64A65">
        <w:rPr>
          <w:i w:val="0"/>
        </w:rPr>
        <w:t xml:space="preserve"> infekcie močových ciest:</w:t>
      </w:r>
      <w:r w:rsidR="00FD04A3" w:rsidRPr="00732313">
        <w:t xml:space="preserve"> 400 mg dvakrát denne až počas dvanástich týždňov. Ak sa počas prvých štyroch týždňov dosiahne adekvátna klinická a</w:t>
      </w:r>
      <w:r w:rsidR="00302A67">
        <w:t> </w:t>
      </w:r>
      <w:r w:rsidR="00FD04A3" w:rsidRPr="00732313">
        <w:t xml:space="preserve">bakteriologická </w:t>
      </w:r>
      <w:proofErr w:type="spellStart"/>
      <w:r w:rsidR="00FD04A3" w:rsidRPr="00732313">
        <w:t>supresia</w:t>
      </w:r>
      <w:proofErr w:type="spellEnd"/>
      <w:r w:rsidR="00FD04A3" w:rsidRPr="00732313">
        <w:t>, dávka sa môže znížiť na 400 mg denne.</w:t>
      </w:r>
    </w:p>
    <w:p w:rsidR="00DB38D7" w:rsidRDefault="00DB38D7">
      <w:pPr>
        <w:pStyle w:val="tl4"/>
        <w:spacing w:after="0"/>
      </w:pPr>
    </w:p>
    <w:p w:rsidR="00AE0CBE" w:rsidRPr="00DB38D7" w:rsidRDefault="00FD04A3">
      <w:pPr>
        <w:pStyle w:val="tl4"/>
        <w:spacing w:after="0"/>
        <w:rPr>
          <w:u w:val="none"/>
        </w:rPr>
      </w:pPr>
      <w:r w:rsidRPr="00DB38D7">
        <w:rPr>
          <w:u w:val="none"/>
        </w:rPr>
        <w:t>Starší pacienti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r w:rsidRPr="00732313">
        <w:t xml:space="preserve">Polčas </w:t>
      </w:r>
      <w:proofErr w:type="spellStart"/>
      <w:r w:rsidRPr="00732313">
        <w:t>norfloxacínu</w:t>
      </w:r>
      <w:proofErr w:type="spellEnd"/>
      <w:r w:rsidRPr="00732313">
        <w:t xml:space="preserve"> môže byť bezvýznamne predĺžený, ale nie je potrebná zmena dávkovacieho režimu, ak nie je prítomné zároveň aj poškodenie obličiek.</w:t>
      </w:r>
    </w:p>
    <w:p w:rsidR="00AE0CBE" w:rsidRDefault="00AE0CBE">
      <w:pPr>
        <w:pStyle w:val="tl4"/>
        <w:spacing w:after="0"/>
      </w:pPr>
    </w:p>
    <w:p w:rsidR="00AE0CBE" w:rsidRDefault="009313DF">
      <w:pPr>
        <w:pStyle w:val="tl4"/>
        <w:spacing w:after="0"/>
      </w:pPr>
      <w:r>
        <w:rPr>
          <w:u w:val="none"/>
        </w:rPr>
        <w:lastRenderedPageBreak/>
        <w:t>Porucha funkcie obličiek</w:t>
      </w:r>
    </w:p>
    <w:p w:rsidR="00AE0CBE" w:rsidRDefault="00AE0CBE">
      <w:pPr>
        <w:pStyle w:val="tl4"/>
        <w:spacing w:after="0"/>
      </w:pPr>
    </w:p>
    <w:p w:rsidR="00AE0CBE" w:rsidRDefault="00866CB6">
      <w:pPr>
        <w:pStyle w:val="Normlndobloku"/>
        <w:spacing w:after="0"/>
      </w:pPr>
      <w:r>
        <w:t>U</w:t>
      </w:r>
      <w:r w:rsidR="00302A67">
        <w:t> </w:t>
      </w:r>
      <w:r w:rsidR="00FD04A3" w:rsidRPr="00732313">
        <w:t>pacientov s</w:t>
      </w:r>
      <w:r w:rsidR="00554031">
        <w:t xml:space="preserve"> poruchou funkcie </w:t>
      </w:r>
      <w:r w:rsidR="00FD04A3" w:rsidRPr="00732313">
        <w:t>oblič</w:t>
      </w:r>
      <w:r w:rsidR="00554031">
        <w:t>ie</w:t>
      </w:r>
      <w:r w:rsidR="00FD04A3" w:rsidRPr="00732313">
        <w:t xml:space="preserve">k, ak je </w:t>
      </w:r>
      <w:proofErr w:type="spellStart"/>
      <w:r w:rsidR="00FD04A3" w:rsidRPr="00732313">
        <w:t>klírens</w:t>
      </w:r>
      <w:proofErr w:type="spellEnd"/>
      <w:r w:rsidR="00FD04A3" w:rsidRPr="00732313">
        <w:t xml:space="preserve"> </w:t>
      </w:r>
      <w:proofErr w:type="spellStart"/>
      <w:r w:rsidR="00FD04A3" w:rsidRPr="00732313">
        <w:t>kreatinínu</w:t>
      </w:r>
      <w:proofErr w:type="spellEnd"/>
      <w:r w:rsidR="00FD04A3" w:rsidRPr="00732313">
        <w:t xml:space="preserve"> menej ako 30 ml/minútu, polčas </w:t>
      </w:r>
      <w:proofErr w:type="spellStart"/>
      <w:r w:rsidR="00FD04A3" w:rsidRPr="00732313">
        <w:t>norfloxacínu</w:t>
      </w:r>
      <w:proofErr w:type="spellEnd"/>
      <w:r w:rsidR="00FD04A3" w:rsidRPr="00732313">
        <w:t xml:space="preserve"> je približne dvojnásobný (8 hodín). Preto je odporúčaná dávka 200 mg dvakrát denne alebo 400 mg raz denne.</w:t>
      </w:r>
    </w:p>
    <w:p w:rsidR="00AE0CBE" w:rsidRDefault="00AE0CBE">
      <w:pPr>
        <w:pStyle w:val="Normlndobloku"/>
        <w:spacing w:after="0"/>
      </w:pPr>
    </w:p>
    <w:p w:rsidR="00AE0CBE" w:rsidRDefault="009313DF">
      <w:pPr>
        <w:pStyle w:val="tl4"/>
        <w:spacing w:after="0"/>
      </w:pPr>
      <w:r>
        <w:rPr>
          <w:u w:val="none"/>
        </w:rPr>
        <w:t>Porucha funkcie pečene</w:t>
      </w:r>
    </w:p>
    <w:p w:rsidR="00AE0CBE" w:rsidRDefault="00FD04A3">
      <w:pPr>
        <w:pStyle w:val="Normlndobloku"/>
        <w:spacing w:after="0"/>
      </w:pPr>
      <w:r w:rsidRPr="00732313">
        <w:t>Nie sú známe údaje o</w:t>
      </w:r>
      <w:r w:rsidR="00302A67">
        <w:t> </w:t>
      </w:r>
      <w:r w:rsidRPr="00732313">
        <w:t xml:space="preserve">používaní </w:t>
      </w:r>
      <w:proofErr w:type="spellStart"/>
      <w:r w:rsidRPr="00732313">
        <w:t>norfloxacínu</w:t>
      </w:r>
      <w:proofErr w:type="spellEnd"/>
      <w:r w:rsidRPr="00732313">
        <w:t xml:space="preserve"> pri </w:t>
      </w:r>
      <w:r w:rsidR="00554031">
        <w:t>poruche funkcie pečene</w:t>
      </w:r>
      <w:r w:rsidRPr="00732313">
        <w:t>, odporúča sa opatrnosť.</w:t>
      </w:r>
    </w:p>
    <w:p w:rsidR="00AE0CBE" w:rsidRDefault="00AE0CBE">
      <w:pPr>
        <w:pStyle w:val="tl4"/>
        <w:spacing w:after="0"/>
      </w:pPr>
    </w:p>
    <w:p w:rsidR="00AE0CBE" w:rsidRDefault="00F64A65">
      <w:pPr>
        <w:pStyle w:val="tl4"/>
        <w:spacing w:after="0"/>
        <w:rPr>
          <w:u w:val="none"/>
        </w:rPr>
      </w:pPr>
      <w:r w:rsidRPr="00F64A65">
        <w:rPr>
          <w:u w:val="none"/>
        </w:rPr>
        <w:t>Pediatrická populácia</w:t>
      </w:r>
    </w:p>
    <w:p w:rsidR="00AE0CBE" w:rsidRDefault="00615A20">
      <w:pPr>
        <w:pStyle w:val="Normlndobloku"/>
        <w:spacing w:after="0"/>
      </w:pPr>
      <w:r>
        <w:t>K dispozícii nie sú žiadne údaje</w:t>
      </w:r>
      <w:r w:rsidR="00FD04A3" w:rsidRPr="00732313">
        <w:t xml:space="preserve"> o</w:t>
      </w:r>
      <w:r w:rsidR="001B6FD7">
        <w:t> </w:t>
      </w:r>
      <w:r w:rsidR="007C407D">
        <w:t>bezpečnosti pri používaní u pediatrickej populácie.</w:t>
      </w:r>
    </w:p>
    <w:p w:rsidR="00AE0CBE" w:rsidRDefault="00615A20">
      <w:pPr>
        <w:pStyle w:val="Normlndobloku"/>
        <w:spacing w:after="0"/>
      </w:pPr>
      <w:r w:rsidRPr="00732313">
        <w:t>GYRABLOCK 400 mg</w:t>
      </w:r>
      <w:r w:rsidR="00FD04A3" w:rsidRPr="00732313">
        <w:t xml:space="preserve"> je </w:t>
      </w:r>
      <w:r w:rsidRPr="00732313">
        <w:t>kontraindikovan</w:t>
      </w:r>
      <w:r>
        <w:t>ý</w:t>
      </w:r>
      <w:r w:rsidRPr="00732313">
        <w:t xml:space="preserve"> </w:t>
      </w:r>
      <w:r>
        <w:t xml:space="preserve">u pediatrickej populácie </w:t>
      </w:r>
      <w:r w:rsidR="00FD04A3" w:rsidRPr="00732313">
        <w:t xml:space="preserve">(pozri </w:t>
      </w:r>
      <w:r>
        <w:t>časť 4.3 a 4.4.</w:t>
      </w:r>
      <w:r w:rsidR="00FD04A3" w:rsidRPr="00732313">
        <w:t>).</w:t>
      </w:r>
    </w:p>
    <w:p w:rsidR="00AE0CBE" w:rsidRDefault="00AE0CBE">
      <w:pPr>
        <w:pStyle w:val="Styl3"/>
        <w:spacing w:after="0"/>
      </w:pPr>
    </w:p>
    <w:p w:rsidR="00AE0CBE" w:rsidRDefault="001B6FD7">
      <w:pPr>
        <w:pStyle w:val="Styl3"/>
        <w:spacing w:after="0"/>
      </w:pPr>
      <w:r>
        <w:t>Spôsob podávania</w:t>
      </w:r>
    </w:p>
    <w:p w:rsidR="00AE0CBE" w:rsidRDefault="00AE0CBE">
      <w:pPr>
        <w:pStyle w:val="Normlndobloku"/>
        <w:spacing w:after="0"/>
      </w:pPr>
    </w:p>
    <w:p w:rsidR="00AE0CBE" w:rsidRDefault="001B6FD7">
      <w:pPr>
        <w:pStyle w:val="Normlndobloku"/>
        <w:spacing w:after="0"/>
      </w:pPr>
      <w:r w:rsidRPr="00866CB6">
        <w:t xml:space="preserve">Pôvodcovia infekcie sa môžu testovať na citlivosť voči </w:t>
      </w:r>
      <w:proofErr w:type="spellStart"/>
      <w:r w:rsidRPr="00866CB6">
        <w:t>norfloxacínu</w:t>
      </w:r>
      <w:proofErr w:type="spellEnd"/>
      <w:r w:rsidRPr="00866CB6">
        <w:t>, ale liečba musí začať predtým ako sú známe výsledky.</w:t>
      </w:r>
    </w:p>
    <w:p w:rsidR="00AE0CBE" w:rsidRDefault="00AE0CBE">
      <w:pPr>
        <w:pStyle w:val="Normlndobloku"/>
        <w:spacing w:after="0"/>
      </w:pPr>
    </w:p>
    <w:p w:rsidR="00AE0CBE" w:rsidRDefault="001B6FD7">
      <w:pPr>
        <w:pStyle w:val="Normlndobloku"/>
        <w:spacing w:after="0"/>
      </w:pPr>
      <w:r w:rsidRPr="00866CB6">
        <w:t>Tablety sú len na perorálne použitie.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Styl2"/>
        <w:spacing w:after="0"/>
      </w:pPr>
      <w:r w:rsidRPr="00732313">
        <w:t>Kontraindikácie</w:t>
      </w:r>
    </w:p>
    <w:p w:rsidR="00AE0CBE" w:rsidRDefault="00AE0CBE">
      <w:pPr>
        <w:pStyle w:val="Styl2"/>
        <w:numPr>
          <w:ilvl w:val="0"/>
          <w:numId w:val="0"/>
        </w:numPr>
        <w:spacing w:after="0"/>
      </w:pPr>
    </w:p>
    <w:p w:rsidR="00AE0CBE" w:rsidRDefault="00FD04A3">
      <w:pPr>
        <w:pStyle w:val="Normlndobloku"/>
        <w:spacing w:after="0"/>
      </w:pPr>
      <w:r w:rsidRPr="00732313">
        <w:t xml:space="preserve">Precitlivenosť na </w:t>
      </w:r>
      <w:proofErr w:type="spellStart"/>
      <w:r w:rsidRPr="00732313">
        <w:t>norfloxacín</w:t>
      </w:r>
      <w:proofErr w:type="spellEnd"/>
      <w:r w:rsidRPr="00732313">
        <w:t xml:space="preserve">, chemicky príbuzné </w:t>
      </w:r>
      <w:proofErr w:type="spellStart"/>
      <w:r w:rsidRPr="00732313">
        <w:t>chinolónové</w:t>
      </w:r>
      <w:proofErr w:type="spellEnd"/>
      <w:r w:rsidRPr="00732313">
        <w:t xml:space="preserve"> antib</w:t>
      </w:r>
      <w:r w:rsidR="003475A8">
        <w:t>iotiká alebo na ktorúkoľvek z pomocných látok uvedených v časti 6.1</w:t>
      </w:r>
      <w:r w:rsidRPr="00732313">
        <w:t>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r w:rsidRPr="00732313">
        <w:t>Použitie u</w:t>
      </w:r>
      <w:r w:rsidR="001B6FD7">
        <w:t> </w:t>
      </w:r>
      <w:r w:rsidRPr="00732313">
        <w:t xml:space="preserve">detí predpubertálneho alebo pubertálneho veku (pozri </w:t>
      </w:r>
      <w:r w:rsidR="00615A20">
        <w:t>časť 4.4</w:t>
      </w:r>
      <w:r w:rsidRPr="00732313">
        <w:t>).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Styl2"/>
        <w:spacing w:after="0"/>
      </w:pPr>
      <w:r w:rsidRPr="00732313">
        <w:t>Osobitné upozornenia a</w:t>
      </w:r>
      <w:r w:rsidR="001B6FD7">
        <w:t> </w:t>
      </w:r>
      <w:r w:rsidRPr="00732313">
        <w:t>opatrenia pri používaní</w:t>
      </w:r>
    </w:p>
    <w:p w:rsidR="00AE0CBE" w:rsidRDefault="00AE0CBE">
      <w:pPr>
        <w:pStyle w:val="Normlndobloku"/>
        <w:spacing w:after="0"/>
      </w:pPr>
    </w:p>
    <w:p w:rsidR="00AE0CBE" w:rsidRDefault="003F626E">
      <w:pPr>
        <w:rPr>
          <w:noProof/>
          <w:szCs w:val="22"/>
        </w:rPr>
      </w:pPr>
      <w:r w:rsidRPr="00852371">
        <w:rPr>
          <w:bCs/>
          <w:iCs/>
          <w:szCs w:val="22"/>
          <w:u w:val="single"/>
        </w:rPr>
        <w:t xml:space="preserve">Pediatrická </w:t>
      </w:r>
      <w:proofErr w:type="spellStart"/>
      <w:r w:rsidRPr="00852371">
        <w:rPr>
          <w:bCs/>
          <w:iCs/>
          <w:szCs w:val="22"/>
          <w:u w:val="single"/>
        </w:rPr>
        <w:t>populácia</w:t>
      </w:r>
      <w:proofErr w:type="spellEnd"/>
    </w:p>
    <w:p w:rsidR="00AE0CBE" w:rsidRDefault="001B6FD7">
      <w:pPr>
        <w:pStyle w:val="Normlndobloku"/>
        <w:spacing w:after="0"/>
      </w:pPr>
      <w:r>
        <w:t>Rovnako</w:t>
      </w:r>
      <w:r w:rsidR="00FD04A3" w:rsidRPr="00732313">
        <w:t xml:space="preserve"> ako iné </w:t>
      </w:r>
      <w:proofErr w:type="spellStart"/>
      <w:r w:rsidR="00FD04A3" w:rsidRPr="00732313">
        <w:t>chinolóny</w:t>
      </w:r>
      <w:proofErr w:type="spellEnd"/>
      <w:r w:rsidR="00FD04A3" w:rsidRPr="00732313">
        <w:t>, používan</w:t>
      </w:r>
      <w:r>
        <w:t>ie</w:t>
      </w:r>
      <w:r w:rsidR="00FD04A3" w:rsidRPr="00732313">
        <w:t xml:space="preserve"> </w:t>
      </w:r>
      <w:proofErr w:type="spellStart"/>
      <w:r w:rsidR="00FD04A3" w:rsidRPr="00732313">
        <w:t>norfloxacínu</w:t>
      </w:r>
      <w:proofErr w:type="spellEnd"/>
      <w:r w:rsidR="00FD04A3" w:rsidRPr="00732313">
        <w:t xml:space="preserve"> u</w:t>
      </w:r>
      <w:r>
        <w:t> </w:t>
      </w:r>
      <w:r w:rsidR="00FD04A3" w:rsidRPr="00732313">
        <w:t>nedospelých zvierat spôsoboval</w:t>
      </w:r>
      <w:r>
        <w:t>o</w:t>
      </w:r>
      <w:r w:rsidR="00FD04A3" w:rsidRPr="00732313">
        <w:t xml:space="preserve"> </w:t>
      </w:r>
      <w:proofErr w:type="spellStart"/>
      <w:r w:rsidR="00FD04A3" w:rsidRPr="00732313">
        <w:t>artropatie</w:t>
      </w:r>
      <w:proofErr w:type="spellEnd"/>
      <w:r w:rsidR="00FD04A3" w:rsidRPr="00732313">
        <w:t xml:space="preserve">. Bezpečnosť </w:t>
      </w:r>
      <w:proofErr w:type="spellStart"/>
      <w:r w:rsidR="00FD04A3" w:rsidRPr="00732313">
        <w:t>norfloxacínu</w:t>
      </w:r>
      <w:proofErr w:type="spellEnd"/>
      <w:r w:rsidR="00FD04A3" w:rsidRPr="00732313">
        <w:t xml:space="preserve"> nebola dostačujúco prešetrená u</w:t>
      </w:r>
      <w:r>
        <w:t> </w:t>
      </w:r>
      <w:r w:rsidR="00FD04A3" w:rsidRPr="00732313">
        <w:t>detí a</w:t>
      </w:r>
      <w:r>
        <w:t> </w:t>
      </w:r>
      <w:r w:rsidR="00FD04A3" w:rsidRPr="00732313">
        <w:t>jeho použitie u detí predpubertálneho alebo pubertálneho veku je kontraindikované.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r w:rsidRPr="00732313">
        <w:t>Zriedkavo sa vyskytujú údaje o</w:t>
      </w:r>
      <w:r w:rsidR="001B5918">
        <w:t> </w:t>
      </w:r>
      <w:r w:rsidRPr="00732313">
        <w:t>kŕčoch v</w:t>
      </w:r>
      <w:r w:rsidR="001B5918">
        <w:t> </w:t>
      </w:r>
      <w:r w:rsidRPr="00732313">
        <w:t>spojitosti s</w:t>
      </w:r>
      <w:r w:rsidR="001B5918">
        <w:t> </w:t>
      </w:r>
      <w:proofErr w:type="spellStart"/>
      <w:r w:rsidRPr="00732313">
        <w:t>norfloxacínom</w:t>
      </w:r>
      <w:proofErr w:type="spellEnd"/>
      <w:r w:rsidRPr="00732313">
        <w:t xml:space="preserve">, avšak ich príčinná súvislosť sa nedokázala. </w:t>
      </w:r>
      <w:proofErr w:type="spellStart"/>
      <w:r w:rsidRPr="00732313">
        <w:t>Norfloxacín</w:t>
      </w:r>
      <w:proofErr w:type="spellEnd"/>
      <w:r w:rsidRPr="00732313">
        <w:t xml:space="preserve"> sa nesmie podávať pacientom </w:t>
      </w:r>
      <w:r w:rsidR="00223E4C" w:rsidRPr="00732313">
        <w:t>s kŕčmi</w:t>
      </w:r>
      <w:r w:rsidRPr="00732313">
        <w:t xml:space="preserve"> alebo so známymi </w:t>
      </w:r>
      <w:proofErr w:type="spellStart"/>
      <w:r w:rsidRPr="00732313">
        <w:t>predispozičnými</w:t>
      </w:r>
      <w:proofErr w:type="spellEnd"/>
      <w:r w:rsidRPr="00732313">
        <w:t xml:space="preserve"> faktormi v</w:t>
      </w:r>
      <w:r w:rsidR="001B5918">
        <w:t> </w:t>
      </w:r>
      <w:r w:rsidRPr="00732313">
        <w:t>anamnéze.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proofErr w:type="spellStart"/>
      <w:r w:rsidRPr="00732313">
        <w:t>Chinolónové</w:t>
      </w:r>
      <w:proofErr w:type="spellEnd"/>
      <w:r w:rsidRPr="00732313">
        <w:t xml:space="preserve"> antibiotiká sa môžu spájať s</w:t>
      </w:r>
      <w:r w:rsidR="001B5918">
        <w:t> </w:t>
      </w:r>
      <w:proofErr w:type="spellStart"/>
      <w:r w:rsidRPr="00732313">
        <w:t>tendinitídou</w:t>
      </w:r>
      <w:proofErr w:type="spellEnd"/>
      <w:r w:rsidRPr="00732313">
        <w:t xml:space="preserve"> alebo ruptúrou šľachy, obzvlášť Achillovej šľachy. Tieto reakcie sa zvyčajne vyskytli u</w:t>
      </w:r>
      <w:r w:rsidR="001B5918">
        <w:t> </w:t>
      </w:r>
      <w:r w:rsidRPr="00732313">
        <w:t>starších pacientov a</w:t>
      </w:r>
      <w:r w:rsidR="001B5918">
        <w:t> </w:t>
      </w:r>
      <w:r w:rsidRPr="00732313">
        <w:t xml:space="preserve">pacientov liečených </w:t>
      </w:r>
      <w:proofErr w:type="spellStart"/>
      <w:r w:rsidRPr="00732313">
        <w:t>kortikoidmi</w:t>
      </w:r>
      <w:proofErr w:type="spellEnd"/>
      <w:r w:rsidRPr="00732313">
        <w:t xml:space="preserve">. Ak počas liečby vzniknú príznaky bolesti alebo zápalu, liečba </w:t>
      </w:r>
      <w:proofErr w:type="spellStart"/>
      <w:r w:rsidRPr="00732313">
        <w:t>norfloxacínom</w:t>
      </w:r>
      <w:proofErr w:type="spellEnd"/>
      <w:r w:rsidRPr="00732313">
        <w:t xml:space="preserve"> sa musí okamžite ukončiť a</w:t>
      </w:r>
      <w:r w:rsidR="001B5918">
        <w:t> </w:t>
      </w:r>
      <w:r w:rsidRPr="00732313">
        <w:t>postihnutá končatina sa má šetriť.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r w:rsidRPr="00732313">
        <w:t xml:space="preserve">Počas liečby </w:t>
      </w:r>
      <w:proofErr w:type="spellStart"/>
      <w:r w:rsidRPr="00732313">
        <w:t>chinolónmi</w:t>
      </w:r>
      <w:proofErr w:type="spellEnd"/>
      <w:r w:rsidRPr="00732313">
        <w:t xml:space="preserve"> sú známe </w:t>
      </w:r>
      <w:proofErr w:type="spellStart"/>
      <w:r w:rsidRPr="00732313">
        <w:t>fotosenzitívne</w:t>
      </w:r>
      <w:proofErr w:type="spellEnd"/>
      <w:r w:rsidRPr="00732313">
        <w:t xml:space="preserve"> reakcie u</w:t>
      </w:r>
      <w:r w:rsidR="001B5918">
        <w:t> </w:t>
      </w:r>
      <w:r w:rsidRPr="00732313">
        <w:t xml:space="preserve">pacientov vystavených zvýšenému slnečnému žiareniu. Pacienti sa musia vyhnúť zvýšenému slnečnému žiareniu, ak sa objaví </w:t>
      </w:r>
      <w:proofErr w:type="spellStart"/>
      <w:r w:rsidRPr="00732313">
        <w:t>fotosenzitívna</w:t>
      </w:r>
      <w:proofErr w:type="spellEnd"/>
      <w:r w:rsidRPr="00732313">
        <w:t xml:space="preserve"> reakcia, liečba </w:t>
      </w:r>
      <w:proofErr w:type="spellStart"/>
      <w:r w:rsidRPr="00732313">
        <w:t>norfloxacínom</w:t>
      </w:r>
      <w:proofErr w:type="spellEnd"/>
      <w:r w:rsidRPr="00732313">
        <w:t xml:space="preserve"> sa musí prerušiť.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r w:rsidRPr="00732313">
        <w:t>U</w:t>
      </w:r>
      <w:r w:rsidR="001B5918">
        <w:t> </w:t>
      </w:r>
      <w:r w:rsidRPr="00732313">
        <w:t>pacientov s</w:t>
      </w:r>
      <w:r w:rsidR="001B5918">
        <w:t> </w:t>
      </w:r>
      <w:r w:rsidRPr="00732313">
        <w:t xml:space="preserve">latentnou alebo aktuálnou poruchou glukozo-6-fosfát </w:t>
      </w:r>
      <w:proofErr w:type="spellStart"/>
      <w:r w:rsidRPr="00732313">
        <w:t>dehydrogenázy</w:t>
      </w:r>
      <w:proofErr w:type="spellEnd"/>
      <w:r w:rsidRPr="00732313">
        <w:t xml:space="preserve">, ktorí užívali </w:t>
      </w:r>
      <w:proofErr w:type="spellStart"/>
      <w:r w:rsidRPr="00732313">
        <w:t>chinolóny</w:t>
      </w:r>
      <w:proofErr w:type="spellEnd"/>
      <w:r w:rsidRPr="00732313">
        <w:t xml:space="preserve"> vrátane </w:t>
      </w:r>
      <w:proofErr w:type="spellStart"/>
      <w:r w:rsidRPr="00732313">
        <w:t>norfloxacínu</w:t>
      </w:r>
      <w:proofErr w:type="spellEnd"/>
      <w:r w:rsidRPr="00732313">
        <w:t xml:space="preserve">, sa objavili zriedkavé </w:t>
      </w:r>
      <w:proofErr w:type="spellStart"/>
      <w:r w:rsidRPr="00732313">
        <w:t>hemolytické</w:t>
      </w:r>
      <w:proofErr w:type="spellEnd"/>
      <w:r w:rsidRPr="00732313">
        <w:t xml:space="preserve"> reakcie.</w:t>
      </w:r>
    </w:p>
    <w:p w:rsidR="00AE0CBE" w:rsidRDefault="00AE0CBE">
      <w:pPr>
        <w:pStyle w:val="Normlndobloku"/>
        <w:spacing w:after="0"/>
      </w:pPr>
    </w:p>
    <w:p w:rsidR="00AE0CBE" w:rsidRDefault="001B5918">
      <w:pPr>
        <w:pStyle w:val="Normlndobloku"/>
        <w:spacing w:after="0"/>
      </w:pPr>
      <w:r>
        <w:t>Poruchy zraku: pokiaľ dôjde k zhoršeniu zraku alebo akémukoľvek vplyvu na oči, je nevyhnutné okamžite konzultovať očného lekára.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Styl2"/>
        <w:spacing w:after="0"/>
      </w:pPr>
      <w:r w:rsidRPr="00732313">
        <w:lastRenderedPageBreak/>
        <w:t>Liekové a</w:t>
      </w:r>
      <w:r w:rsidR="001B5918">
        <w:t> </w:t>
      </w:r>
      <w:r w:rsidRPr="00732313">
        <w:t>iné interakcie</w:t>
      </w:r>
    </w:p>
    <w:p w:rsidR="00AE0CBE" w:rsidRDefault="00AE0CBE">
      <w:pPr>
        <w:pStyle w:val="Styl2"/>
        <w:numPr>
          <w:ilvl w:val="0"/>
          <w:numId w:val="0"/>
        </w:numPr>
        <w:spacing w:after="0"/>
      </w:pPr>
    </w:p>
    <w:p w:rsidR="00AE0CBE" w:rsidRDefault="00FD04A3">
      <w:pPr>
        <w:pStyle w:val="Normlndobloku"/>
        <w:spacing w:after="0"/>
      </w:pPr>
      <w:proofErr w:type="spellStart"/>
      <w:r w:rsidRPr="00866CB6">
        <w:rPr>
          <w:i/>
        </w:rPr>
        <w:t>Antacidá</w:t>
      </w:r>
      <w:proofErr w:type="spellEnd"/>
      <w:r w:rsidR="00F64A65" w:rsidRPr="00F64A65">
        <w:rPr>
          <w:i/>
        </w:rPr>
        <w:t>:</w:t>
      </w:r>
      <w:r w:rsidRPr="00732313">
        <w:t xml:space="preserve"> Nesmú sa podávať súčasne alebo do dvoch hodín pred užitím alebo dve hodiny po užití </w:t>
      </w:r>
      <w:proofErr w:type="spellStart"/>
      <w:r w:rsidRPr="00732313">
        <w:t>norfloxacínu</w:t>
      </w:r>
      <w:proofErr w:type="spellEnd"/>
      <w:r w:rsidRPr="00732313">
        <w:t>, pretože interferujú jeho absorpciu a</w:t>
      </w:r>
      <w:r w:rsidR="001B5918">
        <w:t> </w:t>
      </w:r>
      <w:r w:rsidRPr="00732313">
        <w:t xml:space="preserve">znižujú sérovo/močovú hladinu </w:t>
      </w:r>
      <w:proofErr w:type="spellStart"/>
      <w:r w:rsidRPr="00732313">
        <w:t>norfloxacínu</w:t>
      </w:r>
      <w:proofErr w:type="spellEnd"/>
      <w:r w:rsidRPr="00732313">
        <w:t>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r w:rsidRPr="00866CB6">
        <w:rPr>
          <w:i/>
        </w:rPr>
        <w:t>Kofeín</w:t>
      </w:r>
      <w:r w:rsidR="00F64A65" w:rsidRPr="00F64A65">
        <w:rPr>
          <w:i/>
        </w:rPr>
        <w:t>:</w:t>
      </w:r>
      <w:r w:rsidRPr="00732313">
        <w:t xml:space="preserve"> </w:t>
      </w:r>
      <w:proofErr w:type="spellStart"/>
      <w:r w:rsidRPr="00732313">
        <w:t>Norfloxacín</w:t>
      </w:r>
      <w:proofErr w:type="spellEnd"/>
      <w:r w:rsidRPr="00732313">
        <w:t xml:space="preserve"> interferuje s</w:t>
      </w:r>
      <w:r w:rsidR="001B5918">
        <w:t> </w:t>
      </w:r>
      <w:r w:rsidRPr="00732313">
        <w:t xml:space="preserve">kofeínovým metabolizmom, čo spôsobuje zníženie kofeínového </w:t>
      </w:r>
      <w:proofErr w:type="spellStart"/>
      <w:r w:rsidRPr="00732313">
        <w:t>klírensu</w:t>
      </w:r>
      <w:proofErr w:type="spellEnd"/>
      <w:r w:rsidRPr="00732313">
        <w:t xml:space="preserve"> a</w:t>
      </w:r>
      <w:r w:rsidR="001B5918">
        <w:t> </w:t>
      </w:r>
      <w:r w:rsidRPr="00732313">
        <w:t>predĺženie polčasu kofeínu.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proofErr w:type="spellStart"/>
      <w:r w:rsidRPr="00866CB6">
        <w:rPr>
          <w:i/>
        </w:rPr>
        <w:t>Cyklosporín</w:t>
      </w:r>
      <w:proofErr w:type="spellEnd"/>
      <w:r w:rsidR="00F64A65" w:rsidRPr="00F64A65">
        <w:rPr>
          <w:i/>
        </w:rPr>
        <w:t>:</w:t>
      </w:r>
      <w:r w:rsidRPr="00732313">
        <w:t xml:space="preserve"> Súčasne podávaný s</w:t>
      </w:r>
      <w:r w:rsidR="001B5918">
        <w:t> </w:t>
      </w:r>
      <w:proofErr w:type="spellStart"/>
      <w:r w:rsidRPr="00732313">
        <w:t>norfloxacínom</w:t>
      </w:r>
      <w:proofErr w:type="spellEnd"/>
      <w:r w:rsidRPr="00732313">
        <w:t xml:space="preserve"> spôsobuje zvýšenie plazmatických hladín </w:t>
      </w:r>
      <w:proofErr w:type="spellStart"/>
      <w:r w:rsidRPr="00732313">
        <w:t>cyklosporínu</w:t>
      </w:r>
      <w:proofErr w:type="spellEnd"/>
      <w:r w:rsidRPr="00732313">
        <w:t xml:space="preserve">. Hladiny </w:t>
      </w:r>
      <w:proofErr w:type="spellStart"/>
      <w:r w:rsidRPr="00732313">
        <w:t>cyklosporínu</w:t>
      </w:r>
      <w:proofErr w:type="spellEnd"/>
      <w:r w:rsidRPr="00732313">
        <w:t xml:space="preserve"> sa majú monitorovať s</w:t>
      </w:r>
      <w:r w:rsidR="001B5918">
        <w:t> </w:t>
      </w:r>
      <w:r w:rsidRPr="00732313">
        <w:t>primeranou úpravou dávkovania.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proofErr w:type="spellStart"/>
      <w:r w:rsidRPr="00866CB6">
        <w:rPr>
          <w:i/>
        </w:rPr>
        <w:t>Fenbufén</w:t>
      </w:r>
      <w:proofErr w:type="spellEnd"/>
      <w:r w:rsidR="00F64A65" w:rsidRPr="00F64A65">
        <w:rPr>
          <w:i/>
        </w:rPr>
        <w:t>:</w:t>
      </w:r>
      <w:r w:rsidRPr="00732313">
        <w:t xml:space="preserve"> Podávanie spolu s</w:t>
      </w:r>
      <w:r w:rsidR="001B5918">
        <w:t> </w:t>
      </w:r>
      <w:proofErr w:type="spellStart"/>
      <w:r w:rsidRPr="00732313">
        <w:t>chinolónmi</w:t>
      </w:r>
      <w:proofErr w:type="spellEnd"/>
      <w:r w:rsidRPr="00732313">
        <w:t xml:space="preserve"> viedlo u</w:t>
      </w:r>
      <w:r w:rsidR="001B5918">
        <w:t> </w:t>
      </w:r>
      <w:r w:rsidRPr="00732313">
        <w:t>zvierat k</w:t>
      </w:r>
      <w:r w:rsidR="001B5918">
        <w:t> </w:t>
      </w:r>
      <w:r w:rsidRPr="00732313">
        <w:t>výskytu kŕčov. Používanie tejto kombinácie je zakázané.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r w:rsidRPr="00866CB6">
        <w:rPr>
          <w:i/>
        </w:rPr>
        <w:t>Železo:</w:t>
      </w:r>
      <w:r w:rsidRPr="00732313">
        <w:t xml:space="preserve"> Látky obsahujúce železo sa nesmú podávať súčasne alebo do dvoch hodín pred užitím alebo dve hodiny po užití </w:t>
      </w:r>
      <w:proofErr w:type="spellStart"/>
      <w:r w:rsidRPr="00732313">
        <w:t>norfloxacínu</w:t>
      </w:r>
      <w:proofErr w:type="spellEnd"/>
      <w:r w:rsidRPr="00732313">
        <w:t>, pretože ovplyvňujú absorpciu a</w:t>
      </w:r>
      <w:r w:rsidR="001B5918">
        <w:t> </w:t>
      </w:r>
      <w:r w:rsidRPr="00732313">
        <w:t xml:space="preserve">znižujú sérovo/močovú hladinu </w:t>
      </w:r>
      <w:proofErr w:type="spellStart"/>
      <w:r w:rsidRPr="00732313">
        <w:t>norfloxacínu</w:t>
      </w:r>
      <w:proofErr w:type="spellEnd"/>
      <w:r w:rsidRPr="00732313">
        <w:t>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r w:rsidRPr="00866CB6">
        <w:rPr>
          <w:i/>
        </w:rPr>
        <w:t>Multivitamíny</w:t>
      </w:r>
      <w:r w:rsidR="00F64A65" w:rsidRPr="00F64A65">
        <w:rPr>
          <w:i/>
        </w:rPr>
        <w:t>:</w:t>
      </w:r>
      <w:r w:rsidRPr="00732313">
        <w:t xml:space="preserve"> Nesmú sa podávať súčasne alebo do dvoch hodín pred užitím alebo dve hodiny po užití </w:t>
      </w:r>
      <w:proofErr w:type="spellStart"/>
      <w:r w:rsidRPr="00732313">
        <w:t>norfloxacínu</w:t>
      </w:r>
      <w:proofErr w:type="spellEnd"/>
      <w:r w:rsidRPr="00732313">
        <w:t>, pretože interferujú s</w:t>
      </w:r>
      <w:r w:rsidR="001B5918">
        <w:t> </w:t>
      </w:r>
      <w:r w:rsidRPr="00732313">
        <w:t>jeho absorpciou a</w:t>
      </w:r>
      <w:r w:rsidR="001B5918">
        <w:t> </w:t>
      </w:r>
      <w:r w:rsidRPr="00732313">
        <w:t xml:space="preserve">znižujú sérovú/močovú hladinu </w:t>
      </w:r>
      <w:proofErr w:type="spellStart"/>
      <w:r w:rsidRPr="00732313">
        <w:t>norfloxacínu</w:t>
      </w:r>
      <w:proofErr w:type="spellEnd"/>
      <w:r w:rsidRPr="00732313">
        <w:t>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proofErr w:type="spellStart"/>
      <w:r w:rsidRPr="00866CB6">
        <w:rPr>
          <w:i/>
        </w:rPr>
        <w:t>Nitrofurantoín</w:t>
      </w:r>
      <w:proofErr w:type="spellEnd"/>
      <w:r w:rsidR="00F64A65" w:rsidRPr="00F64A65">
        <w:rPr>
          <w:i/>
        </w:rPr>
        <w:t>:</w:t>
      </w:r>
      <w:r w:rsidRPr="00732313">
        <w:t xml:space="preserve"> </w:t>
      </w:r>
      <w:r w:rsidR="00A64E61" w:rsidRPr="00266E19">
        <w:rPr>
          <w:i/>
        </w:rPr>
        <w:t xml:space="preserve">in </w:t>
      </w:r>
      <w:proofErr w:type="spellStart"/>
      <w:r w:rsidR="00A64E61" w:rsidRPr="00266E19">
        <w:rPr>
          <w:i/>
        </w:rPr>
        <w:t>vitro</w:t>
      </w:r>
      <w:proofErr w:type="spellEnd"/>
      <w:r w:rsidR="00F64A65" w:rsidRPr="00F64A65">
        <w:t xml:space="preserve"> </w:t>
      </w:r>
      <w:r w:rsidRPr="00732313">
        <w:t>sa dokumentoval antagonizmus.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proofErr w:type="spellStart"/>
      <w:r w:rsidRPr="00866CB6">
        <w:rPr>
          <w:i/>
        </w:rPr>
        <w:t>Probenecid</w:t>
      </w:r>
      <w:proofErr w:type="spellEnd"/>
      <w:r w:rsidRPr="00866CB6">
        <w:rPr>
          <w:i/>
        </w:rPr>
        <w:t>:</w:t>
      </w:r>
      <w:r w:rsidRPr="00732313">
        <w:t xml:space="preserve"> Sérová hladina </w:t>
      </w:r>
      <w:proofErr w:type="spellStart"/>
      <w:r w:rsidRPr="00732313">
        <w:t>norfloxacínu</w:t>
      </w:r>
      <w:proofErr w:type="spellEnd"/>
      <w:r w:rsidRPr="00732313">
        <w:t xml:space="preserve"> pri súčasnom podávaní </w:t>
      </w:r>
      <w:proofErr w:type="spellStart"/>
      <w:r w:rsidRPr="00732313">
        <w:t>probenecidu</w:t>
      </w:r>
      <w:proofErr w:type="spellEnd"/>
      <w:r w:rsidRPr="00732313">
        <w:t xml:space="preserve"> nie je ovplyvnená, ale poklesla jeho močová exkrécia.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proofErr w:type="spellStart"/>
      <w:r w:rsidRPr="00866CB6">
        <w:rPr>
          <w:i/>
        </w:rPr>
        <w:t>Sukralfát</w:t>
      </w:r>
      <w:proofErr w:type="spellEnd"/>
      <w:r w:rsidR="00F64A65" w:rsidRPr="00F64A65">
        <w:rPr>
          <w:i/>
        </w:rPr>
        <w:t>:</w:t>
      </w:r>
      <w:r w:rsidRPr="00732313">
        <w:t xml:space="preserve"> Nemajú sa podávať súčasne alebo do dvoch hodín pred užitím alebo dve hodiny po užití </w:t>
      </w:r>
      <w:proofErr w:type="spellStart"/>
      <w:r w:rsidRPr="00732313">
        <w:t>norfloxacínu</w:t>
      </w:r>
      <w:proofErr w:type="spellEnd"/>
      <w:r w:rsidRPr="00732313">
        <w:t>, pretože interferujú jeho absorpciu a</w:t>
      </w:r>
      <w:r w:rsidR="001B5918">
        <w:t> </w:t>
      </w:r>
      <w:r w:rsidRPr="00732313">
        <w:t xml:space="preserve">znižujú sérovú/močovú hladinu </w:t>
      </w:r>
      <w:proofErr w:type="spellStart"/>
      <w:r w:rsidRPr="00732313">
        <w:t>norfloxacínu</w:t>
      </w:r>
      <w:proofErr w:type="spellEnd"/>
      <w:r w:rsidRPr="00732313">
        <w:t>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proofErr w:type="spellStart"/>
      <w:r w:rsidRPr="00866CB6">
        <w:rPr>
          <w:i/>
        </w:rPr>
        <w:t>Teofylín</w:t>
      </w:r>
      <w:proofErr w:type="spellEnd"/>
      <w:r w:rsidRPr="00866CB6">
        <w:rPr>
          <w:i/>
        </w:rPr>
        <w:t>:</w:t>
      </w:r>
      <w:r w:rsidRPr="00732313">
        <w:t xml:space="preserve"> Súčasná liečba môže viesť k</w:t>
      </w:r>
      <w:r w:rsidR="001B5918">
        <w:t> </w:t>
      </w:r>
      <w:r w:rsidRPr="00732313">
        <w:t xml:space="preserve">zvýšeniu hladiny </w:t>
      </w:r>
      <w:proofErr w:type="spellStart"/>
      <w:r w:rsidRPr="00732313">
        <w:t>teofylínu</w:t>
      </w:r>
      <w:proofErr w:type="spellEnd"/>
      <w:r w:rsidRPr="00732313">
        <w:t xml:space="preserve"> a</w:t>
      </w:r>
      <w:r w:rsidR="001B5918">
        <w:t> </w:t>
      </w:r>
      <w:r w:rsidRPr="00732313">
        <w:t xml:space="preserve">tým nežiaducich účinkov, preto sa musia hladiny </w:t>
      </w:r>
      <w:proofErr w:type="spellStart"/>
      <w:r w:rsidRPr="00732313">
        <w:t>teofylínu</w:t>
      </w:r>
      <w:proofErr w:type="spellEnd"/>
      <w:r w:rsidRPr="00732313">
        <w:t xml:space="preserve"> monitorovať a</w:t>
      </w:r>
      <w:r w:rsidR="001B5918">
        <w:t> </w:t>
      </w:r>
      <w:r w:rsidRPr="00732313">
        <w:t>dávka upravovať podľa potreby.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proofErr w:type="spellStart"/>
      <w:r w:rsidRPr="00866CB6">
        <w:rPr>
          <w:i/>
        </w:rPr>
        <w:t>Warfarín</w:t>
      </w:r>
      <w:proofErr w:type="spellEnd"/>
      <w:r w:rsidR="00F64A65" w:rsidRPr="00F64A65">
        <w:rPr>
          <w:i/>
        </w:rPr>
        <w:t>:</w:t>
      </w:r>
      <w:r w:rsidRPr="00732313">
        <w:t xml:space="preserve"> </w:t>
      </w:r>
      <w:proofErr w:type="spellStart"/>
      <w:r w:rsidRPr="00732313">
        <w:t>Norfloxacín</w:t>
      </w:r>
      <w:proofErr w:type="spellEnd"/>
      <w:r w:rsidRPr="00732313">
        <w:t xml:space="preserve"> môže </w:t>
      </w:r>
      <w:proofErr w:type="spellStart"/>
      <w:r w:rsidRPr="00732313">
        <w:t>signifikantne</w:t>
      </w:r>
      <w:proofErr w:type="spellEnd"/>
      <w:r w:rsidRPr="00732313">
        <w:t xml:space="preserve"> zvýšiť </w:t>
      </w:r>
      <w:proofErr w:type="spellStart"/>
      <w:r w:rsidRPr="00732313">
        <w:t>antikoagulačný</w:t>
      </w:r>
      <w:proofErr w:type="spellEnd"/>
      <w:r w:rsidRPr="00732313">
        <w:t xml:space="preserve"> efekt </w:t>
      </w:r>
      <w:proofErr w:type="spellStart"/>
      <w:r w:rsidRPr="00732313">
        <w:t>warfarínu</w:t>
      </w:r>
      <w:proofErr w:type="spellEnd"/>
      <w:r w:rsidRPr="00732313">
        <w:t xml:space="preserve"> alebo jeho derivátov kvôli jeho </w:t>
      </w:r>
      <w:proofErr w:type="spellStart"/>
      <w:r w:rsidRPr="00732313">
        <w:t>vytesňovaniu</w:t>
      </w:r>
      <w:proofErr w:type="spellEnd"/>
      <w:r w:rsidRPr="00732313">
        <w:t xml:space="preserve"> zo sérových väzbových miest. Ak je potrebná súčasná liečba, </w:t>
      </w:r>
      <w:proofErr w:type="spellStart"/>
      <w:r w:rsidRPr="00732313">
        <w:t>protrombínový</w:t>
      </w:r>
      <w:proofErr w:type="spellEnd"/>
      <w:r w:rsidRPr="00732313">
        <w:t xml:space="preserve"> čas alebo iné koagulačné testy sa musia kontrolovať a v prípade potreby upraviť dávkovanie.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r w:rsidRPr="00866CB6">
        <w:rPr>
          <w:i/>
        </w:rPr>
        <w:t>Zinok:</w:t>
      </w:r>
      <w:r w:rsidRPr="00732313">
        <w:t xml:space="preserve"> Látky obsahujúce zinok sa nesmú podávať súčasne alebo do dvoch hodín pred užitím alebo dve hodiny po užití </w:t>
      </w:r>
      <w:proofErr w:type="spellStart"/>
      <w:r w:rsidRPr="00732313">
        <w:t>norfloxacínu</w:t>
      </w:r>
      <w:proofErr w:type="spellEnd"/>
      <w:r w:rsidRPr="00732313">
        <w:t>, pretože ovplyvňujú absorpciu a</w:t>
      </w:r>
      <w:r w:rsidR="001B5918">
        <w:t> </w:t>
      </w:r>
      <w:r w:rsidRPr="00732313">
        <w:t xml:space="preserve">znižujú sérovo/močovú hladinu </w:t>
      </w:r>
      <w:proofErr w:type="spellStart"/>
      <w:r w:rsidRPr="00732313">
        <w:t>norfloxacínu</w:t>
      </w:r>
      <w:proofErr w:type="spellEnd"/>
      <w:r w:rsidRPr="00732313">
        <w:t>.</w:t>
      </w:r>
    </w:p>
    <w:p w:rsidR="00AE0CBE" w:rsidRDefault="00AE0CBE">
      <w:pPr>
        <w:pStyle w:val="Normlndobloku"/>
        <w:spacing w:after="0"/>
      </w:pPr>
    </w:p>
    <w:p w:rsidR="00AE0CBE" w:rsidRDefault="00732313">
      <w:pPr>
        <w:pStyle w:val="Styl2"/>
        <w:spacing w:after="0"/>
      </w:pPr>
      <w:proofErr w:type="spellStart"/>
      <w:r>
        <w:t>Fertilita</w:t>
      </w:r>
      <w:proofErr w:type="spellEnd"/>
      <w:r>
        <w:t>, g</w:t>
      </w:r>
      <w:r w:rsidR="00FD04A3" w:rsidRPr="00732313">
        <w:t>ravidita a</w:t>
      </w:r>
      <w:r w:rsidR="001B5918">
        <w:t> </w:t>
      </w:r>
      <w:r w:rsidR="00FD04A3" w:rsidRPr="00732313">
        <w:t>laktácia</w:t>
      </w:r>
    </w:p>
    <w:p w:rsidR="00AE0CBE" w:rsidRDefault="00AE0CBE">
      <w:pPr>
        <w:pStyle w:val="Styl3"/>
        <w:spacing w:after="0"/>
      </w:pPr>
    </w:p>
    <w:p w:rsidR="00AE0CBE" w:rsidRDefault="00606BEF">
      <w:pPr>
        <w:pStyle w:val="Styl3"/>
        <w:spacing w:after="0"/>
      </w:pPr>
      <w:r>
        <w:t>Gravidita</w:t>
      </w:r>
    </w:p>
    <w:p w:rsidR="00AE0CBE" w:rsidRDefault="00496023">
      <w:pPr>
        <w:pStyle w:val="Normlndobloku"/>
        <w:spacing w:after="0"/>
      </w:pPr>
      <w:r>
        <w:t>GYRABLOCK 400 mg sa ne</w:t>
      </w:r>
      <w:r w:rsidR="00E360AB">
        <w:t>odporúča</w:t>
      </w:r>
      <w:r>
        <w:t xml:space="preserve"> užívať počas gravidity, n</w:t>
      </w:r>
      <w:r w:rsidR="00FD04A3" w:rsidRPr="00732313">
        <w:t xml:space="preserve">akoľko </w:t>
      </w:r>
      <w:r>
        <w:t>údaje o</w:t>
      </w:r>
      <w:r w:rsidR="00FD04A3" w:rsidRPr="00732313">
        <w:t xml:space="preserve"> bezpečnosti používania lieku </w:t>
      </w:r>
      <w:r w:rsidR="00DD3668">
        <w:t xml:space="preserve">počas </w:t>
      </w:r>
      <w:r w:rsidR="00E360AB">
        <w:t>gravidit</w:t>
      </w:r>
      <w:r w:rsidR="00DD3668">
        <w:t>y</w:t>
      </w:r>
      <w:r w:rsidR="00E360AB">
        <w:t xml:space="preserve"> nie sú dostatočné</w:t>
      </w:r>
      <w:r w:rsidR="00FD04A3" w:rsidRPr="00732313">
        <w:t>.</w:t>
      </w:r>
    </w:p>
    <w:p w:rsidR="00AE0CBE" w:rsidRDefault="00AE0CBE">
      <w:pPr>
        <w:pStyle w:val="Normlndobloku"/>
        <w:spacing w:after="0"/>
      </w:pPr>
    </w:p>
    <w:p w:rsidR="00AE0CBE" w:rsidRDefault="00606BEF">
      <w:pPr>
        <w:pStyle w:val="Styl3"/>
        <w:spacing w:after="0"/>
      </w:pPr>
      <w:r>
        <w:t>Dojčenie</w:t>
      </w:r>
    </w:p>
    <w:p w:rsidR="00AE0CBE" w:rsidRDefault="00FD04A3">
      <w:pPr>
        <w:pStyle w:val="Normlndobloku"/>
        <w:spacing w:after="0"/>
      </w:pPr>
      <w:r w:rsidRPr="00732313">
        <w:t xml:space="preserve">Nie sú dostatočné </w:t>
      </w:r>
      <w:r w:rsidR="00DD3668">
        <w:t>informácie</w:t>
      </w:r>
      <w:r w:rsidR="00DD3668" w:rsidRPr="00732313">
        <w:t xml:space="preserve"> </w:t>
      </w:r>
      <w:r w:rsidRPr="00732313">
        <w:t xml:space="preserve">o vylučovaní </w:t>
      </w:r>
      <w:proofErr w:type="spellStart"/>
      <w:r w:rsidRPr="00732313">
        <w:t>norfloxacínu</w:t>
      </w:r>
      <w:proofErr w:type="spellEnd"/>
      <w:r w:rsidRPr="00732313">
        <w:t xml:space="preserve"> </w:t>
      </w:r>
      <w:r w:rsidR="00DD3668">
        <w:t>do ľudského</w:t>
      </w:r>
      <w:r w:rsidRPr="00732313">
        <w:t xml:space="preserve"> </w:t>
      </w:r>
      <w:r w:rsidR="00DD3668" w:rsidRPr="00732313">
        <w:t>mliek</w:t>
      </w:r>
      <w:r w:rsidR="00DD3668">
        <w:t>a</w:t>
      </w:r>
      <w:r w:rsidRPr="00732313">
        <w:t>, a</w:t>
      </w:r>
      <w:r w:rsidR="001B5918">
        <w:t> </w:t>
      </w:r>
      <w:r w:rsidRPr="00732313">
        <w:t xml:space="preserve">preto </w:t>
      </w:r>
      <w:r w:rsidR="00DD3668">
        <w:t xml:space="preserve">sa </w:t>
      </w:r>
      <w:r w:rsidRPr="00732313">
        <w:t>užívanie počas dojčenia neodporúča.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Styl2"/>
        <w:spacing w:after="0"/>
      </w:pPr>
      <w:r w:rsidRPr="00732313">
        <w:t>Ovplyvnenie schopnosti viesť vozidlá a obsluhovať stroje</w:t>
      </w:r>
    </w:p>
    <w:p w:rsidR="00DD3668" w:rsidRDefault="00DD3668" w:rsidP="00335201">
      <w:pPr>
        <w:pStyle w:val="Normlndobloku"/>
      </w:pPr>
    </w:p>
    <w:p w:rsidR="00AE0CBE" w:rsidRDefault="00C77947">
      <w:pPr>
        <w:pStyle w:val="Normlndobloku"/>
        <w:spacing w:after="0"/>
      </w:pPr>
      <w:r>
        <w:lastRenderedPageBreak/>
        <w:t>K dispozícii nie sú</w:t>
      </w:r>
      <w:r w:rsidR="00FD04A3" w:rsidRPr="00732313">
        <w:t xml:space="preserve"> údaje o</w:t>
      </w:r>
      <w:r w:rsidR="001B5918">
        <w:t> </w:t>
      </w:r>
      <w:r>
        <w:t>konkrétnom</w:t>
      </w:r>
      <w:r w:rsidR="00FD04A3" w:rsidRPr="00732313">
        <w:t xml:space="preserve"> ovplyvnení liekom. Niektorí pacienti môžu mať skúsenosti so závratmi alebo podobnými nežiaducimi účinkami. Pacienti </w:t>
      </w:r>
      <w:r w:rsidR="001B5918">
        <w:t>musia byť upozornení</w:t>
      </w:r>
      <w:r w:rsidR="00FD04A3" w:rsidRPr="00732313">
        <w:t>, aby neviedli motorové vozidlo a</w:t>
      </w:r>
      <w:r w:rsidR="001B5918">
        <w:t> </w:t>
      </w:r>
      <w:r w:rsidR="00FD04A3" w:rsidRPr="00732313">
        <w:t>neobsluhovali stroje, ak sú ovplyvnení účinkom lieku.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Styl2"/>
        <w:spacing w:after="0"/>
      </w:pPr>
      <w:r w:rsidRPr="00732313">
        <w:t>Nežiaduce účinky</w:t>
      </w:r>
    </w:p>
    <w:p w:rsidR="00AE0CBE" w:rsidRDefault="00AE0CBE">
      <w:pPr>
        <w:pStyle w:val="Styl2"/>
        <w:numPr>
          <w:ilvl w:val="0"/>
          <w:numId w:val="0"/>
        </w:numPr>
        <w:spacing w:after="0"/>
        <w:ind w:left="539"/>
      </w:pPr>
    </w:p>
    <w:p w:rsidR="00AE0CBE" w:rsidRDefault="00FD04A3">
      <w:pPr>
        <w:pStyle w:val="Normlndobloku"/>
        <w:spacing w:after="0"/>
      </w:pPr>
      <w:r w:rsidRPr="00732313">
        <w:t xml:space="preserve">Vo všeobecnosti sa </w:t>
      </w:r>
      <w:proofErr w:type="spellStart"/>
      <w:r w:rsidRPr="00732313">
        <w:t>norfloxacín</w:t>
      </w:r>
      <w:proofErr w:type="spellEnd"/>
      <w:r w:rsidRPr="00732313">
        <w:t xml:space="preserve"> dobre toleruje, s</w:t>
      </w:r>
      <w:r w:rsidR="00606BEF">
        <w:t> </w:t>
      </w:r>
      <w:r w:rsidRPr="00732313">
        <w:t>nízkym výskytom nežiaducich účinkov.</w:t>
      </w:r>
    </w:p>
    <w:p w:rsidR="00AE0CBE" w:rsidRDefault="00AE0CBE">
      <w:pPr>
        <w:pStyle w:val="Normlndobloku"/>
        <w:spacing w:after="0"/>
        <w:rPr>
          <w:szCs w:val="22"/>
        </w:rPr>
      </w:pPr>
    </w:p>
    <w:p w:rsidR="00AE0CBE" w:rsidRDefault="00FD04A3">
      <w:pPr>
        <w:pStyle w:val="Normlndobloku"/>
        <w:spacing w:after="0"/>
      </w:pPr>
      <w:r w:rsidRPr="00732313">
        <w:t xml:space="preserve">Najčastejšími nežiaducimi účinkami boli </w:t>
      </w:r>
      <w:proofErr w:type="spellStart"/>
      <w:r w:rsidRPr="00732313">
        <w:t>gastrointestinálne</w:t>
      </w:r>
      <w:proofErr w:type="spellEnd"/>
      <w:r w:rsidRPr="00732313">
        <w:t xml:space="preserve">, </w:t>
      </w:r>
      <w:proofErr w:type="spellStart"/>
      <w:r w:rsidRPr="00732313">
        <w:t>neuropsychiatrické</w:t>
      </w:r>
      <w:proofErr w:type="spellEnd"/>
      <w:r w:rsidRPr="00732313">
        <w:t xml:space="preserve"> a kožné reakcie a zahŕňali </w:t>
      </w:r>
      <w:proofErr w:type="spellStart"/>
      <w:r w:rsidRPr="00732313">
        <w:t>nauzeu</w:t>
      </w:r>
      <w:proofErr w:type="spellEnd"/>
      <w:r w:rsidRPr="00732313">
        <w:t>, bolesť hlavy, závrat, vyrážku, pálenie záhy, bolesť brucha/kŕče a hnačku.</w:t>
      </w:r>
    </w:p>
    <w:p w:rsidR="00AE0CBE" w:rsidRDefault="00AE0CBE">
      <w:pPr>
        <w:pStyle w:val="Normlndobloku"/>
        <w:spacing w:after="0"/>
      </w:pPr>
    </w:p>
    <w:p w:rsidR="00FD04A3" w:rsidRPr="00732313" w:rsidRDefault="00FD04A3">
      <w:pPr>
        <w:pStyle w:val="Normlndobloku"/>
      </w:pPr>
      <w:r w:rsidRPr="00732313">
        <w:t xml:space="preserve">Menej často sa vyskytovalo nechutenstvo, poruchy spánku, depresia, úzkosť/nervozita, podráždenosť, eufória, dezorientácia, halucinácia, </w:t>
      </w:r>
      <w:proofErr w:type="spellStart"/>
      <w:r w:rsidRPr="00732313">
        <w:t>tinnitus</w:t>
      </w:r>
      <w:proofErr w:type="spellEnd"/>
      <w:r w:rsidRPr="00732313">
        <w:t xml:space="preserve"> a epifora.</w:t>
      </w:r>
    </w:p>
    <w:p w:rsidR="00FD04A3" w:rsidRPr="00AE4604" w:rsidRDefault="00F64A65" w:rsidP="00AE4604">
      <w:pPr>
        <w:pStyle w:val="Normlndobloku"/>
      </w:pPr>
      <w:r w:rsidRPr="00F64A65">
        <w:rPr>
          <w:u w:val="single"/>
        </w:rPr>
        <w:t>Laboratórne a funkčné vyšetrenia:</w:t>
      </w:r>
      <w:r w:rsidR="00606BEF" w:rsidRPr="00AE4604">
        <w:t xml:space="preserve"> a</w:t>
      </w:r>
      <w:r w:rsidR="00FD04A3" w:rsidRPr="00AE4604">
        <w:t xml:space="preserve">bnormálne laboratórne nežiaduce účinky pozorované počas klinických štúdií boli: </w:t>
      </w:r>
      <w:proofErr w:type="spellStart"/>
      <w:r w:rsidR="00FD04A3" w:rsidRPr="00AE4604">
        <w:t>leukopénia</w:t>
      </w:r>
      <w:proofErr w:type="spellEnd"/>
      <w:r w:rsidR="00FD04A3" w:rsidRPr="00AE4604">
        <w:t xml:space="preserve">, zvýšenie ALT, AST, </w:t>
      </w:r>
      <w:proofErr w:type="spellStart"/>
      <w:r w:rsidR="00FD04A3" w:rsidRPr="00AE4604">
        <w:t>eozinofília</w:t>
      </w:r>
      <w:proofErr w:type="spellEnd"/>
      <w:r w:rsidR="00FD04A3" w:rsidRPr="00AE4604">
        <w:t xml:space="preserve">, </w:t>
      </w:r>
      <w:proofErr w:type="spellStart"/>
      <w:r w:rsidR="00FD04A3" w:rsidRPr="00AE4604">
        <w:t>neutropénia</w:t>
      </w:r>
      <w:proofErr w:type="spellEnd"/>
      <w:r w:rsidR="00FD04A3" w:rsidRPr="00AE4604">
        <w:t xml:space="preserve">, </w:t>
      </w:r>
      <w:proofErr w:type="spellStart"/>
      <w:r w:rsidR="00FD04A3" w:rsidRPr="00AE4604">
        <w:t>trombocytopénia</w:t>
      </w:r>
      <w:proofErr w:type="spellEnd"/>
    </w:p>
    <w:p w:rsidR="00FD04A3" w:rsidRPr="00335201" w:rsidRDefault="00FD04A3" w:rsidP="00AE4604">
      <w:pPr>
        <w:pStyle w:val="Normlndobloku"/>
      </w:pPr>
      <w:r w:rsidRPr="00335201">
        <w:t>Počas rozsiahlejšieho používania sa zaznamenali nasledovné nežiaduce účinky:</w:t>
      </w:r>
    </w:p>
    <w:p w:rsidR="00FD04A3" w:rsidRPr="00732313" w:rsidRDefault="00F64A65" w:rsidP="00AE4604">
      <w:pPr>
        <w:pStyle w:val="Normlndobloku"/>
      </w:pPr>
      <w:proofErr w:type="spellStart"/>
      <w:r w:rsidRPr="00F64A65">
        <w:rPr>
          <w:u w:val="single"/>
        </w:rPr>
        <w:t>Hypersenzitívne</w:t>
      </w:r>
      <w:proofErr w:type="spellEnd"/>
      <w:r w:rsidRPr="00F64A65">
        <w:rPr>
          <w:u w:val="single"/>
        </w:rPr>
        <w:t xml:space="preserve"> reakcie:</w:t>
      </w:r>
      <w:r w:rsidR="00FD04A3" w:rsidRPr="00732313">
        <w:t xml:space="preserve"> </w:t>
      </w:r>
      <w:proofErr w:type="spellStart"/>
      <w:r w:rsidR="00FD04A3" w:rsidRPr="00732313">
        <w:t>hypersenzitívne</w:t>
      </w:r>
      <w:proofErr w:type="spellEnd"/>
      <w:r w:rsidR="00FD04A3" w:rsidRPr="00732313">
        <w:t xml:space="preserve"> reakcie vrátane </w:t>
      </w:r>
      <w:proofErr w:type="spellStart"/>
      <w:r w:rsidR="00FD04A3" w:rsidRPr="00732313">
        <w:t>anafylaxie</w:t>
      </w:r>
      <w:proofErr w:type="spellEnd"/>
      <w:r w:rsidR="00FD04A3" w:rsidRPr="00732313">
        <w:t xml:space="preserve">, </w:t>
      </w:r>
      <w:proofErr w:type="spellStart"/>
      <w:r w:rsidR="00FD04A3" w:rsidRPr="00732313">
        <w:t>angioedému</w:t>
      </w:r>
      <w:proofErr w:type="spellEnd"/>
      <w:r w:rsidR="00FD04A3" w:rsidRPr="00732313">
        <w:t xml:space="preserve">, </w:t>
      </w:r>
      <w:proofErr w:type="spellStart"/>
      <w:r w:rsidR="00FD04A3" w:rsidRPr="00732313">
        <w:t>dyspnoe</w:t>
      </w:r>
      <w:proofErr w:type="spellEnd"/>
      <w:r w:rsidR="00FD04A3" w:rsidRPr="00732313">
        <w:t xml:space="preserve">, </w:t>
      </w:r>
      <w:proofErr w:type="spellStart"/>
      <w:r w:rsidR="00FD04A3" w:rsidRPr="00732313">
        <w:t>vaskulitídy</w:t>
      </w:r>
      <w:proofErr w:type="spellEnd"/>
      <w:r w:rsidR="00FD04A3" w:rsidRPr="00732313">
        <w:t xml:space="preserve">, </w:t>
      </w:r>
      <w:proofErr w:type="spellStart"/>
      <w:r w:rsidR="00FD04A3" w:rsidRPr="00732313">
        <w:t>urtikárie</w:t>
      </w:r>
      <w:proofErr w:type="spellEnd"/>
      <w:r w:rsidR="00FD04A3" w:rsidRPr="00732313">
        <w:t xml:space="preserve">, artritídy, </w:t>
      </w:r>
      <w:proofErr w:type="spellStart"/>
      <w:r w:rsidR="00FD04A3" w:rsidRPr="00732313">
        <w:t>myalgie</w:t>
      </w:r>
      <w:proofErr w:type="spellEnd"/>
      <w:r w:rsidR="00FD04A3" w:rsidRPr="00732313">
        <w:t xml:space="preserve">, </w:t>
      </w:r>
      <w:proofErr w:type="spellStart"/>
      <w:r w:rsidR="00FD04A3" w:rsidRPr="00732313">
        <w:t>artralgie</w:t>
      </w:r>
      <w:proofErr w:type="spellEnd"/>
      <w:r w:rsidR="00FD04A3" w:rsidRPr="00732313">
        <w:t xml:space="preserve"> a </w:t>
      </w:r>
      <w:proofErr w:type="spellStart"/>
      <w:r w:rsidR="00FD04A3" w:rsidRPr="00732313">
        <w:t>intersticiálnej</w:t>
      </w:r>
      <w:proofErr w:type="spellEnd"/>
      <w:r w:rsidR="00FD04A3" w:rsidRPr="00732313">
        <w:t xml:space="preserve"> </w:t>
      </w:r>
      <w:proofErr w:type="spellStart"/>
      <w:r w:rsidR="00FD04A3" w:rsidRPr="00732313">
        <w:t>nefritídy</w:t>
      </w:r>
      <w:proofErr w:type="spellEnd"/>
    </w:p>
    <w:p w:rsidR="00FD04A3" w:rsidRPr="00732313" w:rsidRDefault="00F64A65" w:rsidP="00AE4604">
      <w:pPr>
        <w:pStyle w:val="Normlndobloku"/>
      </w:pPr>
      <w:r w:rsidRPr="00F64A65">
        <w:rPr>
          <w:u w:val="single"/>
        </w:rPr>
        <w:t xml:space="preserve">Poruchy </w:t>
      </w:r>
      <w:proofErr w:type="spellStart"/>
      <w:r w:rsidRPr="00F64A65">
        <w:rPr>
          <w:u w:val="single"/>
        </w:rPr>
        <w:t>gastrointestinálneho</w:t>
      </w:r>
      <w:proofErr w:type="spellEnd"/>
      <w:r w:rsidRPr="00F64A65">
        <w:rPr>
          <w:u w:val="single"/>
        </w:rPr>
        <w:t xml:space="preserve"> traktu</w:t>
      </w:r>
      <w:r w:rsidRPr="00F64A65">
        <w:t>:</w:t>
      </w:r>
      <w:r w:rsidR="00FD04A3" w:rsidRPr="00732313">
        <w:t xml:space="preserve"> </w:t>
      </w:r>
      <w:proofErr w:type="spellStart"/>
      <w:r w:rsidR="00FD04A3" w:rsidRPr="00732313">
        <w:t>pseudomembranózna</w:t>
      </w:r>
      <w:proofErr w:type="spellEnd"/>
      <w:r w:rsidR="00FD04A3" w:rsidRPr="00732313">
        <w:t xml:space="preserve"> </w:t>
      </w:r>
      <w:proofErr w:type="spellStart"/>
      <w:r w:rsidR="00FD04A3" w:rsidRPr="00732313">
        <w:t>kolitída</w:t>
      </w:r>
      <w:proofErr w:type="spellEnd"/>
      <w:r w:rsidR="00FD04A3" w:rsidRPr="00732313">
        <w:t xml:space="preserve">, zriedkavo </w:t>
      </w:r>
      <w:proofErr w:type="spellStart"/>
      <w:r w:rsidR="00FD04A3" w:rsidRPr="00732313">
        <w:t>pankreatitída</w:t>
      </w:r>
      <w:proofErr w:type="spellEnd"/>
      <w:r w:rsidR="00FD04A3" w:rsidRPr="00732313">
        <w:t xml:space="preserve">, hepatitída, žltačka vrátane </w:t>
      </w:r>
      <w:proofErr w:type="spellStart"/>
      <w:r w:rsidR="00FD04A3" w:rsidRPr="00732313">
        <w:t>cholestatickej</w:t>
      </w:r>
      <w:proofErr w:type="spellEnd"/>
      <w:r w:rsidR="00FD04A3" w:rsidRPr="00732313">
        <w:t xml:space="preserve"> žltačky a zvýšenie hodnôt pečeňových enzýmov</w:t>
      </w:r>
      <w:r w:rsidR="007F6A58">
        <w:t xml:space="preserve">, </w:t>
      </w:r>
      <w:proofErr w:type="spellStart"/>
      <w:r w:rsidR="007F6A58">
        <w:t>dysgeúzia</w:t>
      </w:r>
      <w:proofErr w:type="spellEnd"/>
    </w:p>
    <w:p w:rsidR="00FD04A3" w:rsidRPr="00732313" w:rsidRDefault="00F64A65">
      <w:pPr>
        <w:pStyle w:val="Normlndobloku"/>
      </w:pPr>
      <w:r w:rsidRPr="00F64A65">
        <w:rPr>
          <w:u w:val="single"/>
        </w:rPr>
        <w:t>Poruchy kostrovej a svalovej sústavy a spojivového tkaniva</w:t>
      </w:r>
      <w:r w:rsidRPr="00F64A65">
        <w:t>:</w:t>
      </w:r>
      <w:r w:rsidR="00FD04A3" w:rsidRPr="00732313">
        <w:t xml:space="preserve"> </w:t>
      </w:r>
      <w:proofErr w:type="spellStart"/>
      <w:r w:rsidR="00FD04A3" w:rsidRPr="00732313">
        <w:t>tendinitída</w:t>
      </w:r>
      <w:proofErr w:type="spellEnd"/>
      <w:r w:rsidR="00FD04A3" w:rsidRPr="00732313">
        <w:t xml:space="preserve">, ruptúra šľachy, </w:t>
      </w:r>
      <w:proofErr w:type="spellStart"/>
      <w:r w:rsidR="00FD04A3" w:rsidRPr="00732313">
        <w:t>exacerbácia</w:t>
      </w:r>
      <w:proofErr w:type="spellEnd"/>
      <w:r w:rsidR="00FD04A3" w:rsidRPr="00732313">
        <w:t xml:space="preserve"> </w:t>
      </w:r>
      <w:proofErr w:type="spellStart"/>
      <w:r w:rsidR="00FD04A3" w:rsidRPr="00732313">
        <w:t>myasténie</w:t>
      </w:r>
      <w:proofErr w:type="spellEnd"/>
      <w:r w:rsidR="00FD04A3" w:rsidRPr="00732313">
        <w:t xml:space="preserve"> </w:t>
      </w:r>
      <w:proofErr w:type="spellStart"/>
      <w:r w:rsidR="00FD04A3" w:rsidRPr="00732313">
        <w:t>gravis</w:t>
      </w:r>
      <w:proofErr w:type="spellEnd"/>
      <w:r w:rsidR="00FD04A3" w:rsidRPr="00732313">
        <w:t xml:space="preserve">, zvýšené hodnoty </w:t>
      </w:r>
      <w:proofErr w:type="spellStart"/>
      <w:r w:rsidR="00FD04A3" w:rsidRPr="00732313">
        <w:t>kreatinínkinázy</w:t>
      </w:r>
      <w:proofErr w:type="spellEnd"/>
      <w:r w:rsidR="00FD04A3" w:rsidRPr="00732313">
        <w:t xml:space="preserve"> (CK)</w:t>
      </w:r>
    </w:p>
    <w:p w:rsidR="00FD04A3" w:rsidRPr="00732313" w:rsidRDefault="00F64A65">
      <w:pPr>
        <w:pStyle w:val="Normlndobloku"/>
      </w:pPr>
      <w:r w:rsidRPr="00F64A65">
        <w:rPr>
          <w:u w:val="single"/>
        </w:rPr>
        <w:t>Poruchy krvi a lymfatického systému</w:t>
      </w:r>
      <w:r w:rsidRPr="00F64A65">
        <w:t>:</w:t>
      </w:r>
      <w:r w:rsidR="00FD04A3" w:rsidRPr="00732313">
        <w:t xml:space="preserve"> </w:t>
      </w:r>
      <w:proofErr w:type="spellStart"/>
      <w:r w:rsidR="00FD04A3" w:rsidRPr="00732313">
        <w:t>hemolytická</w:t>
      </w:r>
      <w:proofErr w:type="spellEnd"/>
      <w:r w:rsidR="00FD04A3" w:rsidRPr="00732313">
        <w:t xml:space="preserve"> anémia niekedy spojená s</w:t>
      </w:r>
      <w:r w:rsidR="007F6A58">
        <w:t> </w:t>
      </w:r>
      <w:r w:rsidR="00FD04A3" w:rsidRPr="00732313">
        <w:t>poruchou glukózo-6-fosfátdehydrogenázy</w:t>
      </w:r>
    </w:p>
    <w:p w:rsidR="00FD04A3" w:rsidRDefault="00F64A65">
      <w:pPr>
        <w:pStyle w:val="Normlndobloku"/>
      </w:pPr>
      <w:r w:rsidRPr="00F64A65">
        <w:rPr>
          <w:u w:val="single"/>
        </w:rPr>
        <w:t>Poruchy nervového systému</w:t>
      </w:r>
      <w:r w:rsidR="00FD04A3" w:rsidRPr="00732313">
        <w:t xml:space="preserve">: </w:t>
      </w:r>
      <w:proofErr w:type="spellStart"/>
      <w:r w:rsidR="00FD04A3" w:rsidRPr="00732313">
        <w:t>polyneuropatia</w:t>
      </w:r>
      <w:proofErr w:type="spellEnd"/>
      <w:r w:rsidR="00FD04A3" w:rsidRPr="00732313">
        <w:t xml:space="preserve"> vrátane </w:t>
      </w:r>
      <w:proofErr w:type="spellStart"/>
      <w:r w:rsidR="00FD04A3" w:rsidRPr="00732313">
        <w:t>Guillainovho-Barrého</w:t>
      </w:r>
      <w:proofErr w:type="spellEnd"/>
      <w:r w:rsidR="00FD04A3" w:rsidRPr="00732313">
        <w:t xml:space="preserve"> syndrómu, zmätenosť, </w:t>
      </w:r>
      <w:proofErr w:type="spellStart"/>
      <w:r w:rsidR="00FD04A3" w:rsidRPr="00732313">
        <w:t>parestézia</w:t>
      </w:r>
      <w:proofErr w:type="spellEnd"/>
      <w:r w:rsidR="00FD04A3" w:rsidRPr="00732313">
        <w:t xml:space="preserve">, kŕče, </w:t>
      </w:r>
      <w:proofErr w:type="spellStart"/>
      <w:r w:rsidR="00FD04A3" w:rsidRPr="00732313">
        <w:t>tremor</w:t>
      </w:r>
      <w:proofErr w:type="spellEnd"/>
      <w:r w:rsidR="00FD04A3" w:rsidRPr="00732313">
        <w:t xml:space="preserve">, </w:t>
      </w:r>
      <w:proofErr w:type="spellStart"/>
      <w:r w:rsidR="00FD04A3" w:rsidRPr="00732313">
        <w:t>myoklónia</w:t>
      </w:r>
      <w:proofErr w:type="spellEnd"/>
    </w:p>
    <w:p w:rsidR="00714C44" w:rsidRPr="00732313" w:rsidRDefault="00714C44">
      <w:pPr>
        <w:pStyle w:val="Normlndobloku"/>
      </w:pPr>
      <w:r w:rsidRPr="00DB38D7">
        <w:rPr>
          <w:u w:val="single"/>
        </w:rPr>
        <w:t>Psychické poruchy</w:t>
      </w:r>
      <w:r>
        <w:t>: psychotické reakcie</w:t>
      </w:r>
    </w:p>
    <w:p w:rsidR="00FD04A3" w:rsidRPr="00732313" w:rsidRDefault="00F64A65">
      <w:pPr>
        <w:pStyle w:val="Normlndobloku"/>
      </w:pPr>
      <w:r w:rsidRPr="00F64A65">
        <w:rPr>
          <w:u w:val="single"/>
        </w:rPr>
        <w:t>Poruchy kože a podkožného tkaniva</w:t>
      </w:r>
      <w:r w:rsidR="00FD04A3" w:rsidRPr="00732313">
        <w:t xml:space="preserve">: </w:t>
      </w:r>
      <w:proofErr w:type="spellStart"/>
      <w:r w:rsidR="00FD04A3" w:rsidRPr="00732313">
        <w:t>fotosenzitivita</w:t>
      </w:r>
      <w:proofErr w:type="spellEnd"/>
      <w:r w:rsidR="00FD04A3" w:rsidRPr="00732313">
        <w:t xml:space="preserve">, </w:t>
      </w:r>
      <w:proofErr w:type="spellStart"/>
      <w:r w:rsidR="00FD04A3" w:rsidRPr="00732313">
        <w:t>exfoliatívna</w:t>
      </w:r>
      <w:proofErr w:type="spellEnd"/>
      <w:r w:rsidR="00FD04A3" w:rsidRPr="00732313">
        <w:t xml:space="preserve"> dermatitída, toxická </w:t>
      </w:r>
      <w:proofErr w:type="spellStart"/>
      <w:r w:rsidR="00FD04A3" w:rsidRPr="00732313">
        <w:t>epidermálna</w:t>
      </w:r>
      <w:proofErr w:type="spellEnd"/>
      <w:r w:rsidR="00FD04A3" w:rsidRPr="00732313">
        <w:t xml:space="preserve"> </w:t>
      </w:r>
      <w:proofErr w:type="spellStart"/>
      <w:r w:rsidR="00FD04A3" w:rsidRPr="00732313">
        <w:t>nekrolýza</w:t>
      </w:r>
      <w:proofErr w:type="spellEnd"/>
      <w:r w:rsidR="00FD04A3" w:rsidRPr="00732313">
        <w:t xml:space="preserve">, </w:t>
      </w:r>
      <w:proofErr w:type="spellStart"/>
      <w:r w:rsidR="00FD04A3" w:rsidRPr="00732313">
        <w:t>multiformný</w:t>
      </w:r>
      <w:proofErr w:type="spellEnd"/>
      <w:r w:rsidR="00FD04A3" w:rsidRPr="00732313">
        <w:t xml:space="preserve"> </w:t>
      </w:r>
      <w:proofErr w:type="spellStart"/>
      <w:r w:rsidR="00FD04A3" w:rsidRPr="00732313">
        <w:t>erytém</w:t>
      </w:r>
      <w:proofErr w:type="spellEnd"/>
      <w:r w:rsidR="00FD04A3" w:rsidRPr="00732313">
        <w:t xml:space="preserve">, </w:t>
      </w:r>
      <w:proofErr w:type="spellStart"/>
      <w:r w:rsidR="00FD04A3" w:rsidRPr="00732313">
        <w:t>pruritus</w:t>
      </w:r>
      <w:proofErr w:type="spellEnd"/>
      <w:r w:rsidR="00FD04A3" w:rsidRPr="00732313">
        <w:t xml:space="preserve">, </w:t>
      </w:r>
      <w:proofErr w:type="spellStart"/>
      <w:r w:rsidR="00FD04A3" w:rsidRPr="00732313">
        <w:t>Stevensov-Johnsonov</w:t>
      </w:r>
      <w:proofErr w:type="spellEnd"/>
      <w:r w:rsidR="00FD04A3" w:rsidRPr="00732313">
        <w:t xml:space="preserve"> syndróm</w:t>
      </w:r>
    </w:p>
    <w:p w:rsidR="00FD04A3" w:rsidRPr="00732313" w:rsidRDefault="00F64A65">
      <w:pPr>
        <w:pStyle w:val="Normlndobloku"/>
      </w:pPr>
      <w:r w:rsidRPr="00F64A65">
        <w:rPr>
          <w:u w:val="single"/>
        </w:rPr>
        <w:t>Poruchy obličiek a močových ciest</w:t>
      </w:r>
      <w:r w:rsidR="00FD04A3" w:rsidRPr="00732313">
        <w:t xml:space="preserve">: </w:t>
      </w:r>
      <w:proofErr w:type="spellStart"/>
      <w:r w:rsidR="00FD04A3" w:rsidRPr="00732313">
        <w:t>renálne</w:t>
      </w:r>
      <w:proofErr w:type="spellEnd"/>
      <w:r w:rsidR="00FD04A3" w:rsidRPr="00732313">
        <w:t xml:space="preserve"> zlyhanie</w:t>
      </w:r>
    </w:p>
    <w:p w:rsidR="00FD04A3" w:rsidRPr="00732313" w:rsidRDefault="00F64A65">
      <w:pPr>
        <w:pStyle w:val="Normlndobloku"/>
      </w:pPr>
      <w:r w:rsidRPr="00F64A65">
        <w:rPr>
          <w:u w:val="single"/>
        </w:rPr>
        <w:t>Poruchy srdca a srdcovej činnosti</w:t>
      </w:r>
      <w:r w:rsidRPr="00F64A65">
        <w:t>:</w:t>
      </w:r>
      <w:r w:rsidR="00FD04A3" w:rsidRPr="00732313">
        <w:t xml:space="preserve"> veľmi zriedkavo: predĺženie </w:t>
      </w:r>
      <w:proofErr w:type="spellStart"/>
      <w:r w:rsidR="00FD04A3" w:rsidRPr="00732313">
        <w:t>QTc</w:t>
      </w:r>
      <w:proofErr w:type="spellEnd"/>
      <w:r w:rsidR="00FD04A3" w:rsidRPr="00732313">
        <w:t xml:space="preserve"> intervalu a </w:t>
      </w:r>
      <w:proofErr w:type="spellStart"/>
      <w:r w:rsidR="00FD04A3" w:rsidRPr="00732313">
        <w:t>ventrikulárna</w:t>
      </w:r>
      <w:proofErr w:type="spellEnd"/>
      <w:r w:rsidR="00FD04A3" w:rsidRPr="00732313">
        <w:t xml:space="preserve"> </w:t>
      </w:r>
      <w:proofErr w:type="spellStart"/>
      <w:r w:rsidR="00FD04A3" w:rsidRPr="00732313">
        <w:t>arytmia</w:t>
      </w:r>
      <w:proofErr w:type="spellEnd"/>
      <w:r w:rsidR="00FD04A3" w:rsidRPr="00732313">
        <w:t xml:space="preserve"> (vrátane </w:t>
      </w:r>
      <w:proofErr w:type="spellStart"/>
      <w:r w:rsidR="00DE566B" w:rsidRPr="000F390E">
        <w:rPr>
          <w:i/>
        </w:rPr>
        <w:t>torsade</w:t>
      </w:r>
      <w:proofErr w:type="spellEnd"/>
      <w:r w:rsidR="00DE566B" w:rsidRPr="000F390E">
        <w:rPr>
          <w:i/>
        </w:rPr>
        <w:t xml:space="preserve"> </w:t>
      </w:r>
      <w:proofErr w:type="spellStart"/>
      <w:r w:rsidR="009313DF">
        <w:rPr>
          <w:i/>
        </w:rPr>
        <w:t>de</w:t>
      </w:r>
      <w:proofErr w:type="spellEnd"/>
      <w:r w:rsidR="009313DF">
        <w:rPr>
          <w:i/>
        </w:rPr>
        <w:t xml:space="preserve"> </w:t>
      </w:r>
      <w:proofErr w:type="spellStart"/>
      <w:r w:rsidR="009313DF">
        <w:rPr>
          <w:i/>
        </w:rPr>
        <w:t>pointes</w:t>
      </w:r>
      <w:proofErr w:type="spellEnd"/>
      <w:r w:rsidR="00FD04A3" w:rsidRPr="00732313">
        <w:t>)</w:t>
      </w:r>
    </w:p>
    <w:p w:rsidR="003346CB" w:rsidRPr="00714C44" w:rsidRDefault="00F64A65" w:rsidP="00714C44">
      <w:pPr>
        <w:pStyle w:val="Normlndobloku"/>
        <w:rPr>
          <w:u w:val="single"/>
        </w:rPr>
      </w:pPr>
      <w:r w:rsidRPr="00F64A65">
        <w:rPr>
          <w:u w:val="single"/>
        </w:rPr>
        <w:t>Poruchy oka:</w:t>
      </w:r>
      <w:r w:rsidRPr="00DB38D7">
        <w:t xml:space="preserve"> poruchy videnia</w:t>
      </w:r>
    </w:p>
    <w:p w:rsidR="00714C44" w:rsidRPr="00714C44" w:rsidRDefault="00F64A65">
      <w:pPr>
        <w:pStyle w:val="Normlndobloku"/>
        <w:rPr>
          <w:u w:val="single"/>
        </w:rPr>
      </w:pPr>
      <w:r w:rsidRPr="00F64A65">
        <w:rPr>
          <w:u w:val="single"/>
        </w:rPr>
        <w:t>Infekcie a nákazy:</w:t>
      </w:r>
      <w:r w:rsidRPr="00DB38D7">
        <w:t xml:space="preserve"> vaginálna </w:t>
      </w:r>
      <w:proofErr w:type="spellStart"/>
      <w:r w:rsidRPr="00DB38D7">
        <w:t>kandidóza</w:t>
      </w:r>
      <w:proofErr w:type="spellEnd"/>
    </w:p>
    <w:p w:rsidR="00AE0CBE" w:rsidRDefault="00AE0CBE">
      <w:pPr>
        <w:pStyle w:val="Normlndobloku"/>
        <w:spacing w:after="0"/>
      </w:pPr>
    </w:p>
    <w:p w:rsidR="00AE0CBE" w:rsidRDefault="00DB789E">
      <w:pPr>
        <w:pStyle w:val="Styl3"/>
        <w:spacing w:after="0"/>
      </w:pPr>
      <w:r w:rsidRPr="00DF72AC">
        <w:t>Hlásenie podozrení na nežiaduce reakcie</w:t>
      </w:r>
    </w:p>
    <w:p w:rsidR="00AE0CBE" w:rsidRDefault="00DB789E">
      <w:pPr>
        <w:pStyle w:val="Normlndobloku"/>
        <w:spacing w:after="0"/>
      </w:pPr>
      <w:r w:rsidRPr="00DF72AC">
        <w:t>Hlásenie podozrení na nežiaduce reakcie po registrácii lieku je dôležité. Umožňuje priebežné</w:t>
      </w:r>
      <w:r w:rsidR="00C7045E">
        <w:t xml:space="preserve"> </w:t>
      </w:r>
      <w:r w:rsidRPr="00DF72AC">
        <w:t>monitorovanie pomeru prínosu a rizika lieku. Od zdravotníckych pracovníkov sa vyžaduje,</w:t>
      </w:r>
      <w:r>
        <w:t xml:space="preserve"> </w:t>
      </w:r>
      <w:r w:rsidRPr="00DF72AC">
        <w:t>aby hlásili akékoľvek podozreni</w:t>
      </w:r>
      <w:r w:rsidR="00ED7065">
        <w:t>a</w:t>
      </w:r>
      <w:r w:rsidRPr="00DF72AC">
        <w:t xml:space="preserve"> na nežiaduce reakcie </w:t>
      </w:r>
      <w:r w:rsidR="004925BF">
        <w:t>na</w:t>
      </w:r>
      <w:r w:rsidRPr="00DF72AC">
        <w:t xml:space="preserve"> </w:t>
      </w:r>
      <w:r w:rsidRPr="00DB38D7">
        <w:rPr>
          <w:highlight w:val="lightGray"/>
        </w:rPr>
        <w:t xml:space="preserve">národné </w:t>
      </w:r>
      <w:r w:rsidR="004925BF" w:rsidRPr="00DB38D7">
        <w:rPr>
          <w:highlight w:val="lightGray"/>
        </w:rPr>
        <w:t>centrum</w:t>
      </w:r>
      <w:r w:rsidRPr="00DB38D7">
        <w:rPr>
          <w:highlight w:val="lightGray"/>
        </w:rPr>
        <w:t xml:space="preserve"> hlásenia uvedené v </w:t>
      </w:r>
      <w:hyperlink r:id="rId7" w:history="1">
        <w:r w:rsidRPr="00DB38D7">
          <w:rPr>
            <w:color w:val="0000FF"/>
            <w:highlight w:val="lightGray"/>
          </w:rPr>
          <w:t>Prílohe V</w:t>
        </w:r>
      </w:hyperlink>
      <w:r w:rsidRPr="00DF72AC">
        <w:t>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Styl2"/>
        <w:spacing w:after="0"/>
      </w:pPr>
      <w:r w:rsidRPr="00732313">
        <w:t>Predávkovanie</w:t>
      </w:r>
    </w:p>
    <w:p w:rsidR="00AE0CBE" w:rsidRDefault="00AE0CBE">
      <w:pPr>
        <w:pStyle w:val="Styl2"/>
        <w:numPr>
          <w:ilvl w:val="0"/>
          <w:numId w:val="0"/>
        </w:numPr>
        <w:spacing w:after="0"/>
      </w:pPr>
    </w:p>
    <w:p w:rsidR="00AE0CBE" w:rsidRDefault="00FD04A3">
      <w:pPr>
        <w:pStyle w:val="Normlndobloku"/>
        <w:spacing w:after="0"/>
      </w:pPr>
      <w:r w:rsidRPr="00732313">
        <w:t>Nie sú známe dostatočné údaje týkajúce sa predávkovania. Po požití lieku v krátkom čase je potrebné žalúdok vyprázdniť vracaním alebo urobiť výplach žalúdka. Pacienti sa musia starostlivo sledovať a</w:t>
      </w:r>
      <w:r w:rsidR="00ED7065">
        <w:t> </w:t>
      </w:r>
      <w:r w:rsidRPr="00732313">
        <w:t>liečba musí byť symptomatická a podporná. Zabezpečí sa adekvátna hydratácia.</w:t>
      </w:r>
    </w:p>
    <w:p w:rsidR="00AE0CBE" w:rsidRDefault="00AE0CBE">
      <w:pPr>
        <w:pStyle w:val="Normlndobloku"/>
        <w:spacing w:after="0"/>
      </w:pPr>
    </w:p>
    <w:p w:rsidR="00AE0CBE" w:rsidRDefault="00AE0CBE">
      <w:pPr>
        <w:pStyle w:val="Normlndobloku"/>
        <w:spacing w:after="0"/>
      </w:pPr>
    </w:p>
    <w:p w:rsidR="00AE0CBE" w:rsidRDefault="00FD04A3">
      <w:pPr>
        <w:pStyle w:val="Styl10"/>
        <w:spacing w:before="0" w:after="0"/>
      </w:pPr>
      <w:r w:rsidRPr="00732313">
        <w:lastRenderedPageBreak/>
        <w:t>Farmakologické vlastnosti</w:t>
      </w:r>
    </w:p>
    <w:p w:rsidR="00AE0CBE" w:rsidRDefault="00AE0CBE">
      <w:pPr>
        <w:pStyle w:val="Styl10"/>
        <w:numPr>
          <w:ilvl w:val="0"/>
          <w:numId w:val="0"/>
        </w:numPr>
        <w:spacing w:before="0" w:after="0"/>
      </w:pPr>
    </w:p>
    <w:p w:rsidR="00AE0CBE" w:rsidRDefault="00FD04A3">
      <w:pPr>
        <w:pStyle w:val="Styl2"/>
        <w:spacing w:after="0"/>
      </w:pPr>
      <w:proofErr w:type="spellStart"/>
      <w:r w:rsidRPr="00732313">
        <w:t>Farmakodynamické</w:t>
      </w:r>
      <w:proofErr w:type="spellEnd"/>
      <w:r w:rsidRPr="00732313">
        <w:t xml:space="preserve"> vlastnosti</w:t>
      </w:r>
    </w:p>
    <w:p w:rsidR="00AE0CBE" w:rsidRDefault="00FD04A3">
      <w:pPr>
        <w:pStyle w:val="Normlndobloku"/>
        <w:spacing w:after="0"/>
      </w:pPr>
      <w:proofErr w:type="spellStart"/>
      <w:r w:rsidRPr="007C407D">
        <w:t>Farmakoterapeutická</w:t>
      </w:r>
      <w:proofErr w:type="spellEnd"/>
      <w:r w:rsidRPr="007C407D">
        <w:t xml:space="preserve"> skupina</w:t>
      </w:r>
      <w:r w:rsidR="00F64A65" w:rsidRPr="00F64A65">
        <w:t>:</w:t>
      </w:r>
      <w:r w:rsidRPr="007C407D">
        <w:t xml:space="preserve"> </w:t>
      </w:r>
      <w:r w:rsidR="008A2B02">
        <w:t xml:space="preserve">antibiotiká na systémové použitie, </w:t>
      </w:r>
      <w:proofErr w:type="spellStart"/>
      <w:r w:rsidR="008A2B02">
        <w:t>fluórchinolóny</w:t>
      </w:r>
      <w:proofErr w:type="spellEnd"/>
    </w:p>
    <w:p w:rsidR="00AE0CBE" w:rsidRDefault="00FD04A3">
      <w:pPr>
        <w:pStyle w:val="Normlndobloku"/>
        <w:spacing w:after="0"/>
      </w:pPr>
      <w:r w:rsidRPr="007C407D">
        <w:t>ATC kód</w:t>
      </w:r>
      <w:r w:rsidR="00F64A65" w:rsidRPr="00F64A65">
        <w:t>:</w:t>
      </w:r>
      <w:r w:rsidRPr="007C407D">
        <w:t xml:space="preserve"> J01MA06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proofErr w:type="spellStart"/>
      <w:r w:rsidRPr="00732313">
        <w:t>Norfloxacín</w:t>
      </w:r>
      <w:proofErr w:type="spellEnd"/>
      <w:r w:rsidRPr="00732313">
        <w:t xml:space="preserve"> je baktericídne antib</w:t>
      </w:r>
      <w:r w:rsidR="00346642">
        <w:t>iotikum</w:t>
      </w:r>
      <w:r w:rsidRPr="00732313">
        <w:t xml:space="preserve"> močových ciest a</w:t>
      </w:r>
      <w:r w:rsidR="008A2B02">
        <w:t> </w:t>
      </w:r>
      <w:r w:rsidRPr="00732313">
        <w:t xml:space="preserve">účinkuje inhibíciou syntézy bakteriálnej </w:t>
      </w:r>
      <w:proofErr w:type="spellStart"/>
      <w:r w:rsidRPr="00732313">
        <w:t>deoxyribonukleovej</w:t>
      </w:r>
      <w:proofErr w:type="spellEnd"/>
      <w:r w:rsidRPr="00732313">
        <w:t xml:space="preserve"> kyseliny (DNA). Štúdie na </w:t>
      </w:r>
      <w:r w:rsidR="009313DF" w:rsidRPr="00346642">
        <w:rPr>
          <w:i/>
        </w:rPr>
        <w:t xml:space="preserve">E. </w:t>
      </w:r>
      <w:proofErr w:type="spellStart"/>
      <w:r w:rsidR="009313DF" w:rsidRPr="00346642">
        <w:rPr>
          <w:i/>
        </w:rPr>
        <w:t>coli</w:t>
      </w:r>
      <w:proofErr w:type="spellEnd"/>
      <w:r w:rsidRPr="00732313">
        <w:t xml:space="preserve"> ukázali, že </w:t>
      </w:r>
      <w:proofErr w:type="spellStart"/>
      <w:r w:rsidRPr="00732313">
        <w:t>norfloxacín</w:t>
      </w:r>
      <w:proofErr w:type="spellEnd"/>
      <w:r w:rsidRPr="00732313">
        <w:t xml:space="preserve"> </w:t>
      </w:r>
      <w:proofErr w:type="spellStart"/>
      <w:r w:rsidRPr="00732313">
        <w:t>inhibuje</w:t>
      </w:r>
      <w:proofErr w:type="spellEnd"/>
      <w:r w:rsidRPr="00732313">
        <w:t xml:space="preserve"> na ATP závislú DNA stáčaciu reakciu, ktorá je </w:t>
      </w:r>
      <w:proofErr w:type="spellStart"/>
      <w:r w:rsidRPr="00732313">
        <w:t>katalyzovaná</w:t>
      </w:r>
      <w:proofErr w:type="spellEnd"/>
      <w:r w:rsidRPr="00732313">
        <w:t xml:space="preserve"> DNA </w:t>
      </w:r>
      <w:proofErr w:type="spellStart"/>
      <w:r w:rsidRPr="00732313">
        <w:t>gyrázou</w:t>
      </w:r>
      <w:proofErr w:type="spellEnd"/>
      <w:r w:rsidRPr="00732313">
        <w:t xml:space="preserve">, </w:t>
      </w:r>
      <w:proofErr w:type="spellStart"/>
      <w:r w:rsidRPr="00732313">
        <w:t>inhibuje</w:t>
      </w:r>
      <w:proofErr w:type="spellEnd"/>
      <w:r w:rsidRPr="00732313">
        <w:t xml:space="preserve"> obnovu dvojvláknovej špirálovej DNA a</w:t>
      </w:r>
      <w:r w:rsidR="008A2B02">
        <w:t> </w:t>
      </w:r>
      <w:r w:rsidRPr="00732313">
        <w:t>podporuje deštrukciu oboch vlákien DNA.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proofErr w:type="spellStart"/>
      <w:r w:rsidRPr="00732313">
        <w:t>Norfloxacín</w:t>
      </w:r>
      <w:proofErr w:type="spellEnd"/>
      <w:r w:rsidRPr="00732313">
        <w:t xml:space="preserve"> má široké spektrum </w:t>
      </w:r>
      <w:proofErr w:type="spellStart"/>
      <w:r w:rsidRPr="00732313">
        <w:t>antimikrobiálnej</w:t>
      </w:r>
      <w:proofErr w:type="spellEnd"/>
      <w:r w:rsidRPr="00732313">
        <w:t xml:space="preserve"> aktivity voči </w:t>
      </w:r>
      <w:proofErr w:type="spellStart"/>
      <w:r w:rsidRPr="00732313">
        <w:t>grampozitívnym</w:t>
      </w:r>
      <w:proofErr w:type="spellEnd"/>
      <w:r w:rsidRPr="00732313">
        <w:t xml:space="preserve"> a</w:t>
      </w:r>
      <w:r w:rsidR="008A2B02">
        <w:t> </w:t>
      </w:r>
      <w:proofErr w:type="spellStart"/>
      <w:r w:rsidRPr="00732313">
        <w:t>gramnegatívnym</w:t>
      </w:r>
      <w:proofErr w:type="spellEnd"/>
      <w:r w:rsidRPr="00732313">
        <w:t xml:space="preserve"> mikroorganizmom. Aktivita </w:t>
      </w:r>
      <w:r w:rsidR="009313DF" w:rsidRPr="00346642">
        <w:rPr>
          <w:i/>
        </w:rPr>
        <w:t xml:space="preserve">in </w:t>
      </w:r>
      <w:proofErr w:type="spellStart"/>
      <w:r w:rsidR="009313DF" w:rsidRPr="00346642">
        <w:rPr>
          <w:i/>
        </w:rPr>
        <w:t>vivo</w:t>
      </w:r>
      <w:proofErr w:type="spellEnd"/>
      <w:r w:rsidRPr="00732313">
        <w:t xml:space="preserve"> je účinná proti nasledujúcim </w:t>
      </w:r>
      <w:proofErr w:type="spellStart"/>
      <w:r w:rsidRPr="00732313">
        <w:t>gramnegatívnym</w:t>
      </w:r>
      <w:proofErr w:type="spellEnd"/>
      <w:r w:rsidRPr="00732313">
        <w:t xml:space="preserve"> mikroorganizmom:</w:t>
      </w:r>
    </w:p>
    <w:p w:rsidR="00AE0CBE" w:rsidRDefault="00F64A65">
      <w:pPr>
        <w:pStyle w:val="Normlndobloku"/>
        <w:spacing w:after="0"/>
      </w:pPr>
      <w:proofErr w:type="spellStart"/>
      <w:r w:rsidRPr="00F64A65">
        <w:rPr>
          <w:i/>
        </w:rPr>
        <w:t>Alcaligenes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sp</w:t>
      </w:r>
      <w:proofErr w:type="spellEnd"/>
      <w:r w:rsidRPr="00F64A65">
        <w:rPr>
          <w:i/>
        </w:rPr>
        <w:t xml:space="preserve">., </w:t>
      </w:r>
      <w:proofErr w:type="spellStart"/>
      <w:r w:rsidRPr="00F64A65">
        <w:rPr>
          <w:i/>
        </w:rPr>
        <w:t>Citrobacter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sp</w:t>
      </w:r>
      <w:proofErr w:type="spellEnd"/>
      <w:r w:rsidRPr="00F64A65">
        <w:rPr>
          <w:i/>
        </w:rPr>
        <w:t xml:space="preserve">., </w:t>
      </w:r>
      <w:proofErr w:type="spellStart"/>
      <w:r w:rsidRPr="00F64A65">
        <w:rPr>
          <w:i/>
        </w:rPr>
        <w:t>Citrobacter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diversus</w:t>
      </w:r>
      <w:proofErr w:type="spellEnd"/>
      <w:r w:rsidRPr="00F64A65">
        <w:rPr>
          <w:i/>
        </w:rPr>
        <w:t xml:space="preserve">, </w:t>
      </w:r>
      <w:proofErr w:type="spellStart"/>
      <w:r w:rsidRPr="00F64A65">
        <w:rPr>
          <w:i/>
        </w:rPr>
        <w:t>Citrobacter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freundii</w:t>
      </w:r>
      <w:proofErr w:type="spellEnd"/>
      <w:r w:rsidRPr="00F64A65">
        <w:rPr>
          <w:i/>
        </w:rPr>
        <w:t xml:space="preserve">, </w:t>
      </w:r>
      <w:proofErr w:type="spellStart"/>
      <w:r w:rsidRPr="00F64A65">
        <w:rPr>
          <w:i/>
        </w:rPr>
        <w:t>Edwardsiella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tarda</w:t>
      </w:r>
      <w:proofErr w:type="spellEnd"/>
      <w:r w:rsidRPr="00F64A65">
        <w:rPr>
          <w:i/>
        </w:rPr>
        <w:t xml:space="preserve">, </w:t>
      </w:r>
      <w:proofErr w:type="spellStart"/>
      <w:r w:rsidRPr="00F64A65">
        <w:rPr>
          <w:i/>
        </w:rPr>
        <w:t>Enterobacter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cloacae</w:t>
      </w:r>
      <w:proofErr w:type="spellEnd"/>
      <w:r w:rsidRPr="00F64A65">
        <w:rPr>
          <w:i/>
        </w:rPr>
        <w:t xml:space="preserve">, </w:t>
      </w:r>
      <w:proofErr w:type="spellStart"/>
      <w:r w:rsidRPr="00F64A65">
        <w:rPr>
          <w:i/>
        </w:rPr>
        <w:t>Escherichia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coli</w:t>
      </w:r>
      <w:proofErr w:type="spellEnd"/>
      <w:r w:rsidRPr="00F64A65">
        <w:rPr>
          <w:i/>
        </w:rPr>
        <w:t xml:space="preserve">, </w:t>
      </w:r>
      <w:proofErr w:type="spellStart"/>
      <w:r w:rsidRPr="00F64A65">
        <w:rPr>
          <w:i/>
        </w:rPr>
        <w:t>Flavobacterium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sp</w:t>
      </w:r>
      <w:proofErr w:type="spellEnd"/>
      <w:r w:rsidRPr="00F64A65">
        <w:rPr>
          <w:i/>
        </w:rPr>
        <w:t xml:space="preserve">., </w:t>
      </w:r>
      <w:proofErr w:type="spellStart"/>
      <w:r w:rsidRPr="00F64A65">
        <w:rPr>
          <w:i/>
        </w:rPr>
        <w:t>Hafnia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sp</w:t>
      </w:r>
      <w:proofErr w:type="spellEnd"/>
      <w:r w:rsidRPr="00F64A65">
        <w:rPr>
          <w:i/>
        </w:rPr>
        <w:t xml:space="preserve">., </w:t>
      </w:r>
      <w:proofErr w:type="spellStart"/>
      <w:r w:rsidRPr="00F64A65">
        <w:rPr>
          <w:i/>
        </w:rPr>
        <w:t>Klebsiella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sp</w:t>
      </w:r>
      <w:proofErr w:type="spellEnd"/>
      <w:r w:rsidRPr="00F64A65">
        <w:rPr>
          <w:i/>
        </w:rPr>
        <w:t xml:space="preserve">., </w:t>
      </w:r>
      <w:proofErr w:type="spellStart"/>
      <w:r w:rsidRPr="00F64A65">
        <w:rPr>
          <w:i/>
        </w:rPr>
        <w:t>Klebsiella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oxytoca</w:t>
      </w:r>
      <w:proofErr w:type="spellEnd"/>
      <w:r w:rsidRPr="00F64A65">
        <w:rPr>
          <w:i/>
        </w:rPr>
        <w:t xml:space="preserve">, </w:t>
      </w:r>
      <w:proofErr w:type="spellStart"/>
      <w:r w:rsidRPr="00F64A65">
        <w:rPr>
          <w:i/>
        </w:rPr>
        <w:t>Klebsiella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pneumoniae</w:t>
      </w:r>
      <w:proofErr w:type="spellEnd"/>
      <w:r w:rsidRPr="00F64A65">
        <w:rPr>
          <w:i/>
        </w:rPr>
        <w:t xml:space="preserve">, </w:t>
      </w:r>
      <w:proofErr w:type="spellStart"/>
      <w:r w:rsidRPr="00F64A65">
        <w:rPr>
          <w:i/>
        </w:rPr>
        <w:t>Morganella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morganii</w:t>
      </w:r>
      <w:proofErr w:type="spellEnd"/>
      <w:r w:rsidRPr="00F64A65">
        <w:rPr>
          <w:i/>
        </w:rPr>
        <w:t xml:space="preserve">, </w:t>
      </w:r>
      <w:proofErr w:type="spellStart"/>
      <w:r w:rsidRPr="00F64A65">
        <w:rPr>
          <w:i/>
        </w:rPr>
        <w:t>indol</w:t>
      </w:r>
      <w:proofErr w:type="spellEnd"/>
      <w:r w:rsidRPr="00F64A65">
        <w:rPr>
          <w:i/>
        </w:rPr>
        <w:t xml:space="preserve"> pozitívny </w:t>
      </w:r>
      <w:proofErr w:type="spellStart"/>
      <w:r w:rsidRPr="00F64A65">
        <w:rPr>
          <w:i/>
        </w:rPr>
        <w:t>Proteus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sp</w:t>
      </w:r>
      <w:proofErr w:type="spellEnd"/>
      <w:r w:rsidRPr="00F64A65">
        <w:rPr>
          <w:i/>
        </w:rPr>
        <w:t xml:space="preserve">., </w:t>
      </w:r>
      <w:proofErr w:type="spellStart"/>
      <w:r w:rsidRPr="00F64A65">
        <w:rPr>
          <w:i/>
        </w:rPr>
        <w:t>Proteus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mirabilis</w:t>
      </w:r>
      <w:proofErr w:type="spellEnd"/>
      <w:r w:rsidRPr="00F64A65">
        <w:rPr>
          <w:i/>
        </w:rPr>
        <w:t xml:space="preserve">, </w:t>
      </w:r>
      <w:proofErr w:type="spellStart"/>
      <w:r w:rsidRPr="00F64A65">
        <w:rPr>
          <w:i/>
        </w:rPr>
        <w:t>Proteus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vulgaris</w:t>
      </w:r>
      <w:proofErr w:type="spellEnd"/>
      <w:r w:rsidRPr="00F64A65">
        <w:rPr>
          <w:i/>
        </w:rPr>
        <w:t xml:space="preserve">, </w:t>
      </w:r>
      <w:proofErr w:type="spellStart"/>
      <w:r w:rsidRPr="00F64A65">
        <w:rPr>
          <w:i/>
        </w:rPr>
        <w:t>Providencia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sp</w:t>
      </w:r>
      <w:proofErr w:type="spellEnd"/>
      <w:r w:rsidRPr="00F64A65">
        <w:rPr>
          <w:i/>
        </w:rPr>
        <w:t xml:space="preserve">., </w:t>
      </w:r>
      <w:proofErr w:type="spellStart"/>
      <w:r w:rsidRPr="00F64A65">
        <w:rPr>
          <w:i/>
        </w:rPr>
        <w:t>Providencia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rettgeri</w:t>
      </w:r>
      <w:proofErr w:type="spellEnd"/>
      <w:r w:rsidRPr="00F64A65">
        <w:rPr>
          <w:i/>
        </w:rPr>
        <w:t xml:space="preserve">, </w:t>
      </w:r>
      <w:proofErr w:type="spellStart"/>
      <w:r w:rsidRPr="00F64A65">
        <w:rPr>
          <w:i/>
        </w:rPr>
        <w:t>Providencia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stuartii</w:t>
      </w:r>
      <w:proofErr w:type="spellEnd"/>
      <w:r w:rsidRPr="00F64A65">
        <w:rPr>
          <w:i/>
        </w:rPr>
        <w:t xml:space="preserve">, </w:t>
      </w:r>
      <w:proofErr w:type="spellStart"/>
      <w:r w:rsidRPr="00F64A65">
        <w:rPr>
          <w:i/>
        </w:rPr>
        <w:t>Pseudomonas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aeruginosa</w:t>
      </w:r>
      <w:proofErr w:type="spellEnd"/>
      <w:r w:rsidRPr="00F64A65">
        <w:rPr>
          <w:i/>
        </w:rPr>
        <w:t xml:space="preserve">, </w:t>
      </w:r>
      <w:proofErr w:type="spellStart"/>
      <w:r w:rsidRPr="00F64A65">
        <w:rPr>
          <w:i/>
        </w:rPr>
        <w:t>Pseudomonas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cepacia</w:t>
      </w:r>
      <w:proofErr w:type="spellEnd"/>
      <w:r w:rsidRPr="00F64A65">
        <w:rPr>
          <w:i/>
        </w:rPr>
        <w:t xml:space="preserve">, </w:t>
      </w:r>
      <w:proofErr w:type="spellStart"/>
      <w:r w:rsidRPr="00F64A65">
        <w:rPr>
          <w:i/>
        </w:rPr>
        <w:t>Pseudomonas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fluorescens</w:t>
      </w:r>
      <w:proofErr w:type="spellEnd"/>
      <w:r w:rsidRPr="00F64A65">
        <w:rPr>
          <w:i/>
        </w:rPr>
        <w:t xml:space="preserve">, </w:t>
      </w:r>
      <w:proofErr w:type="spellStart"/>
      <w:r w:rsidRPr="00F64A65">
        <w:rPr>
          <w:i/>
        </w:rPr>
        <w:t>Serratia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sp</w:t>
      </w:r>
      <w:proofErr w:type="spellEnd"/>
      <w:r w:rsidRPr="00F64A65">
        <w:rPr>
          <w:i/>
        </w:rPr>
        <w:t xml:space="preserve">., </w:t>
      </w:r>
      <w:proofErr w:type="spellStart"/>
      <w:r w:rsidRPr="00F64A65">
        <w:rPr>
          <w:i/>
        </w:rPr>
        <w:t>Serratia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marcescens</w:t>
      </w:r>
      <w:proofErr w:type="spellEnd"/>
      <w:r w:rsidR="00FD04A3" w:rsidRPr="00732313">
        <w:t>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proofErr w:type="spellStart"/>
      <w:r w:rsidRPr="00732313">
        <w:t>Norfloxacín</w:t>
      </w:r>
      <w:proofErr w:type="spellEnd"/>
      <w:r w:rsidRPr="00732313">
        <w:t xml:space="preserve"> je tiež účinný voči nasledujúcim </w:t>
      </w:r>
      <w:proofErr w:type="spellStart"/>
      <w:r w:rsidRPr="00732313">
        <w:t>grampozitívnym</w:t>
      </w:r>
      <w:proofErr w:type="spellEnd"/>
      <w:r w:rsidRPr="00732313">
        <w:t xml:space="preserve"> mikroorganizmom:</w:t>
      </w:r>
    </w:p>
    <w:p w:rsidR="00AE0CBE" w:rsidRDefault="00F64A65">
      <w:pPr>
        <w:pStyle w:val="Normlndobloku"/>
        <w:spacing w:after="0"/>
      </w:pPr>
      <w:proofErr w:type="spellStart"/>
      <w:r w:rsidRPr="00F64A65">
        <w:rPr>
          <w:i/>
        </w:rPr>
        <w:t>Enterococci</w:t>
      </w:r>
      <w:proofErr w:type="spellEnd"/>
      <w:r w:rsidRPr="00F64A65">
        <w:rPr>
          <w:i/>
        </w:rPr>
        <w:t xml:space="preserve">, </w:t>
      </w:r>
      <w:proofErr w:type="spellStart"/>
      <w:r w:rsidRPr="00F64A65">
        <w:rPr>
          <w:i/>
        </w:rPr>
        <w:t>Staphylococcus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sp</w:t>
      </w:r>
      <w:proofErr w:type="spellEnd"/>
      <w:r w:rsidRPr="00F64A65">
        <w:rPr>
          <w:i/>
        </w:rPr>
        <w:t>.</w:t>
      </w:r>
      <w:r w:rsidR="00FD04A3" w:rsidRPr="00732313">
        <w:t xml:space="preserve">, </w:t>
      </w:r>
      <w:proofErr w:type="spellStart"/>
      <w:r w:rsidR="00FD04A3" w:rsidRPr="00732313">
        <w:t>koaguláza</w:t>
      </w:r>
      <w:proofErr w:type="spellEnd"/>
      <w:r w:rsidR="00FD04A3" w:rsidRPr="00732313">
        <w:t xml:space="preserve"> negatívny </w:t>
      </w:r>
      <w:proofErr w:type="spellStart"/>
      <w:r w:rsidRPr="00F64A65">
        <w:rPr>
          <w:i/>
        </w:rPr>
        <w:t>Staphylococcus</w:t>
      </w:r>
      <w:proofErr w:type="spellEnd"/>
      <w:r w:rsidRPr="00F64A65">
        <w:rPr>
          <w:i/>
        </w:rPr>
        <w:t xml:space="preserve">, </w:t>
      </w:r>
      <w:proofErr w:type="spellStart"/>
      <w:r w:rsidRPr="00F64A65">
        <w:rPr>
          <w:i/>
        </w:rPr>
        <w:t>Staphylococcus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aureus</w:t>
      </w:r>
      <w:proofErr w:type="spellEnd"/>
      <w:r w:rsidRPr="00F64A65">
        <w:rPr>
          <w:i/>
        </w:rPr>
        <w:t>,</w:t>
      </w:r>
      <w:r w:rsidR="00FD04A3" w:rsidRPr="00732313">
        <w:t xml:space="preserve"> vrátane producentov </w:t>
      </w:r>
      <w:proofErr w:type="spellStart"/>
      <w:r w:rsidR="00FD04A3" w:rsidRPr="00732313">
        <w:t>penicilinázy</w:t>
      </w:r>
      <w:proofErr w:type="spellEnd"/>
      <w:r w:rsidR="00FD04A3" w:rsidRPr="00732313">
        <w:t xml:space="preserve"> a</w:t>
      </w:r>
      <w:r w:rsidR="008A2B02">
        <w:t> </w:t>
      </w:r>
      <w:r w:rsidR="00FD04A3" w:rsidRPr="00732313">
        <w:t xml:space="preserve">väčšiny </w:t>
      </w:r>
      <w:proofErr w:type="spellStart"/>
      <w:r w:rsidR="00FD04A3" w:rsidRPr="00732313">
        <w:t>meticilín</w:t>
      </w:r>
      <w:proofErr w:type="spellEnd"/>
      <w:r w:rsidR="00FD04A3" w:rsidRPr="00732313">
        <w:t xml:space="preserve"> rezistentných kmeňov, </w:t>
      </w:r>
      <w:proofErr w:type="spellStart"/>
      <w:r w:rsidRPr="00F64A65">
        <w:rPr>
          <w:i/>
        </w:rPr>
        <w:t>Staphylococcus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epidermidis</w:t>
      </w:r>
      <w:proofErr w:type="spellEnd"/>
      <w:r w:rsidRPr="00F64A65">
        <w:rPr>
          <w:i/>
        </w:rPr>
        <w:t xml:space="preserve">, </w:t>
      </w:r>
      <w:proofErr w:type="spellStart"/>
      <w:r w:rsidRPr="00F64A65">
        <w:rPr>
          <w:i/>
        </w:rPr>
        <w:t>Staphylococcus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saphrophyticus</w:t>
      </w:r>
      <w:proofErr w:type="spellEnd"/>
      <w:r w:rsidRPr="00F64A65">
        <w:rPr>
          <w:i/>
        </w:rPr>
        <w:t>,</w:t>
      </w:r>
      <w:r w:rsidR="00FD04A3" w:rsidRPr="00732313">
        <w:t xml:space="preserve"> streptokoky skupiny B, streptokoky skupiny D vrátane </w:t>
      </w:r>
      <w:proofErr w:type="spellStart"/>
      <w:r w:rsidRPr="00F64A65">
        <w:rPr>
          <w:i/>
        </w:rPr>
        <w:t>Enterococcus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faecalis</w:t>
      </w:r>
      <w:proofErr w:type="spellEnd"/>
      <w:r w:rsidR="00FD04A3" w:rsidRPr="00732313">
        <w:t>, streptokoky skupiny G a</w:t>
      </w:r>
      <w:r w:rsidR="008A2B02">
        <w:t> </w:t>
      </w:r>
      <w:proofErr w:type="spellStart"/>
      <w:r w:rsidRPr="00F64A65">
        <w:rPr>
          <w:i/>
        </w:rPr>
        <w:t>Streptococcus</w:t>
      </w:r>
      <w:proofErr w:type="spellEnd"/>
      <w:r w:rsidRPr="00F64A65">
        <w:rPr>
          <w:i/>
        </w:rPr>
        <w:t xml:space="preserve"> </w:t>
      </w:r>
      <w:proofErr w:type="spellStart"/>
      <w:r w:rsidRPr="00F64A65">
        <w:rPr>
          <w:i/>
        </w:rPr>
        <w:t>viridans</w:t>
      </w:r>
      <w:proofErr w:type="spellEnd"/>
      <w:r w:rsidR="00FD04A3" w:rsidRPr="00732313">
        <w:t>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proofErr w:type="spellStart"/>
      <w:r w:rsidRPr="00732313">
        <w:t>Norfloxacín</w:t>
      </w:r>
      <w:proofErr w:type="spellEnd"/>
      <w:r w:rsidRPr="00732313">
        <w:t xml:space="preserve"> je tiež účinný voči </w:t>
      </w:r>
      <w:proofErr w:type="spellStart"/>
      <w:r w:rsidR="00F64A65" w:rsidRPr="00F64A65">
        <w:rPr>
          <w:i/>
        </w:rPr>
        <w:t>Bacillus</w:t>
      </w:r>
      <w:proofErr w:type="spellEnd"/>
      <w:r w:rsidR="00F64A65" w:rsidRPr="00F64A65">
        <w:rPr>
          <w:i/>
        </w:rPr>
        <w:t xml:space="preserve"> </w:t>
      </w:r>
      <w:proofErr w:type="spellStart"/>
      <w:r w:rsidR="00F64A65" w:rsidRPr="00F64A65">
        <w:rPr>
          <w:i/>
        </w:rPr>
        <w:t>cereus</w:t>
      </w:r>
      <w:proofErr w:type="spellEnd"/>
      <w:r w:rsidR="00F64A65" w:rsidRPr="00F64A65">
        <w:rPr>
          <w:i/>
        </w:rPr>
        <w:t xml:space="preserve">, </w:t>
      </w:r>
      <w:proofErr w:type="spellStart"/>
      <w:r w:rsidR="00F64A65" w:rsidRPr="00F64A65">
        <w:rPr>
          <w:i/>
        </w:rPr>
        <w:t>Haemophilus</w:t>
      </w:r>
      <w:proofErr w:type="spellEnd"/>
      <w:r w:rsidR="00F64A65" w:rsidRPr="00F64A65">
        <w:rPr>
          <w:i/>
        </w:rPr>
        <w:t xml:space="preserve"> </w:t>
      </w:r>
      <w:proofErr w:type="spellStart"/>
      <w:r w:rsidR="00F64A65" w:rsidRPr="00F64A65">
        <w:rPr>
          <w:i/>
        </w:rPr>
        <w:t>influenzae</w:t>
      </w:r>
      <w:proofErr w:type="spellEnd"/>
      <w:r w:rsidR="00F64A65" w:rsidRPr="00F64A65">
        <w:rPr>
          <w:i/>
        </w:rPr>
        <w:t xml:space="preserve">, </w:t>
      </w:r>
      <w:proofErr w:type="spellStart"/>
      <w:r w:rsidR="00F64A65" w:rsidRPr="00F64A65">
        <w:rPr>
          <w:i/>
        </w:rPr>
        <w:t>Neisseria</w:t>
      </w:r>
      <w:proofErr w:type="spellEnd"/>
      <w:r w:rsidR="00F64A65" w:rsidRPr="00F64A65">
        <w:rPr>
          <w:i/>
        </w:rPr>
        <w:t xml:space="preserve"> </w:t>
      </w:r>
      <w:proofErr w:type="spellStart"/>
      <w:r w:rsidR="00F64A65" w:rsidRPr="00F64A65">
        <w:rPr>
          <w:i/>
        </w:rPr>
        <w:t>gonorrhoea</w:t>
      </w:r>
      <w:proofErr w:type="spellEnd"/>
      <w:r w:rsidRPr="00732313">
        <w:t xml:space="preserve"> a</w:t>
      </w:r>
      <w:r w:rsidR="008A2B02">
        <w:t> </w:t>
      </w:r>
      <w:proofErr w:type="spellStart"/>
      <w:r w:rsidR="00F64A65" w:rsidRPr="00F64A65">
        <w:rPr>
          <w:i/>
        </w:rPr>
        <w:t>Ureaplasma</w:t>
      </w:r>
      <w:proofErr w:type="spellEnd"/>
      <w:r w:rsidR="00F64A65" w:rsidRPr="00F64A65">
        <w:rPr>
          <w:i/>
        </w:rPr>
        <w:t xml:space="preserve"> </w:t>
      </w:r>
      <w:proofErr w:type="spellStart"/>
      <w:r w:rsidR="00F64A65" w:rsidRPr="00F64A65">
        <w:rPr>
          <w:i/>
        </w:rPr>
        <w:t>urealyticum</w:t>
      </w:r>
      <w:proofErr w:type="spellEnd"/>
      <w:r w:rsidRPr="00732313">
        <w:t xml:space="preserve">. Nie je účinný proti anaeróbom vynímajúc </w:t>
      </w:r>
      <w:proofErr w:type="spellStart"/>
      <w:r w:rsidR="00F64A65" w:rsidRPr="00F64A65">
        <w:rPr>
          <w:i/>
        </w:rPr>
        <w:t>Clostridium</w:t>
      </w:r>
      <w:proofErr w:type="spellEnd"/>
      <w:r w:rsidR="00F64A65" w:rsidRPr="00F64A65">
        <w:rPr>
          <w:i/>
        </w:rPr>
        <w:t xml:space="preserve"> </w:t>
      </w:r>
      <w:proofErr w:type="spellStart"/>
      <w:r w:rsidR="00F64A65" w:rsidRPr="00F64A65">
        <w:rPr>
          <w:i/>
        </w:rPr>
        <w:t>perfringens</w:t>
      </w:r>
      <w:proofErr w:type="spellEnd"/>
      <w:r w:rsidRPr="00732313">
        <w:t>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r w:rsidRPr="00732313">
        <w:t xml:space="preserve">Skrížená rezistencia voči </w:t>
      </w:r>
      <w:proofErr w:type="spellStart"/>
      <w:r w:rsidRPr="00732313">
        <w:t>norfloxacínu</w:t>
      </w:r>
      <w:proofErr w:type="spellEnd"/>
      <w:r w:rsidRPr="00732313">
        <w:t xml:space="preserve"> a</w:t>
      </w:r>
      <w:r w:rsidR="008A2B02">
        <w:t> </w:t>
      </w:r>
      <w:r w:rsidRPr="00732313">
        <w:t>iným štrukturálne nepríbuzným antibiotikám neexistuje.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Styl2"/>
        <w:spacing w:after="0"/>
      </w:pPr>
      <w:proofErr w:type="spellStart"/>
      <w:r w:rsidRPr="00732313">
        <w:t>Farmakokinetické</w:t>
      </w:r>
      <w:proofErr w:type="spellEnd"/>
      <w:r w:rsidRPr="00732313">
        <w:t xml:space="preserve"> vlastnosti</w:t>
      </w:r>
    </w:p>
    <w:p w:rsidR="00AE0CBE" w:rsidRDefault="00AE0CBE">
      <w:pPr>
        <w:pStyle w:val="Styl3"/>
        <w:spacing w:after="0"/>
      </w:pPr>
    </w:p>
    <w:p w:rsidR="00AE0CBE" w:rsidRDefault="008A2B02">
      <w:pPr>
        <w:pStyle w:val="Styl3"/>
        <w:spacing w:after="0"/>
      </w:pPr>
      <w:proofErr w:type="spellStart"/>
      <w:r w:rsidRPr="008A2B02">
        <w:t>Absopcia</w:t>
      </w:r>
      <w:proofErr w:type="spellEnd"/>
    </w:p>
    <w:p w:rsidR="00AE0CBE" w:rsidRDefault="00FD04A3">
      <w:pPr>
        <w:pStyle w:val="Normlndobloku"/>
        <w:spacing w:after="0"/>
      </w:pPr>
      <w:r w:rsidRPr="00732313">
        <w:t xml:space="preserve">Absorpcia </w:t>
      </w:r>
      <w:proofErr w:type="spellStart"/>
      <w:r w:rsidRPr="00732313">
        <w:t>norfloxacínu</w:t>
      </w:r>
      <w:proofErr w:type="spellEnd"/>
      <w:r w:rsidRPr="00732313">
        <w:t xml:space="preserve"> po perorálnom podaní je rýchla, vrchol sérovej koncentrácie sa dosiahne po približne jednej hodine. Absorbovaných je 30</w:t>
      </w:r>
      <w:r w:rsidR="008A2B02">
        <w:t> </w:t>
      </w:r>
      <w:r w:rsidR="00C7045E">
        <w:t>–</w:t>
      </w:r>
      <w:r w:rsidR="008A2B02">
        <w:t> </w:t>
      </w:r>
      <w:r w:rsidRPr="00732313">
        <w:t>40</w:t>
      </w:r>
      <w:r w:rsidR="008A2B02">
        <w:t> </w:t>
      </w:r>
      <w:r w:rsidRPr="00732313">
        <w:t>% dávky, sérový polčas je približne štyri hodiny a</w:t>
      </w:r>
      <w:r w:rsidR="008A2B02">
        <w:t> </w:t>
      </w:r>
      <w:r w:rsidRPr="00732313">
        <w:t>závisí od dávky. Pri obličkovom zlyhaní je polčas predĺžený na približne osem hodín</w:t>
      </w:r>
      <w:r w:rsidR="001F434B">
        <w:t>.</w:t>
      </w:r>
    </w:p>
    <w:p w:rsidR="00AE0CBE" w:rsidRDefault="00AE0CBE">
      <w:pPr>
        <w:pStyle w:val="Normlndobloku"/>
        <w:spacing w:after="0"/>
      </w:pPr>
    </w:p>
    <w:p w:rsidR="00AE0CBE" w:rsidRDefault="001F434B">
      <w:pPr>
        <w:pStyle w:val="Styl3"/>
        <w:spacing w:after="0"/>
      </w:pPr>
      <w:r>
        <w:t>Distribúcia</w:t>
      </w:r>
    </w:p>
    <w:p w:rsidR="00AE0CBE" w:rsidRDefault="001F434B">
      <w:pPr>
        <w:pStyle w:val="Normlndobloku"/>
        <w:spacing w:after="0"/>
      </w:pPr>
      <w:proofErr w:type="spellStart"/>
      <w:r w:rsidRPr="00732313">
        <w:t>Norfloxacín</w:t>
      </w:r>
      <w:proofErr w:type="spellEnd"/>
      <w:r w:rsidRPr="00732313">
        <w:t xml:space="preserve"> preniká do obličkového parenchýmu, prostaty, </w:t>
      </w:r>
      <w:proofErr w:type="spellStart"/>
      <w:r w:rsidRPr="00732313">
        <w:t>testes</w:t>
      </w:r>
      <w:proofErr w:type="spellEnd"/>
      <w:r w:rsidRPr="00732313">
        <w:t>, maternice, krčku a</w:t>
      </w:r>
      <w:r>
        <w:t> </w:t>
      </w:r>
      <w:r w:rsidRPr="00732313">
        <w:t>žlče.</w:t>
      </w:r>
      <w:r>
        <w:t xml:space="preserve"> </w:t>
      </w:r>
      <w:r w:rsidRPr="00732313">
        <w:t>Väzba na bielkoviny je menej ako 15</w:t>
      </w:r>
      <w:r>
        <w:t> </w:t>
      </w:r>
      <w:r w:rsidRPr="00732313">
        <w:t>%.</w:t>
      </w:r>
    </w:p>
    <w:p w:rsidR="00AE0CBE" w:rsidRDefault="00AE0CBE">
      <w:pPr>
        <w:pStyle w:val="Normlndobloku"/>
        <w:spacing w:after="0"/>
      </w:pPr>
    </w:p>
    <w:p w:rsidR="00AE0CBE" w:rsidRDefault="008A2B02">
      <w:pPr>
        <w:pStyle w:val="Styl3"/>
        <w:spacing w:after="0"/>
      </w:pPr>
      <w:proofErr w:type="spellStart"/>
      <w:r>
        <w:t>Biotransformácia</w:t>
      </w:r>
      <w:proofErr w:type="spellEnd"/>
    </w:p>
    <w:p w:rsidR="00AE0CBE" w:rsidRDefault="00FD04A3">
      <w:pPr>
        <w:pStyle w:val="Normlndobloku"/>
        <w:spacing w:after="0"/>
      </w:pPr>
      <w:proofErr w:type="spellStart"/>
      <w:r w:rsidRPr="00732313">
        <w:t>Norfloxacín</w:t>
      </w:r>
      <w:proofErr w:type="spellEnd"/>
      <w:r w:rsidRPr="00732313">
        <w:t xml:space="preserve"> je metabolizovaný a</w:t>
      </w:r>
      <w:r w:rsidR="008A2B02">
        <w:t> </w:t>
      </w:r>
      <w:r w:rsidRPr="00732313">
        <w:t>vylučovaný žlčovou a</w:t>
      </w:r>
      <w:r w:rsidR="008A2B02">
        <w:t> </w:t>
      </w:r>
      <w:r w:rsidRPr="00732313">
        <w:t>obličkovou exkréciou.</w:t>
      </w:r>
    </w:p>
    <w:p w:rsidR="00AE0CBE" w:rsidRDefault="00AE0CBE">
      <w:pPr>
        <w:pStyle w:val="Normlndobloku"/>
        <w:spacing w:after="0"/>
      </w:pPr>
    </w:p>
    <w:p w:rsidR="00AE0CBE" w:rsidRDefault="001F434B">
      <w:pPr>
        <w:pStyle w:val="Styl3"/>
        <w:spacing w:after="0"/>
      </w:pPr>
      <w:r>
        <w:t>Eliminácia</w:t>
      </w:r>
    </w:p>
    <w:p w:rsidR="00AE0CBE" w:rsidRDefault="00FD04A3">
      <w:pPr>
        <w:pStyle w:val="Normlndobloku"/>
        <w:spacing w:after="0"/>
      </w:pPr>
      <w:r w:rsidRPr="00732313">
        <w:t xml:space="preserve">Obličkové vylučovanie je oboma spôsobmi </w:t>
      </w:r>
      <w:proofErr w:type="spellStart"/>
      <w:r w:rsidRPr="00732313">
        <w:t>tubulárnou</w:t>
      </w:r>
      <w:proofErr w:type="spellEnd"/>
      <w:r w:rsidRPr="00732313">
        <w:t xml:space="preserve"> sekréciou a</w:t>
      </w:r>
      <w:r w:rsidR="008A2B02">
        <w:t> </w:t>
      </w:r>
      <w:proofErr w:type="spellStart"/>
      <w:r w:rsidRPr="00732313">
        <w:t>glomerulárnou</w:t>
      </w:r>
      <w:proofErr w:type="spellEnd"/>
      <w:r w:rsidRPr="00732313">
        <w:t xml:space="preserve"> filtráciou. Obličkové vylučovanie </w:t>
      </w:r>
      <w:proofErr w:type="spellStart"/>
      <w:r w:rsidRPr="00732313">
        <w:t>norfloxacínu</w:t>
      </w:r>
      <w:proofErr w:type="spellEnd"/>
      <w:r w:rsidRPr="00732313">
        <w:t xml:space="preserve"> a</w:t>
      </w:r>
      <w:r w:rsidR="008A2B02">
        <w:t> </w:t>
      </w:r>
      <w:r w:rsidRPr="00732313">
        <w:t xml:space="preserve">jeho 6 </w:t>
      </w:r>
      <w:proofErr w:type="spellStart"/>
      <w:r w:rsidRPr="00732313">
        <w:t>metabolitov</w:t>
      </w:r>
      <w:proofErr w:type="spellEnd"/>
      <w:r w:rsidRPr="00732313">
        <w:t xml:space="preserve"> s</w:t>
      </w:r>
      <w:r w:rsidR="008A2B02">
        <w:t> </w:t>
      </w:r>
      <w:r w:rsidRPr="00732313">
        <w:t xml:space="preserve">nižšou </w:t>
      </w:r>
      <w:proofErr w:type="spellStart"/>
      <w:r w:rsidRPr="00732313">
        <w:t>antimikrobiálnou</w:t>
      </w:r>
      <w:proofErr w:type="spellEnd"/>
      <w:r w:rsidRPr="00732313">
        <w:t xml:space="preserve"> aktivitou je viac ako 70</w:t>
      </w:r>
      <w:r w:rsidR="008A2B02">
        <w:t> </w:t>
      </w:r>
      <w:r w:rsidRPr="00732313">
        <w:t>%. Hodnota pH moču neovplyvňuje aktivitu.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Styl2"/>
        <w:spacing w:after="0"/>
      </w:pPr>
      <w:r w:rsidRPr="00732313">
        <w:t>Predklinické údaje o bezpečnosti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r w:rsidRPr="00732313">
        <w:t xml:space="preserve">Tri až päť mesiacov staré psy, ktoré dostávali </w:t>
      </w:r>
      <w:proofErr w:type="spellStart"/>
      <w:r w:rsidRPr="00732313">
        <w:t>norfloxacín</w:t>
      </w:r>
      <w:proofErr w:type="spellEnd"/>
      <w:r w:rsidRPr="00732313">
        <w:t xml:space="preserve"> v</w:t>
      </w:r>
      <w:r w:rsidR="00BD79C5">
        <w:t> </w:t>
      </w:r>
      <w:r w:rsidRPr="00732313">
        <w:t xml:space="preserve">dávke dosahujúcej </w:t>
      </w:r>
      <w:proofErr w:type="spellStart"/>
      <w:r w:rsidRPr="00732313">
        <w:t>štvor</w:t>
      </w:r>
      <w:proofErr w:type="spellEnd"/>
      <w:r w:rsidRPr="00732313">
        <w:t>- a</w:t>
      </w:r>
      <w:r w:rsidR="00BD79C5">
        <w:t> </w:t>
      </w:r>
      <w:r w:rsidRPr="00732313">
        <w:t>viacnásobok ľudských hladín trpeli na vytvorenie lézií na chrupkách nosných kĺbov. Psy staršie ako 6 mesiacov neboli takto postihnutí.</w:t>
      </w:r>
    </w:p>
    <w:p w:rsidR="00AE0CBE" w:rsidRDefault="00FD04A3">
      <w:pPr>
        <w:pStyle w:val="Normlndobloku"/>
        <w:spacing w:after="0"/>
      </w:pPr>
      <w:r w:rsidRPr="00732313">
        <w:lastRenderedPageBreak/>
        <w:t xml:space="preserve">Pri </w:t>
      </w:r>
      <w:proofErr w:type="spellStart"/>
      <w:r w:rsidRPr="00732313">
        <w:t>teratogenných</w:t>
      </w:r>
      <w:proofErr w:type="spellEnd"/>
      <w:r w:rsidRPr="00732313">
        <w:t xml:space="preserve"> štúdiách na myšiach a</w:t>
      </w:r>
      <w:r w:rsidR="00BD79C5">
        <w:t> </w:t>
      </w:r>
      <w:r w:rsidRPr="00732313">
        <w:t>potkanoch a</w:t>
      </w:r>
      <w:r w:rsidR="00BD79C5">
        <w:t> </w:t>
      </w:r>
      <w:r w:rsidRPr="00732313">
        <w:t xml:space="preserve">fertilných štúdiách na myšiach sa nepozoroval </w:t>
      </w:r>
      <w:proofErr w:type="spellStart"/>
      <w:r w:rsidRPr="00732313">
        <w:t>teratogénny</w:t>
      </w:r>
      <w:proofErr w:type="spellEnd"/>
      <w:r w:rsidRPr="00732313">
        <w:t xml:space="preserve"> alebo </w:t>
      </w:r>
      <w:proofErr w:type="spellStart"/>
      <w:r w:rsidRPr="00732313">
        <w:t>fetotoxický</w:t>
      </w:r>
      <w:proofErr w:type="spellEnd"/>
      <w:r w:rsidRPr="00732313">
        <w:t xml:space="preserve"> vplyv, pri používaní dávky 30 až 50 násobne prevyšujúcej zvyčajné dávky u</w:t>
      </w:r>
      <w:r w:rsidR="00BD79C5">
        <w:t> </w:t>
      </w:r>
      <w:r w:rsidRPr="00732313">
        <w:t>ľudí. U</w:t>
      </w:r>
      <w:r w:rsidR="00BD79C5">
        <w:t> </w:t>
      </w:r>
      <w:r w:rsidRPr="00732313">
        <w:t xml:space="preserve">králikov pri dávke 100 mg/kg/deň sa pozorovala po toxicite na matku sekundárna </w:t>
      </w:r>
      <w:proofErr w:type="spellStart"/>
      <w:r w:rsidRPr="00732313">
        <w:t>embryotoxicita</w:t>
      </w:r>
      <w:proofErr w:type="spellEnd"/>
      <w:r w:rsidRPr="00732313">
        <w:t xml:space="preserve">. Je to nešpecifický </w:t>
      </w:r>
      <w:proofErr w:type="spellStart"/>
      <w:r w:rsidRPr="00732313">
        <w:t>antimikrobiálny</w:t>
      </w:r>
      <w:proofErr w:type="spellEnd"/>
      <w:r w:rsidRPr="00732313">
        <w:t xml:space="preserve"> efekt u</w:t>
      </w:r>
      <w:r w:rsidR="00BD79C5">
        <w:t> </w:t>
      </w:r>
      <w:r w:rsidRPr="00732313">
        <w:t>králikov spôsobený senzitivitou na zmeny črevnej flóry.</w:t>
      </w:r>
    </w:p>
    <w:p w:rsidR="00AE0CBE" w:rsidRDefault="00FD04A3">
      <w:pPr>
        <w:pStyle w:val="Normlndobloku"/>
        <w:spacing w:after="0"/>
      </w:pPr>
      <w:r w:rsidRPr="00732313">
        <w:t>U</w:t>
      </w:r>
      <w:r w:rsidR="00BD79C5">
        <w:t> </w:t>
      </w:r>
      <w:r w:rsidRPr="00732313">
        <w:t xml:space="preserve">opíc, ktoré dostávali niekoľkokrát ľudskú dávku, sa nepozorovala </w:t>
      </w:r>
      <w:proofErr w:type="spellStart"/>
      <w:r w:rsidRPr="00732313">
        <w:t>teratogenita</w:t>
      </w:r>
      <w:proofErr w:type="spellEnd"/>
      <w:r w:rsidRPr="00732313">
        <w:t xml:space="preserve">, ale zvýšená </w:t>
      </w:r>
      <w:proofErr w:type="spellStart"/>
      <w:r w:rsidRPr="00732313">
        <w:t>potratovosť</w:t>
      </w:r>
      <w:proofErr w:type="spellEnd"/>
      <w:r w:rsidRPr="00732313">
        <w:t>. Význam týchto štúdií na zvieratách pre človeka nie je známy.</w:t>
      </w:r>
    </w:p>
    <w:p w:rsidR="00AE0CBE" w:rsidRDefault="00AE0CBE">
      <w:pPr>
        <w:pStyle w:val="Normlndobloku"/>
        <w:spacing w:after="0"/>
      </w:pPr>
    </w:p>
    <w:p w:rsidR="00AE0CBE" w:rsidRDefault="00AE0CBE">
      <w:pPr>
        <w:pStyle w:val="Normlndobloku"/>
        <w:spacing w:after="0"/>
      </w:pPr>
    </w:p>
    <w:p w:rsidR="00AE0CBE" w:rsidRDefault="00FD04A3">
      <w:pPr>
        <w:pStyle w:val="Styl10"/>
        <w:spacing w:before="0" w:after="0"/>
      </w:pPr>
      <w:r w:rsidRPr="00732313">
        <w:t>Farmaceutické informácie</w:t>
      </w:r>
    </w:p>
    <w:p w:rsidR="00AE0CBE" w:rsidRDefault="00AE0CBE">
      <w:pPr>
        <w:pStyle w:val="Styl10"/>
        <w:numPr>
          <w:ilvl w:val="0"/>
          <w:numId w:val="0"/>
        </w:numPr>
        <w:spacing w:before="0" w:after="0"/>
        <w:ind w:left="360" w:hanging="360"/>
      </w:pPr>
    </w:p>
    <w:p w:rsidR="00AE0CBE" w:rsidRDefault="00FD04A3">
      <w:pPr>
        <w:pStyle w:val="Styl2"/>
        <w:spacing w:after="0"/>
      </w:pPr>
      <w:r w:rsidRPr="00732313">
        <w:t>Zoznam pomocných látok</w:t>
      </w:r>
    </w:p>
    <w:p w:rsidR="0071681A" w:rsidRDefault="0071681A" w:rsidP="00335201">
      <w:pPr>
        <w:pStyle w:val="Normlndobloku"/>
        <w:rPr>
          <w:u w:val="single"/>
        </w:rPr>
      </w:pPr>
    </w:p>
    <w:p w:rsidR="00AE0CBE" w:rsidRDefault="00F64A65">
      <w:pPr>
        <w:pStyle w:val="Normlndobloku"/>
        <w:spacing w:after="0"/>
        <w:rPr>
          <w:u w:val="single"/>
        </w:rPr>
      </w:pPr>
      <w:r w:rsidRPr="00F64A65">
        <w:rPr>
          <w:u w:val="single"/>
        </w:rPr>
        <w:t>Jadro tablety</w:t>
      </w:r>
    </w:p>
    <w:p w:rsidR="00AE0CBE" w:rsidRDefault="00175E3A">
      <w:pPr>
        <w:pStyle w:val="Normlndobloku"/>
        <w:spacing w:after="0"/>
      </w:pPr>
      <w:r>
        <w:t>s</w:t>
      </w:r>
      <w:r w:rsidR="003475A8">
        <w:t xml:space="preserve">odná soľ </w:t>
      </w:r>
      <w:proofErr w:type="spellStart"/>
      <w:r w:rsidR="003475A8">
        <w:t>kroskarmelózy</w:t>
      </w:r>
      <w:proofErr w:type="spellEnd"/>
    </w:p>
    <w:p w:rsidR="00AE0CBE" w:rsidRDefault="00175E3A">
      <w:pPr>
        <w:pStyle w:val="Normlndobloku"/>
        <w:spacing w:after="0"/>
      </w:pPr>
      <w:proofErr w:type="spellStart"/>
      <w:r>
        <w:t>p</w:t>
      </w:r>
      <w:r w:rsidR="003475A8">
        <w:t>ovidón</w:t>
      </w:r>
      <w:proofErr w:type="spellEnd"/>
    </w:p>
    <w:p w:rsidR="00AE0CBE" w:rsidRDefault="00175E3A">
      <w:pPr>
        <w:pStyle w:val="Normlndobloku"/>
        <w:spacing w:after="0"/>
      </w:pPr>
      <w:r>
        <w:t>m</w:t>
      </w:r>
      <w:r w:rsidR="003475A8">
        <w:t>ikrokryštalická celulóza</w:t>
      </w:r>
    </w:p>
    <w:p w:rsidR="00AE0CBE" w:rsidRDefault="00175E3A">
      <w:pPr>
        <w:pStyle w:val="Normlndobloku"/>
        <w:spacing w:after="0"/>
      </w:pPr>
      <w:proofErr w:type="spellStart"/>
      <w:r>
        <w:t>m</w:t>
      </w:r>
      <w:r w:rsidR="003475A8">
        <w:t>agnéziumstearát</w:t>
      </w:r>
      <w:proofErr w:type="spellEnd"/>
    </w:p>
    <w:p w:rsidR="00AE0CBE" w:rsidRDefault="00AE0CBE">
      <w:pPr>
        <w:pStyle w:val="Normlndobloku"/>
        <w:spacing w:after="0"/>
        <w:rPr>
          <w:u w:val="single"/>
        </w:rPr>
      </w:pPr>
    </w:p>
    <w:p w:rsidR="00AE0CBE" w:rsidRDefault="00324687">
      <w:pPr>
        <w:pStyle w:val="Normlndobloku"/>
        <w:spacing w:after="0"/>
        <w:rPr>
          <w:u w:val="single"/>
        </w:rPr>
      </w:pPr>
      <w:r>
        <w:rPr>
          <w:u w:val="single"/>
        </w:rPr>
        <w:t>Filmový obal tablety</w:t>
      </w:r>
    </w:p>
    <w:p w:rsidR="00AE0CBE" w:rsidRDefault="00175E3A">
      <w:pPr>
        <w:pStyle w:val="Normlndobloku"/>
        <w:spacing w:after="0"/>
      </w:pPr>
      <w:proofErr w:type="spellStart"/>
      <w:r>
        <w:t>h</w:t>
      </w:r>
      <w:r w:rsidR="003475A8" w:rsidRPr="00C7045E">
        <w:t>ypromelóza</w:t>
      </w:r>
      <w:proofErr w:type="spellEnd"/>
    </w:p>
    <w:p w:rsidR="00AE0CBE" w:rsidRDefault="00175E3A">
      <w:pPr>
        <w:pStyle w:val="Normlndobloku"/>
        <w:spacing w:after="0"/>
      </w:pPr>
      <w:r>
        <w:t>o</w:t>
      </w:r>
      <w:r w:rsidR="003475A8">
        <w:t xml:space="preserve">xid </w:t>
      </w:r>
      <w:proofErr w:type="spellStart"/>
      <w:r w:rsidR="003475A8">
        <w:t>titaničitý</w:t>
      </w:r>
      <w:proofErr w:type="spellEnd"/>
      <w:r w:rsidR="003475A8">
        <w:t xml:space="preserve"> </w:t>
      </w:r>
      <w:r w:rsidR="003475A8" w:rsidRPr="00732313">
        <w:t>(E</w:t>
      </w:r>
      <w:r w:rsidR="001C7920">
        <w:t> </w:t>
      </w:r>
      <w:r w:rsidR="003475A8" w:rsidRPr="00732313">
        <w:t>171)</w:t>
      </w:r>
    </w:p>
    <w:p w:rsidR="00AE0CBE" w:rsidRDefault="00175E3A">
      <w:pPr>
        <w:pStyle w:val="Normlndobloku"/>
        <w:spacing w:after="0"/>
      </w:pPr>
      <w:proofErr w:type="spellStart"/>
      <w:r>
        <w:t>m</w:t>
      </w:r>
      <w:r w:rsidR="003475A8">
        <w:t>akrogol</w:t>
      </w:r>
      <w:proofErr w:type="spellEnd"/>
      <w:r w:rsidR="003475A8">
        <w:t xml:space="preserve"> 400</w:t>
      </w:r>
    </w:p>
    <w:p w:rsidR="00C42324" w:rsidRDefault="00175E3A" w:rsidP="00C42324">
      <w:pPr>
        <w:shd w:val="clear" w:color="auto" w:fill="FFFFFF"/>
        <w:spacing w:before="15" w:line="240" w:lineRule="atLeas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ž</w:t>
      </w:r>
      <w:r w:rsidR="00C42324">
        <w:rPr>
          <w:color w:val="000000"/>
          <w:sz w:val="24"/>
          <w:szCs w:val="24"/>
        </w:rPr>
        <w:t>lť</w:t>
      </w:r>
      <w:proofErr w:type="spellEnd"/>
      <w:r w:rsidR="00C42324">
        <w:rPr>
          <w:color w:val="000000"/>
          <w:sz w:val="24"/>
          <w:szCs w:val="24"/>
        </w:rPr>
        <w:t xml:space="preserve"> chinolinová – hliníkový lak (E 104)</w:t>
      </w:r>
    </w:p>
    <w:p w:rsidR="00AE0CBE" w:rsidRDefault="00175E3A">
      <w:pPr>
        <w:pStyle w:val="Normlndobloku"/>
        <w:spacing w:after="0"/>
      </w:pPr>
      <w:proofErr w:type="spellStart"/>
      <w:r>
        <w:t>m</w:t>
      </w:r>
      <w:bookmarkStart w:id="0" w:name="_GoBack"/>
      <w:bookmarkEnd w:id="0"/>
      <w:r w:rsidR="003475A8">
        <w:t>akrogol</w:t>
      </w:r>
      <w:proofErr w:type="spellEnd"/>
      <w:r w:rsidR="003475A8">
        <w:t xml:space="preserve"> 6</w:t>
      </w:r>
      <w:r w:rsidR="0071681A">
        <w:t> </w:t>
      </w:r>
      <w:r w:rsidR="003475A8">
        <w:t>000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Styl2"/>
        <w:spacing w:after="0"/>
      </w:pPr>
      <w:r w:rsidRPr="00732313">
        <w:t>Inkompatibility</w:t>
      </w:r>
    </w:p>
    <w:p w:rsidR="00AE0CBE" w:rsidRDefault="00AE0CBE">
      <w:pPr>
        <w:pStyle w:val="Styl2"/>
        <w:numPr>
          <w:ilvl w:val="0"/>
          <w:numId w:val="0"/>
        </w:numPr>
        <w:spacing w:after="0"/>
      </w:pPr>
    </w:p>
    <w:p w:rsidR="00AE0CBE" w:rsidRDefault="00FD04A3">
      <w:pPr>
        <w:pStyle w:val="Normlndobloku"/>
        <w:spacing w:after="0"/>
      </w:pPr>
      <w:r w:rsidRPr="00732313">
        <w:t>N</w:t>
      </w:r>
      <w:r w:rsidR="0071681A">
        <w:t>eaplikovateľné</w:t>
      </w:r>
      <w:r w:rsidRPr="00732313">
        <w:t>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Styl2"/>
        <w:spacing w:after="0"/>
      </w:pPr>
      <w:r w:rsidRPr="00732313">
        <w:t>Čas použiteľnosti</w:t>
      </w:r>
    </w:p>
    <w:p w:rsidR="00AE0CBE" w:rsidRDefault="00AE0CBE">
      <w:pPr>
        <w:pStyle w:val="Styl2"/>
        <w:numPr>
          <w:ilvl w:val="0"/>
          <w:numId w:val="0"/>
        </w:numPr>
        <w:spacing w:after="0"/>
      </w:pPr>
    </w:p>
    <w:p w:rsidR="00AE0CBE" w:rsidRDefault="00FD04A3">
      <w:pPr>
        <w:pStyle w:val="Normlndobloku"/>
        <w:spacing w:after="0"/>
      </w:pPr>
      <w:r w:rsidRPr="00732313">
        <w:t>3 roky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Styl2"/>
        <w:spacing w:after="0"/>
      </w:pPr>
      <w:r w:rsidRPr="00732313">
        <w:t>Špeciálne upozornenia na uchovávanie</w:t>
      </w:r>
    </w:p>
    <w:p w:rsidR="00AE0CBE" w:rsidRDefault="00AE0CBE">
      <w:pPr>
        <w:pStyle w:val="Styl2"/>
        <w:numPr>
          <w:ilvl w:val="0"/>
          <w:numId w:val="0"/>
        </w:numPr>
        <w:spacing w:after="0"/>
      </w:pPr>
    </w:p>
    <w:p w:rsidR="00AE0CBE" w:rsidRDefault="00FD04A3">
      <w:pPr>
        <w:pStyle w:val="Normlndobloku"/>
        <w:spacing w:after="0"/>
      </w:pPr>
      <w:r w:rsidRPr="00732313">
        <w:t xml:space="preserve">Uchovávajte </w:t>
      </w:r>
      <w:r w:rsidR="00513D2E">
        <w:t>pri teplote do 25</w:t>
      </w:r>
      <w:r w:rsidR="001C7920">
        <w:t> </w:t>
      </w:r>
      <w:r w:rsidRPr="00732313">
        <w:t>°C v pôvodnom obale na ochranu pred svetlom a</w:t>
      </w:r>
      <w:r w:rsidR="0071681A">
        <w:t> </w:t>
      </w:r>
      <w:r w:rsidRPr="00732313">
        <w:t>vlhkosťou.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Styl2"/>
        <w:spacing w:after="0"/>
      </w:pPr>
      <w:r w:rsidRPr="00DB789E">
        <w:t>Druh obalu a obsah balenia</w:t>
      </w:r>
    </w:p>
    <w:p w:rsidR="00AE0CBE" w:rsidRDefault="00AE0CBE">
      <w:pPr>
        <w:pStyle w:val="Styl2"/>
        <w:numPr>
          <w:ilvl w:val="0"/>
          <w:numId w:val="0"/>
        </w:numPr>
        <w:spacing w:after="0"/>
      </w:pPr>
    </w:p>
    <w:p w:rsidR="00AE0CBE" w:rsidRDefault="00E56272">
      <w:pPr>
        <w:pStyle w:val="Styl3"/>
        <w:spacing w:after="0"/>
      </w:pPr>
      <w:r w:rsidRPr="00E56272">
        <w:t>Balenie</w:t>
      </w:r>
      <w:r w:rsidR="001D7A30" w:rsidRPr="00E56272">
        <w:t xml:space="preserve"> 14, 30 a</w:t>
      </w:r>
      <w:r w:rsidR="001C7920">
        <w:t> </w:t>
      </w:r>
      <w:r w:rsidR="001D7A30" w:rsidRPr="00E56272">
        <w:t>50 tabl</w:t>
      </w:r>
      <w:r w:rsidRPr="00E56272">
        <w:t>i</w:t>
      </w:r>
      <w:r w:rsidR="00F87EE4">
        <w:t>et</w:t>
      </w:r>
    </w:p>
    <w:p w:rsidR="00AE0CBE" w:rsidRDefault="00F87EE4">
      <w:pPr>
        <w:pStyle w:val="Normlndobloku"/>
        <w:spacing w:after="0"/>
      </w:pPr>
      <w:r>
        <w:t>Šedá fľaška</w:t>
      </w:r>
      <w:r w:rsidR="00E56272" w:rsidRPr="00E56272">
        <w:t xml:space="preserve"> z plastickej</w:t>
      </w:r>
      <w:r w:rsidR="00DC0EF8">
        <w:t xml:space="preserve"> hmoty </w:t>
      </w:r>
      <w:r w:rsidR="00E56272" w:rsidRPr="00E56272">
        <w:t>s</w:t>
      </w:r>
      <w:r w:rsidR="001C7920">
        <w:t> </w:t>
      </w:r>
      <w:r w:rsidR="00E56272" w:rsidRPr="00E56272">
        <w:t>bielym bezpečnostným uzáverom (PE)</w:t>
      </w:r>
    </w:p>
    <w:p w:rsidR="00AE0CBE" w:rsidRDefault="00AE0CBE">
      <w:pPr>
        <w:pStyle w:val="Normlndobloku"/>
        <w:spacing w:after="0"/>
      </w:pPr>
    </w:p>
    <w:p w:rsidR="00AE0CBE" w:rsidRDefault="00E56272">
      <w:pPr>
        <w:pStyle w:val="Styl3"/>
        <w:spacing w:after="0"/>
      </w:pPr>
      <w:r w:rsidRPr="00E56272">
        <w:t>Balenie</w:t>
      </w:r>
      <w:r w:rsidR="001D7A30" w:rsidRPr="00E56272">
        <w:t xml:space="preserve"> 100, 500 a</w:t>
      </w:r>
      <w:r w:rsidR="001C7920">
        <w:t> </w:t>
      </w:r>
      <w:r w:rsidR="001D7A30" w:rsidRPr="00E56272">
        <w:t>1000 tabl</w:t>
      </w:r>
      <w:r w:rsidRPr="00E56272">
        <w:t>i</w:t>
      </w:r>
      <w:r w:rsidR="00F87EE4">
        <w:t>et</w:t>
      </w:r>
    </w:p>
    <w:p w:rsidR="00AE0CBE" w:rsidRDefault="00F87EE4">
      <w:pPr>
        <w:pStyle w:val="Normlndobloku"/>
        <w:spacing w:after="0"/>
      </w:pPr>
      <w:r>
        <w:t>Šedá fľaška</w:t>
      </w:r>
      <w:r w:rsidR="00E56272" w:rsidRPr="00E56272">
        <w:t xml:space="preserve"> z</w:t>
      </w:r>
      <w:r w:rsidR="001C7920">
        <w:t> </w:t>
      </w:r>
      <w:r w:rsidR="00E56272" w:rsidRPr="00E56272">
        <w:t>plastickej</w:t>
      </w:r>
      <w:r w:rsidR="00DC0EF8">
        <w:t xml:space="preserve"> hmoty </w:t>
      </w:r>
      <w:r w:rsidR="00E56272" w:rsidRPr="00E56272">
        <w:t>s</w:t>
      </w:r>
      <w:r w:rsidR="001C7920">
        <w:t> </w:t>
      </w:r>
      <w:r w:rsidR="00E56272" w:rsidRPr="00E56272">
        <w:t>bielym bezpečnostným uzáverom</w:t>
      </w:r>
      <w:r w:rsidR="001D7A30" w:rsidRPr="00E56272">
        <w:t xml:space="preserve"> (PE)</w:t>
      </w:r>
    </w:p>
    <w:p w:rsidR="00AE0CBE" w:rsidRDefault="00E56272">
      <w:pPr>
        <w:pStyle w:val="Normlndobloku"/>
        <w:spacing w:after="0"/>
      </w:pPr>
      <w:r>
        <w:t>Na trh nemusia byť uvedené všetky veľkosti balenia</w:t>
      </w:r>
      <w:r w:rsidR="00FD04A3" w:rsidRPr="00732313">
        <w:t>.</w:t>
      </w:r>
    </w:p>
    <w:p w:rsidR="00AE0CBE" w:rsidRDefault="00AE0CBE">
      <w:pPr>
        <w:pStyle w:val="Normlndobloku"/>
        <w:spacing w:after="0"/>
      </w:pPr>
    </w:p>
    <w:p w:rsidR="00AE0CBE" w:rsidRDefault="00513D2E">
      <w:pPr>
        <w:pStyle w:val="Styl2"/>
        <w:spacing w:after="0"/>
      </w:pPr>
      <w:r>
        <w:t>Š</w:t>
      </w:r>
      <w:r w:rsidR="00732313">
        <w:t>peciálne o</w:t>
      </w:r>
      <w:r w:rsidR="00FD04A3" w:rsidRPr="00732313">
        <w:t>patrenia na likvidáciu a</w:t>
      </w:r>
      <w:r w:rsidR="00335201">
        <w:t> </w:t>
      </w:r>
      <w:r w:rsidR="00FD04A3" w:rsidRPr="00732313">
        <w:t>iné zaobchádzanie s</w:t>
      </w:r>
      <w:r w:rsidR="0071681A">
        <w:t> </w:t>
      </w:r>
      <w:r w:rsidR="00FD04A3" w:rsidRPr="00732313">
        <w:t>liekom</w:t>
      </w:r>
    </w:p>
    <w:p w:rsidR="00AE0CBE" w:rsidRDefault="00AE0CBE">
      <w:pPr>
        <w:pStyle w:val="Styl2"/>
        <w:numPr>
          <w:ilvl w:val="0"/>
          <w:numId w:val="0"/>
        </w:numPr>
        <w:spacing w:after="0"/>
      </w:pPr>
    </w:p>
    <w:p w:rsidR="00AE0CBE" w:rsidRDefault="00FD04A3">
      <w:pPr>
        <w:pStyle w:val="Normlndobloku"/>
        <w:spacing w:after="0"/>
      </w:pPr>
      <w:r w:rsidRPr="00732313">
        <w:t>Žiadne zvláštne požiadavky.</w:t>
      </w:r>
    </w:p>
    <w:p w:rsidR="00AE0CBE" w:rsidRDefault="00AE0CBE">
      <w:pPr>
        <w:pStyle w:val="Normlndobloku"/>
        <w:spacing w:after="0"/>
      </w:pPr>
    </w:p>
    <w:p w:rsidR="00AE0CBE" w:rsidRDefault="00AE0CBE">
      <w:pPr>
        <w:pStyle w:val="Normlndobloku"/>
        <w:spacing w:after="0"/>
      </w:pPr>
    </w:p>
    <w:p w:rsidR="00AE0CBE" w:rsidRDefault="00FD04A3">
      <w:pPr>
        <w:pStyle w:val="Styl10"/>
        <w:spacing w:before="0" w:after="0"/>
        <w:ind w:left="357" w:hanging="357"/>
      </w:pPr>
      <w:r w:rsidRPr="00732313">
        <w:t>Držiteľ rozhodnutia o registrácii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r w:rsidRPr="00732313">
        <w:lastRenderedPageBreak/>
        <w:t xml:space="preserve">MEDOCHEMIE </w:t>
      </w:r>
      <w:proofErr w:type="spellStart"/>
      <w:r w:rsidRPr="00732313">
        <w:t>Ltd</w:t>
      </w:r>
      <w:proofErr w:type="spellEnd"/>
      <w:r w:rsidRPr="00732313">
        <w:t xml:space="preserve">., </w:t>
      </w:r>
      <w:r w:rsidR="001C7920">
        <w:t xml:space="preserve">1-10 </w:t>
      </w:r>
      <w:proofErr w:type="spellStart"/>
      <w:r w:rsidR="001C7920">
        <w:t>Constantinoupoleos</w:t>
      </w:r>
      <w:proofErr w:type="spellEnd"/>
      <w:r w:rsidR="001C7920">
        <w:t xml:space="preserve"> </w:t>
      </w:r>
      <w:proofErr w:type="spellStart"/>
      <w:r w:rsidR="001C7920">
        <w:t>Street</w:t>
      </w:r>
      <w:proofErr w:type="spellEnd"/>
      <w:r w:rsidR="00C7045E">
        <w:t>,</w:t>
      </w:r>
      <w:r w:rsidR="001C7920">
        <w:t xml:space="preserve"> </w:t>
      </w:r>
      <w:r w:rsidR="00C7045E">
        <w:t xml:space="preserve">3011 </w:t>
      </w:r>
      <w:proofErr w:type="spellStart"/>
      <w:r w:rsidRPr="00732313">
        <w:t>Limassol</w:t>
      </w:r>
      <w:proofErr w:type="spellEnd"/>
      <w:r w:rsidRPr="00732313">
        <w:t>, Cyprus</w:t>
      </w:r>
    </w:p>
    <w:p w:rsidR="00AE0CBE" w:rsidRDefault="00AE0CBE">
      <w:pPr>
        <w:pStyle w:val="Normlndobloku"/>
        <w:spacing w:after="0"/>
      </w:pPr>
    </w:p>
    <w:p w:rsidR="00AE0CBE" w:rsidRDefault="00AE0CBE">
      <w:pPr>
        <w:pStyle w:val="Normlndobloku"/>
        <w:spacing w:after="0"/>
      </w:pPr>
    </w:p>
    <w:p w:rsidR="00AE0CBE" w:rsidRDefault="00FD04A3">
      <w:pPr>
        <w:pStyle w:val="Styl10"/>
        <w:spacing w:before="0" w:after="0"/>
        <w:ind w:left="357" w:hanging="357"/>
      </w:pPr>
      <w:r w:rsidRPr="00732313">
        <w:t>Registračné číslo</w:t>
      </w:r>
    </w:p>
    <w:p w:rsidR="00AE0CBE" w:rsidRDefault="00AE0CBE">
      <w:pPr>
        <w:pStyle w:val="Normlndobloku"/>
        <w:spacing w:after="0"/>
      </w:pPr>
    </w:p>
    <w:p w:rsidR="00AE0CBE" w:rsidRDefault="00FD04A3">
      <w:pPr>
        <w:pStyle w:val="Normlndobloku"/>
        <w:spacing w:after="0"/>
      </w:pPr>
      <w:r w:rsidRPr="00732313">
        <w:t>42/0647/94-S</w:t>
      </w:r>
    </w:p>
    <w:p w:rsidR="00AE0CBE" w:rsidRDefault="00AE0CBE">
      <w:pPr>
        <w:pStyle w:val="Normlndobloku"/>
        <w:spacing w:after="0"/>
      </w:pPr>
    </w:p>
    <w:p w:rsidR="00AE0CBE" w:rsidRDefault="00AE0CBE">
      <w:pPr>
        <w:pStyle w:val="Normlndobloku"/>
        <w:spacing w:after="0"/>
      </w:pPr>
    </w:p>
    <w:p w:rsidR="00AE0CBE" w:rsidRDefault="00FD04A3">
      <w:pPr>
        <w:pStyle w:val="Styl10"/>
        <w:spacing w:before="0" w:after="0"/>
        <w:ind w:left="357" w:hanging="357"/>
      </w:pPr>
      <w:r w:rsidRPr="00732313">
        <w:t>Dátum PRVEJ registrácie / predĺženia registrácie</w:t>
      </w:r>
    </w:p>
    <w:p w:rsidR="0071681A" w:rsidRDefault="0071681A" w:rsidP="00732313">
      <w:pPr>
        <w:rPr>
          <w:noProof/>
        </w:rPr>
      </w:pPr>
    </w:p>
    <w:p w:rsidR="00732313" w:rsidRPr="006516AD" w:rsidRDefault="00E56272" w:rsidP="00732313">
      <w:pPr>
        <w:rPr>
          <w:noProof/>
        </w:rPr>
      </w:pPr>
      <w:r>
        <w:rPr>
          <w:noProof/>
        </w:rPr>
        <w:t xml:space="preserve">Dátum prvej registrácie: 26. októbra </w:t>
      </w:r>
      <w:r w:rsidR="00732313">
        <w:rPr>
          <w:noProof/>
        </w:rPr>
        <w:t>1994</w:t>
      </w:r>
    </w:p>
    <w:p w:rsidR="00AE0CBE" w:rsidRDefault="00732313">
      <w:r w:rsidRPr="006516AD">
        <w:rPr>
          <w:noProof/>
        </w:rPr>
        <w:t xml:space="preserve">Dátum posledného predĺženia registrácie: </w:t>
      </w:r>
      <w:r w:rsidR="00E56272">
        <w:rPr>
          <w:noProof/>
        </w:rPr>
        <w:t xml:space="preserve">16. októbra 2006 </w:t>
      </w:r>
    </w:p>
    <w:p w:rsidR="00AE0CBE" w:rsidRDefault="00AE0CBE"/>
    <w:p w:rsidR="00AE0CBE" w:rsidRDefault="00AE0CBE"/>
    <w:p w:rsidR="00AE0CBE" w:rsidRDefault="00FD04A3">
      <w:pPr>
        <w:pStyle w:val="Styl10"/>
        <w:spacing w:before="0" w:after="0"/>
        <w:ind w:left="357" w:hanging="357"/>
      </w:pPr>
      <w:r w:rsidRPr="00732313">
        <w:t>Dátum revízie textu</w:t>
      </w:r>
    </w:p>
    <w:p w:rsidR="00AE0CBE" w:rsidRDefault="00AE0CBE">
      <w:pPr>
        <w:pStyle w:val="Normlndobloku"/>
        <w:spacing w:after="0"/>
      </w:pPr>
    </w:p>
    <w:p w:rsidR="00031236" w:rsidRDefault="00714C44">
      <w:pPr>
        <w:pStyle w:val="Normlndobloku"/>
      </w:pPr>
      <w:r>
        <w:t>08/</w:t>
      </w:r>
      <w:r w:rsidR="00E56272">
        <w:t>2016</w:t>
      </w:r>
    </w:p>
    <w:sectPr w:rsidR="00031236" w:rsidSect="00940DDB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2" w:right="1412" w:bottom="1412" w:left="1412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755" w:rsidRDefault="00B12755">
      <w:r>
        <w:separator/>
      </w:r>
    </w:p>
  </w:endnote>
  <w:endnote w:type="continuationSeparator" w:id="0">
    <w:p w:rsidR="00B12755" w:rsidRDefault="00B12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DDB" w:rsidRDefault="00AE0CBE" w:rsidP="00940DD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940DDB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40DDB" w:rsidRDefault="00940DDB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7766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940DDB" w:rsidRPr="00554031" w:rsidRDefault="00AE0CBE" w:rsidP="00554031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64A65">
          <w:rPr>
            <w:rFonts w:ascii="Times New Roman" w:hAnsi="Times New Roman"/>
            <w:sz w:val="18"/>
            <w:szCs w:val="18"/>
          </w:rPr>
          <w:fldChar w:fldCharType="begin"/>
        </w:r>
        <w:r w:rsidR="00F64A65" w:rsidRPr="00F64A65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F64A65">
          <w:rPr>
            <w:rFonts w:ascii="Times New Roman" w:hAnsi="Times New Roman"/>
            <w:sz w:val="18"/>
            <w:szCs w:val="18"/>
          </w:rPr>
          <w:fldChar w:fldCharType="separate"/>
        </w:r>
        <w:r w:rsidR="00C32B00">
          <w:rPr>
            <w:rFonts w:ascii="Times New Roman" w:hAnsi="Times New Roman"/>
            <w:noProof/>
            <w:sz w:val="18"/>
            <w:szCs w:val="18"/>
          </w:rPr>
          <w:t>2</w:t>
        </w:r>
        <w:r w:rsidRPr="00F64A65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7765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940DDB" w:rsidRPr="00554031" w:rsidRDefault="00AE0CBE" w:rsidP="00554031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64A65">
          <w:rPr>
            <w:rFonts w:ascii="Times New Roman" w:hAnsi="Times New Roman"/>
            <w:sz w:val="18"/>
            <w:szCs w:val="18"/>
          </w:rPr>
          <w:fldChar w:fldCharType="begin"/>
        </w:r>
        <w:r w:rsidR="00F64A65" w:rsidRPr="00F64A65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F64A65">
          <w:rPr>
            <w:rFonts w:ascii="Times New Roman" w:hAnsi="Times New Roman"/>
            <w:sz w:val="18"/>
            <w:szCs w:val="18"/>
          </w:rPr>
          <w:fldChar w:fldCharType="separate"/>
        </w:r>
        <w:r w:rsidR="00C32B00">
          <w:rPr>
            <w:rFonts w:ascii="Times New Roman" w:hAnsi="Times New Roman"/>
            <w:noProof/>
            <w:sz w:val="18"/>
            <w:szCs w:val="18"/>
          </w:rPr>
          <w:t>1</w:t>
        </w:r>
        <w:r w:rsidRPr="00F64A65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755" w:rsidRDefault="00B12755">
      <w:r>
        <w:separator/>
      </w:r>
    </w:p>
  </w:footnote>
  <w:footnote w:type="continuationSeparator" w:id="0">
    <w:p w:rsidR="00B12755" w:rsidRDefault="00B127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A67" w:rsidRPr="00B67644" w:rsidRDefault="00F64A65">
    <w:pPr>
      <w:pStyle w:val="Hlavika"/>
      <w:rPr>
        <w:sz w:val="18"/>
        <w:szCs w:val="18"/>
      </w:rPr>
    </w:pPr>
    <w:proofErr w:type="spellStart"/>
    <w:r w:rsidRPr="00F64A65">
      <w:rPr>
        <w:sz w:val="18"/>
        <w:szCs w:val="18"/>
      </w:rPr>
      <w:t>Príloha</w:t>
    </w:r>
    <w:proofErr w:type="spellEnd"/>
    <w:r w:rsidRPr="00F64A65">
      <w:rPr>
        <w:sz w:val="18"/>
        <w:szCs w:val="18"/>
      </w:rPr>
      <w:t xml:space="preserve"> </w:t>
    </w:r>
    <w:proofErr w:type="gramStart"/>
    <w:r w:rsidRPr="00F64A65">
      <w:rPr>
        <w:sz w:val="18"/>
        <w:szCs w:val="18"/>
      </w:rPr>
      <w:t>č.1 k </w:t>
    </w:r>
    <w:proofErr w:type="spellStart"/>
    <w:r w:rsidRPr="00F64A65">
      <w:rPr>
        <w:sz w:val="18"/>
        <w:szCs w:val="18"/>
      </w:rPr>
      <w:t>notifikácii</w:t>
    </w:r>
    <w:proofErr w:type="spellEnd"/>
    <w:proofErr w:type="gramEnd"/>
    <w:r w:rsidRPr="00F64A65">
      <w:rPr>
        <w:sz w:val="18"/>
        <w:szCs w:val="18"/>
      </w:rPr>
      <w:t xml:space="preserve"> o </w:t>
    </w:r>
    <w:proofErr w:type="spellStart"/>
    <w:r w:rsidRPr="00F64A65">
      <w:rPr>
        <w:sz w:val="18"/>
        <w:szCs w:val="18"/>
      </w:rPr>
      <w:t>zmene</w:t>
    </w:r>
    <w:proofErr w:type="spellEnd"/>
    <w:r w:rsidRPr="00F64A65">
      <w:rPr>
        <w:sz w:val="18"/>
        <w:szCs w:val="18"/>
      </w:rPr>
      <w:t xml:space="preserve">, ev. č.: </w:t>
    </w:r>
    <w:r w:rsidR="00A64F79" w:rsidRPr="00A64F79">
      <w:rPr>
        <w:sz w:val="18"/>
        <w:szCs w:val="18"/>
      </w:rPr>
      <w:t>2014/05714-Z1B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E83"/>
    <w:multiLevelType w:val="hybridMultilevel"/>
    <w:tmpl w:val="EA4E6A1E"/>
    <w:lvl w:ilvl="0" w:tplc="93D4B298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174C7DB5"/>
    <w:multiLevelType w:val="hybridMultilevel"/>
    <w:tmpl w:val="A63A8B70"/>
    <w:lvl w:ilvl="0" w:tplc="A0EC0DE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CE5EF6"/>
    <w:multiLevelType w:val="multilevel"/>
    <w:tmpl w:val="5AB0A838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">
    <w:nsid w:val="6AAD4AA7"/>
    <w:multiLevelType w:val="multilevel"/>
    <w:tmpl w:val="42D432D8"/>
    <w:lvl w:ilvl="0">
      <w:start w:val="1"/>
      <w:numFmt w:val="decimal"/>
      <w:pStyle w:val="Styl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  <w:lvlOverride w:ilvl="0">
      <w:startOverride w:val="6"/>
    </w:lvlOverride>
    <w:lvlOverride w:ilvl="1">
      <w:startOverride w:val="6"/>
    </w:lvlOverride>
  </w:num>
  <w:num w:numId="5">
    <w:abstractNumId w:val="3"/>
    <w:lvlOverride w:ilvl="0">
      <w:startOverride w:val="6"/>
    </w:lvlOverride>
    <w:lvlOverride w:ilvl="1">
      <w:startOverride w:val="6"/>
    </w:lvlOverride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8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4A3"/>
    <w:rsid w:val="00000FD3"/>
    <w:rsid w:val="00005840"/>
    <w:rsid w:val="0000690A"/>
    <w:rsid w:val="000075B0"/>
    <w:rsid w:val="00007CAD"/>
    <w:rsid w:val="0001636A"/>
    <w:rsid w:val="00020564"/>
    <w:rsid w:val="000245E1"/>
    <w:rsid w:val="000247FE"/>
    <w:rsid w:val="00026E13"/>
    <w:rsid w:val="00027D23"/>
    <w:rsid w:val="00031236"/>
    <w:rsid w:val="000313AA"/>
    <w:rsid w:val="000323A4"/>
    <w:rsid w:val="000332CC"/>
    <w:rsid w:val="000336A9"/>
    <w:rsid w:val="00036EC5"/>
    <w:rsid w:val="00037372"/>
    <w:rsid w:val="0004148F"/>
    <w:rsid w:val="00043D45"/>
    <w:rsid w:val="00043D98"/>
    <w:rsid w:val="00045089"/>
    <w:rsid w:val="0005017A"/>
    <w:rsid w:val="00050BCC"/>
    <w:rsid w:val="00051EA4"/>
    <w:rsid w:val="0005296F"/>
    <w:rsid w:val="000545B0"/>
    <w:rsid w:val="00060DB6"/>
    <w:rsid w:val="00064B69"/>
    <w:rsid w:val="00065A6B"/>
    <w:rsid w:val="00066058"/>
    <w:rsid w:val="00070035"/>
    <w:rsid w:val="00070973"/>
    <w:rsid w:val="0007122B"/>
    <w:rsid w:val="00073087"/>
    <w:rsid w:val="00085D4B"/>
    <w:rsid w:val="00097464"/>
    <w:rsid w:val="000A2511"/>
    <w:rsid w:val="000B036F"/>
    <w:rsid w:val="000B08FF"/>
    <w:rsid w:val="000B2BCE"/>
    <w:rsid w:val="000B2FA9"/>
    <w:rsid w:val="000B2FCA"/>
    <w:rsid w:val="000B484E"/>
    <w:rsid w:val="000B72EB"/>
    <w:rsid w:val="000B7C09"/>
    <w:rsid w:val="000C0B4F"/>
    <w:rsid w:val="000C0D89"/>
    <w:rsid w:val="000C2219"/>
    <w:rsid w:val="000D2142"/>
    <w:rsid w:val="000D3327"/>
    <w:rsid w:val="000D3EBB"/>
    <w:rsid w:val="000D3F47"/>
    <w:rsid w:val="000D52BE"/>
    <w:rsid w:val="000E14E4"/>
    <w:rsid w:val="000E1FEA"/>
    <w:rsid w:val="000E57C4"/>
    <w:rsid w:val="000F0761"/>
    <w:rsid w:val="000F1C04"/>
    <w:rsid w:val="000F1E71"/>
    <w:rsid w:val="000F250C"/>
    <w:rsid w:val="000F365E"/>
    <w:rsid w:val="000F390E"/>
    <w:rsid w:val="000F3CE3"/>
    <w:rsid w:val="0010029F"/>
    <w:rsid w:val="00105E12"/>
    <w:rsid w:val="00106AFF"/>
    <w:rsid w:val="00106EF8"/>
    <w:rsid w:val="00112041"/>
    <w:rsid w:val="001126E6"/>
    <w:rsid w:val="00113318"/>
    <w:rsid w:val="00113780"/>
    <w:rsid w:val="00116078"/>
    <w:rsid w:val="0011659F"/>
    <w:rsid w:val="00116718"/>
    <w:rsid w:val="0011676E"/>
    <w:rsid w:val="00116D9A"/>
    <w:rsid w:val="00116E97"/>
    <w:rsid w:val="00123A88"/>
    <w:rsid w:val="00124BEC"/>
    <w:rsid w:val="00127ADA"/>
    <w:rsid w:val="00127EB3"/>
    <w:rsid w:val="00130A1D"/>
    <w:rsid w:val="00131963"/>
    <w:rsid w:val="00137F15"/>
    <w:rsid w:val="001401CE"/>
    <w:rsid w:val="00140F30"/>
    <w:rsid w:val="0014296E"/>
    <w:rsid w:val="001440DC"/>
    <w:rsid w:val="001465A7"/>
    <w:rsid w:val="00147332"/>
    <w:rsid w:val="00150486"/>
    <w:rsid w:val="00150F06"/>
    <w:rsid w:val="001558CF"/>
    <w:rsid w:val="001600CE"/>
    <w:rsid w:val="00164C84"/>
    <w:rsid w:val="00165BDF"/>
    <w:rsid w:val="001710FD"/>
    <w:rsid w:val="0017355C"/>
    <w:rsid w:val="00175E3A"/>
    <w:rsid w:val="00176355"/>
    <w:rsid w:val="00177AEE"/>
    <w:rsid w:val="00177F90"/>
    <w:rsid w:val="00181631"/>
    <w:rsid w:val="00182395"/>
    <w:rsid w:val="0018303E"/>
    <w:rsid w:val="00185324"/>
    <w:rsid w:val="00185E02"/>
    <w:rsid w:val="00185EEF"/>
    <w:rsid w:val="0018689E"/>
    <w:rsid w:val="00187CF6"/>
    <w:rsid w:val="00190647"/>
    <w:rsid w:val="001924E5"/>
    <w:rsid w:val="00195B44"/>
    <w:rsid w:val="001A36BF"/>
    <w:rsid w:val="001A40D7"/>
    <w:rsid w:val="001A76B7"/>
    <w:rsid w:val="001B23F9"/>
    <w:rsid w:val="001B4DD9"/>
    <w:rsid w:val="001B5918"/>
    <w:rsid w:val="001B64C8"/>
    <w:rsid w:val="001B6FD7"/>
    <w:rsid w:val="001C0607"/>
    <w:rsid w:val="001C5B47"/>
    <w:rsid w:val="001C7920"/>
    <w:rsid w:val="001D529A"/>
    <w:rsid w:val="001D75F9"/>
    <w:rsid w:val="001D7A30"/>
    <w:rsid w:val="001E0D6D"/>
    <w:rsid w:val="001E0EA0"/>
    <w:rsid w:val="001E330A"/>
    <w:rsid w:val="001E48BC"/>
    <w:rsid w:val="001E6108"/>
    <w:rsid w:val="001E632C"/>
    <w:rsid w:val="001E6359"/>
    <w:rsid w:val="001E6FD6"/>
    <w:rsid w:val="001F0466"/>
    <w:rsid w:val="001F06F2"/>
    <w:rsid w:val="001F0CEE"/>
    <w:rsid w:val="001F14D3"/>
    <w:rsid w:val="001F434B"/>
    <w:rsid w:val="001F6374"/>
    <w:rsid w:val="00200074"/>
    <w:rsid w:val="00201775"/>
    <w:rsid w:val="002038DE"/>
    <w:rsid w:val="00204C12"/>
    <w:rsid w:val="00205893"/>
    <w:rsid w:val="00206126"/>
    <w:rsid w:val="00206FCB"/>
    <w:rsid w:val="00210299"/>
    <w:rsid w:val="002132E6"/>
    <w:rsid w:val="00216133"/>
    <w:rsid w:val="002168BD"/>
    <w:rsid w:val="00217058"/>
    <w:rsid w:val="00223E4C"/>
    <w:rsid w:val="0022761C"/>
    <w:rsid w:val="002323FC"/>
    <w:rsid w:val="00235ED7"/>
    <w:rsid w:val="0024194C"/>
    <w:rsid w:val="00246C07"/>
    <w:rsid w:val="00247A33"/>
    <w:rsid w:val="002502B8"/>
    <w:rsid w:val="002545D3"/>
    <w:rsid w:val="0025579D"/>
    <w:rsid w:val="00261FC5"/>
    <w:rsid w:val="0026232E"/>
    <w:rsid w:val="00262DC6"/>
    <w:rsid w:val="00263ABE"/>
    <w:rsid w:val="00263AD2"/>
    <w:rsid w:val="00266E19"/>
    <w:rsid w:val="0027005F"/>
    <w:rsid w:val="00270728"/>
    <w:rsid w:val="00270CBC"/>
    <w:rsid w:val="002728E4"/>
    <w:rsid w:val="002731C8"/>
    <w:rsid w:val="00274DAC"/>
    <w:rsid w:val="0027760D"/>
    <w:rsid w:val="0027795B"/>
    <w:rsid w:val="00277BD6"/>
    <w:rsid w:val="00282BC0"/>
    <w:rsid w:val="00285808"/>
    <w:rsid w:val="002908BB"/>
    <w:rsid w:val="00291CEE"/>
    <w:rsid w:val="002951B0"/>
    <w:rsid w:val="00297F2A"/>
    <w:rsid w:val="002A46F6"/>
    <w:rsid w:val="002A5DF9"/>
    <w:rsid w:val="002A6FCA"/>
    <w:rsid w:val="002B22EE"/>
    <w:rsid w:val="002B3159"/>
    <w:rsid w:val="002B3187"/>
    <w:rsid w:val="002B3EE0"/>
    <w:rsid w:val="002B581E"/>
    <w:rsid w:val="002B6EA1"/>
    <w:rsid w:val="002B737C"/>
    <w:rsid w:val="002C0CE0"/>
    <w:rsid w:val="002C2347"/>
    <w:rsid w:val="002C325A"/>
    <w:rsid w:val="002C3BE2"/>
    <w:rsid w:val="002C47E9"/>
    <w:rsid w:val="002C522B"/>
    <w:rsid w:val="002C5892"/>
    <w:rsid w:val="002C5C8F"/>
    <w:rsid w:val="002D0117"/>
    <w:rsid w:val="002D3941"/>
    <w:rsid w:val="002D56BA"/>
    <w:rsid w:val="002D5B2C"/>
    <w:rsid w:val="002D65C9"/>
    <w:rsid w:val="002D65CE"/>
    <w:rsid w:val="002D7507"/>
    <w:rsid w:val="002E3BD9"/>
    <w:rsid w:val="002E5256"/>
    <w:rsid w:val="002F1F7A"/>
    <w:rsid w:val="002F1FDD"/>
    <w:rsid w:val="002F524B"/>
    <w:rsid w:val="002F5D0E"/>
    <w:rsid w:val="002F6978"/>
    <w:rsid w:val="00300856"/>
    <w:rsid w:val="003012C7"/>
    <w:rsid w:val="00302665"/>
    <w:rsid w:val="0030280F"/>
    <w:rsid w:val="00302A67"/>
    <w:rsid w:val="00304528"/>
    <w:rsid w:val="00310F95"/>
    <w:rsid w:val="0031671E"/>
    <w:rsid w:val="00316995"/>
    <w:rsid w:val="00316C1C"/>
    <w:rsid w:val="00323C1F"/>
    <w:rsid w:val="00324687"/>
    <w:rsid w:val="00324DDA"/>
    <w:rsid w:val="00331584"/>
    <w:rsid w:val="00331AF9"/>
    <w:rsid w:val="003346CB"/>
    <w:rsid w:val="00335201"/>
    <w:rsid w:val="00341381"/>
    <w:rsid w:val="00343977"/>
    <w:rsid w:val="003443A9"/>
    <w:rsid w:val="00344B48"/>
    <w:rsid w:val="003455B7"/>
    <w:rsid w:val="00346642"/>
    <w:rsid w:val="00347094"/>
    <w:rsid w:val="003475A8"/>
    <w:rsid w:val="003475DC"/>
    <w:rsid w:val="00351476"/>
    <w:rsid w:val="003537E7"/>
    <w:rsid w:val="00356A1C"/>
    <w:rsid w:val="003629B2"/>
    <w:rsid w:val="00364AE2"/>
    <w:rsid w:val="00367A51"/>
    <w:rsid w:val="00367DB9"/>
    <w:rsid w:val="003749E8"/>
    <w:rsid w:val="00375590"/>
    <w:rsid w:val="00377F4E"/>
    <w:rsid w:val="00380E28"/>
    <w:rsid w:val="00383986"/>
    <w:rsid w:val="003848C0"/>
    <w:rsid w:val="00392382"/>
    <w:rsid w:val="00392D2A"/>
    <w:rsid w:val="003A1332"/>
    <w:rsid w:val="003A1789"/>
    <w:rsid w:val="003A1B35"/>
    <w:rsid w:val="003A2A8B"/>
    <w:rsid w:val="003A55AD"/>
    <w:rsid w:val="003A5817"/>
    <w:rsid w:val="003A7934"/>
    <w:rsid w:val="003B03FF"/>
    <w:rsid w:val="003B2A4B"/>
    <w:rsid w:val="003B4CE8"/>
    <w:rsid w:val="003B72BE"/>
    <w:rsid w:val="003C00C7"/>
    <w:rsid w:val="003C0293"/>
    <w:rsid w:val="003C3811"/>
    <w:rsid w:val="003C491E"/>
    <w:rsid w:val="003C5333"/>
    <w:rsid w:val="003C5AE7"/>
    <w:rsid w:val="003C6582"/>
    <w:rsid w:val="003C6734"/>
    <w:rsid w:val="003D40F5"/>
    <w:rsid w:val="003D434A"/>
    <w:rsid w:val="003E237B"/>
    <w:rsid w:val="003E3AE4"/>
    <w:rsid w:val="003E592A"/>
    <w:rsid w:val="003F3DF2"/>
    <w:rsid w:val="003F43A1"/>
    <w:rsid w:val="003F5EA5"/>
    <w:rsid w:val="003F626E"/>
    <w:rsid w:val="00402056"/>
    <w:rsid w:val="0040579B"/>
    <w:rsid w:val="00405AAA"/>
    <w:rsid w:val="0040649A"/>
    <w:rsid w:val="00406568"/>
    <w:rsid w:val="004103E5"/>
    <w:rsid w:val="00415B1D"/>
    <w:rsid w:val="00417602"/>
    <w:rsid w:val="004211E2"/>
    <w:rsid w:val="00423C4D"/>
    <w:rsid w:val="004242CF"/>
    <w:rsid w:val="00426ADA"/>
    <w:rsid w:val="00430E79"/>
    <w:rsid w:val="0043400E"/>
    <w:rsid w:val="00435937"/>
    <w:rsid w:val="0043799A"/>
    <w:rsid w:val="00437B29"/>
    <w:rsid w:val="00437C13"/>
    <w:rsid w:val="00440EC0"/>
    <w:rsid w:val="004438ED"/>
    <w:rsid w:val="00443E12"/>
    <w:rsid w:val="004441E0"/>
    <w:rsid w:val="004448E0"/>
    <w:rsid w:val="00444CEF"/>
    <w:rsid w:val="004475AB"/>
    <w:rsid w:val="00455D95"/>
    <w:rsid w:val="0046008A"/>
    <w:rsid w:val="004611E5"/>
    <w:rsid w:val="00462D26"/>
    <w:rsid w:val="004655BE"/>
    <w:rsid w:val="004769FD"/>
    <w:rsid w:val="00480B98"/>
    <w:rsid w:val="00480E55"/>
    <w:rsid w:val="00481901"/>
    <w:rsid w:val="00485804"/>
    <w:rsid w:val="00486F5E"/>
    <w:rsid w:val="00487885"/>
    <w:rsid w:val="004925BF"/>
    <w:rsid w:val="00496023"/>
    <w:rsid w:val="004A1D3F"/>
    <w:rsid w:val="004A67AE"/>
    <w:rsid w:val="004A79AE"/>
    <w:rsid w:val="004B236A"/>
    <w:rsid w:val="004B3F7E"/>
    <w:rsid w:val="004B5D72"/>
    <w:rsid w:val="004B6699"/>
    <w:rsid w:val="004C00DD"/>
    <w:rsid w:val="004C18C4"/>
    <w:rsid w:val="004C233F"/>
    <w:rsid w:val="004C33B3"/>
    <w:rsid w:val="004C403A"/>
    <w:rsid w:val="004C4CB8"/>
    <w:rsid w:val="004C4E63"/>
    <w:rsid w:val="004C55FB"/>
    <w:rsid w:val="004D120F"/>
    <w:rsid w:val="004D21A5"/>
    <w:rsid w:val="004D590F"/>
    <w:rsid w:val="004E3502"/>
    <w:rsid w:val="004E48D8"/>
    <w:rsid w:val="004F05E2"/>
    <w:rsid w:val="004F1926"/>
    <w:rsid w:val="004F19EE"/>
    <w:rsid w:val="004F24FD"/>
    <w:rsid w:val="004F27CF"/>
    <w:rsid w:val="004F2A9B"/>
    <w:rsid w:val="004F57DA"/>
    <w:rsid w:val="005004EA"/>
    <w:rsid w:val="00505B80"/>
    <w:rsid w:val="00506D9B"/>
    <w:rsid w:val="005138E8"/>
    <w:rsid w:val="00513D2E"/>
    <w:rsid w:val="00514AB3"/>
    <w:rsid w:val="00515752"/>
    <w:rsid w:val="00517A0F"/>
    <w:rsid w:val="005228FA"/>
    <w:rsid w:val="005229F3"/>
    <w:rsid w:val="005237CB"/>
    <w:rsid w:val="00523834"/>
    <w:rsid w:val="00525B96"/>
    <w:rsid w:val="00527212"/>
    <w:rsid w:val="005278C0"/>
    <w:rsid w:val="005278E5"/>
    <w:rsid w:val="00530C9E"/>
    <w:rsid w:val="00531374"/>
    <w:rsid w:val="0053142E"/>
    <w:rsid w:val="0053158F"/>
    <w:rsid w:val="00536C3B"/>
    <w:rsid w:val="00541650"/>
    <w:rsid w:val="005416ED"/>
    <w:rsid w:val="00542C38"/>
    <w:rsid w:val="00547B7E"/>
    <w:rsid w:val="005508B7"/>
    <w:rsid w:val="005510C7"/>
    <w:rsid w:val="00552A87"/>
    <w:rsid w:val="00554031"/>
    <w:rsid w:val="00554DD0"/>
    <w:rsid w:val="00554F5D"/>
    <w:rsid w:val="00555869"/>
    <w:rsid w:val="005606FB"/>
    <w:rsid w:val="0056136A"/>
    <w:rsid w:val="00563007"/>
    <w:rsid w:val="00563A4B"/>
    <w:rsid w:val="005653A2"/>
    <w:rsid w:val="00565F05"/>
    <w:rsid w:val="005678D8"/>
    <w:rsid w:val="005705E0"/>
    <w:rsid w:val="005716DD"/>
    <w:rsid w:val="00571B54"/>
    <w:rsid w:val="00572400"/>
    <w:rsid w:val="00573E8A"/>
    <w:rsid w:val="0057505A"/>
    <w:rsid w:val="00575F60"/>
    <w:rsid w:val="005769EB"/>
    <w:rsid w:val="00576FD3"/>
    <w:rsid w:val="00577236"/>
    <w:rsid w:val="00580444"/>
    <w:rsid w:val="005855CD"/>
    <w:rsid w:val="00586579"/>
    <w:rsid w:val="005868F2"/>
    <w:rsid w:val="0059051A"/>
    <w:rsid w:val="005915CE"/>
    <w:rsid w:val="00594950"/>
    <w:rsid w:val="00595692"/>
    <w:rsid w:val="005956FC"/>
    <w:rsid w:val="00596398"/>
    <w:rsid w:val="00597DC4"/>
    <w:rsid w:val="005A2A4C"/>
    <w:rsid w:val="005A3425"/>
    <w:rsid w:val="005B1063"/>
    <w:rsid w:val="005B3305"/>
    <w:rsid w:val="005B534D"/>
    <w:rsid w:val="005B5B20"/>
    <w:rsid w:val="005B6388"/>
    <w:rsid w:val="005B765D"/>
    <w:rsid w:val="005B7FD6"/>
    <w:rsid w:val="005C6662"/>
    <w:rsid w:val="005C6994"/>
    <w:rsid w:val="005C72FE"/>
    <w:rsid w:val="005D2855"/>
    <w:rsid w:val="005D6245"/>
    <w:rsid w:val="005E08C9"/>
    <w:rsid w:val="005E398A"/>
    <w:rsid w:val="005E3C89"/>
    <w:rsid w:val="005E49A2"/>
    <w:rsid w:val="005E7E2F"/>
    <w:rsid w:val="005F1638"/>
    <w:rsid w:val="005F19FE"/>
    <w:rsid w:val="005F1CCF"/>
    <w:rsid w:val="005F2F53"/>
    <w:rsid w:val="0060059C"/>
    <w:rsid w:val="00601F54"/>
    <w:rsid w:val="00604FAD"/>
    <w:rsid w:val="00606BEF"/>
    <w:rsid w:val="0061125F"/>
    <w:rsid w:val="0061224C"/>
    <w:rsid w:val="00612B7A"/>
    <w:rsid w:val="00613437"/>
    <w:rsid w:val="006140A6"/>
    <w:rsid w:val="00615A20"/>
    <w:rsid w:val="00615CA2"/>
    <w:rsid w:val="00616E58"/>
    <w:rsid w:val="0062329B"/>
    <w:rsid w:val="006233CA"/>
    <w:rsid w:val="00627B74"/>
    <w:rsid w:val="00630270"/>
    <w:rsid w:val="00633635"/>
    <w:rsid w:val="006343A6"/>
    <w:rsid w:val="00636EE0"/>
    <w:rsid w:val="00642DD1"/>
    <w:rsid w:val="00643C1E"/>
    <w:rsid w:val="00643CA5"/>
    <w:rsid w:val="00653E15"/>
    <w:rsid w:val="00656086"/>
    <w:rsid w:val="00660BB5"/>
    <w:rsid w:val="00667CE9"/>
    <w:rsid w:val="00673AD2"/>
    <w:rsid w:val="00676BAD"/>
    <w:rsid w:val="00680383"/>
    <w:rsid w:val="00680B9D"/>
    <w:rsid w:val="00683F85"/>
    <w:rsid w:val="0068403E"/>
    <w:rsid w:val="00686BBD"/>
    <w:rsid w:val="006876FD"/>
    <w:rsid w:val="0068781E"/>
    <w:rsid w:val="00690F51"/>
    <w:rsid w:val="006A2092"/>
    <w:rsid w:val="006A3203"/>
    <w:rsid w:val="006A3D32"/>
    <w:rsid w:val="006A4445"/>
    <w:rsid w:val="006A6C5E"/>
    <w:rsid w:val="006A7024"/>
    <w:rsid w:val="006B4FEE"/>
    <w:rsid w:val="006B525C"/>
    <w:rsid w:val="006B6392"/>
    <w:rsid w:val="006B6C4C"/>
    <w:rsid w:val="006C584B"/>
    <w:rsid w:val="006D1231"/>
    <w:rsid w:val="006D1DFA"/>
    <w:rsid w:val="006D2445"/>
    <w:rsid w:val="006D2BEF"/>
    <w:rsid w:val="006D46D3"/>
    <w:rsid w:val="006D5DE6"/>
    <w:rsid w:val="006D6885"/>
    <w:rsid w:val="006E1B2A"/>
    <w:rsid w:val="006E31E0"/>
    <w:rsid w:val="006E6568"/>
    <w:rsid w:val="006F3EA9"/>
    <w:rsid w:val="006F68F5"/>
    <w:rsid w:val="007002F0"/>
    <w:rsid w:val="00701680"/>
    <w:rsid w:val="00702466"/>
    <w:rsid w:val="007033AF"/>
    <w:rsid w:val="00704335"/>
    <w:rsid w:val="0071143A"/>
    <w:rsid w:val="007116ED"/>
    <w:rsid w:val="00712A24"/>
    <w:rsid w:val="00714C44"/>
    <w:rsid w:val="00714FFC"/>
    <w:rsid w:val="00715291"/>
    <w:rsid w:val="0071681A"/>
    <w:rsid w:val="00722878"/>
    <w:rsid w:val="0072371C"/>
    <w:rsid w:val="007306F1"/>
    <w:rsid w:val="00732313"/>
    <w:rsid w:val="007331AE"/>
    <w:rsid w:val="0073400A"/>
    <w:rsid w:val="007351EA"/>
    <w:rsid w:val="007354BC"/>
    <w:rsid w:val="00736A73"/>
    <w:rsid w:val="00740CC4"/>
    <w:rsid w:val="00753644"/>
    <w:rsid w:val="0075708E"/>
    <w:rsid w:val="00760671"/>
    <w:rsid w:val="00762987"/>
    <w:rsid w:val="007643A6"/>
    <w:rsid w:val="007674DB"/>
    <w:rsid w:val="00770996"/>
    <w:rsid w:val="0077443B"/>
    <w:rsid w:val="00776582"/>
    <w:rsid w:val="00777949"/>
    <w:rsid w:val="00781948"/>
    <w:rsid w:val="00783E28"/>
    <w:rsid w:val="00784595"/>
    <w:rsid w:val="0078762C"/>
    <w:rsid w:val="007879C0"/>
    <w:rsid w:val="00791138"/>
    <w:rsid w:val="007933D9"/>
    <w:rsid w:val="007A331A"/>
    <w:rsid w:val="007A5E14"/>
    <w:rsid w:val="007B083B"/>
    <w:rsid w:val="007B0C84"/>
    <w:rsid w:val="007B5191"/>
    <w:rsid w:val="007B7829"/>
    <w:rsid w:val="007B7878"/>
    <w:rsid w:val="007C0DC8"/>
    <w:rsid w:val="007C2DD7"/>
    <w:rsid w:val="007C3B3E"/>
    <w:rsid w:val="007C3EAA"/>
    <w:rsid w:val="007C407D"/>
    <w:rsid w:val="007D3D12"/>
    <w:rsid w:val="007D459D"/>
    <w:rsid w:val="007D4CC4"/>
    <w:rsid w:val="007E07C2"/>
    <w:rsid w:val="007E194C"/>
    <w:rsid w:val="007E1E15"/>
    <w:rsid w:val="007E2BD2"/>
    <w:rsid w:val="007E70F9"/>
    <w:rsid w:val="007E770A"/>
    <w:rsid w:val="007E7E72"/>
    <w:rsid w:val="007F045A"/>
    <w:rsid w:val="007F0BD5"/>
    <w:rsid w:val="007F5702"/>
    <w:rsid w:val="007F5D0B"/>
    <w:rsid w:val="007F6A58"/>
    <w:rsid w:val="007F7BF7"/>
    <w:rsid w:val="008016E1"/>
    <w:rsid w:val="00801956"/>
    <w:rsid w:val="008065D1"/>
    <w:rsid w:val="00806F85"/>
    <w:rsid w:val="00807B99"/>
    <w:rsid w:val="008120FA"/>
    <w:rsid w:val="0081376B"/>
    <w:rsid w:val="00813A10"/>
    <w:rsid w:val="00817359"/>
    <w:rsid w:val="00822020"/>
    <w:rsid w:val="00822371"/>
    <w:rsid w:val="0082238F"/>
    <w:rsid w:val="008229D5"/>
    <w:rsid w:val="00823300"/>
    <w:rsid w:val="008300E2"/>
    <w:rsid w:val="00830FB8"/>
    <w:rsid w:val="0083268C"/>
    <w:rsid w:val="008437D3"/>
    <w:rsid w:val="0084501B"/>
    <w:rsid w:val="00846FCC"/>
    <w:rsid w:val="008501FB"/>
    <w:rsid w:val="00857072"/>
    <w:rsid w:val="008632A0"/>
    <w:rsid w:val="00863686"/>
    <w:rsid w:val="008666D6"/>
    <w:rsid w:val="00866CB6"/>
    <w:rsid w:val="00867912"/>
    <w:rsid w:val="00870084"/>
    <w:rsid w:val="00873297"/>
    <w:rsid w:val="0087644E"/>
    <w:rsid w:val="008778A4"/>
    <w:rsid w:val="008805C6"/>
    <w:rsid w:val="00880710"/>
    <w:rsid w:val="008814BF"/>
    <w:rsid w:val="0088279E"/>
    <w:rsid w:val="008840A5"/>
    <w:rsid w:val="0088576E"/>
    <w:rsid w:val="0089288D"/>
    <w:rsid w:val="00892D86"/>
    <w:rsid w:val="00895BD1"/>
    <w:rsid w:val="008971FB"/>
    <w:rsid w:val="008A2B02"/>
    <w:rsid w:val="008A4C78"/>
    <w:rsid w:val="008A7275"/>
    <w:rsid w:val="008B156D"/>
    <w:rsid w:val="008B157E"/>
    <w:rsid w:val="008B17C6"/>
    <w:rsid w:val="008B2327"/>
    <w:rsid w:val="008B3049"/>
    <w:rsid w:val="008B4ABE"/>
    <w:rsid w:val="008B5A2D"/>
    <w:rsid w:val="008B6D1C"/>
    <w:rsid w:val="008C322B"/>
    <w:rsid w:val="008C419F"/>
    <w:rsid w:val="008C5FE8"/>
    <w:rsid w:val="008D663B"/>
    <w:rsid w:val="008D68A7"/>
    <w:rsid w:val="008E067D"/>
    <w:rsid w:val="008E49D1"/>
    <w:rsid w:val="008E5CEB"/>
    <w:rsid w:val="008F17C5"/>
    <w:rsid w:val="008F3426"/>
    <w:rsid w:val="008F397C"/>
    <w:rsid w:val="008F5DC5"/>
    <w:rsid w:val="008F611D"/>
    <w:rsid w:val="00907C69"/>
    <w:rsid w:val="00913318"/>
    <w:rsid w:val="0091470B"/>
    <w:rsid w:val="00920115"/>
    <w:rsid w:val="00925316"/>
    <w:rsid w:val="00925921"/>
    <w:rsid w:val="00925CEE"/>
    <w:rsid w:val="009307E4"/>
    <w:rsid w:val="009313DF"/>
    <w:rsid w:val="00932226"/>
    <w:rsid w:val="0093284D"/>
    <w:rsid w:val="00932B4A"/>
    <w:rsid w:val="009331AE"/>
    <w:rsid w:val="009340EF"/>
    <w:rsid w:val="00935642"/>
    <w:rsid w:val="00940DDB"/>
    <w:rsid w:val="00941FEE"/>
    <w:rsid w:val="00942E62"/>
    <w:rsid w:val="00943420"/>
    <w:rsid w:val="00945C4D"/>
    <w:rsid w:val="009463BF"/>
    <w:rsid w:val="00954ACA"/>
    <w:rsid w:val="00956361"/>
    <w:rsid w:val="0095738B"/>
    <w:rsid w:val="00960C87"/>
    <w:rsid w:val="0096180A"/>
    <w:rsid w:val="00961B20"/>
    <w:rsid w:val="009624B6"/>
    <w:rsid w:val="0096292E"/>
    <w:rsid w:val="00966A37"/>
    <w:rsid w:val="00971C4F"/>
    <w:rsid w:val="00971CC6"/>
    <w:rsid w:val="00972E0B"/>
    <w:rsid w:val="00973A3E"/>
    <w:rsid w:val="009752EA"/>
    <w:rsid w:val="00975EC7"/>
    <w:rsid w:val="00976A7C"/>
    <w:rsid w:val="009852C1"/>
    <w:rsid w:val="00986046"/>
    <w:rsid w:val="00990EC0"/>
    <w:rsid w:val="009928CD"/>
    <w:rsid w:val="00992944"/>
    <w:rsid w:val="00992F01"/>
    <w:rsid w:val="009979C1"/>
    <w:rsid w:val="009A54D3"/>
    <w:rsid w:val="009A6580"/>
    <w:rsid w:val="009A6662"/>
    <w:rsid w:val="009A7AE3"/>
    <w:rsid w:val="009B4224"/>
    <w:rsid w:val="009C1505"/>
    <w:rsid w:val="009C41FB"/>
    <w:rsid w:val="009C4DB5"/>
    <w:rsid w:val="009C63CC"/>
    <w:rsid w:val="009C72A1"/>
    <w:rsid w:val="009D01EB"/>
    <w:rsid w:val="009D5027"/>
    <w:rsid w:val="009D7646"/>
    <w:rsid w:val="009E0874"/>
    <w:rsid w:val="009E1C86"/>
    <w:rsid w:val="009E5C2F"/>
    <w:rsid w:val="009E6036"/>
    <w:rsid w:val="009E63C8"/>
    <w:rsid w:val="009F0585"/>
    <w:rsid w:val="009F1945"/>
    <w:rsid w:val="009F4E49"/>
    <w:rsid w:val="009F67F0"/>
    <w:rsid w:val="00A03B81"/>
    <w:rsid w:val="00A04CB9"/>
    <w:rsid w:val="00A055DD"/>
    <w:rsid w:val="00A06F4D"/>
    <w:rsid w:val="00A075B8"/>
    <w:rsid w:val="00A119F3"/>
    <w:rsid w:val="00A1217A"/>
    <w:rsid w:val="00A12F66"/>
    <w:rsid w:val="00A16118"/>
    <w:rsid w:val="00A16887"/>
    <w:rsid w:val="00A22485"/>
    <w:rsid w:val="00A228C8"/>
    <w:rsid w:val="00A23DCA"/>
    <w:rsid w:val="00A30783"/>
    <w:rsid w:val="00A34B0E"/>
    <w:rsid w:val="00A355F6"/>
    <w:rsid w:val="00A37165"/>
    <w:rsid w:val="00A376E6"/>
    <w:rsid w:val="00A37A55"/>
    <w:rsid w:val="00A47A81"/>
    <w:rsid w:val="00A518AB"/>
    <w:rsid w:val="00A51E1F"/>
    <w:rsid w:val="00A52010"/>
    <w:rsid w:val="00A527B8"/>
    <w:rsid w:val="00A55DE7"/>
    <w:rsid w:val="00A576BA"/>
    <w:rsid w:val="00A613FC"/>
    <w:rsid w:val="00A61FDB"/>
    <w:rsid w:val="00A62DF9"/>
    <w:rsid w:val="00A63E50"/>
    <w:rsid w:val="00A64E61"/>
    <w:rsid w:val="00A64F79"/>
    <w:rsid w:val="00A70BAE"/>
    <w:rsid w:val="00A725C1"/>
    <w:rsid w:val="00A76F5C"/>
    <w:rsid w:val="00A817D3"/>
    <w:rsid w:val="00A83176"/>
    <w:rsid w:val="00A87BA8"/>
    <w:rsid w:val="00A90211"/>
    <w:rsid w:val="00A905A7"/>
    <w:rsid w:val="00A934C4"/>
    <w:rsid w:val="00A96AF1"/>
    <w:rsid w:val="00A96D15"/>
    <w:rsid w:val="00A97793"/>
    <w:rsid w:val="00AA0A59"/>
    <w:rsid w:val="00AA17BB"/>
    <w:rsid w:val="00AA2393"/>
    <w:rsid w:val="00AA2F2D"/>
    <w:rsid w:val="00AA3794"/>
    <w:rsid w:val="00AA512C"/>
    <w:rsid w:val="00AA6449"/>
    <w:rsid w:val="00AB004A"/>
    <w:rsid w:val="00AB31A6"/>
    <w:rsid w:val="00AC1658"/>
    <w:rsid w:val="00AC260F"/>
    <w:rsid w:val="00AC7DDF"/>
    <w:rsid w:val="00AC7F1A"/>
    <w:rsid w:val="00AD0688"/>
    <w:rsid w:val="00AD12BB"/>
    <w:rsid w:val="00AD13C3"/>
    <w:rsid w:val="00AD7486"/>
    <w:rsid w:val="00AE0CBE"/>
    <w:rsid w:val="00AE1253"/>
    <w:rsid w:val="00AE1945"/>
    <w:rsid w:val="00AE366E"/>
    <w:rsid w:val="00AE4604"/>
    <w:rsid w:val="00AE51F0"/>
    <w:rsid w:val="00AE6BD8"/>
    <w:rsid w:val="00AE7CB6"/>
    <w:rsid w:val="00AF1B61"/>
    <w:rsid w:val="00AF1DD7"/>
    <w:rsid w:val="00AF786E"/>
    <w:rsid w:val="00B1080A"/>
    <w:rsid w:val="00B12667"/>
    <w:rsid w:val="00B12755"/>
    <w:rsid w:val="00B148BA"/>
    <w:rsid w:val="00B15F71"/>
    <w:rsid w:val="00B23D02"/>
    <w:rsid w:val="00B24BA1"/>
    <w:rsid w:val="00B24F24"/>
    <w:rsid w:val="00B260B2"/>
    <w:rsid w:val="00B26E90"/>
    <w:rsid w:val="00B26EB8"/>
    <w:rsid w:val="00B279AC"/>
    <w:rsid w:val="00B3080E"/>
    <w:rsid w:val="00B3116B"/>
    <w:rsid w:val="00B31D71"/>
    <w:rsid w:val="00B346ED"/>
    <w:rsid w:val="00B37208"/>
    <w:rsid w:val="00B374AC"/>
    <w:rsid w:val="00B4120E"/>
    <w:rsid w:val="00B427C9"/>
    <w:rsid w:val="00B4431B"/>
    <w:rsid w:val="00B50F92"/>
    <w:rsid w:val="00B51011"/>
    <w:rsid w:val="00B51E3D"/>
    <w:rsid w:val="00B556D5"/>
    <w:rsid w:val="00B56489"/>
    <w:rsid w:val="00B612E2"/>
    <w:rsid w:val="00B67644"/>
    <w:rsid w:val="00B7538B"/>
    <w:rsid w:val="00B76F68"/>
    <w:rsid w:val="00B82FD6"/>
    <w:rsid w:val="00B83397"/>
    <w:rsid w:val="00B83437"/>
    <w:rsid w:val="00B834C2"/>
    <w:rsid w:val="00B84B9E"/>
    <w:rsid w:val="00B85FC2"/>
    <w:rsid w:val="00B90444"/>
    <w:rsid w:val="00B93736"/>
    <w:rsid w:val="00B94EB8"/>
    <w:rsid w:val="00B95972"/>
    <w:rsid w:val="00B97007"/>
    <w:rsid w:val="00BA05A2"/>
    <w:rsid w:val="00BA5106"/>
    <w:rsid w:val="00BA7DFA"/>
    <w:rsid w:val="00BB25F0"/>
    <w:rsid w:val="00BC01AC"/>
    <w:rsid w:val="00BC2638"/>
    <w:rsid w:val="00BC2C7D"/>
    <w:rsid w:val="00BC557A"/>
    <w:rsid w:val="00BD0ABA"/>
    <w:rsid w:val="00BD2A70"/>
    <w:rsid w:val="00BD48D5"/>
    <w:rsid w:val="00BD4BBB"/>
    <w:rsid w:val="00BD593C"/>
    <w:rsid w:val="00BD5F6D"/>
    <w:rsid w:val="00BD79C5"/>
    <w:rsid w:val="00BE107A"/>
    <w:rsid w:val="00BE4A67"/>
    <w:rsid w:val="00BE6899"/>
    <w:rsid w:val="00BE75B6"/>
    <w:rsid w:val="00BF0A21"/>
    <w:rsid w:val="00C0126A"/>
    <w:rsid w:val="00C04937"/>
    <w:rsid w:val="00C04C62"/>
    <w:rsid w:val="00C053DC"/>
    <w:rsid w:val="00C108A7"/>
    <w:rsid w:val="00C1091D"/>
    <w:rsid w:val="00C115C3"/>
    <w:rsid w:val="00C11D4F"/>
    <w:rsid w:val="00C12F73"/>
    <w:rsid w:val="00C1387E"/>
    <w:rsid w:val="00C1529A"/>
    <w:rsid w:val="00C15E8C"/>
    <w:rsid w:val="00C22604"/>
    <w:rsid w:val="00C23FBB"/>
    <w:rsid w:val="00C262CA"/>
    <w:rsid w:val="00C301C4"/>
    <w:rsid w:val="00C31852"/>
    <w:rsid w:val="00C32B00"/>
    <w:rsid w:val="00C32F1B"/>
    <w:rsid w:val="00C34023"/>
    <w:rsid w:val="00C348AE"/>
    <w:rsid w:val="00C34DAC"/>
    <w:rsid w:val="00C42324"/>
    <w:rsid w:val="00C45376"/>
    <w:rsid w:val="00C46A6D"/>
    <w:rsid w:val="00C47A68"/>
    <w:rsid w:val="00C50118"/>
    <w:rsid w:val="00C5314E"/>
    <w:rsid w:val="00C5383A"/>
    <w:rsid w:val="00C56BBC"/>
    <w:rsid w:val="00C60411"/>
    <w:rsid w:val="00C62C50"/>
    <w:rsid w:val="00C63873"/>
    <w:rsid w:val="00C651DC"/>
    <w:rsid w:val="00C6692E"/>
    <w:rsid w:val="00C66DAF"/>
    <w:rsid w:val="00C7045E"/>
    <w:rsid w:val="00C728FC"/>
    <w:rsid w:val="00C77947"/>
    <w:rsid w:val="00C8141E"/>
    <w:rsid w:val="00C82BF7"/>
    <w:rsid w:val="00C86F21"/>
    <w:rsid w:val="00C91950"/>
    <w:rsid w:val="00C91DE1"/>
    <w:rsid w:val="00C91FD8"/>
    <w:rsid w:val="00C94BDB"/>
    <w:rsid w:val="00C954DC"/>
    <w:rsid w:val="00C95845"/>
    <w:rsid w:val="00C976F5"/>
    <w:rsid w:val="00CA2546"/>
    <w:rsid w:val="00CA2C4A"/>
    <w:rsid w:val="00CA6BEE"/>
    <w:rsid w:val="00CB303F"/>
    <w:rsid w:val="00CC0741"/>
    <w:rsid w:val="00CC2F80"/>
    <w:rsid w:val="00CC3CB4"/>
    <w:rsid w:val="00CC409E"/>
    <w:rsid w:val="00CC4183"/>
    <w:rsid w:val="00CC68B6"/>
    <w:rsid w:val="00CC6D79"/>
    <w:rsid w:val="00CC70C3"/>
    <w:rsid w:val="00CD1EB5"/>
    <w:rsid w:val="00CD45A7"/>
    <w:rsid w:val="00CD5E90"/>
    <w:rsid w:val="00CD78B3"/>
    <w:rsid w:val="00CE363D"/>
    <w:rsid w:val="00CE5675"/>
    <w:rsid w:val="00CF1AD4"/>
    <w:rsid w:val="00CF22F1"/>
    <w:rsid w:val="00D04A49"/>
    <w:rsid w:val="00D04CCA"/>
    <w:rsid w:val="00D11ED4"/>
    <w:rsid w:val="00D1203F"/>
    <w:rsid w:val="00D1327E"/>
    <w:rsid w:val="00D16D8A"/>
    <w:rsid w:val="00D23397"/>
    <w:rsid w:val="00D24EC4"/>
    <w:rsid w:val="00D27B73"/>
    <w:rsid w:val="00D30A91"/>
    <w:rsid w:val="00D34D8A"/>
    <w:rsid w:val="00D408E7"/>
    <w:rsid w:val="00D42C23"/>
    <w:rsid w:val="00D442D6"/>
    <w:rsid w:val="00D46064"/>
    <w:rsid w:val="00D51D80"/>
    <w:rsid w:val="00D5224F"/>
    <w:rsid w:val="00D600DB"/>
    <w:rsid w:val="00D61ACF"/>
    <w:rsid w:val="00D624C7"/>
    <w:rsid w:val="00D63279"/>
    <w:rsid w:val="00D7022B"/>
    <w:rsid w:val="00D705CB"/>
    <w:rsid w:val="00D719BF"/>
    <w:rsid w:val="00D72377"/>
    <w:rsid w:val="00D74D50"/>
    <w:rsid w:val="00D75D77"/>
    <w:rsid w:val="00D912AC"/>
    <w:rsid w:val="00D92A80"/>
    <w:rsid w:val="00D945E8"/>
    <w:rsid w:val="00D9461B"/>
    <w:rsid w:val="00D9666F"/>
    <w:rsid w:val="00DA7BB4"/>
    <w:rsid w:val="00DB0B6E"/>
    <w:rsid w:val="00DB2313"/>
    <w:rsid w:val="00DB38D7"/>
    <w:rsid w:val="00DB4EA0"/>
    <w:rsid w:val="00DB6CFF"/>
    <w:rsid w:val="00DB789E"/>
    <w:rsid w:val="00DC0EF8"/>
    <w:rsid w:val="00DC2D54"/>
    <w:rsid w:val="00DC734A"/>
    <w:rsid w:val="00DC7C0B"/>
    <w:rsid w:val="00DD3668"/>
    <w:rsid w:val="00DD5622"/>
    <w:rsid w:val="00DD58BB"/>
    <w:rsid w:val="00DE08A6"/>
    <w:rsid w:val="00DE1363"/>
    <w:rsid w:val="00DE566B"/>
    <w:rsid w:val="00DE683F"/>
    <w:rsid w:val="00DE71A7"/>
    <w:rsid w:val="00DF1BD6"/>
    <w:rsid w:val="00DF3A72"/>
    <w:rsid w:val="00DF3E9C"/>
    <w:rsid w:val="00DF447C"/>
    <w:rsid w:val="00DF45C1"/>
    <w:rsid w:val="00DF5EE9"/>
    <w:rsid w:val="00E01E27"/>
    <w:rsid w:val="00E043A8"/>
    <w:rsid w:val="00E0504E"/>
    <w:rsid w:val="00E066FA"/>
    <w:rsid w:val="00E06B9C"/>
    <w:rsid w:val="00E134B8"/>
    <w:rsid w:val="00E14A85"/>
    <w:rsid w:val="00E17D95"/>
    <w:rsid w:val="00E2501C"/>
    <w:rsid w:val="00E254D5"/>
    <w:rsid w:val="00E26A89"/>
    <w:rsid w:val="00E27033"/>
    <w:rsid w:val="00E326FF"/>
    <w:rsid w:val="00E33EFE"/>
    <w:rsid w:val="00E34919"/>
    <w:rsid w:val="00E360AB"/>
    <w:rsid w:val="00E36D3C"/>
    <w:rsid w:val="00E36F77"/>
    <w:rsid w:val="00E42B21"/>
    <w:rsid w:val="00E43D07"/>
    <w:rsid w:val="00E4440E"/>
    <w:rsid w:val="00E505B7"/>
    <w:rsid w:val="00E50968"/>
    <w:rsid w:val="00E54FA7"/>
    <w:rsid w:val="00E56272"/>
    <w:rsid w:val="00E63870"/>
    <w:rsid w:val="00E64203"/>
    <w:rsid w:val="00E66866"/>
    <w:rsid w:val="00E67282"/>
    <w:rsid w:val="00E70A31"/>
    <w:rsid w:val="00E716EA"/>
    <w:rsid w:val="00E71995"/>
    <w:rsid w:val="00E72755"/>
    <w:rsid w:val="00E80D60"/>
    <w:rsid w:val="00E80D71"/>
    <w:rsid w:val="00E81906"/>
    <w:rsid w:val="00E82802"/>
    <w:rsid w:val="00E86E73"/>
    <w:rsid w:val="00E951FA"/>
    <w:rsid w:val="00EA5782"/>
    <w:rsid w:val="00EA5936"/>
    <w:rsid w:val="00EA6BB4"/>
    <w:rsid w:val="00EA75E8"/>
    <w:rsid w:val="00EB0AA2"/>
    <w:rsid w:val="00EB57AC"/>
    <w:rsid w:val="00EB6E0D"/>
    <w:rsid w:val="00EC015E"/>
    <w:rsid w:val="00EC0F45"/>
    <w:rsid w:val="00EC15AB"/>
    <w:rsid w:val="00EC2FC1"/>
    <w:rsid w:val="00EC3F78"/>
    <w:rsid w:val="00EC51A2"/>
    <w:rsid w:val="00EC58FD"/>
    <w:rsid w:val="00EC5F7B"/>
    <w:rsid w:val="00ED1C87"/>
    <w:rsid w:val="00ED4BFF"/>
    <w:rsid w:val="00ED68F5"/>
    <w:rsid w:val="00ED7065"/>
    <w:rsid w:val="00ED7900"/>
    <w:rsid w:val="00EE0C78"/>
    <w:rsid w:val="00EE1AAF"/>
    <w:rsid w:val="00EE4CD3"/>
    <w:rsid w:val="00EE760D"/>
    <w:rsid w:val="00EE7A73"/>
    <w:rsid w:val="00EF0928"/>
    <w:rsid w:val="00EF591B"/>
    <w:rsid w:val="00F02ADE"/>
    <w:rsid w:val="00F02DFB"/>
    <w:rsid w:val="00F05936"/>
    <w:rsid w:val="00F05E01"/>
    <w:rsid w:val="00F067CF"/>
    <w:rsid w:val="00F13955"/>
    <w:rsid w:val="00F1694C"/>
    <w:rsid w:val="00F22B62"/>
    <w:rsid w:val="00F23069"/>
    <w:rsid w:val="00F25875"/>
    <w:rsid w:val="00F26279"/>
    <w:rsid w:val="00F2653D"/>
    <w:rsid w:val="00F27DA1"/>
    <w:rsid w:val="00F3496D"/>
    <w:rsid w:val="00F37604"/>
    <w:rsid w:val="00F46C5E"/>
    <w:rsid w:val="00F47766"/>
    <w:rsid w:val="00F50BEF"/>
    <w:rsid w:val="00F50CC2"/>
    <w:rsid w:val="00F5165A"/>
    <w:rsid w:val="00F53BD3"/>
    <w:rsid w:val="00F56DE1"/>
    <w:rsid w:val="00F600C7"/>
    <w:rsid w:val="00F616DA"/>
    <w:rsid w:val="00F62CE8"/>
    <w:rsid w:val="00F64A65"/>
    <w:rsid w:val="00F66A30"/>
    <w:rsid w:val="00F67CEA"/>
    <w:rsid w:val="00F73021"/>
    <w:rsid w:val="00F73FD9"/>
    <w:rsid w:val="00F75CE1"/>
    <w:rsid w:val="00F80152"/>
    <w:rsid w:val="00F833DC"/>
    <w:rsid w:val="00F87EE4"/>
    <w:rsid w:val="00F9104B"/>
    <w:rsid w:val="00F91A4B"/>
    <w:rsid w:val="00F978EE"/>
    <w:rsid w:val="00FA07DB"/>
    <w:rsid w:val="00FA0DC4"/>
    <w:rsid w:val="00FB0CB9"/>
    <w:rsid w:val="00FB19D1"/>
    <w:rsid w:val="00FB1D81"/>
    <w:rsid w:val="00FB210A"/>
    <w:rsid w:val="00FB39F5"/>
    <w:rsid w:val="00FB40CB"/>
    <w:rsid w:val="00FB55B7"/>
    <w:rsid w:val="00FC14ED"/>
    <w:rsid w:val="00FC2848"/>
    <w:rsid w:val="00FC2B9C"/>
    <w:rsid w:val="00FC3DE4"/>
    <w:rsid w:val="00FC4EA2"/>
    <w:rsid w:val="00FC63B1"/>
    <w:rsid w:val="00FC796A"/>
    <w:rsid w:val="00FC7EB7"/>
    <w:rsid w:val="00FD029C"/>
    <w:rsid w:val="00FD04A3"/>
    <w:rsid w:val="00FD302B"/>
    <w:rsid w:val="00FD3EB9"/>
    <w:rsid w:val="00FE1292"/>
    <w:rsid w:val="00FE3415"/>
    <w:rsid w:val="00FE4018"/>
    <w:rsid w:val="00FF0298"/>
    <w:rsid w:val="00FF1809"/>
    <w:rsid w:val="00FF2EE6"/>
    <w:rsid w:val="00FF54B1"/>
    <w:rsid w:val="00FF5FB4"/>
    <w:rsid w:val="00FF67D0"/>
    <w:rsid w:val="00FF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E4604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rsid w:val="00FD04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PCnadpis">
    <w:name w:val="SPC nadpis"/>
    <w:basedOn w:val="Nadpis1"/>
    <w:rsid w:val="00335201"/>
    <w:pPr>
      <w:spacing w:after="120"/>
      <w:jc w:val="center"/>
    </w:pPr>
    <w:rPr>
      <w:rFonts w:ascii="Times New Roman" w:hAnsi="Times New Roman"/>
      <w:sz w:val="22"/>
    </w:rPr>
  </w:style>
  <w:style w:type="paragraph" w:customStyle="1" w:styleId="Normlndobloku">
    <w:name w:val="Normální do bloku"/>
    <w:basedOn w:val="Normlny"/>
    <w:link w:val="NormlndoblokuChar"/>
    <w:autoRedefine/>
    <w:rsid w:val="00335201"/>
    <w:pPr>
      <w:tabs>
        <w:tab w:val="left" w:pos="7513"/>
      </w:tabs>
      <w:spacing w:after="120"/>
      <w:ind w:left="0" w:firstLine="0"/>
      <w:jc w:val="both"/>
    </w:pPr>
    <w:rPr>
      <w:lang w:val="sk-SK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C7045E"/>
    <w:pPr>
      <w:numPr>
        <w:numId w:val="6"/>
      </w:numPr>
      <w:tabs>
        <w:tab w:val="clear" w:pos="7513"/>
      </w:tabs>
      <w:suppressAutoHyphens/>
    </w:pPr>
    <w:rPr>
      <w:rFonts w:eastAsia="Calibri"/>
      <w:noProof/>
      <w:szCs w:val="24"/>
      <w:lang w:val="cs-CZ"/>
    </w:rPr>
  </w:style>
  <w:style w:type="paragraph" w:customStyle="1" w:styleId="STYL1">
    <w:name w:val="STYL1"/>
    <w:basedOn w:val="Normlndoblokusodrkami"/>
    <w:autoRedefine/>
    <w:rsid w:val="00FD04A3"/>
    <w:pPr>
      <w:numPr>
        <w:numId w:val="2"/>
      </w:numPr>
      <w:tabs>
        <w:tab w:val="clear" w:pos="720"/>
        <w:tab w:val="num" w:pos="360"/>
      </w:tabs>
      <w:spacing w:before="240"/>
      <w:ind w:left="1077"/>
      <w:jc w:val="left"/>
    </w:pPr>
    <w:rPr>
      <w:b/>
    </w:rPr>
  </w:style>
  <w:style w:type="paragraph" w:styleId="Pta">
    <w:name w:val="footer"/>
    <w:basedOn w:val="Normlny"/>
    <w:link w:val="PtaChar"/>
    <w:uiPriority w:val="99"/>
    <w:rsid w:val="00FD04A3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customStyle="1" w:styleId="PtaChar">
    <w:name w:val="Päta Char"/>
    <w:link w:val="Pta"/>
    <w:uiPriority w:val="99"/>
    <w:rsid w:val="00FD04A3"/>
    <w:rPr>
      <w:rFonts w:ascii="Helvetica" w:hAnsi="Helvetica"/>
      <w:sz w:val="16"/>
      <w:lang w:val="cs-CZ" w:eastAsia="en-US" w:bidi="ar-SA"/>
    </w:rPr>
  </w:style>
  <w:style w:type="character" w:styleId="slostrany">
    <w:name w:val="page number"/>
    <w:basedOn w:val="Predvolenpsmoodseku"/>
    <w:rsid w:val="00FD04A3"/>
  </w:style>
  <w:style w:type="character" w:customStyle="1" w:styleId="NormlndoblokuChar">
    <w:name w:val="Normální do bloku Char"/>
    <w:link w:val="Normlndobloku"/>
    <w:rsid w:val="00335201"/>
    <w:rPr>
      <w:sz w:val="22"/>
      <w:lang w:eastAsia="en-US"/>
    </w:rPr>
  </w:style>
  <w:style w:type="paragraph" w:customStyle="1" w:styleId="Styl10">
    <w:name w:val="Styl1"/>
    <w:basedOn w:val="Normlny"/>
    <w:autoRedefine/>
    <w:rsid w:val="00866CB6"/>
    <w:pPr>
      <w:keepNext/>
      <w:numPr>
        <w:numId w:val="3"/>
      </w:numPr>
      <w:tabs>
        <w:tab w:val="left" w:pos="567"/>
      </w:tabs>
      <w:spacing w:before="360" w:after="120"/>
    </w:pPr>
    <w:rPr>
      <w:b/>
      <w:bCs/>
      <w:caps/>
      <w:szCs w:val="24"/>
      <w:lang w:val="sk-SK"/>
    </w:rPr>
  </w:style>
  <w:style w:type="paragraph" w:customStyle="1" w:styleId="Styl2">
    <w:name w:val="Styl2"/>
    <w:basedOn w:val="Normlny"/>
    <w:autoRedefine/>
    <w:rsid w:val="00866CB6"/>
    <w:pPr>
      <w:keepNext/>
      <w:numPr>
        <w:ilvl w:val="1"/>
        <w:numId w:val="3"/>
      </w:numPr>
      <w:tabs>
        <w:tab w:val="left" w:pos="567"/>
      </w:tabs>
      <w:suppressAutoHyphens/>
      <w:spacing w:after="120"/>
      <w:ind w:left="539" w:hanging="539"/>
    </w:pPr>
    <w:rPr>
      <w:b/>
      <w:bCs/>
      <w:szCs w:val="22"/>
      <w:lang w:val="sk-SK"/>
    </w:rPr>
  </w:style>
  <w:style w:type="paragraph" w:customStyle="1" w:styleId="Styl3">
    <w:name w:val="Styl3"/>
    <w:basedOn w:val="Normlny"/>
    <w:autoRedefine/>
    <w:rsid w:val="00866CB6"/>
    <w:pPr>
      <w:suppressAutoHyphens/>
      <w:spacing w:after="120"/>
      <w:ind w:left="0" w:firstLine="0"/>
      <w:jc w:val="both"/>
    </w:pPr>
    <w:rPr>
      <w:szCs w:val="24"/>
      <w:u w:val="single"/>
      <w:lang w:val="sk-SK" w:eastAsia="cs-CZ"/>
    </w:rPr>
  </w:style>
  <w:style w:type="paragraph" w:styleId="Textpoznmkypodiarou">
    <w:name w:val="footnote text"/>
    <w:basedOn w:val="Normlny"/>
    <w:link w:val="TextpoznmkypodiarouChar"/>
    <w:rsid w:val="00FD04A3"/>
    <w:rPr>
      <w:sz w:val="20"/>
    </w:rPr>
  </w:style>
  <w:style w:type="character" w:customStyle="1" w:styleId="TextpoznmkypodiarouChar">
    <w:name w:val="Text poznámky pod čiarou Char"/>
    <w:link w:val="Textpoznmkypodiarou"/>
    <w:rsid w:val="00FD04A3"/>
    <w:rPr>
      <w:lang w:eastAsia="en-US"/>
    </w:rPr>
  </w:style>
  <w:style w:type="paragraph" w:styleId="Hlavika">
    <w:name w:val="header"/>
    <w:basedOn w:val="Normlny"/>
    <w:rsid w:val="00FD04A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866C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231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1D7A30"/>
    <w:pPr>
      <w:spacing w:before="96" w:after="96"/>
      <w:ind w:left="0" w:firstLine="0"/>
    </w:pPr>
    <w:rPr>
      <w:sz w:val="24"/>
      <w:szCs w:val="24"/>
      <w:lang w:val="sk-SK" w:eastAsia="sk-SK"/>
    </w:rPr>
  </w:style>
  <w:style w:type="character" w:customStyle="1" w:styleId="TextbublinyChar">
    <w:name w:val="Text bubliny Char"/>
    <w:link w:val="Textbubliny"/>
    <w:rsid w:val="00866CB6"/>
    <w:rPr>
      <w:rFonts w:ascii="Tahoma" w:hAnsi="Tahoma" w:cs="Tahoma"/>
      <w:sz w:val="16"/>
      <w:szCs w:val="16"/>
      <w:lang w:val="cs-CZ" w:eastAsia="en-US"/>
    </w:rPr>
  </w:style>
  <w:style w:type="paragraph" w:customStyle="1" w:styleId="tl4">
    <w:name w:val="Štýl4"/>
    <w:basedOn w:val="Normlndobloku"/>
    <w:qFormat/>
    <w:rsid w:val="00866CB6"/>
    <w:rPr>
      <w:i/>
      <w:u w:val="single"/>
    </w:rPr>
  </w:style>
  <w:style w:type="paragraph" w:customStyle="1" w:styleId="StylNormlndoblokusodrkami12bDoleva">
    <w:name w:val="Styl Normální do bloku s odrážkami + 12 b. Doleva"/>
    <w:basedOn w:val="Normlndoblokusodrkami"/>
    <w:rsid w:val="00C7045E"/>
    <w:pPr>
      <w:jc w:val="left"/>
    </w:pPr>
  </w:style>
  <w:style w:type="paragraph" w:styleId="Revzia">
    <w:name w:val="Revision"/>
    <w:hidden/>
    <w:uiPriority w:val="99"/>
    <w:semiHidden/>
    <w:rsid w:val="00B556D5"/>
    <w:rPr>
      <w:sz w:val="22"/>
      <w:lang w:eastAsia="en-US"/>
    </w:rPr>
  </w:style>
  <w:style w:type="character" w:styleId="Odkaznakomentr">
    <w:name w:val="annotation reference"/>
    <w:basedOn w:val="Predvolenpsmoodseku"/>
    <w:rsid w:val="004925B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925BF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4925B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925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925B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E4604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rsid w:val="00FD04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PCnadpis">
    <w:name w:val="SPC nadpis"/>
    <w:basedOn w:val="Nadpis1"/>
    <w:rsid w:val="00335201"/>
    <w:pPr>
      <w:spacing w:after="120"/>
      <w:jc w:val="center"/>
    </w:pPr>
    <w:rPr>
      <w:rFonts w:ascii="Times New Roman" w:hAnsi="Times New Roman"/>
      <w:sz w:val="22"/>
    </w:rPr>
  </w:style>
  <w:style w:type="paragraph" w:customStyle="1" w:styleId="Normlndobloku">
    <w:name w:val="Normální do bloku"/>
    <w:basedOn w:val="Normlny"/>
    <w:link w:val="NormlndoblokuChar"/>
    <w:autoRedefine/>
    <w:rsid w:val="00335201"/>
    <w:pPr>
      <w:tabs>
        <w:tab w:val="left" w:pos="7513"/>
      </w:tabs>
      <w:spacing w:after="120"/>
      <w:ind w:left="0" w:firstLine="0"/>
      <w:jc w:val="both"/>
    </w:pPr>
    <w:rPr>
      <w:lang w:val="sk-SK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C7045E"/>
    <w:pPr>
      <w:numPr>
        <w:numId w:val="6"/>
      </w:numPr>
      <w:tabs>
        <w:tab w:val="clear" w:pos="7513"/>
      </w:tabs>
      <w:suppressAutoHyphens/>
    </w:pPr>
    <w:rPr>
      <w:rFonts w:eastAsia="Calibri"/>
      <w:noProof/>
      <w:szCs w:val="24"/>
      <w:lang w:val="cs-CZ"/>
    </w:rPr>
  </w:style>
  <w:style w:type="paragraph" w:customStyle="1" w:styleId="STYL1">
    <w:name w:val="STYL1"/>
    <w:basedOn w:val="Normlndoblokusodrkami"/>
    <w:autoRedefine/>
    <w:rsid w:val="00FD04A3"/>
    <w:pPr>
      <w:numPr>
        <w:numId w:val="2"/>
      </w:numPr>
      <w:tabs>
        <w:tab w:val="clear" w:pos="720"/>
        <w:tab w:val="num" w:pos="360"/>
      </w:tabs>
      <w:spacing w:before="240"/>
      <w:ind w:left="1077"/>
      <w:jc w:val="left"/>
    </w:pPr>
    <w:rPr>
      <w:b/>
    </w:rPr>
  </w:style>
  <w:style w:type="paragraph" w:styleId="Pta">
    <w:name w:val="footer"/>
    <w:basedOn w:val="Normlny"/>
    <w:link w:val="PtaChar"/>
    <w:uiPriority w:val="99"/>
    <w:rsid w:val="00FD04A3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customStyle="1" w:styleId="PtaChar">
    <w:name w:val="Päta Char"/>
    <w:link w:val="Pta"/>
    <w:uiPriority w:val="99"/>
    <w:rsid w:val="00FD04A3"/>
    <w:rPr>
      <w:rFonts w:ascii="Helvetica" w:hAnsi="Helvetica"/>
      <w:sz w:val="16"/>
      <w:lang w:val="cs-CZ" w:eastAsia="en-US" w:bidi="ar-SA"/>
    </w:rPr>
  </w:style>
  <w:style w:type="character" w:styleId="slostrany">
    <w:name w:val="page number"/>
    <w:basedOn w:val="Predvolenpsmoodseku"/>
    <w:rsid w:val="00FD04A3"/>
  </w:style>
  <w:style w:type="character" w:customStyle="1" w:styleId="NormlndoblokuChar">
    <w:name w:val="Normální do bloku Char"/>
    <w:link w:val="Normlndobloku"/>
    <w:rsid w:val="00335201"/>
    <w:rPr>
      <w:sz w:val="22"/>
      <w:lang w:eastAsia="en-US"/>
    </w:rPr>
  </w:style>
  <w:style w:type="paragraph" w:customStyle="1" w:styleId="Styl10">
    <w:name w:val="Styl1"/>
    <w:basedOn w:val="Normlny"/>
    <w:autoRedefine/>
    <w:rsid w:val="00866CB6"/>
    <w:pPr>
      <w:keepNext/>
      <w:numPr>
        <w:numId w:val="3"/>
      </w:numPr>
      <w:tabs>
        <w:tab w:val="left" w:pos="567"/>
      </w:tabs>
      <w:spacing w:before="360" w:after="120"/>
    </w:pPr>
    <w:rPr>
      <w:b/>
      <w:bCs/>
      <w:caps/>
      <w:szCs w:val="24"/>
      <w:lang w:val="sk-SK"/>
    </w:rPr>
  </w:style>
  <w:style w:type="paragraph" w:customStyle="1" w:styleId="Styl2">
    <w:name w:val="Styl2"/>
    <w:basedOn w:val="Normlny"/>
    <w:autoRedefine/>
    <w:rsid w:val="00866CB6"/>
    <w:pPr>
      <w:keepNext/>
      <w:numPr>
        <w:ilvl w:val="1"/>
        <w:numId w:val="3"/>
      </w:numPr>
      <w:tabs>
        <w:tab w:val="left" w:pos="567"/>
      </w:tabs>
      <w:suppressAutoHyphens/>
      <w:spacing w:after="120"/>
      <w:ind w:left="539" w:hanging="539"/>
    </w:pPr>
    <w:rPr>
      <w:b/>
      <w:bCs/>
      <w:szCs w:val="22"/>
      <w:lang w:val="sk-SK"/>
    </w:rPr>
  </w:style>
  <w:style w:type="paragraph" w:customStyle="1" w:styleId="Styl3">
    <w:name w:val="Styl3"/>
    <w:basedOn w:val="Normlny"/>
    <w:autoRedefine/>
    <w:rsid w:val="00866CB6"/>
    <w:pPr>
      <w:suppressAutoHyphens/>
      <w:spacing w:after="120"/>
      <w:ind w:left="0" w:firstLine="0"/>
      <w:jc w:val="both"/>
    </w:pPr>
    <w:rPr>
      <w:szCs w:val="24"/>
      <w:u w:val="single"/>
      <w:lang w:val="sk-SK" w:eastAsia="cs-CZ"/>
    </w:rPr>
  </w:style>
  <w:style w:type="paragraph" w:styleId="Textpoznmkypodiarou">
    <w:name w:val="footnote text"/>
    <w:basedOn w:val="Normlny"/>
    <w:link w:val="TextpoznmkypodiarouChar"/>
    <w:rsid w:val="00FD04A3"/>
    <w:rPr>
      <w:sz w:val="20"/>
    </w:rPr>
  </w:style>
  <w:style w:type="character" w:customStyle="1" w:styleId="TextpoznmkypodiarouChar">
    <w:name w:val="Text poznámky pod čiarou Char"/>
    <w:link w:val="Textpoznmkypodiarou"/>
    <w:rsid w:val="00FD04A3"/>
    <w:rPr>
      <w:lang w:eastAsia="en-US"/>
    </w:rPr>
  </w:style>
  <w:style w:type="paragraph" w:styleId="Hlavika">
    <w:name w:val="header"/>
    <w:basedOn w:val="Normlny"/>
    <w:rsid w:val="00FD04A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866C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231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1D7A30"/>
    <w:pPr>
      <w:spacing w:before="96" w:after="96"/>
      <w:ind w:left="0" w:firstLine="0"/>
    </w:pPr>
    <w:rPr>
      <w:sz w:val="24"/>
      <w:szCs w:val="24"/>
      <w:lang w:val="sk-SK" w:eastAsia="sk-SK"/>
    </w:rPr>
  </w:style>
  <w:style w:type="character" w:customStyle="1" w:styleId="TextbublinyChar">
    <w:name w:val="Text bubliny Char"/>
    <w:link w:val="Textbubliny"/>
    <w:rsid w:val="00866CB6"/>
    <w:rPr>
      <w:rFonts w:ascii="Tahoma" w:hAnsi="Tahoma" w:cs="Tahoma"/>
      <w:sz w:val="16"/>
      <w:szCs w:val="16"/>
      <w:lang w:val="cs-CZ" w:eastAsia="en-US"/>
    </w:rPr>
  </w:style>
  <w:style w:type="paragraph" w:customStyle="1" w:styleId="tl4">
    <w:name w:val="Štýl4"/>
    <w:basedOn w:val="Normlndobloku"/>
    <w:qFormat/>
    <w:rsid w:val="00866CB6"/>
    <w:rPr>
      <w:i/>
      <w:u w:val="single"/>
    </w:rPr>
  </w:style>
  <w:style w:type="paragraph" w:customStyle="1" w:styleId="StylNormlndoblokusodrkami12bDoleva">
    <w:name w:val="Styl Normální do bloku s odrážkami + 12 b. Doleva"/>
    <w:basedOn w:val="Normlndoblokusodrkami"/>
    <w:rsid w:val="00C7045E"/>
    <w:pPr>
      <w:jc w:val="left"/>
    </w:pPr>
  </w:style>
  <w:style w:type="paragraph" w:styleId="Revzia">
    <w:name w:val="Revision"/>
    <w:hidden/>
    <w:uiPriority w:val="99"/>
    <w:semiHidden/>
    <w:rsid w:val="00B556D5"/>
    <w:rPr>
      <w:sz w:val="22"/>
      <w:lang w:eastAsia="en-US"/>
    </w:rPr>
  </w:style>
  <w:style w:type="character" w:styleId="Odkaznakomentr">
    <w:name w:val="annotation reference"/>
    <w:basedOn w:val="Predvolenpsmoodseku"/>
    <w:rsid w:val="004925B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925BF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4925B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925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925BF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2075</Words>
  <Characters>11829</Characters>
  <Application>Microsoft Office Word</Application>
  <DocSecurity>0</DocSecurity>
  <Lines>98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SUKL</Company>
  <LinksUpToDate>false</LinksUpToDate>
  <CharactersWithSpaces>13877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stratinska</dc:creator>
  <cp:lastModifiedBy>mv</cp:lastModifiedBy>
  <cp:revision>8</cp:revision>
  <cp:lastPrinted>2016-08-09T07:00:00Z</cp:lastPrinted>
  <dcterms:created xsi:type="dcterms:W3CDTF">2016-07-19T09:34:00Z</dcterms:created>
  <dcterms:modified xsi:type="dcterms:W3CDTF">2016-08-09T07:00:00Z</dcterms:modified>
</cp:coreProperties>
</file>