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98118" w14:textId="77777777" w:rsidR="001A2F10" w:rsidRDefault="001A2F10" w:rsidP="00780C83">
      <w:pPr>
        <w:pStyle w:val="SPCaPILhlavika"/>
        <w:spacing w:before="0" w:after="0"/>
        <w:jc w:val="left"/>
        <w:rPr>
          <w:lang w:val="sk-SK"/>
        </w:rPr>
      </w:pPr>
      <w:r w:rsidRPr="008D6195">
        <w:rPr>
          <w:lang w:val="sk-SK"/>
        </w:rPr>
        <w:t>SÚHRN CHARAKTERISTICKÝCH VLASTNOSTÍ LIEKU</w:t>
      </w:r>
    </w:p>
    <w:p w14:paraId="3B21F6F1" w14:textId="77777777" w:rsidR="00B32054" w:rsidRDefault="00B32054" w:rsidP="00780C83">
      <w:pPr>
        <w:pStyle w:val="SPCaPILhlavika"/>
        <w:spacing w:before="0" w:after="0"/>
        <w:jc w:val="left"/>
        <w:rPr>
          <w:lang w:val="sk-SK"/>
        </w:rPr>
      </w:pPr>
    </w:p>
    <w:p w14:paraId="210B3C84" w14:textId="77777777" w:rsidR="00B32054" w:rsidRPr="008D6195" w:rsidRDefault="00B32054" w:rsidP="00780C83">
      <w:pPr>
        <w:pStyle w:val="SPCaPILhlavika"/>
        <w:spacing w:before="0" w:after="0"/>
        <w:jc w:val="left"/>
        <w:rPr>
          <w:lang w:val="sk-SK"/>
        </w:rPr>
      </w:pPr>
    </w:p>
    <w:p w14:paraId="061A4DEA" w14:textId="77777777" w:rsidR="001A2F10" w:rsidRDefault="001A2F10" w:rsidP="00780C83">
      <w:pPr>
        <w:pStyle w:val="Styl1"/>
        <w:numPr>
          <w:ilvl w:val="0"/>
          <w:numId w:val="1"/>
        </w:numPr>
        <w:spacing w:before="0" w:after="0"/>
        <w:ind w:left="357" w:hanging="357"/>
      </w:pPr>
      <w:r w:rsidRPr="008D6195">
        <w:t>NÁZOV LIEKU</w:t>
      </w:r>
    </w:p>
    <w:p w14:paraId="2090033D" w14:textId="77777777" w:rsidR="00B32054" w:rsidRPr="008D6195" w:rsidRDefault="00B32054" w:rsidP="00780C83">
      <w:pPr>
        <w:pStyle w:val="Styl1"/>
        <w:numPr>
          <w:ilvl w:val="0"/>
          <w:numId w:val="0"/>
        </w:numPr>
        <w:spacing w:before="0" w:after="0"/>
        <w:ind w:left="357"/>
      </w:pPr>
    </w:p>
    <w:p w14:paraId="3A2BB578" w14:textId="77777777" w:rsidR="001A2F10" w:rsidRDefault="00531ECF" w:rsidP="00780C83">
      <w:pPr>
        <w:pStyle w:val="Normlndobloku"/>
        <w:spacing w:after="0"/>
        <w:jc w:val="left"/>
      </w:pPr>
      <w:r w:rsidRPr="008D6195">
        <w:t xml:space="preserve">FERANT 250 </w:t>
      </w:r>
      <w:proofErr w:type="spellStart"/>
      <w:r w:rsidRPr="008D6195">
        <w:t>mikrogramov</w:t>
      </w:r>
      <w:proofErr w:type="spellEnd"/>
      <w:r w:rsidRPr="008D6195">
        <w:t xml:space="preserve"> injekčný roztok</w:t>
      </w:r>
    </w:p>
    <w:p w14:paraId="471D59F0" w14:textId="77777777" w:rsidR="00B32054" w:rsidRDefault="00B32054" w:rsidP="00780C83">
      <w:pPr>
        <w:pStyle w:val="Normlndobloku"/>
        <w:spacing w:after="0"/>
        <w:jc w:val="left"/>
      </w:pPr>
    </w:p>
    <w:p w14:paraId="4C1018B0" w14:textId="77777777" w:rsidR="00B32054" w:rsidRPr="008D6195" w:rsidRDefault="00B32054" w:rsidP="00780C83">
      <w:pPr>
        <w:pStyle w:val="Normlndobloku"/>
        <w:spacing w:after="0"/>
        <w:jc w:val="left"/>
      </w:pPr>
    </w:p>
    <w:p w14:paraId="39DD7D8F" w14:textId="77777777" w:rsidR="001A2F10" w:rsidRDefault="001A2F10" w:rsidP="00780C83">
      <w:pPr>
        <w:pStyle w:val="Styl1"/>
        <w:numPr>
          <w:ilvl w:val="0"/>
          <w:numId w:val="1"/>
        </w:numPr>
        <w:spacing w:before="0" w:after="0"/>
        <w:ind w:left="357" w:hanging="357"/>
      </w:pPr>
      <w:r w:rsidRPr="008D6195">
        <w:t>KVALITATÍVNE A KVANTITATÍVNE ZLOŽENIE</w:t>
      </w:r>
    </w:p>
    <w:p w14:paraId="4FD8F2D5" w14:textId="77777777" w:rsidR="00B32054" w:rsidRPr="008D6195" w:rsidRDefault="00B32054" w:rsidP="00780C83">
      <w:pPr>
        <w:pStyle w:val="Styl1"/>
        <w:numPr>
          <w:ilvl w:val="0"/>
          <w:numId w:val="0"/>
        </w:numPr>
        <w:spacing w:before="0" w:after="0"/>
        <w:ind w:left="357"/>
      </w:pPr>
    </w:p>
    <w:p w14:paraId="01269CF0" w14:textId="5E50D448" w:rsidR="001A2F10" w:rsidRPr="008D6195" w:rsidRDefault="00531ECF" w:rsidP="00780C83">
      <w:pPr>
        <w:pStyle w:val="Normlndobloku"/>
        <w:spacing w:after="0"/>
        <w:jc w:val="left"/>
      </w:pPr>
      <w:r w:rsidRPr="008D6195">
        <w:t xml:space="preserve">Jeden ml roztoku obsahuje 50 </w:t>
      </w:r>
      <w:proofErr w:type="spellStart"/>
      <w:r w:rsidRPr="008D6195">
        <w:t>mikrogramov</w:t>
      </w:r>
      <w:proofErr w:type="spellEnd"/>
      <w:r w:rsidRPr="008D6195">
        <w:t xml:space="preserve"> </w:t>
      </w:r>
      <w:proofErr w:type="spellStart"/>
      <w:r w:rsidRPr="008D6195">
        <w:t>palonosetrónu</w:t>
      </w:r>
      <w:proofErr w:type="spellEnd"/>
      <w:r w:rsidRPr="008D6195">
        <w:t xml:space="preserve"> (</w:t>
      </w:r>
      <w:r w:rsidR="00633D6E" w:rsidRPr="008D6195">
        <w:t xml:space="preserve">vo forme </w:t>
      </w:r>
      <w:proofErr w:type="spellStart"/>
      <w:r w:rsidRPr="008D6195">
        <w:t>hydrochlorid</w:t>
      </w:r>
      <w:r w:rsidR="00633D6E" w:rsidRPr="008D6195">
        <w:t>u</w:t>
      </w:r>
      <w:proofErr w:type="spellEnd"/>
      <w:r w:rsidRPr="008D6195">
        <w:t>).</w:t>
      </w:r>
    </w:p>
    <w:p w14:paraId="415F4954" w14:textId="4DC93BB1" w:rsidR="00531ECF" w:rsidRDefault="00531ECF" w:rsidP="00780C83">
      <w:pPr>
        <w:pStyle w:val="Normlndobloku"/>
        <w:spacing w:after="0"/>
        <w:jc w:val="left"/>
      </w:pPr>
      <w:r w:rsidRPr="008D6195">
        <w:t xml:space="preserve">Jedna </w:t>
      </w:r>
      <w:r w:rsidR="00633D6E" w:rsidRPr="008D6195">
        <w:t xml:space="preserve">ampulka s </w:t>
      </w:r>
      <w:r w:rsidRPr="008D6195">
        <w:t xml:space="preserve">5 ml </w:t>
      </w:r>
      <w:r w:rsidR="00633D6E" w:rsidRPr="008D6195">
        <w:t xml:space="preserve">roztoku </w:t>
      </w:r>
      <w:r w:rsidRPr="008D6195">
        <w:t xml:space="preserve">obsahuje 250 </w:t>
      </w:r>
      <w:proofErr w:type="spellStart"/>
      <w:r w:rsidRPr="008D6195">
        <w:t>mikrogramov</w:t>
      </w:r>
      <w:proofErr w:type="spellEnd"/>
      <w:r w:rsidRPr="008D6195">
        <w:t xml:space="preserve"> </w:t>
      </w:r>
      <w:proofErr w:type="spellStart"/>
      <w:r w:rsidRPr="008D6195">
        <w:t>palonosetrónu</w:t>
      </w:r>
      <w:proofErr w:type="spellEnd"/>
      <w:r w:rsidRPr="008D6195">
        <w:t xml:space="preserve"> (</w:t>
      </w:r>
      <w:r w:rsidR="00633D6E" w:rsidRPr="008D6195">
        <w:t xml:space="preserve">vo forme </w:t>
      </w:r>
      <w:proofErr w:type="spellStart"/>
      <w:r w:rsidRPr="008D6195">
        <w:t>hydrochlorid</w:t>
      </w:r>
      <w:r w:rsidR="00633D6E" w:rsidRPr="008D6195">
        <w:t>u</w:t>
      </w:r>
      <w:proofErr w:type="spellEnd"/>
      <w:r w:rsidRPr="008D6195">
        <w:t>).</w:t>
      </w:r>
    </w:p>
    <w:p w14:paraId="0EF0A7C0" w14:textId="77777777" w:rsidR="00B32054" w:rsidRPr="008D6195" w:rsidRDefault="00B32054" w:rsidP="00780C83">
      <w:pPr>
        <w:pStyle w:val="Normlndobloku"/>
        <w:spacing w:after="0"/>
        <w:jc w:val="left"/>
      </w:pPr>
    </w:p>
    <w:p w14:paraId="6976A543" w14:textId="5B682044" w:rsidR="00B32054" w:rsidRDefault="00156087" w:rsidP="00780C83">
      <w:pPr>
        <w:pStyle w:val="Normlndobloku"/>
        <w:spacing w:after="0"/>
        <w:jc w:val="left"/>
      </w:pPr>
      <w:r w:rsidRPr="00780C83">
        <w:rPr>
          <w:u w:val="single"/>
        </w:rPr>
        <w:t>Pomocn</w:t>
      </w:r>
      <w:r w:rsidR="00633D6E" w:rsidRPr="00780C83">
        <w:rPr>
          <w:u w:val="single"/>
        </w:rPr>
        <w:t>á</w:t>
      </w:r>
      <w:r w:rsidRPr="00780C83">
        <w:rPr>
          <w:u w:val="single"/>
        </w:rPr>
        <w:t xml:space="preserve"> látk</w:t>
      </w:r>
      <w:r w:rsidR="00633D6E" w:rsidRPr="00780C83">
        <w:rPr>
          <w:u w:val="single"/>
        </w:rPr>
        <w:t>a</w:t>
      </w:r>
      <w:r w:rsidRPr="00780C83">
        <w:rPr>
          <w:u w:val="single"/>
        </w:rPr>
        <w:t xml:space="preserve"> so známym účinkom</w:t>
      </w:r>
    </w:p>
    <w:p w14:paraId="7F8CE073" w14:textId="07AEDA6D" w:rsidR="00156087" w:rsidRPr="008D6195" w:rsidRDefault="00156087" w:rsidP="00780C83">
      <w:pPr>
        <w:pStyle w:val="Normlndobloku"/>
        <w:spacing w:after="0"/>
        <w:jc w:val="left"/>
      </w:pPr>
      <w:r w:rsidRPr="008D6195">
        <w:t xml:space="preserve">Jedna </w:t>
      </w:r>
      <w:r w:rsidR="00633D6E" w:rsidRPr="008D6195">
        <w:t xml:space="preserve">ampulka s 5 ml roztoku </w:t>
      </w:r>
      <w:r w:rsidRPr="008D6195">
        <w:t>obsahuje 0,20 mmol (4,65 mg) sodíka.</w:t>
      </w:r>
    </w:p>
    <w:p w14:paraId="59FE4E54" w14:textId="77777777" w:rsidR="00B32054" w:rsidRDefault="00B32054" w:rsidP="00780C83">
      <w:pPr>
        <w:pStyle w:val="Normlndobloku"/>
        <w:spacing w:after="0"/>
        <w:jc w:val="left"/>
      </w:pPr>
    </w:p>
    <w:p w14:paraId="5A8B8546" w14:textId="77777777" w:rsidR="001A2F10" w:rsidRDefault="001A2F10" w:rsidP="00780C83">
      <w:pPr>
        <w:pStyle w:val="Normlndobloku"/>
        <w:spacing w:after="0"/>
        <w:jc w:val="left"/>
      </w:pPr>
      <w:r w:rsidRPr="008D6195">
        <w:t>Úplný zoznam pomocných látok, pozri časť 6.1.</w:t>
      </w:r>
    </w:p>
    <w:p w14:paraId="50E8ADA5" w14:textId="77777777" w:rsidR="00B32054" w:rsidRDefault="00B32054" w:rsidP="00780C83">
      <w:pPr>
        <w:pStyle w:val="Normlndobloku"/>
        <w:spacing w:after="0"/>
        <w:jc w:val="left"/>
      </w:pPr>
    </w:p>
    <w:p w14:paraId="095A6BBC" w14:textId="77777777" w:rsidR="00B32054" w:rsidRPr="008D6195" w:rsidRDefault="00B32054" w:rsidP="00780C83">
      <w:pPr>
        <w:pStyle w:val="Normlndobloku"/>
        <w:spacing w:after="0"/>
        <w:jc w:val="left"/>
      </w:pPr>
    </w:p>
    <w:p w14:paraId="3584C50B" w14:textId="77777777" w:rsidR="001A2F10" w:rsidRDefault="001A2F10" w:rsidP="00780C83">
      <w:pPr>
        <w:pStyle w:val="Styl1"/>
        <w:numPr>
          <w:ilvl w:val="0"/>
          <w:numId w:val="1"/>
        </w:numPr>
        <w:spacing w:before="0" w:after="0"/>
        <w:ind w:left="357" w:hanging="357"/>
      </w:pPr>
      <w:r w:rsidRPr="008D6195">
        <w:t>LIEKOVÁ FORMA</w:t>
      </w:r>
    </w:p>
    <w:p w14:paraId="6CE3C823" w14:textId="77777777" w:rsidR="00B32054" w:rsidRPr="008D6195" w:rsidRDefault="00B32054" w:rsidP="00780C83">
      <w:pPr>
        <w:pStyle w:val="Styl1"/>
        <w:numPr>
          <w:ilvl w:val="0"/>
          <w:numId w:val="0"/>
        </w:numPr>
        <w:spacing w:before="0" w:after="0"/>
        <w:ind w:left="357"/>
      </w:pPr>
    </w:p>
    <w:p w14:paraId="4187FF14" w14:textId="2BCC33DF" w:rsidR="00E01098" w:rsidRPr="008D6195" w:rsidRDefault="001E6B8E" w:rsidP="00780C83">
      <w:pPr>
        <w:pStyle w:val="Normlndobloku"/>
        <w:spacing w:after="0"/>
        <w:jc w:val="left"/>
      </w:pPr>
      <w:r w:rsidRPr="008D6195">
        <w:t>Injekčný roztok</w:t>
      </w:r>
    </w:p>
    <w:p w14:paraId="19517211" w14:textId="44AAA8BE" w:rsidR="0057198F" w:rsidRDefault="0057198F" w:rsidP="00780C83">
      <w:pPr>
        <w:pStyle w:val="Normlndobloku"/>
        <w:spacing w:after="0"/>
        <w:jc w:val="left"/>
      </w:pPr>
      <w:r w:rsidRPr="008D6195">
        <w:t>Č</w:t>
      </w:r>
      <w:r w:rsidR="00233D13">
        <w:t xml:space="preserve">íry </w:t>
      </w:r>
      <w:r w:rsidRPr="008D6195">
        <w:t>bezfarebný roztok</w:t>
      </w:r>
      <w:r w:rsidR="001E6B8E" w:rsidRPr="008D6195">
        <w:t xml:space="preserve"> s pH 4,5 – 6,5</w:t>
      </w:r>
      <w:r w:rsidR="000F56EA">
        <w:t>.</w:t>
      </w:r>
    </w:p>
    <w:p w14:paraId="7981D36F" w14:textId="77777777" w:rsidR="00B32054" w:rsidRDefault="00B32054" w:rsidP="00780C83">
      <w:pPr>
        <w:pStyle w:val="Normlndobloku"/>
        <w:spacing w:after="0"/>
        <w:jc w:val="left"/>
      </w:pPr>
    </w:p>
    <w:p w14:paraId="049938BF" w14:textId="77777777" w:rsidR="00B32054" w:rsidRPr="008D6195" w:rsidRDefault="00B32054" w:rsidP="00780C83">
      <w:pPr>
        <w:pStyle w:val="Normlndobloku"/>
        <w:spacing w:after="0"/>
        <w:jc w:val="left"/>
      </w:pPr>
    </w:p>
    <w:p w14:paraId="6491BACF" w14:textId="77777777" w:rsidR="001A2F10" w:rsidRDefault="001A2F10" w:rsidP="00780C83">
      <w:pPr>
        <w:pStyle w:val="Styl1"/>
        <w:numPr>
          <w:ilvl w:val="0"/>
          <w:numId w:val="1"/>
        </w:numPr>
        <w:spacing w:before="0" w:after="0"/>
        <w:ind w:left="357" w:hanging="357"/>
      </w:pPr>
      <w:r w:rsidRPr="008D6195">
        <w:t>KLINICKÉ ÚDAJE</w:t>
      </w:r>
    </w:p>
    <w:p w14:paraId="0522AEC3" w14:textId="77777777" w:rsidR="00B32054" w:rsidRPr="008D6195" w:rsidRDefault="00B32054" w:rsidP="00780C83">
      <w:pPr>
        <w:pStyle w:val="Styl1"/>
        <w:numPr>
          <w:ilvl w:val="0"/>
          <w:numId w:val="0"/>
        </w:numPr>
        <w:spacing w:before="0" w:after="0"/>
        <w:ind w:left="357"/>
      </w:pPr>
    </w:p>
    <w:p w14:paraId="45B87FB9" w14:textId="77777777" w:rsidR="001A2F10" w:rsidRDefault="001A2F10" w:rsidP="00780C83">
      <w:pPr>
        <w:pStyle w:val="Styl2"/>
        <w:numPr>
          <w:ilvl w:val="1"/>
          <w:numId w:val="1"/>
        </w:numPr>
        <w:spacing w:before="0" w:after="0"/>
        <w:ind w:left="357" w:hanging="357"/>
        <w:rPr>
          <w:lang w:val="sk-SK"/>
        </w:rPr>
      </w:pPr>
      <w:r w:rsidRPr="008D6195">
        <w:rPr>
          <w:lang w:val="sk-SK"/>
        </w:rPr>
        <w:t>Terapeutické indikácie</w:t>
      </w:r>
    </w:p>
    <w:p w14:paraId="1E972B3C" w14:textId="77777777" w:rsidR="00B32054" w:rsidRPr="008D6195" w:rsidRDefault="00B32054" w:rsidP="00780C83">
      <w:pPr>
        <w:pStyle w:val="Styl2"/>
        <w:numPr>
          <w:ilvl w:val="0"/>
          <w:numId w:val="0"/>
        </w:numPr>
        <w:spacing w:before="0" w:after="0"/>
        <w:ind w:left="357"/>
        <w:rPr>
          <w:lang w:val="sk-SK"/>
        </w:rPr>
      </w:pPr>
    </w:p>
    <w:p w14:paraId="5208C4F5" w14:textId="77777777" w:rsidR="0057198F" w:rsidRPr="008D6195" w:rsidRDefault="0057198F" w:rsidP="00780C83">
      <w:pPr>
        <w:pStyle w:val="Normlndobloku"/>
        <w:spacing w:after="0"/>
        <w:jc w:val="left"/>
      </w:pPr>
      <w:r w:rsidRPr="008D6195">
        <w:t>FERANT je indikovaný u dospelých na:</w:t>
      </w:r>
    </w:p>
    <w:p w14:paraId="3578C24C" w14:textId="537FA6BD" w:rsidR="0057198F" w:rsidRPr="008D6195" w:rsidRDefault="0057198F" w:rsidP="00780C83">
      <w:pPr>
        <w:pStyle w:val="Normlndoblokusodrkami"/>
        <w:spacing w:after="0"/>
        <w:jc w:val="left"/>
        <w:rPr>
          <w:noProof w:val="0"/>
        </w:rPr>
      </w:pPr>
      <w:r w:rsidRPr="008D6195">
        <w:rPr>
          <w:noProof w:val="0"/>
        </w:rPr>
        <w:t xml:space="preserve">prevenciu akútnej nauzey a vracania, ktoré sú spojené s vysoko </w:t>
      </w:r>
      <w:proofErr w:type="spellStart"/>
      <w:r w:rsidRPr="008D6195">
        <w:rPr>
          <w:noProof w:val="0"/>
        </w:rPr>
        <w:t>emeto</w:t>
      </w:r>
      <w:r w:rsidR="001E6B8E" w:rsidRPr="008D6195">
        <w:rPr>
          <w:noProof w:val="0"/>
        </w:rPr>
        <w:t>génnou</w:t>
      </w:r>
      <w:proofErr w:type="spellEnd"/>
      <w:r w:rsidR="001E6B8E" w:rsidRPr="008D6195">
        <w:rPr>
          <w:noProof w:val="0"/>
        </w:rPr>
        <w:t xml:space="preserve"> chemoterapiou rakoviny</w:t>
      </w:r>
    </w:p>
    <w:p w14:paraId="74C2A889" w14:textId="4828A373" w:rsidR="0057198F" w:rsidRDefault="0057198F" w:rsidP="00780C83">
      <w:pPr>
        <w:pStyle w:val="Normlndoblokusodrkami"/>
        <w:spacing w:after="0"/>
        <w:jc w:val="left"/>
        <w:rPr>
          <w:noProof w:val="0"/>
        </w:rPr>
      </w:pPr>
      <w:r w:rsidRPr="008D6195">
        <w:rPr>
          <w:noProof w:val="0"/>
        </w:rPr>
        <w:t>prevenciu nauzey a</w:t>
      </w:r>
      <w:r w:rsidR="00DF052F">
        <w:rPr>
          <w:noProof w:val="0"/>
        </w:rPr>
        <w:t> </w:t>
      </w:r>
      <w:r w:rsidRPr="008D6195">
        <w:rPr>
          <w:noProof w:val="0"/>
        </w:rPr>
        <w:t>vracania</w:t>
      </w:r>
      <w:r w:rsidR="00DF052F">
        <w:rPr>
          <w:noProof w:val="0"/>
        </w:rPr>
        <w:t>, ktoré sú</w:t>
      </w:r>
      <w:r w:rsidRPr="008D6195">
        <w:rPr>
          <w:noProof w:val="0"/>
        </w:rPr>
        <w:t xml:space="preserve"> spojen</w:t>
      </w:r>
      <w:r w:rsidR="00DF052F">
        <w:rPr>
          <w:noProof w:val="0"/>
        </w:rPr>
        <w:t>é</w:t>
      </w:r>
      <w:r w:rsidRPr="008D6195">
        <w:rPr>
          <w:noProof w:val="0"/>
        </w:rPr>
        <w:t xml:space="preserve"> so stredne </w:t>
      </w:r>
      <w:proofErr w:type="spellStart"/>
      <w:r w:rsidRPr="008D6195">
        <w:rPr>
          <w:noProof w:val="0"/>
        </w:rPr>
        <w:t>emeto</w:t>
      </w:r>
      <w:r w:rsidR="001E6B8E" w:rsidRPr="008D6195">
        <w:rPr>
          <w:noProof w:val="0"/>
        </w:rPr>
        <w:t>génnou</w:t>
      </w:r>
      <w:proofErr w:type="spellEnd"/>
      <w:r w:rsidR="001E6B8E" w:rsidRPr="008D6195">
        <w:rPr>
          <w:noProof w:val="0"/>
        </w:rPr>
        <w:t xml:space="preserve"> chemoterapiou rakoviny</w:t>
      </w:r>
      <w:r w:rsidR="000F56EA">
        <w:rPr>
          <w:noProof w:val="0"/>
        </w:rPr>
        <w:t>.</w:t>
      </w:r>
    </w:p>
    <w:p w14:paraId="09ADC48E" w14:textId="77777777" w:rsidR="000F56EA" w:rsidRPr="000F56EA" w:rsidRDefault="000F56EA" w:rsidP="00780C83">
      <w:pPr>
        <w:pStyle w:val="Normlndobloku"/>
      </w:pPr>
    </w:p>
    <w:p w14:paraId="6AC8822F" w14:textId="77777777" w:rsidR="0057198F" w:rsidRPr="008D6195" w:rsidRDefault="0057198F" w:rsidP="00780C83">
      <w:pPr>
        <w:pStyle w:val="Normlndobloku"/>
        <w:spacing w:after="0"/>
        <w:jc w:val="left"/>
      </w:pPr>
      <w:r w:rsidRPr="008D6195">
        <w:t>FERANT je indikovaný u pediatrických pacientov vo veku 1 mesiac a starších na:</w:t>
      </w:r>
    </w:p>
    <w:p w14:paraId="28625FB6" w14:textId="05B65EE7" w:rsidR="00B32054" w:rsidRDefault="0057198F" w:rsidP="00780C83">
      <w:pPr>
        <w:pStyle w:val="Normlndoblokusodrkami"/>
        <w:spacing w:after="0"/>
        <w:jc w:val="left"/>
        <w:rPr>
          <w:noProof w:val="0"/>
        </w:rPr>
      </w:pPr>
      <w:r w:rsidRPr="008D6195">
        <w:rPr>
          <w:noProof w:val="0"/>
        </w:rPr>
        <w:t xml:space="preserve">prevenciu akútnej nauzey a vracania spojených s vysoko </w:t>
      </w:r>
      <w:proofErr w:type="spellStart"/>
      <w:r w:rsidRPr="008D6195">
        <w:rPr>
          <w:noProof w:val="0"/>
        </w:rPr>
        <w:t>emetogénnou</w:t>
      </w:r>
      <w:proofErr w:type="spellEnd"/>
      <w:r w:rsidRPr="008D6195">
        <w:rPr>
          <w:noProof w:val="0"/>
        </w:rPr>
        <w:t xml:space="preserve"> chemoterapio</w:t>
      </w:r>
      <w:r w:rsidR="00683240" w:rsidRPr="008D6195">
        <w:rPr>
          <w:noProof w:val="0"/>
        </w:rPr>
        <w:t>u rakoviny a prevenciu nauzey a </w:t>
      </w:r>
      <w:r w:rsidRPr="008D6195">
        <w:rPr>
          <w:noProof w:val="0"/>
        </w:rPr>
        <w:t xml:space="preserve">vracania spojených so stredne </w:t>
      </w:r>
      <w:proofErr w:type="spellStart"/>
      <w:r w:rsidRPr="008D6195">
        <w:rPr>
          <w:noProof w:val="0"/>
        </w:rPr>
        <w:t>emeto</w:t>
      </w:r>
      <w:r w:rsidR="00683240" w:rsidRPr="008D6195">
        <w:rPr>
          <w:noProof w:val="0"/>
        </w:rPr>
        <w:t>génnou</w:t>
      </w:r>
      <w:proofErr w:type="spellEnd"/>
      <w:r w:rsidR="00683240" w:rsidRPr="008D6195">
        <w:rPr>
          <w:noProof w:val="0"/>
        </w:rPr>
        <w:t xml:space="preserve"> chemoterapiou rakoviny.</w:t>
      </w:r>
    </w:p>
    <w:p w14:paraId="4063834F" w14:textId="77777777" w:rsidR="00B32054" w:rsidRPr="00B32054" w:rsidRDefault="00B32054" w:rsidP="00780C83">
      <w:pPr>
        <w:pStyle w:val="Normlndobloku"/>
      </w:pPr>
    </w:p>
    <w:p w14:paraId="44C63071" w14:textId="77777777" w:rsidR="001A2F10" w:rsidRDefault="001A2F10" w:rsidP="00780C83">
      <w:pPr>
        <w:pStyle w:val="Styl2"/>
        <w:numPr>
          <w:ilvl w:val="1"/>
          <w:numId w:val="1"/>
        </w:numPr>
        <w:spacing w:before="0" w:after="0"/>
        <w:ind w:left="357" w:hanging="357"/>
        <w:rPr>
          <w:lang w:val="sk-SK"/>
        </w:rPr>
      </w:pPr>
      <w:r w:rsidRPr="008D6195">
        <w:rPr>
          <w:lang w:val="sk-SK"/>
        </w:rPr>
        <w:t>Dávkovanie a spôsob podávania</w:t>
      </w:r>
    </w:p>
    <w:p w14:paraId="44B13ACD" w14:textId="77777777" w:rsidR="00B32054" w:rsidRPr="008D6195" w:rsidRDefault="00B32054" w:rsidP="00780C83">
      <w:pPr>
        <w:pStyle w:val="Styl2"/>
        <w:numPr>
          <w:ilvl w:val="0"/>
          <w:numId w:val="0"/>
        </w:numPr>
        <w:spacing w:before="0" w:after="0"/>
        <w:ind w:left="357"/>
        <w:rPr>
          <w:lang w:val="sk-SK"/>
        </w:rPr>
      </w:pPr>
    </w:p>
    <w:p w14:paraId="023D37EB" w14:textId="77777777" w:rsidR="0085161D" w:rsidRDefault="00683240" w:rsidP="00780C83">
      <w:pPr>
        <w:pStyle w:val="Styl4"/>
        <w:spacing w:after="0"/>
        <w:jc w:val="left"/>
      </w:pPr>
      <w:r w:rsidRPr="008D6195">
        <w:t xml:space="preserve">FERANT </w:t>
      </w:r>
      <w:r w:rsidR="0085161D" w:rsidRPr="008D6195">
        <w:t>sa má používať len pred podaním chemoterapie. Tento liek má podávať len zdravotnícky pracovník pod príslušným odborným dohľadom.</w:t>
      </w:r>
    </w:p>
    <w:p w14:paraId="5B8F78A2" w14:textId="77777777" w:rsidR="000D1AD0" w:rsidRPr="008D6195" w:rsidRDefault="000D1AD0" w:rsidP="00780C83">
      <w:pPr>
        <w:pStyle w:val="Styl4"/>
        <w:spacing w:after="0"/>
        <w:jc w:val="left"/>
      </w:pPr>
    </w:p>
    <w:p w14:paraId="0196F62F" w14:textId="77777777" w:rsidR="001A2F10" w:rsidRDefault="001A2F10" w:rsidP="00780C83">
      <w:pPr>
        <w:pStyle w:val="Styl3"/>
        <w:spacing w:after="0"/>
        <w:jc w:val="left"/>
      </w:pPr>
      <w:r w:rsidRPr="008D6195">
        <w:t>Dávkovanie</w:t>
      </w:r>
    </w:p>
    <w:p w14:paraId="54786F41" w14:textId="77777777" w:rsidR="000D1AD0" w:rsidRPr="008D6195" w:rsidRDefault="000D1AD0" w:rsidP="00780C83">
      <w:pPr>
        <w:pStyle w:val="Styl3"/>
        <w:spacing w:after="0"/>
        <w:jc w:val="left"/>
      </w:pPr>
    </w:p>
    <w:p w14:paraId="176F2B51" w14:textId="77777777" w:rsidR="001A2F10" w:rsidRPr="00105E69" w:rsidRDefault="00CB3305" w:rsidP="00780C83">
      <w:pPr>
        <w:pStyle w:val="Styl4"/>
        <w:keepNext/>
        <w:spacing w:after="0"/>
        <w:jc w:val="left"/>
        <w:rPr>
          <w:i/>
          <w:u w:color="000000"/>
        </w:rPr>
      </w:pPr>
      <w:r w:rsidRPr="00105E69">
        <w:rPr>
          <w:i/>
          <w:u w:color="000000"/>
        </w:rPr>
        <w:t>Dospelí</w:t>
      </w:r>
    </w:p>
    <w:p w14:paraId="1EDD7C6B" w14:textId="34D6D26F" w:rsidR="00FC18CB" w:rsidRDefault="00CB3305" w:rsidP="00780C83">
      <w:pPr>
        <w:pStyle w:val="Styl4"/>
        <w:spacing w:after="0"/>
        <w:jc w:val="left"/>
      </w:pPr>
      <w:r w:rsidRPr="008D6195">
        <w:t xml:space="preserve">250 </w:t>
      </w:r>
      <w:proofErr w:type="spellStart"/>
      <w:r w:rsidRPr="008D6195">
        <w:t>mikrogramov</w:t>
      </w:r>
      <w:proofErr w:type="spellEnd"/>
      <w:r w:rsidRPr="008D6195">
        <w:t xml:space="preserve"> </w:t>
      </w:r>
      <w:proofErr w:type="spellStart"/>
      <w:r w:rsidR="00BA4264" w:rsidRPr="008D6195">
        <w:t>p</w:t>
      </w:r>
      <w:r w:rsidR="008D6195">
        <w:t>a</w:t>
      </w:r>
      <w:r w:rsidR="00BA4264" w:rsidRPr="008D6195">
        <w:t>lonosetrónu</w:t>
      </w:r>
      <w:proofErr w:type="spellEnd"/>
      <w:r w:rsidR="00BA4264" w:rsidRPr="008D6195">
        <w:t xml:space="preserve"> </w:t>
      </w:r>
      <w:r w:rsidRPr="008D6195">
        <w:t xml:space="preserve">sa podáva </w:t>
      </w:r>
      <w:r w:rsidR="00BA4264" w:rsidRPr="008D6195">
        <w:t xml:space="preserve">jednorazovo </w:t>
      </w:r>
      <w:r w:rsidRPr="008D6195">
        <w:t xml:space="preserve">intravenózne ako </w:t>
      </w:r>
      <w:proofErr w:type="spellStart"/>
      <w:r w:rsidRPr="008D6195">
        <w:t>bolus</w:t>
      </w:r>
      <w:proofErr w:type="spellEnd"/>
      <w:r w:rsidRPr="008D6195">
        <w:t xml:space="preserve"> približne 30 minút pred začiatkom chemoterapie. </w:t>
      </w:r>
      <w:r w:rsidR="00BA4264" w:rsidRPr="008D6195">
        <w:t xml:space="preserve">FERANT </w:t>
      </w:r>
      <w:r w:rsidRPr="008D6195">
        <w:t>sa m</w:t>
      </w:r>
      <w:r w:rsidR="00BA4264" w:rsidRPr="008D6195">
        <w:t xml:space="preserve">á </w:t>
      </w:r>
      <w:r w:rsidRPr="008D6195">
        <w:t>podať v priebehu 30 sekúnd.</w:t>
      </w:r>
    </w:p>
    <w:p w14:paraId="31FACBDA" w14:textId="5A134652" w:rsidR="00CB3305" w:rsidRDefault="00CB3305" w:rsidP="00780C83">
      <w:pPr>
        <w:pStyle w:val="Styl4"/>
        <w:spacing w:after="0"/>
        <w:jc w:val="left"/>
      </w:pPr>
      <w:r w:rsidRPr="008D6195">
        <w:t xml:space="preserve">Účinok </w:t>
      </w:r>
      <w:proofErr w:type="spellStart"/>
      <w:r w:rsidRPr="008D6195">
        <w:t>FERANT</w:t>
      </w:r>
      <w:r w:rsidR="00DF052F">
        <w:t>u</w:t>
      </w:r>
      <w:proofErr w:type="spellEnd"/>
      <w:r w:rsidRPr="008D6195">
        <w:t xml:space="preserve"> v prevencii nauzey a vracania indukovaných vysoko </w:t>
      </w:r>
      <w:proofErr w:type="spellStart"/>
      <w:r w:rsidRPr="008D6195">
        <w:t>emetogénnou</w:t>
      </w:r>
      <w:proofErr w:type="spellEnd"/>
      <w:r w:rsidRPr="008D6195">
        <w:t xml:space="preserve"> chemoterapiou môže byť zvýšený podaním </w:t>
      </w:r>
      <w:proofErr w:type="spellStart"/>
      <w:r w:rsidRPr="008D6195">
        <w:t>kortikosteroidov</w:t>
      </w:r>
      <w:proofErr w:type="spellEnd"/>
      <w:r w:rsidRPr="008D6195">
        <w:t xml:space="preserve"> pred začiatkom chemoterapie.</w:t>
      </w:r>
    </w:p>
    <w:p w14:paraId="275870AA" w14:textId="77777777" w:rsidR="00DF052F" w:rsidRPr="008D6195" w:rsidRDefault="00DF052F" w:rsidP="00780C83">
      <w:pPr>
        <w:pStyle w:val="Styl4"/>
        <w:spacing w:after="0"/>
        <w:jc w:val="left"/>
      </w:pPr>
    </w:p>
    <w:p w14:paraId="7D6B31F9" w14:textId="77777777" w:rsidR="001A045C" w:rsidRPr="00105E69" w:rsidRDefault="001A2F10" w:rsidP="00780C83">
      <w:pPr>
        <w:pStyle w:val="Styl4"/>
        <w:keepNext/>
        <w:spacing w:after="0"/>
        <w:jc w:val="left"/>
        <w:rPr>
          <w:i/>
          <w:u w:color="000000"/>
        </w:rPr>
      </w:pPr>
      <w:r w:rsidRPr="00105E69">
        <w:rPr>
          <w:i/>
          <w:u w:color="000000"/>
        </w:rPr>
        <w:t>Starší pacienti</w:t>
      </w:r>
    </w:p>
    <w:p w14:paraId="14691E1D" w14:textId="77777777" w:rsidR="001A2F10" w:rsidRDefault="00CB3305" w:rsidP="00780C83">
      <w:pPr>
        <w:pStyle w:val="Styl4"/>
        <w:spacing w:after="0"/>
        <w:jc w:val="left"/>
      </w:pPr>
      <w:r w:rsidRPr="008D6195">
        <w:t>Úprava dávky pre starších pacientov nie je potrebná.</w:t>
      </w:r>
    </w:p>
    <w:p w14:paraId="2A13CBA6" w14:textId="77777777" w:rsidR="000D1AD0" w:rsidRPr="008D6195" w:rsidRDefault="000D1AD0" w:rsidP="00780C83">
      <w:pPr>
        <w:pStyle w:val="Styl4"/>
        <w:spacing w:after="0"/>
        <w:jc w:val="left"/>
      </w:pPr>
    </w:p>
    <w:p w14:paraId="1FB4ED5E" w14:textId="77777777" w:rsidR="001A2F10" w:rsidRPr="00105E69" w:rsidRDefault="001A2F10" w:rsidP="00780C83">
      <w:pPr>
        <w:pStyle w:val="Styl4"/>
        <w:keepNext/>
        <w:spacing w:after="0"/>
        <w:jc w:val="left"/>
        <w:rPr>
          <w:i/>
          <w:u w:color="000000"/>
        </w:rPr>
      </w:pPr>
      <w:r w:rsidRPr="00105E69">
        <w:rPr>
          <w:i/>
          <w:u w:color="000000"/>
        </w:rPr>
        <w:lastRenderedPageBreak/>
        <w:t>Pediatrická populácia</w:t>
      </w:r>
    </w:p>
    <w:p w14:paraId="7B02F6C7" w14:textId="77777777" w:rsidR="00CB3305" w:rsidRPr="008D6195" w:rsidRDefault="00704364" w:rsidP="00780C83">
      <w:pPr>
        <w:pStyle w:val="Styl4"/>
        <w:spacing w:after="0"/>
        <w:jc w:val="left"/>
        <w:rPr>
          <w:lang w:eastAsia="en-US"/>
        </w:rPr>
      </w:pPr>
      <w:r w:rsidRPr="008D6195">
        <w:t>Deti a dospievajúci (vo veku od 1 mesiaca do 17 rokov):</w:t>
      </w:r>
    </w:p>
    <w:p w14:paraId="3BC22302" w14:textId="2598D9A8" w:rsidR="00704364" w:rsidRDefault="00704364" w:rsidP="00780C83">
      <w:pPr>
        <w:pStyle w:val="Normlndobloku"/>
        <w:spacing w:after="0"/>
        <w:jc w:val="left"/>
      </w:pPr>
      <w:r w:rsidRPr="008D6195">
        <w:t xml:space="preserve">20 </w:t>
      </w:r>
      <w:proofErr w:type="spellStart"/>
      <w:r w:rsidRPr="008D6195">
        <w:t>mikrogramov</w:t>
      </w:r>
      <w:proofErr w:type="spellEnd"/>
      <w:r w:rsidR="00A23CC7" w:rsidRPr="008D6195">
        <w:t xml:space="preserve"> </w:t>
      </w:r>
      <w:proofErr w:type="spellStart"/>
      <w:r w:rsidR="00A23CC7" w:rsidRPr="008D6195">
        <w:t>palonosetrónu</w:t>
      </w:r>
      <w:proofErr w:type="spellEnd"/>
      <w:r w:rsidRPr="008D6195">
        <w:t>/kg (maximálna celková dávka nemá prekročiť 1</w:t>
      </w:r>
      <w:r w:rsidR="00DF052F">
        <w:t> </w:t>
      </w:r>
      <w:r w:rsidRPr="008D6195">
        <w:t xml:space="preserve">500 </w:t>
      </w:r>
      <w:proofErr w:type="spellStart"/>
      <w:r w:rsidRPr="008D6195">
        <w:t>mikrogramov</w:t>
      </w:r>
      <w:proofErr w:type="spellEnd"/>
      <w:r w:rsidRPr="008D6195">
        <w:t xml:space="preserve">) </w:t>
      </w:r>
      <w:r w:rsidR="00DF052F">
        <w:t xml:space="preserve">sa </w:t>
      </w:r>
      <w:r w:rsidRPr="008D6195">
        <w:t xml:space="preserve">podáva v jednorazovej </w:t>
      </w:r>
      <w:r w:rsidR="00DF052F" w:rsidRPr="008D6195">
        <w:t>15 minút</w:t>
      </w:r>
      <w:r w:rsidR="00DF052F">
        <w:t>ovej</w:t>
      </w:r>
      <w:r w:rsidR="00DF052F" w:rsidRPr="008D6195">
        <w:t xml:space="preserve"> </w:t>
      </w:r>
      <w:r w:rsidRPr="008D6195">
        <w:t>intravenóznej infúzii začínajúcej približne 30 minút pred</w:t>
      </w:r>
      <w:r w:rsidR="00DF052F">
        <w:t> </w:t>
      </w:r>
      <w:r w:rsidRPr="008D6195">
        <w:t>začiatkom chemoterapie.</w:t>
      </w:r>
    </w:p>
    <w:p w14:paraId="5BF22769" w14:textId="77777777" w:rsidR="00DF052F" w:rsidRPr="008D6195" w:rsidRDefault="00DF052F" w:rsidP="00780C83">
      <w:pPr>
        <w:pStyle w:val="Normlndobloku"/>
        <w:spacing w:after="0"/>
        <w:jc w:val="left"/>
      </w:pPr>
    </w:p>
    <w:p w14:paraId="21C5E12A" w14:textId="73E2C2B1" w:rsidR="00A23CC7" w:rsidRPr="008D6195" w:rsidRDefault="00704364" w:rsidP="00780C83">
      <w:pPr>
        <w:pStyle w:val="Normlndobloku"/>
        <w:spacing w:after="0"/>
        <w:jc w:val="left"/>
      </w:pPr>
      <w:r w:rsidRPr="008D6195">
        <w:t xml:space="preserve">Bezpečnosť a účinnosť </w:t>
      </w:r>
      <w:proofErr w:type="spellStart"/>
      <w:r w:rsidR="00A637B7" w:rsidRPr="008D6195">
        <w:t>FERANT</w:t>
      </w:r>
      <w:r w:rsidR="00DF052F">
        <w:t>u</w:t>
      </w:r>
      <w:proofErr w:type="spellEnd"/>
      <w:r w:rsidRPr="008D6195">
        <w:t xml:space="preserve"> u detí vo veku menej ako 1 mesiac neboli stanovené. K dispozícii nie sú žiadne údaje.</w:t>
      </w:r>
    </w:p>
    <w:p w14:paraId="3F5BCF24" w14:textId="5D53F723" w:rsidR="00704364" w:rsidRDefault="00704364" w:rsidP="00780C83">
      <w:pPr>
        <w:pStyle w:val="Normlndobloku"/>
        <w:spacing w:after="0"/>
        <w:jc w:val="left"/>
      </w:pPr>
      <w:r w:rsidRPr="008D6195">
        <w:t>K dispozícii sú obmedzené údaje o </w:t>
      </w:r>
      <w:r w:rsidR="009A6D3E">
        <w:t>po</w:t>
      </w:r>
      <w:r w:rsidRPr="008D6195">
        <w:t xml:space="preserve">užívaní </w:t>
      </w:r>
      <w:proofErr w:type="spellStart"/>
      <w:r w:rsidR="00A637B7" w:rsidRPr="008D6195">
        <w:t>FERANT</w:t>
      </w:r>
      <w:r w:rsidR="009A6D3E">
        <w:t>u</w:t>
      </w:r>
      <w:proofErr w:type="spellEnd"/>
      <w:r w:rsidRPr="008D6195">
        <w:t xml:space="preserve"> v prevencii nauzey a vracania u detí vo veku do 2 rokov.</w:t>
      </w:r>
    </w:p>
    <w:p w14:paraId="2B50E330" w14:textId="77777777" w:rsidR="000D1AD0" w:rsidRPr="008D6195" w:rsidRDefault="000D1AD0" w:rsidP="00780C83">
      <w:pPr>
        <w:pStyle w:val="Normlndobloku"/>
        <w:spacing w:after="0"/>
        <w:jc w:val="left"/>
      </w:pPr>
    </w:p>
    <w:p w14:paraId="40266B79" w14:textId="77777777" w:rsidR="001A2F10" w:rsidRPr="00105E69" w:rsidRDefault="00704364" w:rsidP="00780C83">
      <w:pPr>
        <w:pStyle w:val="Styl4"/>
        <w:keepNext/>
        <w:spacing w:after="0"/>
        <w:jc w:val="left"/>
        <w:rPr>
          <w:i/>
          <w:u w:color="000000"/>
        </w:rPr>
      </w:pPr>
      <w:r w:rsidRPr="00105E69">
        <w:rPr>
          <w:i/>
          <w:u w:color="000000"/>
        </w:rPr>
        <w:t>Porucha funkcie pečene</w:t>
      </w:r>
    </w:p>
    <w:p w14:paraId="1CF5E12B" w14:textId="77777777" w:rsidR="00704364" w:rsidRDefault="00704364" w:rsidP="00780C83">
      <w:pPr>
        <w:pStyle w:val="Styl4"/>
        <w:spacing w:after="0"/>
        <w:jc w:val="left"/>
      </w:pPr>
      <w:r w:rsidRPr="008D6195">
        <w:t>Úprava dávky pre pacientov s poruchou funkcie pečene nie je potrebná.</w:t>
      </w:r>
    </w:p>
    <w:p w14:paraId="75AE0A8A" w14:textId="77777777" w:rsidR="009A6D3E" w:rsidRPr="008D6195" w:rsidRDefault="009A6D3E" w:rsidP="00780C83">
      <w:pPr>
        <w:pStyle w:val="Styl4"/>
        <w:spacing w:after="0"/>
        <w:jc w:val="left"/>
      </w:pPr>
    </w:p>
    <w:p w14:paraId="1FCBEACA" w14:textId="77777777" w:rsidR="00094D8A" w:rsidRPr="00105E69" w:rsidRDefault="00094D8A" w:rsidP="00780C83">
      <w:pPr>
        <w:pStyle w:val="Styl4"/>
        <w:keepNext/>
        <w:spacing w:after="0"/>
        <w:jc w:val="left"/>
        <w:rPr>
          <w:i/>
          <w:u w:color="000000"/>
        </w:rPr>
      </w:pPr>
      <w:r w:rsidRPr="00105E69">
        <w:rPr>
          <w:i/>
          <w:u w:color="000000"/>
        </w:rPr>
        <w:t>Porucha funkcie obličiek</w:t>
      </w:r>
    </w:p>
    <w:p w14:paraId="6CFB1BC0" w14:textId="652E913D" w:rsidR="00A23CC7" w:rsidRPr="008D6195" w:rsidRDefault="00094D8A" w:rsidP="00780C83">
      <w:pPr>
        <w:pStyle w:val="Normlndobloku"/>
        <w:spacing w:after="0"/>
        <w:jc w:val="left"/>
      </w:pPr>
      <w:r w:rsidRPr="008D6195">
        <w:t>Úprava dávky pre pacientov s poruchou funkcie obličiek nie je potrebná.</w:t>
      </w:r>
    </w:p>
    <w:p w14:paraId="786482D1" w14:textId="10CC9A6E" w:rsidR="00094D8A" w:rsidRDefault="00094D8A" w:rsidP="00780C83">
      <w:pPr>
        <w:pStyle w:val="Normlndobloku"/>
        <w:spacing w:after="0"/>
        <w:jc w:val="left"/>
      </w:pPr>
      <w:r w:rsidRPr="008D6195">
        <w:t xml:space="preserve">Nie sú </w:t>
      </w:r>
      <w:r w:rsidR="009A6D3E">
        <w:t xml:space="preserve">k dispozícii žiadne </w:t>
      </w:r>
      <w:r w:rsidRPr="008D6195">
        <w:t xml:space="preserve">údaje od pacientov </w:t>
      </w:r>
      <w:r w:rsidR="009A6D3E">
        <w:t>v</w:t>
      </w:r>
      <w:r w:rsidRPr="008D6195">
        <w:t> konečn</w:t>
      </w:r>
      <w:r w:rsidR="009A6D3E">
        <w:t>om</w:t>
      </w:r>
      <w:r w:rsidRPr="008D6195">
        <w:t xml:space="preserve"> štádi</w:t>
      </w:r>
      <w:r w:rsidR="009A6D3E">
        <w:t>u</w:t>
      </w:r>
      <w:r w:rsidRPr="008D6195">
        <w:t xml:space="preserve"> zlyhania obličiek</w:t>
      </w:r>
      <w:r w:rsidR="009A6D3E">
        <w:t xml:space="preserve"> </w:t>
      </w:r>
      <w:r w:rsidRPr="008D6195">
        <w:t>pod</w:t>
      </w:r>
      <w:r w:rsidR="009A6D3E">
        <w:t>stupujúcich</w:t>
      </w:r>
      <w:r w:rsidRPr="008D6195">
        <w:t xml:space="preserve"> hemodialýz</w:t>
      </w:r>
      <w:r w:rsidR="009A6D3E">
        <w:t>u</w:t>
      </w:r>
      <w:r w:rsidRPr="008D6195">
        <w:t>.</w:t>
      </w:r>
    </w:p>
    <w:p w14:paraId="5928625B" w14:textId="77777777" w:rsidR="000D1AD0" w:rsidRPr="008D6195" w:rsidRDefault="000D1AD0" w:rsidP="00780C83">
      <w:pPr>
        <w:pStyle w:val="Normlndobloku"/>
        <w:spacing w:after="0"/>
        <w:jc w:val="left"/>
      </w:pPr>
    </w:p>
    <w:p w14:paraId="42FB85AF" w14:textId="77777777" w:rsidR="001A2F10" w:rsidRPr="008D6195" w:rsidRDefault="001A2F10" w:rsidP="00780C83">
      <w:pPr>
        <w:pStyle w:val="Styl3"/>
        <w:spacing w:after="0"/>
        <w:jc w:val="left"/>
      </w:pPr>
      <w:r w:rsidRPr="008D6195">
        <w:t>Spôsob podávania</w:t>
      </w:r>
    </w:p>
    <w:p w14:paraId="46446ADB" w14:textId="7D52268E" w:rsidR="001A2F10" w:rsidRDefault="001A2F10" w:rsidP="00780C83">
      <w:pPr>
        <w:pStyle w:val="Styl4"/>
        <w:spacing w:after="0"/>
        <w:jc w:val="left"/>
      </w:pPr>
      <w:r w:rsidRPr="008D6195">
        <w:t xml:space="preserve">Na </w:t>
      </w:r>
      <w:r w:rsidR="00A23CC7" w:rsidRPr="008D6195">
        <w:t>intravenózne</w:t>
      </w:r>
      <w:r w:rsidRPr="008D6195">
        <w:t xml:space="preserve"> použitie</w:t>
      </w:r>
      <w:r w:rsidR="000D1AD0">
        <w:t>.</w:t>
      </w:r>
    </w:p>
    <w:p w14:paraId="5E29A0CA" w14:textId="77777777" w:rsidR="00B32054" w:rsidRPr="008D6195" w:rsidRDefault="00B32054" w:rsidP="00780C83">
      <w:pPr>
        <w:pStyle w:val="Styl4"/>
        <w:spacing w:after="0"/>
        <w:jc w:val="left"/>
      </w:pPr>
    </w:p>
    <w:p w14:paraId="49C43D0F" w14:textId="77777777" w:rsidR="001A2F10" w:rsidRDefault="001A2F10" w:rsidP="00780C83">
      <w:pPr>
        <w:pStyle w:val="Styl2"/>
        <w:numPr>
          <w:ilvl w:val="1"/>
          <w:numId w:val="1"/>
        </w:numPr>
        <w:spacing w:before="0" w:after="0"/>
        <w:ind w:left="357" w:hanging="357"/>
        <w:rPr>
          <w:lang w:val="sk-SK"/>
        </w:rPr>
      </w:pPr>
      <w:r w:rsidRPr="008D6195">
        <w:rPr>
          <w:lang w:val="sk-SK"/>
        </w:rPr>
        <w:t>Kontraindikácie</w:t>
      </w:r>
    </w:p>
    <w:p w14:paraId="7E0A48CF" w14:textId="77777777" w:rsidR="00B32054" w:rsidRPr="008D6195" w:rsidRDefault="00B32054" w:rsidP="00780C83">
      <w:pPr>
        <w:pStyle w:val="Styl2"/>
        <w:numPr>
          <w:ilvl w:val="0"/>
          <w:numId w:val="0"/>
        </w:numPr>
        <w:spacing w:before="0" w:after="0"/>
        <w:ind w:left="357"/>
        <w:rPr>
          <w:lang w:val="sk-SK"/>
        </w:rPr>
      </w:pPr>
    </w:p>
    <w:p w14:paraId="086738B3" w14:textId="4BF9D6CA" w:rsidR="00FC18CB" w:rsidRDefault="00D25258" w:rsidP="00B32054">
      <w:pPr>
        <w:pStyle w:val="Default"/>
        <w:rPr>
          <w:sz w:val="22"/>
          <w:szCs w:val="22"/>
          <w:lang w:val="sk-SK"/>
        </w:rPr>
      </w:pPr>
      <w:r w:rsidRPr="008D6195">
        <w:rPr>
          <w:sz w:val="22"/>
          <w:szCs w:val="22"/>
          <w:lang w:val="sk-SK"/>
        </w:rPr>
        <w:t xml:space="preserve">Precitlivenosť na liečivo alebo na ktorúkoľvek z pomocných látok uvedených </w:t>
      </w:r>
      <w:r w:rsidRPr="008D6195">
        <w:rPr>
          <w:lang w:val="sk-SK"/>
        </w:rPr>
        <w:t>v časti</w:t>
      </w:r>
      <w:r w:rsidRPr="008D6195">
        <w:rPr>
          <w:sz w:val="22"/>
          <w:szCs w:val="22"/>
          <w:lang w:val="sk-SK"/>
        </w:rPr>
        <w:t xml:space="preserve"> 6.1.</w:t>
      </w:r>
    </w:p>
    <w:p w14:paraId="6B982ED3" w14:textId="77777777" w:rsidR="00B32054" w:rsidRDefault="00B32054" w:rsidP="00B32054">
      <w:pPr>
        <w:pStyle w:val="Default"/>
        <w:rPr>
          <w:sz w:val="22"/>
          <w:szCs w:val="22"/>
          <w:lang w:val="sk-SK"/>
        </w:rPr>
      </w:pPr>
    </w:p>
    <w:p w14:paraId="7AF6F31B" w14:textId="77777777" w:rsidR="001A2F10" w:rsidRDefault="001A2F10" w:rsidP="00780C83">
      <w:pPr>
        <w:pStyle w:val="Styl2"/>
        <w:numPr>
          <w:ilvl w:val="1"/>
          <w:numId w:val="1"/>
        </w:numPr>
        <w:spacing w:before="0" w:after="0"/>
        <w:ind w:left="357" w:hanging="357"/>
        <w:rPr>
          <w:lang w:val="sk-SK"/>
        </w:rPr>
      </w:pPr>
      <w:r w:rsidRPr="008D6195">
        <w:rPr>
          <w:lang w:val="sk-SK"/>
        </w:rPr>
        <w:t>Osobitné upozornenia a opatrenia pri používaní</w:t>
      </w:r>
    </w:p>
    <w:p w14:paraId="484937C8" w14:textId="77777777" w:rsidR="00B32054" w:rsidRPr="008D6195" w:rsidRDefault="00B32054" w:rsidP="00780C83">
      <w:pPr>
        <w:pStyle w:val="Styl2"/>
        <w:numPr>
          <w:ilvl w:val="0"/>
          <w:numId w:val="0"/>
        </w:numPr>
        <w:spacing w:before="0" w:after="0"/>
        <w:ind w:left="357"/>
        <w:rPr>
          <w:lang w:val="sk-SK"/>
        </w:rPr>
      </w:pPr>
    </w:p>
    <w:p w14:paraId="6ED948F8" w14:textId="2EBAF597" w:rsidR="00B46195" w:rsidRPr="008D6195" w:rsidRDefault="00B46195" w:rsidP="00780C83">
      <w:pPr>
        <w:pStyle w:val="Normlndobloku"/>
        <w:spacing w:after="0"/>
        <w:jc w:val="left"/>
      </w:pPr>
      <w:r w:rsidRPr="008D6195">
        <w:t xml:space="preserve">Keďže </w:t>
      </w:r>
      <w:proofErr w:type="spellStart"/>
      <w:r w:rsidRPr="008D6195">
        <w:t>palonosetrón</w:t>
      </w:r>
      <w:proofErr w:type="spellEnd"/>
      <w:r w:rsidRPr="008D6195">
        <w:t xml:space="preserve"> môže pred</w:t>
      </w:r>
      <w:r w:rsidR="008621ED">
        <w:t>ĺžiť</w:t>
      </w:r>
      <w:r w:rsidRPr="008D6195">
        <w:t xml:space="preserve"> dobu prechodu hrubým črevom, pacienti so zápchou alebo</w:t>
      </w:r>
      <w:r w:rsidR="008621ED">
        <w:t> </w:t>
      </w:r>
      <w:r w:rsidRPr="008D6195">
        <w:t>pr</w:t>
      </w:r>
      <w:r w:rsidR="008621ED">
        <w:t>ejavmi</w:t>
      </w:r>
      <w:r w:rsidRPr="008D6195">
        <w:t xml:space="preserve"> </w:t>
      </w:r>
      <w:proofErr w:type="spellStart"/>
      <w:r w:rsidRPr="008D6195">
        <w:t>subakútnej</w:t>
      </w:r>
      <w:proofErr w:type="spellEnd"/>
      <w:r w:rsidRPr="008D6195">
        <w:t xml:space="preserve"> črevnej obštrukcie musia byť po jeho podaní sledovaní. V spojitosti s používaním 750 </w:t>
      </w:r>
      <w:proofErr w:type="spellStart"/>
      <w:r w:rsidRPr="008D6195">
        <w:t>mikrogramov</w:t>
      </w:r>
      <w:proofErr w:type="spellEnd"/>
      <w:r w:rsidRPr="008D6195">
        <w:t xml:space="preserve"> </w:t>
      </w:r>
      <w:proofErr w:type="spellStart"/>
      <w:r w:rsidRPr="008D6195">
        <w:t>palonosetrónu</w:t>
      </w:r>
      <w:proofErr w:type="spellEnd"/>
      <w:r w:rsidRPr="008D6195">
        <w:t xml:space="preserve"> boli zaznamenané dva prípady zápchy s nahromadením stolice vyžadujúce hospitalizáciu.</w:t>
      </w:r>
    </w:p>
    <w:p w14:paraId="20D13D2B" w14:textId="74ADDCEE" w:rsidR="00B46195" w:rsidRPr="008D6195" w:rsidRDefault="008621ED" w:rsidP="00780C83">
      <w:pPr>
        <w:pStyle w:val="Normlndobloku"/>
        <w:spacing w:after="0"/>
        <w:jc w:val="left"/>
      </w:pPr>
      <w:proofErr w:type="spellStart"/>
      <w:r>
        <w:t>P</w:t>
      </w:r>
      <w:r w:rsidRPr="008D6195">
        <w:t>alonosetrón</w:t>
      </w:r>
      <w:proofErr w:type="spellEnd"/>
      <w:r w:rsidRPr="008D6195">
        <w:t xml:space="preserve"> neindukoval </w:t>
      </w:r>
      <w:r>
        <w:t>p</w:t>
      </w:r>
      <w:r w:rsidR="00B46195" w:rsidRPr="008D6195">
        <w:t xml:space="preserve">ri </w:t>
      </w:r>
      <w:r>
        <w:t>žiadnej z</w:t>
      </w:r>
      <w:r w:rsidR="00B46195" w:rsidRPr="008D6195">
        <w:t xml:space="preserve"> testovaných dáv</w:t>
      </w:r>
      <w:r>
        <w:t>o</w:t>
      </w:r>
      <w:r w:rsidR="00B46195" w:rsidRPr="008D6195">
        <w:t xml:space="preserve">k klinicky významné predĺženie </w:t>
      </w:r>
      <w:proofErr w:type="spellStart"/>
      <w:r w:rsidR="00B46195" w:rsidRPr="008D6195">
        <w:t>QTc</w:t>
      </w:r>
      <w:proofErr w:type="spellEnd"/>
      <w:r w:rsidR="00B46195" w:rsidRPr="008D6195">
        <w:t xml:space="preserve"> intervalu. U zdravých dobrovoľníkov sa uskutočnila</w:t>
      </w:r>
      <w:r w:rsidR="00F2371C">
        <w:t xml:space="preserve"> podrobná</w:t>
      </w:r>
      <w:r w:rsidR="00B46195" w:rsidRPr="008D6195">
        <w:t xml:space="preserve"> špecifická QT/</w:t>
      </w:r>
      <w:proofErr w:type="spellStart"/>
      <w:r w:rsidR="00B46195" w:rsidRPr="008D6195">
        <w:t>QTc</w:t>
      </w:r>
      <w:proofErr w:type="spellEnd"/>
      <w:r w:rsidR="00B46195" w:rsidRPr="008D6195">
        <w:t xml:space="preserve"> štúdia na zistenie definitívnych údajov, ktoré preukazujú účinok </w:t>
      </w:r>
      <w:proofErr w:type="spellStart"/>
      <w:r w:rsidR="00B46195" w:rsidRPr="008D6195">
        <w:t>palonosetrónu</w:t>
      </w:r>
      <w:proofErr w:type="spellEnd"/>
      <w:r w:rsidR="00B46195" w:rsidRPr="008D6195">
        <w:t xml:space="preserve"> na QT/</w:t>
      </w:r>
      <w:proofErr w:type="spellStart"/>
      <w:r w:rsidR="00B46195" w:rsidRPr="008D6195">
        <w:t>QTc</w:t>
      </w:r>
      <w:proofErr w:type="spellEnd"/>
      <w:r w:rsidR="00B46195" w:rsidRPr="008D6195">
        <w:t xml:space="preserve"> (pozri časť 5.1).</w:t>
      </w:r>
    </w:p>
    <w:p w14:paraId="162463D4" w14:textId="5F705534" w:rsidR="00FC18CB" w:rsidRDefault="00B46195" w:rsidP="00780C83">
      <w:pPr>
        <w:pStyle w:val="Normlndobloku"/>
        <w:spacing w:after="0"/>
        <w:jc w:val="left"/>
      </w:pPr>
      <w:r w:rsidRPr="008D6195">
        <w:t>Avšak</w:t>
      </w:r>
      <w:r w:rsidR="00F2371C">
        <w:t>,</w:t>
      </w:r>
      <w:r w:rsidRPr="008D6195">
        <w:t xml:space="preserve"> ako aj v prípade iných 5-HT</w:t>
      </w:r>
      <w:r w:rsidRPr="00105E69">
        <w:rPr>
          <w:vertAlign w:val="subscript"/>
        </w:rPr>
        <w:t>3</w:t>
      </w:r>
      <w:r w:rsidRPr="008D6195">
        <w:t xml:space="preserve"> antagonistov, sa musí pri používaní </w:t>
      </w:r>
      <w:proofErr w:type="spellStart"/>
      <w:r w:rsidRPr="008D6195">
        <w:t>palonosetrónu</w:t>
      </w:r>
      <w:proofErr w:type="spellEnd"/>
      <w:r w:rsidRPr="008D6195">
        <w:t xml:space="preserve"> u pacientov, ktorí majú, alebo sa u nich pravdepodobne rozvinie predĺženie QT intervalu, postupovať opatrne. T</w:t>
      </w:r>
      <w:r w:rsidR="006D3A47" w:rsidRPr="008D6195">
        <w:t xml:space="preserve">oto sa týka </w:t>
      </w:r>
      <w:r w:rsidRPr="008D6195">
        <w:t xml:space="preserve">pacientov s osobnou alebo rodinnou anamnézou predĺženia QT intervalu, </w:t>
      </w:r>
      <w:proofErr w:type="spellStart"/>
      <w:r w:rsidRPr="008D6195">
        <w:t>elektrolytovými</w:t>
      </w:r>
      <w:proofErr w:type="spellEnd"/>
      <w:r w:rsidRPr="008D6195">
        <w:t xml:space="preserve"> abnormalitami, </w:t>
      </w:r>
      <w:proofErr w:type="spellStart"/>
      <w:r w:rsidRPr="008D6195">
        <w:t>kongestívnym</w:t>
      </w:r>
      <w:proofErr w:type="spellEnd"/>
      <w:r w:rsidRPr="008D6195">
        <w:t xml:space="preserve"> srdcovým zlyhaním, </w:t>
      </w:r>
      <w:proofErr w:type="spellStart"/>
      <w:r w:rsidRPr="008D6195">
        <w:t>bradyarytmiami</w:t>
      </w:r>
      <w:proofErr w:type="spellEnd"/>
      <w:r w:rsidRPr="008D6195">
        <w:t xml:space="preserve">, poruchami prevodového systému srdca a pacientov, ktorí užívajú </w:t>
      </w:r>
      <w:proofErr w:type="spellStart"/>
      <w:r w:rsidRPr="008D6195">
        <w:t>antiarytmiká</w:t>
      </w:r>
      <w:proofErr w:type="spellEnd"/>
      <w:r w:rsidRPr="008D6195">
        <w:t xml:space="preserve"> alebo iné lieky, ktoré vedú k predĺženiu QT intervalu alebo </w:t>
      </w:r>
      <w:proofErr w:type="spellStart"/>
      <w:r w:rsidRPr="008D6195">
        <w:t>elektrolytovým</w:t>
      </w:r>
      <w:proofErr w:type="spellEnd"/>
      <w:r w:rsidRPr="008D6195">
        <w:t xml:space="preserve"> abnormalitám.</w:t>
      </w:r>
    </w:p>
    <w:p w14:paraId="0D168141" w14:textId="300AE1F4" w:rsidR="00B46195" w:rsidRPr="008D6195" w:rsidRDefault="00B46195" w:rsidP="00780C83">
      <w:pPr>
        <w:pStyle w:val="Normlndobloku"/>
        <w:spacing w:after="0"/>
        <w:jc w:val="left"/>
      </w:pPr>
      <w:proofErr w:type="spellStart"/>
      <w:r w:rsidRPr="008D6195">
        <w:t>Hypokaliémia</w:t>
      </w:r>
      <w:proofErr w:type="spellEnd"/>
      <w:r w:rsidRPr="008D6195">
        <w:t xml:space="preserve"> a </w:t>
      </w:r>
      <w:proofErr w:type="spellStart"/>
      <w:r w:rsidRPr="008D6195">
        <w:t>hypomagneziémia</w:t>
      </w:r>
      <w:proofErr w:type="spellEnd"/>
      <w:r w:rsidRPr="008D6195">
        <w:t xml:space="preserve"> </w:t>
      </w:r>
      <w:r w:rsidR="006D3A47" w:rsidRPr="008D6195">
        <w:t xml:space="preserve">majú byť </w:t>
      </w:r>
      <w:r w:rsidRPr="008D6195">
        <w:t>upravené pred podaním 5-HT</w:t>
      </w:r>
      <w:r w:rsidR="00C2611F" w:rsidRPr="00105E69">
        <w:rPr>
          <w:vertAlign w:val="subscript"/>
        </w:rPr>
        <w:t>3</w:t>
      </w:r>
      <w:r w:rsidRPr="008D6195">
        <w:t xml:space="preserve"> antagonistu.</w:t>
      </w:r>
    </w:p>
    <w:p w14:paraId="336947CC" w14:textId="43B0E86F" w:rsidR="00B46195" w:rsidRPr="008D6195" w:rsidRDefault="00B46195" w:rsidP="00780C83">
      <w:pPr>
        <w:pStyle w:val="Normlndobloku"/>
        <w:spacing w:after="0"/>
        <w:jc w:val="left"/>
      </w:pPr>
      <w:r w:rsidRPr="008D6195">
        <w:t xml:space="preserve">Boli hlásené prípady </w:t>
      </w:r>
      <w:proofErr w:type="spellStart"/>
      <w:r w:rsidRPr="008D6195">
        <w:t>serotonínového</w:t>
      </w:r>
      <w:proofErr w:type="spellEnd"/>
      <w:r w:rsidRPr="008D6195">
        <w:t xml:space="preserve"> syndrómu pri použití 5-HT</w:t>
      </w:r>
      <w:r w:rsidR="00C2611F" w:rsidRPr="00105E69">
        <w:rPr>
          <w:vertAlign w:val="subscript"/>
        </w:rPr>
        <w:t>3</w:t>
      </w:r>
      <w:r w:rsidRPr="008D6195">
        <w:t xml:space="preserve"> antagonistov buď samostatne, alebo v kombinácii s inými </w:t>
      </w:r>
      <w:proofErr w:type="spellStart"/>
      <w:r w:rsidRPr="008D6195">
        <w:t>serotonerg</w:t>
      </w:r>
      <w:r w:rsidR="00F2371C">
        <w:t>ný</w:t>
      </w:r>
      <w:r w:rsidRPr="008D6195">
        <w:t>mi</w:t>
      </w:r>
      <w:proofErr w:type="spellEnd"/>
      <w:r w:rsidRPr="008D6195">
        <w:t xml:space="preserve"> liekmi (vrátane selektívnych inhibítorov spätného vychytávania </w:t>
      </w:r>
      <w:proofErr w:type="spellStart"/>
      <w:r w:rsidRPr="008D6195">
        <w:t>serotonínu</w:t>
      </w:r>
      <w:proofErr w:type="spellEnd"/>
      <w:r w:rsidRPr="008D6195">
        <w:t xml:space="preserve"> (SSRI) a inhibítorov spätného vychytávania </w:t>
      </w:r>
      <w:proofErr w:type="spellStart"/>
      <w:r w:rsidRPr="008D6195">
        <w:t>serotonínu</w:t>
      </w:r>
      <w:proofErr w:type="spellEnd"/>
      <w:r w:rsidRPr="008D6195">
        <w:t xml:space="preserve"> a </w:t>
      </w:r>
      <w:proofErr w:type="spellStart"/>
      <w:r w:rsidRPr="008D6195">
        <w:t>noradrenalínu</w:t>
      </w:r>
      <w:proofErr w:type="spellEnd"/>
      <w:r w:rsidRPr="008D6195">
        <w:t xml:space="preserve"> (SNRI). U pacientov so symptómami podobnými </w:t>
      </w:r>
      <w:proofErr w:type="spellStart"/>
      <w:r w:rsidRPr="008D6195">
        <w:t>serotonínovému</w:t>
      </w:r>
      <w:proofErr w:type="spellEnd"/>
      <w:r w:rsidRPr="008D6195">
        <w:t xml:space="preserve"> syndrómu </w:t>
      </w:r>
      <w:r w:rsidR="00132EE9">
        <w:t xml:space="preserve">sa </w:t>
      </w:r>
      <w:r w:rsidRPr="008D6195">
        <w:t>odporúča vhodné pozorovanie.</w:t>
      </w:r>
    </w:p>
    <w:p w14:paraId="68F424E3" w14:textId="2DD83702" w:rsidR="00B46195" w:rsidRPr="008D6195" w:rsidRDefault="00B46195" w:rsidP="00780C83">
      <w:pPr>
        <w:pStyle w:val="Normlndobloku"/>
        <w:spacing w:after="0"/>
        <w:jc w:val="left"/>
      </w:pPr>
      <w:r w:rsidRPr="008D6195">
        <w:t>FERANT sa nemá používať na prevenciu alebo liečbu nauzey a vracania v nasledujúcich dňoch po</w:t>
      </w:r>
      <w:r w:rsidR="00DE1180">
        <w:t> </w:t>
      </w:r>
      <w:r w:rsidRPr="008D6195">
        <w:t>chemoterapii, ak nesúvisí s podaním inej chemoterapie.</w:t>
      </w:r>
    </w:p>
    <w:p w14:paraId="73819CA8" w14:textId="77777777" w:rsidR="00F2371C" w:rsidRDefault="00F2371C" w:rsidP="00780C83">
      <w:pPr>
        <w:pStyle w:val="Normlndobloku"/>
        <w:spacing w:after="0"/>
        <w:jc w:val="left"/>
      </w:pPr>
    </w:p>
    <w:p w14:paraId="7938191D" w14:textId="5AC32310" w:rsidR="00156087" w:rsidRDefault="00156087" w:rsidP="00780C83">
      <w:pPr>
        <w:pStyle w:val="Normlndobloku"/>
        <w:spacing w:after="0"/>
        <w:jc w:val="left"/>
      </w:pPr>
      <w:r w:rsidRPr="008D6195">
        <w:t xml:space="preserve">Tento liek obsahuje 0,20 mmol sodíka v jednej </w:t>
      </w:r>
      <w:r w:rsidR="00DE1180">
        <w:t>ampulke</w:t>
      </w:r>
      <w:r w:rsidRPr="008D6195">
        <w:t xml:space="preserve"> (</w:t>
      </w:r>
      <w:r w:rsidR="006D3A47" w:rsidRPr="008D6195">
        <w:t>až</w:t>
      </w:r>
      <w:r w:rsidRPr="008D6195">
        <w:t xml:space="preserve"> 1,2 mmol </w:t>
      </w:r>
      <w:r w:rsidR="006D3A47" w:rsidRPr="008D6195">
        <w:t xml:space="preserve">pre </w:t>
      </w:r>
      <w:r w:rsidRPr="008D6195">
        <w:t>najvyšš</w:t>
      </w:r>
      <w:r w:rsidR="006D3A47" w:rsidRPr="008D6195">
        <w:t xml:space="preserve">iu </w:t>
      </w:r>
      <w:r w:rsidRPr="008D6195">
        <w:t>dávk</w:t>
      </w:r>
      <w:r w:rsidR="006D3A47" w:rsidRPr="008D6195">
        <w:t>u</w:t>
      </w:r>
      <w:r w:rsidRPr="008D6195">
        <w:t>). To je potrebné vziať do úvahy u pacientov s diétou s nízkym obsahom sodíka.</w:t>
      </w:r>
    </w:p>
    <w:p w14:paraId="3BEDD97C" w14:textId="77777777" w:rsidR="00B32054" w:rsidRPr="008D6195" w:rsidRDefault="00B32054" w:rsidP="00780C83">
      <w:pPr>
        <w:pStyle w:val="Normlndobloku"/>
        <w:spacing w:after="0"/>
        <w:jc w:val="left"/>
      </w:pPr>
    </w:p>
    <w:p w14:paraId="78286904" w14:textId="77777777" w:rsidR="00A21263" w:rsidRDefault="00A21263" w:rsidP="00780C83">
      <w:pPr>
        <w:pStyle w:val="Styl2"/>
        <w:numPr>
          <w:ilvl w:val="1"/>
          <w:numId w:val="1"/>
        </w:numPr>
        <w:spacing w:before="0" w:after="0"/>
        <w:ind w:left="357" w:hanging="357"/>
        <w:rPr>
          <w:lang w:val="sk-SK"/>
        </w:rPr>
      </w:pPr>
      <w:r w:rsidRPr="008D6195">
        <w:rPr>
          <w:lang w:val="sk-SK"/>
        </w:rPr>
        <w:t>Liekové a iné interakcie</w:t>
      </w:r>
    </w:p>
    <w:p w14:paraId="2EBD3E1E" w14:textId="77777777" w:rsidR="00B32054" w:rsidRPr="008D6195" w:rsidRDefault="00B32054" w:rsidP="00780C83">
      <w:pPr>
        <w:pStyle w:val="Styl2"/>
        <w:numPr>
          <w:ilvl w:val="0"/>
          <w:numId w:val="0"/>
        </w:numPr>
        <w:spacing w:before="0" w:after="0"/>
        <w:ind w:left="357"/>
        <w:rPr>
          <w:lang w:val="sk-SK"/>
        </w:rPr>
      </w:pPr>
    </w:p>
    <w:p w14:paraId="4151A57B" w14:textId="1DAFB6FF" w:rsidR="00A21263" w:rsidRPr="008D6195" w:rsidRDefault="00A21263" w:rsidP="00780C83">
      <w:pPr>
        <w:pStyle w:val="Normlndobloku"/>
        <w:spacing w:after="0"/>
        <w:jc w:val="left"/>
      </w:pPr>
      <w:proofErr w:type="spellStart"/>
      <w:r w:rsidRPr="008D6195">
        <w:t>Palonosetrón</w:t>
      </w:r>
      <w:proofErr w:type="spellEnd"/>
      <w:r w:rsidRPr="008D6195">
        <w:t xml:space="preserve"> je prevažne metabolizovaný enzýmom CYP2D6, v menšej miere aj </w:t>
      </w:r>
      <w:proofErr w:type="spellStart"/>
      <w:r w:rsidRPr="008D6195">
        <w:t>izoenzýmami</w:t>
      </w:r>
      <w:proofErr w:type="spellEnd"/>
      <w:r w:rsidRPr="008D6195">
        <w:t xml:space="preserve"> CYP3A4 a CYP1A2. </w:t>
      </w:r>
      <w:r w:rsidR="0004710C" w:rsidRPr="008D6195">
        <w:t xml:space="preserve">V štúdiách </w:t>
      </w:r>
      <w:r w:rsidRPr="00105E69">
        <w:rPr>
          <w:rStyle w:val="Bacil"/>
        </w:rPr>
        <w:t>in vitro</w:t>
      </w:r>
      <w:r w:rsidRPr="008D6195">
        <w:t xml:space="preserve"> </w:t>
      </w:r>
      <w:r w:rsidR="0004710C" w:rsidRPr="008D6195">
        <w:t xml:space="preserve">bolo zistené, že </w:t>
      </w:r>
      <w:proofErr w:type="spellStart"/>
      <w:r w:rsidRPr="008D6195">
        <w:t>palonosetrón</w:t>
      </w:r>
      <w:proofErr w:type="spellEnd"/>
      <w:r w:rsidRPr="008D6195">
        <w:t xml:space="preserve"> v klinicky účinných koncentráciách </w:t>
      </w:r>
      <w:proofErr w:type="spellStart"/>
      <w:r w:rsidRPr="008D6195">
        <w:t>neinhibuje</w:t>
      </w:r>
      <w:proofErr w:type="spellEnd"/>
      <w:r w:rsidRPr="008D6195">
        <w:t xml:space="preserve"> ani neindukuje </w:t>
      </w:r>
      <w:proofErr w:type="spellStart"/>
      <w:r w:rsidRPr="008D6195">
        <w:t>cytochróm</w:t>
      </w:r>
      <w:proofErr w:type="spellEnd"/>
      <w:r w:rsidRPr="008D6195">
        <w:t xml:space="preserve"> P450.</w:t>
      </w:r>
    </w:p>
    <w:p w14:paraId="43F8667C" w14:textId="77777777" w:rsidR="003C51D5" w:rsidRDefault="003C51D5" w:rsidP="00780C83">
      <w:pPr>
        <w:pStyle w:val="Styl3"/>
        <w:spacing w:after="0"/>
        <w:jc w:val="left"/>
      </w:pPr>
    </w:p>
    <w:p w14:paraId="7446303B" w14:textId="77777777" w:rsidR="00A21263" w:rsidRPr="008D6195" w:rsidRDefault="00A21263" w:rsidP="00780C83">
      <w:pPr>
        <w:pStyle w:val="Styl3"/>
        <w:spacing w:after="0"/>
        <w:jc w:val="left"/>
      </w:pPr>
      <w:proofErr w:type="spellStart"/>
      <w:r w:rsidRPr="008D6195">
        <w:t>Chemoterapeutiká</w:t>
      </w:r>
      <w:proofErr w:type="spellEnd"/>
    </w:p>
    <w:p w14:paraId="43B52B63" w14:textId="26813A89" w:rsidR="00A21263" w:rsidRPr="008D6195" w:rsidRDefault="00A21263" w:rsidP="00780C83">
      <w:pPr>
        <w:pStyle w:val="Normlndobloku"/>
        <w:spacing w:after="0"/>
        <w:jc w:val="left"/>
      </w:pPr>
      <w:r w:rsidRPr="008D6195">
        <w:t xml:space="preserve">V predklinických štúdiách </w:t>
      </w:r>
      <w:proofErr w:type="spellStart"/>
      <w:r w:rsidR="003C51D5" w:rsidRPr="008D6195">
        <w:t>palonosetrón</w:t>
      </w:r>
      <w:proofErr w:type="spellEnd"/>
      <w:r w:rsidR="003C51D5" w:rsidRPr="008D6195">
        <w:t xml:space="preserve"> </w:t>
      </w:r>
      <w:proofErr w:type="spellStart"/>
      <w:r w:rsidRPr="008D6195">
        <w:t>neinhiboval</w:t>
      </w:r>
      <w:proofErr w:type="spellEnd"/>
      <w:r w:rsidRPr="008D6195">
        <w:t xml:space="preserve"> </w:t>
      </w:r>
      <w:proofErr w:type="spellStart"/>
      <w:r w:rsidRPr="008D6195">
        <w:t>protinádorov</w:t>
      </w:r>
      <w:r w:rsidR="003C51D5">
        <w:t>ú</w:t>
      </w:r>
      <w:proofErr w:type="spellEnd"/>
      <w:r w:rsidRPr="008D6195">
        <w:t xml:space="preserve"> aktivitu piatich testovaných </w:t>
      </w:r>
      <w:proofErr w:type="spellStart"/>
      <w:r w:rsidRPr="008D6195">
        <w:t>chemoterapeutík</w:t>
      </w:r>
      <w:proofErr w:type="spellEnd"/>
      <w:r w:rsidRPr="008D6195">
        <w:t xml:space="preserve"> (</w:t>
      </w:r>
      <w:proofErr w:type="spellStart"/>
      <w:r w:rsidRPr="008D6195">
        <w:t>cisplatina</w:t>
      </w:r>
      <w:proofErr w:type="spellEnd"/>
      <w:r w:rsidRPr="008D6195">
        <w:t xml:space="preserve">, </w:t>
      </w:r>
      <w:proofErr w:type="spellStart"/>
      <w:r w:rsidRPr="008D6195">
        <w:t>cyklofosfamid</w:t>
      </w:r>
      <w:proofErr w:type="spellEnd"/>
      <w:r w:rsidRPr="008D6195">
        <w:t xml:space="preserve">, </w:t>
      </w:r>
      <w:proofErr w:type="spellStart"/>
      <w:r w:rsidRPr="008D6195">
        <w:t>cytarabín</w:t>
      </w:r>
      <w:proofErr w:type="spellEnd"/>
      <w:r w:rsidRPr="008D6195">
        <w:t xml:space="preserve">, </w:t>
      </w:r>
      <w:proofErr w:type="spellStart"/>
      <w:r w:rsidRPr="008D6195">
        <w:t>doxorubicín</w:t>
      </w:r>
      <w:proofErr w:type="spellEnd"/>
      <w:r w:rsidRPr="008D6195">
        <w:t xml:space="preserve"> a </w:t>
      </w:r>
      <w:proofErr w:type="spellStart"/>
      <w:r w:rsidRPr="008D6195">
        <w:t>mitomycín</w:t>
      </w:r>
      <w:proofErr w:type="spellEnd"/>
      <w:r w:rsidRPr="008D6195">
        <w:t xml:space="preserve"> C).</w:t>
      </w:r>
    </w:p>
    <w:p w14:paraId="2B808EA5" w14:textId="77777777" w:rsidR="003C51D5" w:rsidRDefault="003C51D5" w:rsidP="00780C83">
      <w:pPr>
        <w:pStyle w:val="Normlndobloku"/>
        <w:spacing w:after="0"/>
        <w:jc w:val="left"/>
        <w:rPr>
          <w:u w:val="single"/>
        </w:rPr>
      </w:pPr>
    </w:p>
    <w:p w14:paraId="184E5AA5" w14:textId="77777777" w:rsidR="00A21263" w:rsidRPr="008D6195" w:rsidRDefault="00A21263" w:rsidP="00780C83">
      <w:pPr>
        <w:pStyle w:val="Normlndobloku"/>
        <w:spacing w:after="0"/>
        <w:jc w:val="left"/>
        <w:rPr>
          <w:u w:val="single"/>
        </w:rPr>
      </w:pPr>
      <w:proofErr w:type="spellStart"/>
      <w:r w:rsidRPr="008D6195">
        <w:rPr>
          <w:u w:val="single"/>
        </w:rPr>
        <w:t>Metoklopramid</w:t>
      </w:r>
      <w:proofErr w:type="spellEnd"/>
    </w:p>
    <w:p w14:paraId="10F83214" w14:textId="77777777" w:rsidR="00A21263" w:rsidRPr="008D6195" w:rsidRDefault="00A21263" w:rsidP="00780C83">
      <w:pPr>
        <w:pStyle w:val="Normlndobloku"/>
        <w:spacing w:after="0"/>
        <w:jc w:val="left"/>
      </w:pPr>
      <w:r w:rsidRPr="008D6195">
        <w:t xml:space="preserve">V klinickej štúdii sa nepreukázala žiadna významná </w:t>
      </w:r>
      <w:proofErr w:type="spellStart"/>
      <w:r w:rsidRPr="008D6195">
        <w:t>farmakokinetická</w:t>
      </w:r>
      <w:proofErr w:type="spellEnd"/>
      <w:r w:rsidRPr="008D6195">
        <w:t xml:space="preserve"> interakcia medzi jednou intravenóznou dávkou </w:t>
      </w:r>
      <w:proofErr w:type="spellStart"/>
      <w:r w:rsidRPr="008D6195">
        <w:t>palonosetrónu</w:t>
      </w:r>
      <w:proofErr w:type="spellEnd"/>
      <w:r w:rsidRPr="008D6195">
        <w:t xml:space="preserve"> a ustálenou koncentráciou perorálne podávaného </w:t>
      </w:r>
      <w:proofErr w:type="spellStart"/>
      <w:r w:rsidRPr="008D6195">
        <w:t>metoklopramidu</w:t>
      </w:r>
      <w:proofErr w:type="spellEnd"/>
      <w:r w:rsidRPr="008D6195">
        <w:t>, ktorý je inhibítorom CYP2D6.</w:t>
      </w:r>
    </w:p>
    <w:p w14:paraId="7DED237C" w14:textId="77777777" w:rsidR="003C51D5" w:rsidRDefault="003C51D5" w:rsidP="00780C83">
      <w:pPr>
        <w:pStyle w:val="Normlndobloku"/>
        <w:spacing w:after="0"/>
        <w:jc w:val="left"/>
        <w:rPr>
          <w:u w:val="single"/>
        </w:rPr>
      </w:pPr>
    </w:p>
    <w:p w14:paraId="1CA5DD58" w14:textId="77777777" w:rsidR="00A21263" w:rsidRPr="008D6195" w:rsidRDefault="00A21263" w:rsidP="00780C83">
      <w:pPr>
        <w:pStyle w:val="Normlndobloku"/>
        <w:spacing w:after="0"/>
        <w:jc w:val="left"/>
        <w:rPr>
          <w:u w:val="single"/>
        </w:rPr>
      </w:pPr>
      <w:r w:rsidRPr="008D6195">
        <w:rPr>
          <w:u w:val="single"/>
        </w:rPr>
        <w:t>Induktory a inhibítory CYP2D6</w:t>
      </w:r>
    </w:p>
    <w:p w14:paraId="222935AA" w14:textId="77777777" w:rsidR="00A21263" w:rsidRPr="008D6195" w:rsidRDefault="00A21263" w:rsidP="00780C83">
      <w:pPr>
        <w:pStyle w:val="Normlndobloku"/>
        <w:spacing w:after="0"/>
        <w:jc w:val="left"/>
      </w:pPr>
      <w:r w:rsidRPr="008D6195">
        <w:t xml:space="preserve">Vo </w:t>
      </w:r>
      <w:proofErr w:type="spellStart"/>
      <w:r w:rsidRPr="008D6195">
        <w:t>farmakokinetickej</w:t>
      </w:r>
      <w:proofErr w:type="spellEnd"/>
      <w:r w:rsidRPr="008D6195">
        <w:t xml:space="preserve"> analýze populácie sa nepreukázal významný účinok na </w:t>
      </w:r>
      <w:proofErr w:type="spellStart"/>
      <w:r w:rsidRPr="008D6195">
        <w:t>klírens</w:t>
      </w:r>
      <w:proofErr w:type="spellEnd"/>
      <w:r w:rsidRPr="008D6195">
        <w:t xml:space="preserve"> </w:t>
      </w:r>
      <w:proofErr w:type="spellStart"/>
      <w:r w:rsidRPr="008D6195">
        <w:t>palonosetrónu</w:t>
      </w:r>
      <w:proofErr w:type="spellEnd"/>
      <w:r w:rsidRPr="008D6195">
        <w:t>, ak bol podaný spolu s induktormi CYP2D6 (</w:t>
      </w:r>
      <w:proofErr w:type="spellStart"/>
      <w:r w:rsidRPr="008D6195">
        <w:t>dexametazón</w:t>
      </w:r>
      <w:proofErr w:type="spellEnd"/>
      <w:r w:rsidRPr="008D6195">
        <w:t xml:space="preserve"> a </w:t>
      </w:r>
      <w:proofErr w:type="spellStart"/>
      <w:r w:rsidRPr="008D6195">
        <w:t>rifampicín</w:t>
      </w:r>
      <w:proofErr w:type="spellEnd"/>
      <w:r w:rsidRPr="008D6195">
        <w:t>) a inhibítormi CYP2D6 (</w:t>
      </w:r>
      <w:proofErr w:type="spellStart"/>
      <w:r w:rsidRPr="008D6195">
        <w:t>amiodarón</w:t>
      </w:r>
      <w:proofErr w:type="spellEnd"/>
      <w:r w:rsidRPr="008D6195">
        <w:t xml:space="preserve">, </w:t>
      </w:r>
      <w:proofErr w:type="spellStart"/>
      <w:r w:rsidRPr="008D6195">
        <w:t>celekoxib</w:t>
      </w:r>
      <w:proofErr w:type="spellEnd"/>
      <w:r w:rsidRPr="008D6195">
        <w:t xml:space="preserve">, </w:t>
      </w:r>
      <w:proofErr w:type="spellStart"/>
      <w:r w:rsidRPr="008D6195">
        <w:t>chlórpromazín</w:t>
      </w:r>
      <w:proofErr w:type="spellEnd"/>
      <w:r w:rsidRPr="008D6195">
        <w:t xml:space="preserve">, </w:t>
      </w:r>
      <w:proofErr w:type="spellStart"/>
      <w:r w:rsidRPr="008D6195">
        <w:t>cimetidín</w:t>
      </w:r>
      <w:proofErr w:type="spellEnd"/>
      <w:r w:rsidRPr="008D6195">
        <w:t xml:space="preserve">, </w:t>
      </w:r>
      <w:proofErr w:type="spellStart"/>
      <w:r w:rsidRPr="008D6195">
        <w:t>doxorubicín</w:t>
      </w:r>
      <w:proofErr w:type="spellEnd"/>
      <w:r w:rsidRPr="008D6195">
        <w:t xml:space="preserve">, </w:t>
      </w:r>
      <w:proofErr w:type="spellStart"/>
      <w:r w:rsidRPr="008D6195">
        <w:t>fluoxetín</w:t>
      </w:r>
      <w:proofErr w:type="spellEnd"/>
      <w:r w:rsidRPr="008D6195">
        <w:t xml:space="preserve">, </w:t>
      </w:r>
      <w:proofErr w:type="spellStart"/>
      <w:r w:rsidRPr="008D6195">
        <w:t>haloperidol</w:t>
      </w:r>
      <w:proofErr w:type="spellEnd"/>
      <w:r w:rsidRPr="008D6195">
        <w:t xml:space="preserve">, </w:t>
      </w:r>
      <w:proofErr w:type="spellStart"/>
      <w:r w:rsidRPr="008D6195">
        <w:t>paroxetín</w:t>
      </w:r>
      <w:proofErr w:type="spellEnd"/>
      <w:r w:rsidRPr="008D6195">
        <w:t xml:space="preserve">, </w:t>
      </w:r>
      <w:proofErr w:type="spellStart"/>
      <w:r w:rsidRPr="008D6195">
        <w:t>chinidín</w:t>
      </w:r>
      <w:proofErr w:type="spellEnd"/>
      <w:r w:rsidRPr="008D6195">
        <w:t xml:space="preserve">, </w:t>
      </w:r>
      <w:proofErr w:type="spellStart"/>
      <w:r w:rsidRPr="008D6195">
        <w:t>ranitidín</w:t>
      </w:r>
      <w:proofErr w:type="spellEnd"/>
      <w:r w:rsidRPr="008D6195">
        <w:t xml:space="preserve">, </w:t>
      </w:r>
      <w:proofErr w:type="spellStart"/>
      <w:r w:rsidRPr="008D6195">
        <w:t>ritonavir</w:t>
      </w:r>
      <w:proofErr w:type="spellEnd"/>
      <w:r w:rsidRPr="008D6195">
        <w:t xml:space="preserve">, </w:t>
      </w:r>
      <w:proofErr w:type="spellStart"/>
      <w:r w:rsidRPr="008D6195">
        <w:t>sertralín</w:t>
      </w:r>
      <w:proofErr w:type="spellEnd"/>
      <w:r w:rsidRPr="008D6195">
        <w:t xml:space="preserve"> či </w:t>
      </w:r>
      <w:proofErr w:type="spellStart"/>
      <w:r w:rsidRPr="008D6195">
        <w:t>terbinafín</w:t>
      </w:r>
      <w:proofErr w:type="spellEnd"/>
      <w:r w:rsidRPr="008D6195">
        <w:t>).</w:t>
      </w:r>
    </w:p>
    <w:p w14:paraId="7752BD3E" w14:textId="77777777" w:rsidR="003C51D5" w:rsidRDefault="003C51D5" w:rsidP="00780C83">
      <w:pPr>
        <w:pStyle w:val="Normlndobloku"/>
        <w:spacing w:after="0"/>
        <w:jc w:val="left"/>
        <w:rPr>
          <w:u w:val="single"/>
        </w:rPr>
      </w:pPr>
    </w:p>
    <w:p w14:paraId="21FC732E" w14:textId="77777777" w:rsidR="00A21263" w:rsidRPr="008D6195" w:rsidRDefault="00A21263" w:rsidP="00780C83">
      <w:pPr>
        <w:pStyle w:val="Normlndobloku"/>
        <w:spacing w:after="0"/>
        <w:jc w:val="left"/>
        <w:rPr>
          <w:u w:val="single"/>
        </w:rPr>
      </w:pPr>
      <w:proofErr w:type="spellStart"/>
      <w:r w:rsidRPr="008D6195">
        <w:rPr>
          <w:u w:val="single"/>
        </w:rPr>
        <w:t>Kortikosteroidy</w:t>
      </w:r>
      <w:proofErr w:type="spellEnd"/>
    </w:p>
    <w:p w14:paraId="6CDB7CEE" w14:textId="77777777" w:rsidR="00A21263" w:rsidRPr="008D6195" w:rsidRDefault="00A21263" w:rsidP="00780C83">
      <w:pPr>
        <w:pStyle w:val="Normlndobloku"/>
        <w:spacing w:after="0"/>
        <w:jc w:val="left"/>
      </w:pPr>
      <w:proofErr w:type="spellStart"/>
      <w:r w:rsidRPr="008D6195">
        <w:t>Palonosetrón</w:t>
      </w:r>
      <w:proofErr w:type="spellEnd"/>
      <w:r w:rsidRPr="008D6195">
        <w:t xml:space="preserve"> bol bezpečne podávaný spoločne s </w:t>
      </w:r>
      <w:proofErr w:type="spellStart"/>
      <w:r w:rsidRPr="008D6195">
        <w:t>kortikosteroidmi</w:t>
      </w:r>
      <w:proofErr w:type="spellEnd"/>
      <w:r w:rsidRPr="008D6195">
        <w:t>.</w:t>
      </w:r>
    </w:p>
    <w:p w14:paraId="0D773A32" w14:textId="77777777" w:rsidR="003C51D5" w:rsidRDefault="003C51D5" w:rsidP="00780C83">
      <w:pPr>
        <w:pStyle w:val="Normlndobloku"/>
        <w:spacing w:after="0"/>
        <w:jc w:val="left"/>
        <w:rPr>
          <w:u w:val="single"/>
        </w:rPr>
      </w:pPr>
    </w:p>
    <w:p w14:paraId="3B54B2C5" w14:textId="5354E075" w:rsidR="00A21263" w:rsidRPr="008D6195" w:rsidRDefault="00A21263" w:rsidP="00780C83">
      <w:pPr>
        <w:pStyle w:val="Normlndobloku"/>
        <w:spacing w:after="0"/>
        <w:jc w:val="left"/>
        <w:rPr>
          <w:u w:val="single"/>
        </w:rPr>
      </w:pPr>
      <w:proofErr w:type="spellStart"/>
      <w:r w:rsidRPr="008D6195">
        <w:rPr>
          <w:u w:val="single"/>
        </w:rPr>
        <w:t>Serotonerg</w:t>
      </w:r>
      <w:r w:rsidR="003C51D5">
        <w:rPr>
          <w:u w:val="single"/>
        </w:rPr>
        <w:t>né</w:t>
      </w:r>
      <w:proofErr w:type="spellEnd"/>
      <w:r w:rsidRPr="008D6195">
        <w:rPr>
          <w:u w:val="single"/>
        </w:rPr>
        <w:t xml:space="preserve"> lieky (napr. SSRI a </w:t>
      </w:r>
      <w:r w:rsidR="000D0D7E" w:rsidRPr="008D6195">
        <w:rPr>
          <w:u w:val="single"/>
        </w:rPr>
        <w:t>SNRI)</w:t>
      </w:r>
    </w:p>
    <w:p w14:paraId="3B5AF03B" w14:textId="2E1B227F" w:rsidR="00A21263" w:rsidRPr="008D6195" w:rsidRDefault="00A21263" w:rsidP="00780C83">
      <w:pPr>
        <w:pStyle w:val="Normlndobloku"/>
        <w:spacing w:after="0"/>
        <w:jc w:val="left"/>
      </w:pPr>
      <w:r w:rsidRPr="008D6195">
        <w:t xml:space="preserve">Boli hlásené prípady </w:t>
      </w:r>
      <w:proofErr w:type="spellStart"/>
      <w:r w:rsidRPr="008D6195">
        <w:t>serotonínového</w:t>
      </w:r>
      <w:proofErr w:type="spellEnd"/>
      <w:r w:rsidRPr="008D6195">
        <w:t xml:space="preserve"> syndrómu pri súčasnom užívaní 5-HT</w:t>
      </w:r>
      <w:r w:rsidR="00C2611F" w:rsidRPr="00105E69">
        <w:rPr>
          <w:vertAlign w:val="subscript"/>
        </w:rPr>
        <w:t>3</w:t>
      </w:r>
      <w:r w:rsidR="000D0D7E" w:rsidRPr="008D6195">
        <w:t> antagonistov a </w:t>
      </w:r>
      <w:r w:rsidRPr="008D6195">
        <w:t xml:space="preserve">iných </w:t>
      </w:r>
      <w:proofErr w:type="spellStart"/>
      <w:r w:rsidRPr="008D6195">
        <w:t>serotone</w:t>
      </w:r>
      <w:r w:rsidR="000D0D7E" w:rsidRPr="008D6195">
        <w:t>rg</w:t>
      </w:r>
      <w:r w:rsidR="003C51D5">
        <w:t>n</w:t>
      </w:r>
      <w:r w:rsidR="000D0D7E" w:rsidRPr="008D6195">
        <w:t>ých</w:t>
      </w:r>
      <w:proofErr w:type="spellEnd"/>
      <w:r w:rsidR="000D0D7E" w:rsidRPr="008D6195">
        <w:t xml:space="preserve"> liekov (vrátane SSRI a SNRI).</w:t>
      </w:r>
    </w:p>
    <w:p w14:paraId="3C32DCF3" w14:textId="77777777" w:rsidR="003C51D5" w:rsidRDefault="003C51D5" w:rsidP="00780C83">
      <w:pPr>
        <w:pStyle w:val="Normlndobloku"/>
        <w:spacing w:after="0"/>
        <w:jc w:val="left"/>
        <w:rPr>
          <w:u w:val="single"/>
        </w:rPr>
      </w:pPr>
    </w:p>
    <w:p w14:paraId="2ABED7E9" w14:textId="77777777" w:rsidR="00A21263" w:rsidRPr="008D6195" w:rsidRDefault="000D0D7E" w:rsidP="00780C83">
      <w:pPr>
        <w:pStyle w:val="Normlndobloku"/>
        <w:spacing w:after="0"/>
        <w:jc w:val="left"/>
        <w:rPr>
          <w:u w:val="single"/>
        </w:rPr>
      </w:pPr>
      <w:r w:rsidRPr="008D6195">
        <w:rPr>
          <w:u w:val="single"/>
        </w:rPr>
        <w:t>Iné lieky</w:t>
      </w:r>
    </w:p>
    <w:p w14:paraId="766DBC44" w14:textId="7DC133DF" w:rsidR="00A21263" w:rsidRDefault="00A21263" w:rsidP="00780C83">
      <w:pPr>
        <w:pStyle w:val="Normlndobloku"/>
        <w:spacing w:after="0"/>
        <w:jc w:val="left"/>
      </w:pPr>
      <w:proofErr w:type="spellStart"/>
      <w:r w:rsidRPr="008D6195">
        <w:t>Palonosetrón</w:t>
      </w:r>
      <w:proofErr w:type="spellEnd"/>
      <w:r w:rsidRPr="008D6195">
        <w:t xml:space="preserve"> b</w:t>
      </w:r>
      <w:r w:rsidR="000D0D7E" w:rsidRPr="008D6195">
        <w:t xml:space="preserve">ol bezpečne podávaný </w:t>
      </w:r>
      <w:r w:rsidR="007726A9" w:rsidRPr="008D6195">
        <w:t>s analgetikami</w:t>
      </w:r>
      <w:r w:rsidRPr="008D6195">
        <w:t xml:space="preserve">, </w:t>
      </w:r>
      <w:proofErr w:type="spellStart"/>
      <w:r w:rsidRPr="008D6195">
        <w:t>antiemetikami</w:t>
      </w:r>
      <w:proofErr w:type="spellEnd"/>
      <w:r w:rsidRPr="008D6195">
        <w:t>/liekmi p</w:t>
      </w:r>
      <w:r w:rsidR="000D0D7E" w:rsidRPr="008D6195">
        <w:t>roti nauze</w:t>
      </w:r>
      <w:r w:rsidR="00DA285E">
        <w:t>i</w:t>
      </w:r>
      <w:r w:rsidR="000D0D7E" w:rsidRPr="008D6195">
        <w:t xml:space="preserve">, </w:t>
      </w:r>
      <w:proofErr w:type="spellStart"/>
      <w:r w:rsidR="000D0D7E" w:rsidRPr="008D6195">
        <w:t>spazmo</w:t>
      </w:r>
      <w:r w:rsidR="007726A9" w:rsidRPr="008D6195">
        <w:t>ly</w:t>
      </w:r>
      <w:r w:rsidR="000D0D7E" w:rsidRPr="008D6195">
        <w:t>tikami</w:t>
      </w:r>
      <w:proofErr w:type="spellEnd"/>
      <w:r w:rsidR="000D0D7E" w:rsidRPr="008D6195">
        <w:t xml:space="preserve"> a </w:t>
      </w:r>
      <w:proofErr w:type="spellStart"/>
      <w:r w:rsidR="000D0D7E" w:rsidRPr="008D6195">
        <w:t>anticholinergikami</w:t>
      </w:r>
      <w:proofErr w:type="spellEnd"/>
      <w:r w:rsidR="000D0D7E" w:rsidRPr="008D6195">
        <w:t>.</w:t>
      </w:r>
    </w:p>
    <w:p w14:paraId="2D04D719" w14:textId="77777777" w:rsidR="00B32054" w:rsidRPr="008D6195" w:rsidRDefault="00B32054" w:rsidP="00780C83">
      <w:pPr>
        <w:pStyle w:val="Normlndobloku"/>
        <w:spacing w:after="0"/>
        <w:jc w:val="left"/>
      </w:pPr>
    </w:p>
    <w:p w14:paraId="6ADC6680" w14:textId="77EFF6A2" w:rsidR="001A2F10" w:rsidRDefault="001A2F10" w:rsidP="00780C83">
      <w:pPr>
        <w:pStyle w:val="Styl2"/>
        <w:numPr>
          <w:ilvl w:val="1"/>
          <w:numId w:val="1"/>
        </w:numPr>
        <w:spacing w:before="0" w:after="0"/>
        <w:ind w:left="357" w:hanging="357"/>
        <w:rPr>
          <w:lang w:val="sk-SK"/>
        </w:rPr>
      </w:pPr>
      <w:proofErr w:type="spellStart"/>
      <w:r w:rsidRPr="008D6195">
        <w:rPr>
          <w:lang w:val="sk-SK"/>
        </w:rPr>
        <w:t>Fertilita</w:t>
      </w:r>
      <w:proofErr w:type="spellEnd"/>
      <w:r w:rsidRPr="008D6195">
        <w:rPr>
          <w:lang w:val="sk-SK"/>
        </w:rPr>
        <w:t>, gravidita a</w:t>
      </w:r>
      <w:r w:rsidR="00B32054">
        <w:rPr>
          <w:lang w:val="sk-SK"/>
        </w:rPr>
        <w:t> </w:t>
      </w:r>
      <w:r w:rsidRPr="008D6195">
        <w:rPr>
          <w:lang w:val="sk-SK"/>
        </w:rPr>
        <w:t>laktácia</w:t>
      </w:r>
    </w:p>
    <w:p w14:paraId="2DBC9786" w14:textId="77777777" w:rsidR="00B32054" w:rsidRPr="008D6195" w:rsidRDefault="00B32054" w:rsidP="00780C83">
      <w:pPr>
        <w:pStyle w:val="Styl2"/>
        <w:numPr>
          <w:ilvl w:val="0"/>
          <w:numId w:val="0"/>
        </w:numPr>
        <w:spacing w:before="0" w:after="0"/>
        <w:ind w:left="357"/>
        <w:rPr>
          <w:lang w:val="sk-SK"/>
        </w:rPr>
      </w:pPr>
    </w:p>
    <w:p w14:paraId="245528A0" w14:textId="77777777" w:rsidR="00FB18D9" w:rsidRPr="008D6195" w:rsidRDefault="00F569D1" w:rsidP="00780C83">
      <w:pPr>
        <w:pStyle w:val="Styl3"/>
        <w:spacing w:after="0"/>
        <w:jc w:val="left"/>
      </w:pPr>
      <w:r w:rsidRPr="008D6195">
        <w:t>Gravidita</w:t>
      </w:r>
    </w:p>
    <w:p w14:paraId="720439CB" w14:textId="48FC9DFD" w:rsidR="00FC18CB" w:rsidRDefault="00F569D1" w:rsidP="00780C83">
      <w:pPr>
        <w:pStyle w:val="Normlndobloku"/>
        <w:spacing w:after="0"/>
        <w:jc w:val="left"/>
      </w:pPr>
      <w:r w:rsidRPr="008D6195">
        <w:t xml:space="preserve">Nie sú k dispozícii žiadne klinické údaje o gravidných ženách vystavených účinku </w:t>
      </w:r>
      <w:proofErr w:type="spellStart"/>
      <w:r w:rsidRPr="008D6195">
        <w:t>palonosetrónu</w:t>
      </w:r>
      <w:proofErr w:type="spellEnd"/>
      <w:r w:rsidRPr="008D6195">
        <w:t>. Štúdie na zvieratách nepreukázali priame alebo nepriame škodlivé účinky na graviditu, embryonálny/</w:t>
      </w:r>
      <w:proofErr w:type="spellStart"/>
      <w:r w:rsidRPr="008D6195">
        <w:t>fetálny</w:t>
      </w:r>
      <w:proofErr w:type="spellEnd"/>
      <w:r w:rsidRPr="008D6195">
        <w:t xml:space="preserve"> vývoj, pôrod alebo </w:t>
      </w:r>
      <w:proofErr w:type="spellStart"/>
      <w:r w:rsidRPr="008D6195">
        <w:t>postnatálny</w:t>
      </w:r>
      <w:proofErr w:type="spellEnd"/>
      <w:r w:rsidRPr="008D6195">
        <w:t xml:space="preserve"> vývoj. Zo štúdii na zvieratách sú dostupné iba obmedzené údaje o prestupe placentou (pozri časť 5.3).</w:t>
      </w:r>
    </w:p>
    <w:p w14:paraId="272A1F60" w14:textId="4BD5922C" w:rsidR="00F569D1" w:rsidRPr="008D6195" w:rsidRDefault="00F569D1" w:rsidP="00780C83">
      <w:pPr>
        <w:pStyle w:val="Normlndobloku"/>
        <w:spacing w:after="0"/>
        <w:jc w:val="left"/>
      </w:pPr>
      <w:r w:rsidRPr="008D6195">
        <w:t xml:space="preserve">Nie sú žiadne skúsenosti s používaním </w:t>
      </w:r>
      <w:proofErr w:type="spellStart"/>
      <w:r w:rsidRPr="008D6195">
        <w:t>palonosetrónu</w:t>
      </w:r>
      <w:proofErr w:type="spellEnd"/>
      <w:r w:rsidRPr="008D6195">
        <w:t xml:space="preserve"> u ľudí počas gravidity. Z tohto dôvodu gravidné ženy nesmú </w:t>
      </w:r>
      <w:proofErr w:type="spellStart"/>
      <w:r w:rsidRPr="008D6195">
        <w:t>palonosetrón</w:t>
      </w:r>
      <w:proofErr w:type="spellEnd"/>
      <w:r w:rsidRPr="008D6195">
        <w:t xml:space="preserve"> používať, pokiaľ to lekár nepovažuje za nevyhnutné.</w:t>
      </w:r>
    </w:p>
    <w:p w14:paraId="06531FA3" w14:textId="77777777" w:rsidR="003C51D5" w:rsidRDefault="003C51D5" w:rsidP="00780C83">
      <w:pPr>
        <w:pStyle w:val="Styl3"/>
        <w:spacing w:after="0"/>
        <w:jc w:val="left"/>
      </w:pPr>
    </w:p>
    <w:p w14:paraId="16027EAB" w14:textId="77777777" w:rsidR="00FB18D9" w:rsidRPr="008D6195" w:rsidRDefault="00F569D1" w:rsidP="00780C83">
      <w:pPr>
        <w:pStyle w:val="Styl3"/>
        <w:spacing w:after="0"/>
        <w:jc w:val="left"/>
      </w:pPr>
      <w:r w:rsidRPr="008D6195">
        <w:t>Dojčenie</w:t>
      </w:r>
    </w:p>
    <w:p w14:paraId="78C222F6" w14:textId="5B557C6C" w:rsidR="00F569D1" w:rsidRPr="008D6195" w:rsidRDefault="00F569D1" w:rsidP="00780C83">
      <w:pPr>
        <w:pStyle w:val="Normlndobloku"/>
        <w:spacing w:after="0"/>
        <w:jc w:val="left"/>
      </w:pPr>
      <w:r w:rsidRPr="008D6195">
        <w:t xml:space="preserve">Keďže nie sú známe údaje o vylučovaní </w:t>
      </w:r>
      <w:proofErr w:type="spellStart"/>
      <w:r w:rsidRPr="008D6195">
        <w:t>palonosetrónu</w:t>
      </w:r>
      <w:proofErr w:type="spellEnd"/>
      <w:r w:rsidRPr="008D6195">
        <w:t xml:space="preserve"> do materského mlieka, dojčenie </w:t>
      </w:r>
      <w:r w:rsidR="00C41B5C">
        <w:t xml:space="preserve">sa má </w:t>
      </w:r>
      <w:r w:rsidRPr="008D6195">
        <w:t>počas liečby prerušiť.</w:t>
      </w:r>
    </w:p>
    <w:p w14:paraId="3DF15D06" w14:textId="77777777" w:rsidR="003C51D5" w:rsidRDefault="003C51D5" w:rsidP="00780C83">
      <w:pPr>
        <w:pStyle w:val="Styl3"/>
        <w:spacing w:after="0"/>
        <w:jc w:val="left"/>
      </w:pPr>
    </w:p>
    <w:p w14:paraId="4AC42416" w14:textId="77777777" w:rsidR="001A2F10" w:rsidRPr="008D6195" w:rsidRDefault="00F569D1" w:rsidP="00780C83">
      <w:pPr>
        <w:pStyle w:val="Styl3"/>
        <w:spacing w:after="0"/>
        <w:jc w:val="left"/>
      </w:pPr>
      <w:proofErr w:type="spellStart"/>
      <w:r w:rsidRPr="008D6195">
        <w:t>Fertilita</w:t>
      </w:r>
      <w:proofErr w:type="spellEnd"/>
    </w:p>
    <w:p w14:paraId="61A94F69" w14:textId="77777777" w:rsidR="001A2F10" w:rsidRDefault="00F569D1" w:rsidP="00780C83">
      <w:pPr>
        <w:pStyle w:val="Normlndobloku"/>
        <w:spacing w:after="0"/>
        <w:jc w:val="left"/>
        <w:rPr>
          <w:szCs w:val="22"/>
        </w:rPr>
      </w:pPr>
      <w:r w:rsidRPr="008D6195">
        <w:rPr>
          <w:szCs w:val="22"/>
        </w:rPr>
        <w:t xml:space="preserve">K dispozícii nie sú žiadne údaje týkajúce sa účinku </w:t>
      </w:r>
      <w:proofErr w:type="spellStart"/>
      <w:r w:rsidRPr="008D6195">
        <w:rPr>
          <w:szCs w:val="22"/>
        </w:rPr>
        <w:t>palonosetrónu</w:t>
      </w:r>
      <w:proofErr w:type="spellEnd"/>
      <w:r w:rsidRPr="008D6195">
        <w:rPr>
          <w:szCs w:val="22"/>
        </w:rPr>
        <w:t xml:space="preserve"> na </w:t>
      </w:r>
      <w:proofErr w:type="spellStart"/>
      <w:r w:rsidRPr="008D6195">
        <w:rPr>
          <w:szCs w:val="22"/>
        </w:rPr>
        <w:t>fertilitu</w:t>
      </w:r>
      <w:proofErr w:type="spellEnd"/>
      <w:r w:rsidRPr="008D6195">
        <w:rPr>
          <w:szCs w:val="22"/>
        </w:rPr>
        <w:t>.</w:t>
      </w:r>
    </w:p>
    <w:p w14:paraId="20F6625D" w14:textId="77777777" w:rsidR="00B32054" w:rsidRPr="008D6195" w:rsidRDefault="00B32054" w:rsidP="00780C83">
      <w:pPr>
        <w:pStyle w:val="Normlndobloku"/>
        <w:spacing w:after="0"/>
        <w:jc w:val="left"/>
      </w:pPr>
    </w:p>
    <w:p w14:paraId="37584CCE" w14:textId="77777777" w:rsidR="003F2CC3" w:rsidRDefault="001A2F10" w:rsidP="00780C83">
      <w:pPr>
        <w:pStyle w:val="Styl2"/>
        <w:numPr>
          <w:ilvl w:val="1"/>
          <w:numId w:val="1"/>
        </w:numPr>
        <w:spacing w:before="0" w:after="0"/>
        <w:ind w:left="357" w:hanging="357"/>
        <w:rPr>
          <w:lang w:val="sk-SK"/>
        </w:rPr>
      </w:pPr>
      <w:r w:rsidRPr="008D6195">
        <w:rPr>
          <w:lang w:val="sk-SK"/>
        </w:rPr>
        <w:t>Ovplyvnenie schopnosti vi</w:t>
      </w:r>
      <w:r w:rsidR="003F2CC3" w:rsidRPr="008D6195">
        <w:rPr>
          <w:lang w:val="sk-SK"/>
        </w:rPr>
        <w:t>esť vozidlá a obsluhovať stroje</w:t>
      </w:r>
    </w:p>
    <w:p w14:paraId="27284D86" w14:textId="77777777" w:rsidR="00B32054" w:rsidRPr="008D6195" w:rsidRDefault="00B32054" w:rsidP="00780C83">
      <w:pPr>
        <w:pStyle w:val="Styl2"/>
        <w:numPr>
          <w:ilvl w:val="0"/>
          <w:numId w:val="0"/>
        </w:numPr>
        <w:spacing w:before="0" w:after="0"/>
        <w:ind w:left="357"/>
        <w:rPr>
          <w:lang w:val="sk-SK"/>
        </w:rPr>
      </w:pPr>
    </w:p>
    <w:p w14:paraId="5187569F" w14:textId="77777777" w:rsidR="003F2CC3" w:rsidRPr="008D6195" w:rsidRDefault="003F2CC3" w:rsidP="00780C83">
      <w:pPr>
        <w:pStyle w:val="Normlndobloku"/>
        <w:spacing w:after="0"/>
        <w:jc w:val="left"/>
      </w:pPr>
      <w:r w:rsidRPr="008D6195">
        <w:t>Neuskutočnili sa žiadne štúdie o účinkoch na schopnosť viesť vozidlá a obsluhovať stroje.</w:t>
      </w:r>
    </w:p>
    <w:p w14:paraId="5012FF28" w14:textId="1BFDDBAB" w:rsidR="003F2CC3" w:rsidRDefault="003F2CC3" w:rsidP="00780C83">
      <w:pPr>
        <w:pStyle w:val="Normlndobloku"/>
        <w:spacing w:after="0"/>
        <w:jc w:val="left"/>
      </w:pPr>
      <w:r w:rsidRPr="008D6195">
        <w:t xml:space="preserve">Keďže </w:t>
      </w:r>
      <w:proofErr w:type="spellStart"/>
      <w:r w:rsidRPr="008D6195">
        <w:t>palonosetrón</w:t>
      </w:r>
      <w:proofErr w:type="spellEnd"/>
      <w:r w:rsidRPr="008D6195">
        <w:t xml:space="preserve"> môže vyvolať závraty, ospalosť alebo únavu, pacient</w:t>
      </w:r>
      <w:r w:rsidR="0016725A" w:rsidRPr="008D6195">
        <w:t>i</w:t>
      </w:r>
      <w:r w:rsidRPr="008D6195">
        <w:t xml:space="preserve"> mus</w:t>
      </w:r>
      <w:r w:rsidR="0016725A" w:rsidRPr="008D6195">
        <w:t>ia</w:t>
      </w:r>
      <w:r w:rsidR="00C41B5C" w:rsidRPr="00C41B5C">
        <w:t xml:space="preserve"> </w:t>
      </w:r>
      <w:r w:rsidR="00C41B5C" w:rsidRPr="008D6195">
        <w:t>dbať na zvýšenú opatrnosť</w:t>
      </w:r>
      <w:r w:rsidR="00E52021">
        <w:t>,</w:t>
      </w:r>
      <w:r w:rsidR="0016725A" w:rsidRPr="008D6195">
        <w:t xml:space="preserve"> </w:t>
      </w:r>
      <w:r w:rsidR="0055614D" w:rsidRPr="008D6195">
        <w:t>ak vedú vozidl</w:t>
      </w:r>
      <w:r w:rsidR="00C41B5C">
        <w:t>á</w:t>
      </w:r>
      <w:r w:rsidR="0055614D" w:rsidRPr="008D6195">
        <w:t xml:space="preserve"> alebo obsluhujú stroje.</w:t>
      </w:r>
    </w:p>
    <w:p w14:paraId="5032C8F3" w14:textId="77777777" w:rsidR="00B32054" w:rsidRPr="008D6195" w:rsidRDefault="00B32054" w:rsidP="00780C83">
      <w:pPr>
        <w:pStyle w:val="Normlndobloku"/>
        <w:spacing w:after="0"/>
        <w:jc w:val="left"/>
      </w:pPr>
    </w:p>
    <w:p w14:paraId="03D382DE" w14:textId="77777777" w:rsidR="003F2CC3" w:rsidRDefault="003F2CC3" w:rsidP="00780C83">
      <w:pPr>
        <w:pStyle w:val="Styl2"/>
        <w:numPr>
          <w:ilvl w:val="1"/>
          <w:numId w:val="1"/>
        </w:numPr>
        <w:spacing w:before="0" w:after="0"/>
        <w:ind w:left="357" w:hanging="357"/>
        <w:rPr>
          <w:lang w:val="sk-SK"/>
        </w:rPr>
      </w:pPr>
      <w:r w:rsidRPr="008D6195">
        <w:rPr>
          <w:lang w:val="sk-SK"/>
        </w:rPr>
        <w:t>Nežiaduce účinky</w:t>
      </w:r>
    </w:p>
    <w:p w14:paraId="4753DFC1" w14:textId="77777777" w:rsidR="00B32054" w:rsidRPr="008D6195" w:rsidRDefault="00B32054" w:rsidP="00780C83">
      <w:pPr>
        <w:pStyle w:val="Styl2"/>
        <w:numPr>
          <w:ilvl w:val="0"/>
          <w:numId w:val="0"/>
        </w:numPr>
        <w:spacing w:before="0" w:after="0"/>
        <w:ind w:left="357"/>
        <w:rPr>
          <w:lang w:val="sk-SK"/>
        </w:rPr>
      </w:pPr>
    </w:p>
    <w:p w14:paraId="64503040" w14:textId="2DB01214" w:rsidR="003F2CC3" w:rsidRPr="008D6195" w:rsidRDefault="003F2CC3" w:rsidP="00780C83">
      <w:pPr>
        <w:pStyle w:val="Normlndobloku"/>
        <w:spacing w:after="0"/>
        <w:jc w:val="left"/>
      </w:pPr>
      <w:r w:rsidRPr="008D6195">
        <w:t xml:space="preserve">V klinických štúdiách u dospelých s dávkou 250 </w:t>
      </w:r>
      <w:proofErr w:type="spellStart"/>
      <w:r w:rsidRPr="008D6195">
        <w:t>mikrogramov</w:t>
      </w:r>
      <w:proofErr w:type="spellEnd"/>
      <w:r w:rsidRPr="008D6195">
        <w:t xml:space="preserve"> (celkom 633 pacientov) boli najčastejšie pozorovanými nežiaducimi reakciami, ktoré prinajmenšom </w:t>
      </w:r>
      <w:r w:rsidR="0055614D" w:rsidRPr="008D6195">
        <w:t xml:space="preserve">možno </w:t>
      </w:r>
      <w:r w:rsidRPr="008D6195">
        <w:t>spájať s </w:t>
      </w:r>
      <w:proofErr w:type="spellStart"/>
      <w:r w:rsidRPr="008D6195">
        <w:t>palonosetrónom</w:t>
      </w:r>
      <w:proofErr w:type="spellEnd"/>
      <w:r w:rsidRPr="008D6195">
        <w:t>, bolesti hlavy (9 %) a zápcha (5 %).</w:t>
      </w:r>
    </w:p>
    <w:p w14:paraId="7357EA87" w14:textId="1236874E" w:rsidR="003F2CC3" w:rsidRPr="008D6195" w:rsidRDefault="00224259" w:rsidP="00780C83">
      <w:pPr>
        <w:pStyle w:val="Normlndobloku"/>
        <w:spacing w:after="0"/>
        <w:jc w:val="left"/>
      </w:pPr>
      <w:r w:rsidRPr="008D6195">
        <w:t>V </w:t>
      </w:r>
      <w:r w:rsidR="003F2CC3" w:rsidRPr="008D6195">
        <w:t xml:space="preserve">klinických štúdiách boli pozorované nasledujúce nežiaduce </w:t>
      </w:r>
      <w:r w:rsidR="0055614D" w:rsidRPr="008D6195">
        <w:t>účinky</w:t>
      </w:r>
      <w:r w:rsidR="003F2CC3" w:rsidRPr="008D6195">
        <w:t xml:space="preserve"> (N</w:t>
      </w:r>
      <w:r w:rsidR="0055614D" w:rsidRPr="008D6195">
        <w:t>Ú</w:t>
      </w:r>
      <w:r w:rsidR="003F2CC3" w:rsidRPr="008D6195">
        <w:t xml:space="preserve">), ktoré možno </w:t>
      </w:r>
      <w:r w:rsidRPr="008D6195">
        <w:t xml:space="preserve">alebo pravdepodobne </w:t>
      </w:r>
      <w:r w:rsidR="00AF559B">
        <w:t>súviseli</w:t>
      </w:r>
      <w:r w:rsidRPr="008D6195">
        <w:t xml:space="preserve"> s používaním </w:t>
      </w:r>
      <w:proofErr w:type="spellStart"/>
      <w:r w:rsidRPr="008D6195">
        <w:t>palonosetrónu</w:t>
      </w:r>
      <w:proofErr w:type="spellEnd"/>
      <w:r w:rsidR="003F2CC3" w:rsidRPr="008D6195">
        <w:t>. Tieto boli klasifikované ako časté (≥</w:t>
      </w:r>
      <w:r w:rsidR="00AF559B">
        <w:t> </w:t>
      </w:r>
      <w:r w:rsidR="003F2CC3" w:rsidRPr="008D6195">
        <w:t xml:space="preserve">1/100 až </w:t>
      </w:r>
      <w:r w:rsidR="003F2CC3" w:rsidRPr="008D6195">
        <w:lastRenderedPageBreak/>
        <w:t>&lt;</w:t>
      </w:r>
      <w:r w:rsidR="00AF559B">
        <w:t> </w:t>
      </w:r>
      <w:r w:rsidR="003F2CC3" w:rsidRPr="008D6195">
        <w:t>1/10) alebo menej čas</w:t>
      </w:r>
      <w:r w:rsidRPr="008D6195">
        <w:t>té (≥</w:t>
      </w:r>
      <w:r w:rsidR="00AF559B">
        <w:t> </w:t>
      </w:r>
      <w:r w:rsidRPr="008D6195">
        <w:t>1/1 </w:t>
      </w:r>
      <w:r w:rsidR="003F2CC3" w:rsidRPr="008D6195">
        <w:t xml:space="preserve">000 až </w:t>
      </w:r>
      <w:r w:rsidRPr="008D6195">
        <w:t>&lt;</w:t>
      </w:r>
      <w:r w:rsidR="00AF559B">
        <w:t> </w:t>
      </w:r>
      <w:r w:rsidRPr="008D6195">
        <w:t>1/100). Veľmi zriedkavé (&lt;</w:t>
      </w:r>
      <w:r w:rsidR="00AF559B">
        <w:t> </w:t>
      </w:r>
      <w:r w:rsidRPr="008D6195">
        <w:t>1/10 </w:t>
      </w:r>
      <w:r w:rsidR="003F2CC3" w:rsidRPr="008D6195">
        <w:t xml:space="preserve">000) nežiaduce </w:t>
      </w:r>
      <w:r w:rsidR="00AF559B">
        <w:t>účinky</w:t>
      </w:r>
      <w:r w:rsidR="003F2CC3" w:rsidRPr="008D6195">
        <w:t xml:space="preserve"> boli hlásené na základe </w:t>
      </w:r>
      <w:proofErr w:type="spellStart"/>
      <w:r w:rsidRPr="008D6195">
        <w:t>postmarketingových</w:t>
      </w:r>
      <w:proofErr w:type="spellEnd"/>
      <w:r w:rsidRPr="008D6195">
        <w:t xml:space="preserve"> skúseností.</w:t>
      </w:r>
    </w:p>
    <w:p w14:paraId="0ECD30BC" w14:textId="6AB383F5" w:rsidR="003F2CC3" w:rsidRPr="008D6195" w:rsidRDefault="00224259" w:rsidP="00780C83">
      <w:pPr>
        <w:pStyle w:val="Normlndobloku"/>
        <w:spacing w:after="0"/>
        <w:jc w:val="left"/>
      </w:pPr>
      <w:r w:rsidRPr="008D6195">
        <w:t>V </w:t>
      </w:r>
      <w:r w:rsidR="003F2CC3" w:rsidRPr="008D6195">
        <w:t xml:space="preserve">rámci jednotlivých skupín frekvencií sú nežiaduce </w:t>
      </w:r>
      <w:r w:rsidR="00AF559B">
        <w:t>účinky</w:t>
      </w:r>
      <w:r w:rsidRPr="008D6195">
        <w:t xml:space="preserve"> </w:t>
      </w:r>
      <w:r w:rsidR="00AF559B">
        <w:t>zoradené v tabuľke nižšie podľa</w:t>
      </w:r>
      <w:r w:rsidRPr="008D6195">
        <w:t xml:space="preserve"> klesajúcej závažnosti.</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2277"/>
        <w:gridCol w:w="2249"/>
        <w:gridCol w:w="2281"/>
        <w:gridCol w:w="3059"/>
      </w:tblGrid>
      <w:tr w:rsidR="002358BF" w:rsidRPr="008D6195" w14:paraId="76B9602D" w14:textId="77777777" w:rsidTr="00763B8B">
        <w:trPr>
          <w:tblHeader/>
        </w:trPr>
        <w:tc>
          <w:tcPr>
            <w:tcW w:w="2277" w:type="dxa"/>
            <w:shd w:val="clear" w:color="auto" w:fill="auto"/>
          </w:tcPr>
          <w:p w14:paraId="70D36127" w14:textId="77777777" w:rsidR="00CC6D1B" w:rsidRPr="00105E69" w:rsidRDefault="00CC6D1B" w:rsidP="00780C83">
            <w:pPr>
              <w:pStyle w:val="Nadpisuvnittabulky"/>
              <w:spacing w:before="0" w:after="0"/>
              <w:jc w:val="left"/>
              <w:rPr>
                <w:b w:val="0"/>
              </w:rPr>
            </w:pPr>
            <w:r w:rsidRPr="00105E69">
              <w:rPr>
                <w:lang w:val="sk-SK"/>
              </w:rPr>
              <w:t>Trieda orgánových systémov</w:t>
            </w:r>
          </w:p>
        </w:tc>
        <w:tc>
          <w:tcPr>
            <w:tcW w:w="2249" w:type="dxa"/>
            <w:shd w:val="clear" w:color="auto" w:fill="auto"/>
          </w:tcPr>
          <w:p w14:paraId="78431298" w14:textId="15264DC2" w:rsidR="00CC6D1B" w:rsidRPr="00105E69" w:rsidRDefault="00CC6D1B" w:rsidP="00780C83">
            <w:pPr>
              <w:pStyle w:val="Nadpisuvnittabulky"/>
              <w:spacing w:before="0" w:after="0"/>
              <w:jc w:val="left"/>
              <w:rPr>
                <w:b w:val="0"/>
              </w:rPr>
            </w:pPr>
            <w:r w:rsidRPr="00105E69">
              <w:rPr>
                <w:lang w:val="sk-SK"/>
              </w:rPr>
              <w:t xml:space="preserve">Časté </w:t>
            </w:r>
            <w:r w:rsidRPr="008D6195">
              <w:rPr>
                <w:lang w:val="sk-SK" w:eastAsia="cs-CZ"/>
              </w:rPr>
              <w:t>N</w:t>
            </w:r>
            <w:r w:rsidR="0055614D" w:rsidRPr="008D6195">
              <w:rPr>
                <w:lang w:val="sk-SK" w:eastAsia="cs-CZ"/>
              </w:rPr>
              <w:t>Ú</w:t>
            </w:r>
          </w:p>
          <w:p w14:paraId="402D53F8" w14:textId="7B5356A5" w:rsidR="00CC6D1B" w:rsidRPr="00105E69" w:rsidRDefault="00CC6D1B" w:rsidP="00780C83">
            <w:pPr>
              <w:pStyle w:val="Nadpisuvnittabulky"/>
              <w:spacing w:before="0" w:after="0"/>
              <w:jc w:val="left"/>
              <w:rPr>
                <w:b w:val="0"/>
              </w:rPr>
            </w:pPr>
            <w:r w:rsidRPr="00105E69">
              <w:rPr>
                <w:lang w:val="sk-SK"/>
              </w:rPr>
              <w:t>(≥</w:t>
            </w:r>
            <w:r w:rsidR="00F318BC">
              <w:rPr>
                <w:lang w:val="sk-SK"/>
              </w:rPr>
              <w:t> </w:t>
            </w:r>
            <w:r w:rsidRPr="00105E69">
              <w:rPr>
                <w:lang w:val="sk-SK"/>
              </w:rPr>
              <w:t>1/100 až &lt;</w:t>
            </w:r>
            <w:r w:rsidR="00F318BC">
              <w:rPr>
                <w:lang w:val="sk-SK"/>
              </w:rPr>
              <w:t> </w:t>
            </w:r>
            <w:r w:rsidRPr="00105E69">
              <w:rPr>
                <w:lang w:val="sk-SK"/>
              </w:rPr>
              <w:t>1/10)</w:t>
            </w:r>
          </w:p>
        </w:tc>
        <w:tc>
          <w:tcPr>
            <w:tcW w:w="2281" w:type="dxa"/>
            <w:shd w:val="clear" w:color="auto" w:fill="auto"/>
          </w:tcPr>
          <w:p w14:paraId="25FB2996" w14:textId="7981CE62" w:rsidR="00CC6D1B" w:rsidRPr="00105E69" w:rsidRDefault="00CC6D1B" w:rsidP="00780C83">
            <w:pPr>
              <w:pStyle w:val="Nadpisuvnittabulky"/>
              <w:spacing w:before="0" w:after="0"/>
              <w:jc w:val="left"/>
              <w:rPr>
                <w:b w:val="0"/>
              </w:rPr>
            </w:pPr>
            <w:r w:rsidRPr="00105E69">
              <w:rPr>
                <w:lang w:val="sk-SK"/>
              </w:rPr>
              <w:t>Menej časté</w:t>
            </w:r>
            <w:r w:rsidR="0055614D" w:rsidRPr="00105E69">
              <w:rPr>
                <w:lang w:val="sk-SK"/>
              </w:rPr>
              <w:t xml:space="preserve"> </w:t>
            </w:r>
            <w:r w:rsidR="0055614D" w:rsidRPr="008D6195">
              <w:rPr>
                <w:lang w:val="sk-SK" w:eastAsia="cs-CZ"/>
              </w:rPr>
              <w:t>NÚ</w:t>
            </w:r>
          </w:p>
          <w:p w14:paraId="2F7726D3" w14:textId="140DAF43" w:rsidR="00CC6D1B" w:rsidRPr="00105E69" w:rsidRDefault="00CC6D1B" w:rsidP="00780C83">
            <w:pPr>
              <w:pStyle w:val="Nadpisuvnittabulky"/>
              <w:spacing w:before="0" w:after="0"/>
              <w:jc w:val="left"/>
              <w:rPr>
                <w:b w:val="0"/>
              </w:rPr>
            </w:pPr>
            <w:r w:rsidRPr="00105E69">
              <w:rPr>
                <w:lang w:val="sk-SK"/>
              </w:rPr>
              <w:t>(≥</w:t>
            </w:r>
            <w:r w:rsidR="00F318BC">
              <w:rPr>
                <w:lang w:val="sk-SK"/>
              </w:rPr>
              <w:t> </w:t>
            </w:r>
            <w:r w:rsidRPr="00105E69">
              <w:rPr>
                <w:lang w:val="sk-SK"/>
              </w:rPr>
              <w:t>1/1 000 až &lt;</w:t>
            </w:r>
            <w:r w:rsidR="00F318BC">
              <w:rPr>
                <w:lang w:val="sk-SK"/>
              </w:rPr>
              <w:t> </w:t>
            </w:r>
            <w:r w:rsidRPr="00105E69">
              <w:rPr>
                <w:lang w:val="sk-SK"/>
              </w:rPr>
              <w:t>1/100)</w:t>
            </w:r>
          </w:p>
        </w:tc>
        <w:tc>
          <w:tcPr>
            <w:tcW w:w="3059" w:type="dxa"/>
            <w:shd w:val="clear" w:color="auto" w:fill="auto"/>
          </w:tcPr>
          <w:p w14:paraId="0919437F" w14:textId="03D78DAD" w:rsidR="00CC6D1B" w:rsidRPr="00105E69" w:rsidRDefault="00CC6D1B" w:rsidP="00780C83">
            <w:pPr>
              <w:pStyle w:val="Nadpisuvnittabulky"/>
              <w:spacing w:before="0" w:after="0"/>
              <w:jc w:val="left"/>
              <w:rPr>
                <w:b w:val="0"/>
              </w:rPr>
            </w:pPr>
            <w:r w:rsidRPr="00105E69">
              <w:rPr>
                <w:lang w:val="sk-SK"/>
              </w:rPr>
              <w:t xml:space="preserve">Veľmi zriedkavé </w:t>
            </w:r>
            <w:r w:rsidRPr="008D6195">
              <w:rPr>
                <w:lang w:val="sk-SK" w:eastAsia="cs-CZ"/>
              </w:rPr>
              <w:t>N</w:t>
            </w:r>
            <w:r w:rsidR="0055614D" w:rsidRPr="008D6195">
              <w:rPr>
                <w:lang w:val="sk-SK" w:eastAsia="cs-CZ"/>
              </w:rPr>
              <w:t>Ú</w:t>
            </w:r>
            <w:r w:rsidR="00DB6230" w:rsidRPr="00105E69">
              <w:rPr>
                <w:lang w:val="sk-SK"/>
              </w:rPr>
              <w:t>°</w:t>
            </w:r>
          </w:p>
          <w:p w14:paraId="293F269F" w14:textId="6C094EA4" w:rsidR="00CC6D1B" w:rsidRPr="00105E69" w:rsidRDefault="00CC6D1B" w:rsidP="00780C83">
            <w:pPr>
              <w:pStyle w:val="Nadpisuvnittabulky"/>
              <w:spacing w:before="0" w:after="0"/>
              <w:jc w:val="left"/>
              <w:rPr>
                <w:b w:val="0"/>
              </w:rPr>
            </w:pPr>
            <w:r w:rsidRPr="00105E69">
              <w:rPr>
                <w:lang w:val="sk-SK"/>
              </w:rPr>
              <w:t>(&lt;</w:t>
            </w:r>
            <w:r w:rsidR="00F318BC">
              <w:rPr>
                <w:lang w:val="sk-SK"/>
              </w:rPr>
              <w:t> </w:t>
            </w:r>
            <w:r w:rsidRPr="00105E69">
              <w:rPr>
                <w:lang w:val="sk-SK"/>
              </w:rPr>
              <w:t>1/10 000)</w:t>
            </w:r>
          </w:p>
        </w:tc>
      </w:tr>
      <w:tr w:rsidR="002358BF" w:rsidRPr="008D6195" w14:paraId="1850D2E5" w14:textId="77777777" w:rsidTr="00763B8B">
        <w:tc>
          <w:tcPr>
            <w:tcW w:w="2277" w:type="dxa"/>
            <w:shd w:val="clear" w:color="auto" w:fill="auto"/>
          </w:tcPr>
          <w:p w14:paraId="40AB83F3" w14:textId="77777777" w:rsidR="00CC6D1B" w:rsidRPr="00E52021" w:rsidRDefault="00D10BF8" w:rsidP="00780C83">
            <w:pPr>
              <w:pStyle w:val="Tabulkynormlndoblokuzarovnndoleva"/>
              <w:spacing w:after="0"/>
            </w:pPr>
            <w:r w:rsidRPr="00105E69">
              <w:rPr>
                <w:lang w:val="sk-SK"/>
              </w:rPr>
              <w:t>Poruchy imunitného systému</w:t>
            </w:r>
          </w:p>
        </w:tc>
        <w:tc>
          <w:tcPr>
            <w:tcW w:w="2249" w:type="dxa"/>
            <w:shd w:val="clear" w:color="auto" w:fill="auto"/>
          </w:tcPr>
          <w:p w14:paraId="0EF1E6CF" w14:textId="77777777" w:rsidR="00CC6D1B" w:rsidRPr="00105E69" w:rsidRDefault="00CC6D1B" w:rsidP="00780C83">
            <w:pPr>
              <w:pStyle w:val="Tabulkynormlndoblokuzarovnndoleva"/>
              <w:spacing w:after="0"/>
              <w:rPr>
                <w:lang w:val="sk-SK"/>
              </w:rPr>
            </w:pPr>
          </w:p>
        </w:tc>
        <w:tc>
          <w:tcPr>
            <w:tcW w:w="2281" w:type="dxa"/>
            <w:shd w:val="clear" w:color="auto" w:fill="auto"/>
          </w:tcPr>
          <w:p w14:paraId="71304B65" w14:textId="77777777" w:rsidR="00CC6D1B" w:rsidRPr="00105E69" w:rsidRDefault="00CC6D1B" w:rsidP="00780C83">
            <w:pPr>
              <w:pStyle w:val="Tabulkynormlndoblokuzarovnndoleva"/>
              <w:spacing w:after="0"/>
              <w:rPr>
                <w:lang w:val="sk-SK"/>
              </w:rPr>
            </w:pPr>
          </w:p>
        </w:tc>
        <w:tc>
          <w:tcPr>
            <w:tcW w:w="3059" w:type="dxa"/>
            <w:shd w:val="clear" w:color="auto" w:fill="auto"/>
          </w:tcPr>
          <w:p w14:paraId="64C9445F" w14:textId="77777777" w:rsidR="00CC6D1B" w:rsidRPr="00E52021" w:rsidRDefault="00D10BF8" w:rsidP="00780C83">
            <w:pPr>
              <w:pStyle w:val="Tabulkynormlndoblokuzarovnndoleva"/>
              <w:spacing w:after="0"/>
            </w:pPr>
            <w:proofErr w:type="spellStart"/>
            <w:r w:rsidRPr="00105E69">
              <w:rPr>
                <w:lang w:val="sk-SK"/>
              </w:rPr>
              <w:t>Hypersenzitivita</w:t>
            </w:r>
            <w:proofErr w:type="spellEnd"/>
            <w:r w:rsidRPr="00105E69">
              <w:rPr>
                <w:lang w:val="sk-SK"/>
              </w:rPr>
              <w:t xml:space="preserve">, </w:t>
            </w:r>
            <w:proofErr w:type="spellStart"/>
            <w:r w:rsidRPr="00105E69">
              <w:rPr>
                <w:lang w:val="sk-SK"/>
              </w:rPr>
              <w:t>anafylaxia</w:t>
            </w:r>
            <w:proofErr w:type="spellEnd"/>
            <w:r w:rsidRPr="00105E69">
              <w:rPr>
                <w:lang w:val="sk-SK"/>
              </w:rPr>
              <w:t xml:space="preserve">, </w:t>
            </w:r>
            <w:proofErr w:type="spellStart"/>
            <w:r w:rsidRPr="00105E69">
              <w:rPr>
                <w:lang w:val="sk-SK"/>
              </w:rPr>
              <w:t>anafylaktické</w:t>
            </w:r>
            <w:proofErr w:type="spellEnd"/>
            <w:r w:rsidRPr="00105E69">
              <w:rPr>
                <w:lang w:val="sk-SK"/>
              </w:rPr>
              <w:t>/</w:t>
            </w:r>
            <w:proofErr w:type="spellStart"/>
            <w:r w:rsidRPr="00105E69">
              <w:rPr>
                <w:lang w:val="sk-SK"/>
              </w:rPr>
              <w:t>anafylaktoidné</w:t>
            </w:r>
            <w:proofErr w:type="spellEnd"/>
            <w:r w:rsidRPr="00105E69">
              <w:rPr>
                <w:lang w:val="sk-SK"/>
              </w:rPr>
              <w:t xml:space="preserve"> reakcie a šok</w:t>
            </w:r>
          </w:p>
        </w:tc>
      </w:tr>
      <w:tr w:rsidR="002358BF" w:rsidRPr="008D6195" w14:paraId="43BD978D" w14:textId="77777777" w:rsidTr="00763B8B">
        <w:tc>
          <w:tcPr>
            <w:tcW w:w="2277" w:type="dxa"/>
            <w:shd w:val="clear" w:color="auto" w:fill="auto"/>
          </w:tcPr>
          <w:p w14:paraId="6FB7619F" w14:textId="77777777" w:rsidR="00CC6D1B" w:rsidRPr="00E52021" w:rsidRDefault="00B07BC5" w:rsidP="00780C83">
            <w:pPr>
              <w:pStyle w:val="Tabulkynormlndoblokuzarovnndoleva"/>
              <w:spacing w:after="0"/>
            </w:pPr>
            <w:r w:rsidRPr="00105E69">
              <w:rPr>
                <w:lang w:val="sk-SK"/>
              </w:rPr>
              <w:t>Poruchy metabolizmu a výživy</w:t>
            </w:r>
          </w:p>
        </w:tc>
        <w:tc>
          <w:tcPr>
            <w:tcW w:w="2249" w:type="dxa"/>
            <w:shd w:val="clear" w:color="auto" w:fill="auto"/>
          </w:tcPr>
          <w:p w14:paraId="69290712" w14:textId="77777777" w:rsidR="00CC6D1B" w:rsidRPr="00105E69" w:rsidRDefault="00CC6D1B" w:rsidP="00780C83">
            <w:pPr>
              <w:pStyle w:val="Tabulkynormlndoblokuzarovnndoleva"/>
              <w:spacing w:after="0"/>
              <w:rPr>
                <w:lang w:val="sk-SK"/>
              </w:rPr>
            </w:pPr>
          </w:p>
        </w:tc>
        <w:tc>
          <w:tcPr>
            <w:tcW w:w="2281" w:type="dxa"/>
            <w:shd w:val="clear" w:color="auto" w:fill="auto"/>
          </w:tcPr>
          <w:p w14:paraId="6601368C" w14:textId="77777777" w:rsidR="00CC6D1B" w:rsidRPr="00E52021" w:rsidRDefault="00B07BC5" w:rsidP="00780C83">
            <w:pPr>
              <w:pStyle w:val="Tabulkynormlndoblokuzarovnndoleva"/>
              <w:spacing w:after="0"/>
            </w:pPr>
            <w:proofErr w:type="spellStart"/>
            <w:r w:rsidRPr="00105E69">
              <w:rPr>
                <w:lang w:val="sk-SK"/>
              </w:rPr>
              <w:t>Hyperkaliémia</w:t>
            </w:r>
            <w:proofErr w:type="spellEnd"/>
            <w:r w:rsidRPr="00105E69">
              <w:rPr>
                <w:lang w:val="sk-SK"/>
              </w:rPr>
              <w:t xml:space="preserve">, metabolické poruchy, </w:t>
            </w:r>
            <w:proofErr w:type="spellStart"/>
            <w:r w:rsidRPr="00105E69">
              <w:rPr>
                <w:lang w:val="sk-SK"/>
              </w:rPr>
              <w:t>hypokalciémia</w:t>
            </w:r>
            <w:proofErr w:type="spellEnd"/>
            <w:r w:rsidRPr="00105E69">
              <w:rPr>
                <w:lang w:val="sk-SK"/>
              </w:rPr>
              <w:t xml:space="preserve">, </w:t>
            </w:r>
            <w:proofErr w:type="spellStart"/>
            <w:r w:rsidRPr="00105E69">
              <w:rPr>
                <w:lang w:val="sk-SK"/>
              </w:rPr>
              <w:t>hypokaliémia</w:t>
            </w:r>
            <w:proofErr w:type="spellEnd"/>
            <w:r w:rsidRPr="00105E69">
              <w:rPr>
                <w:lang w:val="sk-SK"/>
              </w:rPr>
              <w:t xml:space="preserve">, </w:t>
            </w:r>
            <w:proofErr w:type="spellStart"/>
            <w:r w:rsidRPr="00105E69">
              <w:rPr>
                <w:lang w:val="sk-SK"/>
              </w:rPr>
              <w:t>anorexia</w:t>
            </w:r>
            <w:proofErr w:type="spellEnd"/>
            <w:r w:rsidRPr="00105E69">
              <w:rPr>
                <w:lang w:val="sk-SK"/>
              </w:rPr>
              <w:t>, hyperglykémia, zníženie chuti do jedla</w:t>
            </w:r>
          </w:p>
        </w:tc>
        <w:tc>
          <w:tcPr>
            <w:tcW w:w="3059" w:type="dxa"/>
            <w:shd w:val="clear" w:color="auto" w:fill="auto"/>
          </w:tcPr>
          <w:p w14:paraId="5796801C" w14:textId="77777777" w:rsidR="00CC6D1B" w:rsidRPr="00105E69" w:rsidRDefault="00CC6D1B" w:rsidP="00780C83">
            <w:pPr>
              <w:pStyle w:val="Tabulkynormlndoblokuzarovnndoleva"/>
              <w:spacing w:after="0"/>
              <w:rPr>
                <w:lang w:val="sk-SK"/>
              </w:rPr>
            </w:pPr>
          </w:p>
        </w:tc>
      </w:tr>
      <w:tr w:rsidR="002358BF" w:rsidRPr="008D6195" w14:paraId="41370760" w14:textId="77777777" w:rsidTr="00763B8B">
        <w:tc>
          <w:tcPr>
            <w:tcW w:w="2277" w:type="dxa"/>
            <w:shd w:val="clear" w:color="auto" w:fill="auto"/>
          </w:tcPr>
          <w:p w14:paraId="5B6BCCD8" w14:textId="77777777" w:rsidR="00CC6D1B" w:rsidRPr="00E52021" w:rsidRDefault="00F93BA4" w:rsidP="00780C83">
            <w:pPr>
              <w:pStyle w:val="Tabulkynormlndoblokuzarovnndoleva"/>
              <w:spacing w:after="0"/>
            </w:pPr>
            <w:r w:rsidRPr="00105E69">
              <w:rPr>
                <w:lang w:val="sk-SK"/>
              </w:rPr>
              <w:t>Psychické poruchy</w:t>
            </w:r>
          </w:p>
        </w:tc>
        <w:tc>
          <w:tcPr>
            <w:tcW w:w="2249" w:type="dxa"/>
            <w:shd w:val="clear" w:color="auto" w:fill="auto"/>
          </w:tcPr>
          <w:p w14:paraId="519E6564" w14:textId="77777777" w:rsidR="00CC6D1B" w:rsidRPr="00105E69" w:rsidRDefault="00CC6D1B" w:rsidP="00780C83">
            <w:pPr>
              <w:pStyle w:val="Tabulkynormlndoblokuzarovnndoleva"/>
              <w:spacing w:after="0"/>
              <w:rPr>
                <w:lang w:val="sk-SK"/>
              </w:rPr>
            </w:pPr>
          </w:p>
        </w:tc>
        <w:tc>
          <w:tcPr>
            <w:tcW w:w="2281" w:type="dxa"/>
            <w:shd w:val="clear" w:color="auto" w:fill="auto"/>
          </w:tcPr>
          <w:p w14:paraId="44A48EE3" w14:textId="77777777" w:rsidR="00CC6D1B" w:rsidRPr="00E52021" w:rsidRDefault="00F93BA4" w:rsidP="00780C83">
            <w:pPr>
              <w:pStyle w:val="Tabulkynormlndoblokuzarovnndoleva"/>
              <w:spacing w:after="0"/>
            </w:pPr>
            <w:r w:rsidRPr="00105E69">
              <w:rPr>
                <w:lang w:val="sk-SK"/>
              </w:rPr>
              <w:t>Úzkosť, euforická nálada</w:t>
            </w:r>
          </w:p>
        </w:tc>
        <w:tc>
          <w:tcPr>
            <w:tcW w:w="3059" w:type="dxa"/>
            <w:shd w:val="clear" w:color="auto" w:fill="auto"/>
          </w:tcPr>
          <w:p w14:paraId="780A60F8" w14:textId="77777777" w:rsidR="00CC6D1B" w:rsidRPr="00105E69" w:rsidRDefault="00CC6D1B" w:rsidP="00780C83">
            <w:pPr>
              <w:pStyle w:val="Tabulkynormlndoblokuzarovnndoleva"/>
              <w:spacing w:after="0"/>
              <w:rPr>
                <w:lang w:val="sk-SK"/>
              </w:rPr>
            </w:pPr>
          </w:p>
        </w:tc>
      </w:tr>
      <w:tr w:rsidR="002358BF" w:rsidRPr="008D6195" w14:paraId="6CF41C03" w14:textId="77777777" w:rsidTr="00763B8B">
        <w:tc>
          <w:tcPr>
            <w:tcW w:w="2277" w:type="dxa"/>
            <w:shd w:val="clear" w:color="auto" w:fill="auto"/>
          </w:tcPr>
          <w:p w14:paraId="7722BC52" w14:textId="77777777" w:rsidR="00CC6D1B" w:rsidRPr="00105E69" w:rsidRDefault="00CC6D1B" w:rsidP="00780C83">
            <w:pPr>
              <w:pStyle w:val="Tabulkynormlndoblokuzarovnndoleva"/>
              <w:spacing w:after="0"/>
              <w:rPr>
                <w:lang w:val="sk-SK"/>
              </w:rPr>
            </w:pPr>
            <w:r w:rsidRPr="00105E69">
              <w:rPr>
                <w:lang w:val="sk-SK"/>
              </w:rPr>
              <w:t xml:space="preserve">Poruchy nervového systému </w:t>
            </w:r>
          </w:p>
        </w:tc>
        <w:tc>
          <w:tcPr>
            <w:tcW w:w="2249" w:type="dxa"/>
            <w:shd w:val="clear" w:color="auto" w:fill="auto"/>
          </w:tcPr>
          <w:p w14:paraId="0A9F9CD0" w14:textId="77777777" w:rsidR="00CC6D1B" w:rsidRPr="00105E69" w:rsidRDefault="00F93BA4" w:rsidP="00780C83">
            <w:pPr>
              <w:pStyle w:val="Tabulkynormlndoblokuzarovnndoleva"/>
              <w:spacing w:after="0"/>
              <w:rPr>
                <w:lang w:val="sk-SK"/>
              </w:rPr>
            </w:pPr>
            <w:r w:rsidRPr="00105E69">
              <w:rPr>
                <w:lang w:val="sk-SK"/>
              </w:rPr>
              <w:t>B</w:t>
            </w:r>
            <w:r w:rsidR="00CC6D1B" w:rsidRPr="00105E69">
              <w:rPr>
                <w:lang w:val="sk-SK"/>
              </w:rPr>
              <w:t>olesť hlavy, závraty</w:t>
            </w:r>
          </w:p>
        </w:tc>
        <w:tc>
          <w:tcPr>
            <w:tcW w:w="2281" w:type="dxa"/>
            <w:shd w:val="clear" w:color="auto" w:fill="auto"/>
          </w:tcPr>
          <w:p w14:paraId="284F972E" w14:textId="77777777" w:rsidR="00CC6D1B" w:rsidRPr="00E52021" w:rsidRDefault="00F93BA4" w:rsidP="00780C83">
            <w:pPr>
              <w:pStyle w:val="Tabulkynormlndoblokuzarovnndoleva"/>
              <w:spacing w:after="0"/>
            </w:pPr>
            <w:r w:rsidRPr="00105E69">
              <w:rPr>
                <w:lang w:val="sk-SK"/>
              </w:rPr>
              <w:t xml:space="preserve">Ospalosť, nespavosť, </w:t>
            </w:r>
            <w:proofErr w:type="spellStart"/>
            <w:r w:rsidRPr="00105E69">
              <w:rPr>
                <w:lang w:val="sk-SK"/>
              </w:rPr>
              <w:t>parestézia</w:t>
            </w:r>
            <w:proofErr w:type="spellEnd"/>
            <w:r w:rsidRPr="00105E69">
              <w:rPr>
                <w:lang w:val="sk-SK"/>
              </w:rPr>
              <w:t xml:space="preserve">, nadmerná spavosť, periférna senzorická </w:t>
            </w:r>
            <w:proofErr w:type="spellStart"/>
            <w:r w:rsidRPr="00105E69">
              <w:rPr>
                <w:lang w:val="sk-SK"/>
              </w:rPr>
              <w:t>neuropatia</w:t>
            </w:r>
            <w:proofErr w:type="spellEnd"/>
          </w:p>
        </w:tc>
        <w:tc>
          <w:tcPr>
            <w:tcW w:w="3059" w:type="dxa"/>
            <w:shd w:val="clear" w:color="auto" w:fill="auto"/>
          </w:tcPr>
          <w:p w14:paraId="10677B5B" w14:textId="77777777" w:rsidR="00CC6D1B" w:rsidRPr="00105E69" w:rsidRDefault="00CC6D1B" w:rsidP="00780C83">
            <w:pPr>
              <w:pStyle w:val="Tabulkynormlndoblokuzarovnndoleva"/>
              <w:spacing w:after="0"/>
              <w:rPr>
                <w:lang w:val="sk-SK"/>
              </w:rPr>
            </w:pPr>
          </w:p>
        </w:tc>
      </w:tr>
      <w:tr w:rsidR="002358BF" w:rsidRPr="008D6195" w14:paraId="419082A9" w14:textId="77777777" w:rsidTr="00763B8B">
        <w:tc>
          <w:tcPr>
            <w:tcW w:w="2277" w:type="dxa"/>
            <w:shd w:val="clear" w:color="auto" w:fill="auto"/>
          </w:tcPr>
          <w:p w14:paraId="6BE383A4" w14:textId="7F62D3ED" w:rsidR="00CC6D1B" w:rsidRPr="00E52021" w:rsidRDefault="0055614D" w:rsidP="00780C83">
            <w:pPr>
              <w:pStyle w:val="Tabulkynormlndoblokuzarovnndoleva"/>
              <w:spacing w:after="0"/>
            </w:pPr>
            <w:r w:rsidRPr="008D6195">
              <w:rPr>
                <w:lang w:val="sk-SK"/>
              </w:rPr>
              <w:t>Poruchy</w:t>
            </w:r>
            <w:r w:rsidR="00F93BA4" w:rsidRPr="00105E69">
              <w:rPr>
                <w:lang w:val="sk-SK"/>
              </w:rPr>
              <w:t xml:space="preserve"> oka</w:t>
            </w:r>
          </w:p>
        </w:tc>
        <w:tc>
          <w:tcPr>
            <w:tcW w:w="2249" w:type="dxa"/>
            <w:shd w:val="clear" w:color="auto" w:fill="auto"/>
          </w:tcPr>
          <w:p w14:paraId="123E21A4" w14:textId="77777777" w:rsidR="00CC6D1B" w:rsidRPr="00105E69" w:rsidRDefault="00CC6D1B" w:rsidP="00780C83">
            <w:pPr>
              <w:pStyle w:val="Tabulkynormlndoblokuzarovnndoleva"/>
              <w:spacing w:after="0"/>
              <w:rPr>
                <w:lang w:val="sk-SK"/>
              </w:rPr>
            </w:pPr>
          </w:p>
        </w:tc>
        <w:tc>
          <w:tcPr>
            <w:tcW w:w="2281" w:type="dxa"/>
            <w:shd w:val="clear" w:color="auto" w:fill="auto"/>
          </w:tcPr>
          <w:p w14:paraId="749D5C2E" w14:textId="77777777" w:rsidR="00CC6D1B" w:rsidRPr="00E52021" w:rsidRDefault="00F93BA4" w:rsidP="00780C83">
            <w:pPr>
              <w:pStyle w:val="Tabulkynormlndoblokuzarovnndoleva"/>
              <w:spacing w:after="0"/>
            </w:pPr>
            <w:r w:rsidRPr="00105E69">
              <w:rPr>
                <w:lang w:val="sk-SK"/>
              </w:rPr>
              <w:t xml:space="preserve">Podráždenie očí, </w:t>
            </w:r>
            <w:proofErr w:type="spellStart"/>
            <w:r w:rsidRPr="00105E69">
              <w:rPr>
                <w:lang w:val="sk-SK"/>
              </w:rPr>
              <w:t>amblyopia</w:t>
            </w:r>
            <w:proofErr w:type="spellEnd"/>
          </w:p>
        </w:tc>
        <w:tc>
          <w:tcPr>
            <w:tcW w:w="3059" w:type="dxa"/>
            <w:shd w:val="clear" w:color="auto" w:fill="auto"/>
          </w:tcPr>
          <w:p w14:paraId="53E6351D" w14:textId="77777777" w:rsidR="00CC6D1B" w:rsidRPr="00105E69" w:rsidRDefault="00CC6D1B" w:rsidP="00780C83">
            <w:pPr>
              <w:pStyle w:val="Tabulkynormlndoblokuzarovnndoleva"/>
              <w:spacing w:after="0"/>
              <w:rPr>
                <w:lang w:val="sk-SK"/>
              </w:rPr>
            </w:pPr>
          </w:p>
        </w:tc>
      </w:tr>
      <w:tr w:rsidR="002358BF" w:rsidRPr="008D6195" w14:paraId="218E95CC" w14:textId="77777777" w:rsidTr="00763B8B">
        <w:tc>
          <w:tcPr>
            <w:tcW w:w="2277" w:type="dxa"/>
            <w:shd w:val="clear" w:color="auto" w:fill="auto"/>
          </w:tcPr>
          <w:p w14:paraId="5FF1612A" w14:textId="0D692024" w:rsidR="00CC6D1B" w:rsidRPr="00E52021" w:rsidRDefault="006E3768" w:rsidP="00780C83">
            <w:pPr>
              <w:pStyle w:val="Tabulkynormlndoblokuzarovnndoleva"/>
              <w:spacing w:after="0"/>
            </w:pPr>
            <w:r w:rsidRPr="00105E69">
              <w:rPr>
                <w:lang w:val="sk-SK"/>
              </w:rPr>
              <w:t>Poruchy ucha a labyrintu</w:t>
            </w:r>
          </w:p>
        </w:tc>
        <w:tc>
          <w:tcPr>
            <w:tcW w:w="2249" w:type="dxa"/>
            <w:shd w:val="clear" w:color="auto" w:fill="auto"/>
          </w:tcPr>
          <w:p w14:paraId="4A2964F2" w14:textId="77777777" w:rsidR="00CC6D1B" w:rsidRPr="00105E69" w:rsidRDefault="00CC6D1B" w:rsidP="00780C83">
            <w:pPr>
              <w:pStyle w:val="Tabulkynormlndoblokuzarovnndoleva"/>
              <w:spacing w:after="0"/>
              <w:rPr>
                <w:lang w:val="sk-SK"/>
              </w:rPr>
            </w:pPr>
          </w:p>
        </w:tc>
        <w:tc>
          <w:tcPr>
            <w:tcW w:w="2281" w:type="dxa"/>
            <w:shd w:val="clear" w:color="auto" w:fill="auto"/>
          </w:tcPr>
          <w:p w14:paraId="311265D7" w14:textId="1502ADEB" w:rsidR="00CC6D1B" w:rsidRPr="00E52021" w:rsidRDefault="006E3768" w:rsidP="00780C83">
            <w:pPr>
              <w:pStyle w:val="Tabulkynormlndoblokuzarovnndoleva"/>
              <w:spacing w:after="0"/>
            </w:pPr>
            <w:proofErr w:type="spellStart"/>
            <w:r w:rsidRPr="00105E69">
              <w:rPr>
                <w:lang w:val="sk-SK"/>
              </w:rPr>
              <w:t>K</w:t>
            </w:r>
            <w:r w:rsidR="008D6195">
              <w:rPr>
                <w:lang w:val="sk-SK"/>
              </w:rPr>
              <w:t>i</w:t>
            </w:r>
            <w:r w:rsidRPr="00105E69">
              <w:rPr>
                <w:lang w:val="sk-SK"/>
              </w:rPr>
              <w:t>netóza</w:t>
            </w:r>
            <w:proofErr w:type="spellEnd"/>
            <w:r w:rsidRPr="00105E69">
              <w:rPr>
                <w:lang w:val="sk-SK"/>
              </w:rPr>
              <w:t xml:space="preserve">, </w:t>
            </w:r>
            <w:proofErr w:type="spellStart"/>
            <w:r w:rsidRPr="00105E69">
              <w:rPr>
                <w:lang w:val="sk-SK"/>
              </w:rPr>
              <w:t>tinnitus</w:t>
            </w:r>
            <w:proofErr w:type="spellEnd"/>
          </w:p>
        </w:tc>
        <w:tc>
          <w:tcPr>
            <w:tcW w:w="3059" w:type="dxa"/>
            <w:shd w:val="clear" w:color="auto" w:fill="auto"/>
          </w:tcPr>
          <w:p w14:paraId="29D9BF5A" w14:textId="77777777" w:rsidR="00CC6D1B" w:rsidRPr="00105E69" w:rsidRDefault="00CC6D1B" w:rsidP="00780C83">
            <w:pPr>
              <w:pStyle w:val="Tabulkynormlndoblokuzarovnndoleva"/>
              <w:spacing w:after="0"/>
              <w:rPr>
                <w:lang w:val="sk-SK"/>
              </w:rPr>
            </w:pPr>
          </w:p>
        </w:tc>
      </w:tr>
      <w:tr w:rsidR="002358BF" w:rsidRPr="008D6195" w14:paraId="3C51AA77" w14:textId="77777777" w:rsidTr="00763B8B">
        <w:tc>
          <w:tcPr>
            <w:tcW w:w="2277" w:type="dxa"/>
            <w:shd w:val="clear" w:color="auto" w:fill="auto"/>
          </w:tcPr>
          <w:p w14:paraId="76156C20" w14:textId="77777777" w:rsidR="00CC6D1B" w:rsidRPr="00E52021" w:rsidRDefault="006E3768" w:rsidP="00780C83">
            <w:pPr>
              <w:pStyle w:val="Tabulkynormlndoblokuzarovnndoleva"/>
              <w:spacing w:after="0"/>
            </w:pPr>
            <w:r w:rsidRPr="00105E69">
              <w:rPr>
                <w:lang w:val="sk-SK"/>
              </w:rPr>
              <w:t>Poruchy srdca</w:t>
            </w:r>
            <w:r w:rsidR="00763B8B" w:rsidRPr="008D6195">
              <w:rPr>
                <w:lang w:val="sk-SK"/>
              </w:rPr>
              <w:t xml:space="preserve"> a srdcovej činnosti</w:t>
            </w:r>
          </w:p>
        </w:tc>
        <w:tc>
          <w:tcPr>
            <w:tcW w:w="2249" w:type="dxa"/>
            <w:shd w:val="clear" w:color="auto" w:fill="auto"/>
          </w:tcPr>
          <w:p w14:paraId="2EE21098" w14:textId="77777777" w:rsidR="00CC6D1B" w:rsidRPr="00105E69" w:rsidRDefault="00CC6D1B" w:rsidP="00780C83">
            <w:pPr>
              <w:pStyle w:val="Tabulkynormlndoblokuzarovnndoleva"/>
              <w:spacing w:after="0"/>
              <w:rPr>
                <w:lang w:val="sk-SK"/>
              </w:rPr>
            </w:pPr>
          </w:p>
        </w:tc>
        <w:tc>
          <w:tcPr>
            <w:tcW w:w="2281" w:type="dxa"/>
            <w:shd w:val="clear" w:color="auto" w:fill="auto"/>
          </w:tcPr>
          <w:p w14:paraId="31A3728F" w14:textId="77777777" w:rsidR="00CC6D1B" w:rsidRPr="00E52021" w:rsidRDefault="006E3768" w:rsidP="00780C83">
            <w:pPr>
              <w:pStyle w:val="Tabulkynormlndoblokuzarovnndoleva"/>
              <w:spacing w:after="0"/>
            </w:pPr>
            <w:proofErr w:type="spellStart"/>
            <w:r w:rsidRPr="00105E69">
              <w:rPr>
                <w:lang w:val="sk-SK"/>
              </w:rPr>
              <w:t>Tachykardia</w:t>
            </w:r>
            <w:proofErr w:type="spellEnd"/>
            <w:r w:rsidRPr="00105E69">
              <w:rPr>
                <w:lang w:val="sk-SK"/>
              </w:rPr>
              <w:t xml:space="preserve">, bradykardia, </w:t>
            </w:r>
            <w:proofErr w:type="spellStart"/>
            <w:r w:rsidRPr="00105E69">
              <w:rPr>
                <w:lang w:val="sk-SK"/>
              </w:rPr>
              <w:t>extrasystoly</w:t>
            </w:r>
            <w:proofErr w:type="spellEnd"/>
            <w:r w:rsidRPr="00105E69">
              <w:rPr>
                <w:lang w:val="sk-SK"/>
              </w:rPr>
              <w:t xml:space="preserve">, </w:t>
            </w:r>
            <w:proofErr w:type="spellStart"/>
            <w:r w:rsidRPr="00105E69">
              <w:rPr>
                <w:lang w:val="sk-SK"/>
              </w:rPr>
              <w:t>myokardiálna</w:t>
            </w:r>
            <w:proofErr w:type="spellEnd"/>
            <w:r w:rsidRPr="00105E69">
              <w:rPr>
                <w:lang w:val="sk-SK"/>
              </w:rPr>
              <w:t xml:space="preserve"> ischémia, sínusová </w:t>
            </w:r>
            <w:proofErr w:type="spellStart"/>
            <w:r w:rsidRPr="00105E69">
              <w:rPr>
                <w:lang w:val="sk-SK"/>
              </w:rPr>
              <w:t>tachykardia</w:t>
            </w:r>
            <w:proofErr w:type="spellEnd"/>
            <w:r w:rsidRPr="00105E69">
              <w:rPr>
                <w:lang w:val="sk-SK"/>
              </w:rPr>
              <w:t xml:space="preserve">, sínusová </w:t>
            </w:r>
            <w:proofErr w:type="spellStart"/>
            <w:r w:rsidRPr="00105E69">
              <w:rPr>
                <w:lang w:val="sk-SK"/>
              </w:rPr>
              <w:t>arytmia</w:t>
            </w:r>
            <w:proofErr w:type="spellEnd"/>
            <w:r w:rsidRPr="00105E69">
              <w:rPr>
                <w:lang w:val="sk-SK"/>
              </w:rPr>
              <w:t xml:space="preserve">, </w:t>
            </w:r>
            <w:proofErr w:type="spellStart"/>
            <w:r w:rsidRPr="00105E69">
              <w:rPr>
                <w:lang w:val="sk-SK"/>
              </w:rPr>
              <w:t>supraventrikulárne</w:t>
            </w:r>
            <w:proofErr w:type="spellEnd"/>
            <w:r w:rsidRPr="00105E69">
              <w:rPr>
                <w:lang w:val="sk-SK"/>
              </w:rPr>
              <w:t xml:space="preserve"> </w:t>
            </w:r>
            <w:proofErr w:type="spellStart"/>
            <w:r w:rsidRPr="00105E69">
              <w:rPr>
                <w:lang w:val="sk-SK"/>
              </w:rPr>
              <w:t>extrasystoly</w:t>
            </w:r>
            <w:proofErr w:type="spellEnd"/>
          </w:p>
        </w:tc>
        <w:tc>
          <w:tcPr>
            <w:tcW w:w="3059" w:type="dxa"/>
            <w:shd w:val="clear" w:color="auto" w:fill="auto"/>
          </w:tcPr>
          <w:p w14:paraId="666E9B88" w14:textId="77777777" w:rsidR="00CC6D1B" w:rsidRPr="00105E69" w:rsidRDefault="00CC6D1B" w:rsidP="00780C83">
            <w:pPr>
              <w:pStyle w:val="Tabulkynormlndoblokuzarovnndoleva"/>
              <w:spacing w:after="0"/>
              <w:rPr>
                <w:lang w:val="sk-SK"/>
              </w:rPr>
            </w:pPr>
          </w:p>
        </w:tc>
      </w:tr>
      <w:tr w:rsidR="002358BF" w:rsidRPr="008D6195" w14:paraId="27F5971A" w14:textId="77777777" w:rsidTr="00763B8B">
        <w:tc>
          <w:tcPr>
            <w:tcW w:w="2277" w:type="dxa"/>
            <w:shd w:val="clear" w:color="auto" w:fill="auto"/>
          </w:tcPr>
          <w:p w14:paraId="24056CF3" w14:textId="03DA308A" w:rsidR="006E3768" w:rsidRPr="00E52021" w:rsidRDefault="00A92327" w:rsidP="00780C83">
            <w:pPr>
              <w:pStyle w:val="Tabulkynormlndoblokuzarovnndoleva"/>
              <w:spacing w:after="0"/>
            </w:pPr>
            <w:r>
              <w:rPr>
                <w:lang w:val="sk-SK"/>
              </w:rPr>
              <w:t>Poruchy ciev</w:t>
            </w:r>
          </w:p>
        </w:tc>
        <w:tc>
          <w:tcPr>
            <w:tcW w:w="2249" w:type="dxa"/>
            <w:shd w:val="clear" w:color="auto" w:fill="auto"/>
          </w:tcPr>
          <w:p w14:paraId="7F317852" w14:textId="77777777" w:rsidR="006E3768" w:rsidRPr="00105E69" w:rsidRDefault="006E3768" w:rsidP="00780C83">
            <w:pPr>
              <w:pStyle w:val="Tabulkynormlndoblokuzarovnndoleva"/>
              <w:spacing w:after="0"/>
              <w:rPr>
                <w:lang w:val="sk-SK"/>
              </w:rPr>
            </w:pPr>
          </w:p>
        </w:tc>
        <w:tc>
          <w:tcPr>
            <w:tcW w:w="2281" w:type="dxa"/>
            <w:shd w:val="clear" w:color="auto" w:fill="auto"/>
          </w:tcPr>
          <w:p w14:paraId="27E1DE06" w14:textId="77777777" w:rsidR="006E3768" w:rsidRPr="00E52021" w:rsidRDefault="006E3768" w:rsidP="00780C83">
            <w:pPr>
              <w:pStyle w:val="Tabulkynormlndoblokuzarovnndoleva"/>
              <w:spacing w:after="0"/>
            </w:pPr>
            <w:r w:rsidRPr="00105E69">
              <w:rPr>
                <w:lang w:val="sk-SK"/>
              </w:rPr>
              <w:t>Hypotenzia, hypertenzia, zmena farby a rozšírenie žíl</w:t>
            </w:r>
          </w:p>
        </w:tc>
        <w:tc>
          <w:tcPr>
            <w:tcW w:w="3059" w:type="dxa"/>
            <w:shd w:val="clear" w:color="auto" w:fill="auto"/>
          </w:tcPr>
          <w:p w14:paraId="1F0F45CD" w14:textId="77777777" w:rsidR="006E3768" w:rsidRPr="00105E69" w:rsidRDefault="006E3768" w:rsidP="00780C83">
            <w:pPr>
              <w:pStyle w:val="Tabulkynormlndoblokuzarovnndoleva"/>
              <w:spacing w:after="0"/>
              <w:rPr>
                <w:lang w:val="sk-SK"/>
              </w:rPr>
            </w:pPr>
          </w:p>
        </w:tc>
      </w:tr>
      <w:tr w:rsidR="002358BF" w:rsidRPr="008D6195" w14:paraId="76F64C50" w14:textId="77777777" w:rsidTr="00763B8B">
        <w:tc>
          <w:tcPr>
            <w:tcW w:w="2277" w:type="dxa"/>
            <w:shd w:val="clear" w:color="auto" w:fill="auto"/>
          </w:tcPr>
          <w:p w14:paraId="13B27AD1" w14:textId="77777777" w:rsidR="006E3768" w:rsidRPr="00E52021" w:rsidRDefault="006E3768" w:rsidP="00780C83">
            <w:pPr>
              <w:pStyle w:val="Tabulkynormlndoblokuzarovnndoleva"/>
              <w:spacing w:after="0"/>
            </w:pPr>
            <w:r w:rsidRPr="00105E69">
              <w:rPr>
                <w:lang w:val="sk-SK"/>
              </w:rPr>
              <w:t>Poruchy dýchacej sústavy</w:t>
            </w:r>
            <w:r w:rsidR="00763B8B" w:rsidRPr="008D6195">
              <w:rPr>
                <w:lang w:val="sk-SK"/>
              </w:rPr>
              <w:t>, hrudníka</w:t>
            </w:r>
            <w:r w:rsidRPr="00105E69">
              <w:rPr>
                <w:lang w:val="sk-SK"/>
              </w:rPr>
              <w:t xml:space="preserve"> a </w:t>
            </w:r>
            <w:proofErr w:type="spellStart"/>
            <w:r w:rsidRPr="00105E69">
              <w:rPr>
                <w:lang w:val="sk-SK"/>
              </w:rPr>
              <w:t>mediastína</w:t>
            </w:r>
            <w:proofErr w:type="spellEnd"/>
          </w:p>
        </w:tc>
        <w:tc>
          <w:tcPr>
            <w:tcW w:w="2249" w:type="dxa"/>
            <w:shd w:val="clear" w:color="auto" w:fill="auto"/>
          </w:tcPr>
          <w:p w14:paraId="411E6A82" w14:textId="77777777" w:rsidR="006E3768" w:rsidRPr="00105E69" w:rsidRDefault="006E3768" w:rsidP="00780C83">
            <w:pPr>
              <w:pStyle w:val="Tabulkynormlndoblokuzarovnndoleva"/>
              <w:spacing w:after="0"/>
              <w:rPr>
                <w:lang w:val="sk-SK"/>
              </w:rPr>
            </w:pPr>
          </w:p>
        </w:tc>
        <w:tc>
          <w:tcPr>
            <w:tcW w:w="2281" w:type="dxa"/>
            <w:shd w:val="clear" w:color="auto" w:fill="auto"/>
          </w:tcPr>
          <w:p w14:paraId="46E8DB1D" w14:textId="77777777" w:rsidR="006E3768" w:rsidRPr="00E52021" w:rsidRDefault="006E3768" w:rsidP="00780C83">
            <w:pPr>
              <w:pStyle w:val="Tabulkynormlndoblokuzarovnndoleva"/>
              <w:spacing w:after="0"/>
            </w:pPr>
            <w:r w:rsidRPr="00105E69">
              <w:rPr>
                <w:lang w:val="sk-SK"/>
              </w:rPr>
              <w:t>Čkanie</w:t>
            </w:r>
          </w:p>
        </w:tc>
        <w:tc>
          <w:tcPr>
            <w:tcW w:w="3059" w:type="dxa"/>
            <w:shd w:val="clear" w:color="auto" w:fill="auto"/>
          </w:tcPr>
          <w:p w14:paraId="6E2AB1DD" w14:textId="77777777" w:rsidR="006E3768" w:rsidRPr="00105E69" w:rsidRDefault="006E3768" w:rsidP="00780C83">
            <w:pPr>
              <w:pStyle w:val="Tabulkynormlndoblokuzarovnndoleva"/>
              <w:spacing w:after="0"/>
              <w:rPr>
                <w:lang w:val="sk-SK"/>
              </w:rPr>
            </w:pPr>
          </w:p>
        </w:tc>
      </w:tr>
      <w:tr w:rsidR="002358BF" w:rsidRPr="008D6195" w14:paraId="2623B239" w14:textId="77777777" w:rsidTr="00763B8B">
        <w:tc>
          <w:tcPr>
            <w:tcW w:w="2277" w:type="dxa"/>
            <w:shd w:val="clear" w:color="auto" w:fill="auto"/>
          </w:tcPr>
          <w:p w14:paraId="61DAA1F4" w14:textId="559848C9" w:rsidR="00DB6230" w:rsidRPr="00E52021" w:rsidRDefault="00A92327" w:rsidP="00780C83">
            <w:pPr>
              <w:pStyle w:val="Tabulkynormlndoblokuzarovnndoleva"/>
              <w:spacing w:after="0"/>
            </w:pPr>
            <w:r>
              <w:rPr>
                <w:lang w:val="sk-SK"/>
              </w:rPr>
              <w:t xml:space="preserve">Poruchy </w:t>
            </w:r>
            <w:proofErr w:type="spellStart"/>
            <w:r>
              <w:rPr>
                <w:lang w:val="sk-SK"/>
              </w:rPr>
              <w:t>g</w:t>
            </w:r>
            <w:r w:rsidR="00DB6230" w:rsidRPr="00105E69">
              <w:rPr>
                <w:lang w:val="sk-SK"/>
              </w:rPr>
              <w:t>astrointestinálne</w:t>
            </w:r>
            <w:r>
              <w:rPr>
                <w:lang w:val="sk-SK"/>
              </w:rPr>
              <w:t>ho</w:t>
            </w:r>
            <w:proofErr w:type="spellEnd"/>
            <w:r>
              <w:rPr>
                <w:lang w:val="sk-SK"/>
              </w:rPr>
              <w:t xml:space="preserve"> traktu</w:t>
            </w:r>
          </w:p>
        </w:tc>
        <w:tc>
          <w:tcPr>
            <w:tcW w:w="2249" w:type="dxa"/>
            <w:shd w:val="clear" w:color="auto" w:fill="auto"/>
          </w:tcPr>
          <w:p w14:paraId="1B840873" w14:textId="77777777" w:rsidR="00DB6230" w:rsidRPr="00E52021" w:rsidRDefault="00DB6230" w:rsidP="00780C83">
            <w:pPr>
              <w:pStyle w:val="Tabulkynormlndoblokuzarovnndoleva"/>
              <w:spacing w:after="0"/>
            </w:pPr>
            <w:r w:rsidRPr="00105E69">
              <w:rPr>
                <w:lang w:val="sk-SK"/>
              </w:rPr>
              <w:t>Zápcha, hnačka</w:t>
            </w:r>
          </w:p>
        </w:tc>
        <w:tc>
          <w:tcPr>
            <w:tcW w:w="2281" w:type="dxa"/>
            <w:shd w:val="clear" w:color="auto" w:fill="auto"/>
          </w:tcPr>
          <w:p w14:paraId="3344F274" w14:textId="335854D9" w:rsidR="00DB6230" w:rsidRPr="00E52021" w:rsidRDefault="00DB6230" w:rsidP="00780C83">
            <w:pPr>
              <w:pStyle w:val="Tabulkynormlndoblokuzarovnndoleva"/>
              <w:spacing w:after="0"/>
            </w:pPr>
            <w:proofErr w:type="spellStart"/>
            <w:r w:rsidRPr="00105E69">
              <w:rPr>
                <w:lang w:val="sk-SK"/>
              </w:rPr>
              <w:t>Dyspepsia</w:t>
            </w:r>
            <w:proofErr w:type="spellEnd"/>
            <w:r w:rsidRPr="00105E69">
              <w:rPr>
                <w:lang w:val="sk-SK"/>
              </w:rPr>
              <w:t>, bolesti brucha a </w:t>
            </w:r>
            <w:proofErr w:type="spellStart"/>
            <w:r w:rsidRPr="00105E69">
              <w:rPr>
                <w:lang w:val="sk-SK"/>
              </w:rPr>
              <w:t>nadbruška</w:t>
            </w:r>
            <w:proofErr w:type="spellEnd"/>
            <w:r w:rsidRPr="00105E69">
              <w:rPr>
                <w:lang w:val="sk-SK"/>
              </w:rPr>
              <w:t>, sucho</w:t>
            </w:r>
            <w:r w:rsidR="00A92327">
              <w:rPr>
                <w:lang w:val="sk-SK"/>
              </w:rPr>
              <w:t xml:space="preserve">sť </w:t>
            </w:r>
            <w:r w:rsidRPr="00105E69">
              <w:rPr>
                <w:lang w:val="sk-SK"/>
              </w:rPr>
              <w:t>úst, plynatosť</w:t>
            </w:r>
          </w:p>
        </w:tc>
        <w:tc>
          <w:tcPr>
            <w:tcW w:w="3059" w:type="dxa"/>
            <w:shd w:val="clear" w:color="auto" w:fill="auto"/>
          </w:tcPr>
          <w:p w14:paraId="77161B56" w14:textId="77777777" w:rsidR="00DB6230" w:rsidRPr="00105E69" w:rsidRDefault="00DB6230" w:rsidP="00780C83">
            <w:pPr>
              <w:pStyle w:val="Tabulkynormlndoblokuzarovnndoleva"/>
              <w:spacing w:after="0"/>
              <w:rPr>
                <w:lang w:val="sk-SK"/>
              </w:rPr>
            </w:pPr>
          </w:p>
        </w:tc>
      </w:tr>
      <w:tr w:rsidR="002358BF" w:rsidRPr="008D6195" w14:paraId="45BD17D3" w14:textId="77777777" w:rsidTr="00763B8B">
        <w:tc>
          <w:tcPr>
            <w:tcW w:w="2277" w:type="dxa"/>
            <w:shd w:val="clear" w:color="auto" w:fill="auto"/>
          </w:tcPr>
          <w:p w14:paraId="4278F179" w14:textId="77777777" w:rsidR="00DB6230" w:rsidRPr="00E52021" w:rsidRDefault="00DB6230" w:rsidP="00780C83">
            <w:pPr>
              <w:pStyle w:val="Tabulkynormlndoblokuzarovnndoleva"/>
              <w:spacing w:after="0"/>
            </w:pPr>
            <w:r w:rsidRPr="00105E69">
              <w:rPr>
                <w:lang w:val="sk-SK"/>
              </w:rPr>
              <w:t>Poruchy pečene a žlčových ciest</w:t>
            </w:r>
          </w:p>
        </w:tc>
        <w:tc>
          <w:tcPr>
            <w:tcW w:w="2249" w:type="dxa"/>
            <w:shd w:val="clear" w:color="auto" w:fill="auto"/>
          </w:tcPr>
          <w:p w14:paraId="34D494B6" w14:textId="77777777" w:rsidR="00DB6230" w:rsidRPr="00105E69" w:rsidRDefault="00DB6230" w:rsidP="00780C83">
            <w:pPr>
              <w:pStyle w:val="Tabulkynormlndoblokuzarovnndoleva"/>
              <w:spacing w:after="0"/>
              <w:rPr>
                <w:lang w:val="sk-SK"/>
              </w:rPr>
            </w:pPr>
          </w:p>
        </w:tc>
        <w:tc>
          <w:tcPr>
            <w:tcW w:w="2281" w:type="dxa"/>
            <w:shd w:val="clear" w:color="auto" w:fill="auto"/>
          </w:tcPr>
          <w:p w14:paraId="5A59D738" w14:textId="77777777" w:rsidR="00DB6230" w:rsidRPr="00E52021" w:rsidRDefault="00DB6230" w:rsidP="00780C83">
            <w:pPr>
              <w:pStyle w:val="Tabulkynormlndoblokuzarovnndoleva"/>
              <w:spacing w:after="0"/>
            </w:pPr>
            <w:proofErr w:type="spellStart"/>
            <w:r w:rsidRPr="00105E69">
              <w:rPr>
                <w:lang w:val="sk-SK"/>
              </w:rPr>
              <w:t>Hyperbilirubinémia</w:t>
            </w:r>
            <w:proofErr w:type="spellEnd"/>
          </w:p>
        </w:tc>
        <w:tc>
          <w:tcPr>
            <w:tcW w:w="3059" w:type="dxa"/>
            <w:shd w:val="clear" w:color="auto" w:fill="auto"/>
          </w:tcPr>
          <w:p w14:paraId="43A255A9" w14:textId="77777777" w:rsidR="00DB6230" w:rsidRPr="00105E69" w:rsidRDefault="00DB6230" w:rsidP="00780C83">
            <w:pPr>
              <w:pStyle w:val="Tabulkynormlndoblokuzarovnndoleva"/>
              <w:spacing w:after="0"/>
              <w:rPr>
                <w:lang w:val="sk-SK"/>
              </w:rPr>
            </w:pPr>
          </w:p>
        </w:tc>
      </w:tr>
      <w:tr w:rsidR="002358BF" w:rsidRPr="008D6195" w14:paraId="63321EDF" w14:textId="77777777" w:rsidTr="00763B8B">
        <w:tc>
          <w:tcPr>
            <w:tcW w:w="2277" w:type="dxa"/>
            <w:shd w:val="clear" w:color="auto" w:fill="auto"/>
          </w:tcPr>
          <w:p w14:paraId="0247D4EB" w14:textId="77777777" w:rsidR="00DB6230" w:rsidRPr="00E52021" w:rsidRDefault="00DB6230" w:rsidP="00780C83">
            <w:pPr>
              <w:pStyle w:val="Tabulkynormlndoblokuzarovnndoleva"/>
              <w:spacing w:after="0"/>
            </w:pPr>
            <w:r w:rsidRPr="00105E69">
              <w:rPr>
                <w:lang w:val="sk-SK"/>
              </w:rPr>
              <w:t>Poruchy kože a podkožného tkaniva</w:t>
            </w:r>
          </w:p>
        </w:tc>
        <w:tc>
          <w:tcPr>
            <w:tcW w:w="2249" w:type="dxa"/>
            <w:shd w:val="clear" w:color="auto" w:fill="auto"/>
          </w:tcPr>
          <w:p w14:paraId="18BFF7FE" w14:textId="77777777" w:rsidR="00DB6230" w:rsidRPr="00105E69" w:rsidRDefault="00DB6230" w:rsidP="00780C83">
            <w:pPr>
              <w:pStyle w:val="Tabulkynormlndoblokuzarovnndoleva"/>
              <w:spacing w:after="0"/>
              <w:rPr>
                <w:lang w:val="sk-SK"/>
              </w:rPr>
            </w:pPr>
          </w:p>
        </w:tc>
        <w:tc>
          <w:tcPr>
            <w:tcW w:w="2281" w:type="dxa"/>
            <w:shd w:val="clear" w:color="auto" w:fill="auto"/>
          </w:tcPr>
          <w:p w14:paraId="17997CBB" w14:textId="77777777" w:rsidR="00DB6230" w:rsidRPr="00E52021" w:rsidRDefault="00DB6230" w:rsidP="00780C83">
            <w:pPr>
              <w:pStyle w:val="Tabulkynormlndoblokuzarovnndoleva"/>
              <w:spacing w:after="0"/>
            </w:pPr>
            <w:r w:rsidRPr="00105E69">
              <w:rPr>
                <w:lang w:val="sk-SK"/>
              </w:rPr>
              <w:t>Alergická dermatitída, svrbiaca vyrážka</w:t>
            </w:r>
          </w:p>
        </w:tc>
        <w:tc>
          <w:tcPr>
            <w:tcW w:w="3059" w:type="dxa"/>
            <w:shd w:val="clear" w:color="auto" w:fill="auto"/>
          </w:tcPr>
          <w:p w14:paraId="7652D7EA" w14:textId="77777777" w:rsidR="00DB6230" w:rsidRPr="00105E69" w:rsidRDefault="00DB6230" w:rsidP="00780C83">
            <w:pPr>
              <w:pStyle w:val="Tabulkynormlndoblokuzarovnndoleva"/>
              <w:spacing w:after="0"/>
              <w:rPr>
                <w:lang w:val="sk-SK"/>
              </w:rPr>
            </w:pPr>
          </w:p>
        </w:tc>
      </w:tr>
      <w:tr w:rsidR="002358BF" w:rsidRPr="008D6195" w14:paraId="7D80DD04" w14:textId="77777777" w:rsidTr="00763B8B">
        <w:tc>
          <w:tcPr>
            <w:tcW w:w="2277" w:type="dxa"/>
            <w:shd w:val="clear" w:color="auto" w:fill="auto"/>
          </w:tcPr>
          <w:p w14:paraId="14D73C63" w14:textId="241B8DE5" w:rsidR="00DB6230" w:rsidRPr="00E52021" w:rsidRDefault="00DB6230" w:rsidP="00780C83">
            <w:pPr>
              <w:pStyle w:val="Tabulkynormlndoblokuzarovnndoleva"/>
              <w:spacing w:after="0"/>
            </w:pPr>
            <w:r w:rsidRPr="00105E69">
              <w:rPr>
                <w:lang w:val="sk-SK"/>
              </w:rPr>
              <w:t xml:space="preserve">Poruchy </w:t>
            </w:r>
            <w:r w:rsidRPr="008D6195">
              <w:rPr>
                <w:lang w:val="sk-SK"/>
              </w:rPr>
              <w:t>kostrov</w:t>
            </w:r>
            <w:r w:rsidR="00763B8B" w:rsidRPr="008D6195">
              <w:rPr>
                <w:lang w:val="sk-SK"/>
              </w:rPr>
              <w:t>ej</w:t>
            </w:r>
            <w:r w:rsidR="00763B8B" w:rsidRPr="00105E69">
              <w:rPr>
                <w:lang w:val="sk-SK"/>
              </w:rPr>
              <w:t xml:space="preserve"> a </w:t>
            </w:r>
            <w:r w:rsidR="00763B8B" w:rsidRPr="008D6195">
              <w:rPr>
                <w:lang w:val="sk-SK"/>
              </w:rPr>
              <w:t>svalovej sústavy a </w:t>
            </w:r>
            <w:r w:rsidRPr="008D6195">
              <w:rPr>
                <w:lang w:val="sk-SK"/>
              </w:rPr>
              <w:t>spojivo</w:t>
            </w:r>
            <w:r w:rsidR="00763B8B" w:rsidRPr="008D6195">
              <w:rPr>
                <w:lang w:val="sk-SK"/>
              </w:rPr>
              <w:t xml:space="preserve">vého </w:t>
            </w:r>
            <w:r w:rsidRPr="008D6195">
              <w:rPr>
                <w:lang w:val="sk-SK"/>
              </w:rPr>
              <w:t>tkan</w:t>
            </w:r>
            <w:r w:rsidR="00763B8B" w:rsidRPr="008D6195">
              <w:rPr>
                <w:lang w:val="sk-SK"/>
              </w:rPr>
              <w:t>iva</w:t>
            </w:r>
          </w:p>
        </w:tc>
        <w:tc>
          <w:tcPr>
            <w:tcW w:w="2249" w:type="dxa"/>
            <w:shd w:val="clear" w:color="auto" w:fill="auto"/>
          </w:tcPr>
          <w:p w14:paraId="2034609B" w14:textId="77777777" w:rsidR="00DB6230" w:rsidRPr="00105E69" w:rsidRDefault="00DB6230" w:rsidP="00780C83">
            <w:pPr>
              <w:pStyle w:val="Tabulkynormlndoblokuzarovnndoleva"/>
              <w:spacing w:after="0"/>
              <w:rPr>
                <w:lang w:val="sk-SK"/>
              </w:rPr>
            </w:pPr>
          </w:p>
        </w:tc>
        <w:tc>
          <w:tcPr>
            <w:tcW w:w="2281" w:type="dxa"/>
            <w:shd w:val="clear" w:color="auto" w:fill="auto"/>
          </w:tcPr>
          <w:p w14:paraId="146AEE75" w14:textId="501F4995" w:rsidR="00DB6230" w:rsidRPr="00E52021" w:rsidRDefault="00763B8B" w:rsidP="00780C83">
            <w:pPr>
              <w:pStyle w:val="Tabulkynormlndoblokuzarovnndoleva"/>
              <w:spacing w:after="0"/>
            </w:pPr>
            <w:proofErr w:type="spellStart"/>
            <w:r w:rsidRPr="008D6195">
              <w:rPr>
                <w:lang w:val="sk-SK"/>
              </w:rPr>
              <w:t>Artralgia</w:t>
            </w:r>
            <w:proofErr w:type="spellEnd"/>
            <w:r w:rsidRPr="008D6195">
              <w:rPr>
                <w:lang w:val="sk-SK"/>
              </w:rPr>
              <w:t xml:space="preserve"> </w:t>
            </w:r>
          </w:p>
        </w:tc>
        <w:tc>
          <w:tcPr>
            <w:tcW w:w="3059" w:type="dxa"/>
            <w:shd w:val="clear" w:color="auto" w:fill="auto"/>
          </w:tcPr>
          <w:p w14:paraId="654AB14E" w14:textId="77777777" w:rsidR="00DB6230" w:rsidRPr="00105E69" w:rsidRDefault="00DB6230" w:rsidP="00780C83">
            <w:pPr>
              <w:pStyle w:val="Tabulkynormlndoblokuzarovnndoleva"/>
              <w:spacing w:after="0"/>
              <w:rPr>
                <w:lang w:val="sk-SK"/>
              </w:rPr>
            </w:pPr>
          </w:p>
        </w:tc>
      </w:tr>
      <w:tr w:rsidR="002358BF" w:rsidRPr="008D6195" w14:paraId="6866985D" w14:textId="77777777" w:rsidTr="00763B8B">
        <w:tc>
          <w:tcPr>
            <w:tcW w:w="2277" w:type="dxa"/>
            <w:shd w:val="clear" w:color="auto" w:fill="auto"/>
          </w:tcPr>
          <w:p w14:paraId="53ABE0EE" w14:textId="77777777" w:rsidR="00DB6230" w:rsidRPr="00E52021" w:rsidRDefault="00DB6230" w:rsidP="00780C83">
            <w:pPr>
              <w:pStyle w:val="Tabulkynormlndoblokuzarovnndoleva"/>
              <w:spacing w:after="0"/>
            </w:pPr>
            <w:r w:rsidRPr="00105E69">
              <w:rPr>
                <w:lang w:val="sk-SK"/>
              </w:rPr>
              <w:t>Poruchy obličiek a močových ciest</w:t>
            </w:r>
          </w:p>
        </w:tc>
        <w:tc>
          <w:tcPr>
            <w:tcW w:w="2249" w:type="dxa"/>
            <w:shd w:val="clear" w:color="auto" w:fill="auto"/>
          </w:tcPr>
          <w:p w14:paraId="03E0FBAE" w14:textId="77777777" w:rsidR="00DB6230" w:rsidRPr="00105E69" w:rsidRDefault="00DB6230" w:rsidP="00780C83">
            <w:pPr>
              <w:pStyle w:val="Tabulkynormlndoblokuzarovnndoleva"/>
              <w:spacing w:after="0"/>
              <w:rPr>
                <w:lang w:val="sk-SK"/>
              </w:rPr>
            </w:pPr>
          </w:p>
        </w:tc>
        <w:tc>
          <w:tcPr>
            <w:tcW w:w="2281" w:type="dxa"/>
            <w:shd w:val="clear" w:color="auto" w:fill="auto"/>
          </w:tcPr>
          <w:p w14:paraId="6924074B" w14:textId="5B56A63B" w:rsidR="00DB6230" w:rsidRPr="00E52021" w:rsidRDefault="00DB6230" w:rsidP="00780C83">
            <w:pPr>
              <w:pStyle w:val="Tabulkynormlndoblokuzarovnndoleva"/>
              <w:spacing w:after="0"/>
            </w:pPr>
            <w:proofErr w:type="spellStart"/>
            <w:r w:rsidRPr="00105E69">
              <w:rPr>
                <w:lang w:val="sk-SK"/>
              </w:rPr>
              <w:t>Retencia</w:t>
            </w:r>
            <w:proofErr w:type="spellEnd"/>
            <w:r w:rsidRPr="00105E69">
              <w:rPr>
                <w:lang w:val="sk-SK"/>
              </w:rPr>
              <w:t xml:space="preserve"> moču</w:t>
            </w:r>
            <w:r w:rsidR="00763B8B" w:rsidRPr="008D6195">
              <w:rPr>
                <w:lang w:val="sk-SK"/>
              </w:rPr>
              <w:t>,</w:t>
            </w:r>
            <w:r w:rsidRPr="008D6195">
              <w:rPr>
                <w:lang w:val="sk-SK"/>
              </w:rPr>
              <w:t xml:space="preserve"> </w:t>
            </w:r>
            <w:proofErr w:type="spellStart"/>
            <w:r w:rsidRPr="00105E69">
              <w:rPr>
                <w:lang w:val="sk-SK"/>
              </w:rPr>
              <w:t>glykozúria</w:t>
            </w:r>
            <w:proofErr w:type="spellEnd"/>
          </w:p>
        </w:tc>
        <w:tc>
          <w:tcPr>
            <w:tcW w:w="3059" w:type="dxa"/>
            <w:shd w:val="clear" w:color="auto" w:fill="auto"/>
          </w:tcPr>
          <w:p w14:paraId="2638B438" w14:textId="77777777" w:rsidR="00DB6230" w:rsidRPr="00105E69" w:rsidRDefault="00DB6230" w:rsidP="00780C83">
            <w:pPr>
              <w:pStyle w:val="Tabulkynormlndoblokuzarovnndoleva"/>
              <w:spacing w:after="0"/>
              <w:rPr>
                <w:lang w:val="sk-SK"/>
              </w:rPr>
            </w:pPr>
          </w:p>
        </w:tc>
      </w:tr>
      <w:tr w:rsidR="002358BF" w:rsidRPr="008D6195" w14:paraId="021861C7" w14:textId="77777777" w:rsidTr="00763B8B">
        <w:tc>
          <w:tcPr>
            <w:tcW w:w="2277" w:type="dxa"/>
            <w:shd w:val="clear" w:color="auto" w:fill="auto"/>
          </w:tcPr>
          <w:p w14:paraId="42F027B0" w14:textId="77777777" w:rsidR="00DB6230" w:rsidRPr="00E52021" w:rsidRDefault="00DB6230" w:rsidP="00780C83">
            <w:pPr>
              <w:pStyle w:val="Tabulkynormlndoblokuzarovnndoleva"/>
              <w:spacing w:after="0"/>
            </w:pPr>
            <w:r w:rsidRPr="00105E69">
              <w:rPr>
                <w:lang w:val="sk-SK"/>
              </w:rPr>
              <w:t>Celkové poruchy a reakcie v mieste podania</w:t>
            </w:r>
          </w:p>
        </w:tc>
        <w:tc>
          <w:tcPr>
            <w:tcW w:w="2249" w:type="dxa"/>
            <w:shd w:val="clear" w:color="auto" w:fill="auto"/>
          </w:tcPr>
          <w:p w14:paraId="122F671A" w14:textId="77777777" w:rsidR="00DB6230" w:rsidRPr="00105E69" w:rsidRDefault="00DB6230" w:rsidP="00780C83">
            <w:pPr>
              <w:pStyle w:val="Tabulkynormlndoblokuzarovnndoleva"/>
              <w:spacing w:after="0"/>
              <w:rPr>
                <w:lang w:val="sk-SK"/>
              </w:rPr>
            </w:pPr>
          </w:p>
        </w:tc>
        <w:tc>
          <w:tcPr>
            <w:tcW w:w="2281" w:type="dxa"/>
            <w:shd w:val="clear" w:color="auto" w:fill="auto"/>
          </w:tcPr>
          <w:p w14:paraId="3F9313F5" w14:textId="77777777" w:rsidR="00DB6230" w:rsidRPr="00E52021" w:rsidRDefault="00DB6230" w:rsidP="00780C83">
            <w:pPr>
              <w:pStyle w:val="Tabulkynormlndoblokuzarovnndoleva"/>
              <w:spacing w:after="0"/>
            </w:pPr>
            <w:r w:rsidRPr="00105E69">
              <w:rPr>
                <w:lang w:val="sk-SK"/>
              </w:rPr>
              <w:t xml:space="preserve">Asténia, </w:t>
            </w:r>
            <w:proofErr w:type="spellStart"/>
            <w:r w:rsidRPr="00105E69">
              <w:rPr>
                <w:lang w:val="sk-SK"/>
              </w:rPr>
              <w:t>pyrexia</w:t>
            </w:r>
            <w:proofErr w:type="spellEnd"/>
            <w:r w:rsidRPr="00105E69">
              <w:rPr>
                <w:lang w:val="sk-SK"/>
              </w:rPr>
              <w:t>, únava, pocit tepla, chrípke podobné ochorenie</w:t>
            </w:r>
          </w:p>
        </w:tc>
        <w:tc>
          <w:tcPr>
            <w:tcW w:w="3059" w:type="dxa"/>
            <w:shd w:val="clear" w:color="auto" w:fill="auto"/>
          </w:tcPr>
          <w:p w14:paraId="08716ABC" w14:textId="5EBBC91E" w:rsidR="00DB6230" w:rsidRPr="00E52021" w:rsidRDefault="00DB6230" w:rsidP="00780C83">
            <w:pPr>
              <w:pStyle w:val="Tabulkynormlndoblokuzarovnndoleva"/>
              <w:spacing w:after="0"/>
            </w:pPr>
            <w:r w:rsidRPr="00105E69">
              <w:rPr>
                <w:lang w:val="sk-SK"/>
              </w:rPr>
              <w:t xml:space="preserve">Reakcie v mieste </w:t>
            </w:r>
            <w:r w:rsidR="008342F2">
              <w:rPr>
                <w:lang w:val="sk-SK"/>
              </w:rPr>
              <w:t>vpichu</w:t>
            </w:r>
            <w:r w:rsidRPr="00105E69">
              <w:rPr>
                <w:lang w:val="sk-SK"/>
              </w:rPr>
              <w:t>*</w:t>
            </w:r>
          </w:p>
        </w:tc>
      </w:tr>
      <w:tr w:rsidR="002358BF" w:rsidRPr="008D6195" w14:paraId="2EC0DDBF" w14:textId="77777777" w:rsidTr="00763B8B">
        <w:tc>
          <w:tcPr>
            <w:tcW w:w="2277" w:type="dxa"/>
            <w:shd w:val="clear" w:color="auto" w:fill="auto"/>
          </w:tcPr>
          <w:p w14:paraId="7C6BBA99" w14:textId="651F7E41" w:rsidR="00DB6230" w:rsidRPr="00E52021" w:rsidRDefault="00A92327" w:rsidP="00780C83">
            <w:pPr>
              <w:pStyle w:val="Tabulkynormlndoblokuzarovnndoleva"/>
              <w:spacing w:after="0"/>
            </w:pPr>
            <w:r>
              <w:rPr>
                <w:lang w:val="sk-SK"/>
              </w:rPr>
              <w:t>Laboratórne a funkčné v</w:t>
            </w:r>
            <w:r w:rsidR="00DB6230" w:rsidRPr="00105E69">
              <w:rPr>
                <w:lang w:val="sk-SK"/>
              </w:rPr>
              <w:t>yšetrenia</w:t>
            </w:r>
          </w:p>
        </w:tc>
        <w:tc>
          <w:tcPr>
            <w:tcW w:w="2249" w:type="dxa"/>
            <w:shd w:val="clear" w:color="auto" w:fill="auto"/>
          </w:tcPr>
          <w:p w14:paraId="4BE27F56" w14:textId="77777777" w:rsidR="00DB6230" w:rsidRPr="00105E69" w:rsidRDefault="00DB6230" w:rsidP="00780C83">
            <w:pPr>
              <w:pStyle w:val="Tabulkynormlndoblokuzarovnndoleva"/>
              <w:spacing w:after="0"/>
              <w:rPr>
                <w:lang w:val="sk-SK"/>
              </w:rPr>
            </w:pPr>
          </w:p>
        </w:tc>
        <w:tc>
          <w:tcPr>
            <w:tcW w:w="2281" w:type="dxa"/>
            <w:shd w:val="clear" w:color="auto" w:fill="auto"/>
          </w:tcPr>
          <w:p w14:paraId="4B3BEB78" w14:textId="043B7535" w:rsidR="00DB6230" w:rsidRPr="00E52021" w:rsidRDefault="00DB6230" w:rsidP="00780C83">
            <w:pPr>
              <w:pStyle w:val="Tabulkynormlndoblokuzarovnndoleva"/>
              <w:spacing w:after="0"/>
            </w:pPr>
            <w:r w:rsidRPr="00105E69">
              <w:rPr>
                <w:lang w:val="sk-SK"/>
              </w:rPr>
              <w:t xml:space="preserve">Zvýšené </w:t>
            </w:r>
            <w:r w:rsidR="00A92327">
              <w:rPr>
                <w:lang w:val="sk-SK"/>
              </w:rPr>
              <w:t xml:space="preserve">hladiny </w:t>
            </w:r>
            <w:proofErr w:type="spellStart"/>
            <w:r w:rsidRPr="00105E69">
              <w:rPr>
                <w:lang w:val="sk-SK"/>
              </w:rPr>
              <w:t>transamináz</w:t>
            </w:r>
            <w:proofErr w:type="spellEnd"/>
            <w:r w:rsidRPr="00105E69">
              <w:rPr>
                <w:lang w:val="sk-SK"/>
              </w:rPr>
              <w:t>, predĺženie QT intervalu na elektrokardiograme</w:t>
            </w:r>
          </w:p>
        </w:tc>
        <w:tc>
          <w:tcPr>
            <w:tcW w:w="3059" w:type="dxa"/>
            <w:shd w:val="clear" w:color="auto" w:fill="auto"/>
          </w:tcPr>
          <w:p w14:paraId="54C543A4" w14:textId="77777777" w:rsidR="00DB6230" w:rsidRPr="00105E69" w:rsidRDefault="00DB6230" w:rsidP="00780C83">
            <w:pPr>
              <w:pStyle w:val="Tabulkynormlndoblokuzarovnndoleva"/>
              <w:spacing w:after="0"/>
            </w:pPr>
          </w:p>
        </w:tc>
      </w:tr>
    </w:tbl>
    <w:p w14:paraId="3807A2D5" w14:textId="77777777" w:rsidR="00DB6230" w:rsidRPr="008D6195" w:rsidRDefault="00DB6230" w:rsidP="00780C83">
      <w:pPr>
        <w:pStyle w:val="Normlndobloku"/>
        <w:spacing w:after="0"/>
        <w:jc w:val="left"/>
      </w:pPr>
      <w:r w:rsidRPr="008D6195">
        <w:rPr>
          <w:szCs w:val="22"/>
        </w:rPr>
        <w:t>°</w:t>
      </w:r>
      <w:r w:rsidR="00FA3210">
        <w:rPr>
          <w:szCs w:val="22"/>
        </w:rPr>
        <w:t> </w:t>
      </w:r>
      <w:r w:rsidRPr="008D6195">
        <w:rPr>
          <w:szCs w:val="22"/>
        </w:rPr>
        <w:t>Z </w:t>
      </w:r>
      <w:proofErr w:type="spellStart"/>
      <w:r w:rsidRPr="008D6195">
        <w:rPr>
          <w:szCs w:val="22"/>
        </w:rPr>
        <w:t>postmarketingových</w:t>
      </w:r>
      <w:proofErr w:type="spellEnd"/>
      <w:r w:rsidRPr="008D6195">
        <w:rPr>
          <w:szCs w:val="22"/>
        </w:rPr>
        <w:t xml:space="preserve"> skúseností.</w:t>
      </w:r>
    </w:p>
    <w:p w14:paraId="17FE92EF" w14:textId="780C33D0" w:rsidR="00CC6D1B" w:rsidRDefault="00DB6230" w:rsidP="00780C83">
      <w:pPr>
        <w:pStyle w:val="Normlndobloku"/>
        <w:spacing w:after="0"/>
        <w:jc w:val="left"/>
      </w:pPr>
      <w:r w:rsidRPr="008D6195">
        <w:t>*</w:t>
      </w:r>
      <w:r w:rsidR="00FA3210">
        <w:t> </w:t>
      </w:r>
      <w:r w:rsidRPr="008D6195">
        <w:t>Zahŕňajú nasledovné: pálenie, stvrdnu</w:t>
      </w:r>
      <w:r w:rsidR="00763B8B" w:rsidRPr="008D6195">
        <w:t>tie, nepríjemné pocity a</w:t>
      </w:r>
      <w:r w:rsidR="00A92327">
        <w:t> </w:t>
      </w:r>
      <w:r w:rsidR="00763B8B" w:rsidRPr="008D6195">
        <w:t>bolesť</w:t>
      </w:r>
    </w:p>
    <w:p w14:paraId="1A7C525C" w14:textId="77777777" w:rsidR="00A92327" w:rsidRPr="008D6195" w:rsidRDefault="00A92327" w:rsidP="00780C83">
      <w:pPr>
        <w:pStyle w:val="Normlndobloku"/>
        <w:spacing w:after="0"/>
        <w:jc w:val="left"/>
      </w:pPr>
    </w:p>
    <w:p w14:paraId="1C578E3A" w14:textId="77777777" w:rsidR="001A2F10" w:rsidRPr="008D6195" w:rsidRDefault="001A2F10" w:rsidP="00780C83">
      <w:pPr>
        <w:pStyle w:val="Styl3"/>
        <w:spacing w:after="0"/>
        <w:jc w:val="left"/>
      </w:pPr>
      <w:r w:rsidRPr="008D6195">
        <w:t>Pediatrická populácia</w:t>
      </w:r>
    </w:p>
    <w:p w14:paraId="65F811C6" w14:textId="7515B61C" w:rsidR="002F2B1E" w:rsidRPr="008D6195" w:rsidRDefault="002F2B1E" w:rsidP="00780C83">
      <w:pPr>
        <w:pStyle w:val="Normlndobloku"/>
        <w:spacing w:after="0"/>
        <w:jc w:val="left"/>
        <w:rPr>
          <w:szCs w:val="22"/>
        </w:rPr>
      </w:pPr>
      <w:r w:rsidRPr="008D6195">
        <w:rPr>
          <w:szCs w:val="22"/>
        </w:rPr>
        <w:t xml:space="preserve">V pediatrických klinických </w:t>
      </w:r>
      <w:r w:rsidR="008342F2">
        <w:rPr>
          <w:szCs w:val="22"/>
        </w:rPr>
        <w:t>skúškach</w:t>
      </w:r>
      <w:r w:rsidRPr="008D6195">
        <w:rPr>
          <w:szCs w:val="22"/>
        </w:rPr>
        <w:t xml:space="preserve"> na prevenciu nauzey a vracania vyvolaných stredne alebo vysoko </w:t>
      </w:r>
      <w:proofErr w:type="spellStart"/>
      <w:r w:rsidRPr="008D6195">
        <w:rPr>
          <w:szCs w:val="22"/>
        </w:rPr>
        <w:t>emetogénnou</w:t>
      </w:r>
      <w:proofErr w:type="spellEnd"/>
      <w:r w:rsidRPr="008D6195">
        <w:rPr>
          <w:szCs w:val="22"/>
        </w:rPr>
        <w:t xml:space="preserve"> chemoterapiou </w:t>
      </w:r>
      <w:r w:rsidR="008342F2" w:rsidRPr="008D6195">
        <w:rPr>
          <w:szCs w:val="22"/>
        </w:rPr>
        <w:t xml:space="preserve">dostávalo </w:t>
      </w:r>
      <w:r w:rsidRPr="008D6195">
        <w:rPr>
          <w:szCs w:val="22"/>
        </w:rPr>
        <w:t xml:space="preserve">402 pacientov jednorazovú dávku </w:t>
      </w:r>
      <w:proofErr w:type="spellStart"/>
      <w:r w:rsidRPr="008D6195">
        <w:rPr>
          <w:szCs w:val="22"/>
        </w:rPr>
        <w:t>palonosetrónu</w:t>
      </w:r>
      <w:proofErr w:type="spellEnd"/>
      <w:r w:rsidRPr="008D6195">
        <w:rPr>
          <w:szCs w:val="22"/>
        </w:rPr>
        <w:t xml:space="preserve"> (3, 10 alebo 20</w:t>
      </w:r>
      <w:r w:rsidR="00763B8B" w:rsidRPr="008D6195">
        <w:rPr>
          <w:szCs w:val="22"/>
        </w:rPr>
        <w:t> </w:t>
      </w:r>
      <w:proofErr w:type="spellStart"/>
      <w:r w:rsidRPr="008D6195">
        <w:rPr>
          <w:szCs w:val="22"/>
        </w:rPr>
        <w:t>mikrogramov</w:t>
      </w:r>
      <w:proofErr w:type="spellEnd"/>
      <w:r w:rsidRPr="008D6195">
        <w:rPr>
          <w:szCs w:val="22"/>
        </w:rPr>
        <w:t xml:space="preserve">/kg). Boli hlásené nasledujúce časté alebo menej časté nežiaduce </w:t>
      </w:r>
      <w:r w:rsidR="008342F2">
        <w:rPr>
          <w:szCs w:val="22"/>
        </w:rPr>
        <w:t>účinky</w:t>
      </w:r>
      <w:r w:rsidR="008342F2" w:rsidRPr="008D6195">
        <w:rPr>
          <w:szCs w:val="22"/>
        </w:rPr>
        <w:t xml:space="preserve"> </w:t>
      </w:r>
      <w:proofErr w:type="spellStart"/>
      <w:r w:rsidRPr="008D6195">
        <w:rPr>
          <w:szCs w:val="22"/>
        </w:rPr>
        <w:t>palonosetrónu</w:t>
      </w:r>
      <w:proofErr w:type="spellEnd"/>
      <w:r w:rsidRPr="008D6195">
        <w:rPr>
          <w:szCs w:val="22"/>
        </w:rPr>
        <w:t>, žiadna z nich nebola hlásená s frekvenciou &gt; 1 %.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3085"/>
        <w:gridCol w:w="2977"/>
        <w:gridCol w:w="3827"/>
      </w:tblGrid>
      <w:tr w:rsidR="002F2B1E" w:rsidRPr="008D6195" w14:paraId="65C54000" w14:textId="77777777" w:rsidTr="00105E69">
        <w:trPr>
          <w:tblHeader/>
        </w:trPr>
        <w:tc>
          <w:tcPr>
            <w:tcW w:w="3085" w:type="dxa"/>
            <w:shd w:val="clear" w:color="auto" w:fill="auto"/>
          </w:tcPr>
          <w:p w14:paraId="78CEB670" w14:textId="77777777" w:rsidR="002F2B1E" w:rsidRPr="00105E69" w:rsidRDefault="002F2B1E" w:rsidP="00780C83">
            <w:pPr>
              <w:pStyle w:val="Nadpisuvnittabulky"/>
              <w:spacing w:before="0" w:after="0"/>
              <w:jc w:val="left"/>
              <w:rPr>
                <w:b w:val="0"/>
              </w:rPr>
            </w:pPr>
            <w:r w:rsidRPr="00105E69">
              <w:rPr>
                <w:lang w:val="sk-SK"/>
              </w:rPr>
              <w:t>Trieda orgánových systémov</w:t>
            </w:r>
          </w:p>
        </w:tc>
        <w:tc>
          <w:tcPr>
            <w:tcW w:w="2977" w:type="dxa"/>
            <w:shd w:val="clear" w:color="auto" w:fill="auto"/>
          </w:tcPr>
          <w:p w14:paraId="2D39DAE7" w14:textId="5CF85684" w:rsidR="002F2B1E" w:rsidRPr="00105E69" w:rsidRDefault="002F2B1E" w:rsidP="00780C83">
            <w:pPr>
              <w:pStyle w:val="Nadpisuvnittabulky"/>
              <w:spacing w:before="0" w:after="0"/>
              <w:jc w:val="left"/>
              <w:rPr>
                <w:b w:val="0"/>
              </w:rPr>
            </w:pPr>
            <w:r w:rsidRPr="00105E69">
              <w:rPr>
                <w:lang w:val="sk-SK"/>
              </w:rPr>
              <w:t>Časté N</w:t>
            </w:r>
            <w:r w:rsidR="00984271">
              <w:rPr>
                <w:lang w:val="sk-SK"/>
              </w:rPr>
              <w:t>Ú</w:t>
            </w:r>
          </w:p>
          <w:p w14:paraId="1F8F9F45" w14:textId="71CDBF7F" w:rsidR="002F2B1E" w:rsidRPr="00105E69" w:rsidRDefault="002F2B1E" w:rsidP="00780C83">
            <w:pPr>
              <w:pStyle w:val="Nadpisuvnittabulky"/>
              <w:spacing w:before="0" w:after="0"/>
              <w:jc w:val="left"/>
              <w:rPr>
                <w:b w:val="0"/>
              </w:rPr>
            </w:pPr>
            <w:r w:rsidRPr="00105E69">
              <w:rPr>
                <w:lang w:val="sk-SK"/>
              </w:rPr>
              <w:t>(≥</w:t>
            </w:r>
            <w:r w:rsidR="008621ED">
              <w:rPr>
                <w:lang w:val="sk-SK"/>
              </w:rPr>
              <w:t> </w:t>
            </w:r>
            <w:r w:rsidRPr="00105E69">
              <w:rPr>
                <w:lang w:val="sk-SK"/>
              </w:rPr>
              <w:t>1/100 až &lt;</w:t>
            </w:r>
            <w:r w:rsidR="008621ED">
              <w:rPr>
                <w:lang w:val="sk-SK"/>
              </w:rPr>
              <w:t> </w:t>
            </w:r>
            <w:r w:rsidRPr="00105E69">
              <w:rPr>
                <w:lang w:val="sk-SK"/>
              </w:rPr>
              <w:t>1/10)</w:t>
            </w:r>
          </w:p>
        </w:tc>
        <w:tc>
          <w:tcPr>
            <w:tcW w:w="3827" w:type="dxa"/>
            <w:shd w:val="clear" w:color="auto" w:fill="auto"/>
          </w:tcPr>
          <w:p w14:paraId="63DDDB41" w14:textId="3E1BFA04" w:rsidR="002F2B1E" w:rsidRPr="00105E69" w:rsidRDefault="002F2B1E" w:rsidP="00780C83">
            <w:pPr>
              <w:pStyle w:val="Nadpisuvnittabulky"/>
              <w:spacing w:before="0" w:after="0"/>
              <w:jc w:val="left"/>
              <w:rPr>
                <w:b w:val="0"/>
              </w:rPr>
            </w:pPr>
            <w:r w:rsidRPr="00105E69">
              <w:rPr>
                <w:lang w:val="sk-SK"/>
              </w:rPr>
              <w:t>Menej časté N</w:t>
            </w:r>
            <w:r w:rsidR="00984271">
              <w:rPr>
                <w:lang w:val="sk-SK"/>
              </w:rPr>
              <w:t>Ú</w:t>
            </w:r>
          </w:p>
          <w:p w14:paraId="51312780" w14:textId="761C3590" w:rsidR="002F2B1E" w:rsidRPr="00105E69" w:rsidRDefault="002F2B1E" w:rsidP="00780C83">
            <w:pPr>
              <w:pStyle w:val="Nadpisuvnittabulky"/>
              <w:spacing w:before="0" w:after="0"/>
              <w:jc w:val="left"/>
              <w:rPr>
                <w:b w:val="0"/>
              </w:rPr>
            </w:pPr>
            <w:r w:rsidRPr="00105E69">
              <w:rPr>
                <w:lang w:val="sk-SK"/>
              </w:rPr>
              <w:t>(≥</w:t>
            </w:r>
            <w:r w:rsidR="008621ED">
              <w:rPr>
                <w:lang w:val="sk-SK"/>
              </w:rPr>
              <w:t> </w:t>
            </w:r>
            <w:r w:rsidRPr="00105E69">
              <w:rPr>
                <w:lang w:val="sk-SK"/>
              </w:rPr>
              <w:t>1/1 000 až &lt;</w:t>
            </w:r>
            <w:r w:rsidR="008621ED">
              <w:rPr>
                <w:lang w:val="sk-SK"/>
              </w:rPr>
              <w:t> </w:t>
            </w:r>
            <w:r w:rsidRPr="00105E69">
              <w:rPr>
                <w:lang w:val="sk-SK"/>
              </w:rPr>
              <w:t>1/100)</w:t>
            </w:r>
          </w:p>
        </w:tc>
      </w:tr>
      <w:tr w:rsidR="002F2B1E" w:rsidRPr="008D6195" w14:paraId="2C896716" w14:textId="77777777" w:rsidTr="00105E69">
        <w:tc>
          <w:tcPr>
            <w:tcW w:w="3085" w:type="dxa"/>
            <w:shd w:val="clear" w:color="auto" w:fill="auto"/>
          </w:tcPr>
          <w:p w14:paraId="5B352C6B" w14:textId="77777777" w:rsidR="002F2B1E" w:rsidRPr="00105E69" w:rsidRDefault="002F2B1E" w:rsidP="00780C83">
            <w:pPr>
              <w:pStyle w:val="Tabulkynormlndoblokuzarovnndoleva"/>
              <w:spacing w:after="0"/>
              <w:rPr>
                <w:lang w:val="sk-SK"/>
              </w:rPr>
            </w:pPr>
            <w:r w:rsidRPr="00105E69">
              <w:rPr>
                <w:lang w:val="sk-SK"/>
              </w:rPr>
              <w:t xml:space="preserve">Poruchy nervového systému </w:t>
            </w:r>
          </w:p>
        </w:tc>
        <w:tc>
          <w:tcPr>
            <w:tcW w:w="2977" w:type="dxa"/>
            <w:shd w:val="clear" w:color="auto" w:fill="auto"/>
          </w:tcPr>
          <w:p w14:paraId="21F5FEB5" w14:textId="77777777" w:rsidR="002F2B1E" w:rsidRPr="00E52021" w:rsidRDefault="002F2B1E" w:rsidP="00780C83">
            <w:pPr>
              <w:pStyle w:val="Tabulkynormlndoblokuzarovnndoleva"/>
              <w:spacing w:after="0"/>
            </w:pPr>
            <w:r w:rsidRPr="00105E69">
              <w:rPr>
                <w:lang w:val="sk-SK"/>
              </w:rPr>
              <w:t>Bolesť hlavy</w:t>
            </w:r>
          </w:p>
        </w:tc>
        <w:tc>
          <w:tcPr>
            <w:tcW w:w="3827" w:type="dxa"/>
            <w:shd w:val="clear" w:color="auto" w:fill="auto"/>
          </w:tcPr>
          <w:p w14:paraId="75392690" w14:textId="77777777" w:rsidR="002F2B1E" w:rsidRPr="00E52021" w:rsidRDefault="002F2B1E" w:rsidP="00780C83">
            <w:pPr>
              <w:pStyle w:val="Tabulkynormlndoblokuzarovnndoleva"/>
              <w:spacing w:after="0"/>
            </w:pPr>
            <w:r w:rsidRPr="00105E69">
              <w:rPr>
                <w:lang w:val="sk-SK"/>
              </w:rPr>
              <w:t xml:space="preserve">Závraty, </w:t>
            </w:r>
            <w:proofErr w:type="spellStart"/>
            <w:r w:rsidRPr="00105E69">
              <w:rPr>
                <w:lang w:val="sk-SK"/>
              </w:rPr>
              <w:t>dyskinéza</w:t>
            </w:r>
            <w:proofErr w:type="spellEnd"/>
          </w:p>
        </w:tc>
      </w:tr>
      <w:tr w:rsidR="002F2B1E" w:rsidRPr="008D6195" w14:paraId="49F429F9" w14:textId="77777777" w:rsidTr="00105E69">
        <w:tc>
          <w:tcPr>
            <w:tcW w:w="3085" w:type="dxa"/>
            <w:shd w:val="clear" w:color="auto" w:fill="auto"/>
          </w:tcPr>
          <w:p w14:paraId="2E448BBD" w14:textId="77777777" w:rsidR="002F2B1E" w:rsidRPr="00E52021" w:rsidRDefault="00763B8B" w:rsidP="00780C83">
            <w:pPr>
              <w:pStyle w:val="Tabulkynormlndoblokuzarovnndoleva"/>
              <w:spacing w:after="0"/>
            </w:pPr>
            <w:r w:rsidRPr="00105E69">
              <w:rPr>
                <w:lang w:val="sk-SK"/>
              </w:rPr>
              <w:t>Poruchy srdca</w:t>
            </w:r>
            <w:r w:rsidRPr="008D6195">
              <w:rPr>
                <w:lang w:val="sk-SK"/>
              </w:rPr>
              <w:t xml:space="preserve"> a srdcovej činnosti</w:t>
            </w:r>
          </w:p>
        </w:tc>
        <w:tc>
          <w:tcPr>
            <w:tcW w:w="2977" w:type="dxa"/>
            <w:shd w:val="clear" w:color="auto" w:fill="auto"/>
          </w:tcPr>
          <w:p w14:paraId="16B195D9" w14:textId="77777777" w:rsidR="002F2B1E" w:rsidRPr="00105E69" w:rsidRDefault="002F2B1E" w:rsidP="00780C83">
            <w:pPr>
              <w:pStyle w:val="Tabulkynormlndoblokuzarovnndoleva"/>
              <w:spacing w:after="0"/>
              <w:rPr>
                <w:lang w:val="sk-SK"/>
              </w:rPr>
            </w:pPr>
          </w:p>
        </w:tc>
        <w:tc>
          <w:tcPr>
            <w:tcW w:w="3827" w:type="dxa"/>
            <w:shd w:val="clear" w:color="auto" w:fill="auto"/>
          </w:tcPr>
          <w:p w14:paraId="35CE648C" w14:textId="77777777" w:rsidR="002F2B1E" w:rsidRPr="00E52021" w:rsidRDefault="002F2B1E" w:rsidP="00780C83">
            <w:pPr>
              <w:pStyle w:val="Tabulkynormlndoblokuzarovnndoleva"/>
              <w:spacing w:after="0"/>
            </w:pPr>
            <w:r w:rsidRPr="00105E69">
              <w:rPr>
                <w:lang w:val="sk-SK"/>
              </w:rPr>
              <w:t>Predĺženie QT in</w:t>
            </w:r>
            <w:r w:rsidR="00820C8E" w:rsidRPr="00105E69">
              <w:rPr>
                <w:lang w:val="sk-SK"/>
              </w:rPr>
              <w:t xml:space="preserve">tervalu na elektrokardiograme, poruchy vedenia, sínusová </w:t>
            </w:r>
            <w:proofErr w:type="spellStart"/>
            <w:r w:rsidR="00820C8E" w:rsidRPr="00105E69">
              <w:rPr>
                <w:lang w:val="sk-SK"/>
              </w:rPr>
              <w:t>tachykardia</w:t>
            </w:r>
            <w:proofErr w:type="spellEnd"/>
          </w:p>
        </w:tc>
      </w:tr>
      <w:tr w:rsidR="002F2B1E" w:rsidRPr="008D6195" w14:paraId="6597DB1B" w14:textId="77777777" w:rsidTr="00105E69">
        <w:tc>
          <w:tcPr>
            <w:tcW w:w="3085" w:type="dxa"/>
            <w:shd w:val="clear" w:color="auto" w:fill="auto"/>
          </w:tcPr>
          <w:p w14:paraId="36FB0A80" w14:textId="77777777" w:rsidR="002F2B1E" w:rsidRPr="00E52021" w:rsidRDefault="00763B8B" w:rsidP="00780C83">
            <w:pPr>
              <w:pStyle w:val="Tabulkynormlndoblokuzarovnndoleva"/>
              <w:spacing w:after="0"/>
            </w:pPr>
            <w:r w:rsidRPr="00105E69">
              <w:rPr>
                <w:lang w:val="sk-SK"/>
              </w:rPr>
              <w:t>Poruchy dýchacej sústavy</w:t>
            </w:r>
            <w:r w:rsidRPr="008D6195">
              <w:rPr>
                <w:lang w:val="sk-SK"/>
              </w:rPr>
              <w:t>, hrudníka</w:t>
            </w:r>
            <w:r w:rsidRPr="00105E69">
              <w:rPr>
                <w:lang w:val="sk-SK"/>
              </w:rPr>
              <w:t xml:space="preserve"> a </w:t>
            </w:r>
            <w:proofErr w:type="spellStart"/>
            <w:r w:rsidRPr="00105E69">
              <w:rPr>
                <w:lang w:val="sk-SK"/>
              </w:rPr>
              <w:t>mediastína</w:t>
            </w:r>
            <w:proofErr w:type="spellEnd"/>
          </w:p>
        </w:tc>
        <w:tc>
          <w:tcPr>
            <w:tcW w:w="2977" w:type="dxa"/>
            <w:shd w:val="clear" w:color="auto" w:fill="auto"/>
          </w:tcPr>
          <w:p w14:paraId="57CEB08F" w14:textId="77777777" w:rsidR="002F2B1E" w:rsidRPr="00105E69" w:rsidRDefault="002F2B1E" w:rsidP="00780C83">
            <w:pPr>
              <w:pStyle w:val="Tabulkynormlndoblokuzarovnndoleva"/>
              <w:spacing w:after="0"/>
              <w:rPr>
                <w:lang w:val="sk-SK"/>
              </w:rPr>
            </w:pPr>
          </w:p>
        </w:tc>
        <w:tc>
          <w:tcPr>
            <w:tcW w:w="3827" w:type="dxa"/>
            <w:shd w:val="clear" w:color="auto" w:fill="auto"/>
          </w:tcPr>
          <w:p w14:paraId="2F58328B" w14:textId="77777777" w:rsidR="002F2B1E" w:rsidRPr="00E52021" w:rsidRDefault="00820C8E" w:rsidP="00780C83">
            <w:pPr>
              <w:pStyle w:val="Tabulkynormlndoblokuzarovnndoleva"/>
              <w:spacing w:after="0"/>
            </w:pPr>
            <w:r w:rsidRPr="00105E69">
              <w:rPr>
                <w:lang w:val="sk-SK"/>
              </w:rPr>
              <w:t xml:space="preserve">Kašeľ, </w:t>
            </w:r>
            <w:proofErr w:type="spellStart"/>
            <w:r w:rsidRPr="00105E69">
              <w:rPr>
                <w:lang w:val="sk-SK"/>
              </w:rPr>
              <w:t>dyspnoe</w:t>
            </w:r>
            <w:proofErr w:type="spellEnd"/>
            <w:r w:rsidRPr="00105E69">
              <w:rPr>
                <w:lang w:val="sk-SK"/>
              </w:rPr>
              <w:t xml:space="preserve">, </w:t>
            </w:r>
            <w:proofErr w:type="spellStart"/>
            <w:r w:rsidRPr="00105E69">
              <w:rPr>
                <w:lang w:val="sk-SK"/>
              </w:rPr>
              <w:t>epistaxa</w:t>
            </w:r>
            <w:proofErr w:type="spellEnd"/>
          </w:p>
        </w:tc>
      </w:tr>
      <w:tr w:rsidR="002F2B1E" w:rsidRPr="008D6195" w14:paraId="6455A78F" w14:textId="77777777" w:rsidTr="00105E69">
        <w:tc>
          <w:tcPr>
            <w:tcW w:w="3085" w:type="dxa"/>
            <w:shd w:val="clear" w:color="auto" w:fill="auto"/>
          </w:tcPr>
          <w:p w14:paraId="0DBD8822" w14:textId="77777777" w:rsidR="002F2B1E" w:rsidRPr="00E52021" w:rsidRDefault="002F2B1E" w:rsidP="00780C83">
            <w:pPr>
              <w:pStyle w:val="Tabulkynormlndoblokuzarovnndoleva"/>
              <w:spacing w:after="0"/>
            </w:pPr>
            <w:r w:rsidRPr="00105E69">
              <w:rPr>
                <w:lang w:val="sk-SK"/>
              </w:rPr>
              <w:t>Poruchy kože a podkožného tkaniva</w:t>
            </w:r>
          </w:p>
        </w:tc>
        <w:tc>
          <w:tcPr>
            <w:tcW w:w="2977" w:type="dxa"/>
            <w:shd w:val="clear" w:color="auto" w:fill="auto"/>
          </w:tcPr>
          <w:p w14:paraId="3B1C345A" w14:textId="77777777" w:rsidR="002F2B1E" w:rsidRPr="00105E69" w:rsidRDefault="002F2B1E" w:rsidP="00780C83">
            <w:pPr>
              <w:pStyle w:val="Tabulkynormlndoblokuzarovnndoleva"/>
              <w:spacing w:after="0"/>
              <w:rPr>
                <w:lang w:val="sk-SK"/>
              </w:rPr>
            </w:pPr>
          </w:p>
        </w:tc>
        <w:tc>
          <w:tcPr>
            <w:tcW w:w="3827" w:type="dxa"/>
            <w:shd w:val="clear" w:color="auto" w:fill="auto"/>
          </w:tcPr>
          <w:p w14:paraId="44113CC8" w14:textId="77777777" w:rsidR="002F2B1E" w:rsidRPr="00E52021" w:rsidRDefault="002F2B1E" w:rsidP="00780C83">
            <w:pPr>
              <w:pStyle w:val="Tabulkynormlndoblokuzarovnndoleva"/>
              <w:spacing w:after="0"/>
            </w:pPr>
            <w:r w:rsidRPr="00105E69">
              <w:rPr>
                <w:lang w:val="sk-SK"/>
              </w:rPr>
              <w:t>Alergic</w:t>
            </w:r>
            <w:r w:rsidR="00820C8E" w:rsidRPr="00105E69">
              <w:rPr>
                <w:lang w:val="sk-SK"/>
              </w:rPr>
              <w:t xml:space="preserve">ká dermatitída, svrbenie, poruchy kože, </w:t>
            </w:r>
            <w:proofErr w:type="spellStart"/>
            <w:r w:rsidR="00820C8E" w:rsidRPr="00105E69">
              <w:rPr>
                <w:lang w:val="sk-SK"/>
              </w:rPr>
              <w:t>urtikária</w:t>
            </w:r>
            <w:proofErr w:type="spellEnd"/>
          </w:p>
        </w:tc>
      </w:tr>
      <w:tr w:rsidR="002F2B1E" w:rsidRPr="008D6195" w14:paraId="16659908" w14:textId="77777777" w:rsidTr="00105E69">
        <w:tc>
          <w:tcPr>
            <w:tcW w:w="3085" w:type="dxa"/>
            <w:shd w:val="clear" w:color="auto" w:fill="auto"/>
          </w:tcPr>
          <w:p w14:paraId="450A1029" w14:textId="77777777" w:rsidR="002F2B1E" w:rsidRPr="00E52021" w:rsidRDefault="002F2B1E" w:rsidP="00780C83">
            <w:pPr>
              <w:pStyle w:val="Tabulkynormlndoblokuzarovnndoleva"/>
              <w:spacing w:after="0"/>
            </w:pPr>
            <w:r w:rsidRPr="00105E69">
              <w:rPr>
                <w:lang w:val="sk-SK"/>
              </w:rPr>
              <w:t>Celkové poruchy a reakcie v mieste podania</w:t>
            </w:r>
          </w:p>
        </w:tc>
        <w:tc>
          <w:tcPr>
            <w:tcW w:w="2977" w:type="dxa"/>
            <w:shd w:val="clear" w:color="auto" w:fill="auto"/>
          </w:tcPr>
          <w:p w14:paraId="2E1ACE5C" w14:textId="77777777" w:rsidR="002F2B1E" w:rsidRPr="00105E69" w:rsidRDefault="002F2B1E" w:rsidP="00780C83">
            <w:pPr>
              <w:pStyle w:val="Tabulkynormlndoblokuzarovnndoleva"/>
              <w:spacing w:after="0"/>
              <w:rPr>
                <w:lang w:val="sk-SK"/>
              </w:rPr>
            </w:pPr>
          </w:p>
        </w:tc>
        <w:tc>
          <w:tcPr>
            <w:tcW w:w="3827" w:type="dxa"/>
            <w:shd w:val="clear" w:color="auto" w:fill="auto"/>
          </w:tcPr>
          <w:p w14:paraId="556B749D" w14:textId="20B55681" w:rsidR="002F2B1E" w:rsidRPr="00E52021" w:rsidRDefault="00820C8E" w:rsidP="00780C83">
            <w:pPr>
              <w:pStyle w:val="Tabulkynormlndoblokuzarovnndoleva"/>
              <w:spacing w:after="0"/>
            </w:pPr>
            <w:proofErr w:type="spellStart"/>
            <w:r w:rsidRPr="00105E69">
              <w:rPr>
                <w:lang w:val="sk-SK"/>
              </w:rPr>
              <w:t>Pyrexia</w:t>
            </w:r>
            <w:proofErr w:type="spellEnd"/>
            <w:r w:rsidRPr="00105E69">
              <w:rPr>
                <w:lang w:val="sk-SK"/>
              </w:rPr>
              <w:t xml:space="preserve">, bolesť v mieste </w:t>
            </w:r>
            <w:r w:rsidR="00763B8B" w:rsidRPr="008D6195">
              <w:rPr>
                <w:lang w:val="sk-SK"/>
              </w:rPr>
              <w:t>vpichu</w:t>
            </w:r>
            <w:r w:rsidRPr="00105E69">
              <w:rPr>
                <w:lang w:val="sk-SK"/>
              </w:rPr>
              <w:t xml:space="preserve">, reakcia v mieste </w:t>
            </w:r>
            <w:r w:rsidR="00F32F72" w:rsidRPr="008D6195">
              <w:rPr>
                <w:lang w:val="sk-SK"/>
              </w:rPr>
              <w:t>vpichu</w:t>
            </w:r>
            <w:r w:rsidRPr="00105E69">
              <w:rPr>
                <w:lang w:val="sk-SK"/>
              </w:rPr>
              <w:t>, bolesť</w:t>
            </w:r>
          </w:p>
        </w:tc>
      </w:tr>
    </w:tbl>
    <w:p w14:paraId="52AC9442" w14:textId="77777777" w:rsidR="00820C8E" w:rsidRDefault="00820C8E" w:rsidP="00780C83">
      <w:pPr>
        <w:pStyle w:val="Normlndobloku"/>
        <w:spacing w:after="0"/>
        <w:jc w:val="left"/>
      </w:pPr>
      <w:r w:rsidRPr="008D6195">
        <w:t xml:space="preserve">Nežiaduce účinky boli vyhodnotené u pediatrických pacientov užívajúcich </w:t>
      </w:r>
      <w:proofErr w:type="spellStart"/>
      <w:r w:rsidRPr="008D6195">
        <w:t>palonosetrón</w:t>
      </w:r>
      <w:proofErr w:type="spellEnd"/>
      <w:r w:rsidRPr="008D6195">
        <w:t xml:space="preserve"> až do 4 cyklov chemoterapie.</w:t>
      </w:r>
    </w:p>
    <w:p w14:paraId="2AEEE21C" w14:textId="77777777" w:rsidR="00F318BC" w:rsidRPr="008D6195" w:rsidRDefault="00F318BC" w:rsidP="00780C83">
      <w:pPr>
        <w:pStyle w:val="Normlndobloku"/>
        <w:spacing w:after="0"/>
        <w:jc w:val="left"/>
      </w:pPr>
    </w:p>
    <w:p w14:paraId="41C08556" w14:textId="77777777" w:rsidR="001A2F10" w:rsidRPr="008D6195" w:rsidRDefault="001A2F10" w:rsidP="00780C83">
      <w:pPr>
        <w:pStyle w:val="Styl3"/>
        <w:spacing w:after="0"/>
        <w:jc w:val="left"/>
        <w:rPr>
          <w:szCs w:val="22"/>
        </w:rPr>
      </w:pPr>
      <w:r w:rsidRPr="008D6195">
        <w:rPr>
          <w:szCs w:val="22"/>
        </w:rPr>
        <w:t>Hlásenie</w:t>
      </w:r>
      <w:r w:rsidRPr="008D6195">
        <w:t xml:space="preserve"> podozrení</w:t>
      </w:r>
      <w:r w:rsidRPr="008D6195">
        <w:rPr>
          <w:szCs w:val="22"/>
        </w:rPr>
        <w:t xml:space="preserve"> na</w:t>
      </w:r>
      <w:r w:rsidRPr="008D6195">
        <w:t xml:space="preserve"> nežiaduce reakcie</w:t>
      </w:r>
    </w:p>
    <w:p w14:paraId="11C81A86" w14:textId="02E72395" w:rsidR="001A2F10" w:rsidRDefault="001A2F10" w:rsidP="00780C83">
      <w:pPr>
        <w:pStyle w:val="Normlndobloku"/>
        <w:spacing w:after="0"/>
        <w:jc w:val="left"/>
      </w:pPr>
      <w:r w:rsidRPr="008D6195">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B32054">
        <w:t xml:space="preserve">na </w:t>
      </w:r>
      <w:r w:rsidRPr="008D6195">
        <w:rPr>
          <w:highlight w:val="lightGray"/>
        </w:rPr>
        <w:t xml:space="preserve">národné </w:t>
      </w:r>
      <w:r w:rsidR="00B32054">
        <w:rPr>
          <w:highlight w:val="lightGray"/>
        </w:rPr>
        <w:t>centrum</w:t>
      </w:r>
      <w:r w:rsidRPr="008D6195">
        <w:rPr>
          <w:highlight w:val="lightGray"/>
        </w:rPr>
        <w:t xml:space="preserve"> hlásenia uvedené v </w:t>
      </w:r>
      <w:hyperlink r:id="rId8" w:history="1">
        <w:r w:rsidRPr="008D6195">
          <w:rPr>
            <w:rStyle w:val="Hypertextovprepojenie"/>
            <w:highlight w:val="lightGray"/>
          </w:rPr>
          <w:t>Prílohe V</w:t>
        </w:r>
      </w:hyperlink>
      <w:r w:rsidRPr="008D6195">
        <w:t>.</w:t>
      </w:r>
    </w:p>
    <w:p w14:paraId="77BBC1E8" w14:textId="77777777" w:rsidR="00B32054" w:rsidRPr="008D6195" w:rsidRDefault="00B32054" w:rsidP="00780C83">
      <w:pPr>
        <w:pStyle w:val="Normlndobloku"/>
        <w:spacing w:after="0"/>
        <w:jc w:val="left"/>
      </w:pPr>
    </w:p>
    <w:p w14:paraId="44AE37D5" w14:textId="77777777" w:rsidR="001A2F10" w:rsidRDefault="001A2F10" w:rsidP="00780C83">
      <w:pPr>
        <w:pStyle w:val="Styl2"/>
        <w:numPr>
          <w:ilvl w:val="1"/>
          <w:numId w:val="1"/>
        </w:numPr>
        <w:spacing w:before="0" w:after="0"/>
        <w:ind w:left="357" w:hanging="357"/>
        <w:rPr>
          <w:lang w:val="sk-SK"/>
        </w:rPr>
      </w:pPr>
      <w:r w:rsidRPr="008D6195">
        <w:rPr>
          <w:lang w:val="sk-SK"/>
        </w:rPr>
        <w:t>Predávkovanie</w:t>
      </w:r>
    </w:p>
    <w:p w14:paraId="790AD677" w14:textId="77777777" w:rsidR="00B32054" w:rsidRPr="008D6195" w:rsidRDefault="00B32054" w:rsidP="00780C83">
      <w:pPr>
        <w:pStyle w:val="Styl2"/>
        <w:numPr>
          <w:ilvl w:val="0"/>
          <w:numId w:val="0"/>
        </w:numPr>
        <w:spacing w:before="0" w:after="0"/>
        <w:ind w:left="357"/>
        <w:rPr>
          <w:lang w:val="sk-SK"/>
        </w:rPr>
      </w:pPr>
    </w:p>
    <w:p w14:paraId="6AA0C636" w14:textId="77777777" w:rsidR="00BF06CD" w:rsidRPr="008D6195" w:rsidRDefault="00BF06CD" w:rsidP="0098040B">
      <w:pPr>
        <w:pStyle w:val="Styl2-2"/>
      </w:pPr>
      <w:r w:rsidRPr="008D6195">
        <w:t>Príznaky</w:t>
      </w:r>
    </w:p>
    <w:p w14:paraId="34E0EBAC" w14:textId="77777777" w:rsidR="00BF06CD" w:rsidRPr="008D6195" w:rsidRDefault="00BF06CD" w:rsidP="00780C83">
      <w:pPr>
        <w:pStyle w:val="Styl3"/>
        <w:spacing w:after="0"/>
        <w:jc w:val="left"/>
        <w:rPr>
          <w:u w:val="none"/>
        </w:rPr>
      </w:pPr>
      <w:r w:rsidRPr="008D6195">
        <w:rPr>
          <w:u w:val="none"/>
        </w:rPr>
        <w:t>Neboli hlásené žiadne prípady predávkovania.</w:t>
      </w:r>
    </w:p>
    <w:p w14:paraId="33BDE819" w14:textId="3416802B" w:rsidR="001A2F10" w:rsidRDefault="00BF06CD" w:rsidP="00780C83">
      <w:pPr>
        <w:pStyle w:val="Normlndobloku"/>
        <w:spacing w:after="0"/>
        <w:jc w:val="left"/>
      </w:pPr>
      <w:r w:rsidRPr="008D6195">
        <w:t xml:space="preserve">V klinických štúdiách u dospelých boli použité dávky do 6 mg. Skupina </w:t>
      </w:r>
      <w:r w:rsidR="00783DF0">
        <w:t>s</w:t>
      </w:r>
      <w:r w:rsidRPr="008D6195">
        <w:t xml:space="preserve"> najvyšš</w:t>
      </w:r>
      <w:r w:rsidR="00783DF0">
        <w:t>o</w:t>
      </w:r>
      <w:r w:rsidRPr="008D6195">
        <w:t xml:space="preserve">u </w:t>
      </w:r>
      <w:r w:rsidR="00783DF0">
        <w:t xml:space="preserve">podávanou </w:t>
      </w:r>
      <w:r w:rsidRPr="008D6195">
        <w:t>dávk</w:t>
      </w:r>
      <w:r w:rsidR="00783DF0">
        <w:t>o</w:t>
      </w:r>
      <w:r w:rsidRPr="008D6195">
        <w:t>u vyk</w:t>
      </w:r>
      <w:r w:rsidR="00783DF0">
        <w:t>a</w:t>
      </w:r>
      <w:r w:rsidRPr="008D6195">
        <w:t>z</w:t>
      </w:r>
      <w:r w:rsidR="00783DF0">
        <w:t>ov</w:t>
      </w:r>
      <w:r w:rsidRPr="008D6195">
        <w:t xml:space="preserve">ala podobný rozsah nežiaducich účinkov </w:t>
      </w:r>
      <w:r w:rsidR="00783DF0">
        <w:t>ako</w:t>
      </w:r>
      <w:r w:rsidRPr="008D6195">
        <w:t xml:space="preserve"> skupin</w:t>
      </w:r>
      <w:r w:rsidR="00783DF0">
        <w:t>y</w:t>
      </w:r>
      <w:r w:rsidRPr="008D6195">
        <w:t xml:space="preserve"> </w:t>
      </w:r>
      <w:r w:rsidR="00783DF0">
        <w:t xml:space="preserve">s inými </w:t>
      </w:r>
      <w:r w:rsidRPr="008D6195">
        <w:t>po</w:t>
      </w:r>
      <w:r w:rsidR="00783DF0">
        <w:t>dávanými</w:t>
      </w:r>
      <w:r w:rsidRPr="008D6195">
        <w:t xml:space="preserve"> dávk</w:t>
      </w:r>
      <w:r w:rsidR="00783DF0">
        <w:t>ami</w:t>
      </w:r>
      <w:r w:rsidRPr="008D6195">
        <w:t xml:space="preserve"> a neboli pozorované žiadne reakcie závislé na dávke.</w:t>
      </w:r>
    </w:p>
    <w:p w14:paraId="25084A51" w14:textId="77777777" w:rsidR="00783DF0" w:rsidRPr="008D6195" w:rsidRDefault="00783DF0" w:rsidP="00780C83">
      <w:pPr>
        <w:pStyle w:val="Normlndobloku"/>
        <w:spacing w:after="0"/>
        <w:jc w:val="left"/>
      </w:pPr>
    </w:p>
    <w:p w14:paraId="177DCCEB" w14:textId="77777777" w:rsidR="00BF06CD" w:rsidRPr="008D6195" w:rsidRDefault="00BF06CD" w:rsidP="0098040B">
      <w:pPr>
        <w:pStyle w:val="Styl2-2"/>
      </w:pPr>
      <w:r w:rsidRPr="008D6195">
        <w:t>Liečba</w:t>
      </w:r>
    </w:p>
    <w:p w14:paraId="502B11F0" w14:textId="350A50BA" w:rsidR="00BF06CD" w:rsidRDefault="00BF06CD" w:rsidP="00780C83">
      <w:pPr>
        <w:pStyle w:val="Normlndobloku"/>
        <w:spacing w:after="0"/>
        <w:jc w:val="left"/>
      </w:pPr>
      <w:r w:rsidRPr="008D6195">
        <w:t xml:space="preserve">Nepravdepodobný prípad predávkovania </w:t>
      </w:r>
      <w:proofErr w:type="spellStart"/>
      <w:r w:rsidRPr="008D6195">
        <w:t>FERANT</w:t>
      </w:r>
      <w:r w:rsidR="00783DF0">
        <w:t>om</w:t>
      </w:r>
      <w:proofErr w:type="spellEnd"/>
      <w:r w:rsidRPr="008D6195">
        <w:t xml:space="preserve"> je nutné riešiť podpornou </w:t>
      </w:r>
      <w:r w:rsidR="00783DF0">
        <w:t>liečbou.</w:t>
      </w:r>
      <w:r w:rsidRPr="008D6195">
        <w:t xml:space="preserve"> Dialyzačné štúdie sa neuskutočnili, a</w:t>
      </w:r>
      <w:r w:rsidR="00783DF0">
        <w:t>však</w:t>
      </w:r>
      <w:r w:rsidRPr="008D6195">
        <w:t xml:space="preserve"> kvôli v</w:t>
      </w:r>
      <w:r w:rsidR="00783DF0">
        <w:t>eľkému</w:t>
      </w:r>
      <w:r w:rsidRPr="008D6195">
        <w:t xml:space="preserve"> distribučnému objemu nie je pravdepodobné, že by bola dialýza účinnou liečbou predávkovania </w:t>
      </w:r>
      <w:proofErr w:type="spellStart"/>
      <w:r w:rsidRPr="008D6195">
        <w:t>FERANT</w:t>
      </w:r>
      <w:r w:rsidR="00783DF0">
        <w:t>om</w:t>
      </w:r>
      <w:proofErr w:type="spellEnd"/>
      <w:r w:rsidRPr="008D6195">
        <w:t>.</w:t>
      </w:r>
    </w:p>
    <w:p w14:paraId="092D1CA8" w14:textId="77777777" w:rsidR="00783DF0" w:rsidRPr="008D6195" w:rsidRDefault="00783DF0" w:rsidP="00780C83">
      <w:pPr>
        <w:pStyle w:val="Normlndobloku"/>
        <w:spacing w:after="0"/>
        <w:jc w:val="left"/>
      </w:pPr>
    </w:p>
    <w:p w14:paraId="1F5BF15E" w14:textId="77777777" w:rsidR="0098512C" w:rsidRPr="008D6195" w:rsidRDefault="0098512C" w:rsidP="00780C83">
      <w:pPr>
        <w:pStyle w:val="Styl3"/>
        <w:spacing w:after="0"/>
        <w:jc w:val="left"/>
      </w:pPr>
      <w:r w:rsidRPr="008D6195">
        <w:t>Pediatrická populácia</w:t>
      </w:r>
    </w:p>
    <w:p w14:paraId="25475A13" w14:textId="77777777" w:rsidR="0098512C" w:rsidRDefault="0098512C" w:rsidP="00780C83">
      <w:pPr>
        <w:pStyle w:val="Normlndobloku"/>
        <w:spacing w:after="0"/>
        <w:jc w:val="left"/>
      </w:pPr>
      <w:r w:rsidRPr="008D6195">
        <w:t>V pediatrických klinických štúdiách neboli hlásené žiadne prípady predávkovania.</w:t>
      </w:r>
    </w:p>
    <w:p w14:paraId="661D5F4C" w14:textId="77777777" w:rsidR="00B32054" w:rsidRDefault="00B32054" w:rsidP="00780C83">
      <w:pPr>
        <w:pStyle w:val="Normlndobloku"/>
        <w:spacing w:after="0"/>
        <w:jc w:val="left"/>
      </w:pPr>
    </w:p>
    <w:p w14:paraId="0FDDC7B8" w14:textId="77777777" w:rsidR="00B32054" w:rsidRPr="008D6195" w:rsidRDefault="00B32054" w:rsidP="00780C83">
      <w:pPr>
        <w:pStyle w:val="Normlndobloku"/>
        <w:spacing w:after="0"/>
        <w:jc w:val="left"/>
      </w:pPr>
    </w:p>
    <w:p w14:paraId="3D5743D9" w14:textId="77777777" w:rsidR="001A2F10" w:rsidRDefault="001A2F10" w:rsidP="00780C83">
      <w:pPr>
        <w:pStyle w:val="Styl1"/>
        <w:numPr>
          <w:ilvl w:val="0"/>
          <w:numId w:val="1"/>
        </w:numPr>
        <w:spacing w:before="0" w:after="0"/>
        <w:ind w:left="357" w:hanging="357"/>
      </w:pPr>
      <w:r w:rsidRPr="008D6195">
        <w:t>FARMAKOLOGICKÉ VLASTNOSTI</w:t>
      </w:r>
    </w:p>
    <w:p w14:paraId="4A43A0E7" w14:textId="77777777" w:rsidR="00B32054" w:rsidRPr="008D6195" w:rsidRDefault="00B32054" w:rsidP="00780C83">
      <w:pPr>
        <w:pStyle w:val="Styl1"/>
        <w:numPr>
          <w:ilvl w:val="0"/>
          <w:numId w:val="0"/>
        </w:numPr>
        <w:spacing w:before="0" w:after="0"/>
        <w:ind w:left="357"/>
      </w:pPr>
    </w:p>
    <w:p w14:paraId="57D2B778" w14:textId="77777777" w:rsidR="001A2F10" w:rsidRDefault="001A2F10" w:rsidP="00780C83">
      <w:pPr>
        <w:pStyle w:val="Styl2"/>
        <w:numPr>
          <w:ilvl w:val="1"/>
          <w:numId w:val="1"/>
        </w:numPr>
        <w:spacing w:before="0" w:after="0"/>
        <w:ind w:left="357" w:hanging="357"/>
        <w:rPr>
          <w:lang w:val="sk-SK"/>
        </w:rPr>
      </w:pPr>
      <w:proofErr w:type="spellStart"/>
      <w:r w:rsidRPr="008D6195">
        <w:rPr>
          <w:lang w:val="sk-SK"/>
        </w:rPr>
        <w:t>Farmakodynamické</w:t>
      </w:r>
      <w:proofErr w:type="spellEnd"/>
      <w:r w:rsidRPr="008D6195">
        <w:rPr>
          <w:lang w:val="sk-SK"/>
        </w:rPr>
        <w:t xml:space="preserve"> vlastnosti</w:t>
      </w:r>
    </w:p>
    <w:p w14:paraId="1F80AD90" w14:textId="77777777" w:rsidR="00B32054" w:rsidRPr="008D6195" w:rsidRDefault="00B32054" w:rsidP="00780C83">
      <w:pPr>
        <w:pStyle w:val="Styl2"/>
        <w:numPr>
          <w:ilvl w:val="0"/>
          <w:numId w:val="0"/>
        </w:numPr>
        <w:spacing w:before="0" w:after="0"/>
        <w:ind w:left="357"/>
        <w:rPr>
          <w:lang w:val="sk-SK"/>
        </w:rPr>
      </w:pPr>
    </w:p>
    <w:p w14:paraId="49D5560D" w14:textId="3AAF8326" w:rsidR="00F32F72" w:rsidRPr="008D6195" w:rsidRDefault="001A2F10" w:rsidP="00780C83">
      <w:pPr>
        <w:pStyle w:val="Styl4"/>
        <w:spacing w:after="0"/>
        <w:jc w:val="left"/>
      </w:pPr>
      <w:proofErr w:type="spellStart"/>
      <w:r w:rsidRPr="008D6195">
        <w:t>Farmakoterapeu</w:t>
      </w:r>
      <w:r w:rsidR="00BF06CD" w:rsidRPr="008D6195">
        <w:t>tická</w:t>
      </w:r>
      <w:proofErr w:type="spellEnd"/>
      <w:r w:rsidR="00BF06CD" w:rsidRPr="008D6195">
        <w:t xml:space="preserve"> skupina: </w:t>
      </w:r>
      <w:proofErr w:type="spellStart"/>
      <w:r w:rsidR="00BF06CD" w:rsidRPr="008D6195">
        <w:t>Antiemetiká</w:t>
      </w:r>
      <w:proofErr w:type="spellEnd"/>
      <w:r w:rsidR="00BF06CD" w:rsidRPr="008D6195">
        <w:t xml:space="preserve"> a lieky proti nevoľnosti</w:t>
      </w:r>
      <w:r w:rsidR="004B30F7" w:rsidRPr="008D6195">
        <w:t>,</w:t>
      </w:r>
      <w:r w:rsidR="00BF06CD" w:rsidRPr="008D6195">
        <w:t xml:space="preserve"> </w:t>
      </w:r>
      <w:proofErr w:type="spellStart"/>
      <w:r w:rsidR="00F32F72" w:rsidRPr="008D6195">
        <w:t>a</w:t>
      </w:r>
      <w:r w:rsidR="00BF06CD" w:rsidRPr="008D6195">
        <w:t>ntagonisty</w:t>
      </w:r>
      <w:proofErr w:type="spellEnd"/>
      <w:r w:rsidR="00BF06CD" w:rsidRPr="008D6195">
        <w:t xml:space="preserve"> </w:t>
      </w:r>
      <w:proofErr w:type="spellStart"/>
      <w:r w:rsidR="00BF06CD" w:rsidRPr="008D6195">
        <w:t>sérotonínu</w:t>
      </w:r>
      <w:proofErr w:type="spellEnd"/>
      <w:r w:rsidR="00BF06CD" w:rsidRPr="008D6195">
        <w:t xml:space="preserve"> (5</w:t>
      </w:r>
      <w:r w:rsidR="00C2611F" w:rsidRPr="008D6195">
        <w:t>-</w:t>
      </w:r>
      <w:r w:rsidR="00BF06CD" w:rsidRPr="008D6195">
        <w:t>HT</w:t>
      </w:r>
      <w:r w:rsidR="00C2611F" w:rsidRPr="008D6195">
        <w:rPr>
          <w:vertAlign w:val="subscript"/>
        </w:rPr>
        <w:t>3</w:t>
      </w:r>
      <w:r w:rsidR="00BF06CD" w:rsidRPr="008D6195">
        <w:t>)</w:t>
      </w:r>
    </w:p>
    <w:p w14:paraId="18531A4D" w14:textId="77777777" w:rsidR="001A2F10" w:rsidRDefault="00BF06CD" w:rsidP="00780C83">
      <w:pPr>
        <w:pStyle w:val="Styl4"/>
        <w:spacing w:after="0"/>
        <w:jc w:val="left"/>
      </w:pPr>
      <w:r w:rsidRPr="008D6195">
        <w:t>ATC kód A04AA05.</w:t>
      </w:r>
    </w:p>
    <w:p w14:paraId="22B1065D" w14:textId="77777777" w:rsidR="00783DF0" w:rsidRPr="008D6195" w:rsidRDefault="00783DF0" w:rsidP="00780C83">
      <w:pPr>
        <w:pStyle w:val="Styl4"/>
        <w:spacing w:after="0"/>
        <w:jc w:val="left"/>
      </w:pPr>
    </w:p>
    <w:p w14:paraId="4724ACD3" w14:textId="67C7C2AA" w:rsidR="00F32F72" w:rsidRPr="008D6195" w:rsidRDefault="00936164" w:rsidP="00780C83">
      <w:pPr>
        <w:pStyle w:val="Styl4"/>
        <w:spacing w:after="0"/>
        <w:jc w:val="left"/>
      </w:pPr>
      <w:proofErr w:type="spellStart"/>
      <w:r w:rsidRPr="008D6195">
        <w:t>Palonosetrón</w:t>
      </w:r>
      <w:proofErr w:type="spellEnd"/>
      <w:r w:rsidRPr="008D6195">
        <w:t xml:space="preserve"> je selektívny </w:t>
      </w:r>
      <w:proofErr w:type="spellStart"/>
      <w:r w:rsidRPr="008D6195">
        <w:t>vysokoafinitný</w:t>
      </w:r>
      <w:proofErr w:type="spellEnd"/>
      <w:r w:rsidRPr="008D6195">
        <w:t xml:space="preserve"> antagonista 5</w:t>
      </w:r>
      <w:r w:rsidR="00C2611F" w:rsidRPr="008D6195">
        <w:t>-</w:t>
      </w:r>
      <w:r w:rsidRPr="008D6195">
        <w:t>HT</w:t>
      </w:r>
      <w:r w:rsidRPr="008D6195">
        <w:rPr>
          <w:vertAlign w:val="subscript"/>
        </w:rPr>
        <w:t>3</w:t>
      </w:r>
      <w:r w:rsidRPr="008D6195">
        <w:t xml:space="preserve"> receptor</w:t>
      </w:r>
      <w:r w:rsidR="00095D0D">
        <w:t>a</w:t>
      </w:r>
      <w:r w:rsidRPr="008D6195">
        <w:t>.</w:t>
      </w:r>
    </w:p>
    <w:p w14:paraId="650704F9" w14:textId="31EB6B86" w:rsidR="00936164" w:rsidRPr="008D6195" w:rsidRDefault="00936164" w:rsidP="00780C83">
      <w:pPr>
        <w:pStyle w:val="Styl4"/>
        <w:spacing w:after="0"/>
        <w:jc w:val="left"/>
      </w:pPr>
      <w:r w:rsidRPr="008D6195">
        <w:t xml:space="preserve">V dvoch </w:t>
      </w:r>
      <w:proofErr w:type="spellStart"/>
      <w:r w:rsidRPr="008D6195">
        <w:t>randomizovaných</w:t>
      </w:r>
      <w:proofErr w:type="spellEnd"/>
      <w:r w:rsidRPr="008D6195">
        <w:t>, dvojito</w:t>
      </w:r>
      <w:r w:rsidR="00095D0D">
        <w:t xml:space="preserve"> za</w:t>
      </w:r>
      <w:r w:rsidRPr="008D6195">
        <w:t>slep</w:t>
      </w:r>
      <w:r w:rsidR="00095D0D">
        <w:t>en</w:t>
      </w:r>
      <w:r w:rsidRPr="008D6195">
        <w:t xml:space="preserve">ých štúdiách, s celkovým počtom 1 132 pacientov, ktorí dostali </w:t>
      </w:r>
      <w:r w:rsidR="00851B23" w:rsidRPr="008D6195">
        <w:t>stredne</w:t>
      </w:r>
      <w:r w:rsidRPr="008D6195">
        <w:t xml:space="preserve"> </w:t>
      </w:r>
      <w:proofErr w:type="spellStart"/>
      <w:r w:rsidRPr="008D6195">
        <w:t>emetogénnu</w:t>
      </w:r>
      <w:proofErr w:type="spellEnd"/>
      <w:r w:rsidRPr="008D6195">
        <w:t xml:space="preserve"> chemoterapiu zahŕňajúcu </w:t>
      </w:r>
      <w:proofErr w:type="spellStart"/>
      <w:r w:rsidRPr="008D6195">
        <w:t>cisplatinu</w:t>
      </w:r>
      <w:proofErr w:type="spellEnd"/>
      <w:r w:rsidRPr="008D6195">
        <w:t xml:space="preserve"> ≤ 50 mg/m</w:t>
      </w:r>
      <w:r w:rsidRPr="008D6195">
        <w:rPr>
          <w:vertAlign w:val="superscript"/>
        </w:rPr>
        <w:t>2</w:t>
      </w:r>
      <w:r w:rsidRPr="008D6195">
        <w:t xml:space="preserve">, </w:t>
      </w:r>
      <w:proofErr w:type="spellStart"/>
      <w:r w:rsidRPr="008D6195">
        <w:t>karboplatinu</w:t>
      </w:r>
      <w:proofErr w:type="spellEnd"/>
      <w:r w:rsidRPr="008D6195">
        <w:t xml:space="preserve">, </w:t>
      </w:r>
      <w:proofErr w:type="spellStart"/>
      <w:r w:rsidRPr="008D6195">
        <w:t>cyklofosfamid</w:t>
      </w:r>
      <w:proofErr w:type="spellEnd"/>
      <w:r w:rsidRPr="008D6195">
        <w:t xml:space="preserve"> ≤ 1 500 mg/m</w:t>
      </w:r>
      <w:r w:rsidRPr="008D6195">
        <w:rPr>
          <w:vertAlign w:val="superscript"/>
        </w:rPr>
        <w:t>2</w:t>
      </w:r>
      <w:r w:rsidRPr="008D6195">
        <w:t xml:space="preserve"> a </w:t>
      </w:r>
      <w:proofErr w:type="spellStart"/>
      <w:r w:rsidRPr="008D6195">
        <w:t>doxorubicín</w:t>
      </w:r>
      <w:proofErr w:type="spellEnd"/>
      <w:r w:rsidRPr="008D6195">
        <w:t xml:space="preserve"> &gt; 25 mg/m</w:t>
      </w:r>
      <w:r w:rsidRPr="008D6195">
        <w:rPr>
          <w:vertAlign w:val="superscript"/>
        </w:rPr>
        <w:t>2</w:t>
      </w:r>
      <w:r w:rsidRPr="008D6195">
        <w:t xml:space="preserve">, bolo podanie 250 </w:t>
      </w:r>
      <w:proofErr w:type="spellStart"/>
      <w:r w:rsidRPr="008D6195">
        <w:t>mikrogramov</w:t>
      </w:r>
      <w:proofErr w:type="spellEnd"/>
      <w:r w:rsidRPr="008D6195">
        <w:t xml:space="preserve"> a</w:t>
      </w:r>
      <w:r w:rsidR="00095D0D">
        <w:t> </w:t>
      </w:r>
      <w:r w:rsidRPr="008D6195">
        <w:t>750</w:t>
      </w:r>
      <w:r w:rsidR="00095D0D">
        <w:t> </w:t>
      </w:r>
      <w:proofErr w:type="spellStart"/>
      <w:r w:rsidRPr="008D6195">
        <w:t>mikrogramov</w:t>
      </w:r>
      <w:proofErr w:type="spellEnd"/>
      <w:r w:rsidRPr="008D6195">
        <w:t xml:space="preserve"> </w:t>
      </w:r>
      <w:proofErr w:type="spellStart"/>
      <w:r w:rsidRPr="008D6195">
        <w:t>palonosetrónu</w:t>
      </w:r>
      <w:proofErr w:type="spellEnd"/>
      <w:r w:rsidRPr="008D6195">
        <w:t xml:space="preserve"> porovn</w:t>
      </w:r>
      <w:r w:rsidR="00095D0D">
        <w:t>áv</w:t>
      </w:r>
      <w:r w:rsidRPr="008D6195">
        <w:t>ané s 32 </w:t>
      </w:r>
      <w:r w:rsidR="006E4021" w:rsidRPr="008D6195">
        <w:t xml:space="preserve">mg </w:t>
      </w:r>
      <w:proofErr w:type="spellStart"/>
      <w:r w:rsidR="006E4021" w:rsidRPr="008D6195">
        <w:t>ondansetró</w:t>
      </w:r>
      <w:r w:rsidRPr="008D6195">
        <w:t>nu</w:t>
      </w:r>
      <w:proofErr w:type="spellEnd"/>
      <w:r w:rsidRPr="008D6195">
        <w:t xml:space="preserve"> (polčas 4 hodiny) alebo 100 </w:t>
      </w:r>
      <w:r w:rsidR="006E4021" w:rsidRPr="008D6195">
        <w:t xml:space="preserve">mg </w:t>
      </w:r>
      <w:proofErr w:type="spellStart"/>
      <w:r w:rsidR="006E4021" w:rsidRPr="008D6195">
        <w:t>dolasetró</w:t>
      </w:r>
      <w:r w:rsidRPr="008D6195">
        <w:t>nu</w:t>
      </w:r>
      <w:proofErr w:type="spellEnd"/>
      <w:r w:rsidRPr="008D6195">
        <w:t xml:space="preserve"> (polčas 7,3 hodín) podanými intravenózne v </w:t>
      </w:r>
      <w:r w:rsidR="00095D0D">
        <w:t>D</w:t>
      </w:r>
      <w:r w:rsidRPr="008D6195">
        <w:t xml:space="preserve">eň 1, bez podania </w:t>
      </w:r>
      <w:proofErr w:type="spellStart"/>
      <w:r w:rsidRPr="008D6195">
        <w:t>dexametazónu</w:t>
      </w:r>
      <w:proofErr w:type="spellEnd"/>
      <w:r w:rsidRPr="008D6195">
        <w:t>.</w:t>
      </w:r>
    </w:p>
    <w:p w14:paraId="5956BAFE" w14:textId="7153E24F" w:rsidR="006F41D1" w:rsidRPr="008D6195" w:rsidRDefault="00936164" w:rsidP="00780C83">
      <w:pPr>
        <w:pStyle w:val="Styl4"/>
        <w:spacing w:after="0"/>
        <w:jc w:val="left"/>
      </w:pPr>
      <w:r w:rsidRPr="008D6195">
        <w:t>V </w:t>
      </w:r>
      <w:proofErr w:type="spellStart"/>
      <w:r w:rsidRPr="008D6195">
        <w:t>randomizovanej</w:t>
      </w:r>
      <w:proofErr w:type="spellEnd"/>
      <w:r w:rsidRPr="008D6195">
        <w:t xml:space="preserve"> dvojito</w:t>
      </w:r>
      <w:r w:rsidR="00095D0D">
        <w:t xml:space="preserve"> za</w:t>
      </w:r>
      <w:r w:rsidRPr="008D6195">
        <w:t>slepe</w:t>
      </w:r>
      <w:r w:rsidR="00095D0D">
        <w:t>ne</w:t>
      </w:r>
      <w:r w:rsidRPr="008D6195">
        <w:t xml:space="preserve">j štúdii s celkovým počtom 667 pacientov, ktorí dostali vysoko </w:t>
      </w:r>
      <w:proofErr w:type="spellStart"/>
      <w:r w:rsidRPr="008D6195">
        <w:t>emetogénnu</w:t>
      </w:r>
      <w:proofErr w:type="spellEnd"/>
      <w:r w:rsidRPr="008D6195">
        <w:t xml:space="preserve"> chemoterapiu zahŕňajúcu </w:t>
      </w:r>
      <w:proofErr w:type="spellStart"/>
      <w:r w:rsidRPr="008D6195">
        <w:t>cisplatinu</w:t>
      </w:r>
      <w:proofErr w:type="spellEnd"/>
      <w:r w:rsidRPr="008D6195">
        <w:t xml:space="preserve"> ≥ 60 mg/m</w:t>
      </w:r>
      <w:r w:rsidRPr="008D6195">
        <w:rPr>
          <w:vertAlign w:val="superscript"/>
        </w:rPr>
        <w:t>2</w:t>
      </w:r>
      <w:r w:rsidRPr="008D6195">
        <w:t xml:space="preserve">, </w:t>
      </w:r>
      <w:proofErr w:type="spellStart"/>
      <w:r w:rsidRPr="008D6195">
        <w:t>cyklofosfamid</w:t>
      </w:r>
      <w:proofErr w:type="spellEnd"/>
      <w:r w:rsidRPr="008D6195">
        <w:t xml:space="preserve"> &gt; 1 500 mg/m</w:t>
      </w:r>
      <w:r w:rsidRPr="008D6195">
        <w:rPr>
          <w:vertAlign w:val="superscript"/>
        </w:rPr>
        <w:t>2</w:t>
      </w:r>
      <w:r w:rsidRPr="008D6195">
        <w:t xml:space="preserve"> a </w:t>
      </w:r>
      <w:proofErr w:type="spellStart"/>
      <w:r w:rsidRPr="008D6195">
        <w:t>dakarbazín</w:t>
      </w:r>
      <w:proofErr w:type="spellEnd"/>
      <w:r w:rsidRPr="008D6195">
        <w:t>, bolo pod</w:t>
      </w:r>
      <w:r w:rsidR="00095D0D">
        <w:t>a</w:t>
      </w:r>
      <w:r w:rsidRPr="008D6195">
        <w:t xml:space="preserve">nie 250 </w:t>
      </w:r>
      <w:proofErr w:type="spellStart"/>
      <w:r w:rsidRPr="008D6195">
        <w:t>mikrogramov</w:t>
      </w:r>
      <w:proofErr w:type="spellEnd"/>
      <w:r w:rsidRPr="008D6195">
        <w:t xml:space="preserve"> a 750 </w:t>
      </w:r>
      <w:proofErr w:type="spellStart"/>
      <w:r w:rsidRPr="008D6195">
        <w:t>mikrogramov</w:t>
      </w:r>
      <w:proofErr w:type="spellEnd"/>
      <w:r w:rsidRPr="008D6195">
        <w:t xml:space="preserve"> </w:t>
      </w:r>
      <w:proofErr w:type="spellStart"/>
      <w:r w:rsidRPr="008D6195">
        <w:t>palonosetrónu</w:t>
      </w:r>
      <w:proofErr w:type="spellEnd"/>
      <w:r w:rsidRPr="008D6195">
        <w:t xml:space="preserve"> porovn</w:t>
      </w:r>
      <w:r w:rsidR="00095D0D">
        <w:t>áv</w:t>
      </w:r>
      <w:r w:rsidRPr="008D6195">
        <w:t xml:space="preserve">ané s 32 mg </w:t>
      </w:r>
      <w:proofErr w:type="spellStart"/>
      <w:r w:rsidRPr="008D6195">
        <w:t>onda</w:t>
      </w:r>
      <w:r w:rsidR="006E4021" w:rsidRPr="008D6195">
        <w:t>nsterón</w:t>
      </w:r>
      <w:r w:rsidRPr="008D6195">
        <w:t>u</w:t>
      </w:r>
      <w:proofErr w:type="spellEnd"/>
      <w:r w:rsidRPr="008D6195">
        <w:t xml:space="preserve"> podaného intravenózne v </w:t>
      </w:r>
      <w:r w:rsidR="00095D0D">
        <w:t>D</w:t>
      </w:r>
      <w:r w:rsidRPr="008D6195">
        <w:t xml:space="preserve">eň 1. </w:t>
      </w:r>
      <w:proofErr w:type="spellStart"/>
      <w:r w:rsidRPr="008D6195">
        <w:t>Dexametazón</w:t>
      </w:r>
      <w:proofErr w:type="spellEnd"/>
      <w:r w:rsidRPr="008D6195">
        <w:t xml:space="preserve"> bol profylakticky podaný 67 % pacientom pred začatím chemoterapie.</w:t>
      </w:r>
    </w:p>
    <w:p w14:paraId="6F5089BF" w14:textId="146F37F2" w:rsidR="00936164" w:rsidRPr="008D6195" w:rsidRDefault="00936164" w:rsidP="00780C83">
      <w:pPr>
        <w:pStyle w:val="Styl4"/>
        <w:spacing w:after="0"/>
        <w:jc w:val="left"/>
      </w:pPr>
      <w:proofErr w:type="spellStart"/>
      <w:r w:rsidRPr="008D6195">
        <w:t>Pivotné</w:t>
      </w:r>
      <w:proofErr w:type="spellEnd"/>
      <w:r w:rsidRPr="008D6195">
        <w:t xml:space="preserve"> štúdie neboli navrhnuté tak, aby hod</w:t>
      </w:r>
      <w:r w:rsidR="0098510C" w:rsidRPr="008D6195">
        <w:t xml:space="preserve">notili účinnosť </w:t>
      </w:r>
      <w:proofErr w:type="spellStart"/>
      <w:r w:rsidR="0098510C" w:rsidRPr="008D6195">
        <w:t>palonosetrónu</w:t>
      </w:r>
      <w:proofErr w:type="spellEnd"/>
      <w:r w:rsidR="0098510C" w:rsidRPr="008D6195">
        <w:t xml:space="preserve"> v </w:t>
      </w:r>
      <w:r w:rsidRPr="008D6195">
        <w:t>prípadoc</w:t>
      </w:r>
      <w:r w:rsidR="0098510C" w:rsidRPr="008D6195">
        <w:t>h oneskoreného nástupu nauzey a </w:t>
      </w:r>
      <w:r w:rsidRPr="008D6195">
        <w:t xml:space="preserve">vracania. </w:t>
      </w:r>
      <w:proofErr w:type="spellStart"/>
      <w:r w:rsidRPr="008D6195">
        <w:t>Antiemetická</w:t>
      </w:r>
      <w:proofErr w:type="spellEnd"/>
      <w:r w:rsidRPr="008D6195">
        <w:t xml:space="preserve"> a</w:t>
      </w:r>
      <w:r w:rsidR="009A3A37" w:rsidRPr="008D6195">
        <w:t>ktivita bola pozorovaná počas 0 – 24 hod</w:t>
      </w:r>
      <w:r w:rsidR="00095D0D">
        <w:t>ín</w:t>
      </w:r>
      <w:r w:rsidR="009A3A37" w:rsidRPr="008D6195">
        <w:t>, 24 – 120 hod</w:t>
      </w:r>
      <w:r w:rsidR="00095D0D">
        <w:t>ín</w:t>
      </w:r>
      <w:r w:rsidR="006F41D1" w:rsidRPr="008D6195">
        <w:t xml:space="preserve"> </w:t>
      </w:r>
      <w:r w:rsidR="009A3A37" w:rsidRPr="008D6195">
        <w:t>a 0 – 120 hod</w:t>
      </w:r>
      <w:r w:rsidR="00095D0D">
        <w:t>ín</w:t>
      </w:r>
      <w:r w:rsidR="009A3A37" w:rsidRPr="008D6195">
        <w:t>. Výsledky štúdií s</w:t>
      </w:r>
      <w:r w:rsidR="00851B23" w:rsidRPr="008D6195">
        <w:t>o stredne</w:t>
      </w:r>
      <w:r w:rsidR="006F41D1" w:rsidRPr="008D6195">
        <w:t> </w:t>
      </w:r>
      <w:proofErr w:type="spellStart"/>
      <w:r w:rsidR="006F41D1" w:rsidRPr="008D6195">
        <w:t>emetogénnou</w:t>
      </w:r>
      <w:proofErr w:type="spellEnd"/>
      <w:r w:rsidR="006F41D1" w:rsidRPr="008D6195">
        <w:t xml:space="preserve"> chemoterapiou a štúdií s </w:t>
      </w:r>
      <w:r w:rsidRPr="008D6195">
        <w:t xml:space="preserve">vysoko </w:t>
      </w:r>
      <w:proofErr w:type="spellStart"/>
      <w:r w:rsidRPr="008D6195">
        <w:t>emetogé</w:t>
      </w:r>
      <w:r w:rsidR="006F41D1" w:rsidRPr="008D6195">
        <w:t>nnou</w:t>
      </w:r>
      <w:proofErr w:type="spellEnd"/>
      <w:r w:rsidR="006F41D1" w:rsidRPr="008D6195">
        <w:t xml:space="preserve"> chemoterapiou sú zhrnuté v </w:t>
      </w:r>
      <w:r w:rsidRPr="008D6195">
        <w:t>nasledujúcich ta</w:t>
      </w:r>
      <w:r w:rsidR="006F41D1" w:rsidRPr="008D6195">
        <w:t>buľkách.</w:t>
      </w:r>
    </w:p>
    <w:p w14:paraId="7FC15EAB" w14:textId="3A1DF446" w:rsidR="00936164" w:rsidRPr="008D6195" w:rsidRDefault="00936164" w:rsidP="00780C83">
      <w:pPr>
        <w:pStyle w:val="Styl4"/>
        <w:spacing w:after="0"/>
        <w:jc w:val="left"/>
      </w:pPr>
      <w:proofErr w:type="spellStart"/>
      <w:r w:rsidRPr="008D6195">
        <w:t>Palonosetrón</w:t>
      </w:r>
      <w:proofErr w:type="spellEnd"/>
      <w:r w:rsidRPr="008D6195">
        <w:t xml:space="preserve"> nevykazoval </w:t>
      </w:r>
      <w:proofErr w:type="spellStart"/>
      <w:r w:rsidRPr="008D6195">
        <w:t>n</w:t>
      </w:r>
      <w:r w:rsidR="00851B23" w:rsidRPr="008D6195">
        <w:t>on-</w:t>
      </w:r>
      <w:r w:rsidRPr="008D6195">
        <w:t>inferiori</w:t>
      </w:r>
      <w:r w:rsidR="006F41D1" w:rsidRPr="008D6195">
        <w:t>tu</w:t>
      </w:r>
      <w:proofErr w:type="spellEnd"/>
      <w:r w:rsidR="006F41D1" w:rsidRPr="008D6195">
        <w:t xml:space="preserve"> oproti porovnávaným lie</w:t>
      </w:r>
      <w:r w:rsidR="00773107">
        <w:t>čivám</w:t>
      </w:r>
      <w:r w:rsidR="006F41D1" w:rsidRPr="008D6195">
        <w:t xml:space="preserve"> v akútnej fáze vracania u stredne i vysoko </w:t>
      </w:r>
      <w:proofErr w:type="spellStart"/>
      <w:r w:rsidR="006F41D1" w:rsidRPr="008D6195">
        <w:t>emetogénneho</w:t>
      </w:r>
      <w:proofErr w:type="spellEnd"/>
      <w:r w:rsidR="006F41D1" w:rsidRPr="008D6195">
        <w:t xml:space="preserve"> súboru.</w:t>
      </w:r>
    </w:p>
    <w:p w14:paraId="3859B0BF" w14:textId="417D5ED1" w:rsidR="00936164" w:rsidRDefault="006F41D1" w:rsidP="00780C83">
      <w:pPr>
        <w:pStyle w:val="Styl4"/>
        <w:spacing w:after="0"/>
        <w:jc w:val="left"/>
      </w:pPr>
      <w:r w:rsidRPr="008D6195">
        <w:t>Aj keď v </w:t>
      </w:r>
      <w:r w:rsidR="00936164" w:rsidRPr="008D6195">
        <w:t xml:space="preserve">kontrolovaných klinických štúdiách nebola preukázaná porovnateľná účinnosť </w:t>
      </w:r>
      <w:proofErr w:type="spellStart"/>
      <w:r w:rsidR="00936164" w:rsidRPr="008D6195">
        <w:t>palonosetrónu</w:t>
      </w:r>
      <w:proofErr w:type="spellEnd"/>
      <w:r w:rsidR="00936164" w:rsidRPr="008D6195">
        <w:t xml:space="preserve"> vo viac</w:t>
      </w:r>
      <w:r w:rsidR="00773107">
        <w:t>násobných</w:t>
      </w:r>
      <w:r w:rsidR="00936164" w:rsidRPr="008D6195">
        <w:t xml:space="preserve"> cykloch chemoterapie, 875 pacientov zaradených </w:t>
      </w:r>
      <w:r w:rsidR="00773107">
        <w:t xml:space="preserve">v </w:t>
      </w:r>
      <w:r w:rsidR="00773107" w:rsidRPr="008D6195">
        <w:t>troch štúdi</w:t>
      </w:r>
      <w:r w:rsidR="00773107">
        <w:t>ách</w:t>
      </w:r>
      <w:r w:rsidR="00773107" w:rsidRPr="008D6195">
        <w:t xml:space="preserve"> </w:t>
      </w:r>
      <w:r w:rsidR="00936164" w:rsidRPr="008D6195">
        <w:t>fá</w:t>
      </w:r>
      <w:r w:rsidRPr="008D6195">
        <w:t>z</w:t>
      </w:r>
      <w:r w:rsidR="00773107">
        <w:t>y</w:t>
      </w:r>
      <w:r w:rsidRPr="008D6195">
        <w:t xml:space="preserve"> 3 pokračovalo v </w:t>
      </w:r>
      <w:r w:rsidR="00936164" w:rsidRPr="008D6195">
        <w:t>o</w:t>
      </w:r>
      <w:r w:rsidRPr="008D6195">
        <w:t xml:space="preserve">tvorenej </w:t>
      </w:r>
      <w:r w:rsidR="00773107" w:rsidRPr="008D6195">
        <w:t xml:space="preserve">štúdii </w:t>
      </w:r>
      <w:r w:rsidRPr="008D6195">
        <w:t>bezpečnost</w:t>
      </w:r>
      <w:r w:rsidR="00773107">
        <w:t>i</w:t>
      </w:r>
      <w:r w:rsidRPr="008D6195">
        <w:t xml:space="preserve"> a </w:t>
      </w:r>
      <w:r w:rsidR="00936164" w:rsidRPr="008D6195">
        <w:t xml:space="preserve">bolo liečených 750 </w:t>
      </w:r>
      <w:proofErr w:type="spellStart"/>
      <w:r w:rsidR="00936164" w:rsidRPr="008D6195">
        <w:t>mikrogramami</w:t>
      </w:r>
      <w:proofErr w:type="spellEnd"/>
      <w:r w:rsidR="00936164" w:rsidRPr="008D6195">
        <w:t xml:space="preserve"> </w:t>
      </w:r>
      <w:proofErr w:type="spellStart"/>
      <w:r w:rsidR="00936164" w:rsidRPr="008D6195">
        <w:t>palonosetrónu</w:t>
      </w:r>
      <w:proofErr w:type="spellEnd"/>
      <w:r w:rsidR="00936164" w:rsidRPr="008D6195">
        <w:t xml:space="preserve"> až</w:t>
      </w:r>
      <w:r w:rsidR="00773107">
        <w:t> </w:t>
      </w:r>
      <w:r w:rsidR="00936164" w:rsidRPr="008D6195">
        <w:t>do</w:t>
      </w:r>
      <w:r w:rsidR="00773107">
        <w:t> </w:t>
      </w:r>
      <w:r w:rsidR="00936164" w:rsidRPr="008D6195">
        <w:t>ďalších deviatich cyklov chemoterapie. Celková bezpečnosť bola zachovávaná počas všetk</w:t>
      </w:r>
      <w:r w:rsidRPr="008D6195">
        <w:t>ých cyklov.</w:t>
      </w:r>
    </w:p>
    <w:p w14:paraId="268F3984" w14:textId="77777777" w:rsidR="00B32054" w:rsidRPr="008D6195" w:rsidRDefault="00B32054" w:rsidP="00780C83">
      <w:pPr>
        <w:pStyle w:val="Styl4"/>
        <w:spacing w:after="0"/>
        <w:jc w:val="left"/>
      </w:pPr>
    </w:p>
    <w:p w14:paraId="63DE5525" w14:textId="5DBCF11C" w:rsidR="00C75C66" w:rsidRPr="00E52021" w:rsidRDefault="00C75C66" w:rsidP="0098040B">
      <w:pPr>
        <w:pStyle w:val="Styl2-2"/>
      </w:pPr>
      <w:r w:rsidRPr="00E52021">
        <w:t>Tabuľka 1: Percentuálne zastúpenie pacientov</w:t>
      </w:r>
      <w:r w:rsidR="00907CB3" w:rsidRPr="00E52021">
        <w:rPr>
          <w:vertAlign w:val="superscript"/>
        </w:rPr>
        <w:t>a</w:t>
      </w:r>
      <w:r w:rsidRPr="00E52021">
        <w:t xml:space="preserve"> reagujúcich na liečbu podľa liečebnej skupiny a fázy v štúdii </w:t>
      </w:r>
      <w:r w:rsidRPr="008D6195">
        <w:t>s</w:t>
      </w:r>
      <w:r w:rsidR="00851B23" w:rsidRPr="008D6195">
        <w:t>o stredne</w:t>
      </w:r>
      <w:r w:rsidRPr="008D6195">
        <w:t> </w:t>
      </w:r>
      <w:proofErr w:type="spellStart"/>
      <w:r w:rsidRPr="00E52021">
        <w:t>emetogénnou</w:t>
      </w:r>
      <w:proofErr w:type="spellEnd"/>
      <w:r w:rsidRPr="00E52021">
        <w:t xml:space="preserve"> chemoterapiou v porovnaní s </w:t>
      </w:r>
      <w:proofErr w:type="spellStart"/>
      <w:r w:rsidR="006E4021" w:rsidRPr="00E52021">
        <w:t>ondansetró</w:t>
      </w:r>
      <w:r w:rsidR="0030132A" w:rsidRPr="00E52021">
        <w:t>nom</w:t>
      </w:r>
      <w:proofErr w:type="spellEnd"/>
    </w:p>
    <w:tbl>
      <w:tblPr>
        <w:tblStyle w:val="Mriekatabuky"/>
        <w:tblW w:w="9576" w:type="dxa"/>
        <w:tblLayout w:type="fixed"/>
        <w:tblCellMar>
          <w:top w:w="28" w:type="dxa"/>
          <w:left w:w="85" w:type="dxa"/>
          <w:bottom w:w="28" w:type="dxa"/>
          <w:right w:w="85" w:type="dxa"/>
        </w:tblCellMar>
        <w:tblLook w:val="04A0" w:firstRow="1" w:lastRow="0" w:firstColumn="1" w:lastColumn="0" w:noHBand="0" w:noVBand="1"/>
      </w:tblPr>
      <w:tblGrid>
        <w:gridCol w:w="1915"/>
        <w:gridCol w:w="2049"/>
        <w:gridCol w:w="1843"/>
        <w:gridCol w:w="1853"/>
        <w:gridCol w:w="1916"/>
      </w:tblGrid>
      <w:tr w:rsidR="006E4021" w:rsidRPr="008D6195" w14:paraId="2B734584" w14:textId="77777777" w:rsidTr="00780C83">
        <w:trPr>
          <w:trHeight w:val="515"/>
          <w:tblHeader/>
        </w:trPr>
        <w:tc>
          <w:tcPr>
            <w:tcW w:w="1915" w:type="dxa"/>
            <w:noWrap/>
            <w:hideMark/>
          </w:tcPr>
          <w:p w14:paraId="63754A66" w14:textId="347AABD2" w:rsidR="006E4021" w:rsidRPr="00780C83" w:rsidRDefault="006E4021" w:rsidP="00780C83">
            <w:pPr>
              <w:pStyle w:val="Nadpisuvnittabulky"/>
              <w:spacing w:before="0" w:after="0"/>
              <w:jc w:val="left"/>
              <w:rPr>
                <w:b w:val="0"/>
                <w:sz w:val="22"/>
                <w:szCs w:val="22"/>
              </w:rPr>
            </w:pPr>
          </w:p>
        </w:tc>
        <w:tc>
          <w:tcPr>
            <w:tcW w:w="2049" w:type="dxa"/>
            <w:hideMark/>
          </w:tcPr>
          <w:p w14:paraId="25B422B8" w14:textId="611E594D" w:rsidR="006E4021" w:rsidRPr="00780C83" w:rsidRDefault="006E4021" w:rsidP="00780C83">
            <w:pPr>
              <w:pStyle w:val="Nadpisuvnittabulky"/>
              <w:spacing w:before="0" w:after="0"/>
              <w:jc w:val="left"/>
              <w:rPr>
                <w:b w:val="0"/>
                <w:sz w:val="22"/>
                <w:szCs w:val="22"/>
              </w:rPr>
            </w:pPr>
            <w:proofErr w:type="spellStart"/>
            <w:r w:rsidRPr="00780C83">
              <w:rPr>
                <w:b w:val="0"/>
                <w:szCs w:val="22"/>
                <w:lang w:val="sk-SK"/>
              </w:rPr>
              <w:t>Palonosetrón</w:t>
            </w:r>
            <w:proofErr w:type="spellEnd"/>
            <w:r w:rsidRPr="00780C83">
              <w:rPr>
                <w:b w:val="0"/>
                <w:szCs w:val="22"/>
                <w:lang w:val="sk-SK"/>
              </w:rPr>
              <w:t xml:space="preserve"> 250</w:t>
            </w:r>
            <w:r w:rsidR="00EB0742" w:rsidRPr="00780C83">
              <w:rPr>
                <w:b w:val="0"/>
                <w:szCs w:val="22"/>
                <w:lang w:val="sk-SK"/>
              </w:rPr>
              <w:t> </w:t>
            </w:r>
            <w:proofErr w:type="spellStart"/>
            <w:r w:rsidRPr="00780C83">
              <w:rPr>
                <w:b w:val="0"/>
                <w:szCs w:val="22"/>
                <w:lang w:val="sk-SK"/>
              </w:rPr>
              <w:t>mikrogramov</w:t>
            </w:r>
            <w:proofErr w:type="spellEnd"/>
            <w:r w:rsidRPr="00780C83">
              <w:rPr>
                <w:b w:val="0"/>
                <w:szCs w:val="22"/>
                <w:lang w:val="sk-SK"/>
              </w:rPr>
              <w:t xml:space="preserve"> (n=189)</w:t>
            </w:r>
          </w:p>
        </w:tc>
        <w:tc>
          <w:tcPr>
            <w:tcW w:w="1843" w:type="dxa"/>
            <w:hideMark/>
          </w:tcPr>
          <w:p w14:paraId="0AA4A365" w14:textId="6454B9C9" w:rsidR="006E4021" w:rsidRPr="00780C83" w:rsidRDefault="006E4021" w:rsidP="00780C83">
            <w:pPr>
              <w:pStyle w:val="Nadpisuvnittabulky"/>
              <w:spacing w:before="0" w:after="0"/>
              <w:jc w:val="left"/>
              <w:rPr>
                <w:b w:val="0"/>
                <w:sz w:val="22"/>
                <w:szCs w:val="22"/>
              </w:rPr>
            </w:pPr>
            <w:proofErr w:type="spellStart"/>
            <w:r w:rsidRPr="00780C83">
              <w:rPr>
                <w:b w:val="0"/>
                <w:szCs w:val="22"/>
                <w:lang w:val="sk-SK"/>
              </w:rPr>
              <w:t>Ondansetrón</w:t>
            </w:r>
            <w:proofErr w:type="spellEnd"/>
            <w:r w:rsidRPr="00780C83">
              <w:rPr>
                <w:b w:val="0"/>
                <w:szCs w:val="22"/>
                <w:lang w:val="sk-SK"/>
              </w:rPr>
              <w:t xml:space="preserve"> 32</w:t>
            </w:r>
            <w:r w:rsidR="00EB0742" w:rsidRPr="00780C83">
              <w:rPr>
                <w:b w:val="0"/>
                <w:szCs w:val="22"/>
                <w:lang w:val="sk-SK"/>
              </w:rPr>
              <w:t> </w:t>
            </w:r>
            <w:r w:rsidRPr="00780C83">
              <w:rPr>
                <w:b w:val="0"/>
                <w:szCs w:val="22"/>
                <w:lang w:val="sk-SK"/>
              </w:rPr>
              <w:t>miligramov (n=185)</w:t>
            </w:r>
          </w:p>
        </w:tc>
        <w:tc>
          <w:tcPr>
            <w:tcW w:w="1853" w:type="dxa"/>
            <w:noWrap/>
            <w:hideMark/>
          </w:tcPr>
          <w:p w14:paraId="691D1628" w14:textId="77777777" w:rsidR="006E4021" w:rsidRPr="00780C83" w:rsidRDefault="006E4021" w:rsidP="00780C83">
            <w:pPr>
              <w:pStyle w:val="Nadpisuvnittabulky"/>
              <w:spacing w:before="0" w:after="0"/>
              <w:jc w:val="left"/>
              <w:rPr>
                <w:b w:val="0"/>
                <w:sz w:val="22"/>
                <w:szCs w:val="22"/>
              </w:rPr>
            </w:pPr>
            <w:r w:rsidRPr="00780C83">
              <w:rPr>
                <w:b w:val="0"/>
                <w:szCs w:val="22"/>
                <w:lang w:val="sk-SK"/>
              </w:rPr>
              <w:t>Rozdiel</w:t>
            </w:r>
          </w:p>
        </w:tc>
        <w:tc>
          <w:tcPr>
            <w:tcW w:w="1916" w:type="dxa"/>
            <w:noWrap/>
            <w:hideMark/>
          </w:tcPr>
          <w:p w14:paraId="1BE7ECC7" w14:textId="2168338E" w:rsidR="006E4021" w:rsidRPr="00780C83" w:rsidRDefault="006E4021" w:rsidP="00780C83">
            <w:pPr>
              <w:pStyle w:val="Nadpisuvnittabulky"/>
              <w:spacing w:before="0" w:after="0"/>
              <w:jc w:val="left"/>
              <w:rPr>
                <w:b w:val="0"/>
                <w:sz w:val="22"/>
                <w:szCs w:val="22"/>
              </w:rPr>
            </w:pPr>
          </w:p>
        </w:tc>
      </w:tr>
      <w:tr w:rsidR="00310CAA" w:rsidRPr="008D6195" w14:paraId="75BA7736" w14:textId="77777777" w:rsidTr="00780C83">
        <w:trPr>
          <w:trHeight w:val="284"/>
        </w:trPr>
        <w:tc>
          <w:tcPr>
            <w:tcW w:w="1915" w:type="dxa"/>
            <w:noWrap/>
          </w:tcPr>
          <w:p w14:paraId="003EADC7" w14:textId="77777777" w:rsidR="00310CAA" w:rsidRPr="00780C83" w:rsidRDefault="00310CAA" w:rsidP="00780C83">
            <w:pPr>
              <w:pStyle w:val="Tabulkynormlndoblokuzarovnndoleva"/>
              <w:spacing w:after="0"/>
              <w:rPr>
                <w:sz w:val="22"/>
                <w:szCs w:val="22"/>
                <w:lang w:val="sk-SK"/>
              </w:rPr>
            </w:pPr>
          </w:p>
        </w:tc>
        <w:tc>
          <w:tcPr>
            <w:tcW w:w="2049" w:type="dxa"/>
          </w:tcPr>
          <w:p w14:paraId="7F9D5014" w14:textId="77777777" w:rsidR="00310CAA" w:rsidRPr="00780C83" w:rsidRDefault="00310CAA" w:rsidP="00780C83">
            <w:pPr>
              <w:pStyle w:val="Tabulkynormlndoblokuzarovnndoleva"/>
              <w:spacing w:after="0"/>
              <w:rPr>
                <w:sz w:val="22"/>
                <w:szCs w:val="22"/>
                <w:lang w:val="sk-SK"/>
              </w:rPr>
            </w:pPr>
            <w:r w:rsidRPr="00494EA4">
              <w:rPr>
                <w:szCs w:val="22"/>
                <w:lang w:val="sk-SK"/>
              </w:rPr>
              <w:t>%</w:t>
            </w:r>
          </w:p>
        </w:tc>
        <w:tc>
          <w:tcPr>
            <w:tcW w:w="1843" w:type="dxa"/>
          </w:tcPr>
          <w:p w14:paraId="51161696" w14:textId="77777777" w:rsidR="00310CAA" w:rsidRPr="00780C83" w:rsidRDefault="00310CAA" w:rsidP="00780C83">
            <w:pPr>
              <w:pStyle w:val="Tabulkynormlndoblokuzarovnndoleva"/>
              <w:spacing w:after="0"/>
              <w:rPr>
                <w:sz w:val="22"/>
                <w:szCs w:val="22"/>
                <w:lang w:val="sk-SK"/>
              </w:rPr>
            </w:pPr>
            <w:r w:rsidRPr="00494EA4">
              <w:rPr>
                <w:szCs w:val="22"/>
                <w:lang w:val="sk-SK"/>
              </w:rPr>
              <w:t>%</w:t>
            </w:r>
          </w:p>
        </w:tc>
        <w:tc>
          <w:tcPr>
            <w:tcW w:w="1853" w:type="dxa"/>
            <w:noWrap/>
          </w:tcPr>
          <w:p w14:paraId="576D625D" w14:textId="77777777" w:rsidR="00310CAA" w:rsidRPr="00780C83" w:rsidRDefault="00310CAA" w:rsidP="00780C83">
            <w:pPr>
              <w:pStyle w:val="Tabulkynormlndoblokuzarovnndoleva"/>
              <w:spacing w:after="0"/>
              <w:rPr>
                <w:sz w:val="22"/>
                <w:szCs w:val="22"/>
                <w:lang w:val="sk-SK"/>
              </w:rPr>
            </w:pPr>
            <w:r w:rsidRPr="00494EA4">
              <w:rPr>
                <w:szCs w:val="22"/>
                <w:lang w:val="sk-SK"/>
              </w:rPr>
              <w:t>%</w:t>
            </w:r>
          </w:p>
        </w:tc>
        <w:tc>
          <w:tcPr>
            <w:tcW w:w="1916" w:type="dxa"/>
            <w:noWrap/>
          </w:tcPr>
          <w:p w14:paraId="1A637CE1" w14:textId="77777777" w:rsidR="00310CAA" w:rsidRPr="00780C83" w:rsidRDefault="00310CAA" w:rsidP="00780C83">
            <w:pPr>
              <w:pStyle w:val="Tabulkynormlndoblokuzarovnndoleva"/>
              <w:spacing w:after="0"/>
              <w:rPr>
                <w:sz w:val="22"/>
                <w:szCs w:val="22"/>
                <w:lang w:val="sk-SK"/>
              </w:rPr>
            </w:pPr>
          </w:p>
        </w:tc>
      </w:tr>
      <w:tr w:rsidR="00EB0742" w:rsidRPr="008D6195" w14:paraId="264987AD" w14:textId="77777777" w:rsidTr="00780C83">
        <w:trPr>
          <w:trHeight w:val="284"/>
        </w:trPr>
        <w:tc>
          <w:tcPr>
            <w:tcW w:w="7660" w:type="dxa"/>
            <w:gridSpan w:val="4"/>
          </w:tcPr>
          <w:p w14:paraId="0D7C4AA8" w14:textId="358E98C4" w:rsidR="00EB0742" w:rsidRPr="00404BC3" w:rsidRDefault="00EB0742" w:rsidP="00780C83">
            <w:pPr>
              <w:pStyle w:val="Nadpisuvnittabulky"/>
              <w:spacing w:before="0" w:after="0"/>
              <w:jc w:val="left"/>
              <w:rPr>
                <w:sz w:val="22"/>
                <w:szCs w:val="22"/>
              </w:rPr>
            </w:pPr>
            <w:r w:rsidRPr="00494EA4">
              <w:rPr>
                <w:szCs w:val="22"/>
                <w:lang w:val="sk-SK"/>
              </w:rPr>
              <w:t>Úplná odpoveď na liečbu (</w:t>
            </w:r>
            <w:r w:rsidRPr="00404BC3">
              <w:rPr>
                <w:sz w:val="22"/>
                <w:szCs w:val="22"/>
                <w:lang w:val="sk-SK"/>
              </w:rPr>
              <w:t>ž</w:t>
            </w:r>
            <w:r w:rsidRPr="00494EA4">
              <w:rPr>
                <w:szCs w:val="22"/>
                <w:lang w:val="sk-SK"/>
              </w:rPr>
              <w:t>iadne vracanie a žiadna záchranná medikácia)</w:t>
            </w:r>
          </w:p>
        </w:tc>
        <w:tc>
          <w:tcPr>
            <w:tcW w:w="1916" w:type="dxa"/>
          </w:tcPr>
          <w:p w14:paraId="7448C20E" w14:textId="77777777" w:rsidR="00EB0742" w:rsidRPr="00404BC3" w:rsidRDefault="00EB0742" w:rsidP="00780C83">
            <w:pPr>
              <w:pStyle w:val="Nadpisuvnittabulky"/>
              <w:spacing w:before="0" w:after="0"/>
              <w:jc w:val="left"/>
              <w:rPr>
                <w:sz w:val="22"/>
                <w:szCs w:val="22"/>
              </w:rPr>
            </w:pPr>
            <w:r w:rsidRPr="00494EA4">
              <w:rPr>
                <w:szCs w:val="22"/>
                <w:lang w:val="sk-SK"/>
              </w:rPr>
              <w:t xml:space="preserve">97,5 % </w:t>
            </w:r>
            <w:proofErr w:type="spellStart"/>
            <w:r w:rsidRPr="00494EA4">
              <w:rPr>
                <w:szCs w:val="22"/>
                <w:lang w:val="sk-SK"/>
              </w:rPr>
              <w:t>CI</w:t>
            </w:r>
            <w:r w:rsidRPr="00494EA4">
              <w:rPr>
                <w:szCs w:val="22"/>
                <w:vertAlign w:val="superscript"/>
                <w:lang w:val="sk-SK"/>
              </w:rPr>
              <w:t>b</w:t>
            </w:r>
            <w:proofErr w:type="spellEnd"/>
          </w:p>
        </w:tc>
      </w:tr>
      <w:tr w:rsidR="006E4021" w:rsidRPr="008D6195" w14:paraId="2890329C" w14:textId="77777777" w:rsidTr="00780C83">
        <w:trPr>
          <w:trHeight w:val="284"/>
        </w:trPr>
        <w:tc>
          <w:tcPr>
            <w:tcW w:w="1915" w:type="dxa"/>
            <w:hideMark/>
          </w:tcPr>
          <w:p w14:paraId="6DE6C399" w14:textId="77777777" w:rsidR="006E4021" w:rsidRPr="00404BC3" w:rsidRDefault="006E4021" w:rsidP="00780C83">
            <w:pPr>
              <w:pStyle w:val="Tabulkynormlndoblokuzarovnndoleva"/>
              <w:spacing w:after="0"/>
              <w:rPr>
                <w:sz w:val="22"/>
                <w:szCs w:val="22"/>
              </w:rPr>
            </w:pPr>
            <w:r w:rsidRPr="00494EA4">
              <w:rPr>
                <w:szCs w:val="22"/>
                <w:lang w:val="sk-SK"/>
              </w:rPr>
              <w:t>0 – 24 hodín</w:t>
            </w:r>
          </w:p>
        </w:tc>
        <w:tc>
          <w:tcPr>
            <w:tcW w:w="2049" w:type="dxa"/>
            <w:hideMark/>
          </w:tcPr>
          <w:p w14:paraId="48EAB6EC" w14:textId="444797F9" w:rsidR="006E4021" w:rsidRPr="00404BC3" w:rsidRDefault="006E4021" w:rsidP="00780C83">
            <w:pPr>
              <w:pStyle w:val="Tabulkynormlndoblokuzarovnndoleva"/>
              <w:spacing w:after="0"/>
              <w:rPr>
                <w:sz w:val="22"/>
                <w:szCs w:val="22"/>
              </w:rPr>
            </w:pPr>
            <w:r w:rsidRPr="00494EA4">
              <w:rPr>
                <w:szCs w:val="22"/>
                <w:lang w:val="sk-SK"/>
              </w:rPr>
              <w:t>81</w:t>
            </w:r>
            <w:r w:rsidR="00094379">
              <w:rPr>
                <w:sz w:val="22"/>
                <w:szCs w:val="22"/>
                <w:lang w:val="sk-SK"/>
              </w:rPr>
              <w:t>,0</w:t>
            </w:r>
          </w:p>
        </w:tc>
        <w:tc>
          <w:tcPr>
            <w:tcW w:w="1843" w:type="dxa"/>
            <w:hideMark/>
          </w:tcPr>
          <w:p w14:paraId="6F785C9D" w14:textId="77777777" w:rsidR="006E4021" w:rsidRPr="00404BC3" w:rsidRDefault="006E4021" w:rsidP="00780C83">
            <w:pPr>
              <w:pStyle w:val="Tabulkynormlndoblokuzarovnndoleva"/>
              <w:spacing w:after="0"/>
              <w:rPr>
                <w:sz w:val="22"/>
                <w:szCs w:val="22"/>
              </w:rPr>
            </w:pPr>
            <w:r w:rsidRPr="00494EA4">
              <w:rPr>
                <w:szCs w:val="22"/>
                <w:lang w:val="sk-SK"/>
              </w:rPr>
              <w:t>68,6</w:t>
            </w:r>
          </w:p>
        </w:tc>
        <w:tc>
          <w:tcPr>
            <w:tcW w:w="1853" w:type="dxa"/>
            <w:hideMark/>
          </w:tcPr>
          <w:p w14:paraId="7785EDEA" w14:textId="77777777" w:rsidR="006E4021" w:rsidRPr="00404BC3" w:rsidRDefault="006E4021" w:rsidP="00780C83">
            <w:pPr>
              <w:pStyle w:val="Tabulkynormlndoblokuzarovnndoleva"/>
              <w:spacing w:after="0"/>
              <w:rPr>
                <w:sz w:val="22"/>
                <w:szCs w:val="22"/>
              </w:rPr>
            </w:pPr>
            <w:r w:rsidRPr="00494EA4">
              <w:rPr>
                <w:szCs w:val="22"/>
                <w:lang w:val="sk-SK"/>
              </w:rPr>
              <w:t>12,4</w:t>
            </w:r>
          </w:p>
        </w:tc>
        <w:tc>
          <w:tcPr>
            <w:tcW w:w="1916" w:type="dxa"/>
            <w:hideMark/>
          </w:tcPr>
          <w:p w14:paraId="68052603" w14:textId="77777777" w:rsidR="006E4021" w:rsidRPr="00404BC3" w:rsidRDefault="00A35E3A" w:rsidP="00780C83">
            <w:pPr>
              <w:pStyle w:val="Tabulkynormlndoblokuzarovnndoleva"/>
              <w:spacing w:after="0"/>
              <w:rPr>
                <w:sz w:val="22"/>
                <w:szCs w:val="22"/>
              </w:rPr>
            </w:pPr>
            <w:r w:rsidRPr="00494EA4">
              <w:rPr>
                <w:szCs w:val="22"/>
                <w:lang w:val="sk-SK"/>
              </w:rPr>
              <w:t>[1,8 %, 22,8 </w:t>
            </w:r>
            <w:r w:rsidR="006E4021" w:rsidRPr="00494EA4">
              <w:rPr>
                <w:szCs w:val="22"/>
                <w:lang w:val="sk-SK"/>
              </w:rPr>
              <w:t>%]</w:t>
            </w:r>
          </w:p>
        </w:tc>
      </w:tr>
      <w:tr w:rsidR="006E4021" w:rsidRPr="008D6195" w14:paraId="4B0A3A4C" w14:textId="77777777" w:rsidTr="00780C83">
        <w:trPr>
          <w:trHeight w:val="284"/>
        </w:trPr>
        <w:tc>
          <w:tcPr>
            <w:tcW w:w="1915" w:type="dxa"/>
            <w:hideMark/>
          </w:tcPr>
          <w:p w14:paraId="3EF24544" w14:textId="77777777" w:rsidR="006E4021" w:rsidRPr="00404BC3" w:rsidRDefault="006E4021" w:rsidP="00780C83">
            <w:pPr>
              <w:pStyle w:val="Tabulkynormlndoblokuzarovnndoleva"/>
              <w:spacing w:after="0"/>
              <w:rPr>
                <w:sz w:val="22"/>
                <w:szCs w:val="22"/>
              </w:rPr>
            </w:pPr>
            <w:r w:rsidRPr="00494EA4">
              <w:rPr>
                <w:szCs w:val="22"/>
                <w:lang w:val="sk-SK"/>
              </w:rPr>
              <w:t>24 – 120 hodín</w:t>
            </w:r>
          </w:p>
        </w:tc>
        <w:tc>
          <w:tcPr>
            <w:tcW w:w="2049" w:type="dxa"/>
            <w:hideMark/>
          </w:tcPr>
          <w:p w14:paraId="6F581D30" w14:textId="77777777" w:rsidR="006E4021" w:rsidRPr="00404BC3" w:rsidRDefault="006E4021" w:rsidP="00780C83">
            <w:pPr>
              <w:pStyle w:val="Tabulkynormlndoblokuzarovnndoleva"/>
              <w:spacing w:after="0"/>
              <w:rPr>
                <w:sz w:val="22"/>
                <w:szCs w:val="22"/>
              </w:rPr>
            </w:pPr>
            <w:r w:rsidRPr="00494EA4">
              <w:rPr>
                <w:szCs w:val="22"/>
                <w:lang w:val="sk-SK"/>
              </w:rPr>
              <w:t>74,1</w:t>
            </w:r>
          </w:p>
        </w:tc>
        <w:tc>
          <w:tcPr>
            <w:tcW w:w="1843" w:type="dxa"/>
            <w:hideMark/>
          </w:tcPr>
          <w:p w14:paraId="2264B253" w14:textId="77777777" w:rsidR="006E4021" w:rsidRPr="00404BC3" w:rsidRDefault="006E4021" w:rsidP="00780C83">
            <w:pPr>
              <w:pStyle w:val="Tabulkynormlndoblokuzarovnndoleva"/>
              <w:spacing w:after="0"/>
              <w:rPr>
                <w:sz w:val="22"/>
                <w:szCs w:val="22"/>
              </w:rPr>
            </w:pPr>
            <w:r w:rsidRPr="00494EA4">
              <w:rPr>
                <w:szCs w:val="22"/>
                <w:lang w:val="sk-SK"/>
              </w:rPr>
              <w:t>55,1</w:t>
            </w:r>
          </w:p>
        </w:tc>
        <w:tc>
          <w:tcPr>
            <w:tcW w:w="1853" w:type="dxa"/>
            <w:hideMark/>
          </w:tcPr>
          <w:p w14:paraId="0C19E59C" w14:textId="099DF6D7" w:rsidR="006E4021" w:rsidRPr="00404BC3" w:rsidRDefault="006E4021" w:rsidP="00780C83">
            <w:pPr>
              <w:pStyle w:val="Tabulkynormlndoblokuzarovnndoleva"/>
              <w:spacing w:after="0"/>
              <w:rPr>
                <w:sz w:val="22"/>
                <w:szCs w:val="22"/>
              </w:rPr>
            </w:pPr>
            <w:r w:rsidRPr="00494EA4">
              <w:rPr>
                <w:szCs w:val="22"/>
                <w:lang w:val="sk-SK"/>
              </w:rPr>
              <w:t>19</w:t>
            </w:r>
            <w:r w:rsidR="00094379">
              <w:rPr>
                <w:sz w:val="22"/>
                <w:szCs w:val="22"/>
                <w:lang w:val="sk-SK"/>
              </w:rPr>
              <w:t>,0</w:t>
            </w:r>
          </w:p>
        </w:tc>
        <w:tc>
          <w:tcPr>
            <w:tcW w:w="1916" w:type="dxa"/>
            <w:hideMark/>
          </w:tcPr>
          <w:p w14:paraId="588A41C6" w14:textId="77777777" w:rsidR="006E4021" w:rsidRPr="00404BC3" w:rsidRDefault="00A35E3A" w:rsidP="00780C83">
            <w:pPr>
              <w:pStyle w:val="Tabulkynormlndoblokuzarovnndoleva"/>
              <w:spacing w:after="0"/>
              <w:rPr>
                <w:sz w:val="22"/>
                <w:szCs w:val="22"/>
              </w:rPr>
            </w:pPr>
            <w:r w:rsidRPr="00494EA4">
              <w:rPr>
                <w:szCs w:val="22"/>
                <w:lang w:val="sk-SK"/>
              </w:rPr>
              <w:t>[7,5 </w:t>
            </w:r>
            <w:r w:rsidR="006E4021" w:rsidRPr="00494EA4">
              <w:rPr>
                <w:szCs w:val="22"/>
                <w:lang w:val="sk-SK"/>
              </w:rPr>
              <w:t>%, 30</w:t>
            </w:r>
            <w:r w:rsidRPr="00494EA4">
              <w:rPr>
                <w:szCs w:val="22"/>
                <w:lang w:val="sk-SK"/>
              </w:rPr>
              <w:t>,3 </w:t>
            </w:r>
            <w:r w:rsidR="006E4021" w:rsidRPr="00494EA4">
              <w:rPr>
                <w:szCs w:val="22"/>
                <w:lang w:val="sk-SK"/>
              </w:rPr>
              <w:t>%]</w:t>
            </w:r>
          </w:p>
        </w:tc>
      </w:tr>
      <w:tr w:rsidR="006E4021" w:rsidRPr="008D6195" w14:paraId="3FDD2DFC" w14:textId="77777777" w:rsidTr="00780C83">
        <w:trPr>
          <w:trHeight w:val="284"/>
        </w:trPr>
        <w:tc>
          <w:tcPr>
            <w:tcW w:w="1915" w:type="dxa"/>
            <w:hideMark/>
          </w:tcPr>
          <w:p w14:paraId="626B48A1" w14:textId="77777777" w:rsidR="006E4021" w:rsidRPr="00404BC3" w:rsidRDefault="006E4021" w:rsidP="00780C83">
            <w:pPr>
              <w:pStyle w:val="Tabulkynormlndoblokuzarovnndoleva"/>
              <w:spacing w:after="0"/>
              <w:rPr>
                <w:sz w:val="22"/>
                <w:szCs w:val="22"/>
              </w:rPr>
            </w:pPr>
            <w:r w:rsidRPr="00494EA4">
              <w:rPr>
                <w:szCs w:val="22"/>
                <w:lang w:val="sk-SK"/>
              </w:rPr>
              <w:t>0 – 120 hodín</w:t>
            </w:r>
          </w:p>
        </w:tc>
        <w:tc>
          <w:tcPr>
            <w:tcW w:w="2049" w:type="dxa"/>
            <w:hideMark/>
          </w:tcPr>
          <w:p w14:paraId="48CE2C38" w14:textId="77777777" w:rsidR="006E4021" w:rsidRPr="00404BC3" w:rsidRDefault="006E4021" w:rsidP="00780C83">
            <w:pPr>
              <w:pStyle w:val="Tabulkynormlndoblokuzarovnndoleva"/>
              <w:spacing w:after="0"/>
              <w:rPr>
                <w:sz w:val="22"/>
                <w:szCs w:val="22"/>
              </w:rPr>
            </w:pPr>
            <w:r w:rsidRPr="00494EA4">
              <w:rPr>
                <w:szCs w:val="22"/>
                <w:lang w:val="sk-SK"/>
              </w:rPr>
              <w:t>69,3</w:t>
            </w:r>
          </w:p>
        </w:tc>
        <w:tc>
          <w:tcPr>
            <w:tcW w:w="1843" w:type="dxa"/>
            <w:hideMark/>
          </w:tcPr>
          <w:p w14:paraId="2883311E" w14:textId="77777777" w:rsidR="006E4021" w:rsidRPr="00404BC3" w:rsidRDefault="006E4021" w:rsidP="00780C83">
            <w:pPr>
              <w:pStyle w:val="Tabulkynormlndoblokuzarovnndoleva"/>
              <w:spacing w:after="0"/>
              <w:rPr>
                <w:sz w:val="22"/>
                <w:szCs w:val="22"/>
              </w:rPr>
            </w:pPr>
            <w:r w:rsidRPr="00494EA4">
              <w:rPr>
                <w:szCs w:val="22"/>
                <w:lang w:val="sk-SK"/>
              </w:rPr>
              <w:t>50,3</w:t>
            </w:r>
          </w:p>
        </w:tc>
        <w:tc>
          <w:tcPr>
            <w:tcW w:w="1853" w:type="dxa"/>
            <w:hideMark/>
          </w:tcPr>
          <w:p w14:paraId="4C001E65" w14:textId="0C133F3F" w:rsidR="006E4021" w:rsidRPr="00404BC3" w:rsidRDefault="006E4021" w:rsidP="00780C83">
            <w:pPr>
              <w:pStyle w:val="Tabulkynormlndoblokuzarovnndoleva"/>
              <w:spacing w:after="0"/>
              <w:rPr>
                <w:sz w:val="22"/>
                <w:szCs w:val="22"/>
              </w:rPr>
            </w:pPr>
            <w:r w:rsidRPr="00494EA4">
              <w:rPr>
                <w:szCs w:val="22"/>
                <w:lang w:val="sk-SK"/>
              </w:rPr>
              <w:t>19</w:t>
            </w:r>
            <w:r w:rsidR="00094379">
              <w:rPr>
                <w:sz w:val="22"/>
                <w:szCs w:val="22"/>
                <w:lang w:val="sk-SK"/>
              </w:rPr>
              <w:t>,0</w:t>
            </w:r>
          </w:p>
        </w:tc>
        <w:tc>
          <w:tcPr>
            <w:tcW w:w="1916" w:type="dxa"/>
            <w:hideMark/>
          </w:tcPr>
          <w:p w14:paraId="3B9AE202" w14:textId="77777777" w:rsidR="006E4021" w:rsidRPr="00404BC3" w:rsidRDefault="00A35E3A" w:rsidP="00780C83">
            <w:pPr>
              <w:pStyle w:val="Tabulkynormlndoblokuzarovnndoleva"/>
              <w:spacing w:after="0"/>
              <w:rPr>
                <w:sz w:val="22"/>
                <w:szCs w:val="22"/>
              </w:rPr>
            </w:pPr>
            <w:r w:rsidRPr="00494EA4">
              <w:rPr>
                <w:szCs w:val="22"/>
                <w:lang w:val="sk-SK"/>
              </w:rPr>
              <w:t>[7,4 %, 30,7 </w:t>
            </w:r>
            <w:r w:rsidR="006E4021" w:rsidRPr="00494EA4">
              <w:rPr>
                <w:szCs w:val="22"/>
                <w:lang w:val="sk-SK"/>
              </w:rPr>
              <w:t>%]</w:t>
            </w:r>
          </w:p>
        </w:tc>
      </w:tr>
      <w:tr w:rsidR="00EB0742" w:rsidRPr="008D6195" w14:paraId="41861425" w14:textId="77777777" w:rsidTr="00780C83">
        <w:trPr>
          <w:trHeight w:val="284"/>
        </w:trPr>
        <w:tc>
          <w:tcPr>
            <w:tcW w:w="7660" w:type="dxa"/>
            <w:gridSpan w:val="4"/>
          </w:tcPr>
          <w:p w14:paraId="2339EC6C" w14:textId="3A876A4D" w:rsidR="00EB0742" w:rsidRPr="00404BC3" w:rsidRDefault="008D6195" w:rsidP="00780C83">
            <w:pPr>
              <w:pStyle w:val="Nadpisuvnittabulky"/>
              <w:spacing w:before="0" w:after="0"/>
              <w:jc w:val="left"/>
              <w:rPr>
                <w:sz w:val="22"/>
                <w:szCs w:val="22"/>
              </w:rPr>
            </w:pPr>
            <w:r w:rsidRPr="00494EA4">
              <w:rPr>
                <w:szCs w:val="22"/>
                <w:lang w:val="sk-SK"/>
              </w:rPr>
              <w:t>Úpln</w:t>
            </w:r>
            <w:r w:rsidRPr="00404BC3">
              <w:rPr>
                <w:sz w:val="22"/>
                <w:szCs w:val="22"/>
                <w:lang w:val="sk-SK"/>
              </w:rPr>
              <w:t>á</w:t>
            </w:r>
            <w:r w:rsidR="00EB0742" w:rsidRPr="00494EA4">
              <w:rPr>
                <w:szCs w:val="22"/>
                <w:lang w:val="sk-SK"/>
              </w:rPr>
              <w:t xml:space="preserve"> kontrola (Úplná odpoveď a nie viac ako mierna nauzea)</w:t>
            </w:r>
          </w:p>
        </w:tc>
        <w:tc>
          <w:tcPr>
            <w:tcW w:w="1916" w:type="dxa"/>
          </w:tcPr>
          <w:p w14:paraId="002FB6D7" w14:textId="77777777" w:rsidR="00EB0742" w:rsidRPr="00404BC3" w:rsidRDefault="00EB0742" w:rsidP="00780C83">
            <w:pPr>
              <w:pStyle w:val="Nadpisuvnittabulky"/>
              <w:spacing w:before="0" w:after="0"/>
              <w:jc w:val="left"/>
              <w:rPr>
                <w:sz w:val="22"/>
                <w:szCs w:val="22"/>
              </w:rPr>
            </w:pPr>
            <w:r w:rsidRPr="00494EA4">
              <w:rPr>
                <w:szCs w:val="22"/>
                <w:lang w:val="sk-SK"/>
              </w:rPr>
              <w:t>hodnota p</w:t>
            </w:r>
            <w:r w:rsidRPr="00494EA4">
              <w:rPr>
                <w:szCs w:val="22"/>
                <w:vertAlign w:val="superscript"/>
                <w:lang w:val="sk-SK"/>
              </w:rPr>
              <w:t>c</w:t>
            </w:r>
          </w:p>
        </w:tc>
      </w:tr>
      <w:tr w:rsidR="006E4021" w:rsidRPr="008D6195" w14:paraId="732B646B" w14:textId="77777777" w:rsidTr="00780C83">
        <w:trPr>
          <w:trHeight w:val="284"/>
        </w:trPr>
        <w:tc>
          <w:tcPr>
            <w:tcW w:w="1915" w:type="dxa"/>
            <w:hideMark/>
          </w:tcPr>
          <w:p w14:paraId="4FBFB891" w14:textId="77777777" w:rsidR="006E4021" w:rsidRPr="00404BC3" w:rsidRDefault="006E4021" w:rsidP="00780C83">
            <w:pPr>
              <w:pStyle w:val="Tabulkynormlndoblokuzarovnndoleva"/>
              <w:spacing w:after="0"/>
              <w:rPr>
                <w:sz w:val="22"/>
                <w:szCs w:val="22"/>
              </w:rPr>
            </w:pPr>
            <w:r w:rsidRPr="00494EA4">
              <w:rPr>
                <w:szCs w:val="22"/>
                <w:lang w:val="sk-SK"/>
              </w:rPr>
              <w:t>0 – 24 hodín</w:t>
            </w:r>
          </w:p>
        </w:tc>
        <w:tc>
          <w:tcPr>
            <w:tcW w:w="2049" w:type="dxa"/>
            <w:hideMark/>
          </w:tcPr>
          <w:p w14:paraId="091874D6" w14:textId="77777777" w:rsidR="006E4021" w:rsidRPr="00404BC3" w:rsidRDefault="006E4021" w:rsidP="00780C83">
            <w:pPr>
              <w:pStyle w:val="Tabulkynormlndoblokuzarovnndoleva"/>
              <w:spacing w:after="0"/>
              <w:rPr>
                <w:sz w:val="22"/>
                <w:szCs w:val="22"/>
              </w:rPr>
            </w:pPr>
            <w:r w:rsidRPr="00494EA4">
              <w:rPr>
                <w:szCs w:val="22"/>
                <w:lang w:val="sk-SK"/>
              </w:rPr>
              <w:t>76,2</w:t>
            </w:r>
          </w:p>
        </w:tc>
        <w:tc>
          <w:tcPr>
            <w:tcW w:w="1843" w:type="dxa"/>
            <w:hideMark/>
          </w:tcPr>
          <w:p w14:paraId="0A46E746" w14:textId="77777777" w:rsidR="006E4021" w:rsidRPr="00404BC3" w:rsidRDefault="006E4021" w:rsidP="00780C83">
            <w:pPr>
              <w:pStyle w:val="Tabulkynormlndoblokuzarovnndoleva"/>
              <w:spacing w:after="0"/>
              <w:rPr>
                <w:sz w:val="22"/>
                <w:szCs w:val="22"/>
              </w:rPr>
            </w:pPr>
            <w:r w:rsidRPr="00494EA4">
              <w:rPr>
                <w:szCs w:val="22"/>
                <w:lang w:val="sk-SK"/>
              </w:rPr>
              <w:t>65,4</w:t>
            </w:r>
          </w:p>
        </w:tc>
        <w:tc>
          <w:tcPr>
            <w:tcW w:w="1853" w:type="dxa"/>
            <w:hideMark/>
          </w:tcPr>
          <w:p w14:paraId="5D231E60" w14:textId="77777777" w:rsidR="006E4021" w:rsidRPr="00404BC3" w:rsidRDefault="006E4021" w:rsidP="00780C83">
            <w:pPr>
              <w:pStyle w:val="Tabulkynormlndoblokuzarovnndoleva"/>
              <w:spacing w:after="0"/>
              <w:rPr>
                <w:sz w:val="22"/>
                <w:szCs w:val="22"/>
              </w:rPr>
            </w:pPr>
            <w:r w:rsidRPr="00494EA4">
              <w:rPr>
                <w:szCs w:val="22"/>
                <w:lang w:val="sk-SK"/>
              </w:rPr>
              <w:t>10,8</w:t>
            </w:r>
          </w:p>
        </w:tc>
        <w:tc>
          <w:tcPr>
            <w:tcW w:w="1916" w:type="dxa"/>
            <w:hideMark/>
          </w:tcPr>
          <w:p w14:paraId="275140B0" w14:textId="77777777" w:rsidR="006E4021" w:rsidRPr="00404BC3" w:rsidRDefault="006E4021" w:rsidP="00780C83">
            <w:pPr>
              <w:pStyle w:val="Tabulkynormlndoblokuzarovnndoleva"/>
              <w:spacing w:after="0"/>
              <w:rPr>
                <w:sz w:val="22"/>
                <w:szCs w:val="22"/>
              </w:rPr>
            </w:pPr>
            <w:r w:rsidRPr="00494EA4">
              <w:rPr>
                <w:szCs w:val="22"/>
                <w:lang w:val="sk-SK"/>
              </w:rPr>
              <w:t>neuvádza sa</w:t>
            </w:r>
          </w:p>
        </w:tc>
      </w:tr>
      <w:tr w:rsidR="006E4021" w:rsidRPr="008D6195" w14:paraId="16ED8808" w14:textId="77777777" w:rsidTr="00780C83">
        <w:trPr>
          <w:trHeight w:val="284"/>
        </w:trPr>
        <w:tc>
          <w:tcPr>
            <w:tcW w:w="1915" w:type="dxa"/>
            <w:hideMark/>
          </w:tcPr>
          <w:p w14:paraId="62B85DD2" w14:textId="77777777" w:rsidR="006E4021" w:rsidRPr="00404BC3" w:rsidRDefault="006E4021" w:rsidP="00780C83">
            <w:pPr>
              <w:pStyle w:val="Tabulkynormlndoblokuzarovnndoleva"/>
              <w:spacing w:after="0"/>
              <w:rPr>
                <w:sz w:val="22"/>
                <w:szCs w:val="22"/>
              </w:rPr>
            </w:pPr>
            <w:r w:rsidRPr="00494EA4">
              <w:rPr>
                <w:szCs w:val="22"/>
                <w:lang w:val="sk-SK"/>
              </w:rPr>
              <w:t>24 – 120 hodín</w:t>
            </w:r>
          </w:p>
        </w:tc>
        <w:tc>
          <w:tcPr>
            <w:tcW w:w="2049" w:type="dxa"/>
            <w:hideMark/>
          </w:tcPr>
          <w:p w14:paraId="55F4325B" w14:textId="77777777" w:rsidR="006E4021" w:rsidRPr="00404BC3" w:rsidRDefault="006E4021" w:rsidP="00780C83">
            <w:pPr>
              <w:pStyle w:val="Tabulkynormlndoblokuzarovnndoleva"/>
              <w:spacing w:after="0"/>
              <w:rPr>
                <w:sz w:val="22"/>
                <w:szCs w:val="22"/>
              </w:rPr>
            </w:pPr>
            <w:r w:rsidRPr="00494EA4">
              <w:rPr>
                <w:szCs w:val="22"/>
                <w:lang w:val="sk-SK"/>
              </w:rPr>
              <w:t>66,7</w:t>
            </w:r>
          </w:p>
        </w:tc>
        <w:tc>
          <w:tcPr>
            <w:tcW w:w="1843" w:type="dxa"/>
            <w:hideMark/>
          </w:tcPr>
          <w:p w14:paraId="143CAA92" w14:textId="77777777" w:rsidR="006E4021" w:rsidRPr="00404BC3" w:rsidRDefault="006E4021" w:rsidP="00780C83">
            <w:pPr>
              <w:pStyle w:val="Tabulkynormlndoblokuzarovnndoleva"/>
              <w:spacing w:after="0"/>
              <w:rPr>
                <w:sz w:val="22"/>
                <w:szCs w:val="22"/>
              </w:rPr>
            </w:pPr>
            <w:r w:rsidRPr="00494EA4">
              <w:rPr>
                <w:szCs w:val="22"/>
                <w:lang w:val="sk-SK"/>
              </w:rPr>
              <w:t>50,3</w:t>
            </w:r>
          </w:p>
        </w:tc>
        <w:tc>
          <w:tcPr>
            <w:tcW w:w="1853" w:type="dxa"/>
            <w:hideMark/>
          </w:tcPr>
          <w:p w14:paraId="766870E3" w14:textId="77777777" w:rsidR="006E4021" w:rsidRPr="00404BC3" w:rsidRDefault="006E4021" w:rsidP="00780C83">
            <w:pPr>
              <w:pStyle w:val="Tabulkynormlndoblokuzarovnndoleva"/>
              <w:spacing w:after="0"/>
              <w:rPr>
                <w:sz w:val="22"/>
                <w:szCs w:val="22"/>
              </w:rPr>
            </w:pPr>
            <w:r w:rsidRPr="00494EA4">
              <w:rPr>
                <w:szCs w:val="22"/>
                <w:lang w:val="sk-SK"/>
              </w:rPr>
              <w:t>16,4</w:t>
            </w:r>
          </w:p>
        </w:tc>
        <w:tc>
          <w:tcPr>
            <w:tcW w:w="1916" w:type="dxa"/>
            <w:hideMark/>
          </w:tcPr>
          <w:p w14:paraId="1FBFAA1B" w14:textId="77777777" w:rsidR="006E4021" w:rsidRPr="00404BC3" w:rsidRDefault="006E4021" w:rsidP="00780C83">
            <w:pPr>
              <w:pStyle w:val="Tabulkynormlndoblokuzarovnndoleva"/>
              <w:spacing w:after="0"/>
              <w:rPr>
                <w:sz w:val="22"/>
                <w:szCs w:val="22"/>
              </w:rPr>
            </w:pPr>
            <w:r w:rsidRPr="00494EA4">
              <w:rPr>
                <w:szCs w:val="22"/>
                <w:lang w:val="sk-SK"/>
              </w:rPr>
              <w:t>0,001</w:t>
            </w:r>
          </w:p>
        </w:tc>
      </w:tr>
      <w:tr w:rsidR="006E4021" w:rsidRPr="008D6195" w14:paraId="7E4B6625" w14:textId="77777777" w:rsidTr="00780C83">
        <w:trPr>
          <w:trHeight w:val="284"/>
        </w:trPr>
        <w:tc>
          <w:tcPr>
            <w:tcW w:w="1915" w:type="dxa"/>
            <w:hideMark/>
          </w:tcPr>
          <w:p w14:paraId="3188538E" w14:textId="77777777" w:rsidR="006E4021" w:rsidRPr="00404BC3" w:rsidRDefault="006E4021" w:rsidP="00780C83">
            <w:pPr>
              <w:pStyle w:val="Tabulkynormlndoblokuzarovnndoleva"/>
              <w:spacing w:after="0"/>
              <w:rPr>
                <w:sz w:val="22"/>
                <w:szCs w:val="22"/>
              </w:rPr>
            </w:pPr>
            <w:r w:rsidRPr="00494EA4">
              <w:rPr>
                <w:szCs w:val="22"/>
                <w:lang w:val="sk-SK"/>
              </w:rPr>
              <w:t>0 – 120 hodín</w:t>
            </w:r>
          </w:p>
        </w:tc>
        <w:tc>
          <w:tcPr>
            <w:tcW w:w="2049" w:type="dxa"/>
            <w:hideMark/>
          </w:tcPr>
          <w:p w14:paraId="55FA2E59" w14:textId="596DFCA6" w:rsidR="006E4021" w:rsidRPr="00404BC3" w:rsidRDefault="006E4021" w:rsidP="00780C83">
            <w:pPr>
              <w:pStyle w:val="Tabulkynormlndoblokuzarovnndoleva"/>
              <w:spacing w:after="0"/>
              <w:rPr>
                <w:sz w:val="22"/>
                <w:szCs w:val="22"/>
              </w:rPr>
            </w:pPr>
            <w:r w:rsidRPr="00494EA4">
              <w:rPr>
                <w:szCs w:val="22"/>
                <w:lang w:val="sk-SK"/>
              </w:rPr>
              <w:t>63</w:t>
            </w:r>
            <w:r w:rsidR="00094379">
              <w:rPr>
                <w:sz w:val="22"/>
                <w:szCs w:val="22"/>
                <w:lang w:val="sk-SK"/>
              </w:rPr>
              <w:t>,0</w:t>
            </w:r>
          </w:p>
        </w:tc>
        <w:tc>
          <w:tcPr>
            <w:tcW w:w="1843" w:type="dxa"/>
            <w:hideMark/>
          </w:tcPr>
          <w:p w14:paraId="79D0FC46" w14:textId="77777777" w:rsidR="006E4021" w:rsidRPr="00404BC3" w:rsidRDefault="006E4021" w:rsidP="00780C83">
            <w:pPr>
              <w:pStyle w:val="Tabulkynormlndoblokuzarovnndoleva"/>
              <w:spacing w:after="0"/>
              <w:rPr>
                <w:sz w:val="22"/>
                <w:szCs w:val="22"/>
              </w:rPr>
            </w:pPr>
            <w:r w:rsidRPr="00494EA4">
              <w:rPr>
                <w:szCs w:val="22"/>
                <w:lang w:val="sk-SK"/>
              </w:rPr>
              <w:t>44,9</w:t>
            </w:r>
          </w:p>
        </w:tc>
        <w:tc>
          <w:tcPr>
            <w:tcW w:w="1853" w:type="dxa"/>
            <w:hideMark/>
          </w:tcPr>
          <w:p w14:paraId="616AF181" w14:textId="77777777" w:rsidR="006E4021" w:rsidRPr="00404BC3" w:rsidRDefault="006E4021" w:rsidP="00780C83">
            <w:pPr>
              <w:pStyle w:val="Tabulkynormlndoblokuzarovnndoleva"/>
              <w:spacing w:after="0"/>
              <w:rPr>
                <w:sz w:val="22"/>
                <w:szCs w:val="22"/>
              </w:rPr>
            </w:pPr>
            <w:r w:rsidRPr="00494EA4">
              <w:rPr>
                <w:szCs w:val="22"/>
                <w:lang w:val="sk-SK"/>
              </w:rPr>
              <w:t>18,1</w:t>
            </w:r>
          </w:p>
        </w:tc>
        <w:tc>
          <w:tcPr>
            <w:tcW w:w="1916" w:type="dxa"/>
            <w:hideMark/>
          </w:tcPr>
          <w:p w14:paraId="5EBFC73D" w14:textId="77777777" w:rsidR="006E4021" w:rsidRPr="00404BC3" w:rsidRDefault="006E4021" w:rsidP="00780C83">
            <w:pPr>
              <w:pStyle w:val="Tabulkynormlndoblokuzarovnndoleva"/>
              <w:spacing w:after="0"/>
              <w:rPr>
                <w:sz w:val="22"/>
                <w:szCs w:val="22"/>
              </w:rPr>
            </w:pPr>
            <w:r w:rsidRPr="00494EA4">
              <w:rPr>
                <w:szCs w:val="22"/>
                <w:lang w:val="sk-SK"/>
              </w:rPr>
              <w:t>0,001</w:t>
            </w:r>
          </w:p>
        </w:tc>
      </w:tr>
      <w:tr w:rsidR="00EB0742" w:rsidRPr="008D6195" w14:paraId="4CA66759" w14:textId="77777777" w:rsidTr="00780C83">
        <w:trPr>
          <w:trHeight w:val="284"/>
        </w:trPr>
        <w:tc>
          <w:tcPr>
            <w:tcW w:w="7660" w:type="dxa"/>
            <w:gridSpan w:val="4"/>
          </w:tcPr>
          <w:p w14:paraId="2D9A845E" w14:textId="77777777" w:rsidR="00EB0742" w:rsidRPr="00404BC3" w:rsidRDefault="00EB0742" w:rsidP="00780C83">
            <w:pPr>
              <w:pStyle w:val="Nadpisuvnittabulky"/>
              <w:spacing w:before="0" w:after="0"/>
              <w:jc w:val="left"/>
              <w:rPr>
                <w:sz w:val="22"/>
                <w:szCs w:val="22"/>
              </w:rPr>
            </w:pPr>
            <w:r w:rsidRPr="00494EA4">
              <w:rPr>
                <w:szCs w:val="22"/>
                <w:lang w:val="sk-SK"/>
              </w:rPr>
              <w:t>Žiadna nauzea (</w:t>
            </w:r>
            <w:proofErr w:type="spellStart"/>
            <w:r w:rsidRPr="00494EA4">
              <w:rPr>
                <w:szCs w:val="22"/>
                <w:lang w:val="sk-SK"/>
              </w:rPr>
              <w:t>Likertova</w:t>
            </w:r>
            <w:proofErr w:type="spellEnd"/>
            <w:r w:rsidRPr="00494EA4">
              <w:rPr>
                <w:szCs w:val="22"/>
                <w:lang w:val="sk-SK"/>
              </w:rPr>
              <w:t xml:space="preserve"> stupnica)</w:t>
            </w:r>
          </w:p>
        </w:tc>
        <w:tc>
          <w:tcPr>
            <w:tcW w:w="1916" w:type="dxa"/>
          </w:tcPr>
          <w:p w14:paraId="1BD4C56B" w14:textId="77777777" w:rsidR="00EB0742" w:rsidRPr="00404BC3" w:rsidRDefault="00EB0742" w:rsidP="00780C83">
            <w:pPr>
              <w:pStyle w:val="Nadpisuvnittabulky"/>
              <w:spacing w:before="0" w:after="0"/>
              <w:jc w:val="left"/>
              <w:rPr>
                <w:sz w:val="22"/>
                <w:szCs w:val="22"/>
              </w:rPr>
            </w:pPr>
            <w:r w:rsidRPr="00494EA4">
              <w:rPr>
                <w:szCs w:val="22"/>
                <w:lang w:val="sk-SK"/>
              </w:rPr>
              <w:t>hodnota p</w:t>
            </w:r>
            <w:r w:rsidRPr="00494EA4">
              <w:rPr>
                <w:szCs w:val="22"/>
                <w:vertAlign w:val="superscript"/>
                <w:lang w:val="sk-SK"/>
              </w:rPr>
              <w:t>c</w:t>
            </w:r>
          </w:p>
        </w:tc>
      </w:tr>
      <w:tr w:rsidR="006E4021" w:rsidRPr="008D6195" w14:paraId="37465B89" w14:textId="77777777" w:rsidTr="00780C83">
        <w:trPr>
          <w:trHeight w:val="284"/>
        </w:trPr>
        <w:tc>
          <w:tcPr>
            <w:tcW w:w="1915" w:type="dxa"/>
            <w:hideMark/>
          </w:tcPr>
          <w:p w14:paraId="26D79421" w14:textId="77777777" w:rsidR="006E4021" w:rsidRPr="00404BC3" w:rsidRDefault="006E4021" w:rsidP="00780C83">
            <w:pPr>
              <w:pStyle w:val="Tabulkynormlndoblokuzarovnndoleva"/>
              <w:spacing w:after="0"/>
              <w:rPr>
                <w:sz w:val="22"/>
                <w:szCs w:val="22"/>
              </w:rPr>
            </w:pPr>
            <w:r w:rsidRPr="00494EA4">
              <w:rPr>
                <w:szCs w:val="22"/>
                <w:lang w:val="sk-SK"/>
              </w:rPr>
              <w:t>0 – 24 hodín</w:t>
            </w:r>
          </w:p>
        </w:tc>
        <w:tc>
          <w:tcPr>
            <w:tcW w:w="2049" w:type="dxa"/>
            <w:hideMark/>
          </w:tcPr>
          <w:p w14:paraId="375A84D0" w14:textId="77777777" w:rsidR="006E4021" w:rsidRPr="00404BC3" w:rsidRDefault="006E4021" w:rsidP="00780C83">
            <w:pPr>
              <w:pStyle w:val="Tabulkynormlndoblokuzarovnndoleva"/>
              <w:spacing w:after="0"/>
              <w:rPr>
                <w:sz w:val="22"/>
                <w:szCs w:val="22"/>
              </w:rPr>
            </w:pPr>
            <w:r w:rsidRPr="00494EA4">
              <w:rPr>
                <w:szCs w:val="22"/>
                <w:lang w:val="sk-SK"/>
              </w:rPr>
              <w:t>60,3</w:t>
            </w:r>
          </w:p>
        </w:tc>
        <w:tc>
          <w:tcPr>
            <w:tcW w:w="1843" w:type="dxa"/>
            <w:hideMark/>
          </w:tcPr>
          <w:p w14:paraId="26A5FCB3" w14:textId="77777777" w:rsidR="006E4021" w:rsidRPr="00404BC3" w:rsidRDefault="006E4021" w:rsidP="00780C83">
            <w:pPr>
              <w:pStyle w:val="Tabulkynormlndoblokuzarovnndoleva"/>
              <w:spacing w:after="0"/>
              <w:rPr>
                <w:sz w:val="22"/>
                <w:szCs w:val="22"/>
              </w:rPr>
            </w:pPr>
            <w:r w:rsidRPr="00494EA4">
              <w:rPr>
                <w:szCs w:val="22"/>
                <w:lang w:val="sk-SK"/>
              </w:rPr>
              <w:t>56,8</w:t>
            </w:r>
          </w:p>
        </w:tc>
        <w:tc>
          <w:tcPr>
            <w:tcW w:w="1853" w:type="dxa"/>
            <w:hideMark/>
          </w:tcPr>
          <w:p w14:paraId="48DC3066" w14:textId="77777777" w:rsidR="006E4021" w:rsidRPr="00404BC3" w:rsidRDefault="006E4021" w:rsidP="00780C83">
            <w:pPr>
              <w:pStyle w:val="Tabulkynormlndoblokuzarovnndoleva"/>
              <w:spacing w:after="0"/>
              <w:rPr>
                <w:sz w:val="22"/>
                <w:szCs w:val="22"/>
              </w:rPr>
            </w:pPr>
            <w:r w:rsidRPr="00494EA4">
              <w:rPr>
                <w:szCs w:val="22"/>
                <w:lang w:val="sk-SK"/>
              </w:rPr>
              <w:t>3,5</w:t>
            </w:r>
          </w:p>
        </w:tc>
        <w:tc>
          <w:tcPr>
            <w:tcW w:w="1916" w:type="dxa"/>
            <w:hideMark/>
          </w:tcPr>
          <w:p w14:paraId="42399CEF" w14:textId="77777777" w:rsidR="006E4021" w:rsidRPr="00404BC3" w:rsidRDefault="006E4021" w:rsidP="00780C83">
            <w:pPr>
              <w:pStyle w:val="Tabulkynormlndoblokuzarovnndoleva"/>
              <w:spacing w:after="0"/>
              <w:rPr>
                <w:sz w:val="22"/>
                <w:szCs w:val="22"/>
              </w:rPr>
            </w:pPr>
            <w:r w:rsidRPr="00494EA4">
              <w:rPr>
                <w:szCs w:val="22"/>
                <w:lang w:val="sk-SK"/>
              </w:rPr>
              <w:t>neuvádza sa</w:t>
            </w:r>
          </w:p>
        </w:tc>
      </w:tr>
      <w:tr w:rsidR="006E4021" w:rsidRPr="008D6195" w14:paraId="76B268E2" w14:textId="77777777" w:rsidTr="00780C83">
        <w:trPr>
          <w:trHeight w:val="284"/>
        </w:trPr>
        <w:tc>
          <w:tcPr>
            <w:tcW w:w="1915" w:type="dxa"/>
            <w:hideMark/>
          </w:tcPr>
          <w:p w14:paraId="21326107" w14:textId="77777777" w:rsidR="006E4021" w:rsidRPr="00404BC3" w:rsidRDefault="006E4021" w:rsidP="00780C83">
            <w:pPr>
              <w:pStyle w:val="Tabulkynormlndoblokuzarovnndoleva"/>
              <w:spacing w:after="0"/>
              <w:rPr>
                <w:sz w:val="22"/>
                <w:szCs w:val="22"/>
              </w:rPr>
            </w:pPr>
            <w:r w:rsidRPr="00494EA4">
              <w:rPr>
                <w:szCs w:val="22"/>
                <w:lang w:val="sk-SK"/>
              </w:rPr>
              <w:t>24 – 120 hodín</w:t>
            </w:r>
          </w:p>
        </w:tc>
        <w:tc>
          <w:tcPr>
            <w:tcW w:w="2049" w:type="dxa"/>
            <w:hideMark/>
          </w:tcPr>
          <w:p w14:paraId="24C0FD3F" w14:textId="77777777" w:rsidR="006E4021" w:rsidRPr="00404BC3" w:rsidRDefault="006E4021" w:rsidP="00780C83">
            <w:pPr>
              <w:pStyle w:val="Tabulkynormlndoblokuzarovnndoleva"/>
              <w:spacing w:after="0"/>
              <w:rPr>
                <w:sz w:val="22"/>
                <w:szCs w:val="22"/>
              </w:rPr>
            </w:pPr>
            <w:r w:rsidRPr="00494EA4">
              <w:rPr>
                <w:szCs w:val="22"/>
                <w:lang w:val="sk-SK"/>
              </w:rPr>
              <w:t>51,9</w:t>
            </w:r>
          </w:p>
        </w:tc>
        <w:tc>
          <w:tcPr>
            <w:tcW w:w="1843" w:type="dxa"/>
            <w:hideMark/>
          </w:tcPr>
          <w:p w14:paraId="1AC01A1A" w14:textId="77777777" w:rsidR="006E4021" w:rsidRPr="00404BC3" w:rsidRDefault="006E4021" w:rsidP="00780C83">
            <w:pPr>
              <w:pStyle w:val="Tabulkynormlndoblokuzarovnndoleva"/>
              <w:spacing w:after="0"/>
              <w:rPr>
                <w:sz w:val="22"/>
                <w:szCs w:val="22"/>
              </w:rPr>
            </w:pPr>
            <w:r w:rsidRPr="00494EA4">
              <w:rPr>
                <w:szCs w:val="22"/>
                <w:lang w:val="sk-SK"/>
              </w:rPr>
              <w:t>39,5</w:t>
            </w:r>
          </w:p>
        </w:tc>
        <w:tc>
          <w:tcPr>
            <w:tcW w:w="1853" w:type="dxa"/>
            <w:hideMark/>
          </w:tcPr>
          <w:p w14:paraId="56B62478" w14:textId="77777777" w:rsidR="006E4021" w:rsidRPr="00404BC3" w:rsidRDefault="006E4021" w:rsidP="00780C83">
            <w:pPr>
              <w:pStyle w:val="Tabulkynormlndoblokuzarovnndoleva"/>
              <w:spacing w:after="0"/>
              <w:rPr>
                <w:sz w:val="22"/>
                <w:szCs w:val="22"/>
              </w:rPr>
            </w:pPr>
            <w:r w:rsidRPr="00494EA4">
              <w:rPr>
                <w:szCs w:val="22"/>
                <w:lang w:val="sk-SK"/>
              </w:rPr>
              <w:t>12,4</w:t>
            </w:r>
          </w:p>
        </w:tc>
        <w:tc>
          <w:tcPr>
            <w:tcW w:w="1916" w:type="dxa"/>
            <w:hideMark/>
          </w:tcPr>
          <w:p w14:paraId="24A2054F" w14:textId="77777777" w:rsidR="006E4021" w:rsidRPr="00404BC3" w:rsidRDefault="006E4021" w:rsidP="00780C83">
            <w:pPr>
              <w:pStyle w:val="Tabulkynormlndoblokuzarovnndoleva"/>
              <w:spacing w:after="0"/>
              <w:rPr>
                <w:sz w:val="22"/>
                <w:szCs w:val="22"/>
              </w:rPr>
            </w:pPr>
            <w:r w:rsidRPr="00494EA4">
              <w:rPr>
                <w:szCs w:val="22"/>
                <w:lang w:val="sk-SK"/>
              </w:rPr>
              <w:t>neuvádza sa</w:t>
            </w:r>
          </w:p>
        </w:tc>
      </w:tr>
      <w:tr w:rsidR="006E4021" w:rsidRPr="008D6195" w14:paraId="6A29B346" w14:textId="77777777" w:rsidTr="00780C83">
        <w:trPr>
          <w:trHeight w:val="284"/>
        </w:trPr>
        <w:tc>
          <w:tcPr>
            <w:tcW w:w="1915" w:type="dxa"/>
            <w:hideMark/>
          </w:tcPr>
          <w:p w14:paraId="356EA75B" w14:textId="77777777" w:rsidR="006E4021" w:rsidRPr="00404BC3" w:rsidRDefault="006E4021" w:rsidP="00780C83">
            <w:pPr>
              <w:pStyle w:val="Tabulkynormlndoblokuzarovnndoleva"/>
              <w:spacing w:after="0"/>
              <w:rPr>
                <w:sz w:val="22"/>
                <w:szCs w:val="22"/>
              </w:rPr>
            </w:pPr>
            <w:r w:rsidRPr="00494EA4">
              <w:rPr>
                <w:szCs w:val="22"/>
                <w:lang w:val="sk-SK"/>
              </w:rPr>
              <w:t>0 – 120 hodín</w:t>
            </w:r>
          </w:p>
        </w:tc>
        <w:tc>
          <w:tcPr>
            <w:tcW w:w="2049" w:type="dxa"/>
            <w:hideMark/>
          </w:tcPr>
          <w:p w14:paraId="71170E45" w14:textId="6B823EF3" w:rsidR="006E4021" w:rsidRPr="00404BC3" w:rsidRDefault="006E4021" w:rsidP="00780C83">
            <w:pPr>
              <w:pStyle w:val="Tabulkynormlndoblokuzarovnndoleva"/>
              <w:spacing w:after="0"/>
              <w:rPr>
                <w:sz w:val="22"/>
                <w:szCs w:val="22"/>
              </w:rPr>
            </w:pPr>
            <w:r w:rsidRPr="00494EA4">
              <w:rPr>
                <w:szCs w:val="22"/>
                <w:lang w:val="sk-SK"/>
              </w:rPr>
              <w:t>45</w:t>
            </w:r>
            <w:r w:rsidR="00094379">
              <w:rPr>
                <w:sz w:val="22"/>
                <w:szCs w:val="22"/>
                <w:lang w:val="sk-SK"/>
              </w:rPr>
              <w:t>,0</w:t>
            </w:r>
          </w:p>
        </w:tc>
        <w:tc>
          <w:tcPr>
            <w:tcW w:w="1843" w:type="dxa"/>
            <w:hideMark/>
          </w:tcPr>
          <w:p w14:paraId="1C8B6075" w14:textId="77777777" w:rsidR="006E4021" w:rsidRPr="00404BC3" w:rsidRDefault="006E4021" w:rsidP="00780C83">
            <w:pPr>
              <w:pStyle w:val="Tabulkynormlndoblokuzarovnndoleva"/>
              <w:spacing w:after="0"/>
              <w:rPr>
                <w:sz w:val="22"/>
                <w:szCs w:val="22"/>
              </w:rPr>
            </w:pPr>
            <w:r w:rsidRPr="00494EA4">
              <w:rPr>
                <w:szCs w:val="22"/>
                <w:lang w:val="sk-SK"/>
              </w:rPr>
              <w:t>36,2</w:t>
            </w:r>
          </w:p>
        </w:tc>
        <w:tc>
          <w:tcPr>
            <w:tcW w:w="1853" w:type="dxa"/>
            <w:hideMark/>
          </w:tcPr>
          <w:p w14:paraId="2A0037DB" w14:textId="77777777" w:rsidR="006E4021" w:rsidRPr="00404BC3" w:rsidRDefault="006E4021" w:rsidP="00780C83">
            <w:pPr>
              <w:pStyle w:val="Tabulkynormlndoblokuzarovnndoleva"/>
              <w:spacing w:after="0"/>
              <w:rPr>
                <w:sz w:val="22"/>
                <w:szCs w:val="22"/>
              </w:rPr>
            </w:pPr>
            <w:r w:rsidRPr="00494EA4">
              <w:rPr>
                <w:szCs w:val="22"/>
                <w:lang w:val="sk-SK"/>
              </w:rPr>
              <w:t>8,8</w:t>
            </w:r>
          </w:p>
        </w:tc>
        <w:tc>
          <w:tcPr>
            <w:tcW w:w="1916" w:type="dxa"/>
            <w:hideMark/>
          </w:tcPr>
          <w:p w14:paraId="656B8DBF" w14:textId="77777777" w:rsidR="006E4021" w:rsidRPr="00404BC3" w:rsidRDefault="006E4021" w:rsidP="00780C83">
            <w:pPr>
              <w:pStyle w:val="Tabulkynormlndoblokuzarovnndoleva"/>
              <w:spacing w:after="0"/>
              <w:rPr>
                <w:sz w:val="22"/>
                <w:szCs w:val="22"/>
              </w:rPr>
            </w:pPr>
            <w:r w:rsidRPr="00494EA4">
              <w:rPr>
                <w:szCs w:val="22"/>
                <w:lang w:val="sk-SK"/>
              </w:rPr>
              <w:t>neuvádza sa</w:t>
            </w:r>
          </w:p>
        </w:tc>
      </w:tr>
    </w:tbl>
    <w:p w14:paraId="5CCF6AEE" w14:textId="257EB295" w:rsidR="00FC18CB" w:rsidRPr="00105E69" w:rsidRDefault="00FA3210" w:rsidP="00780C83">
      <w:pPr>
        <w:pStyle w:val="Normlndobloku"/>
        <w:spacing w:after="0"/>
        <w:jc w:val="left"/>
      </w:pPr>
      <w:r w:rsidRPr="00105E69">
        <w:rPr>
          <w:vertAlign w:val="superscript"/>
        </w:rPr>
        <w:t>a</w:t>
      </w:r>
      <w:r>
        <w:rPr>
          <w:bCs/>
          <w:vertAlign w:val="superscript"/>
        </w:rPr>
        <w:t> </w:t>
      </w:r>
      <w:bookmarkStart w:id="0" w:name="_GoBack"/>
      <w:bookmarkEnd w:id="0"/>
      <w:r w:rsidR="00860E21" w:rsidRPr="00105E69">
        <w:t>S</w:t>
      </w:r>
      <w:r w:rsidR="00907CB3" w:rsidRPr="00105E69">
        <w:t>kupina pacientov</w:t>
      </w:r>
      <w:r w:rsidR="00094379">
        <w:t xml:space="preserve"> so</w:t>
      </w:r>
      <w:r w:rsidR="00907CB3" w:rsidRPr="00105E69">
        <w:t xml:space="preserve"> zámer</w:t>
      </w:r>
      <w:r w:rsidR="00094379">
        <w:t>om</w:t>
      </w:r>
      <w:r w:rsidR="00907CB3" w:rsidRPr="00105E69">
        <w:t xml:space="preserve"> lieč</w:t>
      </w:r>
      <w:r w:rsidR="00094379">
        <w:t>by</w:t>
      </w:r>
      <w:r w:rsidR="00907CB3" w:rsidRPr="00105E69">
        <w:t xml:space="preserve"> (</w:t>
      </w:r>
      <w:proofErr w:type="spellStart"/>
      <w:r w:rsidR="00907CB3" w:rsidRPr="00105E69">
        <w:t>Intent</w:t>
      </w:r>
      <w:proofErr w:type="spellEnd"/>
      <w:r w:rsidR="00907CB3" w:rsidRPr="00105E69">
        <w:t>-to-</w:t>
      </w:r>
      <w:proofErr w:type="spellStart"/>
      <w:r w:rsidR="00907CB3" w:rsidRPr="00105E69">
        <w:t>treat</w:t>
      </w:r>
      <w:proofErr w:type="spellEnd"/>
      <w:r w:rsidR="00907CB3" w:rsidRPr="00105E69">
        <w:t xml:space="preserve"> </w:t>
      </w:r>
      <w:proofErr w:type="spellStart"/>
      <w:r w:rsidR="00907CB3" w:rsidRPr="00105E69">
        <w:t>cohort</w:t>
      </w:r>
      <w:proofErr w:type="spellEnd"/>
      <w:r w:rsidR="00907CB3" w:rsidRPr="00105E69">
        <w:t>)</w:t>
      </w:r>
    </w:p>
    <w:p w14:paraId="1C4618E2" w14:textId="2312BDBF" w:rsidR="00907CB3" w:rsidRPr="00105E69" w:rsidRDefault="00907CB3" w:rsidP="00780C83">
      <w:pPr>
        <w:pStyle w:val="Normlndobloku"/>
        <w:spacing w:after="0"/>
        <w:jc w:val="left"/>
      </w:pPr>
      <w:r w:rsidRPr="00105E69">
        <w:rPr>
          <w:vertAlign w:val="superscript"/>
        </w:rPr>
        <w:t>b</w:t>
      </w:r>
      <w:r w:rsidR="00FA3210">
        <w:rPr>
          <w:vertAlign w:val="superscript"/>
        </w:rPr>
        <w:t> </w:t>
      </w:r>
      <w:r w:rsidRPr="00105E69">
        <w:t xml:space="preserve">Štúdie boli navrhnuté so zámerom preukázať </w:t>
      </w:r>
      <w:proofErr w:type="spellStart"/>
      <w:r w:rsidRPr="008D6195">
        <w:t>n</w:t>
      </w:r>
      <w:r w:rsidR="00310CAA" w:rsidRPr="008D6195">
        <w:t>on-</w:t>
      </w:r>
      <w:r w:rsidRPr="008D6195">
        <w:t>inferiorit</w:t>
      </w:r>
      <w:r w:rsidR="00860E21" w:rsidRPr="008D6195">
        <w:t>u</w:t>
      </w:r>
      <w:proofErr w:type="spellEnd"/>
      <w:r w:rsidR="00860E21" w:rsidRPr="008D6195">
        <w:t>.</w:t>
      </w:r>
      <w:r w:rsidR="00860E21" w:rsidRPr="00105E69">
        <w:t xml:space="preserve"> </w:t>
      </w:r>
      <w:r w:rsidR="00404BC3">
        <w:t>Spodná</w:t>
      </w:r>
      <w:r w:rsidR="00860E21" w:rsidRPr="00105E69">
        <w:t xml:space="preserve"> hranica vyššia než </w:t>
      </w:r>
      <w:r w:rsidR="00310CAA" w:rsidRPr="008D6195">
        <w:t>-</w:t>
      </w:r>
      <w:r w:rsidR="00860E21" w:rsidRPr="00105E69">
        <w:t>15 </w:t>
      </w:r>
      <w:r w:rsidRPr="00105E69">
        <w:t>% demo</w:t>
      </w:r>
      <w:r w:rsidR="00860E21" w:rsidRPr="00105E69">
        <w:t xml:space="preserve">nštruje </w:t>
      </w:r>
      <w:proofErr w:type="spellStart"/>
      <w:r w:rsidR="00860E21" w:rsidRPr="008D6195">
        <w:t>n</w:t>
      </w:r>
      <w:r w:rsidR="00310CAA" w:rsidRPr="008D6195">
        <w:t>on-</w:t>
      </w:r>
      <w:r w:rsidR="00860E21" w:rsidRPr="008D6195">
        <w:t>inferioritu</w:t>
      </w:r>
      <w:proofErr w:type="spellEnd"/>
      <w:r w:rsidR="00860E21" w:rsidRPr="00105E69">
        <w:t xml:space="preserve"> medzi </w:t>
      </w:r>
      <w:proofErr w:type="spellStart"/>
      <w:r w:rsidR="00860E21" w:rsidRPr="00105E69">
        <w:t>palonosetrónom</w:t>
      </w:r>
      <w:proofErr w:type="spellEnd"/>
      <w:r w:rsidR="00860E21" w:rsidRPr="00105E69">
        <w:t xml:space="preserve"> a</w:t>
      </w:r>
      <w:r w:rsidR="00094379">
        <w:t> </w:t>
      </w:r>
      <w:r w:rsidR="00860E21" w:rsidRPr="00105E69">
        <w:t>porovnávan</w:t>
      </w:r>
      <w:r w:rsidR="00094379">
        <w:t>ým liečivom</w:t>
      </w:r>
      <w:r w:rsidR="00860E21" w:rsidRPr="00105E69">
        <w:t>.</w:t>
      </w:r>
    </w:p>
    <w:p w14:paraId="48356992" w14:textId="23E6EC6B" w:rsidR="00907CB3" w:rsidRDefault="00907CB3" w:rsidP="00780C83">
      <w:pPr>
        <w:pStyle w:val="Normlndobloku"/>
        <w:spacing w:after="0"/>
        <w:jc w:val="left"/>
      </w:pPr>
      <w:r w:rsidRPr="00105E69">
        <w:rPr>
          <w:vertAlign w:val="superscript"/>
        </w:rPr>
        <w:t>c</w:t>
      </w:r>
      <w:r w:rsidR="00FA3210">
        <w:rPr>
          <w:vertAlign w:val="superscript"/>
        </w:rPr>
        <w:t> </w:t>
      </w:r>
      <w:proofErr w:type="spellStart"/>
      <w:r w:rsidRPr="00105E69">
        <w:t>Chi</w:t>
      </w:r>
      <w:proofErr w:type="spellEnd"/>
      <w:r w:rsidRPr="00105E69">
        <w:t>-kvadrát test</w:t>
      </w:r>
      <w:r w:rsidR="00310CAA" w:rsidRPr="008D6195">
        <w:t xml:space="preserve"> (</w:t>
      </w:r>
      <w:proofErr w:type="spellStart"/>
      <w:r w:rsidR="00310CAA" w:rsidRPr="008D6195">
        <w:t>Chi-square</w:t>
      </w:r>
      <w:proofErr w:type="spellEnd"/>
      <w:r w:rsidR="00310CAA" w:rsidRPr="008D6195">
        <w:t xml:space="preserve"> test)</w:t>
      </w:r>
      <w:r w:rsidRPr="008D6195">
        <w:t>.</w:t>
      </w:r>
      <w:r w:rsidRPr="00105E69">
        <w:t xml:space="preserve"> </w:t>
      </w:r>
      <w:r w:rsidR="00860E21" w:rsidRPr="00105E69">
        <w:t>Hranica významnosti pri α=0,05</w:t>
      </w:r>
      <w:r w:rsidR="00310CAA" w:rsidRPr="008D6195">
        <w:t>.</w:t>
      </w:r>
    </w:p>
    <w:p w14:paraId="6D26C69A" w14:textId="77777777" w:rsidR="00F318BC" w:rsidRPr="00105E69" w:rsidRDefault="00F318BC" w:rsidP="00780C83">
      <w:pPr>
        <w:pStyle w:val="Normlndobloku"/>
        <w:spacing w:after="0"/>
        <w:jc w:val="left"/>
      </w:pPr>
    </w:p>
    <w:p w14:paraId="441FED37" w14:textId="797F1A2E" w:rsidR="00860E21" w:rsidRPr="00E52021" w:rsidRDefault="00860E21" w:rsidP="0098040B">
      <w:pPr>
        <w:pStyle w:val="Styl2-2"/>
      </w:pPr>
      <w:r w:rsidRPr="00E52021">
        <w:t>Tabuľka 2: Percentuálne zastúpenie pacientov</w:t>
      </w:r>
      <w:r w:rsidRPr="00E52021">
        <w:rPr>
          <w:sz w:val="14"/>
          <w:vertAlign w:val="superscript"/>
        </w:rPr>
        <w:t>a</w:t>
      </w:r>
      <w:r w:rsidRPr="00E52021">
        <w:rPr>
          <w:vertAlign w:val="superscript"/>
        </w:rPr>
        <w:t xml:space="preserve"> </w:t>
      </w:r>
      <w:r w:rsidRPr="00E52021">
        <w:t xml:space="preserve">reagujúcich na liečbu podľa liečebnej skupiny a fázy v štúdii </w:t>
      </w:r>
      <w:r w:rsidRPr="008D6195">
        <w:t>s</w:t>
      </w:r>
      <w:r w:rsidR="00851B23" w:rsidRPr="008D6195">
        <w:t>o</w:t>
      </w:r>
      <w:r w:rsidRPr="008D6195">
        <w:t> </w:t>
      </w:r>
      <w:r w:rsidR="00851B23" w:rsidRPr="008D6195">
        <w:t>stredne</w:t>
      </w:r>
      <w:r w:rsidR="00851B23" w:rsidRPr="00E52021">
        <w:t xml:space="preserve"> </w:t>
      </w:r>
      <w:proofErr w:type="spellStart"/>
      <w:r w:rsidRPr="00E52021">
        <w:t>emetogénnou</w:t>
      </w:r>
      <w:proofErr w:type="spellEnd"/>
      <w:r w:rsidRPr="00E52021">
        <w:t xml:space="preserve"> chemoterapiou v porovnaní s </w:t>
      </w:r>
      <w:proofErr w:type="spellStart"/>
      <w:r w:rsidRPr="00E52021">
        <w:t>dolasetró</w:t>
      </w:r>
      <w:r w:rsidR="00310CAA" w:rsidRPr="00E52021">
        <w:t>nom</w:t>
      </w:r>
      <w:proofErr w:type="spellEnd"/>
    </w:p>
    <w:tbl>
      <w:tblPr>
        <w:tblStyle w:val="Mriekatabuky"/>
        <w:tblW w:w="9576" w:type="dxa"/>
        <w:tblLayout w:type="fixed"/>
        <w:tblCellMar>
          <w:top w:w="28" w:type="dxa"/>
          <w:left w:w="85" w:type="dxa"/>
          <w:bottom w:w="28" w:type="dxa"/>
          <w:right w:w="85" w:type="dxa"/>
        </w:tblCellMar>
        <w:tblLook w:val="04A0" w:firstRow="1" w:lastRow="0" w:firstColumn="1" w:lastColumn="0" w:noHBand="0" w:noVBand="1"/>
      </w:tblPr>
      <w:tblGrid>
        <w:gridCol w:w="1915"/>
        <w:gridCol w:w="2049"/>
        <w:gridCol w:w="1843"/>
        <w:gridCol w:w="1853"/>
        <w:gridCol w:w="1916"/>
      </w:tblGrid>
      <w:tr w:rsidR="00A35E3A" w:rsidRPr="008D6195" w14:paraId="692C3094" w14:textId="77777777" w:rsidTr="00780C83">
        <w:trPr>
          <w:trHeight w:val="556"/>
          <w:tblHeader/>
        </w:trPr>
        <w:tc>
          <w:tcPr>
            <w:tcW w:w="1915" w:type="dxa"/>
            <w:noWrap/>
            <w:hideMark/>
          </w:tcPr>
          <w:p w14:paraId="17DC3565" w14:textId="77777777" w:rsidR="00671458" w:rsidRPr="00780C83" w:rsidRDefault="00671458" w:rsidP="00780C83">
            <w:pPr>
              <w:pStyle w:val="Nadpisuvnittabulky"/>
              <w:spacing w:before="0" w:after="0"/>
              <w:jc w:val="left"/>
              <w:rPr>
                <w:rFonts w:ascii="Times New Roman" w:hAnsi="Times New Roman" w:cs="Times New Roman"/>
                <w:b w:val="0"/>
                <w:sz w:val="22"/>
                <w:szCs w:val="22"/>
              </w:rPr>
            </w:pPr>
            <w:r w:rsidRPr="00780C83">
              <w:rPr>
                <w:rFonts w:ascii="Times New Roman" w:hAnsi="Times New Roman" w:cs="Times New Roman"/>
                <w:b w:val="0"/>
                <w:szCs w:val="22"/>
                <w:lang w:val="sk-SK"/>
              </w:rPr>
              <w:t> </w:t>
            </w:r>
          </w:p>
        </w:tc>
        <w:tc>
          <w:tcPr>
            <w:tcW w:w="2049" w:type="dxa"/>
            <w:hideMark/>
          </w:tcPr>
          <w:p w14:paraId="75F91212" w14:textId="1C1C5CE9" w:rsidR="00671458" w:rsidRPr="00780C83" w:rsidRDefault="00671458" w:rsidP="00780C83">
            <w:pPr>
              <w:pStyle w:val="Nadpisuvnittabulky"/>
              <w:spacing w:before="0" w:after="0"/>
              <w:jc w:val="left"/>
              <w:rPr>
                <w:rFonts w:ascii="Times New Roman" w:hAnsi="Times New Roman" w:cs="Times New Roman"/>
                <w:b w:val="0"/>
                <w:sz w:val="22"/>
                <w:szCs w:val="22"/>
              </w:rPr>
            </w:pPr>
            <w:proofErr w:type="spellStart"/>
            <w:r w:rsidRPr="00780C83">
              <w:rPr>
                <w:rFonts w:ascii="Times New Roman" w:hAnsi="Times New Roman" w:cs="Times New Roman"/>
                <w:b w:val="0"/>
                <w:szCs w:val="22"/>
                <w:lang w:val="sk-SK"/>
              </w:rPr>
              <w:t>Palonosetrón</w:t>
            </w:r>
            <w:proofErr w:type="spellEnd"/>
            <w:r w:rsidRPr="00780C83">
              <w:rPr>
                <w:rFonts w:ascii="Times New Roman" w:hAnsi="Times New Roman" w:cs="Times New Roman"/>
                <w:b w:val="0"/>
                <w:szCs w:val="22"/>
                <w:lang w:val="sk-SK"/>
              </w:rPr>
              <w:t xml:space="preserve"> 250</w:t>
            </w:r>
            <w:r w:rsidR="00310CAA" w:rsidRPr="00780C83">
              <w:rPr>
                <w:rFonts w:ascii="Times New Roman" w:hAnsi="Times New Roman" w:cs="Times New Roman"/>
                <w:b w:val="0"/>
                <w:szCs w:val="22"/>
                <w:lang w:val="sk-SK"/>
              </w:rPr>
              <w:t> </w:t>
            </w:r>
            <w:proofErr w:type="spellStart"/>
            <w:r w:rsidRPr="00780C83">
              <w:rPr>
                <w:rFonts w:ascii="Times New Roman" w:hAnsi="Times New Roman" w:cs="Times New Roman"/>
                <w:b w:val="0"/>
                <w:szCs w:val="22"/>
                <w:lang w:val="sk-SK"/>
              </w:rPr>
              <w:t>mikrogramov</w:t>
            </w:r>
            <w:proofErr w:type="spellEnd"/>
            <w:r w:rsidRPr="00780C83">
              <w:rPr>
                <w:rFonts w:ascii="Times New Roman" w:hAnsi="Times New Roman" w:cs="Times New Roman"/>
                <w:b w:val="0"/>
                <w:szCs w:val="22"/>
                <w:lang w:val="sk-SK"/>
              </w:rPr>
              <w:t xml:space="preserve"> (n=189)</w:t>
            </w:r>
          </w:p>
        </w:tc>
        <w:tc>
          <w:tcPr>
            <w:tcW w:w="1843" w:type="dxa"/>
            <w:hideMark/>
          </w:tcPr>
          <w:p w14:paraId="6F372716" w14:textId="0725166A" w:rsidR="00671458" w:rsidRPr="00780C83" w:rsidRDefault="00671458" w:rsidP="00780C83">
            <w:pPr>
              <w:pStyle w:val="Nadpisuvnittabulky"/>
              <w:spacing w:before="0" w:after="0"/>
              <w:jc w:val="left"/>
              <w:rPr>
                <w:rFonts w:ascii="Times New Roman" w:hAnsi="Times New Roman" w:cs="Times New Roman"/>
                <w:b w:val="0"/>
                <w:sz w:val="22"/>
                <w:szCs w:val="22"/>
              </w:rPr>
            </w:pPr>
            <w:proofErr w:type="spellStart"/>
            <w:r w:rsidRPr="00780C83">
              <w:rPr>
                <w:rFonts w:ascii="Times New Roman" w:hAnsi="Times New Roman" w:cs="Times New Roman"/>
                <w:b w:val="0"/>
                <w:szCs w:val="22"/>
                <w:lang w:val="sk-SK"/>
              </w:rPr>
              <w:t>Dolasetrón</w:t>
            </w:r>
            <w:proofErr w:type="spellEnd"/>
            <w:r w:rsidRPr="00780C83">
              <w:rPr>
                <w:rFonts w:ascii="Times New Roman" w:hAnsi="Times New Roman" w:cs="Times New Roman"/>
                <w:b w:val="0"/>
                <w:szCs w:val="22"/>
                <w:lang w:val="sk-SK"/>
              </w:rPr>
              <w:t xml:space="preserve"> 100</w:t>
            </w:r>
            <w:r w:rsidR="00310CAA" w:rsidRPr="00780C83">
              <w:rPr>
                <w:rFonts w:ascii="Times New Roman" w:hAnsi="Times New Roman" w:cs="Times New Roman"/>
                <w:b w:val="0"/>
                <w:szCs w:val="22"/>
                <w:lang w:val="sk-SK"/>
              </w:rPr>
              <w:t> </w:t>
            </w:r>
            <w:r w:rsidRPr="00780C83">
              <w:rPr>
                <w:rFonts w:ascii="Times New Roman" w:hAnsi="Times New Roman" w:cs="Times New Roman"/>
                <w:b w:val="0"/>
                <w:szCs w:val="22"/>
                <w:lang w:val="sk-SK"/>
              </w:rPr>
              <w:t>miligramov (n=191)</w:t>
            </w:r>
          </w:p>
        </w:tc>
        <w:tc>
          <w:tcPr>
            <w:tcW w:w="1853" w:type="dxa"/>
            <w:noWrap/>
            <w:hideMark/>
          </w:tcPr>
          <w:p w14:paraId="31E35C12" w14:textId="77777777" w:rsidR="00671458" w:rsidRPr="00780C83" w:rsidRDefault="00671458" w:rsidP="00780C83">
            <w:pPr>
              <w:pStyle w:val="Nadpisuvnittabulky"/>
              <w:spacing w:before="0" w:after="0"/>
              <w:jc w:val="left"/>
              <w:rPr>
                <w:rFonts w:ascii="Times New Roman" w:hAnsi="Times New Roman" w:cs="Times New Roman"/>
                <w:b w:val="0"/>
                <w:sz w:val="22"/>
                <w:szCs w:val="22"/>
              </w:rPr>
            </w:pPr>
            <w:r w:rsidRPr="00780C83">
              <w:rPr>
                <w:rFonts w:ascii="Times New Roman" w:hAnsi="Times New Roman" w:cs="Times New Roman"/>
                <w:b w:val="0"/>
                <w:szCs w:val="22"/>
                <w:lang w:val="sk-SK"/>
              </w:rPr>
              <w:t>Rozdiel</w:t>
            </w:r>
          </w:p>
        </w:tc>
        <w:tc>
          <w:tcPr>
            <w:tcW w:w="1916" w:type="dxa"/>
            <w:noWrap/>
            <w:hideMark/>
          </w:tcPr>
          <w:p w14:paraId="7A4FF9B9" w14:textId="77777777" w:rsidR="00671458" w:rsidRPr="00780C83" w:rsidRDefault="00671458" w:rsidP="00780C83">
            <w:pPr>
              <w:pStyle w:val="Nadpisuvnittabulky"/>
              <w:spacing w:before="0" w:after="0"/>
              <w:jc w:val="left"/>
              <w:rPr>
                <w:rFonts w:ascii="Times New Roman" w:hAnsi="Times New Roman" w:cs="Times New Roman"/>
                <w:b w:val="0"/>
                <w:sz w:val="22"/>
                <w:szCs w:val="22"/>
              </w:rPr>
            </w:pPr>
            <w:r w:rsidRPr="00780C83">
              <w:rPr>
                <w:rFonts w:ascii="Times New Roman" w:hAnsi="Times New Roman" w:cs="Times New Roman"/>
                <w:b w:val="0"/>
                <w:szCs w:val="22"/>
                <w:lang w:val="sk-SK"/>
              </w:rPr>
              <w:t> </w:t>
            </w:r>
          </w:p>
        </w:tc>
      </w:tr>
      <w:tr w:rsidR="00310CAA" w:rsidRPr="008D6195" w14:paraId="10BFA4FB" w14:textId="77777777" w:rsidTr="00780C83">
        <w:trPr>
          <w:trHeight w:val="319"/>
        </w:trPr>
        <w:tc>
          <w:tcPr>
            <w:tcW w:w="1915" w:type="dxa"/>
            <w:noWrap/>
          </w:tcPr>
          <w:p w14:paraId="5F50A010" w14:textId="77777777" w:rsidR="00310CAA" w:rsidRPr="00780C83" w:rsidRDefault="00310CAA" w:rsidP="00780C83">
            <w:pPr>
              <w:pStyle w:val="Tabulkynormlndoblokuzarovnndoleva"/>
              <w:spacing w:after="0"/>
              <w:rPr>
                <w:rFonts w:ascii="Times New Roman" w:hAnsi="Times New Roman" w:cs="Times New Roman"/>
                <w:sz w:val="22"/>
                <w:szCs w:val="22"/>
                <w:lang w:val="sk-SK"/>
              </w:rPr>
            </w:pPr>
          </w:p>
        </w:tc>
        <w:tc>
          <w:tcPr>
            <w:tcW w:w="2049" w:type="dxa"/>
          </w:tcPr>
          <w:p w14:paraId="33198125" w14:textId="77777777" w:rsidR="00310CAA" w:rsidRPr="00780C83" w:rsidRDefault="00310CAA" w:rsidP="00780C83">
            <w:pPr>
              <w:pStyle w:val="Tabulkynormlndoblokuzarovnndoleva"/>
              <w:spacing w:after="0"/>
              <w:rPr>
                <w:rFonts w:ascii="Times New Roman" w:hAnsi="Times New Roman" w:cs="Times New Roman"/>
                <w:sz w:val="22"/>
                <w:szCs w:val="22"/>
                <w:lang w:val="sk-SK"/>
              </w:rPr>
            </w:pPr>
            <w:r w:rsidRPr="00780C83">
              <w:rPr>
                <w:rFonts w:ascii="Times New Roman" w:hAnsi="Times New Roman" w:cs="Times New Roman"/>
                <w:szCs w:val="22"/>
                <w:lang w:val="sk-SK"/>
              </w:rPr>
              <w:t>%</w:t>
            </w:r>
          </w:p>
        </w:tc>
        <w:tc>
          <w:tcPr>
            <w:tcW w:w="1843" w:type="dxa"/>
          </w:tcPr>
          <w:p w14:paraId="747C4187" w14:textId="77777777" w:rsidR="00310CAA" w:rsidRPr="00780C83" w:rsidRDefault="00310CAA" w:rsidP="00780C83">
            <w:pPr>
              <w:pStyle w:val="Tabulkynormlndoblokuzarovnndoleva"/>
              <w:spacing w:after="0"/>
              <w:rPr>
                <w:rFonts w:ascii="Times New Roman" w:hAnsi="Times New Roman" w:cs="Times New Roman"/>
                <w:sz w:val="22"/>
                <w:szCs w:val="22"/>
                <w:lang w:val="sk-SK"/>
              </w:rPr>
            </w:pPr>
            <w:r w:rsidRPr="00780C83">
              <w:rPr>
                <w:rFonts w:ascii="Times New Roman" w:hAnsi="Times New Roman" w:cs="Times New Roman"/>
                <w:szCs w:val="22"/>
                <w:lang w:val="sk-SK"/>
              </w:rPr>
              <w:t>%</w:t>
            </w:r>
          </w:p>
        </w:tc>
        <w:tc>
          <w:tcPr>
            <w:tcW w:w="1853" w:type="dxa"/>
            <w:noWrap/>
          </w:tcPr>
          <w:p w14:paraId="5DEAD71F" w14:textId="77777777" w:rsidR="00310CAA" w:rsidRPr="00780C83" w:rsidRDefault="00310CAA" w:rsidP="00780C83">
            <w:pPr>
              <w:pStyle w:val="Tabulkynormlndoblokuzarovnndoleva"/>
              <w:spacing w:after="0"/>
              <w:rPr>
                <w:rFonts w:ascii="Times New Roman" w:hAnsi="Times New Roman" w:cs="Times New Roman"/>
                <w:sz w:val="22"/>
                <w:szCs w:val="22"/>
                <w:lang w:val="sk-SK"/>
              </w:rPr>
            </w:pPr>
            <w:r w:rsidRPr="00780C83">
              <w:rPr>
                <w:rFonts w:ascii="Times New Roman" w:hAnsi="Times New Roman" w:cs="Times New Roman"/>
                <w:szCs w:val="22"/>
                <w:lang w:val="sk-SK"/>
              </w:rPr>
              <w:t>%</w:t>
            </w:r>
          </w:p>
        </w:tc>
        <w:tc>
          <w:tcPr>
            <w:tcW w:w="1916" w:type="dxa"/>
            <w:noWrap/>
          </w:tcPr>
          <w:p w14:paraId="154B9C80" w14:textId="77777777" w:rsidR="00310CAA" w:rsidRPr="00780C83" w:rsidRDefault="00310CAA" w:rsidP="00780C83">
            <w:pPr>
              <w:pStyle w:val="Tabulkynormlndoblokuzarovnndoleva"/>
              <w:spacing w:after="0"/>
              <w:rPr>
                <w:rFonts w:ascii="Times New Roman" w:hAnsi="Times New Roman" w:cs="Times New Roman"/>
                <w:sz w:val="22"/>
                <w:szCs w:val="22"/>
                <w:lang w:val="sk-SK"/>
              </w:rPr>
            </w:pPr>
          </w:p>
        </w:tc>
      </w:tr>
      <w:tr w:rsidR="00310CAA" w:rsidRPr="008D6195" w14:paraId="02687FBD" w14:textId="77777777" w:rsidTr="00780C83">
        <w:trPr>
          <w:trHeight w:val="284"/>
        </w:trPr>
        <w:tc>
          <w:tcPr>
            <w:tcW w:w="7660" w:type="dxa"/>
            <w:gridSpan w:val="4"/>
          </w:tcPr>
          <w:p w14:paraId="2328F9CB" w14:textId="34D983BA" w:rsidR="00310CAA" w:rsidRPr="00780C83" w:rsidRDefault="00310CAA" w:rsidP="00780C83">
            <w:pPr>
              <w:pStyle w:val="Nadpisuvnittabulky"/>
              <w:spacing w:before="0" w:after="0"/>
              <w:jc w:val="left"/>
              <w:rPr>
                <w:rFonts w:ascii="Times New Roman" w:hAnsi="Times New Roman" w:cs="Times New Roman"/>
                <w:sz w:val="22"/>
                <w:szCs w:val="22"/>
              </w:rPr>
            </w:pPr>
            <w:r w:rsidRPr="00780C83">
              <w:rPr>
                <w:rFonts w:ascii="Times New Roman" w:hAnsi="Times New Roman" w:cs="Times New Roman"/>
                <w:szCs w:val="22"/>
                <w:lang w:val="sk-SK"/>
              </w:rPr>
              <w:t>Úplná odpoveď na liečbu (žiadne vracanie a žiadna záchranná medikácia)</w:t>
            </w:r>
          </w:p>
        </w:tc>
        <w:tc>
          <w:tcPr>
            <w:tcW w:w="1916" w:type="dxa"/>
          </w:tcPr>
          <w:p w14:paraId="76039498" w14:textId="77777777" w:rsidR="00310CAA" w:rsidRPr="00780C83" w:rsidRDefault="00310CAA" w:rsidP="00780C83">
            <w:pPr>
              <w:pStyle w:val="Nadpisuvnittabulky"/>
              <w:spacing w:before="0" w:after="0"/>
              <w:jc w:val="left"/>
              <w:rPr>
                <w:rFonts w:ascii="Times New Roman" w:hAnsi="Times New Roman" w:cs="Times New Roman"/>
                <w:sz w:val="22"/>
                <w:szCs w:val="22"/>
              </w:rPr>
            </w:pPr>
            <w:r w:rsidRPr="00780C83">
              <w:rPr>
                <w:rFonts w:ascii="Times New Roman" w:hAnsi="Times New Roman" w:cs="Times New Roman"/>
                <w:szCs w:val="22"/>
                <w:lang w:val="sk-SK"/>
              </w:rPr>
              <w:t xml:space="preserve">97,5 % </w:t>
            </w:r>
            <w:proofErr w:type="spellStart"/>
            <w:r w:rsidRPr="00780C83">
              <w:rPr>
                <w:rFonts w:ascii="Times New Roman" w:hAnsi="Times New Roman" w:cs="Times New Roman"/>
                <w:szCs w:val="22"/>
                <w:lang w:val="sk-SK"/>
              </w:rPr>
              <w:t>CI</w:t>
            </w:r>
            <w:r w:rsidRPr="00494EA4">
              <w:rPr>
                <w:rFonts w:ascii="Times New Roman" w:hAnsi="Times New Roman" w:cs="Times New Roman"/>
                <w:szCs w:val="22"/>
                <w:vertAlign w:val="superscript"/>
                <w:lang w:val="sk-SK"/>
              </w:rPr>
              <w:t>b</w:t>
            </w:r>
            <w:proofErr w:type="spellEnd"/>
          </w:p>
        </w:tc>
      </w:tr>
      <w:tr w:rsidR="00A35E3A" w:rsidRPr="008D6195" w14:paraId="11656EA7" w14:textId="77777777" w:rsidTr="00780C83">
        <w:trPr>
          <w:trHeight w:val="284"/>
        </w:trPr>
        <w:tc>
          <w:tcPr>
            <w:tcW w:w="1915" w:type="dxa"/>
            <w:hideMark/>
          </w:tcPr>
          <w:p w14:paraId="7DF91427" w14:textId="77777777"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0 – 24 hodín</w:t>
            </w:r>
          </w:p>
        </w:tc>
        <w:tc>
          <w:tcPr>
            <w:tcW w:w="2049" w:type="dxa"/>
            <w:hideMark/>
          </w:tcPr>
          <w:p w14:paraId="57871999" w14:textId="1583F98F"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63</w:t>
            </w:r>
            <w:r w:rsidR="00094379">
              <w:rPr>
                <w:rFonts w:ascii="Times New Roman" w:hAnsi="Times New Roman" w:cs="Times New Roman"/>
                <w:sz w:val="22"/>
                <w:szCs w:val="22"/>
                <w:lang w:val="sk-SK"/>
              </w:rPr>
              <w:t>,0</w:t>
            </w:r>
          </w:p>
        </w:tc>
        <w:tc>
          <w:tcPr>
            <w:tcW w:w="1843" w:type="dxa"/>
            <w:hideMark/>
          </w:tcPr>
          <w:p w14:paraId="74EDF5E5" w14:textId="77777777"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52,9</w:t>
            </w:r>
          </w:p>
        </w:tc>
        <w:tc>
          <w:tcPr>
            <w:tcW w:w="1853" w:type="dxa"/>
            <w:hideMark/>
          </w:tcPr>
          <w:p w14:paraId="67FF40EF" w14:textId="77777777"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10,1</w:t>
            </w:r>
          </w:p>
        </w:tc>
        <w:tc>
          <w:tcPr>
            <w:tcW w:w="1916" w:type="dxa"/>
            <w:hideMark/>
          </w:tcPr>
          <w:p w14:paraId="466AFC7F" w14:textId="77777777" w:rsidR="00671458" w:rsidRPr="00780C83" w:rsidRDefault="00A35E3A"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[-1,7 %, 21,9 </w:t>
            </w:r>
            <w:r w:rsidR="00671458" w:rsidRPr="00780C83">
              <w:rPr>
                <w:rFonts w:ascii="Times New Roman" w:hAnsi="Times New Roman" w:cs="Times New Roman"/>
                <w:szCs w:val="22"/>
                <w:lang w:val="sk-SK"/>
              </w:rPr>
              <w:t>%]</w:t>
            </w:r>
          </w:p>
        </w:tc>
      </w:tr>
      <w:tr w:rsidR="00A35E3A" w:rsidRPr="008D6195" w14:paraId="76B2A70C" w14:textId="77777777" w:rsidTr="00780C83">
        <w:trPr>
          <w:trHeight w:val="284"/>
        </w:trPr>
        <w:tc>
          <w:tcPr>
            <w:tcW w:w="1915" w:type="dxa"/>
            <w:hideMark/>
          </w:tcPr>
          <w:p w14:paraId="7B52C053" w14:textId="77777777"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24 – 120 hodín</w:t>
            </w:r>
          </w:p>
        </w:tc>
        <w:tc>
          <w:tcPr>
            <w:tcW w:w="2049" w:type="dxa"/>
            <w:hideMark/>
          </w:tcPr>
          <w:p w14:paraId="30A9312E" w14:textId="03098F89"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54</w:t>
            </w:r>
            <w:r w:rsidR="00094379">
              <w:rPr>
                <w:rFonts w:ascii="Times New Roman" w:hAnsi="Times New Roman" w:cs="Times New Roman"/>
                <w:sz w:val="22"/>
                <w:szCs w:val="22"/>
                <w:lang w:val="sk-SK"/>
              </w:rPr>
              <w:t>,0</w:t>
            </w:r>
          </w:p>
        </w:tc>
        <w:tc>
          <w:tcPr>
            <w:tcW w:w="1843" w:type="dxa"/>
            <w:hideMark/>
          </w:tcPr>
          <w:p w14:paraId="65D0834E" w14:textId="77777777"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38,7</w:t>
            </w:r>
          </w:p>
        </w:tc>
        <w:tc>
          <w:tcPr>
            <w:tcW w:w="1853" w:type="dxa"/>
            <w:hideMark/>
          </w:tcPr>
          <w:p w14:paraId="0B4A4020" w14:textId="77777777"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15,3</w:t>
            </w:r>
          </w:p>
        </w:tc>
        <w:tc>
          <w:tcPr>
            <w:tcW w:w="1916" w:type="dxa"/>
            <w:hideMark/>
          </w:tcPr>
          <w:p w14:paraId="3A8AB79C" w14:textId="77777777" w:rsidR="00671458" w:rsidRPr="00780C83" w:rsidRDefault="00A35E3A"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[3,4 %, 27,1 </w:t>
            </w:r>
            <w:r w:rsidR="00671458" w:rsidRPr="00780C83">
              <w:rPr>
                <w:rFonts w:ascii="Times New Roman" w:hAnsi="Times New Roman" w:cs="Times New Roman"/>
                <w:szCs w:val="22"/>
                <w:lang w:val="sk-SK"/>
              </w:rPr>
              <w:t>%]</w:t>
            </w:r>
          </w:p>
        </w:tc>
      </w:tr>
      <w:tr w:rsidR="00A35E3A" w:rsidRPr="008D6195" w14:paraId="63CC2B98" w14:textId="77777777" w:rsidTr="00780C83">
        <w:trPr>
          <w:trHeight w:val="284"/>
        </w:trPr>
        <w:tc>
          <w:tcPr>
            <w:tcW w:w="1915" w:type="dxa"/>
            <w:hideMark/>
          </w:tcPr>
          <w:p w14:paraId="3EBF6D39" w14:textId="77777777"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0 – 120 hodín</w:t>
            </w:r>
          </w:p>
        </w:tc>
        <w:tc>
          <w:tcPr>
            <w:tcW w:w="2049" w:type="dxa"/>
            <w:hideMark/>
          </w:tcPr>
          <w:p w14:paraId="50CDF2E8" w14:textId="20D4312B"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46</w:t>
            </w:r>
            <w:r w:rsidR="00094379">
              <w:rPr>
                <w:rFonts w:ascii="Times New Roman" w:hAnsi="Times New Roman" w:cs="Times New Roman"/>
                <w:sz w:val="22"/>
                <w:szCs w:val="22"/>
                <w:lang w:val="sk-SK"/>
              </w:rPr>
              <w:t>,0</w:t>
            </w:r>
          </w:p>
        </w:tc>
        <w:tc>
          <w:tcPr>
            <w:tcW w:w="1843" w:type="dxa"/>
            <w:hideMark/>
          </w:tcPr>
          <w:p w14:paraId="07EC87E6" w14:textId="71D86412"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34</w:t>
            </w:r>
            <w:r w:rsidR="00094379">
              <w:rPr>
                <w:rFonts w:ascii="Times New Roman" w:hAnsi="Times New Roman" w:cs="Times New Roman"/>
                <w:sz w:val="22"/>
                <w:szCs w:val="22"/>
                <w:lang w:val="sk-SK"/>
              </w:rPr>
              <w:t>,0</w:t>
            </w:r>
          </w:p>
        </w:tc>
        <w:tc>
          <w:tcPr>
            <w:tcW w:w="1853" w:type="dxa"/>
            <w:hideMark/>
          </w:tcPr>
          <w:p w14:paraId="18263F53" w14:textId="05E308E1"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12</w:t>
            </w:r>
            <w:r w:rsidR="00094379">
              <w:rPr>
                <w:rFonts w:ascii="Times New Roman" w:hAnsi="Times New Roman" w:cs="Times New Roman"/>
                <w:sz w:val="22"/>
                <w:szCs w:val="22"/>
                <w:lang w:val="sk-SK"/>
              </w:rPr>
              <w:t>,0</w:t>
            </w:r>
          </w:p>
        </w:tc>
        <w:tc>
          <w:tcPr>
            <w:tcW w:w="1916" w:type="dxa"/>
            <w:hideMark/>
          </w:tcPr>
          <w:p w14:paraId="0E58128C" w14:textId="77777777" w:rsidR="00671458" w:rsidRPr="00780C83" w:rsidRDefault="00A35E3A"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[0,3 %, 23,7 </w:t>
            </w:r>
            <w:r w:rsidR="00671458" w:rsidRPr="00780C83">
              <w:rPr>
                <w:rFonts w:ascii="Times New Roman" w:hAnsi="Times New Roman" w:cs="Times New Roman"/>
                <w:szCs w:val="22"/>
                <w:lang w:val="sk-SK"/>
              </w:rPr>
              <w:t>%]</w:t>
            </w:r>
          </w:p>
        </w:tc>
      </w:tr>
      <w:tr w:rsidR="00310CAA" w:rsidRPr="008D6195" w14:paraId="1B6242D0" w14:textId="77777777" w:rsidTr="00780C83">
        <w:trPr>
          <w:trHeight w:val="284"/>
        </w:trPr>
        <w:tc>
          <w:tcPr>
            <w:tcW w:w="7660" w:type="dxa"/>
            <w:gridSpan w:val="4"/>
          </w:tcPr>
          <w:p w14:paraId="2AB162E7" w14:textId="523F0775" w:rsidR="00310CAA" w:rsidRPr="00780C83" w:rsidRDefault="008D6195" w:rsidP="00780C83">
            <w:pPr>
              <w:pStyle w:val="Nadpisuvnittabulky"/>
              <w:spacing w:before="0" w:after="0"/>
              <w:jc w:val="left"/>
              <w:rPr>
                <w:rFonts w:ascii="Times New Roman" w:hAnsi="Times New Roman" w:cs="Times New Roman"/>
                <w:sz w:val="22"/>
                <w:szCs w:val="22"/>
              </w:rPr>
            </w:pPr>
            <w:r w:rsidRPr="00780C83">
              <w:rPr>
                <w:rFonts w:ascii="Times New Roman" w:hAnsi="Times New Roman" w:cs="Times New Roman"/>
                <w:szCs w:val="22"/>
                <w:lang w:val="sk-SK"/>
              </w:rPr>
              <w:t>Úplná</w:t>
            </w:r>
            <w:r w:rsidR="00310CAA" w:rsidRPr="00780C83">
              <w:rPr>
                <w:rFonts w:ascii="Times New Roman" w:hAnsi="Times New Roman" w:cs="Times New Roman"/>
                <w:szCs w:val="22"/>
                <w:lang w:val="sk-SK"/>
              </w:rPr>
              <w:t xml:space="preserve"> kontrola (úplná odpoveď a nie viac ako mierna nauzea)</w:t>
            </w:r>
          </w:p>
        </w:tc>
        <w:tc>
          <w:tcPr>
            <w:tcW w:w="1916" w:type="dxa"/>
          </w:tcPr>
          <w:p w14:paraId="722BF4FB" w14:textId="77777777" w:rsidR="00310CAA" w:rsidRPr="00780C83" w:rsidRDefault="00310CAA" w:rsidP="00780C83">
            <w:pPr>
              <w:pStyle w:val="Nadpisuvnittabulky"/>
              <w:spacing w:before="0" w:after="0"/>
              <w:jc w:val="left"/>
              <w:rPr>
                <w:rFonts w:ascii="Times New Roman" w:hAnsi="Times New Roman" w:cs="Times New Roman"/>
                <w:sz w:val="22"/>
                <w:szCs w:val="22"/>
              </w:rPr>
            </w:pPr>
            <w:r w:rsidRPr="00780C83">
              <w:rPr>
                <w:rFonts w:ascii="Times New Roman" w:hAnsi="Times New Roman" w:cs="Times New Roman"/>
                <w:szCs w:val="22"/>
                <w:lang w:val="sk-SK"/>
              </w:rPr>
              <w:t>hodnota p</w:t>
            </w:r>
            <w:r w:rsidRPr="00780C83">
              <w:rPr>
                <w:rFonts w:ascii="Times New Roman" w:hAnsi="Times New Roman" w:cs="Times New Roman"/>
                <w:szCs w:val="22"/>
                <w:vertAlign w:val="superscript"/>
                <w:lang w:val="sk-SK"/>
              </w:rPr>
              <w:t>c</w:t>
            </w:r>
          </w:p>
        </w:tc>
      </w:tr>
      <w:tr w:rsidR="00A35E3A" w:rsidRPr="008D6195" w14:paraId="2C851DDA" w14:textId="77777777" w:rsidTr="00780C83">
        <w:trPr>
          <w:trHeight w:val="284"/>
        </w:trPr>
        <w:tc>
          <w:tcPr>
            <w:tcW w:w="1915" w:type="dxa"/>
            <w:hideMark/>
          </w:tcPr>
          <w:p w14:paraId="23A9E22E" w14:textId="77777777"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0 – 24 hodín</w:t>
            </w:r>
          </w:p>
        </w:tc>
        <w:tc>
          <w:tcPr>
            <w:tcW w:w="2049" w:type="dxa"/>
            <w:hideMark/>
          </w:tcPr>
          <w:p w14:paraId="4756D687" w14:textId="77777777"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57,1</w:t>
            </w:r>
          </w:p>
        </w:tc>
        <w:tc>
          <w:tcPr>
            <w:tcW w:w="1843" w:type="dxa"/>
            <w:hideMark/>
          </w:tcPr>
          <w:p w14:paraId="6970CE62" w14:textId="77777777"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47,6</w:t>
            </w:r>
          </w:p>
        </w:tc>
        <w:tc>
          <w:tcPr>
            <w:tcW w:w="1853" w:type="dxa"/>
            <w:hideMark/>
          </w:tcPr>
          <w:p w14:paraId="27AA8189" w14:textId="77777777"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9,5</w:t>
            </w:r>
          </w:p>
        </w:tc>
        <w:tc>
          <w:tcPr>
            <w:tcW w:w="1916" w:type="dxa"/>
            <w:hideMark/>
          </w:tcPr>
          <w:p w14:paraId="533828E1" w14:textId="77777777"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neuvádza sa</w:t>
            </w:r>
          </w:p>
        </w:tc>
      </w:tr>
      <w:tr w:rsidR="00A35E3A" w:rsidRPr="008D6195" w14:paraId="4B1D9081" w14:textId="77777777" w:rsidTr="00780C83">
        <w:trPr>
          <w:trHeight w:val="284"/>
        </w:trPr>
        <w:tc>
          <w:tcPr>
            <w:tcW w:w="1915" w:type="dxa"/>
            <w:hideMark/>
          </w:tcPr>
          <w:p w14:paraId="09D6ED12" w14:textId="77777777"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24 – 120 hodín</w:t>
            </w:r>
          </w:p>
        </w:tc>
        <w:tc>
          <w:tcPr>
            <w:tcW w:w="2049" w:type="dxa"/>
            <w:hideMark/>
          </w:tcPr>
          <w:p w14:paraId="155179D9" w14:textId="77777777"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48,1</w:t>
            </w:r>
          </w:p>
        </w:tc>
        <w:tc>
          <w:tcPr>
            <w:tcW w:w="1843" w:type="dxa"/>
            <w:hideMark/>
          </w:tcPr>
          <w:p w14:paraId="71BC370C" w14:textId="77777777"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36,1</w:t>
            </w:r>
          </w:p>
        </w:tc>
        <w:tc>
          <w:tcPr>
            <w:tcW w:w="1853" w:type="dxa"/>
            <w:hideMark/>
          </w:tcPr>
          <w:p w14:paraId="5C98B08F" w14:textId="076F1385"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12</w:t>
            </w:r>
            <w:r w:rsidR="00094379">
              <w:rPr>
                <w:rFonts w:ascii="Times New Roman" w:hAnsi="Times New Roman" w:cs="Times New Roman"/>
                <w:sz w:val="22"/>
                <w:szCs w:val="22"/>
                <w:lang w:val="sk-SK"/>
              </w:rPr>
              <w:t>,0</w:t>
            </w:r>
          </w:p>
        </w:tc>
        <w:tc>
          <w:tcPr>
            <w:tcW w:w="1916" w:type="dxa"/>
            <w:hideMark/>
          </w:tcPr>
          <w:p w14:paraId="68BA38AF" w14:textId="77777777"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0,018</w:t>
            </w:r>
          </w:p>
        </w:tc>
      </w:tr>
      <w:tr w:rsidR="00A35E3A" w:rsidRPr="008D6195" w14:paraId="1A709BF2" w14:textId="77777777" w:rsidTr="00780C83">
        <w:trPr>
          <w:trHeight w:val="284"/>
        </w:trPr>
        <w:tc>
          <w:tcPr>
            <w:tcW w:w="1915" w:type="dxa"/>
            <w:hideMark/>
          </w:tcPr>
          <w:p w14:paraId="483D732A" w14:textId="77777777"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0 – 120 hodín</w:t>
            </w:r>
          </w:p>
        </w:tc>
        <w:tc>
          <w:tcPr>
            <w:tcW w:w="2049" w:type="dxa"/>
            <w:hideMark/>
          </w:tcPr>
          <w:p w14:paraId="7877E4FA" w14:textId="77777777"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41,8</w:t>
            </w:r>
          </w:p>
        </w:tc>
        <w:tc>
          <w:tcPr>
            <w:tcW w:w="1843" w:type="dxa"/>
            <w:hideMark/>
          </w:tcPr>
          <w:p w14:paraId="2A98390B" w14:textId="77777777"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30,9</w:t>
            </w:r>
          </w:p>
        </w:tc>
        <w:tc>
          <w:tcPr>
            <w:tcW w:w="1853" w:type="dxa"/>
            <w:hideMark/>
          </w:tcPr>
          <w:p w14:paraId="2CD115F7" w14:textId="77777777"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10,9</w:t>
            </w:r>
          </w:p>
        </w:tc>
        <w:tc>
          <w:tcPr>
            <w:tcW w:w="1916" w:type="dxa"/>
            <w:hideMark/>
          </w:tcPr>
          <w:p w14:paraId="6C447CB2" w14:textId="77777777"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0,027</w:t>
            </w:r>
          </w:p>
        </w:tc>
      </w:tr>
      <w:tr w:rsidR="00310CAA" w:rsidRPr="008D6195" w14:paraId="26FDC390" w14:textId="77777777" w:rsidTr="00780C83">
        <w:trPr>
          <w:trHeight w:val="284"/>
        </w:trPr>
        <w:tc>
          <w:tcPr>
            <w:tcW w:w="7660" w:type="dxa"/>
            <w:gridSpan w:val="4"/>
          </w:tcPr>
          <w:p w14:paraId="6D1B6050" w14:textId="77777777" w:rsidR="00310CAA" w:rsidRPr="00780C83" w:rsidRDefault="00310CAA" w:rsidP="00780C83">
            <w:pPr>
              <w:pStyle w:val="Nadpisuvnittabulky"/>
              <w:spacing w:before="0" w:after="0"/>
              <w:jc w:val="left"/>
              <w:rPr>
                <w:rFonts w:ascii="Times New Roman" w:hAnsi="Times New Roman" w:cs="Times New Roman"/>
                <w:sz w:val="22"/>
                <w:szCs w:val="22"/>
              </w:rPr>
            </w:pPr>
            <w:r w:rsidRPr="00780C83">
              <w:rPr>
                <w:rFonts w:ascii="Times New Roman" w:hAnsi="Times New Roman" w:cs="Times New Roman"/>
                <w:szCs w:val="22"/>
                <w:lang w:val="sk-SK"/>
              </w:rPr>
              <w:t>Žiadna nauzea (</w:t>
            </w:r>
            <w:proofErr w:type="spellStart"/>
            <w:r w:rsidRPr="00780C83">
              <w:rPr>
                <w:rFonts w:ascii="Times New Roman" w:hAnsi="Times New Roman" w:cs="Times New Roman"/>
                <w:szCs w:val="22"/>
                <w:lang w:val="sk-SK"/>
              </w:rPr>
              <w:t>Likertova</w:t>
            </w:r>
            <w:proofErr w:type="spellEnd"/>
            <w:r w:rsidRPr="00780C83">
              <w:rPr>
                <w:rFonts w:ascii="Times New Roman" w:hAnsi="Times New Roman" w:cs="Times New Roman"/>
                <w:szCs w:val="22"/>
                <w:lang w:val="sk-SK"/>
              </w:rPr>
              <w:t xml:space="preserve"> stupnica)</w:t>
            </w:r>
          </w:p>
        </w:tc>
        <w:tc>
          <w:tcPr>
            <w:tcW w:w="1916" w:type="dxa"/>
          </w:tcPr>
          <w:p w14:paraId="4E4ACF41" w14:textId="77777777" w:rsidR="00310CAA" w:rsidRPr="00780C83" w:rsidRDefault="00310CAA" w:rsidP="00780C83">
            <w:pPr>
              <w:pStyle w:val="Nadpisuvnittabulky"/>
              <w:spacing w:before="0" w:after="0"/>
              <w:jc w:val="left"/>
              <w:rPr>
                <w:rFonts w:ascii="Times New Roman" w:hAnsi="Times New Roman" w:cs="Times New Roman"/>
                <w:sz w:val="22"/>
                <w:szCs w:val="22"/>
              </w:rPr>
            </w:pPr>
            <w:r w:rsidRPr="00780C83">
              <w:rPr>
                <w:rFonts w:ascii="Times New Roman" w:hAnsi="Times New Roman" w:cs="Times New Roman"/>
                <w:szCs w:val="22"/>
                <w:lang w:val="sk-SK"/>
              </w:rPr>
              <w:t>hodnota p</w:t>
            </w:r>
            <w:r w:rsidRPr="00780C83">
              <w:rPr>
                <w:rFonts w:ascii="Times New Roman" w:hAnsi="Times New Roman" w:cs="Times New Roman"/>
                <w:szCs w:val="22"/>
                <w:vertAlign w:val="superscript"/>
                <w:lang w:val="sk-SK"/>
              </w:rPr>
              <w:t>c</w:t>
            </w:r>
          </w:p>
        </w:tc>
      </w:tr>
      <w:tr w:rsidR="00A35E3A" w:rsidRPr="008D6195" w14:paraId="16EFFBA7" w14:textId="77777777" w:rsidTr="00780C83">
        <w:trPr>
          <w:trHeight w:val="284"/>
        </w:trPr>
        <w:tc>
          <w:tcPr>
            <w:tcW w:w="1915" w:type="dxa"/>
            <w:hideMark/>
          </w:tcPr>
          <w:p w14:paraId="704421B5" w14:textId="77777777"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0 – 24 hodín</w:t>
            </w:r>
          </w:p>
        </w:tc>
        <w:tc>
          <w:tcPr>
            <w:tcW w:w="2049" w:type="dxa"/>
            <w:hideMark/>
          </w:tcPr>
          <w:p w14:paraId="00CE1804" w14:textId="77777777"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48,7</w:t>
            </w:r>
          </w:p>
        </w:tc>
        <w:tc>
          <w:tcPr>
            <w:tcW w:w="1843" w:type="dxa"/>
            <w:hideMark/>
          </w:tcPr>
          <w:p w14:paraId="7D7BFD48" w14:textId="77777777"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41,4</w:t>
            </w:r>
          </w:p>
        </w:tc>
        <w:tc>
          <w:tcPr>
            <w:tcW w:w="1853" w:type="dxa"/>
            <w:hideMark/>
          </w:tcPr>
          <w:p w14:paraId="18B0BD54" w14:textId="77777777"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7,3</w:t>
            </w:r>
          </w:p>
        </w:tc>
        <w:tc>
          <w:tcPr>
            <w:tcW w:w="1916" w:type="dxa"/>
            <w:hideMark/>
          </w:tcPr>
          <w:p w14:paraId="4F5BFC6F" w14:textId="77777777"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neuvádza sa</w:t>
            </w:r>
          </w:p>
        </w:tc>
      </w:tr>
      <w:tr w:rsidR="00A35E3A" w:rsidRPr="008D6195" w14:paraId="5B2E9A8D" w14:textId="77777777" w:rsidTr="00780C83">
        <w:trPr>
          <w:trHeight w:val="284"/>
        </w:trPr>
        <w:tc>
          <w:tcPr>
            <w:tcW w:w="1915" w:type="dxa"/>
            <w:hideMark/>
          </w:tcPr>
          <w:p w14:paraId="0F95FA88" w14:textId="77777777"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24 – 120 hodín</w:t>
            </w:r>
          </w:p>
        </w:tc>
        <w:tc>
          <w:tcPr>
            <w:tcW w:w="2049" w:type="dxa"/>
            <w:hideMark/>
          </w:tcPr>
          <w:p w14:paraId="07B8E41D" w14:textId="77777777"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41,8</w:t>
            </w:r>
          </w:p>
        </w:tc>
        <w:tc>
          <w:tcPr>
            <w:tcW w:w="1843" w:type="dxa"/>
            <w:hideMark/>
          </w:tcPr>
          <w:p w14:paraId="5B13E28F" w14:textId="77777777"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26,2</w:t>
            </w:r>
          </w:p>
        </w:tc>
        <w:tc>
          <w:tcPr>
            <w:tcW w:w="1853" w:type="dxa"/>
            <w:hideMark/>
          </w:tcPr>
          <w:p w14:paraId="24E7605E" w14:textId="77777777"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15,6</w:t>
            </w:r>
          </w:p>
        </w:tc>
        <w:tc>
          <w:tcPr>
            <w:tcW w:w="1916" w:type="dxa"/>
            <w:hideMark/>
          </w:tcPr>
          <w:p w14:paraId="5B68B683" w14:textId="77777777"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0,001</w:t>
            </w:r>
          </w:p>
        </w:tc>
      </w:tr>
      <w:tr w:rsidR="00A35E3A" w:rsidRPr="008D6195" w14:paraId="0466A64F" w14:textId="77777777" w:rsidTr="00780C83">
        <w:trPr>
          <w:trHeight w:val="284"/>
        </w:trPr>
        <w:tc>
          <w:tcPr>
            <w:tcW w:w="1915" w:type="dxa"/>
            <w:hideMark/>
          </w:tcPr>
          <w:p w14:paraId="25EC00B2" w14:textId="77777777"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0 – 120 hodín</w:t>
            </w:r>
          </w:p>
        </w:tc>
        <w:tc>
          <w:tcPr>
            <w:tcW w:w="2049" w:type="dxa"/>
            <w:hideMark/>
          </w:tcPr>
          <w:p w14:paraId="69E36E99" w14:textId="77777777"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33,9</w:t>
            </w:r>
          </w:p>
        </w:tc>
        <w:tc>
          <w:tcPr>
            <w:tcW w:w="1843" w:type="dxa"/>
            <w:hideMark/>
          </w:tcPr>
          <w:p w14:paraId="5516DDCA" w14:textId="77777777"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22,5</w:t>
            </w:r>
          </w:p>
        </w:tc>
        <w:tc>
          <w:tcPr>
            <w:tcW w:w="1853" w:type="dxa"/>
            <w:hideMark/>
          </w:tcPr>
          <w:p w14:paraId="69477209" w14:textId="77777777"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11,4</w:t>
            </w:r>
          </w:p>
        </w:tc>
        <w:tc>
          <w:tcPr>
            <w:tcW w:w="1916" w:type="dxa"/>
            <w:hideMark/>
          </w:tcPr>
          <w:p w14:paraId="74EEB36F" w14:textId="77777777" w:rsidR="00671458" w:rsidRPr="00780C83" w:rsidRDefault="00671458" w:rsidP="00780C83">
            <w:pPr>
              <w:pStyle w:val="Tabulkynormlndoblokuzarovnndoleva"/>
              <w:spacing w:after="0"/>
              <w:rPr>
                <w:rFonts w:ascii="Times New Roman" w:hAnsi="Times New Roman" w:cs="Times New Roman"/>
                <w:sz w:val="22"/>
                <w:szCs w:val="22"/>
              </w:rPr>
            </w:pPr>
            <w:r w:rsidRPr="00780C83">
              <w:rPr>
                <w:rFonts w:ascii="Times New Roman" w:hAnsi="Times New Roman" w:cs="Times New Roman"/>
                <w:szCs w:val="22"/>
                <w:lang w:val="sk-SK"/>
              </w:rPr>
              <w:t>0,014</w:t>
            </w:r>
          </w:p>
        </w:tc>
      </w:tr>
    </w:tbl>
    <w:p w14:paraId="7106D746" w14:textId="0205CC23" w:rsidR="00E779C0" w:rsidRPr="00105E69" w:rsidRDefault="00FA3210" w:rsidP="00780C83">
      <w:pPr>
        <w:pStyle w:val="Normlndobloku"/>
        <w:spacing w:after="0"/>
        <w:jc w:val="left"/>
      </w:pPr>
      <w:r w:rsidRPr="00105E69">
        <w:rPr>
          <w:vertAlign w:val="superscript"/>
        </w:rPr>
        <w:t>a</w:t>
      </w:r>
      <w:r w:rsidRPr="00105E69">
        <w:t xml:space="preserve"> </w:t>
      </w:r>
      <w:r w:rsidR="00E779C0" w:rsidRPr="00105E69">
        <w:t>Skupina pacientov</w:t>
      </w:r>
      <w:r w:rsidR="00094379">
        <w:t xml:space="preserve"> so </w:t>
      </w:r>
      <w:r w:rsidR="00E779C0" w:rsidRPr="00105E69">
        <w:t>zámer</w:t>
      </w:r>
      <w:r w:rsidR="00094379">
        <w:t>om</w:t>
      </w:r>
      <w:r w:rsidR="00E779C0" w:rsidRPr="00105E69">
        <w:t xml:space="preserve"> lieč</w:t>
      </w:r>
      <w:r w:rsidR="00094379">
        <w:t>by</w:t>
      </w:r>
    </w:p>
    <w:p w14:paraId="2E7D8993" w14:textId="692929F6" w:rsidR="00E779C0" w:rsidRPr="00E52021" w:rsidRDefault="00FA3210" w:rsidP="00780C83">
      <w:pPr>
        <w:pStyle w:val="Normlndobloku"/>
        <w:spacing w:after="0"/>
        <w:jc w:val="left"/>
        <w:rPr>
          <w:sz w:val="13"/>
        </w:rPr>
      </w:pPr>
      <w:r w:rsidRPr="00105E69">
        <w:rPr>
          <w:vertAlign w:val="superscript"/>
        </w:rPr>
        <w:t>b</w:t>
      </w:r>
      <w:r>
        <w:rPr>
          <w:vertAlign w:val="superscript"/>
        </w:rPr>
        <w:t> </w:t>
      </w:r>
      <w:r w:rsidR="00E779C0" w:rsidRPr="00105E69">
        <w:t>Štúdie boli navrhnuté so zá</w:t>
      </w:r>
      <w:r w:rsidR="0030132A" w:rsidRPr="00105E69">
        <w:t xml:space="preserve">merom ukázať </w:t>
      </w:r>
      <w:proofErr w:type="spellStart"/>
      <w:r w:rsidR="0030132A" w:rsidRPr="008D6195">
        <w:t>non</w:t>
      </w:r>
      <w:r w:rsidR="00310CAA" w:rsidRPr="008D6195">
        <w:t>-</w:t>
      </w:r>
      <w:r w:rsidR="0030132A" w:rsidRPr="008D6195">
        <w:t>inferioritu</w:t>
      </w:r>
      <w:proofErr w:type="spellEnd"/>
      <w:r w:rsidR="00E779C0" w:rsidRPr="008D6195">
        <w:t>.</w:t>
      </w:r>
      <w:r w:rsidR="00E779C0" w:rsidRPr="00105E69">
        <w:t xml:space="preserve"> Spodná hranica vyššia než –15 % demonštruje</w:t>
      </w:r>
      <w:r w:rsidR="00094379">
        <w:t xml:space="preserve"> </w:t>
      </w:r>
      <w:proofErr w:type="spellStart"/>
      <w:r w:rsidR="00094379">
        <w:t>non-inferioritu</w:t>
      </w:r>
      <w:proofErr w:type="spellEnd"/>
      <w:r w:rsidR="00094379">
        <w:t xml:space="preserve"> medzi</w:t>
      </w:r>
      <w:r w:rsidR="00E779C0" w:rsidRPr="00105E69">
        <w:t xml:space="preserve"> </w:t>
      </w:r>
      <w:proofErr w:type="spellStart"/>
      <w:r w:rsidR="00E779C0" w:rsidRPr="00105E69">
        <w:t>palonosetrónom</w:t>
      </w:r>
      <w:proofErr w:type="spellEnd"/>
      <w:r w:rsidR="007726A9" w:rsidRPr="00105E69">
        <w:t xml:space="preserve"> </w:t>
      </w:r>
      <w:r w:rsidR="00094379">
        <w:t>a </w:t>
      </w:r>
      <w:r w:rsidR="00E779C0" w:rsidRPr="00105E69">
        <w:t>porovnávan</w:t>
      </w:r>
      <w:r w:rsidR="00094379">
        <w:t>ým liečivom</w:t>
      </w:r>
      <w:r w:rsidR="00E779C0" w:rsidRPr="00105E69">
        <w:t>.</w:t>
      </w:r>
    </w:p>
    <w:p w14:paraId="21138A85" w14:textId="0E2A80C5" w:rsidR="00E779C0" w:rsidRDefault="00FA3210" w:rsidP="00780C83">
      <w:pPr>
        <w:pStyle w:val="Normlndobloku"/>
        <w:spacing w:after="0"/>
        <w:jc w:val="left"/>
      </w:pPr>
      <w:r w:rsidRPr="00105E69">
        <w:rPr>
          <w:vertAlign w:val="superscript"/>
        </w:rPr>
        <w:t>c</w:t>
      </w:r>
      <w:r>
        <w:t> </w:t>
      </w:r>
      <w:proofErr w:type="spellStart"/>
      <w:r w:rsidR="00E779C0" w:rsidRPr="00105E69">
        <w:t>Chi</w:t>
      </w:r>
      <w:proofErr w:type="spellEnd"/>
      <w:r w:rsidR="00E779C0" w:rsidRPr="00105E69">
        <w:t>-kvadrát test. Hranica významnosti pri α=0,05.</w:t>
      </w:r>
    </w:p>
    <w:p w14:paraId="5F9E4C60" w14:textId="77777777" w:rsidR="00B32054" w:rsidRPr="00105E69" w:rsidRDefault="00B32054" w:rsidP="00780C83">
      <w:pPr>
        <w:pStyle w:val="Normlndobloku"/>
        <w:spacing w:after="0"/>
        <w:jc w:val="left"/>
      </w:pPr>
    </w:p>
    <w:p w14:paraId="05B5DA0D" w14:textId="77777777" w:rsidR="0030132A" w:rsidRPr="00105E69" w:rsidRDefault="0030132A" w:rsidP="0098040B">
      <w:pPr>
        <w:pStyle w:val="Styl2-2"/>
      </w:pPr>
      <w:r w:rsidRPr="00E52021">
        <w:t>Tabuľka 3: Percentuálne zastúpenie pacientov</w:t>
      </w:r>
      <w:r w:rsidR="00FA3210" w:rsidRPr="00105E69">
        <w:rPr>
          <w:vertAlign w:val="superscript"/>
        </w:rPr>
        <w:t>a</w:t>
      </w:r>
      <w:r w:rsidRPr="00E52021">
        <w:t xml:space="preserve"> reagujúcich na liečbu podľa liečebnej skupiny a fázy v štúdii s vysoko </w:t>
      </w:r>
      <w:proofErr w:type="spellStart"/>
      <w:r w:rsidRPr="00E52021">
        <w:t>emetogénnou</w:t>
      </w:r>
      <w:proofErr w:type="spellEnd"/>
      <w:r w:rsidRPr="00E52021">
        <w:t xml:space="preserve"> chemoterapiou v porovnaní s </w:t>
      </w:r>
      <w:proofErr w:type="spellStart"/>
      <w:r w:rsidRPr="00E52021">
        <w:t>ondansetrónom</w:t>
      </w:r>
      <w:proofErr w:type="spellEnd"/>
      <w:r w:rsidRPr="00E52021">
        <w:t>.</w:t>
      </w:r>
    </w:p>
    <w:tbl>
      <w:tblPr>
        <w:tblStyle w:val="Mriekatabuky"/>
        <w:tblW w:w="9576" w:type="dxa"/>
        <w:tblLayout w:type="fixed"/>
        <w:tblCellMar>
          <w:top w:w="28" w:type="dxa"/>
          <w:left w:w="85" w:type="dxa"/>
          <w:bottom w:w="28" w:type="dxa"/>
          <w:right w:w="85" w:type="dxa"/>
        </w:tblCellMar>
        <w:tblLook w:val="04A0" w:firstRow="1" w:lastRow="0" w:firstColumn="1" w:lastColumn="0" w:noHBand="0" w:noVBand="1"/>
      </w:tblPr>
      <w:tblGrid>
        <w:gridCol w:w="1915"/>
        <w:gridCol w:w="2049"/>
        <w:gridCol w:w="1843"/>
        <w:gridCol w:w="1853"/>
        <w:gridCol w:w="1916"/>
      </w:tblGrid>
      <w:tr w:rsidR="00514615" w:rsidRPr="008D6195" w14:paraId="1F786ED7" w14:textId="77777777" w:rsidTr="00780C83">
        <w:trPr>
          <w:trHeight w:val="517"/>
          <w:tblHeader/>
        </w:trPr>
        <w:tc>
          <w:tcPr>
            <w:tcW w:w="1915" w:type="dxa"/>
            <w:noWrap/>
            <w:hideMark/>
          </w:tcPr>
          <w:p w14:paraId="2C7ACE02" w14:textId="77777777" w:rsidR="0030132A" w:rsidRPr="00780C83" w:rsidRDefault="0030132A" w:rsidP="00780C83">
            <w:pPr>
              <w:pStyle w:val="Nadpisuvnittabulky"/>
              <w:spacing w:before="0" w:after="0"/>
              <w:jc w:val="left"/>
              <w:rPr>
                <w:b w:val="0"/>
                <w:sz w:val="22"/>
                <w:szCs w:val="22"/>
              </w:rPr>
            </w:pPr>
            <w:r w:rsidRPr="00780C83">
              <w:rPr>
                <w:b w:val="0"/>
                <w:szCs w:val="22"/>
                <w:lang w:val="sk-SK"/>
              </w:rPr>
              <w:t> </w:t>
            </w:r>
          </w:p>
        </w:tc>
        <w:tc>
          <w:tcPr>
            <w:tcW w:w="2049" w:type="dxa"/>
            <w:hideMark/>
          </w:tcPr>
          <w:p w14:paraId="7E3DFFC9" w14:textId="0F9AABDC" w:rsidR="0030132A" w:rsidRPr="00780C83" w:rsidRDefault="0030132A" w:rsidP="00780C83">
            <w:pPr>
              <w:pStyle w:val="Nadpisuvnittabulky"/>
              <w:spacing w:before="0" w:after="0"/>
              <w:jc w:val="left"/>
              <w:rPr>
                <w:b w:val="0"/>
                <w:sz w:val="22"/>
                <w:szCs w:val="22"/>
              </w:rPr>
            </w:pPr>
            <w:proofErr w:type="spellStart"/>
            <w:r w:rsidRPr="00780C83">
              <w:rPr>
                <w:b w:val="0"/>
                <w:szCs w:val="22"/>
                <w:lang w:val="sk-SK"/>
              </w:rPr>
              <w:t>Palonosetrón</w:t>
            </w:r>
            <w:proofErr w:type="spellEnd"/>
            <w:r w:rsidRPr="00780C83">
              <w:rPr>
                <w:b w:val="0"/>
                <w:szCs w:val="22"/>
                <w:lang w:val="sk-SK"/>
              </w:rPr>
              <w:t xml:space="preserve"> 250</w:t>
            </w:r>
            <w:r w:rsidR="001F2F95" w:rsidRPr="00780C83">
              <w:rPr>
                <w:b w:val="0"/>
                <w:szCs w:val="22"/>
                <w:lang w:val="sk-SK"/>
              </w:rPr>
              <w:t> </w:t>
            </w:r>
            <w:proofErr w:type="spellStart"/>
            <w:r w:rsidRPr="00780C83">
              <w:rPr>
                <w:b w:val="0"/>
                <w:szCs w:val="22"/>
                <w:lang w:val="sk-SK"/>
              </w:rPr>
              <w:t>mikrogramov</w:t>
            </w:r>
            <w:proofErr w:type="spellEnd"/>
            <w:r w:rsidRPr="00780C83">
              <w:rPr>
                <w:b w:val="0"/>
                <w:szCs w:val="22"/>
                <w:lang w:val="sk-SK"/>
              </w:rPr>
              <w:t xml:space="preserve"> (n=223)</w:t>
            </w:r>
          </w:p>
        </w:tc>
        <w:tc>
          <w:tcPr>
            <w:tcW w:w="1843" w:type="dxa"/>
            <w:hideMark/>
          </w:tcPr>
          <w:p w14:paraId="2B8AB2CA" w14:textId="6B3BAE90" w:rsidR="0030132A" w:rsidRPr="00780C83" w:rsidRDefault="0030132A" w:rsidP="00780C83">
            <w:pPr>
              <w:pStyle w:val="Nadpisuvnittabulky"/>
              <w:spacing w:before="0" w:after="0"/>
              <w:jc w:val="left"/>
              <w:rPr>
                <w:b w:val="0"/>
                <w:sz w:val="22"/>
                <w:szCs w:val="22"/>
              </w:rPr>
            </w:pPr>
            <w:proofErr w:type="spellStart"/>
            <w:r w:rsidRPr="00780C83">
              <w:rPr>
                <w:b w:val="0"/>
                <w:szCs w:val="22"/>
                <w:lang w:val="sk-SK"/>
              </w:rPr>
              <w:t>Onda</w:t>
            </w:r>
            <w:r w:rsidR="008D6195" w:rsidRPr="00780C83">
              <w:rPr>
                <w:b w:val="0"/>
                <w:szCs w:val="22"/>
                <w:lang w:val="sk-SK"/>
              </w:rPr>
              <w:t>n</w:t>
            </w:r>
            <w:r w:rsidRPr="00780C83">
              <w:rPr>
                <w:b w:val="0"/>
                <w:szCs w:val="22"/>
                <w:lang w:val="sk-SK"/>
              </w:rPr>
              <w:t>setrón</w:t>
            </w:r>
            <w:proofErr w:type="spellEnd"/>
            <w:r w:rsidRPr="00780C83">
              <w:rPr>
                <w:b w:val="0"/>
                <w:szCs w:val="22"/>
                <w:lang w:val="sk-SK"/>
              </w:rPr>
              <w:t xml:space="preserve"> </w:t>
            </w:r>
            <w:r w:rsidR="00404BC3">
              <w:rPr>
                <w:b w:val="0"/>
                <w:sz w:val="22"/>
                <w:szCs w:val="22"/>
                <w:lang w:val="sk-SK"/>
              </w:rPr>
              <w:t>32</w:t>
            </w:r>
            <w:r w:rsidR="001F2F95" w:rsidRPr="00780C83">
              <w:rPr>
                <w:b w:val="0"/>
                <w:szCs w:val="22"/>
                <w:lang w:val="sk-SK"/>
              </w:rPr>
              <w:t> </w:t>
            </w:r>
            <w:r w:rsidRPr="00780C83">
              <w:rPr>
                <w:b w:val="0"/>
                <w:szCs w:val="22"/>
                <w:lang w:val="sk-SK"/>
              </w:rPr>
              <w:t>miligramov (n=221)</w:t>
            </w:r>
          </w:p>
        </w:tc>
        <w:tc>
          <w:tcPr>
            <w:tcW w:w="1853" w:type="dxa"/>
            <w:noWrap/>
            <w:hideMark/>
          </w:tcPr>
          <w:p w14:paraId="02F9B119" w14:textId="77777777" w:rsidR="0030132A" w:rsidRPr="00780C83" w:rsidRDefault="0030132A" w:rsidP="00780C83">
            <w:pPr>
              <w:pStyle w:val="Nadpisuvnittabulky"/>
              <w:spacing w:before="0" w:after="0"/>
              <w:jc w:val="left"/>
              <w:rPr>
                <w:b w:val="0"/>
                <w:sz w:val="22"/>
                <w:szCs w:val="22"/>
              </w:rPr>
            </w:pPr>
            <w:r w:rsidRPr="00780C83">
              <w:rPr>
                <w:b w:val="0"/>
                <w:szCs w:val="22"/>
                <w:lang w:val="sk-SK"/>
              </w:rPr>
              <w:t>Rozdiel</w:t>
            </w:r>
          </w:p>
        </w:tc>
        <w:tc>
          <w:tcPr>
            <w:tcW w:w="1916" w:type="dxa"/>
            <w:noWrap/>
            <w:hideMark/>
          </w:tcPr>
          <w:p w14:paraId="400BCB06" w14:textId="77777777" w:rsidR="0030132A" w:rsidRPr="00780C83" w:rsidRDefault="0030132A" w:rsidP="00780C83">
            <w:pPr>
              <w:pStyle w:val="Nadpisuvnittabulky"/>
              <w:spacing w:before="0" w:after="0"/>
              <w:jc w:val="left"/>
              <w:rPr>
                <w:b w:val="0"/>
                <w:sz w:val="22"/>
                <w:szCs w:val="22"/>
              </w:rPr>
            </w:pPr>
            <w:r w:rsidRPr="00780C83">
              <w:rPr>
                <w:b w:val="0"/>
                <w:szCs w:val="22"/>
                <w:lang w:val="sk-SK"/>
              </w:rPr>
              <w:t> </w:t>
            </w:r>
          </w:p>
        </w:tc>
      </w:tr>
      <w:tr w:rsidR="00A910E2" w:rsidRPr="008D6195" w14:paraId="18849AA7" w14:textId="77777777" w:rsidTr="00780C83">
        <w:trPr>
          <w:trHeight w:val="284"/>
        </w:trPr>
        <w:tc>
          <w:tcPr>
            <w:tcW w:w="1915" w:type="dxa"/>
            <w:noWrap/>
          </w:tcPr>
          <w:p w14:paraId="6A40E76C" w14:textId="77777777" w:rsidR="00A910E2" w:rsidRPr="00404BC3" w:rsidRDefault="00A910E2" w:rsidP="00780C83">
            <w:pPr>
              <w:pStyle w:val="Tabulkynormlndoblokuzarovnndoleva"/>
              <w:spacing w:after="0"/>
              <w:rPr>
                <w:sz w:val="22"/>
                <w:szCs w:val="22"/>
                <w:lang w:val="sk-SK"/>
              </w:rPr>
            </w:pPr>
          </w:p>
        </w:tc>
        <w:tc>
          <w:tcPr>
            <w:tcW w:w="2049" w:type="dxa"/>
          </w:tcPr>
          <w:p w14:paraId="56FB18B6" w14:textId="77777777" w:rsidR="00A910E2" w:rsidRPr="00404BC3" w:rsidRDefault="00A910E2" w:rsidP="00780C83">
            <w:pPr>
              <w:pStyle w:val="Tabulkynormlndoblokuzarovnndoleva"/>
              <w:spacing w:after="0"/>
              <w:rPr>
                <w:sz w:val="22"/>
                <w:szCs w:val="22"/>
                <w:lang w:val="sk-SK"/>
              </w:rPr>
            </w:pPr>
            <w:r w:rsidRPr="00404BC3">
              <w:rPr>
                <w:sz w:val="22"/>
                <w:szCs w:val="22"/>
                <w:lang w:val="sk-SK"/>
              </w:rPr>
              <w:t>%</w:t>
            </w:r>
          </w:p>
        </w:tc>
        <w:tc>
          <w:tcPr>
            <w:tcW w:w="1843" w:type="dxa"/>
          </w:tcPr>
          <w:p w14:paraId="79EFEF55" w14:textId="77777777" w:rsidR="00A910E2" w:rsidRPr="00404BC3" w:rsidRDefault="00A910E2" w:rsidP="00780C83">
            <w:pPr>
              <w:pStyle w:val="Tabulkynormlndoblokuzarovnndoleva"/>
              <w:spacing w:after="0"/>
              <w:rPr>
                <w:sz w:val="22"/>
                <w:szCs w:val="22"/>
                <w:lang w:val="sk-SK"/>
              </w:rPr>
            </w:pPr>
            <w:r w:rsidRPr="00404BC3">
              <w:rPr>
                <w:sz w:val="22"/>
                <w:szCs w:val="22"/>
                <w:lang w:val="sk-SK"/>
              </w:rPr>
              <w:t>%</w:t>
            </w:r>
          </w:p>
        </w:tc>
        <w:tc>
          <w:tcPr>
            <w:tcW w:w="1853" w:type="dxa"/>
            <w:noWrap/>
          </w:tcPr>
          <w:p w14:paraId="04BD7B54" w14:textId="77777777" w:rsidR="00A910E2" w:rsidRPr="0098040B" w:rsidRDefault="00A910E2" w:rsidP="00780C83">
            <w:pPr>
              <w:pStyle w:val="Tabulkynormlndoblokuzarovnndoleva"/>
              <w:spacing w:after="0"/>
              <w:rPr>
                <w:sz w:val="22"/>
                <w:szCs w:val="22"/>
                <w:lang w:val="sk-SK"/>
              </w:rPr>
            </w:pPr>
            <w:r w:rsidRPr="0098040B">
              <w:rPr>
                <w:sz w:val="22"/>
                <w:szCs w:val="22"/>
                <w:lang w:val="sk-SK"/>
              </w:rPr>
              <w:t>%</w:t>
            </w:r>
          </w:p>
        </w:tc>
        <w:tc>
          <w:tcPr>
            <w:tcW w:w="1916" w:type="dxa"/>
            <w:noWrap/>
          </w:tcPr>
          <w:p w14:paraId="74310B1F" w14:textId="77777777" w:rsidR="00A910E2" w:rsidRPr="0098040B" w:rsidRDefault="00A910E2" w:rsidP="00780C83">
            <w:pPr>
              <w:pStyle w:val="Tabulkynormlndoblokuzarovnndoleva"/>
              <w:spacing w:after="0"/>
              <w:rPr>
                <w:sz w:val="22"/>
                <w:szCs w:val="22"/>
                <w:lang w:val="sk-SK"/>
              </w:rPr>
            </w:pPr>
          </w:p>
        </w:tc>
      </w:tr>
      <w:tr w:rsidR="00A910E2" w:rsidRPr="008D6195" w14:paraId="63495F5C" w14:textId="77777777" w:rsidTr="00780C83">
        <w:trPr>
          <w:trHeight w:val="284"/>
        </w:trPr>
        <w:tc>
          <w:tcPr>
            <w:tcW w:w="7660" w:type="dxa"/>
            <w:gridSpan w:val="4"/>
          </w:tcPr>
          <w:p w14:paraId="322DABD8" w14:textId="77777777" w:rsidR="00A910E2" w:rsidRPr="00404BC3" w:rsidRDefault="00A910E2" w:rsidP="00780C83">
            <w:pPr>
              <w:pStyle w:val="Nadpisuvnittabulky"/>
              <w:spacing w:before="0" w:after="0"/>
              <w:jc w:val="left"/>
              <w:rPr>
                <w:sz w:val="22"/>
                <w:szCs w:val="22"/>
              </w:rPr>
            </w:pPr>
            <w:r w:rsidRPr="00494EA4">
              <w:rPr>
                <w:szCs w:val="22"/>
                <w:lang w:val="sk-SK"/>
              </w:rPr>
              <w:t>Úplná odpoveď na liečbu (Žiadne vracanie a žiadna záchranná medikácia)</w:t>
            </w:r>
          </w:p>
        </w:tc>
        <w:tc>
          <w:tcPr>
            <w:tcW w:w="1916" w:type="dxa"/>
          </w:tcPr>
          <w:p w14:paraId="1D2659A2" w14:textId="77777777" w:rsidR="00A910E2" w:rsidRPr="00404BC3" w:rsidRDefault="00A910E2" w:rsidP="00780C83">
            <w:pPr>
              <w:pStyle w:val="Nadpisuvnittabulky"/>
              <w:spacing w:before="0" w:after="0"/>
              <w:jc w:val="left"/>
              <w:rPr>
                <w:sz w:val="22"/>
                <w:szCs w:val="22"/>
              </w:rPr>
            </w:pPr>
            <w:r w:rsidRPr="00494EA4">
              <w:rPr>
                <w:szCs w:val="22"/>
                <w:lang w:val="sk-SK"/>
              </w:rPr>
              <w:t xml:space="preserve">97,5 % </w:t>
            </w:r>
            <w:proofErr w:type="spellStart"/>
            <w:r w:rsidRPr="00494EA4">
              <w:rPr>
                <w:szCs w:val="22"/>
                <w:lang w:val="sk-SK"/>
              </w:rPr>
              <w:t>CI</w:t>
            </w:r>
            <w:r w:rsidRPr="00494EA4">
              <w:rPr>
                <w:szCs w:val="22"/>
                <w:vertAlign w:val="superscript"/>
                <w:lang w:val="sk-SK"/>
              </w:rPr>
              <w:t>b</w:t>
            </w:r>
            <w:proofErr w:type="spellEnd"/>
          </w:p>
        </w:tc>
      </w:tr>
      <w:tr w:rsidR="00514615" w:rsidRPr="008D6195" w14:paraId="786CA880" w14:textId="77777777" w:rsidTr="00780C83">
        <w:trPr>
          <w:trHeight w:val="284"/>
        </w:trPr>
        <w:tc>
          <w:tcPr>
            <w:tcW w:w="1915" w:type="dxa"/>
            <w:hideMark/>
          </w:tcPr>
          <w:p w14:paraId="10DC3F84" w14:textId="77777777" w:rsidR="0030132A" w:rsidRPr="00404BC3" w:rsidRDefault="0030132A" w:rsidP="00780C83">
            <w:pPr>
              <w:pStyle w:val="Styl4"/>
              <w:spacing w:after="0"/>
              <w:jc w:val="left"/>
              <w:rPr>
                <w:sz w:val="22"/>
              </w:rPr>
            </w:pPr>
            <w:r w:rsidRPr="00094379">
              <w:t>0 – 24 hodín</w:t>
            </w:r>
          </w:p>
        </w:tc>
        <w:tc>
          <w:tcPr>
            <w:tcW w:w="2049" w:type="dxa"/>
            <w:hideMark/>
          </w:tcPr>
          <w:p w14:paraId="6C7D5E6D" w14:textId="77777777" w:rsidR="0030132A" w:rsidRPr="00404BC3" w:rsidRDefault="0030132A" w:rsidP="00780C83">
            <w:pPr>
              <w:pStyle w:val="Styl4"/>
              <w:spacing w:after="0"/>
              <w:jc w:val="left"/>
              <w:rPr>
                <w:sz w:val="22"/>
              </w:rPr>
            </w:pPr>
            <w:r w:rsidRPr="00094379">
              <w:t>59,2</w:t>
            </w:r>
          </w:p>
        </w:tc>
        <w:tc>
          <w:tcPr>
            <w:tcW w:w="1843" w:type="dxa"/>
            <w:hideMark/>
          </w:tcPr>
          <w:p w14:paraId="209C73A3" w14:textId="1BE6171A" w:rsidR="0030132A" w:rsidRPr="00404BC3" w:rsidRDefault="0030132A" w:rsidP="00780C83">
            <w:pPr>
              <w:pStyle w:val="Styl4"/>
              <w:spacing w:after="0"/>
              <w:jc w:val="left"/>
              <w:rPr>
                <w:sz w:val="22"/>
              </w:rPr>
            </w:pPr>
            <w:r w:rsidRPr="00094379">
              <w:t>57</w:t>
            </w:r>
            <w:r w:rsidR="00404BC3">
              <w:rPr>
                <w:sz w:val="22"/>
              </w:rPr>
              <w:t>,0</w:t>
            </w:r>
          </w:p>
        </w:tc>
        <w:tc>
          <w:tcPr>
            <w:tcW w:w="1853" w:type="dxa"/>
            <w:hideMark/>
          </w:tcPr>
          <w:p w14:paraId="2D0CE73E" w14:textId="77777777" w:rsidR="0030132A" w:rsidRPr="00404BC3" w:rsidRDefault="0030132A" w:rsidP="00780C83">
            <w:pPr>
              <w:pStyle w:val="Styl4"/>
              <w:spacing w:after="0"/>
              <w:jc w:val="left"/>
              <w:rPr>
                <w:sz w:val="22"/>
              </w:rPr>
            </w:pPr>
            <w:r w:rsidRPr="00094379">
              <w:t>2,2</w:t>
            </w:r>
          </w:p>
        </w:tc>
        <w:tc>
          <w:tcPr>
            <w:tcW w:w="1916" w:type="dxa"/>
            <w:hideMark/>
          </w:tcPr>
          <w:p w14:paraId="631003BF" w14:textId="77777777" w:rsidR="0030132A" w:rsidRPr="00404BC3" w:rsidRDefault="00514615" w:rsidP="00780C83">
            <w:pPr>
              <w:pStyle w:val="Styl4"/>
              <w:spacing w:after="0"/>
              <w:jc w:val="left"/>
              <w:rPr>
                <w:sz w:val="22"/>
              </w:rPr>
            </w:pPr>
            <w:r w:rsidRPr="00094379">
              <w:t>[-8,8 %, 13,1 </w:t>
            </w:r>
            <w:r w:rsidR="0030132A" w:rsidRPr="00094379">
              <w:t>%]</w:t>
            </w:r>
          </w:p>
        </w:tc>
      </w:tr>
      <w:tr w:rsidR="00514615" w:rsidRPr="008D6195" w14:paraId="134DC029" w14:textId="77777777" w:rsidTr="00780C83">
        <w:trPr>
          <w:trHeight w:val="284"/>
        </w:trPr>
        <w:tc>
          <w:tcPr>
            <w:tcW w:w="1915" w:type="dxa"/>
            <w:hideMark/>
          </w:tcPr>
          <w:p w14:paraId="7B8928D6" w14:textId="77777777" w:rsidR="0030132A" w:rsidRPr="00404BC3" w:rsidRDefault="0030132A" w:rsidP="00780C83">
            <w:pPr>
              <w:pStyle w:val="Styl4"/>
              <w:spacing w:after="0"/>
              <w:jc w:val="left"/>
              <w:rPr>
                <w:sz w:val="22"/>
              </w:rPr>
            </w:pPr>
            <w:r w:rsidRPr="00094379">
              <w:t>24 – 120 hodín</w:t>
            </w:r>
          </w:p>
        </w:tc>
        <w:tc>
          <w:tcPr>
            <w:tcW w:w="2049" w:type="dxa"/>
            <w:hideMark/>
          </w:tcPr>
          <w:p w14:paraId="57F0A0FD" w14:textId="77777777" w:rsidR="0030132A" w:rsidRPr="00404BC3" w:rsidRDefault="0030132A" w:rsidP="00780C83">
            <w:pPr>
              <w:pStyle w:val="Styl4"/>
              <w:spacing w:after="0"/>
              <w:jc w:val="left"/>
              <w:rPr>
                <w:sz w:val="22"/>
              </w:rPr>
            </w:pPr>
            <w:r w:rsidRPr="00094379">
              <w:t>45,3</w:t>
            </w:r>
          </w:p>
        </w:tc>
        <w:tc>
          <w:tcPr>
            <w:tcW w:w="1843" w:type="dxa"/>
            <w:hideMark/>
          </w:tcPr>
          <w:p w14:paraId="455CDE81" w14:textId="77777777" w:rsidR="0030132A" w:rsidRPr="00404BC3" w:rsidRDefault="0030132A" w:rsidP="00780C83">
            <w:pPr>
              <w:pStyle w:val="Styl4"/>
              <w:spacing w:after="0"/>
              <w:jc w:val="left"/>
              <w:rPr>
                <w:sz w:val="22"/>
              </w:rPr>
            </w:pPr>
            <w:r w:rsidRPr="00094379">
              <w:t>38,9</w:t>
            </w:r>
          </w:p>
        </w:tc>
        <w:tc>
          <w:tcPr>
            <w:tcW w:w="1853" w:type="dxa"/>
            <w:hideMark/>
          </w:tcPr>
          <w:p w14:paraId="16D0D77A" w14:textId="77777777" w:rsidR="0030132A" w:rsidRPr="00404BC3" w:rsidRDefault="0030132A" w:rsidP="00780C83">
            <w:pPr>
              <w:pStyle w:val="Styl4"/>
              <w:spacing w:after="0"/>
              <w:jc w:val="left"/>
              <w:rPr>
                <w:sz w:val="22"/>
              </w:rPr>
            </w:pPr>
            <w:r w:rsidRPr="00094379">
              <w:t>6,4</w:t>
            </w:r>
          </w:p>
        </w:tc>
        <w:tc>
          <w:tcPr>
            <w:tcW w:w="1916" w:type="dxa"/>
            <w:hideMark/>
          </w:tcPr>
          <w:p w14:paraId="64E72A47" w14:textId="77777777" w:rsidR="0030132A" w:rsidRPr="00404BC3" w:rsidRDefault="00514615" w:rsidP="00780C83">
            <w:pPr>
              <w:pStyle w:val="Styl4"/>
              <w:spacing w:after="0"/>
              <w:jc w:val="left"/>
              <w:rPr>
                <w:sz w:val="22"/>
              </w:rPr>
            </w:pPr>
            <w:r w:rsidRPr="00094379">
              <w:t>[-4,6 %, 17,3 </w:t>
            </w:r>
            <w:r w:rsidR="0030132A" w:rsidRPr="00094379">
              <w:t>%]</w:t>
            </w:r>
          </w:p>
        </w:tc>
      </w:tr>
      <w:tr w:rsidR="00514615" w:rsidRPr="008D6195" w14:paraId="3ED9A026" w14:textId="77777777" w:rsidTr="00780C83">
        <w:trPr>
          <w:trHeight w:val="284"/>
        </w:trPr>
        <w:tc>
          <w:tcPr>
            <w:tcW w:w="1915" w:type="dxa"/>
            <w:hideMark/>
          </w:tcPr>
          <w:p w14:paraId="28D19A9F" w14:textId="77777777" w:rsidR="0030132A" w:rsidRPr="00404BC3" w:rsidRDefault="0030132A" w:rsidP="00780C83">
            <w:pPr>
              <w:pStyle w:val="Styl4"/>
              <w:spacing w:after="0"/>
              <w:jc w:val="left"/>
              <w:rPr>
                <w:sz w:val="22"/>
              </w:rPr>
            </w:pPr>
            <w:r w:rsidRPr="00094379">
              <w:t>0 – 120 hodín</w:t>
            </w:r>
          </w:p>
        </w:tc>
        <w:tc>
          <w:tcPr>
            <w:tcW w:w="2049" w:type="dxa"/>
            <w:hideMark/>
          </w:tcPr>
          <w:p w14:paraId="0C25824F" w14:textId="77777777" w:rsidR="0030132A" w:rsidRPr="00404BC3" w:rsidRDefault="0030132A" w:rsidP="00780C83">
            <w:pPr>
              <w:pStyle w:val="Styl4"/>
              <w:spacing w:after="0"/>
              <w:jc w:val="left"/>
              <w:rPr>
                <w:sz w:val="22"/>
              </w:rPr>
            </w:pPr>
            <w:r w:rsidRPr="00094379">
              <w:t>40,8</w:t>
            </w:r>
          </w:p>
        </w:tc>
        <w:tc>
          <w:tcPr>
            <w:tcW w:w="1843" w:type="dxa"/>
            <w:hideMark/>
          </w:tcPr>
          <w:p w14:paraId="1604BB30" w14:textId="6511011B" w:rsidR="0030132A" w:rsidRPr="00404BC3" w:rsidRDefault="0030132A" w:rsidP="00780C83">
            <w:pPr>
              <w:pStyle w:val="Styl4"/>
              <w:spacing w:after="0"/>
              <w:jc w:val="left"/>
              <w:rPr>
                <w:sz w:val="22"/>
              </w:rPr>
            </w:pPr>
            <w:r w:rsidRPr="00094379">
              <w:t>33</w:t>
            </w:r>
            <w:r w:rsidR="00404BC3">
              <w:rPr>
                <w:sz w:val="22"/>
              </w:rPr>
              <w:t>,0</w:t>
            </w:r>
          </w:p>
        </w:tc>
        <w:tc>
          <w:tcPr>
            <w:tcW w:w="1853" w:type="dxa"/>
            <w:hideMark/>
          </w:tcPr>
          <w:p w14:paraId="4E8DD38A" w14:textId="77777777" w:rsidR="0030132A" w:rsidRPr="00404BC3" w:rsidRDefault="0030132A" w:rsidP="00780C83">
            <w:pPr>
              <w:pStyle w:val="Styl4"/>
              <w:spacing w:after="0"/>
              <w:jc w:val="left"/>
              <w:rPr>
                <w:sz w:val="22"/>
              </w:rPr>
            </w:pPr>
            <w:r w:rsidRPr="00094379">
              <w:t>7,8</w:t>
            </w:r>
          </w:p>
        </w:tc>
        <w:tc>
          <w:tcPr>
            <w:tcW w:w="1916" w:type="dxa"/>
            <w:hideMark/>
          </w:tcPr>
          <w:p w14:paraId="31F92A54" w14:textId="77777777" w:rsidR="0030132A" w:rsidRPr="00404BC3" w:rsidRDefault="00514615" w:rsidP="00780C83">
            <w:pPr>
              <w:pStyle w:val="Styl4"/>
              <w:spacing w:after="0"/>
              <w:jc w:val="left"/>
              <w:rPr>
                <w:sz w:val="22"/>
              </w:rPr>
            </w:pPr>
            <w:r w:rsidRPr="00094379">
              <w:t>[-2,9 %, 18,5 </w:t>
            </w:r>
            <w:r w:rsidR="0030132A" w:rsidRPr="00094379">
              <w:t>%]</w:t>
            </w:r>
          </w:p>
        </w:tc>
      </w:tr>
      <w:tr w:rsidR="00A910E2" w:rsidRPr="008D6195" w14:paraId="4755AE1B" w14:textId="77777777" w:rsidTr="00780C83">
        <w:trPr>
          <w:trHeight w:val="284"/>
        </w:trPr>
        <w:tc>
          <w:tcPr>
            <w:tcW w:w="7660" w:type="dxa"/>
            <w:gridSpan w:val="4"/>
          </w:tcPr>
          <w:p w14:paraId="3DE19E28" w14:textId="485D4D21" w:rsidR="00A910E2" w:rsidRPr="00404BC3" w:rsidRDefault="00A910E2" w:rsidP="00780C83">
            <w:pPr>
              <w:pStyle w:val="Nadpisuvnittabulky"/>
              <w:spacing w:before="0" w:after="0"/>
              <w:jc w:val="left"/>
              <w:rPr>
                <w:sz w:val="22"/>
                <w:szCs w:val="22"/>
              </w:rPr>
            </w:pPr>
            <w:r w:rsidRPr="00494EA4">
              <w:rPr>
                <w:szCs w:val="22"/>
                <w:lang w:val="sk-SK"/>
              </w:rPr>
              <w:t>Úpln</w:t>
            </w:r>
            <w:r w:rsidRPr="00404BC3">
              <w:rPr>
                <w:sz w:val="22"/>
                <w:szCs w:val="22"/>
                <w:lang w:val="sk-SK"/>
              </w:rPr>
              <w:t>á</w:t>
            </w:r>
            <w:r w:rsidRPr="00494EA4">
              <w:rPr>
                <w:szCs w:val="22"/>
                <w:lang w:val="sk-SK"/>
              </w:rPr>
              <w:t xml:space="preserve"> kontrola (</w:t>
            </w:r>
            <w:r w:rsidRPr="00404BC3">
              <w:rPr>
                <w:sz w:val="22"/>
                <w:szCs w:val="22"/>
                <w:lang w:val="sk-SK"/>
              </w:rPr>
              <w:t>ú</w:t>
            </w:r>
            <w:r w:rsidRPr="00494EA4">
              <w:rPr>
                <w:szCs w:val="22"/>
                <w:lang w:val="sk-SK"/>
              </w:rPr>
              <w:t>plná odpoveď a nie viac ako mierna nauzea)</w:t>
            </w:r>
          </w:p>
        </w:tc>
        <w:tc>
          <w:tcPr>
            <w:tcW w:w="1916" w:type="dxa"/>
          </w:tcPr>
          <w:p w14:paraId="137D41E5" w14:textId="77777777" w:rsidR="00A910E2" w:rsidRPr="00404BC3" w:rsidRDefault="00A910E2" w:rsidP="00780C83">
            <w:pPr>
              <w:pStyle w:val="Nadpisuvnittabulky"/>
              <w:spacing w:before="0" w:after="0"/>
              <w:jc w:val="left"/>
              <w:rPr>
                <w:sz w:val="22"/>
                <w:szCs w:val="22"/>
              </w:rPr>
            </w:pPr>
            <w:r w:rsidRPr="00494EA4">
              <w:rPr>
                <w:szCs w:val="22"/>
                <w:lang w:val="sk-SK"/>
              </w:rPr>
              <w:t>hodnota p</w:t>
            </w:r>
            <w:r w:rsidRPr="00494EA4">
              <w:rPr>
                <w:szCs w:val="22"/>
                <w:vertAlign w:val="superscript"/>
                <w:lang w:val="sk-SK"/>
              </w:rPr>
              <w:t>c</w:t>
            </w:r>
          </w:p>
        </w:tc>
      </w:tr>
      <w:tr w:rsidR="00514615" w:rsidRPr="008D6195" w14:paraId="47D65B96" w14:textId="77777777" w:rsidTr="00780C83">
        <w:trPr>
          <w:trHeight w:val="284"/>
        </w:trPr>
        <w:tc>
          <w:tcPr>
            <w:tcW w:w="1915" w:type="dxa"/>
            <w:hideMark/>
          </w:tcPr>
          <w:p w14:paraId="3D051953" w14:textId="77777777" w:rsidR="0030132A" w:rsidRPr="00404BC3" w:rsidRDefault="0030132A" w:rsidP="00780C83">
            <w:pPr>
              <w:pStyle w:val="Styl4"/>
              <w:spacing w:after="0"/>
              <w:jc w:val="left"/>
              <w:rPr>
                <w:sz w:val="22"/>
              </w:rPr>
            </w:pPr>
            <w:r w:rsidRPr="00094379">
              <w:t>0 – 24 hodín</w:t>
            </w:r>
          </w:p>
        </w:tc>
        <w:tc>
          <w:tcPr>
            <w:tcW w:w="2049" w:type="dxa"/>
            <w:hideMark/>
          </w:tcPr>
          <w:p w14:paraId="07A964FD" w14:textId="77777777" w:rsidR="0030132A" w:rsidRPr="00404BC3" w:rsidRDefault="0030132A" w:rsidP="00780C83">
            <w:pPr>
              <w:pStyle w:val="Styl4"/>
              <w:spacing w:after="0"/>
              <w:jc w:val="left"/>
              <w:rPr>
                <w:sz w:val="22"/>
              </w:rPr>
            </w:pPr>
            <w:r w:rsidRPr="00094379">
              <w:t>56,5</w:t>
            </w:r>
          </w:p>
        </w:tc>
        <w:tc>
          <w:tcPr>
            <w:tcW w:w="1843" w:type="dxa"/>
            <w:hideMark/>
          </w:tcPr>
          <w:p w14:paraId="0893FD9A" w14:textId="77777777" w:rsidR="0030132A" w:rsidRPr="00404BC3" w:rsidRDefault="0030132A" w:rsidP="00780C83">
            <w:pPr>
              <w:pStyle w:val="Styl4"/>
              <w:spacing w:after="0"/>
              <w:jc w:val="left"/>
              <w:rPr>
                <w:sz w:val="22"/>
              </w:rPr>
            </w:pPr>
            <w:r w:rsidRPr="00094379">
              <w:t>51,6</w:t>
            </w:r>
          </w:p>
        </w:tc>
        <w:tc>
          <w:tcPr>
            <w:tcW w:w="1853" w:type="dxa"/>
            <w:hideMark/>
          </w:tcPr>
          <w:p w14:paraId="3074BF8F" w14:textId="77777777" w:rsidR="0030132A" w:rsidRPr="00404BC3" w:rsidRDefault="0030132A" w:rsidP="00780C83">
            <w:pPr>
              <w:pStyle w:val="Styl4"/>
              <w:spacing w:after="0"/>
              <w:jc w:val="left"/>
              <w:rPr>
                <w:sz w:val="22"/>
              </w:rPr>
            </w:pPr>
            <w:r w:rsidRPr="00094379">
              <w:t>4,9</w:t>
            </w:r>
          </w:p>
        </w:tc>
        <w:tc>
          <w:tcPr>
            <w:tcW w:w="1916" w:type="dxa"/>
            <w:hideMark/>
          </w:tcPr>
          <w:p w14:paraId="09E596C9" w14:textId="77777777" w:rsidR="0030132A" w:rsidRPr="00404BC3" w:rsidRDefault="0030132A" w:rsidP="00780C83">
            <w:pPr>
              <w:pStyle w:val="Styl4"/>
              <w:spacing w:after="0"/>
              <w:jc w:val="left"/>
              <w:rPr>
                <w:sz w:val="22"/>
              </w:rPr>
            </w:pPr>
            <w:r w:rsidRPr="00094379">
              <w:t>neuvádza sa</w:t>
            </w:r>
          </w:p>
        </w:tc>
      </w:tr>
      <w:tr w:rsidR="00514615" w:rsidRPr="008D6195" w14:paraId="7F222B81" w14:textId="77777777" w:rsidTr="00780C83">
        <w:trPr>
          <w:trHeight w:val="284"/>
        </w:trPr>
        <w:tc>
          <w:tcPr>
            <w:tcW w:w="1915" w:type="dxa"/>
            <w:hideMark/>
          </w:tcPr>
          <w:p w14:paraId="058456AC" w14:textId="77777777" w:rsidR="0030132A" w:rsidRPr="00404BC3" w:rsidRDefault="0030132A" w:rsidP="00780C83">
            <w:pPr>
              <w:pStyle w:val="Styl4"/>
              <w:spacing w:after="0"/>
              <w:jc w:val="left"/>
              <w:rPr>
                <w:sz w:val="22"/>
              </w:rPr>
            </w:pPr>
            <w:r w:rsidRPr="00094379">
              <w:t>24 – 120 hodín</w:t>
            </w:r>
          </w:p>
        </w:tc>
        <w:tc>
          <w:tcPr>
            <w:tcW w:w="2049" w:type="dxa"/>
            <w:hideMark/>
          </w:tcPr>
          <w:p w14:paraId="40FDBB68" w14:textId="77777777" w:rsidR="0030132A" w:rsidRPr="00404BC3" w:rsidRDefault="0030132A" w:rsidP="00780C83">
            <w:pPr>
              <w:pStyle w:val="Styl4"/>
              <w:spacing w:after="0"/>
              <w:jc w:val="left"/>
              <w:rPr>
                <w:sz w:val="22"/>
              </w:rPr>
            </w:pPr>
            <w:r w:rsidRPr="00094379">
              <w:t>40,8</w:t>
            </w:r>
          </w:p>
        </w:tc>
        <w:tc>
          <w:tcPr>
            <w:tcW w:w="1843" w:type="dxa"/>
            <w:hideMark/>
          </w:tcPr>
          <w:p w14:paraId="610B6417" w14:textId="77777777" w:rsidR="0030132A" w:rsidRPr="00404BC3" w:rsidRDefault="0030132A" w:rsidP="00780C83">
            <w:pPr>
              <w:pStyle w:val="Styl4"/>
              <w:spacing w:after="0"/>
              <w:jc w:val="left"/>
              <w:rPr>
                <w:sz w:val="22"/>
              </w:rPr>
            </w:pPr>
            <w:r w:rsidRPr="00094379">
              <w:t>35,3</w:t>
            </w:r>
          </w:p>
        </w:tc>
        <w:tc>
          <w:tcPr>
            <w:tcW w:w="1853" w:type="dxa"/>
            <w:hideMark/>
          </w:tcPr>
          <w:p w14:paraId="0D0BA1FF" w14:textId="77777777" w:rsidR="0030132A" w:rsidRPr="00404BC3" w:rsidRDefault="0030132A" w:rsidP="00780C83">
            <w:pPr>
              <w:pStyle w:val="Styl4"/>
              <w:spacing w:after="0"/>
              <w:jc w:val="left"/>
              <w:rPr>
                <w:sz w:val="22"/>
              </w:rPr>
            </w:pPr>
            <w:r w:rsidRPr="00094379">
              <w:t>5,5</w:t>
            </w:r>
          </w:p>
        </w:tc>
        <w:tc>
          <w:tcPr>
            <w:tcW w:w="1916" w:type="dxa"/>
            <w:hideMark/>
          </w:tcPr>
          <w:p w14:paraId="12526CBC" w14:textId="77777777" w:rsidR="0030132A" w:rsidRPr="00404BC3" w:rsidRDefault="0030132A" w:rsidP="00780C83">
            <w:pPr>
              <w:pStyle w:val="Styl4"/>
              <w:spacing w:after="0"/>
              <w:jc w:val="left"/>
              <w:rPr>
                <w:sz w:val="22"/>
              </w:rPr>
            </w:pPr>
            <w:r w:rsidRPr="00094379">
              <w:t>neuvádza sa</w:t>
            </w:r>
          </w:p>
        </w:tc>
      </w:tr>
      <w:tr w:rsidR="00514615" w:rsidRPr="008D6195" w14:paraId="799C3F04" w14:textId="77777777" w:rsidTr="00780C83">
        <w:trPr>
          <w:trHeight w:val="284"/>
        </w:trPr>
        <w:tc>
          <w:tcPr>
            <w:tcW w:w="1915" w:type="dxa"/>
            <w:hideMark/>
          </w:tcPr>
          <w:p w14:paraId="5CEBF171" w14:textId="77777777" w:rsidR="0030132A" w:rsidRPr="00404BC3" w:rsidRDefault="0030132A" w:rsidP="00780C83">
            <w:pPr>
              <w:pStyle w:val="Styl4"/>
              <w:spacing w:after="0"/>
              <w:jc w:val="left"/>
              <w:rPr>
                <w:sz w:val="22"/>
              </w:rPr>
            </w:pPr>
            <w:r w:rsidRPr="00094379">
              <w:t>0 – 120 hodín</w:t>
            </w:r>
          </w:p>
        </w:tc>
        <w:tc>
          <w:tcPr>
            <w:tcW w:w="2049" w:type="dxa"/>
            <w:hideMark/>
          </w:tcPr>
          <w:p w14:paraId="629A665F" w14:textId="77777777" w:rsidR="0030132A" w:rsidRPr="00404BC3" w:rsidRDefault="0030132A" w:rsidP="00780C83">
            <w:pPr>
              <w:pStyle w:val="Styl4"/>
              <w:spacing w:after="0"/>
              <w:jc w:val="left"/>
              <w:rPr>
                <w:sz w:val="22"/>
              </w:rPr>
            </w:pPr>
            <w:r w:rsidRPr="00094379">
              <w:t>37,7</w:t>
            </w:r>
          </w:p>
        </w:tc>
        <w:tc>
          <w:tcPr>
            <w:tcW w:w="1843" w:type="dxa"/>
            <w:hideMark/>
          </w:tcPr>
          <w:p w14:paraId="5856410C" w14:textId="58645FA5" w:rsidR="0030132A" w:rsidRPr="00404BC3" w:rsidRDefault="0030132A" w:rsidP="00780C83">
            <w:pPr>
              <w:pStyle w:val="Styl4"/>
              <w:spacing w:after="0"/>
              <w:jc w:val="left"/>
              <w:rPr>
                <w:sz w:val="22"/>
              </w:rPr>
            </w:pPr>
            <w:r w:rsidRPr="00094379">
              <w:t>29</w:t>
            </w:r>
            <w:r w:rsidR="00404BC3">
              <w:rPr>
                <w:sz w:val="22"/>
              </w:rPr>
              <w:t>,0</w:t>
            </w:r>
          </w:p>
        </w:tc>
        <w:tc>
          <w:tcPr>
            <w:tcW w:w="1853" w:type="dxa"/>
            <w:hideMark/>
          </w:tcPr>
          <w:p w14:paraId="000A50D7" w14:textId="77777777" w:rsidR="0030132A" w:rsidRPr="00404BC3" w:rsidRDefault="0030132A" w:rsidP="00780C83">
            <w:pPr>
              <w:pStyle w:val="Styl4"/>
              <w:spacing w:after="0"/>
              <w:jc w:val="left"/>
              <w:rPr>
                <w:sz w:val="22"/>
              </w:rPr>
            </w:pPr>
            <w:r w:rsidRPr="00094379">
              <w:t>8,7</w:t>
            </w:r>
          </w:p>
        </w:tc>
        <w:tc>
          <w:tcPr>
            <w:tcW w:w="1916" w:type="dxa"/>
            <w:hideMark/>
          </w:tcPr>
          <w:p w14:paraId="26CBF5AA" w14:textId="77777777" w:rsidR="0030132A" w:rsidRPr="00404BC3" w:rsidRDefault="0030132A" w:rsidP="00780C83">
            <w:pPr>
              <w:pStyle w:val="Styl4"/>
              <w:spacing w:after="0"/>
              <w:jc w:val="left"/>
              <w:rPr>
                <w:sz w:val="22"/>
              </w:rPr>
            </w:pPr>
            <w:r w:rsidRPr="00094379">
              <w:t>neuvádza sa</w:t>
            </w:r>
          </w:p>
        </w:tc>
      </w:tr>
      <w:tr w:rsidR="00A910E2" w:rsidRPr="008D6195" w14:paraId="6EA2785D" w14:textId="77777777" w:rsidTr="00780C83">
        <w:trPr>
          <w:trHeight w:val="284"/>
        </w:trPr>
        <w:tc>
          <w:tcPr>
            <w:tcW w:w="7660" w:type="dxa"/>
            <w:gridSpan w:val="4"/>
          </w:tcPr>
          <w:p w14:paraId="7A2A7622" w14:textId="77777777" w:rsidR="00A910E2" w:rsidRPr="00404BC3" w:rsidRDefault="00A910E2" w:rsidP="00780C83">
            <w:pPr>
              <w:pStyle w:val="Nadpisuvnittabulky"/>
              <w:spacing w:before="0" w:after="0"/>
              <w:jc w:val="left"/>
              <w:rPr>
                <w:sz w:val="22"/>
                <w:szCs w:val="22"/>
              </w:rPr>
            </w:pPr>
            <w:r w:rsidRPr="00494EA4">
              <w:rPr>
                <w:szCs w:val="22"/>
                <w:lang w:val="sk-SK"/>
              </w:rPr>
              <w:t>Žiadna nauzea (</w:t>
            </w:r>
            <w:proofErr w:type="spellStart"/>
            <w:r w:rsidRPr="00494EA4">
              <w:rPr>
                <w:szCs w:val="22"/>
                <w:lang w:val="sk-SK"/>
              </w:rPr>
              <w:t>Likertova</w:t>
            </w:r>
            <w:proofErr w:type="spellEnd"/>
            <w:r w:rsidRPr="00494EA4">
              <w:rPr>
                <w:szCs w:val="22"/>
                <w:lang w:val="sk-SK"/>
              </w:rPr>
              <w:t xml:space="preserve"> stupnica)</w:t>
            </w:r>
          </w:p>
        </w:tc>
        <w:tc>
          <w:tcPr>
            <w:tcW w:w="1916" w:type="dxa"/>
          </w:tcPr>
          <w:p w14:paraId="4A02F5F4" w14:textId="77777777" w:rsidR="00A910E2" w:rsidRPr="00404BC3" w:rsidRDefault="00A910E2" w:rsidP="00780C83">
            <w:pPr>
              <w:pStyle w:val="Nadpisuvnittabulky"/>
              <w:spacing w:before="0" w:after="0"/>
              <w:jc w:val="left"/>
              <w:rPr>
                <w:sz w:val="22"/>
                <w:szCs w:val="22"/>
              </w:rPr>
            </w:pPr>
            <w:r w:rsidRPr="00494EA4">
              <w:rPr>
                <w:szCs w:val="22"/>
                <w:lang w:val="sk-SK"/>
              </w:rPr>
              <w:t>hodnota p</w:t>
            </w:r>
            <w:r w:rsidRPr="00494EA4">
              <w:rPr>
                <w:szCs w:val="22"/>
                <w:vertAlign w:val="superscript"/>
                <w:lang w:val="sk-SK"/>
              </w:rPr>
              <w:t>c</w:t>
            </w:r>
          </w:p>
        </w:tc>
      </w:tr>
      <w:tr w:rsidR="00514615" w:rsidRPr="008D6195" w14:paraId="7DDE71C4" w14:textId="77777777" w:rsidTr="00780C83">
        <w:trPr>
          <w:trHeight w:val="284"/>
        </w:trPr>
        <w:tc>
          <w:tcPr>
            <w:tcW w:w="1915" w:type="dxa"/>
            <w:hideMark/>
          </w:tcPr>
          <w:p w14:paraId="69F0891C" w14:textId="77777777" w:rsidR="0030132A" w:rsidRPr="00404BC3" w:rsidRDefault="0030132A" w:rsidP="00780C83">
            <w:pPr>
              <w:pStyle w:val="Styl4"/>
              <w:spacing w:after="0"/>
              <w:jc w:val="left"/>
              <w:rPr>
                <w:sz w:val="22"/>
              </w:rPr>
            </w:pPr>
            <w:r w:rsidRPr="00094379">
              <w:t>0 – 24 hodín</w:t>
            </w:r>
          </w:p>
        </w:tc>
        <w:tc>
          <w:tcPr>
            <w:tcW w:w="2049" w:type="dxa"/>
            <w:hideMark/>
          </w:tcPr>
          <w:p w14:paraId="4BC8E4A4" w14:textId="77777777" w:rsidR="0030132A" w:rsidRPr="00404BC3" w:rsidRDefault="0030132A" w:rsidP="00780C83">
            <w:pPr>
              <w:pStyle w:val="Styl4"/>
              <w:spacing w:after="0"/>
              <w:jc w:val="left"/>
              <w:rPr>
                <w:sz w:val="22"/>
              </w:rPr>
            </w:pPr>
            <w:r w:rsidRPr="00094379">
              <w:t>53,8</w:t>
            </w:r>
          </w:p>
        </w:tc>
        <w:tc>
          <w:tcPr>
            <w:tcW w:w="1843" w:type="dxa"/>
            <w:hideMark/>
          </w:tcPr>
          <w:p w14:paraId="74F84FE0" w14:textId="77777777" w:rsidR="0030132A" w:rsidRPr="00404BC3" w:rsidRDefault="0030132A" w:rsidP="00780C83">
            <w:pPr>
              <w:pStyle w:val="Styl4"/>
              <w:spacing w:after="0"/>
              <w:jc w:val="left"/>
              <w:rPr>
                <w:sz w:val="22"/>
              </w:rPr>
            </w:pPr>
            <w:r w:rsidRPr="00094379">
              <w:t>49,3</w:t>
            </w:r>
          </w:p>
        </w:tc>
        <w:tc>
          <w:tcPr>
            <w:tcW w:w="1853" w:type="dxa"/>
            <w:hideMark/>
          </w:tcPr>
          <w:p w14:paraId="751D3E95" w14:textId="77777777" w:rsidR="0030132A" w:rsidRPr="00404BC3" w:rsidRDefault="0030132A" w:rsidP="00780C83">
            <w:pPr>
              <w:pStyle w:val="Styl4"/>
              <w:spacing w:after="0"/>
              <w:jc w:val="left"/>
              <w:rPr>
                <w:sz w:val="22"/>
              </w:rPr>
            </w:pPr>
            <w:r w:rsidRPr="00094379">
              <w:t>4,5</w:t>
            </w:r>
          </w:p>
        </w:tc>
        <w:tc>
          <w:tcPr>
            <w:tcW w:w="1916" w:type="dxa"/>
            <w:hideMark/>
          </w:tcPr>
          <w:p w14:paraId="7DF6BDDB" w14:textId="77777777" w:rsidR="0030132A" w:rsidRPr="00404BC3" w:rsidRDefault="0030132A" w:rsidP="00780C83">
            <w:pPr>
              <w:pStyle w:val="Styl4"/>
              <w:spacing w:after="0"/>
              <w:jc w:val="left"/>
              <w:rPr>
                <w:sz w:val="22"/>
              </w:rPr>
            </w:pPr>
            <w:r w:rsidRPr="00094379">
              <w:t>neuvádza sa</w:t>
            </w:r>
          </w:p>
        </w:tc>
      </w:tr>
      <w:tr w:rsidR="00514615" w:rsidRPr="008D6195" w14:paraId="02E77D08" w14:textId="77777777" w:rsidTr="00780C83">
        <w:trPr>
          <w:trHeight w:val="284"/>
        </w:trPr>
        <w:tc>
          <w:tcPr>
            <w:tcW w:w="1915" w:type="dxa"/>
            <w:hideMark/>
          </w:tcPr>
          <w:p w14:paraId="59BF6C1B" w14:textId="77777777" w:rsidR="0030132A" w:rsidRPr="00404BC3" w:rsidRDefault="0030132A" w:rsidP="00780C83">
            <w:pPr>
              <w:pStyle w:val="Styl4"/>
              <w:spacing w:after="0"/>
              <w:jc w:val="left"/>
              <w:rPr>
                <w:sz w:val="22"/>
              </w:rPr>
            </w:pPr>
            <w:r w:rsidRPr="00094379">
              <w:t>24 – 120 hodín</w:t>
            </w:r>
          </w:p>
        </w:tc>
        <w:tc>
          <w:tcPr>
            <w:tcW w:w="2049" w:type="dxa"/>
            <w:hideMark/>
          </w:tcPr>
          <w:p w14:paraId="1FA3240C" w14:textId="77777777" w:rsidR="0030132A" w:rsidRPr="00404BC3" w:rsidRDefault="0030132A" w:rsidP="00780C83">
            <w:pPr>
              <w:pStyle w:val="Styl4"/>
              <w:spacing w:after="0"/>
              <w:jc w:val="left"/>
              <w:rPr>
                <w:sz w:val="22"/>
              </w:rPr>
            </w:pPr>
            <w:r w:rsidRPr="00094379">
              <w:t>35,4</w:t>
            </w:r>
          </w:p>
        </w:tc>
        <w:tc>
          <w:tcPr>
            <w:tcW w:w="1843" w:type="dxa"/>
            <w:hideMark/>
          </w:tcPr>
          <w:p w14:paraId="50AAAAD6" w14:textId="77777777" w:rsidR="0030132A" w:rsidRPr="00404BC3" w:rsidRDefault="0030132A" w:rsidP="00780C83">
            <w:pPr>
              <w:pStyle w:val="Styl4"/>
              <w:spacing w:after="0"/>
              <w:jc w:val="left"/>
              <w:rPr>
                <w:sz w:val="22"/>
              </w:rPr>
            </w:pPr>
            <w:r w:rsidRPr="00094379">
              <w:t>32,1</w:t>
            </w:r>
          </w:p>
        </w:tc>
        <w:tc>
          <w:tcPr>
            <w:tcW w:w="1853" w:type="dxa"/>
            <w:hideMark/>
          </w:tcPr>
          <w:p w14:paraId="3E68C2B6" w14:textId="77777777" w:rsidR="0030132A" w:rsidRPr="00404BC3" w:rsidRDefault="0030132A" w:rsidP="00780C83">
            <w:pPr>
              <w:pStyle w:val="Styl4"/>
              <w:spacing w:after="0"/>
              <w:jc w:val="left"/>
              <w:rPr>
                <w:sz w:val="22"/>
              </w:rPr>
            </w:pPr>
            <w:r w:rsidRPr="00094379">
              <w:t>3,3</w:t>
            </w:r>
          </w:p>
        </w:tc>
        <w:tc>
          <w:tcPr>
            <w:tcW w:w="1916" w:type="dxa"/>
            <w:hideMark/>
          </w:tcPr>
          <w:p w14:paraId="54029A54" w14:textId="77777777" w:rsidR="0030132A" w:rsidRPr="00404BC3" w:rsidRDefault="0030132A" w:rsidP="00780C83">
            <w:pPr>
              <w:pStyle w:val="Styl4"/>
              <w:spacing w:after="0"/>
              <w:jc w:val="left"/>
              <w:rPr>
                <w:sz w:val="22"/>
              </w:rPr>
            </w:pPr>
            <w:r w:rsidRPr="00094379">
              <w:t>neuvádza sa</w:t>
            </w:r>
          </w:p>
        </w:tc>
      </w:tr>
      <w:tr w:rsidR="00514615" w:rsidRPr="008D6195" w14:paraId="20606965" w14:textId="77777777" w:rsidTr="00780C83">
        <w:trPr>
          <w:trHeight w:val="284"/>
        </w:trPr>
        <w:tc>
          <w:tcPr>
            <w:tcW w:w="1915" w:type="dxa"/>
            <w:hideMark/>
          </w:tcPr>
          <w:p w14:paraId="05B460B2" w14:textId="77777777" w:rsidR="0030132A" w:rsidRPr="00404BC3" w:rsidRDefault="0030132A" w:rsidP="00780C83">
            <w:pPr>
              <w:pStyle w:val="Styl4"/>
              <w:spacing w:after="0"/>
              <w:jc w:val="left"/>
              <w:rPr>
                <w:sz w:val="22"/>
              </w:rPr>
            </w:pPr>
            <w:r w:rsidRPr="00094379">
              <w:t>0 – 120 hodín</w:t>
            </w:r>
          </w:p>
        </w:tc>
        <w:tc>
          <w:tcPr>
            <w:tcW w:w="2049" w:type="dxa"/>
            <w:hideMark/>
          </w:tcPr>
          <w:p w14:paraId="73EE3666" w14:textId="77777777" w:rsidR="0030132A" w:rsidRPr="00404BC3" w:rsidRDefault="0030132A" w:rsidP="00780C83">
            <w:pPr>
              <w:pStyle w:val="Styl4"/>
              <w:spacing w:after="0"/>
              <w:jc w:val="left"/>
              <w:rPr>
                <w:sz w:val="22"/>
              </w:rPr>
            </w:pPr>
            <w:r w:rsidRPr="00094379">
              <w:t>33,6</w:t>
            </w:r>
          </w:p>
        </w:tc>
        <w:tc>
          <w:tcPr>
            <w:tcW w:w="1843" w:type="dxa"/>
            <w:hideMark/>
          </w:tcPr>
          <w:p w14:paraId="14A9DE90" w14:textId="77777777" w:rsidR="0030132A" w:rsidRPr="00404BC3" w:rsidRDefault="0030132A" w:rsidP="00780C83">
            <w:pPr>
              <w:pStyle w:val="Styl4"/>
              <w:spacing w:after="0"/>
              <w:jc w:val="left"/>
              <w:rPr>
                <w:sz w:val="22"/>
              </w:rPr>
            </w:pPr>
            <w:r w:rsidRPr="00094379">
              <w:t>32,1</w:t>
            </w:r>
          </w:p>
        </w:tc>
        <w:tc>
          <w:tcPr>
            <w:tcW w:w="1853" w:type="dxa"/>
            <w:hideMark/>
          </w:tcPr>
          <w:p w14:paraId="53CC01B8" w14:textId="77777777" w:rsidR="0030132A" w:rsidRPr="00404BC3" w:rsidRDefault="0030132A" w:rsidP="00780C83">
            <w:pPr>
              <w:pStyle w:val="Styl4"/>
              <w:spacing w:after="0"/>
              <w:jc w:val="left"/>
              <w:rPr>
                <w:sz w:val="22"/>
              </w:rPr>
            </w:pPr>
            <w:r w:rsidRPr="00094379">
              <w:t>1,5</w:t>
            </w:r>
          </w:p>
        </w:tc>
        <w:tc>
          <w:tcPr>
            <w:tcW w:w="1916" w:type="dxa"/>
            <w:hideMark/>
          </w:tcPr>
          <w:p w14:paraId="546ACDA7" w14:textId="77777777" w:rsidR="0030132A" w:rsidRPr="00404BC3" w:rsidRDefault="0030132A" w:rsidP="00780C83">
            <w:pPr>
              <w:pStyle w:val="Styl4"/>
              <w:spacing w:after="0"/>
              <w:jc w:val="left"/>
              <w:rPr>
                <w:sz w:val="22"/>
              </w:rPr>
            </w:pPr>
            <w:r w:rsidRPr="00094379">
              <w:t>neuvádza sa</w:t>
            </w:r>
          </w:p>
        </w:tc>
      </w:tr>
    </w:tbl>
    <w:p w14:paraId="2DB8067C" w14:textId="27E3AAC7" w:rsidR="00D601B3" w:rsidRPr="00105E69" w:rsidRDefault="00FA3210" w:rsidP="00780C83">
      <w:pPr>
        <w:pStyle w:val="Normlndobloku"/>
        <w:spacing w:after="0"/>
        <w:jc w:val="left"/>
      </w:pPr>
      <w:r w:rsidRPr="00105E69">
        <w:rPr>
          <w:vertAlign w:val="superscript"/>
        </w:rPr>
        <w:t>a</w:t>
      </w:r>
      <w:r>
        <w:rPr>
          <w:bCs/>
          <w:vertAlign w:val="superscript"/>
        </w:rPr>
        <w:t> </w:t>
      </w:r>
      <w:r w:rsidR="00D601B3" w:rsidRPr="00105E69">
        <w:t>Skupina pacientov</w:t>
      </w:r>
      <w:r w:rsidR="00404BC3">
        <w:t xml:space="preserve"> so </w:t>
      </w:r>
      <w:r w:rsidR="00D601B3" w:rsidRPr="00105E69">
        <w:t>zámer</w:t>
      </w:r>
      <w:r w:rsidR="00404BC3">
        <w:t>om</w:t>
      </w:r>
      <w:r w:rsidR="00D601B3" w:rsidRPr="00105E69">
        <w:t xml:space="preserve"> lieč</w:t>
      </w:r>
      <w:r w:rsidR="00404BC3">
        <w:t>by</w:t>
      </w:r>
    </w:p>
    <w:p w14:paraId="07DD7EC5" w14:textId="7824A948" w:rsidR="00D601B3" w:rsidRPr="00E52021" w:rsidRDefault="00FA3210" w:rsidP="00780C83">
      <w:pPr>
        <w:pStyle w:val="Normlndobloku"/>
        <w:spacing w:after="0"/>
        <w:jc w:val="left"/>
        <w:rPr>
          <w:sz w:val="13"/>
        </w:rPr>
      </w:pPr>
      <w:r w:rsidRPr="00105E69">
        <w:rPr>
          <w:vertAlign w:val="superscript"/>
        </w:rPr>
        <w:t>b</w:t>
      </w:r>
      <w:r>
        <w:rPr>
          <w:vertAlign w:val="superscript"/>
        </w:rPr>
        <w:t> </w:t>
      </w:r>
      <w:r w:rsidR="00D601B3" w:rsidRPr="00105E69">
        <w:t xml:space="preserve">Štúdie boli navrhnuté so zámerom ukázať </w:t>
      </w:r>
      <w:proofErr w:type="spellStart"/>
      <w:r w:rsidR="00D601B3" w:rsidRPr="008D6195">
        <w:t>non</w:t>
      </w:r>
      <w:r w:rsidR="00310CAA" w:rsidRPr="008D6195">
        <w:t>-</w:t>
      </w:r>
      <w:r w:rsidR="00D601B3" w:rsidRPr="008D6195">
        <w:t>inferioritu</w:t>
      </w:r>
      <w:proofErr w:type="spellEnd"/>
      <w:r w:rsidR="00D601B3" w:rsidRPr="008D6195">
        <w:t>.</w:t>
      </w:r>
      <w:r w:rsidR="00D601B3" w:rsidRPr="00105E69">
        <w:t xml:space="preserve"> Spodná</w:t>
      </w:r>
      <w:r w:rsidR="007726A9" w:rsidRPr="00105E69">
        <w:t xml:space="preserve"> </w:t>
      </w:r>
      <w:r w:rsidR="00D601B3" w:rsidRPr="00105E69">
        <w:t>hranica vyššia než –15 % demonštruje</w:t>
      </w:r>
      <w:r w:rsidR="00404BC3">
        <w:t xml:space="preserve"> </w:t>
      </w:r>
      <w:proofErr w:type="spellStart"/>
      <w:r w:rsidR="00404BC3">
        <w:t>non-inferioritu</w:t>
      </w:r>
      <w:proofErr w:type="spellEnd"/>
      <w:r w:rsidR="00404BC3">
        <w:t xml:space="preserve"> medzi</w:t>
      </w:r>
      <w:r w:rsidR="00D601B3" w:rsidRPr="00105E69">
        <w:t xml:space="preserve"> </w:t>
      </w:r>
      <w:proofErr w:type="spellStart"/>
      <w:r w:rsidR="00D601B3" w:rsidRPr="00105E69">
        <w:t>palonosetrónom</w:t>
      </w:r>
      <w:proofErr w:type="spellEnd"/>
      <w:r w:rsidR="00D601B3" w:rsidRPr="00105E69">
        <w:t xml:space="preserve"> </w:t>
      </w:r>
      <w:r w:rsidR="00404BC3">
        <w:t>a</w:t>
      </w:r>
      <w:r w:rsidR="00D601B3" w:rsidRPr="00105E69">
        <w:t xml:space="preserve"> porovnávan</w:t>
      </w:r>
      <w:r w:rsidR="00404BC3">
        <w:t>ým</w:t>
      </w:r>
      <w:r w:rsidR="00D601B3" w:rsidRPr="00105E69">
        <w:t xml:space="preserve"> </w:t>
      </w:r>
      <w:r w:rsidR="00404BC3">
        <w:t>liečivom</w:t>
      </w:r>
      <w:r w:rsidR="00D601B3" w:rsidRPr="00105E69">
        <w:t>.</w:t>
      </w:r>
    </w:p>
    <w:p w14:paraId="5754F620" w14:textId="0E74DDD8" w:rsidR="00D601B3" w:rsidRDefault="00FA3210" w:rsidP="00780C83">
      <w:pPr>
        <w:pStyle w:val="Normlndobloku"/>
        <w:spacing w:after="0"/>
        <w:jc w:val="left"/>
      </w:pPr>
      <w:r w:rsidRPr="00105E69">
        <w:rPr>
          <w:vertAlign w:val="superscript"/>
        </w:rPr>
        <w:t>c</w:t>
      </w:r>
      <w:r>
        <w:rPr>
          <w:vertAlign w:val="superscript"/>
        </w:rPr>
        <w:t> </w:t>
      </w:r>
      <w:proofErr w:type="spellStart"/>
      <w:r w:rsidR="00D601B3" w:rsidRPr="00105E69">
        <w:t>Chí</w:t>
      </w:r>
      <w:proofErr w:type="spellEnd"/>
      <w:r w:rsidR="00D601B3" w:rsidRPr="00105E69">
        <w:t>-kvadrát test. Hranica významnosti pri α=0,05.</w:t>
      </w:r>
    </w:p>
    <w:p w14:paraId="6CCC4078" w14:textId="77777777" w:rsidR="00404BC3" w:rsidRPr="00105E69" w:rsidRDefault="00404BC3" w:rsidP="00780C83">
      <w:pPr>
        <w:pStyle w:val="Normlndobloku"/>
        <w:spacing w:after="0"/>
        <w:jc w:val="left"/>
      </w:pPr>
    </w:p>
    <w:p w14:paraId="71730A0E" w14:textId="317F301C" w:rsidR="00FC18CB" w:rsidRDefault="00940949" w:rsidP="00780C83">
      <w:pPr>
        <w:pStyle w:val="Styl4"/>
        <w:spacing w:after="0"/>
        <w:jc w:val="left"/>
      </w:pPr>
      <w:r w:rsidRPr="008D6195">
        <w:t xml:space="preserve">Účinok </w:t>
      </w:r>
      <w:proofErr w:type="spellStart"/>
      <w:r w:rsidRPr="008D6195">
        <w:t>palonosetrónu</w:t>
      </w:r>
      <w:proofErr w:type="spellEnd"/>
      <w:r w:rsidRPr="008D6195">
        <w:t xml:space="preserve"> na krvný tlak, srdcový rytmus a parametre EKG vrátane </w:t>
      </w:r>
      <w:proofErr w:type="spellStart"/>
      <w:r w:rsidRPr="008D6195">
        <w:t>QTc</w:t>
      </w:r>
      <w:proofErr w:type="spellEnd"/>
      <w:r w:rsidRPr="008D6195">
        <w:t>, boli porovnateľné s </w:t>
      </w:r>
      <w:proofErr w:type="spellStart"/>
      <w:r w:rsidRPr="008D6195">
        <w:t>ondansetrónom</w:t>
      </w:r>
      <w:proofErr w:type="spellEnd"/>
      <w:r w:rsidRPr="008D6195">
        <w:t xml:space="preserve"> a </w:t>
      </w:r>
      <w:proofErr w:type="spellStart"/>
      <w:r w:rsidRPr="008D6195">
        <w:t>dolasetrónom</w:t>
      </w:r>
      <w:proofErr w:type="spellEnd"/>
      <w:r w:rsidRPr="008D6195">
        <w:t xml:space="preserve"> v CINV klinických štúdiách. V predklinických štúdiách vykazoval </w:t>
      </w:r>
      <w:proofErr w:type="spellStart"/>
      <w:r w:rsidRPr="008D6195">
        <w:t>palonosetrón</w:t>
      </w:r>
      <w:proofErr w:type="spellEnd"/>
      <w:r w:rsidRPr="008D6195">
        <w:t xml:space="preserve"> schopnosť blokovať iónové kanály, ktoré sa zúčastňujú </w:t>
      </w:r>
      <w:proofErr w:type="spellStart"/>
      <w:r w:rsidRPr="008D6195">
        <w:t>ventrikulárnej</w:t>
      </w:r>
      <w:proofErr w:type="spellEnd"/>
      <w:r w:rsidRPr="008D6195">
        <w:t xml:space="preserve"> depolarizácie a </w:t>
      </w:r>
      <w:proofErr w:type="spellStart"/>
      <w:r w:rsidRPr="008D6195">
        <w:t>repolarizácie</w:t>
      </w:r>
      <w:proofErr w:type="spellEnd"/>
      <w:r w:rsidRPr="008D6195">
        <w:t xml:space="preserve"> a schopnosť predlžovať trvanie akčného potenciálu.</w:t>
      </w:r>
    </w:p>
    <w:p w14:paraId="6555B285" w14:textId="7E09D19B" w:rsidR="00FC18CB" w:rsidRDefault="00940949" w:rsidP="00780C83">
      <w:pPr>
        <w:pStyle w:val="Styl4"/>
        <w:spacing w:after="0"/>
        <w:jc w:val="left"/>
      </w:pPr>
      <w:r w:rsidRPr="008D6195">
        <w:t xml:space="preserve">Účinok </w:t>
      </w:r>
      <w:proofErr w:type="spellStart"/>
      <w:r w:rsidRPr="008D6195">
        <w:t>palonosetrónu</w:t>
      </w:r>
      <w:proofErr w:type="spellEnd"/>
      <w:r w:rsidRPr="008D6195">
        <w:t xml:space="preserve"> na </w:t>
      </w:r>
      <w:proofErr w:type="spellStart"/>
      <w:r w:rsidRPr="008D6195">
        <w:t>QTc</w:t>
      </w:r>
      <w:proofErr w:type="spellEnd"/>
      <w:r w:rsidRPr="008D6195">
        <w:t xml:space="preserve"> interval bol hodnotený v dvojito zaslepenej, </w:t>
      </w:r>
      <w:proofErr w:type="spellStart"/>
      <w:r w:rsidRPr="008D6195">
        <w:t>randomizovanej</w:t>
      </w:r>
      <w:proofErr w:type="spellEnd"/>
      <w:r w:rsidRPr="008D6195">
        <w:t>, paralelnej, placebom a pozitívne (</w:t>
      </w:r>
      <w:proofErr w:type="spellStart"/>
      <w:r w:rsidRPr="008D6195">
        <w:t>moxifloxacínom</w:t>
      </w:r>
      <w:proofErr w:type="spellEnd"/>
      <w:r w:rsidRPr="008D6195">
        <w:t xml:space="preserve">) kontrolovanej štúdii u dospelých mužov a žien. Cieľom bolo zhodnotiť EKG účinky intravenózne podaného </w:t>
      </w:r>
      <w:proofErr w:type="spellStart"/>
      <w:r w:rsidRPr="008D6195">
        <w:t>palonosetrónu</w:t>
      </w:r>
      <w:proofErr w:type="spellEnd"/>
      <w:r w:rsidRPr="008D6195">
        <w:t xml:space="preserve"> v jednorazových dávkach 0,25</w:t>
      </w:r>
      <w:r w:rsidR="00F609A6">
        <w:t xml:space="preserve"> mg</w:t>
      </w:r>
      <w:r w:rsidRPr="008D6195">
        <w:t>, 0,75</w:t>
      </w:r>
      <w:r w:rsidR="00F609A6">
        <w:t xml:space="preserve"> mg</w:t>
      </w:r>
      <w:r w:rsidRPr="008D6195">
        <w:t xml:space="preserve"> alebo 2,25 mg </w:t>
      </w:r>
      <w:r w:rsidR="00F609A6">
        <w:t xml:space="preserve">u </w:t>
      </w:r>
      <w:r w:rsidRPr="008D6195">
        <w:t>221 zdravý</w:t>
      </w:r>
      <w:r w:rsidR="00F609A6">
        <w:t>ch</w:t>
      </w:r>
      <w:r w:rsidRPr="008D6195">
        <w:t xml:space="preserve"> jedinco</w:t>
      </w:r>
      <w:r w:rsidR="00A40DEB">
        <w:t>ch</w:t>
      </w:r>
      <w:r w:rsidRPr="008D6195">
        <w:t>. Štúdia nepreukázala žiadny účinok na</w:t>
      </w:r>
      <w:r w:rsidR="00A40DEB">
        <w:t> </w:t>
      </w:r>
      <w:r w:rsidRPr="008D6195">
        <w:t>trvanie QT/</w:t>
      </w:r>
      <w:proofErr w:type="spellStart"/>
      <w:r w:rsidRPr="008D6195">
        <w:t>QTc</w:t>
      </w:r>
      <w:proofErr w:type="spellEnd"/>
      <w:r w:rsidRPr="008D6195">
        <w:t xml:space="preserve"> intervalu, rovnako ako na žiadny iný EKG interval v dávkach až do 2,25 mg. </w:t>
      </w:r>
      <w:r w:rsidR="00A40DEB">
        <w:t>sa N</w:t>
      </w:r>
      <w:r w:rsidR="00A40DEB" w:rsidRPr="008D6195">
        <w:t xml:space="preserve">epreukázali </w:t>
      </w:r>
      <w:r w:rsidR="00A40DEB">
        <w:t>sa ž</w:t>
      </w:r>
      <w:r w:rsidRPr="008D6195">
        <w:t xml:space="preserve">iadne klinicky významné zmeny na srdcový rytmus, </w:t>
      </w:r>
      <w:proofErr w:type="spellStart"/>
      <w:r w:rsidRPr="008D6195">
        <w:t>atrioventrikulárne</w:t>
      </w:r>
      <w:proofErr w:type="spellEnd"/>
      <w:r w:rsidRPr="008D6195">
        <w:t xml:space="preserve"> (AV) vedenie a </w:t>
      </w:r>
      <w:proofErr w:type="spellStart"/>
      <w:r w:rsidRPr="008D6195">
        <w:t>repolarizáciu</w:t>
      </w:r>
      <w:proofErr w:type="spellEnd"/>
      <w:r w:rsidRPr="008D6195">
        <w:t xml:space="preserve"> srdca.</w:t>
      </w:r>
    </w:p>
    <w:p w14:paraId="72D21F65" w14:textId="77777777" w:rsidR="00404BC3" w:rsidRDefault="00404BC3" w:rsidP="00780C83">
      <w:pPr>
        <w:pStyle w:val="Styl4"/>
        <w:spacing w:after="0"/>
        <w:jc w:val="left"/>
      </w:pPr>
    </w:p>
    <w:p w14:paraId="23AE86B0" w14:textId="77777777" w:rsidR="000B4A47" w:rsidRPr="0098040B" w:rsidRDefault="000B4A47" w:rsidP="0098040B">
      <w:pPr>
        <w:pStyle w:val="Styl2-2"/>
      </w:pPr>
      <w:r w:rsidRPr="0098040B">
        <w:t>Pediatrická populácia</w:t>
      </w:r>
    </w:p>
    <w:p w14:paraId="6E64E32B" w14:textId="77777777" w:rsidR="00A40DEB" w:rsidRPr="00494EA4" w:rsidRDefault="00A40DEB" w:rsidP="00780C83"/>
    <w:p w14:paraId="7971D6C4" w14:textId="04007B97" w:rsidR="000B4A47" w:rsidRPr="008D6195" w:rsidRDefault="00F95694" w:rsidP="00780C83">
      <w:pPr>
        <w:pStyle w:val="Styl3"/>
        <w:spacing w:after="0"/>
        <w:jc w:val="left"/>
      </w:pPr>
      <w:r w:rsidRPr="008D6195">
        <w:t>Prevencia nauzey a </w:t>
      </w:r>
      <w:r w:rsidR="000B4A47" w:rsidRPr="008D6195">
        <w:t>vracania vyvolaných chemoterapiou (</w:t>
      </w:r>
      <w:r w:rsidRPr="008D6195">
        <w:t>CINV)</w:t>
      </w:r>
    </w:p>
    <w:p w14:paraId="1F490C53" w14:textId="7CADF556" w:rsidR="00FC18CB" w:rsidRDefault="00F95694" w:rsidP="00780C83">
      <w:pPr>
        <w:pStyle w:val="Styl4"/>
        <w:spacing w:after="0"/>
        <w:jc w:val="left"/>
      </w:pPr>
      <w:r w:rsidRPr="008D6195">
        <w:t xml:space="preserve">Bezpečnosť a účinnosť </w:t>
      </w:r>
      <w:proofErr w:type="spellStart"/>
      <w:r w:rsidR="00A910E2" w:rsidRPr="008D6195">
        <w:t>p</w:t>
      </w:r>
      <w:r w:rsidRPr="008D6195">
        <w:t>alonosetrónu</w:t>
      </w:r>
      <w:proofErr w:type="spellEnd"/>
      <w:r w:rsidRPr="008D6195">
        <w:t xml:space="preserve"> </w:t>
      </w:r>
      <w:proofErr w:type="spellStart"/>
      <w:r w:rsidRPr="008D6195">
        <w:t>i.v</w:t>
      </w:r>
      <w:proofErr w:type="spellEnd"/>
      <w:r w:rsidRPr="008D6195">
        <w:t>. v </w:t>
      </w:r>
      <w:r w:rsidR="000B4A47" w:rsidRPr="008D6195">
        <w:t>jednorazov</w:t>
      </w:r>
      <w:r w:rsidRPr="008D6195">
        <w:t>ých dávkach 3 µg/kg a 10 µg/kg sa skúmali v prvej klinickej štúdii u 72 pacientov v </w:t>
      </w:r>
      <w:r w:rsidR="000B4A47" w:rsidRPr="008D6195">
        <w:t>nasledujúcich vekových skupinách, vo veku &gt; 28 dní až 23 mesiacov (12</w:t>
      </w:r>
      <w:r w:rsidR="00A910E2" w:rsidRPr="008D6195">
        <w:t> </w:t>
      </w:r>
      <w:r w:rsidR="000B4A47" w:rsidRPr="008D6195">
        <w:t>pacientov),</w:t>
      </w:r>
      <w:r w:rsidRPr="008D6195">
        <w:t xml:space="preserve"> 2 až 11 rokov (31 pacientov) a </w:t>
      </w:r>
      <w:r w:rsidR="000B4A47" w:rsidRPr="008D6195">
        <w:t xml:space="preserve">12 až 17 rokov (29 pacientov), ktorí dostávali vysoko alebo stredne </w:t>
      </w:r>
      <w:proofErr w:type="spellStart"/>
      <w:r w:rsidR="000B4A47" w:rsidRPr="008D6195">
        <w:t>emetogénnu</w:t>
      </w:r>
      <w:proofErr w:type="spellEnd"/>
      <w:r w:rsidR="000B4A47" w:rsidRPr="008D6195">
        <w:t xml:space="preserve"> chemoterapiu. Pri žiadnej dávkove</w:t>
      </w:r>
      <w:r w:rsidRPr="008D6195">
        <w:t>j hladine sa nezväčšili obavy o </w:t>
      </w:r>
      <w:r w:rsidR="000B4A47" w:rsidRPr="008D6195">
        <w:t xml:space="preserve">bezpečnosť. </w:t>
      </w:r>
      <w:r w:rsidR="000B4A47" w:rsidRPr="0098040B">
        <w:t>Primárnou premennou ú</w:t>
      </w:r>
      <w:r w:rsidRPr="0098040B">
        <w:t>činnosti bol podiel pacientov s </w:t>
      </w:r>
      <w:r w:rsidR="000B4A47" w:rsidRPr="0098040B">
        <w:t>úplnou odpoveďou (</w:t>
      </w:r>
      <w:proofErr w:type="spellStart"/>
      <w:r w:rsidR="000B4A47" w:rsidRPr="0098040B">
        <w:t>complete</w:t>
      </w:r>
      <w:proofErr w:type="spellEnd"/>
      <w:r w:rsidR="000B4A47" w:rsidRPr="0098040B">
        <w:t xml:space="preserve"> </w:t>
      </w:r>
      <w:proofErr w:type="spellStart"/>
      <w:r w:rsidR="000B4A47" w:rsidRPr="0098040B">
        <w:t>response</w:t>
      </w:r>
      <w:proofErr w:type="spellEnd"/>
      <w:r w:rsidR="000B4A47" w:rsidRPr="0098040B">
        <w:t xml:space="preserve"> - CR, definovaná </w:t>
      </w:r>
      <w:r w:rsidRPr="0098040B">
        <w:t xml:space="preserve">ako žiadna </w:t>
      </w:r>
      <w:proofErr w:type="spellStart"/>
      <w:r w:rsidRPr="0098040B">
        <w:t>emetogénna</w:t>
      </w:r>
      <w:proofErr w:type="spellEnd"/>
      <w:r w:rsidRPr="0098040B">
        <w:t xml:space="preserve"> epizóda a </w:t>
      </w:r>
      <w:r w:rsidR="000B4A47" w:rsidRPr="0098040B">
        <w:t>žiadn</w:t>
      </w:r>
      <w:r w:rsidR="00A40DEB" w:rsidRPr="0098040B">
        <w:t>a</w:t>
      </w:r>
      <w:r w:rsidR="000B4A47" w:rsidRPr="0098040B">
        <w:t xml:space="preserve"> záchrann</w:t>
      </w:r>
      <w:r w:rsidR="00A40DEB" w:rsidRPr="0098040B">
        <w:t>á medikácia</w:t>
      </w:r>
      <w:r w:rsidR="000B4A47" w:rsidRPr="0098040B">
        <w:t>) počas prvých 24 hodín po začatí podávania chem</w:t>
      </w:r>
      <w:r w:rsidRPr="0098040B">
        <w:t xml:space="preserve">oterapie. Účinnosť po podaní 10 µg/kg </w:t>
      </w:r>
      <w:proofErr w:type="spellStart"/>
      <w:r w:rsidRPr="0098040B">
        <w:t>palonosetrónu</w:t>
      </w:r>
      <w:proofErr w:type="spellEnd"/>
      <w:r w:rsidRPr="0098040B">
        <w:t xml:space="preserve"> bola 54,1 % v porovnaní s 37,1 % pri 3 </w:t>
      </w:r>
      <w:r w:rsidR="000B4A47" w:rsidRPr="0098040B">
        <w:t xml:space="preserve">µg/kg </w:t>
      </w:r>
      <w:proofErr w:type="spellStart"/>
      <w:r w:rsidR="000B4A47" w:rsidRPr="0098040B">
        <w:t>palonosetrónu</w:t>
      </w:r>
      <w:proofErr w:type="spellEnd"/>
      <w:r w:rsidR="000B4A47" w:rsidRPr="0098040B">
        <w:t>.</w:t>
      </w:r>
    </w:p>
    <w:p w14:paraId="506A8E03" w14:textId="43359570" w:rsidR="000B4A47" w:rsidRPr="008D6195" w:rsidRDefault="00F95694" w:rsidP="00780C83">
      <w:pPr>
        <w:pStyle w:val="Styl4"/>
        <w:spacing w:after="0"/>
        <w:jc w:val="left"/>
      </w:pPr>
      <w:r w:rsidRPr="00494EA4">
        <w:t>Účinnosť</w:t>
      </w:r>
      <w:r w:rsidRPr="00FC18CB">
        <w:t xml:space="preserve"> </w:t>
      </w:r>
      <w:proofErr w:type="spellStart"/>
      <w:r w:rsidRPr="00FC18CB">
        <w:t>palonosetrónu</w:t>
      </w:r>
      <w:proofErr w:type="spellEnd"/>
      <w:r w:rsidRPr="00FC18CB">
        <w:t xml:space="preserve"> v prevencii nauzey a </w:t>
      </w:r>
      <w:r w:rsidR="000B4A47" w:rsidRPr="00FC18CB">
        <w:t>vrac</w:t>
      </w:r>
      <w:r w:rsidRPr="00FC18CB">
        <w:t>ania vyvolaných chemoterapiou u </w:t>
      </w:r>
      <w:r w:rsidR="000B4A47" w:rsidRPr="00FC18CB">
        <w:t>pediatrických paciento</w:t>
      </w:r>
      <w:r w:rsidRPr="00FC18CB">
        <w:t>v s </w:t>
      </w:r>
      <w:r w:rsidR="000B4A47" w:rsidRPr="00FC18CB">
        <w:t>nádoro</w:t>
      </w:r>
      <w:r w:rsidRPr="00FC18CB">
        <w:t>vým ochorením bola preukázaná v </w:t>
      </w:r>
      <w:r w:rsidR="000B4A47" w:rsidRPr="00FC18CB">
        <w:t xml:space="preserve">druhej </w:t>
      </w:r>
      <w:proofErr w:type="spellStart"/>
      <w:r w:rsidR="00A910E2" w:rsidRPr="00FC18CB">
        <w:t>non-</w:t>
      </w:r>
      <w:r w:rsidR="000B4A47" w:rsidRPr="00FC18CB">
        <w:t>inferi</w:t>
      </w:r>
      <w:r w:rsidR="008454F1">
        <w:t>orit</w:t>
      </w:r>
      <w:r w:rsidR="000B4A47" w:rsidRPr="00FC18CB">
        <w:t>nej</w:t>
      </w:r>
      <w:proofErr w:type="spellEnd"/>
      <w:r w:rsidR="000B4A47" w:rsidRPr="00FC18CB">
        <w:t xml:space="preserve"> </w:t>
      </w:r>
      <w:proofErr w:type="spellStart"/>
      <w:r w:rsidR="000B4A47" w:rsidRPr="00FC18CB">
        <w:t>pivotnej</w:t>
      </w:r>
      <w:proofErr w:type="spellEnd"/>
      <w:r w:rsidR="000B4A47" w:rsidRPr="00FC18CB">
        <w:t xml:space="preserve"> klinickej štúdii porovnávajúcej jednorazovú intravenóznu infúziu </w:t>
      </w:r>
      <w:proofErr w:type="spellStart"/>
      <w:r w:rsidR="000B4A47" w:rsidRPr="00FC18CB">
        <w:t>palonosetrónu</w:t>
      </w:r>
      <w:proofErr w:type="spellEnd"/>
      <w:r w:rsidR="000B4A47" w:rsidRPr="00FC18CB">
        <w:t xml:space="preserve"> verzus </w:t>
      </w:r>
      <w:proofErr w:type="spellStart"/>
      <w:r w:rsidR="000B4A47" w:rsidRPr="00FC18CB">
        <w:t>i.v</w:t>
      </w:r>
      <w:proofErr w:type="spellEnd"/>
      <w:r w:rsidR="000B4A47" w:rsidRPr="00FC18CB">
        <w:t xml:space="preserve">. </w:t>
      </w:r>
      <w:proofErr w:type="spellStart"/>
      <w:r w:rsidR="000B4A47" w:rsidRPr="00FC18CB">
        <w:t>ondansetrónový</w:t>
      </w:r>
      <w:proofErr w:type="spellEnd"/>
      <w:r w:rsidR="000B4A47" w:rsidRPr="00FC18CB">
        <w:t xml:space="preserve"> režim.</w:t>
      </w:r>
      <w:r w:rsidR="000B4A47" w:rsidRPr="008D6195">
        <w:t xml:space="preserve"> Celkovo 493 pediatrických pacientov vo veku 64 dní až 16,9 rokov, dost</w:t>
      </w:r>
      <w:r w:rsidRPr="008D6195">
        <w:t>ávajúcich stredne (69,2 </w:t>
      </w:r>
      <w:r w:rsidR="000B4A47" w:rsidRPr="008D6195">
        <w:t>%) až</w:t>
      </w:r>
      <w:r w:rsidR="008454F1">
        <w:t> </w:t>
      </w:r>
      <w:r w:rsidR="000B4A47" w:rsidRPr="008D6195">
        <w:t>vysok</w:t>
      </w:r>
      <w:r w:rsidRPr="008D6195">
        <w:t xml:space="preserve">o </w:t>
      </w:r>
      <w:proofErr w:type="spellStart"/>
      <w:r w:rsidRPr="008D6195">
        <w:t>emetogénnu</w:t>
      </w:r>
      <w:proofErr w:type="spellEnd"/>
      <w:r w:rsidRPr="008D6195">
        <w:t xml:space="preserve"> chemoterapiu (30,8 </w:t>
      </w:r>
      <w:r w:rsidR="000B4A47" w:rsidRPr="008D6195">
        <w:t>%), b</w:t>
      </w:r>
      <w:r w:rsidRPr="008D6195">
        <w:t xml:space="preserve">olo liečených </w:t>
      </w:r>
      <w:proofErr w:type="spellStart"/>
      <w:r w:rsidRPr="008D6195">
        <w:t>palonosetrónom</w:t>
      </w:r>
      <w:proofErr w:type="spellEnd"/>
      <w:r w:rsidRPr="008D6195">
        <w:t xml:space="preserve"> 10 µg/kg (maximum 0,75 mg), </w:t>
      </w:r>
      <w:proofErr w:type="spellStart"/>
      <w:r w:rsidRPr="008D6195">
        <w:t>palonosetrónom</w:t>
      </w:r>
      <w:proofErr w:type="spellEnd"/>
      <w:r w:rsidRPr="008D6195">
        <w:t xml:space="preserve"> 20 µg/kg (maximum 1,5 </w:t>
      </w:r>
      <w:r w:rsidR="000B4A47" w:rsidRPr="008D6195">
        <w:t>mg</w:t>
      </w:r>
      <w:r w:rsidRPr="008D6195">
        <w:t xml:space="preserve">) alebo </w:t>
      </w:r>
      <w:proofErr w:type="spellStart"/>
      <w:r w:rsidRPr="008D6195">
        <w:t>ondansetrónom</w:t>
      </w:r>
      <w:proofErr w:type="spellEnd"/>
      <w:r w:rsidRPr="008D6195">
        <w:t xml:space="preserve"> (3 x 0,15 </w:t>
      </w:r>
      <w:r w:rsidR="000B4A47" w:rsidRPr="008D6195">
        <w:t>mg</w:t>
      </w:r>
      <w:r w:rsidRPr="008D6195">
        <w:t>/kg, maximálna celková dávka 32</w:t>
      </w:r>
      <w:r w:rsidR="008454F1">
        <w:t xml:space="preserve"> </w:t>
      </w:r>
      <w:r w:rsidR="000B4A47" w:rsidRPr="008D6195">
        <w:t xml:space="preserve">mg) 30 minút pred začiatkom </w:t>
      </w:r>
      <w:proofErr w:type="spellStart"/>
      <w:r w:rsidR="000B4A47" w:rsidRPr="008D6195">
        <w:t>emetogénne</w:t>
      </w:r>
      <w:r w:rsidRPr="008D6195">
        <w:t>j</w:t>
      </w:r>
      <w:proofErr w:type="spellEnd"/>
      <w:r w:rsidRPr="008D6195">
        <w:t xml:space="preserve"> chemoterapie počas cyklu 1. V </w:t>
      </w:r>
      <w:r w:rsidR="000B4A47" w:rsidRPr="008D6195">
        <w:t>rámci v</w:t>
      </w:r>
      <w:r w:rsidRPr="008D6195">
        <w:t>šetkých liečebných skupín (78,5 </w:t>
      </w:r>
      <w:r w:rsidR="000B4A47" w:rsidRPr="008D6195">
        <w:t>%) väčšina pacientov n</w:t>
      </w:r>
      <w:r w:rsidRPr="008D6195">
        <w:t>epodstupovala chemoterapiu prvý</w:t>
      </w:r>
      <w:r w:rsidR="000B4A47" w:rsidRPr="008D6195">
        <w:t xml:space="preserve">krát. Podávaná </w:t>
      </w:r>
      <w:proofErr w:type="spellStart"/>
      <w:r w:rsidR="000B4A47" w:rsidRPr="008D6195">
        <w:t>emetogénna</w:t>
      </w:r>
      <w:proofErr w:type="spellEnd"/>
      <w:r w:rsidR="000B4A47" w:rsidRPr="008D6195">
        <w:t xml:space="preserve"> chemoterapia zahŕňala </w:t>
      </w:r>
      <w:proofErr w:type="spellStart"/>
      <w:r w:rsidR="000B4A47" w:rsidRPr="008D6195">
        <w:t>do</w:t>
      </w:r>
      <w:r w:rsidRPr="008D6195">
        <w:t>xorubicín</w:t>
      </w:r>
      <w:proofErr w:type="spellEnd"/>
      <w:r w:rsidRPr="008D6195">
        <w:t xml:space="preserve">, </w:t>
      </w:r>
      <w:proofErr w:type="spellStart"/>
      <w:r w:rsidRPr="008D6195">
        <w:t>cyklofosfamid</w:t>
      </w:r>
      <w:proofErr w:type="spellEnd"/>
      <w:r w:rsidRPr="008D6195">
        <w:t xml:space="preserve"> (&lt;</w:t>
      </w:r>
      <w:r w:rsidR="008454F1">
        <w:t> </w:t>
      </w:r>
      <w:r w:rsidRPr="008D6195">
        <w:t>1500 </w:t>
      </w:r>
      <w:r w:rsidR="000B4A47" w:rsidRPr="008D6195">
        <w:t>mg/m</w:t>
      </w:r>
      <w:r w:rsidR="000B4A47" w:rsidRPr="00105E69">
        <w:rPr>
          <w:vertAlign w:val="superscript"/>
        </w:rPr>
        <w:t>2</w:t>
      </w:r>
      <w:r w:rsidR="000B4A47" w:rsidRPr="008D6195">
        <w:t xml:space="preserve">), </w:t>
      </w:r>
      <w:proofErr w:type="spellStart"/>
      <w:r w:rsidR="000B4A47" w:rsidRPr="008D6195">
        <w:t>ifosfamid</w:t>
      </w:r>
      <w:proofErr w:type="spellEnd"/>
      <w:r w:rsidR="000B4A47" w:rsidRPr="008D6195">
        <w:t xml:space="preserve">, </w:t>
      </w:r>
      <w:proofErr w:type="spellStart"/>
      <w:r w:rsidR="000B4A47" w:rsidRPr="008D6195">
        <w:t>cisplatinu</w:t>
      </w:r>
      <w:proofErr w:type="spellEnd"/>
      <w:r w:rsidR="000B4A47" w:rsidRPr="008D6195">
        <w:t xml:space="preserve">, </w:t>
      </w:r>
      <w:proofErr w:type="spellStart"/>
      <w:r w:rsidR="000B4A47" w:rsidRPr="008D6195">
        <w:t>daktinomycín</w:t>
      </w:r>
      <w:proofErr w:type="spellEnd"/>
      <w:r w:rsidR="000B4A47" w:rsidRPr="008D6195">
        <w:t xml:space="preserve">, </w:t>
      </w:r>
      <w:proofErr w:type="spellStart"/>
      <w:r w:rsidR="000B4A47" w:rsidRPr="008D6195">
        <w:t>karboplatinu</w:t>
      </w:r>
      <w:proofErr w:type="spellEnd"/>
      <w:r w:rsidR="000B4A47" w:rsidRPr="008D6195">
        <w:t xml:space="preserve"> a </w:t>
      </w:r>
      <w:proofErr w:type="spellStart"/>
      <w:r w:rsidR="000B4A47" w:rsidRPr="008D6195">
        <w:t>daunorubicín</w:t>
      </w:r>
      <w:proofErr w:type="spellEnd"/>
      <w:r w:rsidR="000B4A47" w:rsidRPr="008D6195">
        <w:t xml:space="preserve">. </w:t>
      </w:r>
      <w:proofErr w:type="spellStart"/>
      <w:r w:rsidR="000B4A47" w:rsidRPr="008D6195">
        <w:t>Adjuvantné</w:t>
      </w:r>
      <w:proofErr w:type="spellEnd"/>
      <w:r w:rsidR="000B4A47" w:rsidRPr="008D6195">
        <w:t xml:space="preserve"> </w:t>
      </w:r>
      <w:proofErr w:type="spellStart"/>
      <w:r w:rsidR="000B4A47" w:rsidRPr="008D6195">
        <w:t>kortikosteroidy</w:t>
      </w:r>
      <w:proofErr w:type="spellEnd"/>
      <w:r w:rsidR="000B4A47" w:rsidRPr="008D6195">
        <w:t xml:space="preserve">, vrátane </w:t>
      </w:r>
      <w:proofErr w:type="spellStart"/>
      <w:r w:rsidR="000B4A47" w:rsidRPr="008D6195">
        <w:t>dexa</w:t>
      </w:r>
      <w:r w:rsidRPr="008D6195">
        <w:t>metazónu</w:t>
      </w:r>
      <w:proofErr w:type="spellEnd"/>
      <w:r w:rsidRPr="008D6195">
        <w:t>, boli podávané spolu s </w:t>
      </w:r>
      <w:r w:rsidR="000B4A47" w:rsidRPr="008D6195">
        <w:t>chemoterapiou u</w:t>
      </w:r>
      <w:r w:rsidRPr="008D6195">
        <w:t> 55 </w:t>
      </w:r>
      <w:r w:rsidR="000B4A47" w:rsidRPr="008D6195">
        <w:t>% pacientov. Primárnym ukazovateľom účin</w:t>
      </w:r>
      <w:r w:rsidRPr="008D6195">
        <w:t>nosti bola úplná odpoveď (CR) v </w:t>
      </w:r>
      <w:r w:rsidR="000B4A47" w:rsidRPr="008D6195">
        <w:t>akútnej fáze prvého cyklu chemoterapie, definovaná ako žiadne vracanie,</w:t>
      </w:r>
      <w:r w:rsidRPr="008D6195">
        <w:t xml:space="preserve"> žiadne napínanie na vracanie a </w:t>
      </w:r>
      <w:r w:rsidR="000B4A47" w:rsidRPr="008D6195">
        <w:t>žiadn</w:t>
      </w:r>
      <w:r w:rsidR="008454F1">
        <w:t>a</w:t>
      </w:r>
      <w:r w:rsidR="000B4A47" w:rsidRPr="008D6195">
        <w:t xml:space="preserve"> záchrann</w:t>
      </w:r>
      <w:r w:rsidR="008454F1">
        <w:t>á</w:t>
      </w:r>
      <w:r w:rsidR="000B4A47" w:rsidRPr="008D6195">
        <w:t xml:space="preserve"> </w:t>
      </w:r>
      <w:r w:rsidR="008454F1">
        <w:t>medikácia</w:t>
      </w:r>
      <w:r w:rsidR="000B4A47" w:rsidRPr="008D6195">
        <w:t xml:space="preserve"> počas prvých 24 hodín po začatí chemoterapie. Účinnosť bola založená na preukázaní </w:t>
      </w:r>
      <w:proofErr w:type="spellStart"/>
      <w:r w:rsidR="000B4A47" w:rsidRPr="008D6195">
        <w:t>n</w:t>
      </w:r>
      <w:r w:rsidR="00310CAA" w:rsidRPr="008D6195">
        <w:t>on-</w:t>
      </w:r>
      <w:r w:rsidR="000B4A47" w:rsidRPr="008D6195">
        <w:t>inferiority</w:t>
      </w:r>
      <w:proofErr w:type="spellEnd"/>
      <w:r w:rsidRPr="008D6195">
        <w:t xml:space="preserve"> intravenózneho </w:t>
      </w:r>
      <w:proofErr w:type="spellStart"/>
      <w:r w:rsidRPr="008D6195">
        <w:t>palonosetrónu</w:t>
      </w:r>
      <w:proofErr w:type="spellEnd"/>
      <w:r w:rsidRPr="008D6195">
        <w:t xml:space="preserve"> v porovnaní s </w:t>
      </w:r>
      <w:r w:rsidR="000B4A47" w:rsidRPr="008D6195">
        <w:t xml:space="preserve">intravenóznym </w:t>
      </w:r>
      <w:proofErr w:type="spellStart"/>
      <w:r w:rsidR="000B4A47" w:rsidRPr="008D6195">
        <w:t>ondansetrónom</w:t>
      </w:r>
      <w:proofErr w:type="spellEnd"/>
      <w:r w:rsidR="000B4A47" w:rsidRPr="008D6195">
        <w:t xml:space="preserve">. Kritériá </w:t>
      </w:r>
      <w:proofErr w:type="spellStart"/>
      <w:r w:rsidR="000B4A47" w:rsidRPr="008D6195">
        <w:t>n</w:t>
      </w:r>
      <w:r w:rsidR="00310CAA" w:rsidRPr="008D6195">
        <w:t>on-</w:t>
      </w:r>
      <w:r w:rsidR="000B4A47" w:rsidRPr="008D6195">
        <w:t>inferiority</w:t>
      </w:r>
      <w:proofErr w:type="spellEnd"/>
      <w:r w:rsidR="000B4A47" w:rsidRPr="008D6195">
        <w:t xml:space="preserve"> boli splnené, ak </w:t>
      </w:r>
      <w:r w:rsidR="008454F1">
        <w:t>spod</w:t>
      </w:r>
      <w:r w:rsidR="008454F1" w:rsidRPr="008D6195">
        <w:t xml:space="preserve">ná </w:t>
      </w:r>
      <w:r w:rsidR="000B4A47" w:rsidRPr="008D6195">
        <w:t>hrani</w:t>
      </w:r>
      <w:r w:rsidRPr="008D6195">
        <w:t>ca intervalu spoľahlivosti 97,5 %</w:t>
      </w:r>
      <w:r w:rsidR="00D83C3A">
        <w:t>,</w:t>
      </w:r>
      <w:r w:rsidRPr="008D6195">
        <w:t xml:space="preserve"> pre rozdiel v </w:t>
      </w:r>
      <w:r w:rsidR="00D83C3A">
        <w:t>hodnotách</w:t>
      </w:r>
      <w:r w:rsidR="000B4A47" w:rsidRPr="008D6195">
        <w:t xml:space="preserve"> úplnej odpovede</w:t>
      </w:r>
      <w:r w:rsidR="00D83C3A">
        <w:t xml:space="preserve"> po podaní </w:t>
      </w:r>
      <w:r w:rsidR="000B4A47" w:rsidRPr="008D6195">
        <w:t xml:space="preserve">intravenózneho </w:t>
      </w:r>
      <w:proofErr w:type="spellStart"/>
      <w:r w:rsidR="000B4A47" w:rsidRPr="008D6195">
        <w:t>palonosetrónu</w:t>
      </w:r>
      <w:proofErr w:type="spellEnd"/>
      <w:r w:rsidR="000B4A47" w:rsidRPr="008D6195">
        <w:t xml:space="preserve"> mínus intravenózneho </w:t>
      </w:r>
      <w:proofErr w:type="spellStart"/>
      <w:r w:rsidR="000B4A47" w:rsidRPr="008D6195">
        <w:t>on</w:t>
      </w:r>
      <w:r w:rsidRPr="008D6195">
        <w:t>dansetrónu</w:t>
      </w:r>
      <w:proofErr w:type="spellEnd"/>
      <w:r w:rsidRPr="008D6195">
        <w:t>, bola väčšia ako -15 %. V skupine s</w:t>
      </w:r>
      <w:r w:rsidR="00D83C3A">
        <w:t> </w:t>
      </w:r>
      <w:proofErr w:type="spellStart"/>
      <w:r w:rsidR="000B4A47" w:rsidRPr="008D6195">
        <w:t>palonosetrónom</w:t>
      </w:r>
      <w:proofErr w:type="spellEnd"/>
      <w:r w:rsidRPr="008D6195">
        <w:t xml:space="preserve"> 10 µg/kg, 20 µg/kg a v </w:t>
      </w:r>
      <w:r w:rsidR="000B4A47" w:rsidRPr="008D6195">
        <w:t>skupine s</w:t>
      </w:r>
      <w:r w:rsidRPr="008D6195">
        <w:t> </w:t>
      </w:r>
      <w:proofErr w:type="spellStart"/>
      <w:r w:rsidR="000B4A47" w:rsidRPr="008D6195">
        <w:t>ondan</w:t>
      </w:r>
      <w:r w:rsidRPr="008D6195">
        <w:t>setrónom</w:t>
      </w:r>
      <w:proofErr w:type="spellEnd"/>
      <w:r w:rsidRPr="008D6195">
        <w:t xml:space="preserve"> bol podiel pacientov s </w:t>
      </w:r>
      <w:r w:rsidR="000B4A47" w:rsidRPr="008D6195">
        <w:t>CR</w:t>
      </w:r>
      <w:r w:rsidR="000B4A47" w:rsidRPr="00105E69">
        <w:rPr>
          <w:vertAlign w:val="subscript"/>
        </w:rPr>
        <w:t>0-24</w:t>
      </w:r>
      <w:r w:rsidRPr="00105E69">
        <w:rPr>
          <w:vertAlign w:val="subscript"/>
        </w:rPr>
        <w:t> </w:t>
      </w:r>
      <w:r w:rsidR="000B4A47" w:rsidRPr="00105E69">
        <w:rPr>
          <w:vertAlign w:val="subscript"/>
        </w:rPr>
        <w:t>h</w:t>
      </w:r>
      <w:r w:rsidRPr="008D6195">
        <w:t xml:space="preserve"> 54,2 %, 59,4% a </w:t>
      </w:r>
      <w:r w:rsidR="000B4A47" w:rsidRPr="008D6195">
        <w:t>58,6</w:t>
      </w:r>
      <w:r w:rsidRPr="008D6195">
        <w:t> </w:t>
      </w:r>
      <w:r w:rsidR="000B4A47" w:rsidRPr="008D6195">
        <w:t>%. Ke</w:t>
      </w:r>
      <w:r w:rsidRPr="008D6195">
        <w:t>ďže interval spoľahlivosti 97,5 </w:t>
      </w:r>
      <w:r w:rsidR="000B4A47" w:rsidRPr="008D6195">
        <w:t>% (</w:t>
      </w:r>
      <w:r w:rsidR="00D83C3A">
        <w:t>hodnota upravená</w:t>
      </w:r>
      <w:r w:rsidR="000B4A47" w:rsidRPr="008D6195">
        <w:t xml:space="preserve"> </w:t>
      </w:r>
      <w:proofErr w:type="spellStart"/>
      <w:r w:rsidR="000B4A47" w:rsidRPr="008D6195">
        <w:t>M</w:t>
      </w:r>
      <w:r w:rsidRPr="008D6195">
        <w:t>antel</w:t>
      </w:r>
      <w:r w:rsidR="00D83C3A">
        <w:t>ovým</w:t>
      </w:r>
      <w:r w:rsidRPr="008D6195">
        <w:t>-Haenszel</w:t>
      </w:r>
      <w:r w:rsidR="00D83C3A">
        <w:t>ovým</w:t>
      </w:r>
      <w:proofErr w:type="spellEnd"/>
      <w:r w:rsidRPr="008D6195">
        <w:t xml:space="preserve"> test</w:t>
      </w:r>
      <w:r w:rsidR="00D83C3A">
        <w:t>om</w:t>
      </w:r>
      <w:r w:rsidRPr="008D6195">
        <w:t>) rozdielu v </w:t>
      </w:r>
      <w:r w:rsidR="000B4A47" w:rsidRPr="008D6195">
        <w:t>CR</w:t>
      </w:r>
      <w:r w:rsidR="000B4A47" w:rsidRPr="00105E69">
        <w:rPr>
          <w:vertAlign w:val="subscript"/>
        </w:rPr>
        <w:t>0-24</w:t>
      </w:r>
      <w:r w:rsidRPr="00105E69">
        <w:rPr>
          <w:vertAlign w:val="subscript"/>
        </w:rPr>
        <w:t> </w:t>
      </w:r>
      <w:r w:rsidR="000B4A47" w:rsidRPr="00105E69">
        <w:rPr>
          <w:vertAlign w:val="subscript"/>
        </w:rPr>
        <w:t>h</w:t>
      </w:r>
      <w:r w:rsidRPr="008D6195">
        <w:t xml:space="preserve"> medzi </w:t>
      </w:r>
      <w:proofErr w:type="spellStart"/>
      <w:r w:rsidRPr="008D6195">
        <w:t>palonosetrónom</w:t>
      </w:r>
      <w:proofErr w:type="spellEnd"/>
      <w:r w:rsidRPr="008D6195">
        <w:t xml:space="preserve"> 20 µg/kg a </w:t>
      </w:r>
      <w:proofErr w:type="spellStart"/>
      <w:r w:rsidRPr="008D6195">
        <w:t>ondansetrónom</w:t>
      </w:r>
      <w:proofErr w:type="spellEnd"/>
      <w:r w:rsidRPr="008D6195">
        <w:t xml:space="preserve"> bol [-</w:t>
      </w:r>
      <w:r w:rsidR="00D83C3A">
        <w:t> </w:t>
      </w:r>
      <w:r w:rsidRPr="008D6195">
        <w:t>11,7 %, 12,4 </w:t>
      </w:r>
      <w:r w:rsidR="000B4A47" w:rsidRPr="008D6195">
        <w:t xml:space="preserve">%], dávka </w:t>
      </w:r>
      <w:proofErr w:type="spellStart"/>
      <w:r w:rsidR="000B4A47" w:rsidRPr="008D6195">
        <w:t>palonosetrónu</w:t>
      </w:r>
      <w:proofErr w:type="spellEnd"/>
      <w:r w:rsidR="000B4A47" w:rsidRPr="008D6195">
        <w:t xml:space="preserve"> 2</w:t>
      </w:r>
      <w:r w:rsidRPr="008D6195">
        <w:t>0 </w:t>
      </w:r>
      <w:r w:rsidR="000B4A47" w:rsidRPr="008D6195">
        <w:t xml:space="preserve">µg/kg preukázala </w:t>
      </w:r>
      <w:proofErr w:type="spellStart"/>
      <w:r w:rsidR="000B4A47" w:rsidRPr="008D6195">
        <w:t>n</w:t>
      </w:r>
      <w:r w:rsidR="00A910E2" w:rsidRPr="008D6195">
        <w:t>on-</w:t>
      </w:r>
      <w:r w:rsidR="000B4A47" w:rsidRPr="008D6195">
        <w:t>i</w:t>
      </w:r>
      <w:r w:rsidRPr="008D6195">
        <w:t>nferioritu</w:t>
      </w:r>
      <w:proofErr w:type="spellEnd"/>
      <w:r w:rsidRPr="008D6195">
        <w:t xml:space="preserve"> voči </w:t>
      </w:r>
      <w:proofErr w:type="spellStart"/>
      <w:r w:rsidRPr="008D6195">
        <w:t>ondansetrónu</w:t>
      </w:r>
      <w:proofErr w:type="spellEnd"/>
      <w:r w:rsidRPr="008D6195">
        <w:t>.</w:t>
      </w:r>
    </w:p>
    <w:p w14:paraId="22D6FC55" w14:textId="45105310" w:rsidR="000B4A47" w:rsidRDefault="000B4A47" w:rsidP="00780C83">
      <w:pPr>
        <w:pStyle w:val="Styl4"/>
        <w:spacing w:after="0"/>
        <w:jc w:val="left"/>
      </w:pPr>
      <w:r w:rsidRPr="008D6195">
        <w:t>Ho</w:t>
      </w:r>
      <w:r w:rsidR="00F95694" w:rsidRPr="008D6195">
        <w:t>ci táto štúdia preukázala, že v prevencii nauzey a </w:t>
      </w:r>
      <w:r w:rsidRPr="008D6195">
        <w:t xml:space="preserve">vracania vyvolaných chemoterapiou, </w:t>
      </w:r>
      <w:r w:rsidR="00D83C3A" w:rsidRPr="008D6195">
        <w:t xml:space="preserve">vyžadujú </w:t>
      </w:r>
      <w:r w:rsidRPr="008D6195">
        <w:t xml:space="preserve">pediatrickí pacienti vyššiu dávku </w:t>
      </w:r>
      <w:proofErr w:type="spellStart"/>
      <w:r w:rsidRPr="008D6195">
        <w:t>palonosetrónu</w:t>
      </w:r>
      <w:proofErr w:type="spellEnd"/>
      <w:r w:rsidRPr="008D6195">
        <w:t xml:space="preserve"> ako dospelí, bezpečnostný profil je konzistentný so</w:t>
      </w:r>
      <w:r w:rsidR="00D83C3A">
        <w:t> </w:t>
      </w:r>
      <w:r w:rsidRPr="008D6195">
        <w:t>sta</w:t>
      </w:r>
      <w:r w:rsidR="00F95694" w:rsidRPr="008D6195">
        <w:t>noveným profilom u </w:t>
      </w:r>
      <w:r w:rsidRPr="008D6195">
        <w:t xml:space="preserve">dospelých (pozri časť 4.8). </w:t>
      </w:r>
      <w:proofErr w:type="spellStart"/>
      <w:r w:rsidRPr="008D6195">
        <w:t>Farmakoki</w:t>
      </w:r>
      <w:r w:rsidR="00F95694" w:rsidRPr="008D6195">
        <w:t>netické</w:t>
      </w:r>
      <w:proofErr w:type="spellEnd"/>
      <w:r w:rsidR="00F95694" w:rsidRPr="008D6195">
        <w:t xml:space="preserve"> informácie sú uvedené v</w:t>
      </w:r>
      <w:r w:rsidR="00374101">
        <w:t> </w:t>
      </w:r>
      <w:r w:rsidR="00F95694" w:rsidRPr="008D6195">
        <w:t>časti</w:t>
      </w:r>
      <w:r w:rsidR="00374101">
        <w:t> </w:t>
      </w:r>
      <w:r w:rsidR="00F95694" w:rsidRPr="008D6195">
        <w:t>5.2.</w:t>
      </w:r>
    </w:p>
    <w:p w14:paraId="5A6D2D1F" w14:textId="77777777" w:rsidR="00A40DEB" w:rsidRPr="008D6195" w:rsidRDefault="00A40DEB" w:rsidP="00780C83">
      <w:pPr>
        <w:pStyle w:val="Styl4"/>
        <w:spacing w:after="0"/>
        <w:jc w:val="left"/>
      </w:pPr>
    </w:p>
    <w:p w14:paraId="2C9B0A4B" w14:textId="1FD5DD8F" w:rsidR="00FC18CB" w:rsidRDefault="00F95694" w:rsidP="00780C83">
      <w:pPr>
        <w:pStyle w:val="Styl3"/>
        <w:spacing w:after="0"/>
        <w:jc w:val="left"/>
      </w:pPr>
      <w:r w:rsidRPr="008D6195">
        <w:t>Prevencia pooperačnej nauzey a </w:t>
      </w:r>
      <w:r w:rsidR="000B4A47" w:rsidRPr="008D6195">
        <w:t>vracania (</w:t>
      </w:r>
      <w:r w:rsidR="00FC18CB">
        <w:t>PONV)</w:t>
      </w:r>
    </w:p>
    <w:p w14:paraId="52E6A8AD" w14:textId="667B2DD7" w:rsidR="000B4A47" w:rsidRPr="008D6195" w:rsidRDefault="000B4A47" w:rsidP="00780C83">
      <w:pPr>
        <w:pStyle w:val="Styl4"/>
        <w:spacing w:after="0"/>
        <w:jc w:val="left"/>
      </w:pPr>
      <w:r w:rsidRPr="008D6195">
        <w:t>Boli vykonané dve pediatrick</w:t>
      </w:r>
      <w:r w:rsidR="00F95694" w:rsidRPr="008D6195">
        <w:t>é klinické štúdie. Bezpečnosť a </w:t>
      </w:r>
      <w:r w:rsidRPr="008D6195">
        <w:t>účinnos</w:t>
      </w:r>
      <w:r w:rsidR="00F95694" w:rsidRPr="008D6195">
        <w:t xml:space="preserve">ť </w:t>
      </w:r>
      <w:proofErr w:type="spellStart"/>
      <w:r w:rsidR="00FC18CB">
        <w:t>p</w:t>
      </w:r>
      <w:r w:rsidR="00F95694" w:rsidRPr="008D6195">
        <w:t>alonosetrónu</w:t>
      </w:r>
      <w:proofErr w:type="spellEnd"/>
      <w:r w:rsidR="00F95694" w:rsidRPr="008D6195">
        <w:t xml:space="preserve"> </w:t>
      </w:r>
      <w:proofErr w:type="spellStart"/>
      <w:r w:rsidR="00F95694" w:rsidRPr="008D6195">
        <w:t>i.v</w:t>
      </w:r>
      <w:proofErr w:type="spellEnd"/>
      <w:r w:rsidR="00F95694" w:rsidRPr="008D6195">
        <w:t>. v jednorazových dávkach 1 µg/kg a 3 µg/kg sa porovnával</w:t>
      </w:r>
      <w:r w:rsidR="00374101">
        <w:t>a</w:t>
      </w:r>
      <w:r w:rsidR="00F95694" w:rsidRPr="008D6195">
        <w:t xml:space="preserve"> v prvej klinickej štúdii u 150 pacientov v </w:t>
      </w:r>
      <w:r w:rsidRPr="008D6195">
        <w:t>nasledujúcich vekových skupinách</w:t>
      </w:r>
      <w:r w:rsidR="00374101">
        <w:t>:</w:t>
      </w:r>
      <w:r w:rsidRPr="008D6195">
        <w:t xml:space="preserve"> vo veku &gt; 28 dní až 23 mesiacov (7 pacientov),</w:t>
      </w:r>
      <w:r w:rsidR="00F95694" w:rsidRPr="008D6195">
        <w:t xml:space="preserve"> 2 až 11 rokov (96 pacientov) a </w:t>
      </w:r>
      <w:r w:rsidRPr="008D6195">
        <w:t xml:space="preserve">12 až 16 rokov (47 pacientov), ktorí podstúpili </w:t>
      </w:r>
      <w:proofErr w:type="spellStart"/>
      <w:r w:rsidRPr="008D6195">
        <w:t>elek</w:t>
      </w:r>
      <w:r w:rsidR="00F95694" w:rsidRPr="008D6195">
        <w:t>tívny</w:t>
      </w:r>
      <w:proofErr w:type="spellEnd"/>
      <w:r w:rsidR="00F95694" w:rsidRPr="008D6195">
        <w:t xml:space="preserve"> chirurgický zákrok. Ani v </w:t>
      </w:r>
      <w:r w:rsidRPr="008D6195">
        <w:t>jednej liečebn</w:t>
      </w:r>
      <w:r w:rsidR="00F95694" w:rsidRPr="008D6195">
        <w:t>ej skupine sa nezvýšili obavy o </w:t>
      </w:r>
      <w:r w:rsidRPr="008D6195">
        <w:t xml:space="preserve">bezpečnosť. Podiel pacientov bez </w:t>
      </w:r>
      <w:proofErr w:type="spellStart"/>
      <w:r w:rsidRPr="008D6195">
        <w:t>emézy</w:t>
      </w:r>
      <w:proofErr w:type="spellEnd"/>
      <w:r w:rsidRPr="008D6195">
        <w:t xml:space="preserve"> počas 0</w:t>
      </w:r>
      <w:r w:rsidR="00FC18CB">
        <w:t> – </w:t>
      </w:r>
      <w:r w:rsidRPr="008D6195">
        <w:t>72 hodín po o</w:t>
      </w:r>
      <w:r w:rsidR="00F95694" w:rsidRPr="008D6195">
        <w:t xml:space="preserve">perácii bol podobný po podaní 1 µg/kg </w:t>
      </w:r>
      <w:proofErr w:type="spellStart"/>
      <w:r w:rsidR="00F95694" w:rsidRPr="008D6195">
        <w:t>palonosetrónu</w:t>
      </w:r>
      <w:proofErr w:type="spellEnd"/>
      <w:r w:rsidR="00F95694" w:rsidRPr="008D6195">
        <w:t xml:space="preserve"> alebo 3 µg/kg (88 % oproti 84 %).</w:t>
      </w:r>
    </w:p>
    <w:p w14:paraId="75E1CEFC" w14:textId="173084D5" w:rsidR="000B4A47" w:rsidRPr="008D6195" w:rsidRDefault="000B4A47" w:rsidP="00780C83">
      <w:pPr>
        <w:pStyle w:val="Styl4"/>
        <w:spacing w:after="0"/>
        <w:jc w:val="left"/>
      </w:pPr>
      <w:r w:rsidRPr="008D6195">
        <w:t xml:space="preserve">Druhá pediatrická klinická štúdia bola </w:t>
      </w:r>
      <w:proofErr w:type="spellStart"/>
      <w:r w:rsidRPr="008D6195">
        <w:t>multicentrická</w:t>
      </w:r>
      <w:proofErr w:type="spellEnd"/>
      <w:r w:rsidRPr="008D6195">
        <w:t>, dvojito zaslepená, d</w:t>
      </w:r>
      <w:r w:rsidR="00F95694" w:rsidRPr="008D6195">
        <w:t xml:space="preserve">vojito </w:t>
      </w:r>
      <w:r w:rsidR="00FC18CB">
        <w:t>maskovaná</w:t>
      </w:r>
      <w:r w:rsidR="00F95694" w:rsidRPr="008D6195">
        <w:t xml:space="preserve">, </w:t>
      </w:r>
      <w:proofErr w:type="spellStart"/>
      <w:r w:rsidR="00F95694" w:rsidRPr="008D6195">
        <w:t>randomizovaná</w:t>
      </w:r>
      <w:proofErr w:type="spellEnd"/>
      <w:r w:rsidR="00F95694" w:rsidRPr="008D6195">
        <w:t>, s </w:t>
      </w:r>
      <w:r w:rsidRPr="008D6195">
        <w:t xml:space="preserve">paralelnými skupinami, aktívne kontrolovaná, jednodávková </w:t>
      </w:r>
      <w:proofErr w:type="spellStart"/>
      <w:r w:rsidRPr="008D6195">
        <w:t>n</w:t>
      </w:r>
      <w:r w:rsidR="00FC18CB">
        <w:t>on-</w:t>
      </w:r>
      <w:r w:rsidRPr="008D6195">
        <w:t>inferiór</w:t>
      </w:r>
      <w:r w:rsidR="00374101">
        <w:t>it</w:t>
      </w:r>
      <w:r w:rsidRPr="008D6195">
        <w:t>n</w:t>
      </w:r>
      <w:r w:rsidR="00374101">
        <w:t>á</w:t>
      </w:r>
      <w:proofErr w:type="spellEnd"/>
      <w:r w:rsidRPr="008D6195">
        <w:t xml:space="preserve"> štúdia, por</w:t>
      </w:r>
      <w:r w:rsidR="00F95694" w:rsidRPr="008D6195">
        <w:t xml:space="preserve">ovnávajúca </w:t>
      </w:r>
      <w:proofErr w:type="spellStart"/>
      <w:r w:rsidR="00F95694" w:rsidRPr="008D6195">
        <w:t>i.v</w:t>
      </w:r>
      <w:proofErr w:type="spellEnd"/>
      <w:r w:rsidR="00F95694" w:rsidRPr="008D6195">
        <w:t xml:space="preserve">. </w:t>
      </w:r>
      <w:proofErr w:type="spellStart"/>
      <w:r w:rsidR="00F95694" w:rsidRPr="008D6195">
        <w:t>palonosetrón</w:t>
      </w:r>
      <w:proofErr w:type="spellEnd"/>
      <w:r w:rsidR="00F95694" w:rsidRPr="008D6195">
        <w:t xml:space="preserve"> (1 µg/kg, maximum 0,075 </w:t>
      </w:r>
      <w:r w:rsidRPr="008D6195">
        <w:t xml:space="preserve">µg/kg) </w:t>
      </w:r>
      <w:proofErr w:type="spellStart"/>
      <w:r w:rsidRPr="008D6195">
        <w:t>versus</w:t>
      </w:r>
      <w:proofErr w:type="spellEnd"/>
      <w:r w:rsidRPr="008D6195">
        <w:t xml:space="preserve"> </w:t>
      </w:r>
      <w:proofErr w:type="spellStart"/>
      <w:r w:rsidRPr="008D6195">
        <w:t>i.v</w:t>
      </w:r>
      <w:proofErr w:type="spellEnd"/>
      <w:r w:rsidRPr="008D6195">
        <w:t xml:space="preserve">. </w:t>
      </w:r>
      <w:proofErr w:type="spellStart"/>
      <w:r w:rsidRPr="008D6195">
        <w:t>ondansetrón</w:t>
      </w:r>
      <w:proofErr w:type="spellEnd"/>
      <w:r w:rsidRPr="008D6195">
        <w:t xml:space="preserve">. </w:t>
      </w:r>
      <w:r w:rsidR="00374101">
        <w:t>Štúdie sa z</w:t>
      </w:r>
      <w:r w:rsidRPr="008D6195">
        <w:t xml:space="preserve">účastnilo celkovo 670 pediatrických chirurgických pacientov, vo veku od 30 dní do 16,9 rokov. Primárny ukazovateľ účinnosti, úplná odpoveď (CR – </w:t>
      </w:r>
      <w:proofErr w:type="spellStart"/>
      <w:r w:rsidRPr="008D6195">
        <w:t>complete</w:t>
      </w:r>
      <w:proofErr w:type="spellEnd"/>
      <w:r w:rsidRPr="008D6195">
        <w:t xml:space="preserve"> </w:t>
      </w:r>
      <w:proofErr w:type="spellStart"/>
      <w:r w:rsidRPr="008D6195">
        <w:t>response</w:t>
      </w:r>
      <w:proofErr w:type="spellEnd"/>
      <w:r w:rsidRPr="008D6195">
        <w:t>: žiadne vracanie,</w:t>
      </w:r>
      <w:r w:rsidR="00F95694" w:rsidRPr="008D6195">
        <w:t xml:space="preserve"> žiadne napínanie na vracanie a </w:t>
      </w:r>
      <w:r w:rsidRPr="008D6195">
        <w:t>žiadn</w:t>
      </w:r>
      <w:r w:rsidR="00374101">
        <w:t>a</w:t>
      </w:r>
      <w:r w:rsidRPr="008D6195">
        <w:t xml:space="preserve"> </w:t>
      </w:r>
      <w:proofErr w:type="spellStart"/>
      <w:r w:rsidRPr="008D6195">
        <w:t>antiemetick</w:t>
      </w:r>
      <w:r w:rsidR="00374101">
        <w:t>á</w:t>
      </w:r>
      <w:proofErr w:type="spellEnd"/>
      <w:r w:rsidRPr="008D6195">
        <w:t xml:space="preserve"> záchrann</w:t>
      </w:r>
      <w:r w:rsidR="00374101">
        <w:t>á</w:t>
      </w:r>
      <w:r w:rsidRPr="008D6195">
        <w:t xml:space="preserve"> </w:t>
      </w:r>
      <w:r w:rsidR="00374101">
        <w:t>liečba</w:t>
      </w:r>
      <w:r w:rsidRPr="008D6195">
        <w:t>), bol počas prvých 24</w:t>
      </w:r>
      <w:r w:rsidR="00F95694" w:rsidRPr="008D6195">
        <w:t xml:space="preserve"> hodín po operácii dosiahnutý u 78,2 % pacientov v skupine s </w:t>
      </w:r>
      <w:proofErr w:type="spellStart"/>
      <w:r w:rsidR="00F95694" w:rsidRPr="008D6195">
        <w:t>palonosetrónom</w:t>
      </w:r>
      <w:proofErr w:type="spellEnd"/>
      <w:r w:rsidR="00F95694" w:rsidRPr="008D6195">
        <w:t xml:space="preserve"> a u 82,7 % v skupine s </w:t>
      </w:r>
      <w:proofErr w:type="spellStart"/>
      <w:r w:rsidRPr="008D6195">
        <w:t>ondansetrónom</w:t>
      </w:r>
      <w:proofErr w:type="spellEnd"/>
      <w:r w:rsidRPr="008D6195">
        <w:t>. Vzhľadom na vopred stano</w:t>
      </w:r>
      <w:r w:rsidR="00F95694" w:rsidRPr="008D6195">
        <w:t xml:space="preserve">venú hranicu </w:t>
      </w:r>
      <w:proofErr w:type="spellStart"/>
      <w:r w:rsidR="00F95694" w:rsidRPr="008D6195">
        <w:t>n</w:t>
      </w:r>
      <w:r w:rsidR="00A910E2" w:rsidRPr="008D6195">
        <w:t>on-</w:t>
      </w:r>
      <w:r w:rsidR="00F95694" w:rsidRPr="008D6195">
        <w:t>inferiority</w:t>
      </w:r>
      <w:proofErr w:type="spellEnd"/>
      <w:r w:rsidR="00F95694" w:rsidRPr="008D6195">
        <w:t xml:space="preserve"> </w:t>
      </w:r>
      <w:r w:rsidR="00FC18CB">
        <w:t>-</w:t>
      </w:r>
      <w:r w:rsidR="00374101">
        <w:t> </w:t>
      </w:r>
      <w:r w:rsidR="00F95694" w:rsidRPr="008D6195">
        <w:t>10 </w:t>
      </w:r>
      <w:r w:rsidRPr="008D6195">
        <w:t>%, upraven</w:t>
      </w:r>
      <w:r w:rsidR="00FC18CB">
        <w:t>ú</w:t>
      </w:r>
      <w:r w:rsidRPr="008D6195">
        <w:t xml:space="preserve"> </w:t>
      </w:r>
      <w:proofErr w:type="spellStart"/>
      <w:r w:rsidRPr="008D6195">
        <w:t>Mantel</w:t>
      </w:r>
      <w:r w:rsidR="00374101">
        <w:t>ovým</w:t>
      </w:r>
      <w:r w:rsidRPr="008D6195">
        <w:t>-Haenszel</w:t>
      </w:r>
      <w:r w:rsidR="00374101">
        <w:t>ovým</w:t>
      </w:r>
      <w:proofErr w:type="spellEnd"/>
      <w:r w:rsidRPr="008D6195">
        <w:t xml:space="preserve"> interval</w:t>
      </w:r>
      <w:r w:rsidR="00FC18CB">
        <w:t>om</w:t>
      </w:r>
      <w:r w:rsidRPr="008D6195">
        <w:t xml:space="preserve"> spoľahlivosti štatisticke</w:t>
      </w:r>
      <w:r w:rsidR="00F95694" w:rsidRPr="008D6195">
        <w:t xml:space="preserve">j </w:t>
      </w:r>
      <w:proofErr w:type="spellStart"/>
      <w:r w:rsidR="00F95694" w:rsidRPr="008D6195">
        <w:t>n</w:t>
      </w:r>
      <w:r w:rsidR="00A910E2" w:rsidRPr="008D6195">
        <w:t>on-</w:t>
      </w:r>
      <w:r w:rsidR="00F95694" w:rsidRPr="008D6195">
        <w:t>inferiority</w:t>
      </w:r>
      <w:proofErr w:type="spellEnd"/>
      <w:r w:rsidR="00F95694" w:rsidRPr="008D6195">
        <w:t xml:space="preserve"> pre rozdiel v </w:t>
      </w:r>
      <w:r w:rsidRPr="008D6195">
        <w:t>primárnom</w:t>
      </w:r>
      <w:r w:rsidR="00F95694" w:rsidRPr="008D6195">
        <w:t xml:space="preserve"> ukazovatel</w:t>
      </w:r>
      <w:r w:rsidRPr="008D6195">
        <w:t xml:space="preserve">i, </w:t>
      </w:r>
      <w:r w:rsidR="00374101">
        <w:t>úplnej</w:t>
      </w:r>
      <w:r w:rsidR="00F95694" w:rsidRPr="008D6195">
        <w:t xml:space="preserve"> odpovedi, bol [-</w:t>
      </w:r>
      <w:r w:rsidR="00374101">
        <w:t> </w:t>
      </w:r>
      <w:r w:rsidR="00F95694" w:rsidRPr="008D6195">
        <w:t>10,5, 1,7 </w:t>
      </w:r>
      <w:r w:rsidRPr="008D6195">
        <w:t xml:space="preserve">%], preto </w:t>
      </w:r>
      <w:proofErr w:type="spellStart"/>
      <w:r w:rsidRPr="008D6195">
        <w:t>n</w:t>
      </w:r>
      <w:r w:rsidR="00A910E2" w:rsidRPr="008D6195">
        <w:t>on-</w:t>
      </w:r>
      <w:r w:rsidRPr="008D6195">
        <w:t>inferiorita</w:t>
      </w:r>
      <w:proofErr w:type="spellEnd"/>
      <w:r w:rsidRPr="008D6195">
        <w:t xml:space="preserve"> nebola potvrdená. Žiadne nové bezpeč</w:t>
      </w:r>
      <w:r w:rsidR="00F95694" w:rsidRPr="008D6195">
        <w:t xml:space="preserve">nostné </w:t>
      </w:r>
      <w:r w:rsidR="00AC4DDB">
        <w:t>riziká</w:t>
      </w:r>
      <w:r w:rsidR="00F95694" w:rsidRPr="008D6195">
        <w:t xml:space="preserve"> neboli vznesené v žiadnej z liečebných skupín.</w:t>
      </w:r>
    </w:p>
    <w:p w14:paraId="72CE8717" w14:textId="77777777" w:rsidR="000B4A47" w:rsidRDefault="00F95694" w:rsidP="00780C83">
      <w:pPr>
        <w:pStyle w:val="Styl4"/>
        <w:spacing w:after="0"/>
        <w:jc w:val="left"/>
      </w:pPr>
      <w:r w:rsidRPr="008D6195">
        <w:t>Pozri časť 4.2 pre informáciu o </w:t>
      </w:r>
      <w:r w:rsidR="000B4A47" w:rsidRPr="008D6195">
        <w:t>pediat</w:t>
      </w:r>
      <w:r w:rsidRPr="008D6195">
        <w:t>rickom použití.</w:t>
      </w:r>
    </w:p>
    <w:p w14:paraId="56E4ED65" w14:textId="77777777" w:rsidR="00B32054" w:rsidRPr="008D6195" w:rsidRDefault="00B32054" w:rsidP="00780C83">
      <w:pPr>
        <w:pStyle w:val="Styl4"/>
        <w:spacing w:after="0"/>
        <w:jc w:val="left"/>
      </w:pPr>
    </w:p>
    <w:p w14:paraId="78216C9F" w14:textId="77777777" w:rsidR="007C35BA" w:rsidRDefault="007C35BA" w:rsidP="00780C83">
      <w:pPr>
        <w:pStyle w:val="Styl2"/>
        <w:numPr>
          <w:ilvl w:val="1"/>
          <w:numId w:val="1"/>
        </w:numPr>
        <w:spacing w:before="0" w:after="0"/>
        <w:ind w:left="357" w:hanging="357"/>
        <w:rPr>
          <w:lang w:val="sk-SK"/>
        </w:rPr>
      </w:pPr>
      <w:proofErr w:type="spellStart"/>
      <w:r w:rsidRPr="008D6195">
        <w:rPr>
          <w:lang w:val="sk-SK"/>
        </w:rPr>
        <w:t>Farmakokinetické</w:t>
      </w:r>
      <w:proofErr w:type="spellEnd"/>
      <w:r w:rsidRPr="008D6195">
        <w:rPr>
          <w:lang w:val="sk-SK"/>
        </w:rPr>
        <w:t xml:space="preserve"> vlastnosti</w:t>
      </w:r>
    </w:p>
    <w:p w14:paraId="27741276" w14:textId="77777777" w:rsidR="00B32054" w:rsidRPr="008D6195" w:rsidRDefault="00B32054" w:rsidP="00780C83">
      <w:pPr>
        <w:pStyle w:val="Styl2"/>
        <w:numPr>
          <w:ilvl w:val="0"/>
          <w:numId w:val="0"/>
        </w:numPr>
        <w:spacing w:before="0" w:after="0"/>
        <w:ind w:left="357"/>
        <w:rPr>
          <w:rStyle w:val="Bacil"/>
          <w:i w:val="0"/>
          <w:lang w:val="sk-SK"/>
        </w:rPr>
      </w:pPr>
    </w:p>
    <w:p w14:paraId="355105ED" w14:textId="77777777" w:rsidR="007C35BA" w:rsidRPr="008D6195" w:rsidRDefault="007C35BA" w:rsidP="00780C83">
      <w:pPr>
        <w:pStyle w:val="Styl3"/>
        <w:spacing w:after="0"/>
        <w:jc w:val="left"/>
      </w:pPr>
      <w:r w:rsidRPr="008D6195">
        <w:t>Absorpcia</w:t>
      </w:r>
    </w:p>
    <w:p w14:paraId="005D19D0" w14:textId="623B6507" w:rsidR="007C35BA" w:rsidRPr="008D6195" w:rsidRDefault="007C35BA" w:rsidP="00780C83">
      <w:pPr>
        <w:pStyle w:val="Normlndobloku"/>
        <w:spacing w:after="0"/>
        <w:jc w:val="left"/>
      </w:pPr>
      <w:r w:rsidRPr="008D6195">
        <w:t>Po intravenóznom podaní je začiatočný pokles plazmatickej koncentrácie nasledovaný pomalou elimináciou z tela s priemerným terminálnym eliminačným polčasom približne 40 hodín. Priemerná maximálna plazmatická koncentrácia (</w:t>
      </w:r>
      <w:proofErr w:type="spellStart"/>
      <w:r w:rsidRPr="008D6195">
        <w:t>C</w:t>
      </w:r>
      <w:r w:rsidRPr="00780C83">
        <w:rPr>
          <w:sz w:val="16"/>
        </w:rPr>
        <w:t>max</w:t>
      </w:r>
      <w:proofErr w:type="spellEnd"/>
      <w:r w:rsidRPr="008D6195">
        <w:t>) a plocha pod krivkou závislosti koncentrácia - čas (AUC</w:t>
      </w:r>
      <w:r w:rsidRPr="00780C83">
        <w:rPr>
          <w:sz w:val="24"/>
          <w:vertAlign w:val="subscript"/>
        </w:rPr>
        <w:t>0-∞</w:t>
      </w:r>
      <w:r w:rsidRPr="008D6195">
        <w:t>) sú spravidla úmerné dávke v rozsahu 0,3 </w:t>
      </w:r>
      <w:r w:rsidR="00AC4DDB">
        <w:t>–</w:t>
      </w:r>
      <w:r w:rsidRPr="008D6195">
        <w:t> 90 µg/kg u zdravých ľudí a u pacientov s rakovinou.</w:t>
      </w:r>
    </w:p>
    <w:p w14:paraId="0EB3E355" w14:textId="2078FE28" w:rsidR="007C35BA" w:rsidRPr="008D6195" w:rsidRDefault="007C35BA" w:rsidP="00780C83">
      <w:pPr>
        <w:pStyle w:val="Normlndobloku"/>
        <w:spacing w:after="0"/>
        <w:jc w:val="left"/>
      </w:pPr>
      <w:r w:rsidRPr="008D6195">
        <w:t xml:space="preserve">Po intravenóznom podaní 0,25 mg </w:t>
      </w:r>
      <w:proofErr w:type="spellStart"/>
      <w:r w:rsidRPr="008D6195">
        <w:t>palonosetrónu</w:t>
      </w:r>
      <w:proofErr w:type="spellEnd"/>
      <w:r w:rsidRPr="008D6195">
        <w:t xml:space="preserve"> jedenkrát každý druhý deň </w:t>
      </w:r>
      <w:r w:rsidR="002756D4">
        <w:t>s celkovým množstvom</w:t>
      </w:r>
      <w:r w:rsidRPr="008D6195">
        <w:t xml:space="preserve"> 3</w:t>
      </w:r>
      <w:r w:rsidR="002756D4">
        <w:t> </w:t>
      </w:r>
      <w:r w:rsidRPr="008D6195">
        <w:t>dávok u 11 pacientov s </w:t>
      </w:r>
      <w:proofErr w:type="spellStart"/>
      <w:r w:rsidRPr="008D6195">
        <w:t>testikulárnym</w:t>
      </w:r>
      <w:proofErr w:type="spellEnd"/>
      <w:r w:rsidRPr="008D6195">
        <w:t xml:space="preserve"> karcinómom bolo priemerné (± SD) zvýšenie plazmatickej koncentrácie od 1. dňa do 5. dňa 42 ± 34 %. Po intravenóznom podaní 0,25 mg </w:t>
      </w:r>
      <w:proofErr w:type="spellStart"/>
      <w:r w:rsidRPr="008D6195">
        <w:t>palonosetrónu</w:t>
      </w:r>
      <w:proofErr w:type="spellEnd"/>
      <w:r w:rsidRPr="008D6195">
        <w:t xml:space="preserve"> jedenkrát denne počas 3 dní u</w:t>
      </w:r>
      <w:r w:rsidR="00AC4DDB">
        <w:t> </w:t>
      </w:r>
      <w:r w:rsidRPr="008D6195">
        <w:t>12</w:t>
      </w:r>
      <w:r w:rsidR="00AC4DDB">
        <w:t> </w:t>
      </w:r>
      <w:r w:rsidRPr="008D6195">
        <w:t xml:space="preserve">zdravých jedincov bolo priemerné (± SD) zvýšenie plazmatickej koncentrácie </w:t>
      </w:r>
      <w:proofErr w:type="spellStart"/>
      <w:r w:rsidRPr="008D6195">
        <w:t>palonosetrónu</w:t>
      </w:r>
      <w:proofErr w:type="spellEnd"/>
      <w:r w:rsidRPr="008D6195">
        <w:t xml:space="preserve"> od 1.</w:t>
      </w:r>
      <w:r w:rsidR="00AC4DDB">
        <w:t> </w:t>
      </w:r>
      <w:r w:rsidRPr="008D6195">
        <w:t>dňa do 3. dňa 110 ± 45 %.</w:t>
      </w:r>
    </w:p>
    <w:p w14:paraId="2624F226" w14:textId="52188ACE" w:rsidR="007C35BA" w:rsidRDefault="007C35BA" w:rsidP="00780C83">
      <w:pPr>
        <w:pStyle w:val="Normlndobloku"/>
        <w:spacing w:after="0"/>
        <w:jc w:val="left"/>
      </w:pPr>
      <w:proofErr w:type="spellStart"/>
      <w:r w:rsidRPr="008D6195">
        <w:t>Farmakokinetické</w:t>
      </w:r>
      <w:proofErr w:type="spellEnd"/>
      <w:r w:rsidRPr="008D6195">
        <w:t xml:space="preserve"> simulácie naznačujú, že celková expozícia (AUC</w:t>
      </w:r>
      <w:r w:rsidR="005D16D4" w:rsidRPr="00105E69">
        <w:rPr>
          <w:vertAlign w:val="subscript"/>
        </w:rPr>
        <w:t>0-∞</w:t>
      </w:r>
      <w:r w:rsidRPr="00780C83">
        <w:rPr>
          <w:sz w:val="20"/>
        </w:rPr>
        <w:t>)</w:t>
      </w:r>
      <w:r w:rsidRPr="008D6195">
        <w:t xml:space="preserve"> 0,25 mg intravenózne podaného </w:t>
      </w:r>
      <w:proofErr w:type="spellStart"/>
      <w:r w:rsidRPr="008D6195">
        <w:t>palonosetrónu</w:t>
      </w:r>
      <w:proofErr w:type="spellEnd"/>
      <w:r w:rsidRPr="008D6195">
        <w:t xml:space="preserve"> jedenkrát denne počas 3 po sebe nasledujúcich dní bola </w:t>
      </w:r>
      <w:r w:rsidR="005D16D4">
        <w:t>podobná</w:t>
      </w:r>
      <w:r w:rsidRPr="008D6195">
        <w:t xml:space="preserve"> ako po</w:t>
      </w:r>
      <w:r w:rsidR="005D16D4">
        <w:t> </w:t>
      </w:r>
      <w:r w:rsidRPr="008D6195">
        <w:t xml:space="preserve">podaní jednorazovej intravenóznej dávky 0,75 mg, hoci </w:t>
      </w:r>
      <w:proofErr w:type="spellStart"/>
      <w:r w:rsidRPr="008D6195">
        <w:t>C</w:t>
      </w:r>
      <w:r w:rsidRPr="00780C83">
        <w:rPr>
          <w:sz w:val="20"/>
          <w:vertAlign w:val="subscript"/>
        </w:rPr>
        <w:t>max</w:t>
      </w:r>
      <w:proofErr w:type="spellEnd"/>
      <w:r w:rsidRPr="00780C83">
        <w:rPr>
          <w:sz w:val="20"/>
          <w:vertAlign w:val="subscript"/>
        </w:rPr>
        <w:t xml:space="preserve"> </w:t>
      </w:r>
      <w:r w:rsidRPr="008D6195">
        <w:t>jednorazovej dávky 0,75 mg bolo vyššie.</w:t>
      </w:r>
    </w:p>
    <w:p w14:paraId="2A09E80B" w14:textId="77777777" w:rsidR="00494EA4" w:rsidRPr="008D6195" w:rsidRDefault="00494EA4" w:rsidP="00780C83">
      <w:pPr>
        <w:pStyle w:val="Normlndobloku"/>
        <w:spacing w:after="0"/>
        <w:jc w:val="left"/>
      </w:pPr>
    </w:p>
    <w:p w14:paraId="726A5B79" w14:textId="77777777" w:rsidR="007C35BA" w:rsidRPr="008D6195" w:rsidRDefault="007C35BA" w:rsidP="00780C83">
      <w:pPr>
        <w:pStyle w:val="Styl3"/>
        <w:spacing w:after="0"/>
        <w:jc w:val="left"/>
      </w:pPr>
      <w:r w:rsidRPr="008D6195">
        <w:t>Distribúcia</w:t>
      </w:r>
    </w:p>
    <w:p w14:paraId="754421CC" w14:textId="3E09C2B6" w:rsidR="007C35BA" w:rsidRDefault="007C35BA" w:rsidP="00780C83">
      <w:pPr>
        <w:pStyle w:val="Normlndobloku"/>
        <w:spacing w:after="0"/>
        <w:jc w:val="left"/>
      </w:pPr>
      <w:proofErr w:type="spellStart"/>
      <w:r w:rsidRPr="008D6195">
        <w:t>Palonosetrón</w:t>
      </w:r>
      <w:proofErr w:type="spellEnd"/>
      <w:r w:rsidRPr="008D6195">
        <w:t xml:space="preserve"> je pri odporúčanej dávke široko distribuovaný do tela s distribučným objemom približne 6,9</w:t>
      </w:r>
      <w:r w:rsidR="00AC4DDB">
        <w:t> </w:t>
      </w:r>
      <w:r w:rsidRPr="008D6195">
        <w:t xml:space="preserve">až 7,9 l/kg. Približne 62 % </w:t>
      </w:r>
      <w:proofErr w:type="spellStart"/>
      <w:r w:rsidRPr="008D6195">
        <w:t>palonosetrónu</w:t>
      </w:r>
      <w:proofErr w:type="spellEnd"/>
      <w:r w:rsidRPr="008D6195">
        <w:t xml:space="preserve"> sa viaže na plazmatické bielkoviny.</w:t>
      </w:r>
    </w:p>
    <w:p w14:paraId="5917B4E1" w14:textId="77777777" w:rsidR="00494EA4" w:rsidRPr="008D6195" w:rsidRDefault="00494EA4" w:rsidP="00780C83">
      <w:pPr>
        <w:pStyle w:val="Normlndobloku"/>
        <w:spacing w:after="0"/>
        <w:jc w:val="left"/>
      </w:pPr>
    </w:p>
    <w:p w14:paraId="51D17E14" w14:textId="77777777" w:rsidR="007C35BA" w:rsidRPr="008D6195" w:rsidRDefault="007C35BA" w:rsidP="00780C83">
      <w:pPr>
        <w:pStyle w:val="Normlndobloku"/>
        <w:spacing w:after="0"/>
        <w:jc w:val="left"/>
        <w:rPr>
          <w:u w:val="single"/>
        </w:rPr>
      </w:pPr>
      <w:proofErr w:type="spellStart"/>
      <w:r w:rsidRPr="008D6195">
        <w:rPr>
          <w:u w:val="single"/>
        </w:rPr>
        <w:t>Biotransformácia</w:t>
      </w:r>
      <w:proofErr w:type="spellEnd"/>
    </w:p>
    <w:p w14:paraId="6CDE9F8D" w14:textId="15397E11" w:rsidR="007C35BA" w:rsidRDefault="007C35BA" w:rsidP="00780C83">
      <w:pPr>
        <w:pStyle w:val="Normlndobloku"/>
        <w:spacing w:after="0"/>
        <w:jc w:val="left"/>
      </w:pPr>
      <w:proofErr w:type="spellStart"/>
      <w:r w:rsidRPr="008D6195">
        <w:t>Palonosetrón</w:t>
      </w:r>
      <w:proofErr w:type="spellEnd"/>
      <w:r w:rsidRPr="008D6195">
        <w:t xml:space="preserve"> je eliminovaný dvomi spôsobmi, asi 40 % sa eliminuje obličkami a približne 50 % sa metabolizuje za vzniku 2 primárnych </w:t>
      </w:r>
      <w:proofErr w:type="spellStart"/>
      <w:r w:rsidRPr="008D6195">
        <w:t>metabolitov</w:t>
      </w:r>
      <w:proofErr w:type="spellEnd"/>
      <w:r w:rsidRPr="008D6195">
        <w:t xml:space="preserve">, ktoré majú menej ako 1 % antagonistickej aktivity </w:t>
      </w:r>
      <w:proofErr w:type="spellStart"/>
      <w:r w:rsidRPr="008D6195">
        <w:t>palonosetrónu</w:t>
      </w:r>
      <w:proofErr w:type="spellEnd"/>
      <w:r w:rsidRPr="008D6195">
        <w:t xml:space="preserve"> na receptor 5</w:t>
      </w:r>
      <w:r w:rsidR="00C2611F" w:rsidRPr="008D6195">
        <w:t>-</w:t>
      </w:r>
      <w:r w:rsidRPr="008D6195">
        <w:t>HT</w:t>
      </w:r>
      <w:r w:rsidRPr="008D6195">
        <w:rPr>
          <w:vertAlign w:val="subscript"/>
        </w:rPr>
        <w:t>3</w:t>
      </w:r>
      <w:r w:rsidRPr="008D6195">
        <w:t xml:space="preserve">. </w:t>
      </w:r>
      <w:r w:rsidRPr="00105E69">
        <w:rPr>
          <w:rStyle w:val="Bacil"/>
        </w:rPr>
        <w:t>In vitro</w:t>
      </w:r>
      <w:r w:rsidRPr="008D6195">
        <w:t xml:space="preserve"> metabolické štúdie ukázali, že na metabolizme </w:t>
      </w:r>
      <w:proofErr w:type="spellStart"/>
      <w:r w:rsidRPr="008D6195">
        <w:t>palonosetrónu</w:t>
      </w:r>
      <w:proofErr w:type="spellEnd"/>
      <w:r w:rsidRPr="008D6195">
        <w:t xml:space="preserve"> sa podieľajú CYP2D6 a v menšej miere aj CYP3A4 a CYP1A2 </w:t>
      </w:r>
      <w:proofErr w:type="spellStart"/>
      <w:r w:rsidRPr="008D6195">
        <w:t>izoenzýmy</w:t>
      </w:r>
      <w:proofErr w:type="spellEnd"/>
      <w:r w:rsidRPr="008D6195">
        <w:t xml:space="preserve">. Avšak klinické </w:t>
      </w:r>
      <w:proofErr w:type="spellStart"/>
      <w:r w:rsidRPr="008D6195">
        <w:t>farmakokinetické</w:t>
      </w:r>
      <w:proofErr w:type="spellEnd"/>
      <w:r w:rsidRPr="008D6195">
        <w:t xml:space="preserve"> parametre nie sú významne rozdielne medzi slabými a silnými </w:t>
      </w:r>
      <w:proofErr w:type="spellStart"/>
      <w:r w:rsidRPr="008D6195">
        <w:t>metabolizérmi</w:t>
      </w:r>
      <w:proofErr w:type="spellEnd"/>
      <w:r w:rsidRPr="008D6195">
        <w:t xml:space="preserve"> substrátov CYP2D6. </w:t>
      </w:r>
      <w:proofErr w:type="spellStart"/>
      <w:r w:rsidRPr="008D6195">
        <w:t>Palonosetrón</w:t>
      </w:r>
      <w:proofErr w:type="spellEnd"/>
      <w:r w:rsidRPr="008D6195">
        <w:t xml:space="preserve"> v klinicky významných </w:t>
      </w:r>
      <w:r w:rsidR="007726A9" w:rsidRPr="008D6195">
        <w:t>koncentráciách</w:t>
      </w:r>
      <w:r w:rsidRPr="008D6195">
        <w:t xml:space="preserve"> </w:t>
      </w:r>
      <w:proofErr w:type="spellStart"/>
      <w:r w:rsidRPr="008D6195">
        <w:t>neinhibuje</w:t>
      </w:r>
      <w:proofErr w:type="spellEnd"/>
      <w:r w:rsidRPr="008D6195">
        <w:t xml:space="preserve"> ani neindukuje </w:t>
      </w:r>
      <w:proofErr w:type="spellStart"/>
      <w:r w:rsidRPr="008D6195">
        <w:t>izoenzýmy</w:t>
      </w:r>
      <w:proofErr w:type="spellEnd"/>
      <w:r w:rsidRPr="008D6195">
        <w:t xml:space="preserve"> </w:t>
      </w:r>
      <w:proofErr w:type="spellStart"/>
      <w:r w:rsidRPr="008D6195">
        <w:t>cytochrómu</w:t>
      </w:r>
      <w:proofErr w:type="spellEnd"/>
      <w:r w:rsidRPr="008D6195">
        <w:t xml:space="preserve"> P450.</w:t>
      </w:r>
    </w:p>
    <w:p w14:paraId="7D82EF21" w14:textId="77777777" w:rsidR="00494EA4" w:rsidRPr="008D6195" w:rsidRDefault="00494EA4" w:rsidP="00780C83">
      <w:pPr>
        <w:pStyle w:val="Normlndobloku"/>
        <w:spacing w:after="0"/>
        <w:jc w:val="left"/>
      </w:pPr>
    </w:p>
    <w:p w14:paraId="339BDFB5" w14:textId="77777777" w:rsidR="007C35BA" w:rsidRPr="008D6195" w:rsidRDefault="007C35BA" w:rsidP="00780C83">
      <w:pPr>
        <w:pStyle w:val="Styl3"/>
        <w:spacing w:after="0"/>
        <w:jc w:val="left"/>
      </w:pPr>
      <w:r w:rsidRPr="008D6195">
        <w:t>Eliminácia</w:t>
      </w:r>
    </w:p>
    <w:p w14:paraId="7DE1E36A" w14:textId="189BDA47" w:rsidR="007C35BA" w:rsidRDefault="007C35BA" w:rsidP="00780C83">
      <w:pPr>
        <w:pStyle w:val="Styl3"/>
        <w:spacing w:after="0"/>
        <w:jc w:val="left"/>
        <w:rPr>
          <w:u w:val="none"/>
        </w:rPr>
      </w:pPr>
      <w:r w:rsidRPr="008D6195">
        <w:rPr>
          <w:u w:val="none"/>
        </w:rPr>
        <w:t>Po podaní jedn</w:t>
      </w:r>
      <w:r w:rsidR="005D16D4">
        <w:rPr>
          <w:u w:val="none"/>
        </w:rPr>
        <w:t>orazov</w:t>
      </w:r>
      <w:r w:rsidRPr="008D6195">
        <w:rPr>
          <w:u w:val="none"/>
        </w:rPr>
        <w:t xml:space="preserve">ej intravenóznej dávky 10 </w:t>
      </w:r>
      <w:proofErr w:type="spellStart"/>
      <w:r w:rsidRPr="008D6195">
        <w:rPr>
          <w:u w:val="none"/>
        </w:rPr>
        <w:t>mikrogramov</w:t>
      </w:r>
      <w:proofErr w:type="spellEnd"/>
      <w:r w:rsidRPr="008D6195">
        <w:rPr>
          <w:u w:val="none"/>
        </w:rPr>
        <w:t>/kg [14C ]-</w:t>
      </w:r>
      <w:proofErr w:type="spellStart"/>
      <w:r w:rsidRPr="008D6195">
        <w:rPr>
          <w:u w:val="none"/>
        </w:rPr>
        <w:t>palonosetrónu</w:t>
      </w:r>
      <w:proofErr w:type="spellEnd"/>
      <w:r w:rsidRPr="008D6195">
        <w:rPr>
          <w:u w:val="none"/>
        </w:rPr>
        <w:t xml:space="preserve"> sa približne 80 % dávky vylúčilo do moču počas 144 hodín, pričom približne 40 % predstavovalo nezmenenú </w:t>
      </w:r>
      <w:r w:rsidR="00076D13">
        <w:rPr>
          <w:u w:val="none"/>
        </w:rPr>
        <w:t>účinnú</w:t>
      </w:r>
      <w:r w:rsidR="00076D13" w:rsidRPr="008D6195">
        <w:rPr>
          <w:u w:val="none"/>
        </w:rPr>
        <w:t xml:space="preserve"> </w:t>
      </w:r>
      <w:r w:rsidRPr="008D6195">
        <w:rPr>
          <w:u w:val="none"/>
        </w:rPr>
        <w:t xml:space="preserve">látku </w:t>
      </w:r>
      <w:proofErr w:type="spellStart"/>
      <w:r w:rsidRPr="008D6195">
        <w:rPr>
          <w:u w:val="none"/>
        </w:rPr>
        <w:t>palonosetrón</w:t>
      </w:r>
      <w:proofErr w:type="spellEnd"/>
      <w:r w:rsidRPr="008D6195">
        <w:rPr>
          <w:u w:val="none"/>
        </w:rPr>
        <w:t>. Po jedno</w:t>
      </w:r>
      <w:r w:rsidR="00076D13">
        <w:rPr>
          <w:u w:val="none"/>
        </w:rPr>
        <w:t>razovo</w:t>
      </w:r>
      <w:r w:rsidRPr="008D6195">
        <w:rPr>
          <w:u w:val="none"/>
        </w:rPr>
        <w:t xml:space="preserve">m intravenóznom podaní </w:t>
      </w:r>
      <w:proofErr w:type="spellStart"/>
      <w:r w:rsidR="00076D13" w:rsidRPr="008D6195">
        <w:rPr>
          <w:u w:val="none"/>
        </w:rPr>
        <w:t>bolus</w:t>
      </w:r>
      <w:r w:rsidR="00076D13">
        <w:rPr>
          <w:u w:val="none"/>
        </w:rPr>
        <w:t>u</w:t>
      </w:r>
      <w:proofErr w:type="spellEnd"/>
      <w:r w:rsidR="00076D13" w:rsidRPr="008D6195">
        <w:rPr>
          <w:u w:val="none"/>
        </w:rPr>
        <w:t xml:space="preserve"> </w:t>
      </w:r>
      <w:r w:rsidRPr="008D6195">
        <w:rPr>
          <w:u w:val="none"/>
        </w:rPr>
        <w:t xml:space="preserve">zdravým jedincom bol celkový telesný </w:t>
      </w:r>
      <w:proofErr w:type="spellStart"/>
      <w:r w:rsidRPr="008D6195">
        <w:rPr>
          <w:u w:val="none"/>
        </w:rPr>
        <w:t>klírens</w:t>
      </w:r>
      <w:proofErr w:type="spellEnd"/>
      <w:r w:rsidRPr="008D6195">
        <w:rPr>
          <w:u w:val="none"/>
        </w:rPr>
        <w:t xml:space="preserve"> </w:t>
      </w:r>
      <w:proofErr w:type="spellStart"/>
      <w:r w:rsidRPr="008D6195">
        <w:rPr>
          <w:u w:val="none"/>
        </w:rPr>
        <w:t>palonosetrónu</w:t>
      </w:r>
      <w:proofErr w:type="spellEnd"/>
      <w:r w:rsidRPr="008D6195">
        <w:rPr>
          <w:u w:val="none"/>
        </w:rPr>
        <w:t xml:space="preserve"> 173 </w:t>
      </w:r>
      <w:r w:rsidR="00076D13" w:rsidRPr="008D6195">
        <w:t>±</w:t>
      </w:r>
      <w:r w:rsidRPr="008D6195">
        <w:rPr>
          <w:u w:val="none"/>
        </w:rPr>
        <w:t> 73 ml/min a </w:t>
      </w:r>
      <w:proofErr w:type="spellStart"/>
      <w:r w:rsidRPr="008D6195">
        <w:rPr>
          <w:u w:val="none"/>
        </w:rPr>
        <w:t>renálny</w:t>
      </w:r>
      <w:proofErr w:type="spellEnd"/>
      <w:r w:rsidRPr="008D6195">
        <w:rPr>
          <w:u w:val="none"/>
        </w:rPr>
        <w:t xml:space="preserve"> </w:t>
      </w:r>
      <w:proofErr w:type="spellStart"/>
      <w:r w:rsidRPr="008D6195">
        <w:rPr>
          <w:u w:val="none"/>
        </w:rPr>
        <w:t>klírens</w:t>
      </w:r>
      <w:proofErr w:type="spellEnd"/>
      <w:r w:rsidRPr="008D6195">
        <w:rPr>
          <w:u w:val="none"/>
        </w:rPr>
        <w:t xml:space="preserve"> 53 </w:t>
      </w:r>
      <w:r w:rsidR="00076D13" w:rsidRPr="008D6195">
        <w:t>±</w:t>
      </w:r>
      <w:r w:rsidR="00076D13">
        <w:t xml:space="preserve"> </w:t>
      </w:r>
      <w:r w:rsidRPr="008D6195">
        <w:rPr>
          <w:u w:val="none"/>
        </w:rPr>
        <w:t xml:space="preserve">29 ml/min. Nízky celkový telesný </w:t>
      </w:r>
      <w:proofErr w:type="spellStart"/>
      <w:r w:rsidRPr="008D6195">
        <w:rPr>
          <w:u w:val="none"/>
        </w:rPr>
        <w:t>klírens</w:t>
      </w:r>
      <w:proofErr w:type="spellEnd"/>
      <w:r w:rsidRPr="008D6195">
        <w:rPr>
          <w:u w:val="none"/>
        </w:rPr>
        <w:t xml:space="preserve"> a veľký distribučný objem viedli k terminálnemu eliminačnému polčasu v plazme asi 40 hodín. U desiatich percent pacientov je priemerný terminálny eliminačný polčas v</w:t>
      </w:r>
      <w:r w:rsidR="00076D13">
        <w:rPr>
          <w:u w:val="none"/>
        </w:rPr>
        <w:t>yšší</w:t>
      </w:r>
      <w:r w:rsidRPr="008D6195">
        <w:rPr>
          <w:u w:val="none"/>
        </w:rPr>
        <w:t xml:space="preserve"> ako 100 hodín.</w:t>
      </w:r>
    </w:p>
    <w:p w14:paraId="1D364D4D" w14:textId="77777777" w:rsidR="0098040B" w:rsidRPr="008D6195" w:rsidRDefault="0098040B" w:rsidP="00780C83">
      <w:pPr>
        <w:pStyle w:val="Styl3"/>
        <w:spacing w:after="0"/>
        <w:jc w:val="left"/>
        <w:rPr>
          <w:u w:val="none"/>
        </w:rPr>
      </w:pPr>
    </w:p>
    <w:p w14:paraId="5DDE5058" w14:textId="77777777" w:rsidR="007C35BA" w:rsidRPr="008D6195" w:rsidRDefault="007C35BA" w:rsidP="00780C83">
      <w:pPr>
        <w:pStyle w:val="Styl3"/>
        <w:spacing w:after="0"/>
        <w:jc w:val="left"/>
      </w:pPr>
      <w:proofErr w:type="spellStart"/>
      <w:r w:rsidRPr="008D6195">
        <w:t>Farmakokinetika</w:t>
      </w:r>
      <w:proofErr w:type="spellEnd"/>
      <w:r w:rsidRPr="008D6195">
        <w:t xml:space="preserve"> u osobitných skupín pacientov</w:t>
      </w:r>
    </w:p>
    <w:p w14:paraId="34BD1CF5" w14:textId="77777777" w:rsidR="007C35BA" w:rsidRPr="00105E69" w:rsidRDefault="007C35BA" w:rsidP="00780C83">
      <w:pPr>
        <w:pStyle w:val="Styl4"/>
        <w:keepNext/>
        <w:spacing w:after="0"/>
        <w:jc w:val="left"/>
        <w:rPr>
          <w:i/>
          <w:u w:color="000000"/>
        </w:rPr>
      </w:pPr>
      <w:r w:rsidRPr="00105E69">
        <w:rPr>
          <w:i/>
          <w:u w:color="000000"/>
        </w:rPr>
        <w:t>Starší pacienti</w:t>
      </w:r>
    </w:p>
    <w:p w14:paraId="560CA670" w14:textId="77777777" w:rsidR="007C35BA" w:rsidRDefault="007C35BA" w:rsidP="00780C83">
      <w:pPr>
        <w:pStyle w:val="Normlndobloku"/>
        <w:spacing w:after="0"/>
        <w:jc w:val="left"/>
      </w:pPr>
      <w:r w:rsidRPr="008D6195">
        <w:t xml:space="preserve">Vek nemá vplyv na </w:t>
      </w:r>
      <w:proofErr w:type="spellStart"/>
      <w:r w:rsidRPr="008D6195">
        <w:t>farmakokinetiku</w:t>
      </w:r>
      <w:proofErr w:type="spellEnd"/>
      <w:r w:rsidRPr="008D6195">
        <w:t xml:space="preserve"> </w:t>
      </w:r>
      <w:proofErr w:type="spellStart"/>
      <w:r w:rsidRPr="008D6195">
        <w:t>palonosetrónu</w:t>
      </w:r>
      <w:proofErr w:type="spellEnd"/>
      <w:r w:rsidRPr="008D6195">
        <w:t>. Úprava dávky nie je u starších pacientov potrebná.</w:t>
      </w:r>
    </w:p>
    <w:p w14:paraId="47403C25" w14:textId="77777777" w:rsidR="0098040B" w:rsidRPr="008D6195" w:rsidRDefault="0098040B" w:rsidP="00780C83">
      <w:pPr>
        <w:pStyle w:val="Normlndobloku"/>
        <w:spacing w:after="0"/>
        <w:jc w:val="left"/>
      </w:pPr>
    </w:p>
    <w:p w14:paraId="3E5A02CF" w14:textId="77777777" w:rsidR="007C35BA" w:rsidRPr="00105E69" w:rsidRDefault="007C35BA" w:rsidP="00780C83">
      <w:pPr>
        <w:pStyle w:val="Styl4"/>
        <w:keepNext/>
        <w:spacing w:after="0"/>
        <w:jc w:val="left"/>
        <w:rPr>
          <w:i/>
          <w:u w:color="000000"/>
        </w:rPr>
      </w:pPr>
      <w:r w:rsidRPr="00105E69">
        <w:rPr>
          <w:i/>
          <w:u w:color="000000"/>
        </w:rPr>
        <w:t>Pohlavie</w:t>
      </w:r>
    </w:p>
    <w:p w14:paraId="1E2A9D29" w14:textId="77777777" w:rsidR="007C35BA" w:rsidRPr="008D6195" w:rsidRDefault="007C35BA" w:rsidP="00780C83">
      <w:pPr>
        <w:pStyle w:val="Normlndobloku"/>
        <w:spacing w:after="0"/>
        <w:jc w:val="left"/>
      </w:pPr>
      <w:r w:rsidRPr="008D6195">
        <w:t xml:space="preserve">Pohlavie nemá vplyv na </w:t>
      </w:r>
      <w:proofErr w:type="spellStart"/>
      <w:r w:rsidRPr="008D6195">
        <w:t>farmakokinetiku</w:t>
      </w:r>
      <w:proofErr w:type="spellEnd"/>
      <w:r w:rsidRPr="008D6195">
        <w:t xml:space="preserve"> </w:t>
      </w:r>
      <w:proofErr w:type="spellStart"/>
      <w:r w:rsidRPr="008D6195">
        <w:t>palonosetrónu</w:t>
      </w:r>
      <w:proofErr w:type="spellEnd"/>
      <w:r w:rsidRPr="008D6195">
        <w:t>. Úprava dávky s ohľadom na pohlavie nie je potrebná.</w:t>
      </w:r>
    </w:p>
    <w:p w14:paraId="065021A0" w14:textId="77777777" w:rsidR="0098040B" w:rsidRDefault="0098040B" w:rsidP="00780C83">
      <w:pPr>
        <w:pStyle w:val="Styl4"/>
        <w:keepNext/>
        <w:spacing w:after="0"/>
        <w:jc w:val="left"/>
        <w:rPr>
          <w:i/>
          <w:u w:color="000000"/>
        </w:rPr>
      </w:pPr>
    </w:p>
    <w:p w14:paraId="63DBFF31" w14:textId="77777777" w:rsidR="007C35BA" w:rsidRPr="00105E69" w:rsidRDefault="007C35BA" w:rsidP="00780C83">
      <w:pPr>
        <w:pStyle w:val="Styl4"/>
        <w:keepNext/>
        <w:spacing w:after="0"/>
        <w:jc w:val="left"/>
        <w:rPr>
          <w:i/>
          <w:u w:color="000000"/>
        </w:rPr>
      </w:pPr>
      <w:r w:rsidRPr="00105E69">
        <w:rPr>
          <w:i/>
          <w:u w:color="000000"/>
        </w:rPr>
        <w:t>Pediatrická populácia</w:t>
      </w:r>
    </w:p>
    <w:p w14:paraId="09D9D7B7" w14:textId="2E1181DA" w:rsidR="007C35BA" w:rsidRPr="008D6195" w:rsidRDefault="007C35BA" w:rsidP="00780C83">
      <w:pPr>
        <w:pStyle w:val="Normlndobloku"/>
        <w:spacing w:after="0"/>
        <w:jc w:val="left"/>
      </w:pPr>
      <w:proofErr w:type="spellStart"/>
      <w:r w:rsidRPr="008D6195">
        <w:t>Farmakokinetické</w:t>
      </w:r>
      <w:proofErr w:type="spellEnd"/>
      <w:r w:rsidRPr="008D6195">
        <w:t xml:space="preserve"> údaje jednorazovej </w:t>
      </w:r>
      <w:proofErr w:type="spellStart"/>
      <w:r w:rsidRPr="008D6195">
        <w:t>i.v</w:t>
      </w:r>
      <w:proofErr w:type="spellEnd"/>
      <w:r w:rsidRPr="008D6195">
        <w:t xml:space="preserve">. dávky </w:t>
      </w:r>
      <w:proofErr w:type="spellStart"/>
      <w:r w:rsidRPr="008D6195">
        <w:t>palonosetrónu</w:t>
      </w:r>
      <w:proofErr w:type="spellEnd"/>
      <w:r w:rsidRPr="008D6195">
        <w:t xml:space="preserve"> boli získané z podskupiny pediatrických pacientov s nádorovým ochorením (n=280), ktorí dostávali </w:t>
      </w:r>
      <w:r w:rsidR="004B44AD">
        <w:t xml:space="preserve">dávku </w:t>
      </w:r>
      <w:r w:rsidRPr="008D6195">
        <w:t>10 µg/kg alebo 20 µg/kg. Keď bola dávka zvýšená z 10 µg/kg na 20 µg/kg bolo pozorované zvýšenie priemernej hodnoty AUC</w:t>
      </w:r>
      <w:r w:rsidR="004B44AD">
        <w:t>, ktoré bolo úmerné dávke</w:t>
      </w:r>
      <w:r w:rsidRPr="008D6195">
        <w:t xml:space="preserve">. Po jednorazovej intravenóznej infúzii </w:t>
      </w:r>
      <w:proofErr w:type="spellStart"/>
      <w:r w:rsidRPr="008D6195">
        <w:t>palonosetrónu</w:t>
      </w:r>
      <w:proofErr w:type="spellEnd"/>
      <w:r w:rsidRPr="008D6195">
        <w:t xml:space="preserve"> 20 µg/kg boli maximálne plazmatické koncentrácie (C</w:t>
      </w:r>
      <w:r w:rsidRPr="00105E69">
        <w:rPr>
          <w:vertAlign w:val="subscript"/>
        </w:rPr>
        <w:t>T</w:t>
      </w:r>
      <w:r w:rsidRPr="008D6195">
        <w:t>) hlásené na konci 15</w:t>
      </w:r>
      <w:r w:rsidR="004B44AD">
        <w:t xml:space="preserve"> </w:t>
      </w:r>
      <w:r w:rsidRPr="008D6195">
        <w:t xml:space="preserve">minútovej infúzie veľmi variabilné vo všetkých vekových skupinách a mali tendenciu byť nižšie u pacientov vo veku &lt; 6 rokov ako u starších pediatrických pacientov. Medián polčasu bol 29,5 hodín </w:t>
      </w:r>
      <w:r w:rsidRPr="007C35BA">
        <w:t>v</w:t>
      </w:r>
      <w:r>
        <w:t>o všetkých vekových skupinách</w:t>
      </w:r>
      <w:r w:rsidR="00E21C7D">
        <w:t xml:space="preserve"> </w:t>
      </w:r>
      <w:r w:rsidRPr="008D6195">
        <w:t>a v rozmedzí od 20 do 30 hodín vo vekových skupinách po podaní 20 µg/kg.</w:t>
      </w:r>
    </w:p>
    <w:p w14:paraId="053543F4" w14:textId="77777777" w:rsidR="007C35BA" w:rsidRDefault="007C35BA" w:rsidP="00780C83">
      <w:pPr>
        <w:pStyle w:val="Normlndobloku"/>
        <w:spacing w:after="0"/>
        <w:jc w:val="left"/>
      </w:pPr>
      <w:r w:rsidRPr="008D6195">
        <w:t xml:space="preserve">Celkový telesný </w:t>
      </w:r>
      <w:proofErr w:type="spellStart"/>
      <w:r w:rsidRPr="008D6195">
        <w:t>klírens</w:t>
      </w:r>
      <w:proofErr w:type="spellEnd"/>
      <w:r w:rsidRPr="008D6195">
        <w:t xml:space="preserve"> (l/h/kg) u pacientov vo veku od 12 do 17 rokov bol podobný ako u zdravých dospelých. Neexistujú žiadne zjavné rozdiely v objeme distribúcie vyjadrenom ako l/kg.</w:t>
      </w:r>
    </w:p>
    <w:p w14:paraId="2AF4F962" w14:textId="77777777" w:rsidR="00B32054" w:rsidRPr="008D6195" w:rsidRDefault="00B32054" w:rsidP="00780C83">
      <w:pPr>
        <w:pStyle w:val="Normlndobloku"/>
        <w:spacing w:after="0"/>
        <w:jc w:val="left"/>
      </w:pPr>
    </w:p>
    <w:p w14:paraId="677C8B28" w14:textId="70AF5A8A" w:rsidR="007C35BA" w:rsidRPr="00780C83" w:rsidRDefault="007C35BA" w:rsidP="0098040B">
      <w:pPr>
        <w:pStyle w:val="Styl2-2"/>
      </w:pPr>
      <w:r w:rsidRPr="0098040B">
        <w:t>Tabuľka 4</w:t>
      </w:r>
      <w:r w:rsidR="00FA3210" w:rsidRPr="0098040B">
        <w:t>:</w:t>
      </w:r>
      <w:r w:rsidRPr="00B34A32">
        <w:t xml:space="preserve"> </w:t>
      </w:r>
      <w:proofErr w:type="spellStart"/>
      <w:r w:rsidRPr="00B34A32">
        <w:t>Farmakokinetické</w:t>
      </w:r>
      <w:proofErr w:type="spellEnd"/>
      <w:r w:rsidRPr="00B34A32">
        <w:t xml:space="preserve"> parametre u pediatrických pacientov s nádorovým ochorením po</w:t>
      </w:r>
      <w:r w:rsidR="00B34A32">
        <w:t> </w:t>
      </w:r>
      <w:r w:rsidRPr="00B34A32">
        <w:t xml:space="preserve">intravenóznej infúzii </w:t>
      </w:r>
      <w:proofErr w:type="spellStart"/>
      <w:r w:rsidRPr="00B34A32">
        <w:t>palonosetrónu</w:t>
      </w:r>
      <w:proofErr w:type="spellEnd"/>
      <w:r w:rsidRPr="00B34A32">
        <w:t xml:space="preserve"> 20 µg/kg počas 15 minút a u dospelých pacientov s nádorovým ochorením dostávajúcich dávku 3 </w:t>
      </w:r>
      <w:r w:rsidR="00B34A32" w:rsidRPr="00E05C6C">
        <w:t xml:space="preserve">µg/kg </w:t>
      </w:r>
      <w:r w:rsidRPr="00B34A32">
        <w:t xml:space="preserve">a 10 µg/kg </w:t>
      </w:r>
      <w:proofErr w:type="spellStart"/>
      <w:r w:rsidRPr="00B34A32">
        <w:t>palon</w:t>
      </w:r>
      <w:r w:rsidR="00E21C7D" w:rsidRPr="0097412E">
        <w:t>osetrónu</w:t>
      </w:r>
      <w:proofErr w:type="spellEnd"/>
      <w:r w:rsidR="00E21C7D" w:rsidRPr="0097412E">
        <w:t xml:space="preserve"> ako intravenózny </w:t>
      </w:r>
      <w:proofErr w:type="spellStart"/>
      <w:r w:rsidR="00E21C7D" w:rsidRPr="0097412E">
        <w:t>bolus</w:t>
      </w:r>
      <w:proofErr w:type="spellEnd"/>
    </w:p>
    <w:tbl>
      <w:tblPr>
        <w:tblW w:w="986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2067"/>
        <w:gridCol w:w="1273"/>
        <w:gridCol w:w="1387"/>
        <w:gridCol w:w="1167"/>
        <w:gridCol w:w="1276"/>
        <w:gridCol w:w="1187"/>
        <w:gridCol w:w="1505"/>
      </w:tblGrid>
      <w:tr w:rsidR="00105E69" w:rsidRPr="008D6195" w14:paraId="79B4A2EA" w14:textId="77777777" w:rsidTr="00780C83">
        <w:trPr>
          <w:trHeight w:val="284"/>
        </w:trPr>
        <w:tc>
          <w:tcPr>
            <w:tcW w:w="2067" w:type="dxa"/>
            <w:shd w:val="clear" w:color="auto" w:fill="auto"/>
            <w:noWrap/>
            <w:vAlign w:val="bottom"/>
            <w:hideMark/>
          </w:tcPr>
          <w:p w14:paraId="7C5D60EF" w14:textId="77777777" w:rsidR="00105E69" w:rsidRPr="00105E69" w:rsidRDefault="00105E69" w:rsidP="00780C83">
            <w:pPr>
              <w:pStyle w:val="Nadpisuvnittabulky"/>
              <w:spacing w:before="0" w:after="0"/>
              <w:jc w:val="left"/>
            </w:pPr>
          </w:p>
        </w:tc>
        <w:tc>
          <w:tcPr>
            <w:tcW w:w="5103" w:type="dxa"/>
            <w:gridSpan w:val="4"/>
            <w:shd w:val="clear" w:color="auto" w:fill="auto"/>
            <w:noWrap/>
            <w:vAlign w:val="bottom"/>
            <w:hideMark/>
          </w:tcPr>
          <w:p w14:paraId="71A0F876" w14:textId="123151E1" w:rsidR="00105E69" w:rsidRPr="008D6195" w:rsidRDefault="00105E69" w:rsidP="00780C83">
            <w:pPr>
              <w:pStyle w:val="Nadpisuvnittabulky"/>
              <w:spacing w:before="0" w:after="0"/>
              <w:jc w:val="left"/>
            </w:pPr>
            <w:r w:rsidRPr="008D6195">
              <w:rPr>
                <w:szCs w:val="22"/>
              </w:rPr>
              <w:t> </w:t>
            </w:r>
            <w:proofErr w:type="spellStart"/>
            <w:r w:rsidRPr="00105E69">
              <w:t>Pediatrickí</w:t>
            </w:r>
            <w:proofErr w:type="spellEnd"/>
            <w:r w:rsidRPr="00105E69">
              <w:t xml:space="preserve"> pacienti s nádorovým </w:t>
            </w:r>
            <w:proofErr w:type="spellStart"/>
            <w:r w:rsidRPr="00105E69">
              <w:t>ochorením</w:t>
            </w:r>
            <w:r w:rsidRPr="00105E69">
              <w:rPr>
                <w:vertAlign w:val="superscript"/>
              </w:rPr>
              <w:t>a</w:t>
            </w:r>
            <w:proofErr w:type="spellEnd"/>
          </w:p>
          <w:p w14:paraId="4768B084" w14:textId="77777777" w:rsidR="00105E69" w:rsidRPr="00105E69" w:rsidRDefault="00105E69" w:rsidP="00780C83">
            <w:pPr>
              <w:pStyle w:val="Nadpisuvnittabulky"/>
              <w:spacing w:before="0" w:after="0"/>
              <w:jc w:val="left"/>
            </w:pPr>
            <w:r w:rsidRPr="008D6195">
              <w:rPr>
                <w:szCs w:val="22"/>
              </w:rPr>
              <w:t> </w:t>
            </w:r>
          </w:p>
        </w:tc>
        <w:tc>
          <w:tcPr>
            <w:tcW w:w="2692" w:type="dxa"/>
            <w:gridSpan w:val="2"/>
            <w:shd w:val="clear" w:color="auto" w:fill="auto"/>
            <w:noWrap/>
            <w:vAlign w:val="bottom"/>
            <w:hideMark/>
          </w:tcPr>
          <w:p w14:paraId="16489624" w14:textId="77777777" w:rsidR="00105E69" w:rsidRPr="00105E69" w:rsidRDefault="00105E69" w:rsidP="00780C83">
            <w:pPr>
              <w:pStyle w:val="Nadpisuvnittabulky"/>
              <w:spacing w:before="0" w:after="0"/>
              <w:jc w:val="left"/>
            </w:pPr>
            <w:proofErr w:type="spellStart"/>
            <w:r w:rsidRPr="00105E69">
              <w:t>Dospelí</w:t>
            </w:r>
            <w:proofErr w:type="spellEnd"/>
            <w:r w:rsidRPr="00105E69">
              <w:t xml:space="preserve"> pacienti s nádorovým </w:t>
            </w:r>
            <w:proofErr w:type="spellStart"/>
            <w:r w:rsidRPr="00105E69">
              <w:t>ochorením</w:t>
            </w:r>
            <w:r w:rsidRPr="00105E69">
              <w:rPr>
                <w:vertAlign w:val="superscript"/>
              </w:rPr>
              <w:t>b</w:t>
            </w:r>
            <w:proofErr w:type="spellEnd"/>
          </w:p>
        </w:tc>
      </w:tr>
      <w:tr w:rsidR="002358BF" w:rsidRPr="008D6195" w14:paraId="570A282E" w14:textId="77777777" w:rsidTr="00780C83">
        <w:trPr>
          <w:trHeight w:val="284"/>
        </w:trPr>
        <w:tc>
          <w:tcPr>
            <w:tcW w:w="2067" w:type="dxa"/>
            <w:shd w:val="clear" w:color="auto" w:fill="auto"/>
            <w:noWrap/>
            <w:vAlign w:val="bottom"/>
            <w:hideMark/>
          </w:tcPr>
          <w:p w14:paraId="33FF2831" w14:textId="77777777" w:rsidR="001D1A23" w:rsidRPr="008D6195" w:rsidRDefault="001D1A23" w:rsidP="00B32054">
            <w:pPr>
              <w:rPr>
                <w:rFonts w:ascii="Calibri" w:hAnsi="Calibri"/>
                <w:color w:val="000000"/>
                <w:lang w:val="sk-SK" w:eastAsia="sk-SK"/>
              </w:rPr>
            </w:pPr>
            <w:r w:rsidRPr="008D6195">
              <w:rPr>
                <w:rFonts w:ascii="Calibri" w:hAnsi="Calibri"/>
                <w:color w:val="000000"/>
                <w:szCs w:val="22"/>
                <w:lang w:val="sk-SK" w:eastAsia="sk-SK"/>
              </w:rPr>
              <w:t> </w:t>
            </w:r>
          </w:p>
        </w:tc>
        <w:tc>
          <w:tcPr>
            <w:tcW w:w="1273" w:type="dxa"/>
            <w:shd w:val="clear" w:color="auto" w:fill="auto"/>
            <w:vAlign w:val="center"/>
            <w:hideMark/>
          </w:tcPr>
          <w:p w14:paraId="5EB5B91D" w14:textId="1F830C07" w:rsidR="001D1A23" w:rsidRPr="008D6195" w:rsidRDefault="001D1A23" w:rsidP="00780C83">
            <w:pPr>
              <w:rPr>
                <w:b/>
                <w:bCs/>
                <w:color w:val="000000"/>
                <w:lang w:val="sk-SK" w:eastAsia="sk-SK"/>
              </w:rPr>
            </w:pPr>
            <w:r w:rsidRPr="008D6195">
              <w:rPr>
                <w:b/>
                <w:bCs/>
                <w:color w:val="000000"/>
                <w:szCs w:val="22"/>
                <w:lang w:val="sk-SK" w:eastAsia="sk-SK"/>
              </w:rPr>
              <w:t>&lt;</w:t>
            </w:r>
            <w:r w:rsidR="0098040B">
              <w:rPr>
                <w:b/>
                <w:bCs/>
                <w:color w:val="000000"/>
                <w:szCs w:val="22"/>
                <w:lang w:val="sk-SK" w:eastAsia="sk-SK"/>
              </w:rPr>
              <w:t> </w:t>
            </w:r>
            <w:r w:rsidRPr="008D6195">
              <w:rPr>
                <w:b/>
                <w:bCs/>
                <w:color w:val="000000"/>
                <w:szCs w:val="22"/>
                <w:lang w:val="sk-SK" w:eastAsia="sk-SK"/>
              </w:rPr>
              <w:t xml:space="preserve">2 roky </w:t>
            </w:r>
          </w:p>
        </w:tc>
        <w:tc>
          <w:tcPr>
            <w:tcW w:w="1387" w:type="dxa"/>
            <w:shd w:val="clear" w:color="auto" w:fill="auto"/>
            <w:vAlign w:val="center"/>
            <w:hideMark/>
          </w:tcPr>
          <w:p w14:paraId="7C8B7B27" w14:textId="017136D9" w:rsidR="001D1A23" w:rsidRPr="008D6195" w:rsidRDefault="001D1A23" w:rsidP="00780C83">
            <w:pPr>
              <w:rPr>
                <w:b/>
                <w:bCs/>
                <w:color w:val="000000"/>
                <w:lang w:val="sk-SK" w:eastAsia="sk-SK"/>
              </w:rPr>
            </w:pPr>
            <w:r w:rsidRPr="008D6195">
              <w:rPr>
                <w:b/>
                <w:bCs/>
                <w:color w:val="000000"/>
                <w:szCs w:val="22"/>
                <w:lang w:val="sk-SK" w:eastAsia="sk-SK"/>
              </w:rPr>
              <w:t>2 až &lt;</w:t>
            </w:r>
            <w:r w:rsidR="0098040B">
              <w:rPr>
                <w:b/>
                <w:bCs/>
                <w:color w:val="000000"/>
                <w:szCs w:val="22"/>
                <w:lang w:val="sk-SK" w:eastAsia="sk-SK"/>
              </w:rPr>
              <w:t> </w:t>
            </w:r>
            <w:r w:rsidRPr="008D6195">
              <w:rPr>
                <w:b/>
                <w:bCs/>
                <w:color w:val="000000"/>
                <w:szCs w:val="22"/>
                <w:lang w:val="sk-SK" w:eastAsia="sk-SK"/>
              </w:rPr>
              <w:t xml:space="preserve">6 rokov </w:t>
            </w:r>
          </w:p>
        </w:tc>
        <w:tc>
          <w:tcPr>
            <w:tcW w:w="1167" w:type="dxa"/>
            <w:shd w:val="clear" w:color="auto" w:fill="auto"/>
            <w:vAlign w:val="center"/>
            <w:hideMark/>
          </w:tcPr>
          <w:p w14:paraId="0E007D68" w14:textId="6F51CF30" w:rsidR="001D1A23" w:rsidRPr="008D6195" w:rsidRDefault="001D1A23" w:rsidP="00780C83">
            <w:pPr>
              <w:rPr>
                <w:b/>
                <w:bCs/>
                <w:color w:val="000000"/>
                <w:lang w:val="sk-SK" w:eastAsia="sk-SK"/>
              </w:rPr>
            </w:pPr>
            <w:r w:rsidRPr="008D6195">
              <w:rPr>
                <w:b/>
                <w:bCs/>
                <w:color w:val="000000"/>
                <w:szCs w:val="22"/>
                <w:lang w:val="sk-SK" w:eastAsia="sk-SK"/>
              </w:rPr>
              <w:t>6 až &lt;</w:t>
            </w:r>
            <w:r w:rsidR="0098040B">
              <w:rPr>
                <w:b/>
                <w:bCs/>
                <w:color w:val="000000"/>
                <w:szCs w:val="22"/>
                <w:lang w:val="sk-SK" w:eastAsia="sk-SK"/>
              </w:rPr>
              <w:t> </w:t>
            </w:r>
            <w:r w:rsidRPr="008D6195">
              <w:rPr>
                <w:b/>
                <w:bCs/>
                <w:color w:val="000000"/>
                <w:szCs w:val="22"/>
                <w:lang w:val="sk-SK" w:eastAsia="sk-SK"/>
              </w:rPr>
              <w:t xml:space="preserve">12 rokov </w:t>
            </w:r>
          </w:p>
        </w:tc>
        <w:tc>
          <w:tcPr>
            <w:tcW w:w="1276" w:type="dxa"/>
            <w:shd w:val="clear" w:color="auto" w:fill="auto"/>
            <w:vAlign w:val="center"/>
            <w:hideMark/>
          </w:tcPr>
          <w:p w14:paraId="43D7CA62" w14:textId="308652A9" w:rsidR="001D1A23" w:rsidRPr="008D6195" w:rsidRDefault="001D1A23" w:rsidP="00780C83">
            <w:pPr>
              <w:rPr>
                <w:b/>
                <w:bCs/>
                <w:color w:val="000000"/>
                <w:lang w:val="sk-SK" w:eastAsia="sk-SK"/>
              </w:rPr>
            </w:pPr>
            <w:r w:rsidRPr="008D6195">
              <w:rPr>
                <w:b/>
                <w:bCs/>
                <w:color w:val="000000"/>
                <w:szCs w:val="22"/>
                <w:lang w:val="sk-SK" w:eastAsia="sk-SK"/>
              </w:rPr>
              <w:t>12 až &lt;</w:t>
            </w:r>
            <w:r w:rsidR="0098040B">
              <w:rPr>
                <w:b/>
                <w:bCs/>
                <w:color w:val="000000"/>
                <w:szCs w:val="22"/>
                <w:lang w:val="sk-SK" w:eastAsia="sk-SK"/>
              </w:rPr>
              <w:t> </w:t>
            </w:r>
            <w:r w:rsidRPr="008D6195">
              <w:rPr>
                <w:b/>
                <w:bCs/>
                <w:color w:val="000000"/>
                <w:szCs w:val="22"/>
                <w:lang w:val="sk-SK" w:eastAsia="sk-SK"/>
              </w:rPr>
              <w:t xml:space="preserve">17 rokov </w:t>
            </w:r>
          </w:p>
        </w:tc>
        <w:tc>
          <w:tcPr>
            <w:tcW w:w="1187" w:type="dxa"/>
            <w:shd w:val="clear" w:color="auto" w:fill="auto"/>
            <w:vAlign w:val="center"/>
            <w:hideMark/>
          </w:tcPr>
          <w:p w14:paraId="487BF601" w14:textId="77777777" w:rsidR="001D1A23" w:rsidRPr="008D6195" w:rsidRDefault="001D1A23" w:rsidP="00780C83">
            <w:pPr>
              <w:rPr>
                <w:b/>
                <w:bCs/>
                <w:color w:val="000000"/>
                <w:lang w:val="sk-SK" w:eastAsia="sk-SK"/>
              </w:rPr>
            </w:pPr>
            <w:r w:rsidRPr="008D6195">
              <w:rPr>
                <w:b/>
                <w:bCs/>
                <w:color w:val="000000"/>
                <w:szCs w:val="22"/>
                <w:lang w:val="sk-SK" w:eastAsia="sk-SK"/>
              </w:rPr>
              <w:t xml:space="preserve">3,0 </w:t>
            </w:r>
            <w:r w:rsidRPr="008D6195">
              <w:rPr>
                <w:color w:val="000000"/>
                <w:szCs w:val="22"/>
                <w:lang w:val="sk-SK" w:eastAsia="sk-SK"/>
              </w:rPr>
              <w:t>µ</w:t>
            </w:r>
            <w:r w:rsidRPr="008D6195">
              <w:rPr>
                <w:b/>
                <w:bCs/>
                <w:color w:val="000000"/>
                <w:szCs w:val="22"/>
                <w:lang w:val="sk-SK" w:eastAsia="sk-SK"/>
              </w:rPr>
              <w:t xml:space="preserve">g/kg </w:t>
            </w:r>
          </w:p>
        </w:tc>
        <w:tc>
          <w:tcPr>
            <w:tcW w:w="1505" w:type="dxa"/>
            <w:shd w:val="clear" w:color="auto" w:fill="auto"/>
            <w:vAlign w:val="center"/>
            <w:hideMark/>
          </w:tcPr>
          <w:p w14:paraId="56996D7D" w14:textId="77777777" w:rsidR="001D1A23" w:rsidRPr="008D6195" w:rsidRDefault="001D1A23" w:rsidP="00780C83">
            <w:pPr>
              <w:rPr>
                <w:b/>
                <w:bCs/>
                <w:color w:val="000000"/>
                <w:lang w:val="sk-SK" w:eastAsia="sk-SK"/>
              </w:rPr>
            </w:pPr>
            <w:r w:rsidRPr="008D6195">
              <w:rPr>
                <w:b/>
                <w:bCs/>
                <w:color w:val="000000"/>
                <w:szCs w:val="22"/>
                <w:lang w:val="sk-SK" w:eastAsia="sk-SK"/>
              </w:rPr>
              <w:t xml:space="preserve">10 µg/kg </w:t>
            </w:r>
          </w:p>
        </w:tc>
      </w:tr>
      <w:tr w:rsidR="002358BF" w:rsidRPr="008D6195" w14:paraId="6153250C" w14:textId="77777777" w:rsidTr="00780C83">
        <w:trPr>
          <w:trHeight w:val="284"/>
        </w:trPr>
        <w:tc>
          <w:tcPr>
            <w:tcW w:w="2067" w:type="dxa"/>
            <w:shd w:val="clear" w:color="auto" w:fill="auto"/>
            <w:noWrap/>
            <w:vAlign w:val="bottom"/>
            <w:hideMark/>
          </w:tcPr>
          <w:p w14:paraId="3BB44966" w14:textId="77777777" w:rsidR="001D1A23" w:rsidRPr="008D6195" w:rsidRDefault="001D1A23" w:rsidP="00B32054">
            <w:pPr>
              <w:rPr>
                <w:rFonts w:ascii="Calibri" w:hAnsi="Calibri"/>
                <w:color w:val="000000"/>
                <w:lang w:val="sk-SK" w:eastAsia="sk-SK"/>
              </w:rPr>
            </w:pPr>
            <w:r w:rsidRPr="008D6195">
              <w:rPr>
                <w:rFonts w:ascii="Calibri" w:hAnsi="Calibri"/>
                <w:color w:val="000000"/>
                <w:szCs w:val="22"/>
                <w:lang w:val="sk-SK" w:eastAsia="sk-SK"/>
              </w:rPr>
              <w:t> </w:t>
            </w:r>
          </w:p>
        </w:tc>
        <w:tc>
          <w:tcPr>
            <w:tcW w:w="1273" w:type="dxa"/>
            <w:shd w:val="clear" w:color="auto" w:fill="auto"/>
            <w:vAlign w:val="center"/>
            <w:hideMark/>
          </w:tcPr>
          <w:p w14:paraId="0E709BFC" w14:textId="77777777" w:rsidR="001D1A23" w:rsidRPr="008D6195" w:rsidRDefault="001D1A23" w:rsidP="00780C83">
            <w:pPr>
              <w:rPr>
                <w:b/>
                <w:bCs/>
                <w:color w:val="000000"/>
                <w:lang w:val="sk-SK" w:eastAsia="sk-SK"/>
              </w:rPr>
            </w:pPr>
            <w:r w:rsidRPr="008D6195">
              <w:rPr>
                <w:b/>
                <w:bCs/>
                <w:color w:val="000000"/>
                <w:szCs w:val="22"/>
                <w:lang w:val="sk-SK" w:eastAsia="sk-SK"/>
              </w:rPr>
              <w:t>N=3</w:t>
            </w:r>
            <w:r w:rsidRPr="008D6195">
              <w:rPr>
                <w:color w:val="000000"/>
                <w:szCs w:val="22"/>
                <w:lang w:val="sk-SK" w:eastAsia="sk-SK"/>
              </w:rPr>
              <w:t xml:space="preserve"> </w:t>
            </w:r>
          </w:p>
        </w:tc>
        <w:tc>
          <w:tcPr>
            <w:tcW w:w="1387" w:type="dxa"/>
            <w:shd w:val="clear" w:color="auto" w:fill="auto"/>
            <w:vAlign w:val="center"/>
            <w:hideMark/>
          </w:tcPr>
          <w:p w14:paraId="111CC26E" w14:textId="77777777" w:rsidR="001D1A23" w:rsidRPr="008D6195" w:rsidRDefault="001D1A23" w:rsidP="00780C83">
            <w:pPr>
              <w:rPr>
                <w:b/>
                <w:bCs/>
                <w:color w:val="000000"/>
                <w:lang w:val="sk-SK" w:eastAsia="sk-SK"/>
              </w:rPr>
            </w:pPr>
            <w:r w:rsidRPr="008D6195">
              <w:rPr>
                <w:b/>
                <w:bCs/>
                <w:color w:val="000000"/>
                <w:szCs w:val="22"/>
                <w:lang w:val="sk-SK" w:eastAsia="sk-SK"/>
              </w:rPr>
              <w:t>N=5</w:t>
            </w:r>
            <w:r w:rsidRPr="008D6195">
              <w:rPr>
                <w:color w:val="000000"/>
                <w:szCs w:val="22"/>
                <w:lang w:val="sk-SK" w:eastAsia="sk-SK"/>
              </w:rPr>
              <w:t xml:space="preserve"> </w:t>
            </w:r>
          </w:p>
        </w:tc>
        <w:tc>
          <w:tcPr>
            <w:tcW w:w="1167" w:type="dxa"/>
            <w:shd w:val="clear" w:color="auto" w:fill="auto"/>
            <w:vAlign w:val="center"/>
            <w:hideMark/>
          </w:tcPr>
          <w:p w14:paraId="175BAC10" w14:textId="77777777" w:rsidR="001D1A23" w:rsidRPr="008D6195" w:rsidRDefault="001D1A23" w:rsidP="00780C83">
            <w:pPr>
              <w:rPr>
                <w:b/>
                <w:bCs/>
                <w:color w:val="000000"/>
                <w:lang w:val="sk-SK" w:eastAsia="sk-SK"/>
              </w:rPr>
            </w:pPr>
            <w:r w:rsidRPr="008D6195">
              <w:rPr>
                <w:b/>
                <w:bCs/>
                <w:color w:val="000000"/>
                <w:szCs w:val="22"/>
                <w:lang w:val="sk-SK" w:eastAsia="sk-SK"/>
              </w:rPr>
              <w:t>N=7</w:t>
            </w:r>
            <w:r w:rsidRPr="008D6195">
              <w:rPr>
                <w:color w:val="000000"/>
                <w:szCs w:val="22"/>
                <w:lang w:val="sk-SK" w:eastAsia="sk-SK"/>
              </w:rPr>
              <w:t xml:space="preserve"> </w:t>
            </w:r>
          </w:p>
        </w:tc>
        <w:tc>
          <w:tcPr>
            <w:tcW w:w="1276" w:type="dxa"/>
            <w:shd w:val="clear" w:color="auto" w:fill="auto"/>
            <w:vAlign w:val="center"/>
            <w:hideMark/>
          </w:tcPr>
          <w:p w14:paraId="32E49AD6" w14:textId="77777777" w:rsidR="001D1A23" w:rsidRPr="008D6195" w:rsidRDefault="001D1A23" w:rsidP="00780C83">
            <w:pPr>
              <w:rPr>
                <w:b/>
                <w:bCs/>
                <w:color w:val="000000"/>
                <w:lang w:val="sk-SK" w:eastAsia="sk-SK"/>
              </w:rPr>
            </w:pPr>
            <w:r w:rsidRPr="008D6195">
              <w:rPr>
                <w:b/>
                <w:bCs/>
                <w:color w:val="000000"/>
                <w:szCs w:val="22"/>
                <w:lang w:val="sk-SK" w:eastAsia="sk-SK"/>
              </w:rPr>
              <w:t>N=10</w:t>
            </w:r>
            <w:r w:rsidRPr="008D6195">
              <w:rPr>
                <w:color w:val="000000"/>
                <w:szCs w:val="22"/>
                <w:lang w:val="sk-SK" w:eastAsia="sk-SK"/>
              </w:rPr>
              <w:t xml:space="preserve"> </w:t>
            </w:r>
          </w:p>
        </w:tc>
        <w:tc>
          <w:tcPr>
            <w:tcW w:w="1187" w:type="dxa"/>
            <w:shd w:val="clear" w:color="auto" w:fill="auto"/>
            <w:vAlign w:val="center"/>
            <w:hideMark/>
          </w:tcPr>
          <w:p w14:paraId="0714BFFD" w14:textId="77777777" w:rsidR="001D1A23" w:rsidRPr="008D6195" w:rsidRDefault="001D1A23" w:rsidP="00780C83">
            <w:pPr>
              <w:rPr>
                <w:b/>
                <w:bCs/>
                <w:color w:val="000000"/>
                <w:lang w:val="sk-SK" w:eastAsia="sk-SK"/>
              </w:rPr>
            </w:pPr>
            <w:r w:rsidRPr="008D6195">
              <w:rPr>
                <w:b/>
                <w:bCs/>
                <w:color w:val="000000"/>
                <w:szCs w:val="22"/>
                <w:lang w:val="sk-SK" w:eastAsia="sk-SK"/>
              </w:rPr>
              <w:t xml:space="preserve">N=6 </w:t>
            </w:r>
          </w:p>
        </w:tc>
        <w:tc>
          <w:tcPr>
            <w:tcW w:w="1505" w:type="dxa"/>
            <w:shd w:val="clear" w:color="auto" w:fill="auto"/>
            <w:vAlign w:val="center"/>
            <w:hideMark/>
          </w:tcPr>
          <w:p w14:paraId="421601E2" w14:textId="77777777" w:rsidR="001D1A23" w:rsidRPr="008D6195" w:rsidRDefault="001D1A23" w:rsidP="00780C83">
            <w:pPr>
              <w:rPr>
                <w:b/>
                <w:bCs/>
                <w:color w:val="000000"/>
                <w:lang w:val="sk-SK" w:eastAsia="sk-SK"/>
              </w:rPr>
            </w:pPr>
            <w:r w:rsidRPr="008D6195">
              <w:rPr>
                <w:b/>
                <w:bCs/>
                <w:color w:val="000000"/>
                <w:szCs w:val="22"/>
                <w:lang w:val="sk-SK" w:eastAsia="sk-SK"/>
              </w:rPr>
              <w:t xml:space="preserve">N=5 </w:t>
            </w:r>
          </w:p>
        </w:tc>
      </w:tr>
      <w:tr w:rsidR="002358BF" w:rsidRPr="008D6195" w14:paraId="29C4469A" w14:textId="77777777" w:rsidTr="00780C83">
        <w:trPr>
          <w:trHeight w:val="284"/>
        </w:trPr>
        <w:tc>
          <w:tcPr>
            <w:tcW w:w="2067" w:type="dxa"/>
            <w:shd w:val="clear" w:color="auto" w:fill="auto"/>
            <w:vAlign w:val="center"/>
            <w:hideMark/>
          </w:tcPr>
          <w:p w14:paraId="4DC1376B" w14:textId="21DAE1EC" w:rsidR="001D1A23" w:rsidRPr="008D6195" w:rsidRDefault="001D1A23" w:rsidP="00B32054">
            <w:pPr>
              <w:rPr>
                <w:color w:val="000000"/>
                <w:lang w:val="sk-SK" w:eastAsia="sk-SK"/>
              </w:rPr>
            </w:pPr>
            <w:r w:rsidRPr="008D6195">
              <w:rPr>
                <w:color w:val="000000"/>
                <w:szCs w:val="22"/>
                <w:lang w:val="sk-SK" w:eastAsia="sk-SK"/>
              </w:rPr>
              <w:t>AUC</w:t>
            </w:r>
            <w:r w:rsidRPr="008D6195">
              <w:rPr>
                <w:color w:val="000000"/>
                <w:sz w:val="14"/>
                <w:szCs w:val="14"/>
                <w:lang w:val="sk-SK" w:eastAsia="sk-SK"/>
              </w:rPr>
              <w:t>0-∞</w:t>
            </w:r>
            <w:r w:rsidRPr="008D6195">
              <w:rPr>
                <w:color w:val="000000"/>
                <w:szCs w:val="22"/>
                <w:lang w:val="sk-SK" w:eastAsia="sk-SK"/>
              </w:rPr>
              <w:t>, h</w:t>
            </w:r>
            <w:r w:rsidR="00E21C7D">
              <w:rPr>
                <w:color w:val="000000"/>
                <w:szCs w:val="22"/>
                <w:lang w:val="sk-SK" w:eastAsia="sk-SK"/>
              </w:rPr>
              <w:t>*</w:t>
            </w:r>
            <w:r w:rsidRPr="008D6195">
              <w:rPr>
                <w:color w:val="000000"/>
                <w:szCs w:val="22"/>
                <w:lang w:val="sk-SK" w:eastAsia="sk-SK"/>
              </w:rPr>
              <w:t xml:space="preserve">µg/l </w:t>
            </w:r>
          </w:p>
        </w:tc>
        <w:tc>
          <w:tcPr>
            <w:tcW w:w="1273" w:type="dxa"/>
            <w:shd w:val="clear" w:color="auto" w:fill="auto"/>
            <w:vAlign w:val="center"/>
            <w:hideMark/>
          </w:tcPr>
          <w:p w14:paraId="0877D998" w14:textId="77777777" w:rsidR="001D1A23" w:rsidRPr="008D6195" w:rsidRDefault="001D1A23" w:rsidP="00780C83">
            <w:pPr>
              <w:rPr>
                <w:color w:val="000000"/>
                <w:lang w:val="sk-SK" w:eastAsia="sk-SK"/>
              </w:rPr>
            </w:pPr>
            <w:r w:rsidRPr="008D6195">
              <w:rPr>
                <w:color w:val="000000"/>
                <w:szCs w:val="22"/>
                <w:lang w:val="sk-SK" w:eastAsia="sk-SK"/>
              </w:rPr>
              <w:t xml:space="preserve">69,0 (49,5) </w:t>
            </w:r>
          </w:p>
        </w:tc>
        <w:tc>
          <w:tcPr>
            <w:tcW w:w="1387" w:type="dxa"/>
            <w:shd w:val="clear" w:color="auto" w:fill="auto"/>
            <w:vAlign w:val="center"/>
            <w:hideMark/>
          </w:tcPr>
          <w:p w14:paraId="78E347E6" w14:textId="77777777" w:rsidR="001D1A23" w:rsidRPr="008D6195" w:rsidRDefault="001D1A23" w:rsidP="00780C83">
            <w:pPr>
              <w:rPr>
                <w:color w:val="000000"/>
                <w:lang w:val="sk-SK" w:eastAsia="sk-SK"/>
              </w:rPr>
            </w:pPr>
            <w:r w:rsidRPr="008D6195">
              <w:rPr>
                <w:color w:val="000000"/>
                <w:szCs w:val="22"/>
                <w:lang w:val="sk-SK" w:eastAsia="sk-SK"/>
              </w:rPr>
              <w:t xml:space="preserve">103,5 (40,4) </w:t>
            </w:r>
          </w:p>
        </w:tc>
        <w:tc>
          <w:tcPr>
            <w:tcW w:w="1167" w:type="dxa"/>
            <w:shd w:val="clear" w:color="auto" w:fill="auto"/>
            <w:vAlign w:val="center"/>
            <w:hideMark/>
          </w:tcPr>
          <w:p w14:paraId="424A3EC9" w14:textId="77777777" w:rsidR="001D1A23" w:rsidRPr="008D6195" w:rsidRDefault="001D1A23" w:rsidP="00780C83">
            <w:pPr>
              <w:rPr>
                <w:color w:val="000000"/>
                <w:lang w:val="sk-SK" w:eastAsia="sk-SK"/>
              </w:rPr>
            </w:pPr>
            <w:r w:rsidRPr="008D6195">
              <w:rPr>
                <w:color w:val="000000"/>
                <w:szCs w:val="22"/>
                <w:lang w:val="sk-SK" w:eastAsia="sk-SK"/>
              </w:rPr>
              <w:t xml:space="preserve">98,7 (47,7) </w:t>
            </w:r>
          </w:p>
        </w:tc>
        <w:tc>
          <w:tcPr>
            <w:tcW w:w="1276" w:type="dxa"/>
            <w:shd w:val="clear" w:color="auto" w:fill="auto"/>
            <w:vAlign w:val="center"/>
            <w:hideMark/>
          </w:tcPr>
          <w:p w14:paraId="35578501" w14:textId="77777777" w:rsidR="001D1A23" w:rsidRPr="008D6195" w:rsidRDefault="001D1A23" w:rsidP="00780C83">
            <w:pPr>
              <w:rPr>
                <w:color w:val="000000"/>
                <w:lang w:val="sk-SK" w:eastAsia="sk-SK"/>
              </w:rPr>
            </w:pPr>
            <w:r w:rsidRPr="008D6195">
              <w:rPr>
                <w:color w:val="000000"/>
                <w:szCs w:val="22"/>
                <w:lang w:val="sk-SK" w:eastAsia="sk-SK"/>
              </w:rPr>
              <w:t xml:space="preserve">124,5 (19,1) </w:t>
            </w:r>
          </w:p>
        </w:tc>
        <w:tc>
          <w:tcPr>
            <w:tcW w:w="1187" w:type="dxa"/>
            <w:shd w:val="clear" w:color="auto" w:fill="auto"/>
            <w:vAlign w:val="center"/>
            <w:hideMark/>
          </w:tcPr>
          <w:p w14:paraId="799644FC" w14:textId="77777777" w:rsidR="001D1A23" w:rsidRPr="008D6195" w:rsidRDefault="001D1A23" w:rsidP="00780C83">
            <w:pPr>
              <w:rPr>
                <w:color w:val="000000"/>
                <w:lang w:val="sk-SK" w:eastAsia="sk-SK"/>
              </w:rPr>
            </w:pPr>
            <w:r w:rsidRPr="008D6195">
              <w:rPr>
                <w:color w:val="000000"/>
                <w:szCs w:val="22"/>
                <w:lang w:val="sk-SK" w:eastAsia="sk-SK"/>
              </w:rPr>
              <w:t xml:space="preserve">35,8 (20,9) </w:t>
            </w:r>
          </w:p>
        </w:tc>
        <w:tc>
          <w:tcPr>
            <w:tcW w:w="1505" w:type="dxa"/>
            <w:shd w:val="clear" w:color="auto" w:fill="auto"/>
            <w:vAlign w:val="center"/>
            <w:hideMark/>
          </w:tcPr>
          <w:p w14:paraId="14E17EA5" w14:textId="77777777" w:rsidR="001D1A23" w:rsidRPr="008D6195" w:rsidRDefault="001D1A23" w:rsidP="00780C83">
            <w:pPr>
              <w:rPr>
                <w:color w:val="000000"/>
                <w:lang w:val="sk-SK" w:eastAsia="sk-SK"/>
              </w:rPr>
            </w:pPr>
            <w:r w:rsidRPr="008D6195">
              <w:rPr>
                <w:color w:val="000000"/>
                <w:szCs w:val="22"/>
                <w:lang w:val="sk-SK" w:eastAsia="sk-SK"/>
              </w:rPr>
              <w:t xml:space="preserve">81,8 (23,9) </w:t>
            </w:r>
          </w:p>
        </w:tc>
      </w:tr>
      <w:tr w:rsidR="002358BF" w:rsidRPr="008D6195" w14:paraId="6FEA2EF5" w14:textId="77777777" w:rsidTr="00780C83">
        <w:trPr>
          <w:trHeight w:val="284"/>
        </w:trPr>
        <w:tc>
          <w:tcPr>
            <w:tcW w:w="2067" w:type="dxa"/>
            <w:shd w:val="clear" w:color="auto" w:fill="auto"/>
            <w:vAlign w:val="center"/>
            <w:hideMark/>
          </w:tcPr>
          <w:p w14:paraId="69D5406F" w14:textId="77777777" w:rsidR="001D1A23" w:rsidRPr="008D6195" w:rsidRDefault="001D1A23" w:rsidP="00B32054">
            <w:pPr>
              <w:rPr>
                <w:color w:val="000000"/>
                <w:lang w:val="sk-SK" w:eastAsia="sk-SK"/>
              </w:rPr>
            </w:pPr>
            <w:r w:rsidRPr="008D6195">
              <w:rPr>
                <w:color w:val="000000"/>
                <w:szCs w:val="22"/>
                <w:lang w:val="sk-SK" w:eastAsia="sk-SK"/>
              </w:rPr>
              <w:t>t</w:t>
            </w:r>
            <w:r w:rsidRPr="008D6195">
              <w:rPr>
                <w:color w:val="000000"/>
                <w:sz w:val="14"/>
                <w:szCs w:val="14"/>
                <w:lang w:val="sk-SK" w:eastAsia="sk-SK"/>
              </w:rPr>
              <w:t>½</w:t>
            </w:r>
            <w:r w:rsidRPr="008D6195">
              <w:rPr>
                <w:color w:val="000000"/>
                <w:szCs w:val="22"/>
                <w:lang w:val="sk-SK" w:eastAsia="sk-SK"/>
              </w:rPr>
              <w:t xml:space="preserve">, hodiny </w:t>
            </w:r>
          </w:p>
        </w:tc>
        <w:tc>
          <w:tcPr>
            <w:tcW w:w="1273" w:type="dxa"/>
            <w:shd w:val="clear" w:color="auto" w:fill="auto"/>
            <w:vAlign w:val="center"/>
            <w:hideMark/>
          </w:tcPr>
          <w:p w14:paraId="3515CEE5" w14:textId="5B6428BC" w:rsidR="001D1A23" w:rsidRPr="008D6195" w:rsidRDefault="001D1A23" w:rsidP="00780C83">
            <w:pPr>
              <w:rPr>
                <w:color w:val="000000"/>
                <w:lang w:val="sk-SK" w:eastAsia="sk-SK"/>
              </w:rPr>
            </w:pPr>
            <w:r w:rsidRPr="008D6195">
              <w:rPr>
                <w:color w:val="000000"/>
                <w:szCs w:val="22"/>
                <w:lang w:val="sk-SK" w:eastAsia="sk-SK"/>
              </w:rPr>
              <w:t>24</w:t>
            </w:r>
            <w:r w:rsidR="0098040B">
              <w:rPr>
                <w:color w:val="000000"/>
                <w:szCs w:val="22"/>
                <w:lang w:val="sk-SK" w:eastAsia="sk-SK"/>
              </w:rPr>
              <w:t>,0</w:t>
            </w:r>
          </w:p>
        </w:tc>
        <w:tc>
          <w:tcPr>
            <w:tcW w:w="1387" w:type="dxa"/>
            <w:shd w:val="clear" w:color="auto" w:fill="auto"/>
            <w:vAlign w:val="center"/>
            <w:hideMark/>
          </w:tcPr>
          <w:p w14:paraId="20AF089A" w14:textId="2C7B9CAC" w:rsidR="001D1A23" w:rsidRPr="008D6195" w:rsidRDefault="001D1A23" w:rsidP="00780C83">
            <w:pPr>
              <w:rPr>
                <w:color w:val="000000"/>
                <w:lang w:val="sk-SK" w:eastAsia="sk-SK"/>
              </w:rPr>
            </w:pPr>
            <w:r w:rsidRPr="008D6195">
              <w:rPr>
                <w:color w:val="000000"/>
                <w:szCs w:val="22"/>
                <w:lang w:val="sk-SK" w:eastAsia="sk-SK"/>
              </w:rPr>
              <w:t>28</w:t>
            </w:r>
            <w:r w:rsidR="0098040B">
              <w:rPr>
                <w:color w:val="000000"/>
                <w:szCs w:val="22"/>
                <w:lang w:val="sk-SK" w:eastAsia="sk-SK"/>
              </w:rPr>
              <w:t>,0</w:t>
            </w:r>
          </w:p>
        </w:tc>
        <w:tc>
          <w:tcPr>
            <w:tcW w:w="1167" w:type="dxa"/>
            <w:shd w:val="clear" w:color="auto" w:fill="auto"/>
            <w:vAlign w:val="center"/>
            <w:hideMark/>
          </w:tcPr>
          <w:p w14:paraId="75E9B483" w14:textId="77777777" w:rsidR="001D1A23" w:rsidRPr="008D6195" w:rsidRDefault="001D1A23" w:rsidP="00780C83">
            <w:pPr>
              <w:rPr>
                <w:color w:val="000000"/>
                <w:lang w:val="sk-SK" w:eastAsia="sk-SK"/>
              </w:rPr>
            </w:pPr>
            <w:r w:rsidRPr="008D6195">
              <w:rPr>
                <w:color w:val="000000"/>
                <w:szCs w:val="22"/>
                <w:lang w:val="sk-SK" w:eastAsia="sk-SK"/>
              </w:rPr>
              <w:t>23,3</w:t>
            </w:r>
          </w:p>
        </w:tc>
        <w:tc>
          <w:tcPr>
            <w:tcW w:w="1276" w:type="dxa"/>
            <w:shd w:val="clear" w:color="auto" w:fill="auto"/>
            <w:vAlign w:val="center"/>
            <w:hideMark/>
          </w:tcPr>
          <w:p w14:paraId="21BF0B1D" w14:textId="77777777" w:rsidR="001D1A23" w:rsidRPr="008D6195" w:rsidRDefault="001D1A23" w:rsidP="00780C83">
            <w:pPr>
              <w:rPr>
                <w:color w:val="000000"/>
                <w:lang w:val="sk-SK" w:eastAsia="sk-SK"/>
              </w:rPr>
            </w:pPr>
            <w:r w:rsidRPr="008D6195">
              <w:rPr>
                <w:color w:val="000000"/>
                <w:szCs w:val="22"/>
                <w:lang w:val="sk-SK" w:eastAsia="sk-SK"/>
              </w:rPr>
              <w:t>30,5</w:t>
            </w:r>
          </w:p>
        </w:tc>
        <w:tc>
          <w:tcPr>
            <w:tcW w:w="1187" w:type="dxa"/>
            <w:shd w:val="clear" w:color="auto" w:fill="auto"/>
            <w:vAlign w:val="center"/>
            <w:hideMark/>
          </w:tcPr>
          <w:p w14:paraId="391A253D" w14:textId="77777777" w:rsidR="001D1A23" w:rsidRPr="008D6195" w:rsidRDefault="001D1A23" w:rsidP="00780C83">
            <w:pPr>
              <w:rPr>
                <w:color w:val="000000"/>
                <w:lang w:val="sk-SK" w:eastAsia="sk-SK"/>
              </w:rPr>
            </w:pPr>
            <w:r w:rsidRPr="008D6195">
              <w:rPr>
                <w:color w:val="000000"/>
                <w:szCs w:val="22"/>
                <w:lang w:val="sk-SK" w:eastAsia="sk-SK"/>
              </w:rPr>
              <w:t xml:space="preserve">56,4 (5,81) </w:t>
            </w:r>
          </w:p>
        </w:tc>
        <w:tc>
          <w:tcPr>
            <w:tcW w:w="1505" w:type="dxa"/>
            <w:shd w:val="clear" w:color="auto" w:fill="auto"/>
            <w:vAlign w:val="center"/>
            <w:hideMark/>
          </w:tcPr>
          <w:p w14:paraId="3B135680" w14:textId="77777777" w:rsidR="001D1A23" w:rsidRPr="008D6195" w:rsidRDefault="001D1A23" w:rsidP="00780C83">
            <w:pPr>
              <w:rPr>
                <w:color w:val="000000"/>
                <w:lang w:val="sk-SK" w:eastAsia="sk-SK"/>
              </w:rPr>
            </w:pPr>
            <w:r w:rsidRPr="008D6195">
              <w:rPr>
                <w:color w:val="000000"/>
                <w:szCs w:val="22"/>
                <w:lang w:val="sk-SK" w:eastAsia="sk-SK"/>
              </w:rPr>
              <w:t xml:space="preserve">49,8 (14,4) </w:t>
            </w:r>
          </w:p>
        </w:tc>
      </w:tr>
      <w:tr w:rsidR="002358BF" w:rsidRPr="008D6195" w14:paraId="47C15837" w14:textId="77777777" w:rsidTr="00780C83">
        <w:trPr>
          <w:trHeight w:val="284"/>
        </w:trPr>
        <w:tc>
          <w:tcPr>
            <w:tcW w:w="2067" w:type="dxa"/>
            <w:shd w:val="clear" w:color="auto" w:fill="auto"/>
            <w:vAlign w:val="center"/>
            <w:hideMark/>
          </w:tcPr>
          <w:p w14:paraId="061871A1" w14:textId="77777777" w:rsidR="001D1A23" w:rsidRPr="008D6195" w:rsidRDefault="001D1A23" w:rsidP="00B32054">
            <w:pPr>
              <w:rPr>
                <w:b/>
                <w:bCs/>
                <w:color w:val="000000"/>
                <w:lang w:val="sk-SK" w:eastAsia="sk-SK"/>
              </w:rPr>
            </w:pPr>
            <w:r w:rsidRPr="008D6195">
              <w:rPr>
                <w:b/>
                <w:bCs/>
                <w:color w:val="000000"/>
                <w:szCs w:val="22"/>
                <w:lang w:val="sk-SK" w:eastAsia="sk-SK"/>
              </w:rPr>
              <w:t xml:space="preserve"> </w:t>
            </w:r>
          </w:p>
        </w:tc>
        <w:tc>
          <w:tcPr>
            <w:tcW w:w="1273" w:type="dxa"/>
            <w:shd w:val="clear" w:color="auto" w:fill="auto"/>
            <w:vAlign w:val="center"/>
            <w:hideMark/>
          </w:tcPr>
          <w:p w14:paraId="72CBF44B" w14:textId="77777777" w:rsidR="001D1A23" w:rsidRPr="008D6195" w:rsidRDefault="001D1A23" w:rsidP="00780C83">
            <w:pPr>
              <w:rPr>
                <w:b/>
                <w:bCs/>
                <w:color w:val="000000"/>
                <w:lang w:val="sk-SK" w:eastAsia="sk-SK"/>
              </w:rPr>
            </w:pPr>
            <w:r w:rsidRPr="008D6195">
              <w:rPr>
                <w:b/>
                <w:bCs/>
                <w:color w:val="000000"/>
                <w:szCs w:val="22"/>
                <w:lang w:val="sk-SK" w:eastAsia="sk-SK"/>
              </w:rPr>
              <w:t xml:space="preserve">N=6 </w:t>
            </w:r>
          </w:p>
        </w:tc>
        <w:tc>
          <w:tcPr>
            <w:tcW w:w="1387" w:type="dxa"/>
            <w:shd w:val="clear" w:color="auto" w:fill="auto"/>
            <w:vAlign w:val="center"/>
            <w:hideMark/>
          </w:tcPr>
          <w:p w14:paraId="1567D40A" w14:textId="77777777" w:rsidR="001D1A23" w:rsidRPr="008D6195" w:rsidRDefault="001D1A23" w:rsidP="00780C83">
            <w:pPr>
              <w:rPr>
                <w:b/>
                <w:bCs/>
                <w:color w:val="000000"/>
                <w:lang w:val="sk-SK" w:eastAsia="sk-SK"/>
              </w:rPr>
            </w:pPr>
            <w:r w:rsidRPr="008D6195">
              <w:rPr>
                <w:b/>
                <w:bCs/>
                <w:color w:val="000000"/>
                <w:szCs w:val="22"/>
                <w:lang w:val="sk-SK" w:eastAsia="sk-SK"/>
              </w:rPr>
              <w:t xml:space="preserve">N=14 </w:t>
            </w:r>
          </w:p>
        </w:tc>
        <w:tc>
          <w:tcPr>
            <w:tcW w:w="1167" w:type="dxa"/>
            <w:shd w:val="clear" w:color="auto" w:fill="auto"/>
            <w:vAlign w:val="center"/>
            <w:hideMark/>
          </w:tcPr>
          <w:p w14:paraId="4B3E4199" w14:textId="77777777" w:rsidR="001D1A23" w:rsidRPr="008D6195" w:rsidRDefault="001D1A23" w:rsidP="00780C83">
            <w:pPr>
              <w:rPr>
                <w:b/>
                <w:bCs/>
                <w:color w:val="000000"/>
                <w:lang w:val="sk-SK" w:eastAsia="sk-SK"/>
              </w:rPr>
            </w:pPr>
            <w:r w:rsidRPr="008D6195">
              <w:rPr>
                <w:b/>
                <w:bCs/>
                <w:color w:val="000000"/>
                <w:szCs w:val="22"/>
                <w:lang w:val="sk-SK" w:eastAsia="sk-SK"/>
              </w:rPr>
              <w:t xml:space="preserve">N=13 </w:t>
            </w:r>
          </w:p>
        </w:tc>
        <w:tc>
          <w:tcPr>
            <w:tcW w:w="1276" w:type="dxa"/>
            <w:shd w:val="clear" w:color="auto" w:fill="auto"/>
            <w:vAlign w:val="center"/>
            <w:hideMark/>
          </w:tcPr>
          <w:p w14:paraId="2E676CBD" w14:textId="77777777" w:rsidR="001D1A23" w:rsidRPr="008D6195" w:rsidRDefault="001D1A23" w:rsidP="00780C83">
            <w:pPr>
              <w:rPr>
                <w:b/>
                <w:bCs/>
                <w:color w:val="000000"/>
                <w:lang w:val="sk-SK" w:eastAsia="sk-SK"/>
              </w:rPr>
            </w:pPr>
            <w:r w:rsidRPr="008D6195">
              <w:rPr>
                <w:b/>
                <w:bCs/>
                <w:color w:val="000000"/>
                <w:szCs w:val="22"/>
                <w:lang w:val="sk-SK" w:eastAsia="sk-SK"/>
              </w:rPr>
              <w:t xml:space="preserve">N=19 </w:t>
            </w:r>
          </w:p>
        </w:tc>
        <w:tc>
          <w:tcPr>
            <w:tcW w:w="1187" w:type="dxa"/>
            <w:shd w:val="clear" w:color="auto" w:fill="auto"/>
            <w:vAlign w:val="center"/>
            <w:hideMark/>
          </w:tcPr>
          <w:p w14:paraId="50C3668D" w14:textId="77777777" w:rsidR="001D1A23" w:rsidRPr="008D6195" w:rsidRDefault="001D1A23" w:rsidP="00780C83">
            <w:pPr>
              <w:rPr>
                <w:b/>
                <w:bCs/>
                <w:color w:val="000000"/>
                <w:lang w:val="sk-SK" w:eastAsia="sk-SK"/>
              </w:rPr>
            </w:pPr>
            <w:r w:rsidRPr="008D6195">
              <w:rPr>
                <w:b/>
                <w:bCs/>
                <w:color w:val="000000"/>
                <w:szCs w:val="22"/>
                <w:lang w:val="sk-SK" w:eastAsia="sk-SK"/>
              </w:rPr>
              <w:t xml:space="preserve">N=6 </w:t>
            </w:r>
          </w:p>
        </w:tc>
        <w:tc>
          <w:tcPr>
            <w:tcW w:w="1505" w:type="dxa"/>
            <w:shd w:val="clear" w:color="auto" w:fill="auto"/>
            <w:vAlign w:val="center"/>
            <w:hideMark/>
          </w:tcPr>
          <w:p w14:paraId="73420B88" w14:textId="77777777" w:rsidR="001D1A23" w:rsidRPr="008D6195" w:rsidRDefault="001D1A23" w:rsidP="00780C83">
            <w:pPr>
              <w:rPr>
                <w:b/>
                <w:bCs/>
                <w:color w:val="000000"/>
                <w:lang w:val="sk-SK" w:eastAsia="sk-SK"/>
              </w:rPr>
            </w:pPr>
            <w:r w:rsidRPr="008D6195">
              <w:rPr>
                <w:b/>
                <w:bCs/>
                <w:color w:val="000000"/>
                <w:szCs w:val="22"/>
                <w:lang w:val="sk-SK" w:eastAsia="sk-SK"/>
              </w:rPr>
              <w:t xml:space="preserve">N=5 </w:t>
            </w:r>
          </w:p>
        </w:tc>
      </w:tr>
      <w:tr w:rsidR="002358BF" w:rsidRPr="008D6195" w14:paraId="54D34A19" w14:textId="77777777" w:rsidTr="00780C83">
        <w:trPr>
          <w:trHeight w:val="284"/>
        </w:trPr>
        <w:tc>
          <w:tcPr>
            <w:tcW w:w="2067" w:type="dxa"/>
            <w:shd w:val="clear" w:color="auto" w:fill="auto"/>
            <w:vAlign w:val="center"/>
            <w:hideMark/>
          </w:tcPr>
          <w:p w14:paraId="5F6220E7" w14:textId="2B8FADB4" w:rsidR="001D1A23" w:rsidRPr="008D6195" w:rsidRDefault="001D1A23" w:rsidP="00B32054">
            <w:pPr>
              <w:rPr>
                <w:color w:val="000000"/>
                <w:lang w:val="sk-SK" w:eastAsia="sk-SK"/>
              </w:rPr>
            </w:pPr>
            <w:proofErr w:type="spellStart"/>
            <w:r w:rsidRPr="008D6195">
              <w:rPr>
                <w:color w:val="000000"/>
                <w:szCs w:val="22"/>
                <w:lang w:val="sk-SK" w:eastAsia="sk-SK"/>
              </w:rPr>
              <w:t>Klírens</w:t>
            </w:r>
            <w:r w:rsidRPr="00E21C7D">
              <w:rPr>
                <w:vertAlign w:val="superscript"/>
                <w:lang w:val="sk-SK"/>
              </w:rPr>
              <w:t>c</w:t>
            </w:r>
            <w:proofErr w:type="spellEnd"/>
            <w:r w:rsidRPr="008D6195">
              <w:rPr>
                <w:color w:val="000000"/>
                <w:szCs w:val="22"/>
                <w:lang w:val="sk-SK" w:eastAsia="sk-SK"/>
              </w:rPr>
              <w:t>, l/h/kg</w:t>
            </w:r>
            <w:r w:rsidRPr="008D6195">
              <w:rPr>
                <w:color w:val="000000"/>
                <w:sz w:val="14"/>
                <w:szCs w:val="14"/>
                <w:lang w:val="sk-SK" w:eastAsia="sk-SK"/>
              </w:rPr>
              <w:t xml:space="preserve"> </w:t>
            </w:r>
          </w:p>
        </w:tc>
        <w:tc>
          <w:tcPr>
            <w:tcW w:w="1273" w:type="dxa"/>
            <w:shd w:val="clear" w:color="auto" w:fill="auto"/>
            <w:vAlign w:val="center"/>
            <w:hideMark/>
          </w:tcPr>
          <w:p w14:paraId="52951F79" w14:textId="77777777" w:rsidR="001D1A23" w:rsidRPr="008D6195" w:rsidRDefault="001D1A23" w:rsidP="00780C83">
            <w:pPr>
              <w:rPr>
                <w:color w:val="000000"/>
                <w:lang w:val="sk-SK" w:eastAsia="sk-SK"/>
              </w:rPr>
            </w:pPr>
            <w:r w:rsidRPr="008D6195">
              <w:rPr>
                <w:color w:val="000000"/>
                <w:szCs w:val="22"/>
                <w:lang w:val="sk-SK" w:eastAsia="sk-SK"/>
              </w:rPr>
              <w:t xml:space="preserve">0,31 (34,7) </w:t>
            </w:r>
          </w:p>
        </w:tc>
        <w:tc>
          <w:tcPr>
            <w:tcW w:w="1387" w:type="dxa"/>
            <w:shd w:val="clear" w:color="auto" w:fill="auto"/>
            <w:vAlign w:val="center"/>
            <w:hideMark/>
          </w:tcPr>
          <w:p w14:paraId="3DE551D4" w14:textId="77777777" w:rsidR="001D1A23" w:rsidRPr="008D6195" w:rsidRDefault="001D1A23" w:rsidP="00780C83">
            <w:pPr>
              <w:rPr>
                <w:color w:val="000000"/>
                <w:lang w:val="sk-SK" w:eastAsia="sk-SK"/>
              </w:rPr>
            </w:pPr>
            <w:r w:rsidRPr="008D6195">
              <w:rPr>
                <w:color w:val="000000"/>
                <w:szCs w:val="22"/>
                <w:lang w:val="sk-SK" w:eastAsia="sk-SK"/>
              </w:rPr>
              <w:t xml:space="preserve">0,23 (51,3) </w:t>
            </w:r>
          </w:p>
        </w:tc>
        <w:tc>
          <w:tcPr>
            <w:tcW w:w="1167" w:type="dxa"/>
            <w:shd w:val="clear" w:color="auto" w:fill="auto"/>
            <w:vAlign w:val="center"/>
            <w:hideMark/>
          </w:tcPr>
          <w:p w14:paraId="218108EF" w14:textId="77777777" w:rsidR="001D1A23" w:rsidRPr="008D6195" w:rsidRDefault="001D1A23" w:rsidP="00780C83">
            <w:pPr>
              <w:rPr>
                <w:color w:val="000000"/>
                <w:lang w:val="sk-SK" w:eastAsia="sk-SK"/>
              </w:rPr>
            </w:pPr>
            <w:r w:rsidRPr="008D6195">
              <w:rPr>
                <w:color w:val="000000"/>
                <w:szCs w:val="22"/>
                <w:lang w:val="sk-SK" w:eastAsia="sk-SK"/>
              </w:rPr>
              <w:t xml:space="preserve">0,19 (46,8) </w:t>
            </w:r>
          </w:p>
        </w:tc>
        <w:tc>
          <w:tcPr>
            <w:tcW w:w="1276" w:type="dxa"/>
            <w:shd w:val="clear" w:color="auto" w:fill="auto"/>
            <w:vAlign w:val="center"/>
            <w:hideMark/>
          </w:tcPr>
          <w:p w14:paraId="6E408746" w14:textId="77777777" w:rsidR="001D1A23" w:rsidRPr="008D6195" w:rsidRDefault="001D1A23" w:rsidP="00780C83">
            <w:pPr>
              <w:rPr>
                <w:color w:val="000000"/>
                <w:lang w:val="sk-SK" w:eastAsia="sk-SK"/>
              </w:rPr>
            </w:pPr>
            <w:r w:rsidRPr="008D6195">
              <w:rPr>
                <w:color w:val="000000"/>
                <w:szCs w:val="22"/>
                <w:lang w:val="sk-SK" w:eastAsia="sk-SK"/>
              </w:rPr>
              <w:t xml:space="preserve">0,16 (27,8) </w:t>
            </w:r>
          </w:p>
        </w:tc>
        <w:tc>
          <w:tcPr>
            <w:tcW w:w="1187" w:type="dxa"/>
            <w:shd w:val="clear" w:color="auto" w:fill="auto"/>
            <w:vAlign w:val="center"/>
            <w:hideMark/>
          </w:tcPr>
          <w:p w14:paraId="3C926916" w14:textId="77777777" w:rsidR="001D1A23" w:rsidRPr="008D6195" w:rsidRDefault="001D1A23" w:rsidP="00780C83">
            <w:pPr>
              <w:rPr>
                <w:color w:val="000000"/>
                <w:lang w:val="sk-SK" w:eastAsia="sk-SK"/>
              </w:rPr>
            </w:pPr>
            <w:r w:rsidRPr="008D6195">
              <w:rPr>
                <w:color w:val="000000"/>
                <w:szCs w:val="22"/>
                <w:lang w:val="sk-SK" w:eastAsia="sk-SK"/>
              </w:rPr>
              <w:t xml:space="preserve">0,10 (0,04) </w:t>
            </w:r>
          </w:p>
        </w:tc>
        <w:tc>
          <w:tcPr>
            <w:tcW w:w="1505" w:type="dxa"/>
            <w:shd w:val="clear" w:color="auto" w:fill="auto"/>
            <w:vAlign w:val="center"/>
            <w:hideMark/>
          </w:tcPr>
          <w:p w14:paraId="57D656F8" w14:textId="77777777" w:rsidR="001D1A23" w:rsidRPr="008D6195" w:rsidRDefault="001D1A23" w:rsidP="00780C83">
            <w:pPr>
              <w:rPr>
                <w:color w:val="000000"/>
                <w:lang w:val="sk-SK" w:eastAsia="sk-SK"/>
              </w:rPr>
            </w:pPr>
            <w:r w:rsidRPr="008D6195">
              <w:rPr>
                <w:color w:val="000000"/>
                <w:szCs w:val="22"/>
                <w:lang w:val="sk-SK" w:eastAsia="sk-SK"/>
              </w:rPr>
              <w:t xml:space="preserve">0,13 (0,05) </w:t>
            </w:r>
          </w:p>
        </w:tc>
      </w:tr>
      <w:tr w:rsidR="002358BF" w:rsidRPr="008D6195" w14:paraId="432DBBB2" w14:textId="77777777" w:rsidTr="00780C83">
        <w:trPr>
          <w:trHeight w:val="284"/>
        </w:trPr>
        <w:tc>
          <w:tcPr>
            <w:tcW w:w="2067" w:type="dxa"/>
            <w:shd w:val="clear" w:color="auto" w:fill="auto"/>
            <w:vAlign w:val="center"/>
            <w:hideMark/>
          </w:tcPr>
          <w:p w14:paraId="48CE9166" w14:textId="038FCCF9" w:rsidR="001D1A23" w:rsidRPr="008D6195" w:rsidRDefault="001D1A23" w:rsidP="00B32054">
            <w:pPr>
              <w:rPr>
                <w:color w:val="000000"/>
                <w:lang w:val="sk-SK" w:eastAsia="sk-SK"/>
              </w:rPr>
            </w:pPr>
            <w:r w:rsidRPr="008D6195">
              <w:rPr>
                <w:color w:val="000000"/>
                <w:szCs w:val="22"/>
                <w:lang w:val="sk-SK" w:eastAsia="sk-SK"/>
              </w:rPr>
              <w:t xml:space="preserve">Distribučný </w:t>
            </w:r>
            <w:proofErr w:type="spellStart"/>
            <w:r w:rsidRPr="008D6195">
              <w:rPr>
                <w:color w:val="000000"/>
                <w:szCs w:val="22"/>
                <w:lang w:val="sk-SK" w:eastAsia="sk-SK"/>
              </w:rPr>
              <w:t>objem</w:t>
            </w:r>
            <w:r w:rsidRPr="00FA3210">
              <w:rPr>
                <w:color w:val="000000"/>
                <w:szCs w:val="22"/>
                <w:vertAlign w:val="superscript"/>
                <w:lang w:val="sk-SK" w:eastAsia="sk-SK"/>
              </w:rPr>
              <w:t>c</w:t>
            </w:r>
            <w:proofErr w:type="spellEnd"/>
            <w:r w:rsidRPr="00105E69">
              <w:rPr>
                <w:color w:val="000000"/>
                <w:vertAlign w:val="superscript"/>
                <w:lang w:val="sk-SK"/>
              </w:rPr>
              <w:t>, d</w:t>
            </w:r>
            <w:r w:rsidRPr="008D6195">
              <w:rPr>
                <w:color w:val="000000"/>
                <w:szCs w:val="22"/>
                <w:lang w:val="sk-SK" w:eastAsia="sk-SK"/>
              </w:rPr>
              <w:t xml:space="preserve"> l/kg </w:t>
            </w:r>
          </w:p>
        </w:tc>
        <w:tc>
          <w:tcPr>
            <w:tcW w:w="1273" w:type="dxa"/>
            <w:shd w:val="clear" w:color="auto" w:fill="auto"/>
            <w:vAlign w:val="center"/>
            <w:hideMark/>
          </w:tcPr>
          <w:p w14:paraId="37ACDA9C" w14:textId="77777777" w:rsidR="001D1A23" w:rsidRPr="008D6195" w:rsidRDefault="001D1A23" w:rsidP="00780C83">
            <w:pPr>
              <w:rPr>
                <w:color w:val="000000"/>
                <w:lang w:val="sk-SK" w:eastAsia="sk-SK"/>
              </w:rPr>
            </w:pPr>
            <w:r w:rsidRPr="008D6195">
              <w:rPr>
                <w:color w:val="000000"/>
                <w:szCs w:val="22"/>
                <w:lang w:val="sk-SK" w:eastAsia="sk-SK"/>
              </w:rPr>
              <w:t xml:space="preserve">6,08 (36,5) </w:t>
            </w:r>
          </w:p>
        </w:tc>
        <w:tc>
          <w:tcPr>
            <w:tcW w:w="1387" w:type="dxa"/>
            <w:shd w:val="clear" w:color="auto" w:fill="auto"/>
            <w:vAlign w:val="center"/>
            <w:hideMark/>
          </w:tcPr>
          <w:p w14:paraId="7D4B635E" w14:textId="77777777" w:rsidR="001D1A23" w:rsidRPr="008D6195" w:rsidRDefault="001D1A23" w:rsidP="00780C83">
            <w:pPr>
              <w:rPr>
                <w:color w:val="000000"/>
                <w:lang w:val="sk-SK" w:eastAsia="sk-SK"/>
              </w:rPr>
            </w:pPr>
            <w:r w:rsidRPr="008D6195">
              <w:rPr>
                <w:color w:val="000000"/>
                <w:szCs w:val="22"/>
                <w:lang w:val="sk-SK" w:eastAsia="sk-SK"/>
              </w:rPr>
              <w:t xml:space="preserve">5,29 (57,8) </w:t>
            </w:r>
          </w:p>
        </w:tc>
        <w:tc>
          <w:tcPr>
            <w:tcW w:w="1167" w:type="dxa"/>
            <w:shd w:val="clear" w:color="auto" w:fill="auto"/>
            <w:vAlign w:val="center"/>
            <w:hideMark/>
          </w:tcPr>
          <w:p w14:paraId="502FFF0A" w14:textId="77777777" w:rsidR="001D1A23" w:rsidRPr="008D6195" w:rsidRDefault="001D1A23" w:rsidP="00780C83">
            <w:pPr>
              <w:rPr>
                <w:color w:val="000000"/>
                <w:lang w:val="sk-SK" w:eastAsia="sk-SK"/>
              </w:rPr>
            </w:pPr>
            <w:r w:rsidRPr="008D6195">
              <w:rPr>
                <w:color w:val="000000"/>
                <w:szCs w:val="22"/>
                <w:lang w:val="sk-SK" w:eastAsia="sk-SK"/>
              </w:rPr>
              <w:t xml:space="preserve">6,26 (40,0) </w:t>
            </w:r>
          </w:p>
        </w:tc>
        <w:tc>
          <w:tcPr>
            <w:tcW w:w="1276" w:type="dxa"/>
            <w:shd w:val="clear" w:color="auto" w:fill="auto"/>
            <w:vAlign w:val="center"/>
            <w:hideMark/>
          </w:tcPr>
          <w:p w14:paraId="5C580011" w14:textId="77777777" w:rsidR="001D1A23" w:rsidRPr="008D6195" w:rsidRDefault="001D1A23" w:rsidP="00780C83">
            <w:pPr>
              <w:rPr>
                <w:color w:val="000000"/>
                <w:lang w:val="sk-SK" w:eastAsia="sk-SK"/>
              </w:rPr>
            </w:pPr>
            <w:r w:rsidRPr="008D6195">
              <w:rPr>
                <w:color w:val="000000"/>
                <w:szCs w:val="22"/>
                <w:lang w:val="sk-SK" w:eastAsia="sk-SK"/>
              </w:rPr>
              <w:t xml:space="preserve">6,20 (29,0) </w:t>
            </w:r>
          </w:p>
        </w:tc>
        <w:tc>
          <w:tcPr>
            <w:tcW w:w="1187" w:type="dxa"/>
            <w:shd w:val="clear" w:color="auto" w:fill="auto"/>
            <w:vAlign w:val="center"/>
            <w:hideMark/>
          </w:tcPr>
          <w:p w14:paraId="3707796C" w14:textId="77777777" w:rsidR="001D1A23" w:rsidRPr="008D6195" w:rsidRDefault="001D1A23" w:rsidP="00780C83">
            <w:pPr>
              <w:rPr>
                <w:color w:val="000000"/>
                <w:lang w:val="sk-SK" w:eastAsia="sk-SK"/>
              </w:rPr>
            </w:pPr>
            <w:r w:rsidRPr="008D6195">
              <w:rPr>
                <w:color w:val="000000"/>
                <w:szCs w:val="22"/>
                <w:lang w:val="sk-SK" w:eastAsia="sk-SK"/>
              </w:rPr>
              <w:t xml:space="preserve">7,91 (2,53) </w:t>
            </w:r>
          </w:p>
        </w:tc>
        <w:tc>
          <w:tcPr>
            <w:tcW w:w="1505" w:type="dxa"/>
            <w:shd w:val="clear" w:color="auto" w:fill="auto"/>
            <w:vAlign w:val="center"/>
            <w:hideMark/>
          </w:tcPr>
          <w:p w14:paraId="34C9F7A1" w14:textId="77777777" w:rsidR="001D1A23" w:rsidRPr="008D6195" w:rsidRDefault="001D1A23" w:rsidP="00780C83">
            <w:pPr>
              <w:rPr>
                <w:color w:val="000000"/>
                <w:lang w:val="sk-SK" w:eastAsia="sk-SK"/>
              </w:rPr>
            </w:pPr>
            <w:r w:rsidRPr="008D6195">
              <w:rPr>
                <w:color w:val="000000"/>
                <w:szCs w:val="22"/>
                <w:lang w:val="sk-SK" w:eastAsia="sk-SK"/>
              </w:rPr>
              <w:t xml:space="preserve">9,56 (4,21) </w:t>
            </w:r>
          </w:p>
        </w:tc>
      </w:tr>
    </w:tbl>
    <w:p w14:paraId="4C867E32" w14:textId="091ECE07" w:rsidR="00FC18CB" w:rsidRPr="00105E69" w:rsidRDefault="001D1A23" w:rsidP="00780C83">
      <w:pPr>
        <w:pStyle w:val="Normlndobloku"/>
        <w:spacing w:after="0"/>
        <w:jc w:val="left"/>
      </w:pPr>
      <w:r w:rsidRPr="00105E69">
        <w:rPr>
          <w:vertAlign w:val="superscript"/>
        </w:rPr>
        <w:t>a</w:t>
      </w:r>
      <w:r w:rsidRPr="00105E69">
        <w:t xml:space="preserve"> </w:t>
      </w:r>
      <w:r w:rsidR="0097412E">
        <w:t>F</w:t>
      </w:r>
      <w:r w:rsidRPr="00105E69">
        <w:t xml:space="preserve">K parametre vyjadrené ako geometrický priemer (CV), s výnimkou T½, ktorý je </w:t>
      </w:r>
      <w:proofErr w:type="spellStart"/>
      <w:r w:rsidRPr="00105E69">
        <w:t>mediánovou</w:t>
      </w:r>
      <w:proofErr w:type="spellEnd"/>
      <w:r w:rsidRPr="00105E69">
        <w:t xml:space="preserve"> hodnotou.</w:t>
      </w:r>
    </w:p>
    <w:p w14:paraId="5EA41888" w14:textId="134DA9EE" w:rsidR="00FC18CB" w:rsidRPr="00105E69" w:rsidRDefault="001D1A23" w:rsidP="00780C83">
      <w:pPr>
        <w:pStyle w:val="Normlndobloku"/>
        <w:spacing w:after="0"/>
        <w:jc w:val="left"/>
      </w:pPr>
      <w:r w:rsidRPr="00105E69">
        <w:rPr>
          <w:vertAlign w:val="superscript"/>
        </w:rPr>
        <w:t>b</w:t>
      </w:r>
      <w:r w:rsidRPr="00105E69">
        <w:t xml:space="preserve"> </w:t>
      </w:r>
      <w:r w:rsidR="0097412E">
        <w:t>F</w:t>
      </w:r>
      <w:r w:rsidRPr="00105E69">
        <w:t>K parametre vyjadrené ako aritmetický priemer (SD)</w:t>
      </w:r>
    </w:p>
    <w:p w14:paraId="584E077A" w14:textId="3D049F61" w:rsidR="00FC18CB" w:rsidRPr="00105E69" w:rsidRDefault="001D1A23" w:rsidP="00780C83">
      <w:pPr>
        <w:pStyle w:val="Normlndobloku"/>
        <w:spacing w:after="0"/>
        <w:jc w:val="left"/>
      </w:pPr>
      <w:r w:rsidRPr="00105E69">
        <w:rPr>
          <w:vertAlign w:val="superscript"/>
        </w:rPr>
        <w:t>c</w:t>
      </w:r>
      <w:r w:rsidRPr="00105E69">
        <w:t xml:space="preserve"> </w:t>
      </w:r>
      <w:proofErr w:type="spellStart"/>
      <w:r w:rsidRPr="00105E69">
        <w:t>Klírens</w:t>
      </w:r>
      <w:proofErr w:type="spellEnd"/>
      <w:r w:rsidRPr="00105E69">
        <w:t xml:space="preserve"> a distribučný objem u pediatrických pacientov boli vypočítané s ohľadom na hmotnosť z oboch 10 µg/kg a 20 µg/kg dávkových skupín spolu. U dospelých sú rôzne úrovne dávky uvedené v názve stĺpca.</w:t>
      </w:r>
    </w:p>
    <w:p w14:paraId="4481A6A4" w14:textId="756318E3" w:rsidR="00FC18CB" w:rsidRDefault="001D1A23" w:rsidP="00780C83">
      <w:pPr>
        <w:pStyle w:val="Normlndobloku"/>
        <w:spacing w:after="0"/>
        <w:jc w:val="left"/>
      </w:pPr>
      <w:r w:rsidRPr="00105E69">
        <w:rPr>
          <w:vertAlign w:val="superscript"/>
        </w:rPr>
        <w:t>d</w:t>
      </w:r>
      <w:r w:rsidRPr="00105E69">
        <w:t xml:space="preserve"> </w:t>
      </w:r>
      <w:proofErr w:type="spellStart"/>
      <w:r w:rsidRPr="00105E69">
        <w:t>Vss</w:t>
      </w:r>
      <w:proofErr w:type="spellEnd"/>
      <w:r w:rsidRPr="00105E69">
        <w:t xml:space="preserve"> je hlásená u pediatrických pacientov s nádorovým ochorením, zatiaľ čo </w:t>
      </w:r>
      <w:proofErr w:type="spellStart"/>
      <w:r w:rsidRPr="00105E69">
        <w:t>Vz</w:t>
      </w:r>
      <w:proofErr w:type="spellEnd"/>
      <w:r w:rsidRPr="00105E69">
        <w:t xml:space="preserve"> je hlásená u dospelých pacientov s nádorovým ochorením</w:t>
      </w:r>
      <w:r w:rsidRPr="008D6195">
        <w:t>.</w:t>
      </w:r>
    </w:p>
    <w:p w14:paraId="5685940F" w14:textId="77777777" w:rsidR="00494EA4" w:rsidRDefault="00494EA4" w:rsidP="00780C83">
      <w:pPr>
        <w:pStyle w:val="Normlndobloku"/>
        <w:spacing w:after="0"/>
        <w:jc w:val="left"/>
      </w:pPr>
    </w:p>
    <w:p w14:paraId="3CE2BAD1" w14:textId="77777777" w:rsidR="00F61F6E" w:rsidRPr="00105E69" w:rsidRDefault="00F61F6E" w:rsidP="00780C83">
      <w:pPr>
        <w:pStyle w:val="Styl4"/>
        <w:keepNext/>
        <w:spacing w:after="0"/>
        <w:jc w:val="left"/>
        <w:rPr>
          <w:i/>
          <w:u w:color="000000"/>
        </w:rPr>
      </w:pPr>
      <w:r w:rsidRPr="00105E69">
        <w:rPr>
          <w:i/>
          <w:u w:color="000000"/>
        </w:rPr>
        <w:t>Porucha funkcie obličiek</w:t>
      </w:r>
    </w:p>
    <w:p w14:paraId="6125CA93" w14:textId="257CD12D" w:rsidR="00F61F6E" w:rsidRDefault="00F61F6E" w:rsidP="00780C83">
      <w:pPr>
        <w:pStyle w:val="Normlndobloku"/>
        <w:spacing w:after="0"/>
        <w:jc w:val="left"/>
      </w:pPr>
      <w:r w:rsidRPr="008D6195">
        <w:t>Mierna až stredn</w:t>
      </w:r>
      <w:r w:rsidR="001B2161">
        <w:t>e závažná</w:t>
      </w:r>
      <w:r w:rsidRPr="008D6195">
        <w:t xml:space="preserve"> porucha funkcie obličiek nemá významný vplyv na </w:t>
      </w:r>
      <w:proofErr w:type="spellStart"/>
      <w:r w:rsidRPr="008D6195">
        <w:t>farmakokinetické</w:t>
      </w:r>
      <w:proofErr w:type="spellEnd"/>
      <w:r w:rsidRPr="008D6195">
        <w:t xml:space="preserve"> parametre </w:t>
      </w:r>
      <w:proofErr w:type="spellStart"/>
      <w:r w:rsidRPr="008D6195">
        <w:t>palonosetrónu</w:t>
      </w:r>
      <w:proofErr w:type="spellEnd"/>
      <w:r w:rsidRPr="008D6195">
        <w:t xml:space="preserve">. Závažné poškodenie obličiek znižuje </w:t>
      </w:r>
      <w:proofErr w:type="spellStart"/>
      <w:r w:rsidRPr="008D6195">
        <w:t>renálny</w:t>
      </w:r>
      <w:proofErr w:type="spellEnd"/>
      <w:r w:rsidRPr="008D6195">
        <w:t xml:space="preserve"> </w:t>
      </w:r>
      <w:proofErr w:type="spellStart"/>
      <w:r w:rsidRPr="008D6195">
        <w:t>klírens</w:t>
      </w:r>
      <w:proofErr w:type="spellEnd"/>
      <w:r w:rsidRPr="008D6195">
        <w:t xml:space="preserve">, avšak celkový telesný </w:t>
      </w:r>
      <w:proofErr w:type="spellStart"/>
      <w:r w:rsidRPr="008D6195">
        <w:t>klírens</w:t>
      </w:r>
      <w:proofErr w:type="spellEnd"/>
      <w:r w:rsidRPr="008D6195">
        <w:t xml:space="preserve"> je podobný ako u zdravých jedincov. Nie je potrebná úprava dávky u pacientov s </w:t>
      </w:r>
      <w:proofErr w:type="spellStart"/>
      <w:r w:rsidRPr="008D6195">
        <w:t>renálnou</w:t>
      </w:r>
      <w:proofErr w:type="spellEnd"/>
      <w:r w:rsidRPr="008D6195">
        <w:t xml:space="preserve"> nedostatočnosťou. Od </w:t>
      </w:r>
      <w:proofErr w:type="spellStart"/>
      <w:r w:rsidRPr="008D6195">
        <w:t>hemodialyzovaných</w:t>
      </w:r>
      <w:proofErr w:type="spellEnd"/>
      <w:r w:rsidRPr="008D6195">
        <w:t xml:space="preserve"> pacientov nie sú k dispozícii </w:t>
      </w:r>
      <w:proofErr w:type="spellStart"/>
      <w:r w:rsidRPr="008D6195">
        <w:t>farmakokinetické</w:t>
      </w:r>
      <w:proofErr w:type="spellEnd"/>
      <w:r w:rsidRPr="008D6195">
        <w:t xml:space="preserve"> údaje.</w:t>
      </w:r>
    </w:p>
    <w:p w14:paraId="5D8DF557" w14:textId="77777777" w:rsidR="00494EA4" w:rsidRPr="008D6195" w:rsidRDefault="00494EA4" w:rsidP="00780C83">
      <w:pPr>
        <w:pStyle w:val="Normlndobloku"/>
        <w:spacing w:after="0"/>
        <w:jc w:val="left"/>
      </w:pPr>
    </w:p>
    <w:p w14:paraId="01D963C4" w14:textId="77777777" w:rsidR="00F61F6E" w:rsidRPr="00105E69" w:rsidRDefault="00F61F6E" w:rsidP="00780C83">
      <w:pPr>
        <w:pStyle w:val="Styl4"/>
        <w:keepNext/>
        <w:spacing w:after="0"/>
        <w:jc w:val="left"/>
        <w:rPr>
          <w:i/>
          <w:u w:color="000000"/>
        </w:rPr>
      </w:pPr>
      <w:r w:rsidRPr="00105E69">
        <w:rPr>
          <w:i/>
          <w:u w:color="000000"/>
        </w:rPr>
        <w:t>Porucha funkcie pečene</w:t>
      </w:r>
    </w:p>
    <w:p w14:paraId="0BD4FB12" w14:textId="77777777" w:rsidR="007C35BA" w:rsidRDefault="00F61F6E" w:rsidP="00780C83">
      <w:pPr>
        <w:pStyle w:val="Normlndobloku"/>
        <w:spacing w:after="0"/>
        <w:jc w:val="left"/>
      </w:pPr>
      <w:r w:rsidRPr="008D6195">
        <w:t xml:space="preserve">V porovnaní so zdravými jedincami porucha funkcie pečene významne neovplyvňuje celkový telesný </w:t>
      </w:r>
      <w:proofErr w:type="spellStart"/>
      <w:r w:rsidRPr="008D6195">
        <w:t>klírens</w:t>
      </w:r>
      <w:proofErr w:type="spellEnd"/>
      <w:r w:rsidRPr="008D6195">
        <w:t xml:space="preserve"> </w:t>
      </w:r>
      <w:proofErr w:type="spellStart"/>
      <w:r w:rsidRPr="008D6195">
        <w:t>palonosetrónu</w:t>
      </w:r>
      <w:proofErr w:type="spellEnd"/>
      <w:r w:rsidRPr="008D6195">
        <w:t>. Zatiaľ čo u pacientov so závažnou poruchou funkcie pečene sú terminálny eliminačný polčas a priemerná systémová expozícia zvýšené, nie sú tieto údaje dôvodom pre zníženie dávky.</w:t>
      </w:r>
    </w:p>
    <w:p w14:paraId="130FE724" w14:textId="77777777" w:rsidR="00B32054" w:rsidRPr="008D6195" w:rsidRDefault="00B32054" w:rsidP="00780C83">
      <w:pPr>
        <w:pStyle w:val="Normlndobloku"/>
        <w:spacing w:after="0"/>
        <w:jc w:val="left"/>
      </w:pPr>
    </w:p>
    <w:p w14:paraId="04B0A31C" w14:textId="40716A4A" w:rsidR="00965082" w:rsidRDefault="001A2F10" w:rsidP="00780C83">
      <w:pPr>
        <w:pStyle w:val="Styl2"/>
        <w:numPr>
          <w:ilvl w:val="1"/>
          <w:numId w:val="1"/>
        </w:numPr>
        <w:spacing w:before="0" w:after="0"/>
        <w:ind w:left="357" w:hanging="357"/>
        <w:rPr>
          <w:lang w:val="sk-SK"/>
        </w:rPr>
      </w:pPr>
      <w:r w:rsidRPr="008D6195">
        <w:rPr>
          <w:lang w:val="sk-SK"/>
        </w:rPr>
        <w:t>P</w:t>
      </w:r>
      <w:r w:rsidR="00965082" w:rsidRPr="008D6195">
        <w:rPr>
          <w:lang w:val="sk-SK"/>
        </w:rPr>
        <w:t>redklinické údaje o</w:t>
      </w:r>
      <w:r w:rsidR="00F318BC">
        <w:rPr>
          <w:lang w:val="sk-SK"/>
        </w:rPr>
        <w:t> </w:t>
      </w:r>
      <w:r w:rsidR="00965082" w:rsidRPr="008D6195">
        <w:rPr>
          <w:lang w:val="sk-SK"/>
        </w:rPr>
        <w:t>bezpečnosti</w:t>
      </w:r>
    </w:p>
    <w:p w14:paraId="14A98A43" w14:textId="77777777" w:rsidR="00F318BC" w:rsidRPr="008D6195" w:rsidRDefault="00F318BC" w:rsidP="00780C83">
      <w:pPr>
        <w:pStyle w:val="Styl2"/>
        <w:numPr>
          <w:ilvl w:val="0"/>
          <w:numId w:val="0"/>
        </w:numPr>
        <w:spacing w:before="0" w:after="0"/>
        <w:ind w:left="357"/>
        <w:rPr>
          <w:lang w:val="sk-SK"/>
        </w:rPr>
      </w:pPr>
    </w:p>
    <w:p w14:paraId="076E0ACF" w14:textId="685C10D0" w:rsidR="00965082" w:rsidRPr="008D6195" w:rsidRDefault="00965082" w:rsidP="00780C83">
      <w:pPr>
        <w:pStyle w:val="Normlndobloku"/>
        <w:spacing w:after="0"/>
        <w:jc w:val="left"/>
        <w:rPr>
          <w:szCs w:val="22"/>
        </w:rPr>
      </w:pPr>
      <w:r w:rsidRPr="008D6195">
        <w:rPr>
          <w:szCs w:val="22"/>
        </w:rPr>
        <w:t xml:space="preserve">Účinky </w:t>
      </w:r>
      <w:r w:rsidR="007C68C1">
        <w:rPr>
          <w:szCs w:val="22"/>
        </w:rPr>
        <w:t xml:space="preserve">sa </w:t>
      </w:r>
      <w:r w:rsidRPr="008D6195">
        <w:rPr>
          <w:szCs w:val="22"/>
        </w:rPr>
        <w:t>v predklinických štúdiách pozorovali iba pri expozíciách považovaných za dostatočne vyššie ako je maximálna expozícia u ľudí, čo poukazuje na malý význam týchto zistení pre klinické použitie.</w:t>
      </w:r>
    </w:p>
    <w:p w14:paraId="23A160C6" w14:textId="5C0A556A" w:rsidR="00965082" w:rsidRPr="008D6195" w:rsidRDefault="00965082" w:rsidP="00780C83">
      <w:pPr>
        <w:pStyle w:val="Normlndobloku"/>
        <w:spacing w:after="0"/>
        <w:jc w:val="left"/>
        <w:rPr>
          <w:szCs w:val="22"/>
        </w:rPr>
      </w:pPr>
      <w:r w:rsidRPr="008D6195">
        <w:rPr>
          <w:szCs w:val="22"/>
        </w:rPr>
        <w:t xml:space="preserve">Neklinické štúdie naznačujú, že len pri veľmi vysokých koncentráciách môže </w:t>
      </w:r>
      <w:proofErr w:type="spellStart"/>
      <w:r w:rsidRPr="008D6195">
        <w:rPr>
          <w:szCs w:val="22"/>
        </w:rPr>
        <w:t>palonosetrón</w:t>
      </w:r>
      <w:proofErr w:type="spellEnd"/>
      <w:r w:rsidRPr="008D6195">
        <w:rPr>
          <w:szCs w:val="22"/>
        </w:rPr>
        <w:t xml:space="preserve"> blokovať iónové kanály zúčastňujúce sa </w:t>
      </w:r>
      <w:proofErr w:type="spellStart"/>
      <w:r w:rsidRPr="008D6195">
        <w:rPr>
          <w:szCs w:val="22"/>
        </w:rPr>
        <w:t>ventrikulárnej</w:t>
      </w:r>
      <w:proofErr w:type="spellEnd"/>
      <w:r w:rsidRPr="008D6195">
        <w:rPr>
          <w:szCs w:val="22"/>
        </w:rPr>
        <w:t xml:space="preserve"> de</w:t>
      </w:r>
      <w:r w:rsidR="007C68C1">
        <w:rPr>
          <w:szCs w:val="22"/>
        </w:rPr>
        <w:t>polarizácie</w:t>
      </w:r>
      <w:r w:rsidRPr="008D6195">
        <w:rPr>
          <w:szCs w:val="22"/>
        </w:rPr>
        <w:t xml:space="preserve"> a </w:t>
      </w:r>
      <w:proofErr w:type="spellStart"/>
      <w:r w:rsidRPr="008D6195">
        <w:rPr>
          <w:szCs w:val="22"/>
        </w:rPr>
        <w:t>repolarizácie</w:t>
      </w:r>
      <w:proofErr w:type="spellEnd"/>
      <w:r w:rsidRPr="008D6195">
        <w:rPr>
          <w:szCs w:val="22"/>
        </w:rPr>
        <w:t xml:space="preserve"> a predlžovať trvanie akčného potenciálu.</w:t>
      </w:r>
    </w:p>
    <w:p w14:paraId="010A5A00" w14:textId="137BAF08" w:rsidR="00965082" w:rsidRPr="008D6195" w:rsidRDefault="00965082" w:rsidP="00780C83">
      <w:pPr>
        <w:pStyle w:val="Normlndobloku"/>
        <w:spacing w:after="0"/>
        <w:jc w:val="left"/>
        <w:rPr>
          <w:szCs w:val="22"/>
        </w:rPr>
      </w:pPr>
      <w:r w:rsidRPr="008D6195">
        <w:rPr>
          <w:szCs w:val="22"/>
        </w:rPr>
        <w:t>Štúdie na zvieratách nepreukázali priame a</w:t>
      </w:r>
      <w:r w:rsidR="007C68C1">
        <w:rPr>
          <w:szCs w:val="22"/>
        </w:rPr>
        <w:t>ni</w:t>
      </w:r>
      <w:r w:rsidRPr="008D6195">
        <w:rPr>
          <w:szCs w:val="22"/>
        </w:rPr>
        <w:t xml:space="preserve"> nepriame škodlivé účinky na graviditu, embryonálny/</w:t>
      </w:r>
      <w:proofErr w:type="spellStart"/>
      <w:r w:rsidRPr="008D6195">
        <w:rPr>
          <w:szCs w:val="22"/>
        </w:rPr>
        <w:t>fetálny</w:t>
      </w:r>
      <w:proofErr w:type="spellEnd"/>
      <w:r w:rsidRPr="008D6195">
        <w:rPr>
          <w:szCs w:val="22"/>
        </w:rPr>
        <w:t xml:space="preserve"> vývoj, pôrod alebo </w:t>
      </w:r>
      <w:proofErr w:type="spellStart"/>
      <w:r w:rsidRPr="008D6195">
        <w:rPr>
          <w:szCs w:val="22"/>
        </w:rPr>
        <w:t>postnatálny</w:t>
      </w:r>
      <w:proofErr w:type="spellEnd"/>
      <w:r w:rsidRPr="008D6195">
        <w:rPr>
          <w:szCs w:val="22"/>
        </w:rPr>
        <w:t xml:space="preserve"> vývoj. Zo štúdií na zvieratách sú dostupné iba obmedzené údaje o </w:t>
      </w:r>
      <w:proofErr w:type="spellStart"/>
      <w:r w:rsidRPr="008D6195">
        <w:rPr>
          <w:szCs w:val="22"/>
        </w:rPr>
        <w:t>transplacentárnom</w:t>
      </w:r>
      <w:proofErr w:type="spellEnd"/>
      <w:r w:rsidRPr="008D6195">
        <w:rPr>
          <w:szCs w:val="22"/>
        </w:rPr>
        <w:t xml:space="preserve"> prestupe (pozri časť 4.6).</w:t>
      </w:r>
    </w:p>
    <w:p w14:paraId="052B6092" w14:textId="305E6AF3" w:rsidR="00965082" w:rsidRDefault="00965082" w:rsidP="00780C83">
      <w:pPr>
        <w:pStyle w:val="Normlndobloku"/>
        <w:spacing w:after="0"/>
        <w:jc w:val="left"/>
        <w:rPr>
          <w:szCs w:val="22"/>
        </w:rPr>
      </w:pPr>
      <w:proofErr w:type="spellStart"/>
      <w:r w:rsidRPr="008D6195">
        <w:rPr>
          <w:szCs w:val="22"/>
        </w:rPr>
        <w:t>Palonosetrón</w:t>
      </w:r>
      <w:proofErr w:type="spellEnd"/>
      <w:r w:rsidRPr="008D6195">
        <w:rPr>
          <w:szCs w:val="22"/>
        </w:rPr>
        <w:t xml:space="preserve"> nie je mutagénny. Vysoké dávky </w:t>
      </w:r>
      <w:proofErr w:type="spellStart"/>
      <w:r w:rsidRPr="008D6195">
        <w:rPr>
          <w:szCs w:val="22"/>
        </w:rPr>
        <w:t>palonosetrónu</w:t>
      </w:r>
      <w:proofErr w:type="spellEnd"/>
      <w:r w:rsidRPr="008D6195">
        <w:rPr>
          <w:szCs w:val="22"/>
        </w:rPr>
        <w:t xml:space="preserve"> (každá dávka spôsobujúca expozíciu aspoň 30 násobne vyššiu, ako je ľudská terapeutická expozícia) podávané denne počas dvoch rokov zapríčinili zvýšenú frekvenciu výskytu nádorov pečene, endokrinných novotvarov (v štítnej žľaze, hypofýze, pankrease, dreni nadobličiek) a kožných nádorov u potkanov, ale nie u myší. Základné mechanizmy nie sú úplne objasnené, ale keďže boli použité veľmi vysoké dávky a</w:t>
      </w:r>
      <w:r w:rsidRPr="008D6195">
        <w:t> </w:t>
      </w:r>
      <w:proofErr w:type="spellStart"/>
      <w:r w:rsidRPr="008D6195">
        <w:t>palonosetrón</w:t>
      </w:r>
      <w:proofErr w:type="spellEnd"/>
      <w:r w:rsidRPr="008D6195">
        <w:rPr>
          <w:szCs w:val="22"/>
        </w:rPr>
        <w:t xml:space="preserve"> je určený na jednorazovú aplikáciu u ľudí, tieto nálezy sa nepovažujú za významné pre klinickú prax.</w:t>
      </w:r>
    </w:p>
    <w:p w14:paraId="64230EF1" w14:textId="77777777" w:rsidR="00B32054" w:rsidRDefault="00B32054" w:rsidP="00780C83">
      <w:pPr>
        <w:pStyle w:val="Normlndobloku"/>
        <w:spacing w:after="0"/>
        <w:jc w:val="left"/>
        <w:rPr>
          <w:szCs w:val="22"/>
        </w:rPr>
      </w:pPr>
    </w:p>
    <w:p w14:paraId="30011C9A" w14:textId="77777777" w:rsidR="00B32054" w:rsidRPr="008D6195" w:rsidRDefault="00B32054" w:rsidP="00780C83">
      <w:pPr>
        <w:pStyle w:val="Normlndobloku"/>
        <w:spacing w:after="0"/>
        <w:jc w:val="left"/>
        <w:rPr>
          <w:szCs w:val="22"/>
        </w:rPr>
      </w:pPr>
    </w:p>
    <w:p w14:paraId="6C248376" w14:textId="77777777" w:rsidR="001A2F10" w:rsidRDefault="001A2F10" w:rsidP="00780C83">
      <w:pPr>
        <w:pStyle w:val="Styl1"/>
        <w:numPr>
          <w:ilvl w:val="0"/>
          <w:numId w:val="1"/>
        </w:numPr>
        <w:spacing w:before="0" w:after="0"/>
        <w:ind w:left="357" w:hanging="357"/>
      </w:pPr>
      <w:r w:rsidRPr="008D6195">
        <w:t>FARMACEUTICKÉ INFORMÁCIE</w:t>
      </w:r>
    </w:p>
    <w:p w14:paraId="35B30CBF" w14:textId="77777777" w:rsidR="00B32054" w:rsidRPr="008D6195" w:rsidRDefault="00B32054" w:rsidP="00780C83">
      <w:pPr>
        <w:pStyle w:val="Styl1"/>
        <w:numPr>
          <w:ilvl w:val="0"/>
          <w:numId w:val="0"/>
        </w:numPr>
        <w:spacing w:before="0" w:after="0"/>
        <w:ind w:left="357"/>
      </w:pPr>
    </w:p>
    <w:p w14:paraId="4FD43F53" w14:textId="77777777" w:rsidR="001A2F10" w:rsidRDefault="001A2F10" w:rsidP="00780C83">
      <w:pPr>
        <w:pStyle w:val="Styl2"/>
        <w:numPr>
          <w:ilvl w:val="1"/>
          <w:numId w:val="1"/>
        </w:numPr>
        <w:spacing w:before="0" w:after="0"/>
        <w:ind w:left="357" w:hanging="357"/>
        <w:rPr>
          <w:lang w:val="sk-SK"/>
        </w:rPr>
      </w:pPr>
      <w:r w:rsidRPr="008D6195">
        <w:rPr>
          <w:lang w:val="sk-SK"/>
        </w:rPr>
        <w:t>Zoznam pomocných látok</w:t>
      </w:r>
    </w:p>
    <w:p w14:paraId="0AA0A0A1" w14:textId="77777777" w:rsidR="00F318BC" w:rsidRPr="008D6195" w:rsidRDefault="00F318BC" w:rsidP="00780C83">
      <w:pPr>
        <w:pStyle w:val="Styl2"/>
        <w:numPr>
          <w:ilvl w:val="0"/>
          <w:numId w:val="0"/>
        </w:numPr>
        <w:spacing w:before="0" w:after="0"/>
        <w:ind w:left="357"/>
        <w:rPr>
          <w:lang w:val="sk-SK"/>
        </w:rPr>
      </w:pPr>
    </w:p>
    <w:p w14:paraId="1C8E3DED" w14:textId="77777777" w:rsidR="001A2F10" w:rsidRPr="008D6195" w:rsidRDefault="00965082" w:rsidP="00780C83">
      <w:pPr>
        <w:pStyle w:val="Normlndobloku"/>
        <w:spacing w:after="0"/>
        <w:jc w:val="left"/>
      </w:pPr>
      <w:proofErr w:type="spellStart"/>
      <w:r w:rsidRPr="008D6195">
        <w:t>Manitol</w:t>
      </w:r>
      <w:proofErr w:type="spellEnd"/>
    </w:p>
    <w:p w14:paraId="17EA80B8" w14:textId="3139C631" w:rsidR="00965082" w:rsidRPr="008D6195" w:rsidRDefault="00577541" w:rsidP="00780C83">
      <w:pPr>
        <w:pStyle w:val="Normlndobloku"/>
        <w:spacing w:after="0"/>
        <w:jc w:val="left"/>
      </w:pPr>
      <w:proofErr w:type="spellStart"/>
      <w:r>
        <w:t>Edetan</w:t>
      </w:r>
      <w:proofErr w:type="spellEnd"/>
      <w:r>
        <w:t xml:space="preserve"> </w:t>
      </w:r>
      <w:proofErr w:type="spellStart"/>
      <w:r>
        <w:t>disodný</w:t>
      </w:r>
      <w:proofErr w:type="spellEnd"/>
    </w:p>
    <w:p w14:paraId="1A58E199" w14:textId="10751E72" w:rsidR="00965082" w:rsidRPr="008D6195" w:rsidRDefault="00577541" w:rsidP="00780C83">
      <w:pPr>
        <w:pStyle w:val="Normlndobloku"/>
        <w:spacing w:after="0"/>
        <w:jc w:val="left"/>
      </w:pPr>
      <w:proofErr w:type="spellStart"/>
      <w:r>
        <w:t>Citronan</w:t>
      </w:r>
      <w:proofErr w:type="spellEnd"/>
      <w:r>
        <w:t xml:space="preserve"> sodný</w:t>
      </w:r>
    </w:p>
    <w:p w14:paraId="5ED35A62" w14:textId="77777777" w:rsidR="00965082" w:rsidRPr="008D6195" w:rsidRDefault="00965082" w:rsidP="00780C83">
      <w:pPr>
        <w:pStyle w:val="Normlndobloku"/>
        <w:spacing w:after="0"/>
        <w:jc w:val="left"/>
      </w:pPr>
      <w:proofErr w:type="spellStart"/>
      <w:r w:rsidRPr="008D6195">
        <w:t>Monohydrát</w:t>
      </w:r>
      <w:proofErr w:type="spellEnd"/>
      <w:r w:rsidRPr="008D6195">
        <w:t xml:space="preserve"> kyseliny citrónovej</w:t>
      </w:r>
    </w:p>
    <w:p w14:paraId="6D3F5D75" w14:textId="77777777" w:rsidR="00965082" w:rsidRPr="008D6195" w:rsidRDefault="00965082" w:rsidP="00780C83">
      <w:pPr>
        <w:pStyle w:val="Normlndobloku"/>
        <w:spacing w:after="0"/>
        <w:jc w:val="left"/>
      </w:pPr>
      <w:r w:rsidRPr="008D6195">
        <w:t>Hydroxid sodný (na úpravu pH)</w:t>
      </w:r>
    </w:p>
    <w:p w14:paraId="32F13503" w14:textId="77777777" w:rsidR="00965082" w:rsidRPr="008D6195" w:rsidRDefault="00965082" w:rsidP="00780C83">
      <w:pPr>
        <w:pStyle w:val="Normlndobloku"/>
        <w:spacing w:after="0"/>
        <w:jc w:val="left"/>
      </w:pPr>
      <w:r w:rsidRPr="008D6195">
        <w:t>Kyselina chlorovodíková (na úpravu pH)</w:t>
      </w:r>
    </w:p>
    <w:p w14:paraId="6A8B6FF5" w14:textId="77777777" w:rsidR="0028679A" w:rsidRDefault="00965082" w:rsidP="00780C83">
      <w:pPr>
        <w:pStyle w:val="Normlndobloku"/>
        <w:spacing w:after="0"/>
        <w:jc w:val="left"/>
      </w:pPr>
      <w:r w:rsidRPr="008D6195">
        <w:t>Voda na injekciu</w:t>
      </w:r>
    </w:p>
    <w:p w14:paraId="30FCDC32" w14:textId="77777777" w:rsidR="00B32054" w:rsidRPr="008D6195" w:rsidRDefault="00B32054" w:rsidP="00780C83">
      <w:pPr>
        <w:pStyle w:val="Normlndobloku"/>
        <w:spacing w:after="0"/>
        <w:jc w:val="left"/>
      </w:pPr>
    </w:p>
    <w:p w14:paraId="0252E8DE" w14:textId="77777777" w:rsidR="001A2F10" w:rsidRDefault="001A2F10" w:rsidP="00780C83">
      <w:pPr>
        <w:pStyle w:val="Styl2"/>
        <w:numPr>
          <w:ilvl w:val="1"/>
          <w:numId w:val="1"/>
        </w:numPr>
        <w:spacing w:before="0" w:after="0"/>
        <w:ind w:left="357" w:hanging="357"/>
        <w:rPr>
          <w:lang w:val="sk-SK"/>
        </w:rPr>
      </w:pPr>
      <w:r w:rsidRPr="008D6195">
        <w:rPr>
          <w:lang w:val="sk-SK"/>
        </w:rPr>
        <w:t>Inkompatibility</w:t>
      </w:r>
    </w:p>
    <w:p w14:paraId="4F3EF47D" w14:textId="77777777" w:rsidR="00F318BC" w:rsidRPr="008D6195" w:rsidRDefault="00F318BC" w:rsidP="00780C83">
      <w:pPr>
        <w:pStyle w:val="Styl2"/>
        <w:numPr>
          <w:ilvl w:val="0"/>
          <w:numId w:val="0"/>
        </w:numPr>
        <w:spacing w:before="0" w:after="0"/>
        <w:ind w:left="357"/>
        <w:rPr>
          <w:lang w:val="sk-SK"/>
        </w:rPr>
      </w:pPr>
    </w:p>
    <w:p w14:paraId="41BC3E7A" w14:textId="77777777" w:rsidR="0028679A" w:rsidRDefault="00965082" w:rsidP="00780C83">
      <w:pPr>
        <w:pStyle w:val="Normlndobloku"/>
        <w:spacing w:after="0"/>
        <w:jc w:val="left"/>
      </w:pPr>
      <w:r w:rsidRPr="008D6195">
        <w:t>Tento liek sa nesmie miešať s inými liekmi.</w:t>
      </w:r>
    </w:p>
    <w:p w14:paraId="6F9837B6" w14:textId="77777777" w:rsidR="00B32054" w:rsidRPr="008D6195" w:rsidRDefault="00B32054" w:rsidP="00780C83">
      <w:pPr>
        <w:pStyle w:val="Normlndobloku"/>
        <w:spacing w:after="0"/>
        <w:jc w:val="left"/>
      </w:pPr>
    </w:p>
    <w:p w14:paraId="6DB5A024" w14:textId="77777777" w:rsidR="001A2F10" w:rsidRDefault="001A2F10" w:rsidP="00780C83">
      <w:pPr>
        <w:pStyle w:val="Styl2"/>
        <w:numPr>
          <w:ilvl w:val="1"/>
          <w:numId w:val="1"/>
        </w:numPr>
        <w:spacing w:before="0" w:after="0"/>
        <w:ind w:left="357" w:hanging="357"/>
        <w:rPr>
          <w:lang w:val="sk-SK"/>
        </w:rPr>
      </w:pPr>
      <w:r w:rsidRPr="008D6195">
        <w:rPr>
          <w:lang w:val="sk-SK"/>
        </w:rPr>
        <w:t>Čas použiteľnosti</w:t>
      </w:r>
    </w:p>
    <w:p w14:paraId="3D363B7F" w14:textId="77777777" w:rsidR="00F318BC" w:rsidRPr="008D6195" w:rsidRDefault="00F318BC" w:rsidP="00780C83">
      <w:pPr>
        <w:pStyle w:val="Styl2"/>
        <w:numPr>
          <w:ilvl w:val="0"/>
          <w:numId w:val="0"/>
        </w:numPr>
        <w:spacing w:before="0" w:after="0"/>
        <w:ind w:left="357"/>
        <w:rPr>
          <w:lang w:val="sk-SK"/>
        </w:rPr>
      </w:pPr>
    </w:p>
    <w:p w14:paraId="6BCD8368" w14:textId="77777777" w:rsidR="0028679A" w:rsidRDefault="00965082" w:rsidP="00780C83">
      <w:pPr>
        <w:pStyle w:val="Normlndobloku"/>
        <w:spacing w:after="0"/>
        <w:jc w:val="left"/>
      </w:pPr>
      <w:r w:rsidRPr="008D6195">
        <w:t>3 roky</w:t>
      </w:r>
    </w:p>
    <w:p w14:paraId="46371010" w14:textId="77777777" w:rsidR="00E21C7D" w:rsidRDefault="00E21C7D" w:rsidP="00780C83">
      <w:pPr>
        <w:pStyle w:val="Normlndobloku"/>
        <w:spacing w:after="0"/>
        <w:jc w:val="left"/>
      </w:pPr>
      <w:r w:rsidRPr="00E21C7D">
        <w:t xml:space="preserve">Po otvorení ampulky prípravok ihneď použite a zlikvidujte akýkoľvek </w:t>
      </w:r>
      <w:r w:rsidR="000F1DE7">
        <w:t>ne</w:t>
      </w:r>
      <w:r w:rsidRPr="00E21C7D">
        <w:t>použitý roztok.</w:t>
      </w:r>
    </w:p>
    <w:p w14:paraId="3D9E413F" w14:textId="77777777" w:rsidR="00B32054" w:rsidRPr="008D6195" w:rsidRDefault="00B32054" w:rsidP="00780C83">
      <w:pPr>
        <w:pStyle w:val="Normlndobloku"/>
        <w:spacing w:after="0"/>
        <w:jc w:val="left"/>
      </w:pPr>
    </w:p>
    <w:p w14:paraId="49700337" w14:textId="77777777" w:rsidR="001A2F10" w:rsidRDefault="001A2F10" w:rsidP="00780C83">
      <w:pPr>
        <w:pStyle w:val="Styl2"/>
        <w:numPr>
          <w:ilvl w:val="1"/>
          <w:numId w:val="1"/>
        </w:numPr>
        <w:spacing w:before="0" w:after="0"/>
        <w:ind w:left="357" w:hanging="357"/>
        <w:rPr>
          <w:lang w:val="sk-SK"/>
        </w:rPr>
      </w:pPr>
      <w:r w:rsidRPr="008D6195">
        <w:rPr>
          <w:lang w:val="sk-SK"/>
        </w:rPr>
        <w:t>Špeciálne upozornenia na uchovávanie</w:t>
      </w:r>
    </w:p>
    <w:p w14:paraId="64955A0A" w14:textId="77777777" w:rsidR="00F318BC" w:rsidRPr="008D6195" w:rsidRDefault="00F318BC" w:rsidP="00780C83">
      <w:pPr>
        <w:pStyle w:val="Styl2"/>
        <w:numPr>
          <w:ilvl w:val="0"/>
          <w:numId w:val="0"/>
        </w:numPr>
        <w:spacing w:before="0" w:after="0"/>
        <w:ind w:left="357"/>
        <w:rPr>
          <w:lang w:val="sk-SK"/>
        </w:rPr>
      </w:pPr>
    </w:p>
    <w:p w14:paraId="693820CE" w14:textId="77777777" w:rsidR="0028679A" w:rsidRDefault="00965082" w:rsidP="00780C83">
      <w:pPr>
        <w:pStyle w:val="Normlndobloku"/>
        <w:spacing w:after="0"/>
        <w:jc w:val="left"/>
      </w:pPr>
      <w:r w:rsidRPr="008D6195">
        <w:t xml:space="preserve">Tento liek nevyžaduje žiadne zvláštne </w:t>
      </w:r>
      <w:r w:rsidR="000F1DE7">
        <w:t xml:space="preserve">teplotné </w:t>
      </w:r>
      <w:r w:rsidRPr="008D6195">
        <w:t xml:space="preserve">podmienky na uchovávanie. </w:t>
      </w:r>
      <w:r w:rsidR="00F44F23" w:rsidRPr="008D6195">
        <w:t>U</w:t>
      </w:r>
      <w:r w:rsidRPr="008D6195">
        <w:t xml:space="preserve">chovávajte </w:t>
      </w:r>
      <w:r w:rsidR="001A2F10" w:rsidRPr="008D6195">
        <w:t>v pôvodnom obale na ochranu</w:t>
      </w:r>
      <w:r w:rsidRPr="008D6195">
        <w:t xml:space="preserve"> pred svetlom</w:t>
      </w:r>
      <w:r w:rsidR="001A2F10" w:rsidRPr="008D6195">
        <w:t>.</w:t>
      </w:r>
    </w:p>
    <w:p w14:paraId="7B39D8BD" w14:textId="77777777" w:rsidR="00B32054" w:rsidRPr="008D6195" w:rsidRDefault="00B32054" w:rsidP="00780C83">
      <w:pPr>
        <w:pStyle w:val="Normlndobloku"/>
        <w:spacing w:after="0"/>
        <w:jc w:val="left"/>
      </w:pPr>
    </w:p>
    <w:p w14:paraId="294F7826" w14:textId="77777777" w:rsidR="001A2F10" w:rsidRDefault="001A2F10" w:rsidP="00780C83">
      <w:pPr>
        <w:pStyle w:val="Styl2"/>
        <w:numPr>
          <w:ilvl w:val="1"/>
          <w:numId w:val="1"/>
        </w:numPr>
        <w:spacing w:before="0" w:after="0"/>
        <w:ind w:left="357" w:hanging="357"/>
        <w:rPr>
          <w:lang w:val="sk-SK"/>
        </w:rPr>
      </w:pPr>
      <w:r w:rsidRPr="008D6195">
        <w:rPr>
          <w:lang w:val="sk-SK"/>
        </w:rPr>
        <w:t>Druh obalu a obsah balenia</w:t>
      </w:r>
    </w:p>
    <w:p w14:paraId="50AC28D8" w14:textId="77777777" w:rsidR="00F318BC" w:rsidRPr="008D6195" w:rsidRDefault="00F318BC" w:rsidP="00780C83">
      <w:pPr>
        <w:pStyle w:val="Styl2"/>
        <w:numPr>
          <w:ilvl w:val="0"/>
          <w:numId w:val="0"/>
        </w:numPr>
        <w:spacing w:before="0" w:after="0"/>
        <w:ind w:left="357"/>
        <w:rPr>
          <w:lang w:val="sk-SK"/>
        </w:rPr>
      </w:pPr>
    </w:p>
    <w:p w14:paraId="68C10033" w14:textId="24E17661" w:rsidR="00965082" w:rsidRPr="008D6195" w:rsidRDefault="00260EE9" w:rsidP="00780C83">
      <w:pPr>
        <w:pStyle w:val="Normlndobloku"/>
        <w:spacing w:after="0"/>
        <w:jc w:val="left"/>
      </w:pPr>
      <w:r w:rsidRPr="008D6195">
        <w:t>Skl</w:t>
      </w:r>
      <w:r w:rsidR="00B63C3B" w:rsidRPr="008D6195">
        <w:t>e</w:t>
      </w:r>
      <w:r w:rsidRPr="008D6195">
        <w:t xml:space="preserve">nená </w:t>
      </w:r>
      <w:r w:rsidR="000F1DE7">
        <w:t>ampulka</w:t>
      </w:r>
      <w:r w:rsidRPr="008D6195">
        <w:t xml:space="preserve"> </w:t>
      </w:r>
      <w:r w:rsidR="000F1DE7">
        <w:t>z </w:t>
      </w:r>
      <w:r w:rsidR="000F1DE7" w:rsidRPr="00233D13">
        <w:t>číreho</w:t>
      </w:r>
      <w:r w:rsidR="000F1DE7">
        <w:t xml:space="preserve"> skla </w:t>
      </w:r>
      <w:r w:rsidR="00E52021">
        <w:t>s</w:t>
      </w:r>
      <w:r w:rsidR="000F1DE7">
        <w:t> plniac</w:t>
      </w:r>
      <w:r w:rsidR="00E52021">
        <w:t>ou</w:t>
      </w:r>
      <w:r w:rsidR="000F1DE7">
        <w:t xml:space="preserve"> kapacit</w:t>
      </w:r>
      <w:r w:rsidR="00E52021">
        <w:t>ou</w:t>
      </w:r>
      <w:r w:rsidR="000F1DE7">
        <w:t xml:space="preserve"> </w:t>
      </w:r>
      <w:r w:rsidRPr="008D6195">
        <w:t>5 ml.</w:t>
      </w:r>
    </w:p>
    <w:p w14:paraId="4F319FC9" w14:textId="781DAA51" w:rsidR="00260EE9" w:rsidRPr="008D6195" w:rsidRDefault="00260EE9" w:rsidP="00780C83">
      <w:pPr>
        <w:pStyle w:val="Normlndobloku"/>
        <w:spacing w:after="0"/>
        <w:jc w:val="left"/>
      </w:pPr>
      <w:r w:rsidRPr="008D6195">
        <w:t xml:space="preserve">Veľkosť balenia: 1,5 a 10 </w:t>
      </w:r>
      <w:r w:rsidR="007C68C1">
        <w:t>ampuliek</w:t>
      </w:r>
      <w:r w:rsidRPr="008D6195">
        <w:t>.</w:t>
      </w:r>
    </w:p>
    <w:p w14:paraId="3DCBB424" w14:textId="77777777" w:rsidR="0028679A" w:rsidRDefault="001A2F10" w:rsidP="00780C83">
      <w:pPr>
        <w:pStyle w:val="Normlndobloku"/>
        <w:spacing w:after="0"/>
        <w:jc w:val="left"/>
      </w:pPr>
      <w:r w:rsidRPr="008D6195">
        <w:t>Na trh nemusia byť uvedené všetky veľkosti balenia.</w:t>
      </w:r>
    </w:p>
    <w:p w14:paraId="753CB61B" w14:textId="77777777" w:rsidR="00B32054" w:rsidRPr="008D6195" w:rsidRDefault="00B32054" w:rsidP="00780C83">
      <w:pPr>
        <w:pStyle w:val="Normlndobloku"/>
        <w:spacing w:after="0"/>
        <w:jc w:val="left"/>
      </w:pPr>
    </w:p>
    <w:p w14:paraId="4ACAA5EA" w14:textId="05382D0C" w:rsidR="001A2F10" w:rsidRDefault="001A2F10" w:rsidP="00780C83">
      <w:pPr>
        <w:pStyle w:val="Styl2"/>
        <w:numPr>
          <w:ilvl w:val="1"/>
          <w:numId w:val="1"/>
        </w:numPr>
        <w:spacing w:before="0" w:after="0"/>
        <w:ind w:left="357" w:hanging="357"/>
        <w:rPr>
          <w:lang w:val="sk-SK"/>
        </w:rPr>
      </w:pPr>
      <w:r w:rsidRPr="008D6195">
        <w:rPr>
          <w:lang w:val="sk-SK"/>
        </w:rPr>
        <w:t>Špeciálne opatrenia na likvidáciu</w:t>
      </w:r>
      <w:r w:rsidR="007C68C1">
        <w:rPr>
          <w:lang w:val="sk-SK"/>
        </w:rPr>
        <w:t xml:space="preserve"> a iné zaobchádzanie s liekom</w:t>
      </w:r>
    </w:p>
    <w:p w14:paraId="21287B57" w14:textId="77777777" w:rsidR="00F318BC" w:rsidRPr="008D6195" w:rsidRDefault="00F318BC" w:rsidP="00780C83">
      <w:pPr>
        <w:pStyle w:val="Styl2"/>
        <w:numPr>
          <w:ilvl w:val="0"/>
          <w:numId w:val="0"/>
        </w:numPr>
        <w:spacing w:before="0" w:after="0"/>
        <w:ind w:left="357"/>
        <w:rPr>
          <w:lang w:val="sk-SK"/>
        </w:rPr>
      </w:pPr>
    </w:p>
    <w:p w14:paraId="5B4BDDDE" w14:textId="6C23898E" w:rsidR="00260EE9" w:rsidRPr="008D6195" w:rsidRDefault="00260EE9" w:rsidP="00780C83">
      <w:pPr>
        <w:pStyle w:val="Normlndobloku"/>
        <w:spacing w:after="0"/>
        <w:jc w:val="left"/>
      </w:pPr>
      <w:r w:rsidRPr="008D6195">
        <w:t xml:space="preserve">Na </w:t>
      </w:r>
      <w:proofErr w:type="spellStart"/>
      <w:r w:rsidRPr="008D6195">
        <w:t>jedno</w:t>
      </w:r>
      <w:r w:rsidR="007C68C1">
        <w:t>rázové</w:t>
      </w:r>
      <w:proofErr w:type="spellEnd"/>
      <w:r w:rsidRPr="008D6195">
        <w:t xml:space="preserve"> použitie, nepoužitý roztok </w:t>
      </w:r>
      <w:r w:rsidR="007C68C1">
        <w:t xml:space="preserve">sa </w:t>
      </w:r>
      <w:r w:rsidRPr="008D6195">
        <w:t>má zlikvidova</w:t>
      </w:r>
      <w:r w:rsidR="007C68C1">
        <w:t>ť</w:t>
      </w:r>
      <w:r w:rsidRPr="008D6195">
        <w:t>.</w:t>
      </w:r>
    </w:p>
    <w:p w14:paraId="088B8204" w14:textId="77777777" w:rsidR="001A2F10" w:rsidRDefault="00260EE9" w:rsidP="00780C83">
      <w:pPr>
        <w:pStyle w:val="Normlndobloku"/>
        <w:spacing w:after="0"/>
        <w:jc w:val="left"/>
      </w:pPr>
      <w:r w:rsidRPr="008D6195">
        <w:t>Všetok nepoužitý liek alebo odpad vzniknutý z lieku sa má zlikvidovať v súlade s národnými požiadavkami.</w:t>
      </w:r>
    </w:p>
    <w:p w14:paraId="352315EE" w14:textId="77777777" w:rsidR="00B32054" w:rsidRDefault="00B32054" w:rsidP="00780C83">
      <w:pPr>
        <w:pStyle w:val="Normlndobloku"/>
        <w:spacing w:after="0"/>
        <w:jc w:val="left"/>
      </w:pPr>
    </w:p>
    <w:p w14:paraId="1E0D2980" w14:textId="77777777" w:rsidR="00B32054" w:rsidRPr="008D6195" w:rsidRDefault="00B32054" w:rsidP="00780C83">
      <w:pPr>
        <w:pStyle w:val="Normlndobloku"/>
        <w:spacing w:after="0"/>
        <w:jc w:val="left"/>
      </w:pPr>
    </w:p>
    <w:p w14:paraId="6B078A4C" w14:textId="2A60EB39" w:rsidR="00534374" w:rsidRDefault="001A2F10" w:rsidP="00780C83">
      <w:pPr>
        <w:pStyle w:val="Styl1"/>
        <w:numPr>
          <w:ilvl w:val="0"/>
          <w:numId w:val="1"/>
        </w:numPr>
        <w:spacing w:before="0" w:after="0"/>
        <w:ind w:left="357" w:hanging="357"/>
      </w:pPr>
      <w:r w:rsidRPr="008D6195">
        <w:t>DR</w:t>
      </w:r>
      <w:r w:rsidR="00534374" w:rsidRPr="008D6195">
        <w:t>ŽITEĽ ROZHODNUTIA O</w:t>
      </w:r>
      <w:r w:rsidR="00B32054">
        <w:t> </w:t>
      </w:r>
      <w:r w:rsidR="00534374" w:rsidRPr="008D6195">
        <w:t>REGISTRÁCII</w:t>
      </w:r>
    </w:p>
    <w:p w14:paraId="3BA9666C" w14:textId="77777777" w:rsidR="00B32054" w:rsidRPr="008D6195" w:rsidRDefault="00B32054" w:rsidP="00780C83">
      <w:pPr>
        <w:pStyle w:val="Styl1"/>
        <w:numPr>
          <w:ilvl w:val="0"/>
          <w:numId w:val="0"/>
        </w:numPr>
        <w:spacing w:before="0" w:after="0"/>
        <w:ind w:left="357"/>
      </w:pPr>
    </w:p>
    <w:p w14:paraId="1B518451" w14:textId="77777777" w:rsidR="00534374" w:rsidRDefault="00534374" w:rsidP="00780C83">
      <w:pPr>
        <w:pStyle w:val="Normlndobloku"/>
        <w:spacing w:after="0"/>
        <w:jc w:val="left"/>
      </w:pPr>
      <w:r w:rsidRPr="008D6195">
        <w:t xml:space="preserve">MEDOCHEMIE Ltd., 1-10 </w:t>
      </w:r>
      <w:proofErr w:type="spellStart"/>
      <w:r w:rsidRPr="008D6195">
        <w:t>Constantinoupoleos</w:t>
      </w:r>
      <w:proofErr w:type="spellEnd"/>
      <w:r w:rsidRPr="008D6195">
        <w:t xml:space="preserve"> </w:t>
      </w:r>
      <w:proofErr w:type="spellStart"/>
      <w:r w:rsidRPr="008D6195">
        <w:t>Street</w:t>
      </w:r>
      <w:proofErr w:type="spellEnd"/>
      <w:r w:rsidRPr="008D6195">
        <w:t xml:space="preserve">, 3011 </w:t>
      </w:r>
      <w:proofErr w:type="spellStart"/>
      <w:r w:rsidRPr="008D6195">
        <w:t>Limassol</w:t>
      </w:r>
      <w:proofErr w:type="spellEnd"/>
      <w:r w:rsidRPr="008D6195">
        <w:t>, Cyprus</w:t>
      </w:r>
    </w:p>
    <w:p w14:paraId="79FDC566" w14:textId="77777777" w:rsidR="00B32054" w:rsidRDefault="00B32054" w:rsidP="00780C83">
      <w:pPr>
        <w:pStyle w:val="Normlndobloku"/>
        <w:spacing w:after="0"/>
        <w:jc w:val="left"/>
      </w:pPr>
    </w:p>
    <w:p w14:paraId="178AD936" w14:textId="77777777" w:rsidR="00B32054" w:rsidRPr="008D6195" w:rsidRDefault="00B32054" w:rsidP="00780C83">
      <w:pPr>
        <w:pStyle w:val="Normlndobloku"/>
        <w:spacing w:after="0"/>
        <w:jc w:val="left"/>
      </w:pPr>
    </w:p>
    <w:p w14:paraId="214DD0E6" w14:textId="77777777" w:rsidR="00260EE9" w:rsidRDefault="00260EE9" w:rsidP="00780C83">
      <w:pPr>
        <w:pStyle w:val="Styl1"/>
        <w:numPr>
          <w:ilvl w:val="0"/>
          <w:numId w:val="1"/>
        </w:numPr>
        <w:spacing w:before="0" w:after="0"/>
        <w:ind w:left="357" w:hanging="357"/>
      </w:pPr>
      <w:r w:rsidRPr="008D6195">
        <w:t>REGISTRAČNÉ ČÍSLO</w:t>
      </w:r>
    </w:p>
    <w:p w14:paraId="418C3A67" w14:textId="77777777" w:rsidR="00B32054" w:rsidRPr="008D6195" w:rsidRDefault="00B32054" w:rsidP="00780C83">
      <w:pPr>
        <w:pStyle w:val="Styl1"/>
        <w:numPr>
          <w:ilvl w:val="0"/>
          <w:numId w:val="0"/>
        </w:numPr>
        <w:spacing w:before="0" w:after="0"/>
        <w:ind w:left="357"/>
      </w:pPr>
    </w:p>
    <w:p w14:paraId="4153C73E" w14:textId="43F84A54" w:rsidR="00260EE9" w:rsidRDefault="00F64CFB" w:rsidP="00780C83">
      <w:pPr>
        <w:pStyle w:val="Normlndobloku"/>
        <w:spacing w:after="0"/>
        <w:jc w:val="left"/>
      </w:pPr>
      <w:r w:rsidRPr="00F64CFB">
        <w:t>20/0385/16-S</w:t>
      </w:r>
    </w:p>
    <w:p w14:paraId="44BBA989" w14:textId="77777777" w:rsidR="00B32054" w:rsidRDefault="00B32054" w:rsidP="00780C83">
      <w:pPr>
        <w:pStyle w:val="Normlndobloku"/>
        <w:spacing w:after="0"/>
        <w:jc w:val="left"/>
      </w:pPr>
    </w:p>
    <w:p w14:paraId="6E63BA18" w14:textId="77777777" w:rsidR="00B32054" w:rsidRPr="008D6195" w:rsidRDefault="00B32054" w:rsidP="00780C83">
      <w:pPr>
        <w:pStyle w:val="Normlndobloku"/>
        <w:spacing w:after="0"/>
        <w:jc w:val="left"/>
      </w:pPr>
    </w:p>
    <w:p w14:paraId="460F7E7F" w14:textId="77777777" w:rsidR="001A2F10" w:rsidRDefault="001A2F10" w:rsidP="00780C83">
      <w:pPr>
        <w:pStyle w:val="Styl1"/>
        <w:numPr>
          <w:ilvl w:val="0"/>
          <w:numId w:val="1"/>
        </w:numPr>
        <w:spacing w:before="0" w:after="0"/>
        <w:ind w:left="357" w:hanging="357"/>
      </w:pPr>
      <w:r w:rsidRPr="008D6195">
        <w:t>DÁTUM PRVEJ REGISTRÁCIE</w:t>
      </w:r>
    </w:p>
    <w:p w14:paraId="4D188AA8" w14:textId="77777777" w:rsidR="00B32054" w:rsidRPr="008D6195" w:rsidRDefault="00B32054" w:rsidP="00780C83">
      <w:pPr>
        <w:pStyle w:val="Styl1"/>
        <w:numPr>
          <w:ilvl w:val="0"/>
          <w:numId w:val="0"/>
        </w:numPr>
        <w:spacing w:before="0" w:after="0"/>
        <w:ind w:left="357"/>
      </w:pPr>
    </w:p>
    <w:p w14:paraId="5B74BA55" w14:textId="77777777" w:rsidR="00FB18D9" w:rsidRPr="008D6195" w:rsidRDefault="001A2F10" w:rsidP="00780C83">
      <w:pPr>
        <w:pStyle w:val="Normlndobloku"/>
        <w:spacing w:after="0"/>
        <w:jc w:val="left"/>
      </w:pPr>
      <w:r w:rsidRPr="008D6195">
        <w:t>Dátum prvej registrácie:</w:t>
      </w:r>
    </w:p>
    <w:p w14:paraId="281D33CF" w14:textId="77777777" w:rsidR="001A2F10" w:rsidRDefault="001A2F10" w:rsidP="00780C83">
      <w:pPr>
        <w:pStyle w:val="Normlndobloku"/>
        <w:spacing w:after="0"/>
        <w:jc w:val="left"/>
      </w:pPr>
      <w:r w:rsidRPr="008D6195">
        <w:t>Dátum posledného predĺženia registrácie:</w:t>
      </w:r>
    </w:p>
    <w:p w14:paraId="02E715F2" w14:textId="77777777" w:rsidR="00B32054" w:rsidRDefault="00B32054" w:rsidP="00780C83">
      <w:pPr>
        <w:pStyle w:val="Normlndobloku"/>
        <w:spacing w:after="0"/>
        <w:jc w:val="left"/>
      </w:pPr>
    </w:p>
    <w:p w14:paraId="764195B0" w14:textId="77777777" w:rsidR="00B32054" w:rsidRPr="008D6195" w:rsidRDefault="00B32054" w:rsidP="00780C83">
      <w:pPr>
        <w:pStyle w:val="Normlndobloku"/>
        <w:spacing w:after="0"/>
        <w:jc w:val="left"/>
      </w:pPr>
    </w:p>
    <w:p w14:paraId="03595961" w14:textId="77777777" w:rsidR="001A2F10" w:rsidRDefault="001A2F10" w:rsidP="00780C83">
      <w:pPr>
        <w:pStyle w:val="Styl1"/>
        <w:numPr>
          <w:ilvl w:val="0"/>
          <w:numId w:val="1"/>
        </w:numPr>
        <w:spacing w:before="0" w:after="0"/>
        <w:ind w:left="357" w:hanging="357"/>
      </w:pPr>
      <w:r w:rsidRPr="008D6195">
        <w:t>DÁTUM REVÍZIE TEXTU</w:t>
      </w:r>
    </w:p>
    <w:p w14:paraId="26B47587" w14:textId="77777777" w:rsidR="005B28B3" w:rsidRDefault="005B28B3" w:rsidP="00780C83">
      <w:pPr>
        <w:pStyle w:val="Styl1"/>
        <w:numPr>
          <w:ilvl w:val="0"/>
          <w:numId w:val="0"/>
        </w:numPr>
        <w:spacing w:before="0" w:after="0"/>
        <w:ind w:left="357"/>
      </w:pPr>
    </w:p>
    <w:p w14:paraId="740D7C1B" w14:textId="2F5376E7" w:rsidR="005B28B3" w:rsidRPr="00780C83" w:rsidRDefault="005B28B3" w:rsidP="00780C83">
      <w:pPr>
        <w:pStyle w:val="Styl1"/>
        <w:numPr>
          <w:ilvl w:val="0"/>
          <w:numId w:val="0"/>
        </w:numPr>
        <w:spacing w:before="0" w:after="0"/>
        <w:rPr>
          <w:b w:val="0"/>
        </w:rPr>
      </w:pPr>
      <w:r w:rsidRPr="00780C83">
        <w:rPr>
          <w:b w:val="0"/>
        </w:rPr>
        <w:t>08/2016</w:t>
      </w:r>
    </w:p>
    <w:p w14:paraId="15C6952A" w14:textId="77AD4FE0" w:rsidR="008208D2" w:rsidRPr="008D6195" w:rsidRDefault="008208D2" w:rsidP="00B32054">
      <w:pPr>
        <w:rPr>
          <w:lang w:val="sk-SK"/>
        </w:rPr>
      </w:pPr>
    </w:p>
    <w:sectPr w:rsidR="008208D2" w:rsidRPr="008D6195" w:rsidSect="00780C83">
      <w:footerReference w:type="even" r:id="rId9"/>
      <w:footerReference w:type="default" r:id="rId10"/>
      <w:headerReference w:type="first" r:id="rId11"/>
      <w:footerReference w:type="first" r:id="rId12"/>
      <w:pgSz w:w="11907" w:h="16840" w:code="9"/>
      <w:pgMar w:top="1134" w:right="1418" w:bottom="1134" w:left="1418" w:header="737" w:footer="737"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F70B4" w14:textId="77777777" w:rsidR="00494EA4" w:rsidRDefault="00494EA4">
      <w:r>
        <w:separator/>
      </w:r>
    </w:p>
  </w:endnote>
  <w:endnote w:type="continuationSeparator" w:id="0">
    <w:p w14:paraId="4B810F6C" w14:textId="77777777" w:rsidR="00494EA4" w:rsidRDefault="00494EA4">
      <w:r>
        <w:continuationSeparator/>
      </w:r>
    </w:p>
  </w:endnote>
  <w:endnote w:type="continuationNotice" w:id="1">
    <w:p w14:paraId="4C7DFBB1" w14:textId="77777777" w:rsidR="00494EA4" w:rsidRDefault="00494E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52533" w14:textId="77777777" w:rsidR="00494EA4" w:rsidRDefault="00494EA4" w:rsidP="008208D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3811788" w14:textId="77777777" w:rsidR="00494EA4" w:rsidRDefault="00494EA4" w:rsidP="008208D2">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B78F2" w14:textId="77777777" w:rsidR="00494EA4" w:rsidRPr="00780C83" w:rsidRDefault="00494EA4" w:rsidP="008208D2">
    <w:pPr>
      <w:pStyle w:val="Pta"/>
      <w:jc w:val="center"/>
      <w:rPr>
        <w:sz w:val="18"/>
        <w:szCs w:val="18"/>
      </w:rPr>
    </w:pPr>
    <w:r w:rsidRPr="00780C83">
      <w:rPr>
        <w:sz w:val="18"/>
        <w:szCs w:val="18"/>
      </w:rPr>
      <w:fldChar w:fldCharType="begin"/>
    </w:r>
    <w:r w:rsidRPr="00780C83">
      <w:rPr>
        <w:sz w:val="18"/>
        <w:szCs w:val="18"/>
      </w:rPr>
      <w:instrText>PAGE</w:instrText>
    </w:r>
    <w:r w:rsidRPr="00780C83">
      <w:rPr>
        <w:sz w:val="18"/>
        <w:szCs w:val="18"/>
      </w:rPr>
      <w:fldChar w:fldCharType="separate"/>
    </w:r>
    <w:r w:rsidR="00902AB9">
      <w:rPr>
        <w:noProof/>
        <w:sz w:val="18"/>
        <w:szCs w:val="18"/>
      </w:rPr>
      <w:t>12</w:t>
    </w:r>
    <w:r w:rsidRPr="00780C83">
      <w:rPr>
        <w:sz w:val="18"/>
        <w:szCs w:val="18"/>
      </w:rPr>
      <w:fldChar w:fldCharType="end"/>
    </w:r>
    <w:r w:rsidRPr="00780C83">
      <w:rPr>
        <w:sz w:val="18"/>
        <w:szCs w:val="18"/>
      </w:rPr>
      <w:t>/</w:t>
    </w:r>
    <w:r w:rsidRPr="00780C83">
      <w:rPr>
        <w:sz w:val="18"/>
        <w:szCs w:val="18"/>
      </w:rPr>
      <w:fldChar w:fldCharType="begin"/>
    </w:r>
    <w:r w:rsidRPr="00780C83">
      <w:rPr>
        <w:sz w:val="18"/>
        <w:szCs w:val="18"/>
      </w:rPr>
      <w:instrText>NUMPAGES</w:instrText>
    </w:r>
    <w:r w:rsidRPr="00780C83">
      <w:rPr>
        <w:sz w:val="18"/>
        <w:szCs w:val="18"/>
      </w:rPr>
      <w:fldChar w:fldCharType="separate"/>
    </w:r>
    <w:r w:rsidR="00902AB9">
      <w:rPr>
        <w:noProof/>
        <w:sz w:val="18"/>
        <w:szCs w:val="18"/>
      </w:rPr>
      <w:t>12</w:t>
    </w:r>
    <w:r w:rsidRPr="00780C83">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55E1F" w14:textId="77777777" w:rsidR="00494EA4" w:rsidRPr="00780C83" w:rsidRDefault="00494EA4" w:rsidP="008208D2">
    <w:pPr>
      <w:pStyle w:val="Pta"/>
      <w:jc w:val="center"/>
      <w:rPr>
        <w:sz w:val="18"/>
        <w:szCs w:val="18"/>
      </w:rPr>
    </w:pPr>
    <w:r w:rsidRPr="00780C83">
      <w:rPr>
        <w:sz w:val="18"/>
        <w:szCs w:val="18"/>
      </w:rPr>
      <w:fldChar w:fldCharType="begin"/>
    </w:r>
    <w:r w:rsidRPr="00780C83">
      <w:rPr>
        <w:sz w:val="18"/>
        <w:szCs w:val="18"/>
      </w:rPr>
      <w:instrText>PAGE</w:instrText>
    </w:r>
    <w:r w:rsidRPr="00780C83">
      <w:rPr>
        <w:sz w:val="18"/>
        <w:szCs w:val="18"/>
      </w:rPr>
      <w:fldChar w:fldCharType="separate"/>
    </w:r>
    <w:r w:rsidR="00902AB9">
      <w:rPr>
        <w:noProof/>
        <w:sz w:val="18"/>
        <w:szCs w:val="18"/>
      </w:rPr>
      <w:t>1</w:t>
    </w:r>
    <w:r w:rsidRPr="00780C83">
      <w:rPr>
        <w:sz w:val="18"/>
        <w:szCs w:val="18"/>
      </w:rPr>
      <w:fldChar w:fldCharType="end"/>
    </w:r>
    <w:r w:rsidRPr="00780C83">
      <w:rPr>
        <w:sz w:val="18"/>
        <w:szCs w:val="18"/>
      </w:rPr>
      <w:t>/</w:t>
    </w:r>
    <w:r w:rsidRPr="00780C83">
      <w:rPr>
        <w:sz w:val="18"/>
        <w:szCs w:val="18"/>
      </w:rPr>
      <w:fldChar w:fldCharType="begin"/>
    </w:r>
    <w:r w:rsidRPr="00780C83">
      <w:rPr>
        <w:sz w:val="18"/>
        <w:szCs w:val="18"/>
      </w:rPr>
      <w:instrText>NUMPAGES</w:instrText>
    </w:r>
    <w:r w:rsidRPr="00780C83">
      <w:rPr>
        <w:sz w:val="18"/>
        <w:szCs w:val="18"/>
      </w:rPr>
      <w:fldChar w:fldCharType="separate"/>
    </w:r>
    <w:r w:rsidR="00902AB9">
      <w:rPr>
        <w:noProof/>
        <w:sz w:val="18"/>
        <w:szCs w:val="18"/>
      </w:rPr>
      <w:t>12</w:t>
    </w:r>
    <w:r w:rsidRPr="00780C83">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5DBFB" w14:textId="77777777" w:rsidR="00494EA4" w:rsidRDefault="00494EA4">
      <w:r>
        <w:separator/>
      </w:r>
    </w:p>
  </w:footnote>
  <w:footnote w:type="continuationSeparator" w:id="0">
    <w:p w14:paraId="36360E5F" w14:textId="77777777" w:rsidR="00494EA4" w:rsidRDefault="00494EA4">
      <w:r>
        <w:continuationSeparator/>
      </w:r>
    </w:p>
  </w:footnote>
  <w:footnote w:type="continuationNotice" w:id="1">
    <w:p w14:paraId="319682B7" w14:textId="77777777" w:rsidR="00494EA4" w:rsidRDefault="00494E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5CA6D" w14:textId="77777777" w:rsidR="00494EA4" w:rsidRPr="0017401B" w:rsidRDefault="00494EA4" w:rsidP="008208D2">
    <w:pPr>
      <w:outlineLvl w:val="0"/>
      <w:rPr>
        <w:noProof/>
        <w:sz w:val="18"/>
        <w:szCs w:val="18"/>
        <w:lang w:val="sk-SK" w:eastAsia="en-GB"/>
      </w:rPr>
    </w:pPr>
    <w:r w:rsidRPr="00601450">
      <w:rPr>
        <w:noProof/>
        <w:sz w:val="18"/>
        <w:szCs w:val="18"/>
        <w:lang w:val="sk-SK" w:eastAsia="en-GB"/>
      </w:rPr>
      <w:t>Schválený text</w:t>
    </w:r>
    <w:r w:rsidRPr="00601450">
      <w:rPr>
        <w:sz w:val="18"/>
        <w:szCs w:val="18"/>
        <w:lang w:val="sk-SK"/>
      </w:rPr>
      <w:t xml:space="preserve"> k</w:t>
    </w:r>
    <w:r w:rsidRPr="00601450">
      <w:rPr>
        <w:noProof/>
        <w:sz w:val="18"/>
        <w:szCs w:val="18"/>
        <w:lang w:val="sk-SK" w:eastAsia="en-GB"/>
      </w:rPr>
      <w:t xml:space="preserve"> r</w:t>
    </w:r>
    <w:r w:rsidRPr="00601450">
      <w:rPr>
        <w:sz w:val="18"/>
        <w:szCs w:val="18"/>
        <w:lang w:val="sk-SK"/>
      </w:rPr>
      <w:t>ozhodnutiu o </w:t>
    </w:r>
    <w:r w:rsidRPr="0017401B">
      <w:rPr>
        <w:noProof/>
        <w:sz w:val="18"/>
        <w:szCs w:val="18"/>
        <w:lang w:val="sk-SK" w:eastAsia="en-GB"/>
      </w:rPr>
      <w:t>registrácii</w:t>
    </w:r>
    <w:r w:rsidRPr="00601450">
      <w:rPr>
        <w:sz w:val="18"/>
        <w:szCs w:val="18"/>
        <w:lang w:val="sk-SK"/>
      </w:rPr>
      <w:t xml:space="preserve">, </w:t>
    </w:r>
    <w:proofErr w:type="spellStart"/>
    <w:r w:rsidRPr="00601450">
      <w:rPr>
        <w:sz w:val="18"/>
        <w:szCs w:val="18"/>
        <w:lang w:val="sk-SK"/>
      </w:rPr>
      <w:t>evid</w:t>
    </w:r>
    <w:proofErr w:type="spellEnd"/>
    <w:r w:rsidRPr="00601450">
      <w:rPr>
        <w:sz w:val="18"/>
        <w:szCs w:val="18"/>
        <w:lang w:val="sk-SK"/>
      </w:rPr>
      <w:t>.</w:t>
    </w:r>
    <w:r>
      <w:rPr>
        <w:sz w:val="18"/>
        <w:szCs w:val="18"/>
        <w:lang w:val="sk-SK"/>
      </w:rPr>
      <w:t xml:space="preserve"> </w:t>
    </w:r>
    <w:r w:rsidRPr="00601450">
      <w:rPr>
        <w:sz w:val="18"/>
        <w:szCs w:val="18"/>
        <w:lang w:val="sk-SK"/>
      </w:rPr>
      <w:t>č.:</w:t>
    </w:r>
    <w:r w:rsidRPr="00301BD2">
      <w:t xml:space="preserve"> </w:t>
    </w:r>
    <w:r>
      <w:rPr>
        <w:sz w:val="18"/>
        <w:szCs w:val="18"/>
        <w:lang w:val="sk-SK"/>
      </w:rPr>
      <w:t>2015/01860-REG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D7CAD60"/>
    <w:multiLevelType w:val="hybridMultilevel"/>
    <w:tmpl w:val="45F73BF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41604D"/>
    <w:multiLevelType w:val="hybridMultilevel"/>
    <w:tmpl w:val="ECAC0E66"/>
    <w:lvl w:ilvl="0" w:tplc="4A227F10">
      <w:numFmt w:val="bullet"/>
      <w:lvlText w:val="-"/>
      <w:lvlJc w:val="left"/>
      <w:pPr>
        <w:tabs>
          <w:tab w:val="num" w:pos="720"/>
        </w:tabs>
        <w:ind w:left="720" w:hanging="36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4C7DB5"/>
    <w:multiLevelType w:val="hybridMultilevel"/>
    <w:tmpl w:val="A63A8B70"/>
    <w:lvl w:ilvl="0" w:tplc="A0EC0DE4">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BEF0F49"/>
    <w:multiLevelType w:val="multilevel"/>
    <w:tmpl w:val="9670B2CC"/>
    <w:lvl w:ilvl="0">
      <w:start w:val="1"/>
      <w:numFmt w:val="bullet"/>
      <w:lvlText w:val="o"/>
      <w:lvlJc w:val="left"/>
      <w:pPr>
        <w:ind w:left="720" w:hanging="360"/>
      </w:pPr>
      <w:rPr>
        <w:rFonts w:ascii="Times New Roman" w:hAnsi="Times New Roman"/>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7086226"/>
    <w:multiLevelType w:val="hybridMultilevel"/>
    <w:tmpl w:val="C2F02C7A"/>
    <w:lvl w:ilvl="0" w:tplc="9288F23A">
      <w:start w:val="1"/>
      <w:numFmt w:val="bullet"/>
      <w:pStyle w:val="Odrky2"/>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AAD4AA7"/>
    <w:multiLevelType w:val="multilevel"/>
    <w:tmpl w:val="10747AC2"/>
    <w:lvl w:ilvl="0">
      <w:start w:val="1"/>
      <w:numFmt w:val="decimal"/>
      <w:pStyle w:val="Styl1"/>
      <w:lvlText w:val="%1."/>
      <w:lvlJc w:val="left"/>
      <w:pPr>
        <w:tabs>
          <w:tab w:val="num" w:pos="360"/>
        </w:tabs>
        <w:ind w:left="360" w:hanging="360"/>
      </w:pPr>
      <w:rPr>
        <w:rFonts w:cs="Times New Roman" w:hint="default"/>
      </w:rPr>
    </w:lvl>
    <w:lvl w:ilvl="1">
      <w:start w:val="1"/>
      <w:numFmt w:val="decimal"/>
      <w:pStyle w:val="Styl2"/>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5"/>
  </w:num>
  <w:num w:numId="2">
    <w:abstractNumId w:val="5"/>
  </w:num>
  <w:num w:numId="3">
    <w:abstractNumId w:val="2"/>
  </w:num>
  <w:num w:numId="4">
    <w:abstractNumId w:val="4"/>
  </w:num>
  <w:num w:numId="5">
    <w:abstractNumId w:val="3"/>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76E"/>
    <w:rsid w:val="00007B94"/>
    <w:rsid w:val="00041A47"/>
    <w:rsid w:val="00042033"/>
    <w:rsid w:val="0004710C"/>
    <w:rsid w:val="00076D13"/>
    <w:rsid w:val="00084DAB"/>
    <w:rsid w:val="00094379"/>
    <w:rsid w:val="00094D8A"/>
    <w:rsid w:val="00095D0D"/>
    <w:rsid w:val="000B4A47"/>
    <w:rsid w:val="000D0D7E"/>
    <w:rsid w:val="000D1AD0"/>
    <w:rsid w:val="000F0673"/>
    <w:rsid w:val="000F1DE7"/>
    <w:rsid w:val="000F56EA"/>
    <w:rsid w:val="000F75EF"/>
    <w:rsid w:val="00105E69"/>
    <w:rsid w:val="001113BB"/>
    <w:rsid w:val="00131535"/>
    <w:rsid w:val="00132EE9"/>
    <w:rsid w:val="00156087"/>
    <w:rsid w:val="001565ED"/>
    <w:rsid w:val="0016725A"/>
    <w:rsid w:val="001746BD"/>
    <w:rsid w:val="001A045C"/>
    <w:rsid w:val="001A2F10"/>
    <w:rsid w:val="001B2161"/>
    <w:rsid w:val="001B2640"/>
    <w:rsid w:val="001B74E0"/>
    <w:rsid w:val="001D1A23"/>
    <w:rsid w:val="001D4B79"/>
    <w:rsid w:val="001E0938"/>
    <w:rsid w:val="001E6B8E"/>
    <w:rsid w:val="001F2F95"/>
    <w:rsid w:val="00224259"/>
    <w:rsid w:val="00233D13"/>
    <w:rsid w:val="002358BF"/>
    <w:rsid w:val="00251F80"/>
    <w:rsid w:val="00260EE9"/>
    <w:rsid w:val="002756D4"/>
    <w:rsid w:val="00284025"/>
    <w:rsid w:val="0028679A"/>
    <w:rsid w:val="00293F53"/>
    <w:rsid w:val="002B40DA"/>
    <w:rsid w:val="002D4210"/>
    <w:rsid w:val="002F2B1E"/>
    <w:rsid w:val="0030132A"/>
    <w:rsid w:val="00303CE6"/>
    <w:rsid w:val="00305D11"/>
    <w:rsid w:val="00310CAA"/>
    <w:rsid w:val="003223DF"/>
    <w:rsid w:val="003354DC"/>
    <w:rsid w:val="00342111"/>
    <w:rsid w:val="00347F08"/>
    <w:rsid w:val="00350C8C"/>
    <w:rsid w:val="003631BB"/>
    <w:rsid w:val="00374101"/>
    <w:rsid w:val="003A299B"/>
    <w:rsid w:val="003A3F1D"/>
    <w:rsid w:val="003A571C"/>
    <w:rsid w:val="003C51D5"/>
    <w:rsid w:val="003E2CDB"/>
    <w:rsid w:val="003E70C3"/>
    <w:rsid w:val="003F2CC3"/>
    <w:rsid w:val="00404BC3"/>
    <w:rsid w:val="00422066"/>
    <w:rsid w:val="004324C6"/>
    <w:rsid w:val="004474BF"/>
    <w:rsid w:val="00455EED"/>
    <w:rsid w:val="004939A2"/>
    <w:rsid w:val="00494EA4"/>
    <w:rsid w:val="00496240"/>
    <w:rsid w:val="004A59FB"/>
    <w:rsid w:val="004B30F7"/>
    <w:rsid w:val="004B44AD"/>
    <w:rsid w:val="00504C56"/>
    <w:rsid w:val="00511F2D"/>
    <w:rsid w:val="00514615"/>
    <w:rsid w:val="00531ECF"/>
    <w:rsid w:val="005336C6"/>
    <w:rsid w:val="00534374"/>
    <w:rsid w:val="0053570C"/>
    <w:rsid w:val="0055614D"/>
    <w:rsid w:val="0057198F"/>
    <w:rsid w:val="00577541"/>
    <w:rsid w:val="00591BE4"/>
    <w:rsid w:val="00596C7A"/>
    <w:rsid w:val="005B28B3"/>
    <w:rsid w:val="005B6100"/>
    <w:rsid w:val="005C18A6"/>
    <w:rsid w:val="005C1B17"/>
    <w:rsid w:val="005D16D4"/>
    <w:rsid w:val="005D676E"/>
    <w:rsid w:val="00603B5E"/>
    <w:rsid w:val="00633D6E"/>
    <w:rsid w:val="00644C29"/>
    <w:rsid w:val="00671458"/>
    <w:rsid w:val="00683240"/>
    <w:rsid w:val="006D1281"/>
    <w:rsid w:val="006D3A47"/>
    <w:rsid w:val="006E3768"/>
    <w:rsid w:val="006E4021"/>
    <w:rsid w:val="006F1380"/>
    <w:rsid w:val="006F41D1"/>
    <w:rsid w:val="00704364"/>
    <w:rsid w:val="00715C47"/>
    <w:rsid w:val="00763B8B"/>
    <w:rsid w:val="0077198E"/>
    <w:rsid w:val="007726A9"/>
    <w:rsid w:val="00773107"/>
    <w:rsid w:val="00780C83"/>
    <w:rsid w:val="00783DF0"/>
    <w:rsid w:val="007B7057"/>
    <w:rsid w:val="007C35BA"/>
    <w:rsid w:val="007C68C1"/>
    <w:rsid w:val="007E0477"/>
    <w:rsid w:val="007F153E"/>
    <w:rsid w:val="008208D2"/>
    <w:rsid w:val="00820C8E"/>
    <w:rsid w:val="00832BFB"/>
    <w:rsid w:val="00833B61"/>
    <w:rsid w:val="008342F2"/>
    <w:rsid w:val="008403D3"/>
    <w:rsid w:val="008454F1"/>
    <w:rsid w:val="0085161D"/>
    <w:rsid w:val="00851B23"/>
    <w:rsid w:val="00860E21"/>
    <w:rsid w:val="008621ED"/>
    <w:rsid w:val="00893F50"/>
    <w:rsid w:val="008D45B6"/>
    <w:rsid w:val="008D4D3D"/>
    <w:rsid w:val="008D6195"/>
    <w:rsid w:val="00902AB9"/>
    <w:rsid w:val="00907490"/>
    <w:rsid w:val="00907CB3"/>
    <w:rsid w:val="00911598"/>
    <w:rsid w:val="00912AAA"/>
    <w:rsid w:val="009217E3"/>
    <w:rsid w:val="009312A3"/>
    <w:rsid w:val="00936164"/>
    <w:rsid w:val="00940949"/>
    <w:rsid w:val="00947885"/>
    <w:rsid w:val="00965082"/>
    <w:rsid w:val="0097412E"/>
    <w:rsid w:val="0098040B"/>
    <w:rsid w:val="0098213E"/>
    <w:rsid w:val="00984271"/>
    <w:rsid w:val="0098510C"/>
    <w:rsid w:val="0098512C"/>
    <w:rsid w:val="009A3A37"/>
    <w:rsid w:val="009A6D3E"/>
    <w:rsid w:val="00A05B49"/>
    <w:rsid w:val="00A10A9C"/>
    <w:rsid w:val="00A21263"/>
    <w:rsid w:val="00A23CC7"/>
    <w:rsid w:val="00A35E3A"/>
    <w:rsid w:val="00A40DEB"/>
    <w:rsid w:val="00A505FB"/>
    <w:rsid w:val="00A637B7"/>
    <w:rsid w:val="00A910E2"/>
    <w:rsid w:val="00A92327"/>
    <w:rsid w:val="00AA575E"/>
    <w:rsid w:val="00AA6E0E"/>
    <w:rsid w:val="00AC4DDB"/>
    <w:rsid w:val="00AC554F"/>
    <w:rsid w:val="00AE42B6"/>
    <w:rsid w:val="00AE53B1"/>
    <w:rsid w:val="00AF559B"/>
    <w:rsid w:val="00B07BC5"/>
    <w:rsid w:val="00B239F8"/>
    <w:rsid w:val="00B32054"/>
    <w:rsid w:val="00B33DBA"/>
    <w:rsid w:val="00B34A32"/>
    <w:rsid w:val="00B44F2F"/>
    <w:rsid w:val="00B46195"/>
    <w:rsid w:val="00B546F5"/>
    <w:rsid w:val="00B63C3B"/>
    <w:rsid w:val="00B8388F"/>
    <w:rsid w:val="00BA4264"/>
    <w:rsid w:val="00BB5667"/>
    <w:rsid w:val="00BF06CD"/>
    <w:rsid w:val="00BF140B"/>
    <w:rsid w:val="00BF1830"/>
    <w:rsid w:val="00C2611F"/>
    <w:rsid w:val="00C27210"/>
    <w:rsid w:val="00C41B5C"/>
    <w:rsid w:val="00C53D1D"/>
    <w:rsid w:val="00C75C66"/>
    <w:rsid w:val="00C9726E"/>
    <w:rsid w:val="00CB3305"/>
    <w:rsid w:val="00CC6D1B"/>
    <w:rsid w:val="00CE3C9B"/>
    <w:rsid w:val="00D10685"/>
    <w:rsid w:val="00D10BF8"/>
    <w:rsid w:val="00D16243"/>
    <w:rsid w:val="00D20320"/>
    <w:rsid w:val="00D25258"/>
    <w:rsid w:val="00D40F20"/>
    <w:rsid w:val="00D46143"/>
    <w:rsid w:val="00D601B3"/>
    <w:rsid w:val="00D6362D"/>
    <w:rsid w:val="00D741FB"/>
    <w:rsid w:val="00D83C3A"/>
    <w:rsid w:val="00D9454B"/>
    <w:rsid w:val="00DA285E"/>
    <w:rsid w:val="00DA4EE4"/>
    <w:rsid w:val="00DA5096"/>
    <w:rsid w:val="00DB6230"/>
    <w:rsid w:val="00DB72EA"/>
    <w:rsid w:val="00DE1180"/>
    <w:rsid w:val="00DE356A"/>
    <w:rsid w:val="00DF052F"/>
    <w:rsid w:val="00DF3E1B"/>
    <w:rsid w:val="00E01098"/>
    <w:rsid w:val="00E21C7D"/>
    <w:rsid w:val="00E3366C"/>
    <w:rsid w:val="00E41F37"/>
    <w:rsid w:val="00E52021"/>
    <w:rsid w:val="00E54B45"/>
    <w:rsid w:val="00E779C0"/>
    <w:rsid w:val="00E832FB"/>
    <w:rsid w:val="00EB0742"/>
    <w:rsid w:val="00F1784B"/>
    <w:rsid w:val="00F2371C"/>
    <w:rsid w:val="00F318BC"/>
    <w:rsid w:val="00F32F72"/>
    <w:rsid w:val="00F44F23"/>
    <w:rsid w:val="00F52A1F"/>
    <w:rsid w:val="00F569D1"/>
    <w:rsid w:val="00F609A6"/>
    <w:rsid w:val="00F61F6E"/>
    <w:rsid w:val="00F64CFB"/>
    <w:rsid w:val="00F66B16"/>
    <w:rsid w:val="00F73D2C"/>
    <w:rsid w:val="00F93BA4"/>
    <w:rsid w:val="00F95694"/>
    <w:rsid w:val="00F95F62"/>
    <w:rsid w:val="00FA3210"/>
    <w:rsid w:val="00FB07F4"/>
    <w:rsid w:val="00FB18D9"/>
    <w:rsid w:val="00FB514C"/>
    <w:rsid w:val="00FC18CB"/>
    <w:rsid w:val="00FD568C"/>
    <w:rsid w:val="00FE0AFF"/>
    <w:rsid w:val="00FE1E97"/>
    <w:rsid w:val="00FF6C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E3F776-95C7-4450-9C4C-56583FAA4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4DDB"/>
    <w:pPr>
      <w:spacing w:after="0" w:line="240" w:lineRule="auto"/>
    </w:pPr>
    <w:rPr>
      <w:rFonts w:ascii="Times New Roman" w:eastAsia="Times New Roman" w:hAnsi="Times New Roman" w:cs="Times New Roman"/>
      <w:szCs w:val="24"/>
      <w:lang w:val="el-GR" w:eastAsia="el-GR"/>
    </w:rPr>
  </w:style>
  <w:style w:type="paragraph" w:styleId="Nadpis1">
    <w:name w:val="heading 1"/>
    <w:basedOn w:val="Normlny"/>
    <w:next w:val="Normlny"/>
    <w:link w:val="Nadpis1Char"/>
    <w:qFormat/>
    <w:rsid w:val="001A2F10"/>
    <w:pPr>
      <w:keepNext/>
      <w:jc w:val="center"/>
      <w:outlineLvl w:val="0"/>
    </w:pPr>
    <w:rPr>
      <w:rFonts w:ascii="Arial" w:hAnsi="Arial"/>
      <w:b/>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link w:val="Styl1Char"/>
    <w:autoRedefine/>
    <w:rsid w:val="00FD568C"/>
    <w:pPr>
      <w:keepNext/>
      <w:numPr>
        <w:numId w:val="2"/>
      </w:numPr>
      <w:spacing w:before="360" w:after="120"/>
    </w:pPr>
    <w:rPr>
      <w:b/>
      <w:bCs/>
      <w:caps/>
      <w:lang w:val="sk-SK"/>
    </w:rPr>
  </w:style>
  <w:style w:type="paragraph" w:customStyle="1" w:styleId="Styl2">
    <w:name w:val="Styl2"/>
    <w:basedOn w:val="Normlny"/>
    <w:autoRedefine/>
    <w:rsid w:val="00DB72EA"/>
    <w:pPr>
      <w:keepNext/>
      <w:numPr>
        <w:ilvl w:val="1"/>
        <w:numId w:val="2"/>
      </w:numPr>
      <w:spacing w:before="120" w:after="120"/>
    </w:pPr>
    <w:rPr>
      <w:b/>
      <w:bCs/>
      <w:szCs w:val="20"/>
    </w:rPr>
  </w:style>
  <w:style w:type="paragraph" w:customStyle="1" w:styleId="Styl2-2">
    <w:name w:val="Styl2-2"/>
    <w:basedOn w:val="Styl2"/>
    <w:next w:val="Normlny"/>
    <w:autoRedefine/>
    <w:qFormat/>
    <w:rsid w:val="0098040B"/>
    <w:pPr>
      <w:numPr>
        <w:ilvl w:val="0"/>
        <w:numId w:val="0"/>
      </w:numPr>
      <w:spacing w:before="0" w:after="0"/>
    </w:pPr>
    <w:rPr>
      <w:lang w:val="sk-SK" w:eastAsia="en-US"/>
    </w:rPr>
  </w:style>
  <w:style w:type="paragraph" w:customStyle="1" w:styleId="Styl3">
    <w:name w:val="Styl3"/>
    <w:basedOn w:val="Normlny"/>
    <w:link w:val="Styl3Char"/>
    <w:rsid w:val="00FD568C"/>
    <w:pPr>
      <w:tabs>
        <w:tab w:val="left" w:pos="6946"/>
      </w:tabs>
      <w:spacing w:after="120"/>
      <w:jc w:val="both"/>
    </w:pPr>
    <w:rPr>
      <w:rFonts w:eastAsia="Calibri"/>
      <w:u w:val="single"/>
      <w:lang w:val="sk-SK"/>
    </w:rPr>
  </w:style>
  <w:style w:type="character" w:customStyle="1" w:styleId="Styl3Char">
    <w:name w:val="Styl3 Char"/>
    <w:link w:val="Styl3"/>
    <w:rsid w:val="00FD568C"/>
    <w:rPr>
      <w:rFonts w:ascii="Times New Roman" w:eastAsia="Calibri" w:hAnsi="Times New Roman" w:cs="Times New Roman"/>
      <w:szCs w:val="24"/>
      <w:u w:val="single"/>
      <w:lang w:val="sk-SK" w:eastAsia="el-GR"/>
    </w:rPr>
  </w:style>
  <w:style w:type="character" w:customStyle="1" w:styleId="Bacil">
    <w:name w:val="Bacil"/>
    <w:qFormat/>
    <w:rsid w:val="00DB72EA"/>
    <w:rPr>
      <w:i/>
    </w:rPr>
  </w:style>
  <w:style w:type="paragraph" w:customStyle="1" w:styleId="Normlndobloku">
    <w:name w:val="Normální do bloku"/>
    <w:basedOn w:val="Normlny"/>
    <w:link w:val="NormlndoblokuChar"/>
    <w:autoRedefine/>
    <w:rsid w:val="00FD568C"/>
    <w:pPr>
      <w:suppressAutoHyphens/>
      <w:spacing w:after="120"/>
      <w:jc w:val="both"/>
    </w:pPr>
    <w:rPr>
      <w:rFonts w:eastAsia="Calibri"/>
      <w:lang w:val="sk-SK"/>
    </w:rPr>
  </w:style>
  <w:style w:type="character" w:customStyle="1" w:styleId="NormlndoblokuChar">
    <w:name w:val="Normální do bloku Char"/>
    <w:link w:val="Normlndobloku"/>
    <w:rsid w:val="00FD568C"/>
    <w:rPr>
      <w:rFonts w:ascii="Times New Roman" w:eastAsia="Calibri" w:hAnsi="Times New Roman" w:cs="Times New Roman"/>
      <w:szCs w:val="24"/>
      <w:lang w:val="sk-SK" w:eastAsia="el-GR"/>
    </w:rPr>
  </w:style>
  <w:style w:type="paragraph" w:customStyle="1" w:styleId="Normlndoblokusodrkami">
    <w:name w:val="Normální do bloku s odrážkami"/>
    <w:basedOn w:val="Normlndobloku"/>
    <w:next w:val="Normlndobloku"/>
    <w:autoRedefine/>
    <w:qFormat/>
    <w:rsid w:val="00FD568C"/>
    <w:pPr>
      <w:numPr>
        <w:numId w:val="3"/>
      </w:numPr>
    </w:pPr>
    <w:rPr>
      <w:noProof/>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DB72EA"/>
    <w:pPr>
      <w:spacing w:before="240" w:after="120"/>
      <w:jc w:val="center"/>
    </w:pPr>
    <w:rPr>
      <w:b/>
      <w:szCs w:val="20"/>
    </w:rPr>
  </w:style>
  <w:style w:type="character" w:customStyle="1" w:styleId="Nadpis1Char">
    <w:name w:val="Nadpis 1 Char"/>
    <w:basedOn w:val="Predvolenpsmoodseku"/>
    <w:link w:val="Nadpis1"/>
    <w:rsid w:val="001A2F10"/>
    <w:rPr>
      <w:rFonts w:ascii="Arial" w:eastAsia="Times New Roman" w:hAnsi="Arial" w:cs="Times New Roman"/>
      <w:b/>
      <w:sz w:val="28"/>
      <w:szCs w:val="24"/>
      <w:lang w:val="el-GR" w:eastAsia="el-GR"/>
    </w:rPr>
  </w:style>
  <w:style w:type="character" w:customStyle="1" w:styleId="atn">
    <w:name w:val="atn"/>
    <w:rsid w:val="001A2F10"/>
  </w:style>
  <w:style w:type="paragraph" w:customStyle="1" w:styleId="Default">
    <w:name w:val="Default"/>
    <w:rsid w:val="001A2F1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Hypertextovprepojenie">
    <w:name w:val="Hyperlink"/>
    <w:rsid w:val="001A2F10"/>
    <w:rPr>
      <w:color w:val="0000FF"/>
      <w:u w:val="single"/>
    </w:rPr>
  </w:style>
  <w:style w:type="paragraph" w:customStyle="1" w:styleId="Tabulkynormlndoblokuzarovnndoleva">
    <w:name w:val="Tabulky = normální do bloku + zarovnání doleva"/>
    <w:basedOn w:val="Normlndobloku"/>
    <w:autoRedefine/>
    <w:rsid w:val="00EB0742"/>
    <w:pPr>
      <w:jc w:val="left"/>
    </w:pPr>
    <w:rPr>
      <w:rFonts w:ascii="TimesNewRoman" w:hAnsi="TimesNewRoman" w:cs="TimesNewRoman"/>
      <w:szCs w:val="20"/>
      <w:lang w:val="cs-CZ" w:eastAsia="en-US"/>
    </w:rPr>
  </w:style>
  <w:style w:type="paragraph" w:customStyle="1" w:styleId="Nadpisuvnittabulky">
    <w:name w:val="Nadpis uvnitř tabulky"/>
    <w:basedOn w:val="Tabulkynormlndoblokuzarovnndoleva"/>
    <w:autoRedefine/>
    <w:qFormat/>
    <w:rsid w:val="002358BF"/>
    <w:pPr>
      <w:spacing w:before="120"/>
      <w:jc w:val="center"/>
    </w:pPr>
    <w:rPr>
      <w:b/>
    </w:rPr>
  </w:style>
  <w:style w:type="paragraph" w:styleId="Nzov">
    <w:name w:val="Title"/>
    <w:basedOn w:val="Normlny"/>
    <w:link w:val="NzovChar"/>
    <w:qFormat/>
    <w:rsid w:val="001A2F10"/>
    <w:pPr>
      <w:spacing w:before="240" w:after="60"/>
      <w:jc w:val="center"/>
      <w:outlineLvl w:val="0"/>
    </w:pPr>
    <w:rPr>
      <w:rFonts w:ascii="Arial" w:hAnsi="Arial" w:cs="Arial"/>
      <w:b/>
      <w:bCs/>
      <w:kern w:val="28"/>
      <w:sz w:val="32"/>
      <w:szCs w:val="32"/>
    </w:rPr>
  </w:style>
  <w:style w:type="character" w:customStyle="1" w:styleId="NzovChar">
    <w:name w:val="Názov Char"/>
    <w:basedOn w:val="Predvolenpsmoodseku"/>
    <w:link w:val="Nzov"/>
    <w:rsid w:val="001A2F10"/>
    <w:rPr>
      <w:rFonts w:ascii="Arial" w:eastAsia="Times New Roman" w:hAnsi="Arial" w:cs="Arial"/>
      <w:b/>
      <w:bCs/>
      <w:kern w:val="28"/>
      <w:sz w:val="32"/>
      <w:szCs w:val="32"/>
      <w:lang w:val="el-GR" w:eastAsia="el-GR"/>
    </w:rPr>
  </w:style>
  <w:style w:type="character" w:styleId="Odkaznakomentr">
    <w:name w:val="annotation reference"/>
    <w:basedOn w:val="Predvolenpsmoodseku"/>
    <w:uiPriority w:val="99"/>
    <w:semiHidden/>
    <w:unhideWhenUsed/>
    <w:rsid w:val="001A2F10"/>
    <w:rPr>
      <w:sz w:val="16"/>
      <w:szCs w:val="16"/>
    </w:rPr>
  </w:style>
  <w:style w:type="paragraph" w:styleId="Textkomentra">
    <w:name w:val="annotation text"/>
    <w:basedOn w:val="Normlny"/>
    <w:link w:val="TextkomentraChar"/>
    <w:uiPriority w:val="99"/>
    <w:semiHidden/>
    <w:unhideWhenUsed/>
    <w:rsid w:val="001A2F10"/>
    <w:rPr>
      <w:sz w:val="20"/>
      <w:szCs w:val="20"/>
    </w:rPr>
  </w:style>
  <w:style w:type="character" w:customStyle="1" w:styleId="TextkomentraChar">
    <w:name w:val="Text komentára Char"/>
    <w:basedOn w:val="Predvolenpsmoodseku"/>
    <w:link w:val="Textkomentra"/>
    <w:uiPriority w:val="99"/>
    <w:semiHidden/>
    <w:rsid w:val="001A2F10"/>
    <w:rPr>
      <w:rFonts w:ascii="Times New Roman" w:eastAsia="Times New Roman" w:hAnsi="Times New Roman" w:cs="Times New Roman"/>
      <w:sz w:val="20"/>
      <w:szCs w:val="20"/>
      <w:lang w:val="el-GR" w:eastAsia="el-GR"/>
    </w:rPr>
  </w:style>
  <w:style w:type="paragraph" w:styleId="Predmetkomentra">
    <w:name w:val="annotation subject"/>
    <w:basedOn w:val="Textkomentra"/>
    <w:next w:val="Textkomentra"/>
    <w:link w:val="PredmetkomentraChar"/>
    <w:uiPriority w:val="99"/>
    <w:semiHidden/>
    <w:rsid w:val="001A2F10"/>
    <w:pPr>
      <w:spacing w:after="200"/>
    </w:pPr>
    <w:rPr>
      <w:rFonts w:ascii="Calibri" w:hAnsi="Calibri"/>
      <w:b/>
      <w:bCs/>
      <w:lang w:val="en-GB"/>
    </w:rPr>
  </w:style>
  <w:style w:type="character" w:customStyle="1" w:styleId="PredmetkomentraChar">
    <w:name w:val="Predmet komentára Char"/>
    <w:basedOn w:val="TextkomentraChar"/>
    <w:link w:val="Predmetkomentra"/>
    <w:uiPriority w:val="99"/>
    <w:semiHidden/>
    <w:rsid w:val="001A2F10"/>
    <w:rPr>
      <w:rFonts w:ascii="Calibri" w:eastAsia="Times New Roman" w:hAnsi="Calibri" w:cs="Times New Roman"/>
      <w:b/>
      <w:bCs/>
      <w:sz w:val="20"/>
      <w:szCs w:val="20"/>
      <w:lang w:val="en-GB" w:eastAsia="el-GR"/>
    </w:rPr>
  </w:style>
  <w:style w:type="paragraph" w:customStyle="1" w:styleId="SPCnadpis">
    <w:name w:val="SPC nadpis"/>
    <w:basedOn w:val="Nadpis1"/>
    <w:rsid w:val="001A2F10"/>
    <w:pPr>
      <w:keepNext w:val="0"/>
      <w:keepLines/>
      <w:spacing w:before="480" w:after="120"/>
      <w:ind w:left="357" w:hanging="357"/>
      <w:jc w:val="left"/>
    </w:pPr>
    <w:rPr>
      <w:rFonts w:ascii="Times New Roman" w:hAnsi="Times New Roman"/>
      <w:bCs/>
      <w:color w:val="365F91"/>
      <w:sz w:val="22"/>
      <w:szCs w:val="28"/>
      <w:lang w:val="en-US"/>
    </w:rPr>
  </w:style>
  <w:style w:type="paragraph" w:customStyle="1" w:styleId="Styl2PIL">
    <w:name w:val="Styl2 PIL"/>
    <w:basedOn w:val="Normlny"/>
    <w:autoRedefine/>
    <w:rsid w:val="001A2F10"/>
    <w:pPr>
      <w:keepNext/>
      <w:spacing w:before="240" w:after="120"/>
    </w:pPr>
    <w:rPr>
      <w:b/>
      <w:bCs/>
    </w:rPr>
  </w:style>
  <w:style w:type="paragraph" w:customStyle="1" w:styleId="Styl2SPC">
    <w:name w:val="Styl2 SPC"/>
    <w:basedOn w:val="Normlny"/>
    <w:autoRedefine/>
    <w:rsid w:val="001A2F10"/>
    <w:pPr>
      <w:keepNext/>
      <w:spacing w:before="240" w:after="120"/>
    </w:pPr>
    <w:rPr>
      <w:b/>
      <w:bCs/>
    </w:rPr>
  </w:style>
  <w:style w:type="paragraph" w:customStyle="1" w:styleId="Styl4">
    <w:name w:val="Styl4"/>
    <w:basedOn w:val="Normlndobloku"/>
    <w:autoRedefine/>
    <w:qFormat/>
    <w:rsid w:val="00A23CC7"/>
    <w:rPr>
      <w:rFonts w:ascii="TimesNewRoman" w:hAnsi="TimesNewRoman"/>
      <w:iCs/>
      <w:szCs w:val="22"/>
    </w:rPr>
  </w:style>
  <w:style w:type="paragraph" w:styleId="Textbubliny">
    <w:name w:val="Balloon Text"/>
    <w:basedOn w:val="Normlny"/>
    <w:link w:val="TextbublinyChar"/>
    <w:uiPriority w:val="99"/>
    <w:semiHidden/>
    <w:unhideWhenUsed/>
    <w:rsid w:val="001A2F10"/>
    <w:rPr>
      <w:rFonts w:ascii="Tahoma" w:hAnsi="Tahoma" w:cs="Tahoma"/>
      <w:sz w:val="16"/>
      <w:szCs w:val="16"/>
    </w:rPr>
  </w:style>
  <w:style w:type="character" w:customStyle="1" w:styleId="TextbublinyChar">
    <w:name w:val="Text bubliny Char"/>
    <w:basedOn w:val="Predvolenpsmoodseku"/>
    <w:link w:val="Textbubliny"/>
    <w:uiPriority w:val="99"/>
    <w:semiHidden/>
    <w:rsid w:val="001A2F10"/>
    <w:rPr>
      <w:rFonts w:ascii="Tahoma" w:eastAsia="Times New Roman" w:hAnsi="Tahoma" w:cs="Tahoma"/>
      <w:sz w:val="16"/>
      <w:szCs w:val="16"/>
      <w:lang w:val="el-GR" w:eastAsia="el-GR"/>
    </w:rPr>
  </w:style>
  <w:style w:type="paragraph" w:styleId="Hlavika">
    <w:name w:val="header"/>
    <w:basedOn w:val="Normlny"/>
    <w:link w:val="HlavikaChar"/>
    <w:uiPriority w:val="99"/>
    <w:unhideWhenUsed/>
    <w:rsid w:val="001A2F10"/>
    <w:pPr>
      <w:tabs>
        <w:tab w:val="center" w:pos="4536"/>
        <w:tab w:val="right" w:pos="9072"/>
      </w:tabs>
    </w:pPr>
  </w:style>
  <w:style w:type="character" w:customStyle="1" w:styleId="HlavikaChar">
    <w:name w:val="Hlavička Char"/>
    <w:basedOn w:val="Predvolenpsmoodseku"/>
    <w:link w:val="Hlavika"/>
    <w:uiPriority w:val="99"/>
    <w:rsid w:val="001A2F10"/>
    <w:rPr>
      <w:rFonts w:ascii="Times New Roman" w:eastAsia="Times New Roman" w:hAnsi="Times New Roman" w:cs="Times New Roman"/>
      <w:szCs w:val="24"/>
      <w:lang w:val="el-GR" w:eastAsia="el-GR"/>
    </w:rPr>
  </w:style>
  <w:style w:type="paragraph" w:styleId="Pta">
    <w:name w:val="footer"/>
    <w:basedOn w:val="Normlny"/>
    <w:link w:val="PtaChar"/>
    <w:unhideWhenUsed/>
    <w:rsid w:val="001A2F10"/>
    <w:pPr>
      <w:tabs>
        <w:tab w:val="center" w:pos="4536"/>
        <w:tab w:val="right" w:pos="9072"/>
      </w:tabs>
    </w:pPr>
  </w:style>
  <w:style w:type="character" w:customStyle="1" w:styleId="PtaChar">
    <w:name w:val="Päta Char"/>
    <w:basedOn w:val="Predvolenpsmoodseku"/>
    <w:link w:val="Pta"/>
    <w:rsid w:val="001A2F10"/>
    <w:rPr>
      <w:rFonts w:ascii="Times New Roman" w:eastAsia="Times New Roman" w:hAnsi="Times New Roman" w:cs="Times New Roman"/>
      <w:szCs w:val="24"/>
      <w:lang w:val="el-GR" w:eastAsia="el-GR"/>
    </w:rPr>
  </w:style>
  <w:style w:type="paragraph" w:customStyle="1" w:styleId="Styl1PIL">
    <w:name w:val="Styl1 PIL"/>
    <w:basedOn w:val="Normlny"/>
    <w:autoRedefine/>
    <w:rsid w:val="001A2F10"/>
    <w:pPr>
      <w:keepNext/>
      <w:tabs>
        <w:tab w:val="num" w:pos="360"/>
      </w:tabs>
      <w:spacing w:before="360" w:after="240"/>
      <w:ind w:left="360" w:hanging="360"/>
    </w:pPr>
    <w:rPr>
      <w:b/>
      <w:bCs/>
    </w:rPr>
  </w:style>
  <w:style w:type="paragraph" w:styleId="AdresaHTML">
    <w:name w:val="HTML Address"/>
    <w:basedOn w:val="Normlny"/>
    <w:link w:val="AdresaHTMLChar"/>
    <w:uiPriority w:val="99"/>
    <w:unhideWhenUsed/>
    <w:rsid w:val="001A2F10"/>
    <w:rPr>
      <w:i/>
      <w:iCs/>
    </w:rPr>
  </w:style>
  <w:style w:type="character" w:customStyle="1" w:styleId="AdresaHTMLChar">
    <w:name w:val="Adresa HTML Char"/>
    <w:basedOn w:val="Predvolenpsmoodseku"/>
    <w:link w:val="AdresaHTML"/>
    <w:uiPriority w:val="99"/>
    <w:rsid w:val="001A2F10"/>
    <w:rPr>
      <w:rFonts w:ascii="Times New Roman" w:eastAsia="Times New Roman" w:hAnsi="Times New Roman" w:cs="Times New Roman"/>
      <w:i/>
      <w:iCs/>
      <w:szCs w:val="24"/>
    </w:rPr>
  </w:style>
  <w:style w:type="character" w:styleId="slostrany">
    <w:name w:val="page number"/>
    <w:basedOn w:val="Predvolenpsmoodseku"/>
    <w:rsid w:val="001A2F10"/>
  </w:style>
  <w:style w:type="character" w:customStyle="1" w:styleId="Styl1Char">
    <w:name w:val="Styl1 Char"/>
    <w:link w:val="Styl1"/>
    <w:rsid w:val="00FD568C"/>
    <w:rPr>
      <w:rFonts w:ascii="Times New Roman" w:eastAsia="Times New Roman" w:hAnsi="Times New Roman" w:cs="Times New Roman"/>
      <w:b/>
      <w:bCs/>
      <w:caps/>
      <w:szCs w:val="24"/>
      <w:lang w:val="sk-SK" w:eastAsia="el-GR"/>
    </w:rPr>
  </w:style>
  <w:style w:type="table" w:styleId="Mriekatabuky">
    <w:name w:val="Table Grid"/>
    <w:basedOn w:val="Normlnatabuka"/>
    <w:uiPriority w:val="59"/>
    <w:rsid w:val="001A2F10"/>
    <w:pPr>
      <w:spacing w:after="0" w:line="240" w:lineRule="auto"/>
    </w:pPr>
    <w:rPr>
      <w:rFonts w:ascii="Times New Roman" w:eastAsia="Times New Roman" w:hAnsi="Times New Roman" w:cs="Times New Roman"/>
      <w:sz w:val="20"/>
      <w:szCs w:val="20"/>
      <w:lang w:val="sk-SK"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1A2F10"/>
    <w:pPr>
      <w:spacing w:after="0" w:line="240" w:lineRule="auto"/>
    </w:pPr>
    <w:rPr>
      <w:rFonts w:ascii="Times New Roman" w:eastAsia="Times New Roman" w:hAnsi="Times New Roman" w:cs="Times New Roman"/>
      <w:szCs w:val="24"/>
      <w:lang w:val="el-GR" w:eastAsia="el-GR"/>
    </w:rPr>
  </w:style>
  <w:style w:type="paragraph" w:styleId="Zarkazkladnhotextu">
    <w:name w:val="Body Text Indent"/>
    <w:basedOn w:val="Normlny"/>
    <w:link w:val="ZarkazkladnhotextuChar"/>
    <w:rsid w:val="001A2F10"/>
    <w:pPr>
      <w:widowControl w:val="0"/>
      <w:ind w:left="426" w:hanging="426"/>
      <w:jc w:val="both"/>
    </w:pPr>
    <w:rPr>
      <w:b/>
      <w:szCs w:val="20"/>
      <w:lang w:val="en-GB" w:eastAsia="en-US"/>
    </w:rPr>
  </w:style>
  <w:style w:type="character" w:customStyle="1" w:styleId="ZarkazkladnhotextuChar">
    <w:name w:val="Zarážka základného textu Char"/>
    <w:basedOn w:val="Predvolenpsmoodseku"/>
    <w:link w:val="Zarkazkladnhotextu"/>
    <w:rsid w:val="001A2F10"/>
    <w:rPr>
      <w:rFonts w:ascii="Times New Roman" w:eastAsia="Times New Roman" w:hAnsi="Times New Roman" w:cs="Times New Roman"/>
      <w:b/>
      <w:szCs w:val="20"/>
      <w:lang w:val="en-GB"/>
    </w:rPr>
  </w:style>
  <w:style w:type="paragraph" w:styleId="Zarkazkladnhotextu2">
    <w:name w:val="Body Text Indent 2"/>
    <w:basedOn w:val="Normlny"/>
    <w:link w:val="Zarkazkladnhotextu2Char"/>
    <w:uiPriority w:val="99"/>
    <w:semiHidden/>
    <w:unhideWhenUsed/>
    <w:rsid w:val="001A2F10"/>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A2F10"/>
    <w:rPr>
      <w:rFonts w:ascii="Times New Roman" w:eastAsia="Times New Roman" w:hAnsi="Times New Roman" w:cs="Times New Roman"/>
      <w:szCs w:val="24"/>
      <w:lang w:val="el-GR" w:eastAsia="el-GR"/>
    </w:rPr>
  </w:style>
  <w:style w:type="paragraph" w:styleId="Zkladntext">
    <w:name w:val="Body Text"/>
    <w:basedOn w:val="Normlny"/>
    <w:link w:val="ZkladntextChar"/>
    <w:uiPriority w:val="99"/>
    <w:semiHidden/>
    <w:unhideWhenUsed/>
    <w:rsid w:val="001A2F10"/>
    <w:pPr>
      <w:spacing w:after="120"/>
    </w:pPr>
  </w:style>
  <w:style w:type="character" w:customStyle="1" w:styleId="ZkladntextChar">
    <w:name w:val="Základný text Char"/>
    <w:basedOn w:val="Predvolenpsmoodseku"/>
    <w:link w:val="Zkladntext"/>
    <w:uiPriority w:val="99"/>
    <w:semiHidden/>
    <w:rsid w:val="001A2F10"/>
    <w:rPr>
      <w:rFonts w:ascii="Times New Roman" w:eastAsia="Times New Roman" w:hAnsi="Times New Roman" w:cs="Times New Roman"/>
      <w:szCs w:val="24"/>
      <w:lang w:val="el-GR" w:eastAsia="el-GR"/>
    </w:rPr>
  </w:style>
  <w:style w:type="paragraph" w:styleId="Zkladntext2">
    <w:name w:val="Body Text 2"/>
    <w:basedOn w:val="Normlny"/>
    <w:link w:val="Zkladntext2Char"/>
    <w:uiPriority w:val="99"/>
    <w:semiHidden/>
    <w:unhideWhenUsed/>
    <w:rsid w:val="001A2F10"/>
    <w:pPr>
      <w:spacing w:after="120" w:line="480" w:lineRule="auto"/>
    </w:pPr>
  </w:style>
  <w:style w:type="character" w:customStyle="1" w:styleId="Zkladntext2Char">
    <w:name w:val="Základný text 2 Char"/>
    <w:basedOn w:val="Predvolenpsmoodseku"/>
    <w:link w:val="Zkladntext2"/>
    <w:uiPriority w:val="99"/>
    <w:semiHidden/>
    <w:rsid w:val="001A2F10"/>
    <w:rPr>
      <w:rFonts w:ascii="Times New Roman" w:eastAsia="Times New Roman" w:hAnsi="Times New Roman" w:cs="Times New Roman"/>
      <w:szCs w:val="24"/>
      <w:lang w:val="el-GR" w:eastAsia="el-GR"/>
    </w:rPr>
  </w:style>
  <w:style w:type="paragraph" w:styleId="Oznaitext">
    <w:name w:val="Block Text"/>
    <w:basedOn w:val="Normlny"/>
    <w:rsid w:val="001A2F10"/>
    <w:pPr>
      <w:widowControl w:val="0"/>
      <w:ind w:left="426" w:right="-426" w:hanging="426"/>
      <w:jc w:val="both"/>
    </w:pPr>
    <w:rPr>
      <w:sz w:val="24"/>
      <w:szCs w:val="20"/>
      <w:lang w:val="sk-SK" w:eastAsia="en-US"/>
    </w:rPr>
  </w:style>
  <w:style w:type="paragraph" w:customStyle="1" w:styleId="EMEAEnBodyText">
    <w:name w:val="EMEA En Body Text"/>
    <w:basedOn w:val="Normlny"/>
    <w:rsid w:val="001A2F10"/>
    <w:pPr>
      <w:spacing w:before="120" w:after="120"/>
      <w:jc w:val="both"/>
    </w:pPr>
    <w:rPr>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3888">
      <w:bodyDiv w:val="1"/>
      <w:marLeft w:val="0"/>
      <w:marRight w:val="0"/>
      <w:marTop w:val="0"/>
      <w:marBottom w:val="0"/>
      <w:divBdr>
        <w:top w:val="none" w:sz="0" w:space="0" w:color="auto"/>
        <w:left w:val="none" w:sz="0" w:space="0" w:color="auto"/>
        <w:bottom w:val="none" w:sz="0" w:space="0" w:color="auto"/>
        <w:right w:val="none" w:sz="0" w:space="0" w:color="auto"/>
      </w:divBdr>
    </w:div>
    <w:div w:id="345062885">
      <w:bodyDiv w:val="1"/>
      <w:marLeft w:val="0"/>
      <w:marRight w:val="0"/>
      <w:marTop w:val="0"/>
      <w:marBottom w:val="0"/>
      <w:divBdr>
        <w:top w:val="none" w:sz="0" w:space="0" w:color="auto"/>
        <w:left w:val="none" w:sz="0" w:space="0" w:color="auto"/>
        <w:bottom w:val="none" w:sz="0" w:space="0" w:color="auto"/>
        <w:right w:val="none" w:sz="0" w:space="0" w:color="auto"/>
      </w:divBdr>
    </w:div>
    <w:div w:id="596133579">
      <w:bodyDiv w:val="1"/>
      <w:marLeft w:val="0"/>
      <w:marRight w:val="0"/>
      <w:marTop w:val="0"/>
      <w:marBottom w:val="0"/>
      <w:divBdr>
        <w:top w:val="none" w:sz="0" w:space="0" w:color="auto"/>
        <w:left w:val="none" w:sz="0" w:space="0" w:color="auto"/>
        <w:bottom w:val="none" w:sz="0" w:space="0" w:color="auto"/>
        <w:right w:val="none" w:sz="0" w:space="0" w:color="auto"/>
      </w:divBdr>
    </w:div>
    <w:div w:id="1121338710">
      <w:bodyDiv w:val="1"/>
      <w:marLeft w:val="0"/>
      <w:marRight w:val="0"/>
      <w:marTop w:val="0"/>
      <w:marBottom w:val="0"/>
      <w:divBdr>
        <w:top w:val="none" w:sz="0" w:space="0" w:color="auto"/>
        <w:left w:val="none" w:sz="0" w:space="0" w:color="auto"/>
        <w:bottom w:val="none" w:sz="0" w:space="0" w:color="auto"/>
        <w:right w:val="none" w:sz="0" w:space="0" w:color="auto"/>
      </w:divBdr>
    </w:div>
    <w:div w:id="1171067998">
      <w:bodyDiv w:val="1"/>
      <w:marLeft w:val="0"/>
      <w:marRight w:val="0"/>
      <w:marTop w:val="0"/>
      <w:marBottom w:val="0"/>
      <w:divBdr>
        <w:top w:val="none" w:sz="0" w:space="0" w:color="auto"/>
        <w:left w:val="none" w:sz="0" w:space="0" w:color="auto"/>
        <w:bottom w:val="none" w:sz="0" w:space="0" w:color="auto"/>
        <w:right w:val="none" w:sz="0" w:space="0" w:color="auto"/>
      </w:divBdr>
    </w:div>
    <w:div w:id="166404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29469-677D-4E5F-AB6E-58B985679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4615</Words>
  <Characters>26312</Characters>
  <Application>Microsoft Office Word</Application>
  <DocSecurity>0</DocSecurity>
  <Lines>219</Lines>
  <Paragraphs>61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Medochemie, Ltd.</Company>
  <LinksUpToDate>false</LinksUpToDate>
  <CharactersWithSpaces>30866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Litera</dc:creator>
  <cp:lastModifiedBy>Mózes, Iveta</cp:lastModifiedBy>
  <cp:revision>3</cp:revision>
  <dcterms:created xsi:type="dcterms:W3CDTF">2016-08-15T08:25:00Z</dcterms:created>
  <dcterms:modified xsi:type="dcterms:W3CDTF">2016-08-15T08:25:00Z</dcterms:modified>
</cp:coreProperties>
</file>