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8C" w:rsidRDefault="0044418C" w:rsidP="0044418C">
      <w:pPr>
        <w:tabs>
          <w:tab w:val="left" w:pos="-1440"/>
          <w:tab w:val="left" w:pos="-720"/>
        </w:tabs>
        <w:jc w:val="center"/>
        <w:rPr>
          <w:b/>
        </w:rPr>
      </w:pPr>
      <w:bookmarkStart w:id="0" w:name="_GoBack"/>
      <w:bookmarkEnd w:id="0"/>
    </w:p>
    <w:p w:rsidR="0044418C" w:rsidRPr="00EE7A47" w:rsidRDefault="0044418C" w:rsidP="0044418C">
      <w:pPr>
        <w:tabs>
          <w:tab w:val="left" w:pos="-1440"/>
          <w:tab w:val="left" w:pos="-720"/>
        </w:tabs>
        <w:jc w:val="center"/>
      </w:pPr>
      <w:r w:rsidRPr="00EE7A47">
        <w:rPr>
          <w:b/>
        </w:rPr>
        <w:t>SÚHRN CHARAKTERISTICKÝCH VLASTNOSTÍ LIEKU</w:t>
      </w:r>
    </w:p>
    <w:p w:rsidR="00872AA7" w:rsidRPr="00CD3EF9" w:rsidRDefault="00872AA7" w:rsidP="00DD38BD">
      <w:pPr>
        <w:spacing w:line="240" w:lineRule="auto"/>
        <w:rPr>
          <w:noProof/>
        </w:rPr>
      </w:pPr>
    </w:p>
    <w:p w:rsidR="007C6F03" w:rsidRPr="00CD3EF9" w:rsidRDefault="007C6F03" w:rsidP="00DD38BD">
      <w:pPr>
        <w:spacing w:line="240" w:lineRule="auto"/>
      </w:pP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szCs w:val="20"/>
        </w:rPr>
      </w:pPr>
      <w:r w:rsidRPr="00CD3EF9">
        <w:rPr>
          <w:b/>
          <w:bCs/>
          <w:iCs/>
          <w:szCs w:val="20"/>
        </w:rPr>
        <w:t>1.</w:t>
      </w:r>
      <w:r w:rsidRPr="00CD3EF9">
        <w:rPr>
          <w:b/>
          <w:szCs w:val="20"/>
        </w:rPr>
        <w:tab/>
        <w:t>NÁZOV LIEKU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AB46CE" w:rsidP="00DD38BD">
      <w:pPr>
        <w:spacing w:line="240" w:lineRule="auto"/>
        <w:rPr>
          <w:noProof/>
        </w:rPr>
      </w:pPr>
      <w:proofErr w:type="spellStart"/>
      <w:r w:rsidRPr="00CD3EF9">
        <w:t>Caspofungin</w:t>
      </w:r>
      <w:proofErr w:type="spellEnd"/>
      <w:r w:rsidRPr="00CD3EF9">
        <w:t xml:space="preserve"> </w:t>
      </w:r>
      <w:proofErr w:type="spellStart"/>
      <w:r w:rsidRPr="00CD3EF9">
        <w:t>Xellia</w:t>
      </w:r>
      <w:proofErr w:type="spellEnd"/>
      <w:r w:rsidRPr="00CD3EF9">
        <w:t xml:space="preserve"> 50 mg prášok na infúzny koncentrát </w:t>
      </w:r>
    </w:p>
    <w:p w:rsidR="00945D09" w:rsidRPr="00CD3EF9" w:rsidRDefault="00AB46CE" w:rsidP="00DD38BD">
      <w:pPr>
        <w:spacing w:line="240" w:lineRule="auto"/>
        <w:rPr>
          <w:noProof/>
        </w:rPr>
      </w:pPr>
      <w:proofErr w:type="spellStart"/>
      <w:r w:rsidRPr="00E25026">
        <w:rPr>
          <w:highlight w:val="lightGray"/>
        </w:rPr>
        <w:t>Caspofungin</w:t>
      </w:r>
      <w:proofErr w:type="spellEnd"/>
      <w:r w:rsidRPr="00E25026">
        <w:rPr>
          <w:highlight w:val="lightGray"/>
        </w:rPr>
        <w:t xml:space="preserve"> </w:t>
      </w:r>
      <w:proofErr w:type="spellStart"/>
      <w:r w:rsidRPr="00E25026">
        <w:rPr>
          <w:highlight w:val="lightGray"/>
        </w:rPr>
        <w:t>Xellia</w:t>
      </w:r>
      <w:proofErr w:type="spellEnd"/>
      <w:r w:rsidRPr="00E25026">
        <w:rPr>
          <w:highlight w:val="lightGray"/>
        </w:rPr>
        <w:t xml:space="preserve"> 70 mg prášok na infúzny koncentrát</w:t>
      </w:r>
      <w:r w:rsidRPr="00CD3EF9">
        <w:t xml:space="preserve">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7C6F03" w:rsidRPr="00CD3EF9" w:rsidRDefault="007C6F03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2.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 xml:space="preserve">Kvalitatívne a kvantitatívne zloženie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CC713E" w:rsidRPr="00CD3EF9" w:rsidRDefault="00AB46CE" w:rsidP="00466AB3">
      <w:pPr>
        <w:spacing w:line="240" w:lineRule="auto"/>
      </w:pPr>
      <w:proofErr w:type="spellStart"/>
      <w:r w:rsidRPr="00CD3EF9">
        <w:rPr>
          <w:i/>
        </w:rPr>
        <w:t>Caspofungin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Xellia</w:t>
      </w:r>
      <w:proofErr w:type="spellEnd"/>
      <w:r w:rsidRPr="00CD3EF9">
        <w:rPr>
          <w:i/>
        </w:rPr>
        <w:t xml:space="preserve"> 50 mg prášok na infúzny koncentrát</w:t>
      </w:r>
      <w:r w:rsidRPr="00CD3EF9">
        <w:t xml:space="preserve">: Každá injekčná liekovka obsahuje 50 mg </w:t>
      </w:r>
      <w:proofErr w:type="spellStart"/>
      <w:r w:rsidRPr="00CD3EF9">
        <w:t>kaspofungínu</w:t>
      </w:r>
      <w:proofErr w:type="spellEnd"/>
      <w:r w:rsidRPr="00CD3EF9">
        <w:t xml:space="preserve"> (vo forme </w:t>
      </w:r>
      <w:proofErr w:type="spellStart"/>
      <w:r w:rsidRPr="00CD3EF9">
        <w:t>acetátu</w:t>
      </w:r>
      <w:proofErr w:type="spellEnd"/>
      <w:r w:rsidRPr="00CD3EF9">
        <w:t xml:space="preserve">). </w:t>
      </w:r>
      <w:r w:rsidR="00466AB3" w:rsidRPr="00466AB3">
        <w:t>Koncentrácia rekonštituovan</w:t>
      </w:r>
      <w:r w:rsidR="0044418C">
        <w:t>ej</w:t>
      </w:r>
      <w:r w:rsidR="00466AB3" w:rsidRPr="00466AB3">
        <w:t xml:space="preserve"> injekčn</w:t>
      </w:r>
      <w:r w:rsidR="0044418C">
        <w:t>ej</w:t>
      </w:r>
      <w:r w:rsidR="00466AB3" w:rsidRPr="00466AB3">
        <w:t xml:space="preserve"> liekovk</w:t>
      </w:r>
      <w:r w:rsidR="0044418C">
        <w:t>y</w:t>
      </w:r>
      <w:r w:rsidR="00466AB3" w:rsidRPr="00466AB3">
        <w:t xml:space="preserve"> je 5,2</w:t>
      </w:r>
      <w:r w:rsidR="00466AB3">
        <w:t> </w:t>
      </w:r>
      <w:r w:rsidR="00466AB3" w:rsidRPr="00466AB3">
        <w:t>mg/ml.</w:t>
      </w:r>
    </w:p>
    <w:p w:rsidR="00CC713E" w:rsidRPr="00CD3EF9" w:rsidRDefault="00AB46CE" w:rsidP="00466AB3">
      <w:pPr>
        <w:spacing w:line="240" w:lineRule="auto"/>
      </w:pPr>
      <w:proofErr w:type="spellStart"/>
      <w:r w:rsidRPr="00E25026">
        <w:rPr>
          <w:i/>
          <w:highlight w:val="lightGray"/>
        </w:rPr>
        <w:t>Caspofungin</w:t>
      </w:r>
      <w:proofErr w:type="spellEnd"/>
      <w:r w:rsidRPr="00E25026">
        <w:rPr>
          <w:i/>
          <w:highlight w:val="lightGray"/>
        </w:rPr>
        <w:t xml:space="preserve"> </w:t>
      </w:r>
      <w:proofErr w:type="spellStart"/>
      <w:r w:rsidRPr="00E25026">
        <w:rPr>
          <w:i/>
          <w:highlight w:val="lightGray"/>
        </w:rPr>
        <w:t>Xellia</w:t>
      </w:r>
      <w:proofErr w:type="spellEnd"/>
      <w:r w:rsidRPr="00E25026">
        <w:rPr>
          <w:i/>
          <w:highlight w:val="lightGray"/>
        </w:rPr>
        <w:t xml:space="preserve"> 70 mg prášok na infúzny koncentrát</w:t>
      </w:r>
      <w:r w:rsidRPr="00E25026">
        <w:rPr>
          <w:highlight w:val="lightGray"/>
        </w:rPr>
        <w:t xml:space="preserve">: Každá injekčná liekovka obsahuje 70 mg </w:t>
      </w:r>
      <w:proofErr w:type="spellStart"/>
      <w:r w:rsidRPr="00E25026">
        <w:rPr>
          <w:highlight w:val="lightGray"/>
        </w:rPr>
        <w:t>kaspofungínu</w:t>
      </w:r>
      <w:proofErr w:type="spellEnd"/>
      <w:r w:rsidRPr="00E25026">
        <w:rPr>
          <w:highlight w:val="lightGray"/>
        </w:rPr>
        <w:t xml:space="preserve"> (vo forme </w:t>
      </w:r>
      <w:proofErr w:type="spellStart"/>
      <w:r w:rsidRPr="00E25026">
        <w:rPr>
          <w:highlight w:val="lightGray"/>
        </w:rPr>
        <w:t>acetátu</w:t>
      </w:r>
      <w:proofErr w:type="spellEnd"/>
      <w:r w:rsidRPr="00E25026">
        <w:rPr>
          <w:highlight w:val="lightGray"/>
        </w:rPr>
        <w:t xml:space="preserve">). </w:t>
      </w:r>
      <w:r w:rsidR="00466AB3" w:rsidRPr="00E25026">
        <w:rPr>
          <w:highlight w:val="lightGray"/>
        </w:rPr>
        <w:t>Koncentrácia rekonštituovan</w:t>
      </w:r>
      <w:r w:rsidR="0044418C">
        <w:rPr>
          <w:highlight w:val="lightGray"/>
        </w:rPr>
        <w:t>ej</w:t>
      </w:r>
      <w:r w:rsidR="00466AB3" w:rsidRPr="00E25026">
        <w:rPr>
          <w:highlight w:val="lightGray"/>
        </w:rPr>
        <w:t xml:space="preserve"> injekčn</w:t>
      </w:r>
      <w:r w:rsidR="0044418C">
        <w:rPr>
          <w:highlight w:val="lightGray"/>
        </w:rPr>
        <w:t>ej</w:t>
      </w:r>
      <w:r w:rsidR="00466AB3" w:rsidRPr="00E25026">
        <w:rPr>
          <w:highlight w:val="lightGray"/>
        </w:rPr>
        <w:t xml:space="preserve"> liekovk</w:t>
      </w:r>
      <w:r w:rsidR="0044418C">
        <w:rPr>
          <w:highlight w:val="lightGray"/>
        </w:rPr>
        <w:t>y</w:t>
      </w:r>
      <w:r w:rsidR="00466AB3" w:rsidRPr="00E25026">
        <w:rPr>
          <w:highlight w:val="lightGray"/>
        </w:rPr>
        <w:t xml:space="preserve"> je 7,2 mg/ml.</w:t>
      </w:r>
    </w:p>
    <w:p w:rsidR="0044418C" w:rsidRDefault="0044418C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Úplný zoznam pomocných látok, pozri časť 6.1. </w:t>
      </w:r>
    </w:p>
    <w:p w:rsidR="00377948" w:rsidRPr="00CD3EF9" w:rsidRDefault="00377948" w:rsidP="00DD38BD">
      <w:pPr>
        <w:spacing w:line="240" w:lineRule="auto"/>
      </w:pPr>
    </w:p>
    <w:p w:rsidR="007C6F03" w:rsidRPr="00CD3EF9" w:rsidRDefault="007C6F03" w:rsidP="00DD38BD">
      <w:pPr>
        <w:spacing w:line="240" w:lineRule="auto"/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da-DK"/>
        </w:rPr>
      </w:pPr>
      <w:r w:rsidRPr="00CD3EF9">
        <w:rPr>
          <w:b/>
          <w:bCs/>
          <w:iCs/>
          <w:szCs w:val="20"/>
        </w:rPr>
        <w:t xml:space="preserve">3.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 xml:space="preserve">Lieková forma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da-DK"/>
        </w:rPr>
      </w:pPr>
    </w:p>
    <w:p w:rsidR="00CC713E" w:rsidRPr="00CD3EF9" w:rsidRDefault="00945D09" w:rsidP="00DD38BD">
      <w:pPr>
        <w:spacing w:line="240" w:lineRule="auto"/>
      </w:pPr>
      <w:r w:rsidRPr="00CD3EF9">
        <w:t xml:space="preserve">Prášok na infúzny koncentrát. </w:t>
      </w:r>
    </w:p>
    <w:p w:rsidR="00CC713E" w:rsidRPr="00CD3EF9" w:rsidRDefault="00CC713E" w:rsidP="00DD38BD">
      <w:pPr>
        <w:spacing w:line="240" w:lineRule="auto"/>
      </w:pPr>
    </w:p>
    <w:p w:rsidR="00945D09" w:rsidRPr="00CD3EF9" w:rsidRDefault="003A0ED2" w:rsidP="00DD38BD">
      <w:pPr>
        <w:spacing w:line="240" w:lineRule="auto"/>
      </w:pPr>
      <w:r w:rsidRPr="00CD3EF9">
        <w:t xml:space="preserve">Prášok je biely až </w:t>
      </w:r>
      <w:r w:rsidR="0044418C">
        <w:t>takmer biely prášok</w:t>
      </w:r>
      <w:r w:rsidRPr="00CD3EF9">
        <w:t xml:space="preserve">. </w:t>
      </w:r>
    </w:p>
    <w:p w:rsidR="00377948" w:rsidRPr="00CD3EF9" w:rsidRDefault="00377948" w:rsidP="00DD38BD">
      <w:pPr>
        <w:spacing w:line="240" w:lineRule="auto"/>
      </w:pPr>
    </w:p>
    <w:p w:rsidR="007C6F03" w:rsidRPr="00CD3EF9" w:rsidRDefault="007C6F03" w:rsidP="00DD38BD">
      <w:pPr>
        <w:spacing w:line="240" w:lineRule="auto"/>
      </w:pPr>
    </w:p>
    <w:p w:rsidR="00377948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  <w:r w:rsidRPr="00CD3EF9">
        <w:rPr>
          <w:b/>
          <w:bCs/>
          <w:iCs/>
          <w:szCs w:val="20"/>
        </w:rPr>
        <w:t xml:space="preserve">4.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 xml:space="preserve">Klinické údaje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  <w:r w:rsidRPr="00CD3EF9">
        <w:rPr>
          <w:b/>
          <w:bCs/>
          <w:iCs/>
          <w:szCs w:val="20"/>
        </w:rPr>
        <w:t xml:space="preserve">4.1 </w:t>
      </w:r>
      <w:r w:rsidRPr="00CD3EF9">
        <w:rPr>
          <w:b/>
          <w:bCs/>
          <w:iCs/>
          <w:szCs w:val="20"/>
        </w:rPr>
        <w:tab/>
        <w:t xml:space="preserve">Terapeutické indikácie </w:t>
      </w:r>
    </w:p>
    <w:p w:rsidR="00377948" w:rsidRPr="00CD3EF9" w:rsidRDefault="00377948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</w:p>
    <w:p w:rsidR="00945D09" w:rsidRPr="00CD3EF9" w:rsidRDefault="00945D09" w:rsidP="00DD38BD">
      <w:pPr>
        <w:pStyle w:val="Odsekzoznamu"/>
        <w:numPr>
          <w:ilvl w:val="0"/>
          <w:numId w:val="9"/>
        </w:numPr>
        <w:spacing w:line="240" w:lineRule="auto"/>
        <w:ind w:left="567" w:hanging="567"/>
      </w:pPr>
      <w:r w:rsidRPr="00CD3EF9">
        <w:t xml:space="preserve">Liečba invazívnej </w:t>
      </w:r>
      <w:proofErr w:type="spellStart"/>
      <w:r w:rsidRPr="00CD3EF9">
        <w:t>kandidózy</w:t>
      </w:r>
      <w:proofErr w:type="spellEnd"/>
      <w:r w:rsidRPr="00CD3EF9">
        <w:t xml:space="preserve"> u dospelých alebo pediatrických pacientov. </w:t>
      </w:r>
    </w:p>
    <w:p w:rsidR="00945D09" w:rsidRPr="00CD3EF9" w:rsidRDefault="00945D09" w:rsidP="00DD38BD">
      <w:pPr>
        <w:pStyle w:val="Odsekzoznamu"/>
        <w:numPr>
          <w:ilvl w:val="0"/>
          <w:numId w:val="9"/>
        </w:numPr>
        <w:spacing w:line="240" w:lineRule="auto"/>
        <w:ind w:left="567" w:hanging="567"/>
      </w:pPr>
      <w:r w:rsidRPr="00CD3EF9">
        <w:t xml:space="preserve">Liečba invazívnej </w:t>
      </w:r>
      <w:proofErr w:type="spellStart"/>
      <w:r w:rsidRPr="00CD3EF9">
        <w:t>aspergilózy</w:t>
      </w:r>
      <w:proofErr w:type="spellEnd"/>
      <w:r w:rsidRPr="00CD3EF9">
        <w:t xml:space="preserve"> u dospelých alebo pediatrických pacientov, ktorí </w:t>
      </w:r>
      <w:r w:rsidR="00450B73">
        <w:t xml:space="preserve">sú </w:t>
      </w:r>
      <w:proofErr w:type="spellStart"/>
      <w:r w:rsidR="00450B73">
        <w:t>refraktéri</w:t>
      </w:r>
      <w:proofErr w:type="spellEnd"/>
      <w:r w:rsidR="00450B73">
        <w:t xml:space="preserve"> </w:t>
      </w:r>
      <w:r w:rsidRPr="00CD3EF9">
        <w:t xml:space="preserve">alebo </w:t>
      </w:r>
      <w:r w:rsidR="00450B73">
        <w:t>intolerantní</w:t>
      </w:r>
      <w:r w:rsidRPr="00CD3EF9">
        <w:t xml:space="preserve"> voči </w:t>
      </w:r>
      <w:proofErr w:type="spellStart"/>
      <w:r w:rsidRPr="00CD3EF9">
        <w:t>amfotericín</w:t>
      </w:r>
      <w:r w:rsidR="00450B73">
        <w:t>u</w:t>
      </w:r>
      <w:proofErr w:type="spellEnd"/>
      <w:r w:rsidRPr="00CD3EF9">
        <w:t xml:space="preserve"> B, </w:t>
      </w:r>
      <w:proofErr w:type="spellStart"/>
      <w:r w:rsidRPr="00CD3EF9">
        <w:t>lipidovými</w:t>
      </w:r>
      <w:proofErr w:type="spellEnd"/>
      <w:r w:rsidRPr="00CD3EF9">
        <w:t xml:space="preserve"> form</w:t>
      </w:r>
      <w:r w:rsidR="00450B73">
        <w:t>ám</w:t>
      </w:r>
      <w:r w:rsidRPr="00CD3EF9">
        <w:t xml:space="preserve"> </w:t>
      </w:r>
      <w:proofErr w:type="spellStart"/>
      <w:r w:rsidRPr="00CD3EF9">
        <w:t>amfotericínu</w:t>
      </w:r>
      <w:proofErr w:type="spellEnd"/>
      <w:r w:rsidRPr="00CD3EF9">
        <w:t xml:space="preserve"> B a/alebo </w:t>
      </w:r>
      <w:proofErr w:type="spellStart"/>
      <w:r w:rsidRPr="00CD3EF9">
        <w:t>itrakonazol</w:t>
      </w:r>
      <w:r w:rsidR="00450B73">
        <w:t>u</w:t>
      </w:r>
      <w:proofErr w:type="spellEnd"/>
      <w:r w:rsidRPr="00CD3EF9">
        <w:t xml:space="preserve">. Odolnosť voči liečbe je definovaná ako rozvoj infekcie alebo </w:t>
      </w:r>
      <w:r w:rsidR="00450B73">
        <w:t>ne</w:t>
      </w:r>
      <w:r w:rsidRPr="00CD3EF9">
        <w:t>zlepšeni</w:t>
      </w:r>
      <w:r w:rsidR="00450B73">
        <w:t>e stavu</w:t>
      </w:r>
      <w:r w:rsidRPr="00CD3EF9">
        <w:t xml:space="preserve"> po </w:t>
      </w:r>
      <w:r w:rsidR="00450B73">
        <w:t xml:space="preserve">minimálne </w:t>
      </w:r>
      <w:r w:rsidRPr="00CD3EF9">
        <w:t xml:space="preserve">7 dňoch </w:t>
      </w:r>
      <w:r w:rsidR="00450B73">
        <w:t>podávania</w:t>
      </w:r>
      <w:r w:rsidRPr="00CD3EF9">
        <w:t xml:space="preserve"> </w:t>
      </w:r>
      <w:r w:rsidR="00450B73">
        <w:t>terapeutických</w:t>
      </w:r>
      <w:r w:rsidRPr="00CD3EF9">
        <w:t xml:space="preserve"> dávok účinnej </w:t>
      </w:r>
      <w:proofErr w:type="spellStart"/>
      <w:r w:rsidRPr="00CD3EF9">
        <w:t>antimykotickej</w:t>
      </w:r>
      <w:proofErr w:type="spellEnd"/>
      <w:r w:rsidRPr="00CD3EF9">
        <w:t xml:space="preserve"> liečby. </w:t>
      </w:r>
    </w:p>
    <w:p w:rsidR="00945D09" w:rsidRPr="00CD3EF9" w:rsidRDefault="00945D09" w:rsidP="00DD38BD">
      <w:pPr>
        <w:pStyle w:val="Odsekzoznamu"/>
        <w:numPr>
          <w:ilvl w:val="0"/>
          <w:numId w:val="9"/>
        </w:numPr>
        <w:spacing w:line="240" w:lineRule="auto"/>
        <w:ind w:left="567" w:hanging="567"/>
      </w:pPr>
      <w:r w:rsidRPr="00CD3EF9">
        <w:t xml:space="preserve">Empirická liečba predpokladaných </w:t>
      </w:r>
      <w:proofErr w:type="spellStart"/>
      <w:r w:rsidR="00450B73">
        <w:t>mykotických</w:t>
      </w:r>
      <w:proofErr w:type="spellEnd"/>
      <w:r w:rsidRPr="00CD3EF9">
        <w:t xml:space="preserve"> infekcií (ako je </w:t>
      </w:r>
      <w:proofErr w:type="spellStart"/>
      <w:r w:rsidRPr="00E25026">
        <w:rPr>
          <w:i/>
        </w:rPr>
        <w:t>Candida</w:t>
      </w:r>
      <w:proofErr w:type="spellEnd"/>
      <w:r w:rsidRPr="00CD3EF9">
        <w:t xml:space="preserve"> alebo </w:t>
      </w:r>
      <w:proofErr w:type="spellStart"/>
      <w:r w:rsidRPr="00E25026">
        <w:rPr>
          <w:i/>
        </w:rPr>
        <w:t>Aspergillus</w:t>
      </w:r>
      <w:proofErr w:type="spellEnd"/>
      <w:r w:rsidRPr="00CD3EF9">
        <w:t>) u</w:t>
      </w:r>
      <w:r w:rsidR="00450B73">
        <w:t> </w:t>
      </w:r>
      <w:proofErr w:type="spellStart"/>
      <w:r w:rsidRPr="00CD3EF9">
        <w:t>febrilných</w:t>
      </w:r>
      <w:proofErr w:type="spellEnd"/>
      <w:r w:rsidR="00450B73">
        <w:t xml:space="preserve"> </w:t>
      </w:r>
      <w:proofErr w:type="spellStart"/>
      <w:r w:rsidR="00450B73">
        <w:t>neutropenických</w:t>
      </w:r>
      <w:proofErr w:type="spellEnd"/>
      <w:r w:rsidRPr="00CD3EF9">
        <w:t xml:space="preserve"> dospelých alebo u pediatrických pacientov. </w:t>
      </w:r>
    </w:p>
    <w:p w:rsidR="00377948" w:rsidRPr="00CD3EF9" w:rsidRDefault="00377948" w:rsidP="00DD38BD">
      <w:pPr>
        <w:spacing w:line="240" w:lineRule="auto"/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4.2 </w:t>
      </w:r>
      <w:r w:rsidRPr="00CD3EF9">
        <w:rPr>
          <w:b/>
          <w:bCs/>
          <w:iCs/>
          <w:szCs w:val="20"/>
        </w:rPr>
        <w:tab/>
        <w:t>Dávkovanie a spôsob podávania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37794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Liečbu </w:t>
      </w:r>
      <w:proofErr w:type="spellStart"/>
      <w:r w:rsidRPr="00CD3EF9">
        <w:rPr>
          <w:color w:val="000000"/>
        </w:rPr>
        <w:t>kaspofungínom</w:t>
      </w:r>
      <w:proofErr w:type="spellEnd"/>
      <w:r w:rsidRPr="00CD3EF9">
        <w:rPr>
          <w:color w:val="000000"/>
        </w:rPr>
        <w:t xml:space="preserve"> m</w:t>
      </w:r>
      <w:r w:rsidR="00450B73">
        <w:rPr>
          <w:color w:val="000000"/>
        </w:rPr>
        <w:t>á začať</w:t>
      </w:r>
      <w:r w:rsidRPr="00CD3EF9">
        <w:rPr>
          <w:color w:val="000000"/>
        </w:rPr>
        <w:t xml:space="preserve"> lekár so skúsenosťami s liečbou invazívnych </w:t>
      </w:r>
      <w:proofErr w:type="spellStart"/>
      <w:r w:rsidR="00450B73">
        <w:rPr>
          <w:color w:val="000000"/>
        </w:rPr>
        <w:t>mykotických</w:t>
      </w:r>
      <w:proofErr w:type="spellEnd"/>
      <w:r w:rsidRPr="00CD3EF9">
        <w:rPr>
          <w:color w:val="000000"/>
        </w:rPr>
        <w:t xml:space="preserve"> infekcií. 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377948" w:rsidP="00DD38BD">
      <w:pPr>
        <w:spacing w:line="240" w:lineRule="auto"/>
        <w:rPr>
          <w:color w:val="000000"/>
          <w:u w:val="single"/>
        </w:rPr>
      </w:pPr>
      <w:r w:rsidRPr="00CD3EF9">
        <w:rPr>
          <w:color w:val="000000"/>
          <w:u w:val="single"/>
        </w:rPr>
        <w:t>Dávkovanie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i/>
          <w:color w:val="000000"/>
        </w:rPr>
      </w:pPr>
      <w:r w:rsidRPr="00CD3EF9">
        <w:rPr>
          <w:i/>
          <w:color w:val="000000"/>
        </w:rPr>
        <w:t xml:space="preserve">Dospelí pacienti 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</w:pPr>
      <w:r w:rsidRPr="00CD3EF9">
        <w:t>V 1. deň sa m</w:t>
      </w:r>
      <w:r w:rsidR="00450B73">
        <w:t>á</w:t>
      </w:r>
      <w:r w:rsidRPr="00CD3EF9">
        <w:t xml:space="preserve"> podať </w:t>
      </w:r>
      <w:r w:rsidR="00450B73">
        <w:t>jednorazová</w:t>
      </w:r>
      <w:r w:rsidRPr="00CD3EF9">
        <w:t xml:space="preserve"> 70 mg </w:t>
      </w:r>
      <w:r w:rsidR="00450B73">
        <w:t>počiatočná</w:t>
      </w:r>
      <w:r w:rsidRPr="00CD3EF9">
        <w:t xml:space="preserve"> dávka, po ktorej nasledujú 50 mg denné dávky. U pacientov s hmotnosťou v</w:t>
      </w:r>
      <w:r w:rsidR="00450B73">
        <w:t>iac</w:t>
      </w:r>
      <w:r w:rsidRPr="00CD3EF9">
        <w:t xml:space="preserve"> </w:t>
      </w:r>
      <w:r w:rsidR="00450B73">
        <w:t>ako</w:t>
      </w:r>
      <w:r w:rsidRPr="00CD3EF9">
        <w:t xml:space="preserve"> 80 kg sa po úvodnej 70 mg </w:t>
      </w:r>
      <w:r w:rsidR="00450B73">
        <w:t>počiatočnej</w:t>
      </w:r>
      <w:r w:rsidRPr="00CD3EF9">
        <w:t xml:space="preserve"> dávke odporúča </w:t>
      </w:r>
      <w:r w:rsidR="00450B73">
        <w:t xml:space="preserve">podávať </w:t>
      </w:r>
      <w:proofErr w:type="spellStart"/>
      <w:r w:rsidRPr="00CD3EF9">
        <w:t>kaspofungín</w:t>
      </w:r>
      <w:proofErr w:type="spellEnd"/>
      <w:r w:rsidRPr="00CD3EF9">
        <w:t xml:space="preserve"> </w:t>
      </w:r>
      <w:r w:rsidR="00450B73">
        <w:t xml:space="preserve">v dávke 70 mg denne </w:t>
      </w:r>
      <w:r w:rsidRPr="00CD3EF9">
        <w:t xml:space="preserve">(pozri časť 5.2). </w:t>
      </w:r>
      <w:r w:rsidR="00450B73">
        <w:t xml:space="preserve">Úprava dávkovania na základe </w:t>
      </w:r>
      <w:r w:rsidRPr="00CD3EF9">
        <w:t>pohlavia alebo rasy</w:t>
      </w:r>
      <w:r w:rsidR="00450B73">
        <w:t xml:space="preserve"> nie je potrebná</w:t>
      </w:r>
      <w:r w:rsidRPr="00CD3EF9">
        <w:t xml:space="preserve"> (pozri časť 5.2). </w:t>
      </w:r>
    </w:p>
    <w:p w:rsidR="00A85861" w:rsidRPr="00CD3EF9" w:rsidRDefault="00A85861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 xml:space="preserve">Pediatrickí pacienti (12 mesiacov až 17 rokov) </w:t>
      </w:r>
    </w:p>
    <w:p w:rsidR="00A85861" w:rsidRPr="00CD3EF9" w:rsidRDefault="00A85861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U pediatrických pacientov (vo veku 12 mesiacov až 17 rokov) sa m</w:t>
      </w:r>
      <w:r w:rsidR="00450B73">
        <w:t>á</w:t>
      </w:r>
      <w:r w:rsidRPr="00CD3EF9">
        <w:t xml:space="preserve"> dávkovanie </w:t>
      </w:r>
      <w:r w:rsidR="00450B73">
        <w:t>upraviť</w:t>
      </w:r>
      <w:r w:rsidRPr="00CD3EF9">
        <w:t xml:space="preserve"> podľa </w:t>
      </w:r>
      <w:r w:rsidR="00450B73">
        <w:t>veľkosti</w:t>
      </w:r>
      <w:r w:rsidRPr="00CD3EF9">
        <w:t xml:space="preserve"> povrchu tela pacienta (pozri Pokyny na použitie u pediatrických pacientov, </w:t>
      </w:r>
      <w:proofErr w:type="spellStart"/>
      <w:r w:rsidRPr="00CD3EF9">
        <w:t>Mosteller</w:t>
      </w:r>
      <w:r w:rsidR="00450B73">
        <w:t>ov</w:t>
      </w:r>
      <w:proofErr w:type="spellEnd"/>
      <w:r w:rsidR="00450B73">
        <w:t xml:space="preserve"> </w:t>
      </w:r>
      <w:r w:rsidR="00450B73">
        <w:lastRenderedPageBreak/>
        <w:t>vzorec</w:t>
      </w:r>
      <w:r w:rsidRPr="00CD3EF9">
        <w:rPr>
          <w:vertAlign w:val="superscript"/>
        </w:rPr>
        <w:t>1</w:t>
      </w:r>
      <w:r w:rsidRPr="00CD3EF9">
        <w:t>). Pr</w:t>
      </w:r>
      <w:r w:rsidR="00344AF6">
        <w:t>i</w:t>
      </w:r>
      <w:r w:rsidRPr="00CD3EF9">
        <w:t xml:space="preserve"> všetk</w:t>
      </w:r>
      <w:r w:rsidR="00344AF6">
        <w:t>ých</w:t>
      </w:r>
      <w:r w:rsidRPr="00CD3EF9">
        <w:t xml:space="preserve"> indikáci</w:t>
      </w:r>
      <w:r w:rsidR="00344AF6">
        <w:t>ách</w:t>
      </w:r>
      <w:r w:rsidRPr="00CD3EF9">
        <w:t xml:space="preserve"> </w:t>
      </w:r>
      <w:r w:rsidR="00344AF6">
        <w:t>sa</w:t>
      </w:r>
      <w:r w:rsidRPr="00CD3EF9">
        <w:t xml:space="preserve"> m</w:t>
      </w:r>
      <w:r w:rsidR="00344AF6">
        <w:t>á</w:t>
      </w:r>
      <w:r w:rsidRPr="00CD3EF9">
        <w:t xml:space="preserve"> v 1. deň poda</w:t>
      </w:r>
      <w:r w:rsidR="00344AF6">
        <w:t>ť</w:t>
      </w:r>
      <w:r w:rsidRPr="00CD3EF9">
        <w:t xml:space="preserve"> </w:t>
      </w:r>
      <w:r w:rsidR="00344AF6">
        <w:t>jednorazová počiatočná</w:t>
      </w:r>
      <w:r w:rsidRPr="00CD3EF9">
        <w:t xml:space="preserve"> dávka 70 mg/m</w:t>
      </w:r>
      <w:r w:rsidRPr="00CD3EF9">
        <w:rPr>
          <w:vertAlign w:val="superscript"/>
        </w:rPr>
        <w:t>2</w:t>
      </w:r>
      <w:r w:rsidRPr="00CD3EF9">
        <w:t xml:space="preserve"> (nesmie sa prekročiť </w:t>
      </w:r>
      <w:r w:rsidR="00344AF6">
        <w:t>skutočná</w:t>
      </w:r>
      <w:r w:rsidRPr="00CD3EF9">
        <w:t xml:space="preserve"> dávka 70 mg)</w:t>
      </w:r>
      <w:r w:rsidR="00344AF6">
        <w:t>, potom sa</w:t>
      </w:r>
      <w:r w:rsidRPr="00CD3EF9">
        <w:t xml:space="preserve"> podáva dávka 50 mg/m</w:t>
      </w:r>
      <w:r w:rsidRPr="00CD3EF9">
        <w:rPr>
          <w:vertAlign w:val="superscript"/>
        </w:rPr>
        <w:t>2</w:t>
      </w:r>
      <w:r w:rsidRPr="00CD3EF9">
        <w:t xml:space="preserve"> </w:t>
      </w:r>
      <w:r w:rsidR="00344AF6">
        <w:t xml:space="preserve">denne </w:t>
      </w:r>
      <w:r w:rsidRPr="00CD3EF9">
        <w:t xml:space="preserve">(nesmie sa prekročiť </w:t>
      </w:r>
      <w:r w:rsidR="00344AF6">
        <w:t>skutočná</w:t>
      </w:r>
      <w:r w:rsidR="00344AF6" w:rsidRPr="00CD3EF9">
        <w:t xml:space="preserve"> </w:t>
      </w:r>
      <w:r w:rsidRPr="00CD3EF9">
        <w:t>dávka 70 mg denne). Ak je dávka 50 mg/m</w:t>
      </w:r>
      <w:r w:rsidRPr="00CD3EF9">
        <w:rPr>
          <w:vertAlign w:val="superscript"/>
        </w:rPr>
        <w:t>2</w:t>
      </w:r>
      <w:r w:rsidRPr="00CD3EF9">
        <w:t xml:space="preserve"> </w:t>
      </w:r>
      <w:r w:rsidR="00344AF6">
        <w:t xml:space="preserve">denne </w:t>
      </w:r>
      <w:r w:rsidRPr="00CD3EF9">
        <w:t xml:space="preserve">dobre </w:t>
      </w:r>
      <w:r w:rsidR="00344AF6">
        <w:t>tolerovaná</w:t>
      </w:r>
      <w:r w:rsidRPr="00CD3EF9">
        <w:t xml:space="preserve">, ale neposkytuje </w:t>
      </w:r>
      <w:r w:rsidR="00344AF6">
        <w:t>primeranú</w:t>
      </w:r>
      <w:r w:rsidRPr="00CD3EF9">
        <w:t xml:space="preserve"> klinickú odpoveď, m</w:t>
      </w:r>
      <w:r w:rsidR="00344AF6">
        <w:t>ôže sa</w:t>
      </w:r>
      <w:r w:rsidRPr="00CD3EF9">
        <w:t xml:space="preserve"> denn</w:t>
      </w:r>
      <w:r w:rsidR="00344AF6">
        <w:t>á</w:t>
      </w:r>
      <w:r w:rsidRPr="00CD3EF9">
        <w:t xml:space="preserve"> dávk</w:t>
      </w:r>
      <w:r w:rsidR="00344AF6">
        <w:t>a</w:t>
      </w:r>
      <w:r w:rsidRPr="00CD3EF9">
        <w:t xml:space="preserve"> zvýšiť na 70 mg/m</w:t>
      </w:r>
      <w:r w:rsidRPr="00CD3EF9">
        <w:rPr>
          <w:vertAlign w:val="superscript"/>
        </w:rPr>
        <w:t>2</w:t>
      </w:r>
      <w:r w:rsidRPr="00CD3EF9">
        <w:t xml:space="preserve"> (nesmie sa prekročiť </w:t>
      </w:r>
      <w:r w:rsidR="00344AF6">
        <w:t>skutočná</w:t>
      </w:r>
      <w:r w:rsidRPr="00CD3EF9">
        <w:t xml:space="preserve"> denná dávka 70 mg). </w:t>
      </w:r>
    </w:p>
    <w:p w:rsidR="00475087" w:rsidRPr="00CD3EF9" w:rsidRDefault="00475087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Bezpečnosť a účinnosť </w:t>
      </w:r>
      <w:proofErr w:type="spellStart"/>
      <w:r w:rsidRPr="00CD3EF9">
        <w:t>kaspofungínu</w:t>
      </w:r>
      <w:proofErr w:type="spellEnd"/>
      <w:r w:rsidRPr="00CD3EF9">
        <w:t xml:space="preserve"> nebola dostatočne študovaná v klinických skúšaniach s novorodencami a dojčatami vo veku do 12 mesiacov. Pri liečbe tejto vekovej skupiny </w:t>
      </w:r>
      <w:r w:rsidR="00257B09">
        <w:t>sa odporúča</w:t>
      </w:r>
      <w:r w:rsidRPr="00CD3EF9">
        <w:t xml:space="preserve"> opatrnos</w:t>
      </w:r>
      <w:r w:rsidR="00257B09">
        <w:t>ť</w:t>
      </w:r>
      <w:r w:rsidRPr="00CD3EF9">
        <w:t xml:space="preserve">. Obmedzené údaje naznačujú, že </w:t>
      </w:r>
      <w:r w:rsidR="00257B09" w:rsidRPr="00CD3EF9">
        <w:t xml:space="preserve">u novorodencov a dojčiat (do veku 3 mesiacov) </w:t>
      </w:r>
      <w:r w:rsidR="00257B09">
        <w:t>sa</w:t>
      </w:r>
      <w:r w:rsidRPr="00CD3EF9">
        <w:t xml:space="preserve"> m</w:t>
      </w:r>
      <w:r w:rsidR="00257B09">
        <w:t>ôže</w:t>
      </w:r>
      <w:r w:rsidRPr="00CD3EF9">
        <w:t xml:space="preserve"> zvážiť denn</w:t>
      </w:r>
      <w:r w:rsidR="00257B09">
        <w:t>á</w:t>
      </w:r>
      <w:r w:rsidRPr="00CD3EF9">
        <w:t xml:space="preserve"> dávk</w:t>
      </w:r>
      <w:r w:rsidR="00257B09">
        <w:t>a</w:t>
      </w:r>
      <w:r w:rsidRPr="00CD3EF9">
        <w:t xml:space="preserve"> 25 mg/m</w:t>
      </w:r>
      <w:r w:rsidRPr="00CD3EF9">
        <w:rPr>
          <w:vertAlign w:val="superscript"/>
        </w:rPr>
        <w:t>2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 a  u m</w:t>
      </w:r>
      <w:r w:rsidR="00257B09">
        <w:t>ladších</w:t>
      </w:r>
      <w:r w:rsidRPr="00CD3EF9">
        <w:t xml:space="preserve"> detí (vo veku 3 </w:t>
      </w:r>
      <w:r w:rsidR="00257B09">
        <w:t>až</w:t>
      </w:r>
      <w:r w:rsidRPr="00CD3EF9">
        <w:t xml:space="preserve"> 11 mesiacov) </w:t>
      </w:r>
      <w:r w:rsidR="00257B09" w:rsidRPr="00CD3EF9">
        <w:t>denn</w:t>
      </w:r>
      <w:r w:rsidR="00257B09">
        <w:t>á</w:t>
      </w:r>
      <w:r w:rsidR="00257B09" w:rsidRPr="00CD3EF9">
        <w:t xml:space="preserve"> dávk</w:t>
      </w:r>
      <w:r w:rsidR="00257B09">
        <w:t>a</w:t>
      </w:r>
      <w:r w:rsidR="00257B09" w:rsidRPr="00CD3EF9">
        <w:t xml:space="preserve"> 50 mg/m</w:t>
      </w:r>
      <w:r w:rsidR="00257B09" w:rsidRPr="00CD3EF9">
        <w:rPr>
          <w:vertAlign w:val="superscript"/>
        </w:rPr>
        <w:t>2</w:t>
      </w:r>
      <w:r w:rsidR="00257B09" w:rsidRPr="00CD3EF9">
        <w:t xml:space="preserve"> </w:t>
      </w:r>
      <w:r w:rsidRPr="00CD3EF9">
        <w:t xml:space="preserve">(pozri časť 5.2). </w:t>
      </w:r>
    </w:p>
    <w:p w:rsidR="00475087" w:rsidRPr="00CD3EF9" w:rsidRDefault="00475087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 xml:space="preserve">Dĺžka liečby </w:t>
      </w:r>
    </w:p>
    <w:p w:rsidR="00475087" w:rsidRPr="00CD3EF9" w:rsidRDefault="00475087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Dĺžka empirickej liečby </w:t>
      </w:r>
      <w:r w:rsidR="00257B09">
        <w:t>má byť</w:t>
      </w:r>
      <w:r w:rsidRPr="00CD3EF9">
        <w:t xml:space="preserve"> založená na klinickej odpovedi pacienta. Liečba m</w:t>
      </w:r>
      <w:r w:rsidR="00257B09">
        <w:t>á</w:t>
      </w:r>
      <w:r w:rsidRPr="00CD3EF9">
        <w:t xml:space="preserve"> pokračovať </w:t>
      </w:r>
      <w:r w:rsidR="00257B09">
        <w:t>do </w:t>
      </w:r>
      <w:r w:rsidRPr="00CD3EF9">
        <w:t xml:space="preserve">72 hodín po </w:t>
      </w:r>
      <w:r w:rsidR="00257B09">
        <w:t>úprave</w:t>
      </w:r>
      <w:r w:rsidRPr="00CD3EF9">
        <w:t xml:space="preserve"> </w:t>
      </w:r>
      <w:proofErr w:type="spellStart"/>
      <w:r w:rsidRPr="00CD3EF9">
        <w:t>neutropénie</w:t>
      </w:r>
      <w:proofErr w:type="spellEnd"/>
      <w:r w:rsidRPr="00CD3EF9">
        <w:t xml:space="preserve"> (ANC ≥ 500). Pacienti, u ktorých sa zistí </w:t>
      </w:r>
      <w:proofErr w:type="spellStart"/>
      <w:r w:rsidR="00257B09">
        <w:t>mykotická</w:t>
      </w:r>
      <w:proofErr w:type="spellEnd"/>
      <w:r w:rsidRPr="00CD3EF9">
        <w:t xml:space="preserve"> infekcia, </w:t>
      </w:r>
      <w:r w:rsidR="00257B09">
        <w:t>sa</w:t>
      </w:r>
      <w:r w:rsidRPr="00CD3EF9">
        <w:t xml:space="preserve"> ma</w:t>
      </w:r>
      <w:r w:rsidR="00257B09">
        <w:t>jú</w:t>
      </w:r>
      <w:r w:rsidRPr="00CD3EF9">
        <w:t xml:space="preserve"> lieč</w:t>
      </w:r>
      <w:r w:rsidR="00257B09">
        <w:t>iť</w:t>
      </w:r>
      <w:r w:rsidRPr="00CD3EF9">
        <w:t xml:space="preserve"> minimálne 14 dní a liečba m</w:t>
      </w:r>
      <w:r w:rsidR="00257B09">
        <w:t>á</w:t>
      </w:r>
      <w:r w:rsidRPr="00CD3EF9">
        <w:t xml:space="preserve"> pokračovať najmenej 7 dní po </w:t>
      </w:r>
      <w:r w:rsidR="00257B09">
        <w:t>úprave</w:t>
      </w:r>
      <w:r w:rsidRPr="00CD3EF9">
        <w:t xml:space="preserve"> </w:t>
      </w:r>
      <w:proofErr w:type="spellStart"/>
      <w:r w:rsidRPr="00CD3EF9">
        <w:t>neutropénie</w:t>
      </w:r>
      <w:proofErr w:type="spellEnd"/>
      <w:r w:rsidRPr="00CD3EF9">
        <w:t xml:space="preserve"> a klinických príznakov. </w:t>
      </w:r>
    </w:p>
    <w:p w:rsidR="007F7532" w:rsidRPr="00CD3EF9" w:rsidRDefault="007F753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Dĺžka liečby invazívnej </w:t>
      </w:r>
      <w:proofErr w:type="spellStart"/>
      <w:r w:rsidRPr="00CD3EF9">
        <w:t>kandidózy</w:t>
      </w:r>
      <w:proofErr w:type="spellEnd"/>
      <w:r w:rsidRPr="00CD3EF9">
        <w:t xml:space="preserve"> m</w:t>
      </w:r>
      <w:r w:rsidR="00257B09">
        <w:t>á</w:t>
      </w:r>
      <w:r w:rsidRPr="00CD3EF9">
        <w:t xml:space="preserve"> byť založená na klinickej a mikrobiologickej odpovedi pacienta. Po zlepšení </w:t>
      </w:r>
      <w:r w:rsidR="00257B09">
        <w:t>prejavov</w:t>
      </w:r>
      <w:r w:rsidRPr="00CD3EF9">
        <w:t xml:space="preserve"> a príznakov invazívnej </w:t>
      </w:r>
      <w:proofErr w:type="spellStart"/>
      <w:r w:rsidRPr="00CD3EF9">
        <w:t>kandidózy</w:t>
      </w:r>
      <w:proofErr w:type="spellEnd"/>
      <w:r w:rsidRPr="00CD3EF9">
        <w:t xml:space="preserve"> a po dosiahnutí negatívnych výsledkov kultivácie</w:t>
      </w:r>
      <w:r w:rsidR="00257B09">
        <w:t xml:space="preserve"> sa má</w:t>
      </w:r>
      <w:r w:rsidRPr="00CD3EF9">
        <w:t xml:space="preserve"> zvážiť prechod na peroráln</w:t>
      </w:r>
      <w:r w:rsidR="00257B09">
        <w:t>u</w:t>
      </w:r>
      <w:r w:rsidRPr="00CD3EF9">
        <w:t xml:space="preserve"> </w:t>
      </w:r>
      <w:proofErr w:type="spellStart"/>
      <w:r w:rsidRPr="00CD3EF9">
        <w:t>antimykotickú</w:t>
      </w:r>
      <w:proofErr w:type="spellEnd"/>
      <w:r w:rsidRPr="00CD3EF9">
        <w:t xml:space="preserve"> liečbu. </w:t>
      </w:r>
      <w:r w:rsidR="00257B09">
        <w:t xml:space="preserve">Vo všeobecnosti má </w:t>
      </w:r>
      <w:proofErr w:type="spellStart"/>
      <w:r w:rsidR="00257B09">
        <w:t>a</w:t>
      </w:r>
      <w:r w:rsidRPr="00CD3EF9">
        <w:t>ntimykotická</w:t>
      </w:r>
      <w:proofErr w:type="spellEnd"/>
      <w:r w:rsidRPr="00CD3EF9">
        <w:t xml:space="preserve"> liečba trvať najmenej 14 dní po poslednej pozitívnej kultivácii. </w:t>
      </w:r>
    </w:p>
    <w:p w:rsidR="007F7532" w:rsidRPr="00CD3EF9" w:rsidRDefault="007F753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Dĺžka liečby invazívnej </w:t>
      </w:r>
      <w:proofErr w:type="spellStart"/>
      <w:r w:rsidRPr="00CD3EF9">
        <w:t>aspergilózy</w:t>
      </w:r>
      <w:proofErr w:type="spellEnd"/>
      <w:r w:rsidRPr="00CD3EF9">
        <w:t xml:space="preserve"> závisí od konkrétneho prípadu a</w:t>
      </w:r>
      <w:r w:rsidR="00257B09">
        <w:t xml:space="preserve"> pri jej určovaní sa </w:t>
      </w:r>
      <w:r w:rsidRPr="00CD3EF9">
        <w:t>m</w:t>
      </w:r>
      <w:r w:rsidR="00257B09">
        <w:t>á vychádzať</w:t>
      </w:r>
      <w:r w:rsidRPr="00CD3EF9">
        <w:t xml:space="preserve"> </w:t>
      </w:r>
      <w:r w:rsidR="00257B09">
        <w:t xml:space="preserve"> zo </w:t>
      </w:r>
      <w:r w:rsidRPr="00CD3EF9">
        <w:t>závažnosti základného ochorenia pacienta, zotavenia z </w:t>
      </w:r>
      <w:proofErr w:type="spellStart"/>
      <w:r w:rsidRPr="00CD3EF9">
        <w:t>imunosupresie</w:t>
      </w:r>
      <w:proofErr w:type="spellEnd"/>
      <w:r w:rsidRPr="00CD3EF9">
        <w:t xml:space="preserve"> a klinickej odpovede. </w:t>
      </w:r>
      <w:r w:rsidR="00257B09">
        <w:t>Vo všeobecnosti má l</w:t>
      </w:r>
      <w:r w:rsidRPr="00CD3EF9">
        <w:t xml:space="preserve">iečba trvať najmenej 7 dní po </w:t>
      </w:r>
      <w:r w:rsidR="00257B09">
        <w:t>úprave</w:t>
      </w:r>
      <w:r w:rsidRPr="00CD3EF9">
        <w:t xml:space="preserve"> príznakov. </w:t>
      </w:r>
    </w:p>
    <w:p w:rsidR="00945D09" w:rsidRPr="00CD3EF9" w:rsidRDefault="00257B09" w:rsidP="00DD38BD">
      <w:pPr>
        <w:spacing w:line="240" w:lineRule="auto"/>
      </w:pPr>
      <w:r>
        <w:t>Údaje o bezpečnosti</w:t>
      </w:r>
      <w:r w:rsidR="00945D09" w:rsidRPr="00CD3EF9">
        <w:t xml:space="preserve"> liečby trvajúcej dlhšie než 4 týždne sú obmedzené. Dostupné údaje však naznačujú, že </w:t>
      </w:r>
      <w:proofErr w:type="spellStart"/>
      <w:r w:rsidR="00945D09" w:rsidRPr="00CD3EF9">
        <w:t>kaspofungín</w:t>
      </w:r>
      <w:proofErr w:type="spellEnd"/>
      <w:r w:rsidR="00945D09" w:rsidRPr="00CD3EF9">
        <w:t xml:space="preserve"> je </w:t>
      </w:r>
      <w:r w:rsidRPr="00CD3EF9">
        <w:t xml:space="preserve">pri dlhšom trvaní liečby </w:t>
      </w:r>
      <w:r w:rsidR="00945D09" w:rsidRPr="00CD3EF9">
        <w:t xml:space="preserve">naďalej dobre tolerovaný (až </w:t>
      </w:r>
      <w:r>
        <w:t xml:space="preserve">do </w:t>
      </w:r>
      <w:r w:rsidR="00945D09" w:rsidRPr="00CD3EF9">
        <w:t xml:space="preserve">162 dní u dospelých pacientov a až </w:t>
      </w:r>
      <w:r>
        <w:t xml:space="preserve">do </w:t>
      </w:r>
      <w:r w:rsidR="00945D09" w:rsidRPr="00CD3EF9">
        <w:t xml:space="preserve">87 dní u pediatrických pacientov).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257B09" w:rsidP="00DD38BD">
      <w:pPr>
        <w:spacing w:line="240" w:lineRule="auto"/>
        <w:rPr>
          <w:b/>
        </w:rPr>
      </w:pPr>
      <w:r>
        <w:rPr>
          <w:b/>
        </w:rPr>
        <w:t>Osobitné skupiny pacientov</w:t>
      </w:r>
      <w:r w:rsidR="00945D09" w:rsidRPr="00CD3EF9">
        <w:rPr>
          <w:b/>
        </w:rPr>
        <w:t xml:space="preserve">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 xml:space="preserve">Starší pacienti </w:t>
      </w:r>
    </w:p>
    <w:p w:rsidR="00945D09" w:rsidRPr="00CD3EF9" w:rsidRDefault="00945D09" w:rsidP="00DD38BD">
      <w:pPr>
        <w:spacing w:line="240" w:lineRule="auto"/>
      </w:pPr>
      <w:r w:rsidRPr="00CD3EF9">
        <w:t>U starších pacientov (vo veku 65 rokov</w:t>
      </w:r>
      <w:r w:rsidR="00257B09">
        <w:t xml:space="preserve"> alebo viac</w:t>
      </w:r>
      <w:r w:rsidRPr="00CD3EF9">
        <w:t xml:space="preserve">) </w:t>
      </w:r>
      <w:r w:rsidR="00257B09">
        <w:t xml:space="preserve">je </w:t>
      </w:r>
      <w:r w:rsidRPr="00CD3EF9">
        <w:t>plocha pod krivkou (AUC) zvýš</w:t>
      </w:r>
      <w:r w:rsidR="00257B09">
        <w:t>ená</w:t>
      </w:r>
      <w:r w:rsidRPr="00CD3EF9">
        <w:t xml:space="preserve"> približne o 30 %. </w:t>
      </w:r>
      <w:r w:rsidR="00257B09">
        <w:t>Nie je však potrebn</w:t>
      </w:r>
      <w:r w:rsidR="004075AB">
        <w:t>é</w:t>
      </w:r>
      <w:r w:rsidRPr="00CD3EF9">
        <w:t xml:space="preserve"> systematick</w:t>
      </w:r>
      <w:r w:rsidR="004075AB">
        <w:t>y</w:t>
      </w:r>
      <w:r w:rsidRPr="00CD3EF9">
        <w:t xml:space="preserve"> </w:t>
      </w:r>
      <w:r w:rsidR="004075AB">
        <w:t>u</w:t>
      </w:r>
      <w:r w:rsidRPr="00CD3EF9">
        <w:t>prav</w:t>
      </w:r>
      <w:r w:rsidR="004075AB">
        <w:t>ov</w:t>
      </w:r>
      <w:r w:rsidRPr="00CD3EF9">
        <w:t>a</w:t>
      </w:r>
      <w:r w:rsidR="004075AB">
        <w:t>ť</w:t>
      </w:r>
      <w:r w:rsidRPr="00CD3EF9">
        <w:t xml:space="preserve"> dávkovani</w:t>
      </w:r>
      <w:r w:rsidR="004075AB">
        <w:t>e</w:t>
      </w:r>
      <w:r w:rsidRPr="00CD3EF9">
        <w:t xml:space="preserve">. </w:t>
      </w:r>
      <w:r w:rsidR="004075AB">
        <w:t xml:space="preserve">U 65-ročných a starších </w:t>
      </w:r>
      <w:r w:rsidRPr="00CD3EF9">
        <w:t>pacientov sú k dispozícii iba obmedzené skúsenosti</w:t>
      </w:r>
      <w:r w:rsidR="004075AB">
        <w:t xml:space="preserve"> s liečbou</w:t>
      </w:r>
      <w:r w:rsidRPr="00CD3EF9">
        <w:t xml:space="preserve"> (pozri časť 5.2).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 xml:space="preserve">Poškodenie obličiek </w:t>
      </w:r>
    </w:p>
    <w:p w:rsidR="00945D09" w:rsidRPr="00CD3EF9" w:rsidRDefault="004075AB" w:rsidP="00DD38BD">
      <w:pPr>
        <w:spacing w:line="240" w:lineRule="auto"/>
      </w:pPr>
      <w:r>
        <w:t>Pri poruche funkcie obličiek nie je potrebná úprava d</w:t>
      </w:r>
      <w:r w:rsidR="00945D09" w:rsidRPr="00CD3EF9">
        <w:t>ávk</w:t>
      </w:r>
      <w:r>
        <w:t>ovania</w:t>
      </w:r>
      <w:r w:rsidR="00945D09" w:rsidRPr="00CD3EF9">
        <w:t xml:space="preserve"> (pozri časť 5.2).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 xml:space="preserve">Poškodenie pečene </w:t>
      </w:r>
    </w:p>
    <w:p w:rsidR="00945D09" w:rsidRPr="00CD3EF9" w:rsidRDefault="00945D09" w:rsidP="00DD38BD">
      <w:pPr>
        <w:spacing w:line="240" w:lineRule="auto"/>
      </w:pPr>
      <w:r w:rsidRPr="00CD3EF9">
        <w:t>U dospelých pacientov s</w:t>
      </w:r>
      <w:r w:rsidR="004075AB">
        <w:t> miernou poruchou funkcie</w:t>
      </w:r>
      <w:r w:rsidRPr="00CD3EF9">
        <w:t xml:space="preserve"> pečene (</w:t>
      </w:r>
      <w:proofErr w:type="spellStart"/>
      <w:r w:rsidR="004075AB" w:rsidRPr="00CD3EF9">
        <w:t>Childov</w:t>
      </w:r>
      <w:r w:rsidR="004075AB">
        <w:t>o</w:t>
      </w:r>
      <w:r w:rsidR="004075AB" w:rsidRPr="00CD3EF9">
        <w:t>-Pughov</w:t>
      </w:r>
      <w:r w:rsidR="004075AB">
        <w:t>o</w:t>
      </w:r>
      <w:proofErr w:type="spellEnd"/>
      <w:r w:rsidR="004075AB" w:rsidRPr="00CD3EF9">
        <w:t xml:space="preserve"> </w:t>
      </w:r>
      <w:r w:rsidRPr="00CD3EF9">
        <w:t xml:space="preserve">skóre 5 až 6) </w:t>
      </w:r>
      <w:r w:rsidR="004075AB">
        <w:t xml:space="preserve">nie je </w:t>
      </w:r>
      <w:r w:rsidR="002371CB">
        <w:t xml:space="preserve">potrebná </w:t>
      </w:r>
      <w:r w:rsidRPr="00CD3EF9">
        <w:t xml:space="preserve">úprava dávkovania. U dospelých pacientov so stredne </w:t>
      </w:r>
      <w:r w:rsidR="002371CB">
        <w:t xml:space="preserve">závažnou </w:t>
      </w:r>
      <w:r w:rsidRPr="00CD3EF9">
        <w:t>po</w:t>
      </w:r>
      <w:r w:rsidR="002371CB">
        <w:t>ruchou funkcie</w:t>
      </w:r>
      <w:r w:rsidRPr="00CD3EF9">
        <w:t xml:space="preserve"> pečene (</w:t>
      </w:r>
      <w:proofErr w:type="spellStart"/>
      <w:r w:rsidR="002371CB" w:rsidRPr="00CD3EF9">
        <w:t>Childov</w:t>
      </w:r>
      <w:r w:rsidR="002371CB">
        <w:t>o</w:t>
      </w:r>
      <w:r w:rsidR="002371CB" w:rsidRPr="00CD3EF9">
        <w:t>-Pughov</w:t>
      </w:r>
      <w:r w:rsidR="002371CB">
        <w:t>o</w:t>
      </w:r>
      <w:proofErr w:type="spellEnd"/>
      <w:r w:rsidR="002371CB" w:rsidRPr="00CD3EF9">
        <w:t xml:space="preserve"> </w:t>
      </w:r>
      <w:r w:rsidRPr="00CD3EF9">
        <w:t xml:space="preserve">skóre 7 až 9) sa </w:t>
      </w:r>
      <w:r w:rsidR="002371CB">
        <w:t xml:space="preserve">na základe </w:t>
      </w:r>
      <w:proofErr w:type="spellStart"/>
      <w:r w:rsidR="002371CB" w:rsidRPr="00CD3EF9">
        <w:t>farmakokinetických</w:t>
      </w:r>
      <w:proofErr w:type="spellEnd"/>
      <w:r w:rsidR="002371CB" w:rsidRPr="00CD3EF9">
        <w:t xml:space="preserve"> údajov </w:t>
      </w:r>
      <w:r w:rsidRPr="00CD3EF9">
        <w:t xml:space="preserve">odporúča denná dávka 35 mg </w:t>
      </w:r>
      <w:proofErr w:type="spellStart"/>
      <w:r w:rsidRPr="00CD3EF9">
        <w:t>kaspofungínu</w:t>
      </w:r>
      <w:proofErr w:type="spellEnd"/>
      <w:r w:rsidRPr="00CD3EF9">
        <w:t xml:space="preserve">. V 1. deň </w:t>
      </w:r>
      <w:r w:rsidR="002371CB">
        <w:t>sa má</w:t>
      </w:r>
      <w:r w:rsidRPr="00CD3EF9">
        <w:t xml:space="preserve"> poda</w:t>
      </w:r>
      <w:r w:rsidR="002371CB">
        <w:t>ť</w:t>
      </w:r>
      <w:r w:rsidRPr="00CD3EF9">
        <w:t xml:space="preserve"> počiatočná dávka 70 mg. Neexistujú žiadne klinické skúsenosti s dospelými pacientmi so závažn</w:t>
      </w:r>
      <w:r w:rsidR="002371CB">
        <w:t xml:space="preserve">ou poruchou funkcie </w:t>
      </w:r>
      <w:r w:rsidRPr="00CD3EF9">
        <w:t>pečene (</w:t>
      </w:r>
      <w:proofErr w:type="spellStart"/>
      <w:r w:rsidRPr="00CD3EF9">
        <w:t>Childov</w:t>
      </w:r>
      <w:r w:rsidR="002371CB">
        <w:t>o</w:t>
      </w:r>
      <w:r w:rsidRPr="00CD3EF9">
        <w:t>-Pughov</w:t>
      </w:r>
      <w:r w:rsidR="002371CB">
        <w:t>o</w:t>
      </w:r>
      <w:proofErr w:type="spellEnd"/>
      <w:r w:rsidR="002371CB">
        <w:t xml:space="preserve"> skóre viac </w:t>
      </w:r>
      <w:r w:rsidRPr="00CD3EF9">
        <w:t xml:space="preserve">než 9) a s pediatrickými pacientmi s akýmkoľvek stupňom poškodenia pečene (pozri časť 4.4).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>S</w:t>
      </w:r>
      <w:r w:rsidR="002371CB">
        <w:rPr>
          <w:u w:val="single"/>
        </w:rPr>
        <w:t>úbežné</w:t>
      </w:r>
      <w:r w:rsidRPr="00CD3EF9">
        <w:rPr>
          <w:u w:val="single"/>
        </w:rPr>
        <w:t xml:space="preserve"> podávanie s induktormi metabolických enzýmov </w:t>
      </w:r>
    </w:p>
    <w:p w:rsidR="00605BED" w:rsidRPr="00CD3EF9" w:rsidRDefault="00605BED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Obmedzené údaje naznačujú, že ak sa dospelým pacientom podáva </w:t>
      </w:r>
      <w:proofErr w:type="spellStart"/>
      <w:r w:rsidRPr="00CD3EF9">
        <w:t>kaspofungín</w:t>
      </w:r>
      <w:proofErr w:type="spellEnd"/>
      <w:r w:rsidRPr="00CD3EF9">
        <w:t xml:space="preserve"> s</w:t>
      </w:r>
      <w:r w:rsidR="002371CB">
        <w:t>úbežne</w:t>
      </w:r>
      <w:r w:rsidRPr="00CD3EF9">
        <w:t xml:space="preserve"> s niektorými induktormi metabolických enzýmov (pozri časť 4.5), m</w:t>
      </w:r>
      <w:r w:rsidR="002371CB">
        <w:t>á</w:t>
      </w:r>
      <w:r w:rsidRPr="00CD3EF9">
        <w:t xml:space="preserve"> sa zvážiť zvýšenie dennej dávky </w:t>
      </w:r>
      <w:proofErr w:type="spellStart"/>
      <w:r w:rsidRPr="00CD3EF9">
        <w:t>kaspofungínu</w:t>
      </w:r>
      <w:proofErr w:type="spellEnd"/>
      <w:r w:rsidRPr="00CD3EF9">
        <w:t xml:space="preserve"> na 70 mg po </w:t>
      </w:r>
      <w:r w:rsidR="002371CB">
        <w:t>podaní počiatočnej</w:t>
      </w:r>
      <w:r w:rsidRPr="00CD3EF9">
        <w:t xml:space="preserve"> dávk</w:t>
      </w:r>
      <w:r w:rsidR="002371CB">
        <w:t>y</w:t>
      </w:r>
      <w:r w:rsidRPr="00CD3EF9">
        <w:t xml:space="preserve"> 70 mg. Ak sa pediatrickým pacientom (vo veku od 12 mesiacov do 17 rokov) podáva </w:t>
      </w:r>
      <w:proofErr w:type="spellStart"/>
      <w:r w:rsidRPr="00CD3EF9">
        <w:t>kaspofungín</w:t>
      </w:r>
      <w:proofErr w:type="spellEnd"/>
      <w:r w:rsidRPr="00CD3EF9">
        <w:t xml:space="preserve"> s</w:t>
      </w:r>
      <w:r w:rsidR="002371CB">
        <w:t>úbežne</w:t>
      </w:r>
      <w:r w:rsidRPr="00CD3EF9">
        <w:t xml:space="preserve"> s týmito </w:t>
      </w:r>
      <w:r w:rsidR="002371CB">
        <w:t xml:space="preserve">istými </w:t>
      </w:r>
      <w:r w:rsidRPr="00CD3EF9">
        <w:t>induktormi metabolických enzýmov (pozri časť 4.5), m</w:t>
      </w:r>
      <w:r w:rsidR="002371CB">
        <w:t>á</w:t>
      </w:r>
      <w:r w:rsidRPr="00CD3EF9">
        <w:t xml:space="preserve"> sa zvážiť denná dávka </w:t>
      </w:r>
      <w:proofErr w:type="spellStart"/>
      <w:r w:rsidRPr="00CD3EF9">
        <w:t>kaspofungínu</w:t>
      </w:r>
      <w:proofErr w:type="spellEnd"/>
      <w:r w:rsidRPr="00CD3EF9">
        <w:t xml:space="preserve"> 70 mg/m</w:t>
      </w:r>
      <w:r w:rsidRPr="00CD3EF9">
        <w:rPr>
          <w:vertAlign w:val="superscript"/>
        </w:rPr>
        <w:t>2</w:t>
      </w:r>
      <w:r w:rsidRPr="00CD3EF9">
        <w:t xml:space="preserve"> (nesmie</w:t>
      </w:r>
      <w:r w:rsidR="002371CB">
        <w:t xml:space="preserve"> sa</w:t>
      </w:r>
      <w:r w:rsidRPr="00CD3EF9">
        <w:t xml:space="preserve"> prekročiť </w:t>
      </w:r>
      <w:r w:rsidR="002371CB">
        <w:t xml:space="preserve">skutočná </w:t>
      </w:r>
      <w:r w:rsidRPr="00CD3EF9">
        <w:t xml:space="preserve">denná dávka 70 mg).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Spôsob podávania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Po rekonštitúcii a zriedení sa m</w:t>
      </w:r>
      <w:r w:rsidR="002371CB">
        <w:t>á</w:t>
      </w:r>
      <w:r w:rsidRPr="00CD3EF9">
        <w:t xml:space="preserve"> roztok podať pomalou intravenóznou infúziou </w:t>
      </w:r>
      <w:r w:rsidR="002371CB">
        <w:t>trvajúcou</w:t>
      </w:r>
      <w:r w:rsidRPr="00CD3EF9">
        <w:t xml:space="preserve"> približne 1 hodinu. Pokyny na rekonštitúciu, pozri časť 6.6.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2371CB" w:rsidP="00DD38BD">
      <w:pPr>
        <w:spacing w:line="240" w:lineRule="auto"/>
      </w:pPr>
      <w:r>
        <w:t xml:space="preserve">Dostupné </w:t>
      </w:r>
      <w:r w:rsidR="00945D09" w:rsidRPr="00CD3EF9">
        <w:t xml:space="preserve">sú 70 mg aj 50 mg injekčné liekovky.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proofErr w:type="spellEnd"/>
      <w:r w:rsidRPr="00CD3EF9">
        <w:t xml:space="preserve"> sa m</w:t>
      </w:r>
      <w:r w:rsidR="002371CB">
        <w:t>á</w:t>
      </w:r>
      <w:r w:rsidRPr="00CD3EF9">
        <w:t xml:space="preserve"> pod</w:t>
      </w:r>
      <w:r w:rsidR="002371CB">
        <w:t>ať ako jednorazová</w:t>
      </w:r>
      <w:r w:rsidRPr="00CD3EF9">
        <w:t xml:space="preserve"> infúzi</w:t>
      </w:r>
      <w:r w:rsidR="002371CB">
        <w:t>a</w:t>
      </w:r>
      <w:r w:rsidRPr="00CD3EF9">
        <w:t xml:space="preserve">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AB46CE" w:rsidP="00DD38BD">
      <w:pPr>
        <w:spacing w:line="240" w:lineRule="auto"/>
        <w:rPr>
          <w:lang w:val="da-DK"/>
        </w:rPr>
      </w:pPr>
      <w:r w:rsidRPr="00CD3EF9">
        <w:rPr>
          <w:vertAlign w:val="superscript"/>
        </w:rPr>
        <w:t>1</w:t>
      </w:r>
      <w:r w:rsidRPr="00CD3EF9">
        <w:t xml:space="preserve">Mosteller RD: </w:t>
      </w:r>
      <w:proofErr w:type="spellStart"/>
      <w:r w:rsidRPr="00CD3EF9">
        <w:t>Simplified</w:t>
      </w:r>
      <w:proofErr w:type="spellEnd"/>
      <w:r w:rsidRPr="00CD3EF9">
        <w:t xml:space="preserve"> </w:t>
      </w:r>
      <w:proofErr w:type="spellStart"/>
      <w:r w:rsidRPr="00CD3EF9">
        <w:t>Calculation</w:t>
      </w:r>
      <w:proofErr w:type="spellEnd"/>
      <w:r w:rsidRPr="00CD3EF9">
        <w:t xml:space="preserve"> of Body </w:t>
      </w:r>
      <w:proofErr w:type="spellStart"/>
      <w:r w:rsidRPr="00CD3EF9">
        <w:t>Surface</w:t>
      </w:r>
      <w:proofErr w:type="spellEnd"/>
      <w:r w:rsidRPr="00CD3EF9">
        <w:t xml:space="preserve"> </w:t>
      </w:r>
      <w:proofErr w:type="spellStart"/>
      <w:r w:rsidRPr="00CD3EF9">
        <w:t>Area</w:t>
      </w:r>
      <w:proofErr w:type="spellEnd"/>
      <w:r w:rsidRPr="00CD3EF9">
        <w:t xml:space="preserve">. </w:t>
      </w:r>
      <w:r w:rsidR="00CF3829" w:rsidRPr="00E25026">
        <w:rPr>
          <w:i/>
        </w:rPr>
        <w:t xml:space="preserve">N </w:t>
      </w:r>
      <w:proofErr w:type="spellStart"/>
      <w:r w:rsidR="00CF3829" w:rsidRPr="00E25026">
        <w:rPr>
          <w:i/>
        </w:rPr>
        <w:t>Engl</w:t>
      </w:r>
      <w:proofErr w:type="spellEnd"/>
      <w:r w:rsidR="00CF3829" w:rsidRPr="00E25026">
        <w:rPr>
          <w:i/>
        </w:rPr>
        <w:t xml:space="preserve"> J Med</w:t>
      </w:r>
      <w:r w:rsidR="00CF3829" w:rsidRPr="00CD3EF9">
        <w:t xml:space="preserve"> 1987 </w:t>
      </w:r>
      <w:proofErr w:type="spellStart"/>
      <w:r w:rsidR="00CF3829" w:rsidRPr="00CD3EF9">
        <w:t>Oct</w:t>
      </w:r>
      <w:proofErr w:type="spellEnd"/>
      <w:r w:rsidR="00CF3829" w:rsidRPr="00CD3EF9">
        <w:t xml:space="preserve"> 22;317(17)</w:t>
      </w:r>
      <w:r w:rsidRPr="00CD3EF9">
        <w:t>: 1098 (</w:t>
      </w:r>
      <w:proofErr w:type="spellStart"/>
      <w:r w:rsidRPr="00CD3EF9">
        <w:t>l</w:t>
      </w:r>
      <w:r w:rsidR="00CF3829" w:rsidRPr="00CD3EF9">
        <w:t>etter</w:t>
      </w:r>
      <w:proofErr w:type="spellEnd"/>
      <w:r w:rsidRPr="00CD3EF9">
        <w:t xml:space="preserve">) </w:t>
      </w:r>
    </w:p>
    <w:p w:rsidR="00377948" w:rsidRPr="00CD3EF9" w:rsidRDefault="00377948" w:rsidP="00DD38BD">
      <w:pPr>
        <w:spacing w:line="240" w:lineRule="auto"/>
        <w:rPr>
          <w:lang w:val="da-DK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da-DK"/>
        </w:rPr>
      </w:pPr>
      <w:r w:rsidRPr="00CD3EF9">
        <w:rPr>
          <w:b/>
          <w:bCs/>
          <w:iCs/>
          <w:szCs w:val="20"/>
        </w:rPr>
        <w:t xml:space="preserve">4.3 </w:t>
      </w:r>
      <w:r w:rsidRPr="00CD3EF9">
        <w:rPr>
          <w:b/>
          <w:bCs/>
          <w:iCs/>
          <w:szCs w:val="20"/>
        </w:rPr>
        <w:tab/>
        <w:t xml:space="preserve">Kontraindikácie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da-DK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Precitlivenosť na liečivo alebo na ktorúkoľvek z pomocných látok uvedených v časti 6.1. 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  <w:r w:rsidRPr="00CD3EF9">
        <w:rPr>
          <w:b/>
          <w:bCs/>
          <w:iCs/>
          <w:szCs w:val="20"/>
        </w:rPr>
        <w:t xml:space="preserve">4.4 </w:t>
      </w:r>
      <w:r w:rsidRPr="00CD3EF9">
        <w:rPr>
          <w:b/>
          <w:bCs/>
          <w:iCs/>
          <w:szCs w:val="20"/>
        </w:rPr>
        <w:tab/>
        <w:t xml:space="preserve">Osobitné upozornenia a opatrenia pri používaní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  <w:lang w:val="en-GB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Počas podávania </w:t>
      </w:r>
      <w:proofErr w:type="spellStart"/>
      <w:r w:rsidRPr="00CD3EF9">
        <w:t>kaspofungínu</w:t>
      </w:r>
      <w:proofErr w:type="spellEnd"/>
      <w:r w:rsidRPr="00CD3EF9">
        <w:t xml:space="preserve"> bola pozorovaná </w:t>
      </w:r>
      <w:proofErr w:type="spellStart"/>
      <w:r w:rsidRPr="00CD3EF9">
        <w:t>anafylaxia</w:t>
      </w:r>
      <w:proofErr w:type="spellEnd"/>
      <w:r w:rsidRPr="00CD3EF9">
        <w:t>. V prípade jej výskytu sa m</w:t>
      </w:r>
      <w:r w:rsidR="002371CB">
        <w:t>á</w:t>
      </w:r>
      <w:r w:rsidRPr="00CD3EF9">
        <w:t xml:space="preserve"> podávanie </w:t>
      </w:r>
      <w:proofErr w:type="spellStart"/>
      <w:r w:rsidRPr="00CD3EF9">
        <w:t>kaspofungínu</w:t>
      </w:r>
      <w:proofErr w:type="spellEnd"/>
      <w:r w:rsidRPr="00CD3EF9">
        <w:t xml:space="preserve"> </w:t>
      </w:r>
      <w:r w:rsidR="002371CB">
        <w:t>prerušiť</w:t>
      </w:r>
      <w:r w:rsidRPr="00CD3EF9">
        <w:t xml:space="preserve"> a je potrebné podať vhodnú liečbu. Boli </w:t>
      </w:r>
      <w:r w:rsidR="002371CB">
        <w:t>hlásené</w:t>
      </w:r>
      <w:r w:rsidRPr="00CD3EF9">
        <w:t xml:space="preserve"> nežiaduce reakcie pravdepodobne </w:t>
      </w:r>
      <w:r w:rsidR="002371CB">
        <w:t>sprostredkované</w:t>
      </w:r>
      <w:r w:rsidRPr="00CD3EF9">
        <w:t xml:space="preserve"> histamínom, medzi ktoré patrí vyrážka, opuch tváre, </w:t>
      </w:r>
      <w:proofErr w:type="spellStart"/>
      <w:r w:rsidRPr="00CD3EF9">
        <w:t>angioedém</w:t>
      </w:r>
      <w:proofErr w:type="spellEnd"/>
      <w:r w:rsidRPr="00CD3EF9">
        <w:t xml:space="preserve">, svrbenie, pocit tepla alebo bronchospazmus. Tieto reakcie môžu vyžadovať </w:t>
      </w:r>
      <w:r w:rsidR="00AB79CC">
        <w:t>prerušenie</w:t>
      </w:r>
      <w:r w:rsidRPr="00CD3EF9">
        <w:t xml:space="preserve"> </w:t>
      </w:r>
      <w:r w:rsidR="00AB79CC">
        <w:t>liečby</w:t>
      </w:r>
      <w:r w:rsidRPr="00CD3EF9">
        <w:t xml:space="preserve"> a/alebo podanie vhodnej liečby.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Obmedzené údaje naznačujú, že menej </w:t>
      </w:r>
      <w:r w:rsidR="00AB79CC">
        <w:t>časté</w:t>
      </w:r>
      <w:r w:rsidRPr="00CD3EF9">
        <w:t xml:space="preserve"> </w:t>
      </w:r>
      <w:proofErr w:type="spellStart"/>
      <w:r w:rsidR="00AB79CC">
        <w:t>non-kandidové</w:t>
      </w:r>
      <w:proofErr w:type="spellEnd"/>
      <w:r w:rsidR="00AB79CC">
        <w:t xml:space="preserve"> </w:t>
      </w:r>
      <w:r w:rsidRPr="00CD3EF9">
        <w:t>kvasinky</w:t>
      </w:r>
      <w:r w:rsidR="00AB79CC">
        <w:t xml:space="preserve"> a </w:t>
      </w:r>
      <w:proofErr w:type="spellStart"/>
      <w:r w:rsidR="00AB79CC">
        <w:t>non-aspergilové</w:t>
      </w:r>
      <w:proofErr w:type="spellEnd"/>
      <w:r w:rsidR="00AB79CC">
        <w:t xml:space="preserve"> </w:t>
      </w:r>
      <w:r w:rsidRPr="00CD3EF9">
        <w:t xml:space="preserve">plesne </w:t>
      </w:r>
      <w:r w:rsidR="00AB79CC">
        <w:t xml:space="preserve">nie sú na </w:t>
      </w:r>
      <w:proofErr w:type="spellStart"/>
      <w:r w:rsidR="00AB79CC">
        <w:t>kaspofungín</w:t>
      </w:r>
      <w:proofErr w:type="spellEnd"/>
      <w:r w:rsidR="00AB79CC">
        <w:t xml:space="preserve"> citlivé</w:t>
      </w:r>
      <w:r w:rsidRPr="00CD3EF9">
        <w:t xml:space="preserve">. Účinnosť </w:t>
      </w:r>
      <w:proofErr w:type="spellStart"/>
      <w:r w:rsidRPr="00CD3EF9">
        <w:t>kaspofungínu</w:t>
      </w:r>
      <w:proofErr w:type="spellEnd"/>
      <w:r w:rsidRPr="00CD3EF9">
        <w:t xml:space="preserve"> </w:t>
      </w:r>
      <w:r w:rsidR="00AB79CC">
        <w:t xml:space="preserve">proti týmto </w:t>
      </w:r>
      <w:proofErr w:type="spellStart"/>
      <w:r w:rsidR="00AB79CC">
        <w:t>mykotickým</w:t>
      </w:r>
      <w:proofErr w:type="spellEnd"/>
      <w:r w:rsidR="00AB79CC">
        <w:t xml:space="preserve"> patogénom</w:t>
      </w:r>
      <w:r w:rsidRPr="00CD3EF9">
        <w:t xml:space="preserve"> nebola stanovená.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Súčasné </w:t>
      </w:r>
      <w:r w:rsidR="00AB79CC">
        <w:t>po</w:t>
      </w:r>
      <w:r w:rsidRPr="00CD3EF9">
        <w:t xml:space="preserve">užívanie </w:t>
      </w:r>
      <w:proofErr w:type="spellStart"/>
      <w:r w:rsidRPr="00CD3EF9">
        <w:t>kaspofungínu</w:t>
      </w:r>
      <w:proofErr w:type="spellEnd"/>
      <w:r w:rsidRPr="00CD3EF9">
        <w:t xml:space="preserve"> s </w:t>
      </w:r>
      <w:proofErr w:type="spellStart"/>
      <w:r w:rsidRPr="00CD3EF9">
        <w:rPr>
          <w:color w:val="000000"/>
        </w:rPr>
        <w:t>cyklosporínom</w:t>
      </w:r>
      <w:proofErr w:type="spellEnd"/>
      <w:r w:rsidRPr="00CD3EF9">
        <w:t xml:space="preserve"> </w:t>
      </w:r>
      <w:r w:rsidR="00AB79CC">
        <w:t xml:space="preserve">sa </w:t>
      </w:r>
      <w:r w:rsidRPr="00CD3EF9">
        <w:t>hodnot</w:t>
      </w:r>
      <w:r w:rsidR="00AB79CC">
        <w:t xml:space="preserve">ilo </w:t>
      </w:r>
      <w:r w:rsidRPr="00CD3EF9">
        <w:t xml:space="preserve">u zdravých dospelých dobrovoľníkov a u dospelých pacientov. U niektorých zdravých dospelých dobrovoľníkov, ktorí dostali dve dávky 3 mg/kg </w:t>
      </w:r>
      <w:proofErr w:type="spellStart"/>
      <w:r w:rsidRPr="00CD3EF9">
        <w:rPr>
          <w:color w:val="000000"/>
        </w:rPr>
        <w:t>cyklosporínu</w:t>
      </w:r>
      <w:proofErr w:type="spellEnd"/>
      <w:r w:rsidRPr="00CD3EF9">
        <w:t xml:space="preserve"> spol</w:t>
      </w:r>
      <w:r w:rsidR="00AB79CC">
        <w:t>u</w:t>
      </w:r>
      <w:r w:rsidRPr="00CD3EF9">
        <w:t xml:space="preserve"> s </w:t>
      </w:r>
      <w:proofErr w:type="spellStart"/>
      <w:r w:rsidRPr="00CD3EF9">
        <w:t>kaspofungínom</w:t>
      </w:r>
      <w:proofErr w:type="spellEnd"/>
      <w:r w:rsidRPr="00CD3EF9">
        <w:t xml:space="preserve">, sa prejavilo prechodné zvýšenie </w:t>
      </w:r>
      <w:proofErr w:type="spellStart"/>
      <w:r w:rsidRPr="00CD3EF9">
        <w:t>alanín</w:t>
      </w:r>
      <w:r w:rsidR="00AB79CC">
        <w:t>amino</w:t>
      </w:r>
      <w:r w:rsidRPr="00CD3EF9">
        <w:t>trans</w:t>
      </w:r>
      <w:r w:rsidR="00AB79CC">
        <w:t>ferázy</w:t>
      </w:r>
      <w:proofErr w:type="spellEnd"/>
      <w:r w:rsidRPr="00CD3EF9">
        <w:t xml:space="preserve"> (ALT) a </w:t>
      </w:r>
      <w:proofErr w:type="spellStart"/>
      <w:r w:rsidRPr="00CD3EF9">
        <w:t>aspartát</w:t>
      </w:r>
      <w:r w:rsidR="00AB79CC">
        <w:t>amino</w:t>
      </w:r>
      <w:r w:rsidRPr="00CD3EF9">
        <w:t>trans</w:t>
      </w:r>
      <w:r w:rsidR="00AB79CC">
        <w:t>ferázy</w:t>
      </w:r>
      <w:proofErr w:type="spellEnd"/>
      <w:r w:rsidRPr="00CD3EF9">
        <w:t xml:space="preserve"> (AST), ktoré bolo menšie alebo rovné </w:t>
      </w:r>
      <w:r w:rsidR="00AB79CC">
        <w:t>troj</w:t>
      </w:r>
      <w:r w:rsidRPr="00CD3EF9">
        <w:t>násobku horn</w:t>
      </w:r>
      <w:r w:rsidR="00AB79CC">
        <w:t>ej</w:t>
      </w:r>
      <w:r w:rsidRPr="00CD3EF9">
        <w:t xml:space="preserve"> </w:t>
      </w:r>
      <w:r w:rsidR="00AB79CC">
        <w:t xml:space="preserve">hranice </w:t>
      </w:r>
      <w:r w:rsidRPr="00CD3EF9">
        <w:t xml:space="preserve">normálnej hodnoty. Tento stav </w:t>
      </w:r>
      <w:r w:rsidR="00AB79CC">
        <w:t xml:space="preserve">s </w:t>
      </w:r>
      <w:r w:rsidRPr="00CD3EF9">
        <w:t>po ukončení liečby</w:t>
      </w:r>
      <w:r w:rsidR="00AB79CC">
        <w:t xml:space="preserve"> upravil</w:t>
      </w:r>
      <w:r w:rsidRPr="00CD3EF9">
        <w:t xml:space="preserve">. V retrospektívnej štúdii so 40 pacientmi, ktorí boli v období po uvedení lieku na trh liečení </w:t>
      </w:r>
      <w:proofErr w:type="spellStart"/>
      <w:r w:rsidRPr="00CD3EF9">
        <w:t>kaspofungínom</w:t>
      </w:r>
      <w:proofErr w:type="spellEnd"/>
      <w:r w:rsidRPr="00CD3EF9">
        <w:t xml:space="preserve"> a </w:t>
      </w:r>
      <w:proofErr w:type="spellStart"/>
      <w:r w:rsidRPr="00CD3EF9">
        <w:rPr>
          <w:color w:val="000000"/>
        </w:rPr>
        <w:t>cyklosporínom</w:t>
      </w:r>
      <w:proofErr w:type="spellEnd"/>
      <w:r w:rsidRPr="00CD3EF9">
        <w:t xml:space="preserve"> po dobu 1 až 290 dní (medián 17,5 dňa), neboli zaznamenané žiadne závažné </w:t>
      </w:r>
      <w:proofErr w:type="spellStart"/>
      <w:r w:rsidR="00AB79CC">
        <w:t>hepatálne</w:t>
      </w:r>
      <w:proofErr w:type="spellEnd"/>
      <w:r w:rsidR="00AB79CC">
        <w:t xml:space="preserve"> </w:t>
      </w:r>
      <w:r w:rsidRPr="00CD3EF9">
        <w:t>nežiaduce reakcie</w:t>
      </w:r>
      <w:r w:rsidR="00AB79CC">
        <w:t>.</w:t>
      </w:r>
      <w:r w:rsidRPr="00CD3EF9">
        <w:t xml:space="preserve"> Tieto údaje naznačujú, že </w:t>
      </w:r>
      <w:proofErr w:type="spellStart"/>
      <w:r w:rsidRPr="00CD3EF9">
        <w:t>kaspofungín</w:t>
      </w:r>
      <w:proofErr w:type="spellEnd"/>
      <w:r w:rsidRPr="00CD3EF9">
        <w:t xml:space="preserve"> možn</w:t>
      </w:r>
      <w:r w:rsidR="00AB79CC">
        <w:t>o</w:t>
      </w:r>
      <w:r w:rsidRPr="00CD3EF9">
        <w:t xml:space="preserve"> použ</w:t>
      </w:r>
      <w:r w:rsidR="00AB79CC">
        <w:t xml:space="preserve">ívať </w:t>
      </w:r>
      <w:r w:rsidRPr="00CD3EF9">
        <w:t xml:space="preserve">u pacientov užívajúcich </w:t>
      </w:r>
      <w:proofErr w:type="spellStart"/>
      <w:r w:rsidRPr="00CD3EF9">
        <w:rPr>
          <w:color w:val="000000"/>
        </w:rPr>
        <w:t>cyklosporín</w:t>
      </w:r>
      <w:proofErr w:type="spellEnd"/>
      <w:r w:rsidR="00AB79CC">
        <w:rPr>
          <w:color w:val="000000"/>
        </w:rPr>
        <w:t xml:space="preserve"> v prípadoch</w:t>
      </w:r>
      <w:r w:rsidRPr="00CD3EF9">
        <w:t>, ak prínos prev</w:t>
      </w:r>
      <w:r w:rsidR="00AB79CC">
        <w:t>áži</w:t>
      </w:r>
      <w:r w:rsidRPr="00CD3EF9">
        <w:t xml:space="preserve"> potenciálne riziko. Pri súčasnom používaní </w:t>
      </w:r>
      <w:proofErr w:type="spellStart"/>
      <w:r w:rsidRPr="00CD3EF9">
        <w:t>kaspofungínu</w:t>
      </w:r>
      <w:proofErr w:type="spellEnd"/>
      <w:r w:rsidRPr="00CD3EF9">
        <w:t xml:space="preserve"> a </w:t>
      </w:r>
      <w:proofErr w:type="spellStart"/>
      <w:r w:rsidRPr="00CD3EF9">
        <w:rPr>
          <w:color w:val="000000"/>
        </w:rPr>
        <w:t>cyklosporínu</w:t>
      </w:r>
      <w:proofErr w:type="spellEnd"/>
      <w:r w:rsidRPr="00CD3EF9">
        <w:t xml:space="preserve"> sa m</w:t>
      </w:r>
      <w:r w:rsidR="00AB79CC">
        <w:t>á</w:t>
      </w:r>
      <w:r w:rsidRPr="00CD3EF9">
        <w:t xml:space="preserve"> zvážiť dôsledné monitorovanie pečeňových enzýmov.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U dospelých pacientov s</w:t>
      </w:r>
      <w:r w:rsidR="00DD7522">
        <w:t xml:space="preserve"> miernou poruchou funkcie </w:t>
      </w:r>
      <w:r w:rsidRPr="00CD3EF9">
        <w:t>pečene</w:t>
      </w:r>
      <w:r w:rsidR="00DD7522">
        <w:t xml:space="preserve"> je AUC</w:t>
      </w:r>
      <w:r w:rsidRPr="00CD3EF9">
        <w:t xml:space="preserve"> zvýš</w:t>
      </w:r>
      <w:r w:rsidR="00DD7522">
        <w:t xml:space="preserve">ená </w:t>
      </w:r>
      <w:r w:rsidRPr="00CD3EF9">
        <w:t>približne o 20 %</w:t>
      </w:r>
      <w:r w:rsidR="00DD7522">
        <w:t xml:space="preserve"> a u dospelých pacientov so stredne závažnou poruchou funkcie pečene je AUC zvýšená približne o </w:t>
      </w:r>
      <w:r w:rsidRPr="00CD3EF9">
        <w:t xml:space="preserve">75 %. </w:t>
      </w:r>
      <w:r w:rsidR="00DD7522">
        <w:t>U d</w:t>
      </w:r>
      <w:r w:rsidRPr="00CD3EF9">
        <w:t>ospelý</w:t>
      </w:r>
      <w:r w:rsidR="00DD7522">
        <w:t>ch pacientov</w:t>
      </w:r>
      <w:r w:rsidRPr="00CD3EF9">
        <w:t xml:space="preserve"> so </w:t>
      </w:r>
      <w:r w:rsidR="00DD7522">
        <w:t xml:space="preserve">stredne závažnou </w:t>
      </w:r>
      <w:r w:rsidRPr="00CD3EF9">
        <w:t>po</w:t>
      </w:r>
      <w:r w:rsidR="00DD7522">
        <w:t>ruchou funkcie</w:t>
      </w:r>
      <w:r w:rsidRPr="00CD3EF9">
        <w:t xml:space="preserve"> pečene sa odporúča zníženie dennej dávky na 35 mg. Neexistujú žiadne klinické skúsenosti s dospelými pacientmi so </w:t>
      </w:r>
      <w:r w:rsidR="00DD7522" w:rsidRPr="00CD3EF9">
        <w:t>závažn</w:t>
      </w:r>
      <w:r w:rsidR="00DD7522">
        <w:t>ou poruchou funkcie</w:t>
      </w:r>
      <w:r w:rsidRPr="00CD3EF9">
        <w:t xml:space="preserve"> pečene a</w:t>
      </w:r>
      <w:r w:rsidR="00DD7522">
        <w:t>ni</w:t>
      </w:r>
      <w:r w:rsidRPr="00CD3EF9">
        <w:t xml:space="preserve"> s pediatrickými pacientmi s akýmkoľvek stupňom </w:t>
      </w:r>
      <w:r w:rsidR="00DD7522">
        <w:t xml:space="preserve">poruchy funkcie </w:t>
      </w:r>
      <w:r w:rsidRPr="00CD3EF9">
        <w:t xml:space="preserve">pečene. U týchto pacientov sa predpokladá </w:t>
      </w:r>
      <w:r w:rsidR="00B3791B">
        <w:t>vyššia expozícia</w:t>
      </w:r>
      <w:r w:rsidRPr="00CD3EF9">
        <w:t xml:space="preserve"> než u stredne </w:t>
      </w:r>
      <w:r w:rsidR="00B3791B">
        <w:t>závažnej poruchy funkcie</w:t>
      </w:r>
      <w:r w:rsidRPr="00CD3EF9">
        <w:t xml:space="preserve"> pečene a preto sa m</w:t>
      </w:r>
      <w:r w:rsidR="00B3791B">
        <w:t>á</w:t>
      </w:r>
      <w:r w:rsidRPr="00CD3EF9">
        <w:t xml:space="preserve"> </w:t>
      </w:r>
      <w:proofErr w:type="spellStart"/>
      <w:r w:rsidRPr="00CD3EF9">
        <w:t>kaspofungín</w:t>
      </w:r>
      <w:proofErr w:type="spellEnd"/>
      <w:r w:rsidRPr="00CD3EF9">
        <w:t xml:space="preserve"> používať </w:t>
      </w:r>
      <w:r w:rsidR="00B3791B">
        <w:t>s opatrnosťou</w:t>
      </w:r>
      <w:r w:rsidRPr="00CD3EF9">
        <w:t xml:space="preserve"> (pozri časti 4.2 a 5.2). </w:t>
      </w:r>
    </w:p>
    <w:p w:rsidR="00605BED" w:rsidRPr="00CD3EF9" w:rsidRDefault="00605BED" w:rsidP="00DD38BD">
      <w:pPr>
        <w:spacing w:line="240" w:lineRule="auto"/>
      </w:pPr>
    </w:p>
    <w:p w:rsidR="003E45C0" w:rsidRPr="00CD3EF9" w:rsidRDefault="003E45C0" w:rsidP="00DD38BD">
      <w:pPr>
        <w:spacing w:line="240" w:lineRule="auto"/>
      </w:pPr>
      <w:r w:rsidRPr="00CD3EF9">
        <w:t>U zdravých dobrovoľníkov</w:t>
      </w:r>
      <w:r w:rsidR="00B3791B">
        <w:t>,</w:t>
      </w:r>
      <w:r w:rsidRPr="00CD3EF9">
        <w:t xml:space="preserve"> dospelých a pediatrických pacientov liečených </w:t>
      </w:r>
      <w:proofErr w:type="spellStart"/>
      <w:r w:rsidRPr="00CD3EF9">
        <w:t>kaspofungínom</w:t>
      </w:r>
      <w:proofErr w:type="spellEnd"/>
      <w:r w:rsidRPr="00CD3EF9">
        <w:t xml:space="preserve"> sa vyskytli laboratórne abnormality v testoch funkcie pečene. U niektorých dospelých a pediatrických pacientov so závažným</w:t>
      </w:r>
      <w:r w:rsidR="00B3791B">
        <w:t>i</w:t>
      </w:r>
      <w:r w:rsidRPr="00CD3EF9">
        <w:t xml:space="preserve"> </w:t>
      </w:r>
      <w:r w:rsidR="00B3791B">
        <w:t>základnými ochoreniami</w:t>
      </w:r>
      <w:r w:rsidRPr="00CD3EF9">
        <w:t>, ktorí dostávali viacero liekov súčasne s </w:t>
      </w:r>
      <w:proofErr w:type="spellStart"/>
      <w:r w:rsidRPr="00CD3EF9">
        <w:t>kaspofungínom</w:t>
      </w:r>
      <w:proofErr w:type="spellEnd"/>
      <w:r w:rsidRPr="00CD3EF9">
        <w:t>, sa vyskytli prípady klinicky významnej dysfunkcie pečene, hepatitídy a zlyh</w:t>
      </w:r>
      <w:r w:rsidR="00B3791B">
        <w:t>áv</w:t>
      </w:r>
      <w:r w:rsidRPr="00CD3EF9">
        <w:t>ania pečene. Príčinná súvislosť s </w:t>
      </w:r>
      <w:proofErr w:type="spellStart"/>
      <w:r w:rsidRPr="00CD3EF9">
        <w:t>kaspofungínom</w:t>
      </w:r>
      <w:proofErr w:type="spellEnd"/>
      <w:r w:rsidRPr="00CD3EF9">
        <w:t xml:space="preserve"> nebola p</w:t>
      </w:r>
      <w:r w:rsidR="00B3791B">
        <w:t>otvrdená</w:t>
      </w:r>
      <w:r w:rsidRPr="00CD3EF9">
        <w:t xml:space="preserve">. </w:t>
      </w:r>
      <w:r w:rsidR="00B3791B">
        <w:t>P</w:t>
      </w:r>
      <w:r w:rsidRPr="00CD3EF9">
        <w:t>acient</w:t>
      </w:r>
      <w:r w:rsidR="00B3791B">
        <w:t>i</w:t>
      </w:r>
      <w:r w:rsidRPr="00CD3EF9">
        <w:t xml:space="preserve">, u ktorých sa počas liečby </w:t>
      </w:r>
      <w:proofErr w:type="spellStart"/>
      <w:r w:rsidRPr="00CD3EF9">
        <w:t>kaspofungínom</w:t>
      </w:r>
      <w:proofErr w:type="spellEnd"/>
      <w:r w:rsidRPr="00CD3EF9">
        <w:t xml:space="preserve"> </w:t>
      </w:r>
      <w:r w:rsidR="00B3791B" w:rsidRPr="00CD3EF9">
        <w:t>vyskyt</w:t>
      </w:r>
      <w:r w:rsidR="00B3791B">
        <w:t>nú</w:t>
      </w:r>
      <w:r w:rsidR="00B3791B" w:rsidRPr="00CD3EF9">
        <w:t xml:space="preserve"> </w:t>
      </w:r>
      <w:r w:rsidRPr="00CD3EF9">
        <w:t>abnormálne výsledky testov funkcie pečene, ma</w:t>
      </w:r>
      <w:r w:rsidR="00B3791B">
        <w:t>jú byť</w:t>
      </w:r>
      <w:r w:rsidRPr="00CD3EF9">
        <w:t xml:space="preserve"> monitorova</w:t>
      </w:r>
      <w:r w:rsidR="00B3791B">
        <w:t>ní vzhľadom na</w:t>
      </w:r>
      <w:r w:rsidRPr="00CD3EF9">
        <w:t xml:space="preserve"> príznaky zhoršujúcej sa funkcie pečene a m</w:t>
      </w:r>
      <w:r w:rsidR="00B3791B">
        <w:t>á</w:t>
      </w:r>
      <w:r w:rsidRPr="00CD3EF9">
        <w:t xml:space="preserve"> sa prehodnotiť pomer prínosu a rizika pokrač</w:t>
      </w:r>
      <w:r w:rsidR="00B3791B">
        <w:t>ovania</w:t>
      </w:r>
      <w:r w:rsidRPr="00CD3EF9">
        <w:t xml:space="preserve"> </w:t>
      </w:r>
      <w:r w:rsidR="00B3791B">
        <w:t xml:space="preserve">v </w:t>
      </w:r>
      <w:r w:rsidRPr="00CD3EF9">
        <w:t>liečb</w:t>
      </w:r>
      <w:r w:rsidR="00B3791B">
        <w:t>e</w:t>
      </w:r>
      <w:r w:rsidRPr="00CD3EF9">
        <w:t xml:space="preserve"> </w:t>
      </w:r>
      <w:proofErr w:type="spellStart"/>
      <w:r w:rsidRPr="00CD3EF9">
        <w:t>kaspofungínom</w:t>
      </w:r>
      <w:proofErr w:type="spellEnd"/>
      <w:r w:rsidRPr="00CD3EF9">
        <w:t>.</w:t>
      </w:r>
    </w:p>
    <w:p w:rsidR="003E45C0" w:rsidRPr="00CD3EF9" w:rsidRDefault="003E45C0" w:rsidP="00DD38BD">
      <w:pPr>
        <w:spacing w:line="240" w:lineRule="auto"/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4.5 </w:t>
      </w:r>
      <w:r w:rsidRPr="00CD3EF9">
        <w:rPr>
          <w:b/>
          <w:bCs/>
          <w:iCs/>
          <w:szCs w:val="20"/>
        </w:rPr>
        <w:tab/>
        <w:t xml:space="preserve">Liekové a iné interakcie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Štúdie </w:t>
      </w:r>
      <w:r w:rsidRPr="00CD3EF9">
        <w:rPr>
          <w:i/>
        </w:rPr>
        <w:t xml:space="preserve">in vitro </w:t>
      </w:r>
      <w:r w:rsidR="00B3791B" w:rsidRPr="00E25026">
        <w:t>n</w:t>
      </w:r>
      <w:r w:rsidR="00B3791B">
        <w:t>aznačujú</w:t>
      </w:r>
      <w:r w:rsidRPr="00CD3EF9">
        <w:t xml:space="preserve">, že </w:t>
      </w:r>
      <w:proofErr w:type="spellStart"/>
      <w:r w:rsidRPr="00CD3EF9">
        <w:t>kaspofungín</w:t>
      </w:r>
      <w:proofErr w:type="spellEnd"/>
      <w:r w:rsidRPr="00CD3EF9">
        <w:t xml:space="preserve"> nie je inhibítorom žiadneho enzýmu </w:t>
      </w:r>
      <w:r w:rsidR="00B3791B">
        <w:t>zo</w:t>
      </w:r>
      <w:r w:rsidRPr="00CD3EF9">
        <w:t> systém</w:t>
      </w:r>
      <w:r w:rsidR="00B3791B">
        <w:t>u</w:t>
      </w:r>
      <w:r w:rsidRPr="00CD3EF9">
        <w:t xml:space="preserve"> </w:t>
      </w:r>
      <w:proofErr w:type="spellStart"/>
      <w:r w:rsidRPr="00CD3EF9">
        <w:t>cytochrómu</w:t>
      </w:r>
      <w:proofErr w:type="spellEnd"/>
      <w:r w:rsidRPr="00CD3EF9">
        <w:t xml:space="preserve"> P450 (CYP). V klinických štúdiách </w:t>
      </w:r>
      <w:proofErr w:type="spellStart"/>
      <w:r w:rsidRPr="00CD3EF9">
        <w:t>kaspofungín</w:t>
      </w:r>
      <w:proofErr w:type="spellEnd"/>
      <w:r w:rsidRPr="00CD3EF9">
        <w:t xml:space="preserve"> </w:t>
      </w:r>
      <w:r w:rsidR="00B3791B">
        <w:t>neindukoval</w:t>
      </w:r>
      <w:r w:rsidRPr="00CD3EF9">
        <w:t xml:space="preserve"> metabolizmus CYP3A4 iných látok. </w:t>
      </w:r>
      <w:proofErr w:type="spellStart"/>
      <w:r w:rsidRPr="00CD3EF9">
        <w:t>Kaspofungín</w:t>
      </w:r>
      <w:proofErr w:type="spellEnd"/>
      <w:r w:rsidRPr="00CD3EF9">
        <w:t xml:space="preserve"> nie je substrátom pre P-</w:t>
      </w:r>
      <w:proofErr w:type="spellStart"/>
      <w:r w:rsidRPr="00CD3EF9">
        <w:t>glykoproteín</w:t>
      </w:r>
      <w:proofErr w:type="spellEnd"/>
      <w:r w:rsidRPr="00CD3EF9">
        <w:t xml:space="preserve"> a je </w:t>
      </w:r>
      <w:r w:rsidR="00B3791B">
        <w:t xml:space="preserve">slabým </w:t>
      </w:r>
      <w:r w:rsidRPr="00CD3EF9">
        <w:t xml:space="preserve">substrátom pre enzýmy </w:t>
      </w:r>
      <w:proofErr w:type="spellStart"/>
      <w:r w:rsidRPr="00CD3EF9">
        <w:t>cytochrómu</w:t>
      </w:r>
      <w:proofErr w:type="spellEnd"/>
      <w:r w:rsidRPr="00CD3EF9">
        <w:t xml:space="preserve"> P450. Farmakologické a klinické štúdie (pozri </w:t>
      </w:r>
      <w:r w:rsidR="00B3791B">
        <w:t>nižšie</w:t>
      </w:r>
      <w:r w:rsidRPr="00CD3EF9">
        <w:t xml:space="preserve">) však ukázali, že </w:t>
      </w:r>
      <w:proofErr w:type="spellStart"/>
      <w:r w:rsidRPr="00CD3EF9">
        <w:t>kaspofungín</w:t>
      </w:r>
      <w:proofErr w:type="spellEnd"/>
      <w:r w:rsidRPr="00CD3EF9">
        <w:t xml:space="preserve"> </w:t>
      </w:r>
      <w:proofErr w:type="spellStart"/>
      <w:r w:rsidRPr="00CD3EF9">
        <w:t>interaguje</w:t>
      </w:r>
      <w:proofErr w:type="spellEnd"/>
      <w:r w:rsidRPr="00CD3EF9">
        <w:t xml:space="preserve"> s </w:t>
      </w:r>
      <w:r w:rsidR="00B3791B">
        <w:t>inými</w:t>
      </w:r>
      <w:r w:rsidRPr="00CD3EF9">
        <w:t xml:space="preserve"> liekmi.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V dvoch klinických štúdiách </w:t>
      </w:r>
      <w:r w:rsidR="000A4B46">
        <w:t xml:space="preserve">vykonaných </w:t>
      </w:r>
      <w:r w:rsidRPr="00CD3EF9">
        <w:t xml:space="preserve">so zdravými dospelými účastníkmi zvýšil </w:t>
      </w:r>
      <w:proofErr w:type="spellStart"/>
      <w:r w:rsidRPr="00CD3EF9">
        <w:t>cyklosporín</w:t>
      </w:r>
      <w:proofErr w:type="spellEnd"/>
      <w:r w:rsidRPr="00CD3EF9">
        <w:t xml:space="preserve"> A (jedna dávka 4 mg/kg alebo dve dávky 3 mg/kg </w:t>
      </w:r>
      <w:r w:rsidR="000A4B46">
        <w:t>s odstupom</w:t>
      </w:r>
      <w:r w:rsidRPr="00CD3EF9">
        <w:t xml:space="preserve"> 12 hodín) AUC </w:t>
      </w:r>
      <w:proofErr w:type="spellStart"/>
      <w:r w:rsidRPr="00CD3EF9">
        <w:t>kaspofungínu</w:t>
      </w:r>
      <w:proofErr w:type="spellEnd"/>
      <w:r w:rsidRPr="00CD3EF9">
        <w:t xml:space="preserve"> približne o 35 %. Toto zvýšenie AUC</w:t>
      </w:r>
      <w:r w:rsidR="000A4B46">
        <w:t xml:space="preserve"> </w:t>
      </w:r>
      <w:r w:rsidRPr="00CD3EF9">
        <w:t xml:space="preserve">je pravdepodobne spôsobené zníženým príjmom </w:t>
      </w:r>
      <w:proofErr w:type="spellStart"/>
      <w:r w:rsidRPr="00CD3EF9">
        <w:t>kaspofungínu</w:t>
      </w:r>
      <w:proofErr w:type="spellEnd"/>
      <w:r w:rsidRPr="00CD3EF9">
        <w:t xml:space="preserve"> pečeňou. </w:t>
      </w:r>
      <w:proofErr w:type="spellStart"/>
      <w:r w:rsidRPr="00CD3EF9">
        <w:t>Kaspofungín</w:t>
      </w:r>
      <w:proofErr w:type="spellEnd"/>
      <w:r w:rsidRPr="00CD3EF9">
        <w:t xml:space="preserve"> nezv</w:t>
      </w:r>
      <w:r w:rsidR="000A4B46">
        <w:t>y</w:t>
      </w:r>
      <w:r w:rsidRPr="00CD3EF9">
        <w:t>š</w:t>
      </w:r>
      <w:r w:rsidR="000A4B46">
        <w:t>ova</w:t>
      </w:r>
      <w:r w:rsidRPr="00CD3EF9">
        <w:t xml:space="preserve">l hladiny </w:t>
      </w:r>
      <w:proofErr w:type="spellStart"/>
      <w:r w:rsidRPr="00CD3EF9">
        <w:t>cyklosporínu</w:t>
      </w:r>
      <w:proofErr w:type="spellEnd"/>
      <w:r w:rsidRPr="00CD3EF9">
        <w:t xml:space="preserve"> v plazme. Pri súčasnom podávaní </w:t>
      </w:r>
      <w:proofErr w:type="spellStart"/>
      <w:r w:rsidRPr="00CD3EF9">
        <w:t>kaspofungínu</w:t>
      </w:r>
      <w:proofErr w:type="spellEnd"/>
      <w:r w:rsidRPr="00CD3EF9">
        <w:t xml:space="preserve"> a</w:t>
      </w:r>
      <w:r w:rsidR="000A4B46">
        <w:t> </w:t>
      </w:r>
      <w:proofErr w:type="spellStart"/>
      <w:r w:rsidRPr="00CD3EF9">
        <w:t>cyklosporínu</w:t>
      </w:r>
      <w:proofErr w:type="spellEnd"/>
      <w:r w:rsidRPr="00CD3EF9">
        <w:t xml:space="preserve"> sa vyskytli prechodné zvýšenia pečeňových hodnôt ALT a AST</w:t>
      </w:r>
      <w:r w:rsidR="000A4B46">
        <w:t xml:space="preserve"> o </w:t>
      </w:r>
      <w:r w:rsidRPr="00CD3EF9">
        <w:t xml:space="preserve">menej </w:t>
      </w:r>
      <w:r w:rsidR="000A4B46">
        <w:t xml:space="preserve">ako </w:t>
      </w:r>
      <w:r w:rsidRPr="00CD3EF9">
        <w:t>alebo rovn</w:t>
      </w:r>
      <w:r w:rsidR="000A4B46">
        <w:t>é</w:t>
      </w:r>
      <w:r w:rsidRPr="00CD3EF9">
        <w:t xml:space="preserve"> </w:t>
      </w:r>
      <w:r w:rsidR="000A4B46">
        <w:t>troj</w:t>
      </w:r>
      <w:r w:rsidRPr="00CD3EF9">
        <w:t xml:space="preserve">násobku horného limitu normálnej hodnoty. Tento stav </w:t>
      </w:r>
      <w:r w:rsidR="000A4B46">
        <w:t>sa upravil</w:t>
      </w:r>
      <w:r w:rsidRPr="00CD3EF9">
        <w:t xml:space="preserve"> po </w:t>
      </w:r>
      <w:r w:rsidR="000A4B46">
        <w:t>prerušení liečby</w:t>
      </w:r>
      <w:r w:rsidRPr="00CD3EF9">
        <w:t xml:space="preserve">. V retrospektívnej štúdii so 40 pacientmi, ktorí boli v období po uvedení lieku na trh liečení </w:t>
      </w:r>
      <w:proofErr w:type="spellStart"/>
      <w:r w:rsidRPr="00CD3EF9">
        <w:t>kaspofungínom</w:t>
      </w:r>
      <w:proofErr w:type="spellEnd"/>
      <w:r w:rsidRPr="00CD3EF9">
        <w:t xml:space="preserve"> a </w:t>
      </w:r>
      <w:proofErr w:type="spellStart"/>
      <w:r w:rsidRPr="00CD3EF9">
        <w:t>cyklosporínom</w:t>
      </w:r>
      <w:proofErr w:type="spellEnd"/>
      <w:r w:rsidRPr="00CD3EF9">
        <w:t xml:space="preserve"> po dobu 1 až 290 dní (medián 17,5 dňa), neboli zaznamenané žiadne závažné </w:t>
      </w:r>
      <w:proofErr w:type="spellStart"/>
      <w:r w:rsidR="000A4B46">
        <w:t>hepatálne</w:t>
      </w:r>
      <w:proofErr w:type="spellEnd"/>
      <w:r w:rsidR="000A4B46">
        <w:t xml:space="preserve"> n</w:t>
      </w:r>
      <w:r w:rsidRPr="00CD3EF9">
        <w:t xml:space="preserve">ežiaduce reakcie (pozri časť 4.4). Pri súčasnom </w:t>
      </w:r>
      <w:r w:rsidR="000A4B46">
        <w:t>podávaní týchto</w:t>
      </w:r>
      <w:r w:rsidRPr="00CD3EF9">
        <w:t xml:space="preserve"> dvoch lie</w:t>
      </w:r>
      <w:r w:rsidR="000A4B46">
        <w:t>čiv</w:t>
      </w:r>
      <w:r w:rsidRPr="00CD3EF9">
        <w:t xml:space="preserve"> sa m</w:t>
      </w:r>
      <w:r w:rsidR="000A4B46">
        <w:t>á</w:t>
      </w:r>
      <w:r w:rsidRPr="00CD3EF9">
        <w:t xml:space="preserve"> zvážiť dôsledné monitorovanie pečeňových enzýmov.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U zdravých dospelých dobrovoľníkov </w:t>
      </w:r>
      <w:proofErr w:type="spellStart"/>
      <w:r w:rsidRPr="00CD3EF9">
        <w:t>kaspofungín</w:t>
      </w:r>
      <w:proofErr w:type="spellEnd"/>
      <w:r w:rsidRPr="00CD3EF9">
        <w:t xml:space="preserve"> znížil minimálnu koncentráciu </w:t>
      </w:r>
      <w:proofErr w:type="spellStart"/>
      <w:r w:rsidRPr="00CD3EF9">
        <w:t>ta</w:t>
      </w:r>
      <w:r w:rsidR="008213B9">
        <w:t>k</w:t>
      </w:r>
      <w:r w:rsidRPr="00CD3EF9">
        <w:t>rolimu</w:t>
      </w:r>
      <w:proofErr w:type="spellEnd"/>
      <w:r w:rsidRPr="00CD3EF9">
        <w:t xml:space="preserve"> o 26 %. U</w:t>
      </w:r>
      <w:r w:rsidR="008213B9">
        <w:t> </w:t>
      </w:r>
      <w:r w:rsidRPr="00CD3EF9">
        <w:t>pacientov</w:t>
      </w:r>
      <w:r w:rsidR="008213B9">
        <w:t xml:space="preserve"> užívajúcich o</w:t>
      </w:r>
      <w:r w:rsidRPr="00CD3EF9">
        <w:t>b</w:t>
      </w:r>
      <w:r w:rsidR="008213B9">
        <w:t>e</w:t>
      </w:r>
      <w:r w:rsidRPr="00CD3EF9">
        <w:t xml:space="preserve"> lie</w:t>
      </w:r>
      <w:r w:rsidR="008213B9">
        <w:t>čivá</w:t>
      </w:r>
      <w:r w:rsidRPr="00CD3EF9">
        <w:t xml:space="preserve"> je </w:t>
      </w:r>
      <w:r w:rsidR="008213B9">
        <w:t>nevyhnutné</w:t>
      </w:r>
      <w:r w:rsidRPr="00CD3EF9">
        <w:t xml:space="preserve"> štandardné monitorovanie koncentrácií </w:t>
      </w:r>
      <w:proofErr w:type="spellStart"/>
      <w:r w:rsidRPr="00CD3EF9">
        <w:t>ta</w:t>
      </w:r>
      <w:r w:rsidR="008213B9">
        <w:t>k</w:t>
      </w:r>
      <w:r w:rsidRPr="00CD3EF9">
        <w:t>rolimu</w:t>
      </w:r>
      <w:proofErr w:type="spellEnd"/>
      <w:r w:rsidRPr="00CD3EF9">
        <w:t xml:space="preserve"> v krvi a </w:t>
      </w:r>
      <w:r w:rsidR="008213B9">
        <w:t>primeraná</w:t>
      </w:r>
      <w:r w:rsidRPr="00CD3EF9">
        <w:t xml:space="preserve"> úprava dávky </w:t>
      </w:r>
      <w:proofErr w:type="spellStart"/>
      <w:r w:rsidRPr="00CD3EF9">
        <w:t>ta</w:t>
      </w:r>
      <w:r w:rsidR="008213B9">
        <w:t>k</w:t>
      </w:r>
      <w:r w:rsidRPr="00CD3EF9">
        <w:t>rolimu</w:t>
      </w:r>
      <w:proofErr w:type="spellEnd"/>
      <w:r w:rsidRPr="00CD3EF9">
        <w:t xml:space="preserve">. </w:t>
      </w:r>
    </w:p>
    <w:p w:rsidR="00605BED" w:rsidRPr="00CD3EF9" w:rsidRDefault="00605BED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Klinické štúdie so zdravými dospelými dobrovoľníkmi ukazujú, že </w:t>
      </w:r>
      <w:proofErr w:type="spellStart"/>
      <w:r w:rsidRPr="00CD3EF9">
        <w:t>itrakonazol</w:t>
      </w:r>
      <w:proofErr w:type="spellEnd"/>
      <w:r w:rsidRPr="00CD3EF9">
        <w:t xml:space="preserve">, </w:t>
      </w:r>
      <w:proofErr w:type="spellStart"/>
      <w:r w:rsidRPr="00CD3EF9">
        <w:t>amfotericín</w:t>
      </w:r>
      <w:proofErr w:type="spellEnd"/>
      <w:r w:rsidRPr="00CD3EF9">
        <w:t xml:space="preserve"> B, </w:t>
      </w:r>
      <w:proofErr w:type="spellStart"/>
      <w:r w:rsidRPr="00CD3EF9">
        <w:t>mykofenolát</w:t>
      </w:r>
      <w:proofErr w:type="spellEnd"/>
      <w:r w:rsidRPr="00CD3EF9">
        <w:t xml:space="preserve">, </w:t>
      </w:r>
      <w:proofErr w:type="spellStart"/>
      <w:r w:rsidRPr="00CD3EF9">
        <w:t>nelfinavir</w:t>
      </w:r>
      <w:proofErr w:type="spellEnd"/>
      <w:r w:rsidRPr="00CD3EF9">
        <w:t xml:space="preserve"> a</w:t>
      </w:r>
      <w:r w:rsidR="008213B9">
        <w:t>ni</w:t>
      </w:r>
      <w:r w:rsidRPr="00CD3EF9">
        <w:t xml:space="preserve"> </w:t>
      </w:r>
      <w:proofErr w:type="spellStart"/>
      <w:r w:rsidRPr="00CD3EF9">
        <w:t>ta</w:t>
      </w:r>
      <w:r w:rsidR="008213B9">
        <w:t>k</w:t>
      </w:r>
      <w:r w:rsidRPr="00CD3EF9">
        <w:t>rolimus</w:t>
      </w:r>
      <w:proofErr w:type="spellEnd"/>
      <w:r w:rsidRPr="00CD3EF9">
        <w:t xml:space="preserve"> </w:t>
      </w:r>
      <w:r w:rsidR="008213B9">
        <w:t>významne neovplyvňujú</w:t>
      </w:r>
      <w:r w:rsidRPr="00CD3EF9">
        <w:t xml:space="preserve"> </w:t>
      </w:r>
      <w:proofErr w:type="spellStart"/>
      <w:r w:rsidRPr="00CD3EF9">
        <w:t>farmakokinetik</w:t>
      </w:r>
      <w:r w:rsidR="008213B9">
        <w:t>u</w:t>
      </w:r>
      <w:proofErr w:type="spellEnd"/>
      <w:r w:rsidR="008213B9">
        <w:t xml:space="preserve"> </w:t>
      </w:r>
      <w:proofErr w:type="spellStart"/>
      <w:r w:rsidR="008213B9">
        <w:t>kaspofungínu</w:t>
      </w:r>
      <w:proofErr w:type="spellEnd"/>
      <w:r w:rsidRPr="00CD3EF9">
        <w:t xml:space="preserve">. </w:t>
      </w:r>
      <w:proofErr w:type="spellStart"/>
      <w:r w:rsidRPr="00CD3EF9">
        <w:t>Kaspofungín</w:t>
      </w:r>
      <w:proofErr w:type="spellEnd"/>
      <w:r w:rsidRPr="00CD3EF9">
        <w:t xml:space="preserve"> neovplyvnil </w:t>
      </w:r>
      <w:proofErr w:type="spellStart"/>
      <w:r w:rsidRPr="00CD3EF9">
        <w:t>farmakokineti</w:t>
      </w:r>
      <w:r w:rsidR="008213B9">
        <w:t>ku</w:t>
      </w:r>
      <w:proofErr w:type="spellEnd"/>
      <w:r w:rsidRPr="00CD3EF9">
        <w:t xml:space="preserve"> </w:t>
      </w:r>
      <w:proofErr w:type="spellStart"/>
      <w:r w:rsidRPr="00CD3EF9">
        <w:t>amfotericínu</w:t>
      </w:r>
      <w:proofErr w:type="spellEnd"/>
      <w:r w:rsidRPr="00CD3EF9">
        <w:t xml:space="preserve"> B, </w:t>
      </w:r>
      <w:proofErr w:type="spellStart"/>
      <w:r w:rsidRPr="00CD3EF9">
        <w:t>itrakonazolu</w:t>
      </w:r>
      <w:proofErr w:type="spellEnd"/>
      <w:r w:rsidRPr="00CD3EF9">
        <w:t xml:space="preserve">, </w:t>
      </w:r>
      <w:proofErr w:type="spellStart"/>
      <w:r w:rsidRPr="00CD3EF9">
        <w:t>rifampicínu</w:t>
      </w:r>
      <w:proofErr w:type="spellEnd"/>
      <w:r w:rsidRPr="00CD3EF9">
        <w:t xml:space="preserve"> ani </w:t>
      </w:r>
      <w:proofErr w:type="spellStart"/>
      <w:r w:rsidRPr="00CD3EF9">
        <w:t>mykofenolát</w:t>
      </w:r>
      <w:proofErr w:type="spellEnd"/>
      <w:r w:rsidRPr="00CD3EF9">
        <w:t xml:space="preserve"> </w:t>
      </w:r>
      <w:proofErr w:type="spellStart"/>
      <w:r w:rsidRPr="00CD3EF9">
        <w:t>mofetilu</w:t>
      </w:r>
      <w:proofErr w:type="spellEnd"/>
      <w:r w:rsidRPr="00CD3EF9">
        <w:t xml:space="preserve">. Aj keď sú k dispozícii iba obmedzené </w:t>
      </w:r>
      <w:r w:rsidR="008213B9">
        <w:t xml:space="preserve">údaje o </w:t>
      </w:r>
      <w:r w:rsidRPr="00CD3EF9">
        <w:t>bezpečnost</w:t>
      </w:r>
      <w:r w:rsidR="008213B9">
        <w:t>i</w:t>
      </w:r>
      <w:r w:rsidRPr="00CD3EF9">
        <w:t>,</w:t>
      </w:r>
      <w:r w:rsidR="008213B9">
        <w:t xml:space="preserve"> zdá sa, že</w:t>
      </w:r>
      <w:r w:rsidRPr="00CD3EF9">
        <w:t xml:space="preserve"> pri </w:t>
      </w:r>
      <w:r w:rsidR="008213B9">
        <w:t xml:space="preserve">súbežnom </w:t>
      </w:r>
      <w:r w:rsidRPr="00CD3EF9">
        <w:t xml:space="preserve">podávaní </w:t>
      </w:r>
      <w:proofErr w:type="spellStart"/>
      <w:r w:rsidRPr="00CD3EF9">
        <w:t>amfotericínu</w:t>
      </w:r>
      <w:proofErr w:type="spellEnd"/>
      <w:r w:rsidRPr="00CD3EF9">
        <w:t xml:space="preserve"> B, </w:t>
      </w:r>
      <w:proofErr w:type="spellStart"/>
      <w:r w:rsidRPr="00CD3EF9">
        <w:t>itrakonazolu</w:t>
      </w:r>
      <w:proofErr w:type="spellEnd"/>
      <w:r w:rsidRPr="00CD3EF9">
        <w:t xml:space="preserve">, </w:t>
      </w:r>
      <w:proofErr w:type="spellStart"/>
      <w:r w:rsidRPr="00CD3EF9">
        <w:t>nelfinaviru</w:t>
      </w:r>
      <w:proofErr w:type="spellEnd"/>
      <w:r w:rsidRPr="00CD3EF9">
        <w:t xml:space="preserve"> alebo </w:t>
      </w:r>
      <w:proofErr w:type="spellStart"/>
      <w:r w:rsidRPr="00CD3EF9">
        <w:t>mykofenolát</w:t>
      </w:r>
      <w:proofErr w:type="spellEnd"/>
      <w:r w:rsidRPr="00CD3EF9">
        <w:t xml:space="preserve"> </w:t>
      </w:r>
      <w:proofErr w:type="spellStart"/>
      <w:r w:rsidRPr="00CD3EF9">
        <w:t>mofetilu</w:t>
      </w:r>
      <w:proofErr w:type="spellEnd"/>
      <w:r w:rsidRPr="00CD3EF9">
        <w:t xml:space="preserve"> s </w:t>
      </w:r>
      <w:proofErr w:type="spellStart"/>
      <w:r w:rsidRPr="00CD3EF9">
        <w:t>kaspofungínom</w:t>
      </w:r>
      <w:proofErr w:type="spellEnd"/>
      <w:r w:rsidRPr="00CD3EF9">
        <w:t xml:space="preserve"> </w:t>
      </w:r>
      <w:r w:rsidR="008213B9">
        <w:t>nie sú potrebné</w:t>
      </w:r>
      <w:r w:rsidRPr="00CD3EF9">
        <w:t xml:space="preserve"> žiadne zvláštne opatrenia.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Rifampicín</w:t>
      </w:r>
      <w:proofErr w:type="spellEnd"/>
      <w:r w:rsidRPr="00CD3EF9">
        <w:t xml:space="preserve"> spôsobil zvýšenie AUC</w:t>
      </w:r>
      <w:r w:rsidR="008213B9">
        <w:t xml:space="preserve"> </w:t>
      </w:r>
      <w:proofErr w:type="spellStart"/>
      <w:r w:rsidR="008213B9">
        <w:t>kaspofungínu</w:t>
      </w:r>
      <w:proofErr w:type="spellEnd"/>
      <w:r w:rsidRPr="00CD3EF9">
        <w:t xml:space="preserve"> o 60 % a zvýšenie minimálnej koncentrácie </w:t>
      </w:r>
      <w:proofErr w:type="spellStart"/>
      <w:r w:rsidRPr="00CD3EF9">
        <w:t>kaspofungínu</w:t>
      </w:r>
      <w:proofErr w:type="spellEnd"/>
      <w:r w:rsidRPr="00CD3EF9">
        <w:t xml:space="preserve"> </w:t>
      </w:r>
      <w:r w:rsidR="008213B9" w:rsidRPr="00CD3EF9">
        <w:t xml:space="preserve">o 170 % </w:t>
      </w:r>
      <w:r w:rsidRPr="00CD3EF9">
        <w:t>v prvý deň spoločného podávania</w:t>
      </w:r>
      <w:r w:rsidR="008213B9">
        <w:t>,</w:t>
      </w:r>
      <w:r w:rsidRPr="00CD3EF9">
        <w:t xml:space="preserve"> </w:t>
      </w:r>
      <w:r w:rsidR="008213B9">
        <w:t>a</w:t>
      </w:r>
      <w:r w:rsidRPr="00CD3EF9">
        <w:t xml:space="preserve">k </w:t>
      </w:r>
      <w:r w:rsidR="008213B9">
        <w:t>bolo podávanie oboch liečiv</w:t>
      </w:r>
      <w:r w:rsidRPr="00CD3EF9">
        <w:t xml:space="preserve"> zdravým dospelým dobrovoľníkom</w:t>
      </w:r>
      <w:r w:rsidR="008213B9">
        <w:t xml:space="preserve"> zahájené súčasne</w:t>
      </w:r>
      <w:r w:rsidRPr="00CD3EF9">
        <w:t xml:space="preserve">. Minimálne hladiny </w:t>
      </w:r>
      <w:proofErr w:type="spellStart"/>
      <w:r w:rsidRPr="00CD3EF9">
        <w:t>kaspofungínu</w:t>
      </w:r>
      <w:proofErr w:type="spellEnd"/>
      <w:r w:rsidRPr="00CD3EF9">
        <w:t xml:space="preserve"> sa pri opakovanom podávaní postupne znižovali. Po dvoch týždňoch podávania mal </w:t>
      </w:r>
      <w:proofErr w:type="spellStart"/>
      <w:r w:rsidRPr="00CD3EF9">
        <w:t>rifampicín</w:t>
      </w:r>
      <w:proofErr w:type="spellEnd"/>
      <w:r w:rsidRPr="00CD3EF9">
        <w:t xml:space="preserve"> obmedzený účinok na</w:t>
      </w:r>
      <w:r w:rsidR="00AD3E82">
        <w:t> </w:t>
      </w:r>
      <w:r w:rsidRPr="00CD3EF9">
        <w:t xml:space="preserve">AUC, avšak minimálne hladiny boli o 30 % nižšie než u dospelých účastníkov, ktorí dostávali iba </w:t>
      </w:r>
      <w:proofErr w:type="spellStart"/>
      <w:r w:rsidRPr="00CD3EF9">
        <w:t>kaspofungín</w:t>
      </w:r>
      <w:proofErr w:type="spellEnd"/>
      <w:r w:rsidRPr="00CD3EF9">
        <w:t xml:space="preserve">. Mechanizmom interakcie </w:t>
      </w:r>
      <w:r w:rsidR="00AD3E82">
        <w:t>môže</w:t>
      </w:r>
      <w:r w:rsidRPr="00CD3EF9">
        <w:t xml:space="preserve"> </w:t>
      </w:r>
      <w:r w:rsidR="00AD3E82">
        <w:t>spočívať v</w:t>
      </w:r>
      <w:r w:rsidRPr="00CD3EF9">
        <w:t xml:space="preserve"> počiatočn</w:t>
      </w:r>
      <w:r w:rsidR="00AD3E82">
        <w:t>ej</w:t>
      </w:r>
      <w:r w:rsidRPr="00CD3EF9">
        <w:t xml:space="preserve"> inhibíci</w:t>
      </w:r>
      <w:r w:rsidR="00AD3E82">
        <w:t>i</w:t>
      </w:r>
      <w:r w:rsidRPr="00CD3EF9">
        <w:t xml:space="preserve"> a následn</w:t>
      </w:r>
      <w:r w:rsidR="00AD3E82">
        <w:t>ej</w:t>
      </w:r>
      <w:r w:rsidRPr="00CD3EF9">
        <w:t xml:space="preserve"> indukci</w:t>
      </w:r>
      <w:r w:rsidR="00AD3E82">
        <w:t>i</w:t>
      </w:r>
      <w:r w:rsidRPr="00CD3EF9">
        <w:t xml:space="preserve"> transportných proteínov. Podobný účinok možno očakávať </w:t>
      </w:r>
      <w:r w:rsidR="00AD3E82">
        <w:t xml:space="preserve">aj </w:t>
      </w:r>
      <w:r w:rsidRPr="00CD3EF9">
        <w:t>pri ďalších lie</w:t>
      </w:r>
      <w:r w:rsidR="00AD3E82">
        <w:t>čivách</w:t>
      </w:r>
      <w:r w:rsidRPr="00CD3EF9">
        <w:t xml:space="preserve">, ktoré indukujú metabolické enzýmy. Obmedzené údaje z populačných </w:t>
      </w:r>
      <w:proofErr w:type="spellStart"/>
      <w:r w:rsidRPr="00CD3EF9">
        <w:t>farmakokinetických</w:t>
      </w:r>
      <w:proofErr w:type="spellEnd"/>
      <w:r w:rsidRPr="00CD3EF9">
        <w:t xml:space="preserve"> štúdií naznačujú, že súčasné </w:t>
      </w:r>
      <w:r w:rsidR="00AD3E82">
        <w:t>po</w:t>
      </w:r>
      <w:r w:rsidRPr="00CD3EF9">
        <w:t xml:space="preserve">užívanie </w:t>
      </w:r>
      <w:proofErr w:type="spellStart"/>
      <w:r w:rsidRPr="00CD3EF9">
        <w:t>kaspofungínu</w:t>
      </w:r>
      <w:proofErr w:type="spellEnd"/>
      <w:r w:rsidRPr="00CD3EF9">
        <w:t xml:space="preserve"> s induktormi </w:t>
      </w:r>
      <w:proofErr w:type="spellStart"/>
      <w:r w:rsidRPr="00CD3EF9">
        <w:t>efavirenz</w:t>
      </w:r>
      <w:r w:rsidR="00AD3E82">
        <w:t>om</w:t>
      </w:r>
      <w:proofErr w:type="spellEnd"/>
      <w:r w:rsidRPr="00CD3EF9">
        <w:t xml:space="preserve">, </w:t>
      </w:r>
      <w:proofErr w:type="spellStart"/>
      <w:r w:rsidRPr="00CD3EF9">
        <w:t>nevirapín</w:t>
      </w:r>
      <w:r w:rsidR="00AD3E82">
        <w:t>om</w:t>
      </w:r>
      <w:proofErr w:type="spellEnd"/>
      <w:r w:rsidRPr="00CD3EF9">
        <w:t xml:space="preserve">, </w:t>
      </w:r>
      <w:proofErr w:type="spellStart"/>
      <w:r w:rsidRPr="00CD3EF9">
        <w:t>rifampicín</w:t>
      </w:r>
      <w:r w:rsidR="00AD3E82">
        <w:t>om</w:t>
      </w:r>
      <w:proofErr w:type="spellEnd"/>
      <w:r w:rsidRPr="00CD3EF9">
        <w:t xml:space="preserve">, </w:t>
      </w:r>
      <w:proofErr w:type="spellStart"/>
      <w:r w:rsidRPr="00CD3EF9">
        <w:t>dexametazón</w:t>
      </w:r>
      <w:r w:rsidR="00AD3E82">
        <w:t>om</w:t>
      </w:r>
      <w:proofErr w:type="spellEnd"/>
      <w:r w:rsidRPr="00CD3EF9">
        <w:t xml:space="preserve">, </w:t>
      </w:r>
      <w:proofErr w:type="spellStart"/>
      <w:r w:rsidRPr="00CD3EF9">
        <w:t>fenytoín</w:t>
      </w:r>
      <w:r w:rsidR="00AD3E82">
        <w:t>om</w:t>
      </w:r>
      <w:proofErr w:type="spellEnd"/>
      <w:r w:rsidRPr="00CD3EF9">
        <w:t xml:space="preserve"> alebo </w:t>
      </w:r>
      <w:proofErr w:type="spellStart"/>
      <w:r w:rsidRPr="00CD3EF9">
        <w:t>karbamazepín</w:t>
      </w:r>
      <w:r w:rsidR="00AD3E82">
        <w:t>om</w:t>
      </w:r>
      <w:proofErr w:type="spellEnd"/>
      <w:r w:rsidRPr="00CD3EF9">
        <w:t xml:space="preserve"> môž</w:t>
      </w:r>
      <w:r w:rsidR="00AD3E82">
        <w:t>e</w:t>
      </w:r>
      <w:r w:rsidRPr="00CD3EF9">
        <w:t xml:space="preserve"> mať za následok zníženie AUC </w:t>
      </w:r>
      <w:proofErr w:type="spellStart"/>
      <w:r w:rsidRPr="00CD3EF9">
        <w:t>kaspofungínu</w:t>
      </w:r>
      <w:proofErr w:type="spellEnd"/>
      <w:r w:rsidRPr="00CD3EF9">
        <w:t xml:space="preserve">. Pri spoločnom podávaní s induktormi metabolických enzýmov sa </w:t>
      </w:r>
      <w:r w:rsidR="00AD3E82">
        <w:t xml:space="preserve">má </w:t>
      </w:r>
      <w:r w:rsidRPr="00CD3EF9">
        <w:t xml:space="preserve">u dospelých pacientov </w:t>
      </w:r>
      <w:r w:rsidR="00AD3E82" w:rsidRPr="00CD3EF9">
        <w:t xml:space="preserve">po </w:t>
      </w:r>
      <w:r w:rsidR="00AD3E82">
        <w:t>počiatočnej</w:t>
      </w:r>
      <w:r w:rsidR="00AD3E82" w:rsidRPr="00CD3EF9">
        <w:t xml:space="preserve"> dávke 70 mg </w:t>
      </w:r>
      <w:r w:rsidRPr="00CD3EF9">
        <w:t xml:space="preserve">zvážiť zvýšenie dennej dávky </w:t>
      </w:r>
      <w:proofErr w:type="spellStart"/>
      <w:r w:rsidRPr="00CD3EF9">
        <w:t>kaspofungínu</w:t>
      </w:r>
      <w:proofErr w:type="spellEnd"/>
      <w:r w:rsidRPr="00CD3EF9">
        <w:t xml:space="preserve"> na 70 mg (pozri časť 4.2).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Všetky štúdie zamerané na vzájomné liekové interakcie u dospelých pacientov opísané vyššie boli vykonané pri dennej dávke 50 alebo 70 mg </w:t>
      </w:r>
      <w:proofErr w:type="spellStart"/>
      <w:r w:rsidRPr="00CD3EF9">
        <w:t>kaspofungínu</w:t>
      </w:r>
      <w:proofErr w:type="spellEnd"/>
      <w:r w:rsidRPr="00CD3EF9">
        <w:t xml:space="preserve">. Interakcia vyšších dávok </w:t>
      </w:r>
      <w:proofErr w:type="spellStart"/>
      <w:r w:rsidRPr="00CD3EF9">
        <w:t>kaspofungínu</w:t>
      </w:r>
      <w:proofErr w:type="spellEnd"/>
      <w:r w:rsidRPr="00CD3EF9">
        <w:t xml:space="preserve"> s </w:t>
      </w:r>
      <w:r w:rsidR="00AD3E82">
        <w:t>inými</w:t>
      </w:r>
      <w:r w:rsidRPr="00CD3EF9">
        <w:t xml:space="preserve"> liekmi nebola formálne skúmaná.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Výsledky regresných analýz </w:t>
      </w:r>
      <w:proofErr w:type="spellStart"/>
      <w:r w:rsidRPr="00CD3EF9">
        <w:rPr>
          <w:color w:val="000000"/>
        </w:rPr>
        <w:t>farmakokinetických</w:t>
      </w:r>
      <w:proofErr w:type="spellEnd"/>
      <w:r w:rsidRPr="00CD3EF9">
        <w:rPr>
          <w:color w:val="000000"/>
        </w:rPr>
        <w:t xml:space="preserve"> údajov od pediatrických pacientov naznačujú, že s</w:t>
      </w:r>
      <w:r w:rsidR="00AD3E82">
        <w:rPr>
          <w:color w:val="000000"/>
        </w:rPr>
        <w:t>úbežné</w:t>
      </w:r>
      <w:r w:rsidRPr="00CD3EF9">
        <w:rPr>
          <w:color w:val="000000"/>
        </w:rPr>
        <w:t xml:space="preserve"> podávanie </w:t>
      </w:r>
      <w:proofErr w:type="spellStart"/>
      <w:r w:rsidRPr="00CD3EF9">
        <w:rPr>
          <w:color w:val="000000"/>
        </w:rPr>
        <w:t>dexametazónu</w:t>
      </w:r>
      <w:proofErr w:type="spellEnd"/>
      <w:r w:rsidRPr="00CD3EF9">
        <w:rPr>
          <w:color w:val="000000"/>
        </w:rPr>
        <w:t xml:space="preserve"> s </w:t>
      </w:r>
      <w:proofErr w:type="spellStart"/>
      <w:r w:rsidRPr="00CD3EF9">
        <w:rPr>
          <w:color w:val="000000"/>
        </w:rPr>
        <w:t>kaspofungínom</w:t>
      </w:r>
      <w:proofErr w:type="spellEnd"/>
      <w:r w:rsidRPr="00CD3EF9">
        <w:rPr>
          <w:color w:val="000000"/>
        </w:rPr>
        <w:t xml:space="preserve"> môže mať za následok klinicky významné zníženie minimálnych koncentrácií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. Toto zistenie môže naznačovať, že u pediatrických pacientov sa prejavia podobné zníženia s induktormi ako u dospelých. Ak sa pediatrickým pacientom (vo veku od 12 mesiacov do 17 rokov) podáva </w:t>
      </w:r>
      <w:proofErr w:type="spellStart"/>
      <w:r w:rsidRPr="00CD3EF9">
        <w:rPr>
          <w:color w:val="000000"/>
        </w:rPr>
        <w:t>kaspofungín</w:t>
      </w:r>
      <w:proofErr w:type="spellEnd"/>
      <w:r w:rsidRPr="00CD3EF9">
        <w:rPr>
          <w:color w:val="000000"/>
        </w:rPr>
        <w:t xml:space="preserve"> s</w:t>
      </w:r>
      <w:r w:rsidR="00AD3E82">
        <w:rPr>
          <w:color w:val="000000"/>
        </w:rPr>
        <w:t>úbežne</w:t>
      </w:r>
      <w:r w:rsidRPr="00CD3EF9">
        <w:rPr>
          <w:color w:val="000000"/>
        </w:rPr>
        <w:t xml:space="preserve"> s induktormi </w:t>
      </w:r>
      <w:r w:rsidR="00AD3E82">
        <w:rPr>
          <w:color w:val="000000"/>
        </w:rPr>
        <w:t xml:space="preserve">eliminácie </w:t>
      </w:r>
      <w:r w:rsidRPr="00CD3EF9">
        <w:rPr>
          <w:color w:val="000000"/>
        </w:rPr>
        <w:t>lie</w:t>
      </w:r>
      <w:r w:rsidR="00AD3E82">
        <w:rPr>
          <w:color w:val="000000"/>
        </w:rPr>
        <w:t>čiv</w:t>
      </w:r>
      <w:r w:rsidRPr="00CD3EF9">
        <w:rPr>
          <w:color w:val="000000"/>
        </w:rPr>
        <w:t xml:space="preserve">, ako je </w:t>
      </w:r>
      <w:proofErr w:type="spellStart"/>
      <w:r w:rsidRPr="00CD3EF9">
        <w:rPr>
          <w:color w:val="000000"/>
        </w:rPr>
        <w:t>rifampicín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efavirenz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nevirapín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fenytoín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dexametazón</w:t>
      </w:r>
      <w:proofErr w:type="spellEnd"/>
      <w:r w:rsidRPr="00CD3EF9">
        <w:rPr>
          <w:color w:val="000000"/>
        </w:rPr>
        <w:t xml:space="preserve"> alebo </w:t>
      </w:r>
      <w:proofErr w:type="spellStart"/>
      <w:r w:rsidRPr="00CD3EF9">
        <w:rPr>
          <w:color w:val="000000"/>
        </w:rPr>
        <w:t>karbamazepín</w:t>
      </w:r>
      <w:proofErr w:type="spellEnd"/>
      <w:r w:rsidRPr="00CD3EF9">
        <w:rPr>
          <w:color w:val="000000"/>
        </w:rPr>
        <w:t>, m</w:t>
      </w:r>
      <w:r w:rsidR="00AD3E82">
        <w:rPr>
          <w:color w:val="000000"/>
        </w:rPr>
        <w:t>á</w:t>
      </w:r>
      <w:r w:rsidRPr="00CD3EF9">
        <w:rPr>
          <w:color w:val="000000"/>
        </w:rPr>
        <w:t xml:space="preserve"> sa zvážiť denná dávka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 70 mg/m</w:t>
      </w:r>
      <w:r w:rsidRPr="00CD3EF9">
        <w:rPr>
          <w:color w:val="000000"/>
          <w:vertAlign w:val="superscript"/>
        </w:rPr>
        <w:t xml:space="preserve">2 </w:t>
      </w:r>
      <w:r w:rsidRPr="00CD3EF9">
        <w:rPr>
          <w:color w:val="000000"/>
        </w:rPr>
        <w:t>(nesmie</w:t>
      </w:r>
      <w:r w:rsidR="00AD3E82">
        <w:rPr>
          <w:color w:val="000000"/>
        </w:rPr>
        <w:t xml:space="preserve"> sa</w:t>
      </w:r>
      <w:r w:rsidRPr="00CD3EF9">
        <w:rPr>
          <w:color w:val="000000"/>
        </w:rPr>
        <w:t xml:space="preserve"> prekročiť </w:t>
      </w:r>
      <w:r w:rsidR="00AD3E82">
        <w:rPr>
          <w:color w:val="000000"/>
        </w:rPr>
        <w:t>skutočná</w:t>
      </w:r>
      <w:r w:rsidRPr="00CD3EF9">
        <w:rPr>
          <w:color w:val="000000"/>
        </w:rPr>
        <w:t xml:space="preserve"> denná dávka 70 mg). 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4.6 </w:t>
      </w:r>
      <w:r w:rsidRPr="00CD3EF9">
        <w:rPr>
          <w:b/>
          <w:bCs/>
          <w:iCs/>
          <w:szCs w:val="20"/>
        </w:rPr>
        <w:tab/>
        <w:t xml:space="preserve">Fertilita, gravidita a laktácia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Gravidita </w:t>
      </w:r>
    </w:p>
    <w:p w:rsidR="00945D09" w:rsidRPr="00CD3EF9" w:rsidRDefault="003D2EB4" w:rsidP="00DD38BD">
      <w:pPr>
        <w:spacing w:line="240" w:lineRule="auto"/>
      </w:pPr>
      <w:r w:rsidRPr="00CD3EF9">
        <w:t>Nie sú k</w:t>
      </w:r>
      <w:r w:rsidR="00C123BF" w:rsidRPr="00CD3EF9">
        <w:t> </w:t>
      </w:r>
      <w:r w:rsidRPr="00CD3EF9">
        <w:t xml:space="preserve">dispozícii </w:t>
      </w:r>
      <w:r w:rsidR="00AD3E82">
        <w:t xml:space="preserve">žiadne </w:t>
      </w:r>
      <w:r w:rsidRPr="00CD3EF9">
        <w:t>alebo iba obmedzené údaj</w:t>
      </w:r>
      <w:r w:rsidR="00AD3E82">
        <w:t>e</w:t>
      </w:r>
      <w:r w:rsidRPr="00CD3EF9">
        <w:t xml:space="preserve"> o použití </w:t>
      </w:r>
      <w:proofErr w:type="spellStart"/>
      <w:r w:rsidRPr="00CD3EF9">
        <w:t>kaspofungínu</w:t>
      </w:r>
      <w:proofErr w:type="spellEnd"/>
      <w:r w:rsidRPr="00CD3EF9">
        <w:t xml:space="preserve"> u gravidných žien</w:t>
      </w:r>
      <w:r w:rsidR="00945D09" w:rsidRPr="00CD3EF9">
        <w:t xml:space="preserve">. </w:t>
      </w:r>
      <w:proofErr w:type="spellStart"/>
      <w:r w:rsidRPr="00CD3EF9">
        <w:t>Kaspofungín</w:t>
      </w:r>
      <w:proofErr w:type="spellEnd"/>
      <w:r w:rsidRPr="00CD3EF9">
        <w:t xml:space="preserve"> sa nemá používať počas gravidity, ak to nie je </w:t>
      </w:r>
      <w:r w:rsidR="00AD3E82">
        <w:t>bezpodmienečne</w:t>
      </w:r>
      <w:r w:rsidRPr="00CD3EF9">
        <w:t xml:space="preserve"> nevyhnutné</w:t>
      </w:r>
      <w:r w:rsidR="00945D09" w:rsidRPr="00CD3EF9">
        <w:t>. Štúdie na</w:t>
      </w:r>
      <w:r w:rsidR="00AD3E82">
        <w:t> </w:t>
      </w:r>
      <w:r w:rsidR="00945D09" w:rsidRPr="00CD3EF9">
        <w:t>zvieratách preukázali toxicitu pre vývoj plodu (</w:t>
      </w:r>
      <w:r w:rsidR="001A3276" w:rsidRPr="00CD3EF9">
        <w:rPr>
          <w:color w:val="000000"/>
        </w:rPr>
        <w:t>pozri časť 5.3</w:t>
      </w:r>
      <w:r w:rsidR="00945D09" w:rsidRPr="00CD3EF9">
        <w:t xml:space="preserve">). </w:t>
      </w:r>
      <w:r w:rsidR="00A6077D">
        <w:t xml:space="preserve">V štúdiách na zvieratách sa ukázalo, že </w:t>
      </w:r>
      <w:proofErr w:type="spellStart"/>
      <w:r w:rsidR="00A6077D">
        <w:t>k</w:t>
      </w:r>
      <w:r w:rsidR="00945D09" w:rsidRPr="00CD3EF9">
        <w:t>aspofungín</w:t>
      </w:r>
      <w:proofErr w:type="spellEnd"/>
      <w:r w:rsidR="00945D09" w:rsidRPr="00CD3EF9">
        <w:t xml:space="preserve"> </w:t>
      </w:r>
      <w:r w:rsidR="00A6077D">
        <w:t xml:space="preserve">prechádza </w:t>
      </w:r>
      <w:r w:rsidR="00945D09" w:rsidRPr="00CD3EF9">
        <w:t xml:space="preserve">cez placentárnu bariéru.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Dojčenie </w:t>
      </w:r>
    </w:p>
    <w:p w:rsidR="00945D09" w:rsidRPr="00CD3EF9" w:rsidRDefault="00945D09" w:rsidP="00DD38BD">
      <w:pPr>
        <w:spacing w:line="240" w:lineRule="auto"/>
      </w:pPr>
      <w:r w:rsidRPr="00CD3EF9">
        <w:t xml:space="preserve">Nie je známe, či sa </w:t>
      </w:r>
      <w:proofErr w:type="spellStart"/>
      <w:r w:rsidRPr="00CD3EF9">
        <w:t>kaspofungín</w:t>
      </w:r>
      <w:proofErr w:type="spellEnd"/>
      <w:r w:rsidRPr="00CD3EF9">
        <w:t xml:space="preserve"> vylučuje </w:t>
      </w:r>
      <w:r w:rsidR="00005E25" w:rsidRPr="00CD3EF9">
        <w:t>do ľudského mlieka</w:t>
      </w:r>
      <w:r w:rsidRPr="00CD3EF9">
        <w:t xml:space="preserve">. </w:t>
      </w:r>
      <w:r w:rsidR="00816745" w:rsidRPr="00CD3EF9">
        <w:t xml:space="preserve">Dostupné </w:t>
      </w:r>
      <w:proofErr w:type="spellStart"/>
      <w:r w:rsidR="00816745" w:rsidRPr="00CD3EF9">
        <w:t>farmakodynamické</w:t>
      </w:r>
      <w:proofErr w:type="spellEnd"/>
      <w:r w:rsidR="00816745" w:rsidRPr="00CD3EF9">
        <w:t xml:space="preserve">/toxikologické údaje u zvierat preukázali vylučovanie </w:t>
      </w:r>
      <w:proofErr w:type="spellStart"/>
      <w:r w:rsidR="00816745" w:rsidRPr="00CD3EF9">
        <w:t>kaspofungínu</w:t>
      </w:r>
      <w:proofErr w:type="spellEnd"/>
      <w:r w:rsidR="00816745" w:rsidRPr="00CD3EF9">
        <w:t xml:space="preserve"> do mlieka</w:t>
      </w:r>
      <w:r w:rsidRPr="00CD3EF9">
        <w:t xml:space="preserve">. Ženy užívajúce </w:t>
      </w:r>
      <w:proofErr w:type="spellStart"/>
      <w:r w:rsidRPr="00CD3EF9">
        <w:t>kaspofungín</w:t>
      </w:r>
      <w:proofErr w:type="spellEnd"/>
      <w:r w:rsidRPr="00CD3EF9">
        <w:t xml:space="preserve"> ne</w:t>
      </w:r>
      <w:r w:rsidR="00A6077D">
        <w:t>smú</w:t>
      </w:r>
      <w:r w:rsidRPr="00CD3EF9">
        <w:t xml:space="preserve"> dojčiť. </w:t>
      </w:r>
    </w:p>
    <w:p w:rsidR="00377948" w:rsidRPr="00CD3EF9" w:rsidRDefault="00377948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Fertilita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V štúdiách uskutočnených na samcoch a samiciach potkanov nemal </w:t>
      </w:r>
      <w:proofErr w:type="spellStart"/>
      <w:r w:rsidRPr="00CD3EF9">
        <w:rPr>
          <w:color w:val="000000"/>
        </w:rPr>
        <w:t>kaspofungín</w:t>
      </w:r>
      <w:proofErr w:type="spellEnd"/>
      <w:r w:rsidRPr="00CD3EF9">
        <w:rPr>
          <w:color w:val="000000"/>
        </w:rPr>
        <w:t xml:space="preserve"> žiadny účinok na</w:t>
      </w:r>
      <w:r w:rsidR="00A6077D">
        <w:rPr>
          <w:color w:val="000000"/>
        </w:rPr>
        <w:t> </w:t>
      </w:r>
      <w:proofErr w:type="spellStart"/>
      <w:r w:rsidRPr="00CD3EF9">
        <w:rPr>
          <w:color w:val="000000"/>
        </w:rPr>
        <w:t>fertilitu</w:t>
      </w:r>
      <w:proofErr w:type="spellEnd"/>
      <w:r w:rsidR="00A6077D">
        <w:rPr>
          <w:color w:val="000000"/>
        </w:rPr>
        <w:t xml:space="preserve"> </w:t>
      </w:r>
      <w:r w:rsidR="00A6077D" w:rsidRPr="00CD3EF9">
        <w:rPr>
          <w:color w:val="000000"/>
        </w:rPr>
        <w:t>(pozri časť 5.3)</w:t>
      </w:r>
      <w:r w:rsidRPr="00CD3EF9">
        <w:rPr>
          <w:color w:val="000000"/>
        </w:rPr>
        <w:t xml:space="preserve">. K dispozícii nie sú žiadne klinické údaje na vyhodnotenie vplyvu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 na </w:t>
      </w:r>
      <w:proofErr w:type="spellStart"/>
      <w:r w:rsidRPr="00CD3EF9">
        <w:rPr>
          <w:color w:val="000000"/>
        </w:rPr>
        <w:t>fertilitu</w:t>
      </w:r>
      <w:proofErr w:type="spellEnd"/>
      <w:r w:rsidRPr="00CD3EF9">
        <w:rPr>
          <w:color w:val="000000"/>
        </w:rPr>
        <w:t xml:space="preserve">. </w:t>
      </w:r>
    </w:p>
    <w:p w:rsidR="00377948" w:rsidRPr="00CD3EF9" w:rsidRDefault="00377948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4.7 </w:t>
      </w:r>
      <w:r w:rsidRPr="00CD3EF9">
        <w:rPr>
          <w:b/>
          <w:bCs/>
          <w:iCs/>
          <w:szCs w:val="20"/>
        </w:rPr>
        <w:tab/>
        <w:t xml:space="preserve">Ovplyvnenie schopnosti viesť vozidlá a obsluhovať stroje </w:t>
      </w:r>
    </w:p>
    <w:p w:rsidR="00377948" w:rsidRPr="00CD3EF9" w:rsidRDefault="00377948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Ne</w:t>
      </w:r>
      <w:r w:rsidR="00A6077D">
        <w:rPr>
          <w:color w:val="000000"/>
        </w:rPr>
        <w:t>uskutočnili sa</w:t>
      </w:r>
      <w:r w:rsidRPr="00CD3EF9">
        <w:rPr>
          <w:color w:val="000000"/>
        </w:rPr>
        <w:t xml:space="preserve"> žiadne štúdie skúmajúce vplyv na schopnosť viesť vozidlá a obsluhovať stroje. </w:t>
      </w:r>
    </w:p>
    <w:p w:rsidR="00377948" w:rsidRPr="00CD3EF9" w:rsidRDefault="00377948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4.8 </w:t>
      </w:r>
      <w:r w:rsidRPr="00CD3EF9">
        <w:rPr>
          <w:b/>
          <w:bCs/>
          <w:iCs/>
          <w:szCs w:val="20"/>
        </w:rPr>
        <w:tab/>
      </w:r>
      <w:r w:rsidR="008030A7" w:rsidRPr="00CD3EF9">
        <w:rPr>
          <w:b/>
          <w:bCs/>
          <w:iCs/>
          <w:szCs w:val="20"/>
        </w:rPr>
        <w:t>Nežiaduce účinky</w:t>
      </w:r>
      <w:r w:rsidRPr="00CD3EF9">
        <w:rPr>
          <w:b/>
          <w:bCs/>
          <w:iCs/>
          <w:szCs w:val="20"/>
        </w:rPr>
        <w:t xml:space="preserve">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A6077D" w:rsidP="00DD38BD">
      <w:pPr>
        <w:spacing w:line="240" w:lineRule="auto"/>
      </w:pPr>
      <w:r>
        <w:t>Boli hlásené</w:t>
      </w:r>
      <w:r w:rsidR="00945D09" w:rsidRPr="00CD3EF9">
        <w:t xml:space="preserve"> reakcie </w:t>
      </w:r>
      <w:r>
        <w:t xml:space="preserve">z precitlivenosti </w:t>
      </w:r>
      <w:r w:rsidR="00945D09" w:rsidRPr="00CD3EF9">
        <w:t>(</w:t>
      </w:r>
      <w:proofErr w:type="spellStart"/>
      <w:r w:rsidR="00945D09" w:rsidRPr="00CD3EF9">
        <w:t>anafylaxia</w:t>
      </w:r>
      <w:proofErr w:type="spellEnd"/>
      <w:r w:rsidR="00945D09" w:rsidRPr="00CD3EF9">
        <w:t xml:space="preserve"> a</w:t>
      </w:r>
      <w:r>
        <w:t xml:space="preserve"> pravdepodobne </w:t>
      </w:r>
      <w:r w:rsidR="00945D09" w:rsidRPr="00CD3EF9">
        <w:t xml:space="preserve">histamínom vyvolané nežiaduce reakcie) (pozri časť 4.4).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U pacientov s invazívnou </w:t>
      </w:r>
      <w:proofErr w:type="spellStart"/>
      <w:r w:rsidRPr="00CD3EF9">
        <w:t>aspergilózou</w:t>
      </w:r>
      <w:proofErr w:type="spellEnd"/>
      <w:r w:rsidRPr="00CD3EF9">
        <w:t xml:space="preserve"> </w:t>
      </w:r>
      <w:r w:rsidR="00A6077D">
        <w:t>bol</w:t>
      </w:r>
      <w:r w:rsidRPr="00CD3EF9">
        <w:t xml:space="preserve"> tiež </w:t>
      </w:r>
      <w:r w:rsidR="00A6077D">
        <w:t>hlásený</w:t>
      </w:r>
      <w:r w:rsidRPr="00CD3EF9">
        <w:t xml:space="preserve"> </w:t>
      </w:r>
      <w:r w:rsidR="00A6077D">
        <w:t xml:space="preserve">edém </w:t>
      </w:r>
      <w:r w:rsidRPr="00CD3EF9">
        <w:t xml:space="preserve">pľúcny, syndróm akútnej </w:t>
      </w:r>
      <w:r w:rsidR="00A6077D">
        <w:t>respiračnej</w:t>
      </w:r>
      <w:r w:rsidRPr="00CD3EF9">
        <w:t xml:space="preserve"> tiesne (ARDS) a </w:t>
      </w:r>
      <w:proofErr w:type="spellStart"/>
      <w:r w:rsidRPr="00CD3EF9">
        <w:t>infiltráty</w:t>
      </w:r>
      <w:proofErr w:type="spellEnd"/>
      <w:r w:rsidRPr="00CD3EF9">
        <w:t xml:space="preserve"> na röntgenových snímkach. </w:t>
      </w:r>
    </w:p>
    <w:p w:rsidR="00377948" w:rsidRPr="00CD3EF9" w:rsidRDefault="00377948" w:rsidP="00DD38BD">
      <w:pPr>
        <w:spacing w:line="240" w:lineRule="auto"/>
      </w:pPr>
    </w:p>
    <w:p w:rsidR="00945D09" w:rsidRPr="00CD3EF9" w:rsidRDefault="00AD74A6" w:rsidP="00DD38BD">
      <w:pPr>
        <w:spacing w:line="240" w:lineRule="auto"/>
        <w:rPr>
          <w:i/>
          <w:u w:val="single"/>
        </w:rPr>
      </w:pPr>
      <w:r w:rsidRPr="00CD3EF9">
        <w:rPr>
          <w:i/>
          <w:u w:val="single"/>
        </w:rPr>
        <w:t>Dospelí pacienti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V klinických štúdiách dostalo 1 865 dospelých jedincov jednu alebo viaceré dávky </w:t>
      </w:r>
      <w:proofErr w:type="spellStart"/>
      <w:r w:rsidRPr="00CD3EF9">
        <w:t>kaspofungínu</w:t>
      </w:r>
      <w:proofErr w:type="spellEnd"/>
      <w:r w:rsidRPr="00CD3EF9">
        <w:t xml:space="preserve">: 564 </w:t>
      </w:r>
      <w:proofErr w:type="spellStart"/>
      <w:r w:rsidRPr="00CD3EF9">
        <w:t>febrilných</w:t>
      </w:r>
      <w:proofErr w:type="spellEnd"/>
      <w:r w:rsidRPr="00CD3EF9">
        <w:t xml:space="preserve"> pacientov s </w:t>
      </w:r>
      <w:proofErr w:type="spellStart"/>
      <w:r w:rsidRPr="00CD3EF9">
        <w:t>neutropéniou</w:t>
      </w:r>
      <w:proofErr w:type="spellEnd"/>
      <w:r w:rsidRPr="00CD3EF9">
        <w:t xml:space="preserve"> (štúdia empirickej liečby), 382 pacientov s invazívnou </w:t>
      </w:r>
      <w:proofErr w:type="spellStart"/>
      <w:r w:rsidRPr="00CD3EF9">
        <w:t>kandidózou</w:t>
      </w:r>
      <w:proofErr w:type="spellEnd"/>
      <w:r w:rsidRPr="00CD3EF9">
        <w:t xml:space="preserve">, 228 pacientov s invazívnou </w:t>
      </w:r>
      <w:proofErr w:type="spellStart"/>
      <w:r w:rsidRPr="00CD3EF9">
        <w:t>aspergilózou</w:t>
      </w:r>
      <w:proofErr w:type="spellEnd"/>
      <w:r w:rsidRPr="00CD3EF9">
        <w:t>, 297 pacientov s lok</w:t>
      </w:r>
      <w:r w:rsidR="00A6077D">
        <w:t>álnymi</w:t>
      </w:r>
      <w:r w:rsidRPr="00CD3EF9">
        <w:t xml:space="preserve"> </w:t>
      </w:r>
      <w:proofErr w:type="spellStart"/>
      <w:r w:rsidR="00A6077D">
        <w:t>kandidovými</w:t>
      </w:r>
      <w:proofErr w:type="spellEnd"/>
      <w:r w:rsidR="00A6077D">
        <w:t xml:space="preserve"> </w:t>
      </w:r>
      <w:r w:rsidRPr="00CD3EF9">
        <w:t xml:space="preserve">infekciami a 394 jednotlivcov zapojených do štúdií fázy I. V štúdii empirickej liečby pacienti </w:t>
      </w:r>
      <w:r w:rsidR="009557E7">
        <w:t>dostávali</w:t>
      </w:r>
      <w:r w:rsidR="009557E7" w:rsidRPr="00CD3EF9">
        <w:t xml:space="preserve"> </w:t>
      </w:r>
      <w:r w:rsidRPr="00CD3EF9">
        <w:t xml:space="preserve">chemoterapiu na liečbu zhubného nádoru alebo podstúpili transplantáciu </w:t>
      </w:r>
      <w:proofErr w:type="spellStart"/>
      <w:r w:rsidRPr="00CD3EF9">
        <w:t>hematopoetických</w:t>
      </w:r>
      <w:proofErr w:type="spellEnd"/>
      <w:r w:rsidRPr="00CD3EF9">
        <w:t xml:space="preserve"> kmeňových buniek (vrátane 39 </w:t>
      </w:r>
      <w:proofErr w:type="spellStart"/>
      <w:r w:rsidRPr="00CD3EF9">
        <w:t>alogénnych</w:t>
      </w:r>
      <w:proofErr w:type="spellEnd"/>
      <w:r w:rsidRPr="00CD3EF9">
        <w:t xml:space="preserve"> transplantácií). V štúdiách s pacientmi s dokumentovanými </w:t>
      </w:r>
      <w:proofErr w:type="spellStart"/>
      <w:r w:rsidR="009557E7">
        <w:t>kandidovými</w:t>
      </w:r>
      <w:proofErr w:type="spellEnd"/>
      <w:r w:rsidR="009557E7">
        <w:t xml:space="preserve"> </w:t>
      </w:r>
      <w:r w:rsidRPr="00CD3EF9">
        <w:t>infekciami mala väčšina pacientov s invazívn</w:t>
      </w:r>
      <w:r w:rsidR="009557E7">
        <w:t xml:space="preserve">ou </w:t>
      </w:r>
      <w:proofErr w:type="spellStart"/>
      <w:r w:rsidR="009557E7">
        <w:t>kandidovou</w:t>
      </w:r>
      <w:proofErr w:type="spellEnd"/>
      <w:r w:rsidRPr="00CD3EF9">
        <w:t xml:space="preserve"> infekci</w:t>
      </w:r>
      <w:r w:rsidR="009557E7">
        <w:t>ou</w:t>
      </w:r>
      <w:r w:rsidRPr="00CD3EF9">
        <w:t xml:space="preserve"> závažn</w:t>
      </w:r>
      <w:r w:rsidR="009557E7">
        <w:t>é</w:t>
      </w:r>
      <w:r w:rsidRPr="00CD3EF9">
        <w:t xml:space="preserve"> základn</w:t>
      </w:r>
      <w:r w:rsidR="009557E7">
        <w:t>é</w:t>
      </w:r>
      <w:r w:rsidRPr="00CD3EF9">
        <w:t xml:space="preserve"> </w:t>
      </w:r>
      <w:r w:rsidR="009557E7">
        <w:t xml:space="preserve">ochorenie </w:t>
      </w:r>
      <w:r w:rsidRPr="00CD3EF9">
        <w:t>(napr</w:t>
      </w:r>
      <w:r w:rsidR="009557E7">
        <w:t>.</w:t>
      </w:r>
      <w:r w:rsidRPr="00CD3EF9">
        <w:t xml:space="preserve"> hematologický alebo iný zhubný nádor, nedávn</w:t>
      </w:r>
      <w:r w:rsidR="009557E7">
        <w:t>y</w:t>
      </w:r>
      <w:r w:rsidRPr="00CD3EF9">
        <w:t xml:space="preserve"> v</w:t>
      </w:r>
      <w:r w:rsidR="009557E7">
        <w:t xml:space="preserve">äčší </w:t>
      </w:r>
      <w:r w:rsidRPr="00CD3EF9">
        <w:t xml:space="preserve"> </w:t>
      </w:r>
      <w:r w:rsidR="009557E7">
        <w:t>chirurgický zákrok</w:t>
      </w:r>
      <w:r w:rsidRPr="00CD3EF9">
        <w:t>, HIV) vyžadujúc</w:t>
      </w:r>
      <w:r w:rsidR="009557E7">
        <w:t>e</w:t>
      </w:r>
      <w:r w:rsidRPr="00CD3EF9">
        <w:t xml:space="preserve"> súčasn</w:t>
      </w:r>
      <w:r w:rsidR="009557E7">
        <w:t>ú</w:t>
      </w:r>
      <w:r w:rsidRPr="00CD3EF9">
        <w:t xml:space="preserve"> </w:t>
      </w:r>
      <w:r w:rsidR="009557E7">
        <w:t xml:space="preserve">liečbu </w:t>
      </w:r>
      <w:r w:rsidRPr="00CD3EF9">
        <w:t>viacerý</w:t>
      </w:r>
      <w:r w:rsidR="009557E7">
        <w:t>mi</w:t>
      </w:r>
      <w:r w:rsidRPr="00CD3EF9">
        <w:t xml:space="preserve"> lie</w:t>
      </w:r>
      <w:r w:rsidR="009557E7">
        <w:t>čivami</w:t>
      </w:r>
      <w:r w:rsidRPr="00CD3EF9">
        <w:t xml:space="preserve">. Pacienti v nekomparatívnej </w:t>
      </w:r>
      <w:proofErr w:type="spellStart"/>
      <w:r w:rsidR="009557E7">
        <w:t>aspergilovej</w:t>
      </w:r>
      <w:proofErr w:type="spellEnd"/>
      <w:r w:rsidR="009557E7">
        <w:t xml:space="preserve"> </w:t>
      </w:r>
      <w:r w:rsidRPr="00CD3EF9">
        <w:t xml:space="preserve">štúdii mali často závažný </w:t>
      </w:r>
      <w:proofErr w:type="spellStart"/>
      <w:r w:rsidRPr="00CD3EF9">
        <w:t>predispo</w:t>
      </w:r>
      <w:r w:rsidR="009557E7">
        <w:t>nujúci</w:t>
      </w:r>
      <w:proofErr w:type="spellEnd"/>
      <w:r w:rsidRPr="00CD3EF9">
        <w:t xml:space="preserve"> zdravotný stav (napr. transplantáci</w:t>
      </w:r>
      <w:r w:rsidR="009557E7">
        <w:t>u</w:t>
      </w:r>
      <w:r w:rsidRPr="00CD3EF9">
        <w:t xml:space="preserve"> kostnej drene alebo periférnych kmeňových buniek, hematologický zhubný nádor, solídne tumory alebo transplantácie orgánov), ktorý </w:t>
      </w:r>
      <w:r w:rsidR="009557E7">
        <w:t xml:space="preserve">si </w:t>
      </w:r>
      <w:r w:rsidRPr="00CD3EF9">
        <w:t>vyžad</w:t>
      </w:r>
      <w:r w:rsidR="009557E7">
        <w:t>oval</w:t>
      </w:r>
      <w:r w:rsidRPr="00CD3EF9">
        <w:t xml:space="preserve"> súčasn</w:t>
      </w:r>
      <w:r w:rsidR="009557E7">
        <w:t>ú liečbu</w:t>
      </w:r>
      <w:r w:rsidRPr="00CD3EF9">
        <w:t xml:space="preserve"> viacerý</w:t>
      </w:r>
      <w:r w:rsidR="009557E7">
        <w:t>mi</w:t>
      </w:r>
      <w:r w:rsidRPr="00CD3EF9">
        <w:t xml:space="preserve"> lie</w:t>
      </w:r>
      <w:r w:rsidR="009557E7">
        <w:t>čivami</w:t>
      </w:r>
      <w:r w:rsidRPr="00CD3EF9">
        <w:t xml:space="preserve">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557E7" w:rsidP="00DD38BD">
      <w:pPr>
        <w:spacing w:line="240" w:lineRule="auto"/>
      </w:pPr>
      <w:r>
        <w:t>Často</w:t>
      </w:r>
      <w:r w:rsidRPr="00CD3EF9">
        <w:t xml:space="preserve"> </w:t>
      </w:r>
      <w:r w:rsidR="00945D09" w:rsidRPr="00CD3EF9">
        <w:t xml:space="preserve">pozorovanou lokálnou nežiaducou reakciou v mieste </w:t>
      </w:r>
      <w:r>
        <w:t xml:space="preserve">podania </w:t>
      </w:r>
      <w:r w:rsidR="00945D09" w:rsidRPr="00CD3EF9">
        <w:t xml:space="preserve">injekcie vo všetkých populáciách pacientov bola flebitída. Medzi ostatné lokálne reakcie patril </w:t>
      </w:r>
      <w:proofErr w:type="spellStart"/>
      <w:r w:rsidR="00945D09" w:rsidRPr="00CD3EF9">
        <w:t>erytém</w:t>
      </w:r>
      <w:proofErr w:type="spellEnd"/>
      <w:r w:rsidR="00945D09" w:rsidRPr="00CD3EF9">
        <w:t>, bolesť/</w:t>
      </w:r>
      <w:r>
        <w:t>citlivosť</w:t>
      </w:r>
      <w:r w:rsidR="00945D09" w:rsidRPr="00CD3EF9">
        <w:t xml:space="preserve">, svrbenie, </w:t>
      </w:r>
      <w:r>
        <w:t>sekréciu</w:t>
      </w:r>
      <w:r w:rsidR="00945D09" w:rsidRPr="00CD3EF9">
        <w:t xml:space="preserve"> a pocit pálenia. </w:t>
      </w:r>
    </w:p>
    <w:p w:rsidR="00281C83" w:rsidRPr="00CD3EF9" w:rsidRDefault="00281C83" w:rsidP="00DD38BD">
      <w:pPr>
        <w:spacing w:line="240" w:lineRule="auto"/>
      </w:pPr>
    </w:p>
    <w:p w:rsidR="00945D09" w:rsidRPr="00CD3EF9" w:rsidRDefault="009557E7" w:rsidP="00DD38BD">
      <w:pPr>
        <w:spacing w:line="240" w:lineRule="auto"/>
      </w:pPr>
      <w:r>
        <w:t>Hlásené</w:t>
      </w:r>
      <w:r w:rsidRPr="00CD3EF9">
        <w:t xml:space="preserve"> </w:t>
      </w:r>
      <w:r w:rsidR="00945D09" w:rsidRPr="00CD3EF9">
        <w:t xml:space="preserve">klinické a laboratórne abnormality medzi všetkými dospelými liečenými </w:t>
      </w:r>
      <w:proofErr w:type="spellStart"/>
      <w:r w:rsidR="00945D09" w:rsidRPr="00CD3EF9">
        <w:t>kaspofungínom</w:t>
      </w:r>
      <w:proofErr w:type="spellEnd"/>
      <w:r w:rsidR="00945D09" w:rsidRPr="00CD3EF9">
        <w:t xml:space="preserve"> (celkom 1 780 účastníkov) boli zvyčajne ľahké a zriedkavo viedli k ukončeniu liečby.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Boli </w:t>
      </w:r>
      <w:r w:rsidR="009557E7">
        <w:t>hlásené</w:t>
      </w:r>
      <w:r w:rsidRPr="00CD3EF9">
        <w:t xml:space="preserve"> nasled</w:t>
      </w:r>
      <w:r w:rsidR="009557E7">
        <w:t>ovné</w:t>
      </w:r>
      <w:r w:rsidRPr="00CD3EF9">
        <w:t xml:space="preserve"> nežiaduce reakcie: </w:t>
      </w: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>[Veľmi časté (≥</w:t>
      </w:r>
      <w:r w:rsidR="009557E7">
        <w:rPr>
          <w:i/>
        </w:rPr>
        <w:t> </w:t>
      </w:r>
      <w:r w:rsidRPr="00CD3EF9">
        <w:rPr>
          <w:i/>
        </w:rPr>
        <w:t>1/10), časté (≥</w:t>
      </w:r>
      <w:r w:rsidR="009557E7">
        <w:rPr>
          <w:i/>
        </w:rPr>
        <w:t> </w:t>
      </w:r>
      <w:r w:rsidRPr="00CD3EF9">
        <w:rPr>
          <w:i/>
        </w:rPr>
        <w:t>1/100 až &lt;</w:t>
      </w:r>
      <w:r w:rsidR="009557E7">
        <w:rPr>
          <w:i/>
        </w:rPr>
        <w:t> </w:t>
      </w:r>
      <w:r w:rsidRPr="00CD3EF9">
        <w:rPr>
          <w:i/>
        </w:rPr>
        <w:t>1/10), menej časté (≥</w:t>
      </w:r>
      <w:r w:rsidR="009557E7">
        <w:t> </w:t>
      </w:r>
      <w:r w:rsidRPr="00CD3EF9">
        <w:rPr>
          <w:i/>
        </w:rPr>
        <w:t>1/1 000 až &lt;</w:t>
      </w:r>
      <w:r w:rsidR="009557E7">
        <w:rPr>
          <w:i/>
        </w:rPr>
        <w:t> </w:t>
      </w:r>
      <w:r w:rsidRPr="00CD3EF9">
        <w:rPr>
          <w:i/>
        </w:rPr>
        <w:t xml:space="preserve">1/100)]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krvi a lymfatického systému: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znížená hladina hemoglobínu, znížený </w:t>
      </w:r>
      <w:proofErr w:type="spellStart"/>
      <w:r w:rsidRPr="00CD3EF9">
        <w:t>hematokrit</w:t>
      </w:r>
      <w:proofErr w:type="spellEnd"/>
      <w:r w:rsidRPr="00CD3EF9">
        <w:t xml:space="preserve">, znížený počet bielych krviniek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časté:</w:t>
      </w:r>
      <w:r w:rsidRPr="00CD3EF9">
        <w:t xml:space="preserve"> anémia, </w:t>
      </w:r>
      <w:proofErr w:type="spellStart"/>
      <w:r w:rsidRPr="00CD3EF9">
        <w:t>trombocytopénia</w:t>
      </w:r>
      <w:proofErr w:type="spellEnd"/>
      <w:r w:rsidRPr="00CD3EF9">
        <w:t xml:space="preserve">, </w:t>
      </w:r>
      <w:proofErr w:type="spellStart"/>
      <w:r w:rsidRPr="00CD3EF9">
        <w:t>koagulopatia</w:t>
      </w:r>
      <w:proofErr w:type="spellEnd"/>
      <w:r w:rsidRPr="00CD3EF9">
        <w:t xml:space="preserve">, </w:t>
      </w:r>
      <w:proofErr w:type="spellStart"/>
      <w:r w:rsidRPr="00CD3EF9">
        <w:t>leukopénia</w:t>
      </w:r>
      <w:proofErr w:type="spellEnd"/>
      <w:r w:rsidRPr="00CD3EF9">
        <w:t xml:space="preserve">, zvýšený počet eozinofilov, znížený počet krvných doštičiek, zvýšený počet krvných doštičiek, znížený počet </w:t>
      </w:r>
      <w:proofErr w:type="spellStart"/>
      <w:r w:rsidRPr="00CD3EF9">
        <w:t>lymfocytov</w:t>
      </w:r>
      <w:proofErr w:type="spellEnd"/>
      <w:r w:rsidRPr="00CD3EF9">
        <w:t xml:space="preserve">, zvýšený počet bielych krviniek, znížený počet </w:t>
      </w:r>
      <w:proofErr w:type="spellStart"/>
      <w:r w:rsidRPr="00CD3EF9">
        <w:t>neutrofilov</w:t>
      </w:r>
      <w:proofErr w:type="spellEnd"/>
      <w:r w:rsidRPr="00CD3EF9">
        <w:t xml:space="preserve">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metabolizmu a výživy: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</w:t>
      </w:r>
      <w:r w:rsidRPr="00CD3EF9">
        <w:rPr>
          <w:i/>
        </w:rPr>
        <w:t>:</w:t>
      </w:r>
      <w:r w:rsidRPr="00CD3EF9">
        <w:t xml:space="preserve"> </w:t>
      </w:r>
      <w:proofErr w:type="spellStart"/>
      <w:r w:rsidRPr="00CD3EF9">
        <w:t>hypokaliémia</w:t>
      </w:r>
      <w:proofErr w:type="spellEnd"/>
      <w:r w:rsidRPr="00CD3EF9">
        <w:t xml:space="preserve">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</w:t>
      </w:r>
      <w:r w:rsidRPr="00CD3EF9">
        <w:rPr>
          <w:i/>
        </w:rPr>
        <w:t>:</w:t>
      </w:r>
      <w:r w:rsidRPr="00CD3EF9">
        <w:t xml:space="preserve"> </w:t>
      </w:r>
      <w:proofErr w:type="spellStart"/>
      <w:r w:rsidRPr="00CD3EF9">
        <w:t>hypervolémia</w:t>
      </w:r>
      <w:proofErr w:type="spellEnd"/>
      <w:r w:rsidRPr="00CD3EF9">
        <w:t xml:space="preserve">, </w:t>
      </w:r>
      <w:proofErr w:type="spellStart"/>
      <w:r w:rsidRPr="00CD3EF9">
        <w:t>hypomagneziémia</w:t>
      </w:r>
      <w:proofErr w:type="spellEnd"/>
      <w:r w:rsidRPr="00CD3EF9">
        <w:t xml:space="preserve">, </w:t>
      </w:r>
      <w:proofErr w:type="spellStart"/>
      <w:r w:rsidRPr="00CD3EF9">
        <w:t>anorexia</w:t>
      </w:r>
      <w:proofErr w:type="spellEnd"/>
      <w:r w:rsidRPr="00CD3EF9">
        <w:t>, nerovnováha elektrolyt</w:t>
      </w:r>
      <w:r w:rsidR="00D83AA4">
        <w:t>ov</w:t>
      </w:r>
      <w:r w:rsidRPr="00CD3EF9">
        <w:t xml:space="preserve">, hyperglykémia, </w:t>
      </w:r>
      <w:proofErr w:type="spellStart"/>
      <w:r w:rsidRPr="00CD3EF9">
        <w:t>hypokaliémia</w:t>
      </w:r>
      <w:proofErr w:type="spellEnd"/>
      <w:r w:rsidRPr="00CD3EF9">
        <w:t xml:space="preserve">, metabolická </w:t>
      </w:r>
      <w:proofErr w:type="spellStart"/>
      <w:r w:rsidRPr="00CD3EF9">
        <w:t>acidóza</w:t>
      </w:r>
      <w:proofErr w:type="spellEnd"/>
      <w:r w:rsidRPr="00CD3EF9">
        <w:t xml:space="preserve">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Psychické poruchy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</w:t>
      </w:r>
      <w:r w:rsidRPr="00CD3EF9">
        <w:rPr>
          <w:i/>
        </w:rPr>
        <w:t>:</w:t>
      </w:r>
      <w:r w:rsidRPr="00CD3EF9">
        <w:t xml:space="preserve"> úzkosť, dezorientácia, nespavosť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nervového systému: </w:t>
      </w:r>
    </w:p>
    <w:p w:rsidR="00A7065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bolesť hlavy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závrat, </w:t>
      </w:r>
      <w:proofErr w:type="spellStart"/>
      <w:r w:rsidRPr="00CD3EF9">
        <w:rPr>
          <w:color w:val="000000"/>
        </w:rPr>
        <w:t>dysgeúzia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parestézia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somnolencia</w:t>
      </w:r>
      <w:proofErr w:type="spellEnd"/>
      <w:r w:rsidRPr="00CD3EF9">
        <w:rPr>
          <w:color w:val="000000"/>
        </w:rPr>
        <w:t xml:space="preserve">, triaška, </w:t>
      </w:r>
      <w:proofErr w:type="spellStart"/>
      <w:r w:rsidRPr="00CD3EF9">
        <w:rPr>
          <w:color w:val="000000"/>
        </w:rPr>
        <w:t>hypestézia</w:t>
      </w:r>
      <w:proofErr w:type="spellEnd"/>
      <w:r w:rsidRPr="00CD3EF9">
        <w:rPr>
          <w:color w:val="000000"/>
        </w:rPr>
        <w:t xml:space="preserve"> </w:t>
      </w:r>
    </w:p>
    <w:p w:rsidR="00AD74A6" w:rsidRPr="00CD3EF9" w:rsidRDefault="00AD74A6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oka: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o</w:t>
      </w:r>
      <w:r w:rsidR="00D83AA4">
        <w:rPr>
          <w:color w:val="000000"/>
        </w:rPr>
        <w:t>kulárny</w:t>
      </w:r>
      <w:proofErr w:type="spellEnd"/>
      <w:r w:rsidRPr="00CD3EF9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ikterus</w:t>
      </w:r>
      <w:proofErr w:type="spellEnd"/>
      <w:r w:rsidRPr="00CD3EF9">
        <w:rPr>
          <w:color w:val="000000"/>
        </w:rPr>
        <w:t xml:space="preserve">, rozmazané videnie, edém očného viečka, zvýšené slzenie </w:t>
      </w:r>
    </w:p>
    <w:p w:rsidR="00AD74A6" w:rsidRPr="00CD3EF9" w:rsidRDefault="00AD74A6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srdca a srdcovej činnosti: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palpitácie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tachykardia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arytmia</w:t>
      </w:r>
      <w:proofErr w:type="spellEnd"/>
      <w:r w:rsidRPr="00CD3EF9">
        <w:rPr>
          <w:color w:val="000000"/>
        </w:rPr>
        <w:t xml:space="preserve">, </w:t>
      </w:r>
      <w:proofErr w:type="spellStart"/>
      <w:r w:rsidR="00D83AA4">
        <w:rPr>
          <w:color w:val="000000"/>
        </w:rPr>
        <w:t>atriálna</w:t>
      </w:r>
      <w:proofErr w:type="spellEnd"/>
      <w:r w:rsidR="00D83AA4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fibrilácia</w:t>
      </w:r>
      <w:proofErr w:type="spellEnd"/>
      <w:r w:rsidRPr="00CD3EF9">
        <w:rPr>
          <w:color w:val="000000"/>
        </w:rPr>
        <w:t xml:space="preserve">, </w:t>
      </w:r>
      <w:proofErr w:type="spellStart"/>
      <w:r w:rsidRPr="00CD3EF9">
        <w:rPr>
          <w:color w:val="000000"/>
        </w:rPr>
        <w:t>kongestívne</w:t>
      </w:r>
      <w:proofErr w:type="spellEnd"/>
      <w:r w:rsidRPr="00CD3EF9">
        <w:rPr>
          <w:color w:val="000000"/>
        </w:rPr>
        <w:t xml:space="preserve"> zlyhanie srdca </w:t>
      </w:r>
    </w:p>
    <w:p w:rsidR="00AE481E" w:rsidRPr="00CD3EF9" w:rsidRDefault="00AE481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ciev: </w:t>
      </w:r>
    </w:p>
    <w:p w:rsidR="00AE481E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flebitída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časté:</w:t>
      </w:r>
      <w:r w:rsidRPr="00CD3EF9">
        <w:rPr>
          <w:color w:val="000000"/>
        </w:rPr>
        <w:t xml:space="preserve"> tromboflebitída, </w:t>
      </w:r>
      <w:r w:rsidR="00D83AA4">
        <w:rPr>
          <w:color w:val="000000"/>
        </w:rPr>
        <w:t>za</w:t>
      </w:r>
      <w:r w:rsidRPr="00CD3EF9">
        <w:rPr>
          <w:color w:val="000000"/>
        </w:rPr>
        <w:t xml:space="preserve">červenanie, návaly tepla, hypertenzia, hypotenzia </w:t>
      </w:r>
    </w:p>
    <w:p w:rsidR="00AE481E" w:rsidRPr="00CD3EF9" w:rsidRDefault="00AE481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>Poruchy dýchacej sústavy, hrudníka a </w:t>
      </w:r>
      <w:proofErr w:type="spellStart"/>
      <w:r w:rsidRPr="00CD3EF9">
        <w:rPr>
          <w:b/>
          <w:color w:val="000000"/>
        </w:rPr>
        <w:t>mediastína</w:t>
      </w:r>
      <w:proofErr w:type="spellEnd"/>
      <w:r w:rsidRPr="00CD3EF9">
        <w:rPr>
          <w:b/>
          <w:color w:val="000000"/>
        </w:rPr>
        <w:t xml:space="preserve">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dyspnoe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</w:t>
      </w:r>
      <w:r w:rsidRPr="00CD3EF9">
        <w:rPr>
          <w:i/>
        </w:rPr>
        <w:t>:</w:t>
      </w:r>
      <w:r w:rsidRPr="00CD3EF9">
        <w:t xml:space="preserve"> upchatý nos, </w:t>
      </w:r>
      <w:proofErr w:type="spellStart"/>
      <w:r w:rsidRPr="00CD3EF9">
        <w:t>faryngolaryngeálna</w:t>
      </w:r>
      <w:proofErr w:type="spellEnd"/>
      <w:r w:rsidRPr="00CD3EF9">
        <w:t xml:space="preserve"> bolesť, </w:t>
      </w:r>
      <w:proofErr w:type="spellStart"/>
      <w:r w:rsidRPr="00CD3EF9">
        <w:t>tachypn</w:t>
      </w:r>
      <w:r w:rsidR="00D83AA4">
        <w:t>o</w:t>
      </w:r>
      <w:r w:rsidRPr="00CD3EF9">
        <w:t>ea</w:t>
      </w:r>
      <w:proofErr w:type="spellEnd"/>
      <w:r w:rsidRPr="00CD3EF9">
        <w:t xml:space="preserve">, </w:t>
      </w:r>
      <w:proofErr w:type="spellStart"/>
      <w:r w:rsidRPr="00CD3EF9">
        <w:t>bronchospazmus</w:t>
      </w:r>
      <w:proofErr w:type="spellEnd"/>
      <w:r w:rsidRPr="00CD3EF9">
        <w:t xml:space="preserve">, kašeľ, </w:t>
      </w:r>
      <w:proofErr w:type="spellStart"/>
      <w:r w:rsidRPr="00CD3EF9">
        <w:t>paroxyzmálne</w:t>
      </w:r>
      <w:proofErr w:type="spellEnd"/>
      <w:r w:rsidRPr="00CD3EF9">
        <w:t xml:space="preserve"> nočné </w:t>
      </w:r>
      <w:proofErr w:type="spellStart"/>
      <w:r w:rsidRPr="00CD3EF9">
        <w:t>dyspnoe</w:t>
      </w:r>
      <w:proofErr w:type="spellEnd"/>
      <w:r w:rsidRPr="00CD3EF9">
        <w:t xml:space="preserve">, </w:t>
      </w:r>
      <w:proofErr w:type="spellStart"/>
      <w:r w:rsidRPr="00CD3EF9">
        <w:t>hypoxia</w:t>
      </w:r>
      <w:proofErr w:type="spellEnd"/>
      <w:r w:rsidRPr="00CD3EF9">
        <w:t xml:space="preserve">, </w:t>
      </w:r>
      <w:r w:rsidR="00D83AA4">
        <w:t>šelest</w:t>
      </w:r>
      <w:r w:rsidRPr="00CD3EF9">
        <w:t>, sip</w:t>
      </w:r>
      <w:r w:rsidR="00D83AA4">
        <w:t>ot</w:t>
      </w:r>
    </w:p>
    <w:p w:rsidR="00AE481E" w:rsidRPr="00CD3EF9" w:rsidRDefault="00AE481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</w:t>
      </w:r>
      <w:proofErr w:type="spellStart"/>
      <w:r w:rsidRPr="00CD3EF9">
        <w:rPr>
          <w:b/>
        </w:rPr>
        <w:t>gastrointestinálneho</w:t>
      </w:r>
      <w:proofErr w:type="spellEnd"/>
      <w:r w:rsidRPr="00CD3EF9">
        <w:rPr>
          <w:b/>
        </w:rPr>
        <w:t xml:space="preserve"> traktu: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nevoľnosť, hnačka, vracanie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časté:</w:t>
      </w:r>
      <w:r w:rsidRPr="00CD3EF9">
        <w:t xml:space="preserve"> bolesť brucha, bolesť </w:t>
      </w:r>
      <w:r w:rsidR="00D83AA4">
        <w:t xml:space="preserve">v </w:t>
      </w:r>
      <w:r w:rsidRPr="00CD3EF9">
        <w:t>hornej časti brucha, sucho</w:t>
      </w:r>
      <w:r w:rsidR="00D83AA4">
        <w:t>sť</w:t>
      </w:r>
      <w:r w:rsidRPr="00CD3EF9">
        <w:t xml:space="preserve"> úst, </w:t>
      </w:r>
      <w:proofErr w:type="spellStart"/>
      <w:r w:rsidRPr="00CD3EF9">
        <w:t>dyspepsia</w:t>
      </w:r>
      <w:proofErr w:type="spellEnd"/>
      <w:r w:rsidRPr="00CD3EF9">
        <w:t xml:space="preserve">, žalúdočná nevoľnosť, brušná </w:t>
      </w:r>
      <w:proofErr w:type="spellStart"/>
      <w:r w:rsidRPr="00CD3EF9">
        <w:t>distenzia</w:t>
      </w:r>
      <w:proofErr w:type="spellEnd"/>
      <w:r w:rsidRPr="00CD3EF9">
        <w:t xml:space="preserve">, </w:t>
      </w:r>
      <w:proofErr w:type="spellStart"/>
      <w:r w:rsidRPr="00CD3EF9">
        <w:t>ascites</w:t>
      </w:r>
      <w:proofErr w:type="spellEnd"/>
      <w:r w:rsidRPr="00CD3EF9">
        <w:t xml:space="preserve">, zápcha, </w:t>
      </w:r>
      <w:proofErr w:type="spellStart"/>
      <w:r w:rsidRPr="00CD3EF9">
        <w:t>dysfágia</w:t>
      </w:r>
      <w:proofErr w:type="spellEnd"/>
      <w:r w:rsidRPr="00CD3EF9">
        <w:t xml:space="preserve">, plynatosť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pečene a žlčových ciest: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</w:t>
      </w:r>
      <w:r w:rsidRPr="00CD3EF9">
        <w:rPr>
          <w:i/>
        </w:rPr>
        <w:t>:</w:t>
      </w:r>
      <w:r w:rsidRPr="00CD3EF9">
        <w:t xml:space="preserve"> zvýšené hodnoty pečeňových testov (</w:t>
      </w:r>
      <w:proofErr w:type="spellStart"/>
      <w:r w:rsidRPr="00CD3EF9">
        <w:t>alanínaminotransferáza</w:t>
      </w:r>
      <w:proofErr w:type="spellEnd"/>
      <w:r w:rsidRPr="00CD3EF9">
        <w:t xml:space="preserve">, </w:t>
      </w:r>
      <w:proofErr w:type="spellStart"/>
      <w:r w:rsidRPr="00CD3EF9">
        <w:t>aspartátaminotransferáza</w:t>
      </w:r>
      <w:proofErr w:type="spellEnd"/>
      <w:r w:rsidRPr="00CD3EF9">
        <w:t xml:space="preserve">, alkalická </w:t>
      </w:r>
      <w:proofErr w:type="spellStart"/>
      <w:r w:rsidRPr="00CD3EF9">
        <w:t>fosfatáza</w:t>
      </w:r>
      <w:proofErr w:type="spellEnd"/>
      <w:r w:rsidR="00D83AA4">
        <w:t xml:space="preserve"> v krvi</w:t>
      </w:r>
      <w:r w:rsidRPr="00CD3EF9">
        <w:t xml:space="preserve">, </w:t>
      </w:r>
      <w:proofErr w:type="spellStart"/>
      <w:r w:rsidRPr="00CD3EF9">
        <w:t>konjugovaný</w:t>
      </w:r>
      <w:proofErr w:type="spellEnd"/>
      <w:r w:rsidRPr="00CD3EF9">
        <w:t xml:space="preserve"> </w:t>
      </w:r>
      <w:proofErr w:type="spellStart"/>
      <w:r w:rsidRPr="00CD3EF9">
        <w:t>bilirubín</w:t>
      </w:r>
      <w:proofErr w:type="spellEnd"/>
      <w:r w:rsidRPr="00CD3EF9">
        <w:t xml:space="preserve">, </w:t>
      </w:r>
      <w:proofErr w:type="spellStart"/>
      <w:r w:rsidRPr="00CD3EF9">
        <w:t>bilirubín</w:t>
      </w:r>
      <w:proofErr w:type="spellEnd"/>
      <w:r w:rsidR="00D83AA4">
        <w:t xml:space="preserve"> v krvi</w:t>
      </w:r>
      <w:r w:rsidRPr="00CD3EF9">
        <w:t xml:space="preserve">)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</w:t>
      </w:r>
      <w:r w:rsidRPr="00CD3EF9">
        <w:rPr>
          <w:i/>
        </w:rPr>
        <w:t>:</w:t>
      </w:r>
      <w:r w:rsidRPr="00CD3EF9">
        <w:t xml:space="preserve"> </w:t>
      </w:r>
      <w:proofErr w:type="spellStart"/>
      <w:r w:rsidRPr="00CD3EF9">
        <w:t>cholestáza</w:t>
      </w:r>
      <w:proofErr w:type="spellEnd"/>
      <w:r w:rsidRPr="00CD3EF9">
        <w:t xml:space="preserve">, </w:t>
      </w:r>
      <w:proofErr w:type="spellStart"/>
      <w:r w:rsidRPr="00CD3EF9">
        <w:t>hepatomegália</w:t>
      </w:r>
      <w:proofErr w:type="spellEnd"/>
      <w:r w:rsidRPr="00CD3EF9">
        <w:t xml:space="preserve">, </w:t>
      </w:r>
      <w:proofErr w:type="spellStart"/>
      <w:r w:rsidRPr="00CD3EF9">
        <w:t>hyperbilirubinémia</w:t>
      </w:r>
      <w:proofErr w:type="spellEnd"/>
      <w:r w:rsidRPr="00CD3EF9">
        <w:t xml:space="preserve">, žltačka, abnormálna funkcia pečene, </w:t>
      </w:r>
      <w:proofErr w:type="spellStart"/>
      <w:r w:rsidRPr="00CD3EF9">
        <w:t>hepatotoxicita</w:t>
      </w:r>
      <w:proofErr w:type="spellEnd"/>
      <w:r w:rsidRPr="00CD3EF9">
        <w:t>, po</w:t>
      </w:r>
      <w:r w:rsidR="00D83AA4">
        <w:t>škodenie</w:t>
      </w:r>
      <w:r w:rsidRPr="00CD3EF9">
        <w:t xml:space="preserve"> pečene, zvýšená hodnota </w:t>
      </w:r>
      <w:proofErr w:type="spellStart"/>
      <w:r w:rsidRPr="00CD3EF9">
        <w:t>gamaglutamyltransferázy</w:t>
      </w:r>
      <w:proofErr w:type="spellEnd"/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Poruchy kože a podkožného tkaniva: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vyrážka, svrbenie, </w:t>
      </w:r>
      <w:proofErr w:type="spellStart"/>
      <w:r w:rsidRPr="00CD3EF9">
        <w:t>erytém</w:t>
      </w:r>
      <w:proofErr w:type="spellEnd"/>
      <w:r w:rsidRPr="00CD3EF9">
        <w:t xml:space="preserve">, </w:t>
      </w:r>
      <w:proofErr w:type="spellStart"/>
      <w:r w:rsidRPr="00CD3EF9">
        <w:t>hyperhidróza</w:t>
      </w:r>
      <w:proofErr w:type="spellEnd"/>
      <w:r w:rsidRPr="00CD3EF9">
        <w:t xml:space="preserve">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</w:t>
      </w:r>
      <w:r w:rsidRPr="00CD3EF9">
        <w:rPr>
          <w:i/>
        </w:rPr>
        <w:t>:</w:t>
      </w:r>
      <w:r w:rsidRPr="00CD3EF9">
        <w:t xml:space="preserve"> </w:t>
      </w:r>
      <w:proofErr w:type="spellStart"/>
      <w:r w:rsidRPr="00CD3EF9">
        <w:t>multiformný</w:t>
      </w:r>
      <w:proofErr w:type="spellEnd"/>
      <w:r w:rsidRPr="00CD3EF9">
        <w:t xml:space="preserve"> </w:t>
      </w:r>
      <w:proofErr w:type="spellStart"/>
      <w:r w:rsidRPr="00CD3EF9">
        <w:t>erytém</w:t>
      </w:r>
      <w:proofErr w:type="spellEnd"/>
      <w:r w:rsidRPr="00CD3EF9">
        <w:t xml:space="preserve">, makulárna vyrážka, </w:t>
      </w:r>
      <w:proofErr w:type="spellStart"/>
      <w:r w:rsidRPr="00CD3EF9">
        <w:t>makulopapulárna</w:t>
      </w:r>
      <w:proofErr w:type="spellEnd"/>
      <w:r w:rsidRPr="00CD3EF9">
        <w:t xml:space="preserve"> vyrážka, </w:t>
      </w:r>
      <w:proofErr w:type="spellStart"/>
      <w:r w:rsidRPr="00CD3EF9">
        <w:t>pruritická</w:t>
      </w:r>
      <w:proofErr w:type="spellEnd"/>
      <w:r w:rsidRPr="00CD3EF9">
        <w:t xml:space="preserve"> vyrážka, </w:t>
      </w:r>
      <w:proofErr w:type="spellStart"/>
      <w:r w:rsidRPr="00CD3EF9">
        <w:t>urtikária</w:t>
      </w:r>
      <w:proofErr w:type="spellEnd"/>
      <w:r w:rsidRPr="00CD3EF9">
        <w:t xml:space="preserve">, alergická dermatitída, </w:t>
      </w:r>
      <w:r w:rsidR="00D83AA4">
        <w:t>generalizovaný</w:t>
      </w:r>
      <w:r w:rsidR="00D83AA4" w:rsidRPr="00CD3EF9">
        <w:t xml:space="preserve"> </w:t>
      </w:r>
      <w:proofErr w:type="spellStart"/>
      <w:r w:rsidRPr="00CD3EF9">
        <w:t>pruritus</w:t>
      </w:r>
      <w:proofErr w:type="spellEnd"/>
      <w:r w:rsidRPr="00CD3EF9">
        <w:t xml:space="preserve">, </w:t>
      </w:r>
      <w:proofErr w:type="spellStart"/>
      <w:r w:rsidRPr="00CD3EF9">
        <w:t>eryt</w:t>
      </w:r>
      <w:r w:rsidR="00D83AA4">
        <w:t>ematózna</w:t>
      </w:r>
      <w:proofErr w:type="spellEnd"/>
      <w:r w:rsidRPr="00CD3EF9">
        <w:t xml:space="preserve"> vyrážka, </w:t>
      </w:r>
      <w:r w:rsidR="00D83AA4">
        <w:t>generalizovaná</w:t>
      </w:r>
      <w:r w:rsidRPr="00CD3EF9">
        <w:t xml:space="preserve"> vyrážka, </w:t>
      </w:r>
      <w:proofErr w:type="spellStart"/>
      <w:r w:rsidRPr="00CD3EF9">
        <w:t>morbiliformná</w:t>
      </w:r>
      <w:proofErr w:type="spellEnd"/>
      <w:r w:rsidRPr="00CD3EF9">
        <w:t xml:space="preserve"> vyrážka, kožné lézie </w:t>
      </w:r>
    </w:p>
    <w:p w:rsidR="00AE481E" w:rsidRPr="00CD3EF9" w:rsidRDefault="00AE481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kostrovej a svalovej sústavy a spojivového tkaniva </w:t>
      </w:r>
    </w:p>
    <w:p w:rsidR="00AE481E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artralgia</w:t>
      </w:r>
      <w:proofErr w:type="spellEnd"/>
      <w:r w:rsidRPr="00CD3EF9">
        <w:rPr>
          <w:color w:val="000000"/>
        </w:rPr>
        <w:t xml:space="preserve">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bolesť chrbta, bolesť končat</w:t>
      </w:r>
      <w:r w:rsidR="00D83AA4">
        <w:rPr>
          <w:color w:val="000000"/>
        </w:rPr>
        <w:t>ín</w:t>
      </w:r>
      <w:r w:rsidRPr="00CD3EF9">
        <w:rPr>
          <w:color w:val="000000"/>
        </w:rPr>
        <w:t>, bolesť kost</w:t>
      </w:r>
      <w:r w:rsidR="00D83AA4">
        <w:rPr>
          <w:color w:val="000000"/>
        </w:rPr>
        <w:t>í</w:t>
      </w:r>
      <w:r w:rsidRPr="00CD3EF9">
        <w:rPr>
          <w:color w:val="000000"/>
        </w:rPr>
        <w:t xml:space="preserve">, svalová slabosť, </w:t>
      </w:r>
      <w:proofErr w:type="spellStart"/>
      <w:r w:rsidRPr="00CD3EF9">
        <w:rPr>
          <w:color w:val="000000"/>
        </w:rPr>
        <w:t>myalgia</w:t>
      </w:r>
      <w:proofErr w:type="spellEnd"/>
      <w:r w:rsidRPr="00CD3EF9">
        <w:rPr>
          <w:color w:val="000000"/>
        </w:rPr>
        <w:t xml:space="preserve"> </w:t>
      </w:r>
    </w:p>
    <w:p w:rsidR="00AE481E" w:rsidRPr="00CD3EF9" w:rsidRDefault="00AE481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obličiek a močových ciest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Menej časté</w:t>
      </w:r>
      <w:r w:rsidRPr="00CD3EF9">
        <w:rPr>
          <w:i/>
          <w:color w:val="000000"/>
        </w:rPr>
        <w:t>:</w:t>
      </w:r>
      <w:r w:rsidRPr="00CD3EF9">
        <w:rPr>
          <w:color w:val="000000"/>
        </w:rPr>
        <w:t xml:space="preserve"> zlyhanie obličiek, akútne zlyhanie obličiek </w:t>
      </w:r>
    </w:p>
    <w:p w:rsidR="00AE481E" w:rsidRPr="00CD3EF9" w:rsidRDefault="00AE481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Celkové poruchy a reakcie v mieste podania: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</w:t>
      </w:r>
      <w:proofErr w:type="spellStart"/>
      <w:r w:rsidRPr="00CD3EF9">
        <w:t>pyrexia</w:t>
      </w:r>
      <w:proofErr w:type="spellEnd"/>
      <w:r w:rsidRPr="00CD3EF9">
        <w:t xml:space="preserve">, triaška, svrbenie v mieste </w:t>
      </w:r>
      <w:r w:rsidR="00D83AA4">
        <w:t xml:space="preserve">podania </w:t>
      </w:r>
      <w:r w:rsidRPr="00CD3EF9">
        <w:t xml:space="preserve">infúzie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Menej časté:</w:t>
      </w:r>
      <w:r w:rsidRPr="00CD3EF9">
        <w:t xml:space="preserve"> bolesť, bolesť v mieste </w:t>
      </w:r>
      <w:r w:rsidR="00D83AA4">
        <w:t xml:space="preserve">zavedenia </w:t>
      </w:r>
      <w:r w:rsidRPr="00CD3EF9">
        <w:t xml:space="preserve">katétra, únava, pocit chladu, pocit </w:t>
      </w:r>
      <w:r w:rsidR="00D83AA4">
        <w:t>tepla</w:t>
      </w:r>
      <w:r w:rsidRPr="00CD3EF9">
        <w:t xml:space="preserve">, </w:t>
      </w:r>
      <w:proofErr w:type="spellStart"/>
      <w:r w:rsidRPr="00CD3EF9">
        <w:t>erytém</w:t>
      </w:r>
      <w:proofErr w:type="spellEnd"/>
      <w:r w:rsidRPr="00CD3EF9">
        <w:t xml:space="preserve"> v</w:t>
      </w:r>
      <w:r w:rsidR="00D83AA4">
        <w:t> </w:t>
      </w:r>
      <w:r w:rsidRPr="00CD3EF9">
        <w:t>mieste</w:t>
      </w:r>
      <w:r w:rsidR="00D83AA4">
        <w:t xml:space="preserve"> podania</w:t>
      </w:r>
      <w:r w:rsidRPr="00CD3EF9">
        <w:t xml:space="preserve"> infúzie, </w:t>
      </w:r>
      <w:proofErr w:type="spellStart"/>
      <w:r w:rsidR="00D83AA4">
        <w:t>indurácia</w:t>
      </w:r>
      <w:proofErr w:type="spellEnd"/>
      <w:r w:rsidRPr="00CD3EF9">
        <w:t xml:space="preserve"> v mieste </w:t>
      </w:r>
      <w:r w:rsidR="00D83AA4">
        <w:t xml:space="preserve">podania </w:t>
      </w:r>
      <w:r w:rsidRPr="00CD3EF9">
        <w:t xml:space="preserve">infúzie, bolesť v mieste </w:t>
      </w:r>
      <w:r w:rsidR="00D83AA4">
        <w:t xml:space="preserve">podania </w:t>
      </w:r>
      <w:r w:rsidRPr="00CD3EF9">
        <w:t xml:space="preserve">infúzie, opuch v mieste </w:t>
      </w:r>
      <w:r w:rsidR="00D83AA4">
        <w:t xml:space="preserve">podania </w:t>
      </w:r>
      <w:r w:rsidRPr="00CD3EF9">
        <w:t xml:space="preserve">infúzie, flebitída v mieste </w:t>
      </w:r>
      <w:r w:rsidR="00D83AA4">
        <w:t xml:space="preserve">podania </w:t>
      </w:r>
      <w:r w:rsidRPr="00CD3EF9">
        <w:t xml:space="preserve">injekcie, periférny edém, </w:t>
      </w:r>
      <w:r w:rsidR="00D83AA4">
        <w:t>citlivosť</w:t>
      </w:r>
      <w:r w:rsidRPr="00CD3EF9">
        <w:t>, nepríjemné pocity v hrudi, bolesť</w:t>
      </w:r>
      <w:r w:rsidR="00D83AA4">
        <w:t xml:space="preserve"> na</w:t>
      </w:r>
      <w:r w:rsidRPr="00CD3EF9">
        <w:t xml:space="preserve"> hrud</w:t>
      </w:r>
      <w:r w:rsidR="00D83AA4">
        <w:t>i</w:t>
      </w:r>
      <w:r w:rsidRPr="00CD3EF9">
        <w:t xml:space="preserve">, edém tváre, pocit zmeny telesnej teploty, </w:t>
      </w:r>
      <w:proofErr w:type="spellStart"/>
      <w:r w:rsidR="00D83AA4">
        <w:t>indurácia</w:t>
      </w:r>
      <w:proofErr w:type="spellEnd"/>
      <w:r w:rsidRPr="00CD3EF9">
        <w:t xml:space="preserve">, </w:t>
      </w:r>
      <w:proofErr w:type="spellStart"/>
      <w:r w:rsidRPr="00CD3EF9">
        <w:t>extravazácia</w:t>
      </w:r>
      <w:proofErr w:type="spellEnd"/>
      <w:r w:rsidRPr="00CD3EF9">
        <w:t xml:space="preserve"> v mieste </w:t>
      </w:r>
      <w:r w:rsidR="00FD0545">
        <w:t xml:space="preserve">podania </w:t>
      </w:r>
      <w:r w:rsidRPr="00CD3EF9">
        <w:t xml:space="preserve">infúzie, podráždenie v mieste </w:t>
      </w:r>
      <w:r w:rsidR="00FD0545">
        <w:t xml:space="preserve">podania </w:t>
      </w:r>
      <w:r w:rsidRPr="00CD3EF9">
        <w:t xml:space="preserve">infúzie, flebitída v mieste </w:t>
      </w:r>
      <w:r w:rsidR="00FD0545">
        <w:t xml:space="preserve">podania </w:t>
      </w:r>
      <w:r w:rsidRPr="00CD3EF9">
        <w:t xml:space="preserve">infúzie, vyrážka v mieste </w:t>
      </w:r>
      <w:r w:rsidR="00FD0545">
        <w:t xml:space="preserve">podania </w:t>
      </w:r>
      <w:r w:rsidRPr="00CD3EF9">
        <w:t xml:space="preserve">infúzie, </w:t>
      </w:r>
      <w:proofErr w:type="spellStart"/>
      <w:r w:rsidRPr="00CD3EF9">
        <w:t>urtikária</w:t>
      </w:r>
      <w:proofErr w:type="spellEnd"/>
      <w:r w:rsidRPr="00CD3EF9">
        <w:t xml:space="preserve"> v mieste </w:t>
      </w:r>
      <w:r w:rsidR="00FD0545">
        <w:t xml:space="preserve">podania </w:t>
      </w:r>
      <w:r w:rsidRPr="00CD3EF9">
        <w:t xml:space="preserve">infúzie, </w:t>
      </w:r>
      <w:proofErr w:type="spellStart"/>
      <w:r w:rsidRPr="00CD3EF9">
        <w:t>erytém</w:t>
      </w:r>
      <w:proofErr w:type="spellEnd"/>
      <w:r w:rsidRPr="00CD3EF9">
        <w:t xml:space="preserve"> v mieste </w:t>
      </w:r>
      <w:r w:rsidR="00FD0545">
        <w:t xml:space="preserve">podania </w:t>
      </w:r>
      <w:r w:rsidRPr="00CD3EF9">
        <w:t xml:space="preserve">injekcie, edém v mieste </w:t>
      </w:r>
      <w:r w:rsidR="00FD0545">
        <w:t xml:space="preserve">podania </w:t>
      </w:r>
      <w:r w:rsidRPr="00CD3EF9">
        <w:t xml:space="preserve">injekcie, bolesť v mieste </w:t>
      </w:r>
      <w:r w:rsidR="00FD0545">
        <w:t xml:space="preserve">podania </w:t>
      </w:r>
      <w:r w:rsidRPr="00CD3EF9">
        <w:t xml:space="preserve">injekcie, opuch v mieste </w:t>
      </w:r>
      <w:r w:rsidR="00FD0545">
        <w:t xml:space="preserve">podania </w:t>
      </w:r>
      <w:r w:rsidRPr="00CD3EF9">
        <w:t xml:space="preserve">injekcie, nepokoj, edém </w:t>
      </w:r>
    </w:p>
    <w:p w:rsidR="00AE481E" w:rsidRPr="00CD3EF9" w:rsidRDefault="00AE481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b/>
        </w:rPr>
      </w:pPr>
      <w:r w:rsidRPr="00CD3EF9">
        <w:rPr>
          <w:b/>
        </w:rPr>
        <w:t xml:space="preserve">Laboratórne a funkčné vyšetrenia: </w:t>
      </w:r>
    </w:p>
    <w:p w:rsidR="00945D09" w:rsidRPr="00CD3EF9" w:rsidRDefault="00945D09" w:rsidP="00DD38BD">
      <w:pPr>
        <w:spacing w:line="240" w:lineRule="auto"/>
      </w:pPr>
      <w:r w:rsidRPr="00CD3EF9">
        <w:rPr>
          <w:i/>
          <w:u w:val="single"/>
        </w:rPr>
        <w:t>Časté:</w:t>
      </w:r>
      <w:r w:rsidRPr="00CD3EF9">
        <w:t xml:space="preserve"> znížená hladina draslíka v krvi, znížená hladina albumínu v krvi </w:t>
      </w:r>
    </w:p>
    <w:p w:rsidR="00872AA7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u w:val="single"/>
        </w:rPr>
        <w:t>Menej časté:</w:t>
      </w:r>
      <w:r w:rsidRPr="00CD3EF9">
        <w:rPr>
          <w:color w:val="000000"/>
        </w:rPr>
        <w:t xml:space="preserve"> zvýšená hladina kreatinínu v krvi, výskyt červených krviniek v moči, znížená celková hladina proteínov, prítomnosť proteínov v moči, predĺžený </w:t>
      </w:r>
      <w:proofErr w:type="spellStart"/>
      <w:r w:rsidRPr="00CD3EF9">
        <w:rPr>
          <w:color w:val="000000"/>
        </w:rPr>
        <w:t>protrombínový</w:t>
      </w:r>
      <w:proofErr w:type="spellEnd"/>
      <w:r w:rsidRPr="00CD3EF9">
        <w:rPr>
          <w:color w:val="000000"/>
        </w:rPr>
        <w:t xml:space="preserve"> čas, skrátený </w:t>
      </w:r>
      <w:proofErr w:type="spellStart"/>
      <w:r w:rsidRPr="00CD3EF9">
        <w:rPr>
          <w:color w:val="000000"/>
        </w:rPr>
        <w:t>protrombínový</w:t>
      </w:r>
      <w:proofErr w:type="spellEnd"/>
      <w:r w:rsidRPr="00CD3EF9">
        <w:rPr>
          <w:color w:val="000000"/>
        </w:rPr>
        <w:t xml:space="preserve"> čas, znížená hladina sodíka v krvi, zvýšená hladina sodíka v krvi, znížená hladina vápnika v krvi, zvýšená hladina vápnika v krvi, znížená hladina chloridov v krvi, zvýšená hladina glukózy v krvi, znížená hladina horčíka v krvi, znížená hladina fosforu v krvi, zvýšená hladina fosforu v krvi, zvýšená hladina </w:t>
      </w:r>
      <w:proofErr w:type="spellStart"/>
      <w:r w:rsidRPr="00CD3EF9">
        <w:rPr>
          <w:color w:val="000000"/>
        </w:rPr>
        <w:t>urey</w:t>
      </w:r>
      <w:proofErr w:type="spellEnd"/>
      <w:r w:rsidRPr="00CD3EF9">
        <w:rPr>
          <w:color w:val="000000"/>
        </w:rPr>
        <w:t xml:space="preserve"> v krvi, predĺžený aktivovaný parciálny </w:t>
      </w:r>
      <w:proofErr w:type="spellStart"/>
      <w:r w:rsidRPr="00CD3EF9">
        <w:rPr>
          <w:color w:val="000000"/>
        </w:rPr>
        <w:t>tromboplastínový</w:t>
      </w:r>
      <w:proofErr w:type="spellEnd"/>
      <w:r w:rsidRPr="00CD3EF9">
        <w:rPr>
          <w:color w:val="000000"/>
        </w:rPr>
        <w:t xml:space="preserve"> čas, znížená hladina </w:t>
      </w:r>
      <w:proofErr w:type="spellStart"/>
      <w:r w:rsidR="00FD0545">
        <w:rPr>
          <w:color w:val="000000"/>
        </w:rPr>
        <w:t>hydrogénuhličitanov</w:t>
      </w:r>
      <w:proofErr w:type="spellEnd"/>
      <w:r w:rsidRPr="00CD3EF9">
        <w:rPr>
          <w:color w:val="000000"/>
        </w:rPr>
        <w:t xml:space="preserve"> v krvi, zvýšená hladina chloridov v krvi, zvýšená hladina draslíka v krvi, zvýšený krvný tlak, znížená hladina kyseliny močovej v krvi, prítomnosť krvi v moči, abnormálny zvuk </w:t>
      </w:r>
      <w:r w:rsidR="00FD0545">
        <w:rPr>
          <w:color w:val="000000"/>
        </w:rPr>
        <w:t xml:space="preserve">pri </w:t>
      </w:r>
      <w:r w:rsidRPr="00CD3EF9">
        <w:rPr>
          <w:color w:val="000000"/>
        </w:rPr>
        <w:t>dýchan</w:t>
      </w:r>
      <w:r w:rsidR="00FD0545">
        <w:rPr>
          <w:color w:val="000000"/>
        </w:rPr>
        <w:t>í</w:t>
      </w:r>
      <w:r w:rsidRPr="00CD3EF9">
        <w:rPr>
          <w:color w:val="000000"/>
        </w:rPr>
        <w:t xml:space="preserve">, znížená hladina oxidu uhličitého, zvýšená hladina </w:t>
      </w:r>
      <w:proofErr w:type="spellStart"/>
      <w:r w:rsidRPr="00CD3EF9">
        <w:rPr>
          <w:color w:val="000000"/>
        </w:rPr>
        <w:t>imunosupresívneho</w:t>
      </w:r>
      <w:proofErr w:type="spellEnd"/>
      <w:r w:rsidRPr="00CD3EF9">
        <w:rPr>
          <w:color w:val="000000"/>
        </w:rPr>
        <w:t xml:space="preserve"> lie</w:t>
      </w:r>
      <w:r w:rsidR="00FD0545">
        <w:rPr>
          <w:color w:val="000000"/>
        </w:rPr>
        <w:t>čiva</w:t>
      </w:r>
      <w:r w:rsidRPr="00CD3EF9">
        <w:rPr>
          <w:color w:val="000000"/>
        </w:rPr>
        <w:t>, zvýšený medzinárodný normalizovaný pomer, val</w:t>
      </w:r>
      <w:r w:rsidR="00FD0545">
        <w:rPr>
          <w:color w:val="000000"/>
        </w:rPr>
        <w:t>ce</w:t>
      </w:r>
      <w:r w:rsidRPr="00CD3EF9">
        <w:rPr>
          <w:color w:val="000000"/>
        </w:rPr>
        <w:t xml:space="preserve"> v moči, prítomnosť bielych krviniek v moči a zvýšená hodnota pH moču. </w:t>
      </w:r>
    </w:p>
    <w:p w:rsidR="00AD74A6" w:rsidRPr="00CD3EF9" w:rsidRDefault="00AD74A6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proofErr w:type="spellStart"/>
      <w:r w:rsidRPr="00CD3EF9">
        <w:rPr>
          <w:color w:val="000000"/>
        </w:rPr>
        <w:t>Kaspofungín</w:t>
      </w:r>
      <w:proofErr w:type="spellEnd"/>
      <w:r w:rsidRPr="00CD3EF9">
        <w:rPr>
          <w:color w:val="000000"/>
        </w:rPr>
        <w:t xml:space="preserve"> bol tiež hodnotený pri dennej dávke 150 mg podávanej 100 dospelým pacientom (</w:t>
      </w:r>
      <w:r w:rsidR="00FD0545">
        <w:rPr>
          <w:color w:val="000000"/>
        </w:rPr>
        <w:t xml:space="preserve">po dobu </w:t>
      </w:r>
      <w:r w:rsidRPr="00CD3EF9">
        <w:rPr>
          <w:color w:val="000000"/>
        </w:rPr>
        <w:t xml:space="preserve">až 51 dní) (pozri časť 5.1). Štúdia porovnávala dennú dávku 50 mg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 (po 70 mg </w:t>
      </w:r>
      <w:r w:rsidR="00FD0545">
        <w:rPr>
          <w:color w:val="000000"/>
        </w:rPr>
        <w:t>počiatočnej</w:t>
      </w:r>
      <w:r w:rsidRPr="00CD3EF9">
        <w:rPr>
          <w:color w:val="000000"/>
        </w:rPr>
        <w:t xml:space="preserve"> dávke podanej v 1. deň) s dennou dávkou 150 mg pri liečbe invazívnej </w:t>
      </w:r>
      <w:proofErr w:type="spellStart"/>
      <w:r w:rsidRPr="00CD3EF9">
        <w:rPr>
          <w:color w:val="000000"/>
        </w:rPr>
        <w:t>kandidózy</w:t>
      </w:r>
      <w:proofErr w:type="spellEnd"/>
      <w:r w:rsidRPr="00CD3EF9">
        <w:rPr>
          <w:color w:val="000000"/>
        </w:rPr>
        <w:t xml:space="preserve">. V tejto skupine pacientov sa bezpečnosť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 </w:t>
      </w:r>
      <w:r w:rsidR="00FD0545">
        <w:rPr>
          <w:color w:val="000000"/>
        </w:rPr>
        <w:t>v</w:t>
      </w:r>
      <w:r w:rsidRPr="00CD3EF9">
        <w:rPr>
          <w:color w:val="000000"/>
        </w:rPr>
        <w:t xml:space="preserve"> t</w:t>
      </w:r>
      <w:r w:rsidR="00FD0545">
        <w:rPr>
          <w:color w:val="000000"/>
        </w:rPr>
        <w:t>ak</w:t>
      </w:r>
      <w:r w:rsidRPr="00CD3EF9">
        <w:rPr>
          <w:color w:val="000000"/>
        </w:rPr>
        <w:t xml:space="preserve">ejto vyššej dávke </w:t>
      </w:r>
      <w:r w:rsidR="00FD0545">
        <w:rPr>
          <w:color w:val="000000"/>
        </w:rPr>
        <w:t>ukázala vo</w:t>
      </w:r>
      <w:r w:rsidRPr="00CD3EF9">
        <w:rPr>
          <w:color w:val="000000"/>
        </w:rPr>
        <w:t xml:space="preserve"> všeobecn</w:t>
      </w:r>
      <w:r w:rsidR="00FD0545">
        <w:rPr>
          <w:color w:val="000000"/>
        </w:rPr>
        <w:t>osti</w:t>
      </w:r>
      <w:r w:rsidRPr="00CD3EF9">
        <w:rPr>
          <w:color w:val="000000"/>
        </w:rPr>
        <w:t xml:space="preserve"> podobná bezpečnosti u pacientov, ktorí dostávali dennú dávku 50 mg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>. Podiel pacientov, u ktorých sa prejavila závažná nežiaduca reakcia súvisiaca s lie</w:t>
      </w:r>
      <w:r w:rsidR="00FD0545">
        <w:rPr>
          <w:color w:val="000000"/>
        </w:rPr>
        <w:t>čivom</w:t>
      </w:r>
      <w:r w:rsidRPr="00CD3EF9">
        <w:rPr>
          <w:color w:val="000000"/>
        </w:rPr>
        <w:t xml:space="preserve"> alebo nežiaduca reakcia súvisiaca s li</w:t>
      </w:r>
      <w:r w:rsidR="00FD0545">
        <w:rPr>
          <w:color w:val="000000"/>
        </w:rPr>
        <w:t>ečivom</w:t>
      </w:r>
      <w:r w:rsidRPr="00CD3EF9">
        <w:rPr>
          <w:color w:val="000000"/>
        </w:rPr>
        <w:t xml:space="preserve"> vedúca k ukončeniu liečby </w:t>
      </w:r>
      <w:proofErr w:type="spellStart"/>
      <w:r w:rsidRPr="00CD3EF9">
        <w:rPr>
          <w:color w:val="000000"/>
        </w:rPr>
        <w:t>kaspofungínom</w:t>
      </w:r>
      <w:proofErr w:type="spellEnd"/>
      <w:r w:rsidRPr="00CD3EF9">
        <w:rPr>
          <w:color w:val="000000"/>
        </w:rPr>
        <w:t xml:space="preserve">, bol v oboch liečebných skupinách porovnateľný.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i/>
          <w:u w:val="single"/>
        </w:rPr>
      </w:pPr>
      <w:r w:rsidRPr="00CD3EF9">
        <w:rPr>
          <w:i/>
          <w:u w:val="single"/>
        </w:rPr>
        <w:t xml:space="preserve">Pediatrickí pacienti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Údaje z 5 klinických štúdií vykonaných so 171 pediatrickými pacientmi naznačujú, že celkový výskyt klinických nežiaducich reakcií (26,3 %; 95 % </w:t>
      </w:r>
      <w:r w:rsidR="0026444D">
        <w:t>CI</w:t>
      </w:r>
      <w:r w:rsidRPr="00CD3EF9">
        <w:t xml:space="preserve"> </w:t>
      </w:r>
      <w:r w:rsidR="0026444D">
        <w:t>-</w:t>
      </w:r>
      <w:r w:rsidRPr="00CD3EF9">
        <w:t xml:space="preserve">19,9; 33,6) nie je horší než </w:t>
      </w:r>
      <w:r w:rsidR="0026444D">
        <w:t xml:space="preserve">výskyt </w:t>
      </w:r>
      <w:r w:rsidR="0026444D" w:rsidRPr="00CD3EF9">
        <w:t xml:space="preserve">klinických nežiaducich reakcií </w:t>
      </w:r>
      <w:r w:rsidRPr="00CD3EF9">
        <w:t xml:space="preserve">hlásený u dospelých liečených </w:t>
      </w:r>
      <w:proofErr w:type="spellStart"/>
      <w:r w:rsidRPr="00CD3EF9">
        <w:t>kaspofungínom</w:t>
      </w:r>
      <w:proofErr w:type="spellEnd"/>
      <w:r w:rsidRPr="00CD3EF9">
        <w:t xml:space="preserve"> (43,1 %; 95 % </w:t>
      </w:r>
      <w:r w:rsidR="0026444D">
        <w:t xml:space="preserve">CI - </w:t>
      </w:r>
      <w:r w:rsidRPr="00CD3EF9">
        <w:t>40,0; 46,2). Pediatrickí pacienti však majú v porovnaní s dospelými pacientmi pravdepodobne odlišný profil nežiaducich reakcií. Najčastejšími klinickými nežiaducimi reakciami súvisiacimi s lie</w:t>
      </w:r>
      <w:r w:rsidR="00CB3FFD">
        <w:t>čivom</w:t>
      </w:r>
      <w:r w:rsidRPr="00CD3EF9">
        <w:t xml:space="preserve"> hlásenými u pediatrických pacientov liečených </w:t>
      </w:r>
      <w:proofErr w:type="spellStart"/>
      <w:r w:rsidRPr="00CD3EF9">
        <w:t>kaspofungínom</w:t>
      </w:r>
      <w:proofErr w:type="spellEnd"/>
      <w:r w:rsidRPr="00CD3EF9">
        <w:t xml:space="preserve"> boli </w:t>
      </w:r>
      <w:proofErr w:type="spellStart"/>
      <w:r w:rsidRPr="00CD3EF9">
        <w:t>pyrexia</w:t>
      </w:r>
      <w:proofErr w:type="spellEnd"/>
      <w:r w:rsidRPr="00CD3EF9">
        <w:t xml:space="preserve"> (11,7 %), vyrážka (4,7 %) a bolesť hlavy (2,9 %).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Boli zaznamenané nasled</w:t>
      </w:r>
      <w:r w:rsidR="00CB3FFD">
        <w:t>ovné</w:t>
      </w:r>
      <w:r w:rsidRPr="00CD3EF9">
        <w:t xml:space="preserve"> nežiaduce reakcie: </w:t>
      </w:r>
    </w:p>
    <w:p w:rsidR="00945D09" w:rsidRPr="00CD3EF9" w:rsidRDefault="00945D09" w:rsidP="00DD38BD">
      <w:pPr>
        <w:spacing w:line="240" w:lineRule="auto"/>
        <w:rPr>
          <w:i/>
        </w:rPr>
      </w:pPr>
      <w:r w:rsidRPr="00CD3EF9">
        <w:rPr>
          <w:i/>
        </w:rPr>
        <w:t>[Veľmi časté (≥</w:t>
      </w:r>
      <w:r w:rsidR="00CB3FFD">
        <w:rPr>
          <w:i/>
        </w:rPr>
        <w:t> </w:t>
      </w:r>
      <w:r w:rsidRPr="00CD3EF9">
        <w:rPr>
          <w:i/>
        </w:rPr>
        <w:t>1/10), časté (≥</w:t>
      </w:r>
      <w:r w:rsidR="00CB3FFD">
        <w:rPr>
          <w:i/>
        </w:rPr>
        <w:t> </w:t>
      </w:r>
      <w:r w:rsidRPr="00CD3EF9">
        <w:rPr>
          <w:i/>
        </w:rPr>
        <w:t>1/100 až &lt;</w:t>
      </w:r>
      <w:r w:rsidR="00CB3FFD">
        <w:rPr>
          <w:i/>
        </w:rPr>
        <w:t> </w:t>
      </w:r>
      <w:r w:rsidRPr="00CD3EF9">
        <w:rPr>
          <w:i/>
        </w:rPr>
        <w:t xml:space="preserve">1/10)]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b/>
          <w:color w:val="000000"/>
        </w:rPr>
        <w:t>Poruchy krvi a lymfatického systému</w:t>
      </w:r>
      <w:r w:rsidRPr="00CD3EF9">
        <w:rPr>
          <w:color w:val="000000"/>
        </w:rPr>
        <w:t xml:space="preserve">: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zvýšený počet eozinofilov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nervového systému: </w:t>
      </w:r>
    </w:p>
    <w:p w:rsidR="008C3C28" w:rsidRPr="00CD3EF9" w:rsidRDefault="00D12F0F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bolesť hlavy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srdca a srdcovej činnosti: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</w:t>
      </w:r>
      <w:proofErr w:type="spellStart"/>
      <w:r w:rsidRPr="00CD3EF9">
        <w:rPr>
          <w:color w:val="000000"/>
        </w:rPr>
        <w:t>tachykardia</w:t>
      </w:r>
      <w:proofErr w:type="spellEnd"/>
      <w:r w:rsidRPr="00CD3EF9">
        <w:rPr>
          <w:color w:val="000000"/>
        </w:rPr>
        <w:t xml:space="preserve">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ciev: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</w:t>
      </w:r>
      <w:r w:rsidR="00CB3FFD">
        <w:rPr>
          <w:color w:val="000000"/>
        </w:rPr>
        <w:t>za</w:t>
      </w:r>
      <w:r w:rsidRPr="00CD3EF9">
        <w:rPr>
          <w:color w:val="000000"/>
        </w:rPr>
        <w:t xml:space="preserve">červenanie, hypotenzia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pečene a žlčových ciest: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zvýšené hladiny pečeňových enzýmov (AST, ALT)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color w:val="000000"/>
          <w:u w:val="single"/>
        </w:rPr>
      </w:pPr>
      <w:r w:rsidRPr="00CD3EF9">
        <w:rPr>
          <w:b/>
          <w:color w:val="000000"/>
        </w:rPr>
        <w:t>Poruchy kože a podkožného tkaniva:</w:t>
      </w:r>
      <w:r w:rsidRPr="00CD3EF9">
        <w:rPr>
          <w:color w:val="000000"/>
        </w:rPr>
        <w:t xml:space="preserve">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vyrážka, svrbenie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color w:val="000000"/>
          <w:u w:val="single"/>
        </w:rPr>
      </w:pPr>
      <w:r w:rsidRPr="00CD3EF9">
        <w:rPr>
          <w:b/>
          <w:color w:val="000000"/>
        </w:rPr>
        <w:t>Celkové poruchy a reakcie v mieste podania:</w:t>
      </w:r>
      <w:r w:rsidRPr="00CD3EF9">
        <w:rPr>
          <w:color w:val="000000"/>
        </w:rPr>
        <w:t xml:space="preserve">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Veľmi časté:</w:t>
      </w:r>
      <w:r w:rsidRPr="00CD3EF9">
        <w:rPr>
          <w:color w:val="000000"/>
        </w:rPr>
        <w:t xml:space="preserve"> horúčka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triaška, bolesť v mieste </w:t>
      </w:r>
      <w:r w:rsidR="00CB3FFD">
        <w:rPr>
          <w:color w:val="000000"/>
        </w:rPr>
        <w:t>zavedenia</w:t>
      </w:r>
      <w:r w:rsidRPr="00CD3EF9">
        <w:rPr>
          <w:color w:val="000000"/>
        </w:rPr>
        <w:t xml:space="preserve"> katétra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8C3C28" w:rsidRPr="00CD3EF9" w:rsidRDefault="00945D09" w:rsidP="00DD38BD">
      <w:pPr>
        <w:spacing w:line="240" w:lineRule="auto"/>
        <w:rPr>
          <w:color w:val="000000"/>
          <w:u w:val="single"/>
        </w:rPr>
      </w:pPr>
      <w:r w:rsidRPr="00CD3EF9">
        <w:rPr>
          <w:b/>
          <w:color w:val="000000"/>
        </w:rPr>
        <w:t>Laboratórne a funkčné vyšetrenia:</w:t>
      </w:r>
      <w:r w:rsidRPr="00CD3EF9">
        <w:rPr>
          <w:color w:val="000000"/>
        </w:rPr>
        <w:t xml:space="preserve"> </w:t>
      </w:r>
    </w:p>
    <w:p w:rsidR="008C3C28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i/>
          <w:color w:val="000000"/>
          <w:u w:val="single"/>
        </w:rPr>
        <w:t>Časté:</w:t>
      </w:r>
      <w:r w:rsidRPr="00CD3EF9">
        <w:rPr>
          <w:color w:val="000000"/>
        </w:rPr>
        <w:t xml:space="preserve"> znížená hladina draslíka, </w:t>
      </w:r>
      <w:proofErr w:type="spellStart"/>
      <w:r w:rsidRPr="00CD3EF9">
        <w:rPr>
          <w:color w:val="000000"/>
        </w:rPr>
        <w:t>hypomagneziémia</w:t>
      </w:r>
      <w:proofErr w:type="spellEnd"/>
      <w:r w:rsidRPr="00CD3EF9">
        <w:rPr>
          <w:color w:val="000000"/>
        </w:rPr>
        <w:t xml:space="preserve">, zvýšená hladina glukózy, znížená hladina fosforu a zvýšená hladina fosforu </w:t>
      </w:r>
    </w:p>
    <w:p w:rsidR="00AD74A6" w:rsidRPr="00CD3EF9" w:rsidRDefault="00AD74A6" w:rsidP="00DD38BD">
      <w:pPr>
        <w:spacing w:line="240" w:lineRule="auto"/>
        <w:rPr>
          <w:color w:val="000000"/>
          <w:u w:val="single"/>
        </w:rPr>
      </w:pPr>
    </w:p>
    <w:p w:rsidR="00945D09" w:rsidRPr="00CD3EF9" w:rsidRDefault="00945D09" w:rsidP="00DD38BD">
      <w:pPr>
        <w:spacing w:line="240" w:lineRule="auto"/>
        <w:rPr>
          <w:i/>
          <w:color w:val="000000"/>
        </w:rPr>
      </w:pPr>
      <w:r w:rsidRPr="00CD3EF9">
        <w:rPr>
          <w:i/>
          <w:color w:val="000000"/>
          <w:u w:val="single"/>
        </w:rPr>
        <w:t xml:space="preserve">Skúsenosti získané po uvedení lieku na trh: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Po uvedení lieku na trh boli zaznamenané nasled</w:t>
      </w:r>
      <w:r w:rsidR="00CB3FFD">
        <w:rPr>
          <w:color w:val="000000"/>
        </w:rPr>
        <w:t>ovné</w:t>
      </w:r>
      <w:r w:rsidRPr="00CD3EF9">
        <w:rPr>
          <w:color w:val="000000"/>
        </w:rPr>
        <w:t xml:space="preserve"> nežiaduce reakcie: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Poruchy pečene a žlčových ciest: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proofErr w:type="spellStart"/>
      <w:r w:rsidRPr="00CD3EF9">
        <w:rPr>
          <w:color w:val="000000"/>
        </w:rPr>
        <w:t>Hepat</w:t>
      </w:r>
      <w:r w:rsidR="00CB3FFD">
        <w:rPr>
          <w:color w:val="000000"/>
        </w:rPr>
        <w:t>álna</w:t>
      </w:r>
      <w:proofErr w:type="spellEnd"/>
      <w:r w:rsidRPr="00CD3EF9">
        <w:rPr>
          <w:color w:val="000000"/>
        </w:rPr>
        <w:t xml:space="preserve"> dysfunkcia, zvýšená hladina </w:t>
      </w:r>
      <w:proofErr w:type="spellStart"/>
      <w:r w:rsidRPr="00CD3EF9">
        <w:rPr>
          <w:color w:val="000000"/>
        </w:rPr>
        <w:t>gamaglutamyltransferázy</w:t>
      </w:r>
      <w:proofErr w:type="spellEnd"/>
      <w:r w:rsidRPr="00CD3EF9">
        <w:rPr>
          <w:color w:val="000000"/>
        </w:rPr>
        <w:t xml:space="preserve">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Celkové poruchy a reakcie v mieste podania: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Op</w:t>
      </w:r>
      <w:r w:rsidR="00CB3FFD">
        <w:rPr>
          <w:color w:val="000000"/>
        </w:rPr>
        <w:t>uch</w:t>
      </w:r>
      <w:r w:rsidRPr="00CD3EF9">
        <w:rPr>
          <w:color w:val="000000"/>
        </w:rPr>
        <w:t xml:space="preserve"> a periférny edém </w:t>
      </w:r>
    </w:p>
    <w:p w:rsidR="00AD74A6" w:rsidRPr="00CD3EF9" w:rsidRDefault="00AD74A6" w:rsidP="00DD38BD">
      <w:pPr>
        <w:spacing w:line="240" w:lineRule="auto"/>
        <w:rPr>
          <w:b/>
          <w:color w:val="000000"/>
        </w:rPr>
      </w:pPr>
    </w:p>
    <w:p w:rsidR="00945D09" w:rsidRPr="00CD3EF9" w:rsidRDefault="00945D09" w:rsidP="00DD38BD">
      <w:pPr>
        <w:spacing w:line="240" w:lineRule="auto"/>
        <w:rPr>
          <w:b/>
          <w:color w:val="000000"/>
        </w:rPr>
      </w:pPr>
      <w:r w:rsidRPr="00CD3EF9">
        <w:rPr>
          <w:b/>
          <w:color w:val="000000"/>
        </w:rPr>
        <w:t xml:space="preserve">Laboratórne a funkčné vyšetrenia: </w:t>
      </w:r>
    </w:p>
    <w:p w:rsidR="00281C83" w:rsidRPr="00CD3EF9" w:rsidRDefault="00945D09" w:rsidP="00DD38BD">
      <w:pPr>
        <w:spacing w:line="240" w:lineRule="auto"/>
        <w:rPr>
          <w:color w:val="000000"/>
        </w:rPr>
      </w:pPr>
      <w:proofErr w:type="spellStart"/>
      <w:r w:rsidRPr="00CD3EF9">
        <w:rPr>
          <w:color w:val="000000"/>
        </w:rPr>
        <w:t>Hyperkal</w:t>
      </w:r>
      <w:r w:rsidR="00CB3FFD">
        <w:rPr>
          <w:color w:val="000000"/>
        </w:rPr>
        <w:t>c</w:t>
      </w:r>
      <w:r w:rsidRPr="00CD3EF9">
        <w:rPr>
          <w:color w:val="000000"/>
        </w:rPr>
        <w:t>iémia</w:t>
      </w:r>
      <w:proofErr w:type="spellEnd"/>
    </w:p>
    <w:p w:rsidR="00281C83" w:rsidRPr="00CD3EF9" w:rsidRDefault="00281C83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  <w:u w:val="single"/>
        </w:rPr>
        <w:t xml:space="preserve">Hlásenie podozrení na nežiaduce reakcie </w:t>
      </w:r>
    </w:p>
    <w:p w:rsidR="0069172C" w:rsidRPr="00CD3EF9" w:rsidRDefault="00945D09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B3FFD">
        <w:rPr>
          <w:color w:val="000000"/>
        </w:rPr>
        <w:t xml:space="preserve">na </w:t>
      </w:r>
      <w:r w:rsidR="00CB3FFD" w:rsidRPr="00EE7A47">
        <w:rPr>
          <w:highlight w:val="lightGray"/>
        </w:rPr>
        <w:t xml:space="preserve">národné </w:t>
      </w:r>
      <w:r w:rsidR="00CB3FFD">
        <w:rPr>
          <w:highlight w:val="lightGray"/>
        </w:rPr>
        <w:t>centrum</w:t>
      </w:r>
      <w:r w:rsidR="00CB3FFD" w:rsidRPr="00EE7A47">
        <w:rPr>
          <w:highlight w:val="lightGray"/>
        </w:rPr>
        <w:t xml:space="preserve"> hlásenia uvedené v </w:t>
      </w:r>
      <w:hyperlink r:id="rId8" w:history="1">
        <w:r w:rsidR="00CB3FFD" w:rsidRPr="00EE7A47">
          <w:rPr>
            <w:rStyle w:val="Hypertextovprepojenie"/>
            <w:highlight w:val="lightGray"/>
          </w:rPr>
          <w:t>Prílohe V</w:t>
        </w:r>
      </w:hyperlink>
      <w:r w:rsidR="00CB3FFD">
        <w:rPr>
          <w:rStyle w:val="Hypertextovprepojenie"/>
        </w:rPr>
        <w:t>.</w:t>
      </w:r>
    </w:p>
    <w:p w:rsidR="00945D09" w:rsidRPr="00CD3EF9" w:rsidRDefault="00945D09" w:rsidP="0069172C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>4.9</w:t>
      </w:r>
      <w:r w:rsidRPr="00CD3EF9">
        <w:rPr>
          <w:b/>
          <w:bCs/>
          <w:iCs/>
          <w:szCs w:val="20"/>
        </w:rPr>
        <w:tab/>
        <w:t xml:space="preserve">Predávkovanie </w:t>
      </w:r>
    </w:p>
    <w:p w:rsidR="00AD74A6" w:rsidRPr="00CD3EF9" w:rsidRDefault="00AD74A6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Bolo hlásené neúmyselné podanie až </w:t>
      </w:r>
      <w:r w:rsidR="00CB3FFD">
        <w:rPr>
          <w:color w:val="000000"/>
        </w:rPr>
        <w:t xml:space="preserve">do </w:t>
      </w:r>
      <w:r w:rsidRPr="00CD3EF9">
        <w:rPr>
          <w:color w:val="000000"/>
        </w:rPr>
        <w:t xml:space="preserve">400 mg </w:t>
      </w:r>
      <w:proofErr w:type="spellStart"/>
      <w:r w:rsidRPr="00CD3EF9">
        <w:rPr>
          <w:color w:val="000000"/>
        </w:rPr>
        <w:t>kaspofungínu</w:t>
      </w:r>
      <w:proofErr w:type="spellEnd"/>
      <w:r w:rsidRPr="00CD3EF9">
        <w:rPr>
          <w:color w:val="000000"/>
        </w:rPr>
        <w:t xml:space="preserve"> v jeden deň. Tieto prípady nemali za</w:t>
      </w:r>
      <w:r w:rsidR="00CB3FFD">
        <w:rPr>
          <w:color w:val="000000"/>
        </w:rPr>
        <w:t> </w:t>
      </w:r>
      <w:r w:rsidRPr="00CD3EF9">
        <w:rPr>
          <w:color w:val="000000"/>
        </w:rPr>
        <w:t xml:space="preserve">následok klinicky </w:t>
      </w:r>
      <w:r w:rsidR="00CB3FFD">
        <w:rPr>
          <w:color w:val="000000"/>
        </w:rPr>
        <w:t>významné</w:t>
      </w:r>
      <w:r w:rsidRPr="00CD3EF9">
        <w:rPr>
          <w:color w:val="000000"/>
        </w:rPr>
        <w:t xml:space="preserve"> nežiaduce reakcie. </w:t>
      </w:r>
      <w:proofErr w:type="spellStart"/>
      <w:r w:rsidRPr="00CD3EF9">
        <w:rPr>
          <w:color w:val="000000"/>
        </w:rPr>
        <w:t>Kaspofungín</w:t>
      </w:r>
      <w:proofErr w:type="spellEnd"/>
      <w:r w:rsidRPr="00CD3EF9">
        <w:rPr>
          <w:color w:val="000000"/>
        </w:rPr>
        <w:t xml:space="preserve"> nie je </w:t>
      </w:r>
      <w:proofErr w:type="spellStart"/>
      <w:r w:rsidRPr="00CD3EF9">
        <w:rPr>
          <w:color w:val="000000"/>
        </w:rPr>
        <w:t>dialyzovateľný</w:t>
      </w:r>
      <w:proofErr w:type="spellEnd"/>
      <w:r w:rsidRPr="00CD3EF9">
        <w:rPr>
          <w:color w:val="000000"/>
        </w:rPr>
        <w:t xml:space="preserve">. </w:t>
      </w:r>
    </w:p>
    <w:p w:rsidR="00AD74A6" w:rsidRPr="00CD3EF9" w:rsidRDefault="00AD74A6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7C6F03" w:rsidRPr="00CD3EF9" w:rsidRDefault="007C6F03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5.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 xml:space="preserve">Farmakologické vlastnosti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>5.1</w:t>
      </w:r>
      <w:r w:rsidRPr="00CD3EF9">
        <w:rPr>
          <w:b/>
          <w:bCs/>
          <w:iCs/>
          <w:szCs w:val="20"/>
        </w:rPr>
        <w:tab/>
        <w:t xml:space="preserve">Farmakodynamické vlastnosti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Farmakoterapeutická skupina: antimykotiká na systémové použitie, ATC kód: J02AX04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Mechanizmus účinku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r w:rsidR="00CF5716">
        <w:t>iumdi</w:t>
      </w:r>
      <w:r w:rsidRPr="00CD3EF9">
        <w:t>acetát</w:t>
      </w:r>
      <w:proofErr w:type="spellEnd"/>
      <w:r w:rsidRPr="00CD3EF9">
        <w:t xml:space="preserve"> je </w:t>
      </w:r>
      <w:proofErr w:type="spellStart"/>
      <w:r w:rsidR="00CF5716">
        <w:t>semi</w:t>
      </w:r>
      <w:r w:rsidRPr="00CD3EF9">
        <w:t>syntetická</w:t>
      </w:r>
      <w:proofErr w:type="spellEnd"/>
      <w:r w:rsidRPr="00CD3EF9">
        <w:t xml:space="preserve"> </w:t>
      </w:r>
      <w:proofErr w:type="spellStart"/>
      <w:r w:rsidRPr="00CD3EF9">
        <w:t>lipopeptidová</w:t>
      </w:r>
      <w:proofErr w:type="spellEnd"/>
      <w:r w:rsidRPr="00CD3EF9">
        <w:t xml:space="preserve"> (</w:t>
      </w:r>
      <w:proofErr w:type="spellStart"/>
      <w:r w:rsidRPr="00CD3EF9">
        <w:t>echinokandín</w:t>
      </w:r>
      <w:r w:rsidR="00CF5716">
        <w:t>ová</w:t>
      </w:r>
      <w:proofErr w:type="spellEnd"/>
      <w:r w:rsidRPr="00CD3EF9">
        <w:t>) zlúčenina syntetizovaná z ferment</w:t>
      </w:r>
      <w:r w:rsidR="00CF5716">
        <w:t>ačného</w:t>
      </w:r>
      <w:r w:rsidRPr="00CD3EF9">
        <w:t xml:space="preserve"> produktu huby </w:t>
      </w:r>
      <w:proofErr w:type="spellStart"/>
      <w:r w:rsidR="00CF5716">
        <w:rPr>
          <w:i/>
        </w:rPr>
        <w:t>G</w:t>
      </w:r>
      <w:r w:rsidRPr="00CD3EF9">
        <w:rPr>
          <w:i/>
        </w:rPr>
        <w:t>larea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lozoyensis</w:t>
      </w:r>
      <w:proofErr w:type="spellEnd"/>
      <w:r w:rsidRPr="00CD3EF9">
        <w:t xml:space="preserve">. </w:t>
      </w:r>
      <w:proofErr w:type="spellStart"/>
      <w:r w:rsidRPr="00CD3EF9">
        <w:t>Kaspofungín</w:t>
      </w:r>
      <w:r w:rsidR="00CF5716">
        <w:t>iumdi</w:t>
      </w:r>
      <w:r w:rsidRPr="00CD3EF9">
        <w:t>acetát</w:t>
      </w:r>
      <w:proofErr w:type="spellEnd"/>
      <w:r w:rsidRPr="00CD3EF9">
        <w:t xml:space="preserve"> </w:t>
      </w:r>
      <w:proofErr w:type="spellStart"/>
      <w:r w:rsidRPr="00CD3EF9">
        <w:t>inhibuje</w:t>
      </w:r>
      <w:proofErr w:type="spellEnd"/>
      <w:r w:rsidRPr="00CD3EF9">
        <w:t xml:space="preserve"> syntézu beta</w:t>
      </w:r>
      <w:r w:rsidR="00CF5716">
        <w:t> </w:t>
      </w:r>
      <w:r w:rsidRPr="00CD3EF9">
        <w:t>(1,3)-D-</w:t>
      </w:r>
      <w:proofErr w:type="spellStart"/>
      <w:r w:rsidRPr="00CD3EF9">
        <w:t>glukánu</w:t>
      </w:r>
      <w:proofErr w:type="spellEnd"/>
      <w:r w:rsidRPr="00CD3EF9">
        <w:t xml:space="preserve">, </w:t>
      </w:r>
      <w:r w:rsidR="00CF5716">
        <w:t>esenciálnej</w:t>
      </w:r>
      <w:r w:rsidRPr="00CD3EF9">
        <w:t xml:space="preserve"> zložky bun</w:t>
      </w:r>
      <w:r w:rsidR="00CF5716">
        <w:t>kovej</w:t>
      </w:r>
      <w:r w:rsidRPr="00CD3EF9">
        <w:t xml:space="preserve"> steny mnohých vláknitých húb a kvasiniek. Beta</w:t>
      </w:r>
      <w:r w:rsidR="00CF5716">
        <w:t> </w:t>
      </w:r>
      <w:r w:rsidRPr="00CD3EF9">
        <w:t>(1,3)-D-</w:t>
      </w:r>
      <w:proofErr w:type="spellStart"/>
      <w:r w:rsidRPr="00CD3EF9">
        <w:t>glukán</w:t>
      </w:r>
      <w:proofErr w:type="spellEnd"/>
      <w:r w:rsidRPr="00CD3EF9">
        <w:t xml:space="preserve"> sa nenachádza v bunkách cicavcov. </w:t>
      </w:r>
    </w:p>
    <w:p w:rsidR="00AD74A6" w:rsidRPr="00CD3EF9" w:rsidRDefault="00AD74A6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Fungicídny</w:t>
      </w:r>
      <w:proofErr w:type="spellEnd"/>
      <w:r w:rsidRPr="00CD3EF9">
        <w:t xml:space="preserve"> účinok </w:t>
      </w:r>
      <w:proofErr w:type="spellStart"/>
      <w:r w:rsidRPr="00CD3EF9">
        <w:t>kaspofungínu</w:t>
      </w:r>
      <w:proofErr w:type="spellEnd"/>
      <w:r w:rsidRPr="00CD3EF9">
        <w:t xml:space="preserve"> bol </w:t>
      </w:r>
      <w:r w:rsidR="00CF5716">
        <w:t>do</w:t>
      </w:r>
      <w:r w:rsidRPr="00CD3EF9">
        <w:t xml:space="preserve">kázaný na kvasinkách rodu </w:t>
      </w:r>
      <w:proofErr w:type="spellStart"/>
      <w:r w:rsidRPr="00CD3EF9">
        <w:rPr>
          <w:i/>
        </w:rPr>
        <w:t>Candida</w:t>
      </w:r>
      <w:proofErr w:type="spellEnd"/>
      <w:r w:rsidRPr="00CD3EF9">
        <w:t xml:space="preserve">. Štúdie </w:t>
      </w:r>
      <w:r w:rsidRPr="00CD3EF9">
        <w:rPr>
          <w:i/>
        </w:rPr>
        <w:t>in vitro</w:t>
      </w:r>
      <w:r w:rsidRPr="00CD3EF9">
        <w:t xml:space="preserve"> a </w:t>
      </w:r>
      <w:r w:rsidRPr="00CD3EF9">
        <w:rPr>
          <w:i/>
        </w:rPr>
        <w:t xml:space="preserve">in </w:t>
      </w:r>
      <w:proofErr w:type="spellStart"/>
      <w:r w:rsidRPr="00CD3EF9">
        <w:rPr>
          <w:i/>
        </w:rPr>
        <w:t>vivo</w:t>
      </w:r>
      <w:proofErr w:type="spellEnd"/>
      <w:r w:rsidRPr="00CD3EF9">
        <w:t xml:space="preserve"> </w:t>
      </w:r>
      <w:r w:rsidR="00CF5716">
        <w:t>do</w:t>
      </w:r>
      <w:r w:rsidRPr="00CD3EF9">
        <w:t xml:space="preserve">kazujú, že pôsobenie </w:t>
      </w:r>
      <w:proofErr w:type="spellStart"/>
      <w:r w:rsidRPr="00CD3EF9">
        <w:t>kaspofungínu</w:t>
      </w:r>
      <w:proofErr w:type="spellEnd"/>
      <w:r w:rsidRPr="00CD3EF9">
        <w:t xml:space="preserve"> na pleseň </w:t>
      </w:r>
      <w:proofErr w:type="spellStart"/>
      <w:r w:rsidRPr="00CD3EF9">
        <w:rPr>
          <w:i/>
        </w:rPr>
        <w:t>Aspergillus</w:t>
      </w:r>
      <w:proofErr w:type="spellEnd"/>
      <w:r w:rsidRPr="00CD3EF9">
        <w:t xml:space="preserve"> má za následok </w:t>
      </w:r>
      <w:proofErr w:type="spellStart"/>
      <w:r w:rsidRPr="00CD3EF9">
        <w:t>lýzu</w:t>
      </w:r>
      <w:proofErr w:type="spellEnd"/>
      <w:r w:rsidRPr="00CD3EF9">
        <w:t xml:space="preserve"> a </w:t>
      </w:r>
      <w:r w:rsidR="00CF5716">
        <w:t xml:space="preserve">smrť </w:t>
      </w:r>
      <w:proofErr w:type="spellStart"/>
      <w:r w:rsidRPr="00CD3EF9">
        <w:t>apikálnych</w:t>
      </w:r>
      <w:proofErr w:type="spellEnd"/>
      <w:r w:rsidRPr="00CD3EF9">
        <w:t xml:space="preserve"> koncov </w:t>
      </w:r>
      <w:proofErr w:type="spellStart"/>
      <w:r w:rsidRPr="00CD3EF9">
        <w:t>hyfy</w:t>
      </w:r>
      <w:proofErr w:type="spellEnd"/>
      <w:r w:rsidRPr="00CD3EF9">
        <w:t xml:space="preserve"> a</w:t>
      </w:r>
      <w:r w:rsidR="00CF5716">
        <w:t xml:space="preserve"> miest vetvenia </w:t>
      </w:r>
      <w:proofErr w:type="spellStart"/>
      <w:r w:rsidR="00CF5716">
        <w:t>hýf</w:t>
      </w:r>
      <w:proofErr w:type="spellEnd"/>
      <w:r w:rsidRPr="00CD3EF9">
        <w:t xml:space="preserve">, v ktorých sa odohráva rast a delenie buniek.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Farmakodynamické účinky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proofErr w:type="spellEnd"/>
      <w:r w:rsidRPr="00CD3EF9">
        <w:t xml:space="preserve"> účinkuje </w:t>
      </w:r>
      <w:r w:rsidRPr="00CD3EF9">
        <w:rPr>
          <w:i/>
        </w:rPr>
        <w:t>in vitro</w:t>
      </w:r>
      <w:r w:rsidRPr="00CD3EF9">
        <w:t xml:space="preserve"> voči druhom </w:t>
      </w:r>
      <w:proofErr w:type="spellStart"/>
      <w:r w:rsidRPr="00CD3EF9">
        <w:rPr>
          <w:i/>
        </w:rPr>
        <w:t>Aspergillus</w:t>
      </w:r>
      <w:proofErr w:type="spellEnd"/>
      <w:r w:rsidRPr="00CD3EF9">
        <w:t xml:space="preserve"> (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fumigatus</w:t>
      </w:r>
      <w:proofErr w:type="spellEnd"/>
      <w:r w:rsidRPr="00CD3EF9">
        <w:t xml:space="preserve"> [N = 75], 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flavus</w:t>
      </w:r>
      <w:proofErr w:type="spellEnd"/>
      <w:r w:rsidRPr="00CD3EF9">
        <w:t xml:space="preserve"> [N = 111], 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niger</w:t>
      </w:r>
      <w:proofErr w:type="spellEnd"/>
      <w:r w:rsidRPr="00CD3EF9">
        <w:t xml:space="preserve"> [N = 31], 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nidulans</w:t>
      </w:r>
      <w:proofErr w:type="spellEnd"/>
      <w:r w:rsidRPr="00CD3EF9">
        <w:t xml:space="preserve"> [N = 8], 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terreus</w:t>
      </w:r>
      <w:proofErr w:type="spellEnd"/>
      <w:r w:rsidRPr="00CD3EF9">
        <w:t xml:space="preserve"> [N = 52] a </w:t>
      </w:r>
      <w:proofErr w:type="spellStart"/>
      <w:r w:rsidRPr="00CD3EF9">
        <w:rPr>
          <w:i/>
        </w:rPr>
        <w:t>Aspergillus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candidus</w:t>
      </w:r>
      <w:proofErr w:type="spellEnd"/>
      <w:r w:rsidRPr="00CD3EF9">
        <w:t xml:space="preserve"> [N = 3]). </w:t>
      </w:r>
      <w:proofErr w:type="spellStart"/>
      <w:r w:rsidRPr="00CD3EF9">
        <w:t>Kaspofungín</w:t>
      </w:r>
      <w:proofErr w:type="spellEnd"/>
      <w:r w:rsidRPr="00CD3EF9">
        <w:t xml:space="preserve"> tiež účinkuje </w:t>
      </w:r>
      <w:r w:rsidRPr="00CD3EF9">
        <w:rPr>
          <w:i/>
        </w:rPr>
        <w:t>in vitro</w:t>
      </w:r>
      <w:r w:rsidRPr="00CD3EF9">
        <w:t xml:space="preserve"> voči druhom </w:t>
      </w:r>
      <w:proofErr w:type="spellStart"/>
      <w:r w:rsidRPr="00CD3EF9">
        <w:rPr>
          <w:i/>
        </w:rPr>
        <w:t>Candida</w:t>
      </w:r>
      <w:proofErr w:type="spellEnd"/>
      <w:r w:rsidRPr="00CD3EF9">
        <w:t xml:space="preserve"> (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albicans</w:t>
      </w:r>
      <w:proofErr w:type="spellEnd"/>
      <w:r w:rsidRPr="00CD3EF9">
        <w:t xml:space="preserve"> [N = 1 032],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dubliniensis</w:t>
      </w:r>
      <w:proofErr w:type="spellEnd"/>
      <w:r w:rsidRPr="00CD3EF9">
        <w:t xml:space="preserve"> [N = 100],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glabrata</w:t>
      </w:r>
      <w:proofErr w:type="spellEnd"/>
      <w:r w:rsidRPr="00CD3EF9">
        <w:t xml:space="preserve"> [N = 151],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guilliermondii</w:t>
      </w:r>
      <w:proofErr w:type="spellEnd"/>
      <w:r w:rsidRPr="00CD3EF9">
        <w:t xml:space="preserve"> [N = 67],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kefyr</w:t>
      </w:r>
      <w:proofErr w:type="spellEnd"/>
      <w:r w:rsidRPr="00CD3EF9">
        <w:t xml:space="preserve"> [N = 62],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krusei</w:t>
      </w:r>
      <w:proofErr w:type="spellEnd"/>
      <w:r w:rsidRPr="00CD3EF9">
        <w:t xml:space="preserve"> [N = 147],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lipolytica</w:t>
      </w:r>
      <w:proofErr w:type="spellEnd"/>
      <w:r w:rsidRPr="00CD3EF9">
        <w:t xml:space="preserve"> [N = 20],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lusitaniae</w:t>
      </w:r>
      <w:proofErr w:type="spellEnd"/>
      <w:r w:rsidRPr="00CD3EF9">
        <w:t xml:space="preserve"> [N =80],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parapsilosis</w:t>
      </w:r>
      <w:proofErr w:type="spellEnd"/>
      <w:r w:rsidRPr="00CD3EF9">
        <w:t xml:space="preserve"> [N = 215],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rugosa</w:t>
      </w:r>
      <w:proofErr w:type="spellEnd"/>
      <w:r w:rsidRPr="00CD3EF9">
        <w:t xml:space="preserve"> [N = 1] a </w:t>
      </w:r>
      <w:proofErr w:type="spellStart"/>
      <w:r w:rsidRPr="00CD3EF9">
        <w:rPr>
          <w:i/>
        </w:rPr>
        <w:t>Candida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tropicalis</w:t>
      </w:r>
      <w:proofErr w:type="spellEnd"/>
      <w:r w:rsidRPr="00CD3EF9">
        <w:t xml:space="preserve"> [N = 258]) a tiež voči </w:t>
      </w:r>
      <w:proofErr w:type="spellStart"/>
      <w:r w:rsidRPr="00CD3EF9">
        <w:t>izolátom</w:t>
      </w:r>
      <w:proofErr w:type="spellEnd"/>
      <w:r w:rsidRPr="00CD3EF9">
        <w:t xml:space="preserve"> s </w:t>
      </w:r>
      <w:r w:rsidR="0068450C">
        <w:t xml:space="preserve">mnohonásobnými </w:t>
      </w:r>
      <w:proofErr w:type="spellStart"/>
      <w:r w:rsidR="0068450C">
        <w:t>rezistenčnými</w:t>
      </w:r>
      <w:proofErr w:type="spellEnd"/>
      <w:r w:rsidRPr="00CD3EF9">
        <w:t xml:space="preserve"> transportnými mutáciami a druhom so získanou alebo vrodenou rezistenciou voči </w:t>
      </w:r>
      <w:proofErr w:type="spellStart"/>
      <w:r w:rsidRPr="00CD3EF9">
        <w:t>flukonazolu</w:t>
      </w:r>
      <w:proofErr w:type="spellEnd"/>
      <w:r w:rsidRPr="00CD3EF9">
        <w:t xml:space="preserve">, </w:t>
      </w:r>
      <w:proofErr w:type="spellStart"/>
      <w:r w:rsidRPr="00CD3EF9">
        <w:t>amfotericínu</w:t>
      </w:r>
      <w:proofErr w:type="spellEnd"/>
      <w:r w:rsidRPr="00CD3EF9">
        <w:t xml:space="preserve"> B a 5-flucyto</w:t>
      </w:r>
      <w:r w:rsidR="0068450C">
        <w:t>z</w:t>
      </w:r>
      <w:r w:rsidRPr="00CD3EF9">
        <w:t>ínu. Testy citlivosti boli vykonané v súlade s modifikáciou organizácie CLSI (</w:t>
      </w:r>
      <w:proofErr w:type="spellStart"/>
      <w:r w:rsidRPr="00CD3EF9">
        <w:t>Clinical</w:t>
      </w:r>
      <w:proofErr w:type="spellEnd"/>
      <w:r w:rsidRPr="00CD3EF9">
        <w:t xml:space="preserve"> and </w:t>
      </w:r>
      <w:proofErr w:type="spellStart"/>
      <w:r w:rsidRPr="00CD3EF9">
        <w:t>Laboratory</w:t>
      </w:r>
      <w:proofErr w:type="spellEnd"/>
      <w:r w:rsidRPr="00CD3EF9">
        <w:t xml:space="preserve"> </w:t>
      </w:r>
      <w:proofErr w:type="spellStart"/>
      <w:r w:rsidRPr="00CD3EF9">
        <w:t>Standards</w:t>
      </w:r>
      <w:proofErr w:type="spellEnd"/>
      <w:r w:rsidRPr="00CD3EF9">
        <w:t xml:space="preserve"> </w:t>
      </w:r>
      <w:proofErr w:type="spellStart"/>
      <w:r w:rsidRPr="00CD3EF9">
        <w:t>Institute</w:t>
      </w:r>
      <w:proofErr w:type="spellEnd"/>
      <w:r w:rsidRPr="00CD3EF9">
        <w:t xml:space="preserve">, predtým známej pod názvom National </w:t>
      </w:r>
      <w:proofErr w:type="spellStart"/>
      <w:r w:rsidRPr="00CD3EF9">
        <w:t>Committee</w:t>
      </w:r>
      <w:proofErr w:type="spellEnd"/>
      <w:r w:rsidRPr="00CD3EF9">
        <w:t xml:space="preserve"> </w:t>
      </w:r>
      <w:proofErr w:type="spellStart"/>
      <w:r w:rsidRPr="00CD3EF9">
        <w:t>for</w:t>
      </w:r>
      <w:proofErr w:type="spellEnd"/>
      <w:r w:rsidRPr="00CD3EF9">
        <w:t xml:space="preserve"> </w:t>
      </w:r>
      <w:proofErr w:type="spellStart"/>
      <w:r w:rsidRPr="00CD3EF9">
        <w:t>Clinical</w:t>
      </w:r>
      <w:proofErr w:type="spellEnd"/>
      <w:r w:rsidRPr="00CD3EF9">
        <w:t xml:space="preserve"> </w:t>
      </w:r>
      <w:proofErr w:type="spellStart"/>
      <w:r w:rsidRPr="00CD3EF9">
        <w:t>Laboratory</w:t>
      </w:r>
      <w:proofErr w:type="spellEnd"/>
      <w:r w:rsidRPr="00CD3EF9">
        <w:t xml:space="preserve"> </w:t>
      </w:r>
      <w:proofErr w:type="spellStart"/>
      <w:r w:rsidRPr="00CD3EF9">
        <w:t>Standards</w:t>
      </w:r>
      <w:proofErr w:type="spellEnd"/>
      <w:r w:rsidRPr="00CD3EF9">
        <w:t xml:space="preserve"> alebo NCCLS) metódou M38-A2 (pre druhy </w:t>
      </w:r>
      <w:proofErr w:type="spellStart"/>
      <w:r w:rsidRPr="00CD3EF9">
        <w:rPr>
          <w:i/>
        </w:rPr>
        <w:t>Aspergillus</w:t>
      </w:r>
      <w:proofErr w:type="spellEnd"/>
      <w:r w:rsidRPr="00CD3EF9">
        <w:t xml:space="preserve">) a metódou M27-A3 (pre druhy </w:t>
      </w:r>
      <w:proofErr w:type="spellStart"/>
      <w:r w:rsidRPr="00CD3EF9">
        <w:rPr>
          <w:i/>
        </w:rPr>
        <w:t>Candida</w:t>
      </w:r>
      <w:proofErr w:type="spellEnd"/>
      <w:r w:rsidRPr="00CD3EF9">
        <w:t>). Štandardizované techniky testovania citlivosti kvasin</w:t>
      </w:r>
      <w:r w:rsidR="008B6673">
        <w:t>ie</w:t>
      </w:r>
      <w:r w:rsidRPr="00CD3EF9">
        <w:t xml:space="preserve">k boli stanovené </w:t>
      </w:r>
      <w:r w:rsidR="008B6673">
        <w:t>normou</w:t>
      </w:r>
      <w:r w:rsidRPr="00CD3EF9">
        <w:t xml:space="preserve"> EUCAST. Hraničné hodnoty pre interpretáciu </w:t>
      </w:r>
      <w:proofErr w:type="spellStart"/>
      <w:r w:rsidRPr="00CD3EF9">
        <w:t>kaspofungín</w:t>
      </w:r>
      <w:r w:rsidR="008B6673">
        <w:t>u</w:t>
      </w:r>
      <w:proofErr w:type="spellEnd"/>
      <w:r w:rsidRPr="00CD3EF9">
        <w:t xml:space="preserve"> </w:t>
      </w:r>
      <w:r w:rsidR="008B6673">
        <w:t xml:space="preserve">však </w:t>
      </w:r>
      <w:r w:rsidRPr="00CD3EF9">
        <w:t xml:space="preserve">neboli </w:t>
      </w:r>
      <w:r w:rsidR="008B6673">
        <w:t>normou</w:t>
      </w:r>
      <w:r w:rsidRPr="00CD3EF9">
        <w:t xml:space="preserve"> EUCAST schválené. Pri malom počte pacientov </w:t>
      </w:r>
      <w:r w:rsidR="008B6673">
        <w:t>sa</w:t>
      </w:r>
      <w:r w:rsidRPr="00CD3EF9">
        <w:t xml:space="preserve"> počas liečby  identifikova</w:t>
      </w:r>
      <w:r w:rsidR="008B6673">
        <w:t>li</w:t>
      </w:r>
      <w:r w:rsidRPr="00CD3EF9">
        <w:t xml:space="preserve"> </w:t>
      </w:r>
      <w:proofErr w:type="spellStart"/>
      <w:r w:rsidRPr="00CD3EF9">
        <w:rPr>
          <w:b/>
        </w:rPr>
        <w:t>izoláty</w:t>
      </w:r>
      <w:proofErr w:type="spellEnd"/>
      <w:r w:rsidRPr="00CD3EF9">
        <w:t xml:space="preserve"> </w:t>
      </w:r>
      <w:r w:rsidR="008B6673">
        <w:t>rodu</w:t>
      </w:r>
      <w:r w:rsidRPr="00CD3EF9">
        <w:t xml:space="preserve"> </w:t>
      </w:r>
      <w:proofErr w:type="spellStart"/>
      <w:r w:rsidRPr="00E25026">
        <w:rPr>
          <w:i/>
        </w:rPr>
        <w:t>Candida</w:t>
      </w:r>
      <w:proofErr w:type="spellEnd"/>
      <w:r w:rsidRPr="00CD3EF9">
        <w:t xml:space="preserve"> so</w:t>
      </w:r>
      <w:r w:rsidR="008B6673">
        <w:t> </w:t>
      </w:r>
      <w:r w:rsidRPr="00CD3EF9">
        <w:t xml:space="preserve">zníženou citlivosťou na </w:t>
      </w:r>
      <w:proofErr w:type="spellStart"/>
      <w:r w:rsidRPr="00CD3EF9">
        <w:t>kaspofungín</w:t>
      </w:r>
      <w:proofErr w:type="spellEnd"/>
      <w:r w:rsidR="008B6673">
        <w:t xml:space="preserve"> </w:t>
      </w:r>
      <w:r w:rsidR="008B6673" w:rsidRPr="00CD3EF9">
        <w:t xml:space="preserve">(minimálne inhibičné koncentrácie (MIC) </w:t>
      </w:r>
      <w:proofErr w:type="spellStart"/>
      <w:r w:rsidR="008B6673" w:rsidRPr="00CD3EF9">
        <w:t>kaspofungínu</w:t>
      </w:r>
      <w:proofErr w:type="spellEnd"/>
      <w:r w:rsidR="008B6673" w:rsidRPr="00CD3EF9">
        <w:t xml:space="preserve"> &gt;</w:t>
      </w:r>
      <w:r w:rsidR="008B6673">
        <w:t> </w:t>
      </w:r>
      <w:r w:rsidR="008B6673" w:rsidRPr="00CD3EF9">
        <w:t>2 mg/l (4- až 30-násobné zvýšenie MIC)</w:t>
      </w:r>
      <w:r w:rsidR="008B6673" w:rsidRPr="008B6673">
        <w:rPr>
          <w:lang w:eastAsia="ja-JP"/>
        </w:rPr>
        <w:t xml:space="preserve"> </w:t>
      </w:r>
      <w:r w:rsidR="008B6673" w:rsidRPr="00EE7A47">
        <w:rPr>
          <w:lang w:eastAsia="ja-JP"/>
        </w:rPr>
        <w:t>boli hlásené pri použití štandardizovaných techník na</w:t>
      </w:r>
      <w:r w:rsidR="008B6673">
        <w:rPr>
          <w:lang w:eastAsia="ja-JP"/>
        </w:rPr>
        <w:t> </w:t>
      </w:r>
      <w:r w:rsidR="008B6673" w:rsidRPr="00EE7A47">
        <w:rPr>
          <w:lang w:eastAsia="ja-JP"/>
        </w:rPr>
        <w:t>testovanie MIC schválených CLSI</w:t>
      </w:r>
      <w:r w:rsidR="008B6673" w:rsidRPr="00CD3EF9">
        <w:t>)</w:t>
      </w:r>
      <w:r w:rsidRPr="00CD3EF9">
        <w:t xml:space="preserve">. </w:t>
      </w:r>
      <w:r w:rsidR="008B6673">
        <w:t>M</w:t>
      </w:r>
      <w:r w:rsidRPr="00CD3EF9">
        <w:t xml:space="preserve">echanizmom </w:t>
      </w:r>
      <w:r w:rsidR="008B6673">
        <w:t xml:space="preserve">vzniku </w:t>
      </w:r>
      <w:r w:rsidRPr="00CD3EF9">
        <w:t>rezistencie bola mutácia</w:t>
      </w:r>
      <w:r w:rsidR="008B6673">
        <w:t xml:space="preserve"> génu</w:t>
      </w:r>
      <w:r w:rsidRPr="00CD3EF9">
        <w:t xml:space="preserve"> FKS1/FKS2. Tieto prípady boli sprevádzané slabými klinickými výsledkami. </w:t>
      </w:r>
      <w:r w:rsidR="008B6673">
        <w:t>Vývoj</w:t>
      </w:r>
      <w:r w:rsidRPr="00CD3EF9">
        <w:t xml:space="preserve"> rezistencie </w:t>
      </w:r>
      <w:r w:rsidRPr="00CD3EF9">
        <w:rPr>
          <w:i/>
        </w:rPr>
        <w:t>in</w:t>
      </w:r>
      <w:r w:rsidR="008B6673">
        <w:rPr>
          <w:i/>
        </w:rPr>
        <w:t> </w:t>
      </w:r>
      <w:r w:rsidRPr="00CD3EF9">
        <w:rPr>
          <w:i/>
        </w:rPr>
        <w:t>vitro</w:t>
      </w:r>
      <w:r w:rsidRPr="00CD3EF9">
        <w:t xml:space="preserve"> na </w:t>
      </w:r>
      <w:proofErr w:type="spellStart"/>
      <w:r w:rsidRPr="00CD3EF9">
        <w:t>kaspofungín</w:t>
      </w:r>
      <w:proofErr w:type="spellEnd"/>
      <w:r w:rsidRPr="00CD3EF9">
        <w:t xml:space="preserve"> </w:t>
      </w:r>
      <w:r w:rsidR="00827CBB">
        <w:t xml:space="preserve">sa identifikoval </w:t>
      </w:r>
      <w:r w:rsidRPr="00CD3EF9">
        <w:t>pri druhoch</w:t>
      </w:r>
      <w:r w:rsidR="00827CBB">
        <w:t xml:space="preserve"> rodu</w:t>
      </w:r>
      <w:r w:rsidRPr="00CD3EF9">
        <w:t xml:space="preserve"> </w:t>
      </w:r>
      <w:proofErr w:type="spellStart"/>
      <w:r w:rsidRPr="00CD3EF9">
        <w:rPr>
          <w:i/>
        </w:rPr>
        <w:t>Aspergillus</w:t>
      </w:r>
      <w:proofErr w:type="spellEnd"/>
      <w:r w:rsidRPr="00CD3EF9">
        <w:t>. V</w:t>
      </w:r>
      <w:r w:rsidR="00827CBB">
        <w:t xml:space="preserve"> rámci </w:t>
      </w:r>
      <w:r w:rsidRPr="00CD3EF9">
        <w:t xml:space="preserve">obmedzených klinických </w:t>
      </w:r>
      <w:r w:rsidR="00827CBB">
        <w:t>skúseností</w:t>
      </w:r>
      <w:r w:rsidRPr="00CD3EF9">
        <w:t xml:space="preserve"> bola pozorovaná rezistencia na </w:t>
      </w:r>
      <w:proofErr w:type="spellStart"/>
      <w:r w:rsidRPr="00CD3EF9">
        <w:t>kaspofungín</w:t>
      </w:r>
      <w:proofErr w:type="spellEnd"/>
      <w:r w:rsidRPr="00CD3EF9">
        <w:t xml:space="preserve"> u pacientov s invazívnou </w:t>
      </w:r>
      <w:proofErr w:type="spellStart"/>
      <w:r w:rsidRPr="00CD3EF9">
        <w:t>aspergilózou</w:t>
      </w:r>
      <w:proofErr w:type="spellEnd"/>
      <w:r w:rsidRPr="00CD3EF9">
        <w:t xml:space="preserve">. Mechanizmus rezistencie nebol stanovený. </w:t>
      </w:r>
      <w:r w:rsidR="00827CBB">
        <w:t>Výskyt</w:t>
      </w:r>
      <w:r w:rsidRPr="00CD3EF9">
        <w:t xml:space="preserve"> rezistencie na </w:t>
      </w:r>
      <w:proofErr w:type="spellStart"/>
      <w:r w:rsidRPr="00CD3EF9">
        <w:t>kaspofungín</w:t>
      </w:r>
      <w:proofErr w:type="spellEnd"/>
      <w:r w:rsidRPr="00CD3EF9">
        <w:t xml:space="preserve"> </w:t>
      </w:r>
      <w:r w:rsidR="00827CBB">
        <w:t xml:space="preserve">je </w:t>
      </w:r>
      <w:r w:rsidRPr="00CD3EF9">
        <w:t>pri</w:t>
      </w:r>
      <w:r w:rsidR="00827CBB">
        <w:t> </w:t>
      </w:r>
      <w:r w:rsidRPr="00CD3EF9">
        <w:t xml:space="preserve">rôznych klinických </w:t>
      </w:r>
      <w:proofErr w:type="spellStart"/>
      <w:r w:rsidRPr="00CD3EF9">
        <w:t>izolátoch</w:t>
      </w:r>
      <w:proofErr w:type="spellEnd"/>
      <w:r w:rsidRPr="00CD3EF9">
        <w:t xml:space="preserve"> druh</w:t>
      </w:r>
      <w:r w:rsidR="00827CBB">
        <w:t>u</w:t>
      </w:r>
      <w:r w:rsidRPr="00CD3EF9">
        <w:t xml:space="preserve"> </w:t>
      </w:r>
      <w:proofErr w:type="spellStart"/>
      <w:r w:rsidRPr="00CD3EF9">
        <w:rPr>
          <w:i/>
        </w:rPr>
        <w:t>Candida</w:t>
      </w:r>
      <w:proofErr w:type="spellEnd"/>
      <w:r w:rsidRPr="00CD3EF9">
        <w:t xml:space="preserve"> a </w:t>
      </w:r>
      <w:proofErr w:type="spellStart"/>
      <w:r w:rsidRPr="00CD3EF9">
        <w:rPr>
          <w:i/>
        </w:rPr>
        <w:t>Aspergillus</w:t>
      </w:r>
      <w:proofErr w:type="spellEnd"/>
      <w:r w:rsidRPr="00CD3EF9">
        <w:t xml:space="preserve"> </w:t>
      </w:r>
      <w:r w:rsidR="00827CBB">
        <w:t>zriedkavá</w:t>
      </w:r>
      <w:r w:rsidRPr="00CD3EF9">
        <w:t xml:space="preserve">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Klinická účinnosť a bezpečnosť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rPr>
          <w:i/>
        </w:rPr>
        <w:t xml:space="preserve">Invazívna </w:t>
      </w:r>
      <w:proofErr w:type="spellStart"/>
      <w:r w:rsidRPr="00CD3EF9">
        <w:rPr>
          <w:i/>
        </w:rPr>
        <w:t>kandidóza</w:t>
      </w:r>
      <w:proofErr w:type="spellEnd"/>
      <w:r w:rsidRPr="00CD3EF9">
        <w:rPr>
          <w:i/>
        </w:rPr>
        <w:t xml:space="preserve"> u dospelých pacientov:</w:t>
      </w:r>
      <w:r w:rsidRPr="00CD3EF9">
        <w:t xml:space="preserve"> V úvodnej štúdii porovn</w:t>
      </w:r>
      <w:r w:rsidR="00664D73">
        <w:t>ávajúcej</w:t>
      </w:r>
      <w:r w:rsidRPr="00CD3EF9">
        <w:t xml:space="preserve"> </w:t>
      </w:r>
      <w:proofErr w:type="spellStart"/>
      <w:r w:rsidRPr="00CD3EF9">
        <w:t>kaspofungín</w:t>
      </w:r>
      <w:proofErr w:type="spellEnd"/>
      <w:r w:rsidRPr="00CD3EF9">
        <w:t xml:space="preserve"> s </w:t>
      </w:r>
      <w:proofErr w:type="spellStart"/>
      <w:r w:rsidRPr="00CD3EF9">
        <w:t>amfotericínom</w:t>
      </w:r>
      <w:proofErr w:type="spellEnd"/>
      <w:r w:rsidRPr="00CD3EF9">
        <w:t xml:space="preserve"> B </w:t>
      </w:r>
      <w:r w:rsidR="00664D73">
        <w:t>v</w:t>
      </w:r>
      <w:r w:rsidRPr="00CD3EF9">
        <w:t xml:space="preserve"> liečb</w:t>
      </w:r>
      <w:r w:rsidR="00664D73">
        <w:t>e</w:t>
      </w:r>
      <w:r w:rsidRPr="00CD3EF9">
        <w:t xml:space="preserve"> invazívnej </w:t>
      </w:r>
      <w:proofErr w:type="spellStart"/>
      <w:r w:rsidRPr="00CD3EF9">
        <w:t>kandidózy</w:t>
      </w:r>
      <w:proofErr w:type="spellEnd"/>
      <w:r w:rsidRPr="00CD3EF9">
        <w:t xml:space="preserve"> sa zúčastnilo </w:t>
      </w:r>
      <w:r w:rsidR="00664D73">
        <w:t>239</w:t>
      </w:r>
      <w:r w:rsidRPr="00CD3EF9">
        <w:t xml:space="preserve"> pacientov. </w:t>
      </w:r>
      <w:r w:rsidR="00664D73">
        <w:t>24</w:t>
      </w:r>
      <w:r w:rsidRPr="00CD3EF9">
        <w:t xml:space="preserve"> pacientov malo </w:t>
      </w:r>
      <w:proofErr w:type="spellStart"/>
      <w:r w:rsidRPr="00CD3EF9">
        <w:t>neutropéniu</w:t>
      </w:r>
      <w:proofErr w:type="spellEnd"/>
      <w:r w:rsidRPr="00CD3EF9">
        <w:t>. Najčastejšími diagnózami boli infekcie krv</w:t>
      </w:r>
      <w:r w:rsidR="00664D73">
        <w:t>i</w:t>
      </w:r>
      <w:r w:rsidRPr="00CD3EF9">
        <w:t xml:space="preserve"> (</w:t>
      </w:r>
      <w:proofErr w:type="spellStart"/>
      <w:r w:rsidRPr="00CD3EF9">
        <w:t>kandidémia</w:t>
      </w:r>
      <w:proofErr w:type="spellEnd"/>
      <w:r w:rsidRPr="00CD3EF9">
        <w:t>) (77 %, n = 186) a</w:t>
      </w:r>
      <w:r w:rsidR="00664D73">
        <w:t> </w:t>
      </w:r>
      <w:proofErr w:type="spellStart"/>
      <w:r w:rsidR="00664D73">
        <w:t>kandidová</w:t>
      </w:r>
      <w:proofErr w:type="spellEnd"/>
      <w:r w:rsidR="00664D73">
        <w:t xml:space="preserve"> </w:t>
      </w:r>
      <w:proofErr w:type="spellStart"/>
      <w:r w:rsidR="00664D73">
        <w:t>peritonitída</w:t>
      </w:r>
      <w:proofErr w:type="spellEnd"/>
      <w:r w:rsidRPr="00CD3EF9">
        <w:t xml:space="preserve"> (8 %, n = 19); pacienti s</w:t>
      </w:r>
      <w:r w:rsidR="00664D73">
        <w:t> </w:t>
      </w:r>
      <w:proofErr w:type="spellStart"/>
      <w:r w:rsidR="00664D73">
        <w:t>kandidovou</w:t>
      </w:r>
      <w:proofErr w:type="spellEnd"/>
      <w:r w:rsidR="00664D73">
        <w:t xml:space="preserve"> </w:t>
      </w:r>
      <w:proofErr w:type="spellStart"/>
      <w:r w:rsidR="00664D73">
        <w:t>endokarditídou</w:t>
      </w:r>
      <w:proofErr w:type="spellEnd"/>
      <w:r w:rsidRPr="00CD3EF9">
        <w:t xml:space="preserve">, </w:t>
      </w:r>
      <w:proofErr w:type="spellStart"/>
      <w:r w:rsidRPr="00CD3EF9">
        <w:t>osteomyelitídou</w:t>
      </w:r>
      <w:proofErr w:type="spellEnd"/>
      <w:r w:rsidRPr="00CD3EF9">
        <w:t xml:space="preserve"> alebo </w:t>
      </w:r>
      <w:proofErr w:type="spellStart"/>
      <w:r w:rsidRPr="00CD3EF9">
        <w:t>meningitídou</w:t>
      </w:r>
      <w:proofErr w:type="spellEnd"/>
      <w:r w:rsidRPr="00CD3EF9">
        <w:t xml:space="preserve"> boli z tejto štúdie vylúčení. </w:t>
      </w:r>
      <w:proofErr w:type="spellStart"/>
      <w:r w:rsidRPr="00CD3EF9">
        <w:t>Kaspofungín</w:t>
      </w:r>
      <w:proofErr w:type="spellEnd"/>
      <w:r w:rsidRPr="00CD3EF9">
        <w:t xml:space="preserve"> bol podávaný raz denne v dávke 50 mg nasledujúcej po</w:t>
      </w:r>
      <w:r w:rsidR="00664D73">
        <w:t> počiatočnej</w:t>
      </w:r>
      <w:r w:rsidRPr="00CD3EF9">
        <w:t xml:space="preserve"> dávke 70 mg, zatiaľ čo </w:t>
      </w:r>
      <w:proofErr w:type="spellStart"/>
      <w:r w:rsidRPr="00CD3EF9">
        <w:t>amfotericín</w:t>
      </w:r>
      <w:proofErr w:type="spellEnd"/>
      <w:r w:rsidRPr="00CD3EF9">
        <w:t xml:space="preserve"> B bol podávaný v dávke 0,6 až 0,7 mg/kg/deň pacientom bez </w:t>
      </w:r>
      <w:proofErr w:type="spellStart"/>
      <w:r w:rsidRPr="00CD3EF9">
        <w:t>neutropénie</w:t>
      </w:r>
      <w:proofErr w:type="spellEnd"/>
      <w:r w:rsidRPr="00CD3EF9">
        <w:t xml:space="preserve"> alebo 0,7 až 1,0 mg/kg/deň pacientom s </w:t>
      </w:r>
      <w:proofErr w:type="spellStart"/>
      <w:r w:rsidRPr="00CD3EF9">
        <w:t>neutropéniou</w:t>
      </w:r>
      <w:proofErr w:type="spellEnd"/>
      <w:r w:rsidRPr="00CD3EF9">
        <w:t xml:space="preserve">. </w:t>
      </w:r>
      <w:r w:rsidR="00A50083">
        <w:t>Priemerné trvanie</w:t>
      </w:r>
      <w:r w:rsidRPr="00CD3EF9">
        <w:t xml:space="preserve"> intravenóznej liečby bol</w:t>
      </w:r>
      <w:r w:rsidR="00A50083">
        <w:t>o</w:t>
      </w:r>
      <w:r w:rsidRPr="00CD3EF9">
        <w:t xml:space="preserve"> 11,9 dňa v rozmedzí od 1 do 28 dní. Za priaznivú odpoveď sa považovalo </w:t>
      </w:r>
      <w:r w:rsidR="00A50083">
        <w:t>vymiznutie</w:t>
      </w:r>
      <w:r w:rsidRPr="00CD3EF9">
        <w:t xml:space="preserve"> príznakov a mikrobiologické </w:t>
      </w:r>
      <w:proofErr w:type="spellStart"/>
      <w:r w:rsidR="00A50083">
        <w:t>eradikovanie</w:t>
      </w:r>
      <w:proofErr w:type="spellEnd"/>
      <w:r w:rsidRPr="00CD3EF9">
        <w:t xml:space="preserve"> </w:t>
      </w:r>
      <w:proofErr w:type="spellStart"/>
      <w:r w:rsidR="00A50083">
        <w:t>kandidovej</w:t>
      </w:r>
      <w:proofErr w:type="spellEnd"/>
      <w:r w:rsidR="00A50083">
        <w:t xml:space="preserve"> </w:t>
      </w:r>
      <w:r w:rsidRPr="00CD3EF9">
        <w:t>infekcie</w:t>
      </w:r>
      <w:r w:rsidR="00A50083">
        <w:t>.</w:t>
      </w:r>
      <w:r w:rsidRPr="00CD3EF9">
        <w:t xml:space="preserve"> </w:t>
      </w:r>
      <w:r w:rsidR="00A50083">
        <w:t>224</w:t>
      </w:r>
      <w:r w:rsidRPr="00CD3EF9">
        <w:t xml:space="preserve"> pacientov </w:t>
      </w:r>
      <w:r w:rsidR="00A50083">
        <w:t>bolo zaradených do</w:t>
      </w:r>
      <w:r w:rsidRPr="00CD3EF9">
        <w:t xml:space="preserve"> analýzy primárnej účinnosti odpovede</w:t>
      </w:r>
      <w:r w:rsidR="00A50083">
        <w:t xml:space="preserve"> </w:t>
      </w:r>
      <w:r w:rsidR="00A50083" w:rsidRPr="00CD3EF9">
        <w:t xml:space="preserve">(analýza MITT) </w:t>
      </w:r>
      <w:r w:rsidRPr="00CD3EF9">
        <w:t xml:space="preserve">na konci </w:t>
      </w:r>
      <w:r w:rsidR="00A50083">
        <w:t xml:space="preserve">štúdie </w:t>
      </w:r>
      <w:r w:rsidRPr="00CD3EF9">
        <w:t xml:space="preserve">intravenóznej liečby; prípady priaznivej odpovede na liečbu invazívnej </w:t>
      </w:r>
      <w:proofErr w:type="spellStart"/>
      <w:r w:rsidRPr="00CD3EF9">
        <w:t>kandidózy</w:t>
      </w:r>
      <w:proofErr w:type="spellEnd"/>
      <w:r w:rsidRPr="00CD3EF9">
        <w:t xml:space="preserve"> </w:t>
      </w:r>
      <w:proofErr w:type="spellStart"/>
      <w:r w:rsidRPr="00CD3EF9">
        <w:t>kaspofungínom</w:t>
      </w:r>
      <w:proofErr w:type="spellEnd"/>
      <w:r w:rsidRPr="00CD3EF9">
        <w:t xml:space="preserve"> (73 %, </w:t>
      </w:r>
      <w:proofErr w:type="spellStart"/>
      <w:r w:rsidRPr="00CD3EF9">
        <w:t>t.j</w:t>
      </w:r>
      <w:proofErr w:type="spellEnd"/>
      <w:r w:rsidRPr="00CD3EF9">
        <w:t>. 80 zo</w:t>
      </w:r>
      <w:r w:rsidR="00A50083">
        <w:t> </w:t>
      </w:r>
      <w:r w:rsidRPr="00CD3EF9">
        <w:t>109) a </w:t>
      </w:r>
      <w:proofErr w:type="spellStart"/>
      <w:r w:rsidRPr="00CD3EF9">
        <w:t>amfotericínom</w:t>
      </w:r>
      <w:proofErr w:type="spellEnd"/>
      <w:r w:rsidRPr="00CD3EF9">
        <w:t xml:space="preserve"> B (62 %, </w:t>
      </w:r>
      <w:proofErr w:type="spellStart"/>
      <w:r w:rsidRPr="00CD3EF9">
        <w:t>t.j</w:t>
      </w:r>
      <w:proofErr w:type="spellEnd"/>
      <w:r w:rsidRPr="00CD3EF9">
        <w:t>. 71 zo 115) boli porovnateľné (rozdiel 12,7 % (pri intervale spoľahlivosti 95,6 %: –0,7; 26,0). U pacientov s </w:t>
      </w:r>
      <w:proofErr w:type="spellStart"/>
      <w:r w:rsidRPr="00CD3EF9">
        <w:t>kandidémiou</w:t>
      </w:r>
      <w:proofErr w:type="spellEnd"/>
      <w:r w:rsidRPr="00CD3EF9">
        <w:t xml:space="preserve"> boli priazniv</w:t>
      </w:r>
      <w:r w:rsidR="00A50083">
        <w:t>é miery</w:t>
      </w:r>
      <w:r w:rsidRPr="00CD3EF9">
        <w:t xml:space="preserve"> odpovede na</w:t>
      </w:r>
      <w:r w:rsidR="00A50083">
        <w:t> </w:t>
      </w:r>
      <w:r w:rsidRPr="00CD3EF9">
        <w:t xml:space="preserve">konci </w:t>
      </w:r>
      <w:r w:rsidR="00A50083">
        <w:t xml:space="preserve">štúdie </w:t>
      </w:r>
      <w:r w:rsidRPr="00CD3EF9">
        <w:t xml:space="preserve">intravenóznej liečby </w:t>
      </w:r>
      <w:proofErr w:type="spellStart"/>
      <w:r w:rsidRPr="00CD3EF9">
        <w:t>kaspofungínom</w:t>
      </w:r>
      <w:proofErr w:type="spellEnd"/>
      <w:r w:rsidRPr="00CD3EF9">
        <w:t xml:space="preserve"> (72 %, </w:t>
      </w:r>
      <w:proofErr w:type="spellStart"/>
      <w:r w:rsidRPr="00CD3EF9">
        <w:t>t.j</w:t>
      </w:r>
      <w:proofErr w:type="spellEnd"/>
      <w:r w:rsidRPr="00CD3EF9">
        <w:t>. 66 z 92) a </w:t>
      </w:r>
      <w:proofErr w:type="spellStart"/>
      <w:r w:rsidRPr="00CD3EF9">
        <w:t>amfotericínom</w:t>
      </w:r>
      <w:proofErr w:type="spellEnd"/>
      <w:r w:rsidRPr="00CD3EF9">
        <w:t xml:space="preserve"> B (63 %, </w:t>
      </w:r>
      <w:proofErr w:type="spellStart"/>
      <w:r w:rsidRPr="00CD3EF9">
        <w:t>t.j</w:t>
      </w:r>
      <w:proofErr w:type="spellEnd"/>
      <w:r w:rsidRPr="00CD3EF9">
        <w:t>. 59 z 94) v analýze primárnej účinnosti (analýza MITT) porovnateľné (rozdiel 10,0 % (95,0 %</w:t>
      </w:r>
      <w:r w:rsidR="00A50083">
        <w:t xml:space="preserve"> CI</w:t>
      </w:r>
      <w:r w:rsidRPr="00CD3EF9">
        <w:t xml:space="preserve"> </w:t>
      </w:r>
      <w:r w:rsidR="00A50083">
        <w:t xml:space="preserve">- </w:t>
      </w:r>
      <w:r w:rsidRPr="00CD3EF9">
        <w:t xml:space="preserve">4,5; 24,5). </w:t>
      </w:r>
      <w:r w:rsidR="00311A55">
        <w:t xml:space="preserve">Údaje u pacientov s nehematologickou </w:t>
      </w:r>
      <w:r w:rsidRPr="00CD3EF9">
        <w:t>infekci</w:t>
      </w:r>
      <w:r w:rsidR="00311A55">
        <w:t>ou</w:t>
      </w:r>
      <w:r w:rsidRPr="00CD3EF9">
        <w:t xml:space="preserve"> bol</w:t>
      </w:r>
      <w:r w:rsidR="00311A55">
        <w:t>i</w:t>
      </w:r>
      <w:r w:rsidRPr="00CD3EF9">
        <w:t xml:space="preserve"> obmedzenejšie. </w:t>
      </w:r>
      <w:r w:rsidR="00311A55">
        <w:t>P</w:t>
      </w:r>
      <w:r w:rsidRPr="00CD3EF9">
        <w:t>riazniv</w:t>
      </w:r>
      <w:r w:rsidR="00311A55">
        <w:t>é miery</w:t>
      </w:r>
      <w:r w:rsidRPr="00CD3EF9">
        <w:t xml:space="preserve"> odpovede u pacientov s </w:t>
      </w:r>
      <w:proofErr w:type="spellStart"/>
      <w:r w:rsidRPr="00CD3EF9">
        <w:t>neutropéniou</w:t>
      </w:r>
      <w:proofErr w:type="spellEnd"/>
      <w:r w:rsidRPr="00CD3EF9">
        <w:t xml:space="preserve"> sa vyskytli v 7 zo 14 prípadov (50 %) v skupine liečenej </w:t>
      </w:r>
      <w:proofErr w:type="spellStart"/>
      <w:r w:rsidRPr="00CD3EF9">
        <w:t>kaspofungínom</w:t>
      </w:r>
      <w:proofErr w:type="spellEnd"/>
      <w:r w:rsidRPr="00CD3EF9">
        <w:t xml:space="preserve"> a</w:t>
      </w:r>
      <w:r w:rsidR="00311A55">
        <w:t> </w:t>
      </w:r>
      <w:r w:rsidRPr="00CD3EF9">
        <w:t xml:space="preserve">v 4 z 10 prípadov (40 %) v skupine liečenej </w:t>
      </w:r>
      <w:proofErr w:type="spellStart"/>
      <w:r w:rsidRPr="00CD3EF9">
        <w:t>amfotericínom</w:t>
      </w:r>
      <w:proofErr w:type="spellEnd"/>
      <w:r w:rsidRPr="00CD3EF9">
        <w:t xml:space="preserve"> B. Tieto obmedzené údaje sú podpor</w:t>
      </w:r>
      <w:r w:rsidR="00311A55">
        <w:t>e</w:t>
      </w:r>
      <w:r w:rsidRPr="00CD3EF9">
        <w:t>né výsledk</w:t>
      </w:r>
      <w:r w:rsidR="00311A55">
        <w:t>ami</w:t>
      </w:r>
      <w:r w:rsidRPr="00CD3EF9">
        <w:t xml:space="preserve"> štúdie empirickej liečby.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V druhej štúdii dostávali pacienti s invazívnou </w:t>
      </w:r>
      <w:proofErr w:type="spellStart"/>
      <w:r w:rsidRPr="00CD3EF9">
        <w:t>kandidózou</w:t>
      </w:r>
      <w:proofErr w:type="spellEnd"/>
      <w:r w:rsidRPr="00CD3EF9">
        <w:t xml:space="preserve"> denné dávky </w:t>
      </w:r>
      <w:proofErr w:type="spellStart"/>
      <w:r w:rsidRPr="00CD3EF9">
        <w:t>kaspofungínu</w:t>
      </w:r>
      <w:proofErr w:type="spellEnd"/>
      <w:r w:rsidRPr="00CD3EF9">
        <w:t xml:space="preserve"> 50 mg/deň (po</w:t>
      </w:r>
      <w:r w:rsidR="00311A55">
        <w:t> počiatočnej</w:t>
      </w:r>
      <w:r w:rsidRPr="00CD3EF9">
        <w:t xml:space="preserve"> dávke 70 mg podanej v 1. deň) alebo 150 mg/deň (pozri časť 4.8). V tejto štúdii bola dávka </w:t>
      </w:r>
      <w:proofErr w:type="spellStart"/>
      <w:r w:rsidRPr="00CD3EF9">
        <w:t>kaspofungínu</w:t>
      </w:r>
      <w:proofErr w:type="spellEnd"/>
      <w:r w:rsidRPr="00CD3EF9">
        <w:t xml:space="preserve"> podávaná </w:t>
      </w:r>
      <w:r w:rsidR="00311A55">
        <w:t>počas</w:t>
      </w:r>
      <w:r w:rsidRPr="00CD3EF9">
        <w:t xml:space="preserve"> 2 hodín (namiesto bežného podávania trvajúceho 1 hodinu). Zo</w:t>
      </w:r>
      <w:r w:rsidR="00311A55">
        <w:t> </w:t>
      </w:r>
      <w:r w:rsidRPr="00CD3EF9">
        <w:t xml:space="preserve">štúdie boli vylúčení pacienti s podozrením na </w:t>
      </w:r>
      <w:proofErr w:type="spellStart"/>
      <w:r w:rsidR="00311A55">
        <w:t>kandidovú</w:t>
      </w:r>
      <w:proofErr w:type="spellEnd"/>
      <w:r w:rsidR="00311A55">
        <w:t xml:space="preserve"> </w:t>
      </w:r>
      <w:proofErr w:type="spellStart"/>
      <w:r w:rsidR="00311A55">
        <w:t>endokardiídu</w:t>
      </w:r>
      <w:proofErr w:type="spellEnd"/>
      <w:r w:rsidRPr="00CD3EF9">
        <w:t xml:space="preserve">, </w:t>
      </w:r>
      <w:proofErr w:type="spellStart"/>
      <w:r w:rsidRPr="00CD3EF9">
        <w:t>meningitídu</w:t>
      </w:r>
      <w:proofErr w:type="spellEnd"/>
      <w:r w:rsidRPr="00CD3EF9">
        <w:t xml:space="preserve"> alebo </w:t>
      </w:r>
      <w:proofErr w:type="spellStart"/>
      <w:r w:rsidRPr="00CD3EF9">
        <w:t>osteomyelitídu</w:t>
      </w:r>
      <w:proofErr w:type="spellEnd"/>
      <w:r w:rsidRPr="00CD3EF9">
        <w:t xml:space="preserve">. Pretože </w:t>
      </w:r>
      <w:r w:rsidR="00311A55">
        <w:t>išlo o</w:t>
      </w:r>
      <w:r w:rsidRPr="00CD3EF9">
        <w:t xml:space="preserve"> štúdi</w:t>
      </w:r>
      <w:r w:rsidR="00311A55">
        <w:t>u</w:t>
      </w:r>
      <w:r w:rsidRPr="00CD3EF9">
        <w:t xml:space="preserve"> primárnej liečby, boli z nej tiež vylúčení pacienti odolní voči</w:t>
      </w:r>
      <w:r w:rsidR="00311A55">
        <w:t xml:space="preserve"> pretým podávaným</w:t>
      </w:r>
      <w:r w:rsidRPr="00CD3EF9">
        <w:t xml:space="preserve"> antimykotikám. Počet pacientov s </w:t>
      </w:r>
      <w:proofErr w:type="spellStart"/>
      <w:r w:rsidRPr="00CD3EF9">
        <w:t>neutropéniou</w:t>
      </w:r>
      <w:proofErr w:type="spellEnd"/>
      <w:r w:rsidRPr="00CD3EF9">
        <w:t xml:space="preserve"> zapojených v tejto štúdii bol tiež obmedzený (8,0 %). Účinnosť bola v tejto štúdii vedľajším </w:t>
      </w:r>
      <w:r w:rsidR="00311A55">
        <w:t xml:space="preserve">cieľovým </w:t>
      </w:r>
      <w:r w:rsidRPr="00CD3EF9">
        <w:t xml:space="preserve">ukazovateľom. Do analýzy účinnosti boli zahrnutí pacienti, ktorí splnili vstupné kritériá a dostali jednu alebo viac dávok </w:t>
      </w:r>
      <w:r w:rsidR="00311A55">
        <w:t xml:space="preserve">skúmanej liečby </w:t>
      </w:r>
      <w:proofErr w:type="spellStart"/>
      <w:r w:rsidRPr="00CD3EF9">
        <w:t>kaspofungín</w:t>
      </w:r>
      <w:r w:rsidR="00311A55">
        <w:t>om</w:t>
      </w:r>
      <w:proofErr w:type="spellEnd"/>
      <w:r w:rsidRPr="00CD3EF9">
        <w:t xml:space="preserve">. </w:t>
      </w:r>
      <w:r w:rsidR="00311A55">
        <w:t xml:space="preserve">Miery </w:t>
      </w:r>
      <w:r w:rsidRPr="00CD3EF9">
        <w:t xml:space="preserve">priaznivej </w:t>
      </w:r>
      <w:r w:rsidR="00311A55">
        <w:t xml:space="preserve">celkovej </w:t>
      </w:r>
      <w:r w:rsidRPr="00CD3EF9">
        <w:t xml:space="preserve">odpovede na konci liečby </w:t>
      </w:r>
      <w:proofErr w:type="spellStart"/>
      <w:r w:rsidRPr="00CD3EF9">
        <w:t>kaspofungínom</w:t>
      </w:r>
      <w:proofErr w:type="spellEnd"/>
      <w:r w:rsidRPr="00CD3EF9">
        <w:t xml:space="preserve"> boli v oboch terapeutických skupinách podobné: 72 % (73 zo 102) </w:t>
      </w:r>
      <w:r w:rsidR="00311A55" w:rsidRPr="00CD3EF9">
        <w:t>v prípade v terapeutick</w:t>
      </w:r>
      <w:r w:rsidR="00311A55">
        <w:t>ej</w:t>
      </w:r>
      <w:r w:rsidR="00311A55" w:rsidRPr="00CD3EF9">
        <w:t xml:space="preserve"> skupin</w:t>
      </w:r>
      <w:r w:rsidR="00311A55">
        <w:t>e</w:t>
      </w:r>
      <w:r w:rsidR="00311A55" w:rsidRPr="00CD3EF9">
        <w:t xml:space="preserve"> s 50 mg </w:t>
      </w:r>
      <w:proofErr w:type="spellStart"/>
      <w:r w:rsidR="00311A55" w:rsidRPr="00CD3EF9">
        <w:t>kaspofungínu</w:t>
      </w:r>
      <w:proofErr w:type="spellEnd"/>
      <w:r w:rsidR="00311A55" w:rsidRPr="00CD3EF9">
        <w:t xml:space="preserve"> </w:t>
      </w:r>
      <w:r w:rsidRPr="00CD3EF9">
        <w:t xml:space="preserve">a 78 % (74 z 95) </w:t>
      </w:r>
      <w:r w:rsidR="00311A55">
        <w:t xml:space="preserve">v terapeutickej skupine so </w:t>
      </w:r>
      <w:r w:rsidRPr="00CD3EF9">
        <w:t>150 mg</w:t>
      </w:r>
      <w:r w:rsidR="00311A55">
        <w:t xml:space="preserve"> </w:t>
      </w:r>
      <w:proofErr w:type="spellStart"/>
      <w:r w:rsidR="00311A55">
        <w:t>kaspofungínu</w:t>
      </w:r>
      <w:proofErr w:type="spellEnd"/>
      <w:r w:rsidRPr="00CD3EF9">
        <w:t xml:space="preserve"> (rozdiel 6,3 % </w:t>
      </w:r>
      <w:r w:rsidR="009D42EA">
        <w:t>[</w:t>
      </w:r>
      <w:r w:rsidRPr="00CD3EF9">
        <w:t xml:space="preserve">95 % </w:t>
      </w:r>
      <w:r w:rsidR="009D42EA">
        <w:t xml:space="preserve">CI - </w:t>
      </w:r>
      <w:r w:rsidRPr="00CD3EF9">
        <w:t>5,9; 18,4</w:t>
      </w:r>
      <w:r w:rsidR="009D42EA">
        <w:t>]</w:t>
      </w:r>
      <w:r w:rsidRPr="00CD3EF9">
        <w:t xml:space="preserve">).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rPr>
          <w:i/>
        </w:rPr>
        <w:t xml:space="preserve">Invazívna </w:t>
      </w:r>
      <w:proofErr w:type="spellStart"/>
      <w:r w:rsidRPr="00CD3EF9">
        <w:rPr>
          <w:i/>
        </w:rPr>
        <w:t>aspergilóza</w:t>
      </w:r>
      <w:proofErr w:type="spellEnd"/>
      <w:r w:rsidRPr="00CD3EF9">
        <w:rPr>
          <w:i/>
        </w:rPr>
        <w:t xml:space="preserve"> u dospelých pacientov:</w:t>
      </w:r>
      <w:r w:rsidRPr="00CD3EF9">
        <w:t xml:space="preserve"> </w:t>
      </w:r>
      <w:r w:rsidR="00936B43">
        <w:t>69</w:t>
      </w:r>
      <w:r w:rsidR="00936B43" w:rsidRPr="00CD3EF9">
        <w:t xml:space="preserve"> </w:t>
      </w:r>
      <w:r w:rsidRPr="00CD3EF9">
        <w:t xml:space="preserve">dospelých pacientov (vo veku 18 až 80 rokov) s invazívnou </w:t>
      </w:r>
      <w:proofErr w:type="spellStart"/>
      <w:r w:rsidRPr="00CD3EF9">
        <w:t>aspergilózou</w:t>
      </w:r>
      <w:proofErr w:type="spellEnd"/>
      <w:r w:rsidRPr="00CD3EF9">
        <w:t xml:space="preserve"> sa zúčastnilo otvorenej nekomparatívnej štúdie na vyhodnotenie bezpečnosti, </w:t>
      </w:r>
      <w:proofErr w:type="spellStart"/>
      <w:r w:rsidRPr="00CD3EF9">
        <w:t>tolerability</w:t>
      </w:r>
      <w:proofErr w:type="spellEnd"/>
      <w:r w:rsidRPr="00CD3EF9">
        <w:t xml:space="preserve"> a účinnosti </w:t>
      </w:r>
      <w:proofErr w:type="spellStart"/>
      <w:r w:rsidRPr="00CD3EF9">
        <w:t>kaspofungínu</w:t>
      </w:r>
      <w:proofErr w:type="spellEnd"/>
      <w:r w:rsidRPr="00CD3EF9">
        <w:t xml:space="preserve">. Pacienti museli </w:t>
      </w:r>
      <w:r w:rsidR="00936B43">
        <w:t>byť</w:t>
      </w:r>
      <w:r w:rsidRPr="00CD3EF9">
        <w:t xml:space="preserve"> buď </w:t>
      </w:r>
      <w:proofErr w:type="spellStart"/>
      <w:r w:rsidR="00936B43">
        <w:t>refraktérni</w:t>
      </w:r>
      <w:proofErr w:type="spellEnd"/>
      <w:r w:rsidRPr="00CD3EF9">
        <w:t xml:space="preserve"> (rozvoj ochorenia alebo absenciou zlepšenia pri iných antimykotik</w:t>
      </w:r>
      <w:r w:rsidR="00936B43">
        <w:t>á</w:t>
      </w:r>
      <w:r w:rsidRPr="00CD3EF9">
        <w:t>ch podávaných najmenej 7 dní)</w:t>
      </w:r>
      <w:r w:rsidR="00936B43">
        <w:t xml:space="preserve"> na iné štandardné antimykotiká</w:t>
      </w:r>
      <w:r w:rsidRPr="00CD3EF9">
        <w:t xml:space="preserve"> (84 % zúčastnených pacientov) alebo </w:t>
      </w:r>
      <w:r w:rsidR="00936B43">
        <w:t>intolerantní</w:t>
      </w:r>
      <w:r w:rsidRPr="00CD3EF9">
        <w:t xml:space="preserve"> (16 % zúčastnených pacientov) </w:t>
      </w:r>
      <w:r w:rsidR="00936B43">
        <w:t>na</w:t>
      </w:r>
      <w:r w:rsidRPr="00CD3EF9">
        <w:t xml:space="preserve"> in</w:t>
      </w:r>
      <w:r w:rsidR="00936B43">
        <w:t>é</w:t>
      </w:r>
      <w:r w:rsidRPr="00CD3EF9">
        <w:t xml:space="preserve"> štandardn</w:t>
      </w:r>
      <w:r w:rsidR="00936B43">
        <w:t>é</w:t>
      </w:r>
      <w:r w:rsidRPr="00CD3EF9">
        <w:t xml:space="preserve"> antimykoti</w:t>
      </w:r>
      <w:r w:rsidR="00936B43">
        <w:t>ká</w:t>
      </w:r>
      <w:r w:rsidRPr="00CD3EF9">
        <w:t xml:space="preserve">. Väčšina pacientov mala základné ochorenie (hematologický zhubný nádor (N = 24), </w:t>
      </w:r>
      <w:proofErr w:type="spellStart"/>
      <w:r w:rsidRPr="00CD3EF9">
        <w:t>alogénna</w:t>
      </w:r>
      <w:proofErr w:type="spellEnd"/>
      <w:r w:rsidRPr="00CD3EF9">
        <w:t xml:space="preserve"> transplantácia kostnej drene alebo transplantácia kmeňových buniek (N = 18), transplantácia orgánu (N = 8), solídny tumor (N = 3) alebo </w:t>
      </w:r>
      <w:r w:rsidR="00936B43">
        <w:t>iné ochorenie</w:t>
      </w:r>
      <w:r w:rsidRPr="00CD3EF9">
        <w:t xml:space="preserve"> (N = 10)). Na stanovenie diagnózy invazívnej </w:t>
      </w:r>
      <w:proofErr w:type="spellStart"/>
      <w:r w:rsidRPr="00CD3EF9">
        <w:t>aspergilózy</w:t>
      </w:r>
      <w:proofErr w:type="spellEnd"/>
      <w:r w:rsidRPr="00CD3EF9">
        <w:t xml:space="preserve"> a odpovede na liečbu (za priaznivú odpoveď bolo považované klinicky významné zlepšenie röntgenových snímok ako aj </w:t>
      </w:r>
      <w:r w:rsidR="00AF40D4">
        <w:t xml:space="preserve">zlepšenie prejavov </w:t>
      </w:r>
      <w:r w:rsidRPr="00CD3EF9">
        <w:t xml:space="preserve">a príznakov) boli použité prísne </w:t>
      </w:r>
      <w:r w:rsidR="00AF40D4">
        <w:t>kritériá</w:t>
      </w:r>
      <w:r w:rsidRPr="00CD3EF9">
        <w:t xml:space="preserve"> podľa </w:t>
      </w:r>
      <w:r w:rsidR="00AF40D4">
        <w:t>Študijnej</w:t>
      </w:r>
      <w:r w:rsidRPr="00CD3EF9">
        <w:t xml:space="preserve"> skupiny</w:t>
      </w:r>
      <w:r w:rsidR="00AF40D4">
        <w:t xml:space="preserve"> pre</w:t>
      </w:r>
      <w:r w:rsidRPr="00CD3EF9">
        <w:t xml:space="preserve"> mykóz</w:t>
      </w:r>
      <w:r w:rsidR="00AF40D4">
        <w:t>y</w:t>
      </w:r>
      <w:r w:rsidRPr="00CD3EF9">
        <w:t xml:space="preserve"> (</w:t>
      </w:r>
      <w:proofErr w:type="spellStart"/>
      <w:r w:rsidRPr="00CD3EF9">
        <w:t>Mycoses</w:t>
      </w:r>
      <w:proofErr w:type="spellEnd"/>
      <w:r w:rsidRPr="00CD3EF9">
        <w:t xml:space="preserve"> Study Group, MSG). </w:t>
      </w:r>
      <w:r w:rsidR="00AF40D4">
        <w:t xml:space="preserve">Priemerná </w:t>
      </w:r>
      <w:r w:rsidRPr="00CD3EF9">
        <w:t xml:space="preserve">dĺžka </w:t>
      </w:r>
      <w:r w:rsidR="00AF40D4">
        <w:t xml:space="preserve">trvania </w:t>
      </w:r>
      <w:r w:rsidRPr="00CD3EF9">
        <w:t>liečby bola 33,7 dňa, v rozmedzí od 1 do 162 dní. Nezávisl</w:t>
      </w:r>
      <w:r w:rsidR="00AF40D4">
        <w:t>á</w:t>
      </w:r>
      <w:r w:rsidRPr="00CD3EF9">
        <w:t xml:space="preserve"> </w:t>
      </w:r>
      <w:r w:rsidR="00AF40D4">
        <w:t xml:space="preserve">skupina </w:t>
      </w:r>
      <w:r w:rsidRPr="00CD3EF9">
        <w:t>odborníkov stanovil</w:t>
      </w:r>
      <w:r w:rsidR="00AF40D4">
        <w:t>a</w:t>
      </w:r>
      <w:r w:rsidRPr="00CD3EF9">
        <w:t xml:space="preserve">, že 41 % (26 zo 63) pacientov, ktorí dostali najmenej jednu dávku </w:t>
      </w:r>
      <w:proofErr w:type="spellStart"/>
      <w:r w:rsidRPr="00CD3EF9">
        <w:t>kaspofungínu</w:t>
      </w:r>
      <w:proofErr w:type="spellEnd"/>
      <w:r w:rsidRPr="00CD3EF9">
        <w:t xml:space="preserve">, malo priaznivú odpoveď. Z pacientov, ktorí dostávali </w:t>
      </w:r>
      <w:proofErr w:type="spellStart"/>
      <w:r w:rsidRPr="00CD3EF9">
        <w:t>kaspofungín</w:t>
      </w:r>
      <w:proofErr w:type="spellEnd"/>
      <w:r w:rsidRPr="00CD3EF9">
        <w:t xml:space="preserve"> dlhšie než 7 dní, malo priaznivú odpoveď 50 % (26 z 52). </w:t>
      </w:r>
      <w:r w:rsidR="00AF40D4">
        <w:t xml:space="preserve">Z pacientov, ktorí boli </w:t>
      </w:r>
      <w:proofErr w:type="spellStart"/>
      <w:r w:rsidR="00AF40D4">
        <w:t>refraktérni</w:t>
      </w:r>
      <w:proofErr w:type="spellEnd"/>
      <w:r w:rsidR="00AF40D4">
        <w:t xml:space="preserve"> na predchádzajúcu liečbu, malo priaznivú odpoveď</w:t>
      </w:r>
      <w:r w:rsidRPr="00CD3EF9">
        <w:t xml:space="preserve"> 36 % (19 z 53)</w:t>
      </w:r>
      <w:r w:rsidR="00AF40D4">
        <w:t xml:space="preserve"> a z tých, ktorí boli intolerantní na predchádzajúcu liečbu, malo priaznivú odpoveď</w:t>
      </w:r>
      <w:r w:rsidRPr="00CD3EF9">
        <w:t xml:space="preserve"> 70 % (7 z 10). Aj keď </w:t>
      </w:r>
      <w:r w:rsidR="00AF40D4">
        <w:t xml:space="preserve">boli </w:t>
      </w:r>
      <w:r w:rsidRPr="00CD3EF9">
        <w:t>dávky pred</w:t>
      </w:r>
      <w:r w:rsidR="00AF40D4">
        <w:t>chádzajúcej</w:t>
      </w:r>
      <w:r w:rsidRPr="00CD3EF9">
        <w:t xml:space="preserve"> </w:t>
      </w:r>
      <w:proofErr w:type="spellStart"/>
      <w:r w:rsidRPr="00CD3EF9">
        <w:t>antimykotick</w:t>
      </w:r>
      <w:r w:rsidR="00AF40D4">
        <w:t>ej</w:t>
      </w:r>
      <w:proofErr w:type="spellEnd"/>
      <w:r w:rsidRPr="00CD3EF9">
        <w:t xml:space="preserve"> liečb</w:t>
      </w:r>
      <w:r w:rsidR="00AF40D4">
        <w:t>y</w:t>
      </w:r>
      <w:r w:rsidRPr="00CD3EF9">
        <w:t xml:space="preserve"> u 5 pacientov zahrnutých do štúdie ako </w:t>
      </w:r>
      <w:proofErr w:type="spellStart"/>
      <w:r w:rsidR="00AF40D4">
        <w:t>refraktérni</w:t>
      </w:r>
      <w:proofErr w:type="spellEnd"/>
      <w:r w:rsidR="00AF40D4">
        <w:t xml:space="preserve"> na</w:t>
      </w:r>
      <w:r w:rsidRPr="00CD3EF9">
        <w:t xml:space="preserve"> liečb</w:t>
      </w:r>
      <w:r w:rsidR="00AF40D4">
        <w:t>u</w:t>
      </w:r>
      <w:r w:rsidRPr="00CD3EF9">
        <w:t xml:space="preserve"> nižšie než dávky, ktoré sú často podávané pri invazívnej </w:t>
      </w:r>
      <w:proofErr w:type="spellStart"/>
      <w:r w:rsidRPr="00CD3EF9">
        <w:t>aspergilóze</w:t>
      </w:r>
      <w:proofErr w:type="spellEnd"/>
      <w:r w:rsidRPr="00CD3EF9">
        <w:t xml:space="preserve">, </w:t>
      </w:r>
      <w:r w:rsidR="00AF40D4">
        <w:t>pomer</w:t>
      </w:r>
      <w:r w:rsidRPr="00CD3EF9">
        <w:t xml:space="preserve"> priaznivých odpovedí počas liečby </w:t>
      </w:r>
      <w:proofErr w:type="spellStart"/>
      <w:r w:rsidRPr="00CD3EF9">
        <w:t>kaspofungínom</w:t>
      </w:r>
      <w:proofErr w:type="spellEnd"/>
      <w:r w:rsidRPr="00CD3EF9">
        <w:t xml:space="preserve"> </w:t>
      </w:r>
      <w:r w:rsidR="00AF40D4">
        <w:t>bol</w:t>
      </w:r>
      <w:r w:rsidRPr="00CD3EF9">
        <w:t xml:space="preserve"> podobný ako u </w:t>
      </w:r>
      <w:r w:rsidR="00AF40D4">
        <w:t>ostatných</w:t>
      </w:r>
      <w:r w:rsidRPr="00CD3EF9">
        <w:t xml:space="preserve"> </w:t>
      </w:r>
      <w:proofErr w:type="spellStart"/>
      <w:r w:rsidR="00AF40D4">
        <w:t>refraktérnych</w:t>
      </w:r>
      <w:proofErr w:type="spellEnd"/>
      <w:r w:rsidR="00AF40D4">
        <w:t xml:space="preserve"> </w:t>
      </w:r>
      <w:r w:rsidRPr="00CD3EF9">
        <w:t>pacientov (2 z 5 oproti 17 zo 48). Podiel priaznivých odpovedí medzi pacientmi s pľúcnym ochorením bol 47 % (21 zo 45) a s </w:t>
      </w:r>
      <w:proofErr w:type="spellStart"/>
      <w:r w:rsidRPr="00CD3EF9">
        <w:t>extrapulmoná</w:t>
      </w:r>
      <w:r w:rsidR="00DA4753">
        <w:t>l</w:t>
      </w:r>
      <w:r w:rsidRPr="00CD3EF9">
        <w:t>nym</w:t>
      </w:r>
      <w:proofErr w:type="spellEnd"/>
      <w:r w:rsidRPr="00CD3EF9">
        <w:t xml:space="preserve"> ochorením bol 28 % (5 z 18). Z pacientov s </w:t>
      </w:r>
      <w:proofErr w:type="spellStart"/>
      <w:r w:rsidRPr="00CD3EF9">
        <w:t>extrapulmoná</w:t>
      </w:r>
      <w:r w:rsidR="00DA4753">
        <w:t>l</w:t>
      </w:r>
      <w:r w:rsidRPr="00CD3EF9">
        <w:t>nym</w:t>
      </w:r>
      <w:proofErr w:type="spellEnd"/>
      <w:r w:rsidRPr="00CD3EF9">
        <w:t xml:space="preserve"> ochorením, ktorí mali </w:t>
      </w:r>
      <w:r w:rsidR="00DA4753">
        <w:t>isté</w:t>
      </w:r>
      <w:r w:rsidRPr="00CD3EF9">
        <w:t>, pravdepodobn</w:t>
      </w:r>
      <w:r w:rsidR="00DA4753">
        <w:t>é</w:t>
      </w:r>
      <w:r w:rsidRPr="00CD3EF9">
        <w:t xml:space="preserve"> alebo možn</w:t>
      </w:r>
      <w:r w:rsidR="00DA4753">
        <w:t>é</w:t>
      </w:r>
      <w:r w:rsidRPr="00CD3EF9">
        <w:t xml:space="preserve"> </w:t>
      </w:r>
      <w:r w:rsidR="00DA4753">
        <w:t>postihnutie</w:t>
      </w:r>
      <w:r w:rsidRPr="00CD3EF9">
        <w:t xml:space="preserve"> CNS, mali priaznivú odpoveď 2 z 8 pacientov.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rPr>
          <w:i/>
        </w:rPr>
        <w:t>Empirická liečba u </w:t>
      </w:r>
      <w:proofErr w:type="spellStart"/>
      <w:r w:rsidRPr="00CD3EF9">
        <w:rPr>
          <w:i/>
        </w:rPr>
        <w:t>febrilných</w:t>
      </w:r>
      <w:proofErr w:type="spellEnd"/>
      <w:r w:rsidRPr="00CD3EF9">
        <w:rPr>
          <w:i/>
        </w:rPr>
        <w:t xml:space="preserve"> dospelých pacientov s </w:t>
      </w:r>
      <w:proofErr w:type="spellStart"/>
      <w:r w:rsidRPr="00CD3EF9">
        <w:rPr>
          <w:i/>
        </w:rPr>
        <w:t>neutropéniou</w:t>
      </w:r>
      <w:proofErr w:type="spellEnd"/>
      <w:r w:rsidRPr="00CD3EF9">
        <w:rPr>
          <w:i/>
        </w:rPr>
        <w:t>:</w:t>
      </w:r>
      <w:r w:rsidRPr="00CD3EF9">
        <w:t xml:space="preserve"> Celkom 1 111 pacientov s </w:t>
      </w:r>
      <w:proofErr w:type="spellStart"/>
      <w:r w:rsidRPr="00CD3EF9">
        <w:t>perzistentnou</w:t>
      </w:r>
      <w:proofErr w:type="spellEnd"/>
      <w:r w:rsidRPr="00CD3EF9">
        <w:t xml:space="preserve"> horúčkou a </w:t>
      </w:r>
      <w:proofErr w:type="spellStart"/>
      <w:r w:rsidRPr="00CD3EF9">
        <w:t>neutropéniou</w:t>
      </w:r>
      <w:proofErr w:type="spellEnd"/>
      <w:r w:rsidRPr="00CD3EF9">
        <w:t xml:space="preserve"> sa zúčastnilo klinickej štúdie</w:t>
      </w:r>
      <w:r w:rsidR="00DA4753">
        <w:t>, ktorí</w:t>
      </w:r>
      <w:r w:rsidRPr="00CD3EF9">
        <w:t xml:space="preserve"> boli liečení buď jednou dennou dávkou 50 mg </w:t>
      </w:r>
      <w:proofErr w:type="spellStart"/>
      <w:r w:rsidRPr="00CD3EF9">
        <w:t>kaspofungínu</w:t>
      </w:r>
      <w:proofErr w:type="spellEnd"/>
      <w:r w:rsidRPr="00CD3EF9">
        <w:t xml:space="preserve"> nasledujúcou po 70 mg </w:t>
      </w:r>
      <w:r w:rsidR="00DA4753">
        <w:t>počiatočnej</w:t>
      </w:r>
      <w:r w:rsidRPr="00CD3EF9">
        <w:t xml:space="preserve"> dávke alebo </w:t>
      </w:r>
      <w:proofErr w:type="spellStart"/>
      <w:r w:rsidRPr="00CD3EF9">
        <w:t>lipo</w:t>
      </w:r>
      <w:r w:rsidR="00DA4753">
        <w:t>z</w:t>
      </w:r>
      <w:r w:rsidRPr="00CD3EF9">
        <w:t>omálnym</w:t>
      </w:r>
      <w:proofErr w:type="spellEnd"/>
      <w:r w:rsidRPr="00CD3EF9">
        <w:t xml:space="preserve"> </w:t>
      </w:r>
      <w:proofErr w:type="spellStart"/>
      <w:r w:rsidRPr="00CD3EF9">
        <w:t>amfotericínom</w:t>
      </w:r>
      <w:proofErr w:type="spellEnd"/>
      <w:r w:rsidRPr="00CD3EF9">
        <w:t xml:space="preserve"> B v dávke 3,0</w:t>
      </w:r>
      <w:r w:rsidR="00F85A73" w:rsidRPr="00CD3EF9">
        <w:t> </w:t>
      </w:r>
      <w:r w:rsidRPr="00CD3EF9">
        <w:t xml:space="preserve">mg/kg/deň. Vhodní pacienti </w:t>
      </w:r>
      <w:r w:rsidR="00DA4753">
        <w:t>dostávali</w:t>
      </w:r>
      <w:r w:rsidRPr="00CD3EF9">
        <w:t xml:space="preserve"> chemoterapiu na liečbu zhubného nádoru alebo podstúpili transplantáciu </w:t>
      </w:r>
      <w:proofErr w:type="spellStart"/>
      <w:r w:rsidRPr="00CD3EF9">
        <w:t>hematopoetických</w:t>
      </w:r>
      <w:proofErr w:type="spellEnd"/>
      <w:r w:rsidRPr="00CD3EF9">
        <w:t xml:space="preserve"> kmeňových buniek a </w:t>
      </w:r>
      <w:r w:rsidR="00DA4753">
        <w:t>mali</w:t>
      </w:r>
      <w:r w:rsidRPr="00CD3EF9">
        <w:t xml:space="preserve"> </w:t>
      </w:r>
      <w:proofErr w:type="spellStart"/>
      <w:r w:rsidRPr="00CD3EF9">
        <w:t>neutropéni</w:t>
      </w:r>
      <w:r w:rsidR="00DA4753">
        <w:t>u</w:t>
      </w:r>
      <w:proofErr w:type="spellEnd"/>
      <w:r w:rsidRPr="00CD3EF9">
        <w:t xml:space="preserve"> (&lt;</w:t>
      </w:r>
      <w:r w:rsidR="00DA4753">
        <w:t> </w:t>
      </w:r>
      <w:r w:rsidRPr="00CD3EF9">
        <w:t>500 buniek/mm</w:t>
      </w:r>
      <w:r w:rsidRPr="00E25026">
        <w:rPr>
          <w:vertAlign w:val="superscript"/>
        </w:rPr>
        <w:t>3</w:t>
      </w:r>
      <w:r w:rsidRPr="00CD3EF9">
        <w:t xml:space="preserve"> </w:t>
      </w:r>
      <w:r w:rsidR="00DA4753">
        <w:t>počas</w:t>
      </w:r>
      <w:r w:rsidRPr="00CD3EF9">
        <w:t xml:space="preserve"> 96 hodín) a horúčk</w:t>
      </w:r>
      <w:r w:rsidR="00DA4753">
        <w:t>u</w:t>
      </w:r>
      <w:r w:rsidRPr="00CD3EF9">
        <w:t xml:space="preserve"> (&gt;</w:t>
      </w:r>
      <w:r w:rsidR="00DA4753">
        <w:t> </w:t>
      </w:r>
      <w:r w:rsidRPr="00CD3EF9">
        <w:t>38,0°C) nereagujúc</w:t>
      </w:r>
      <w:r w:rsidR="00DA4753">
        <w:t>u</w:t>
      </w:r>
      <w:r w:rsidRPr="00CD3EF9">
        <w:t xml:space="preserve"> na parenterálnu antibakteriálnu liečbu </w:t>
      </w:r>
      <w:r w:rsidR="00DA4753">
        <w:t xml:space="preserve">trvajúcu </w:t>
      </w:r>
      <w:r w:rsidRPr="00CD3EF9">
        <w:t>≥</w:t>
      </w:r>
      <w:r w:rsidR="00DA4753">
        <w:t> </w:t>
      </w:r>
      <w:r w:rsidRPr="00CD3EF9">
        <w:t xml:space="preserve">96 hodín. Liečba pacientov mala pokračovať </w:t>
      </w:r>
      <w:r w:rsidR="00DA4753">
        <w:t>po dobu až do</w:t>
      </w:r>
      <w:r w:rsidRPr="00CD3EF9">
        <w:t xml:space="preserve"> 72 hodín po </w:t>
      </w:r>
      <w:r w:rsidR="00DA4753">
        <w:t>ústupe</w:t>
      </w:r>
      <w:r w:rsidRPr="00CD3EF9">
        <w:t xml:space="preserve"> </w:t>
      </w:r>
      <w:proofErr w:type="spellStart"/>
      <w:r w:rsidRPr="00CD3EF9">
        <w:t>neutropénie</w:t>
      </w:r>
      <w:proofErr w:type="spellEnd"/>
      <w:r w:rsidRPr="00CD3EF9">
        <w:t xml:space="preserve">, s maximálnou dĺžkou trvania 28 dní. Avšak pacienti, ktorí mali dokumentovanú </w:t>
      </w:r>
      <w:proofErr w:type="spellStart"/>
      <w:r w:rsidR="00DA4753">
        <w:t>mykotickú</w:t>
      </w:r>
      <w:proofErr w:type="spellEnd"/>
      <w:r w:rsidRPr="00CD3EF9">
        <w:t xml:space="preserve"> infekciu, mohli byť liečení dlhšie. Ak bol liek dobre znášaný, ale </w:t>
      </w:r>
      <w:r w:rsidR="00DA4753">
        <w:t xml:space="preserve">po 5 dňoch liečby </w:t>
      </w:r>
      <w:r w:rsidRPr="00CD3EF9">
        <w:t xml:space="preserve">horúčka u pacienta pretrvávala a klinický stav sa zhoršil, bolo možné zvýšiť dávku </w:t>
      </w:r>
      <w:r w:rsidR="00DA4753">
        <w:t xml:space="preserve">skúšaného </w:t>
      </w:r>
      <w:r w:rsidRPr="00CD3EF9">
        <w:t>lieku</w:t>
      </w:r>
      <w:r w:rsidR="00DA4753">
        <w:t xml:space="preserve"> </w:t>
      </w:r>
      <w:r w:rsidRPr="00CD3EF9">
        <w:t>na</w:t>
      </w:r>
      <w:r w:rsidR="00A96BE9">
        <w:t> </w:t>
      </w:r>
      <w:r w:rsidRPr="00CD3EF9">
        <w:t xml:space="preserve">70 mg/deň </w:t>
      </w:r>
      <w:proofErr w:type="spellStart"/>
      <w:r w:rsidRPr="00CD3EF9">
        <w:t>kaspofungínu</w:t>
      </w:r>
      <w:proofErr w:type="spellEnd"/>
      <w:r w:rsidRPr="00CD3EF9">
        <w:t xml:space="preserve"> (13,3 % liečených pacientov) alebo na 5,0 mg/kg/deň </w:t>
      </w:r>
      <w:proofErr w:type="spellStart"/>
      <w:r w:rsidRPr="00CD3EF9">
        <w:t>lipo</w:t>
      </w:r>
      <w:r w:rsidR="00A96BE9">
        <w:t>z</w:t>
      </w:r>
      <w:r w:rsidRPr="00CD3EF9">
        <w:t>omálneho</w:t>
      </w:r>
      <w:proofErr w:type="spellEnd"/>
      <w:r w:rsidRPr="00CD3EF9">
        <w:t xml:space="preserve"> </w:t>
      </w:r>
      <w:proofErr w:type="spellStart"/>
      <w:r w:rsidRPr="00CD3EF9">
        <w:t>amfotericínu</w:t>
      </w:r>
      <w:proofErr w:type="spellEnd"/>
      <w:r w:rsidRPr="00CD3EF9">
        <w:t xml:space="preserve"> B (14,3 % liečených pacientov). 1 095 pacientov bolo zahrnutých do </w:t>
      </w:r>
      <w:r w:rsidR="00A96BE9">
        <w:t xml:space="preserve">modifikovanej </w:t>
      </w:r>
      <w:r w:rsidRPr="00CD3EF9">
        <w:t>analýzy primárnej účinnosti MITT (</w:t>
      </w:r>
      <w:proofErr w:type="spellStart"/>
      <w:r w:rsidRPr="00CD3EF9">
        <w:t>Modified</w:t>
      </w:r>
      <w:proofErr w:type="spellEnd"/>
      <w:r w:rsidRPr="00CD3EF9">
        <w:t xml:space="preserve"> </w:t>
      </w:r>
      <w:proofErr w:type="spellStart"/>
      <w:r w:rsidRPr="00CD3EF9">
        <w:t>Intention</w:t>
      </w:r>
      <w:proofErr w:type="spellEnd"/>
      <w:r w:rsidRPr="00CD3EF9">
        <w:t>-To-</w:t>
      </w:r>
      <w:proofErr w:type="spellStart"/>
      <w:r w:rsidRPr="00CD3EF9">
        <w:t>Treat</w:t>
      </w:r>
      <w:proofErr w:type="spellEnd"/>
      <w:r w:rsidRPr="00CD3EF9">
        <w:t>) celkov</w:t>
      </w:r>
      <w:r w:rsidR="00A96BE9">
        <w:t>ej</w:t>
      </w:r>
      <w:r w:rsidRPr="00CD3EF9">
        <w:t xml:space="preserve"> priaznivej odpovede; </w:t>
      </w:r>
      <w:proofErr w:type="spellStart"/>
      <w:r w:rsidRPr="00CD3EF9">
        <w:t>kaspofungín</w:t>
      </w:r>
      <w:proofErr w:type="spellEnd"/>
      <w:r w:rsidRPr="00CD3EF9">
        <w:t xml:space="preserve"> (33,9 %) bol rovnako účinný ako </w:t>
      </w:r>
      <w:proofErr w:type="spellStart"/>
      <w:r w:rsidRPr="00CD3EF9">
        <w:t>lipo</w:t>
      </w:r>
      <w:r w:rsidR="00A96BE9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amfotericín</w:t>
      </w:r>
      <w:proofErr w:type="spellEnd"/>
      <w:r w:rsidRPr="00CD3EF9">
        <w:t xml:space="preserve"> B (33,7 %) (rozdiel 0,2 %,</w:t>
      </w:r>
      <w:r w:rsidR="00A96BE9">
        <w:t xml:space="preserve"> </w:t>
      </w:r>
      <w:r w:rsidRPr="00CD3EF9">
        <w:t>95,2 %</w:t>
      </w:r>
      <w:r w:rsidR="00A96BE9">
        <w:t xml:space="preserve"> CI</w:t>
      </w:r>
      <w:r w:rsidRPr="00CD3EF9">
        <w:t xml:space="preserve"> </w:t>
      </w:r>
      <w:r w:rsidR="00A96BE9">
        <w:t>-</w:t>
      </w:r>
      <w:r w:rsidRPr="00CD3EF9">
        <w:t>5,6; 6,0). Za celkov</w:t>
      </w:r>
      <w:r w:rsidR="00A96BE9">
        <w:t>ú</w:t>
      </w:r>
      <w:r w:rsidRPr="00CD3EF9">
        <w:t xml:space="preserve"> priaznivú odpoveď sa považovalo splnenie všetkých 5 kritérií: (1) úspešná liečba akejkoľvek základnej </w:t>
      </w:r>
      <w:proofErr w:type="spellStart"/>
      <w:r w:rsidR="00A96BE9">
        <w:t>mykotickej</w:t>
      </w:r>
      <w:proofErr w:type="spellEnd"/>
      <w:r w:rsidRPr="00CD3EF9">
        <w:t xml:space="preserve"> infekcie (</w:t>
      </w:r>
      <w:proofErr w:type="spellStart"/>
      <w:r w:rsidRPr="00CD3EF9">
        <w:t>kaspofungín</w:t>
      </w:r>
      <w:proofErr w:type="spellEnd"/>
      <w:r w:rsidRPr="00CD3EF9">
        <w:t xml:space="preserve"> 51,9 %, </w:t>
      </w:r>
      <w:proofErr w:type="spellStart"/>
      <w:r w:rsidRPr="00CD3EF9">
        <w:t>t.j</w:t>
      </w:r>
      <w:proofErr w:type="spellEnd"/>
      <w:r w:rsidRPr="00CD3EF9">
        <w:t xml:space="preserve">. 14 z 27, </w:t>
      </w:r>
      <w:proofErr w:type="spellStart"/>
      <w:r w:rsidRPr="00CD3EF9">
        <w:t>lipo</w:t>
      </w:r>
      <w:r w:rsidR="00A96BE9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amfotericín</w:t>
      </w:r>
      <w:proofErr w:type="spellEnd"/>
      <w:r w:rsidRPr="00CD3EF9">
        <w:t xml:space="preserve"> B 25,9 %, </w:t>
      </w:r>
      <w:proofErr w:type="spellStart"/>
      <w:r w:rsidRPr="00CD3EF9">
        <w:t>t.j</w:t>
      </w:r>
      <w:proofErr w:type="spellEnd"/>
      <w:r w:rsidRPr="00CD3EF9">
        <w:t xml:space="preserve">. 7 z 27); (2) žiadny rozvoj </w:t>
      </w:r>
      <w:r w:rsidR="00A96BE9">
        <w:t xml:space="preserve">nových </w:t>
      </w:r>
      <w:proofErr w:type="spellStart"/>
      <w:r w:rsidR="00A96BE9">
        <w:t>mykotických</w:t>
      </w:r>
      <w:proofErr w:type="spellEnd"/>
      <w:r w:rsidRPr="00CD3EF9">
        <w:t xml:space="preserve"> infekcií počas podávania </w:t>
      </w:r>
      <w:r w:rsidR="00A96BE9">
        <w:t>skúšaného</w:t>
      </w:r>
      <w:r w:rsidRPr="00CD3EF9">
        <w:t xml:space="preserve"> lieku alebo </w:t>
      </w:r>
      <w:r w:rsidR="00A96BE9">
        <w:t>do</w:t>
      </w:r>
      <w:r w:rsidRPr="00CD3EF9">
        <w:t xml:space="preserve"> 7 dní po </w:t>
      </w:r>
      <w:r w:rsidR="00A96BE9">
        <w:t>u</w:t>
      </w:r>
      <w:r w:rsidRPr="00CD3EF9">
        <w:t>končení liečby (</w:t>
      </w:r>
      <w:proofErr w:type="spellStart"/>
      <w:r w:rsidRPr="00CD3EF9">
        <w:t>kaspofungín</w:t>
      </w:r>
      <w:proofErr w:type="spellEnd"/>
      <w:r w:rsidRPr="00CD3EF9">
        <w:t xml:space="preserve"> 94,8 %, </w:t>
      </w:r>
      <w:proofErr w:type="spellStart"/>
      <w:r w:rsidRPr="00CD3EF9">
        <w:t>t.j</w:t>
      </w:r>
      <w:proofErr w:type="spellEnd"/>
      <w:r w:rsidRPr="00CD3EF9">
        <w:t xml:space="preserve">. 527 z 556, </w:t>
      </w:r>
      <w:proofErr w:type="spellStart"/>
      <w:r w:rsidRPr="00CD3EF9">
        <w:t>lipo</w:t>
      </w:r>
      <w:r w:rsidR="00A96BE9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amfitericín</w:t>
      </w:r>
      <w:proofErr w:type="spellEnd"/>
      <w:r w:rsidRPr="00CD3EF9">
        <w:t xml:space="preserve"> B 95,5 %, </w:t>
      </w:r>
      <w:proofErr w:type="spellStart"/>
      <w:r w:rsidRPr="00CD3EF9">
        <w:t>t.j</w:t>
      </w:r>
      <w:proofErr w:type="spellEnd"/>
      <w:r w:rsidRPr="00CD3EF9">
        <w:t>. 515 z 539); (3) prež</w:t>
      </w:r>
      <w:r w:rsidR="00A96BE9">
        <w:t>ívanie po dobu</w:t>
      </w:r>
      <w:r w:rsidRPr="00CD3EF9">
        <w:t xml:space="preserve"> 7 dní po</w:t>
      </w:r>
      <w:r w:rsidR="00A96BE9">
        <w:t> u</w:t>
      </w:r>
      <w:r w:rsidRPr="00CD3EF9">
        <w:t xml:space="preserve">končení </w:t>
      </w:r>
      <w:r w:rsidR="00A96BE9">
        <w:t xml:space="preserve">skúšanej </w:t>
      </w:r>
      <w:r w:rsidRPr="00CD3EF9">
        <w:t>liečby (</w:t>
      </w:r>
      <w:proofErr w:type="spellStart"/>
      <w:r w:rsidRPr="00CD3EF9">
        <w:t>kaspofungín</w:t>
      </w:r>
      <w:proofErr w:type="spellEnd"/>
      <w:r w:rsidRPr="00CD3EF9">
        <w:t xml:space="preserve"> 92,6 %, </w:t>
      </w:r>
      <w:proofErr w:type="spellStart"/>
      <w:r w:rsidRPr="00CD3EF9">
        <w:t>t.j</w:t>
      </w:r>
      <w:proofErr w:type="spellEnd"/>
      <w:r w:rsidRPr="00CD3EF9">
        <w:t xml:space="preserve">. 515 z 556, </w:t>
      </w:r>
      <w:proofErr w:type="spellStart"/>
      <w:r w:rsidRPr="00CD3EF9">
        <w:t>lipo</w:t>
      </w:r>
      <w:r w:rsidR="00A96BE9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amfitericín</w:t>
      </w:r>
      <w:proofErr w:type="spellEnd"/>
      <w:r w:rsidRPr="00CD3EF9">
        <w:t xml:space="preserve"> B 89,2 %, </w:t>
      </w:r>
      <w:proofErr w:type="spellStart"/>
      <w:r w:rsidRPr="00CD3EF9">
        <w:t>t.j</w:t>
      </w:r>
      <w:proofErr w:type="spellEnd"/>
      <w:r w:rsidRPr="00CD3EF9">
        <w:t xml:space="preserve">. 481 z 539); (4) </w:t>
      </w:r>
      <w:r w:rsidR="00A96BE9">
        <w:t xml:space="preserve">žiadne </w:t>
      </w:r>
      <w:r w:rsidRPr="00CD3EF9">
        <w:t xml:space="preserve">ukončenie </w:t>
      </w:r>
      <w:r w:rsidR="00A96BE9">
        <w:t xml:space="preserve">užívania skúšaného lieku </w:t>
      </w:r>
      <w:r w:rsidRPr="00CD3EF9">
        <w:t>z dôvodu toxicity súvisiacej s liekom alebo z dôvodu neúčinnosti (</w:t>
      </w:r>
      <w:proofErr w:type="spellStart"/>
      <w:r w:rsidRPr="00CD3EF9">
        <w:t>kaspofungín</w:t>
      </w:r>
      <w:proofErr w:type="spellEnd"/>
      <w:r w:rsidRPr="00CD3EF9">
        <w:t xml:space="preserve"> 89,7 %, </w:t>
      </w:r>
      <w:proofErr w:type="spellStart"/>
      <w:r w:rsidRPr="00CD3EF9">
        <w:t>t.j</w:t>
      </w:r>
      <w:proofErr w:type="spellEnd"/>
      <w:r w:rsidRPr="00CD3EF9">
        <w:t xml:space="preserve">. 499 z 556, </w:t>
      </w:r>
      <w:proofErr w:type="spellStart"/>
      <w:r w:rsidRPr="00CD3EF9">
        <w:t>lipo</w:t>
      </w:r>
      <w:r w:rsidR="00A96BE9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amfitericín</w:t>
      </w:r>
      <w:proofErr w:type="spellEnd"/>
      <w:r w:rsidRPr="00CD3EF9">
        <w:t xml:space="preserve"> B 85,5 %, </w:t>
      </w:r>
      <w:proofErr w:type="spellStart"/>
      <w:r w:rsidRPr="00CD3EF9">
        <w:t>t.j</w:t>
      </w:r>
      <w:proofErr w:type="spellEnd"/>
      <w:r w:rsidRPr="00CD3EF9">
        <w:t xml:space="preserve">. 461 z 539); (5) </w:t>
      </w:r>
      <w:r w:rsidR="00DF605E">
        <w:t>ústup</w:t>
      </w:r>
      <w:r w:rsidRPr="00CD3EF9">
        <w:t xml:space="preserve"> horúčky počas </w:t>
      </w:r>
      <w:r w:rsidR="00DF605E">
        <w:t>trvania</w:t>
      </w:r>
      <w:r w:rsidRPr="00CD3EF9">
        <w:t xml:space="preserve"> </w:t>
      </w:r>
      <w:proofErr w:type="spellStart"/>
      <w:r w:rsidRPr="00CD3EF9">
        <w:t>neutropénie</w:t>
      </w:r>
      <w:proofErr w:type="spellEnd"/>
      <w:r w:rsidRPr="00CD3EF9">
        <w:t xml:space="preserve"> (</w:t>
      </w:r>
      <w:proofErr w:type="spellStart"/>
      <w:r w:rsidRPr="00CD3EF9">
        <w:t>kaspofungín</w:t>
      </w:r>
      <w:proofErr w:type="spellEnd"/>
      <w:r w:rsidRPr="00CD3EF9">
        <w:t xml:space="preserve"> 41,2 %, </w:t>
      </w:r>
      <w:proofErr w:type="spellStart"/>
      <w:r w:rsidRPr="00CD3EF9">
        <w:t>t.j</w:t>
      </w:r>
      <w:proofErr w:type="spellEnd"/>
      <w:r w:rsidRPr="00CD3EF9">
        <w:t xml:space="preserve">. 229 z 556, </w:t>
      </w:r>
      <w:proofErr w:type="spellStart"/>
      <w:r w:rsidRPr="00CD3EF9">
        <w:t>liposomálny</w:t>
      </w:r>
      <w:proofErr w:type="spellEnd"/>
      <w:r w:rsidRPr="00CD3EF9">
        <w:t xml:space="preserve"> </w:t>
      </w:r>
      <w:proofErr w:type="spellStart"/>
      <w:r w:rsidRPr="00CD3EF9">
        <w:t>amfitericín</w:t>
      </w:r>
      <w:proofErr w:type="spellEnd"/>
      <w:r w:rsidR="00DF605E">
        <w:t> </w:t>
      </w:r>
      <w:r w:rsidRPr="00CD3EF9">
        <w:t xml:space="preserve">B 41,4 %, </w:t>
      </w:r>
      <w:proofErr w:type="spellStart"/>
      <w:r w:rsidRPr="00CD3EF9">
        <w:t>t.j</w:t>
      </w:r>
      <w:proofErr w:type="spellEnd"/>
      <w:r w:rsidRPr="00CD3EF9">
        <w:t>. 223 z 539). Po</w:t>
      </w:r>
      <w:r w:rsidR="00DF605E">
        <w:t>mery</w:t>
      </w:r>
      <w:r w:rsidRPr="00CD3EF9">
        <w:t xml:space="preserve"> odpoved</w:t>
      </w:r>
      <w:r w:rsidR="00DF605E">
        <w:t>e</w:t>
      </w:r>
      <w:r w:rsidRPr="00CD3EF9">
        <w:t xml:space="preserve"> na </w:t>
      </w:r>
      <w:proofErr w:type="spellStart"/>
      <w:r w:rsidRPr="00CD3EF9">
        <w:t>kaspofungín</w:t>
      </w:r>
      <w:proofErr w:type="spellEnd"/>
      <w:r w:rsidRPr="00CD3EF9">
        <w:t xml:space="preserve"> a </w:t>
      </w:r>
      <w:proofErr w:type="spellStart"/>
      <w:r w:rsidRPr="00CD3EF9">
        <w:t>lipo</w:t>
      </w:r>
      <w:r w:rsidR="00DF605E">
        <w:t>z</w:t>
      </w:r>
      <w:r w:rsidRPr="00CD3EF9">
        <w:t>omálny</w:t>
      </w:r>
      <w:proofErr w:type="spellEnd"/>
      <w:r w:rsidRPr="00CD3EF9">
        <w:t xml:space="preserve"> </w:t>
      </w:r>
      <w:proofErr w:type="spellStart"/>
      <w:r w:rsidRPr="00CD3EF9">
        <w:t>amfotericín</w:t>
      </w:r>
      <w:proofErr w:type="spellEnd"/>
      <w:r w:rsidRPr="00CD3EF9">
        <w:t xml:space="preserve"> B pri základných infekci</w:t>
      </w:r>
      <w:r w:rsidR="00DF605E">
        <w:t>ách</w:t>
      </w:r>
      <w:r w:rsidRPr="00CD3EF9">
        <w:t xml:space="preserve"> spôsobených druh</w:t>
      </w:r>
      <w:r w:rsidR="00DF605E">
        <w:t>mi rodu</w:t>
      </w:r>
      <w:r w:rsidRPr="00CD3EF9">
        <w:t xml:space="preserve"> </w:t>
      </w:r>
      <w:proofErr w:type="spellStart"/>
      <w:r w:rsidRPr="00CD3EF9">
        <w:rPr>
          <w:i/>
        </w:rPr>
        <w:t>Aspergillus</w:t>
      </w:r>
      <w:proofErr w:type="spellEnd"/>
      <w:r w:rsidRPr="00CD3EF9">
        <w:t xml:space="preserve"> bol 41,7 % (5 z 12), resp. 8,3 % (1 z 12) a</w:t>
      </w:r>
      <w:r w:rsidR="00DF605E">
        <w:t> </w:t>
      </w:r>
      <w:r w:rsidRPr="00CD3EF9">
        <w:t>druh</w:t>
      </w:r>
      <w:r w:rsidR="00DF605E">
        <w:t>mi rodu</w:t>
      </w:r>
      <w:r w:rsidRPr="00CD3EF9">
        <w:t xml:space="preserve"> </w:t>
      </w:r>
      <w:proofErr w:type="spellStart"/>
      <w:r w:rsidRPr="00CD3EF9">
        <w:rPr>
          <w:i/>
        </w:rPr>
        <w:t>Candida</w:t>
      </w:r>
      <w:proofErr w:type="spellEnd"/>
      <w:r w:rsidRPr="00CD3EF9">
        <w:t xml:space="preserve"> bol 66,7 % (8 z 12), resp. 41,7 % (5 z 12). U pacientov v skupine liečenej </w:t>
      </w:r>
      <w:proofErr w:type="spellStart"/>
      <w:r w:rsidRPr="00CD3EF9">
        <w:t>kaspofungínom</w:t>
      </w:r>
      <w:proofErr w:type="spellEnd"/>
      <w:r w:rsidRPr="00CD3EF9">
        <w:t xml:space="preserve"> sa prejavil rozvoj </w:t>
      </w:r>
      <w:r w:rsidR="00C562F1">
        <w:t xml:space="preserve">nových </w:t>
      </w:r>
      <w:r w:rsidRPr="00CD3EF9">
        <w:t>infekcií</w:t>
      </w:r>
      <w:r w:rsidR="00C562F1">
        <w:t>, ktoré boli zapríčinené</w:t>
      </w:r>
      <w:r w:rsidRPr="00CD3EF9">
        <w:t xml:space="preserve"> nasled</w:t>
      </w:r>
      <w:r w:rsidR="00C562F1">
        <w:t>ovnými</w:t>
      </w:r>
      <w:r w:rsidRPr="00CD3EF9">
        <w:t xml:space="preserve"> menej častý</w:t>
      </w:r>
      <w:r w:rsidR="00C562F1">
        <w:t>mi</w:t>
      </w:r>
      <w:r w:rsidRPr="00CD3EF9">
        <w:t xml:space="preserve"> kvasink</w:t>
      </w:r>
      <w:r w:rsidR="00C562F1">
        <w:t>ami</w:t>
      </w:r>
      <w:r w:rsidRPr="00CD3EF9">
        <w:t xml:space="preserve"> a ples</w:t>
      </w:r>
      <w:r w:rsidR="00C562F1">
        <w:t>ňami</w:t>
      </w:r>
      <w:r w:rsidRPr="00CD3EF9">
        <w:t xml:space="preserve">: druhy </w:t>
      </w:r>
      <w:r w:rsidR="00C562F1">
        <w:t xml:space="preserve">rodu </w:t>
      </w:r>
      <w:proofErr w:type="spellStart"/>
      <w:r w:rsidRPr="00CD3EF9">
        <w:rPr>
          <w:i/>
        </w:rPr>
        <w:t>Trichosporon</w:t>
      </w:r>
      <w:proofErr w:type="spellEnd"/>
      <w:r w:rsidRPr="00CD3EF9">
        <w:t xml:space="preserve"> (1), </w:t>
      </w:r>
      <w:proofErr w:type="spellStart"/>
      <w:r w:rsidRPr="00CD3EF9">
        <w:rPr>
          <w:i/>
        </w:rPr>
        <w:t>Fusarium</w:t>
      </w:r>
      <w:proofErr w:type="spellEnd"/>
      <w:r w:rsidRPr="00CD3EF9">
        <w:t xml:space="preserve"> (1), </w:t>
      </w:r>
      <w:proofErr w:type="spellStart"/>
      <w:r w:rsidRPr="00CD3EF9">
        <w:rPr>
          <w:i/>
        </w:rPr>
        <w:t>Mucor</w:t>
      </w:r>
      <w:proofErr w:type="spellEnd"/>
      <w:r w:rsidRPr="00CD3EF9">
        <w:t xml:space="preserve"> (1) a </w:t>
      </w:r>
      <w:proofErr w:type="spellStart"/>
      <w:r w:rsidRPr="00CD3EF9">
        <w:rPr>
          <w:i/>
        </w:rPr>
        <w:t>Rhizopus</w:t>
      </w:r>
      <w:proofErr w:type="spellEnd"/>
      <w:r w:rsidRPr="00CD3EF9">
        <w:t xml:space="preserve"> (1).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Pediatrická populácia </w:t>
      </w:r>
    </w:p>
    <w:p w:rsidR="008D3F12" w:rsidRPr="00CD3EF9" w:rsidRDefault="008D3F12" w:rsidP="00DD38BD">
      <w:pPr>
        <w:spacing w:line="240" w:lineRule="auto"/>
        <w:rPr>
          <w:u w:val="single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Bezpečnosť a účinnosť </w:t>
      </w:r>
      <w:proofErr w:type="spellStart"/>
      <w:r w:rsidRPr="00CD3EF9">
        <w:t>kaspofungínu</w:t>
      </w:r>
      <w:proofErr w:type="spellEnd"/>
      <w:r w:rsidRPr="00CD3EF9">
        <w:t xml:space="preserve"> bola hodnotená u pediatrických pacientov vo veku od</w:t>
      </w:r>
      <w:r w:rsidR="00C562F1">
        <w:t> </w:t>
      </w:r>
      <w:r w:rsidRPr="00CD3EF9">
        <w:t xml:space="preserve">3 mesiacov do 17 rokov v dvoch </w:t>
      </w:r>
      <w:proofErr w:type="spellStart"/>
      <w:r w:rsidRPr="00CD3EF9">
        <w:t>prospektívnych</w:t>
      </w:r>
      <w:proofErr w:type="spellEnd"/>
      <w:r w:rsidRPr="00CD3EF9">
        <w:t xml:space="preserve"> </w:t>
      </w:r>
      <w:proofErr w:type="spellStart"/>
      <w:r w:rsidRPr="00CD3EF9">
        <w:t>multicentrických</w:t>
      </w:r>
      <w:proofErr w:type="spellEnd"/>
      <w:r w:rsidRPr="00CD3EF9">
        <w:t xml:space="preserve"> klinických skúšaniach. Návrh, diagnostické kritériá a kritériá hodnotenia účinnosti v štúdii boli podobné ako v zodpovedajúcich štúdiách </w:t>
      </w:r>
      <w:r w:rsidR="00C562F1">
        <w:t>u</w:t>
      </w:r>
      <w:r w:rsidRPr="00CD3EF9">
        <w:t> dospelý</w:t>
      </w:r>
      <w:r w:rsidR="00C562F1">
        <w:t>ch</w:t>
      </w:r>
      <w:r w:rsidRPr="00CD3EF9">
        <w:t xml:space="preserve"> pacient</w:t>
      </w:r>
      <w:r w:rsidR="00C562F1">
        <w:t>ov</w:t>
      </w:r>
      <w:r w:rsidRPr="00CD3EF9">
        <w:t xml:space="preserve"> (pozri časť 5.1).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Prvá štúdia, ktorej sa zúčastnilo 82 pacientov vo veku od 2 do 17 rokov, bola </w:t>
      </w:r>
      <w:proofErr w:type="spellStart"/>
      <w:r w:rsidRPr="00CD3EF9">
        <w:t>randomizovaná</w:t>
      </w:r>
      <w:proofErr w:type="spellEnd"/>
      <w:r w:rsidRPr="00CD3EF9">
        <w:t>, dvojito zaslepená štúdia porovnávajúca empirickú liečbu pediatrických pacientov s </w:t>
      </w:r>
      <w:proofErr w:type="spellStart"/>
      <w:r w:rsidRPr="00CD3EF9">
        <w:t>perzistentnou</w:t>
      </w:r>
      <w:proofErr w:type="spellEnd"/>
      <w:r w:rsidRPr="00CD3EF9">
        <w:t xml:space="preserve"> horúčkou a</w:t>
      </w:r>
      <w:r w:rsidR="008E4A8D">
        <w:t> </w:t>
      </w:r>
      <w:proofErr w:type="spellStart"/>
      <w:r w:rsidRPr="00CD3EF9">
        <w:t>neutropéniou</w:t>
      </w:r>
      <w:proofErr w:type="spellEnd"/>
      <w:r w:rsidRPr="00CD3EF9">
        <w:t xml:space="preserve"> </w:t>
      </w:r>
      <w:proofErr w:type="spellStart"/>
      <w:r w:rsidRPr="00CD3EF9">
        <w:t>kaspofungínom</w:t>
      </w:r>
      <w:proofErr w:type="spellEnd"/>
      <w:r w:rsidRPr="00CD3EF9">
        <w:t xml:space="preserve"> (50 mg/m</w:t>
      </w:r>
      <w:r w:rsidRPr="00CD3EF9">
        <w:rPr>
          <w:vertAlign w:val="superscript"/>
        </w:rPr>
        <w:t>2</w:t>
      </w:r>
      <w:r w:rsidRPr="00CD3EF9">
        <w:t xml:space="preserve"> intravenózne raz denne po </w:t>
      </w:r>
      <w:r w:rsidR="008E4A8D">
        <w:t>počiatočnej</w:t>
      </w:r>
      <w:r w:rsidRPr="00CD3EF9">
        <w:t xml:space="preserve"> dávke 70 mg/m</w:t>
      </w:r>
      <w:r w:rsidRPr="00CD3EF9">
        <w:rPr>
          <w:vertAlign w:val="superscript"/>
        </w:rPr>
        <w:t>2</w:t>
      </w:r>
      <w:r w:rsidRPr="00CD3EF9">
        <w:t xml:space="preserve"> podanej v 1. deň, pričom nesmela byť prekročená denná dávka 70 mg) a </w:t>
      </w:r>
      <w:proofErr w:type="spellStart"/>
      <w:r w:rsidRPr="00CD3EF9">
        <w:t>lipo</w:t>
      </w:r>
      <w:r w:rsidR="008E4A8D">
        <w:t>z</w:t>
      </w:r>
      <w:r w:rsidRPr="00CD3EF9">
        <w:t>omálnym</w:t>
      </w:r>
      <w:proofErr w:type="spellEnd"/>
      <w:r w:rsidRPr="00CD3EF9">
        <w:t xml:space="preserve"> </w:t>
      </w:r>
      <w:proofErr w:type="spellStart"/>
      <w:r w:rsidRPr="00CD3EF9">
        <w:t>amfotericínom</w:t>
      </w:r>
      <w:proofErr w:type="spellEnd"/>
      <w:r w:rsidR="008E4A8D">
        <w:t> </w:t>
      </w:r>
      <w:r w:rsidRPr="00CD3EF9">
        <w:t xml:space="preserve">B (denná dávka 3 mg/kg intravenózne) pri pomere 2:1 (56 pacientov liečených </w:t>
      </w:r>
      <w:proofErr w:type="spellStart"/>
      <w:r w:rsidRPr="00CD3EF9">
        <w:t>kaspofungínom</w:t>
      </w:r>
      <w:proofErr w:type="spellEnd"/>
      <w:r w:rsidRPr="00CD3EF9">
        <w:t xml:space="preserve"> a 26 </w:t>
      </w:r>
      <w:proofErr w:type="spellStart"/>
      <w:r w:rsidRPr="00CD3EF9">
        <w:t>lipo</w:t>
      </w:r>
      <w:r w:rsidR="008E4A8D">
        <w:t>z</w:t>
      </w:r>
      <w:r w:rsidRPr="00CD3EF9">
        <w:t>omálnym</w:t>
      </w:r>
      <w:proofErr w:type="spellEnd"/>
      <w:r w:rsidRPr="00CD3EF9">
        <w:t xml:space="preserve"> </w:t>
      </w:r>
      <w:proofErr w:type="spellStart"/>
      <w:r w:rsidRPr="00CD3EF9">
        <w:t>amfotericínom</w:t>
      </w:r>
      <w:proofErr w:type="spellEnd"/>
      <w:r w:rsidRPr="00CD3EF9">
        <w:t xml:space="preserve"> B). Celkové po</w:t>
      </w:r>
      <w:r w:rsidR="008E4A8D">
        <w:t>mery</w:t>
      </w:r>
      <w:r w:rsidRPr="00CD3EF9">
        <w:t xml:space="preserve"> úspešn</w:t>
      </w:r>
      <w:r w:rsidR="008E4A8D">
        <w:t>osti</w:t>
      </w:r>
      <w:r w:rsidRPr="00CD3EF9">
        <w:t xml:space="preserve"> vo výsledkoch analýzy MITT </w:t>
      </w:r>
      <w:r w:rsidR="008E4A8D">
        <w:t>upravené</w:t>
      </w:r>
      <w:r w:rsidRPr="00CD3EF9">
        <w:t xml:space="preserve"> podľa rizikových skupín boli nasled</w:t>
      </w:r>
      <w:r w:rsidR="008E4A8D">
        <w:t>ovné</w:t>
      </w:r>
      <w:r w:rsidRPr="00CD3EF9">
        <w:t xml:space="preserve">: 46,6 % (26 z 56) v prípade </w:t>
      </w:r>
      <w:proofErr w:type="spellStart"/>
      <w:r w:rsidRPr="00CD3EF9">
        <w:t>kaspofungínu</w:t>
      </w:r>
      <w:proofErr w:type="spellEnd"/>
      <w:r w:rsidRPr="00CD3EF9">
        <w:t xml:space="preserve"> a 32,2 % (8 z 25) v prípade </w:t>
      </w:r>
      <w:proofErr w:type="spellStart"/>
      <w:r w:rsidRPr="00CD3EF9">
        <w:t>lipo</w:t>
      </w:r>
      <w:r w:rsidR="008E4A8D">
        <w:t>z</w:t>
      </w:r>
      <w:r w:rsidRPr="00CD3EF9">
        <w:t>omálneho</w:t>
      </w:r>
      <w:proofErr w:type="spellEnd"/>
      <w:r w:rsidRPr="00CD3EF9">
        <w:t xml:space="preserve"> </w:t>
      </w:r>
      <w:proofErr w:type="spellStart"/>
      <w:r w:rsidRPr="00CD3EF9">
        <w:t>amfotericínu</w:t>
      </w:r>
      <w:proofErr w:type="spellEnd"/>
      <w:r w:rsidRPr="00CD3EF9">
        <w:t xml:space="preserve"> B.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Druhá štúdia bola </w:t>
      </w:r>
      <w:proofErr w:type="spellStart"/>
      <w:r w:rsidRPr="00CD3EF9">
        <w:t>prospektívna</w:t>
      </w:r>
      <w:proofErr w:type="spellEnd"/>
      <w:r w:rsidRPr="00CD3EF9">
        <w:t xml:space="preserve">, otvorená, nekomparatívna štúdia </w:t>
      </w:r>
      <w:r w:rsidR="008E4A8D">
        <w:t>hodnotiaca</w:t>
      </w:r>
      <w:r w:rsidRPr="00CD3EF9">
        <w:t xml:space="preserve"> bezpečnos</w:t>
      </w:r>
      <w:r w:rsidR="008E4A8D">
        <w:t>ť</w:t>
      </w:r>
      <w:r w:rsidRPr="00CD3EF9">
        <w:t xml:space="preserve"> a účinnos</w:t>
      </w:r>
      <w:r w:rsidR="008E4A8D">
        <w:t>ť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 u pediatrických pacientov (vo veku od 6 mesiacov do 17 rokov) s invazívnou </w:t>
      </w:r>
      <w:proofErr w:type="spellStart"/>
      <w:r w:rsidRPr="00CD3EF9">
        <w:t>kandidózou</w:t>
      </w:r>
      <w:proofErr w:type="spellEnd"/>
      <w:r w:rsidRPr="00CD3EF9">
        <w:t xml:space="preserve">, </w:t>
      </w:r>
      <w:proofErr w:type="spellStart"/>
      <w:r w:rsidRPr="00CD3EF9">
        <w:t>ezofageálnou</w:t>
      </w:r>
      <w:proofErr w:type="spellEnd"/>
      <w:r w:rsidRPr="00CD3EF9">
        <w:t xml:space="preserve"> </w:t>
      </w:r>
      <w:proofErr w:type="spellStart"/>
      <w:r w:rsidRPr="00CD3EF9">
        <w:t>kandidózou</w:t>
      </w:r>
      <w:proofErr w:type="spellEnd"/>
      <w:r w:rsidRPr="00CD3EF9">
        <w:t xml:space="preserve"> a invazívnou </w:t>
      </w:r>
      <w:proofErr w:type="spellStart"/>
      <w:r w:rsidRPr="00CD3EF9">
        <w:t>aspergilózou</w:t>
      </w:r>
      <w:proofErr w:type="spellEnd"/>
      <w:r w:rsidRPr="00CD3EF9">
        <w:t xml:space="preserve"> (ako záchranná liečba). </w:t>
      </w:r>
      <w:r w:rsidR="008E4A8D">
        <w:t>49</w:t>
      </w:r>
      <w:r w:rsidRPr="00CD3EF9">
        <w:t xml:space="preserve"> pacientov sa zúčastnilo štúdie a dostávalo intravenózne </w:t>
      </w:r>
      <w:proofErr w:type="spellStart"/>
      <w:r w:rsidRPr="00CD3EF9">
        <w:t>kaspofungín</w:t>
      </w:r>
      <w:proofErr w:type="spellEnd"/>
      <w:r w:rsidRPr="00CD3EF9">
        <w:t xml:space="preserve"> v dávke 50 mg/m</w:t>
      </w:r>
      <w:r w:rsidRPr="00CD3EF9">
        <w:rPr>
          <w:vertAlign w:val="superscript"/>
        </w:rPr>
        <w:t>2</w:t>
      </w:r>
      <w:r w:rsidRPr="00CD3EF9">
        <w:t xml:space="preserve"> raz denne po </w:t>
      </w:r>
      <w:r w:rsidR="008E4A8D">
        <w:t>počiatočnej</w:t>
      </w:r>
      <w:r w:rsidRPr="00CD3EF9">
        <w:t xml:space="preserve"> </w:t>
      </w:r>
      <w:r w:rsidR="00085A72">
        <w:t xml:space="preserve">jednorazovej </w:t>
      </w:r>
      <w:r w:rsidRPr="00CD3EF9">
        <w:t>dávke 70 mg/m</w:t>
      </w:r>
      <w:r w:rsidRPr="00CD3EF9">
        <w:rPr>
          <w:vertAlign w:val="superscript"/>
        </w:rPr>
        <w:t>2</w:t>
      </w:r>
      <w:r w:rsidRPr="00CD3EF9">
        <w:t xml:space="preserve"> podanej v 1. deň (pričom nesmela byť prekročená denná dávka 70 mg)</w:t>
      </w:r>
      <w:r w:rsidR="00085A72">
        <w:t>, z ktorých</w:t>
      </w:r>
      <w:r w:rsidRPr="00CD3EF9">
        <w:t xml:space="preserve"> 48 pacientov bolo zahrnutých do analýzy MITT. Z </w:t>
      </w:r>
      <w:r w:rsidR="00085A72">
        <w:t>nich malo</w:t>
      </w:r>
      <w:r w:rsidRPr="00CD3EF9">
        <w:t xml:space="preserve"> 37 pacientov invazívnu </w:t>
      </w:r>
      <w:proofErr w:type="spellStart"/>
      <w:r w:rsidRPr="00CD3EF9">
        <w:t>kandidózu</w:t>
      </w:r>
      <w:proofErr w:type="spellEnd"/>
      <w:r w:rsidRPr="00CD3EF9">
        <w:t xml:space="preserve">, 10 invazívnu </w:t>
      </w:r>
      <w:proofErr w:type="spellStart"/>
      <w:r w:rsidRPr="00CD3EF9">
        <w:t>aspergilózu</w:t>
      </w:r>
      <w:proofErr w:type="spellEnd"/>
      <w:r w:rsidRPr="00CD3EF9">
        <w:t xml:space="preserve"> a 1 pacient </w:t>
      </w:r>
      <w:proofErr w:type="spellStart"/>
      <w:r w:rsidRPr="00CD3EF9">
        <w:t>ezofageálnu</w:t>
      </w:r>
      <w:proofErr w:type="spellEnd"/>
      <w:r w:rsidRPr="00CD3EF9">
        <w:t xml:space="preserve"> </w:t>
      </w:r>
      <w:proofErr w:type="spellStart"/>
      <w:r w:rsidRPr="00CD3EF9">
        <w:t>kandidózu</w:t>
      </w:r>
      <w:proofErr w:type="spellEnd"/>
      <w:r w:rsidRPr="00CD3EF9">
        <w:t>. Po</w:t>
      </w:r>
      <w:r w:rsidR="00085A72">
        <w:t>mer</w:t>
      </w:r>
      <w:r w:rsidRPr="00CD3EF9">
        <w:t xml:space="preserve"> priaznivej odpovede podľa indikácie </w:t>
      </w:r>
      <w:r w:rsidR="00085A72">
        <w:t>v čase ukončenia</w:t>
      </w:r>
      <w:r w:rsidRPr="00CD3EF9">
        <w:t xml:space="preserve"> liečby </w:t>
      </w:r>
      <w:proofErr w:type="spellStart"/>
      <w:r w:rsidRPr="00CD3EF9">
        <w:t>kaspofungínom</w:t>
      </w:r>
      <w:proofErr w:type="spellEnd"/>
      <w:r w:rsidRPr="00CD3EF9">
        <w:t xml:space="preserve"> bol v analýze MITT nasled</w:t>
      </w:r>
      <w:r w:rsidR="00085A72">
        <w:t>ovný</w:t>
      </w:r>
      <w:r w:rsidRPr="00CD3EF9">
        <w:t xml:space="preserve">: 81 % (30 z 37) pri invazívnej </w:t>
      </w:r>
      <w:proofErr w:type="spellStart"/>
      <w:r w:rsidRPr="00CD3EF9">
        <w:t>kandidóze</w:t>
      </w:r>
      <w:proofErr w:type="spellEnd"/>
      <w:r w:rsidRPr="00CD3EF9">
        <w:t xml:space="preserve">, 50 % (5 z 10) pri invazívnej </w:t>
      </w:r>
      <w:proofErr w:type="spellStart"/>
      <w:r w:rsidRPr="00CD3EF9">
        <w:t>aspergilóze</w:t>
      </w:r>
      <w:proofErr w:type="spellEnd"/>
      <w:r w:rsidRPr="00CD3EF9">
        <w:t xml:space="preserve"> a 100 % (1 z 1) pri</w:t>
      </w:r>
      <w:r w:rsidR="00085A72">
        <w:t> </w:t>
      </w:r>
      <w:proofErr w:type="spellStart"/>
      <w:r w:rsidRPr="00CD3EF9">
        <w:t>ezofageálnej</w:t>
      </w:r>
      <w:proofErr w:type="spellEnd"/>
      <w:r w:rsidRPr="00CD3EF9">
        <w:t xml:space="preserve"> </w:t>
      </w:r>
      <w:proofErr w:type="spellStart"/>
      <w:r w:rsidRPr="00CD3EF9">
        <w:t>kandidóze</w:t>
      </w:r>
      <w:proofErr w:type="spellEnd"/>
      <w:r w:rsidRPr="00CD3EF9">
        <w:t xml:space="preserve">. 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5.2 </w:t>
      </w:r>
      <w:r w:rsidRPr="00CD3EF9">
        <w:rPr>
          <w:b/>
          <w:bCs/>
          <w:iCs/>
          <w:szCs w:val="20"/>
        </w:rPr>
        <w:tab/>
        <w:t xml:space="preserve">Farmakokinetické vlastnosti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8D3F12" w:rsidP="00DD38BD">
      <w:pPr>
        <w:spacing w:line="240" w:lineRule="auto"/>
        <w:rPr>
          <w:u w:val="single"/>
        </w:rPr>
      </w:pPr>
      <w:r w:rsidRPr="00CD3EF9">
        <w:rPr>
          <w:u w:val="single"/>
        </w:rPr>
        <w:t>Distribúcia</w:t>
      </w:r>
    </w:p>
    <w:p w:rsidR="008D3F12" w:rsidRPr="00CD3EF9" w:rsidRDefault="008D3F1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proofErr w:type="spellEnd"/>
      <w:r w:rsidRPr="00CD3EF9">
        <w:t xml:space="preserve"> sa výrazne viaže na albumín. </w:t>
      </w:r>
      <w:r w:rsidR="00DD4DFC">
        <w:t>N</w:t>
      </w:r>
      <w:r w:rsidRPr="00CD3EF9">
        <w:t>eviazan</w:t>
      </w:r>
      <w:r w:rsidR="00DD4DFC">
        <w:t>á frakcia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 v plazme </w:t>
      </w:r>
      <w:r w:rsidR="00DD4DFC">
        <w:t>kolíše</w:t>
      </w:r>
      <w:r w:rsidRPr="00CD3EF9">
        <w:t xml:space="preserve"> od 3,5 % u zdravých dobrovoľníkov </w:t>
      </w:r>
      <w:r w:rsidR="00DD4DFC">
        <w:t>do</w:t>
      </w:r>
      <w:r w:rsidRPr="00CD3EF9">
        <w:t xml:space="preserve"> 7,6 % u pacientov s invazívnou </w:t>
      </w:r>
      <w:proofErr w:type="spellStart"/>
      <w:r w:rsidRPr="00CD3EF9">
        <w:t>kandidózou</w:t>
      </w:r>
      <w:proofErr w:type="spellEnd"/>
      <w:r w:rsidRPr="00CD3EF9">
        <w:t xml:space="preserve">. Distribúcia má vo </w:t>
      </w:r>
      <w:proofErr w:type="spellStart"/>
      <w:r w:rsidRPr="00CD3EF9">
        <w:t>farmakokinetických</w:t>
      </w:r>
      <w:proofErr w:type="spellEnd"/>
      <w:r w:rsidRPr="00CD3EF9">
        <w:t xml:space="preserve"> vlastnostiach </w:t>
      </w:r>
      <w:proofErr w:type="spellStart"/>
      <w:r w:rsidRPr="00CD3EF9">
        <w:t>kaspofungínu</w:t>
      </w:r>
      <w:proofErr w:type="spellEnd"/>
      <w:r w:rsidRPr="00CD3EF9">
        <w:t xml:space="preserve"> význam</w:t>
      </w:r>
      <w:r w:rsidR="00DD4DFC">
        <w:t>nú úlohu</w:t>
      </w:r>
      <w:r w:rsidRPr="00CD3EF9">
        <w:t xml:space="preserve"> a je krokom, ktorý v</w:t>
      </w:r>
      <w:r w:rsidR="00DD4DFC">
        <w:t>o</w:t>
      </w:r>
      <w:r w:rsidRPr="00CD3EF9">
        <w:t> fázach alfa a</w:t>
      </w:r>
      <w:r w:rsidR="00DD4DFC">
        <w:t>j</w:t>
      </w:r>
      <w:r w:rsidRPr="00CD3EF9">
        <w:t xml:space="preserve"> beta určuje rýchlosť dispozície. Distribúcia do tkanív dosiahla maxima </w:t>
      </w:r>
      <w:r w:rsidR="00DD4DFC">
        <w:t xml:space="preserve">po </w:t>
      </w:r>
      <w:r w:rsidRPr="00CD3EF9">
        <w:t>1,5 až 2 d</w:t>
      </w:r>
      <w:r w:rsidR="00DD4DFC">
        <w:t>ňoch</w:t>
      </w:r>
      <w:r w:rsidRPr="00CD3EF9">
        <w:t xml:space="preserve"> po</w:t>
      </w:r>
      <w:r w:rsidR="00DD4DFC">
        <w:t> podaní</w:t>
      </w:r>
      <w:r w:rsidRPr="00CD3EF9">
        <w:t xml:space="preserve">, keď </w:t>
      </w:r>
      <w:r w:rsidR="00DD4DFC">
        <w:t xml:space="preserve">sa </w:t>
      </w:r>
      <w:r w:rsidRPr="00CD3EF9">
        <w:t>do tkanív distribuova</w:t>
      </w:r>
      <w:r w:rsidR="00DD4DFC">
        <w:t>lo</w:t>
      </w:r>
      <w:r w:rsidRPr="00CD3EF9">
        <w:t xml:space="preserve"> 92 % dávky. Je pravdepodobné, že iba malý podiel </w:t>
      </w:r>
      <w:proofErr w:type="spellStart"/>
      <w:r w:rsidRPr="00CD3EF9">
        <w:t>kaspofungínu</w:t>
      </w:r>
      <w:proofErr w:type="spellEnd"/>
      <w:r w:rsidRPr="00CD3EF9">
        <w:t xml:space="preserve"> prijatého tkanivami sa neskôr vráti do plazmy </w:t>
      </w:r>
      <w:r w:rsidR="00DD4DFC">
        <w:t>v nezmenenej forme</w:t>
      </w:r>
      <w:r w:rsidRPr="00CD3EF9">
        <w:t>. K eliminácii preto dochádza pri</w:t>
      </w:r>
      <w:r w:rsidR="00DD4DFC">
        <w:t> </w:t>
      </w:r>
      <w:r w:rsidRPr="00CD3EF9">
        <w:t>absencii distribučnej rovnováhy a </w:t>
      </w:r>
      <w:r w:rsidR="00DD4DFC">
        <w:t>presný</w:t>
      </w:r>
      <w:r w:rsidRPr="00CD3EF9">
        <w:t xml:space="preserve"> odhad </w:t>
      </w:r>
      <w:r w:rsidR="00DD4DFC">
        <w:t xml:space="preserve">distribučného </w:t>
      </w:r>
      <w:r w:rsidRPr="00CD3EF9">
        <w:t xml:space="preserve">objemu </w:t>
      </w:r>
      <w:proofErr w:type="spellStart"/>
      <w:r w:rsidRPr="00CD3EF9">
        <w:t>kaspofungínu</w:t>
      </w:r>
      <w:proofErr w:type="spellEnd"/>
      <w:r w:rsidRPr="00CD3EF9">
        <w:t xml:space="preserve"> aktuálne nie je možné získať. </w:t>
      </w:r>
    </w:p>
    <w:p w:rsidR="008D3F12" w:rsidRPr="00CD3EF9" w:rsidRDefault="008D3F12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spacing w:line="240" w:lineRule="auto"/>
        <w:rPr>
          <w:color w:val="000000"/>
          <w:u w:val="single"/>
        </w:rPr>
      </w:pPr>
      <w:r w:rsidRPr="00CD3EF9">
        <w:rPr>
          <w:color w:val="000000"/>
          <w:u w:val="single"/>
        </w:rPr>
        <w:t xml:space="preserve">Biotransformácia </w:t>
      </w:r>
    </w:p>
    <w:p w:rsidR="00945D09" w:rsidRPr="00CD3EF9" w:rsidRDefault="00945D09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proofErr w:type="spellEnd"/>
      <w:r w:rsidRPr="00CD3EF9">
        <w:t xml:space="preserve"> p</w:t>
      </w:r>
      <w:r w:rsidR="00DD4DFC">
        <w:t>odlieha</w:t>
      </w:r>
      <w:r w:rsidRPr="00CD3EF9">
        <w:t xml:space="preserve"> spontánn</w:t>
      </w:r>
      <w:r w:rsidR="00DD4DFC">
        <w:t xml:space="preserve">ej </w:t>
      </w:r>
      <w:r w:rsidRPr="00CD3EF9">
        <w:t>degradáci</w:t>
      </w:r>
      <w:r w:rsidR="00DD4DFC">
        <w:t>i</w:t>
      </w:r>
      <w:r w:rsidRPr="00CD3EF9">
        <w:t xml:space="preserve"> na otvorenú cyklickú zlúčeninu. Ďalší metabolizmus zahŕňa hydrolýzu </w:t>
      </w:r>
      <w:proofErr w:type="spellStart"/>
      <w:r w:rsidRPr="00CD3EF9">
        <w:t>peptidov</w:t>
      </w:r>
      <w:proofErr w:type="spellEnd"/>
      <w:r w:rsidRPr="00CD3EF9">
        <w:t xml:space="preserve"> a N-</w:t>
      </w:r>
      <w:proofErr w:type="spellStart"/>
      <w:r w:rsidRPr="00CD3EF9">
        <w:t>acetyláciu</w:t>
      </w:r>
      <w:proofErr w:type="spellEnd"/>
      <w:r w:rsidRPr="00CD3EF9">
        <w:t xml:space="preserve">. Dva medziprodukty vytvorené počas degradácie </w:t>
      </w:r>
      <w:proofErr w:type="spellStart"/>
      <w:r w:rsidRPr="00CD3EF9">
        <w:t>kaspofungínu</w:t>
      </w:r>
      <w:proofErr w:type="spellEnd"/>
      <w:r w:rsidRPr="00CD3EF9">
        <w:t xml:space="preserve"> na otvorenú cyklickú zlúčeninu tvoria </w:t>
      </w:r>
      <w:proofErr w:type="spellStart"/>
      <w:r w:rsidRPr="00CD3EF9">
        <w:t>kovalentné</w:t>
      </w:r>
      <w:proofErr w:type="spellEnd"/>
      <w:r w:rsidRPr="00CD3EF9">
        <w:t xml:space="preserve"> </w:t>
      </w:r>
      <w:r w:rsidR="00B86237">
        <w:t>väzby</w:t>
      </w:r>
      <w:r w:rsidRPr="00CD3EF9">
        <w:t xml:space="preserve"> </w:t>
      </w:r>
      <w:r w:rsidR="00B86237">
        <w:t xml:space="preserve">s </w:t>
      </w:r>
      <w:r w:rsidRPr="00CD3EF9">
        <w:t>plazm</w:t>
      </w:r>
      <w:r w:rsidR="00B86237">
        <w:t>atickými proteínmi</w:t>
      </w:r>
      <w:r w:rsidRPr="00CD3EF9">
        <w:t xml:space="preserve">. Výsledkom je </w:t>
      </w:r>
      <w:r w:rsidR="00545BC7">
        <w:t>slabá ireverzibilná</w:t>
      </w:r>
      <w:r w:rsidRPr="00CD3EF9">
        <w:t xml:space="preserve"> väzba na plazmatické proteíny. </w:t>
      </w:r>
    </w:p>
    <w:p w:rsidR="009A4C1F" w:rsidRPr="00CD3EF9" w:rsidRDefault="009A4C1F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Štúdie </w:t>
      </w:r>
      <w:r w:rsidRPr="00CD3EF9">
        <w:rPr>
          <w:i/>
        </w:rPr>
        <w:t>in vitro</w:t>
      </w:r>
      <w:r w:rsidRPr="00CD3EF9">
        <w:t xml:space="preserve"> ukazujú, že </w:t>
      </w:r>
      <w:proofErr w:type="spellStart"/>
      <w:r w:rsidRPr="00CD3EF9">
        <w:t>kaspofungín</w:t>
      </w:r>
      <w:proofErr w:type="spellEnd"/>
      <w:r w:rsidRPr="00CD3EF9">
        <w:t xml:space="preserve"> nie je inhibítorom enzýmov 1A2, 2A6, 2C9, 2C19, 2D6 ani 3A4 </w:t>
      </w:r>
      <w:proofErr w:type="spellStart"/>
      <w:r w:rsidRPr="00CD3EF9">
        <w:t>cytochrómu</w:t>
      </w:r>
      <w:proofErr w:type="spellEnd"/>
      <w:r w:rsidRPr="00CD3EF9">
        <w:t xml:space="preserve"> P450. V klinických štúdiách </w:t>
      </w:r>
      <w:proofErr w:type="spellStart"/>
      <w:r w:rsidRPr="00CD3EF9">
        <w:t>kaspofungín</w:t>
      </w:r>
      <w:proofErr w:type="spellEnd"/>
      <w:r w:rsidRPr="00CD3EF9">
        <w:t xml:space="preserve"> neindukoval ani </w:t>
      </w:r>
      <w:proofErr w:type="spellStart"/>
      <w:r w:rsidRPr="00CD3EF9">
        <w:t>neinhiboval</w:t>
      </w:r>
      <w:proofErr w:type="spellEnd"/>
      <w:r w:rsidRPr="00CD3EF9">
        <w:t xml:space="preserve"> metabolizmus CYP3A4 iných liekov. </w:t>
      </w:r>
      <w:proofErr w:type="spellStart"/>
      <w:r w:rsidRPr="00CD3EF9">
        <w:t>Kaspofungín</w:t>
      </w:r>
      <w:proofErr w:type="spellEnd"/>
      <w:r w:rsidRPr="00CD3EF9">
        <w:t xml:space="preserve"> nie je substrátom pre P-</w:t>
      </w:r>
      <w:proofErr w:type="spellStart"/>
      <w:r w:rsidRPr="00CD3EF9">
        <w:t>glykoproteín</w:t>
      </w:r>
      <w:proofErr w:type="spellEnd"/>
      <w:r w:rsidRPr="00CD3EF9">
        <w:t xml:space="preserve"> a je </w:t>
      </w:r>
      <w:r w:rsidR="00545BC7">
        <w:t>slabým</w:t>
      </w:r>
      <w:r w:rsidRPr="00CD3EF9">
        <w:t xml:space="preserve"> substrátom pre</w:t>
      </w:r>
      <w:r w:rsidR="00545BC7">
        <w:t> </w:t>
      </w:r>
      <w:r w:rsidRPr="00CD3EF9">
        <w:t xml:space="preserve">enzýmy </w:t>
      </w:r>
      <w:proofErr w:type="spellStart"/>
      <w:r w:rsidRPr="00CD3EF9">
        <w:t>cytochrómu</w:t>
      </w:r>
      <w:proofErr w:type="spellEnd"/>
      <w:r w:rsidRPr="00CD3EF9">
        <w:t xml:space="preserve"> P450.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  <w:rPr>
          <w:u w:val="single"/>
        </w:rPr>
      </w:pPr>
      <w:r w:rsidRPr="00CD3EF9">
        <w:rPr>
          <w:u w:val="single"/>
        </w:rPr>
        <w:t xml:space="preserve">Eliminácia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Eliminácia </w:t>
      </w:r>
      <w:proofErr w:type="spellStart"/>
      <w:r w:rsidRPr="00CD3EF9">
        <w:t>kaspofungínu</w:t>
      </w:r>
      <w:proofErr w:type="spellEnd"/>
      <w:r w:rsidRPr="00CD3EF9">
        <w:t xml:space="preserve"> z plazmy je pomalá</w:t>
      </w:r>
      <w:r w:rsidR="00545BC7">
        <w:t xml:space="preserve"> </w:t>
      </w:r>
      <w:r w:rsidRPr="00CD3EF9">
        <w:t>s </w:t>
      </w:r>
      <w:proofErr w:type="spellStart"/>
      <w:r w:rsidR="00545BC7">
        <w:t>k</w:t>
      </w:r>
      <w:r w:rsidRPr="00CD3EF9">
        <w:t>l</w:t>
      </w:r>
      <w:r w:rsidR="00545BC7">
        <w:t>í</w:t>
      </w:r>
      <w:r w:rsidRPr="00CD3EF9">
        <w:t>r</w:t>
      </w:r>
      <w:r w:rsidR="00545BC7">
        <w:t>ensom</w:t>
      </w:r>
      <w:proofErr w:type="spellEnd"/>
      <w:r w:rsidRPr="00CD3EF9">
        <w:t xml:space="preserve"> 10 – 12 ml/min. </w:t>
      </w:r>
      <w:r w:rsidR="00545BC7">
        <w:t>Plazmatické k</w:t>
      </w:r>
      <w:r w:rsidRPr="00CD3EF9">
        <w:t xml:space="preserve">oncentrácie </w:t>
      </w:r>
      <w:proofErr w:type="spellStart"/>
      <w:r w:rsidRPr="00CD3EF9">
        <w:t>kaspofungínu</w:t>
      </w:r>
      <w:proofErr w:type="spellEnd"/>
      <w:r w:rsidRPr="00CD3EF9">
        <w:t xml:space="preserve"> klesajú </w:t>
      </w:r>
      <w:proofErr w:type="spellStart"/>
      <w:r w:rsidRPr="00CD3EF9">
        <w:t>polyfázovým</w:t>
      </w:r>
      <w:proofErr w:type="spellEnd"/>
      <w:r w:rsidRPr="00CD3EF9">
        <w:t xml:space="preserve"> spôsobom po jedno</w:t>
      </w:r>
      <w:r w:rsidR="00545BC7">
        <w:t>razovej</w:t>
      </w:r>
      <w:r w:rsidRPr="00CD3EF9">
        <w:t xml:space="preserve">, </w:t>
      </w:r>
      <w:r w:rsidR="00545BC7">
        <w:t>jedno</w:t>
      </w:r>
      <w:r w:rsidRPr="00CD3EF9">
        <w:t>hodin</w:t>
      </w:r>
      <w:r w:rsidR="00545BC7">
        <w:t>ovej</w:t>
      </w:r>
      <w:r w:rsidRPr="00CD3EF9">
        <w:t xml:space="preserve"> intravenózn</w:t>
      </w:r>
      <w:r w:rsidR="00545BC7">
        <w:t>ej</w:t>
      </w:r>
      <w:r w:rsidRPr="00CD3EF9">
        <w:t xml:space="preserve"> infúzi</w:t>
      </w:r>
      <w:r w:rsidR="00545BC7">
        <w:t>i</w:t>
      </w:r>
      <w:r w:rsidRPr="00CD3EF9">
        <w:t xml:space="preserve">. Krátka fáza alfa nastáva okamžite po infúzii a je nasledovaná fázou beta s polčasom 9 až 11 hodín. </w:t>
      </w:r>
      <w:r w:rsidR="00545BC7">
        <w:t>Objavuje sa</w:t>
      </w:r>
      <w:r w:rsidR="00545BC7" w:rsidRPr="00CD3EF9">
        <w:t xml:space="preserve"> </w:t>
      </w:r>
      <w:r w:rsidRPr="00CD3EF9">
        <w:t xml:space="preserve">tiež dodatočná fáza gama s polčasom 45 hodín. Distribúcia je na rozdiel od vylučovania alebo </w:t>
      </w:r>
      <w:proofErr w:type="spellStart"/>
      <w:r w:rsidRPr="00CD3EF9">
        <w:t>biotransformácie</w:t>
      </w:r>
      <w:proofErr w:type="spellEnd"/>
      <w:r w:rsidRPr="00CD3EF9">
        <w:t xml:space="preserve"> dominantným mechanizmom ovplyvňujúcim plazm</w:t>
      </w:r>
      <w:r w:rsidR="00545BC7">
        <w:t>atický klírens</w:t>
      </w:r>
      <w:r w:rsidRPr="00CD3EF9">
        <w:t xml:space="preserve">.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Počas 27 dní sa </w:t>
      </w:r>
      <w:r w:rsidR="0070602E">
        <w:t>vylúčilo</w:t>
      </w:r>
      <w:r w:rsidR="0070602E" w:rsidRPr="00CD3EF9">
        <w:t xml:space="preserve"> </w:t>
      </w:r>
      <w:r w:rsidRPr="00CD3EF9">
        <w:t xml:space="preserve">približne 75 % rádioaktívne značenej dávky: 41 % v moči a 34 % v stolici. Počas prvých 30 hodín po podaní dávky sa vylučovaním alebo </w:t>
      </w:r>
      <w:proofErr w:type="spellStart"/>
      <w:r w:rsidRPr="00CD3EF9">
        <w:t>biotransformáciou</w:t>
      </w:r>
      <w:proofErr w:type="spellEnd"/>
      <w:r w:rsidRPr="00CD3EF9">
        <w:t xml:space="preserve"> odstráni iba m</w:t>
      </w:r>
      <w:r w:rsidR="0070602E">
        <w:t>inimálne množstvo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. Vylučovanie je pomalé a konečný polčas rádioaktivity bol 12 až 15 dní. Malé množstvo </w:t>
      </w:r>
      <w:proofErr w:type="spellStart"/>
      <w:r w:rsidRPr="00CD3EF9">
        <w:t>kaspofungínu</w:t>
      </w:r>
      <w:proofErr w:type="spellEnd"/>
      <w:r w:rsidRPr="00CD3EF9">
        <w:t xml:space="preserve"> sa vyl</w:t>
      </w:r>
      <w:r w:rsidR="0070602E">
        <w:t xml:space="preserve">učuje v </w:t>
      </w:r>
      <w:r w:rsidRPr="00CD3EF9">
        <w:t>nezmenen</w:t>
      </w:r>
      <w:r w:rsidR="0070602E">
        <w:t xml:space="preserve">ej forme </w:t>
      </w:r>
      <w:r w:rsidRPr="00CD3EF9">
        <w:t>moč</w:t>
      </w:r>
      <w:r w:rsidR="0070602E">
        <w:t>om</w:t>
      </w:r>
      <w:r w:rsidRPr="00CD3EF9">
        <w:t xml:space="preserve"> (približne 1,4 % dávky).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proofErr w:type="spellStart"/>
      <w:r w:rsidRPr="00CD3EF9">
        <w:t>Kaspofungín</w:t>
      </w:r>
      <w:proofErr w:type="spellEnd"/>
      <w:r w:rsidRPr="00CD3EF9">
        <w:t xml:space="preserve"> </w:t>
      </w:r>
      <w:r w:rsidR="0070602E">
        <w:t>má</w:t>
      </w:r>
      <w:r w:rsidRPr="00CD3EF9">
        <w:t xml:space="preserve"> mierne nelineárne </w:t>
      </w:r>
      <w:proofErr w:type="spellStart"/>
      <w:r w:rsidRPr="00CD3EF9">
        <w:t>farmakokinetické</w:t>
      </w:r>
      <w:proofErr w:type="spellEnd"/>
      <w:r w:rsidRPr="00CD3EF9">
        <w:t xml:space="preserve"> vlastnosti</w:t>
      </w:r>
      <w:r w:rsidR="00F30A21">
        <w:t>,</w:t>
      </w:r>
      <w:r w:rsidRPr="00CD3EF9">
        <w:t xml:space="preserve"> so zvýšenou kumuláciou pri</w:t>
      </w:r>
      <w:r w:rsidR="0070602E">
        <w:t> </w:t>
      </w:r>
      <w:r w:rsidRPr="00CD3EF9">
        <w:t>zvyšovaní dávky a závislosť</w:t>
      </w:r>
      <w:r w:rsidR="0070602E">
        <w:t xml:space="preserve"> od</w:t>
      </w:r>
      <w:r w:rsidRPr="00CD3EF9">
        <w:t xml:space="preserve"> dávky </w:t>
      </w:r>
      <w:r w:rsidR="0070602E">
        <w:t>pri</w:t>
      </w:r>
      <w:r w:rsidRPr="00CD3EF9">
        <w:t xml:space="preserve"> čase</w:t>
      </w:r>
      <w:r w:rsidR="0070602E">
        <w:t xml:space="preserve"> potrebnom na</w:t>
      </w:r>
      <w:r w:rsidRPr="00CD3EF9">
        <w:t xml:space="preserve"> dosiahnuti</w:t>
      </w:r>
      <w:r w:rsidR="0070602E">
        <w:t>e</w:t>
      </w:r>
      <w:r w:rsidRPr="00CD3EF9">
        <w:t xml:space="preserve"> </w:t>
      </w:r>
      <w:r w:rsidR="0070602E">
        <w:t xml:space="preserve">rovnovážneho </w:t>
      </w:r>
      <w:r w:rsidRPr="00CD3EF9">
        <w:t xml:space="preserve">stavu </w:t>
      </w:r>
      <w:r w:rsidR="0070602E">
        <w:t>pri</w:t>
      </w:r>
      <w:r w:rsidRPr="00CD3EF9">
        <w:t> podávan</w:t>
      </w:r>
      <w:r w:rsidR="0070602E">
        <w:t>í</w:t>
      </w:r>
      <w:r w:rsidRPr="00CD3EF9">
        <w:t xml:space="preserve"> </w:t>
      </w:r>
      <w:r w:rsidR="0070602E">
        <w:t>opakovaných</w:t>
      </w:r>
      <w:r w:rsidRPr="00CD3EF9">
        <w:t xml:space="preserve"> dávok.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F30A21" w:rsidP="00DD38BD">
      <w:pPr>
        <w:spacing w:line="240" w:lineRule="auto"/>
        <w:rPr>
          <w:u w:val="single"/>
        </w:rPr>
      </w:pPr>
      <w:r>
        <w:rPr>
          <w:u w:val="single"/>
        </w:rPr>
        <w:t>Osobitné skupiny pacientov</w:t>
      </w:r>
      <w:r w:rsidR="00945D09" w:rsidRPr="00CD3EF9">
        <w:rPr>
          <w:u w:val="single"/>
        </w:rPr>
        <w:t xml:space="preserve"> </w:t>
      </w:r>
    </w:p>
    <w:p w:rsidR="008808E2" w:rsidRPr="00CD3EF9" w:rsidRDefault="008808E2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U dospelých pacientov s poškodením obličiek a</w:t>
      </w:r>
      <w:r w:rsidR="00EF1945">
        <w:t> miernou poruchou funkcie</w:t>
      </w:r>
      <w:r w:rsidRPr="00CD3EF9">
        <w:t xml:space="preserve"> pečene, u žien a u starších pacientov bol</w:t>
      </w:r>
      <w:r w:rsidR="00EF1945">
        <w:t>a</w:t>
      </w:r>
      <w:r w:rsidRPr="00CD3EF9">
        <w:t xml:space="preserve"> pozorovan</w:t>
      </w:r>
      <w:r w:rsidR="00EF1945">
        <w:t>á</w:t>
      </w:r>
      <w:r w:rsidRPr="00CD3EF9">
        <w:t xml:space="preserve"> zvýšen</w:t>
      </w:r>
      <w:r w:rsidR="00EF1945">
        <w:t>á</w:t>
      </w:r>
      <w:r w:rsidRPr="00CD3EF9">
        <w:t xml:space="preserve"> </w:t>
      </w:r>
      <w:r w:rsidR="00EF1945">
        <w:t>expozícia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. Toto zvýšenie bolo zvyčajne mierne a nebolo dostatočne veľké na to, aby </w:t>
      </w:r>
      <w:r w:rsidR="00EF1945">
        <w:t>bola potrebná</w:t>
      </w:r>
      <w:r w:rsidRPr="00CD3EF9">
        <w:t xml:space="preserve"> úpravu dávk</w:t>
      </w:r>
      <w:r w:rsidR="00EF1945">
        <w:t>ovania</w:t>
      </w:r>
      <w:r w:rsidRPr="00CD3EF9">
        <w:t>. U dospelých pacientov so</w:t>
      </w:r>
      <w:r w:rsidR="00EF1945">
        <w:t> </w:t>
      </w:r>
      <w:r w:rsidRPr="00CD3EF9">
        <w:t xml:space="preserve">stredne </w:t>
      </w:r>
      <w:r w:rsidR="00EF1945">
        <w:t>závažnou poruchou funkcie</w:t>
      </w:r>
      <w:r w:rsidRPr="00CD3EF9">
        <w:t xml:space="preserve"> pečene alebo u pacientov s vyššou hmotnosťou môže byť </w:t>
      </w:r>
      <w:r w:rsidR="00EF1945">
        <w:t>potrebná</w:t>
      </w:r>
      <w:r w:rsidRPr="00CD3EF9">
        <w:t xml:space="preserve"> úprava dávkovania (pozri nižšie).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Hmotnosť: </w:t>
      </w:r>
      <w:r w:rsidR="00EF1945">
        <w:t xml:space="preserve">V populačných </w:t>
      </w:r>
      <w:proofErr w:type="spellStart"/>
      <w:r w:rsidR="00EF1945">
        <w:t>farmakokinetických</w:t>
      </w:r>
      <w:proofErr w:type="spellEnd"/>
      <w:r w:rsidR="00EF1945">
        <w:t xml:space="preserve"> analýzach </w:t>
      </w:r>
      <w:r w:rsidR="00EF1945" w:rsidRPr="00CD3EF9">
        <w:t>u dospelých pacientov s </w:t>
      </w:r>
      <w:proofErr w:type="spellStart"/>
      <w:r w:rsidR="00EF1945" w:rsidRPr="00CD3EF9">
        <w:t>kandidózou</w:t>
      </w:r>
      <w:proofErr w:type="spellEnd"/>
      <w:r w:rsidR="00EF1945">
        <w:t xml:space="preserve"> sa zistilo</w:t>
      </w:r>
      <w:r w:rsidRPr="00CD3EF9">
        <w:t xml:space="preserve">, že hmotnosť ovplyvňuje </w:t>
      </w:r>
      <w:proofErr w:type="spellStart"/>
      <w:r w:rsidRPr="00CD3EF9">
        <w:t>farmakokinetické</w:t>
      </w:r>
      <w:proofErr w:type="spellEnd"/>
      <w:r w:rsidRPr="00CD3EF9">
        <w:t xml:space="preserve"> vlastnosti </w:t>
      </w:r>
      <w:proofErr w:type="spellStart"/>
      <w:r w:rsidRPr="00CD3EF9">
        <w:t>kaspofungínu</w:t>
      </w:r>
      <w:proofErr w:type="spellEnd"/>
      <w:r w:rsidRPr="00CD3EF9">
        <w:t xml:space="preserve"> . </w:t>
      </w:r>
      <w:r w:rsidR="00EF1945">
        <w:t>Plazmatické k</w:t>
      </w:r>
      <w:r w:rsidRPr="00CD3EF9">
        <w:t>oncentrácie sa znižujú so zvyšujúcou sa hmotnosťou. Pr</w:t>
      </w:r>
      <w:r w:rsidR="00EF1945">
        <w:t xml:space="preserve">edpokladá sa, že </w:t>
      </w:r>
      <w:proofErr w:type="spellStart"/>
      <w:r w:rsidR="00EF1945">
        <w:t>p</w:t>
      </w:r>
      <w:r w:rsidRPr="00CD3EF9">
        <w:t>iemerné</w:t>
      </w:r>
      <w:proofErr w:type="spellEnd"/>
      <w:r w:rsidRPr="00CD3EF9">
        <w:t xml:space="preserve"> pôsobenie u dospelého pacienta s hmotnosťou 80 kg </w:t>
      </w:r>
      <w:r w:rsidR="00EF1945">
        <w:t xml:space="preserve">je </w:t>
      </w:r>
      <w:r w:rsidRPr="00CD3EF9">
        <w:t xml:space="preserve">približne o 23 % nižšie než u dospelého pacienta s hmotnosťou 60 kg (pozri časť 4.2).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Po</w:t>
      </w:r>
      <w:r w:rsidR="00204FA1">
        <w:t>rucha funkcie</w:t>
      </w:r>
      <w:r w:rsidRPr="00CD3EF9">
        <w:t xml:space="preserve"> pečene: U dospelých pacientov s</w:t>
      </w:r>
      <w:r w:rsidR="00EF1945">
        <w:t> miernou poruchou funkcie</w:t>
      </w:r>
      <w:r w:rsidRPr="00CD3EF9">
        <w:t xml:space="preserve"> pečene </w:t>
      </w:r>
      <w:r w:rsidR="00EF1945">
        <w:t xml:space="preserve">je </w:t>
      </w:r>
      <w:r w:rsidRPr="00CD3EF9">
        <w:t>AUC zvýš</w:t>
      </w:r>
      <w:r w:rsidR="00EF1945">
        <w:t>ená</w:t>
      </w:r>
      <w:r w:rsidRPr="00CD3EF9">
        <w:t xml:space="preserve"> približne o 20 %</w:t>
      </w:r>
      <w:r w:rsidR="00EF1945">
        <w:t xml:space="preserve"> a u pacientov so stredne závažnou poruchou funkcie pečene o</w:t>
      </w:r>
      <w:r w:rsidRPr="00CD3EF9">
        <w:t xml:space="preserve"> 75 %. Neexistujú žiadne klinické skúsenosti s dospelými pacientmi so závaž</w:t>
      </w:r>
      <w:r w:rsidR="00204FA1">
        <w:t xml:space="preserve">nou poruchou funkcie </w:t>
      </w:r>
      <w:r w:rsidRPr="00CD3EF9">
        <w:t xml:space="preserve">pečene a s pediatrickými pacientmi s akýmkoľvek stupňom poškodenia pečene. V štúdii </w:t>
      </w:r>
      <w:r w:rsidR="00204FA1">
        <w:t>opakovanej</w:t>
      </w:r>
      <w:r w:rsidRPr="00CD3EF9">
        <w:t xml:space="preserve"> dávk</w:t>
      </w:r>
      <w:r w:rsidR="00204FA1">
        <w:t>y</w:t>
      </w:r>
      <w:r w:rsidRPr="00CD3EF9">
        <w:t xml:space="preserve"> sa ukázalo, že zníženie dennej dávky na 35 mg u dospelých pacientov so stredne </w:t>
      </w:r>
      <w:r w:rsidR="00204FA1">
        <w:t xml:space="preserve">závažnou poruchou funkcie </w:t>
      </w:r>
      <w:r w:rsidRPr="00CD3EF9">
        <w:t>pečene viedlo k hodnote AUC podobnej hodnotám získaný</w:t>
      </w:r>
      <w:r w:rsidR="00204FA1">
        <w:t>ch</w:t>
      </w:r>
      <w:r w:rsidRPr="00CD3EF9">
        <w:t xml:space="preserve"> u dospelých </w:t>
      </w:r>
      <w:r w:rsidR="00204FA1">
        <w:t>jedincov</w:t>
      </w:r>
      <w:r w:rsidRPr="00CD3EF9">
        <w:t xml:space="preserve"> s normálnou funkciou pečene, ktorí mali štandardný </w:t>
      </w:r>
      <w:r w:rsidR="00204FA1">
        <w:t xml:space="preserve">dávkovací </w:t>
      </w:r>
      <w:r w:rsidRPr="00CD3EF9">
        <w:t xml:space="preserve">režim (pozri časť 4.2).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Po</w:t>
      </w:r>
      <w:r w:rsidR="00204FA1">
        <w:t>rucha funkcie</w:t>
      </w:r>
      <w:r w:rsidRPr="00CD3EF9">
        <w:t xml:space="preserve"> obličiek: V klinickej štúdii jedno</w:t>
      </w:r>
      <w:r w:rsidR="00204FA1">
        <w:t>razovej</w:t>
      </w:r>
      <w:r w:rsidRPr="00CD3EF9">
        <w:t xml:space="preserve"> 70 mg dávk</w:t>
      </w:r>
      <w:r w:rsidR="00204FA1">
        <w:t>y</w:t>
      </w:r>
      <w:r w:rsidRPr="00CD3EF9">
        <w:t xml:space="preserve"> boli </w:t>
      </w:r>
      <w:proofErr w:type="spellStart"/>
      <w:r w:rsidRPr="00CD3EF9">
        <w:t>farmakokinetické</w:t>
      </w:r>
      <w:proofErr w:type="spellEnd"/>
      <w:r w:rsidRPr="00CD3EF9">
        <w:t xml:space="preserve"> vlastnosti </w:t>
      </w:r>
      <w:proofErr w:type="spellStart"/>
      <w:r w:rsidRPr="00CD3EF9">
        <w:t>kaspofungínu</w:t>
      </w:r>
      <w:proofErr w:type="spellEnd"/>
      <w:r w:rsidRPr="00CD3EF9">
        <w:t xml:space="preserve"> u dospelých dobrovoľníkov s</w:t>
      </w:r>
      <w:r w:rsidR="00204FA1">
        <w:t> miernou poruchou funkcie</w:t>
      </w:r>
      <w:r w:rsidRPr="00CD3EF9">
        <w:t xml:space="preserve"> obličiek (</w:t>
      </w:r>
      <w:r w:rsidR="00204FA1">
        <w:t>klírens</w:t>
      </w:r>
      <w:r w:rsidRPr="00CD3EF9">
        <w:t xml:space="preserve"> kreatinínu 50 až 80 ml/min) podobné ako u</w:t>
      </w:r>
      <w:r w:rsidR="00204FA1">
        <w:t> </w:t>
      </w:r>
      <w:r w:rsidRPr="00CD3EF9">
        <w:t>kontroln</w:t>
      </w:r>
      <w:r w:rsidR="00204FA1">
        <w:t>ej skupiny</w:t>
      </w:r>
      <w:r w:rsidRPr="00CD3EF9">
        <w:t xml:space="preserve">. Stredne </w:t>
      </w:r>
      <w:r w:rsidR="00204FA1">
        <w:t>závažná porucha funkcie</w:t>
      </w:r>
      <w:r w:rsidRPr="00CD3EF9">
        <w:t xml:space="preserve"> obličiek (</w:t>
      </w:r>
      <w:r w:rsidR="00204FA1">
        <w:t>klírens</w:t>
      </w:r>
      <w:r w:rsidRPr="00CD3EF9">
        <w:t xml:space="preserve"> kreatinínu 31 až 49 ml/min), po</w:t>
      </w:r>
      <w:r w:rsidR="00204FA1">
        <w:t>rucha funkcie</w:t>
      </w:r>
      <w:r w:rsidRPr="00CD3EF9">
        <w:t xml:space="preserve"> obličiek v pokročilej fáze (</w:t>
      </w:r>
      <w:r w:rsidR="00204FA1">
        <w:t>klírens</w:t>
      </w:r>
      <w:r w:rsidRPr="00CD3EF9">
        <w:t xml:space="preserve"> kreatinínu 5 až 30 ml/min) a</w:t>
      </w:r>
      <w:r w:rsidR="00204FA1">
        <w:t> terminálne štádium</w:t>
      </w:r>
      <w:r w:rsidRPr="00CD3EF9">
        <w:t xml:space="preserve"> </w:t>
      </w:r>
      <w:r w:rsidR="00204FA1">
        <w:t xml:space="preserve">poruchy funkcie obličiek </w:t>
      </w:r>
      <w:r w:rsidRPr="00CD3EF9">
        <w:t>(</w:t>
      </w:r>
      <w:r w:rsidR="00204FA1">
        <w:t>klírens</w:t>
      </w:r>
      <w:r w:rsidRPr="00CD3EF9">
        <w:t xml:space="preserve"> kreatinínu &lt;</w:t>
      </w:r>
      <w:r w:rsidR="00204FA1">
        <w:t> </w:t>
      </w:r>
      <w:r w:rsidRPr="00CD3EF9">
        <w:t xml:space="preserve">10 ml/min) mierne zvýšilo </w:t>
      </w:r>
      <w:r w:rsidR="00204FA1">
        <w:t xml:space="preserve">plazmatické </w:t>
      </w:r>
      <w:r w:rsidRPr="00CD3EF9">
        <w:t xml:space="preserve">koncentrácie </w:t>
      </w:r>
      <w:proofErr w:type="spellStart"/>
      <w:r w:rsidRPr="00CD3EF9">
        <w:t>kaspofungínu</w:t>
      </w:r>
      <w:proofErr w:type="spellEnd"/>
      <w:r w:rsidRPr="00CD3EF9">
        <w:t xml:space="preserve"> po podaní jedno</w:t>
      </w:r>
      <w:r w:rsidR="00204FA1">
        <w:t>razovej</w:t>
      </w:r>
      <w:r w:rsidRPr="00CD3EF9">
        <w:t xml:space="preserve"> dávky (rozsah: 30 až 49 % pre AUC). U dospelých pacientov s invazívnou </w:t>
      </w:r>
      <w:proofErr w:type="spellStart"/>
      <w:r w:rsidRPr="00CD3EF9">
        <w:t>kandidózou</w:t>
      </w:r>
      <w:proofErr w:type="spellEnd"/>
      <w:r w:rsidRPr="00CD3EF9">
        <w:t xml:space="preserve">, </w:t>
      </w:r>
      <w:proofErr w:type="spellStart"/>
      <w:r w:rsidRPr="00CD3EF9">
        <w:t>ezofageálnou</w:t>
      </w:r>
      <w:proofErr w:type="spellEnd"/>
      <w:r w:rsidRPr="00CD3EF9">
        <w:t xml:space="preserve"> </w:t>
      </w:r>
      <w:proofErr w:type="spellStart"/>
      <w:r w:rsidRPr="00CD3EF9">
        <w:t>kandidózou</w:t>
      </w:r>
      <w:proofErr w:type="spellEnd"/>
      <w:r w:rsidRPr="00CD3EF9">
        <w:t xml:space="preserve"> alebo invazívnou </w:t>
      </w:r>
      <w:proofErr w:type="spellStart"/>
      <w:r w:rsidRPr="00CD3EF9">
        <w:t>aspergilózou</w:t>
      </w:r>
      <w:proofErr w:type="spellEnd"/>
      <w:r w:rsidRPr="00CD3EF9">
        <w:t xml:space="preserve">, ktorí dostávali </w:t>
      </w:r>
      <w:r w:rsidR="00204FA1">
        <w:t>opakované</w:t>
      </w:r>
      <w:r w:rsidR="00204FA1" w:rsidRPr="00CD3EF9">
        <w:t xml:space="preserve"> </w:t>
      </w:r>
      <w:r w:rsidRPr="00CD3EF9">
        <w:t>denn</w:t>
      </w:r>
      <w:r w:rsidR="003A25FF">
        <w:t>é</w:t>
      </w:r>
      <w:r w:rsidRPr="00CD3EF9">
        <w:t xml:space="preserve"> dávk</w:t>
      </w:r>
      <w:r w:rsidR="003A25FF">
        <w:t>y</w:t>
      </w:r>
      <w:r w:rsidRPr="00CD3EF9">
        <w:t xml:space="preserve"> </w:t>
      </w:r>
      <w:proofErr w:type="spellStart"/>
      <w:r w:rsidRPr="00CD3EF9">
        <w:t>kaspofungínu</w:t>
      </w:r>
      <w:proofErr w:type="spellEnd"/>
      <w:r w:rsidRPr="00CD3EF9">
        <w:t xml:space="preserve"> 50 mg, sa však neprejavil žiadny významný vplyv </w:t>
      </w:r>
      <w:r w:rsidR="00BC102F">
        <w:t>miernej</w:t>
      </w:r>
      <w:r w:rsidRPr="00CD3EF9">
        <w:t xml:space="preserve"> až pokročil</w:t>
      </w:r>
      <w:r w:rsidR="00BC102F">
        <w:t>ej</w:t>
      </w:r>
      <w:r w:rsidRPr="00CD3EF9">
        <w:t xml:space="preserve"> </w:t>
      </w:r>
      <w:r w:rsidR="00BC102F">
        <w:t>poruchy funkcie</w:t>
      </w:r>
      <w:r w:rsidRPr="00CD3EF9">
        <w:t xml:space="preserve"> obličiek na</w:t>
      </w:r>
      <w:r w:rsidR="00BC102F">
        <w:t> </w:t>
      </w:r>
      <w:r w:rsidRPr="00CD3EF9">
        <w:t xml:space="preserve">koncentrácie </w:t>
      </w:r>
      <w:proofErr w:type="spellStart"/>
      <w:r w:rsidRPr="00CD3EF9">
        <w:t>kaspofungínu</w:t>
      </w:r>
      <w:proofErr w:type="spellEnd"/>
      <w:r w:rsidRPr="00CD3EF9">
        <w:t xml:space="preserve">. U pacientov s poškodením obličiek </w:t>
      </w:r>
      <w:r w:rsidR="00BC102F">
        <w:t>nie je potrebná žiadna úprava dávkovania.</w:t>
      </w:r>
      <w:r w:rsidRPr="00CD3EF9">
        <w:t xml:space="preserve"> </w:t>
      </w:r>
      <w:proofErr w:type="spellStart"/>
      <w:r w:rsidRPr="00CD3EF9">
        <w:t>Kaspofungín</w:t>
      </w:r>
      <w:proofErr w:type="spellEnd"/>
      <w:r w:rsidRPr="00CD3EF9">
        <w:t xml:space="preserve"> nie je </w:t>
      </w:r>
      <w:proofErr w:type="spellStart"/>
      <w:r w:rsidRPr="00CD3EF9">
        <w:t>dialyzovateľný</w:t>
      </w:r>
      <w:proofErr w:type="spellEnd"/>
      <w:r w:rsidRPr="00CD3EF9">
        <w:t xml:space="preserve">, preto sa po hemodialýze nevyžaduje doplnková dávka.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Pohlavie: </w:t>
      </w:r>
      <w:r w:rsidR="00BC102F">
        <w:t>Plazmatické k</w:t>
      </w:r>
      <w:r w:rsidRPr="00CD3EF9">
        <w:t xml:space="preserve">oncentrácie </w:t>
      </w:r>
      <w:proofErr w:type="spellStart"/>
      <w:r w:rsidRPr="00CD3EF9">
        <w:t>kaspofungínu</w:t>
      </w:r>
      <w:proofErr w:type="spellEnd"/>
      <w:r w:rsidRPr="00CD3EF9">
        <w:t xml:space="preserve"> </w:t>
      </w:r>
      <w:r w:rsidR="00BC102F">
        <w:t xml:space="preserve">u </w:t>
      </w:r>
      <w:r w:rsidRPr="00CD3EF9">
        <w:t xml:space="preserve">žien boli v priemere o 17 až 38 % vyššie než u mužov.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Starší pacienti: V porovnaní s mladými muž</w:t>
      </w:r>
      <w:r w:rsidR="00BC102F">
        <w:t>mi sa</w:t>
      </w:r>
      <w:r w:rsidRPr="00CD3EF9">
        <w:t xml:space="preserve"> u starších mužov pozorova</w:t>
      </w:r>
      <w:r w:rsidR="00BC102F">
        <w:t>lo</w:t>
      </w:r>
      <w:r w:rsidRPr="00CD3EF9">
        <w:t xml:space="preserve"> mierne zvýšenie AUC (o 28 %) a C</w:t>
      </w:r>
      <w:r w:rsidRPr="00E25026">
        <w:rPr>
          <w:vertAlign w:val="subscript"/>
        </w:rPr>
        <w:t>24h</w:t>
      </w:r>
      <w:r w:rsidRPr="00CD3EF9">
        <w:t xml:space="preserve"> (o 32 %). U pacientov, ktorí boli liečení empiricky alebo ktorí mali invazívnu </w:t>
      </w:r>
      <w:proofErr w:type="spellStart"/>
      <w:r w:rsidRPr="00CD3EF9">
        <w:t>kandidózu</w:t>
      </w:r>
      <w:proofErr w:type="spellEnd"/>
      <w:r w:rsidR="00BC102F">
        <w:t xml:space="preserve"> sa</w:t>
      </w:r>
      <w:r w:rsidRPr="00CD3EF9">
        <w:t xml:space="preserve"> u starších pacientov v porovnaní s mladšími pacientmi pozorova</w:t>
      </w:r>
      <w:r w:rsidR="00BC102F">
        <w:t>l</w:t>
      </w:r>
      <w:r w:rsidRPr="00CD3EF9">
        <w:t xml:space="preserve"> podobný mierny vplyv veku. </w:t>
      </w:r>
    </w:p>
    <w:p w:rsidR="003746CB" w:rsidRPr="00CD3EF9" w:rsidRDefault="003746C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Rasa: Farmakokinetické údaje pacientov naznačujú, že medzi </w:t>
      </w:r>
      <w:r w:rsidR="00BC102F">
        <w:t>kaukazskou, černošskou</w:t>
      </w:r>
      <w:r w:rsidRPr="00CD3EF9">
        <w:t>, hispán</w:t>
      </w:r>
      <w:r w:rsidR="00BC102F">
        <w:t>skou</w:t>
      </w:r>
      <w:r w:rsidRPr="00CD3EF9">
        <w:t xml:space="preserve"> a </w:t>
      </w:r>
      <w:proofErr w:type="spellStart"/>
      <w:r w:rsidRPr="00CD3EF9">
        <w:t>m</w:t>
      </w:r>
      <w:r w:rsidR="00BC102F">
        <w:t>estickou</w:t>
      </w:r>
      <w:proofErr w:type="spellEnd"/>
      <w:r w:rsidR="00BC102F">
        <w:t xml:space="preserve"> rasou</w:t>
      </w:r>
      <w:r w:rsidRPr="00CD3EF9">
        <w:t xml:space="preserve"> </w:t>
      </w:r>
      <w:r w:rsidR="00BC102F">
        <w:t xml:space="preserve">nie sú </w:t>
      </w:r>
      <w:r w:rsidRPr="00CD3EF9">
        <w:t xml:space="preserve">klinicky významné rozdiely vo </w:t>
      </w:r>
      <w:proofErr w:type="spellStart"/>
      <w:r w:rsidRPr="00CD3EF9">
        <w:t>farmakokinetických</w:t>
      </w:r>
      <w:proofErr w:type="spellEnd"/>
      <w:r w:rsidRPr="00CD3EF9">
        <w:t xml:space="preserve"> vlastnostiach </w:t>
      </w:r>
      <w:proofErr w:type="spellStart"/>
      <w:r w:rsidRPr="00CD3EF9">
        <w:t>kaspofungínu</w:t>
      </w:r>
      <w:proofErr w:type="spellEnd"/>
      <w:r w:rsidRPr="00CD3EF9">
        <w:t xml:space="preserve">. </w:t>
      </w:r>
    </w:p>
    <w:p w:rsidR="008D53EB" w:rsidRPr="00CD3EF9" w:rsidRDefault="008D53EB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Pediatrickí pacienti: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U dospievajúcich (vo veku od 12 do 17 rokov), ktorí dostávali </w:t>
      </w:r>
      <w:proofErr w:type="spellStart"/>
      <w:r w:rsidRPr="00CD3EF9">
        <w:t>kaspofungín</w:t>
      </w:r>
      <w:proofErr w:type="spellEnd"/>
      <w:r w:rsidRPr="00CD3EF9">
        <w:t xml:space="preserve"> v </w:t>
      </w:r>
      <w:r w:rsidR="00BC102F">
        <w:t>dávke</w:t>
      </w:r>
      <w:r w:rsidRPr="00CD3EF9">
        <w:t xml:space="preserve"> 50 mg/m</w:t>
      </w:r>
      <w:r w:rsidRPr="00CD3EF9">
        <w:rPr>
          <w:vertAlign w:val="superscript"/>
        </w:rPr>
        <w:t>2</w:t>
      </w:r>
      <w:r w:rsidRPr="00CD3EF9">
        <w:t xml:space="preserve"> denne (maximálne 70 mg </w:t>
      </w:r>
      <w:r w:rsidR="00BC102F">
        <w:t>denne</w:t>
      </w:r>
      <w:r w:rsidRPr="00CD3EF9">
        <w:t xml:space="preserve">), bola  </w:t>
      </w:r>
      <w:r w:rsidR="00BC102F">
        <w:t xml:space="preserve">plazmatická </w:t>
      </w:r>
      <w:r w:rsidRPr="00CD3EF9">
        <w:t>AUC</w:t>
      </w:r>
      <w:r w:rsidRPr="00CD3EF9">
        <w:rPr>
          <w:vertAlign w:val="subscript"/>
        </w:rPr>
        <w:t>0-24hr</w:t>
      </w:r>
      <w:r w:rsidRPr="00CD3EF9">
        <w:t xml:space="preserve"> </w:t>
      </w:r>
      <w:proofErr w:type="spellStart"/>
      <w:r w:rsidR="00BC102F">
        <w:t>kaspofungínu</w:t>
      </w:r>
      <w:proofErr w:type="spellEnd"/>
      <w:r w:rsidR="00BC102F">
        <w:t xml:space="preserve"> </w:t>
      </w:r>
      <w:r w:rsidRPr="00CD3EF9">
        <w:t xml:space="preserve">zvyčajne porovnateľná s hodnotou </w:t>
      </w:r>
      <w:r w:rsidR="00BC102F">
        <w:t xml:space="preserve">pozorovanou u </w:t>
      </w:r>
      <w:r w:rsidRPr="00CD3EF9">
        <w:t xml:space="preserve">dospelých, ktorí dostávali </w:t>
      </w:r>
      <w:proofErr w:type="spellStart"/>
      <w:r w:rsidRPr="00CD3EF9">
        <w:t>kaspofungín</w:t>
      </w:r>
      <w:proofErr w:type="spellEnd"/>
      <w:r w:rsidRPr="00CD3EF9">
        <w:t xml:space="preserve"> v dennej dávke 50 mg. Všetci dospievajúci dostali dávky &gt;</w:t>
      </w:r>
      <w:r w:rsidR="00BC102F">
        <w:t> </w:t>
      </w:r>
      <w:r w:rsidRPr="00CD3EF9">
        <w:t xml:space="preserve">50 mg denne, pričom v skutočnosti 6 z 8 dostalo maximálnu dávku 70 mg/deň. </w:t>
      </w:r>
      <w:r w:rsidR="00BC102F">
        <w:t>Plazmatické k</w:t>
      </w:r>
      <w:r w:rsidRPr="00CD3EF9">
        <w:t xml:space="preserve">oncentrácie </w:t>
      </w:r>
      <w:proofErr w:type="spellStart"/>
      <w:r w:rsidRPr="00CD3EF9">
        <w:t>kaspofungínu</w:t>
      </w:r>
      <w:proofErr w:type="spellEnd"/>
      <w:r w:rsidRPr="00CD3EF9">
        <w:t xml:space="preserve"> boli u týchto dospievajúcich znížené v porovnaní s dospelými, ktorí dostávali 70 mg denne, čo je dávka najčastejšie podávaná dospievajúcim.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U detí (vo veku od 2 do 11 rokov), ktoré dostávali </w:t>
      </w:r>
      <w:proofErr w:type="spellStart"/>
      <w:r w:rsidRPr="00CD3EF9">
        <w:t>kaspofungín</w:t>
      </w:r>
      <w:proofErr w:type="spellEnd"/>
      <w:r w:rsidRPr="00CD3EF9">
        <w:t xml:space="preserve"> v dávke 50 mg/m</w:t>
      </w:r>
      <w:r w:rsidRPr="00CD3EF9">
        <w:rPr>
          <w:vertAlign w:val="superscript"/>
        </w:rPr>
        <w:t>2</w:t>
      </w:r>
      <w:r w:rsidRPr="00CD3EF9">
        <w:t xml:space="preserve"> denne (maximálne 70 mg </w:t>
      </w:r>
      <w:r w:rsidR="00BC102F">
        <w:t>denne</w:t>
      </w:r>
      <w:r w:rsidRPr="00CD3EF9">
        <w:t xml:space="preserve">), bola </w:t>
      </w:r>
      <w:r w:rsidR="00BC102F">
        <w:t xml:space="preserve">plazmatická </w:t>
      </w:r>
      <w:r w:rsidRPr="00CD3EF9">
        <w:t>AUC</w:t>
      </w:r>
      <w:r w:rsidRPr="00CD3EF9">
        <w:rPr>
          <w:vertAlign w:val="subscript"/>
        </w:rPr>
        <w:t>0-24hr</w:t>
      </w:r>
      <w:r w:rsidRPr="00CD3EF9">
        <w:t xml:space="preserve"> </w:t>
      </w:r>
      <w:proofErr w:type="spellStart"/>
      <w:r w:rsidRPr="00CD3EF9">
        <w:t>kaspofungín</w:t>
      </w:r>
      <w:r w:rsidR="00BC102F">
        <w:t>u</w:t>
      </w:r>
      <w:proofErr w:type="spellEnd"/>
      <w:r w:rsidRPr="00CD3EF9">
        <w:t xml:space="preserve"> po </w:t>
      </w:r>
      <w:r w:rsidR="00BC102F">
        <w:t>opakovaných</w:t>
      </w:r>
      <w:r w:rsidRPr="00CD3EF9">
        <w:t xml:space="preserve"> dávkach porovnateľná s hodnotou </w:t>
      </w:r>
      <w:r w:rsidR="008E1398">
        <w:t xml:space="preserve">pozorovanou u </w:t>
      </w:r>
      <w:r w:rsidRPr="00CD3EF9">
        <w:t xml:space="preserve">dospelých, ktorí dostávali </w:t>
      </w:r>
      <w:proofErr w:type="spellStart"/>
      <w:r w:rsidRPr="00CD3EF9">
        <w:t>kaspofungín</w:t>
      </w:r>
      <w:proofErr w:type="spellEnd"/>
      <w:r w:rsidRPr="00CD3EF9">
        <w:t xml:space="preserve"> v dávke 50 mg/deň.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 xml:space="preserve">U malých detí a batoliat (vo veku od 12 do 23 mesiacov), ktorí dostávali </w:t>
      </w:r>
      <w:proofErr w:type="spellStart"/>
      <w:r w:rsidRPr="00CD3EF9">
        <w:t>kaspofungín</w:t>
      </w:r>
      <w:proofErr w:type="spellEnd"/>
      <w:r w:rsidRPr="00CD3EF9">
        <w:t xml:space="preserve"> v dávke 50 mg/m</w:t>
      </w:r>
      <w:r w:rsidRPr="00CD3EF9">
        <w:rPr>
          <w:vertAlign w:val="superscript"/>
        </w:rPr>
        <w:t>2</w:t>
      </w:r>
      <w:r w:rsidRPr="00CD3EF9">
        <w:t xml:space="preserve"> denne (maximálne 70 mg </w:t>
      </w:r>
      <w:r w:rsidR="008E1398">
        <w:t>denne</w:t>
      </w:r>
      <w:r w:rsidRPr="00CD3EF9">
        <w:t xml:space="preserve">), bola </w:t>
      </w:r>
      <w:r w:rsidR="008E1398">
        <w:t xml:space="preserve">plazmatická </w:t>
      </w:r>
      <w:r w:rsidRPr="00CD3EF9">
        <w:t>AUC</w:t>
      </w:r>
      <w:r w:rsidRPr="00CD3EF9">
        <w:rPr>
          <w:vertAlign w:val="subscript"/>
        </w:rPr>
        <w:t>0-24hr</w:t>
      </w:r>
      <w:r w:rsidRPr="00CD3EF9">
        <w:t xml:space="preserve"> </w:t>
      </w:r>
      <w:proofErr w:type="spellStart"/>
      <w:r w:rsidRPr="00CD3EF9">
        <w:t>kaspofungín</w:t>
      </w:r>
      <w:r w:rsidR="008E1398">
        <w:t>u</w:t>
      </w:r>
      <w:proofErr w:type="spellEnd"/>
      <w:r w:rsidRPr="00CD3EF9">
        <w:t xml:space="preserve"> po </w:t>
      </w:r>
      <w:r w:rsidR="008E1398">
        <w:t>opakovaných</w:t>
      </w:r>
      <w:r w:rsidRPr="00CD3EF9">
        <w:t xml:space="preserve"> dávkach porovnateľná s hodnotou </w:t>
      </w:r>
      <w:r w:rsidR="008E1398">
        <w:t xml:space="preserve">pozorovanou u </w:t>
      </w:r>
      <w:r w:rsidRPr="00CD3EF9">
        <w:t xml:space="preserve">dospelých, ktorí dostávali </w:t>
      </w:r>
      <w:proofErr w:type="spellStart"/>
      <w:r w:rsidRPr="00CD3EF9">
        <w:t>kaspofungín</w:t>
      </w:r>
      <w:proofErr w:type="spellEnd"/>
      <w:r w:rsidRPr="00CD3EF9">
        <w:t xml:space="preserve"> v dávke 50 mg denne</w:t>
      </w:r>
      <w:r w:rsidR="008E1398">
        <w:t xml:space="preserve"> </w:t>
      </w:r>
      <w:r w:rsidRPr="00CD3EF9">
        <w:t>a</w:t>
      </w:r>
      <w:r w:rsidR="008E1398">
        <w:t xml:space="preserve"> s hodnotou pozorovanou u </w:t>
      </w:r>
      <w:r w:rsidRPr="00CD3EF9">
        <w:t>starších detí (vo veku od 2 do 11 rokov), ktoré dostávali dávku 50 mg/m</w:t>
      </w:r>
      <w:r w:rsidRPr="00CD3EF9">
        <w:rPr>
          <w:vertAlign w:val="superscript"/>
        </w:rPr>
        <w:t>2</w:t>
      </w:r>
      <w:r w:rsidRPr="00CD3EF9">
        <w:t xml:space="preserve"> denne.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8E1398" w:rsidP="00DD38BD">
      <w:pPr>
        <w:spacing w:line="240" w:lineRule="auto"/>
      </w:pPr>
      <w:r>
        <w:t>U</w:t>
      </w:r>
      <w:r w:rsidR="00945D09" w:rsidRPr="00CD3EF9">
        <w:t xml:space="preserve"> pacientov vo veku od 3 do 10 mesiacov sú k dispozícii len obmedzené údaje o </w:t>
      </w:r>
      <w:proofErr w:type="spellStart"/>
      <w:r w:rsidR="00945D09" w:rsidRPr="00CD3EF9">
        <w:t>farmakokinetických</w:t>
      </w:r>
      <w:proofErr w:type="spellEnd"/>
      <w:r w:rsidR="00945D09" w:rsidRPr="00CD3EF9">
        <w:t xml:space="preserve"> vlastnostiach, účinnosti a bezpečnosti. Farmakokinetické údaje od jedného 10-mesačného dieťaťa, ktoré dostávalo dennú dávku 50 mg/m</w:t>
      </w:r>
      <w:r w:rsidR="00945D09" w:rsidRPr="00CD3EF9">
        <w:rPr>
          <w:vertAlign w:val="superscript"/>
        </w:rPr>
        <w:t>2</w:t>
      </w:r>
      <w:r w:rsidR="00945D09" w:rsidRPr="00CD3EF9">
        <w:t xml:space="preserve">, </w:t>
      </w:r>
      <w:r>
        <w:t xml:space="preserve">svedčili o </w:t>
      </w:r>
      <w:r w:rsidR="00945D09" w:rsidRPr="00CD3EF9">
        <w:t>AUC</w:t>
      </w:r>
      <w:r w:rsidR="00945D09" w:rsidRPr="00CD3EF9">
        <w:rPr>
          <w:vertAlign w:val="subscript"/>
        </w:rPr>
        <w:t>0-24hr</w:t>
      </w:r>
      <w:r w:rsidR="00945D09" w:rsidRPr="00CD3EF9">
        <w:t xml:space="preserve"> v rovnakom rozsahu, ak</w:t>
      </w:r>
      <w:r>
        <w:t xml:space="preserve">ý sa </w:t>
      </w:r>
      <w:r w:rsidR="00945D09" w:rsidRPr="00CD3EF9">
        <w:t>pozorova</w:t>
      </w:r>
      <w:r>
        <w:t>l</w:t>
      </w:r>
      <w:r w:rsidR="00945D09" w:rsidRPr="00CD3EF9">
        <w:t xml:space="preserve"> u starších detí </w:t>
      </w:r>
      <w:r>
        <w:t xml:space="preserve">pri dávke </w:t>
      </w:r>
      <w:r w:rsidRPr="00CD3EF9">
        <w:t>50 mg/</w:t>
      </w:r>
      <w:r w:rsidRPr="009448A9">
        <w:t>m</w:t>
      </w:r>
      <w:r w:rsidRPr="009448A9">
        <w:rPr>
          <w:vertAlign w:val="superscript"/>
        </w:rPr>
        <w:t>2</w:t>
      </w:r>
      <w:r>
        <w:t xml:space="preserve"> </w:t>
      </w:r>
      <w:r w:rsidR="00945D09" w:rsidRPr="009448A9">
        <w:t>a</w:t>
      </w:r>
      <w:r>
        <w:t> </w:t>
      </w:r>
      <w:r w:rsidR="00945D09" w:rsidRPr="00CD3EF9">
        <w:t>dospelých</w:t>
      </w:r>
      <w:r>
        <w:t xml:space="preserve"> pri dávke 50 mg</w:t>
      </w:r>
      <w:r w:rsidR="00945D09" w:rsidRPr="00CD3EF9">
        <w:t>, zatiaľ čo u jedného 6-mesačného dieťaťa, ktoré dostávalo dávku 50 mg/m</w:t>
      </w:r>
      <w:r w:rsidR="00945D09" w:rsidRPr="00CD3EF9">
        <w:rPr>
          <w:vertAlign w:val="superscript"/>
        </w:rPr>
        <w:t>2</w:t>
      </w:r>
      <w:r w:rsidR="00945D09" w:rsidRPr="00CD3EF9">
        <w:t>, bola AUC</w:t>
      </w:r>
      <w:r w:rsidR="00945D09" w:rsidRPr="00CD3EF9">
        <w:rPr>
          <w:vertAlign w:val="subscript"/>
        </w:rPr>
        <w:t>0-24hr</w:t>
      </w:r>
      <w:r w:rsidR="00945D09" w:rsidRPr="00CD3EF9">
        <w:t xml:space="preserve"> o niečo vyššia.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U novorodencov a dojčiat (</w:t>
      </w:r>
      <w:r w:rsidR="008E1398">
        <w:t xml:space="preserve">vo veku </w:t>
      </w:r>
      <w:r w:rsidRPr="00CD3EF9">
        <w:t>&lt;</w:t>
      </w:r>
      <w:r w:rsidR="008E1398">
        <w:t> </w:t>
      </w:r>
      <w:r w:rsidRPr="00CD3EF9">
        <w:t xml:space="preserve">3 mesiace), ktorí dostávali </w:t>
      </w:r>
      <w:proofErr w:type="spellStart"/>
      <w:r w:rsidRPr="00CD3EF9">
        <w:t>kaspofungín</w:t>
      </w:r>
      <w:proofErr w:type="spellEnd"/>
      <w:r w:rsidRPr="00CD3EF9">
        <w:t xml:space="preserve"> v dávke 25 mg/m</w:t>
      </w:r>
      <w:r w:rsidRPr="00CD3EF9">
        <w:rPr>
          <w:vertAlign w:val="superscript"/>
        </w:rPr>
        <w:t>2</w:t>
      </w:r>
      <w:r w:rsidR="008E1398">
        <w:rPr>
          <w:vertAlign w:val="superscript"/>
        </w:rPr>
        <w:t xml:space="preserve"> </w:t>
      </w:r>
      <w:r w:rsidR="008E1398">
        <w:t>denne</w:t>
      </w:r>
      <w:r w:rsidRPr="00CD3EF9">
        <w:t xml:space="preserve"> (zodpovedajúcej </w:t>
      </w:r>
      <w:r w:rsidR="008E1398">
        <w:t>priemernej</w:t>
      </w:r>
      <w:r w:rsidRPr="00CD3EF9">
        <w:t xml:space="preserve"> dennej dávke 2,1 mg/kg) bola maximálna (C</w:t>
      </w:r>
      <w:r w:rsidRPr="00CD3EF9">
        <w:rPr>
          <w:vertAlign w:val="subscript"/>
        </w:rPr>
        <w:t>1hr</w:t>
      </w:r>
      <w:r w:rsidRPr="00CD3EF9">
        <w:t>) a</w:t>
      </w:r>
      <w:r w:rsidR="008E1398">
        <w:t> </w:t>
      </w:r>
      <w:r w:rsidRPr="00CD3EF9">
        <w:t>minimálna</w:t>
      </w:r>
      <w:r w:rsidR="008E1398">
        <w:t xml:space="preserve"> </w:t>
      </w:r>
      <w:r w:rsidR="008E1398" w:rsidRPr="00CD3EF9">
        <w:t>(C</w:t>
      </w:r>
      <w:r w:rsidR="008E1398" w:rsidRPr="00CD3EF9">
        <w:rPr>
          <w:vertAlign w:val="subscript"/>
        </w:rPr>
        <w:t>24hr</w:t>
      </w:r>
      <w:r w:rsidR="008E1398" w:rsidRPr="00CD3EF9">
        <w:t xml:space="preserve">) </w:t>
      </w:r>
      <w:r w:rsidRPr="00CD3EF9">
        <w:t xml:space="preserve"> koncentrácia </w:t>
      </w:r>
      <w:proofErr w:type="spellStart"/>
      <w:r w:rsidRPr="00CD3EF9">
        <w:t>kaspofungínu</w:t>
      </w:r>
      <w:proofErr w:type="spellEnd"/>
      <w:r w:rsidRPr="00CD3EF9">
        <w:t xml:space="preserve"> po </w:t>
      </w:r>
      <w:r w:rsidR="008E1398">
        <w:t>opakovaných</w:t>
      </w:r>
      <w:r w:rsidRPr="00CD3EF9">
        <w:t xml:space="preserve"> dávkach porovnateľná s hodnotou pozorovanou u dospelých, ktorí dostávali </w:t>
      </w:r>
      <w:proofErr w:type="spellStart"/>
      <w:r w:rsidRPr="00CD3EF9">
        <w:t>kaspofungín</w:t>
      </w:r>
      <w:proofErr w:type="spellEnd"/>
      <w:r w:rsidRPr="00CD3EF9">
        <w:t xml:space="preserve"> v dávke 50 mg denne. U týchto novorodencov a dojčiat bola hodnota C</w:t>
      </w:r>
      <w:r w:rsidRPr="00CD3EF9">
        <w:rPr>
          <w:vertAlign w:val="subscript"/>
        </w:rPr>
        <w:t>1hr</w:t>
      </w:r>
      <w:r w:rsidRPr="00CD3EF9">
        <w:t xml:space="preserve"> v 1. deň porovnateľná s hodnotou </w:t>
      </w:r>
      <w:r w:rsidR="008E1398">
        <w:t xml:space="preserve">pozorovanou u </w:t>
      </w:r>
      <w:r w:rsidRPr="00CD3EF9">
        <w:t>dospelých a hodnota C</w:t>
      </w:r>
      <w:r w:rsidRPr="00CD3EF9">
        <w:rPr>
          <w:vertAlign w:val="subscript"/>
        </w:rPr>
        <w:t>24hr</w:t>
      </w:r>
      <w:r w:rsidRPr="00CD3EF9">
        <w:t xml:space="preserve"> bola mierne zvýšená (o 36 %)</w:t>
      </w:r>
      <w:r w:rsidR="008E1398">
        <w:t xml:space="preserve"> v porovnaní s dospelými</w:t>
      </w:r>
      <w:r w:rsidRPr="00CD3EF9">
        <w:t xml:space="preserve">. Pri oboch </w:t>
      </w:r>
      <w:r w:rsidR="00BD03B0">
        <w:t xml:space="preserve">koncentráciách </w:t>
      </w:r>
      <w:r w:rsidRPr="00CD3EF9">
        <w:t>(</w:t>
      </w:r>
      <w:r w:rsidR="00BD03B0" w:rsidRPr="00CD3EF9">
        <w:t>C</w:t>
      </w:r>
      <w:r w:rsidR="00BD03B0" w:rsidRPr="00CD3EF9">
        <w:rPr>
          <w:vertAlign w:val="subscript"/>
        </w:rPr>
        <w:t>1hr</w:t>
      </w:r>
      <w:r w:rsidR="00BD03B0">
        <w:t>:</w:t>
      </w:r>
      <w:r w:rsidR="00BD03B0" w:rsidRPr="00CD3EF9">
        <w:t xml:space="preserve"> </w:t>
      </w:r>
      <w:r w:rsidRPr="00CD3EF9">
        <w:t xml:space="preserve">geometrický priemer </w:t>
      </w:r>
      <w:r w:rsidR="00BD03B0">
        <w:t>v</w:t>
      </w:r>
      <w:r w:rsidRPr="00CD3EF9">
        <w:t xml:space="preserve"> 4. deň 11,73 µg/ml, rozsah 2,63 až 22,05 µg/ml</w:t>
      </w:r>
      <w:r w:rsidR="00BD03B0">
        <w:t xml:space="preserve"> </w:t>
      </w:r>
      <w:r w:rsidRPr="00CD3EF9">
        <w:t>a C</w:t>
      </w:r>
      <w:r w:rsidRPr="00CD3EF9">
        <w:rPr>
          <w:vertAlign w:val="subscript"/>
        </w:rPr>
        <w:t>24hr</w:t>
      </w:r>
      <w:r w:rsidR="00BD03B0">
        <w:t xml:space="preserve">: </w:t>
      </w:r>
      <w:r w:rsidRPr="00CD3EF9">
        <w:t xml:space="preserve">geometrický priemer </w:t>
      </w:r>
      <w:r w:rsidR="00BD03B0">
        <w:t>v</w:t>
      </w:r>
      <w:r w:rsidRPr="00CD3EF9">
        <w:t xml:space="preserve"> 4. deň 3,55 µg/ml, rozsah 0,13 až 7,17 µg/ml) </w:t>
      </w:r>
      <w:r w:rsidR="00BD03B0">
        <w:t xml:space="preserve">sa </w:t>
      </w:r>
      <w:r w:rsidRPr="00CD3EF9">
        <w:t>však pozorova</w:t>
      </w:r>
      <w:r w:rsidR="00BD03B0">
        <w:t>la variabilita</w:t>
      </w:r>
      <w:r w:rsidRPr="00CD3EF9">
        <w:t>. Merania AUC</w:t>
      </w:r>
      <w:r w:rsidRPr="00CD3EF9">
        <w:rPr>
          <w:vertAlign w:val="subscript"/>
        </w:rPr>
        <w:t>0-24hr</w:t>
      </w:r>
      <w:r w:rsidRPr="00CD3EF9">
        <w:t xml:space="preserve"> neboli v tejto štúdii vykonané z dôvodu </w:t>
      </w:r>
      <w:r w:rsidR="00BD03B0">
        <w:t>zriedkavého odberu</w:t>
      </w:r>
      <w:r w:rsidRPr="00CD3EF9">
        <w:t xml:space="preserve"> vzoriek plazmy. </w:t>
      </w:r>
      <w:r w:rsidR="00BD03B0">
        <w:t>Teba poznamenať</w:t>
      </w:r>
      <w:r w:rsidRPr="00CD3EF9">
        <w:t xml:space="preserve">, že bezpečnosť a účinnosť </w:t>
      </w:r>
      <w:proofErr w:type="spellStart"/>
      <w:r w:rsidRPr="00CD3EF9">
        <w:t>kaspofungínu</w:t>
      </w:r>
      <w:proofErr w:type="spellEnd"/>
      <w:r w:rsidRPr="00CD3EF9">
        <w:t xml:space="preserve"> nebola dostatočne študovaná v </w:t>
      </w:r>
      <w:proofErr w:type="spellStart"/>
      <w:r w:rsidRPr="00CD3EF9">
        <w:t>prospektívnych</w:t>
      </w:r>
      <w:proofErr w:type="spellEnd"/>
      <w:r w:rsidRPr="00CD3EF9">
        <w:t xml:space="preserve"> klinických skúšaniach s novorodencami a dojčatami vo veku do 3 mesiacov. </w:t>
      </w:r>
    </w:p>
    <w:p w:rsidR="004E667E" w:rsidRPr="00CD3EF9" w:rsidRDefault="004E667E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>5.3</w:t>
      </w:r>
      <w:r w:rsidRPr="00CD3EF9">
        <w:rPr>
          <w:b/>
          <w:bCs/>
          <w:iCs/>
          <w:szCs w:val="20"/>
        </w:rPr>
        <w:tab/>
        <w:t xml:space="preserve">Predklinické údaje o bezpečnosti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BD03B0" w:rsidP="00DD38BD">
      <w:pPr>
        <w:spacing w:line="240" w:lineRule="auto"/>
        <w:rPr>
          <w:color w:val="000000"/>
        </w:rPr>
      </w:pPr>
      <w:r>
        <w:rPr>
          <w:color w:val="000000"/>
        </w:rPr>
        <w:t>Š</w:t>
      </w:r>
      <w:r w:rsidR="00945D09" w:rsidRPr="00CD3EF9">
        <w:rPr>
          <w:color w:val="000000"/>
        </w:rPr>
        <w:t xml:space="preserve">túdie toxicity </w:t>
      </w:r>
      <w:r>
        <w:rPr>
          <w:color w:val="000000"/>
        </w:rPr>
        <w:t>po opakovanom podávaní u</w:t>
      </w:r>
      <w:r w:rsidR="00945D09" w:rsidRPr="00CD3EF9">
        <w:rPr>
          <w:color w:val="000000"/>
        </w:rPr>
        <w:t xml:space="preserve"> potkanoch a op</w:t>
      </w:r>
      <w:r>
        <w:rPr>
          <w:color w:val="000000"/>
        </w:rPr>
        <w:t>íc</w:t>
      </w:r>
      <w:r w:rsidR="00945D09" w:rsidRPr="00CD3EF9">
        <w:rPr>
          <w:color w:val="000000"/>
        </w:rPr>
        <w:t xml:space="preserve"> </w:t>
      </w:r>
      <w:r w:rsidR="0073599E">
        <w:rPr>
          <w:color w:val="000000"/>
        </w:rPr>
        <w:t>pri</w:t>
      </w:r>
      <w:r w:rsidR="00945D09" w:rsidRPr="00CD3EF9">
        <w:rPr>
          <w:color w:val="000000"/>
        </w:rPr>
        <w:t xml:space="preserve"> dávk</w:t>
      </w:r>
      <w:r w:rsidR="0073599E">
        <w:rPr>
          <w:color w:val="000000"/>
        </w:rPr>
        <w:t>ach</w:t>
      </w:r>
      <w:r w:rsidR="00945D09" w:rsidRPr="00CD3EF9">
        <w:rPr>
          <w:color w:val="000000"/>
        </w:rPr>
        <w:t xml:space="preserve"> až</w:t>
      </w:r>
      <w:r w:rsidR="0073599E">
        <w:rPr>
          <w:color w:val="000000"/>
        </w:rPr>
        <w:t xml:space="preserve"> do</w:t>
      </w:r>
      <w:r w:rsidR="00945D09" w:rsidRPr="00CD3EF9">
        <w:rPr>
          <w:color w:val="000000"/>
        </w:rPr>
        <w:t xml:space="preserve"> 7 – 8 mg/kg podávan</w:t>
      </w:r>
      <w:r w:rsidR="0073599E">
        <w:rPr>
          <w:color w:val="000000"/>
        </w:rPr>
        <w:t>ých</w:t>
      </w:r>
      <w:r w:rsidR="00945D09" w:rsidRPr="00CD3EF9">
        <w:rPr>
          <w:color w:val="000000"/>
        </w:rPr>
        <w:t xml:space="preserve"> intravenózne </w:t>
      </w:r>
      <w:r w:rsidR="0073599E">
        <w:rPr>
          <w:color w:val="000000"/>
        </w:rPr>
        <w:t>pre</w:t>
      </w:r>
      <w:r w:rsidR="00945D09" w:rsidRPr="00CD3EF9">
        <w:rPr>
          <w:color w:val="000000"/>
        </w:rPr>
        <w:t>ukázali</w:t>
      </w:r>
      <w:r w:rsidR="0073599E">
        <w:rPr>
          <w:color w:val="000000"/>
        </w:rPr>
        <w:t xml:space="preserve"> </w:t>
      </w:r>
      <w:r w:rsidR="00945D09" w:rsidRPr="00CD3EF9">
        <w:rPr>
          <w:color w:val="000000"/>
        </w:rPr>
        <w:t xml:space="preserve">u potkanov a opíc reakcie v mieste </w:t>
      </w:r>
      <w:r w:rsidR="0073599E">
        <w:rPr>
          <w:color w:val="000000"/>
        </w:rPr>
        <w:t xml:space="preserve">podania </w:t>
      </w:r>
      <w:r w:rsidR="00945D09" w:rsidRPr="00CD3EF9">
        <w:rPr>
          <w:color w:val="000000"/>
        </w:rPr>
        <w:t xml:space="preserve">injekcie, </w:t>
      </w:r>
      <w:r w:rsidR="0073599E">
        <w:rPr>
          <w:color w:val="000000"/>
        </w:rPr>
        <w:t>prejavy</w:t>
      </w:r>
      <w:r w:rsidR="00945D09" w:rsidRPr="00CD3EF9">
        <w:rPr>
          <w:color w:val="000000"/>
        </w:rPr>
        <w:t xml:space="preserve"> uvoľňovania histamínu u potkanov a </w:t>
      </w:r>
      <w:r w:rsidR="0073599E">
        <w:rPr>
          <w:color w:val="000000"/>
        </w:rPr>
        <w:t>dôkaz</w:t>
      </w:r>
      <w:r w:rsidR="00945D09" w:rsidRPr="00CD3EF9">
        <w:rPr>
          <w:color w:val="000000"/>
        </w:rPr>
        <w:t xml:space="preserve"> nežiaducich </w:t>
      </w:r>
      <w:r w:rsidR="0073599E">
        <w:rPr>
          <w:color w:val="000000"/>
        </w:rPr>
        <w:t>účinkov</w:t>
      </w:r>
      <w:r w:rsidR="00945D09" w:rsidRPr="00CD3EF9">
        <w:rPr>
          <w:color w:val="000000"/>
        </w:rPr>
        <w:t xml:space="preserve"> na pečeň u opíc. Štúdie </w:t>
      </w:r>
      <w:r w:rsidR="0073599E">
        <w:rPr>
          <w:color w:val="000000"/>
        </w:rPr>
        <w:t xml:space="preserve">vývojovej </w:t>
      </w:r>
      <w:r w:rsidR="00945D09" w:rsidRPr="00CD3EF9">
        <w:rPr>
          <w:color w:val="000000"/>
        </w:rPr>
        <w:t xml:space="preserve">toxicity </w:t>
      </w:r>
      <w:r w:rsidR="0073599E">
        <w:rPr>
          <w:color w:val="000000"/>
        </w:rPr>
        <w:t>u</w:t>
      </w:r>
      <w:r w:rsidR="00945D09" w:rsidRPr="00CD3EF9">
        <w:rPr>
          <w:color w:val="000000"/>
        </w:rPr>
        <w:t xml:space="preserve"> potkano</w:t>
      </w:r>
      <w:r w:rsidR="0073599E">
        <w:rPr>
          <w:color w:val="000000"/>
        </w:rPr>
        <w:t>v</w:t>
      </w:r>
      <w:r w:rsidR="00945D09" w:rsidRPr="00CD3EF9">
        <w:rPr>
          <w:color w:val="000000"/>
        </w:rPr>
        <w:t xml:space="preserve"> ukázali, že </w:t>
      </w:r>
      <w:proofErr w:type="spellStart"/>
      <w:r w:rsidR="00945D09" w:rsidRPr="00CD3EF9">
        <w:rPr>
          <w:color w:val="000000"/>
        </w:rPr>
        <w:t>kaspofungín</w:t>
      </w:r>
      <w:proofErr w:type="spellEnd"/>
      <w:r w:rsidR="00945D09" w:rsidRPr="00CD3EF9">
        <w:rPr>
          <w:color w:val="000000"/>
        </w:rPr>
        <w:t xml:space="preserve"> spôsobil zníženie telesnej hmotnosti plodu a zvýš</w:t>
      </w:r>
      <w:r w:rsidR="0073599E">
        <w:rPr>
          <w:color w:val="000000"/>
        </w:rPr>
        <w:t>enie</w:t>
      </w:r>
      <w:r w:rsidR="00945D09" w:rsidRPr="00CD3EF9">
        <w:rPr>
          <w:color w:val="000000"/>
        </w:rPr>
        <w:t xml:space="preserve"> výskyt</w:t>
      </w:r>
      <w:r w:rsidR="0073599E">
        <w:rPr>
          <w:color w:val="000000"/>
        </w:rPr>
        <w:t>u</w:t>
      </w:r>
      <w:r w:rsidR="00945D09" w:rsidRPr="00CD3EF9">
        <w:rPr>
          <w:color w:val="000000"/>
        </w:rPr>
        <w:t xml:space="preserve"> neúpln</w:t>
      </w:r>
      <w:r w:rsidR="0073599E">
        <w:rPr>
          <w:color w:val="000000"/>
        </w:rPr>
        <w:t>ej</w:t>
      </w:r>
      <w:r w:rsidR="00945D09" w:rsidRPr="00CD3EF9">
        <w:rPr>
          <w:color w:val="000000"/>
        </w:rPr>
        <w:t xml:space="preserve"> </w:t>
      </w:r>
      <w:r w:rsidR="0073599E">
        <w:rPr>
          <w:color w:val="000000"/>
        </w:rPr>
        <w:t>osifikácie</w:t>
      </w:r>
      <w:r w:rsidR="00945D09" w:rsidRPr="00CD3EF9">
        <w:rPr>
          <w:color w:val="000000"/>
        </w:rPr>
        <w:t xml:space="preserve"> stavcov, </w:t>
      </w:r>
      <w:proofErr w:type="spellStart"/>
      <w:r w:rsidR="00945D09" w:rsidRPr="00CD3EF9">
        <w:rPr>
          <w:color w:val="000000"/>
        </w:rPr>
        <w:t>stern</w:t>
      </w:r>
      <w:r w:rsidR="0073599E">
        <w:rPr>
          <w:color w:val="000000"/>
        </w:rPr>
        <w:t>a</w:t>
      </w:r>
      <w:proofErr w:type="spellEnd"/>
      <w:r w:rsidR="0073599E">
        <w:rPr>
          <w:color w:val="000000"/>
        </w:rPr>
        <w:t xml:space="preserve"> a kostí lebky</w:t>
      </w:r>
      <w:r w:rsidR="00945D09" w:rsidRPr="00CD3EF9">
        <w:rPr>
          <w:color w:val="000000"/>
        </w:rPr>
        <w:t xml:space="preserve"> pri dávkach 5 mg/kg. Tieto účinky boli sp</w:t>
      </w:r>
      <w:r w:rsidR="0073599E">
        <w:rPr>
          <w:color w:val="000000"/>
        </w:rPr>
        <w:t>ojené s</w:t>
      </w:r>
      <w:r w:rsidR="00945D09" w:rsidRPr="00CD3EF9">
        <w:rPr>
          <w:color w:val="000000"/>
        </w:rPr>
        <w:t xml:space="preserve"> nežiaducimi </w:t>
      </w:r>
      <w:r w:rsidR="0073599E">
        <w:rPr>
          <w:color w:val="000000"/>
        </w:rPr>
        <w:t>účinkami</w:t>
      </w:r>
      <w:r w:rsidR="00945D09" w:rsidRPr="00CD3EF9">
        <w:rPr>
          <w:color w:val="000000"/>
        </w:rPr>
        <w:t xml:space="preserve"> </w:t>
      </w:r>
      <w:r w:rsidR="0073599E">
        <w:rPr>
          <w:color w:val="000000"/>
        </w:rPr>
        <w:t>u</w:t>
      </w:r>
      <w:r w:rsidR="00945D09" w:rsidRPr="00CD3EF9">
        <w:rPr>
          <w:color w:val="000000"/>
        </w:rPr>
        <w:t xml:space="preserve"> matku, ako sú </w:t>
      </w:r>
      <w:r w:rsidR="0073599E">
        <w:rPr>
          <w:color w:val="000000"/>
        </w:rPr>
        <w:t xml:space="preserve">prejavy </w:t>
      </w:r>
      <w:r w:rsidR="00945D09" w:rsidRPr="00CD3EF9">
        <w:rPr>
          <w:color w:val="000000"/>
        </w:rPr>
        <w:t>uvoľňovania histamínu u </w:t>
      </w:r>
      <w:r w:rsidR="0073599E">
        <w:rPr>
          <w:color w:val="000000"/>
        </w:rPr>
        <w:t>gravidných</w:t>
      </w:r>
      <w:r w:rsidR="00945D09" w:rsidRPr="00CD3EF9">
        <w:rPr>
          <w:color w:val="000000"/>
        </w:rPr>
        <w:t xml:space="preserve"> </w:t>
      </w:r>
      <w:r w:rsidR="0073599E">
        <w:rPr>
          <w:color w:val="000000"/>
        </w:rPr>
        <w:t>p</w:t>
      </w:r>
      <w:r w:rsidR="00945D09" w:rsidRPr="00CD3EF9">
        <w:rPr>
          <w:color w:val="000000"/>
        </w:rPr>
        <w:t>otkan</w:t>
      </w:r>
      <w:r w:rsidR="0073599E">
        <w:rPr>
          <w:color w:val="000000"/>
        </w:rPr>
        <w:t>ov</w:t>
      </w:r>
      <w:r w:rsidR="00945D09" w:rsidRPr="00CD3EF9">
        <w:rPr>
          <w:color w:val="000000"/>
        </w:rPr>
        <w:t xml:space="preserve">. Pozorovaný bol tiež zvýšený výskyt cervikálnych rebier. </w:t>
      </w:r>
      <w:r w:rsidR="00BD6489" w:rsidRPr="00E25026">
        <w:rPr>
          <w:i/>
          <w:color w:val="000000"/>
        </w:rPr>
        <w:t>I</w:t>
      </w:r>
      <w:r w:rsidR="00BD6489" w:rsidRPr="00CD3EF9">
        <w:rPr>
          <w:i/>
          <w:color w:val="000000"/>
        </w:rPr>
        <w:t>n</w:t>
      </w:r>
      <w:r w:rsidR="00BD6489">
        <w:rPr>
          <w:i/>
          <w:color w:val="000000"/>
        </w:rPr>
        <w:t> </w:t>
      </w:r>
      <w:r w:rsidR="00BD6489" w:rsidRPr="00CD3EF9">
        <w:rPr>
          <w:i/>
          <w:color w:val="000000"/>
        </w:rPr>
        <w:t>vitro</w:t>
      </w:r>
      <w:r w:rsidR="00BD6489" w:rsidRPr="00CD3EF9">
        <w:rPr>
          <w:color w:val="000000"/>
        </w:rPr>
        <w:t xml:space="preserve"> </w:t>
      </w:r>
      <w:r w:rsidR="00945D09" w:rsidRPr="00CD3EF9">
        <w:rPr>
          <w:color w:val="000000"/>
        </w:rPr>
        <w:t>test</w:t>
      </w:r>
      <w:r w:rsidR="00BD6489">
        <w:rPr>
          <w:color w:val="000000"/>
        </w:rPr>
        <w:t>y</w:t>
      </w:r>
      <w:r w:rsidR="00945D09" w:rsidRPr="00CD3EF9">
        <w:rPr>
          <w:color w:val="000000"/>
        </w:rPr>
        <w:t xml:space="preserve"> </w:t>
      </w:r>
      <w:proofErr w:type="spellStart"/>
      <w:r w:rsidR="00945D09" w:rsidRPr="00CD3EF9">
        <w:rPr>
          <w:color w:val="000000"/>
        </w:rPr>
        <w:t>kaspofungínu</w:t>
      </w:r>
      <w:proofErr w:type="spellEnd"/>
      <w:r w:rsidR="00945D09" w:rsidRPr="00CD3EF9">
        <w:rPr>
          <w:color w:val="000000"/>
        </w:rPr>
        <w:t xml:space="preserve"> na</w:t>
      </w:r>
      <w:r w:rsidR="00BD6489">
        <w:rPr>
          <w:color w:val="000000"/>
        </w:rPr>
        <w:t> </w:t>
      </w:r>
      <w:r w:rsidR="00945D09" w:rsidRPr="00CD3EF9">
        <w:rPr>
          <w:color w:val="000000"/>
        </w:rPr>
        <w:t xml:space="preserve">možnú </w:t>
      </w:r>
      <w:proofErr w:type="spellStart"/>
      <w:r w:rsidR="00945D09" w:rsidRPr="00CD3EF9">
        <w:rPr>
          <w:color w:val="000000"/>
        </w:rPr>
        <w:t>genotoxicitu</w:t>
      </w:r>
      <w:proofErr w:type="spellEnd"/>
      <w:r w:rsidR="00945D09" w:rsidRPr="00CD3EF9">
        <w:rPr>
          <w:color w:val="000000"/>
        </w:rPr>
        <w:t xml:space="preserve"> ako aj</w:t>
      </w:r>
      <w:r w:rsidR="00945D09" w:rsidRPr="00E25026">
        <w:rPr>
          <w:i/>
          <w:color w:val="000000"/>
        </w:rPr>
        <w:t xml:space="preserve"> </w:t>
      </w:r>
      <w:r w:rsidR="00BD6489" w:rsidRPr="00E25026">
        <w:rPr>
          <w:i/>
          <w:color w:val="000000"/>
        </w:rPr>
        <w:t xml:space="preserve">in </w:t>
      </w:r>
      <w:proofErr w:type="spellStart"/>
      <w:r w:rsidR="00BD6489" w:rsidRPr="00E25026">
        <w:rPr>
          <w:i/>
          <w:color w:val="000000"/>
        </w:rPr>
        <w:t>vivo</w:t>
      </w:r>
      <w:proofErr w:type="spellEnd"/>
      <w:r w:rsidR="00BD6489">
        <w:rPr>
          <w:color w:val="000000"/>
        </w:rPr>
        <w:t xml:space="preserve"> </w:t>
      </w:r>
      <w:r w:rsidR="00945D09" w:rsidRPr="00CD3EF9">
        <w:rPr>
          <w:color w:val="000000"/>
        </w:rPr>
        <w:t>chromoz</w:t>
      </w:r>
      <w:r w:rsidR="00BD6489">
        <w:rPr>
          <w:color w:val="000000"/>
        </w:rPr>
        <w:t>ómový</w:t>
      </w:r>
      <w:r w:rsidR="00945D09" w:rsidRPr="00CD3EF9">
        <w:rPr>
          <w:color w:val="000000"/>
        </w:rPr>
        <w:t xml:space="preserve"> test kostnej drene myší boli negatívne. Na</w:t>
      </w:r>
      <w:r w:rsidR="00BD6489">
        <w:rPr>
          <w:color w:val="000000"/>
        </w:rPr>
        <w:t> stanovenie</w:t>
      </w:r>
      <w:r w:rsidR="00945D09" w:rsidRPr="00CD3EF9">
        <w:rPr>
          <w:color w:val="000000"/>
        </w:rPr>
        <w:t xml:space="preserve"> karcinogénneho potenciálu sa neuskutočnili žiadne dlhodobé </w:t>
      </w:r>
      <w:r w:rsidR="00BD6489">
        <w:rPr>
          <w:color w:val="000000"/>
        </w:rPr>
        <w:t>testy</w:t>
      </w:r>
      <w:r w:rsidR="00945D09" w:rsidRPr="00CD3EF9">
        <w:rPr>
          <w:color w:val="000000"/>
        </w:rPr>
        <w:t xml:space="preserve"> na zvieratách. V štúdiách </w:t>
      </w:r>
      <w:r w:rsidR="00BD6489">
        <w:rPr>
          <w:color w:val="000000"/>
        </w:rPr>
        <w:t xml:space="preserve">vykonaných </w:t>
      </w:r>
      <w:r w:rsidR="00945D09" w:rsidRPr="00CD3EF9">
        <w:rPr>
          <w:color w:val="000000"/>
        </w:rPr>
        <w:t xml:space="preserve">na samcoch a samiciach potkanov dostávajúcich dennú dávku maximálne 5 mg/kg/deň nemal </w:t>
      </w:r>
      <w:proofErr w:type="spellStart"/>
      <w:r w:rsidR="00945D09" w:rsidRPr="00CD3EF9">
        <w:rPr>
          <w:color w:val="000000"/>
        </w:rPr>
        <w:t>kaspofungín</w:t>
      </w:r>
      <w:proofErr w:type="spellEnd"/>
      <w:r w:rsidR="00945D09" w:rsidRPr="00CD3EF9">
        <w:rPr>
          <w:color w:val="000000"/>
        </w:rPr>
        <w:t xml:space="preserve"> žiadny účinok na </w:t>
      </w:r>
      <w:proofErr w:type="spellStart"/>
      <w:r w:rsidR="00945D09" w:rsidRPr="00CD3EF9">
        <w:rPr>
          <w:color w:val="000000"/>
        </w:rPr>
        <w:t>fertilitu</w:t>
      </w:r>
      <w:proofErr w:type="spellEnd"/>
      <w:r w:rsidR="00945D09" w:rsidRPr="00CD3EF9">
        <w:rPr>
          <w:color w:val="000000"/>
        </w:rPr>
        <w:t xml:space="preserve">. </w:t>
      </w:r>
    </w:p>
    <w:p w:rsidR="004E667E" w:rsidRPr="00CD3EF9" w:rsidRDefault="004E667E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7C6F03" w:rsidRPr="00CD3EF9" w:rsidRDefault="007C6F03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caps/>
          <w:noProof/>
          <w:szCs w:val="20"/>
        </w:rPr>
      </w:pPr>
      <w:r w:rsidRPr="00CD3EF9">
        <w:rPr>
          <w:b/>
          <w:bCs/>
          <w:iCs/>
          <w:szCs w:val="20"/>
        </w:rPr>
        <w:t xml:space="preserve">6.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 xml:space="preserve">Farmaceutické informácie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6.1 </w:t>
      </w:r>
      <w:r w:rsidRPr="00CD3EF9">
        <w:rPr>
          <w:b/>
          <w:bCs/>
          <w:iCs/>
          <w:szCs w:val="20"/>
        </w:rPr>
        <w:tab/>
        <w:t xml:space="preserve">Zoznam pomocných látok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Sacharóza </w:t>
      </w:r>
    </w:p>
    <w:p w:rsidR="00945D09" w:rsidRPr="00CD3EF9" w:rsidRDefault="00945D09" w:rsidP="00DD38BD">
      <w:pPr>
        <w:spacing w:line="240" w:lineRule="auto"/>
      </w:pPr>
      <w:proofErr w:type="spellStart"/>
      <w:r w:rsidRPr="00CD3EF9">
        <w:t>Manitol</w:t>
      </w:r>
      <w:proofErr w:type="spellEnd"/>
      <w:r w:rsidRPr="00CD3EF9">
        <w:t xml:space="preserve"> </w:t>
      </w:r>
    </w:p>
    <w:p w:rsidR="00945D09" w:rsidRPr="00CD3EF9" w:rsidRDefault="006A73AA" w:rsidP="00DD38BD">
      <w:pPr>
        <w:spacing w:line="240" w:lineRule="auto"/>
      </w:pPr>
      <w:r w:rsidRPr="00CD3EF9">
        <w:t>Kyselina jantárová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Hydroxid sodný (na úpravu pH) </w:t>
      </w:r>
    </w:p>
    <w:p w:rsidR="004E667E" w:rsidRPr="00CD3EF9" w:rsidRDefault="004E667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6.2 </w:t>
      </w:r>
      <w:r w:rsidRPr="00CD3EF9">
        <w:rPr>
          <w:b/>
          <w:bCs/>
          <w:iCs/>
          <w:szCs w:val="20"/>
        </w:rPr>
        <w:tab/>
        <w:t>Inkompatibility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Nemiešajte s roz</w:t>
      </w:r>
      <w:r w:rsidR="00F84649">
        <w:rPr>
          <w:color w:val="000000"/>
        </w:rPr>
        <w:t>tokmi s</w:t>
      </w:r>
      <w:r w:rsidRPr="00CD3EF9">
        <w:rPr>
          <w:color w:val="000000"/>
        </w:rPr>
        <w:t xml:space="preserve"> obsah</w:t>
      </w:r>
      <w:r w:rsidR="00F84649">
        <w:rPr>
          <w:color w:val="000000"/>
        </w:rPr>
        <w:t>om</w:t>
      </w:r>
      <w:r w:rsidRPr="00CD3EF9">
        <w:rPr>
          <w:color w:val="000000"/>
        </w:rPr>
        <w:t xml:space="preserve"> glukóz</w:t>
      </w:r>
      <w:r w:rsidR="00F84649">
        <w:rPr>
          <w:color w:val="000000"/>
        </w:rPr>
        <w:t>y</w:t>
      </w:r>
      <w:r w:rsidRPr="00CD3EF9">
        <w:rPr>
          <w:color w:val="000000"/>
        </w:rPr>
        <w:t xml:space="preserve">, pretože </w:t>
      </w:r>
      <w:proofErr w:type="spellStart"/>
      <w:r w:rsidRPr="00CD3EF9">
        <w:rPr>
          <w:color w:val="000000"/>
        </w:rPr>
        <w:t>kaspofungín</w:t>
      </w:r>
      <w:proofErr w:type="spellEnd"/>
      <w:r w:rsidRPr="00CD3EF9">
        <w:rPr>
          <w:color w:val="000000"/>
        </w:rPr>
        <w:t xml:space="preserve"> nie je v roz</w:t>
      </w:r>
      <w:r w:rsidR="00742000">
        <w:rPr>
          <w:color w:val="000000"/>
        </w:rPr>
        <w:t>tokoch</w:t>
      </w:r>
      <w:r w:rsidRPr="00CD3EF9">
        <w:rPr>
          <w:color w:val="000000"/>
        </w:rPr>
        <w:t xml:space="preserve"> obsahujúcich glukózu stabilný. </w:t>
      </w:r>
      <w:r w:rsidR="00742000">
        <w:rPr>
          <w:color w:val="000000"/>
        </w:rPr>
        <w:t>Nevykonali sa</w:t>
      </w:r>
      <w:r w:rsidRPr="00CD3EF9">
        <w:rPr>
          <w:color w:val="000000"/>
        </w:rPr>
        <w:t xml:space="preserve"> štúdi</w:t>
      </w:r>
      <w:r w:rsidR="00742000">
        <w:rPr>
          <w:color w:val="000000"/>
        </w:rPr>
        <w:t>e</w:t>
      </w:r>
      <w:r w:rsidRPr="00CD3EF9">
        <w:rPr>
          <w:color w:val="000000"/>
        </w:rPr>
        <w:t xml:space="preserve"> kompatibility</w:t>
      </w:r>
      <w:r w:rsidR="00742000">
        <w:rPr>
          <w:color w:val="000000"/>
        </w:rPr>
        <w:t>, preto</w:t>
      </w:r>
      <w:r w:rsidRPr="00CD3EF9">
        <w:rPr>
          <w:color w:val="000000"/>
        </w:rPr>
        <w:t xml:space="preserve"> sa tento liek nesmie miešať s inými liekmi. </w:t>
      </w:r>
    </w:p>
    <w:p w:rsidR="004E667E" w:rsidRPr="00E25026" w:rsidRDefault="004E667E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E25026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6.3 </w:t>
      </w:r>
      <w:r w:rsidRPr="00CD3EF9">
        <w:rPr>
          <w:b/>
          <w:bCs/>
          <w:iCs/>
          <w:szCs w:val="20"/>
        </w:rPr>
        <w:tab/>
        <w:t xml:space="preserve">Čas použiteľnosti </w:t>
      </w:r>
    </w:p>
    <w:p w:rsidR="00CA587F" w:rsidRPr="00E25026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2 roky </w:t>
      </w:r>
    </w:p>
    <w:p w:rsidR="004E667E" w:rsidRPr="00CD3EF9" w:rsidRDefault="004E667E" w:rsidP="00DD38BD">
      <w:pPr>
        <w:spacing w:line="240" w:lineRule="auto"/>
      </w:pPr>
    </w:p>
    <w:p w:rsidR="00945D09" w:rsidRPr="00CD3EF9" w:rsidRDefault="00945D09" w:rsidP="00DD38BD">
      <w:pPr>
        <w:spacing w:line="240" w:lineRule="auto"/>
      </w:pPr>
      <w:r w:rsidRPr="00CD3EF9">
        <w:t>Rekonštituovaný koncentrát: m</w:t>
      </w:r>
      <w:r w:rsidR="00742000">
        <w:t>á</w:t>
      </w:r>
      <w:r w:rsidRPr="00CD3EF9">
        <w:t xml:space="preserve"> sa použiť okamžite. Údaje o stabilite ukázali, že infúzny koncentrát je možné </w:t>
      </w:r>
      <w:r w:rsidR="00742000">
        <w:t>uchovávať do</w:t>
      </w:r>
      <w:r w:rsidRPr="00CD3EF9">
        <w:t xml:space="preserve"> 24 hodín, ak je injekčná liekovka uchovaná pri teplote 25°C alebo nižšej a</w:t>
      </w:r>
      <w:r w:rsidR="00742000">
        <w:t> na </w:t>
      </w:r>
      <w:r w:rsidRPr="00CD3EF9">
        <w:t>rekonštit</w:t>
      </w:r>
      <w:r w:rsidR="00742000">
        <w:t>úciu</w:t>
      </w:r>
      <w:r w:rsidRPr="00CD3EF9">
        <w:t xml:space="preserve"> </w:t>
      </w:r>
      <w:r w:rsidR="00742000">
        <w:t xml:space="preserve">bola </w:t>
      </w:r>
      <w:r w:rsidRPr="00CD3EF9">
        <w:t>použit</w:t>
      </w:r>
      <w:r w:rsidR="00742000">
        <w:t>á</w:t>
      </w:r>
      <w:r w:rsidRPr="00CD3EF9">
        <w:t xml:space="preserve"> vod</w:t>
      </w:r>
      <w:r w:rsidR="00742000">
        <w:t>a</w:t>
      </w:r>
      <w:r w:rsidRPr="00CD3EF9">
        <w:t xml:space="preserve"> na injekciu. </w:t>
      </w:r>
    </w:p>
    <w:p w:rsidR="00945D09" w:rsidRPr="00CD3EF9" w:rsidRDefault="00945D09" w:rsidP="00DD38BD">
      <w:pPr>
        <w:spacing w:line="240" w:lineRule="auto"/>
      </w:pPr>
      <w:r w:rsidRPr="00CD3EF9">
        <w:t>Zriedený infúzny roztok pre pacienta: m</w:t>
      </w:r>
      <w:r w:rsidR="00742000">
        <w:t>á</w:t>
      </w:r>
      <w:r w:rsidRPr="00CD3EF9">
        <w:t xml:space="preserve"> sa použiť okamžite. Údaje o stabilite ukázali, že </w:t>
      </w:r>
      <w:r w:rsidR="00742000">
        <w:t>liek</w:t>
      </w:r>
      <w:r w:rsidRPr="00CD3EF9">
        <w:t xml:space="preserve"> je možné použiť do 24 hodín, ak je uchovaný pri teplote 25°C alebo nižšej, alebo do 48 hodín, ak je intravenózny infúzny vak (fľaša) uchov</w:t>
      </w:r>
      <w:r w:rsidR="00742000">
        <w:t>áv</w:t>
      </w:r>
      <w:r w:rsidRPr="00CD3EF9">
        <w:t xml:space="preserve">aný v chladničke (pri teplote </w:t>
      </w:r>
      <w:r w:rsidR="00E75685" w:rsidRPr="00CD3EF9">
        <w:t>2°C – 8°C</w:t>
      </w:r>
      <w:r w:rsidRPr="00CD3EF9">
        <w:t>)</w:t>
      </w:r>
      <w:r w:rsidR="00742000">
        <w:t>,</w:t>
      </w:r>
      <w:r w:rsidRPr="00CD3EF9">
        <w:t xml:space="preserve"> a</w:t>
      </w:r>
      <w:r w:rsidR="00742000">
        <w:t>k je</w:t>
      </w:r>
      <w:r w:rsidRPr="00CD3EF9">
        <w:t xml:space="preserve"> zriedený roztoku chloridu sodného na infúziu </w:t>
      </w:r>
      <w:r w:rsidR="00742000">
        <w:t>s</w:t>
      </w:r>
      <w:r w:rsidRPr="00CD3EF9">
        <w:t> koncentráci</w:t>
      </w:r>
      <w:r w:rsidR="00742000">
        <w:t>ou</w:t>
      </w:r>
      <w:r w:rsidRPr="00CD3EF9">
        <w:t xml:space="preserve"> 9 mg/ml (0,9 %), 4,5 mg/ml (0,45 %) alebo 2,25 mg/ml (0,225 %) alebo </w:t>
      </w:r>
      <w:proofErr w:type="spellStart"/>
      <w:r w:rsidRPr="00CD3EF9">
        <w:t>Ringerov</w:t>
      </w:r>
      <w:r w:rsidR="00A411CA">
        <w:t>ým</w:t>
      </w:r>
      <w:proofErr w:type="spellEnd"/>
      <w:r w:rsidRPr="00CD3EF9">
        <w:t xml:space="preserve"> roztok</w:t>
      </w:r>
      <w:r w:rsidR="00A411CA">
        <w:t xml:space="preserve">om s </w:t>
      </w:r>
      <w:proofErr w:type="spellStart"/>
      <w:r w:rsidR="00A411CA">
        <w:t>laktátom</w:t>
      </w:r>
      <w:proofErr w:type="spellEnd"/>
      <w:r w:rsidRPr="00CD3EF9">
        <w:t xml:space="preserve">. </w:t>
      </w:r>
    </w:p>
    <w:p w:rsidR="00945D09" w:rsidRPr="00CD3EF9" w:rsidRDefault="00945D09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Z mikrobiologického hľadiska sa m</w:t>
      </w:r>
      <w:r w:rsidR="00744554">
        <w:rPr>
          <w:color w:val="000000"/>
        </w:rPr>
        <w:t>á</w:t>
      </w:r>
      <w:r w:rsidRPr="00CD3EF9">
        <w:rPr>
          <w:color w:val="000000"/>
        </w:rPr>
        <w:t xml:space="preserve"> </w:t>
      </w:r>
      <w:r w:rsidR="00744554">
        <w:rPr>
          <w:color w:val="000000"/>
        </w:rPr>
        <w:t>liek</w:t>
      </w:r>
      <w:r w:rsidRPr="00CD3EF9">
        <w:rPr>
          <w:color w:val="000000"/>
        </w:rPr>
        <w:t xml:space="preserve"> použiť okamžite. Ak sa </w:t>
      </w:r>
      <w:r w:rsidR="00744554">
        <w:rPr>
          <w:color w:val="000000"/>
        </w:rPr>
        <w:t>liek</w:t>
      </w:r>
      <w:r w:rsidRPr="00CD3EF9">
        <w:rPr>
          <w:color w:val="000000"/>
        </w:rPr>
        <w:t xml:space="preserve"> nepoužije okamžite, za čas a podmienk</w:t>
      </w:r>
      <w:r w:rsidR="00744554">
        <w:rPr>
          <w:color w:val="000000"/>
        </w:rPr>
        <w:t>y</w:t>
      </w:r>
      <w:r w:rsidRPr="00CD3EF9">
        <w:rPr>
          <w:color w:val="000000"/>
        </w:rPr>
        <w:t xml:space="preserve"> uchov</w:t>
      </w:r>
      <w:r w:rsidR="00744554">
        <w:rPr>
          <w:color w:val="000000"/>
        </w:rPr>
        <w:t>áv</w:t>
      </w:r>
      <w:r w:rsidRPr="00CD3EF9">
        <w:rPr>
          <w:color w:val="000000"/>
        </w:rPr>
        <w:t xml:space="preserve">ania pred použitím </w:t>
      </w:r>
      <w:r w:rsidR="00744554" w:rsidRPr="00CD3EF9">
        <w:rPr>
          <w:color w:val="000000"/>
        </w:rPr>
        <w:t xml:space="preserve">zodpovedá </w:t>
      </w:r>
      <w:r w:rsidRPr="00CD3EF9">
        <w:rPr>
          <w:color w:val="000000"/>
        </w:rPr>
        <w:t>používateľ. Pokiaľ produkt nie je rekonštituovaný a</w:t>
      </w:r>
      <w:r w:rsidR="00744554">
        <w:rPr>
          <w:color w:val="000000"/>
        </w:rPr>
        <w:t> </w:t>
      </w:r>
      <w:r w:rsidRPr="00CD3EF9">
        <w:rPr>
          <w:color w:val="000000"/>
        </w:rPr>
        <w:t>zriedený v kontrolovaných a validovaných aseptických podmienkach, nemala by dĺžka uchov</w:t>
      </w:r>
      <w:r w:rsidR="00744554">
        <w:rPr>
          <w:color w:val="000000"/>
        </w:rPr>
        <w:t>áv</w:t>
      </w:r>
      <w:r w:rsidRPr="00CD3EF9">
        <w:rPr>
          <w:color w:val="000000"/>
        </w:rPr>
        <w:t xml:space="preserve">ania presiahnuť 24 hodín pri teplote </w:t>
      </w:r>
      <w:r w:rsidR="00E75685" w:rsidRPr="00CD3EF9">
        <w:t>2°C – 8°C</w:t>
      </w:r>
      <w:r w:rsidRPr="00CD3EF9">
        <w:rPr>
          <w:color w:val="000000"/>
        </w:rPr>
        <w:t xml:space="preserve">. </w:t>
      </w:r>
    </w:p>
    <w:p w:rsidR="004E667E" w:rsidRPr="00CD3EF9" w:rsidRDefault="004E667E" w:rsidP="00DD38BD">
      <w:pPr>
        <w:spacing w:line="240" w:lineRule="auto"/>
        <w:rPr>
          <w:color w:val="00000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6.4 </w:t>
      </w:r>
      <w:r w:rsidRPr="00CD3EF9">
        <w:rPr>
          <w:b/>
          <w:bCs/>
          <w:iCs/>
          <w:szCs w:val="20"/>
        </w:rPr>
        <w:tab/>
        <w:t xml:space="preserve">Špeciálne upozornenia na uchovávanie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spacing w:line="240" w:lineRule="auto"/>
      </w:pPr>
      <w:r w:rsidRPr="00CD3EF9">
        <w:t xml:space="preserve">Neotvorené injekčné liekovky: uchovávajte v chladničke (2°C – 8°C). </w:t>
      </w:r>
    </w:p>
    <w:p w:rsidR="004E667E" w:rsidRPr="00CD3EF9" w:rsidRDefault="004E667E" w:rsidP="00DD38BD">
      <w:pPr>
        <w:spacing w:line="240" w:lineRule="auto"/>
        <w:rPr>
          <w:color w:val="000000"/>
        </w:rPr>
      </w:pPr>
    </w:p>
    <w:p w:rsidR="00945D09" w:rsidRPr="00CD3EF9" w:rsidRDefault="003D2EB4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>Podmienky na uchovávanie po rekonštitúcii a riedení lieku, pozri časť 6.3</w:t>
      </w:r>
      <w:r w:rsidR="00945D09" w:rsidRPr="00CD3EF9">
        <w:rPr>
          <w:color w:val="000000"/>
        </w:rPr>
        <w:t xml:space="preserve">. </w:t>
      </w:r>
    </w:p>
    <w:p w:rsidR="004E667E" w:rsidRPr="00CD3EF9" w:rsidRDefault="004E667E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945D09" w:rsidRPr="00CD3EF9" w:rsidRDefault="00945D09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6.5 </w:t>
      </w:r>
      <w:r w:rsidRPr="00CD3EF9">
        <w:rPr>
          <w:b/>
          <w:bCs/>
          <w:iCs/>
          <w:szCs w:val="20"/>
        </w:rPr>
        <w:tab/>
        <w:t xml:space="preserve">Druh obalu a obsah balenia </w:t>
      </w:r>
    </w:p>
    <w:p w:rsidR="00CA587F" w:rsidRPr="00CD3EF9" w:rsidRDefault="00CA587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</w:p>
    <w:p w:rsidR="001E0342" w:rsidRPr="00CD3EF9" w:rsidRDefault="00DC4B09" w:rsidP="00DD38BD">
      <w:pPr>
        <w:spacing w:line="240" w:lineRule="auto"/>
      </w:pPr>
      <w:proofErr w:type="spellStart"/>
      <w:r w:rsidRPr="00CD3EF9">
        <w:rPr>
          <w:i/>
        </w:rPr>
        <w:t>Caspofungin</w:t>
      </w:r>
      <w:proofErr w:type="spellEnd"/>
      <w:r w:rsidRPr="00CD3EF9">
        <w:rPr>
          <w:i/>
        </w:rPr>
        <w:t xml:space="preserve"> </w:t>
      </w:r>
      <w:proofErr w:type="spellStart"/>
      <w:r w:rsidRPr="00CD3EF9">
        <w:rPr>
          <w:i/>
        </w:rPr>
        <w:t>Xellia</w:t>
      </w:r>
      <w:proofErr w:type="spellEnd"/>
      <w:r w:rsidRPr="00CD3EF9">
        <w:rPr>
          <w:i/>
        </w:rPr>
        <w:t xml:space="preserve"> 50 mg prášok na infúzny koncentrát:</w:t>
      </w:r>
      <w:r w:rsidRPr="00CD3EF9">
        <w:t xml:space="preserve"> </w:t>
      </w:r>
    </w:p>
    <w:p w:rsidR="001E0342" w:rsidRPr="00CD3EF9" w:rsidRDefault="001E0342" w:rsidP="00DD38BD">
      <w:pPr>
        <w:spacing w:line="240" w:lineRule="auto"/>
      </w:pPr>
      <w:r w:rsidRPr="00CD3EF9">
        <w:t xml:space="preserve">10 ml injekčná liekovka </w:t>
      </w:r>
      <w:r w:rsidR="00C86703">
        <w:t xml:space="preserve">zo skla </w:t>
      </w:r>
      <w:r w:rsidRPr="00CD3EF9">
        <w:t>typu I s </w:t>
      </w:r>
      <w:proofErr w:type="spellStart"/>
      <w:r w:rsidRPr="00CD3EF9">
        <w:rPr>
          <w:bCs/>
        </w:rPr>
        <w:t>brómbutylovou</w:t>
      </w:r>
      <w:proofErr w:type="spellEnd"/>
      <w:r w:rsidRPr="00CD3EF9">
        <w:t xml:space="preserve"> zátkou a červeným hliníkovým uzáverom s priehľadným odklápacím viečkom.</w:t>
      </w:r>
    </w:p>
    <w:p w:rsidR="004E667E" w:rsidRPr="00CD3EF9" w:rsidRDefault="004E667E" w:rsidP="00DD38BD">
      <w:pPr>
        <w:spacing w:line="240" w:lineRule="auto"/>
        <w:rPr>
          <w:i/>
          <w:spacing w:val="-2"/>
        </w:rPr>
      </w:pPr>
    </w:p>
    <w:p w:rsidR="00C86703" w:rsidRPr="00E25026" w:rsidRDefault="00DC4B09" w:rsidP="00DD38BD">
      <w:pPr>
        <w:spacing w:line="240" w:lineRule="auto"/>
        <w:rPr>
          <w:highlight w:val="lightGray"/>
        </w:rPr>
      </w:pPr>
      <w:proofErr w:type="spellStart"/>
      <w:r w:rsidRPr="00E25026">
        <w:rPr>
          <w:i/>
          <w:highlight w:val="lightGray"/>
        </w:rPr>
        <w:t>Caspofungin</w:t>
      </w:r>
      <w:proofErr w:type="spellEnd"/>
      <w:r w:rsidRPr="00E25026">
        <w:rPr>
          <w:i/>
          <w:highlight w:val="lightGray"/>
        </w:rPr>
        <w:t xml:space="preserve"> </w:t>
      </w:r>
      <w:proofErr w:type="spellStart"/>
      <w:r w:rsidRPr="00E25026">
        <w:rPr>
          <w:i/>
          <w:highlight w:val="lightGray"/>
        </w:rPr>
        <w:t>Xellia</w:t>
      </w:r>
      <w:proofErr w:type="spellEnd"/>
      <w:r w:rsidRPr="00E25026">
        <w:rPr>
          <w:i/>
          <w:highlight w:val="lightGray"/>
        </w:rPr>
        <w:t xml:space="preserve"> 70 mg prášok na infúzny koncentrát:</w:t>
      </w:r>
      <w:r w:rsidRPr="00E25026">
        <w:rPr>
          <w:highlight w:val="lightGray"/>
        </w:rPr>
        <w:t xml:space="preserve"> </w:t>
      </w:r>
    </w:p>
    <w:p w:rsidR="004E667E" w:rsidRPr="00CD3EF9" w:rsidRDefault="00DC4B09" w:rsidP="00DD38BD">
      <w:pPr>
        <w:spacing w:line="240" w:lineRule="auto"/>
        <w:rPr>
          <w:spacing w:val="-1"/>
        </w:rPr>
      </w:pPr>
      <w:r w:rsidRPr="00E25026">
        <w:rPr>
          <w:highlight w:val="lightGray"/>
        </w:rPr>
        <w:t xml:space="preserve">10 ml </w:t>
      </w:r>
      <w:r w:rsidR="00C86703" w:rsidRPr="00E25026">
        <w:rPr>
          <w:highlight w:val="lightGray"/>
        </w:rPr>
        <w:t>i</w:t>
      </w:r>
      <w:r w:rsidRPr="00E25026">
        <w:rPr>
          <w:highlight w:val="lightGray"/>
        </w:rPr>
        <w:t xml:space="preserve">njekčná liekovka </w:t>
      </w:r>
      <w:r w:rsidR="00C86703" w:rsidRPr="00E25026">
        <w:rPr>
          <w:highlight w:val="lightGray"/>
        </w:rPr>
        <w:t xml:space="preserve">zo skla </w:t>
      </w:r>
      <w:r w:rsidRPr="00E25026">
        <w:rPr>
          <w:highlight w:val="lightGray"/>
        </w:rPr>
        <w:t>typu I s </w:t>
      </w:r>
      <w:proofErr w:type="spellStart"/>
      <w:r w:rsidRPr="00E25026">
        <w:rPr>
          <w:bCs/>
          <w:highlight w:val="lightGray"/>
        </w:rPr>
        <w:t>brómbutylovou</w:t>
      </w:r>
      <w:proofErr w:type="spellEnd"/>
      <w:r w:rsidRPr="00E25026">
        <w:rPr>
          <w:highlight w:val="lightGray"/>
        </w:rPr>
        <w:t xml:space="preserve"> zátkou a oranžovým hliníkovým uzáverom s priehľadným odklápacím viečkom.</w:t>
      </w:r>
    </w:p>
    <w:p w:rsidR="00C86703" w:rsidRDefault="00C86703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</w:pPr>
      <w:r w:rsidRPr="00CD3EF9">
        <w:t>Dodáva sa v balen</w:t>
      </w:r>
      <w:r w:rsidR="00C86703">
        <w:t>í</w:t>
      </w:r>
      <w:r w:rsidRPr="00CD3EF9">
        <w:t xml:space="preserve"> </w:t>
      </w:r>
      <w:r w:rsidR="00C86703">
        <w:t>s</w:t>
      </w:r>
      <w:r w:rsidRPr="00CD3EF9">
        <w:t xml:space="preserve"> 1 injekčn</w:t>
      </w:r>
      <w:r w:rsidR="00C86703">
        <w:t>ou</w:t>
      </w:r>
      <w:r w:rsidRPr="00CD3EF9">
        <w:t xml:space="preserve"> liekovk</w:t>
      </w:r>
      <w:r w:rsidR="00C86703">
        <w:t>ou</w:t>
      </w:r>
      <w:r w:rsidRPr="00CD3EF9">
        <w:t>.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4E667E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6.6 </w:t>
      </w:r>
      <w:r w:rsidRPr="00CD3EF9">
        <w:rPr>
          <w:b/>
          <w:bCs/>
          <w:iCs/>
          <w:szCs w:val="20"/>
        </w:rPr>
        <w:tab/>
        <w:t>Špeciálne opatrenia na likvidáciu a iné zaobchádzanie s liekom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</w:pPr>
      <w:r w:rsidRPr="00CD3EF9">
        <w:rPr>
          <w:u w:val="single" w:color="000000"/>
        </w:rPr>
        <w:t xml:space="preserve">Rekonštitúcia </w:t>
      </w:r>
      <w:proofErr w:type="spellStart"/>
      <w:r w:rsidR="00C86703">
        <w:rPr>
          <w:u w:val="single" w:color="000000"/>
        </w:rPr>
        <w:t>kaspofungínu</w:t>
      </w:r>
      <w:proofErr w:type="spellEnd"/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</w:pPr>
      <w:r w:rsidRPr="00CD3EF9">
        <w:t>NEPOUŽÍVAJTE ŽIADNE ROZ</w:t>
      </w:r>
      <w:r w:rsidR="00C86703">
        <w:t>TOKY</w:t>
      </w:r>
      <w:r w:rsidRPr="00CD3EF9">
        <w:t xml:space="preserve"> OBSAHUJÚCE GLUKÓZU, pretože </w:t>
      </w:r>
      <w:proofErr w:type="spellStart"/>
      <w:r w:rsidR="00C86703">
        <w:t>kaspofungín</w:t>
      </w:r>
      <w:proofErr w:type="spellEnd"/>
      <w:r w:rsidRPr="00CD3EF9">
        <w:t xml:space="preserve"> nie je </w:t>
      </w:r>
      <w:r w:rsidR="00C86703">
        <w:t xml:space="preserve">stabilný </w:t>
      </w:r>
      <w:r w:rsidRPr="00CD3EF9">
        <w:t>v roz</w:t>
      </w:r>
      <w:r w:rsidR="00C86703">
        <w:t>tokoch</w:t>
      </w:r>
      <w:r w:rsidRPr="00CD3EF9">
        <w:t xml:space="preserve"> obsahujúcich glukózu</w:t>
      </w:r>
      <w:r w:rsidR="00C86703">
        <w:t>.</w:t>
      </w:r>
      <w:r w:rsidRPr="00CD3EF9">
        <w:t xml:space="preserve"> NEMIEŠAJTE </w:t>
      </w:r>
      <w:r w:rsidR="00BF4BA7" w:rsidRPr="00CD3EF9">
        <w:t>A</w:t>
      </w:r>
      <w:r w:rsidR="00C86703">
        <w:t>NI NEPODÁVAJTE</w:t>
      </w:r>
      <w:r w:rsidRPr="00CD3EF9">
        <w:t xml:space="preserve"> </w:t>
      </w:r>
      <w:proofErr w:type="spellStart"/>
      <w:r w:rsidR="00C86703">
        <w:t>kaspofungín</w:t>
      </w:r>
      <w:proofErr w:type="spellEnd"/>
      <w:r w:rsidR="00C86703">
        <w:t xml:space="preserve"> SP</w:t>
      </w:r>
      <w:r w:rsidRPr="00CD3EF9">
        <w:t>O</w:t>
      </w:r>
      <w:r w:rsidR="00C86703">
        <w:t xml:space="preserve">LU </w:t>
      </w:r>
      <w:r w:rsidR="009448A9">
        <w:t xml:space="preserve">S </w:t>
      </w:r>
      <w:r w:rsidR="00C86703">
        <w:t>I</w:t>
      </w:r>
      <w:r w:rsidR="009448A9">
        <w:t>NÝMI</w:t>
      </w:r>
      <w:r w:rsidRPr="00CD3EF9">
        <w:t xml:space="preserve"> LIEKMI </w:t>
      </w:r>
      <w:r w:rsidR="009448A9">
        <w:t>V</w:t>
      </w:r>
      <w:r w:rsidRPr="00CD3EF9">
        <w:t xml:space="preserve"> INFÚZI</w:t>
      </w:r>
      <w:r w:rsidR="009448A9">
        <w:t>I</w:t>
      </w:r>
      <w:r w:rsidRPr="00CD3EF9">
        <w:t xml:space="preserve">, pretože nie sú k dispozícii žiadne údaje o kompatibilite </w:t>
      </w:r>
      <w:proofErr w:type="spellStart"/>
      <w:r w:rsidR="009448A9">
        <w:t>kaspofungínu</w:t>
      </w:r>
      <w:proofErr w:type="spellEnd"/>
      <w:r w:rsidRPr="00CD3EF9">
        <w:t xml:space="preserve"> s </w:t>
      </w:r>
      <w:r w:rsidR="009448A9">
        <w:t>inými</w:t>
      </w:r>
      <w:r w:rsidRPr="00CD3EF9">
        <w:t xml:space="preserve"> intravenóznymi látkami, </w:t>
      </w:r>
      <w:r w:rsidR="009448A9">
        <w:t>aditívami</w:t>
      </w:r>
      <w:r w:rsidRPr="00CD3EF9">
        <w:t xml:space="preserve"> alebo liekmi. </w:t>
      </w:r>
      <w:r w:rsidR="009448A9">
        <w:t xml:space="preserve">Vizuálne </w:t>
      </w:r>
      <w:r w:rsidRPr="00CD3EF9">
        <w:t>skontrolujte</w:t>
      </w:r>
      <w:r w:rsidR="009448A9">
        <w:t xml:space="preserve"> </w:t>
      </w:r>
      <w:r w:rsidRPr="00CD3EF9">
        <w:t xml:space="preserve">infúzny roztok </w:t>
      </w:r>
      <w:r w:rsidR="009448A9">
        <w:t>na prítomnosť</w:t>
      </w:r>
      <w:r w:rsidRPr="00CD3EF9">
        <w:t xml:space="preserve"> čast</w:t>
      </w:r>
      <w:r w:rsidR="009448A9">
        <w:t>íc</w:t>
      </w:r>
      <w:r w:rsidRPr="00CD3EF9">
        <w:t xml:space="preserve"> alebo zmen</w:t>
      </w:r>
      <w:r w:rsidR="009448A9">
        <w:t>u</w:t>
      </w:r>
      <w:r w:rsidRPr="00CD3EF9">
        <w:t xml:space="preserve"> </w:t>
      </w:r>
      <w:r w:rsidR="009448A9">
        <w:t>za</w:t>
      </w:r>
      <w:r w:rsidRPr="00CD3EF9">
        <w:t>farb</w:t>
      </w:r>
      <w:r w:rsidR="009448A9">
        <w:t>enia</w:t>
      </w:r>
      <w:r w:rsidRPr="00CD3EF9">
        <w:t>.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</w:pPr>
      <w:r w:rsidRPr="00CD3EF9">
        <w:t>Všetok nepoužitý liek alebo odpad vzniknutý z lieku sa má zlikvidovať v súlade s národnými požiadavkami.</w:t>
      </w:r>
    </w:p>
    <w:p w:rsidR="007C6F03" w:rsidRPr="00CD3EF9" w:rsidRDefault="007C6F03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b/>
        </w:rPr>
      </w:pPr>
      <w:r w:rsidRPr="00CD3EF9">
        <w:rPr>
          <w:b/>
        </w:rPr>
        <w:t>POKYNY NA POUŽITIE U DOSPELÝCH PACIENTOV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b/>
        </w:rPr>
      </w:pPr>
      <w:r w:rsidRPr="00CD3EF9">
        <w:rPr>
          <w:b/>
        </w:rPr>
        <w:t>1. krok: Rekonštitúcia bežných injekčných liekoviek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spacing w:val="-1"/>
        </w:rPr>
      </w:pPr>
      <w:r w:rsidRPr="00CD3EF9">
        <w:t>Pred rekonštitúciou prášku počkajte, kým injekčná liekovka dosiahne izbovú teplotu a</w:t>
      </w:r>
      <w:r w:rsidR="009448A9">
        <w:t> za </w:t>
      </w:r>
      <w:r w:rsidRPr="00CD3EF9">
        <w:t>aseptick</w:t>
      </w:r>
      <w:r w:rsidR="009448A9">
        <w:t>ých podmienok</w:t>
      </w:r>
      <w:r w:rsidRPr="00CD3EF9">
        <w:t xml:space="preserve"> pridajte 10,5 ml vody na injekciu. Koncentrácia rekonštituovan</w:t>
      </w:r>
      <w:r w:rsidR="009448A9">
        <w:t>ého</w:t>
      </w:r>
      <w:r w:rsidRPr="00CD3EF9">
        <w:t xml:space="preserve"> </w:t>
      </w:r>
      <w:r w:rsidR="009448A9">
        <w:t>roztoku</w:t>
      </w:r>
      <w:r w:rsidRPr="00CD3EF9">
        <w:t xml:space="preserve"> bude: 5,2 mg/ml (50 mg injekčná liekovka) alebo 7,2 mg/ml (70 mg injekčná liekovka).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spacing w:val="-1"/>
        </w:rPr>
      </w:pPr>
      <w:r w:rsidRPr="00CD3EF9">
        <w:t xml:space="preserve">Biely až </w:t>
      </w:r>
      <w:r w:rsidR="009448A9">
        <w:t>takmer biely</w:t>
      </w:r>
      <w:r w:rsidRPr="00CD3EF9">
        <w:t xml:space="preserve"> kompaktný lyofilizovaný prášok sa úplne rozpustí. Jemne miešajte, kým nezískate číry a bezfarebný roztok. </w:t>
      </w:r>
      <w:r w:rsidR="009448A9">
        <w:t xml:space="preserve">Vizuálne </w:t>
      </w:r>
      <w:r w:rsidRPr="00CD3EF9">
        <w:t>skontrolujte rekonštituované roztoky</w:t>
      </w:r>
      <w:r w:rsidR="009448A9">
        <w:t>, či</w:t>
      </w:r>
      <w:r w:rsidRPr="00CD3EF9">
        <w:t xml:space="preserve"> neobsahujú častice alebo nemajú zmenenú farbu. Takto rekonštituovaný roztok je možné </w:t>
      </w:r>
      <w:r w:rsidR="009448A9">
        <w:t>uchovávať</w:t>
      </w:r>
      <w:r w:rsidRPr="00CD3EF9">
        <w:t xml:space="preserve"> až </w:t>
      </w:r>
      <w:r w:rsidR="009448A9">
        <w:t>do </w:t>
      </w:r>
      <w:r w:rsidRPr="00CD3EF9">
        <w:t>24 hodín pri teplote 25°C alebo nižšej.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b/>
        </w:rPr>
      </w:pPr>
      <w:r w:rsidRPr="00CD3EF9">
        <w:rPr>
          <w:b/>
        </w:rPr>
        <w:t xml:space="preserve">2. krok: Pridanie rekonštituovaného </w:t>
      </w:r>
      <w:proofErr w:type="spellStart"/>
      <w:r w:rsidR="009448A9">
        <w:rPr>
          <w:b/>
        </w:rPr>
        <w:t>kaspofungínu</w:t>
      </w:r>
      <w:proofErr w:type="spellEnd"/>
      <w:r w:rsidRPr="00CD3EF9">
        <w:rPr>
          <w:b/>
        </w:rPr>
        <w:t xml:space="preserve"> do infúzneho roztoku pre pacienta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</w:pPr>
      <w:r w:rsidRPr="00CD3EF9">
        <w:t xml:space="preserve">Rozpúšťadlá na </w:t>
      </w:r>
      <w:r w:rsidR="009448A9">
        <w:t>prípravu</w:t>
      </w:r>
      <w:r w:rsidRPr="00CD3EF9">
        <w:t xml:space="preserve"> </w:t>
      </w:r>
      <w:r w:rsidR="009448A9">
        <w:t>výslednej infúzie</w:t>
      </w:r>
      <w:r w:rsidRPr="00CD3EF9">
        <w:t xml:space="preserve"> sú: injekčný roztok chloridu sodného alebo </w:t>
      </w:r>
      <w:proofErr w:type="spellStart"/>
      <w:r w:rsidRPr="00CD3EF9">
        <w:t>Ringerov</w:t>
      </w:r>
      <w:proofErr w:type="spellEnd"/>
      <w:r w:rsidRPr="00CD3EF9">
        <w:t xml:space="preserve"> roztok</w:t>
      </w:r>
      <w:r w:rsidR="00575D46">
        <w:t xml:space="preserve"> s </w:t>
      </w:r>
      <w:proofErr w:type="spellStart"/>
      <w:r w:rsidR="00575D46">
        <w:t>laktátom</w:t>
      </w:r>
      <w:proofErr w:type="spellEnd"/>
      <w:r w:rsidRPr="00CD3EF9">
        <w:t>. Infúzny roztok sa priprav</w:t>
      </w:r>
      <w:r w:rsidR="00575D46">
        <w:t>í za</w:t>
      </w:r>
      <w:r w:rsidRPr="00CD3EF9">
        <w:t xml:space="preserve"> aseptick</w:t>
      </w:r>
      <w:r w:rsidR="00575D46">
        <w:t xml:space="preserve">ých podmienok </w:t>
      </w:r>
      <w:r w:rsidRPr="00CD3EF9">
        <w:t xml:space="preserve">pridaním príslušného množstva rekonštituovaného koncentrátu (ako </w:t>
      </w:r>
      <w:r w:rsidR="00575D46">
        <w:t>je uvedené</w:t>
      </w:r>
      <w:r w:rsidRPr="00CD3EF9">
        <w:t xml:space="preserve"> </w:t>
      </w:r>
      <w:r w:rsidR="00575D46">
        <w:t xml:space="preserve">v </w:t>
      </w:r>
      <w:r w:rsidRPr="00CD3EF9">
        <w:t>tabuľk</w:t>
      </w:r>
      <w:r w:rsidR="00575D46">
        <w:t>e nižšie</w:t>
      </w:r>
      <w:r w:rsidRPr="00CD3EF9">
        <w:t>) do 250 ml infúzneho vaku alebo fľaše. Ak je to z lekárskeho hľadiska nevyhnutné, môžu sa pre denné dávky 50 mg alebo 35 mg použiť infúzie so zníženým objemom 100 ml. Nepoužívajte roztok, ak je zakalený alebo obsahuje zrazeniny.</w:t>
      </w:r>
    </w:p>
    <w:p w:rsidR="00F50288" w:rsidRPr="00CD3EF9" w:rsidRDefault="00F50288" w:rsidP="00DD38BD">
      <w:pPr>
        <w:spacing w:line="240" w:lineRule="auto"/>
      </w:pPr>
    </w:p>
    <w:p w:rsidR="00F50288" w:rsidRPr="00CD3EF9" w:rsidRDefault="00F50288" w:rsidP="00DD38BD">
      <w:pPr>
        <w:spacing w:line="240" w:lineRule="auto"/>
        <w:rPr>
          <w:b/>
        </w:rPr>
      </w:pPr>
      <w:r w:rsidRPr="00CD3EF9">
        <w:rPr>
          <w:b/>
        </w:rPr>
        <w:t>PRÍPRAVA INFÚZNEHO ROZTOKU PRE DOSPELÝCH</w:t>
      </w:r>
    </w:p>
    <w:p w:rsidR="00F50288" w:rsidRPr="00CD3EF9" w:rsidRDefault="00F50288" w:rsidP="00DD38BD">
      <w:pPr>
        <w:spacing w:line="240" w:lineRule="auto"/>
      </w:pPr>
    </w:p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2326"/>
        <w:gridCol w:w="2293"/>
        <w:gridCol w:w="2293"/>
      </w:tblGrid>
      <w:tr w:rsidR="00F50288" w:rsidRPr="00EF1945" w:rsidTr="00E25026">
        <w:trPr>
          <w:trHeight w:hRule="exact" w:val="1351"/>
          <w:jc w:val="center"/>
        </w:trPr>
        <w:tc>
          <w:tcPr>
            <w:tcW w:w="2260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  <w:b/>
              </w:rPr>
            </w:pPr>
            <w:r w:rsidRPr="00E25026">
              <w:rPr>
                <w:b/>
              </w:rPr>
              <w:t>DÁVKA*</w:t>
            </w:r>
          </w:p>
        </w:tc>
        <w:tc>
          <w:tcPr>
            <w:tcW w:w="2326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9843BF">
            <w:pPr>
              <w:spacing w:line="240" w:lineRule="auto"/>
              <w:rPr>
                <w:rFonts w:eastAsia="Arial"/>
                <w:b/>
              </w:rPr>
            </w:pPr>
            <w:r w:rsidRPr="00E25026">
              <w:rPr>
                <w:b/>
              </w:rPr>
              <w:t xml:space="preserve">Objem rekonštituovaného </w:t>
            </w:r>
            <w:proofErr w:type="spellStart"/>
            <w:r w:rsidR="00575D46">
              <w:rPr>
                <w:b/>
              </w:rPr>
              <w:t>kaspofungínu</w:t>
            </w:r>
            <w:proofErr w:type="spellEnd"/>
            <w:r w:rsidRPr="00E25026">
              <w:rPr>
                <w:b/>
              </w:rPr>
              <w:t xml:space="preserve"> na</w:t>
            </w:r>
            <w:r w:rsidR="00575D46">
              <w:rPr>
                <w:b/>
              </w:rPr>
              <w:t> </w:t>
            </w:r>
            <w:r w:rsidRPr="00E25026">
              <w:rPr>
                <w:b/>
              </w:rPr>
              <w:t>prenos do intravenózneho vaku alebo fľaše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3D2EB4" w:rsidRPr="00E25026" w:rsidRDefault="003D2EB4" w:rsidP="00DD38BD">
            <w:pPr>
              <w:spacing w:line="240" w:lineRule="auto"/>
              <w:rPr>
                <w:b/>
              </w:rPr>
            </w:pPr>
            <w:r w:rsidRPr="00E25026">
              <w:rPr>
                <w:b/>
              </w:rPr>
              <w:t>Štandardná príprava</w:t>
            </w:r>
          </w:p>
          <w:p w:rsidR="00F50288" w:rsidRPr="00E25026" w:rsidRDefault="003D2EB4" w:rsidP="009843BF">
            <w:pPr>
              <w:spacing w:line="240" w:lineRule="auto"/>
              <w:rPr>
                <w:rFonts w:eastAsia="Arial"/>
              </w:rPr>
            </w:pPr>
            <w:r w:rsidRPr="00E25026">
              <w:t xml:space="preserve">(rekonštituovaný </w:t>
            </w:r>
            <w:proofErr w:type="spellStart"/>
            <w:r w:rsidR="00575D46">
              <w:t>kaspofungín</w:t>
            </w:r>
            <w:proofErr w:type="spellEnd"/>
            <w:r w:rsidRPr="00E25026">
              <w:t xml:space="preserve"> pridaný do</w:t>
            </w:r>
            <w:r w:rsidR="00575D46">
              <w:t> </w:t>
            </w:r>
            <w:r w:rsidRPr="00E25026">
              <w:t>250</w:t>
            </w:r>
            <w:r w:rsidR="00FA0F5C" w:rsidRPr="00E25026">
              <w:t> </w:t>
            </w:r>
            <w:r w:rsidRPr="00E25026">
              <w:t xml:space="preserve">ml) – </w:t>
            </w:r>
            <w:r w:rsidR="00575D46">
              <w:t>výsledná</w:t>
            </w:r>
            <w:r w:rsidRPr="00E25026">
              <w:t xml:space="preserve"> koncentrácia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3F3F3F"/>
            </w:tcBorders>
          </w:tcPr>
          <w:p w:rsidR="00F50288" w:rsidRPr="00E25026" w:rsidRDefault="009843BF" w:rsidP="009843BF">
            <w:pPr>
              <w:spacing w:line="240" w:lineRule="auto"/>
              <w:rPr>
                <w:rFonts w:eastAsia="Arial"/>
              </w:rPr>
            </w:pPr>
            <w:r>
              <w:rPr>
                <w:b/>
              </w:rPr>
              <w:t>Z</w:t>
            </w:r>
            <w:r w:rsidRPr="00E25026">
              <w:rPr>
                <w:b/>
              </w:rPr>
              <w:t>nížen</w:t>
            </w:r>
            <w:r>
              <w:rPr>
                <w:b/>
              </w:rPr>
              <w:t>ý</w:t>
            </w:r>
            <w:r w:rsidRPr="00E25026">
              <w:rPr>
                <w:b/>
              </w:rPr>
              <w:t xml:space="preserve"> </w:t>
            </w:r>
            <w:r w:rsidR="003D2EB4" w:rsidRPr="00E25026">
              <w:rPr>
                <w:b/>
              </w:rPr>
              <w:t>objem</w:t>
            </w:r>
            <w:r w:rsidRPr="00E25026">
              <w:rPr>
                <w:b/>
              </w:rPr>
              <w:t xml:space="preserve"> infúzie</w:t>
            </w:r>
            <w:r>
              <w:t xml:space="preserve"> </w:t>
            </w:r>
            <w:r w:rsidR="003D2EB4" w:rsidRPr="00E25026">
              <w:t xml:space="preserve">(rekonštituovaný </w:t>
            </w:r>
            <w:proofErr w:type="spellStart"/>
            <w:r>
              <w:t>kaspofungín</w:t>
            </w:r>
            <w:proofErr w:type="spellEnd"/>
            <w:r w:rsidR="003D2EB4" w:rsidRPr="00E25026">
              <w:t xml:space="preserve"> pridaný do</w:t>
            </w:r>
            <w:r>
              <w:t> </w:t>
            </w:r>
            <w:r w:rsidR="003D2EB4" w:rsidRPr="00E25026">
              <w:t>100</w:t>
            </w:r>
            <w:r w:rsidR="00FA0F5C" w:rsidRPr="00E25026">
              <w:t> </w:t>
            </w:r>
            <w:r w:rsidR="003D2EB4" w:rsidRPr="00E25026">
              <w:t xml:space="preserve">ml) – </w:t>
            </w:r>
            <w:r>
              <w:t>výsledná</w:t>
            </w:r>
            <w:r w:rsidR="003D2EB4" w:rsidRPr="00E25026">
              <w:t xml:space="preserve"> koncentrácia</w:t>
            </w:r>
          </w:p>
        </w:tc>
      </w:tr>
      <w:tr w:rsidR="00F50288" w:rsidRPr="00EF1945" w:rsidTr="00E25026">
        <w:trPr>
          <w:trHeight w:hRule="exact" w:val="383"/>
          <w:jc w:val="center"/>
        </w:trPr>
        <w:tc>
          <w:tcPr>
            <w:tcW w:w="2260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351F32" w:rsidP="00DD38BD">
            <w:pPr>
              <w:spacing w:line="240" w:lineRule="auto"/>
              <w:rPr>
                <w:rFonts w:eastAsia="Arial"/>
              </w:rPr>
            </w:pPr>
            <w:r w:rsidRPr="00E25026">
              <w:t>50 mg</w:t>
            </w:r>
          </w:p>
        </w:tc>
        <w:tc>
          <w:tcPr>
            <w:tcW w:w="2326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10 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0,20 mg/ml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3F3F3F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 xml:space="preserve"> </w:t>
            </w:r>
          </w:p>
        </w:tc>
      </w:tr>
      <w:tr w:rsidR="00F50288" w:rsidRPr="00EF1945" w:rsidTr="00E25026">
        <w:trPr>
          <w:trHeight w:hRule="exact" w:val="558"/>
          <w:jc w:val="center"/>
        </w:trPr>
        <w:tc>
          <w:tcPr>
            <w:tcW w:w="2260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351F32" w:rsidP="00DD38BD">
            <w:pPr>
              <w:spacing w:line="240" w:lineRule="auto"/>
              <w:rPr>
                <w:rFonts w:eastAsia="Arial"/>
              </w:rPr>
            </w:pPr>
            <w:r w:rsidRPr="00E25026">
              <w:t>50 mg pri zníženom objeme</w:t>
            </w:r>
          </w:p>
        </w:tc>
        <w:tc>
          <w:tcPr>
            <w:tcW w:w="2326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10 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 xml:space="preserve"> 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3F3F3F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0,47 mg/ml</w:t>
            </w:r>
          </w:p>
        </w:tc>
      </w:tr>
      <w:tr w:rsidR="00F50288" w:rsidRPr="00EF1945" w:rsidTr="00E25026">
        <w:trPr>
          <w:trHeight w:hRule="exact" w:val="1416"/>
          <w:jc w:val="center"/>
        </w:trPr>
        <w:tc>
          <w:tcPr>
            <w:tcW w:w="2260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 xml:space="preserve">35 mg pri stredne </w:t>
            </w:r>
            <w:r w:rsidR="009843BF">
              <w:t>závažnej poruche funkcie</w:t>
            </w:r>
            <w:r w:rsidRPr="00E25026">
              <w:t xml:space="preserve"> pečene</w:t>
            </w:r>
          </w:p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(z jednej 50 mg injekčnej liekovky)</w:t>
            </w:r>
          </w:p>
        </w:tc>
        <w:tc>
          <w:tcPr>
            <w:tcW w:w="2326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7 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0,14 mg/ml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3F3F3F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 xml:space="preserve"> </w:t>
            </w:r>
          </w:p>
        </w:tc>
      </w:tr>
      <w:tr w:rsidR="00F50288" w:rsidRPr="00EF1945" w:rsidTr="00E25026">
        <w:trPr>
          <w:trHeight w:hRule="exact" w:val="1564"/>
          <w:jc w:val="center"/>
        </w:trPr>
        <w:tc>
          <w:tcPr>
            <w:tcW w:w="2260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35 mg pri stredne ťažkom poškodení pečene</w:t>
            </w:r>
          </w:p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(z jednej 50 mg injekčnej liekovky) pri zníženom objeme</w:t>
            </w:r>
          </w:p>
        </w:tc>
        <w:tc>
          <w:tcPr>
            <w:tcW w:w="2326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7 ml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101010"/>
            </w:tcBorders>
          </w:tcPr>
          <w:p w:rsidR="00F50288" w:rsidRPr="00E25026" w:rsidRDefault="00F50288" w:rsidP="00DD38BD">
            <w:pPr>
              <w:spacing w:line="240" w:lineRule="auto"/>
            </w:pPr>
          </w:p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 xml:space="preserve"> </w:t>
            </w:r>
          </w:p>
        </w:tc>
        <w:tc>
          <w:tcPr>
            <w:tcW w:w="2293" w:type="dxa"/>
            <w:tcBorders>
              <w:top w:val="single" w:sz="6" w:space="0" w:color="101010"/>
              <w:left w:val="single" w:sz="6" w:space="0" w:color="101010"/>
              <w:bottom w:val="single" w:sz="6" w:space="0" w:color="101010"/>
              <w:right w:val="single" w:sz="6" w:space="0" w:color="3F3F3F"/>
            </w:tcBorders>
          </w:tcPr>
          <w:p w:rsidR="00F50288" w:rsidRPr="00E25026" w:rsidRDefault="00F50288" w:rsidP="00DD38BD">
            <w:pPr>
              <w:spacing w:line="240" w:lineRule="auto"/>
              <w:rPr>
                <w:rFonts w:eastAsia="Arial"/>
              </w:rPr>
            </w:pPr>
            <w:r w:rsidRPr="00E25026">
              <w:t>0,34 mg/ml</w:t>
            </w:r>
          </w:p>
        </w:tc>
      </w:tr>
      <w:tr w:rsidR="006954B6" w:rsidRPr="00EF1945" w:rsidTr="00E25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1"/>
          <w:jc w:val="center"/>
        </w:trPr>
        <w:tc>
          <w:tcPr>
            <w:tcW w:w="2260" w:type="dxa"/>
          </w:tcPr>
          <w:p w:rsidR="006954B6" w:rsidRPr="00E25026" w:rsidRDefault="00351F32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70 mg</w:t>
            </w:r>
          </w:p>
        </w:tc>
        <w:tc>
          <w:tcPr>
            <w:tcW w:w="2326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10 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0,28 mg/ml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Neodporúča sa</w:t>
            </w:r>
          </w:p>
        </w:tc>
      </w:tr>
      <w:tr w:rsidR="006954B6" w:rsidRPr="00EF1945" w:rsidTr="00E25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3"/>
          <w:jc w:val="center"/>
        </w:trPr>
        <w:tc>
          <w:tcPr>
            <w:tcW w:w="2260" w:type="dxa"/>
          </w:tcPr>
          <w:p w:rsidR="006954B6" w:rsidRPr="00E25026" w:rsidRDefault="00351F32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70 mg</w:t>
            </w:r>
          </w:p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(z dvoch 50 mg injekčných liekoviek)**</w:t>
            </w:r>
          </w:p>
        </w:tc>
        <w:tc>
          <w:tcPr>
            <w:tcW w:w="2326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14 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0,28 mg/ml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Neodporúča sa</w:t>
            </w:r>
          </w:p>
        </w:tc>
      </w:tr>
      <w:tr w:rsidR="006954B6" w:rsidRPr="00EF1945" w:rsidTr="00E25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27"/>
          <w:jc w:val="center"/>
        </w:trPr>
        <w:tc>
          <w:tcPr>
            <w:tcW w:w="2260" w:type="dxa"/>
          </w:tcPr>
          <w:p w:rsidR="003A36B3" w:rsidRPr="00E25026" w:rsidRDefault="006954B6" w:rsidP="00DD38BD">
            <w:pPr>
              <w:spacing w:line="240" w:lineRule="auto"/>
              <w:rPr>
                <w:spacing w:val="-1"/>
                <w:highlight w:val="lightGray"/>
              </w:rPr>
            </w:pPr>
            <w:r w:rsidRPr="00E25026">
              <w:rPr>
                <w:highlight w:val="lightGray"/>
              </w:rPr>
              <w:t xml:space="preserve">35 mg pri stredne </w:t>
            </w:r>
            <w:r w:rsidR="009843BF">
              <w:rPr>
                <w:highlight w:val="lightGray"/>
              </w:rPr>
              <w:t>závažnej poruche funkcie</w:t>
            </w:r>
            <w:r w:rsidRPr="00E25026">
              <w:rPr>
                <w:highlight w:val="lightGray"/>
              </w:rPr>
              <w:t xml:space="preserve"> pečene</w:t>
            </w:r>
          </w:p>
          <w:p w:rsidR="006954B6" w:rsidRPr="00E25026" w:rsidRDefault="003A36B3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(z jednej 70 mg injekčnej liekovky)</w:t>
            </w:r>
          </w:p>
        </w:tc>
        <w:tc>
          <w:tcPr>
            <w:tcW w:w="2326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5 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0,14 mg/ml</w:t>
            </w:r>
          </w:p>
        </w:tc>
        <w:tc>
          <w:tcPr>
            <w:tcW w:w="2293" w:type="dxa"/>
          </w:tcPr>
          <w:p w:rsidR="006954B6" w:rsidRPr="00E25026" w:rsidRDefault="006954B6" w:rsidP="00DD38BD">
            <w:pPr>
              <w:spacing w:line="240" w:lineRule="auto"/>
              <w:rPr>
                <w:rFonts w:eastAsia="Arial"/>
                <w:highlight w:val="lightGray"/>
              </w:rPr>
            </w:pPr>
            <w:r w:rsidRPr="00E25026">
              <w:rPr>
                <w:highlight w:val="lightGray"/>
              </w:rPr>
              <w:t>0,34 mg/ml</w:t>
            </w:r>
          </w:p>
        </w:tc>
      </w:tr>
    </w:tbl>
    <w:p w:rsidR="009843BF" w:rsidRPr="00CD3EF9" w:rsidRDefault="009843BF" w:rsidP="00DD38BD">
      <w:pPr>
        <w:spacing w:line="240" w:lineRule="auto"/>
      </w:pPr>
    </w:p>
    <w:p w:rsidR="003B4305" w:rsidRPr="00CD3EF9" w:rsidRDefault="003B4305" w:rsidP="00DD38BD">
      <w:pPr>
        <w:spacing w:line="240" w:lineRule="auto"/>
      </w:pPr>
      <w:r w:rsidRPr="00CD3EF9">
        <w:t>* Na rekonštitúciu všetkých injekčných liekoviek sa musí použiť 10,5 ml</w:t>
      </w:r>
      <w:r w:rsidR="009843BF">
        <w:t>.</w:t>
      </w:r>
    </w:p>
    <w:p w:rsidR="003B4305" w:rsidRPr="00CD3EF9" w:rsidRDefault="003B4305" w:rsidP="00DD38BD">
      <w:pPr>
        <w:spacing w:line="240" w:lineRule="auto"/>
      </w:pPr>
      <w:r w:rsidRPr="00CD3EF9">
        <w:t>**</w:t>
      </w:r>
      <w:r w:rsidR="009742E9" w:rsidRPr="00CD3EF9">
        <w:t xml:space="preserve"> </w:t>
      </w:r>
      <w:r w:rsidRPr="00CD3EF9">
        <w:t xml:space="preserve">Ak nie je k dispozícii 70 mg injekčná liekovka, 70 mg dávku </w:t>
      </w:r>
      <w:r w:rsidR="009843BF">
        <w:t xml:space="preserve">je možné pripraviť </w:t>
      </w:r>
      <w:r w:rsidRPr="00CD3EF9">
        <w:t>z dvoch 50 mg injekčných liekoviek</w:t>
      </w:r>
      <w:r w:rsidR="009843BF">
        <w:t>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B4305" w:rsidP="00DD38BD">
      <w:pPr>
        <w:spacing w:line="240" w:lineRule="auto"/>
        <w:rPr>
          <w:b/>
        </w:rPr>
      </w:pPr>
      <w:r w:rsidRPr="00CD3EF9">
        <w:rPr>
          <w:b/>
        </w:rPr>
        <w:t>POKYNY NA POUŽITIE U PEDIATRICKÝCH PACIENTOV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4A77B9" w:rsidP="00DD38BD">
      <w:pPr>
        <w:spacing w:line="240" w:lineRule="auto"/>
        <w:rPr>
          <w:rFonts w:eastAsia="Arial"/>
        </w:rPr>
      </w:pPr>
      <w:r w:rsidRPr="00CD3EF9">
        <w:rPr>
          <w:i/>
          <w:u w:val="single" w:color="000000"/>
        </w:rPr>
        <w:t xml:space="preserve">Výpočet </w:t>
      </w:r>
      <w:r w:rsidR="009843BF">
        <w:rPr>
          <w:i/>
          <w:u w:val="single" w:color="000000"/>
        </w:rPr>
        <w:t>veľkosti</w:t>
      </w:r>
      <w:r w:rsidRPr="00CD3EF9">
        <w:rPr>
          <w:i/>
          <w:u w:val="single" w:color="000000"/>
        </w:rPr>
        <w:t xml:space="preserve"> povrchu tela (BSA</w:t>
      </w:r>
      <w:r w:rsidR="009843BF">
        <w:rPr>
          <w:i/>
          <w:u w:val="single" w:color="000000"/>
        </w:rPr>
        <w:t xml:space="preserve">-body </w:t>
      </w:r>
      <w:proofErr w:type="spellStart"/>
      <w:r w:rsidR="009843BF">
        <w:rPr>
          <w:i/>
          <w:u w:val="single" w:color="000000"/>
        </w:rPr>
        <w:t>surface</w:t>
      </w:r>
      <w:proofErr w:type="spellEnd"/>
      <w:r w:rsidR="009843BF">
        <w:rPr>
          <w:i/>
          <w:u w:val="single" w:color="000000"/>
        </w:rPr>
        <w:t xml:space="preserve"> </w:t>
      </w:r>
      <w:proofErr w:type="spellStart"/>
      <w:r w:rsidR="009843BF">
        <w:rPr>
          <w:i/>
          <w:u w:val="single" w:color="000000"/>
        </w:rPr>
        <w:t>area</w:t>
      </w:r>
      <w:proofErr w:type="spellEnd"/>
      <w:r w:rsidRPr="00CD3EF9">
        <w:rPr>
          <w:i/>
          <w:u w:val="single" w:color="000000"/>
        </w:rPr>
        <w:t xml:space="preserve">) </w:t>
      </w:r>
      <w:r w:rsidR="009843BF">
        <w:rPr>
          <w:i/>
          <w:u w:val="single" w:color="000000"/>
        </w:rPr>
        <w:t>pri</w:t>
      </w:r>
      <w:r w:rsidRPr="00CD3EF9">
        <w:rPr>
          <w:i/>
          <w:u w:val="single" w:color="000000"/>
        </w:rPr>
        <w:t xml:space="preserve"> pediatrick</w:t>
      </w:r>
      <w:r w:rsidR="009843BF">
        <w:rPr>
          <w:i/>
          <w:u w:val="single" w:color="000000"/>
        </w:rPr>
        <w:t>om</w:t>
      </w:r>
      <w:r w:rsidRPr="00CD3EF9">
        <w:rPr>
          <w:i/>
          <w:u w:val="single" w:color="000000"/>
        </w:rPr>
        <w:t xml:space="preserve"> </w:t>
      </w:r>
      <w:r w:rsidR="009843BF">
        <w:rPr>
          <w:i/>
          <w:u w:val="single" w:color="000000"/>
        </w:rPr>
        <w:t>dávkovaní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B4305" w:rsidP="00FA0B91">
      <w:pPr>
        <w:spacing w:after="120" w:line="240" w:lineRule="auto"/>
      </w:pPr>
      <w:r w:rsidRPr="00CD3EF9">
        <w:t xml:space="preserve">Pred prípravou infúzie vypočítajte </w:t>
      </w:r>
      <w:r w:rsidR="009843BF">
        <w:t>veľkosť</w:t>
      </w:r>
      <w:r w:rsidRPr="00CD3EF9">
        <w:t xml:space="preserve"> povrchu tela (BSA) pacienta </w:t>
      </w:r>
      <w:r w:rsidR="009843BF">
        <w:t>podľa</w:t>
      </w:r>
      <w:r w:rsidRPr="00CD3EF9">
        <w:t> nasled</w:t>
      </w:r>
      <w:r w:rsidR="009843BF">
        <w:t xml:space="preserve">ovného </w:t>
      </w:r>
      <w:r w:rsidRPr="00CD3EF9">
        <w:t>vzorca: (</w:t>
      </w:r>
      <w:proofErr w:type="spellStart"/>
      <w:r w:rsidRPr="00CD3EF9">
        <w:t>Mosteller</w:t>
      </w:r>
      <w:r w:rsidR="009843BF">
        <w:t>ov</w:t>
      </w:r>
      <w:proofErr w:type="spellEnd"/>
      <w:r w:rsidR="009843BF">
        <w:t xml:space="preserve"> vzorec</w:t>
      </w:r>
      <w:r w:rsidRPr="00CD3EF9">
        <w:t>)</w:t>
      </w:r>
    </w:p>
    <w:p w:rsidR="00570384" w:rsidRPr="00570384" w:rsidRDefault="00570384" w:rsidP="00570384">
      <w:pPr>
        <w:rPr>
          <w:rFonts w:asciiTheme="minorBidi" w:hAnsiTheme="minorBidi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BSA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výška (cm)×hmotnosť (kg)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3600</m:t>
                  </m:r>
                </m:den>
              </m:f>
            </m:e>
          </m:rad>
        </m:oMath>
      </m:oMathPara>
    </w:p>
    <w:p w:rsidR="003B4305" w:rsidRPr="00CD3EF9" w:rsidRDefault="003B4305" w:rsidP="001C67CB">
      <w:pPr>
        <w:spacing w:after="120" w:line="240" w:lineRule="auto"/>
      </w:pPr>
    </w:p>
    <w:p w:rsidR="003A36B3" w:rsidRPr="00CD3EF9" w:rsidRDefault="003A36B3" w:rsidP="00DD38BD">
      <w:pPr>
        <w:spacing w:line="240" w:lineRule="auto"/>
        <w:rPr>
          <w:b/>
          <w:i/>
          <w:spacing w:val="-2"/>
          <w:w w:val="110"/>
          <w:u w:val="single"/>
        </w:rPr>
      </w:pPr>
      <w:r w:rsidRPr="00CD3EF9">
        <w:rPr>
          <w:b/>
          <w:i/>
          <w:u w:val="single"/>
        </w:rPr>
        <w:t>Príprava infúzie 70 mg/m</w:t>
      </w:r>
      <w:r w:rsidRPr="00CD3EF9">
        <w:rPr>
          <w:b/>
          <w:i/>
          <w:u w:val="single"/>
          <w:vertAlign w:val="superscript"/>
        </w:rPr>
        <w:t>2</w:t>
      </w:r>
      <w:r w:rsidRPr="00CD3EF9">
        <w:rPr>
          <w:b/>
          <w:i/>
          <w:u w:val="single"/>
        </w:rPr>
        <w:t xml:space="preserve"> pre pediatrických pacientov starších než 3 mesiace (p</w:t>
      </w:r>
      <w:r w:rsidR="00633EC3">
        <w:rPr>
          <w:b/>
          <w:i/>
          <w:u w:val="single"/>
        </w:rPr>
        <w:t>ri použití</w:t>
      </w:r>
      <w:r w:rsidRPr="00CD3EF9">
        <w:rPr>
          <w:b/>
          <w:i/>
          <w:u w:val="single"/>
        </w:rPr>
        <w:t xml:space="preserve"> 50 mg injekčnej liekovky alebo 70 mg injekčnej liekovky). 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405E44" w:rsidP="00DD38BD">
      <w:pPr>
        <w:spacing w:line="240" w:lineRule="auto"/>
      </w:pPr>
      <w:r w:rsidRPr="00CD3EF9">
        <w:t xml:space="preserve">1. </w:t>
      </w:r>
      <w:r w:rsidR="00633EC3">
        <w:t>Stanovte</w:t>
      </w:r>
      <w:r w:rsidRPr="00CD3EF9">
        <w:t xml:space="preserve"> skutočnú </w:t>
      </w:r>
      <w:r w:rsidR="00633EC3">
        <w:t>počiatočnú</w:t>
      </w:r>
      <w:r w:rsidRPr="00CD3EF9">
        <w:t xml:space="preserve"> dávku pre pediatrického pacienta </w:t>
      </w:r>
      <w:r w:rsidR="00633EC3">
        <w:t>podľa veľkosti</w:t>
      </w:r>
      <w:r w:rsidRPr="00CD3EF9">
        <w:t xml:space="preserve"> povrchu tela pacienta (</w:t>
      </w:r>
      <w:r w:rsidR="00633EC3">
        <w:t xml:space="preserve">podľa </w:t>
      </w:r>
      <w:r w:rsidRPr="00CD3EF9">
        <w:t>v</w:t>
      </w:r>
      <w:r w:rsidR="00633EC3">
        <w:t>ý</w:t>
      </w:r>
      <w:r w:rsidRPr="00CD3EF9">
        <w:t>poč</w:t>
      </w:r>
      <w:r w:rsidR="00633EC3">
        <w:t>tu</w:t>
      </w:r>
      <w:r w:rsidRPr="00CD3EF9">
        <w:t xml:space="preserve"> vyššie) a nasled</w:t>
      </w:r>
      <w:r w:rsidR="00633EC3">
        <w:t>ovnej</w:t>
      </w:r>
      <w:r w:rsidRPr="00CD3EF9">
        <w:t xml:space="preserve"> rovnice: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B4305" w:rsidP="00DD38BD">
      <w:pPr>
        <w:spacing w:line="240" w:lineRule="auto"/>
      </w:pPr>
      <w:r w:rsidRPr="00CD3EF9">
        <w:t>BSA (m</w:t>
      </w:r>
      <w:r w:rsidRPr="00CD3EF9">
        <w:rPr>
          <w:vertAlign w:val="superscript"/>
        </w:rPr>
        <w:t>2</w:t>
      </w:r>
      <w:r w:rsidRPr="00CD3EF9">
        <w:t>) x 70 mg/m</w:t>
      </w:r>
      <w:r w:rsidRPr="00CD3EF9">
        <w:rPr>
          <w:vertAlign w:val="superscript"/>
        </w:rPr>
        <w:t>2</w:t>
      </w:r>
      <w:r w:rsidRPr="00CD3EF9">
        <w:t xml:space="preserve"> = </w:t>
      </w:r>
      <w:r w:rsidR="00633EC3">
        <w:t>počiatočná</w:t>
      </w:r>
      <w:r w:rsidRPr="00CD3EF9">
        <w:t xml:space="preserve"> dávka</w:t>
      </w:r>
    </w:p>
    <w:p w:rsidR="004A77B9" w:rsidRPr="00CD3EF9" w:rsidRDefault="004A77B9" w:rsidP="00DD38BD">
      <w:pPr>
        <w:spacing w:line="240" w:lineRule="auto"/>
        <w:rPr>
          <w:spacing w:val="-1"/>
        </w:rPr>
      </w:pPr>
    </w:p>
    <w:p w:rsidR="003B4305" w:rsidRPr="00CD3EF9" w:rsidRDefault="003B4305" w:rsidP="00DD38BD">
      <w:pPr>
        <w:spacing w:line="240" w:lineRule="auto"/>
      </w:pPr>
      <w:r w:rsidRPr="00CD3EF9">
        <w:t xml:space="preserve">Maximálna </w:t>
      </w:r>
      <w:r w:rsidR="00633EC3">
        <w:t>počiatočná</w:t>
      </w:r>
      <w:r w:rsidRPr="00CD3EF9">
        <w:t xml:space="preserve"> dávka </w:t>
      </w:r>
      <w:r w:rsidR="00633EC3">
        <w:t>v</w:t>
      </w:r>
      <w:r w:rsidRPr="00CD3EF9">
        <w:t xml:space="preserve"> 1. deň nesmie prekročiť 70 mg bez ohľadu na dávku vypočítanú pre</w:t>
      </w:r>
      <w:r w:rsidR="00633EC3">
        <w:t> </w:t>
      </w:r>
      <w:r w:rsidRPr="00CD3EF9">
        <w:t>pacienta.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 xml:space="preserve">2. Počkajte, kým sa vychladená injekčná liekovka </w:t>
      </w:r>
      <w:proofErr w:type="spellStart"/>
      <w:r w:rsidR="00BF4BA7" w:rsidRPr="00CD3EF9">
        <w:t>Caspofungin</w:t>
      </w:r>
      <w:proofErr w:type="spellEnd"/>
      <w:r w:rsidR="00BF4BA7" w:rsidRPr="00CD3EF9">
        <w:t xml:space="preserve"> </w:t>
      </w:r>
      <w:proofErr w:type="spellStart"/>
      <w:r w:rsidR="00BF4BA7" w:rsidRPr="00CD3EF9">
        <w:t>Xellia</w:t>
      </w:r>
      <w:proofErr w:type="spellEnd"/>
      <w:r w:rsidRPr="00CD3EF9">
        <w:t xml:space="preserve"> neohreje na izbovú teplotu.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 xml:space="preserve">3. Asepticky pridajte 10,5 ml vody na </w:t>
      </w:r>
      <w:proofErr w:type="spellStart"/>
      <w:r w:rsidRPr="00CD3EF9">
        <w:t>injekciu.</w:t>
      </w:r>
      <w:r w:rsidRPr="00CD3EF9">
        <w:rPr>
          <w:vertAlign w:val="superscript"/>
        </w:rPr>
        <w:t>a</w:t>
      </w:r>
      <w:proofErr w:type="spellEnd"/>
      <w:r w:rsidRPr="00CD3EF9">
        <w:t xml:space="preserve"> Takto rekonštituovaný roztok je možné </w:t>
      </w:r>
      <w:r w:rsidR="00633EC3">
        <w:t>uchovávať</w:t>
      </w:r>
      <w:r w:rsidRPr="00CD3EF9">
        <w:t xml:space="preserve"> </w:t>
      </w:r>
      <w:r w:rsidR="00633EC3">
        <w:t>do </w:t>
      </w:r>
      <w:r w:rsidRPr="00CD3EF9">
        <w:t xml:space="preserve">24 hodín pri teplote 25°C alebo </w:t>
      </w:r>
      <w:proofErr w:type="spellStart"/>
      <w:r w:rsidRPr="00CD3EF9">
        <w:t>nižšej.</w:t>
      </w:r>
      <w:r w:rsidRPr="00CD3EF9">
        <w:rPr>
          <w:vertAlign w:val="superscript"/>
        </w:rPr>
        <w:t>b</w:t>
      </w:r>
      <w:proofErr w:type="spellEnd"/>
      <w:r w:rsidRPr="00CD3EF9">
        <w:t xml:space="preserve"> </w:t>
      </w:r>
      <w:r w:rsidR="00633EC3">
        <w:t>Výsledná</w:t>
      </w:r>
      <w:r w:rsidRPr="00CD3EF9">
        <w:t xml:space="preserve"> koncentrácia </w:t>
      </w:r>
      <w:proofErr w:type="spellStart"/>
      <w:r w:rsidRPr="00CD3EF9">
        <w:t>kaspofungínu</w:t>
      </w:r>
      <w:proofErr w:type="spellEnd"/>
      <w:r w:rsidRPr="00CD3EF9">
        <w:t xml:space="preserve"> v injekčnej liekovke bude 5,2 mg/ml (ak je použitá 50 mg injekčná liekovka) alebo 7,2 mg/ml (ak je použitá 70 mg injekčná liekovka).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  <w:rPr>
          <w:spacing w:val="-1"/>
        </w:rPr>
      </w:pPr>
      <w:r w:rsidRPr="00CD3EF9">
        <w:t>4. Z injekčnej liekovky od</w:t>
      </w:r>
      <w:r w:rsidR="00633EC3">
        <w:t>oberte</w:t>
      </w:r>
      <w:r w:rsidRPr="00CD3EF9">
        <w:t xml:space="preserve"> objem lieku rovný vypočítanej </w:t>
      </w:r>
      <w:r w:rsidR="00633EC3">
        <w:t>počiatočnej</w:t>
      </w:r>
      <w:r w:rsidRPr="00CD3EF9">
        <w:t xml:space="preserve"> dávke (1. krok). Asepticky preneste tento objem (ml)</w:t>
      </w:r>
      <w:r w:rsidRPr="00CD3EF9">
        <w:rPr>
          <w:vertAlign w:val="superscript"/>
        </w:rPr>
        <w:t>c</w:t>
      </w:r>
      <w:r w:rsidRPr="00CD3EF9">
        <w:t xml:space="preserve"> rekonštituovaného </w:t>
      </w:r>
      <w:proofErr w:type="spellStart"/>
      <w:r w:rsidR="00633EC3">
        <w:t>kaspofungínu</w:t>
      </w:r>
      <w:proofErr w:type="spellEnd"/>
      <w:r w:rsidRPr="00CD3EF9">
        <w:t xml:space="preserve"> do intravenózneho vaku (alebo fľaše) obsahujúceho 250 ml injekčného roztoku chloridu sodného s koncentráciou 0,9 %, 0,45 % alebo 0,225 % alebo </w:t>
      </w:r>
      <w:proofErr w:type="spellStart"/>
      <w:r w:rsidRPr="00CD3EF9">
        <w:t>Ringerovho</w:t>
      </w:r>
      <w:proofErr w:type="spellEnd"/>
      <w:r w:rsidRPr="00CD3EF9">
        <w:t xml:space="preserve"> roztoku</w:t>
      </w:r>
      <w:r w:rsidR="00633EC3">
        <w:t xml:space="preserve"> s </w:t>
      </w:r>
      <w:proofErr w:type="spellStart"/>
      <w:r w:rsidR="00633EC3">
        <w:t>laktátom</w:t>
      </w:r>
      <w:proofErr w:type="spellEnd"/>
      <w:r w:rsidRPr="00CD3EF9">
        <w:t xml:space="preserve">. </w:t>
      </w:r>
      <w:r w:rsidR="00633EC3">
        <w:t>Prípadne</w:t>
      </w:r>
      <w:r w:rsidRPr="00CD3EF9">
        <w:t xml:space="preserve"> je možné objem (ml)</w:t>
      </w:r>
      <w:r w:rsidRPr="00CD3EF9">
        <w:rPr>
          <w:vertAlign w:val="superscript"/>
        </w:rPr>
        <w:t>c</w:t>
      </w:r>
      <w:r w:rsidRPr="00CD3EF9">
        <w:t xml:space="preserve"> rekonštituovaného </w:t>
      </w:r>
      <w:proofErr w:type="spellStart"/>
      <w:r w:rsidR="00633EC3">
        <w:t>kaspofungínu</w:t>
      </w:r>
      <w:proofErr w:type="spellEnd"/>
      <w:r w:rsidRPr="00CD3EF9">
        <w:t xml:space="preserve"> pridať do zníženého objemu injekčného roztoku chloridu sodného s koncentráciou 0,9 %, 0,45 % alebo 0,225 % alebo </w:t>
      </w:r>
      <w:proofErr w:type="spellStart"/>
      <w:r w:rsidRPr="00CD3EF9">
        <w:t>Ringerovho</w:t>
      </w:r>
      <w:proofErr w:type="spellEnd"/>
      <w:r w:rsidRPr="00CD3EF9">
        <w:t xml:space="preserve"> roztoku</w:t>
      </w:r>
      <w:r w:rsidR="00633EC3">
        <w:t xml:space="preserve"> s </w:t>
      </w:r>
      <w:proofErr w:type="spellStart"/>
      <w:r w:rsidR="00633EC3">
        <w:t>laktátom</w:t>
      </w:r>
      <w:proofErr w:type="spellEnd"/>
      <w:r w:rsidRPr="00CD3EF9">
        <w:t xml:space="preserve">, pričom nesmie byť prekročená </w:t>
      </w:r>
      <w:r w:rsidR="00633EC3">
        <w:t>výsledná</w:t>
      </w:r>
      <w:r w:rsidRPr="00CD3EF9">
        <w:t xml:space="preserve"> koncentrácia 0,5 mg/ml. Tento infúzny roztok sa musí použiť do 24 hodín, ak je </w:t>
      </w:r>
      <w:r w:rsidR="00633EC3">
        <w:t>uchovávaný</w:t>
      </w:r>
      <w:r w:rsidRPr="00CD3EF9">
        <w:t xml:space="preserve"> pri teplote 25°C alebo nižšej, alebo do 48 hodín, ak je skladovaný v chladničke pri teplote </w:t>
      </w:r>
      <w:r w:rsidR="00E75685" w:rsidRPr="00CD3EF9">
        <w:t>2°C – 8°C</w:t>
      </w:r>
      <w:r w:rsidRPr="00CD3EF9">
        <w:t>.</w:t>
      </w:r>
    </w:p>
    <w:p w:rsidR="003B4305" w:rsidRPr="00CD3EF9" w:rsidRDefault="003B4305" w:rsidP="00DD38BD">
      <w:pPr>
        <w:spacing w:line="240" w:lineRule="auto"/>
        <w:rPr>
          <w:spacing w:val="-1"/>
        </w:rPr>
      </w:pPr>
    </w:p>
    <w:p w:rsidR="00314D1F" w:rsidRPr="00CD3EF9" w:rsidRDefault="00314D1F" w:rsidP="00DD38BD">
      <w:pPr>
        <w:spacing w:line="240" w:lineRule="auto"/>
        <w:rPr>
          <w:b/>
          <w:i/>
          <w:spacing w:val="-2"/>
          <w:w w:val="110"/>
          <w:u w:val="single"/>
        </w:rPr>
      </w:pPr>
      <w:r w:rsidRPr="00CD3EF9">
        <w:rPr>
          <w:b/>
          <w:i/>
          <w:u w:val="single"/>
        </w:rPr>
        <w:t>Príprava infúzie 50 mg/m</w:t>
      </w:r>
      <w:r w:rsidRPr="00CD3EF9">
        <w:rPr>
          <w:b/>
          <w:i/>
          <w:u w:val="single"/>
          <w:vertAlign w:val="superscript"/>
        </w:rPr>
        <w:t>2</w:t>
      </w:r>
      <w:r w:rsidRPr="00CD3EF9">
        <w:rPr>
          <w:b/>
          <w:i/>
          <w:u w:val="single"/>
        </w:rPr>
        <w:t xml:space="preserve"> pre pediatrických pacientov starších než 3 mesiace (p</w:t>
      </w:r>
      <w:r w:rsidR="00633EC3">
        <w:rPr>
          <w:b/>
          <w:i/>
          <w:u w:val="single"/>
        </w:rPr>
        <w:t>ri použití</w:t>
      </w:r>
      <w:r w:rsidRPr="00CD3EF9">
        <w:rPr>
          <w:b/>
          <w:i/>
          <w:u w:val="single"/>
        </w:rPr>
        <w:t xml:space="preserve"> 50 mg injekčnej liekovky alebo 70 mg injekčnej liekovky). </w:t>
      </w:r>
    </w:p>
    <w:p w:rsidR="00314D1F" w:rsidRPr="00CD3EF9" w:rsidRDefault="00314D1F" w:rsidP="00DD38BD">
      <w:pPr>
        <w:spacing w:line="240" w:lineRule="auto"/>
        <w:rPr>
          <w:spacing w:val="-1"/>
        </w:rPr>
      </w:pPr>
    </w:p>
    <w:p w:rsidR="003B4305" w:rsidRPr="00CD3EF9" w:rsidRDefault="00314D1F" w:rsidP="00DD38BD">
      <w:pPr>
        <w:spacing w:line="240" w:lineRule="auto"/>
      </w:pPr>
      <w:r w:rsidRPr="00CD3EF9">
        <w:t xml:space="preserve">1. </w:t>
      </w:r>
      <w:r w:rsidR="00633EC3">
        <w:t>Stanovte</w:t>
      </w:r>
      <w:r w:rsidRPr="00CD3EF9">
        <w:t xml:space="preserve"> skutočnú dennú udržiavaciu dávku pre pediatrického pacienta </w:t>
      </w:r>
      <w:r w:rsidR="00633EC3">
        <w:t>podľa veľkosti</w:t>
      </w:r>
      <w:r w:rsidRPr="00CD3EF9">
        <w:t xml:space="preserve"> povrchu tela pacienta (</w:t>
      </w:r>
      <w:r w:rsidR="00633EC3">
        <w:t>podľa výpočtu</w:t>
      </w:r>
      <w:r w:rsidRPr="00CD3EF9">
        <w:t xml:space="preserve"> vyššie) a nasled</w:t>
      </w:r>
      <w:r w:rsidR="00633EC3">
        <w:t>ovnej</w:t>
      </w:r>
      <w:r w:rsidRPr="00CD3EF9">
        <w:t xml:space="preserve"> rovnice: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>BSA (m</w:t>
      </w:r>
      <w:r w:rsidRPr="00CD3EF9">
        <w:rPr>
          <w:vertAlign w:val="superscript"/>
        </w:rPr>
        <w:t>2</w:t>
      </w:r>
      <w:r w:rsidRPr="00CD3EF9">
        <w:t>) x 50 mg/m</w:t>
      </w:r>
      <w:r w:rsidRPr="00CD3EF9">
        <w:rPr>
          <w:vertAlign w:val="superscript"/>
        </w:rPr>
        <w:t>2</w:t>
      </w:r>
      <w:r w:rsidRPr="00CD3EF9">
        <w:t xml:space="preserve"> = denná udržiavacia dávka</w:t>
      </w:r>
    </w:p>
    <w:p w:rsidR="004A77B9" w:rsidRPr="00CD3EF9" w:rsidRDefault="004A77B9" w:rsidP="00DD38BD">
      <w:pPr>
        <w:spacing w:line="240" w:lineRule="auto"/>
        <w:rPr>
          <w:spacing w:val="-1"/>
        </w:rPr>
      </w:pPr>
    </w:p>
    <w:p w:rsidR="003B4305" w:rsidRPr="00CD3EF9" w:rsidRDefault="003B4305" w:rsidP="00DD38BD">
      <w:pPr>
        <w:spacing w:line="240" w:lineRule="auto"/>
      </w:pPr>
      <w:r w:rsidRPr="00CD3EF9">
        <w:t>Denná udržiavacia dávka nesmie prekročiť 70 mg bez ohľadu na dávku vypočítanú pre pacienta.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 xml:space="preserve">2. Počkajte, kým sa vychladená injekčná liekovka </w:t>
      </w:r>
      <w:proofErr w:type="spellStart"/>
      <w:r w:rsidR="00340845">
        <w:t>kaspofungínu</w:t>
      </w:r>
      <w:proofErr w:type="spellEnd"/>
      <w:r w:rsidRPr="00CD3EF9">
        <w:t xml:space="preserve"> neohreje na izbovú teplotu.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 xml:space="preserve">3. Asepticky pridajte 10,5 ml vody na </w:t>
      </w:r>
      <w:proofErr w:type="spellStart"/>
      <w:r w:rsidRPr="00CD3EF9">
        <w:t>injekciu.</w:t>
      </w:r>
      <w:r w:rsidRPr="00CD3EF9">
        <w:rPr>
          <w:vertAlign w:val="superscript"/>
        </w:rPr>
        <w:t>a</w:t>
      </w:r>
      <w:proofErr w:type="spellEnd"/>
      <w:r w:rsidRPr="00CD3EF9">
        <w:t xml:space="preserve"> Takto rekonštituovaný roztok je možné </w:t>
      </w:r>
      <w:r w:rsidR="00340845">
        <w:t>uchovávať do </w:t>
      </w:r>
      <w:r w:rsidRPr="00CD3EF9">
        <w:t xml:space="preserve">24 hodín pri teplote 25°C alebo </w:t>
      </w:r>
      <w:proofErr w:type="spellStart"/>
      <w:r w:rsidRPr="00CD3EF9">
        <w:t>nižšej.</w:t>
      </w:r>
      <w:r w:rsidRPr="00CD3EF9">
        <w:rPr>
          <w:vertAlign w:val="superscript"/>
        </w:rPr>
        <w:t>b</w:t>
      </w:r>
      <w:proofErr w:type="spellEnd"/>
      <w:r w:rsidRPr="00CD3EF9">
        <w:t xml:space="preserve"> </w:t>
      </w:r>
      <w:r w:rsidR="00340845">
        <w:t>Výsledná</w:t>
      </w:r>
      <w:r w:rsidRPr="00CD3EF9">
        <w:t xml:space="preserve"> koncentrácia </w:t>
      </w:r>
      <w:proofErr w:type="spellStart"/>
      <w:r w:rsidRPr="00CD3EF9">
        <w:t>kaspofungínu</w:t>
      </w:r>
      <w:proofErr w:type="spellEnd"/>
      <w:r w:rsidRPr="00CD3EF9">
        <w:t xml:space="preserve"> v injekčnej liekovke bude 5,2 mg/ml (ak je použitá 50 mg injekčná liekovka) alebo 7,2 mg/ml (ak je použitá 70 mg injekčná liekovka).</w:t>
      </w:r>
    </w:p>
    <w:p w:rsidR="003B4305" w:rsidRPr="00CD3EF9" w:rsidRDefault="003B4305" w:rsidP="00DD38BD">
      <w:pPr>
        <w:spacing w:line="240" w:lineRule="auto"/>
      </w:pPr>
    </w:p>
    <w:p w:rsidR="003B4305" w:rsidRPr="00CD3EF9" w:rsidRDefault="00314D1F" w:rsidP="00DD38BD">
      <w:pPr>
        <w:spacing w:line="240" w:lineRule="auto"/>
      </w:pPr>
      <w:r w:rsidRPr="00CD3EF9">
        <w:t>4. Z injekčnej liekovky od</w:t>
      </w:r>
      <w:r w:rsidR="00340845">
        <w:t>oberte</w:t>
      </w:r>
      <w:r w:rsidRPr="00CD3EF9">
        <w:t xml:space="preserve"> objem lieku rovný vypočítanej dennej udržiavacej dávke (1. krok). Asepticky preneste tento objem (ml)</w:t>
      </w:r>
      <w:r w:rsidRPr="00CD3EF9">
        <w:rPr>
          <w:vertAlign w:val="superscript"/>
        </w:rPr>
        <w:t>c</w:t>
      </w:r>
      <w:r w:rsidRPr="00CD3EF9">
        <w:t xml:space="preserve"> rekonštituovaného </w:t>
      </w:r>
      <w:proofErr w:type="spellStart"/>
      <w:r w:rsidR="00340845">
        <w:t>kaspofungínu</w:t>
      </w:r>
      <w:proofErr w:type="spellEnd"/>
      <w:r w:rsidRPr="00CD3EF9">
        <w:t xml:space="preserve"> do intravenózneho vaku (alebo fľaše) obsahujúceho 250 ml injekčného roztoku chloridu sodného s koncentráciou 0,9 %, 0,45 % alebo 0,225 % alebo </w:t>
      </w:r>
      <w:proofErr w:type="spellStart"/>
      <w:r w:rsidRPr="00CD3EF9">
        <w:t>Ringerovho</w:t>
      </w:r>
      <w:proofErr w:type="spellEnd"/>
      <w:r w:rsidRPr="00CD3EF9">
        <w:t xml:space="preserve"> roztoku</w:t>
      </w:r>
      <w:r w:rsidR="00340845">
        <w:t xml:space="preserve"> s </w:t>
      </w:r>
      <w:proofErr w:type="spellStart"/>
      <w:r w:rsidR="00340845">
        <w:t>laktátom</w:t>
      </w:r>
      <w:proofErr w:type="spellEnd"/>
      <w:r w:rsidRPr="00CD3EF9">
        <w:t xml:space="preserve">. </w:t>
      </w:r>
      <w:r w:rsidR="004941EE">
        <w:t>Prípadne</w:t>
      </w:r>
      <w:r w:rsidRPr="00CD3EF9">
        <w:t xml:space="preserve"> je možné objem (ml)</w:t>
      </w:r>
      <w:r w:rsidRPr="00CD3EF9">
        <w:rPr>
          <w:vertAlign w:val="superscript"/>
        </w:rPr>
        <w:t>c</w:t>
      </w:r>
      <w:r w:rsidRPr="00CD3EF9">
        <w:t xml:space="preserve"> rekonštituovaného</w:t>
      </w:r>
      <w:r w:rsidR="004941EE">
        <w:t xml:space="preserve"> </w:t>
      </w:r>
      <w:proofErr w:type="spellStart"/>
      <w:r w:rsidR="004941EE">
        <w:t>kaspofungínu</w:t>
      </w:r>
      <w:proofErr w:type="spellEnd"/>
      <w:r w:rsidRPr="00CD3EF9">
        <w:t xml:space="preserve"> pridať do zníženého objemu injekčného roztoku chloridu sodného s koncentráciou 0,9 %, 0,45 % alebo 0,225 % alebo </w:t>
      </w:r>
      <w:proofErr w:type="spellStart"/>
      <w:r w:rsidRPr="00CD3EF9">
        <w:t>Ringerovho</w:t>
      </w:r>
      <w:proofErr w:type="spellEnd"/>
      <w:r w:rsidRPr="00CD3EF9">
        <w:t xml:space="preserve"> roztoku</w:t>
      </w:r>
      <w:r w:rsidR="004941EE">
        <w:t xml:space="preserve"> s </w:t>
      </w:r>
      <w:proofErr w:type="spellStart"/>
      <w:r w:rsidR="004941EE">
        <w:t>laktátom</w:t>
      </w:r>
      <w:proofErr w:type="spellEnd"/>
      <w:r w:rsidRPr="00CD3EF9">
        <w:t xml:space="preserve">, pričom nesmie byť prekročená </w:t>
      </w:r>
      <w:r w:rsidR="004941EE">
        <w:t>výsledná</w:t>
      </w:r>
      <w:r w:rsidRPr="00CD3EF9">
        <w:t xml:space="preserve"> koncentrácia 0,5 mg/ml. Tento infúzny roztok sa musí použiť do 24 hodín, ak je </w:t>
      </w:r>
      <w:r w:rsidR="004941EE">
        <w:t>uchovávaný</w:t>
      </w:r>
      <w:r w:rsidRPr="00CD3EF9">
        <w:t xml:space="preserve"> pri teplote 25°C alebo nižšej, alebo do 48 hodín, ak je </w:t>
      </w:r>
      <w:r w:rsidR="004941EE">
        <w:t>uchovávaný</w:t>
      </w:r>
      <w:r w:rsidRPr="00CD3EF9">
        <w:t xml:space="preserve"> v chladničke pri teplote </w:t>
      </w:r>
      <w:r w:rsidR="00E75685" w:rsidRPr="00CD3EF9">
        <w:t>2°C – 8°C</w:t>
      </w:r>
      <w:r w:rsidRPr="00CD3EF9">
        <w:t>.</w:t>
      </w:r>
    </w:p>
    <w:p w:rsidR="003B4305" w:rsidRPr="00CD3EF9" w:rsidRDefault="003B4305" w:rsidP="00DD38BD">
      <w:pPr>
        <w:spacing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14D1F" w:rsidRPr="00CD3EF9" w:rsidTr="00314D1F">
        <w:tc>
          <w:tcPr>
            <w:tcW w:w="10233" w:type="dxa"/>
          </w:tcPr>
          <w:p w:rsidR="00314D1F" w:rsidRPr="00CD3EF9" w:rsidRDefault="00314D1F" w:rsidP="00DD38BD">
            <w:pPr>
              <w:spacing w:line="240" w:lineRule="auto"/>
              <w:rPr>
                <w:b/>
                <w:i/>
                <w:spacing w:val="-1"/>
                <w:w w:val="110"/>
              </w:rPr>
            </w:pPr>
            <w:r w:rsidRPr="00CD3EF9">
              <w:rPr>
                <w:b/>
                <w:i/>
              </w:rPr>
              <w:t>Poznámky k príprave:</w:t>
            </w:r>
          </w:p>
          <w:p w:rsidR="005B5981" w:rsidRPr="00CD3EF9" w:rsidRDefault="005B5981" w:rsidP="00DD38BD">
            <w:pPr>
              <w:spacing w:line="240" w:lineRule="auto"/>
              <w:rPr>
                <w:b/>
              </w:rPr>
            </w:pPr>
          </w:p>
          <w:p w:rsidR="00314D1F" w:rsidRPr="00CD3EF9" w:rsidRDefault="00314D1F" w:rsidP="00DD38BD">
            <w:pPr>
              <w:spacing w:line="240" w:lineRule="auto"/>
              <w:rPr>
                <w:spacing w:val="-1"/>
              </w:rPr>
            </w:pPr>
            <w:r w:rsidRPr="00CD3EF9">
              <w:rPr>
                <w:b/>
              </w:rPr>
              <w:t>a.</w:t>
            </w:r>
            <w:r w:rsidRPr="00CD3EF9">
              <w:t xml:space="preserve"> Biel</w:t>
            </w:r>
            <w:r w:rsidR="004941EE">
              <w:t>y</w:t>
            </w:r>
            <w:r w:rsidRPr="00CD3EF9">
              <w:t xml:space="preserve"> až </w:t>
            </w:r>
            <w:r w:rsidR="004941EE">
              <w:t>takmer biely prášok</w:t>
            </w:r>
            <w:r w:rsidRPr="00CD3EF9">
              <w:t xml:space="preserve"> sa úplne rozpustí. Jemne miešajte, kým nezískate číry a bezfarebný roztok.</w:t>
            </w:r>
          </w:p>
          <w:p w:rsidR="005B5981" w:rsidRPr="00CD3EF9" w:rsidRDefault="005B5981" w:rsidP="00DD38BD">
            <w:pPr>
              <w:spacing w:line="240" w:lineRule="auto"/>
            </w:pPr>
          </w:p>
          <w:p w:rsidR="00314D1F" w:rsidRPr="00CD3EF9" w:rsidRDefault="00314D1F" w:rsidP="00DD38BD">
            <w:pPr>
              <w:spacing w:line="240" w:lineRule="auto"/>
            </w:pPr>
            <w:r w:rsidRPr="00CD3EF9">
              <w:rPr>
                <w:b/>
              </w:rPr>
              <w:t>b.</w:t>
            </w:r>
            <w:r w:rsidRPr="00CD3EF9">
              <w:t xml:space="preserve"> Počas rekonštitúcie a pred </w:t>
            </w:r>
            <w:r w:rsidR="004941EE">
              <w:t xml:space="preserve">podaním </w:t>
            </w:r>
            <w:r w:rsidRPr="00CD3EF9">
              <w:t>infúzi</w:t>
            </w:r>
            <w:r w:rsidR="004941EE">
              <w:t>e vizuálne</w:t>
            </w:r>
            <w:r w:rsidRPr="00CD3EF9">
              <w:t xml:space="preserve"> skontrolujte rekonštituovaný roztok na</w:t>
            </w:r>
            <w:r w:rsidR="004941EE">
              <w:t> </w:t>
            </w:r>
            <w:r w:rsidRPr="00CD3EF9">
              <w:t>prítomnosť pevných častíc alebo zmenu zafarbenia. Nepoužívajte roztok, ak je zakalený alebo obsahuje zrazeniny.</w:t>
            </w:r>
          </w:p>
          <w:p w:rsidR="00314D1F" w:rsidRPr="00CD3EF9" w:rsidRDefault="00314D1F" w:rsidP="00DD38BD">
            <w:pPr>
              <w:spacing w:line="240" w:lineRule="auto"/>
            </w:pPr>
          </w:p>
          <w:p w:rsidR="00314D1F" w:rsidRPr="00CD3EF9" w:rsidRDefault="00314D1F">
            <w:pPr>
              <w:spacing w:line="240" w:lineRule="auto"/>
            </w:pPr>
            <w:r w:rsidRPr="00CD3EF9">
              <w:rPr>
                <w:b/>
              </w:rPr>
              <w:t>c.</w:t>
            </w:r>
            <w:r w:rsidRPr="00CD3EF9">
              <w:t xml:space="preserve"> </w:t>
            </w:r>
            <w:proofErr w:type="spellStart"/>
            <w:r w:rsidR="004941EE">
              <w:t>Kaspofungín</w:t>
            </w:r>
            <w:proofErr w:type="spellEnd"/>
            <w:r w:rsidR="00C123BF" w:rsidRPr="00CD3EF9">
              <w:t xml:space="preserve"> je </w:t>
            </w:r>
            <w:r w:rsidR="004941EE">
              <w:t>pripravený</w:t>
            </w:r>
            <w:r w:rsidR="00C123BF" w:rsidRPr="00CD3EF9">
              <w:t xml:space="preserve"> tak, aby poskytol celú vyznačenú dávku </w:t>
            </w:r>
            <w:r w:rsidR="004941EE">
              <w:t xml:space="preserve">deklarovanú na </w:t>
            </w:r>
            <w:r w:rsidR="00C123BF" w:rsidRPr="00CD3EF9">
              <w:t>injekčnej liekovk</w:t>
            </w:r>
            <w:r w:rsidR="004941EE">
              <w:t>e</w:t>
            </w:r>
            <w:r w:rsidR="00C123BF" w:rsidRPr="00CD3EF9">
              <w:t xml:space="preserve"> (50</w:t>
            </w:r>
            <w:r w:rsidR="00FA0F5C" w:rsidRPr="00CD3EF9">
              <w:t> </w:t>
            </w:r>
            <w:r w:rsidR="00C123BF" w:rsidRPr="00CD3EF9">
              <w:t>mg alebo 70</w:t>
            </w:r>
            <w:r w:rsidR="00FA0F5C" w:rsidRPr="00CD3EF9">
              <w:t> </w:t>
            </w:r>
            <w:r w:rsidR="00C123BF" w:rsidRPr="00CD3EF9">
              <w:t>mg)</w:t>
            </w:r>
            <w:r w:rsidR="004941EE">
              <w:t xml:space="preserve"> po</w:t>
            </w:r>
            <w:r w:rsidR="00C123BF" w:rsidRPr="00CD3EF9">
              <w:t xml:space="preserve"> odobra</w:t>
            </w:r>
            <w:r w:rsidR="004941EE">
              <w:t>tí</w:t>
            </w:r>
            <w:r w:rsidR="00C123BF" w:rsidRPr="00CD3EF9">
              <w:t xml:space="preserve"> 10</w:t>
            </w:r>
            <w:r w:rsidR="00FA0F5C" w:rsidRPr="00CD3EF9">
              <w:t> </w:t>
            </w:r>
            <w:r w:rsidR="00C123BF" w:rsidRPr="00CD3EF9">
              <w:t>ml</w:t>
            </w:r>
            <w:r w:rsidR="004941EE">
              <w:t xml:space="preserve"> z injekčnej liekovky</w:t>
            </w:r>
            <w:r w:rsidRPr="00CD3EF9">
              <w:t>.</w:t>
            </w:r>
          </w:p>
        </w:tc>
      </w:tr>
    </w:tbl>
    <w:p w:rsidR="00314D1F" w:rsidRPr="00CD3EF9" w:rsidRDefault="00314D1F" w:rsidP="00DD38BD">
      <w:pPr>
        <w:spacing w:line="240" w:lineRule="auto"/>
      </w:pPr>
    </w:p>
    <w:p w:rsidR="007C6F03" w:rsidRPr="00CD3EF9" w:rsidRDefault="007C6F03" w:rsidP="00DD38BD">
      <w:pPr>
        <w:spacing w:line="240" w:lineRule="auto"/>
      </w:pPr>
    </w:p>
    <w:p w:rsidR="003B4305" w:rsidRPr="00E25026" w:rsidRDefault="003B4305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7.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>Držiteľ rozhodnutia o registrácii</w:t>
      </w:r>
    </w:p>
    <w:p w:rsidR="00575370" w:rsidRPr="00E25026" w:rsidRDefault="00575370" w:rsidP="00DD38BD">
      <w:pPr>
        <w:tabs>
          <w:tab w:val="left" w:pos="567"/>
        </w:tabs>
        <w:spacing w:line="240" w:lineRule="auto"/>
        <w:ind w:left="567" w:hanging="567"/>
        <w:jc w:val="both"/>
      </w:pPr>
    </w:p>
    <w:p w:rsidR="00575370" w:rsidRPr="00E25026" w:rsidRDefault="00575370" w:rsidP="00DD38BD">
      <w:pPr>
        <w:tabs>
          <w:tab w:val="left" w:pos="567"/>
        </w:tabs>
        <w:spacing w:line="240" w:lineRule="auto"/>
        <w:ind w:left="567" w:hanging="567"/>
        <w:jc w:val="both"/>
      </w:pPr>
      <w:proofErr w:type="spellStart"/>
      <w:r w:rsidRPr="00CD3EF9">
        <w:t>Xellia</w:t>
      </w:r>
      <w:proofErr w:type="spellEnd"/>
      <w:r w:rsidRPr="00CD3EF9">
        <w:t xml:space="preserve"> </w:t>
      </w:r>
      <w:proofErr w:type="spellStart"/>
      <w:r w:rsidRPr="00CD3EF9">
        <w:t>Pharmaceuticals</w:t>
      </w:r>
      <w:proofErr w:type="spellEnd"/>
      <w:r w:rsidRPr="00CD3EF9">
        <w:t xml:space="preserve"> </w:t>
      </w:r>
      <w:proofErr w:type="spellStart"/>
      <w:r w:rsidRPr="00CD3EF9">
        <w:t>ApS</w:t>
      </w:r>
      <w:proofErr w:type="spellEnd"/>
    </w:p>
    <w:p w:rsidR="00575370" w:rsidRPr="00CD3EF9" w:rsidRDefault="00575370" w:rsidP="00DD38BD">
      <w:pPr>
        <w:tabs>
          <w:tab w:val="left" w:pos="567"/>
        </w:tabs>
        <w:spacing w:line="240" w:lineRule="auto"/>
        <w:ind w:left="567" w:hanging="567"/>
        <w:jc w:val="both"/>
        <w:rPr>
          <w:lang w:val="da-DK"/>
        </w:rPr>
      </w:pPr>
      <w:proofErr w:type="spellStart"/>
      <w:r w:rsidRPr="00CD3EF9">
        <w:t>Dalslandsgade</w:t>
      </w:r>
      <w:proofErr w:type="spellEnd"/>
      <w:r w:rsidRPr="00CD3EF9">
        <w:t> 11</w:t>
      </w:r>
    </w:p>
    <w:p w:rsidR="00575370" w:rsidRPr="00CD3EF9" w:rsidRDefault="00575370" w:rsidP="00DD38BD">
      <w:pPr>
        <w:tabs>
          <w:tab w:val="left" w:pos="567"/>
        </w:tabs>
        <w:spacing w:line="240" w:lineRule="auto"/>
        <w:ind w:left="567" w:hanging="567"/>
        <w:jc w:val="both"/>
        <w:rPr>
          <w:lang w:val="da-DK"/>
        </w:rPr>
      </w:pPr>
      <w:r w:rsidRPr="00CD3EF9">
        <w:t>2300 Kodaň S</w:t>
      </w:r>
    </w:p>
    <w:p w:rsidR="00575370" w:rsidRPr="00CD3EF9" w:rsidRDefault="00575370" w:rsidP="00DD38BD">
      <w:pPr>
        <w:tabs>
          <w:tab w:val="left" w:pos="567"/>
        </w:tabs>
        <w:spacing w:line="240" w:lineRule="auto"/>
        <w:ind w:left="567" w:hanging="567"/>
        <w:jc w:val="both"/>
        <w:rPr>
          <w:lang w:val="da-DK"/>
        </w:rPr>
      </w:pPr>
      <w:r w:rsidRPr="00CD3EF9">
        <w:t>Dánsko</w:t>
      </w:r>
    </w:p>
    <w:p w:rsidR="00994138" w:rsidRPr="00CD3EF9" w:rsidRDefault="00994138" w:rsidP="00DD38BD">
      <w:pPr>
        <w:spacing w:line="240" w:lineRule="auto"/>
        <w:rPr>
          <w:spacing w:val="-1"/>
          <w:w w:val="110"/>
        </w:rPr>
      </w:pPr>
    </w:p>
    <w:p w:rsidR="00994138" w:rsidRPr="00CD3EF9" w:rsidRDefault="00994138" w:rsidP="00DD38BD">
      <w:pPr>
        <w:spacing w:line="240" w:lineRule="auto"/>
      </w:pPr>
    </w:p>
    <w:p w:rsidR="00994138" w:rsidRPr="00CD3EF9" w:rsidRDefault="00314D1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caps/>
          <w:noProof/>
          <w:szCs w:val="20"/>
          <w:lang w:val="da-DK"/>
        </w:rPr>
      </w:pPr>
      <w:r w:rsidRPr="00CD3EF9">
        <w:rPr>
          <w:b/>
          <w:bCs/>
          <w:iCs/>
          <w:szCs w:val="20"/>
        </w:rPr>
        <w:t xml:space="preserve">8.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>Registračné číslo (čísla)</w:t>
      </w:r>
    </w:p>
    <w:p w:rsidR="00994138" w:rsidRPr="00CD3EF9" w:rsidRDefault="00994138" w:rsidP="00DD38BD">
      <w:pPr>
        <w:spacing w:line="240" w:lineRule="auto"/>
      </w:pPr>
    </w:p>
    <w:p w:rsidR="005C4966" w:rsidRDefault="00351F32" w:rsidP="00DD38BD">
      <w:pPr>
        <w:spacing w:line="240" w:lineRule="auto"/>
        <w:rPr>
          <w:color w:val="000000"/>
        </w:rPr>
      </w:pPr>
      <w:r w:rsidRPr="00CD3EF9">
        <w:rPr>
          <w:color w:val="000000"/>
        </w:rPr>
        <w:t xml:space="preserve">50 mg: </w:t>
      </w:r>
      <w:r w:rsidR="005C4966" w:rsidRPr="005C4966">
        <w:rPr>
          <w:color w:val="000000"/>
        </w:rPr>
        <w:t>Reg.</w:t>
      </w:r>
      <w:r w:rsidR="00E7291E">
        <w:rPr>
          <w:color w:val="000000"/>
        </w:rPr>
        <w:t> </w:t>
      </w:r>
      <w:r w:rsidR="005C4966" w:rsidRPr="005C4966">
        <w:rPr>
          <w:color w:val="000000"/>
        </w:rPr>
        <w:t>č.:</w:t>
      </w:r>
      <w:r w:rsidR="004941EE">
        <w:rPr>
          <w:color w:val="000000"/>
        </w:rPr>
        <w:t xml:space="preserve"> </w:t>
      </w:r>
      <w:r w:rsidR="00110A64" w:rsidRPr="00110A64">
        <w:rPr>
          <w:color w:val="000000"/>
        </w:rPr>
        <w:t>26/0468/16-S</w:t>
      </w:r>
      <w:r w:rsidR="005C4966" w:rsidRPr="005C4966">
        <w:rPr>
          <w:color w:val="000000"/>
        </w:rPr>
        <w:t xml:space="preserve"> </w:t>
      </w:r>
    </w:p>
    <w:p w:rsidR="00575370" w:rsidRPr="00CD3EF9" w:rsidRDefault="00351F32" w:rsidP="00DD38BD">
      <w:pPr>
        <w:spacing w:line="240" w:lineRule="auto"/>
        <w:rPr>
          <w:spacing w:val="-2"/>
          <w:w w:val="110"/>
        </w:rPr>
      </w:pPr>
      <w:r w:rsidRPr="00E25026">
        <w:rPr>
          <w:color w:val="000000"/>
          <w:highlight w:val="lightGray"/>
        </w:rPr>
        <w:t xml:space="preserve">70 mg: </w:t>
      </w:r>
      <w:r w:rsidR="005C4966" w:rsidRPr="00E25026">
        <w:rPr>
          <w:color w:val="000000"/>
          <w:highlight w:val="lightGray"/>
        </w:rPr>
        <w:t>Reg.</w:t>
      </w:r>
      <w:r w:rsidR="00E7291E">
        <w:rPr>
          <w:color w:val="000000"/>
          <w:highlight w:val="lightGray"/>
        </w:rPr>
        <w:t> </w:t>
      </w:r>
      <w:r w:rsidR="005C4966" w:rsidRPr="00E25026">
        <w:rPr>
          <w:color w:val="000000"/>
          <w:highlight w:val="lightGray"/>
        </w:rPr>
        <w:t xml:space="preserve">č.: </w:t>
      </w:r>
      <w:r w:rsidR="006E2534" w:rsidRPr="00E25026">
        <w:rPr>
          <w:color w:val="000000"/>
          <w:highlight w:val="lightGray"/>
        </w:rPr>
        <w:t>26/0469/16-S</w:t>
      </w:r>
    </w:p>
    <w:p w:rsidR="007C6F03" w:rsidRDefault="007C6F03" w:rsidP="00DD38BD">
      <w:pPr>
        <w:spacing w:line="240" w:lineRule="auto"/>
        <w:rPr>
          <w:spacing w:val="-2"/>
          <w:w w:val="110"/>
        </w:rPr>
      </w:pPr>
    </w:p>
    <w:p w:rsidR="00F30A21" w:rsidRPr="00CD3EF9" w:rsidRDefault="00F30A21" w:rsidP="00DD38BD">
      <w:pPr>
        <w:spacing w:line="240" w:lineRule="auto"/>
        <w:rPr>
          <w:spacing w:val="-2"/>
          <w:w w:val="110"/>
        </w:rPr>
      </w:pPr>
    </w:p>
    <w:p w:rsidR="00994138" w:rsidRPr="00CD3EF9" w:rsidRDefault="00314D1F" w:rsidP="00DD38BD">
      <w:pPr>
        <w:spacing w:line="240" w:lineRule="auto"/>
        <w:rPr>
          <w:b/>
          <w:bCs/>
          <w:iCs/>
          <w:caps/>
          <w:noProof/>
          <w:szCs w:val="20"/>
          <w:lang w:val="da-DK"/>
        </w:rPr>
      </w:pPr>
      <w:r w:rsidRPr="00CD3EF9">
        <w:rPr>
          <w:b/>
          <w:bCs/>
          <w:iCs/>
          <w:szCs w:val="20"/>
        </w:rPr>
        <w:t xml:space="preserve">9. </w:t>
      </w:r>
      <w:r w:rsidRPr="00CD3EF9">
        <w:rPr>
          <w:b/>
          <w:bCs/>
          <w:iCs/>
          <w:szCs w:val="20"/>
        </w:rPr>
        <w:tab/>
        <w:t>D</w:t>
      </w:r>
      <w:r w:rsidRPr="00CD3EF9">
        <w:rPr>
          <w:b/>
          <w:bCs/>
          <w:iCs/>
          <w:caps/>
          <w:szCs w:val="20"/>
        </w:rPr>
        <w:t>átum prvej registrácie/predĺženia registrácie</w:t>
      </w:r>
    </w:p>
    <w:p w:rsidR="00994138" w:rsidRPr="00CD3EF9" w:rsidRDefault="00994138" w:rsidP="00DD38BD">
      <w:pPr>
        <w:spacing w:line="240" w:lineRule="auto"/>
      </w:pPr>
    </w:p>
    <w:p w:rsidR="00994138" w:rsidRPr="00CD3EF9" w:rsidRDefault="00994138" w:rsidP="00DD38BD">
      <w:pPr>
        <w:spacing w:line="240" w:lineRule="auto"/>
        <w:rPr>
          <w:spacing w:val="27"/>
        </w:rPr>
      </w:pPr>
      <w:r w:rsidRPr="00CD3EF9">
        <w:t xml:space="preserve">Dátum prvej registrácie: </w:t>
      </w:r>
    </w:p>
    <w:p w:rsidR="00994138" w:rsidRPr="00CD3EF9" w:rsidRDefault="00994138" w:rsidP="00DD38BD">
      <w:pPr>
        <w:spacing w:line="240" w:lineRule="auto"/>
      </w:pPr>
      <w:r w:rsidRPr="00CD3EF9">
        <w:t>Dátum posledného predĺženia registrácie</w:t>
      </w:r>
      <w:r w:rsidR="00E93089" w:rsidRPr="00CD3EF9">
        <w:t>:</w:t>
      </w:r>
    </w:p>
    <w:p w:rsidR="00994138" w:rsidRPr="00CD3EF9" w:rsidRDefault="00994138" w:rsidP="00DD38BD">
      <w:pPr>
        <w:spacing w:line="240" w:lineRule="auto"/>
      </w:pPr>
    </w:p>
    <w:p w:rsidR="007C6F03" w:rsidRPr="00CD3EF9" w:rsidRDefault="007C6F03" w:rsidP="00DD38BD">
      <w:pPr>
        <w:spacing w:line="240" w:lineRule="auto"/>
      </w:pPr>
    </w:p>
    <w:p w:rsidR="00994138" w:rsidRPr="00E25026" w:rsidRDefault="00314D1F" w:rsidP="00DD38BD">
      <w:pPr>
        <w:widowControl w:val="0"/>
        <w:tabs>
          <w:tab w:val="left" w:pos="567"/>
        </w:tabs>
        <w:spacing w:line="240" w:lineRule="auto"/>
        <w:rPr>
          <w:b/>
          <w:bCs/>
          <w:iCs/>
          <w:noProof/>
          <w:szCs w:val="20"/>
        </w:rPr>
      </w:pPr>
      <w:r w:rsidRPr="00CD3EF9">
        <w:rPr>
          <w:b/>
          <w:bCs/>
          <w:iCs/>
          <w:szCs w:val="20"/>
        </w:rPr>
        <w:t xml:space="preserve">10. </w:t>
      </w:r>
      <w:r w:rsidRPr="00CD3EF9">
        <w:rPr>
          <w:b/>
          <w:bCs/>
          <w:iCs/>
          <w:szCs w:val="20"/>
        </w:rPr>
        <w:tab/>
      </w:r>
      <w:r w:rsidRPr="00CD3EF9">
        <w:rPr>
          <w:b/>
          <w:bCs/>
          <w:iCs/>
          <w:caps/>
          <w:szCs w:val="20"/>
        </w:rPr>
        <w:t>Dátum revízie textu</w:t>
      </w:r>
    </w:p>
    <w:p w:rsidR="00994138" w:rsidRDefault="00994138" w:rsidP="00DD38BD">
      <w:pPr>
        <w:spacing w:line="240" w:lineRule="auto"/>
      </w:pPr>
    </w:p>
    <w:p w:rsidR="00F30A21" w:rsidRPr="00CD3EF9" w:rsidRDefault="00104C74" w:rsidP="00DD38BD">
      <w:pPr>
        <w:spacing w:line="240" w:lineRule="auto"/>
      </w:pPr>
      <w:r>
        <w:t>Október</w:t>
      </w:r>
      <w:r w:rsidR="00F30A21">
        <w:t xml:space="preserve"> 2016</w:t>
      </w:r>
    </w:p>
    <w:sectPr w:rsidR="00F30A21" w:rsidRPr="00CD3EF9" w:rsidSect="00E25026">
      <w:footerReference w:type="default" r:id="rId9"/>
      <w:headerReference w:type="first" r:id="rId10"/>
      <w:footerReference w:type="first" r:id="rId11"/>
      <w:pgSz w:w="11907" w:h="16839" w:code="9"/>
      <w:pgMar w:top="1134" w:right="1418" w:bottom="1134" w:left="1418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F8" w:rsidRDefault="009125F8">
      <w:pPr>
        <w:spacing w:line="240" w:lineRule="auto"/>
      </w:pPr>
      <w:r>
        <w:separator/>
      </w:r>
    </w:p>
  </w:endnote>
  <w:endnote w:type="continuationSeparator" w:id="0">
    <w:p w:rsidR="009125F8" w:rsidRDefault="00912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91t00">
    <w:altName w:val="T T 29 1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9892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25026" w:rsidRPr="00E25026" w:rsidRDefault="00E25026">
        <w:pPr>
          <w:pStyle w:val="Pta"/>
          <w:jc w:val="center"/>
          <w:rPr>
            <w:sz w:val="18"/>
            <w:szCs w:val="18"/>
          </w:rPr>
        </w:pPr>
        <w:r w:rsidRPr="00E25026">
          <w:rPr>
            <w:sz w:val="18"/>
            <w:szCs w:val="18"/>
          </w:rPr>
          <w:fldChar w:fldCharType="begin"/>
        </w:r>
        <w:r w:rsidRPr="00E25026">
          <w:rPr>
            <w:sz w:val="18"/>
            <w:szCs w:val="18"/>
          </w:rPr>
          <w:instrText>PAGE   \* MERGEFORMAT</w:instrText>
        </w:r>
        <w:r w:rsidRPr="00E25026">
          <w:rPr>
            <w:sz w:val="18"/>
            <w:szCs w:val="18"/>
          </w:rPr>
          <w:fldChar w:fldCharType="separate"/>
        </w:r>
        <w:r w:rsidR="00473D73">
          <w:rPr>
            <w:noProof/>
            <w:sz w:val="18"/>
            <w:szCs w:val="18"/>
          </w:rPr>
          <w:t>2</w:t>
        </w:r>
        <w:r w:rsidRPr="00E25026">
          <w:rPr>
            <w:sz w:val="18"/>
            <w:szCs w:val="18"/>
          </w:rPr>
          <w:fldChar w:fldCharType="end"/>
        </w:r>
      </w:p>
    </w:sdtContent>
  </w:sdt>
  <w:p w:rsidR="00E25026" w:rsidRDefault="00E250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522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25026" w:rsidRPr="00E25026" w:rsidRDefault="00E25026">
        <w:pPr>
          <w:pStyle w:val="Pta"/>
          <w:jc w:val="center"/>
          <w:rPr>
            <w:sz w:val="18"/>
            <w:szCs w:val="18"/>
          </w:rPr>
        </w:pPr>
        <w:r w:rsidRPr="00E25026">
          <w:rPr>
            <w:sz w:val="18"/>
            <w:szCs w:val="18"/>
          </w:rPr>
          <w:fldChar w:fldCharType="begin"/>
        </w:r>
        <w:r w:rsidRPr="00E25026">
          <w:rPr>
            <w:sz w:val="18"/>
            <w:szCs w:val="18"/>
          </w:rPr>
          <w:instrText>PAGE   \* MERGEFORMAT</w:instrText>
        </w:r>
        <w:r w:rsidRPr="00E25026">
          <w:rPr>
            <w:sz w:val="18"/>
            <w:szCs w:val="18"/>
          </w:rPr>
          <w:fldChar w:fldCharType="separate"/>
        </w:r>
        <w:r w:rsidR="00473D73">
          <w:rPr>
            <w:noProof/>
            <w:sz w:val="18"/>
            <w:szCs w:val="18"/>
          </w:rPr>
          <w:t>1</w:t>
        </w:r>
        <w:r w:rsidRPr="00E25026">
          <w:rPr>
            <w:sz w:val="18"/>
            <w:szCs w:val="18"/>
          </w:rPr>
          <w:fldChar w:fldCharType="end"/>
        </w:r>
      </w:p>
    </w:sdtContent>
  </w:sdt>
  <w:p w:rsidR="00E25026" w:rsidRDefault="00E250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F8" w:rsidRDefault="009125F8">
      <w:pPr>
        <w:spacing w:line="240" w:lineRule="auto"/>
      </w:pPr>
      <w:r>
        <w:separator/>
      </w:r>
    </w:p>
  </w:footnote>
  <w:footnote w:type="continuationSeparator" w:id="0">
    <w:p w:rsidR="009125F8" w:rsidRDefault="00912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26" w:rsidRPr="00E25026" w:rsidRDefault="00E25026" w:rsidP="0044418C">
    <w:pPr>
      <w:spacing w:line="240" w:lineRule="auto"/>
      <w:rPr>
        <w:color w:val="000000"/>
        <w:sz w:val="18"/>
        <w:szCs w:val="18"/>
        <w:lang w:bidi="ar-SA"/>
      </w:rPr>
    </w:pPr>
    <w:r w:rsidRPr="0044418C">
      <w:rPr>
        <w:sz w:val="18"/>
        <w:szCs w:val="18"/>
      </w:rPr>
      <w:t>Schválený text k rozhodnutiu o registrá</w:t>
    </w:r>
    <w:r w:rsidRPr="002351C5">
      <w:rPr>
        <w:sz w:val="18"/>
        <w:szCs w:val="18"/>
      </w:rPr>
      <w:t xml:space="preserve">cii, ev. č.: </w:t>
    </w:r>
    <w:r w:rsidRPr="00E25026">
      <w:rPr>
        <w:color w:val="000000"/>
        <w:sz w:val="18"/>
        <w:szCs w:val="18"/>
        <w:lang w:bidi="ar-SA"/>
      </w:rPr>
      <w:t>2014/06552-REG</w:t>
    </w:r>
  </w:p>
  <w:p w:rsidR="00E25026" w:rsidRPr="00E25026" w:rsidRDefault="00E25026">
    <w:pPr>
      <w:pStyle w:val="Hlavika"/>
      <w:rPr>
        <w:sz w:val="18"/>
        <w:szCs w:val="18"/>
      </w:rPr>
    </w:pPr>
    <w:r w:rsidRPr="00E25026">
      <w:rPr>
        <w:sz w:val="18"/>
        <w:szCs w:val="18"/>
        <w:highlight w:val="lightGray"/>
      </w:rPr>
      <w:t xml:space="preserve">Schválený text k rozhodnutiu o registrácii, ev. č.: </w:t>
    </w:r>
    <w:r w:rsidRPr="00E25026">
      <w:rPr>
        <w:color w:val="000000"/>
        <w:sz w:val="18"/>
        <w:szCs w:val="18"/>
        <w:highlight w:val="lightGray"/>
        <w:lang w:bidi="ar-SA"/>
      </w:rPr>
      <w:t>2014/06553-REG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16A582"/>
    <w:multiLevelType w:val="hybridMultilevel"/>
    <w:tmpl w:val="286085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F4AA8"/>
    <w:multiLevelType w:val="hybridMultilevel"/>
    <w:tmpl w:val="9E9E954A"/>
    <w:lvl w:ilvl="0" w:tplc="E200CC90">
      <w:start w:val="8"/>
      <w:numFmt w:val="decimal"/>
      <w:lvlText w:val="%1."/>
      <w:lvlJc w:val="left"/>
      <w:pPr>
        <w:ind w:left="456" w:hanging="178"/>
      </w:pPr>
      <w:rPr>
        <w:rFonts w:ascii="Arial" w:eastAsia="Arial" w:hAnsi="Arial" w:hint="default"/>
        <w:spacing w:val="-1"/>
        <w:sz w:val="16"/>
        <w:szCs w:val="16"/>
      </w:rPr>
    </w:lvl>
    <w:lvl w:ilvl="1" w:tplc="2C0AD570">
      <w:start w:val="1"/>
      <w:numFmt w:val="bullet"/>
      <w:lvlText w:val="•"/>
      <w:lvlJc w:val="left"/>
      <w:pPr>
        <w:ind w:left="1440" w:hanging="178"/>
      </w:pPr>
      <w:rPr>
        <w:rFonts w:hint="default"/>
      </w:rPr>
    </w:lvl>
    <w:lvl w:ilvl="2" w:tplc="D20A7BF0">
      <w:start w:val="1"/>
      <w:numFmt w:val="bullet"/>
      <w:lvlText w:val="•"/>
      <w:lvlJc w:val="left"/>
      <w:pPr>
        <w:ind w:left="2424" w:hanging="178"/>
      </w:pPr>
      <w:rPr>
        <w:rFonts w:hint="default"/>
      </w:rPr>
    </w:lvl>
    <w:lvl w:ilvl="3" w:tplc="44E0A2B8">
      <w:start w:val="1"/>
      <w:numFmt w:val="bullet"/>
      <w:lvlText w:val="•"/>
      <w:lvlJc w:val="left"/>
      <w:pPr>
        <w:ind w:left="3409" w:hanging="178"/>
      </w:pPr>
      <w:rPr>
        <w:rFonts w:hint="default"/>
      </w:rPr>
    </w:lvl>
    <w:lvl w:ilvl="4" w:tplc="F5D82B0C">
      <w:start w:val="1"/>
      <w:numFmt w:val="bullet"/>
      <w:lvlText w:val="•"/>
      <w:lvlJc w:val="left"/>
      <w:pPr>
        <w:ind w:left="4393" w:hanging="178"/>
      </w:pPr>
      <w:rPr>
        <w:rFonts w:hint="default"/>
      </w:rPr>
    </w:lvl>
    <w:lvl w:ilvl="5" w:tplc="D83AD528">
      <w:start w:val="1"/>
      <w:numFmt w:val="bullet"/>
      <w:lvlText w:val="•"/>
      <w:lvlJc w:val="left"/>
      <w:pPr>
        <w:ind w:left="5378" w:hanging="178"/>
      </w:pPr>
      <w:rPr>
        <w:rFonts w:hint="default"/>
      </w:rPr>
    </w:lvl>
    <w:lvl w:ilvl="6" w:tplc="F41A3CBE">
      <w:start w:val="1"/>
      <w:numFmt w:val="bullet"/>
      <w:lvlText w:val="•"/>
      <w:lvlJc w:val="left"/>
      <w:pPr>
        <w:ind w:left="6362" w:hanging="178"/>
      </w:pPr>
      <w:rPr>
        <w:rFonts w:hint="default"/>
      </w:rPr>
    </w:lvl>
    <w:lvl w:ilvl="7" w:tplc="CC86CCFC">
      <w:start w:val="1"/>
      <w:numFmt w:val="bullet"/>
      <w:lvlText w:val="•"/>
      <w:lvlJc w:val="left"/>
      <w:pPr>
        <w:ind w:left="7346" w:hanging="178"/>
      </w:pPr>
      <w:rPr>
        <w:rFonts w:hint="default"/>
      </w:rPr>
    </w:lvl>
    <w:lvl w:ilvl="8" w:tplc="95A45526">
      <w:start w:val="1"/>
      <w:numFmt w:val="bullet"/>
      <w:lvlText w:val="•"/>
      <w:lvlJc w:val="left"/>
      <w:pPr>
        <w:ind w:left="8331" w:hanging="178"/>
      </w:pPr>
      <w:rPr>
        <w:rFonts w:hint="default"/>
      </w:rPr>
    </w:lvl>
  </w:abstractNum>
  <w:abstractNum w:abstractNumId="2" w15:restartNumberingAfterBreak="0">
    <w:nsid w:val="0CB68E57"/>
    <w:multiLevelType w:val="hybridMultilevel"/>
    <w:tmpl w:val="55A82D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CBC42B"/>
    <w:multiLevelType w:val="hybridMultilevel"/>
    <w:tmpl w:val="CBC26F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8C76BC"/>
    <w:multiLevelType w:val="hybridMultilevel"/>
    <w:tmpl w:val="25F0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B354D"/>
    <w:multiLevelType w:val="hybridMultilevel"/>
    <w:tmpl w:val="0C06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8C105"/>
    <w:multiLevelType w:val="hybridMultilevel"/>
    <w:tmpl w:val="E00E6BF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B616E7"/>
    <w:multiLevelType w:val="multilevel"/>
    <w:tmpl w:val="21E0E226"/>
    <w:lvl w:ilvl="0">
      <w:start w:val="6"/>
      <w:numFmt w:val="decimal"/>
      <w:lvlText w:val="%1"/>
      <w:lvlJc w:val="left"/>
      <w:pPr>
        <w:ind w:left="518" w:hanging="2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18" w:hanging="240"/>
      </w:pPr>
      <w:rPr>
        <w:rFonts w:ascii="Arial" w:eastAsia="Arial" w:hAnsi="Arial" w:hint="default"/>
        <w:spacing w:val="1"/>
        <w:w w:val="102"/>
        <w:sz w:val="14"/>
        <w:szCs w:val="14"/>
      </w:rPr>
    </w:lvl>
    <w:lvl w:ilvl="2">
      <w:start w:val="1"/>
      <w:numFmt w:val="decimal"/>
      <w:lvlText w:val="%3."/>
      <w:lvlJc w:val="left"/>
      <w:pPr>
        <w:ind w:left="552" w:hanging="178"/>
      </w:pPr>
      <w:rPr>
        <w:rFonts w:ascii="Arial" w:eastAsia="Arial" w:hAnsi="Arial" w:hint="default"/>
        <w:spacing w:val="-1"/>
        <w:sz w:val="16"/>
        <w:szCs w:val="16"/>
      </w:rPr>
    </w:lvl>
    <w:lvl w:ilvl="3">
      <w:start w:val="1"/>
      <w:numFmt w:val="bullet"/>
      <w:lvlText w:val="•"/>
      <w:lvlJc w:val="left"/>
      <w:pPr>
        <w:ind w:left="1862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8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9" w:hanging="178"/>
      </w:pPr>
      <w:rPr>
        <w:rFonts w:hint="default"/>
      </w:rPr>
    </w:lvl>
  </w:abstractNum>
  <w:abstractNum w:abstractNumId="8" w15:restartNumberingAfterBreak="0">
    <w:nsid w:val="5D583BC5"/>
    <w:multiLevelType w:val="hybridMultilevel"/>
    <w:tmpl w:val="3740E3D2"/>
    <w:lvl w:ilvl="0" w:tplc="E034BA58">
      <w:start w:val="1"/>
      <w:numFmt w:val="decimal"/>
      <w:lvlText w:val="%1."/>
      <w:lvlJc w:val="left"/>
      <w:pPr>
        <w:ind w:left="924" w:hanging="56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4CA9"/>
    <w:multiLevelType w:val="hybridMultilevel"/>
    <w:tmpl w:val="6F6CF2F0"/>
    <w:lvl w:ilvl="0" w:tplc="610090EC">
      <w:start w:val="1"/>
      <w:numFmt w:val="decimal"/>
      <w:lvlText w:val="%1."/>
      <w:lvlJc w:val="left"/>
      <w:pPr>
        <w:ind w:left="552" w:hanging="178"/>
      </w:pPr>
      <w:rPr>
        <w:rFonts w:ascii="Arial" w:eastAsia="Arial" w:hAnsi="Arial" w:hint="default"/>
        <w:spacing w:val="-1"/>
        <w:sz w:val="16"/>
        <w:szCs w:val="16"/>
      </w:rPr>
    </w:lvl>
    <w:lvl w:ilvl="1" w:tplc="51440F6A">
      <w:start w:val="1"/>
      <w:numFmt w:val="lowerLetter"/>
      <w:lvlText w:val="%2."/>
      <w:lvlJc w:val="left"/>
      <w:pPr>
        <w:ind w:left="604" w:hanging="178"/>
      </w:pPr>
      <w:rPr>
        <w:rFonts w:ascii="Arial" w:eastAsia="Arial" w:hAnsi="Arial" w:hint="default"/>
        <w:spacing w:val="-1"/>
        <w:sz w:val="16"/>
        <w:szCs w:val="16"/>
      </w:rPr>
    </w:lvl>
    <w:lvl w:ilvl="2" w:tplc="BBF8D020">
      <w:start w:val="1"/>
      <w:numFmt w:val="bullet"/>
      <w:lvlText w:val="•"/>
      <w:lvlJc w:val="left"/>
      <w:pPr>
        <w:ind w:left="1682" w:hanging="178"/>
      </w:pPr>
      <w:rPr>
        <w:rFonts w:hint="default"/>
      </w:rPr>
    </w:lvl>
    <w:lvl w:ilvl="3" w:tplc="D8CC9974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81B2F310">
      <w:start w:val="1"/>
      <w:numFmt w:val="bullet"/>
      <w:lvlText w:val="•"/>
      <w:lvlJc w:val="left"/>
      <w:pPr>
        <w:ind w:left="3836" w:hanging="178"/>
      </w:pPr>
      <w:rPr>
        <w:rFonts w:hint="default"/>
      </w:rPr>
    </w:lvl>
    <w:lvl w:ilvl="5" w:tplc="7878EF26">
      <w:start w:val="1"/>
      <w:numFmt w:val="bullet"/>
      <w:lvlText w:val="•"/>
      <w:lvlJc w:val="left"/>
      <w:pPr>
        <w:ind w:left="4913" w:hanging="178"/>
      </w:pPr>
      <w:rPr>
        <w:rFonts w:hint="default"/>
      </w:rPr>
    </w:lvl>
    <w:lvl w:ilvl="6" w:tplc="1E0AD24A">
      <w:start w:val="1"/>
      <w:numFmt w:val="bullet"/>
      <w:lvlText w:val="•"/>
      <w:lvlJc w:val="left"/>
      <w:pPr>
        <w:ind w:left="5991" w:hanging="178"/>
      </w:pPr>
      <w:rPr>
        <w:rFonts w:hint="default"/>
      </w:rPr>
    </w:lvl>
    <w:lvl w:ilvl="7" w:tplc="12302878">
      <w:start w:val="1"/>
      <w:numFmt w:val="bullet"/>
      <w:lvlText w:val="•"/>
      <w:lvlJc w:val="left"/>
      <w:pPr>
        <w:ind w:left="7068" w:hanging="178"/>
      </w:pPr>
      <w:rPr>
        <w:rFonts w:hint="default"/>
      </w:rPr>
    </w:lvl>
    <w:lvl w:ilvl="8" w:tplc="E458A7CC">
      <w:start w:val="1"/>
      <w:numFmt w:val="bullet"/>
      <w:lvlText w:val="•"/>
      <w:lvlJc w:val="left"/>
      <w:pPr>
        <w:ind w:left="8145" w:hanging="178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F4"/>
    <w:rsid w:val="00005E25"/>
    <w:rsid w:val="00085A72"/>
    <w:rsid w:val="000A4B46"/>
    <w:rsid w:val="000A6BFD"/>
    <w:rsid w:val="000B53EB"/>
    <w:rsid w:val="000C0334"/>
    <w:rsid w:val="000D6C79"/>
    <w:rsid w:val="000F382B"/>
    <w:rsid w:val="00104C74"/>
    <w:rsid w:val="00110A64"/>
    <w:rsid w:val="001201BB"/>
    <w:rsid w:val="00125849"/>
    <w:rsid w:val="00140E67"/>
    <w:rsid w:val="00150D6E"/>
    <w:rsid w:val="001535C5"/>
    <w:rsid w:val="00163FCB"/>
    <w:rsid w:val="0019451B"/>
    <w:rsid w:val="0019797A"/>
    <w:rsid w:val="001A3276"/>
    <w:rsid w:val="001A3EB3"/>
    <w:rsid w:val="001C2775"/>
    <w:rsid w:val="001C67CB"/>
    <w:rsid w:val="001E0342"/>
    <w:rsid w:val="001E1FE9"/>
    <w:rsid w:val="00204FA1"/>
    <w:rsid w:val="00232AF8"/>
    <w:rsid w:val="002351C5"/>
    <w:rsid w:val="002371CB"/>
    <w:rsid w:val="00257B09"/>
    <w:rsid w:val="0026444D"/>
    <w:rsid w:val="00281C83"/>
    <w:rsid w:val="002A3C9D"/>
    <w:rsid w:val="002F5CF4"/>
    <w:rsid w:val="00311A55"/>
    <w:rsid w:val="00314D1F"/>
    <w:rsid w:val="00321CD0"/>
    <w:rsid w:val="00340845"/>
    <w:rsid w:val="00344AF6"/>
    <w:rsid w:val="00347BB6"/>
    <w:rsid w:val="00350B4A"/>
    <w:rsid w:val="00351F32"/>
    <w:rsid w:val="00355867"/>
    <w:rsid w:val="00366DD6"/>
    <w:rsid w:val="00370BC7"/>
    <w:rsid w:val="003746CB"/>
    <w:rsid w:val="00377948"/>
    <w:rsid w:val="003A0ED2"/>
    <w:rsid w:val="003A25FF"/>
    <w:rsid w:val="003A36B3"/>
    <w:rsid w:val="003B0E79"/>
    <w:rsid w:val="003B4305"/>
    <w:rsid w:val="003C2C96"/>
    <w:rsid w:val="003D2EB4"/>
    <w:rsid w:val="003E45C0"/>
    <w:rsid w:val="00405E44"/>
    <w:rsid w:val="004075AB"/>
    <w:rsid w:val="00407837"/>
    <w:rsid w:val="00414640"/>
    <w:rsid w:val="00416112"/>
    <w:rsid w:val="004161AC"/>
    <w:rsid w:val="00421CAD"/>
    <w:rsid w:val="00422E1E"/>
    <w:rsid w:val="00426452"/>
    <w:rsid w:val="004413A1"/>
    <w:rsid w:val="0044418C"/>
    <w:rsid w:val="00450B73"/>
    <w:rsid w:val="0045697D"/>
    <w:rsid w:val="00466AB3"/>
    <w:rsid w:val="00473D73"/>
    <w:rsid w:val="00475087"/>
    <w:rsid w:val="004941EE"/>
    <w:rsid w:val="004A5159"/>
    <w:rsid w:val="004A77B9"/>
    <w:rsid w:val="004C47B9"/>
    <w:rsid w:val="004C4824"/>
    <w:rsid w:val="004D01C4"/>
    <w:rsid w:val="004E667E"/>
    <w:rsid w:val="004E6F72"/>
    <w:rsid w:val="00522CCA"/>
    <w:rsid w:val="00523A62"/>
    <w:rsid w:val="00545BC7"/>
    <w:rsid w:val="00562EA6"/>
    <w:rsid w:val="00570384"/>
    <w:rsid w:val="00575370"/>
    <w:rsid w:val="00575D46"/>
    <w:rsid w:val="00593E5B"/>
    <w:rsid w:val="005B5981"/>
    <w:rsid w:val="005C4966"/>
    <w:rsid w:val="005C7977"/>
    <w:rsid w:val="00605BED"/>
    <w:rsid w:val="0063216A"/>
    <w:rsid w:val="00633EC3"/>
    <w:rsid w:val="00664D73"/>
    <w:rsid w:val="0068450C"/>
    <w:rsid w:val="0069172C"/>
    <w:rsid w:val="006954B6"/>
    <w:rsid w:val="006A2876"/>
    <w:rsid w:val="006A73AA"/>
    <w:rsid w:val="006E2534"/>
    <w:rsid w:val="00702021"/>
    <w:rsid w:val="0070602E"/>
    <w:rsid w:val="00715053"/>
    <w:rsid w:val="00717AAF"/>
    <w:rsid w:val="0073599E"/>
    <w:rsid w:val="00742000"/>
    <w:rsid w:val="00744554"/>
    <w:rsid w:val="0075348E"/>
    <w:rsid w:val="007650FA"/>
    <w:rsid w:val="007749E7"/>
    <w:rsid w:val="007750CB"/>
    <w:rsid w:val="007C6F03"/>
    <w:rsid w:val="007D303E"/>
    <w:rsid w:val="007F7532"/>
    <w:rsid w:val="008030A7"/>
    <w:rsid w:val="00804BB2"/>
    <w:rsid w:val="00816745"/>
    <w:rsid w:val="008213B9"/>
    <w:rsid w:val="00827CBB"/>
    <w:rsid w:val="0083557E"/>
    <w:rsid w:val="00862574"/>
    <w:rsid w:val="00872AA7"/>
    <w:rsid w:val="008808E2"/>
    <w:rsid w:val="008A3DF4"/>
    <w:rsid w:val="008B6673"/>
    <w:rsid w:val="008C3C28"/>
    <w:rsid w:val="008D3F12"/>
    <w:rsid w:val="008D53EB"/>
    <w:rsid w:val="008E1398"/>
    <w:rsid w:val="008E3BA4"/>
    <w:rsid w:val="008E4A8D"/>
    <w:rsid w:val="0090625F"/>
    <w:rsid w:val="009125F8"/>
    <w:rsid w:val="009317F3"/>
    <w:rsid w:val="00934826"/>
    <w:rsid w:val="009367CC"/>
    <w:rsid w:val="00936B43"/>
    <w:rsid w:val="0094483B"/>
    <w:rsid w:val="009448A9"/>
    <w:rsid w:val="00945D09"/>
    <w:rsid w:val="009508DA"/>
    <w:rsid w:val="009557E7"/>
    <w:rsid w:val="009742E9"/>
    <w:rsid w:val="009843BF"/>
    <w:rsid w:val="00994138"/>
    <w:rsid w:val="00997AB0"/>
    <w:rsid w:val="009A4C1F"/>
    <w:rsid w:val="009D42EA"/>
    <w:rsid w:val="009E24F5"/>
    <w:rsid w:val="00A411CA"/>
    <w:rsid w:val="00A50083"/>
    <w:rsid w:val="00A6077D"/>
    <w:rsid w:val="00A70659"/>
    <w:rsid w:val="00A82619"/>
    <w:rsid w:val="00A83D77"/>
    <w:rsid w:val="00A85861"/>
    <w:rsid w:val="00A96BE9"/>
    <w:rsid w:val="00AB46CE"/>
    <w:rsid w:val="00AB79CC"/>
    <w:rsid w:val="00AD2CE2"/>
    <w:rsid w:val="00AD3E82"/>
    <w:rsid w:val="00AD74A6"/>
    <w:rsid w:val="00AE4611"/>
    <w:rsid w:val="00AE481E"/>
    <w:rsid w:val="00AF40D4"/>
    <w:rsid w:val="00B3791B"/>
    <w:rsid w:val="00B528C8"/>
    <w:rsid w:val="00B579E2"/>
    <w:rsid w:val="00B6117C"/>
    <w:rsid w:val="00B70D92"/>
    <w:rsid w:val="00B86237"/>
    <w:rsid w:val="00BA126E"/>
    <w:rsid w:val="00BA4334"/>
    <w:rsid w:val="00BC102F"/>
    <w:rsid w:val="00BD03B0"/>
    <w:rsid w:val="00BD6489"/>
    <w:rsid w:val="00BF4BA7"/>
    <w:rsid w:val="00C123BF"/>
    <w:rsid w:val="00C12F59"/>
    <w:rsid w:val="00C4272C"/>
    <w:rsid w:val="00C562F1"/>
    <w:rsid w:val="00C603DA"/>
    <w:rsid w:val="00C6147A"/>
    <w:rsid w:val="00C61EEF"/>
    <w:rsid w:val="00C86703"/>
    <w:rsid w:val="00CA587F"/>
    <w:rsid w:val="00CB3FFD"/>
    <w:rsid w:val="00CC713E"/>
    <w:rsid w:val="00CD3EF9"/>
    <w:rsid w:val="00CD6695"/>
    <w:rsid w:val="00CE4027"/>
    <w:rsid w:val="00CF3829"/>
    <w:rsid w:val="00CF5716"/>
    <w:rsid w:val="00D12F0F"/>
    <w:rsid w:val="00D17D14"/>
    <w:rsid w:val="00D83AA4"/>
    <w:rsid w:val="00DA4753"/>
    <w:rsid w:val="00DC4B09"/>
    <w:rsid w:val="00DC78CB"/>
    <w:rsid w:val="00DD38BD"/>
    <w:rsid w:val="00DD4DFC"/>
    <w:rsid w:val="00DD7522"/>
    <w:rsid w:val="00DF605E"/>
    <w:rsid w:val="00E0189C"/>
    <w:rsid w:val="00E21A4E"/>
    <w:rsid w:val="00E22217"/>
    <w:rsid w:val="00E22238"/>
    <w:rsid w:val="00E25026"/>
    <w:rsid w:val="00E47C53"/>
    <w:rsid w:val="00E7291E"/>
    <w:rsid w:val="00E75685"/>
    <w:rsid w:val="00E83B75"/>
    <w:rsid w:val="00E92D5B"/>
    <w:rsid w:val="00E93089"/>
    <w:rsid w:val="00EF1945"/>
    <w:rsid w:val="00F052EB"/>
    <w:rsid w:val="00F30A21"/>
    <w:rsid w:val="00F325CA"/>
    <w:rsid w:val="00F44682"/>
    <w:rsid w:val="00F50288"/>
    <w:rsid w:val="00F702A6"/>
    <w:rsid w:val="00F83313"/>
    <w:rsid w:val="00F8338C"/>
    <w:rsid w:val="00F84649"/>
    <w:rsid w:val="00F85A73"/>
    <w:rsid w:val="00FA0B91"/>
    <w:rsid w:val="00FA0F5C"/>
    <w:rsid w:val="00FD0545"/>
    <w:rsid w:val="00FD1062"/>
    <w:rsid w:val="00FE3FD8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2585BC56-8561-40BC-9D77-75AEFB18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948"/>
    <w:pPr>
      <w:spacing w:line="276" w:lineRule="auto"/>
    </w:pPr>
    <w:rPr>
      <w:rFonts w:ascii="Times New Roman" w:hAnsi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T291t00" w:hAnsi="TT291t00" w:cs="TT291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1535C5"/>
    <w:pPr>
      <w:pageBreakBefore/>
      <w:spacing w:after="160" w:line="186" w:lineRule="atLeast"/>
      <w:ind w:left="272"/>
    </w:pPr>
    <w:rPr>
      <w:rFonts w:ascii="Times New Roman" w:hAnsi="Times New Roman" w:cs="Times New Roman"/>
      <w:sz w:val="22"/>
      <w:szCs w:val="22"/>
    </w:rPr>
  </w:style>
  <w:style w:type="paragraph" w:customStyle="1" w:styleId="CM24">
    <w:name w:val="CM24"/>
    <w:basedOn w:val="Default"/>
    <w:next w:val="Default"/>
    <w:uiPriority w:val="99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1535C5"/>
    <w:pPr>
      <w:spacing w:after="217" w:line="186" w:lineRule="atLeast"/>
    </w:pPr>
    <w:rPr>
      <w:rFonts w:ascii="Times New Roman" w:hAnsi="Times New Roman" w:cs="Times New Roman"/>
      <w:b/>
      <w:sz w:val="22"/>
      <w:szCs w:val="22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4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4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0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1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18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186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188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6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pPr>
      <w:spacing w:line="586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58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Pr>
      <w:rFonts w:cs="Times New Roman"/>
      <w:color w:val="auto"/>
    </w:rPr>
  </w:style>
  <w:style w:type="paragraph" w:styleId="Zkladntext">
    <w:name w:val="Body Text"/>
    <w:basedOn w:val="Normlny"/>
    <w:link w:val="ZkladntextChar"/>
    <w:uiPriority w:val="1"/>
    <w:qFormat/>
    <w:rsid w:val="00F50288"/>
    <w:pPr>
      <w:widowControl w:val="0"/>
      <w:spacing w:line="240" w:lineRule="auto"/>
      <w:ind w:left="551"/>
    </w:pPr>
    <w:rPr>
      <w:rFonts w:ascii="Arial" w:eastAsia="Arial" w:hAnsi="Arial"/>
      <w:sz w:val="16"/>
      <w:szCs w:val="16"/>
    </w:rPr>
  </w:style>
  <w:style w:type="character" w:customStyle="1" w:styleId="ZkladntextChar">
    <w:name w:val="Základný text Char"/>
    <w:link w:val="Zkladntext"/>
    <w:uiPriority w:val="1"/>
    <w:rsid w:val="00F50288"/>
    <w:rPr>
      <w:rFonts w:ascii="Arial" w:eastAsia="Arial" w:hAnsi="Arial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F50288"/>
    <w:pPr>
      <w:widowControl w:val="0"/>
      <w:spacing w:line="240" w:lineRule="auto"/>
    </w:pPr>
    <w:rPr>
      <w:rFonts w:ascii="Calibri" w:eastAsia="Calibri" w:hAnsi="Calibri"/>
    </w:rPr>
  </w:style>
  <w:style w:type="paragraph" w:styleId="Hlavika">
    <w:name w:val="header"/>
    <w:basedOn w:val="Normlny"/>
    <w:link w:val="HlavikaChar"/>
    <w:uiPriority w:val="99"/>
    <w:unhideWhenUsed/>
    <w:rsid w:val="009317F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9317F3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9317F3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9317F3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2A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2AA7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72AA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72AA7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CA587F"/>
    <w:pPr>
      <w:ind w:left="720"/>
      <w:contextualSpacing/>
    </w:pPr>
  </w:style>
  <w:style w:type="table" w:styleId="Mriekatabuky">
    <w:name w:val="Table Grid"/>
    <w:basedOn w:val="Normlnatabuka"/>
    <w:uiPriority w:val="59"/>
    <w:rsid w:val="0031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C78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8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8CB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8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8CB"/>
    <w:rPr>
      <w:rFonts w:ascii="Times New Roman" w:hAnsi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523A6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3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4019-937A-4C5E-8397-F1FF7ADE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8176</Words>
  <Characters>46609</Characters>
  <Application>Microsoft Office Word</Application>
  <DocSecurity>0</DocSecurity>
  <Lines>388</Lines>
  <Paragraphs>109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http://www.medicines.org.uk/emc/printfriendlydocument.aspx?docu</vt:lpstr>
      <vt:lpstr>http://www.medicines.org.uk/emc/printfriendlydocument.aspx?docu</vt:lpstr>
    </vt:vector>
  </TitlesOfParts>
  <Company>Xellia</Company>
  <LinksUpToDate>false</LinksUpToDate>
  <CharactersWithSpaces>54676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http://www.medicines.org.uk/emc/printfriendlydocument.aspx?docu</dc:title>
  <dc:creator>JETTE</dc:creator>
  <cp:lastModifiedBy>Mózes, Iveta</cp:lastModifiedBy>
  <cp:revision>2</cp:revision>
  <cp:lastPrinted>2016-05-13T13:09:00Z</cp:lastPrinted>
  <dcterms:created xsi:type="dcterms:W3CDTF">2016-10-26T06:30:00Z</dcterms:created>
  <dcterms:modified xsi:type="dcterms:W3CDTF">2016-10-26T06:30:00Z</dcterms:modified>
</cp:coreProperties>
</file>