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68" w:rsidRPr="00267823" w:rsidRDefault="00981368" w:rsidP="00471AC4">
      <w:pPr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jc w:val="center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SÚHRN CHARAKTERISTICKÝCH VLASTNOSTÍ LIEKU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NÁZOV LIEKU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471AC4" w:rsidRPr="00267823" w:rsidRDefault="00C33063" w:rsidP="0013273D">
      <w:pPr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Panzynorm</w:t>
      </w:r>
      <w:proofErr w:type="spellEnd"/>
      <w:r w:rsidRPr="00267823">
        <w:rPr>
          <w:sz w:val="22"/>
          <w:szCs w:val="22"/>
          <w:lang w:val="sk-SK" w:eastAsia="sk-SK"/>
        </w:rPr>
        <w:t xml:space="preserve"> 10</w:t>
      </w:r>
      <w:r w:rsidR="00471AC4" w:rsidRPr="00267823">
        <w:rPr>
          <w:sz w:val="22"/>
          <w:szCs w:val="22"/>
          <w:lang w:val="sk-SK" w:eastAsia="sk-SK"/>
        </w:rPr>
        <w:t> </w:t>
      </w:r>
      <w:r w:rsidRPr="00267823">
        <w:rPr>
          <w:sz w:val="22"/>
          <w:szCs w:val="22"/>
          <w:lang w:val="sk-SK" w:eastAsia="sk-SK"/>
        </w:rPr>
        <w:t xml:space="preserve">000 </w:t>
      </w:r>
    </w:p>
    <w:p w:rsidR="00C33063" w:rsidRPr="00267823" w:rsidRDefault="009C73C4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tvrdé </w:t>
      </w:r>
      <w:proofErr w:type="spellStart"/>
      <w:r w:rsidR="00B41E11" w:rsidRPr="00267823">
        <w:rPr>
          <w:sz w:val="22"/>
          <w:szCs w:val="22"/>
          <w:lang w:val="sk-SK" w:eastAsia="sk-SK"/>
        </w:rPr>
        <w:t>gastrorezistentné</w:t>
      </w:r>
      <w:proofErr w:type="spellEnd"/>
      <w:r w:rsidR="00B41E11" w:rsidRPr="00267823">
        <w:rPr>
          <w:sz w:val="22"/>
          <w:szCs w:val="22"/>
          <w:lang w:val="sk-SK" w:eastAsia="sk-SK"/>
        </w:rPr>
        <w:t xml:space="preserve"> </w:t>
      </w:r>
      <w:r w:rsidR="00C33063" w:rsidRPr="00267823">
        <w:rPr>
          <w:sz w:val="22"/>
          <w:szCs w:val="22"/>
          <w:lang w:val="sk-SK" w:eastAsia="sk-SK"/>
        </w:rPr>
        <w:t xml:space="preserve">kapsuly </w:t>
      </w:r>
    </w:p>
    <w:p w:rsidR="00C33063" w:rsidRPr="00267823" w:rsidRDefault="00C33063" w:rsidP="0013273D">
      <w:pPr>
        <w:numPr>
          <w:ilvl w:val="12"/>
          <w:numId w:val="0"/>
        </w:numPr>
        <w:ind w:left="283" w:hanging="283"/>
        <w:rPr>
          <w:sz w:val="22"/>
          <w:szCs w:val="22"/>
          <w:lang w:val="sk-SK" w:eastAsia="sk-SK"/>
        </w:rPr>
      </w:pPr>
    </w:p>
    <w:p w:rsidR="00E753AA" w:rsidRPr="00267823" w:rsidRDefault="00E753AA" w:rsidP="0013273D">
      <w:pPr>
        <w:numPr>
          <w:ilvl w:val="12"/>
          <w:numId w:val="0"/>
        </w:numPr>
        <w:ind w:left="283" w:hanging="283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KVALITATÍVNE A KVANTITATÍVNE ZLOŽENIE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E71E5B">
        <w:rPr>
          <w:sz w:val="22"/>
          <w:szCs w:val="22"/>
          <w:lang w:val="sk-SK" w:eastAsia="sk-SK"/>
        </w:rPr>
        <w:t xml:space="preserve">Každá </w:t>
      </w:r>
      <w:r w:rsidR="0034614A" w:rsidRPr="00E71E5B">
        <w:rPr>
          <w:sz w:val="22"/>
          <w:szCs w:val="22"/>
          <w:lang w:val="sk-SK" w:eastAsia="sk-SK"/>
        </w:rPr>
        <w:t xml:space="preserve">tvrdá </w:t>
      </w:r>
      <w:r w:rsidR="006E647B" w:rsidRPr="00E71E5B">
        <w:rPr>
          <w:sz w:val="22"/>
          <w:szCs w:val="22"/>
          <w:lang w:val="sk-SK" w:eastAsia="sk-SK"/>
        </w:rPr>
        <w:t>želatínová</w:t>
      </w:r>
      <w:r w:rsidR="006E647B" w:rsidRPr="00267823">
        <w:rPr>
          <w:sz w:val="22"/>
          <w:szCs w:val="22"/>
          <w:lang w:val="sk-SK" w:eastAsia="sk-SK"/>
        </w:rPr>
        <w:t xml:space="preserve"> </w:t>
      </w:r>
      <w:r w:rsidRPr="00267823">
        <w:rPr>
          <w:sz w:val="22"/>
          <w:szCs w:val="22"/>
          <w:lang w:val="sk-SK" w:eastAsia="sk-SK"/>
        </w:rPr>
        <w:t xml:space="preserve">kapsula obsahuje </w:t>
      </w:r>
      <w:proofErr w:type="spellStart"/>
      <w:r w:rsidR="001E0D7F" w:rsidRPr="00267823">
        <w:rPr>
          <w:sz w:val="22"/>
          <w:szCs w:val="22"/>
          <w:lang w:val="sk-SK" w:eastAsia="sk-SK"/>
        </w:rPr>
        <w:t>pelety</w:t>
      </w:r>
      <w:proofErr w:type="spellEnd"/>
      <w:r w:rsidR="001E0D7F"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="00A71AB7" w:rsidRPr="00267823">
        <w:rPr>
          <w:sz w:val="22"/>
          <w:szCs w:val="22"/>
          <w:lang w:val="sk-SK" w:eastAsia="sk-SK"/>
        </w:rPr>
        <w:t>pankreatínu</w:t>
      </w:r>
      <w:proofErr w:type="spellEnd"/>
      <w:r w:rsidR="00A71AB7" w:rsidRPr="00267823">
        <w:rPr>
          <w:sz w:val="22"/>
          <w:szCs w:val="22"/>
          <w:lang w:val="sk-SK" w:eastAsia="sk-SK"/>
        </w:rPr>
        <w:t xml:space="preserve"> </w:t>
      </w:r>
      <w:r w:rsidR="001E0D7F" w:rsidRPr="00267823">
        <w:rPr>
          <w:sz w:val="22"/>
          <w:szCs w:val="22"/>
          <w:lang w:val="sk-SK" w:eastAsia="sk-SK"/>
        </w:rPr>
        <w:t xml:space="preserve">(s </w:t>
      </w:r>
      <w:proofErr w:type="spellStart"/>
      <w:r w:rsidR="001E0D7F" w:rsidRPr="00267823">
        <w:rPr>
          <w:sz w:val="22"/>
          <w:szCs w:val="22"/>
          <w:lang w:val="sk-SK" w:eastAsia="sk-SK"/>
        </w:rPr>
        <w:t>gastrorezistentným</w:t>
      </w:r>
      <w:proofErr w:type="spellEnd"/>
      <w:r w:rsidR="001E0D7F" w:rsidRPr="00267823">
        <w:rPr>
          <w:sz w:val="22"/>
          <w:szCs w:val="22"/>
          <w:lang w:val="sk-SK" w:eastAsia="sk-SK"/>
        </w:rPr>
        <w:t xml:space="preserve"> obalom) zodpovedajúce </w:t>
      </w:r>
      <w:r w:rsidRPr="00267823">
        <w:rPr>
          <w:sz w:val="22"/>
          <w:szCs w:val="22"/>
          <w:lang w:val="sk-SK" w:eastAsia="sk-SK"/>
        </w:rPr>
        <w:t xml:space="preserve">10 000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>. Eur. jednot</w:t>
      </w:r>
      <w:r w:rsidR="001E0D7F" w:rsidRPr="00267823">
        <w:rPr>
          <w:sz w:val="22"/>
          <w:szCs w:val="22"/>
          <w:lang w:val="sk-SK" w:eastAsia="sk-SK"/>
        </w:rPr>
        <w:t>kám</w:t>
      </w:r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lipázy</w:t>
      </w:r>
      <w:proofErr w:type="spellEnd"/>
      <w:r w:rsidRPr="00267823">
        <w:rPr>
          <w:sz w:val="22"/>
          <w:szCs w:val="22"/>
          <w:lang w:val="sk-SK" w:eastAsia="sk-SK"/>
        </w:rPr>
        <w:t xml:space="preserve">, 7 200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>. Eur. jednot</w:t>
      </w:r>
      <w:r w:rsidR="001E0D7F" w:rsidRPr="00267823">
        <w:rPr>
          <w:sz w:val="22"/>
          <w:szCs w:val="22"/>
          <w:lang w:val="sk-SK" w:eastAsia="sk-SK"/>
        </w:rPr>
        <w:t>kám</w:t>
      </w:r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amylázy</w:t>
      </w:r>
      <w:proofErr w:type="spellEnd"/>
      <w:r w:rsidRPr="00267823">
        <w:rPr>
          <w:sz w:val="22"/>
          <w:szCs w:val="22"/>
          <w:lang w:val="sk-SK" w:eastAsia="sk-SK"/>
        </w:rPr>
        <w:t xml:space="preserve"> a 400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>. Eur. jednot</w:t>
      </w:r>
      <w:r w:rsidR="001E0D7F" w:rsidRPr="00267823">
        <w:rPr>
          <w:sz w:val="22"/>
          <w:szCs w:val="22"/>
          <w:lang w:val="sk-SK" w:eastAsia="sk-SK"/>
        </w:rPr>
        <w:t>kám</w:t>
      </w:r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prot</w:t>
      </w:r>
      <w:r w:rsidR="001E0D7F" w:rsidRPr="00267823">
        <w:rPr>
          <w:sz w:val="22"/>
          <w:szCs w:val="22"/>
          <w:lang w:val="sk-SK" w:eastAsia="sk-SK"/>
        </w:rPr>
        <w:t>e</w:t>
      </w:r>
      <w:r w:rsidRPr="00267823">
        <w:rPr>
          <w:sz w:val="22"/>
          <w:szCs w:val="22"/>
          <w:lang w:val="sk-SK" w:eastAsia="sk-SK"/>
        </w:rPr>
        <w:t>ázy</w:t>
      </w:r>
      <w:proofErr w:type="spellEnd"/>
      <w:r w:rsidRPr="00267823">
        <w:rPr>
          <w:sz w:val="22"/>
          <w:szCs w:val="22"/>
          <w:lang w:val="sk-SK" w:eastAsia="sk-SK"/>
        </w:rPr>
        <w:t xml:space="preserve">. 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1701"/>
          <w:tab w:val="left" w:pos="3119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Úplný zoznam pomocných látok, pozri časť 6.1.</w:t>
      </w:r>
      <w:r w:rsidRPr="00267823">
        <w:rPr>
          <w:sz w:val="22"/>
          <w:szCs w:val="22"/>
          <w:lang w:val="sk-SK" w:eastAsia="sk-SK"/>
        </w:rPr>
        <w:tab/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1"/>
        </w:numPr>
        <w:ind w:left="567" w:hanging="567"/>
        <w:rPr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LIEKOVÁ FORMA</w:t>
      </w: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Tvrdá </w:t>
      </w:r>
      <w:proofErr w:type="spellStart"/>
      <w:r w:rsidR="009C73C4" w:rsidRPr="00267823">
        <w:rPr>
          <w:sz w:val="22"/>
          <w:szCs w:val="22"/>
          <w:lang w:val="sk-SK" w:eastAsia="sk-SK"/>
        </w:rPr>
        <w:t>gastrorezistentná</w:t>
      </w:r>
      <w:proofErr w:type="spellEnd"/>
      <w:r w:rsidR="009C73C4" w:rsidRPr="00267823">
        <w:rPr>
          <w:sz w:val="22"/>
          <w:szCs w:val="22"/>
          <w:lang w:val="sk-SK" w:eastAsia="sk-SK"/>
        </w:rPr>
        <w:t xml:space="preserve"> </w:t>
      </w:r>
      <w:r w:rsidRPr="00267823">
        <w:rPr>
          <w:sz w:val="22"/>
          <w:szCs w:val="22"/>
          <w:lang w:val="sk-SK" w:eastAsia="sk-SK"/>
        </w:rPr>
        <w:t>kapsula.</w:t>
      </w: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Telo a viečko kapsuly je nepriehľadné biele; kapsuly obsahujú </w:t>
      </w:r>
      <w:proofErr w:type="spellStart"/>
      <w:r w:rsidR="00EF285E" w:rsidRPr="00267823">
        <w:rPr>
          <w:sz w:val="22"/>
          <w:szCs w:val="22"/>
          <w:lang w:val="sk-SK" w:eastAsia="sk-SK"/>
        </w:rPr>
        <w:t>gastrorezistentné</w:t>
      </w:r>
      <w:proofErr w:type="spellEnd"/>
      <w:r w:rsidR="00EF285E" w:rsidRPr="00267823">
        <w:rPr>
          <w:sz w:val="22"/>
          <w:szCs w:val="22"/>
          <w:lang w:val="sk-SK" w:eastAsia="sk-SK"/>
        </w:rPr>
        <w:t xml:space="preserve"> </w:t>
      </w:r>
      <w:r w:rsidRPr="00267823">
        <w:rPr>
          <w:sz w:val="22"/>
          <w:szCs w:val="22"/>
          <w:lang w:val="sk-SK" w:eastAsia="sk-SK"/>
        </w:rPr>
        <w:t xml:space="preserve">hnedasté </w:t>
      </w:r>
      <w:proofErr w:type="spellStart"/>
      <w:r w:rsidRPr="00267823">
        <w:rPr>
          <w:sz w:val="22"/>
          <w:szCs w:val="22"/>
          <w:lang w:val="sk-SK" w:eastAsia="sk-SK"/>
        </w:rPr>
        <w:t>pelety</w:t>
      </w:r>
      <w:proofErr w:type="spellEnd"/>
      <w:r w:rsidRPr="00267823">
        <w:rPr>
          <w:sz w:val="22"/>
          <w:szCs w:val="22"/>
          <w:lang w:val="sk-SK" w:eastAsia="sk-SK"/>
        </w:rPr>
        <w:t xml:space="preserve">. </w:t>
      </w: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KLINICKÉ ÚDAJE</w:t>
      </w:r>
    </w:p>
    <w:p w:rsidR="00C33063" w:rsidRPr="00267823" w:rsidRDefault="00C33063" w:rsidP="0013273D">
      <w:pPr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4.1 </w:t>
      </w:r>
      <w:r w:rsidRPr="00267823">
        <w:rPr>
          <w:b/>
          <w:sz w:val="22"/>
          <w:szCs w:val="22"/>
          <w:lang w:val="sk-SK" w:eastAsia="sk-SK"/>
        </w:rPr>
        <w:tab/>
        <w:t>Terapeutické indikácie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Poruchy trávenia (prejavujúce sa ako </w:t>
      </w:r>
      <w:proofErr w:type="spellStart"/>
      <w:r w:rsidRPr="00267823">
        <w:rPr>
          <w:sz w:val="22"/>
          <w:szCs w:val="22"/>
          <w:lang w:val="sk-SK" w:eastAsia="sk-SK"/>
        </w:rPr>
        <w:t>steatorea</w:t>
      </w:r>
      <w:proofErr w:type="spellEnd"/>
      <w:r w:rsidRPr="00267823">
        <w:rPr>
          <w:sz w:val="22"/>
          <w:szCs w:val="22"/>
          <w:lang w:val="sk-SK" w:eastAsia="sk-SK"/>
        </w:rPr>
        <w:t xml:space="preserve">, hnačka, nadúvanie, strata hmotnosti) v dôsledku pankreatickej </w:t>
      </w:r>
      <w:proofErr w:type="spellStart"/>
      <w:r w:rsidRPr="00267823">
        <w:rPr>
          <w:sz w:val="22"/>
          <w:szCs w:val="22"/>
          <w:lang w:val="sk-SK" w:eastAsia="sk-SK"/>
        </w:rPr>
        <w:t>exokrinnej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insuficiencie</w:t>
      </w:r>
      <w:proofErr w:type="spellEnd"/>
      <w:r w:rsidRPr="00267823">
        <w:rPr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2F5300" w:rsidRPr="00267823" w:rsidRDefault="002F5300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Tento liek je určený </w:t>
      </w:r>
      <w:bookmarkStart w:id="0" w:name="_GoBack"/>
      <w:bookmarkEnd w:id="0"/>
      <w:r w:rsidRPr="00267823">
        <w:rPr>
          <w:sz w:val="22"/>
          <w:szCs w:val="22"/>
          <w:lang w:val="sk-SK" w:eastAsia="sk-SK"/>
        </w:rPr>
        <w:t>dospelý</w:t>
      </w:r>
      <w:r w:rsidR="00106772" w:rsidRPr="00267823">
        <w:rPr>
          <w:sz w:val="22"/>
          <w:szCs w:val="22"/>
          <w:lang w:val="sk-SK" w:eastAsia="sk-SK"/>
        </w:rPr>
        <w:t>m</w:t>
      </w:r>
      <w:r w:rsidRPr="00267823">
        <w:rPr>
          <w:sz w:val="22"/>
          <w:szCs w:val="22"/>
          <w:lang w:val="sk-SK" w:eastAsia="sk-SK"/>
        </w:rPr>
        <w:t>, dospievajúci</w:t>
      </w:r>
      <w:r w:rsidR="00106772" w:rsidRPr="00267823">
        <w:rPr>
          <w:sz w:val="22"/>
          <w:szCs w:val="22"/>
          <w:lang w:val="sk-SK" w:eastAsia="sk-SK"/>
        </w:rPr>
        <w:t>m</w:t>
      </w:r>
      <w:r w:rsidRPr="00267823">
        <w:rPr>
          <w:sz w:val="22"/>
          <w:szCs w:val="22"/>
          <w:lang w:val="sk-SK" w:eastAsia="sk-SK"/>
        </w:rPr>
        <w:t xml:space="preserve"> a de</w:t>
      </w:r>
      <w:r w:rsidR="00106772" w:rsidRPr="00267823">
        <w:rPr>
          <w:sz w:val="22"/>
          <w:szCs w:val="22"/>
          <w:lang w:val="sk-SK" w:eastAsia="sk-SK"/>
        </w:rPr>
        <w:t>ťom</w:t>
      </w:r>
      <w:r w:rsidRPr="00267823">
        <w:rPr>
          <w:sz w:val="22"/>
          <w:szCs w:val="22"/>
          <w:lang w:val="sk-SK" w:eastAsia="sk-SK"/>
        </w:rPr>
        <w:t>.</w:t>
      </w:r>
    </w:p>
    <w:p w:rsidR="002F5300" w:rsidRPr="00267823" w:rsidRDefault="002F5300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4.2 </w:t>
      </w:r>
      <w:r w:rsidRPr="00267823">
        <w:rPr>
          <w:b/>
          <w:sz w:val="22"/>
          <w:szCs w:val="22"/>
          <w:lang w:val="sk-SK" w:eastAsia="sk-SK"/>
        </w:rPr>
        <w:tab/>
        <w:t>Dávkovanie a spôsob podávania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Dávkovanie</w:t>
      </w:r>
    </w:p>
    <w:p w:rsidR="00C33063" w:rsidRPr="00267823" w:rsidRDefault="00C33063" w:rsidP="0013273D">
      <w:pPr>
        <w:tabs>
          <w:tab w:val="left" w:pos="567"/>
          <w:tab w:val="left" w:pos="851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Dávkovanie má byť individuálne. Liečba sa </w:t>
      </w:r>
      <w:r w:rsidR="00A71AB7" w:rsidRPr="00267823">
        <w:rPr>
          <w:sz w:val="22"/>
          <w:szCs w:val="22"/>
          <w:lang w:val="sk-SK" w:eastAsia="sk-SK"/>
        </w:rPr>
        <w:t xml:space="preserve">má začať </w:t>
      </w:r>
      <w:r w:rsidRPr="00267823">
        <w:rPr>
          <w:sz w:val="22"/>
          <w:szCs w:val="22"/>
          <w:lang w:val="sk-SK" w:eastAsia="sk-SK"/>
        </w:rPr>
        <w:t xml:space="preserve">nižšími dávkami: jedna alebo dve kapsuly počas hlavného jedla trikrát denne. Ak </w:t>
      </w:r>
      <w:r w:rsidR="00A71AB7" w:rsidRPr="00267823">
        <w:rPr>
          <w:sz w:val="22"/>
          <w:szCs w:val="22"/>
          <w:lang w:val="sk-SK" w:eastAsia="sk-SK"/>
        </w:rPr>
        <w:t xml:space="preserve">tieto </w:t>
      </w:r>
      <w:r w:rsidRPr="00267823">
        <w:rPr>
          <w:sz w:val="22"/>
          <w:szCs w:val="22"/>
          <w:lang w:val="sk-SK" w:eastAsia="sk-SK"/>
        </w:rPr>
        <w:t>dávky nie sú dostačujúce, môžu sa postupne zvyšovať. Ak je potrebné, pacient môže užiť jednu kapsulu aj počas vedľajších jedál.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Dávky môžu byť aj vyššie; avšak pacienti majú užívať najnižšie účinné dávky, čo je dôležité najmä u pacientov s cystickou </w:t>
      </w:r>
      <w:proofErr w:type="spellStart"/>
      <w:r w:rsidRPr="00267823">
        <w:rPr>
          <w:sz w:val="22"/>
          <w:szCs w:val="22"/>
          <w:lang w:val="sk-SK" w:eastAsia="sk-SK"/>
        </w:rPr>
        <w:t>fibrózou</w:t>
      </w:r>
      <w:proofErr w:type="spellEnd"/>
      <w:r w:rsidR="002F5300" w:rsidRPr="00267823">
        <w:rPr>
          <w:sz w:val="22"/>
          <w:szCs w:val="22"/>
          <w:lang w:val="sk-SK" w:eastAsia="sk-SK"/>
        </w:rPr>
        <w:t xml:space="preserve">. Denná dávka nesmie prekročiť 10 000 </w:t>
      </w:r>
      <w:proofErr w:type="spellStart"/>
      <w:r w:rsidR="002F5300" w:rsidRPr="00267823">
        <w:rPr>
          <w:sz w:val="22"/>
          <w:szCs w:val="22"/>
          <w:lang w:val="sk-SK" w:eastAsia="sk-SK"/>
        </w:rPr>
        <w:t>Ph</w:t>
      </w:r>
      <w:proofErr w:type="spellEnd"/>
      <w:r w:rsidR="002F5300" w:rsidRPr="00267823">
        <w:rPr>
          <w:sz w:val="22"/>
          <w:szCs w:val="22"/>
          <w:lang w:val="sk-SK" w:eastAsia="sk-SK"/>
        </w:rPr>
        <w:t xml:space="preserve">. Eur. jednotiek </w:t>
      </w:r>
      <w:proofErr w:type="spellStart"/>
      <w:r w:rsidR="002F5300" w:rsidRPr="00267823">
        <w:rPr>
          <w:sz w:val="22"/>
          <w:szCs w:val="22"/>
          <w:lang w:val="sk-SK" w:eastAsia="sk-SK"/>
        </w:rPr>
        <w:t>lipázy</w:t>
      </w:r>
      <w:proofErr w:type="spellEnd"/>
      <w:r w:rsidR="002F5300" w:rsidRPr="00267823">
        <w:rPr>
          <w:sz w:val="22"/>
          <w:szCs w:val="22"/>
          <w:lang w:val="sk-SK" w:eastAsia="sk-SK"/>
        </w:rPr>
        <w:t>/kg telesnej hmotnosti</w:t>
      </w:r>
      <w:r w:rsidRPr="00267823">
        <w:rPr>
          <w:sz w:val="22"/>
          <w:szCs w:val="22"/>
          <w:lang w:val="sk-SK" w:eastAsia="sk-SK"/>
        </w:rPr>
        <w:t xml:space="preserve"> (pozri časť 4.4).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i/>
          <w:sz w:val="22"/>
          <w:szCs w:val="22"/>
          <w:lang w:val="sk-SK" w:eastAsia="sk-SK"/>
        </w:rPr>
      </w:pPr>
      <w:r w:rsidRPr="00267823">
        <w:rPr>
          <w:i/>
          <w:sz w:val="22"/>
          <w:szCs w:val="22"/>
          <w:lang w:val="sk-SK" w:eastAsia="sk-SK"/>
        </w:rPr>
        <w:t>Pediatrická populácia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Dávkovanie má byť individuálne. Dávkovanie sa má upraviť podľa závažnosti ochorenia, počtu stolíc, stupňa </w:t>
      </w:r>
      <w:proofErr w:type="spellStart"/>
      <w:r w:rsidRPr="00267823">
        <w:rPr>
          <w:sz w:val="22"/>
          <w:szCs w:val="22"/>
          <w:lang w:val="sk-SK" w:eastAsia="sk-SK"/>
        </w:rPr>
        <w:t>steatorey</w:t>
      </w:r>
      <w:proofErr w:type="spellEnd"/>
      <w:r w:rsidRPr="00267823">
        <w:rPr>
          <w:sz w:val="22"/>
          <w:szCs w:val="22"/>
          <w:lang w:val="sk-SK" w:eastAsia="sk-SK"/>
        </w:rPr>
        <w:t>, príjmu tukov a nárastu hmotnosti a výšky.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Zvyčajná </w:t>
      </w:r>
      <w:r w:rsidR="002F5300" w:rsidRPr="00267823">
        <w:rPr>
          <w:sz w:val="22"/>
          <w:szCs w:val="22"/>
          <w:lang w:val="sk-SK" w:eastAsia="sk-SK"/>
        </w:rPr>
        <w:t xml:space="preserve">začiatočná </w:t>
      </w:r>
      <w:r w:rsidRPr="00267823">
        <w:rPr>
          <w:sz w:val="22"/>
          <w:szCs w:val="22"/>
          <w:lang w:val="sk-SK" w:eastAsia="sk-SK"/>
        </w:rPr>
        <w:t xml:space="preserve">dávka u detí </w:t>
      </w:r>
      <w:r w:rsidR="000A4DD1" w:rsidRPr="00267823">
        <w:rPr>
          <w:sz w:val="22"/>
          <w:szCs w:val="22"/>
          <w:lang w:val="sk-SK" w:eastAsia="sk-SK"/>
        </w:rPr>
        <w:t xml:space="preserve">vo veku </w:t>
      </w:r>
      <w:r w:rsidR="007E7B7E">
        <w:rPr>
          <w:sz w:val="22"/>
          <w:szCs w:val="22"/>
          <w:lang w:val="sk-SK" w:eastAsia="sk-SK"/>
        </w:rPr>
        <w:t>do</w:t>
      </w:r>
      <w:r w:rsidRPr="00267823">
        <w:rPr>
          <w:sz w:val="22"/>
          <w:szCs w:val="22"/>
          <w:lang w:val="sk-SK" w:eastAsia="sk-SK"/>
        </w:rPr>
        <w:t xml:space="preserve"> 4 rok</w:t>
      </w:r>
      <w:r w:rsidR="007E7B7E">
        <w:rPr>
          <w:sz w:val="22"/>
          <w:szCs w:val="22"/>
          <w:lang w:val="sk-SK" w:eastAsia="sk-SK"/>
        </w:rPr>
        <w:t>ov</w:t>
      </w:r>
      <w:r w:rsidRPr="00267823">
        <w:rPr>
          <w:sz w:val="22"/>
          <w:szCs w:val="22"/>
          <w:lang w:val="sk-SK" w:eastAsia="sk-SK"/>
        </w:rPr>
        <w:t xml:space="preserve"> je 1</w:t>
      </w:r>
      <w:r w:rsidR="000A4DD1" w:rsidRPr="00267823">
        <w:rPr>
          <w:sz w:val="22"/>
          <w:szCs w:val="22"/>
          <w:lang w:val="sk-SK" w:eastAsia="sk-SK"/>
        </w:rPr>
        <w:t> </w:t>
      </w:r>
      <w:r w:rsidRPr="00267823">
        <w:rPr>
          <w:sz w:val="22"/>
          <w:szCs w:val="22"/>
          <w:lang w:val="sk-SK" w:eastAsia="sk-SK"/>
        </w:rPr>
        <w:t xml:space="preserve">000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 xml:space="preserve">. Eur. jednotiek </w:t>
      </w:r>
      <w:proofErr w:type="spellStart"/>
      <w:r w:rsidRPr="00267823">
        <w:rPr>
          <w:sz w:val="22"/>
          <w:szCs w:val="22"/>
          <w:lang w:val="sk-SK" w:eastAsia="sk-SK"/>
        </w:rPr>
        <w:t>lipázy</w:t>
      </w:r>
      <w:proofErr w:type="spellEnd"/>
      <w:r w:rsidRPr="00267823">
        <w:rPr>
          <w:sz w:val="22"/>
          <w:szCs w:val="22"/>
          <w:lang w:val="sk-SK" w:eastAsia="sk-SK"/>
        </w:rPr>
        <w:t>/kg telesnej hmotnosti</w:t>
      </w:r>
      <w:r w:rsidR="00A10EDC" w:rsidRPr="00267823">
        <w:rPr>
          <w:sz w:val="22"/>
          <w:szCs w:val="22"/>
          <w:lang w:val="sk-SK" w:eastAsia="sk-SK"/>
        </w:rPr>
        <w:t>/</w:t>
      </w:r>
      <w:r w:rsidRPr="00267823">
        <w:rPr>
          <w:sz w:val="22"/>
          <w:szCs w:val="22"/>
          <w:lang w:val="sk-SK" w:eastAsia="sk-SK"/>
        </w:rPr>
        <w:t xml:space="preserve">jedlo a u detí </w:t>
      </w:r>
      <w:r w:rsidR="003F2C6D" w:rsidRPr="00267823">
        <w:rPr>
          <w:sz w:val="22"/>
          <w:szCs w:val="22"/>
          <w:lang w:val="sk-SK" w:eastAsia="sk-SK"/>
        </w:rPr>
        <w:t xml:space="preserve">vo veku </w:t>
      </w:r>
      <w:r w:rsidR="007E7B7E">
        <w:rPr>
          <w:sz w:val="22"/>
          <w:szCs w:val="22"/>
          <w:lang w:val="sk-SK" w:eastAsia="sk-SK"/>
        </w:rPr>
        <w:t>nad</w:t>
      </w:r>
      <w:r w:rsidRPr="00267823">
        <w:rPr>
          <w:sz w:val="22"/>
          <w:szCs w:val="22"/>
          <w:lang w:val="sk-SK" w:eastAsia="sk-SK"/>
        </w:rPr>
        <w:t xml:space="preserve"> 4 roky 500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 xml:space="preserve">. Eur. jednotiek </w:t>
      </w:r>
      <w:proofErr w:type="spellStart"/>
      <w:r w:rsidRPr="00267823">
        <w:rPr>
          <w:sz w:val="22"/>
          <w:szCs w:val="22"/>
          <w:lang w:val="sk-SK" w:eastAsia="sk-SK"/>
        </w:rPr>
        <w:t>lipázy</w:t>
      </w:r>
      <w:proofErr w:type="spellEnd"/>
      <w:r w:rsidRPr="00267823">
        <w:rPr>
          <w:sz w:val="22"/>
          <w:szCs w:val="22"/>
          <w:lang w:val="sk-SK" w:eastAsia="sk-SK"/>
        </w:rPr>
        <w:t>/kg telesnej hmotnosti</w:t>
      </w:r>
      <w:r w:rsidR="002F5300" w:rsidRPr="00267823">
        <w:rPr>
          <w:sz w:val="22"/>
          <w:szCs w:val="22"/>
          <w:lang w:val="sk-SK" w:eastAsia="sk-SK"/>
        </w:rPr>
        <w:t xml:space="preserve">/ </w:t>
      </w:r>
      <w:r w:rsidRPr="00267823">
        <w:rPr>
          <w:sz w:val="22"/>
          <w:szCs w:val="22"/>
          <w:lang w:val="sk-SK" w:eastAsia="sk-SK"/>
        </w:rPr>
        <w:t>jedlo.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Denná dávka nesmie prekročiť 10 000 </w:t>
      </w:r>
      <w:proofErr w:type="spellStart"/>
      <w:r w:rsidRPr="00267823">
        <w:rPr>
          <w:sz w:val="22"/>
          <w:szCs w:val="22"/>
          <w:lang w:val="sk-SK" w:eastAsia="sk-SK"/>
        </w:rPr>
        <w:t>Ph</w:t>
      </w:r>
      <w:proofErr w:type="spellEnd"/>
      <w:r w:rsidRPr="00267823">
        <w:rPr>
          <w:sz w:val="22"/>
          <w:szCs w:val="22"/>
          <w:lang w:val="sk-SK" w:eastAsia="sk-SK"/>
        </w:rPr>
        <w:t xml:space="preserve">. Eur. jednotiek </w:t>
      </w:r>
      <w:proofErr w:type="spellStart"/>
      <w:r w:rsidRPr="00267823">
        <w:rPr>
          <w:sz w:val="22"/>
          <w:szCs w:val="22"/>
          <w:lang w:val="sk-SK" w:eastAsia="sk-SK"/>
        </w:rPr>
        <w:t>lipázy</w:t>
      </w:r>
      <w:proofErr w:type="spellEnd"/>
      <w:r w:rsidRPr="00267823">
        <w:rPr>
          <w:sz w:val="22"/>
          <w:szCs w:val="22"/>
          <w:lang w:val="sk-SK" w:eastAsia="sk-SK"/>
        </w:rPr>
        <w:t>/kg telesnej hmotnosti (pozri časť 4.4).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Spôsob podávania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Kapsuly sa majú prehĺtať celé bez žuvania. </w:t>
      </w:r>
    </w:p>
    <w:p w:rsidR="00CD4466" w:rsidRPr="00267823" w:rsidRDefault="00C33063" w:rsidP="0013273D">
      <w:pPr>
        <w:rPr>
          <w:sz w:val="22"/>
          <w:szCs w:val="22"/>
        </w:rPr>
      </w:pPr>
      <w:r w:rsidRPr="00267823">
        <w:rPr>
          <w:sz w:val="22"/>
          <w:szCs w:val="22"/>
          <w:lang w:val="sk-SK" w:eastAsia="sk-SK"/>
        </w:rPr>
        <w:t>Ak dieťa nedokáže prehltnúť kapsulu vcelku, môže sa opatrne otvoriť a jej obsah sa môže zmiešať s malým množstvom vody alebo ovocnej šťavy</w:t>
      </w:r>
      <w:r w:rsidR="009A63AF" w:rsidRPr="00267823">
        <w:rPr>
          <w:sz w:val="22"/>
          <w:szCs w:val="22"/>
          <w:lang w:val="sk-SK" w:eastAsia="sk-SK"/>
        </w:rPr>
        <w:t xml:space="preserve"> s pH nižším ako 5,5</w:t>
      </w:r>
      <w:r w:rsidRPr="00267823">
        <w:rPr>
          <w:sz w:val="22"/>
          <w:szCs w:val="22"/>
          <w:lang w:val="sk-SK" w:eastAsia="sk-SK"/>
        </w:rPr>
        <w:t xml:space="preserve">. Zmes sa musí podať dieťaťu </w:t>
      </w:r>
      <w:r w:rsidRPr="00267823">
        <w:rPr>
          <w:sz w:val="22"/>
          <w:szCs w:val="22"/>
          <w:lang w:val="sk-SK" w:eastAsia="sk-SK"/>
        </w:rPr>
        <w:lastRenderedPageBreak/>
        <w:t>okamžite lyžičkou; nesmie sa drviť alebo žuť.</w:t>
      </w:r>
      <w:r w:rsidR="00CD4466" w:rsidRPr="00267823">
        <w:rPr>
          <w:sz w:val="22"/>
          <w:szCs w:val="22"/>
          <w:lang w:val="sk-SK" w:eastAsia="sk-SK"/>
        </w:rPr>
        <w:t xml:space="preserve"> </w:t>
      </w:r>
      <w:r w:rsidR="00CD4466" w:rsidRPr="00267823">
        <w:rPr>
          <w:sz w:val="22"/>
          <w:szCs w:val="22"/>
        </w:rPr>
        <w:t>Zmes sa odporúča zapiť vodou alebo ovocnou šťavou, aby sa zabezpečilo užitie celej podanej dávky lieku.</w:t>
      </w:r>
      <w:r w:rsidR="00A10EDC" w:rsidRPr="00267823">
        <w:rPr>
          <w:sz w:val="22"/>
          <w:szCs w:val="22"/>
        </w:rPr>
        <w:t xml:space="preserve"> </w:t>
      </w:r>
      <w:r w:rsidR="00CD4466" w:rsidRPr="00267823">
        <w:rPr>
          <w:sz w:val="22"/>
          <w:szCs w:val="22"/>
        </w:rPr>
        <w:t>Rozhryznutie alebo rozžutie mikročastíc alebo ich miešanie s potravou alebo s tekutinou s pH &gt; 5,5 môže porušiť ochrannú enterosolventnú vrstvu. To môže vyvolať predčasné uvoľnenie enzýmov v ústnej dutine, čo môže mať za následok zníženú účinnosť a podráždenie slizníc. Treba dbať na to, aby liek nezostal v ústach.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4.3 </w:t>
      </w:r>
      <w:r w:rsidRPr="00267823">
        <w:rPr>
          <w:b/>
          <w:sz w:val="22"/>
          <w:szCs w:val="22"/>
          <w:lang w:val="sk-SK" w:eastAsia="sk-SK"/>
        </w:rPr>
        <w:tab/>
        <w:t>Kontraindikácie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Precitlivenosť na </w:t>
      </w:r>
      <w:proofErr w:type="spellStart"/>
      <w:r w:rsidR="00C01D1F" w:rsidRPr="00267823">
        <w:rPr>
          <w:bCs/>
          <w:sz w:val="22"/>
          <w:szCs w:val="22"/>
          <w:lang w:val="sk-SK" w:eastAsia="sk-SK"/>
        </w:rPr>
        <w:t>pankreatín</w:t>
      </w:r>
      <w:proofErr w:type="spellEnd"/>
      <w:r w:rsidR="00C01D1F" w:rsidRPr="00267823">
        <w:rPr>
          <w:bCs/>
          <w:sz w:val="22"/>
          <w:szCs w:val="22"/>
          <w:lang w:val="sk-SK" w:eastAsia="sk-SK"/>
        </w:rPr>
        <w:t xml:space="preserve"> pochádzajúci z ošípaných </w:t>
      </w:r>
      <w:r w:rsidRPr="00267823">
        <w:rPr>
          <w:bCs/>
          <w:sz w:val="22"/>
          <w:szCs w:val="22"/>
          <w:lang w:val="sk-SK" w:eastAsia="sk-SK"/>
        </w:rPr>
        <w:t>alebo na ktorúkoľvek z pomocných látok uvedených v časti 6.1.</w:t>
      </w:r>
      <w:r w:rsidRPr="00267823">
        <w:rPr>
          <w:b/>
          <w:sz w:val="22"/>
          <w:szCs w:val="22"/>
          <w:lang w:val="sk-SK" w:eastAsia="sk-SK"/>
        </w:rPr>
        <w:t xml:space="preserve"> </w:t>
      </w:r>
    </w:p>
    <w:p w:rsidR="00A10EDC" w:rsidRPr="00267823" w:rsidRDefault="00A10EDC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Tento liek nesmú užívať pacienti s akútnou </w:t>
      </w:r>
      <w:proofErr w:type="spellStart"/>
      <w:r w:rsidRPr="00267823">
        <w:rPr>
          <w:sz w:val="22"/>
          <w:szCs w:val="22"/>
          <w:lang w:val="sk-SK" w:eastAsia="sk-SK"/>
        </w:rPr>
        <w:t>pankreatitídou</w:t>
      </w:r>
      <w:proofErr w:type="spellEnd"/>
      <w:r w:rsidRPr="00267823">
        <w:rPr>
          <w:sz w:val="22"/>
          <w:szCs w:val="22"/>
          <w:lang w:val="sk-SK" w:eastAsia="sk-SK"/>
        </w:rPr>
        <w:t xml:space="preserve"> alebo s akútnym záchvatom chronickej </w:t>
      </w:r>
      <w:proofErr w:type="spellStart"/>
      <w:r w:rsidRPr="00267823">
        <w:rPr>
          <w:sz w:val="22"/>
          <w:szCs w:val="22"/>
          <w:lang w:val="sk-SK" w:eastAsia="sk-SK"/>
        </w:rPr>
        <w:t>pankreatitídy</w:t>
      </w:r>
      <w:proofErr w:type="spellEnd"/>
      <w:r w:rsidRPr="00267823">
        <w:rPr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4.4 </w:t>
      </w:r>
      <w:r w:rsidRPr="00267823">
        <w:rPr>
          <w:b/>
          <w:sz w:val="22"/>
          <w:szCs w:val="22"/>
          <w:lang w:val="sk-SK" w:eastAsia="sk-SK"/>
        </w:rPr>
        <w:tab/>
        <w:t>Osobitné upozornenia a opatrenia pri používaní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U pacientov s cystickou </w:t>
      </w:r>
      <w:proofErr w:type="spellStart"/>
      <w:r w:rsidRPr="00267823">
        <w:rPr>
          <w:bCs/>
          <w:sz w:val="22"/>
          <w:szCs w:val="22"/>
          <w:lang w:val="sk-SK" w:eastAsia="sk-SK"/>
        </w:rPr>
        <w:t>fibrózou</w:t>
      </w:r>
      <w:proofErr w:type="spellEnd"/>
      <w:r w:rsidRPr="00267823">
        <w:rPr>
          <w:bCs/>
          <w:sz w:val="22"/>
          <w:szCs w:val="22"/>
          <w:lang w:val="sk-SK" w:eastAsia="sk-SK"/>
        </w:rPr>
        <w:t>, ktorí užívali vysoké dávky pankreatických enzýmov, bol</w:t>
      </w:r>
      <w:r w:rsidR="00D4268D" w:rsidRPr="00267823">
        <w:rPr>
          <w:bCs/>
          <w:sz w:val="22"/>
          <w:szCs w:val="22"/>
          <w:lang w:val="sk-SK" w:eastAsia="sk-SK"/>
        </w:rPr>
        <w:t>i</w:t>
      </w:r>
      <w:r w:rsidRPr="00267823">
        <w:rPr>
          <w:bCs/>
          <w:sz w:val="22"/>
          <w:szCs w:val="22"/>
          <w:lang w:val="sk-SK" w:eastAsia="sk-SK"/>
        </w:rPr>
        <w:t xml:space="preserve"> zaznamenané zúženi</w:t>
      </w:r>
      <w:r w:rsidR="00D4268D" w:rsidRPr="00267823">
        <w:rPr>
          <w:bCs/>
          <w:sz w:val="22"/>
          <w:szCs w:val="22"/>
          <w:lang w:val="sk-SK" w:eastAsia="sk-SK"/>
        </w:rPr>
        <w:t>a</w:t>
      </w:r>
      <w:r w:rsidRPr="00267823">
        <w:rPr>
          <w:bCs/>
          <w:sz w:val="22"/>
          <w:szCs w:val="22"/>
          <w:lang w:val="sk-SK" w:eastAsia="sk-SK"/>
        </w:rPr>
        <w:t xml:space="preserve"> hrubého čreva a </w:t>
      </w:r>
      <w:proofErr w:type="spellStart"/>
      <w:r w:rsidRPr="00267823">
        <w:rPr>
          <w:bCs/>
          <w:sz w:val="22"/>
          <w:szCs w:val="22"/>
          <w:lang w:val="sk-SK" w:eastAsia="sk-SK"/>
        </w:rPr>
        <w:t>ileocekálnej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 oblasti (</w:t>
      </w:r>
      <w:proofErr w:type="spellStart"/>
      <w:r w:rsidRPr="00267823">
        <w:rPr>
          <w:bCs/>
          <w:sz w:val="22"/>
          <w:szCs w:val="22"/>
          <w:lang w:val="sk-SK" w:eastAsia="sk-SK"/>
        </w:rPr>
        <w:t>fibrózna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bCs/>
          <w:sz w:val="22"/>
          <w:szCs w:val="22"/>
          <w:lang w:val="sk-SK" w:eastAsia="sk-SK"/>
        </w:rPr>
        <w:t>kolonopatia</w:t>
      </w:r>
      <w:proofErr w:type="spellEnd"/>
      <w:r w:rsidRPr="00267823">
        <w:rPr>
          <w:bCs/>
          <w:sz w:val="22"/>
          <w:szCs w:val="22"/>
          <w:lang w:val="sk-SK" w:eastAsia="sk-SK"/>
        </w:rPr>
        <w:t>). Ako preventívne opatrenie majú byť neobvyklé brušné symptómy alebo zmeny brušných symptómov posúdené</w:t>
      </w:r>
      <w:r w:rsidR="00D32F86" w:rsidRPr="00267823">
        <w:rPr>
          <w:bCs/>
          <w:sz w:val="22"/>
          <w:szCs w:val="22"/>
          <w:lang w:val="sk-SK" w:eastAsia="sk-SK"/>
        </w:rPr>
        <w:t xml:space="preserve"> lekárom</w:t>
      </w:r>
      <w:r w:rsidRPr="00267823">
        <w:rPr>
          <w:bCs/>
          <w:sz w:val="22"/>
          <w:szCs w:val="22"/>
          <w:lang w:val="sk-SK" w:eastAsia="sk-SK"/>
        </w:rPr>
        <w:t xml:space="preserve">, aby sa vylúčila možnosť </w:t>
      </w:r>
      <w:proofErr w:type="spellStart"/>
      <w:r w:rsidRPr="00267823">
        <w:rPr>
          <w:bCs/>
          <w:sz w:val="22"/>
          <w:szCs w:val="22"/>
          <w:lang w:val="sk-SK" w:eastAsia="sk-SK"/>
        </w:rPr>
        <w:t>fibróznej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bCs/>
          <w:sz w:val="22"/>
          <w:szCs w:val="22"/>
          <w:lang w:val="sk-SK" w:eastAsia="sk-SK"/>
        </w:rPr>
        <w:t>kolonopatie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, hlavne u pacientov užívajúcich viac ako 10 000 jednotiek </w:t>
      </w:r>
      <w:proofErr w:type="spellStart"/>
      <w:r w:rsidRPr="00267823">
        <w:rPr>
          <w:bCs/>
          <w:sz w:val="22"/>
          <w:szCs w:val="22"/>
          <w:lang w:val="sk-SK" w:eastAsia="sk-SK"/>
        </w:rPr>
        <w:t>lipázy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/kg/deň. </w:t>
      </w:r>
    </w:p>
    <w:p w:rsidR="00C33063" w:rsidRPr="00267823" w:rsidRDefault="00C33063" w:rsidP="0013273D">
      <w:pPr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4.5 </w:t>
      </w:r>
      <w:r w:rsidRPr="00267823">
        <w:rPr>
          <w:b/>
          <w:sz w:val="22"/>
          <w:szCs w:val="22"/>
          <w:lang w:val="sk-SK" w:eastAsia="sk-SK"/>
        </w:rPr>
        <w:tab/>
        <w:t>Liekové a iné interakcie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D90797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eastAsia="ar-SA"/>
        </w:rPr>
        <w:t>Pankreatín môže znižovať vstrebávanie kyseliny listovej.</w:t>
      </w:r>
      <w:r w:rsidRPr="00267823">
        <w:rPr>
          <w:sz w:val="22"/>
          <w:szCs w:val="22"/>
          <w:lang w:val="sk-SK" w:eastAsia="sk-SK"/>
        </w:rPr>
        <w:t xml:space="preserve"> Pri  súbežnom podávaní s ďalšími liekmi s</w:t>
      </w:r>
      <w:r w:rsidR="00E93E1F" w:rsidRPr="00267823">
        <w:rPr>
          <w:sz w:val="22"/>
          <w:szCs w:val="22"/>
          <w:lang w:val="sk-SK" w:eastAsia="sk-SK"/>
        </w:rPr>
        <w:t> </w:t>
      </w:r>
      <w:r w:rsidRPr="00267823">
        <w:rPr>
          <w:sz w:val="22"/>
          <w:szCs w:val="22"/>
          <w:lang w:val="sk-SK" w:eastAsia="sk-SK"/>
        </w:rPr>
        <w:t>podobným účinkom (ako sú napr. bikarbonát a </w:t>
      </w:r>
      <w:proofErr w:type="spellStart"/>
      <w:r w:rsidRPr="00267823">
        <w:rPr>
          <w:sz w:val="22"/>
          <w:szCs w:val="22"/>
          <w:lang w:val="sk-SK" w:eastAsia="sk-SK"/>
        </w:rPr>
        <w:t>cimetidín</w:t>
      </w:r>
      <w:proofErr w:type="spellEnd"/>
      <w:r w:rsidRPr="00267823">
        <w:rPr>
          <w:sz w:val="22"/>
          <w:szCs w:val="22"/>
          <w:lang w:val="sk-SK" w:eastAsia="sk-SK"/>
        </w:rPr>
        <w:t xml:space="preserve">) a počas dlhodobej liečby vysokými dávkami pankreatických enzýmov, odporúčajú sa pravidelné kontroly sérových koncentrácií </w:t>
      </w:r>
      <w:proofErr w:type="spellStart"/>
      <w:r w:rsidRPr="00267823">
        <w:rPr>
          <w:sz w:val="22"/>
          <w:szCs w:val="22"/>
          <w:lang w:val="sk-SK" w:eastAsia="sk-SK"/>
        </w:rPr>
        <w:t>folátu</w:t>
      </w:r>
      <w:proofErr w:type="spellEnd"/>
      <w:r w:rsidRPr="00267823">
        <w:rPr>
          <w:sz w:val="22"/>
          <w:szCs w:val="22"/>
          <w:lang w:val="sk-SK" w:eastAsia="sk-SK"/>
        </w:rPr>
        <w:t xml:space="preserve"> a/alebo </w:t>
      </w:r>
      <w:proofErr w:type="spellStart"/>
      <w:r w:rsidRPr="00267823">
        <w:rPr>
          <w:sz w:val="22"/>
          <w:szCs w:val="22"/>
          <w:lang w:val="sk-SK" w:eastAsia="sk-SK"/>
        </w:rPr>
        <w:t>suplementácia</w:t>
      </w:r>
      <w:proofErr w:type="spellEnd"/>
      <w:r w:rsidRPr="00267823">
        <w:rPr>
          <w:sz w:val="22"/>
          <w:szCs w:val="22"/>
          <w:lang w:val="sk-SK" w:eastAsia="sk-SK"/>
        </w:rPr>
        <w:t xml:space="preserve"> kyseliny </w:t>
      </w:r>
      <w:proofErr w:type="spellStart"/>
      <w:r w:rsidRPr="00267823">
        <w:rPr>
          <w:sz w:val="22"/>
          <w:szCs w:val="22"/>
          <w:lang w:val="sk-SK" w:eastAsia="sk-SK"/>
        </w:rPr>
        <w:t>listovej.Pankreatín</w:t>
      </w:r>
      <w:proofErr w:type="spellEnd"/>
      <w:r w:rsidRPr="00267823">
        <w:rPr>
          <w:sz w:val="22"/>
          <w:szCs w:val="22"/>
          <w:lang w:val="sk-SK" w:eastAsia="sk-SK"/>
        </w:rPr>
        <w:t xml:space="preserve"> môže znižovať účinnosť </w:t>
      </w:r>
      <w:proofErr w:type="spellStart"/>
      <w:r w:rsidRPr="00267823">
        <w:rPr>
          <w:sz w:val="22"/>
          <w:szCs w:val="22"/>
          <w:lang w:val="sk-SK" w:eastAsia="sk-SK"/>
        </w:rPr>
        <w:t>akarbózy</w:t>
      </w:r>
      <w:proofErr w:type="spellEnd"/>
      <w:r w:rsidRPr="00267823">
        <w:rPr>
          <w:sz w:val="22"/>
          <w:szCs w:val="22"/>
          <w:lang w:val="sk-SK" w:eastAsia="sk-SK"/>
        </w:rPr>
        <w:t xml:space="preserve"> a </w:t>
      </w:r>
      <w:proofErr w:type="spellStart"/>
      <w:r w:rsidRPr="00267823">
        <w:rPr>
          <w:sz w:val="22"/>
          <w:szCs w:val="22"/>
          <w:lang w:val="sk-SK" w:eastAsia="sk-SK"/>
        </w:rPr>
        <w:t>miglitolu</w:t>
      </w:r>
      <w:proofErr w:type="spellEnd"/>
      <w:r w:rsidRPr="00267823">
        <w:rPr>
          <w:sz w:val="22"/>
          <w:szCs w:val="22"/>
          <w:lang w:val="sk-SK" w:eastAsia="sk-SK"/>
        </w:rPr>
        <w:t>.</w:t>
      </w:r>
    </w:p>
    <w:p w:rsidR="00D90797" w:rsidRPr="00267823" w:rsidRDefault="00ED7D1A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</w:rPr>
        <w:t xml:space="preserve">Súbežné užívanie liekov znižujúcich sekréciu žalúdočnej kyseliny, ako sú napr. antagonisty H2-receptorov alebo inhibítory protónovej pumpy, </w:t>
      </w:r>
      <w:r w:rsidR="0087576C" w:rsidRPr="00267823">
        <w:rPr>
          <w:sz w:val="22"/>
          <w:szCs w:val="22"/>
        </w:rPr>
        <w:t>umožňuje</w:t>
      </w:r>
      <w:r w:rsidRPr="00267823">
        <w:rPr>
          <w:sz w:val="22"/>
          <w:szCs w:val="22"/>
        </w:rPr>
        <w:t xml:space="preserve"> </w:t>
      </w:r>
      <w:r w:rsidR="0087576C" w:rsidRPr="00267823">
        <w:rPr>
          <w:sz w:val="22"/>
          <w:szCs w:val="22"/>
        </w:rPr>
        <w:t xml:space="preserve">u niektorých pacientov </w:t>
      </w:r>
      <w:r w:rsidRPr="00267823">
        <w:rPr>
          <w:sz w:val="22"/>
          <w:szCs w:val="22"/>
        </w:rPr>
        <w:t xml:space="preserve">podávanie </w:t>
      </w:r>
      <w:r w:rsidR="0087576C" w:rsidRPr="00267823">
        <w:rPr>
          <w:sz w:val="22"/>
          <w:szCs w:val="22"/>
        </w:rPr>
        <w:t>nižších dávok Panzynorm</w:t>
      </w:r>
      <w:r w:rsidRPr="00267823">
        <w:rPr>
          <w:sz w:val="22"/>
          <w:szCs w:val="22"/>
        </w:rPr>
        <w:t>u.</w:t>
      </w:r>
      <w:r w:rsidRPr="00267823">
        <w:rPr>
          <w:sz w:val="22"/>
          <w:szCs w:val="22"/>
        </w:rPr>
        <w:br/>
        <w:t xml:space="preserve">Pankreatické enzýmy môžu znížiť vstrebávanie železa, ale klinický význam tejto interakcie nie je </w:t>
      </w:r>
      <w:r w:rsidR="0087576C" w:rsidRPr="00267823">
        <w:rPr>
          <w:sz w:val="22"/>
          <w:szCs w:val="22"/>
        </w:rPr>
        <w:t>známy</w:t>
      </w:r>
      <w:r w:rsidRPr="00267823">
        <w:rPr>
          <w:sz w:val="22"/>
          <w:szCs w:val="22"/>
        </w:rPr>
        <w:t>.</w:t>
      </w:r>
    </w:p>
    <w:p w:rsidR="00ED7D1A" w:rsidRPr="00267823" w:rsidRDefault="00ED7D1A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4.6 </w:t>
      </w:r>
      <w:r w:rsidRPr="00267823">
        <w:rPr>
          <w:b/>
          <w:sz w:val="22"/>
          <w:szCs w:val="22"/>
          <w:lang w:val="sk-SK" w:eastAsia="sk-SK"/>
        </w:rPr>
        <w:tab/>
      </w:r>
      <w:proofErr w:type="spellStart"/>
      <w:r w:rsidRPr="00267823">
        <w:rPr>
          <w:b/>
          <w:sz w:val="22"/>
          <w:szCs w:val="22"/>
          <w:lang w:val="sk-SK" w:eastAsia="sk-SK"/>
        </w:rPr>
        <w:t>Fertilita</w:t>
      </w:r>
      <w:proofErr w:type="spellEnd"/>
      <w:r w:rsidRPr="00267823">
        <w:rPr>
          <w:b/>
          <w:sz w:val="22"/>
          <w:szCs w:val="22"/>
          <w:lang w:val="sk-SK" w:eastAsia="sk-SK"/>
        </w:rPr>
        <w:t>, gravidita a laktácia</w:t>
      </w: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Gravidita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Nie sú </w:t>
      </w:r>
      <w:r w:rsidR="006015F5" w:rsidRPr="00267823">
        <w:rPr>
          <w:sz w:val="22"/>
          <w:szCs w:val="22"/>
          <w:lang w:val="sk-SK" w:eastAsia="sk-SK"/>
        </w:rPr>
        <w:t>k dispozícií</w:t>
      </w:r>
      <w:r w:rsidRPr="00267823">
        <w:rPr>
          <w:sz w:val="22"/>
          <w:szCs w:val="22"/>
          <w:lang w:val="sk-SK" w:eastAsia="sk-SK"/>
        </w:rPr>
        <w:t xml:space="preserve"> žiadne klinické údaje o použití pankreatických enzýmov počas gravidity. 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Štúdie na zvieratách nepreukázali žiadny dôkaz absorpcie pankreatických enzýmov pochádzajúcich z ošípaných. Z tohto dôvodu sa neočakáva reprodukčná alebo vývinová toxicita. 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Pri predpisovaní gravidným ženám sa má postupovať s opatrnosťou.</w:t>
      </w: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</w:p>
    <w:p w:rsidR="00C33063" w:rsidRPr="00267823" w:rsidRDefault="005D1C15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Dojčenie</w:t>
      </w:r>
      <w:r w:rsidR="00C33063" w:rsidRPr="00267823">
        <w:rPr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Nepredpokladajú sa žiadne účinky na dojčené deti, vzhľadom na to, že štúdie na zvieratách nenaznačili žiadne systémové vystavenie dojčiac</w:t>
      </w:r>
      <w:r w:rsidR="00DC4489" w:rsidRPr="00267823">
        <w:rPr>
          <w:sz w:val="22"/>
          <w:szCs w:val="22"/>
          <w:lang w:val="sk-SK" w:eastAsia="sk-SK"/>
        </w:rPr>
        <w:t>ich žien pankreatickým enzýmom.</w:t>
      </w:r>
    </w:p>
    <w:p w:rsidR="00C33063" w:rsidRPr="00267823" w:rsidRDefault="00C33063" w:rsidP="0013273D">
      <w:pPr>
        <w:ind w:left="567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Ak je potrebné užívať </w:t>
      </w:r>
      <w:proofErr w:type="spellStart"/>
      <w:r w:rsidRPr="00267823">
        <w:rPr>
          <w:sz w:val="22"/>
          <w:szCs w:val="22"/>
          <w:lang w:val="sk-SK" w:eastAsia="sk-SK"/>
        </w:rPr>
        <w:t>Panzynorm</w:t>
      </w:r>
      <w:proofErr w:type="spellEnd"/>
      <w:r w:rsidR="00922325" w:rsidRPr="00267823">
        <w:rPr>
          <w:sz w:val="22"/>
          <w:szCs w:val="22"/>
          <w:lang w:val="sk-SK" w:eastAsia="sk-SK"/>
        </w:rPr>
        <w:t xml:space="preserve"> </w:t>
      </w:r>
      <w:r w:rsidR="00922325" w:rsidRPr="00267823">
        <w:rPr>
          <w:sz w:val="22"/>
          <w:szCs w:val="22"/>
        </w:rPr>
        <w:t xml:space="preserve">10 000 </w:t>
      </w:r>
      <w:r w:rsidRPr="00267823">
        <w:rPr>
          <w:sz w:val="22"/>
          <w:szCs w:val="22"/>
          <w:lang w:val="sk-SK" w:eastAsia="sk-SK"/>
        </w:rPr>
        <w:t xml:space="preserve">počas gravidity alebo </w:t>
      </w:r>
      <w:r w:rsidR="005D1C15" w:rsidRPr="00267823">
        <w:rPr>
          <w:sz w:val="22"/>
          <w:szCs w:val="22"/>
          <w:lang w:val="sk-SK" w:eastAsia="sk-SK"/>
        </w:rPr>
        <w:t>dojčenia</w:t>
      </w:r>
      <w:r w:rsidRPr="00267823">
        <w:rPr>
          <w:sz w:val="22"/>
          <w:szCs w:val="22"/>
          <w:lang w:val="sk-SK" w:eastAsia="sk-SK"/>
        </w:rPr>
        <w:t>, má sa užívať v dávkach dostatočných na poskytnutie primeraného nutričného stavu.</w:t>
      </w:r>
    </w:p>
    <w:p w:rsidR="00C33063" w:rsidRPr="00267823" w:rsidRDefault="00C33063" w:rsidP="0013273D">
      <w:pPr>
        <w:ind w:left="567" w:hanging="567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color w:val="000000"/>
          <w:sz w:val="22"/>
          <w:szCs w:val="22"/>
          <w:lang w:val="sk-SK" w:eastAsia="sk-SK"/>
        </w:rPr>
      </w:pPr>
      <w:r w:rsidRPr="00267823">
        <w:rPr>
          <w:b/>
          <w:color w:val="000000"/>
          <w:sz w:val="22"/>
          <w:szCs w:val="22"/>
          <w:lang w:val="sk-SK" w:eastAsia="sk-SK"/>
        </w:rPr>
        <w:t xml:space="preserve">4.7 </w:t>
      </w:r>
      <w:r w:rsidRPr="00267823">
        <w:rPr>
          <w:b/>
          <w:color w:val="000000"/>
          <w:sz w:val="22"/>
          <w:szCs w:val="22"/>
          <w:lang w:val="sk-SK" w:eastAsia="sk-SK"/>
        </w:rPr>
        <w:tab/>
        <w:t xml:space="preserve">Ovplyvnenie schopností viesť vozidlá a obsluhovať stroje 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Panzynorm</w:t>
      </w:r>
      <w:proofErr w:type="spellEnd"/>
      <w:r w:rsidR="00922325" w:rsidRPr="00267823">
        <w:rPr>
          <w:sz w:val="22"/>
          <w:szCs w:val="22"/>
          <w:lang w:val="sk-SK" w:eastAsia="sk-SK"/>
        </w:rPr>
        <w:t xml:space="preserve"> </w:t>
      </w:r>
      <w:r w:rsidR="00922325" w:rsidRPr="00267823">
        <w:rPr>
          <w:sz w:val="22"/>
          <w:szCs w:val="22"/>
        </w:rPr>
        <w:t xml:space="preserve">10 000 </w:t>
      </w:r>
      <w:r w:rsidRPr="00267823">
        <w:rPr>
          <w:sz w:val="22"/>
          <w:szCs w:val="22"/>
          <w:lang w:val="sk-SK" w:eastAsia="sk-SK"/>
        </w:rPr>
        <w:t>nemá žiadny alebo má zanedbateľný vplyv na schopnosť viesť vozidlá a obsluhovať stroje.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4.8 </w:t>
      </w:r>
      <w:r w:rsidRPr="00267823">
        <w:rPr>
          <w:b/>
          <w:sz w:val="22"/>
          <w:szCs w:val="22"/>
          <w:lang w:val="sk-SK" w:eastAsia="sk-SK"/>
        </w:rPr>
        <w:tab/>
        <w:t>Nežiaduce účinky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Počas klinických štúdií sa </w:t>
      </w:r>
      <w:proofErr w:type="spellStart"/>
      <w:r w:rsidRPr="00267823">
        <w:rPr>
          <w:bCs/>
          <w:sz w:val="22"/>
          <w:szCs w:val="22"/>
          <w:lang w:val="sk-SK" w:eastAsia="sk-SK"/>
        </w:rPr>
        <w:t>Panzynorm</w:t>
      </w:r>
      <w:proofErr w:type="spellEnd"/>
      <w:r w:rsidR="00922325" w:rsidRPr="00267823">
        <w:rPr>
          <w:bCs/>
          <w:sz w:val="22"/>
          <w:szCs w:val="22"/>
          <w:lang w:val="sk-SK" w:eastAsia="sk-SK"/>
        </w:rPr>
        <w:t xml:space="preserve"> </w:t>
      </w:r>
      <w:r w:rsidR="00922325" w:rsidRPr="00267823">
        <w:rPr>
          <w:sz w:val="22"/>
          <w:szCs w:val="22"/>
        </w:rPr>
        <w:t xml:space="preserve">10 000 </w:t>
      </w:r>
      <w:r w:rsidRPr="00267823">
        <w:rPr>
          <w:bCs/>
          <w:sz w:val="22"/>
          <w:szCs w:val="22"/>
          <w:lang w:val="sk-SK" w:eastAsia="sk-SK"/>
        </w:rPr>
        <w:t xml:space="preserve">podával viac ako 900 pacientom. Najčastejšie hlásené nežiaduce účinky boli zvyčajne mierne alebo stredne závažné </w:t>
      </w:r>
      <w:proofErr w:type="spellStart"/>
      <w:r w:rsidRPr="00267823">
        <w:rPr>
          <w:bCs/>
          <w:sz w:val="22"/>
          <w:szCs w:val="22"/>
          <w:lang w:val="sk-SK" w:eastAsia="sk-SK"/>
        </w:rPr>
        <w:t>gastrointestinálne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 poruchy.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Nežiaduce účinky, ktoré sa môžu vyskytnúť počas užívania </w:t>
      </w:r>
      <w:proofErr w:type="spellStart"/>
      <w:r w:rsidRPr="00267823">
        <w:rPr>
          <w:bCs/>
          <w:sz w:val="22"/>
          <w:szCs w:val="22"/>
          <w:lang w:val="sk-SK" w:eastAsia="sk-SK"/>
        </w:rPr>
        <w:t>Panzynormu</w:t>
      </w:r>
      <w:proofErr w:type="spellEnd"/>
      <w:r w:rsidR="00922325" w:rsidRPr="00267823">
        <w:rPr>
          <w:bCs/>
          <w:sz w:val="22"/>
          <w:szCs w:val="22"/>
          <w:lang w:val="sk-SK" w:eastAsia="sk-SK"/>
        </w:rPr>
        <w:t xml:space="preserve"> </w:t>
      </w:r>
      <w:r w:rsidR="00922325" w:rsidRPr="00267823">
        <w:rPr>
          <w:sz w:val="22"/>
          <w:szCs w:val="22"/>
        </w:rPr>
        <w:t xml:space="preserve">10 000 </w:t>
      </w:r>
      <w:r w:rsidRPr="00267823">
        <w:rPr>
          <w:bCs/>
          <w:sz w:val="22"/>
          <w:szCs w:val="22"/>
          <w:lang w:val="sk-SK" w:eastAsia="sk-SK"/>
        </w:rPr>
        <w:t>sú klasifikované do</w:t>
      </w:r>
      <w:r w:rsidR="004B6842" w:rsidRPr="00267823">
        <w:rPr>
          <w:bCs/>
          <w:sz w:val="22"/>
          <w:szCs w:val="22"/>
          <w:lang w:val="sk-SK" w:eastAsia="sk-SK"/>
        </w:rPr>
        <w:t> </w:t>
      </w:r>
      <w:r w:rsidRPr="00267823">
        <w:rPr>
          <w:bCs/>
          <w:sz w:val="22"/>
          <w:szCs w:val="22"/>
          <w:lang w:val="sk-SK" w:eastAsia="sk-SK"/>
        </w:rPr>
        <w:t>nasledovných skupín v poradí podľa frekvencie:</w:t>
      </w:r>
    </w:p>
    <w:p w:rsidR="00C33063" w:rsidRPr="00267823" w:rsidRDefault="004A3848" w:rsidP="0013273D">
      <w:pPr>
        <w:numPr>
          <w:ilvl w:val="0"/>
          <w:numId w:val="16"/>
        </w:numPr>
        <w:ind w:left="567" w:hanging="567"/>
        <w:rPr>
          <w:bCs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veľmi časté </w:t>
      </w:r>
      <w:r w:rsidRPr="00267823">
        <w:rPr>
          <w:noProof/>
          <w:sz w:val="22"/>
          <w:szCs w:val="22"/>
          <w:lang w:val="sk-SK" w:eastAsia="sk-SK"/>
        </w:rPr>
        <w:t>(</w:t>
      </w:r>
      <w:r w:rsidR="00C33063" w:rsidRPr="00267823">
        <w:rPr>
          <w:noProof/>
          <w:sz w:val="22"/>
          <w:szCs w:val="22"/>
          <w:lang w:val="sk-SK" w:eastAsia="sk-SK"/>
        </w:rPr>
        <w:sym w:font="Symbol" w:char="F0B3"/>
      </w:r>
      <w:r w:rsidRPr="00267823">
        <w:rPr>
          <w:noProof/>
          <w:sz w:val="22"/>
          <w:szCs w:val="22"/>
          <w:lang w:val="sk-SK" w:eastAsia="sk-SK"/>
        </w:rPr>
        <w:t xml:space="preserve"> 1/10)</w:t>
      </w:r>
    </w:p>
    <w:p w:rsidR="00C33063" w:rsidRPr="00267823" w:rsidRDefault="004A3848" w:rsidP="0013273D">
      <w:pPr>
        <w:numPr>
          <w:ilvl w:val="0"/>
          <w:numId w:val="16"/>
        </w:numPr>
        <w:ind w:left="567" w:hanging="567"/>
        <w:rPr>
          <w:bCs/>
          <w:sz w:val="22"/>
          <w:szCs w:val="22"/>
          <w:lang w:val="sk-SK" w:eastAsia="sk-SK"/>
        </w:rPr>
      </w:pPr>
      <w:r w:rsidRPr="00267823">
        <w:rPr>
          <w:noProof/>
          <w:sz w:val="22"/>
          <w:szCs w:val="22"/>
          <w:lang w:val="sk-SK" w:eastAsia="sk-SK"/>
        </w:rPr>
        <w:t>časté (</w:t>
      </w:r>
      <w:r w:rsidR="00C33063" w:rsidRPr="00267823">
        <w:rPr>
          <w:noProof/>
          <w:sz w:val="22"/>
          <w:szCs w:val="22"/>
          <w:lang w:val="sk-SK" w:eastAsia="sk-SK"/>
        </w:rPr>
        <w:sym w:font="Symbol" w:char="F0B3"/>
      </w:r>
      <w:r w:rsidRPr="00267823">
        <w:rPr>
          <w:noProof/>
          <w:sz w:val="22"/>
          <w:szCs w:val="22"/>
          <w:lang w:val="sk-SK" w:eastAsia="sk-SK"/>
        </w:rPr>
        <w:t xml:space="preserve"> 1/100 až &lt; 1/10)</w:t>
      </w:r>
    </w:p>
    <w:p w:rsidR="00C33063" w:rsidRPr="00267823" w:rsidRDefault="004A3848" w:rsidP="0013273D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  <w:lang w:val="sk-SK" w:eastAsia="cs-CZ"/>
        </w:rPr>
      </w:pPr>
      <w:r w:rsidRPr="00267823">
        <w:rPr>
          <w:noProof/>
          <w:sz w:val="22"/>
          <w:szCs w:val="22"/>
          <w:lang w:val="sk-SK" w:eastAsia="cs-CZ"/>
        </w:rPr>
        <w:t>menej časté</w:t>
      </w:r>
      <w:r w:rsidRPr="00267823">
        <w:rPr>
          <w:b/>
          <w:noProof/>
          <w:sz w:val="22"/>
          <w:szCs w:val="22"/>
          <w:lang w:val="sk-SK" w:eastAsia="cs-CZ"/>
        </w:rPr>
        <w:t xml:space="preserve"> </w:t>
      </w:r>
      <w:r w:rsidRPr="00267823">
        <w:rPr>
          <w:noProof/>
          <w:sz w:val="22"/>
          <w:szCs w:val="22"/>
          <w:lang w:val="sk-SK" w:eastAsia="cs-CZ"/>
        </w:rPr>
        <w:t>(</w:t>
      </w:r>
      <w:r w:rsidRPr="00267823">
        <w:rPr>
          <w:sz w:val="22"/>
          <w:szCs w:val="22"/>
          <w:lang w:val="sk-SK" w:eastAsia="cs-CZ"/>
        </w:rPr>
        <w:t>≥ 1/1</w:t>
      </w:r>
      <w:r w:rsidR="005341F4" w:rsidRPr="00267823">
        <w:rPr>
          <w:sz w:val="22"/>
          <w:szCs w:val="22"/>
          <w:lang w:val="sk-SK" w:eastAsia="cs-CZ"/>
        </w:rPr>
        <w:t> </w:t>
      </w:r>
      <w:r w:rsidRPr="00267823">
        <w:rPr>
          <w:sz w:val="22"/>
          <w:szCs w:val="22"/>
          <w:lang w:val="sk-SK" w:eastAsia="cs-CZ"/>
        </w:rPr>
        <w:t>000 až &lt; 1/100</w:t>
      </w:r>
      <w:r w:rsidRPr="00267823">
        <w:rPr>
          <w:noProof/>
          <w:sz w:val="22"/>
          <w:szCs w:val="22"/>
          <w:lang w:val="sk-SK" w:eastAsia="cs-CZ"/>
        </w:rPr>
        <w:t>)</w:t>
      </w:r>
    </w:p>
    <w:p w:rsidR="00C33063" w:rsidRPr="00267823" w:rsidRDefault="004A3848" w:rsidP="0013273D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  <w:lang w:val="sk-SK" w:eastAsia="cs-CZ"/>
        </w:rPr>
      </w:pPr>
      <w:r w:rsidRPr="00267823">
        <w:rPr>
          <w:noProof/>
          <w:sz w:val="22"/>
          <w:szCs w:val="22"/>
          <w:lang w:val="sk-SK" w:eastAsia="cs-CZ"/>
        </w:rPr>
        <w:t>zriedkavé (</w:t>
      </w:r>
      <w:r w:rsidR="00C33063" w:rsidRPr="00267823">
        <w:rPr>
          <w:noProof/>
          <w:sz w:val="22"/>
          <w:szCs w:val="22"/>
          <w:lang w:val="sk-SK" w:eastAsia="cs-CZ"/>
        </w:rPr>
        <w:sym w:font="Symbol" w:char="F0B3"/>
      </w:r>
      <w:r w:rsidRPr="00267823">
        <w:rPr>
          <w:noProof/>
          <w:sz w:val="22"/>
          <w:szCs w:val="22"/>
          <w:lang w:val="sk-SK" w:eastAsia="cs-CZ"/>
        </w:rPr>
        <w:t xml:space="preserve"> 1/10 000 </w:t>
      </w:r>
      <w:r w:rsidR="00027099" w:rsidRPr="00267823">
        <w:rPr>
          <w:noProof/>
          <w:sz w:val="22"/>
          <w:szCs w:val="22"/>
          <w:lang w:val="sk-SK" w:eastAsia="cs-CZ"/>
        </w:rPr>
        <w:t>až</w:t>
      </w:r>
      <w:r w:rsidRPr="00267823">
        <w:rPr>
          <w:noProof/>
          <w:sz w:val="22"/>
          <w:szCs w:val="22"/>
          <w:lang w:val="sk-SK" w:eastAsia="cs-CZ"/>
        </w:rPr>
        <w:t xml:space="preserve"> &lt; 1/1 000)</w:t>
      </w:r>
    </w:p>
    <w:p w:rsidR="00C33063" w:rsidRPr="00267823" w:rsidRDefault="004A3848" w:rsidP="0013273D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  <w:lang w:val="sk-SK" w:eastAsia="cs-CZ"/>
        </w:rPr>
      </w:pPr>
      <w:r w:rsidRPr="00267823">
        <w:rPr>
          <w:noProof/>
          <w:sz w:val="22"/>
          <w:szCs w:val="22"/>
          <w:lang w:val="sk-SK" w:eastAsia="cs-CZ"/>
        </w:rPr>
        <w:t>veľmi zriedkavé (&lt; 1/10 000)</w:t>
      </w:r>
    </w:p>
    <w:p w:rsidR="00C33063" w:rsidRPr="00267823" w:rsidRDefault="004A3848" w:rsidP="0013273D">
      <w:pPr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  <w:lang w:val="sk-SK" w:eastAsia="cs-CZ"/>
        </w:rPr>
      </w:pPr>
      <w:r w:rsidRPr="00267823">
        <w:rPr>
          <w:noProof/>
          <w:sz w:val="22"/>
          <w:szCs w:val="22"/>
          <w:lang w:val="sk-SK" w:eastAsia="cs-CZ"/>
        </w:rPr>
        <w:t xml:space="preserve">neznáme </w:t>
      </w:r>
      <w:r w:rsidR="00C33063" w:rsidRPr="00267823">
        <w:rPr>
          <w:noProof/>
          <w:sz w:val="22"/>
          <w:szCs w:val="22"/>
          <w:lang w:val="sk-SK" w:eastAsia="cs-CZ"/>
        </w:rPr>
        <w:t>(frekvencia sa nedá stanoviť z dostupných údajov)</w:t>
      </w:r>
      <w:r w:rsidRPr="00267823">
        <w:rPr>
          <w:noProof/>
          <w:sz w:val="22"/>
          <w:szCs w:val="22"/>
          <w:lang w:val="sk-SK" w:eastAsia="cs-CZ"/>
        </w:rPr>
        <w:t>.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Cs/>
          <w:sz w:val="22"/>
          <w:szCs w:val="22"/>
          <w:u w:val="single"/>
          <w:lang w:val="sk-SK" w:eastAsia="sk-SK"/>
        </w:rPr>
      </w:pPr>
      <w:r w:rsidRPr="00267823">
        <w:rPr>
          <w:bCs/>
          <w:sz w:val="22"/>
          <w:szCs w:val="22"/>
          <w:u w:val="single"/>
          <w:lang w:val="sk-SK" w:eastAsia="sk-SK"/>
        </w:rPr>
        <w:t>Tabuľkový zoznam nežiaducich účinkov</w:t>
      </w:r>
    </w:p>
    <w:p w:rsidR="00C33063" w:rsidRPr="00267823" w:rsidRDefault="00C33063" w:rsidP="0013273D">
      <w:pPr>
        <w:rPr>
          <w:bCs/>
          <w:sz w:val="22"/>
          <w:szCs w:val="22"/>
          <w:u w:val="single"/>
          <w:lang w:val="sk-SK" w:eastAsia="sk-SK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985"/>
        <w:gridCol w:w="1276"/>
        <w:gridCol w:w="2268"/>
      </w:tblGrid>
      <w:tr w:rsidR="00C33063" w:rsidRPr="00267823" w:rsidTr="00D32F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757C5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Trieda o</w:t>
            </w:r>
            <w:r w:rsidR="00C33063" w:rsidRPr="00267823">
              <w:rPr>
                <w:sz w:val="22"/>
                <w:szCs w:val="22"/>
                <w:lang w:val="sk-SK" w:eastAsia="cs-CZ"/>
              </w:rPr>
              <w:t>rgánový</w:t>
            </w:r>
            <w:r w:rsidRPr="00267823">
              <w:rPr>
                <w:sz w:val="22"/>
                <w:szCs w:val="22"/>
                <w:lang w:val="sk-SK" w:eastAsia="cs-CZ"/>
              </w:rPr>
              <w:t>ch</w:t>
            </w:r>
            <w:r w:rsidR="00C33063" w:rsidRPr="00267823">
              <w:rPr>
                <w:sz w:val="22"/>
                <w:szCs w:val="22"/>
                <w:lang w:val="sk-SK" w:eastAsia="cs-CZ"/>
              </w:rPr>
              <w:t xml:space="preserve"> systém</w:t>
            </w:r>
            <w:r w:rsidRPr="00267823">
              <w:rPr>
                <w:sz w:val="22"/>
                <w:szCs w:val="22"/>
                <w:lang w:val="sk-SK" w:eastAsia="cs-CZ"/>
              </w:rPr>
              <w:t>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E234F7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veľmi časté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E234F7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časté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4E3B05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menej časté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E234F7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neznáme</w:t>
            </w:r>
          </w:p>
        </w:tc>
      </w:tr>
      <w:tr w:rsidR="00C33063" w:rsidRPr="00267823" w:rsidTr="00D32F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Poruchy imunitného systému </w:t>
            </w:r>
          </w:p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hypersenzitivita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(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anafylaktické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reakcie)</w:t>
            </w:r>
          </w:p>
        </w:tc>
      </w:tr>
      <w:tr w:rsidR="00C33063" w:rsidRPr="00267823" w:rsidTr="00D32F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Poruchy 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gastrointestinálneho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</w:t>
            </w:r>
          </w:p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traktu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abdominálna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bolesť*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nauzea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, vracanie, zápcha, 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abdominálna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distenzia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>, hnačka*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-7196"/>
              </w:tabs>
              <w:ind w:right="-108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 xml:space="preserve">zúženie 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ileocekálnej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oblasti a hrubého čreva (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fibrózna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 xml:space="preserve"> </w:t>
            </w: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kolonopatia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>)</w:t>
            </w:r>
          </w:p>
        </w:tc>
      </w:tr>
      <w:tr w:rsidR="00C33063" w:rsidRPr="00267823" w:rsidTr="00D32F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Poruchy kože a podkožného tkaniva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vyrážka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63" w:rsidRPr="00267823" w:rsidRDefault="00C33063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svrbenie, žihľavka</w:t>
            </w:r>
          </w:p>
        </w:tc>
      </w:tr>
      <w:tr w:rsidR="00E234F7" w:rsidRPr="00267823" w:rsidTr="00D32F8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F7" w:rsidRPr="00267823" w:rsidRDefault="00C467AC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r w:rsidRPr="00267823">
              <w:rPr>
                <w:sz w:val="22"/>
                <w:szCs w:val="22"/>
                <w:lang w:val="sk-SK" w:eastAsia="cs-CZ"/>
              </w:rPr>
              <w:t>Poruchy metabolizmu a výživy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F7" w:rsidRPr="00267823" w:rsidRDefault="00E234F7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F7" w:rsidRPr="00267823" w:rsidRDefault="00E234F7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F7" w:rsidRPr="00267823" w:rsidRDefault="00E234F7" w:rsidP="0013273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sk-SK"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F7" w:rsidRPr="00267823" w:rsidRDefault="00E234F7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hyperurikémia</w:t>
            </w:r>
            <w:proofErr w:type="spellEnd"/>
            <w:r w:rsidRPr="00267823">
              <w:rPr>
                <w:sz w:val="22"/>
                <w:szCs w:val="22"/>
                <w:lang w:val="sk-SK" w:eastAsia="cs-CZ"/>
              </w:rPr>
              <w:t>,</w:t>
            </w:r>
          </w:p>
          <w:p w:rsidR="00E234F7" w:rsidRPr="00267823" w:rsidRDefault="00E234F7" w:rsidP="0013273D">
            <w:pPr>
              <w:tabs>
                <w:tab w:val="left" w:pos="567"/>
              </w:tabs>
              <w:rPr>
                <w:sz w:val="22"/>
                <w:szCs w:val="22"/>
                <w:lang w:val="sk-SK" w:eastAsia="cs-CZ"/>
              </w:rPr>
            </w:pPr>
            <w:proofErr w:type="spellStart"/>
            <w:r w:rsidRPr="00267823">
              <w:rPr>
                <w:sz w:val="22"/>
                <w:szCs w:val="22"/>
                <w:lang w:val="sk-SK" w:eastAsia="cs-CZ"/>
              </w:rPr>
              <w:t>hyperurikozúria</w:t>
            </w:r>
            <w:proofErr w:type="spellEnd"/>
          </w:p>
        </w:tc>
      </w:tr>
    </w:tbl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*</w:t>
      </w:r>
      <w:proofErr w:type="spellStart"/>
      <w:r w:rsidRPr="00267823">
        <w:rPr>
          <w:sz w:val="22"/>
          <w:szCs w:val="22"/>
          <w:lang w:val="sk-SK" w:eastAsia="sk-SK"/>
        </w:rPr>
        <w:t>Gastrointestinálne</w:t>
      </w:r>
      <w:proofErr w:type="spellEnd"/>
      <w:r w:rsidRPr="00267823">
        <w:rPr>
          <w:sz w:val="22"/>
          <w:szCs w:val="22"/>
          <w:lang w:val="sk-SK" w:eastAsia="sk-SK"/>
        </w:rPr>
        <w:t xml:space="preserve"> poruchy sú prevažne spojené so základným ochorením. V porovnaní s </w:t>
      </w:r>
      <w:proofErr w:type="spellStart"/>
      <w:r w:rsidRPr="00267823">
        <w:rPr>
          <w:sz w:val="22"/>
          <w:szCs w:val="22"/>
          <w:lang w:val="sk-SK" w:eastAsia="sk-SK"/>
        </w:rPr>
        <w:t>placebom</w:t>
      </w:r>
      <w:proofErr w:type="spellEnd"/>
      <w:r w:rsidRPr="00267823">
        <w:rPr>
          <w:sz w:val="22"/>
          <w:szCs w:val="22"/>
          <w:lang w:val="sk-SK" w:eastAsia="sk-SK"/>
        </w:rPr>
        <w:t xml:space="preserve"> bol zaznamenaný podobný alebo nižší výskyt bolesti brucha a hnačky.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U pacientov s cystickou </w:t>
      </w:r>
      <w:proofErr w:type="spellStart"/>
      <w:r w:rsidRPr="00267823">
        <w:rPr>
          <w:sz w:val="22"/>
          <w:szCs w:val="22"/>
          <w:lang w:val="sk-SK" w:eastAsia="sk-SK"/>
        </w:rPr>
        <w:t>fibrózou</w:t>
      </w:r>
      <w:proofErr w:type="spellEnd"/>
      <w:r w:rsidRPr="00267823">
        <w:rPr>
          <w:sz w:val="22"/>
          <w:szCs w:val="22"/>
          <w:lang w:val="sk-SK" w:eastAsia="sk-SK"/>
        </w:rPr>
        <w:t xml:space="preserve">, ktorí užívali vysoké dávky liekov s obsahom </w:t>
      </w:r>
      <w:proofErr w:type="spellStart"/>
      <w:r w:rsidRPr="00267823">
        <w:rPr>
          <w:sz w:val="22"/>
          <w:szCs w:val="22"/>
          <w:lang w:val="sk-SK" w:eastAsia="sk-SK"/>
        </w:rPr>
        <w:t>pankreatínu</w:t>
      </w:r>
      <w:proofErr w:type="spellEnd"/>
      <w:r w:rsidRPr="00267823">
        <w:rPr>
          <w:sz w:val="22"/>
          <w:szCs w:val="22"/>
          <w:lang w:val="sk-SK" w:eastAsia="sk-SK"/>
        </w:rPr>
        <w:t xml:space="preserve">, bolo hlásené zúženie </w:t>
      </w:r>
      <w:proofErr w:type="spellStart"/>
      <w:r w:rsidRPr="00267823">
        <w:rPr>
          <w:sz w:val="22"/>
          <w:szCs w:val="22"/>
          <w:lang w:val="sk-SK" w:eastAsia="sk-SK"/>
        </w:rPr>
        <w:t>ileocekálnych</w:t>
      </w:r>
      <w:proofErr w:type="spellEnd"/>
      <w:r w:rsidRPr="00267823">
        <w:rPr>
          <w:sz w:val="22"/>
          <w:szCs w:val="22"/>
          <w:lang w:val="sk-SK" w:eastAsia="sk-SK"/>
        </w:rPr>
        <w:t xml:space="preserve"> oblastí a hrubého čreva (</w:t>
      </w:r>
      <w:proofErr w:type="spellStart"/>
      <w:r w:rsidRPr="00267823">
        <w:rPr>
          <w:sz w:val="22"/>
          <w:szCs w:val="22"/>
          <w:lang w:val="sk-SK" w:eastAsia="sk-SK"/>
        </w:rPr>
        <w:t>fibrózna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kolonopatia</w:t>
      </w:r>
      <w:proofErr w:type="spellEnd"/>
      <w:r w:rsidRPr="00267823">
        <w:rPr>
          <w:sz w:val="22"/>
          <w:szCs w:val="22"/>
          <w:lang w:val="sk-SK" w:eastAsia="sk-SK"/>
        </w:rPr>
        <w:t xml:space="preserve">), pozri časť 4.4 </w:t>
      </w:r>
      <w:r w:rsidR="00B534AA" w:rsidRPr="00267823">
        <w:rPr>
          <w:sz w:val="22"/>
          <w:szCs w:val="22"/>
          <w:lang w:val="sk-SK" w:eastAsia="sk-SK"/>
        </w:rPr>
        <w:t>„</w:t>
      </w:r>
      <w:r w:rsidRPr="00267823">
        <w:rPr>
          <w:sz w:val="22"/>
          <w:szCs w:val="22"/>
          <w:lang w:val="sk-SK" w:eastAsia="sk-SK"/>
        </w:rPr>
        <w:t>Osobitné upozornenia a opatrenia pri používaní</w:t>
      </w:r>
      <w:r w:rsidR="00B534AA" w:rsidRPr="00267823">
        <w:rPr>
          <w:sz w:val="22"/>
          <w:szCs w:val="22"/>
          <w:lang w:val="sk-SK" w:eastAsia="sk-SK"/>
        </w:rPr>
        <w:t>“</w:t>
      </w:r>
      <w:r w:rsidRPr="00267823">
        <w:rPr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rPr>
          <w:strike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Počas</w:t>
      </w:r>
      <w:r w:rsidRPr="00267823">
        <w:rPr>
          <w:bCs/>
          <w:sz w:val="22"/>
          <w:szCs w:val="22"/>
          <w:lang w:val="sk-SK" w:eastAsia="sk-SK"/>
        </w:rPr>
        <w:t xml:space="preserve"> používania lieku po jeho </w:t>
      </w:r>
      <w:r w:rsidR="00B42277" w:rsidRPr="00267823">
        <w:rPr>
          <w:bCs/>
          <w:sz w:val="22"/>
          <w:szCs w:val="22"/>
          <w:lang w:val="sk-SK" w:eastAsia="sk-SK"/>
        </w:rPr>
        <w:t>uvedení na trh</w:t>
      </w:r>
      <w:r w:rsidRPr="00267823">
        <w:rPr>
          <w:bCs/>
          <w:sz w:val="22"/>
          <w:szCs w:val="22"/>
          <w:lang w:val="sk-SK" w:eastAsia="sk-SK"/>
        </w:rPr>
        <w:t xml:space="preserve"> sa </w:t>
      </w:r>
      <w:r w:rsidRPr="00267823">
        <w:rPr>
          <w:sz w:val="22"/>
          <w:szCs w:val="22"/>
          <w:lang w:val="sk-SK" w:eastAsia="sk-SK"/>
        </w:rPr>
        <w:t xml:space="preserve">pozorovali alergické reakcie </w:t>
      </w:r>
      <w:r w:rsidR="00B534AA" w:rsidRPr="00267823">
        <w:rPr>
          <w:sz w:val="22"/>
          <w:szCs w:val="22"/>
          <w:lang w:val="sk-SK" w:eastAsia="sk-SK"/>
        </w:rPr>
        <w:t xml:space="preserve">najmä, </w:t>
      </w:r>
      <w:r w:rsidRPr="00267823">
        <w:rPr>
          <w:sz w:val="22"/>
          <w:szCs w:val="22"/>
          <w:lang w:val="sk-SK" w:eastAsia="sk-SK"/>
        </w:rPr>
        <w:t xml:space="preserve">ale nie výlučne na koži. Pretože tieto reakcie boli zaznamenané spontánne z populácie </w:t>
      </w:r>
      <w:r w:rsidR="00B534AA" w:rsidRPr="00267823">
        <w:rPr>
          <w:sz w:val="22"/>
          <w:szCs w:val="22"/>
          <w:lang w:val="sk-SK" w:eastAsia="sk-SK"/>
        </w:rPr>
        <w:t xml:space="preserve">neurčitej </w:t>
      </w:r>
      <w:r w:rsidRPr="00267823">
        <w:rPr>
          <w:sz w:val="22"/>
          <w:szCs w:val="22"/>
          <w:lang w:val="sk-SK" w:eastAsia="sk-SK"/>
        </w:rPr>
        <w:t>veľkosti, nie je možné spoľahlivo určiť ich frekvenciu.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i/>
          <w:sz w:val="22"/>
          <w:szCs w:val="22"/>
          <w:lang w:val="sk-SK" w:eastAsia="sk-SK"/>
        </w:rPr>
      </w:pPr>
      <w:r w:rsidRPr="00267823">
        <w:rPr>
          <w:i/>
          <w:sz w:val="22"/>
          <w:szCs w:val="22"/>
          <w:lang w:val="sk-SK" w:eastAsia="sk-SK"/>
        </w:rPr>
        <w:t>Pediatrická populácia</w:t>
      </w:r>
    </w:p>
    <w:p w:rsidR="00C33063" w:rsidRPr="00267823" w:rsidRDefault="00C33063" w:rsidP="0013273D">
      <w:pPr>
        <w:rPr>
          <w:strike/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Nezistili sa žiadne zvláštne nežiaduce reakcie v pediatrickej populácii. Frekvencia, </w:t>
      </w:r>
      <w:r w:rsidR="00B534AA" w:rsidRPr="00267823">
        <w:rPr>
          <w:sz w:val="22"/>
          <w:szCs w:val="22"/>
          <w:lang w:val="sk-SK" w:eastAsia="sk-SK"/>
        </w:rPr>
        <w:t xml:space="preserve">druh </w:t>
      </w:r>
      <w:r w:rsidRPr="00267823">
        <w:rPr>
          <w:sz w:val="22"/>
          <w:szCs w:val="22"/>
          <w:lang w:val="sk-SK" w:eastAsia="sk-SK"/>
        </w:rPr>
        <w:t xml:space="preserve">a závažnosť nežiaducich reakcií bola u detí s cystickou </w:t>
      </w:r>
      <w:proofErr w:type="spellStart"/>
      <w:r w:rsidRPr="00267823">
        <w:rPr>
          <w:sz w:val="22"/>
          <w:szCs w:val="22"/>
          <w:lang w:val="sk-SK" w:eastAsia="sk-SK"/>
        </w:rPr>
        <w:t>fibrózou</w:t>
      </w:r>
      <w:proofErr w:type="spellEnd"/>
      <w:r w:rsidRPr="00267823">
        <w:rPr>
          <w:sz w:val="22"/>
          <w:szCs w:val="22"/>
          <w:lang w:val="sk-SK" w:eastAsia="sk-SK"/>
        </w:rPr>
        <w:t xml:space="preserve"> podobná ako u dospelých. </w:t>
      </w:r>
      <w:r w:rsidRPr="00267823">
        <w:rPr>
          <w:strike/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Hlásenie podozrení na nežiaduce reakcie</w:t>
      </w:r>
    </w:p>
    <w:p w:rsidR="00C33063" w:rsidRPr="00267823" w:rsidRDefault="00C33063" w:rsidP="0013273D">
      <w:pPr>
        <w:rPr>
          <w:noProof/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Hlásenie podozrení na nežiaduce reakcie po registrácii lieku je dôležité. Umožňuje priebežné monitorovanie pomeru prínosu a rizika lieku. Od zdravotníckych pracovníkov sa vyžaduje,</w:t>
      </w:r>
      <w:r w:rsidRPr="00267823">
        <w:rPr>
          <w:noProof/>
          <w:sz w:val="22"/>
          <w:szCs w:val="22"/>
          <w:lang w:val="sk-SK" w:eastAsia="sk-SK"/>
        </w:rPr>
        <w:t xml:space="preserve"> aby hlásili akékoľvek podozrenia na nežiaduce reakcie </w:t>
      </w:r>
      <w:r w:rsidR="00D32F86" w:rsidRPr="00267823">
        <w:rPr>
          <w:noProof/>
          <w:sz w:val="22"/>
          <w:szCs w:val="22"/>
          <w:lang w:val="sk-SK" w:eastAsia="sk-SK"/>
        </w:rPr>
        <w:t xml:space="preserve">na </w:t>
      </w:r>
      <w:r w:rsidRPr="00677626">
        <w:rPr>
          <w:noProof/>
          <w:sz w:val="22"/>
          <w:szCs w:val="22"/>
          <w:highlight w:val="lightGray"/>
          <w:lang w:val="sk-SK" w:eastAsia="sk-SK"/>
        </w:rPr>
        <w:t>národné</w:t>
      </w:r>
      <w:r w:rsidR="00D32F86" w:rsidRPr="00677626">
        <w:rPr>
          <w:noProof/>
          <w:sz w:val="22"/>
          <w:szCs w:val="22"/>
          <w:highlight w:val="lightGray"/>
          <w:lang w:val="sk-SK" w:eastAsia="sk-SK"/>
        </w:rPr>
        <w:t xml:space="preserve"> centrum</w:t>
      </w:r>
      <w:r w:rsidRPr="00677626">
        <w:rPr>
          <w:noProof/>
          <w:sz w:val="22"/>
          <w:szCs w:val="22"/>
          <w:highlight w:val="lightGray"/>
          <w:lang w:val="sk-SK" w:eastAsia="sk-SK"/>
        </w:rPr>
        <w:t xml:space="preserve"> hlásenia uvedené v </w:t>
      </w:r>
      <w:hyperlink r:id="rId9" w:history="1">
        <w:r w:rsidRPr="00677626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267823">
        <w:rPr>
          <w:noProof/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bCs/>
          <w:sz w:val="22"/>
          <w:szCs w:val="22"/>
          <w:lang w:val="sk-SK" w:eastAsia="sk-SK"/>
        </w:rPr>
      </w:pPr>
      <w:r w:rsidRPr="00267823">
        <w:rPr>
          <w:b/>
          <w:bCs/>
          <w:sz w:val="22"/>
          <w:szCs w:val="22"/>
          <w:lang w:val="sk-SK" w:eastAsia="sk-SK"/>
        </w:rPr>
        <w:t xml:space="preserve">4.9 </w:t>
      </w:r>
      <w:r w:rsidRPr="00267823">
        <w:rPr>
          <w:b/>
          <w:bCs/>
          <w:sz w:val="22"/>
          <w:szCs w:val="22"/>
          <w:lang w:val="sk-SK" w:eastAsia="sk-SK"/>
        </w:rPr>
        <w:tab/>
        <w:t>Predávkovanie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 xml:space="preserve">Symptómy 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Nadmerné dávky </w:t>
      </w:r>
      <w:proofErr w:type="spellStart"/>
      <w:r w:rsidRPr="00267823">
        <w:rPr>
          <w:sz w:val="22"/>
          <w:szCs w:val="22"/>
          <w:lang w:val="sk-SK" w:eastAsia="sk-SK"/>
        </w:rPr>
        <w:t>pankreatínu</w:t>
      </w:r>
      <w:proofErr w:type="spellEnd"/>
      <w:r w:rsidRPr="00267823">
        <w:rPr>
          <w:sz w:val="22"/>
          <w:szCs w:val="22"/>
          <w:lang w:val="sk-SK" w:eastAsia="sk-SK"/>
        </w:rPr>
        <w:t xml:space="preserve"> môžu byť spojené s </w:t>
      </w:r>
      <w:proofErr w:type="spellStart"/>
      <w:r w:rsidRPr="00267823">
        <w:rPr>
          <w:sz w:val="22"/>
          <w:szCs w:val="22"/>
          <w:lang w:val="sk-SK" w:eastAsia="sk-SK"/>
        </w:rPr>
        <w:t>hyperurikozúriou</w:t>
      </w:r>
      <w:proofErr w:type="spellEnd"/>
      <w:r w:rsidRPr="00267823">
        <w:rPr>
          <w:sz w:val="22"/>
          <w:szCs w:val="22"/>
          <w:lang w:val="sk-SK" w:eastAsia="sk-SK"/>
        </w:rPr>
        <w:t xml:space="preserve"> a </w:t>
      </w:r>
      <w:proofErr w:type="spellStart"/>
      <w:r w:rsidRPr="00267823">
        <w:rPr>
          <w:sz w:val="22"/>
          <w:szCs w:val="22"/>
          <w:lang w:val="sk-SK" w:eastAsia="sk-SK"/>
        </w:rPr>
        <w:t>hyperurikémiou</w:t>
      </w:r>
      <w:proofErr w:type="spellEnd"/>
      <w:r w:rsidRPr="00267823">
        <w:rPr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Liečba</w:t>
      </w:r>
    </w:p>
    <w:p w:rsidR="00C33063" w:rsidRPr="00267823" w:rsidRDefault="00C33063" w:rsidP="0013273D">
      <w:pPr>
        <w:rPr>
          <w:bCs/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>Odporúčajú sa podporné opatrenia, vrátane zastavenia enzýmovej liečby a zabezpečenia adekvátnej rehydratácie.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lastRenderedPageBreak/>
        <w:t xml:space="preserve">5. </w:t>
      </w:r>
      <w:r w:rsidRPr="00267823">
        <w:rPr>
          <w:b/>
          <w:sz w:val="22"/>
          <w:szCs w:val="22"/>
          <w:lang w:val="sk-SK" w:eastAsia="sk-SK"/>
        </w:rPr>
        <w:tab/>
        <w:t>FARMAKOLOGICKÉ VLASTNOSTI</w:t>
      </w: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1"/>
          <w:numId w:val="15"/>
        </w:numPr>
        <w:outlineLvl w:val="0"/>
        <w:rPr>
          <w:b/>
          <w:sz w:val="22"/>
          <w:szCs w:val="22"/>
          <w:lang w:val="sk-SK" w:eastAsia="sk-SK"/>
        </w:rPr>
      </w:pPr>
      <w:proofErr w:type="spellStart"/>
      <w:r w:rsidRPr="00267823">
        <w:rPr>
          <w:b/>
          <w:sz w:val="22"/>
          <w:szCs w:val="22"/>
          <w:lang w:val="sk-SK" w:eastAsia="sk-SK"/>
        </w:rPr>
        <w:t>Farmakodynamické</w:t>
      </w:r>
      <w:proofErr w:type="spellEnd"/>
      <w:r w:rsidRPr="00267823">
        <w:rPr>
          <w:b/>
          <w:sz w:val="22"/>
          <w:szCs w:val="22"/>
          <w:lang w:val="sk-SK" w:eastAsia="sk-SK"/>
        </w:rPr>
        <w:t xml:space="preserve"> vlastnosti</w:t>
      </w: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/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Farmakoterapeutická</w:t>
      </w:r>
      <w:proofErr w:type="spellEnd"/>
      <w:r w:rsidRPr="00267823">
        <w:rPr>
          <w:sz w:val="22"/>
          <w:szCs w:val="22"/>
          <w:lang w:val="sk-SK" w:eastAsia="sk-SK"/>
        </w:rPr>
        <w:t xml:space="preserve"> skupina: </w:t>
      </w:r>
      <w:proofErr w:type="spellStart"/>
      <w:r w:rsidRPr="00267823">
        <w:rPr>
          <w:sz w:val="22"/>
          <w:szCs w:val="22"/>
          <w:lang w:val="sk-SK" w:eastAsia="sk-SK"/>
        </w:rPr>
        <w:t>digestíva</w:t>
      </w:r>
      <w:proofErr w:type="spellEnd"/>
      <w:r w:rsidRPr="00267823">
        <w:rPr>
          <w:sz w:val="22"/>
          <w:szCs w:val="22"/>
          <w:lang w:val="sk-SK" w:eastAsia="sk-SK"/>
        </w:rPr>
        <w:t xml:space="preserve">, vrátane enzýmov; </w:t>
      </w:r>
      <w:proofErr w:type="spellStart"/>
      <w:r w:rsidRPr="00267823">
        <w:rPr>
          <w:sz w:val="22"/>
          <w:szCs w:val="22"/>
          <w:lang w:val="sk-SK" w:eastAsia="sk-SK"/>
        </w:rPr>
        <w:t>multienzýmy</w:t>
      </w:r>
      <w:proofErr w:type="spellEnd"/>
      <w:r w:rsidR="00E476B5" w:rsidRPr="00267823">
        <w:rPr>
          <w:sz w:val="22"/>
          <w:szCs w:val="22"/>
          <w:lang w:val="sk-SK" w:eastAsia="sk-SK"/>
        </w:rPr>
        <w:t>,</w:t>
      </w:r>
      <w:r w:rsidRPr="00267823">
        <w:rPr>
          <w:sz w:val="22"/>
          <w:szCs w:val="22"/>
          <w:lang w:val="sk-SK" w:eastAsia="sk-SK"/>
        </w:rPr>
        <w:t xml:space="preserve"> ATC kód: A09AA02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outlineLvl w:val="0"/>
        <w:rPr>
          <w:sz w:val="22"/>
          <w:szCs w:val="22"/>
          <w:u w:val="single"/>
          <w:lang w:val="sk-SK" w:eastAsia="sk-SK"/>
        </w:rPr>
      </w:pPr>
      <w:r w:rsidRPr="00267823">
        <w:rPr>
          <w:sz w:val="22"/>
          <w:szCs w:val="22"/>
          <w:u w:val="single"/>
          <w:lang w:val="sk-SK" w:eastAsia="sk-SK"/>
        </w:rPr>
        <w:t>Mechanizmus účinku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Panzynorm</w:t>
      </w:r>
      <w:proofErr w:type="spellEnd"/>
      <w:r w:rsidR="00922325" w:rsidRPr="00267823">
        <w:rPr>
          <w:sz w:val="22"/>
          <w:szCs w:val="22"/>
          <w:lang w:val="sk-SK" w:eastAsia="sk-SK"/>
        </w:rPr>
        <w:t xml:space="preserve"> </w:t>
      </w:r>
      <w:r w:rsidR="00922325" w:rsidRPr="00267823">
        <w:rPr>
          <w:sz w:val="22"/>
          <w:szCs w:val="22"/>
        </w:rPr>
        <w:t xml:space="preserve">10 000 </w:t>
      </w:r>
      <w:r w:rsidRPr="00267823">
        <w:rPr>
          <w:sz w:val="22"/>
          <w:szCs w:val="22"/>
          <w:lang w:val="sk-SK" w:eastAsia="sk-SK"/>
        </w:rPr>
        <w:t xml:space="preserve">kompenzuje nedostatok pankreatických enzýmov, urýchľuje </w:t>
      </w:r>
      <w:proofErr w:type="spellStart"/>
      <w:r w:rsidRPr="00267823">
        <w:rPr>
          <w:sz w:val="22"/>
          <w:szCs w:val="22"/>
          <w:lang w:val="sk-SK" w:eastAsia="sk-SK"/>
        </w:rPr>
        <w:t>katabolický</w:t>
      </w:r>
      <w:proofErr w:type="spellEnd"/>
      <w:r w:rsidRPr="00267823">
        <w:rPr>
          <w:sz w:val="22"/>
          <w:szCs w:val="22"/>
          <w:lang w:val="sk-SK" w:eastAsia="sk-SK"/>
        </w:rPr>
        <w:t xml:space="preserve"> metabolizmus a zlepšuje klinický obraz pri poruche trávenia. Aktívne enzýmy sa uvoľňujú do tenkého čreva, kde účinkujú. 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Vysoká aktivita </w:t>
      </w:r>
      <w:proofErr w:type="spellStart"/>
      <w:r w:rsidRPr="00267823">
        <w:rPr>
          <w:sz w:val="22"/>
          <w:szCs w:val="22"/>
          <w:lang w:val="sk-SK" w:eastAsia="sk-SK"/>
        </w:rPr>
        <w:t>lipázy</w:t>
      </w:r>
      <w:proofErr w:type="spellEnd"/>
      <w:r w:rsidRPr="00267823">
        <w:rPr>
          <w:sz w:val="22"/>
          <w:szCs w:val="22"/>
          <w:lang w:val="sk-SK" w:eastAsia="sk-SK"/>
        </w:rPr>
        <w:t xml:space="preserve"> má kľúčový význam pri liečbe porúch trávenia spôsobených nedostatkom pankreatických tráviacich enzýmov. </w:t>
      </w:r>
      <w:proofErr w:type="spellStart"/>
      <w:r w:rsidRPr="00267823">
        <w:rPr>
          <w:sz w:val="22"/>
          <w:szCs w:val="22"/>
          <w:lang w:val="sk-SK" w:eastAsia="sk-SK"/>
        </w:rPr>
        <w:t>Lipáza</w:t>
      </w:r>
      <w:proofErr w:type="spellEnd"/>
      <w:r w:rsidRPr="00267823">
        <w:rPr>
          <w:sz w:val="22"/>
          <w:szCs w:val="22"/>
          <w:lang w:val="sk-SK" w:eastAsia="sk-SK"/>
        </w:rPr>
        <w:t xml:space="preserve"> hydrolyzuje tuky na mastné kyseliny a </w:t>
      </w:r>
      <w:proofErr w:type="spellStart"/>
      <w:r w:rsidRPr="00267823">
        <w:rPr>
          <w:sz w:val="22"/>
          <w:szCs w:val="22"/>
          <w:lang w:val="sk-SK" w:eastAsia="sk-SK"/>
        </w:rPr>
        <w:t>glycerol</w:t>
      </w:r>
      <w:proofErr w:type="spellEnd"/>
      <w:r w:rsidRPr="00267823">
        <w:rPr>
          <w:sz w:val="22"/>
          <w:szCs w:val="22"/>
          <w:lang w:val="sk-SK" w:eastAsia="sk-SK"/>
        </w:rPr>
        <w:t xml:space="preserve">, a tak umožňuje ich absorpciu a absorpciu vitamínov rozpustných v tukoch. </w:t>
      </w:r>
      <w:proofErr w:type="spellStart"/>
      <w:r w:rsidRPr="00267823">
        <w:rPr>
          <w:sz w:val="22"/>
          <w:szCs w:val="22"/>
          <w:lang w:val="sk-SK" w:eastAsia="sk-SK"/>
        </w:rPr>
        <w:t>Amyláza</w:t>
      </w:r>
      <w:proofErr w:type="spellEnd"/>
      <w:r w:rsidRPr="00267823">
        <w:rPr>
          <w:sz w:val="22"/>
          <w:szCs w:val="22"/>
          <w:lang w:val="sk-SK" w:eastAsia="sk-SK"/>
        </w:rPr>
        <w:t xml:space="preserve"> hydrolyzuje sacharidy na dextríny a cukry, zatiaľ čo </w:t>
      </w:r>
      <w:proofErr w:type="spellStart"/>
      <w:r w:rsidRPr="00267823">
        <w:rPr>
          <w:sz w:val="22"/>
          <w:szCs w:val="22"/>
          <w:lang w:val="sk-SK" w:eastAsia="sk-SK"/>
        </w:rPr>
        <w:t>proteáza</w:t>
      </w:r>
      <w:proofErr w:type="spellEnd"/>
      <w:r w:rsidRPr="00267823">
        <w:rPr>
          <w:sz w:val="22"/>
          <w:szCs w:val="22"/>
          <w:lang w:val="sk-SK" w:eastAsia="sk-SK"/>
        </w:rPr>
        <w:t xml:space="preserve"> umožňuje rozklad bielkovín.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u w:val="single"/>
          <w:lang w:val="sk-SK" w:eastAsia="sk-SK"/>
        </w:rPr>
        <w:t>Farmakodynamické</w:t>
      </w:r>
      <w:proofErr w:type="spellEnd"/>
      <w:r w:rsidRPr="00267823">
        <w:rPr>
          <w:sz w:val="22"/>
          <w:szCs w:val="22"/>
          <w:u w:val="single"/>
          <w:lang w:val="sk-SK" w:eastAsia="sk-SK"/>
        </w:rPr>
        <w:t xml:space="preserve"> účinky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Pankreatín</w:t>
      </w:r>
      <w:proofErr w:type="spellEnd"/>
      <w:r w:rsidRPr="00267823">
        <w:rPr>
          <w:sz w:val="22"/>
          <w:szCs w:val="22"/>
          <w:lang w:val="sk-SK" w:eastAsia="sk-SK"/>
        </w:rPr>
        <w:t xml:space="preserve"> (pankreatické enzýmy) zvyšuje absorpciu všetkých druhov potravín a zlepšuje výživu pacienta. Predchádza alebo znižuje výskyt </w:t>
      </w:r>
      <w:proofErr w:type="spellStart"/>
      <w:r w:rsidRPr="00267823">
        <w:rPr>
          <w:sz w:val="22"/>
          <w:szCs w:val="22"/>
          <w:lang w:val="sk-SK" w:eastAsia="sk-SK"/>
        </w:rPr>
        <w:t>steatorey</w:t>
      </w:r>
      <w:proofErr w:type="spellEnd"/>
      <w:r w:rsidRPr="00267823">
        <w:rPr>
          <w:sz w:val="22"/>
          <w:szCs w:val="22"/>
          <w:lang w:val="sk-SK" w:eastAsia="sk-SK"/>
        </w:rPr>
        <w:t xml:space="preserve"> a symptómov súvisiacich s poruchami trávenia</w:t>
      </w:r>
      <w:r w:rsidR="00E03F52" w:rsidRPr="00267823">
        <w:rPr>
          <w:sz w:val="22"/>
          <w:szCs w:val="22"/>
          <w:lang w:val="sk-SK" w:eastAsia="sk-SK"/>
        </w:rPr>
        <w:t xml:space="preserve"> následkom</w:t>
      </w:r>
      <w:r w:rsidRPr="00267823">
        <w:rPr>
          <w:sz w:val="22"/>
          <w:szCs w:val="22"/>
          <w:lang w:val="sk-SK" w:eastAsia="sk-SK"/>
        </w:rPr>
        <w:t xml:space="preserve"> pankreatickej </w:t>
      </w:r>
      <w:proofErr w:type="spellStart"/>
      <w:r w:rsidRPr="00267823">
        <w:rPr>
          <w:sz w:val="22"/>
          <w:szCs w:val="22"/>
          <w:lang w:val="sk-SK" w:eastAsia="sk-SK"/>
        </w:rPr>
        <w:t>exokrinnej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insuficiencie</w:t>
      </w:r>
      <w:proofErr w:type="spellEnd"/>
      <w:r w:rsidRPr="00267823">
        <w:rPr>
          <w:sz w:val="22"/>
          <w:szCs w:val="22"/>
          <w:lang w:val="sk-SK" w:eastAsia="sk-SK"/>
        </w:rPr>
        <w:t xml:space="preserve">. 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Pankreatická </w:t>
      </w:r>
      <w:proofErr w:type="spellStart"/>
      <w:r w:rsidRPr="00267823">
        <w:rPr>
          <w:sz w:val="22"/>
          <w:szCs w:val="22"/>
          <w:lang w:val="sk-SK" w:eastAsia="sk-SK"/>
        </w:rPr>
        <w:t>exokrinná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insuficiencia</w:t>
      </w:r>
      <w:proofErr w:type="spellEnd"/>
      <w:r w:rsidRPr="00267823">
        <w:rPr>
          <w:sz w:val="22"/>
          <w:szCs w:val="22"/>
          <w:lang w:val="sk-SK" w:eastAsia="sk-SK"/>
        </w:rPr>
        <w:t xml:space="preserve"> môže byť spôsobená chronickou </w:t>
      </w:r>
      <w:proofErr w:type="spellStart"/>
      <w:r w:rsidRPr="00267823">
        <w:rPr>
          <w:sz w:val="22"/>
          <w:szCs w:val="22"/>
          <w:lang w:val="sk-SK" w:eastAsia="sk-SK"/>
        </w:rPr>
        <w:t>pankreatitídou</w:t>
      </w:r>
      <w:proofErr w:type="spellEnd"/>
      <w:r w:rsidRPr="00267823">
        <w:rPr>
          <w:sz w:val="22"/>
          <w:szCs w:val="22"/>
          <w:lang w:val="sk-SK" w:eastAsia="sk-SK"/>
        </w:rPr>
        <w:t xml:space="preserve">, akútnou </w:t>
      </w:r>
      <w:proofErr w:type="spellStart"/>
      <w:r w:rsidRPr="00267823">
        <w:rPr>
          <w:sz w:val="22"/>
          <w:szCs w:val="22"/>
          <w:lang w:val="sk-SK" w:eastAsia="sk-SK"/>
        </w:rPr>
        <w:t>pankreatitídou</w:t>
      </w:r>
      <w:proofErr w:type="spellEnd"/>
      <w:r w:rsidRPr="00267823">
        <w:rPr>
          <w:sz w:val="22"/>
          <w:szCs w:val="22"/>
          <w:lang w:val="sk-SK" w:eastAsia="sk-SK"/>
        </w:rPr>
        <w:t xml:space="preserve">, karcinómom pankreasu, cystickou </w:t>
      </w:r>
      <w:proofErr w:type="spellStart"/>
      <w:r w:rsidRPr="00267823">
        <w:rPr>
          <w:sz w:val="22"/>
          <w:szCs w:val="22"/>
          <w:lang w:val="sk-SK" w:eastAsia="sk-SK"/>
        </w:rPr>
        <w:t>fibrózou</w:t>
      </w:r>
      <w:proofErr w:type="spellEnd"/>
      <w:r w:rsidRPr="00267823">
        <w:rPr>
          <w:sz w:val="22"/>
          <w:szCs w:val="22"/>
          <w:lang w:val="sk-SK" w:eastAsia="sk-SK"/>
        </w:rPr>
        <w:t xml:space="preserve">, resekciou žalúdka alebo pankreasu, obštrukciou pankreasu alebo žlčovodu (napr. v dôsledku karcinómu alebo primárnej </w:t>
      </w:r>
      <w:proofErr w:type="spellStart"/>
      <w:r w:rsidRPr="00267823">
        <w:rPr>
          <w:sz w:val="22"/>
          <w:szCs w:val="22"/>
          <w:lang w:val="sk-SK" w:eastAsia="sk-SK"/>
        </w:rPr>
        <w:t>sklerotizujúcej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cholangitídy</w:t>
      </w:r>
      <w:proofErr w:type="spellEnd"/>
      <w:r w:rsidRPr="00267823">
        <w:rPr>
          <w:sz w:val="22"/>
          <w:szCs w:val="22"/>
          <w:lang w:val="sk-SK" w:eastAsia="sk-SK"/>
        </w:rPr>
        <w:t xml:space="preserve">), </w:t>
      </w:r>
      <w:proofErr w:type="spellStart"/>
      <w:r w:rsidRPr="00267823">
        <w:rPr>
          <w:sz w:val="22"/>
          <w:szCs w:val="22"/>
          <w:lang w:val="sk-SK" w:eastAsia="sk-SK"/>
        </w:rPr>
        <w:t>Zollinger</w:t>
      </w:r>
      <w:r w:rsidR="00E03F52" w:rsidRPr="00267823">
        <w:rPr>
          <w:sz w:val="22"/>
          <w:szCs w:val="22"/>
          <w:lang w:val="sk-SK" w:eastAsia="sk-SK"/>
        </w:rPr>
        <w:t>ovým</w:t>
      </w:r>
      <w:r w:rsidRPr="00267823">
        <w:rPr>
          <w:sz w:val="22"/>
          <w:szCs w:val="22"/>
          <w:lang w:val="sk-SK" w:eastAsia="sk-SK"/>
        </w:rPr>
        <w:t>-Ellisonovým</w:t>
      </w:r>
      <w:proofErr w:type="spellEnd"/>
      <w:r w:rsidRPr="00267823">
        <w:rPr>
          <w:sz w:val="22"/>
          <w:szCs w:val="22"/>
          <w:lang w:val="sk-SK" w:eastAsia="sk-SK"/>
        </w:rPr>
        <w:t xml:space="preserve"> syndrómom, dedičnými alebo vrodenými poruchami (deficit α-1-antitrypsínu, </w:t>
      </w:r>
      <w:proofErr w:type="spellStart"/>
      <w:r w:rsidRPr="00267823">
        <w:rPr>
          <w:color w:val="000000"/>
          <w:sz w:val="22"/>
          <w:szCs w:val="22"/>
          <w:lang w:val="sk-SK" w:eastAsia="sk-SK"/>
        </w:rPr>
        <w:t>Shwachmanov-Diamondov</w:t>
      </w:r>
      <w:proofErr w:type="spellEnd"/>
      <w:r w:rsidRPr="00267823">
        <w:rPr>
          <w:color w:val="000000"/>
          <w:sz w:val="22"/>
          <w:szCs w:val="22"/>
          <w:lang w:val="sk-SK" w:eastAsia="sk-SK"/>
        </w:rPr>
        <w:t xml:space="preserve"> syndróm, izolovaná </w:t>
      </w:r>
      <w:proofErr w:type="spellStart"/>
      <w:r w:rsidRPr="00267823">
        <w:rPr>
          <w:color w:val="000000"/>
          <w:sz w:val="22"/>
          <w:szCs w:val="22"/>
          <w:lang w:val="sk-SK" w:eastAsia="sk-SK"/>
        </w:rPr>
        <w:t>deficiencia</w:t>
      </w:r>
      <w:proofErr w:type="spellEnd"/>
      <w:r w:rsidRPr="00267823">
        <w:rPr>
          <w:color w:val="000000"/>
          <w:sz w:val="22"/>
          <w:szCs w:val="22"/>
          <w:lang w:val="sk-SK" w:eastAsia="sk-SK"/>
        </w:rPr>
        <w:t xml:space="preserve"> určitých pankreatických enzýmov, </w:t>
      </w:r>
      <w:proofErr w:type="spellStart"/>
      <w:r w:rsidRPr="00267823">
        <w:rPr>
          <w:color w:val="000000"/>
          <w:sz w:val="22"/>
          <w:szCs w:val="22"/>
          <w:lang w:val="sk-SK" w:eastAsia="sk-SK"/>
        </w:rPr>
        <w:t>enterokinázy</w:t>
      </w:r>
      <w:proofErr w:type="spellEnd"/>
      <w:r w:rsidRPr="00267823">
        <w:rPr>
          <w:sz w:val="22"/>
          <w:szCs w:val="22"/>
          <w:lang w:val="sk-SK" w:eastAsia="sk-SK"/>
        </w:rPr>
        <w:t>) a dokonca aj nepankreatickými ochoreniami (</w:t>
      </w:r>
      <w:proofErr w:type="spellStart"/>
      <w:r w:rsidRPr="00267823">
        <w:rPr>
          <w:sz w:val="22"/>
          <w:szCs w:val="22"/>
          <w:lang w:val="sk-SK" w:eastAsia="sk-SK"/>
        </w:rPr>
        <w:t>peptický</w:t>
      </w:r>
      <w:proofErr w:type="spellEnd"/>
      <w:r w:rsidRPr="00267823">
        <w:rPr>
          <w:sz w:val="22"/>
          <w:szCs w:val="22"/>
          <w:lang w:val="sk-SK" w:eastAsia="sk-SK"/>
        </w:rPr>
        <w:t xml:space="preserve"> vred, </w:t>
      </w:r>
      <w:proofErr w:type="spellStart"/>
      <w:r w:rsidRPr="00267823">
        <w:rPr>
          <w:sz w:val="22"/>
          <w:szCs w:val="22"/>
          <w:lang w:val="sk-SK" w:eastAsia="sk-SK"/>
        </w:rPr>
        <w:t>celiakia</w:t>
      </w:r>
      <w:proofErr w:type="spellEnd"/>
      <w:r w:rsidRPr="00267823">
        <w:rPr>
          <w:sz w:val="22"/>
          <w:szCs w:val="22"/>
          <w:lang w:val="sk-SK" w:eastAsia="sk-SK"/>
        </w:rPr>
        <w:t xml:space="preserve">, zápalové ochorenie čriev, </w:t>
      </w:r>
      <w:proofErr w:type="spellStart"/>
      <w:r w:rsidRPr="00267823">
        <w:rPr>
          <w:sz w:val="22"/>
          <w:szCs w:val="22"/>
          <w:lang w:val="sk-SK" w:eastAsia="sk-SK"/>
        </w:rPr>
        <w:t>dyspepsia</w:t>
      </w:r>
      <w:proofErr w:type="spellEnd"/>
      <w:r w:rsidRPr="00267823">
        <w:rPr>
          <w:sz w:val="22"/>
          <w:szCs w:val="22"/>
          <w:lang w:val="sk-SK" w:eastAsia="sk-SK"/>
        </w:rPr>
        <w:t>).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Pankreatín</w:t>
      </w:r>
      <w:proofErr w:type="spellEnd"/>
      <w:r w:rsidRPr="00267823">
        <w:rPr>
          <w:sz w:val="22"/>
          <w:szCs w:val="22"/>
          <w:lang w:val="sk-SK" w:eastAsia="sk-SK"/>
        </w:rPr>
        <w:t xml:space="preserve"> môže zmierniť bolesť pri chronickej </w:t>
      </w:r>
      <w:proofErr w:type="spellStart"/>
      <w:r w:rsidRPr="00267823">
        <w:rPr>
          <w:sz w:val="22"/>
          <w:szCs w:val="22"/>
          <w:lang w:val="sk-SK" w:eastAsia="sk-SK"/>
        </w:rPr>
        <w:t>pankreatitíde</w:t>
      </w:r>
      <w:proofErr w:type="spellEnd"/>
      <w:r w:rsidRPr="00267823">
        <w:rPr>
          <w:sz w:val="22"/>
          <w:szCs w:val="22"/>
          <w:lang w:val="sk-SK" w:eastAsia="sk-SK"/>
        </w:rPr>
        <w:t xml:space="preserve">. Tento účinok sa pripisuje </w:t>
      </w:r>
      <w:proofErr w:type="spellStart"/>
      <w:r w:rsidRPr="00267823">
        <w:rPr>
          <w:sz w:val="22"/>
          <w:szCs w:val="22"/>
          <w:lang w:val="sk-SK" w:eastAsia="sk-SK"/>
        </w:rPr>
        <w:t>proteázam</w:t>
      </w:r>
      <w:proofErr w:type="spellEnd"/>
      <w:r w:rsidRPr="00267823">
        <w:rPr>
          <w:sz w:val="22"/>
          <w:szCs w:val="22"/>
          <w:lang w:val="sk-SK" w:eastAsia="sk-SK"/>
        </w:rPr>
        <w:t xml:space="preserve">, ktoré </w:t>
      </w:r>
      <w:proofErr w:type="spellStart"/>
      <w:r w:rsidRPr="00267823">
        <w:rPr>
          <w:sz w:val="22"/>
          <w:szCs w:val="22"/>
          <w:lang w:val="sk-SK" w:eastAsia="sk-SK"/>
        </w:rPr>
        <w:t>inhibujú</w:t>
      </w:r>
      <w:proofErr w:type="spellEnd"/>
      <w:r w:rsidRPr="00267823">
        <w:rPr>
          <w:sz w:val="22"/>
          <w:szCs w:val="22"/>
          <w:lang w:val="sk-SK" w:eastAsia="sk-SK"/>
        </w:rPr>
        <w:t xml:space="preserve"> sekréciu pankreatických enzýmov. Mechanizmus účinku nebol doteraz objasnený.</w:t>
      </w:r>
    </w:p>
    <w:p w:rsidR="00C33063" w:rsidRPr="00267823" w:rsidRDefault="00C33063" w:rsidP="0013273D">
      <w:pPr>
        <w:rPr>
          <w:snapToGrid w:val="0"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5.2 </w:t>
      </w:r>
      <w:r w:rsidRPr="00267823">
        <w:rPr>
          <w:b/>
          <w:sz w:val="22"/>
          <w:szCs w:val="22"/>
          <w:lang w:val="sk-SK" w:eastAsia="sk-SK"/>
        </w:rPr>
        <w:tab/>
      </w:r>
      <w:proofErr w:type="spellStart"/>
      <w:r w:rsidRPr="00267823">
        <w:rPr>
          <w:b/>
          <w:sz w:val="22"/>
          <w:szCs w:val="22"/>
          <w:lang w:val="sk-SK" w:eastAsia="sk-SK"/>
        </w:rPr>
        <w:t>Farmakokinetické</w:t>
      </w:r>
      <w:proofErr w:type="spellEnd"/>
      <w:r w:rsidRPr="00267823">
        <w:rPr>
          <w:b/>
          <w:sz w:val="22"/>
          <w:szCs w:val="22"/>
          <w:lang w:val="sk-SK" w:eastAsia="sk-SK"/>
        </w:rPr>
        <w:t xml:space="preserve"> vlastnosti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Farmakokinetické</w:t>
      </w:r>
      <w:proofErr w:type="spellEnd"/>
      <w:r w:rsidRPr="00267823">
        <w:rPr>
          <w:sz w:val="22"/>
          <w:szCs w:val="22"/>
          <w:lang w:val="sk-SK" w:eastAsia="sk-SK"/>
        </w:rPr>
        <w:t xml:space="preserve"> údaje nie sú k dispozícii, keďže enzýmy účinkujú lokálne v </w:t>
      </w:r>
      <w:proofErr w:type="spellStart"/>
      <w:r w:rsidRPr="00267823">
        <w:rPr>
          <w:sz w:val="22"/>
          <w:szCs w:val="22"/>
          <w:lang w:val="sk-SK" w:eastAsia="sk-SK"/>
        </w:rPr>
        <w:t>gastrointestinálnom</w:t>
      </w:r>
      <w:proofErr w:type="spellEnd"/>
      <w:r w:rsidRPr="00267823">
        <w:rPr>
          <w:sz w:val="22"/>
          <w:szCs w:val="22"/>
          <w:lang w:val="sk-SK" w:eastAsia="sk-SK"/>
        </w:rPr>
        <w:t xml:space="preserve"> trakte. </w:t>
      </w:r>
      <w:r w:rsidR="003E1CB3" w:rsidRPr="00267823">
        <w:rPr>
          <w:sz w:val="22"/>
          <w:szCs w:val="22"/>
          <w:lang w:val="sk-SK" w:eastAsia="sk-SK"/>
        </w:rPr>
        <w:t xml:space="preserve">Kapsuly obsahujú </w:t>
      </w:r>
      <w:proofErr w:type="spellStart"/>
      <w:r w:rsidR="003E1CB3" w:rsidRPr="00267823">
        <w:rPr>
          <w:sz w:val="22"/>
          <w:szCs w:val="22"/>
          <w:lang w:val="sk-SK" w:eastAsia="sk-SK"/>
        </w:rPr>
        <w:t>gastrorezistentné</w:t>
      </w:r>
      <w:proofErr w:type="spellEnd"/>
      <w:r w:rsidR="003E1CB3"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="003E1CB3" w:rsidRPr="00267823">
        <w:rPr>
          <w:sz w:val="22"/>
          <w:szCs w:val="22"/>
          <w:lang w:val="sk-SK" w:eastAsia="sk-SK"/>
        </w:rPr>
        <w:t>pelety</w:t>
      </w:r>
      <w:proofErr w:type="spellEnd"/>
      <w:r w:rsidR="003E1CB3" w:rsidRPr="00267823">
        <w:rPr>
          <w:sz w:val="22"/>
          <w:szCs w:val="22"/>
          <w:lang w:val="sk-SK" w:eastAsia="sk-SK"/>
        </w:rPr>
        <w:t xml:space="preserve">. </w:t>
      </w:r>
      <w:r w:rsidR="005E2762" w:rsidRPr="00267823">
        <w:rPr>
          <w:sz w:val="22"/>
          <w:szCs w:val="22"/>
          <w:lang w:val="sk-SK" w:eastAsia="sk-SK"/>
        </w:rPr>
        <w:t>Želatínová</w:t>
      </w:r>
      <w:r w:rsidR="003E1CB3" w:rsidRPr="00267823">
        <w:rPr>
          <w:sz w:val="22"/>
          <w:szCs w:val="22"/>
          <w:lang w:val="sk-SK" w:eastAsia="sk-SK"/>
        </w:rPr>
        <w:t xml:space="preserve"> kapsula </w:t>
      </w:r>
      <w:r w:rsidR="00AE3FE0" w:rsidRPr="00267823">
        <w:rPr>
          <w:sz w:val="22"/>
          <w:szCs w:val="22"/>
          <w:lang w:val="sk-SK" w:eastAsia="sk-SK"/>
        </w:rPr>
        <w:t xml:space="preserve">sa rozpúšťa </w:t>
      </w:r>
      <w:r w:rsidR="003E1CB3" w:rsidRPr="00267823">
        <w:rPr>
          <w:sz w:val="22"/>
          <w:szCs w:val="22"/>
          <w:lang w:val="sk-SK" w:eastAsia="sk-SK"/>
        </w:rPr>
        <w:t xml:space="preserve">v žalúdku, </w:t>
      </w:r>
      <w:proofErr w:type="spellStart"/>
      <w:r w:rsidR="003E1CB3" w:rsidRPr="00267823">
        <w:rPr>
          <w:sz w:val="22"/>
          <w:szCs w:val="22"/>
          <w:lang w:val="sk-SK" w:eastAsia="sk-SK"/>
        </w:rPr>
        <w:t>pelety</w:t>
      </w:r>
      <w:proofErr w:type="spellEnd"/>
      <w:r w:rsidR="003E1CB3" w:rsidRPr="00267823">
        <w:rPr>
          <w:sz w:val="22"/>
          <w:szCs w:val="22"/>
          <w:lang w:val="sk-SK" w:eastAsia="sk-SK"/>
        </w:rPr>
        <w:t xml:space="preserve"> sú rovnomerne distribuované v prijatej potrave, </w:t>
      </w:r>
      <w:proofErr w:type="spellStart"/>
      <w:r w:rsidR="003E1CB3" w:rsidRPr="00267823">
        <w:rPr>
          <w:sz w:val="22"/>
          <w:szCs w:val="22"/>
          <w:lang w:val="sk-SK" w:eastAsia="sk-SK"/>
        </w:rPr>
        <w:t>gastrorezistentný</w:t>
      </w:r>
      <w:proofErr w:type="spellEnd"/>
      <w:r w:rsidR="003E1CB3" w:rsidRPr="00267823">
        <w:rPr>
          <w:sz w:val="22"/>
          <w:szCs w:val="22"/>
          <w:lang w:val="sk-SK" w:eastAsia="sk-SK"/>
        </w:rPr>
        <w:t xml:space="preserve"> obal chráni enzýmy v </w:t>
      </w:r>
      <w:proofErr w:type="spellStart"/>
      <w:r w:rsidR="003E1CB3" w:rsidRPr="00267823">
        <w:rPr>
          <w:sz w:val="22"/>
          <w:szCs w:val="22"/>
          <w:lang w:val="sk-SK" w:eastAsia="sk-SK"/>
        </w:rPr>
        <w:t>pelet</w:t>
      </w:r>
      <w:r w:rsidR="00664F57" w:rsidRPr="00267823">
        <w:rPr>
          <w:sz w:val="22"/>
          <w:szCs w:val="22"/>
          <w:lang w:val="sk-SK" w:eastAsia="sk-SK"/>
        </w:rPr>
        <w:t>á</w:t>
      </w:r>
      <w:r w:rsidR="003E1CB3" w:rsidRPr="00267823">
        <w:rPr>
          <w:sz w:val="22"/>
          <w:szCs w:val="22"/>
          <w:lang w:val="sk-SK" w:eastAsia="sk-SK"/>
        </w:rPr>
        <w:t>ch</w:t>
      </w:r>
      <w:proofErr w:type="spellEnd"/>
      <w:r w:rsidR="003E1CB3" w:rsidRPr="00267823">
        <w:rPr>
          <w:sz w:val="22"/>
          <w:szCs w:val="22"/>
          <w:lang w:val="sk-SK" w:eastAsia="sk-SK"/>
        </w:rPr>
        <w:t xml:space="preserve"> </w:t>
      </w:r>
      <w:r w:rsidR="00664F57" w:rsidRPr="00267823">
        <w:rPr>
          <w:sz w:val="22"/>
          <w:szCs w:val="22"/>
          <w:lang w:val="sk-SK" w:eastAsia="sk-SK"/>
        </w:rPr>
        <w:t>pred</w:t>
      </w:r>
      <w:r w:rsidR="003E1CB3" w:rsidRPr="00267823">
        <w:rPr>
          <w:sz w:val="22"/>
          <w:szCs w:val="22"/>
          <w:lang w:val="sk-SK" w:eastAsia="sk-SK"/>
        </w:rPr>
        <w:t xml:space="preserve"> rozklad</w:t>
      </w:r>
      <w:r w:rsidR="00664F57" w:rsidRPr="00267823">
        <w:rPr>
          <w:sz w:val="22"/>
          <w:szCs w:val="22"/>
          <w:lang w:val="sk-SK" w:eastAsia="sk-SK"/>
        </w:rPr>
        <w:t>om</w:t>
      </w:r>
      <w:r w:rsidR="003E1CB3" w:rsidRPr="00267823">
        <w:rPr>
          <w:sz w:val="22"/>
          <w:szCs w:val="22"/>
          <w:lang w:val="sk-SK" w:eastAsia="sk-SK"/>
        </w:rPr>
        <w:t xml:space="preserve"> v kyslom prostredí žalúdka. </w:t>
      </w:r>
      <w:r w:rsidR="00B31A63" w:rsidRPr="00267823">
        <w:rPr>
          <w:sz w:val="22"/>
          <w:szCs w:val="22"/>
          <w:lang w:val="sk-SK" w:eastAsia="sk-SK"/>
        </w:rPr>
        <w:t>Pohyb natrávenej potravy s </w:t>
      </w:r>
      <w:proofErr w:type="spellStart"/>
      <w:r w:rsidR="00B31A63" w:rsidRPr="00267823">
        <w:rPr>
          <w:sz w:val="22"/>
          <w:szCs w:val="22"/>
          <w:lang w:val="sk-SK" w:eastAsia="sk-SK"/>
        </w:rPr>
        <w:t>pelet</w:t>
      </w:r>
      <w:r w:rsidR="00664F57" w:rsidRPr="00267823">
        <w:rPr>
          <w:sz w:val="22"/>
          <w:szCs w:val="22"/>
          <w:lang w:val="sk-SK" w:eastAsia="sk-SK"/>
        </w:rPr>
        <w:t>a</w:t>
      </w:r>
      <w:r w:rsidR="00B31A63" w:rsidRPr="00267823">
        <w:rPr>
          <w:sz w:val="22"/>
          <w:szCs w:val="22"/>
          <w:lang w:val="sk-SK" w:eastAsia="sk-SK"/>
        </w:rPr>
        <w:t>mi</w:t>
      </w:r>
      <w:proofErr w:type="spellEnd"/>
      <w:r w:rsidR="00B31A63" w:rsidRPr="00267823">
        <w:rPr>
          <w:sz w:val="22"/>
          <w:szCs w:val="22"/>
          <w:lang w:val="sk-SK" w:eastAsia="sk-SK"/>
        </w:rPr>
        <w:t xml:space="preserve"> do </w:t>
      </w:r>
      <w:proofErr w:type="spellStart"/>
      <w:r w:rsidR="00B31A63" w:rsidRPr="00267823">
        <w:rPr>
          <w:sz w:val="22"/>
          <w:szCs w:val="22"/>
          <w:lang w:val="sk-SK" w:eastAsia="sk-SK"/>
        </w:rPr>
        <w:t>duodena</w:t>
      </w:r>
      <w:proofErr w:type="spellEnd"/>
      <w:r w:rsidR="00B31A63" w:rsidRPr="00267823">
        <w:rPr>
          <w:sz w:val="22"/>
          <w:szCs w:val="22"/>
          <w:lang w:val="sk-SK" w:eastAsia="sk-SK"/>
        </w:rPr>
        <w:t xml:space="preserve"> a zvýšenie pH spôsobí rozpustenie </w:t>
      </w:r>
      <w:proofErr w:type="spellStart"/>
      <w:r w:rsidR="00B31A63" w:rsidRPr="00267823">
        <w:rPr>
          <w:sz w:val="22"/>
          <w:szCs w:val="22"/>
          <w:lang w:val="sk-SK" w:eastAsia="sk-SK"/>
        </w:rPr>
        <w:t>gastrorezistentného</w:t>
      </w:r>
      <w:proofErr w:type="spellEnd"/>
      <w:r w:rsidR="00B31A63" w:rsidRPr="00267823">
        <w:rPr>
          <w:sz w:val="22"/>
          <w:szCs w:val="22"/>
          <w:lang w:val="sk-SK" w:eastAsia="sk-SK"/>
        </w:rPr>
        <w:t xml:space="preserve"> obalu </w:t>
      </w:r>
      <w:proofErr w:type="spellStart"/>
      <w:r w:rsidR="00B31A63" w:rsidRPr="00267823">
        <w:rPr>
          <w:sz w:val="22"/>
          <w:szCs w:val="22"/>
          <w:lang w:val="sk-SK" w:eastAsia="sk-SK"/>
        </w:rPr>
        <w:t>pel</w:t>
      </w:r>
      <w:r w:rsidR="00664F57" w:rsidRPr="00267823">
        <w:rPr>
          <w:sz w:val="22"/>
          <w:szCs w:val="22"/>
          <w:lang w:val="sk-SK" w:eastAsia="sk-SK"/>
        </w:rPr>
        <w:t>i</w:t>
      </w:r>
      <w:r w:rsidR="00B31A63" w:rsidRPr="00267823">
        <w:rPr>
          <w:sz w:val="22"/>
          <w:szCs w:val="22"/>
          <w:lang w:val="sk-SK" w:eastAsia="sk-SK"/>
        </w:rPr>
        <w:t>et</w:t>
      </w:r>
      <w:proofErr w:type="spellEnd"/>
      <w:r w:rsidR="00B31A63" w:rsidRPr="00267823">
        <w:rPr>
          <w:sz w:val="22"/>
          <w:szCs w:val="22"/>
          <w:lang w:val="sk-SK" w:eastAsia="sk-SK"/>
        </w:rPr>
        <w:t xml:space="preserve"> a uvoľnenie enzýmov. </w:t>
      </w:r>
      <w:r w:rsidRPr="00267823">
        <w:rPr>
          <w:sz w:val="22"/>
          <w:szCs w:val="22"/>
          <w:lang w:val="sk-SK" w:eastAsia="sk-SK"/>
        </w:rPr>
        <w:t xml:space="preserve">Enzýmy sa neabsorbujú. Sú </w:t>
      </w:r>
      <w:proofErr w:type="spellStart"/>
      <w:r w:rsidRPr="00267823">
        <w:rPr>
          <w:sz w:val="22"/>
          <w:szCs w:val="22"/>
          <w:lang w:val="sk-SK" w:eastAsia="sk-SK"/>
        </w:rPr>
        <w:t>inaktivované</w:t>
      </w:r>
      <w:proofErr w:type="spellEnd"/>
      <w:r w:rsidRPr="00267823">
        <w:rPr>
          <w:sz w:val="22"/>
          <w:szCs w:val="22"/>
          <w:lang w:val="sk-SK" w:eastAsia="sk-SK"/>
        </w:rPr>
        <w:t xml:space="preserve"> a </w:t>
      </w:r>
      <w:proofErr w:type="spellStart"/>
      <w:r w:rsidRPr="00267823">
        <w:rPr>
          <w:sz w:val="22"/>
          <w:szCs w:val="22"/>
          <w:lang w:val="sk-SK" w:eastAsia="sk-SK"/>
        </w:rPr>
        <w:t>štiepené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sz w:val="22"/>
          <w:szCs w:val="22"/>
          <w:lang w:val="sk-SK" w:eastAsia="sk-SK"/>
        </w:rPr>
        <w:t>autolýzou</w:t>
      </w:r>
      <w:proofErr w:type="spellEnd"/>
      <w:r w:rsidRPr="00267823">
        <w:rPr>
          <w:sz w:val="22"/>
          <w:szCs w:val="22"/>
          <w:lang w:val="sk-SK" w:eastAsia="sk-SK"/>
        </w:rPr>
        <w:t xml:space="preserve"> a </w:t>
      </w:r>
      <w:proofErr w:type="spellStart"/>
      <w:r w:rsidRPr="00267823">
        <w:rPr>
          <w:sz w:val="22"/>
          <w:szCs w:val="22"/>
          <w:lang w:val="sk-SK" w:eastAsia="sk-SK"/>
        </w:rPr>
        <w:t>proteolýzou</w:t>
      </w:r>
      <w:proofErr w:type="spellEnd"/>
      <w:r w:rsidRPr="00267823">
        <w:rPr>
          <w:sz w:val="22"/>
          <w:szCs w:val="22"/>
          <w:lang w:val="sk-SK" w:eastAsia="sk-SK"/>
        </w:rPr>
        <w:t xml:space="preserve"> ako </w:t>
      </w:r>
      <w:r w:rsidR="00924A22" w:rsidRPr="00267823">
        <w:rPr>
          <w:sz w:val="22"/>
          <w:szCs w:val="22"/>
          <w:lang w:val="sk-SK" w:eastAsia="sk-SK"/>
        </w:rPr>
        <w:t>ostat</w:t>
      </w:r>
      <w:r w:rsidRPr="00267823">
        <w:rPr>
          <w:sz w:val="22"/>
          <w:szCs w:val="22"/>
          <w:lang w:val="sk-SK" w:eastAsia="sk-SK"/>
        </w:rPr>
        <w:t>né proteíny</w:t>
      </w:r>
      <w:r w:rsidR="00F1598B" w:rsidRPr="00267823">
        <w:rPr>
          <w:sz w:val="22"/>
          <w:szCs w:val="22"/>
          <w:lang w:val="sk-SK" w:eastAsia="sk-SK"/>
        </w:rPr>
        <w:t>,</w:t>
      </w:r>
      <w:r w:rsidRPr="00267823">
        <w:rPr>
          <w:sz w:val="22"/>
          <w:szCs w:val="22"/>
          <w:lang w:val="sk-SK" w:eastAsia="sk-SK"/>
        </w:rPr>
        <w:t xml:space="preserve"> v črev</w:t>
      </w:r>
      <w:r w:rsidR="00F1598B" w:rsidRPr="00267823">
        <w:rPr>
          <w:sz w:val="22"/>
          <w:szCs w:val="22"/>
          <w:lang w:val="sk-SK" w:eastAsia="sk-SK"/>
        </w:rPr>
        <w:t>e</w:t>
      </w:r>
      <w:r w:rsidRPr="00267823">
        <w:rPr>
          <w:sz w:val="22"/>
          <w:szCs w:val="22"/>
          <w:lang w:val="sk-SK" w:eastAsia="sk-SK"/>
        </w:rPr>
        <w:t xml:space="preserve">. </w:t>
      </w:r>
    </w:p>
    <w:p w:rsidR="00C33063" w:rsidRPr="00267823" w:rsidRDefault="00C33063" w:rsidP="0013273D">
      <w:pPr>
        <w:rPr>
          <w:snapToGrid w:val="0"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5.3 </w:t>
      </w:r>
      <w:r w:rsidRPr="00267823">
        <w:rPr>
          <w:b/>
          <w:sz w:val="22"/>
          <w:szCs w:val="22"/>
          <w:lang w:val="sk-SK" w:eastAsia="sk-SK"/>
        </w:rPr>
        <w:tab/>
        <w:t>Predklinické údaje o bezpečnosti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color w:val="222222"/>
          <w:sz w:val="22"/>
          <w:szCs w:val="22"/>
          <w:lang w:val="sk-SK" w:eastAsia="sk-SK"/>
        </w:rPr>
      </w:pPr>
      <w:r w:rsidRPr="00267823">
        <w:rPr>
          <w:color w:val="222222"/>
          <w:sz w:val="22"/>
          <w:szCs w:val="22"/>
          <w:lang w:val="sk-SK" w:eastAsia="sk-SK"/>
        </w:rPr>
        <w:t>Predklinické údaje neodhalili na základe obvyklých farmakologických štúdií bezpečnosti, toxicity po</w:t>
      </w:r>
      <w:r w:rsidR="003530D5" w:rsidRPr="00267823">
        <w:rPr>
          <w:color w:val="222222"/>
          <w:sz w:val="22"/>
          <w:szCs w:val="22"/>
          <w:lang w:val="sk-SK" w:eastAsia="sk-SK"/>
        </w:rPr>
        <w:t> </w:t>
      </w:r>
      <w:r w:rsidRPr="00267823">
        <w:rPr>
          <w:color w:val="222222"/>
          <w:sz w:val="22"/>
          <w:szCs w:val="22"/>
          <w:lang w:val="sk-SK" w:eastAsia="sk-SK"/>
        </w:rPr>
        <w:t xml:space="preserve">opakovanom podávaní,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genotoxicity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a karcinogénneho potenciálu, vykonaných s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pankreatínom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alebo jeho zložkami: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lipázou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,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amylázou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a</w:t>
      </w:r>
      <w:r w:rsidR="00FB438F" w:rsidRPr="00267823">
        <w:rPr>
          <w:color w:val="222222"/>
          <w:sz w:val="22"/>
          <w:szCs w:val="22"/>
          <w:lang w:val="sk-SK" w:eastAsia="sk-SK"/>
        </w:rPr>
        <w:t> 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proteázou</w:t>
      </w:r>
      <w:proofErr w:type="spellEnd"/>
      <w:r w:rsidR="00FB438F" w:rsidRPr="00267823">
        <w:rPr>
          <w:color w:val="222222"/>
          <w:sz w:val="22"/>
          <w:szCs w:val="22"/>
          <w:lang w:val="sk-SK" w:eastAsia="sk-SK"/>
        </w:rPr>
        <w:t>, žiadne osobitné riziko pre ľudí</w:t>
      </w:r>
      <w:r w:rsidRPr="00267823">
        <w:rPr>
          <w:color w:val="222222"/>
          <w:sz w:val="22"/>
          <w:szCs w:val="22"/>
          <w:lang w:val="sk-SK" w:eastAsia="sk-SK"/>
        </w:rPr>
        <w:t>.</w:t>
      </w:r>
    </w:p>
    <w:p w:rsidR="00C33063" w:rsidRPr="00267823" w:rsidRDefault="00C33063" w:rsidP="0013273D">
      <w:pPr>
        <w:rPr>
          <w:color w:val="222222"/>
          <w:sz w:val="22"/>
          <w:szCs w:val="22"/>
          <w:lang w:val="sk-SK" w:eastAsia="sk-SK"/>
        </w:rPr>
      </w:pPr>
      <w:proofErr w:type="spellStart"/>
      <w:r w:rsidRPr="00267823">
        <w:rPr>
          <w:color w:val="222222"/>
          <w:sz w:val="22"/>
          <w:szCs w:val="22"/>
          <w:lang w:val="sk-SK" w:eastAsia="sk-SK"/>
        </w:rPr>
        <w:t>Pankreatín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nemá žiadny vplyv na plodnosť a reprodukciu u králikov. Tiež nie je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teratogénny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ani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embryotoxický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 xml:space="preserve"> u králikov. U myší a potkanov, ktorí dostávali vysoké dávky perorálne podávanej </w:t>
      </w:r>
      <w:proofErr w:type="spellStart"/>
      <w:r w:rsidRPr="00267823">
        <w:rPr>
          <w:color w:val="222222"/>
          <w:sz w:val="22"/>
          <w:szCs w:val="22"/>
          <w:lang w:val="sk-SK" w:eastAsia="sk-SK"/>
        </w:rPr>
        <w:t>lipázy</w:t>
      </w:r>
      <w:proofErr w:type="spellEnd"/>
      <w:r w:rsidRPr="00267823">
        <w:rPr>
          <w:color w:val="222222"/>
          <w:sz w:val="22"/>
          <w:szCs w:val="22"/>
          <w:lang w:val="sk-SK" w:eastAsia="sk-SK"/>
        </w:rPr>
        <w:t>, bola pozorovaná inhibícia prírastku telesnej hmotnosti a mierne zvýšenie počtu úmrtí plodu.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2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FARMACEUTICKÉ INFORMÁCIE</w:t>
      </w:r>
    </w:p>
    <w:p w:rsidR="00C33063" w:rsidRPr="00267823" w:rsidRDefault="00C33063" w:rsidP="0013273D">
      <w:pPr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6.1 </w:t>
      </w:r>
      <w:r w:rsidRPr="00267823">
        <w:rPr>
          <w:b/>
          <w:sz w:val="22"/>
          <w:szCs w:val="22"/>
          <w:lang w:val="sk-SK" w:eastAsia="sk-SK"/>
        </w:rPr>
        <w:tab/>
        <w:t>Zoznam pomocných látok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9B7854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proofErr w:type="spellStart"/>
      <w:r w:rsidRPr="00267823">
        <w:rPr>
          <w:i/>
          <w:sz w:val="22"/>
          <w:szCs w:val="22"/>
          <w:lang w:val="sk-SK" w:eastAsia="sk-SK"/>
        </w:rPr>
        <w:t>Gastrorezistentná</w:t>
      </w:r>
      <w:proofErr w:type="spellEnd"/>
      <w:r w:rsidR="00ED7BB2" w:rsidRPr="00267823">
        <w:rPr>
          <w:i/>
          <w:sz w:val="22"/>
          <w:szCs w:val="22"/>
          <w:lang w:val="sk-SK" w:eastAsia="sk-SK"/>
        </w:rPr>
        <w:t xml:space="preserve"> obal</w:t>
      </w:r>
      <w:r w:rsidRPr="00267823">
        <w:rPr>
          <w:i/>
          <w:sz w:val="22"/>
          <w:szCs w:val="22"/>
          <w:lang w:val="sk-SK" w:eastAsia="sk-SK"/>
        </w:rPr>
        <w:t>ová vrstva</w:t>
      </w:r>
      <w:r w:rsidR="00C33063" w:rsidRPr="00267823">
        <w:rPr>
          <w:i/>
          <w:sz w:val="22"/>
          <w:szCs w:val="22"/>
          <w:lang w:val="sk-SK" w:eastAsia="sk-SK"/>
        </w:rPr>
        <w:t>:</w:t>
      </w:r>
      <w:r w:rsidR="00C33063" w:rsidRPr="00267823">
        <w:rPr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bCs/>
          <w:sz w:val="22"/>
          <w:szCs w:val="22"/>
          <w:lang w:val="sk-SK" w:eastAsia="sk-SK"/>
        </w:rPr>
        <w:t xml:space="preserve">kyselina </w:t>
      </w:r>
      <w:proofErr w:type="spellStart"/>
      <w:r w:rsidRPr="00267823">
        <w:rPr>
          <w:bCs/>
          <w:sz w:val="22"/>
          <w:szCs w:val="22"/>
          <w:lang w:val="sk-SK" w:eastAsia="sk-SK"/>
        </w:rPr>
        <w:t>metakrylová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  <w:r w:rsidR="00A529E0" w:rsidRPr="00267823">
        <w:rPr>
          <w:sz w:val="22"/>
          <w:szCs w:val="22"/>
          <w:lang w:val="sk-SK" w:eastAsia="sk-SK"/>
        </w:rPr>
        <w:t>s</w:t>
      </w:r>
      <w:r w:rsidRPr="00267823">
        <w:rPr>
          <w:sz w:val="22"/>
          <w:szCs w:val="22"/>
          <w:lang w:val="sk-SK" w:eastAsia="sk-SK"/>
        </w:rPr>
        <w:t xml:space="preserve"> </w:t>
      </w:r>
      <w:proofErr w:type="spellStart"/>
      <w:r w:rsidRPr="00267823">
        <w:rPr>
          <w:bCs/>
          <w:sz w:val="22"/>
          <w:szCs w:val="22"/>
          <w:lang w:val="sk-SK" w:eastAsia="sk-SK"/>
        </w:rPr>
        <w:t>etylakrylát</w:t>
      </w:r>
      <w:r w:rsidR="00A529E0" w:rsidRPr="00267823">
        <w:rPr>
          <w:bCs/>
          <w:sz w:val="22"/>
          <w:szCs w:val="22"/>
          <w:lang w:val="sk-SK" w:eastAsia="sk-SK"/>
        </w:rPr>
        <w:t>om</w:t>
      </w:r>
      <w:proofErr w:type="spellEnd"/>
      <w:r w:rsidRPr="00267823">
        <w:rPr>
          <w:bCs/>
          <w:sz w:val="22"/>
          <w:szCs w:val="22"/>
          <w:lang w:val="sk-SK" w:eastAsia="sk-SK"/>
        </w:rPr>
        <w:t xml:space="preserve"> </w:t>
      </w:r>
      <w:r w:rsidR="00A529E0" w:rsidRPr="00267823">
        <w:rPr>
          <w:sz w:val="22"/>
          <w:szCs w:val="22"/>
          <w:lang w:val="sk-SK" w:eastAsia="sk-SK"/>
        </w:rPr>
        <w:t xml:space="preserve">1:1, </w:t>
      </w:r>
      <w:proofErr w:type="spellStart"/>
      <w:r w:rsidRPr="00267823">
        <w:rPr>
          <w:bCs/>
          <w:sz w:val="22"/>
          <w:szCs w:val="22"/>
          <w:lang w:val="sk-SK" w:eastAsia="sk-SK"/>
        </w:rPr>
        <w:t>kopolymér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trietylcitrát</w:t>
      </w:r>
      <w:proofErr w:type="spellEnd"/>
      <w:r w:rsidRPr="00267823">
        <w:rPr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lastRenderedPageBreak/>
        <w:t>mastenec (E553b)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proofErr w:type="spellStart"/>
      <w:r w:rsidRPr="00267823">
        <w:rPr>
          <w:sz w:val="22"/>
          <w:szCs w:val="22"/>
          <w:lang w:val="sk-SK" w:eastAsia="sk-SK"/>
        </w:rPr>
        <w:t>simetik</w:t>
      </w:r>
      <w:r w:rsidR="00A529E0" w:rsidRPr="00267823">
        <w:rPr>
          <w:sz w:val="22"/>
          <w:szCs w:val="22"/>
          <w:lang w:val="sk-SK" w:eastAsia="sk-SK"/>
        </w:rPr>
        <w:t>ó</w:t>
      </w:r>
      <w:r w:rsidRPr="00267823">
        <w:rPr>
          <w:sz w:val="22"/>
          <w:szCs w:val="22"/>
          <w:lang w:val="sk-SK" w:eastAsia="sk-SK"/>
        </w:rPr>
        <w:t>n</w:t>
      </w:r>
      <w:proofErr w:type="spellEnd"/>
    </w:p>
    <w:p w:rsidR="00F1598B" w:rsidRPr="00267823" w:rsidRDefault="00F1598B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5E2762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i/>
          <w:sz w:val="22"/>
          <w:szCs w:val="22"/>
          <w:lang w:val="sk-SK" w:eastAsia="sk-SK"/>
        </w:rPr>
        <w:t>Telo</w:t>
      </w:r>
      <w:r w:rsidR="00C33063" w:rsidRPr="00267823">
        <w:rPr>
          <w:i/>
          <w:sz w:val="22"/>
          <w:szCs w:val="22"/>
          <w:lang w:val="sk-SK" w:eastAsia="sk-SK"/>
        </w:rPr>
        <w:t xml:space="preserve"> kapsuly:</w:t>
      </w:r>
      <w:r w:rsidR="00C33063" w:rsidRPr="00267823">
        <w:rPr>
          <w:sz w:val="22"/>
          <w:szCs w:val="22"/>
          <w:lang w:val="sk-SK" w:eastAsia="sk-SK"/>
        </w:rPr>
        <w:t xml:space="preserve"> 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želatína (E441)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oxid </w:t>
      </w:r>
      <w:proofErr w:type="spellStart"/>
      <w:r w:rsidRPr="00267823">
        <w:rPr>
          <w:sz w:val="22"/>
          <w:szCs w:val="22"/>
          <w:lang w:val="sk-SK" w:eastAsia="sk-SK"/>
        </w:rPr>
        <w:t>titaničitý</w:t>
      </w:r>
      <w:proofErr w:type="spellEnd"/>
      <w:r w:rsidRPr="00267823">
        <w:rPr>
          <w:sz w:val="22"/>
          <w:szCs w:val="22"/>
          <w:lang w:val="sk-SK" w:eastAsia="sk-SK"/>
        </w:rPr>
        <w:t xml:space="preserve"> (E171)</w:t>
      </w:r>
    </w:p>
    <w:p w:rsidR="00C33063" w:rsidRPr="00267823" w:rsidRDefault="00C33063" w:rsidP="0013273D">
      <w:pPr>
        <w:tabs>
          <w:tab w:val="left" w:pos="3402"/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6.2 </w:t>
      </w:r>
      <w:r w:rsidRPr="00267823">
        <w:rPr>
          <w:b/>
          <w:sz w:val="22"/>
          <w:szCs w:val="22"/>
          <w:lang w:val="sk-SK" w:eastAsia="sk-SK"/>
        </w:rPr>
        <w:tab/>
        <w:t>Inkompatibility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Neaplikovateľné.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6.3 </w:t>
      </w:r>
      <w:r w:rsidRPr="00267823">
        <w:rPr>
          <w:b/>
          <w:sz w:val="22"/>
          <w:szCs w:val="22"/>
          <w:lang w:val="sk-SK" w:eastAsia="sk-SK"/>
        </w:rPr>
        <w:tab/>
        <w:t>Čas použiteľnosti</w:t>
      </w:r>
    </w:p>
    <w:p w:rsidR="00C33063" w:rsidRPr="00267823" w:rsidRDefault="00C33063" w:rsidP="0013273D">
      <w:pPr>
        <w:outlineLvl w:val="0"/>
        <w:rPr>
          <w:sz w:val="22"/>
          <w:szCs w:val="22"/>
          <w:lang w:val="sk-SK" w:eastAsia="sk-SK"/>
        </w:rPr>
      </w:pPr>
    </w:p>
    <w:p w:rsidR="00C33063" w:rsidRPr="00267823" w:rsidRDefault="00ED7BB2" w:rsidP="0013273D">
      <w:pPr>
        <w:outlineLvl w:val="0"/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3</w:t>
      </w:r>
      <w:r w:rsidR="00C33063" w:rsidRPr="00267823">
        <w:rPr>
          <w:sz w:val="22"/>
          <w:szCs w:val="22"/>
          <w:lang w:val="sk-SK" w:eastAsia="sk-SK"/>
        </w:rPr>
        <w:t xml:space="preserve"> roky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  <w:tab w:val="decimal" w:leader="dot" w:pos="7655"/>
        </w:tabs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6.4 </w:t>
      </w:r>
      <w:r w:rsidRPr="00267823">
        <w:rPr>
          <w:b/>
          <w:sz w:val="22"/>
          <w:szCs w:val="22"/>
          <w:lang w:val="sk-SK" w:eastAsia="sk-SK"/>
        </w:rPr>
        <w:tab/>
        <w:t>Špeciálne upozornenia na uchovávanie</w:t>
      </w:r>
    </w:p>
    <w:p w:rsidR="00C33063" w:rsidRPr="00267823" w:rsidRDefault="00C33063" w:rsidP="0013273D">
      <w:pPr>
        <w:outlineLvl w:val="0"/>
        <w:rPr>
          <w:sz w:val="22"/>
          <w:szCs w:val="22"/>
          <w:u w:val="single"/>
          <w:lang w:val="sk-SK" w:eastAsia="sk-SK"/>
        </w:rPr>
      </w:pP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Uchovávajte pri teplote </w:t>
      </w:r>
      <w:r w:rsidR="003530D5" w:rsidRPr="00267823">
        <w:rPr>
          <w:sz w:val="22"/>
          <w:szCs w:val="22"/>
          <w:lang w:val="sk-SK" w:eastAsia="sk-SK"/>
        </w:rPr>
        <w:t>neprevyšujúcej</w:t>
      </w:r>
      <w:r w:rsidRPr="00267823">
        <w:rPr>
          <w:sz w:val="22"/>
          <w:szCs w:val="22"/>
          <w:lang w:val="sk-SK" w:eastAsia="sk-SK"/>
        </w:rPr>
        <w:t xml:space="preserve"> 25 °C.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 xml:space="preserve">Uchovávajte v pôvodnom obale na ochranu pred vlhkosťou. </w:t>
      </w:r>
    </w:p>
    <w:p w:rsidR="00C33063" w:rsidRPr="00267823" w:rsidRDefault="00C33063" w:rsidP="0013273D">
      <w:pPr>
        <w:outlineLvl w:val="0"/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outlineLvl w:val="0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6.5 </w:t>
      </w:r>
      <w:r w:rsidRPr="00267823">
        <w:rPr>
          <w:b/>
          <w:sz w:val="22"/>
          <w:szCs w:val="22"/>
          <w:lang w:val="sk-SK" w:eastAsia="sk-SK"/>
        </w:rPr>
        <w:tab/>
        <w:t>Druh obalu a obsah balenia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proofErr w:type="spellStart"/>
      <w:r w:rsidRPr="00267823">
        <w:rPr>
          <w:sz w:val="22"/>
          <w:szCs w:val="22"/>
          <w:lang w:val="sk-SK" w:eastAsia="en-US"/>
        </w:rPr>
        <w:t>Blister</w:t>
      </w:r>
      <w:proofErr w:type="spellEnd"/>
      <w:r w:rsidRPr="00267823">
        <w:rPr>
          <w:sz w:val="22"/>
          <w:szCs w:val="22"/>
          <w:lang w:val="sk-SK" w:eastAsia="en-US"/>
        </w:rPr>
        <w:t xml:space="preserve"> (OPA/</w:t>
      </w:r>
      <w:proofErr w:type="spellStart"/>
      <w:r w:rsidRPr="00267823">
        <w:rPr>
          <w:sz w:val="22"/>
          <w:szCs w:val="22"/>
          <w:lang w:val="sk-SK" w:eastAsia="en-US"/>
        </w:rPr>
        <w:t>Alu</w:t>
      </w:r>
      <w:proofErr w:type="spellEnd"/>
      <w:r w:rsidRPr="00267823">
        <w:rPr>
          <w:sz w:val="22"/>
          <w:szCs w:val="22"/>
          <w:lang w:val="sk-SK" w:eastAsia="en-US"/>
        </w:rPr>
        <w:t>/PVC//</w:t>
      </w:r>
      <w:proofErr w:type="spellStart"/>
      <w:r w:rsidRPr="00267823">
        <w:rPr>
          <w:sz w:val="22"/>
          <w:szCs w:val="22"/>
          <w:lang w:val="sk-SK" w:eastAsia="en-US"/>
        </w:rPr>
        <w:t>Alu</w:t>
      </w:r>
      <w:proofErr w:type="spellEnd"/>
      <w:r w:rsidRPr="00267823">
        <w:rPr>
          <w:sz w:val="22"/>
          <w:szCs w:val="22"/>
          <w:lang w:val="sk-SK" w:eastAsia="en-US"/>
        </w:rPr>
        <w:t xml:space="preserve">): 21, 56 a 84 tvrdých </w:t>
      </w:r>
      <w:proofErr w:type="spellStart"/>
      <w:r w:rsidR="009B7854" w:rsidRPr="00267823">
        <w:rPr>
          <w:sz w:val="22"/>
          <w:szCs w:val="22"/>
          <w:lang w:val="sk-SK" w:eastAsia="en-US"/>
        </w:rPr>
        <w:t>gastrorezistentných</w:t>
      </w:r>
      <w:proofErr w:type="spellEnd"/>
      <w:r w:rsidR="009B7854" w:rsidRPr="00267823">
        <w:rPr>
          <w:sz w:val="22"/>
          <w:szCs w:val="22"/>
          <w:lang w:val="sk-SK" w:eastAsia="en-US"/>
        </w:rPr>
        <w:t xml:space="preserve"> </w:t>
      </w:r>
      <w:r w:rsidRPr="00267823">
        <w:rPr>
          <w:sz w:val="22"/>
          <w:szCs w:val="22"/>
          <w:lang w:val="sk-SK" w:eastAsia="en-US"/>
        </w:rPr>
        <w:t>kapsúl, v škatuľke.</w:t>
      </w:r>
    </w:p>
    <w:p w:rsidR="00C33063" w:rsidRPr="00267823" w:rsidRDefault="00C33063" w:rsidP="0013273D">
      <w:pPr>
        <w:tabs>
          <w:tab w:val="left" w:pos="567"/>
          <w:tab w:val="decimal" w:leader="dot" w:pos="7655"/>
        </w:tabs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tabs>
          <w:tab w:val="left" w:pos="567"/>
        </w:tabs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 xml:space="preserve">6.6 </w:t>
      </w:r>
      <w:r w:rsidRPr="00267823">
        <w:rPr>
          <w:b/>
          <w:sz w:val="22"/>
          <w:szCs w:val="22"/>
          <w:lang w:val="sk-SK" w:eastAsia="sk-SK"/>
        </w:rPr>
        <w:tab/>
        <w:t>Špeciálne opatrenia na likvidáciu a iné zaobchádzanie s liekom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Žiadne zvláštne požiadavky.</w:t>
      </w:r>
    </w:p>
    <w:p w:rsidR="00C33063" w:rsidRPr="00267823" w:rsidRDefault="00C33063" w:rsidP="0013273D">
      <w:pPr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b/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3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DRŽITEĽ ROZHODNUTIA O REGISTRÁCII</w:t>
      </w:r>
    </w:p>
    <w:p w:rsidR="00C33063" w:rsidRPr="00267823" w:rsidRDefault="00C33063" w:rsidP="0013273D">
      <w:pPr>
        <w:ind w:firstLine="283"/>
        <w:rPr>
          <w:sz w:val="22"/>
          <w:szCs w:val="22"/>
          <w:lang w:val="sk-SK" w:eastAsia="sk-SK"/>
        </w:rPr>
      </w:pPr>
    </w:p>
    <w:p w:rsidR="002419D9" w:rsidRPr="00267823" w:rsidRDefault="00C33063" w:rsidP="0013273D">
      <w:pPr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267823">
        <w:rPr>
          <w:sz w:val="22"/>
          <w:szCs w:val="22"/>
          <w:lang w:val="sk-SK" w:eastAsia="en-US"/>
        </w:rPr>
        <w:t xml:space="preserve">KRKA, </w:t>
      </w:r>
      <w:proofErr w:type="spellStart"/>
      <w:r w:rsidRPr="00267823">
        <w:rPr>
          <w:sz w:val="22"/>
          <w:szCs w:val="22"/>
          <w:lang w:val="sk-SK" w:eastAsia="en-US"/>
        </w:rPr>
        <w:t>d.d</w:t>
      </w:r>
      <w:proofErr w:type="spellEnd"/>
      <w:r w:rsidRPr="00267823">
        <w:rPr>
          <w:sz w:val="22"/>
          <w:szCs w:val="22"/>
          <w:lang w:val="sk-SK" w:eastAsia="en-US"/>
        </w:rPr>
        <w:t>., Novo mesto</w:t>
      </w:r>
    </w:p>
    <w:p w:rsidR="00DA6FF1" w:rsidRPr="00267823" w:rsidRDefault="00C33063" w:rsidP="0013273D">
      <w:pPr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proofErr w:type="spellStart"/>
      <w:r w:rsidRPr="00267823">
        <w:rPr>
          <w:sz w:val="22"/>
          <w:szCs w:val="22"/>
          <w:lang w:val="sk-SK" w:eastAsia="en-US"/>
        </w:rPr>
        <w:t>Šmarješka</w:t>
      </w:r>
      <w:proofErr w:type="spellEnd"/>
      <w:r w:rsidRPr="00267823">
        <w:rPr>
          <w:sz w:val="22"/>
          <w:szCs w:val="22"/>
          <w:lang w:val="sk-SK" w:eastAsia="en-US"/>
        </w:rPr>
        <w:t xml:space="preserve"> cesta 6</w:t>
      </w:r>
    </w:p>
    <w:p w:rsidR="00DA6FF1" w:rsidRPr="00267823" w:rsidRDefault="00C33063" w:rsidP="0013273D">
      <w:pPr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267823">
        <w:rPr>
          <w:sz w:val="22"/>
          <w:szCs w:val="22"/>
          <w:lang w:val="sk-SK" w:eastAsia="en-US"/>
        </w:rPr>
        <w:t>8501 Novo mesto</w:t>
      </w:r>
    </w:p>
    <w:p w:rsidR="00C33063" w:rsidRPr="00267823" w:rsidRDefault="00C33063" w:rsidP="0013273D">
      <w:pPr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267823">
        <w:rPr>
          <w:sz w:val="22"/>
          <w:szCs w:val="22"/>
          <w:lang w:val="sk-SK" w:eastAsia="en-US"/>
        </w:rPr>
        <w:t>Slovinsko</w:t>
      </w:r>
    </w:p>
    <w:p w:rsidR="00C33063" w:rsidRPr="00267823" w:rsidRDefault="00C33063" w:rsidP="0013273D">
      <w:pPr>
        <w:rPr>
          <w:snapToGrid w:val="0"/>
          <w:sz w:val="22"/>
          <w:szCs w:val="22"/>
          <w:lang w:val="sk-SK" w:eastAsia="sk-SK"/>
        </w:rPr>
      </w:pPr>
    </w:p>
    <w:p w:rsidR="00C33063" w:rsidRPr="00267823" w:rsidRDefault="00C33063" w:rsidP="0013273D">
      <w:pPr>
        <w:rPr>
          <w:snapToGrid w:val="0"/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4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REGISTRAČNÉ ČÍSLO</w:t>
      </w:r>
    </w:p>
    <w:p w:rsidR="00C33063" w:rsidRPr="00267823" w:rsidRDefault="00C33063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5D1C15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  <w:r w:rsidRPr="00267823">
        <w:rPr>
          <w:sz w:val="22"/>
          <w:szCs w:val="22"/>
          <w:lang w:val="sk-SK" w:eastAsia="sk-SK"/>
        </w:rPr>
        <w:t>Reg. č.</w:t>
      </w:r>
      <w:r w:rsidR="00F35EA9" w:rsidRPr="00267823">
        <w:rPr>
          <w:sz w:val="22"/>
          <w:szCs w:val="22"/>
          <w:lang w:val="sk-SK" w:eastAsia="sk-SK"/>
        </w:rPr>
        <w:t>:</w:t>
      </w:r>
      <w:r w:rsidR="00DD1DEC" w:rsidRPr="00267823">
        <w:rPr>
          <w:sz w:val="22"/>
          <w:szCs w:val="22"/>
        </w:rPr>
        <w:t xml:space="preserve"> </w:t>
      </w:r>
      <w:r w:rsidR="00DD1DEC" w:rsidRPr="00267823">
        <w:rPr>
          <w:sz w:val="22"/>
          <w:szCs w:val="22"/>
          <w:lang w:val="sk-SK" w:eastAsia="sk-SK"/>
        </w:rPr>
        <w:t>49/0424/16-S</w:t>
      </w:r>
    </w:p>
    <w:p w:rsidR="005D1C15" w:rsidRPr="00267823" w:rsidRDefault="005D1C15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E753AA" w:rsidRPr="00267823" w:rsidRDefault="00E753AA" w:rsidP="0013273D">
      <w:pPr>
        <w:tabs>
          <w:tab w:val="left" w:pos="4962"/>
        </w:tabs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4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DÁTUM PRVEJ REGISTRÁCIE/ PREDĹŽENIA REGISTRÁCIE</w:t>
      </w:r>
    </w:p>
    <w:p w:rsidR="00C33063" w:rsidRPr="00267823" w:rsidRDefault="00C3306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Default="0026782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Dátum prvej registrácie:</w:t>
      </w:r>
    </w:p>
    <w:p w:rsidR="00267823" w:rsidRPr="00267823" w:rsidRDefault="00267823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F726CA" w:rsidRPr="00267823" w:rsidRDefault="00F726CA" w:rsidP="0013273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C33063" w:rsidRPr="00267823" w:rsidRDefault="00C33063" w:rsidP="0013273D">
      <w:pPr>
        <w:numPr>
          <w:ilvl w:val="0"/>
          <w:numId w:val="14"/>
        </w:numPr>
        <w:ind w:left="567" w:hanging="567"/>
        <w:rPr>
          <w:b/>
          <w:sz w:val="22"/>
          <w:szCs w:val="22"/>
          <w:lang w:val="sk-SK" w:eastAsia="sk-SK"/>
        </w:rPr>
      </w:pPr>
      <w:r w:rsidRPr="00267823">
        <w:rPr>
          <w:b/>
          <w:sz w:val="22"/>
          <w:szCs w:val="22"/>
          <w:lang w:val="sk-SK" w:eastAsia="sk-SK"/>
        </w:rPr>
        <w:t>DÁTUM REVÍZIE TEXTU</w:t>
      </w:r>
    </w:p>
    <w:p w:rsidR="00C33063" w:rsidRPr="00267823" w:rsidRDefault="00C33063" w:rsidP="0013273D">
      <w:pPr>
        <w:rPr>
          <w:strike/>
          <w:sz w:val="22"/>
          <w:szCs w:val="22"/>
          <w:lang w:val="sk-SK" w:eastAsia="sk-SK"/>
        </w:rPr>
      </w:pPr>
    </w:p>
    <w:p w:rsidR="00C33063" w:rsidRPr="00267823" w:rsidRDefault="009A71BE" w:rsidP="0013273D">
      <w:pPr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10/2016</w:t>
      </w:r>
    </w:p>
    <w:p w:rsidR="00C33063" w:rsidRPr="00267823" w:rsidRDefault="00C33063" w:rsidP="0013273D">
      <w:pPr>
        <w:rPr>
          <w:sz w:val="22"/>
          <w:szCs w:val="22"/>
          <w:lang w:val="sk-SK" w:eastAsia="sk-SK"/>
        </w:rPr>
      </w:pPr>
    </w:p>
    <w:p w:rsidR="00CF089C" w:rsidRPr="00267823" w:rsidRDefault="00CF089C" w:rsidP="0013273D">
      <w:pPr>
        <w:rPr>
          <w:sz w:val="22"/>
          <w:szCs w:val="22"/>
        </w:rPr>
      </w:pPr>
    </w:p>
    <w:sectPr w:rsidR="00CF089C" w:rsidRPr="00267823" w:rsidSect="001327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26" w:rsidRDefault="00677626">
      <w:r>
        <w:separator/>
      </w:r>
    </w:p>
  </w:endnote>
  <w:endnote w:type="continuationSeparator" w:id="0">
    <w:p w:rsidR="00677626" w:rsidRDefault="0067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23" w:rsidRDefault="00413C23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13C23" w:rsidRDefault="00413C23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52" w:rsidRPr="008705B0" w:rsidRDefault="00E03F52">
    <w:pPr>
      <w:pStyle w:val="Pta"/>
      <w:jc w:val="center"/>
      <w:rPr>
        <w:sz w:val="18"/>
        <w:szCs w:val="18"/>
      </w:rPr>
    </w:pPr>
    <w:r w:rsidRPr="008705B0">
      <w:rPr>
        <w:sz w:val="18"/>
        <w:szCs w:val="18"/>
      </w:rPr>
      <w:fldChar w:fldCharType="begin"/>
    </w:r>
    <w:r w:rsidRPr="008705B0">
      <w:rPr>
        <w:sz w:val="18"/>
        <w:szCs w:val="18"/>
      </w:rPr>
      <w:instrText>PAGE   \* MERGEFORMAT</w:instrText>
    </w:r>
    <w:r w:rsidRPr="008705B0">
      <w:rPr>
        <w:sz w:val="18"/>
        <w:szCs w:val="18"/>
      </w:rPr>
      <w:fldChar w:fldCharType="separate"/>
    </w:r>
    <w:r w:rsidR="007C1F26" w:rsidRPr="007C1F26">
      <w:rPr>
        <w:noProof/>
        <w:sz w:val="18"/>
        <w:szCs w:val="18"/>
        <w:lang w:val="sk-SK"/>
      </w:rPr>
      <w:t>5</w:t>
    </w:r>
    <w:r w:rsidRPr="008705B0">
      <w:rPr>
        <w:sz w:val="18"/>
        <w:szCs w:val="18"/>
      </w:rPr>
      <w:fldChar w:fldCharType="end"/>
    </w:r>
  </w:p>
  <w:p w:rsidR="00E03F52" w:rsidRDefault="00E03F5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89" w:rsidRPr="00EF2D89" w:rsidRDefault="00EF2D89">
    <w:pPr>
      <w:pStyle w:val="Pta"/>
      <w:jc w:val="center"/>
      <w:rPr>
        <w:sz w:val="18"/>
        <w:szCs w:val="18"/>
      </w:rPr>
    </w:pPr>
    <w:r w:rsidRPr="00EF2D89">
      <w:rPr>
        <w:sz w:val="18"/>
        <w:szCs w:val="18"/>
      </w:rPr>
      <w:fldChar w:fldCharType="begin"/>
    </w:r>
    <w:r w:rsidRPr="00EF2D89">
      <w:rPr>
        <w:sz w:val="18"/>
        <w:szCs w:val="18"/>
      </w:rPr>
      <w:instrText>PAGE   \* MERGEFORMAT</w:instrText>
    </w:r>
    <w:r w:rsidRPr="00EF2D89">
      <w:rPr>
        <w:sz w:val="18"/>
        <w:szCs w:val="18"/>
      </w:rPr>
      <w:fldChar w:fldCharType="separate"/>
    </w:r>
    <w:r w:rsidR="007C1F26" w:rsidRPr="007C1F26">
      <w:rPr>
        <w:noProof/>
        <w:sz w:val="18"/>
        <w:szCs w:val="18"/>
        <w:lang w:val="sk-SK"/>
      </w:rPr>
      <w:t>1</w:t>
    </w:r>
    <w:r w:rsidRPr="00EF2D89">
      <w:rPr>
        <w:sz w:val="18"/>
        <w:szCs w:val="18"/>
      </w:rPr>
      <w:fldChar w:fldCharType="end"/>
    </w:r>
  </w:p>
  <w:p w:rsidR="00B377D2" w:rsidRDefault="00B377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26" w:rsidRDefault="00677626">
      <w:r>
        <w:separator/>
      </w:r>
    </w:p>
  </w:footnote>
  <w:footnote w:type="continuationSeparator" w:id="0">
    <w:p w:rsidR="00677626" w:rsidRDefault="0067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23" w:rsidRDefault="00413C23">
    <w:pPr>
      <w:pStyle w:val="Hlavika"/>
    </w:pPr>
    <w:bookmarkStart w:id="1" w:name="TableTag1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D2" w:rsidRDefault="00B377D2" w:rsidP="00B377D2">
    <w:pPr>
      <w:rPr>
        <w:sz w:val="18"/>
      </w:rPr>
    </w:pPr>
    <w:r w:rsidRPr="003114C6">
      <w:rPr>
        <w:sz w:val="18"/>
      </w:rPr>
      <w:t>Schválený text k rozhodnutiu o registrácii</w:t>
    </w:r>
    <w:r>
      <w:rPr>
        <w:sz w:val="18"/>
      </w:rPr>
      <w:t>,</w:t>
    </w:r>
    <w:r w:rsidRPr="003114C6">
      <w:rPr>
        <w:sz w:val="18"/>
      </w:rPr>
      <w:t xml:space="preserve"> ev.č.: </w:t>
    </w:r>
    <w:r w:rsidRPr="004A0F75">
      <w:rPr>
        <w:sz w:val="18"/>
      </w:rPr>
      <w:t>2014/07061-REG</w:t>
    </w:r>
  </w:p>
  <w:p w:rsidR="00B377D2" w:rsidRDefault="00B377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E02E2"/>
    <w:multiLevelType w:val="hybridMultilevel"/>
    <w:tmpl w:val="C03E9458"/>
    <w:lvl w:ilvl="0" w:tplc="D55C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2AD"/>
    <w:multiLevelType w:val="multilevel"/>
    <w:tmpl w:val="73A85B1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CD62C6F"/>
    <w:multiLevelType w:val="singleLevel"/>
    <w:tmpl w:val="D63428E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4">
    <w:nsid w:val="129476ED"/>
    <w:multiLevelType w:val="singleLevel"/>
    <w:tmpl w:val="0840E1B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5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714E4"/>
    <w:multiLevelType w:val="singleLevel"/>
    <w:tmpl w:val="617C5D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/>
          <w:i w:val="0"/>
          <w:sz w:val="22"/>
          <w:szCs w:val="22"/>
        </w:rPr>
      </w:lvl>
    </w:lvlOverride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E2B"/>
    <w:rsid w:val="00003050"/>
    <w:rsid w:val="000065B2"/>
    <w:rsid w:val="00015BF7"/>
    <w:rsid w:val="00024E30"/>
    <w:rsid w:val="00027099"/>
    <w:rsid w:val="00034E8E"/>
    <w:rsid w:val="000433F2"/>
    <w:rsid w:val="00045658"/>
    <w:rsid w:val="00064D45"/>
    <w:rsid w:val="00073CBA"/>
    <w:rsid w:val="00082F94"/>
    <w:rsid w:val="000A4DD1"/>
    <w:rsid w:val="000A57E8"/>
    <w:rsid w:val="000B09CA"/>
    <w:rsid w:val="000B3484"/>
    <w:rsid w:val="000C5ACD"/>
    <w:rsid w:val="000D1B0E"/>
    <w:rsid w:val="000E4880"/>
    <w:rsid w:val="001003D9"/>
    <w:rsid w:val="00105480"/>
    <w:rsid w:val="00106772"/>
    <w:rsid w:val="00123891"/>
    <w:rsid w:val="0013273D"/>
    <w:rsid w:val="001575C1"/>
    <w:rsid w:val="00173E2B"/>
    <w:rsid w:val="001840B2"/>
    <w:rsid w:val="001B2FB7"/>
    <w:rsid w:val="001B38B4"/>
    <w:rsid w:val="001B5073"/>
    <w:rsid w:val="001C7614"/>
    <w:rsid w:val="001C79DF"/>
    <w:rsid w:val="001D7818"/>
    <w:rsid w:val="001E0D7F"/>
    <w:rsid w:val="001E7747"/>
    <w:rsid w:val="001F2D60"/>
    <w:rsid w:val="001F52B1"/>
    <w:rsid w:val="002031D1"/>
    <w:rsid w:val="002111BA"/>
    <w:rsid w:val="00211E4A"/>
    <w:rsid w:val="002365C4"/>
    <w:rsid w:val="00240FE0"/>
    <w:rsid w:val="002419D9"/>
    <w:rsid w:val="002438E9"/>
    <w:rsid w:val="002503B8"/>
    <w:rsid w:val="002504A7"/>
    <w:rsid w:val="00257ABE"/>
    <w:rsid w:val="0026149B"/>
    <w:rsid w:val="00265FF4"/>
    <w:rsid w:val="00267823"/>
    <w:rsid w:val="00272057"/>
    <w:rsid w:val="00273E33"/>
    <w:rsid w:val="002830B7"/>
    <w:rsid w:val="00291EF3"/>
    <w:rsid w:val="00292CA4"/>
    <w:rsid w:val="002943DD"/>
    <w:rsid w:val="0029478D"/>
    <w:rsid w:val="002C1127"/>
    <w:rsid w:val="002C2548"/>
    <w:rsid w:val="002D4F05"/>
    <w:rsid w:val="002E402E"/>
    <w:rsid w:val="002E6597"/>
    <w:rsid w:val="002F5300"/>
    <w:rsid w:val="002F60DC"/>
    <w:rsid w:val="00304273"/>
    <w:rsid w:val="003062BF"/>
    <w:rsid w:val="00306975"/>
    <w:rsid w:val="00312E6F"/>
    <w:rsid w:val="00316B21"/>
    <w:rsid w:val="00325207"/>
    <w:rsid w:val="00330D36"/>
    <w:rsid w:val="0034614A"/>
    <w:rsid w:val="003530D5"/>
    <w:rsid w:val="00356E5A"/>
    <w:rsid w:val="00365FAE"/>
    <w:rsid w:val="003753C3"/>
    <w:rsid w:val="003940DB"/>
    <w:rsid w:val="003A475E"/>
    <w:rsid w:val="003A4A45"/>
    <w:rsid w:val="003C6F02"/>
    <w:rsid w:val="003D0748"/>
    <w:rsid w:val="003D3DDA"/>
    <w:rsid w:val="003E1BD2"/>
    <w:rsid w:val="003E1CB3"/>
    <w:rsid w:val="003E3DCF"/>
    <w:rsid w:val="003F2C6D"/>
    <w:rsid w:val="003F3AEC"/>
    <w:rsid w:val="00407000"/>
    <w:rsid w:val="0041262D"/>
    <w:rsid w:val="00413C23"/>
    <w:rsid w:val="0041487B"/>
    <w:rsid w:val="00416F48"/>
    <w:rsid w:val="00431E79"/>
    <w:rsid w:val="00435513"/>
    <w:rsid w:val="004479A6"/>
    <w:rsid w:val="00471AC4"/>
    <w:rsid w:val="00475BC0"/>
    <w:rsid w:val="004837CC"/>
    <w:rsid w:val="00493236"/>
    <w:rsid w:val="004A3848"/>
    <w:rsid w:val="004A5EDD"/>
    <w:rsid w:val="004B5407"/>
    <w:rsid w:val="004B6842"/>
    <w:rsid w:val="004D2479"/>
    <w:rsid w:val="004D2FF4"/>
    <w:rsid w:val="004D5EBC"/>
    <w:rsid w:val="004E2538"/>
    <w:rsid w:val="004E3B05"/>
    <w:rsid w:val="004E5B9C"/>
    <w:rsid w:val="00505E1F"/>
    <w:rsid w:val="00520307"/>
    <w:rsid w:val="00526D57"/>
    <w:rsid w:val="00530969"/>
    <w:rsid w:val="00530F31"/>
    <w:rsid w:val="005341F4"/>
    <w:rsid w:val="005475DC"/>
    <w:rsid w:val="00547C4E"/>
    <w:rsid w:val="005562DE"/>
    <w:rsid w:val="0057027D"/>
    <w:rsid w:val="00576EC6"/>
    <w:rsid w:val="00580C69"/>
    <w:rsid w:val="005A53E3"/>
    <w:rsid w:val="005B1044"/>
    <w:rsid w:val="005B609D"/>
    <w:rsid w:val="005C4258"/>
    <w:rsid w:val="005D1C15"/>
    <w:rsid w:val="005E2762"/>
    <w:rsid w:val="005F2656"/>
    <w:rsid w:val="006015F5"/>
    <w:rsid w:val="00607523"/>
    <w:rsid w:val="0062600B"/>
    <w:rsid w:val="00643730"/>
    <w:rsid w:val="00660B27"/>
    <w:rsid w:val="00664F57"/>
    <w:rsid w:val="00670A0E"/>
    <w:rsid w:val="0067249C"/>
    <w:rsid w:val="00677626"/>
    <w:rsid w:val="006909C6"/>
    <w:rsid w:val="006B5CA9"/>
    <w:rsid w:val="006D1BCB"/>
    <w:rsid w:val="006E647B"/>
    <w:rsid w:val="006E7784"/>
    <w:rsid w:val="006F0B35"/>
    <w:rsid w:val="00700CE3"/>
    <w:rsid w:val="00701F60"/>
    <w:rsid w:val="00706D35"/>
    <w:rsid w:val="00771E64"/>
    <w:rsid w:val="00773A25"/>
    <w:rsid w:val="00774447"/>
    <w:rsid w:val="00780156"/>
    <w:rsid w:val="007A5809"/>
    <w:rsid w:val="007A75FE"/>
    <w:rsid w:val="007B76E9"/>
    <w:rsid w:val="007C1F26"/>
    <w:rsid w:val="007D57EF"/>
    <w:rsid w:val="007E1FF6"/>
    <w:rsid w:val="007E7B7E"/>
    <w:rsid w:val="0081093E"/>
    <w:rsid w:val="0081705B"/>
    <w:rsid w:val="008321E6"/>
    <w:rsid w:val="0084123A"/>
    <w:rsid w:val="00846EA7"/>
    <w:rsid w:val="00854A6F"/>
    <w:rsid w:val="00861D75"/>
    <w:rsid w:val="00866D2B"/>
    <w:rsid w:val="008705B0"/>
    <w:rsid w:val="00873C86"/>
    <w:rsid w:val="0087576C"/>
    <w:rsid w:val="00882BFB"/>
    <w:rsid w:val="008A6E66"/>
    <w:rsid w:val="008B65F6"/>
    <w:rsid w:val="00911722"/>
    <w:rsid w:val="00922325"/>
    <w:rsid w:val="00924A22"/>
    <w:rsid w:val="00932A58"/>
    <w:rsid w:val="0093776A"/>
    <w:rsid w:val="00943815"/>
    <w:rsid w:val="009462B4"/>
    <w:rsid w:val="00953BFC"/>
    <w:rsid w:val="009561F6"/>
    <w:rsid w:val="00960280"/>
    <w:rsid w:val="009732AC"/>
    <w:rsid w:val="0097582E"/>
    <w:rsid w:val="009767A1"/>
    <w:rsid w:val="00981368"/>
    <w:rsid w:val="00986F04"/>
    <w:rsid w:val="009905A1"/>
    <w:rsid w:val="009A5259"/>
    <w:rsid w:val="009A63AF"/>
    <w:rsid w:val="009A6823"/>
    <w:rsid w:val="009A71BE"/>
    <w:rsid w:val="009B7854"/>
    <w:rsid w:val="009C73C4"/>
    <w:rsid w:val="009D2377"/>
    <w:rsid w:val="009E4D57"/>
    <w:rsid w:val="009F2E45"/>
    <w:rsid w:val="009F692D"/>
    <w:rsid w:val="00A10EDC"/>
    <w:rsid w:val="00A2172F"/>
    <w:rsid w:val="00A23C36"/>
    <w:rsid w:val="00A3524C"/>
    <w:rsid w:val="00A50890"/>
    <w:rsid w:val="00A5221C"/>
    <w:rsid w:val="00A529E0"/>
    <w:rsid w:val="00A63901"/>
    <w:rsid w:val="00A64328"/>
    <w:rsid w:val="00A71AB7"/>
    <w:rsid w:val="00A941B0"/>
    <w:rsid w:val="00AA1538"/>
    <w:rsid w:val="00AA1F6E"/>
    <w:rsid w:val="00AA333F"/>
    <w:rsid w:val="00AA592A"/>
    <w:rsid w:val="00AA7407"/>
    <w:rsid w:val="00AA76BD"/>
    <w:rsid w:val="00AB6AB8"/>
    <w:rsid w:val="00AC0C1D"/>
    <w:rsid w:val="00AD4CFC"/>
    <w:rsid w:val="00AD5EFC"/>
    <w:rsid w:val="00AE0E4F"/>
    <w:rsid w:val="00AE3FE0"/>
    <w:rsid w:val="00AE4202"/>
    <w:rsid w:val="00B1269B"/>
    <w:rsid w:val="00B2142C"/>
    <w:rsid w:val="00B243EC"/>
    <w:rsid w:val="00B31A63"/>
    <w:rsid w:val="00B3767F"/>
    <w:rsid w:val="00B377D2"/>
    <w:rsid w:val="00B41E11"/>
    <w:rsid w:val="00B42277"/>
    <w:rsid w:val="00B534AA"/>
    <w:rsid w:val="00B577EA"/>
    <w:rsid w:val="00B57DDB"/>
    <w:rsid w:val="00B64AA7"/>
    <w:rsid w:val="00B73F7C"/>
    <w:rsid w:val="00B964A6"/>
    <w:rsid w:val="00BB743F"/>
    <w:rsid w:val="00BB7B3A"/>
    <w:rsid w:val="00BC744B"/>
    <w:rsid w:val="00BD7E85"/>
    <w:rsid w:val="00BF6C2F"/>
    <w:rsid w:val="00C01D1F"/>
    <w:rsid w:val="00C03A4F"/>
    <w:rsid w:val="00C05838"/>
    <w:rsid w:val="00C108B8"/>
    <w:rsid w:val="00C2778A"/>
    <w:rsid w:val="00C33063"/>
    <w:rsid w:val="00C467AC"/>
    <w:rsid w:val="00C47DAF"/>
    <w:rsid w:val="00C745BF"/>
    <w:rsid w:val="00C757C5"/>
    <w:rsid w:val="00C7794F"/>
    <w:rsid w:val="00C81C87"/>
    <w:rsid w:val="00C94CD4"/>
    <w:rsid w:val="00CA1874"/>
    <w:rsid w:val="00CB580B"/>
    <w:rsid w:val="00CC6D90"/>
    <w:rsid w:val="00CC6EEF"/>
    <w:rsid w:val="00CD4466"/>
    <w:rsid w:val="00CE218F"/>
    <w:rsid w:val="00CE7393"/>
    <w:rsid w:val="00CF089C"/>
    <w:rsid w:val="00CF57AD"/>
    <w:rsid w:val="00CF71C6"/>
    <w:rsid w:val="00D17D85"/>
    <w:rsid w:val="00D31162"/>
    <w:rsid w:val="00D32F86"/>
    <w:rsid w:val="00D4268D"/>
    <w:rsid w:val="00D46F4B"/>
    <w:rsid w:val="00D54E1A"/>
    <w:rsid w:val="00D76B47"/>
    <w:rsid w:val="00D90797"/>
    <w:rsid w:val="00DA56EB"/>
    <w:rsid w:val="00DA6FF1"/>
    <w:rsid w:val="00DC4489"/>
    <w:rsid w:val="00DD1DEC"/>
    <w:rsid w:val="00DD4807"/>
    <w:rsid w:val="00DE3280"/>
    <w:rsid w:val="00DF0C4B"/>
    <w:rsid w:val="00E03F52"/>
    <w:rsid w:val="00E0414A"/>
    <w:rsid w:val="00E13A32"/>
    <w:rsid w:val="00E234F7"/>
    <w:rsid w:val="00E32A86"/>
    <w:rsid w:val="00E476B5"/>
    <w:rsid w:val="00E54C00"/>
    <w:rsid w:val="00E66C92"/>
    <w:rsid w:val="00E71E5B"/>
    <w:rsid w:val="00E73DCA"/>
    <w:rsid w:val="00E753AA"/>
    <w:rsid w:val="00E76214"/>
    <w:rsid w:val="00E93E1F"/>
    <w:rsid w:val="00EB0C7B"/>
    <w:rsid w:val="00EC5FAE"/>
    <w:rsid w:val="00ED092B"/>
    <w:rsid w:val="00ED55E1"/>
    <w:rsid w:val="00ED7BB2"/>
    <w:rsid w:val="00ED7D1A"/>
    <w:rsid w:val="00EF285E"/>
    <w:rsid w:val="00EF2D89"/>
    <w:rsid w:val="00EF7B76"/>
    <w:rsid w:val="00F1598B"/>
    <w:rsid w:val="00F238C4"/>
    <w:rsid w:val="00F300C9"/>
    <w:rsid w:val="00F35EA9"/>
    <w:rsid w:val="00F458F9"/>
    <w:rsid w:val="00F53003"/>
    <w:rsid w:val="00F726CA"/>
    <w:rsid w:val="00F82F64"/>
    <w:rsid w:val="00F83C4B"/>
    <w:rsid w:val="00F85E86"/>
    <w:rsid w:val="00F914B8"/>
    <w:rsid w:val="00FB438F"/>
    <w:rsid w:val="00FB5EEA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styleId="Zarkazkladnhotextu">
    <w:name w:val="Body Text Indent"/>
    <w:basedOn w:val="Normlny"/>
    <w:link w:val="ZarkazkladnhotextuChar"/>
    <w:rsid w:val="00C330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33063"/>
    <w:rPr>
      <w:sz w:val="24"/>
    </w:rPr>
  </w:style>
  <w:style w:type="paragraph" w:styleId="Zarkazkladnhotextu3">
    <w:name w:val="Body Text Indent 3"/>
    <w:basedOn w:val="Normlny"/>
    <w:link w:val="Zarkazkladnhotextu3Char"/>
    <w:rsid w:val="00C3306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C33063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C3306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C33063"/>
    <w:rPr>
      <w:sz w:val="24"/>
    </w:rPr>
  </w:style>
  <w:style w:type="paragraph" w:styleId="Textbubliny">
    <w:name w:val="Balloon Text"/>
    <w:basedOn w:val="Normlny"/>
    <w:link w:val="TextbublinyChar"/>
    <w:rsid w:val="005D1C1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D1C15"/>
    <w:rPr>
      <w:rFonts w:ascii="Tahoma" w:hAnsi="Tahoma" w:cs="Tahoma"/>
      <w:sz w:val="16"/>
      <w:szCs w:val="16"/>
      <w:lang w:val="sl-SI" w:eastAsia="sl-SI"/>
    </w:rPr>
  </w:style>
  <w:style w:type="character" w:customStyle="1" w:styleId="PtaChar">
    <w:name w:val="Päta Char"/>
    <w:link w:val="Pta"/>
    <w:uiPriority w:val="99"/>
    <w:rsid w:val="00E03F52"/>
    <w:rPr>
      <w:sz w:val="24"/>
      <w:lang w:val="sl-SI" w:eastAsia="sl-SI"/>
    </w:rPr>
  </w:style>
  <w:style w:type="character" w:styleId="Odkaznakomentr">
    <w:name w:val="annotation reference"/>
    <w:rsid w:val="001E77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E7747"/>
    <w:rPr>
      <w:sz w:val="20"/>
    </w:rPr>
  </w:style>
  <w:style w:type="character" w:customStyle="1" w:styleId="TextkomentraChar">
    <w:name w:val="Text komentára Char"/>
    <w:link w:val="Textkomentra"/>
    <w:rsid w:val="001E7747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rsid w:val="001E7747"/>
    <w:rPr>
      <w:b/>
      <w:bCs/>
    </w:rPr>
  </w:style>
  <w:style w:type="character" w:customStyle="1" w:styleId="PredmetkomentraChar">
    <w:name w:val="Predmet komentára Char"/>
    <w:link w:val="Predmetkomentra"/>
    <w:rsid w:val="001E7747"/>
    <w:rPr>
      <w:b/>
      <w:bCs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A190-C5DB-468A-A5EB-F80D4FEB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11334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Košuthová, Katarína</cp:lastModifiedBy>
  <cp:revision>51</cp:revision>
  <dcterms:created xsi:type="dcterms:W3CDTF">2016-08-18T08:55:00Z</dcterms:created>
  <dcterms:modified xsi:type="dcterms:W3CDTF">2016-10-27T06:02:00Z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Pankreatin Krka</vt:lpwstr>
  </property>
  <property fmtid="{D5CDD505-2E9C-101B-9397-08002B2CF9AE}" pid="4" name="ph_pharm_form">
    <vt:lpwstr>capsules, hard</vt:lpwstr>
  </property>
  <property fmtid="{D5CDD505-2E9C-101B-9397-08002B2CF9AE}" pid="5" name="ph_unit_measure">
    <vt:lpwstr>-</vt:lpwstr>
  </property>
  <property fmtid="{D5CDD505-2E9C-101B-9397-08002B2CF9AE}" pid="6" name="mp_first_effective_date">
    <vt:lpwstr>04.11.2014</vt:lpwstr>
  </property>
  <property fmtid="{D5CDD505-2E9C-101B-9397-08002B2CF9AE}" pid="7" name="mp_updated_effective_date">
    <vt:lpwstr>24.11.2014</vt:lpwstr>
  </property>
  <property fmtid="{D5CDD505-2E9C-101B-9397-08002B2CF9AE}" pid="8" name="object_name">
    <vt:lpwstr>SmPCPIL057288_2</vt:lpwstr>
  </property>
  <property fmtid="{D5CDD505-2E9C-101B-9397-08002B2CF9AE}" pid="9" name="ph_strength_custom">
    <vt:lpwstr>-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SK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