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48" w:rsidRDefault="004D7E48" w:rsidP="00C0007A">
      <w:pPr>
        <w:spacing w:after="120" w:line="240" w:lineRule="auto"/>
        <w:rPr>
          <w:rFonts w:cs="Times New Roman"/>
          <w:b/>
          <w:lang w:val="sk-SK"/>
        </w:rPr>
      </w:pPr>
    </w:p>
    <w:p w:rsidR="004D7E48" w:rsidRPr="0087169E" w:rsidRDefault="004D7E48" w:rsidP="004D7E48">
      <w:pPr>
        <w:widowControl w:val="0"/>
        <w:spacing w:line="240" w:lineRule="auto"/>
        <w:jc w:val="center"/>
        <w:rPr>
          <w:bCs/>
          <w:iCs/>
          <w:noProof/>
          <w:color w:val="000000"/>
          <w:lang w:val="sk-SK"/>
        </w:rPr>
      </w:pPr>
      <w:r w:rsidRPr="0008150B">
        <w:rPr>
          <w:b/>
          <w:bCs/>
          <w:color w:val="000000"/>
          <w:lang w:val="sk-SK" w:eastAsia="sk-SK"/>
        </w:rPr>
        <w:t>SÚHRN CHARAKTERISTICKÝCH VLASTNOSTÍ LIEKU</w:t>
      </w:r>
    </w:p>
    <w:p w:rsidR="004D7E48" w:rsidRDefault="004D7E48" w:rsidP="00C0007A">
      <w:pPr>
        <w:spacing w:after="120" w:line="240" w:lineRule="auto"/>
        <w:rPr>
          <w:rFonts w:cs="Times New Roman"/>
          <w:b/>
          <w:lang w:val="sk-SK"/>
        </w:rPr>
      </w:pPr>
    </w:p>
    <w:p w:rsidR="00C0007A" w:rsidRPr="004D7E48" w:rsidRDefault="0072568D" w:rsidP="00C0007A">
      <w:pPr>
        <w:spacing w:after="120" w:line="240" w:lineRule="auto"/>
        <w:rPr>
          <w:rFonts w:cs="Times New Roman"/>
          <w:b/>
          <w:lang w:val="sk-SK"/>
        </w:rPr>
      </w:pPr>
      <w:r w:rsidRPr="00E00751">
        <w:rPr>
          <w:rFonts w:cs="Times New Roman"/>
          <w:b/>
          <w:lang w:val="sk-SK"/>
        </w:rPr>
        <w:t>1</w:t>
      </w:r>
      <w:r w:rsidRPr="004D7E48">
        <w:rPr>
          <w:rFonts w:cs="Times New Roman"/>
          <w:b/>
          <w:lang w:val="sk-SK"/>
        </w:rPr>
        <w:t>.</w:t>
      </w:r>
      <w:r w:rsidRPr="004D7E48">
        <w:rPr>
          <w:rFonts w:cs="Times New Roman"/>
          <w:b/>
          <w:lang w:val="sk-SK"/>
        </w:rPr>
        <w:tab/>
        <w:t>NÁZOV LIEKU</w:t>
      </w:r>
    </w:p>
    <w:p w:rsidR="00C0007A" w:rsidRPr="004D7E48" w:rsidRDefault="00C0007A" w:rsidP="00C0007A">
      <w:pPr>
        <w:spacing w:after="120" w:line="240" w:lineRule="auto"/>
        <w:rPr>
          <w:rFonts w:cs="Times New Roman"/>
          <w:b/>
          <w:lang w:val="sk-SK"/>
        </w:rPr>
      </w:pPr>
    </w:p>
    <w:p w:rsidR="000D09BF" w:rsidRDefault="00C0007A" w:rsidP="00C0007A">
      <w:pPr>
        <w:spacing w:after="0" w:line="240" w:lineRule="auto"/>
        <w:rPr>
          <w:rFonts w:eastAsia="Times New Roman" w:cs="Times New Roman"/>
          <w:lang w:val="sk-SK" w:eastAsia="de-AT"/>
        </w:rPr>
      </w:pPr>
      <w:r w:rsidRPr="004D7E48">
        <w:rPr>
          <w:rFonts w:eastAsia="Times New Roman" w:cs="Times New Roman"/>
          <w:lang w:val="sk-SK" w:eastAsia="de-AT"/>
        </w:rPr>
        <w:t>FLUDEOXYGLUKÓZA (</w:t>
      </w:r>
      <w:r w:rsidRPr="004D7E48">
        <w:rPr>
          <w:rFonts w:eastAsia="Times New Roman" w:cs="Times New Roman"/>
          <w:vertAlign w:val="superscript"/>
          <w:lang w:val="sk-SK" w:eastAsia="de-AT"/>
        </w:rPr>
        <w:t>18</w:t>
      </w:r>
      <w:r w:rsidRPr="004D7E48">
        <w:rPr>
          <w:rFonts w:eastAsia="Times New Roman" w:cs="Times New Roman"/>
          <w:lang w:val="sk-SK" w:eastAsia="de-AT"/>
        </w:rPr>
        <w:t xml:space="preserve">F) SYNEKTIK </w:t>
      </w:r>
      <w:r w:rsidRPr="004D7E48">
        <w:rPr>
          <w:rFonts w:eastAsia="Times New Roman" w:cs="Times New Roman"/>
          <w:color w:val="000000"/>
          <w:lang w:val="sk-SK" w:eastAsia="de-AT"/>
        </w:rPr>
        <w:t>1</w:t>
      </w:r>
      <w:r w:rsidR="001335A3" w:rsidRPr="004D7E48">
        <w:rPr>
          <w:rFonts w:eastAsia="Times New Roman" w:cs="Times New Roman"/>
          <w:color w:val="000000"/>
          <w:lang w:val="sk-SK" w:eastAsia="de-AT"/>
        </w:rPr>
        <w:t>,</w:t>
      </w:r>
      <w:r w:rsidRPr="004D7E48">
        <w:rPr>
          <w:rFonts w:eastAsia="Times New Roman" w:cs="Times New Roman"/>
          <w:color w:val="000000"/>
          <w:lang w:val="sk-SK" w:eastAsia="de-AT"/>
        </w:rPr>
        <w:t xml:space="preserve">0 </w:t>
      </w:r>
      <w:proofErr w:type="spellStart"/>
      <w:r w:rsidRPr="004D7E48">
        <w:rPr>
          <w:rFonts w:eastAsia="Times New Roman" w:cs="Times New Roman"/>
          <w:color w:val="000000"/>
          <w:lang w:val="sk-SK" w:eastAsia="de-AT"/>
        </w:rPr>
        <w:t>GBq</w:t>
      </w:r>
      <w:proofErr w:type="spellEnd"/>
      <w:r w:rsidRPr="004D7E48">
        <w:rPr>
          <w:rFonts w:eastAsia="Times New Roman" w:cs="Times New Roman"/>
          <w:color w:val="000000"/>
          <w:lang w:val="sk-SK" w:eastAsia="de-AT"/>
        </w:rPr>
        <w:t>/m</w:t>
      </w:r>
      <w:r w:rsidR="000D09BF">
        <w:rPr>
          <w:rFonts w:eastAsia="Times New Roman" w:cs="Times New Roman"/>
          <w:color w:val="000000"/>
          <w:lang w:val="sk-SK" w:eastAsia="de-AT"/>
        </w:rPr>
        <w:t>l</w:t>
      </w:r>
      <w:r w:rsidRPr="004D7E48">
        <w:rPr>
          <w:rFonts w:eastAsia="Times New Roman" w:cs="Times New Roman"/>
          <w:lang w:val="sk-SK" w:eastAsia="de-AT"/>
        </w:rPr>
        <w:t xml:space="preserve"> </w:t>
      </w:r>
    </w:p>
    <w:p w:rsidR="00C0007A" w:rsidRPr="004D7E48" w:rsidRDefault="00C0007A" w:rsidP="00C0007A">
      <w:pPr>
        <w:spacing w:after="0" w:line="240" w:lineRule="auto"/>
        <w:rPr>
          <w:rFonts w:eastAsia="Times New Roman" w:cs="Times New Roman"/>
          <w:lang w:val="sk-SK" w:eastAsia="de-AT"/>
        </w:rPr>
      </w:pPr>
      <w:r w:rsidRPr="004D7E48">
        <w:rPr>
          <w:rFonts w:eastAsia="Times New Roman" w:cs="Times New Roman"/>
          <w:lang w:val="sk-SK" w:eastAsia="de-AT"/>
        </w:rPr>
        <w:t>injekčný roztok</w:t>
      </w:r>
    </w:p>
    <w:p w:rsidR="0072568D" w:rsidRPr="004D7E48" w:rsidRDefault="0072568D" w:rsidP="00C0007A">
      <w:pPr>
        <w:spacing w:after="120" w:line="240" w:lineRule="auto"/>
        <w:rPr>
          <w:rFonts w:cs="Times New Roman"/>
          <w:lang w:val="sk-SK"/>
        </w:rPr>
      </w:pPr>
    </w:p>
    <w:p w:rsidR="0072568D" w:rsidRPr="004D7E48" w:rsidRDefault="0072568D" w:rsidP="003E3767">
      <w:pPr>
        <w:spacing w:after="120"/>
        <w:jc w:val="both"/>
        <w:rPr>
          <w:rFonts w:cs="Times New Roman"/>
          <w:lang w:val="sk-SK"/>
        </w:rPr>
      </w:pPr>
      <w:r w:rsidRPr="004D7E48">
        <w:rPr>
          <w:rFonts w:cs="Times New Roman"/>
          <w:b/>
          <w:lang w:val="sk-SK"/>
        </w:rPr>
        <w:t>2.</w:t>
      </w:r>
      <w:r w:rsidRPr="004D7E48">
        <w:rPr>
          <w:rFonts w:cs="Times New Roman"/>
          <w:b/>
          <w:lang w:val="sk-SK"/>
        </w:rPr>
        <w:tab/>
        <w:t>KVALITATÍVNE A KVANTITATÍVNE ZLOŽENIE</w:t>
      </w:r>
      <w:r w:rsidRPr="004D7E48">
        <w:rPr>
          <w:rFonts w:cs="Times New Roman"/>
          <w:lang w:val="sk-SK"/>
        </w:rPr>
        <w:t xml:space="preserve"> </w:t>
      </w:r>
    </w:p>
    <w:p w:rsidR="00984FE7" w:rsidRPr="004D7E48" w:rsidRDefault="001F4229" w:rsidP="003E3767">
      <w:pPr>
        <w:spacing w:after="120"/>
        <w:rPr>
          <w:lang w:val="sk-SK"/>
        </w:rPr>
      </w:pPr>
      <w:r w:rsidRPr="004D7E48">
        <w:rPr>
          <w:lang w:val="sk-SK"/>
        </w:rPr>
        <w:t xml:space="preserve">1 </w:t>
      </w:r>
      <w:r w:rsidR="00AF226C" w:rsidRPr="004D7E48">
        <w:rPr>
          <w:lang w:val="sk-SK"/>
        </w:rPr>
        <w:t>m</w:t>
      </w:r>
      <w:r w:rsidR="000D09BF">
        <w:rPr>
          <w:lang w:val="sk-SK"/>
        </w:rPr>
        <w:t>l</w:t>
      </w:r>
      <w:r w:rsidR="00213A9E" w:rsidRPr="004D7E48">
        <w:rPr>
          <w:lang w:val="sk-SK"/>
        </w:rPr>
        <w:t xml:space="preserve"> injekčného roztoku obsahuje</w:t>
      </w:r>
      <w:r w:rsidR="00984FE7" w:rsidRPr="004D7E48">
        <w:rPr>
          <w:lang w:val="sk-SK"/>
        </w:rPr>
        <w:t xml:space="preserve"> 1</w:t>
      </w:r>
      <w:r w:rsidR="00C60714" w:rsidRPr="004D7E48">
        <w:rPr>
          <w:lang w:val="sk-SK"/>
        </w:rPr>
        <w:t>,</w:t>
      </w:r>
      <w:r w:rsidR="00766B55" w:rsidRPr="004D7E48">
        <w:rPr>
          <w:lang w:val="sk-SK"/>
        </w:rPr>
        <w:t>0</w:t>
      </w:r>
      <w:r w:rsidR="00984FE7" w:rsidRPr="004D7E48">
        <w:rPr>
          <w:lang w:val="sk-SK"/>
        </w:rPr>
        <w:t xml:space="preserve"> </w:t>
      </w:r>
      <w:proofErr w:type="spellStart"/>
      <w:r w:rsidR="00984FE7" w:rsidRPr="004D7E48">
        <w:rPr>
          <w:lang w:val="sk-SK"/>
        </w:rPr>
        <w:t>GBq</w:t>
      </w:r>
      <w:proofErr w:type="spellEnd"/>
      <w:r w:rsidR="00984FE7" w:rsidRPr="004D7E48">
        <w:rPr>
          <w:lang w:val="sk-SK"/>
        </w:rPr>
        <w:t xml:space="preserve"> </w:t>
      </w:r>
      <w:proofErr w:type="spellStart"/>
      <w:r w:rsidR="00213A9E" w:rsidRPr="004D7E48">
        <w:rPr>
          <w:lang w:val="sk-SK"/>
        </w:rPr>
        <w:t>fludeoxyglukózy</w:t>
      </w:r>
      <w:proofErr w:type="spellEnd"/>
      <w:r w:rsidR="00984FE7" w:rsidRPr="004D7E48">
        <w:rPr>
          <w:lang w:val="sk-SK"/>
        </w:rPr>
        <w:t xml:space="preserve"> (</w:t>
      </w:r>
      <w:r w:rsidR="00984FE7" w:rsidRPr="004D7E48">
        <w:rPr>
          <w:vertAlign w:val="superscript"/>
          <w:lang w:val="sk-SK"/>
        </w:rPr>
        <w:t>18</w:t>
      </w:r>
      <w:r w:rsidR="00984FE7" w:rsidRPr="004D7E48">
        <w:rPr>
          <w:lang w:val="sk-SK"/>
        </w:rPr>
        <w:t xml:space="preserve">F) </w:t>
      </w:r>
      <w:r w:rsidR="0089743D" w:rsidRPr="00EC6E19">
        <w:rPr>
          <w:lang w:val="sk-SK"/>
        </w:rPr>
        <w:t>v dátume a čase kalibrácie</w:t>
      </w:r>
      <w:r w:rsidR="00984FE7" w:rsidRPr="00EC6E19">
        <w:rPr>
          <w:lang w:val="sk-SK"/>
        </w:rPr>
        <w:t>.</w:t>
      </w:r>
      <w:r w:rsidR="00984FE7" w:rsidRPr="004D7E48">
        <w:rPr>
          <w:lang w:val="sk-SK"/>
        </w:rPr>
        <w:t xml:space="preserve"> </w:t>
      </w:r>
    </w:p>
    <w:p w:rsidR="00B07097" w:rsidRPr="004D7E48" w:rsidRDefault="00213A9E" w:rsidP="003E3767">
      <w:pPr>
        <w:spacing w:after="120"/>
        <w:rPr>
          <w:lang w:val="sk-SK"/>
        </w:rPr>
      </w:pPr>
      <w:r w:rsidRPr="004D7E48">
        <w:rPr>
          <w:lang w:val="sk-SK"/>
        </w:rPr>
        <w:t xml:space="preserve">Aktivita injekčnej liekovky sa pohybuje od </w:t>
      </w:r>
      <w:r w:rsidR="00C60714" w:rsidRPr="004D7E48">
        <w:rPr>
          <w:lang w:val="sk-SK"/>
        </w:rPr>
        <w:t>0,</w:t>
      </w:r>
      <w:r w:rsidR="001F4229" w:rsidRPr="004D7E48">
        <w:rPr>
          <w:lang w:val="sk-SK"/>
        </w:rPr>
        <w:t xml:space="preserve">2 GBq </w:t>
      </w:r>
      <w:r w:rsidRPr="004D7E48">
        <w:rPr>
          <w:lang w:val="sk-SK"/>
        </w:rPr>
        <w:t>do</w:t>
      </w:r>
      <w:r w:rsidR="001F4229" w:rsidRPr="004D7E48">
        <w:rPr>
          <w:lang w:val="sk-SK"/>
        </w:rPr>
        <w:t xml:space="preserve"> 2</w:t>
      </w:r>
      <w:r w:rsidR="0094667C" w:rsidRPr="004D7E48">
        <w:rPr>
          <w:lang w:val="sk-SK"/>
        </w:rPr>
        <w:t>0</w:t>
      </w:r>
      <w:r w:rsidR="00C60714" w:rsidRPr="004D7E48">
        <w:rPr>
          <w:lang w:val="sk-SK"/>
        </w:rPr>
        <w:t>,</w:t>
      </w:r>
      <w:r w:rsidR="001F4229" w:rsidRPr="004D7E48">
        <w:rPr>
          <w:lang w:val="sk-SK"/>
        </w:rPr>
        <w:t xml:space="preserve">0 GBq </w:t>
      </w:r>
      <w:r w:rsidRPr="004D7E48">
        <w:rPr>
          <w:lang w:val="sk-SK"/>
        </w:rPr>
        <w:t>v dátume a čase kalibrácie.</w:t>
      </w:r>
    </w:p>
    <w:p w:rsidR="00213A9E" w:rsidRPr="004D7E48" w:rsidRDefault="00213A9E" w:rsidP="003E3767">
      <w:pPr>
        <w:spacing w:after="120"/>
        <w:rPr>
          <w:lang w:val="sk-SK"/>
        </w:rPr>
      </w:pPr>
      <w:r w:rsidRPr="004D7E48">
        <w:rPr>
          <w:lang w:val="sk-SK"/>
        </w:rPr>
        <w:t>Rádionuklid fluór (</w:t>
      </w:r>
      <w:r w:rsidRPr="004D7E48">
        <w:rPr>
          <w:vertAlign w:val="superscript"/>
          <w:lang w:val="sk-SK"/>
        </w:rPr>
        <w:t>18</w:t>
      </w:r>
      <w:r w:rsidRPr="004D7E48">
        <w:rPr>
          <w:lang w:val="sk-SK"/>
        </w:rPr>
        <w:t>F) sa rozpadá na stabilný kyslík (</w:t>
      </w:r>
      <w:r w:rsidRPr="004D7E48">
        <w:rPr>
          <w:vertAlign w:val="superscript"/>
          <w:lang w:val="sk-SK"/>
        </w:rPr>
        <w:t>18</w:t>
      </w:r>
      <w:r w:rsidRPr="004D7E48">
        <w:rPr>
          <w:lang w:val="sk-SK"/>
        </w:rPr>
        <w:t>O) s</w:t>
      </w:r>
      <w:r w:rsidR="000D09BF">
        <w:rPr>
          <w:lang w:val="sk-SK"/>
        </w:rPr>
        <w:t> polčasom rozpadu</w:t>
      </w:r>
      <w:r w:rsidRPr="004D7E48">
        <w:rPr>
          <w:lang w:val="sk-SK"/>
        </w:rPr>
        <w:t xml:space="preserve"> 110 minút emitovaním pozitrónov s maximálnou energiou 634 keV s následnou fotónovou anihiláciou s energiou 511 keV. </w:t>
      </w:r>
    </w:p>
    <w:p w:rsidR="00213A9E" w:rsidRPr="004D7E48" w:rsidRDefault="00213A9E" w:rsidP="003E3767">
      <w:pPr>
        <w:spacing w:after="120"/>
        <w:rPr>
          <w:lang w:val="sk-SK"/>
        </w:rPr>
      </w:pPr>
    </w:p>
    <w:p w:rsidR="00213A9E" w:rsidRPr="004D7E48" w:rsidRDefault="00213A9E" w:rsidP="003E3767">
      <w:pPr>
        <w:spacing w:after="120"/>
        <w:rPr>
          <w:lang w:val="sk-SK"/>
        </w:rPr>
      </w:pPr>
      <w:r w:rsidRPr="004D7E48">
        <w:rPr>
          <w:lang w:val="sk-SK"/>
        </w:rPr>
        <w:t>Pomocné látky so známym účinkom:</w:t>
      </w:r>
    </w:p>
    <w:p w:rsidR="00B07097" w:rsidRPr="004D7E48" w:rsidRDefault="00D522E8" w:rsidP="003E3767">
      <w:pPr>
        <w:spacing w:after="120"/>
        <w:rPr>
          <w:lang w:val="sk-SK"/>
        </w:rPr>
      </w:pPr>
      <w:r w:rsidRPr="004D7E48">
        <w:rPr>
          <w:lang w:val="sk-SK"/>
        </w:rPr>
        <w:t>Jeden</w:t>
      </w:r>
      <w:r w:rsidR="001B052A" w:rsidRPr="004D7E48">
        <w:rPr>
          <w:lang w:val="sk-SK"/>
        </w:rPr>
        <w:t xml:space="preserve"> </w:t>
      </w:r>
      <w:r w:rsidR="00AF226C" w:rsidRPr="004D7E48">
        <w:rPr>
          <w:lang w:val="sk-SK"/>
        </w:rPr>
        <w:t>m</w:t>
      </w:r>
      <w:r w:rsidR="000D09BF">
        <w:rPr>
          <w:lang w:val="sk-SK"/>
        </w:rPr>
        <w:t>l</w:t>
      </w:r>
      <w:r w:rsidR="001F4229" w:rsidRPr="004D7E48">
        <w:rPr>
          <w:lang w:val="sk-SK"/>
        </w:rPr>
        <w:t xml:space="preserve"> </w:t>
      </w:r>
      <w:r w:rsidR="000D09BF">
        <w:rPr>
          <w:lang w:val="sk-SK"/>
        </w:rPr>
        <w:t xml:space="preserve">lieku </w:t>
      </w:r>
      <w:r w:rsidR="00C0007A" w:rsidRPr="004D7E48">
        <w:rPr>
          <w:lang w:val="sk-SK"/>
        </w:rPr>
        <w:t>FLUDEOXYGLUKÓZA (</w:t>
      </w:r>
      <w:r w:rsidR="00C0007A" w:rsidRPr="004D7E48">
        <w:rPr>
          <w:vertAlign w:val="superscript"/>
          <w:lang w:val="sk-SK"/>
        </w:rPr>
        <w:t>18</w:t>
      </w:r>
      <w:r w:rsidR="00C0007A" w:rsidRPr="004D7E48">
        <w:rPr>
          <w:lang w:val="sk-SK"/>
        </w:rPr>
        <w:t xml:space="preserve">F) SYNEKTIK </w:t>
      </w:r>
      <w:r w:rsidRPr="004D7E48">
        <w:rPr>
          <w:lang w:val="sk-SK"/>
        </w:rPr>
        <w:t>obsahuje</w:t>
      </w:r>
      <w:r w:rsidR="001F4229" w:rsidRPr="004D7E48">
        <w:rPr>
          <w:lang w:val="sk-SK"/>
        </w:rPr>
        <w:t xml:space="preserve"> </w:t>
      </w:r>
      <w:r w:rsidR="00C60714" w:rsidRPr="004D7E48">
        <w:rPr>
          <w:lang w:val="sk-SK"/>
        </w:rPr>
        <w:t>2,</w:t>
      </w:r>
      <w:r w:rsidR="009800F4" w:rsidRPr="004D7E48">
        <w:rPr>
          <w:lang w:val="sk-SK"/>
        </w:rPr>
        <w:t>4 mg sod</w:t>
      </w:r>
      <w:r w:rsidRPr="004D7E48">
        <w:rPr>
          <w:lang w:val="sk-SK"/>
        </w:rPr>
        <w:t>íka</w:t>
      </w:r>
      <w:r w:rsidR="003E3767" w:rsidRPr="004D7E48">
        <w:rPr>
          <w:lang w:val="sk-SK"/>
        </w:rPr>
        <w:t>.</w:t>
      </w:r>
    </w:p>
    <w:p w:rsidR="00B55BFC" w:rsidRPr="004D7E48" w:rsidRDefault="00D522E8" w:rsidP="003E3767">
      <w:pPr>
        <w:spacing w:after="120"/>
        <w:rPr>
          <w:lang w:val="sk-SK"/>
        </w:rPr>
      </w:pPr>
      <w:r w:rsidRPr="004D7E48">
        <w:rPr>
          <w:lang w:val="sk-SK"/>
        </w:rPr>
        <w:t>Úplný zoznam pomocných látok, pozri časť 6.1.</w:t>
      </w:r>
    </w:p>
    <w:p w:rsidR="00D522E8" w:rsidRPr="004D7E48" w:rsidRDefault="00D522E8" w:rsidP="003E3767">
      <w:pPr>
        <w:spacing w:after="120"/>
        <w:rPr>
          <w:lang w:val="sk-SK"/>
        </w:rPr>
      </w:pPr>
    </w:p>
    <w:p w:rsidR="0072568D" w:rsidRPr="004D7E48" w:rsidRDefault="0072568D" w:rsidP="003E3767">
      <w:pPr>
        <w:spacing w:after="120"/>
        <w:jc w:val="both"/>
        <w:rPr>
          <w:rFonts w:cs="Times New Roman"/>
          <w:caps/>
          <w:lang w:val="sk-SK"/>
        </w:rPr>
      </w:pPr>
      <w:r w:rsidRPr="004D7E48">
        <w:rPr>
          <w:rFonts w:cs="Times New Roman"/>
          <w:b/>
          <w:lang w:val="sk-SK"/>
        </w:rPr>
        <w:t>3.</w:t>
      </w:r>
      <w:r w:rsidRPr="004D7E48">
        <w:rPr>
          <w:rFonts w:cs="Times New Roman"/>
          <w:b/>
          <w:lang w:val="sk-SK"/>
        </w:rPr>
        <w:tab/>
        <w:t>LIEKOVÁ FORMA</w:t>
      </w:r>
    </w:p>
    <w:p w:rsidR="0072568D" w:rsidRPr="004D7E48" w:rsidRDefault="0072568D" w:rsidP="003E3767">
      <w:pPr>
        <w:tabs>
          <w:tab w:val="left" w:pos="720"/>
        </w:tabs>
        <w:spacing w:after="120"/>
        <w:jc w:val="both"/>
        <w:rPr>
          <w:rFonts w:cs="Times New Roman"/>
          <w:lang w:val="sk-SK"/>
        </w:rPr>
      </w:pPr>
      <w:r w:rsidRPr="004D7E48">
        <w:rPr>
          <w:rFonts w:cs="Times New Roman"/>
          <w:lang w:val="sk-SK"/>
        </w:rPr>
        <w:t>Injekčný roztok</w:t>
      </w:r>
    </w:p>
    <w:p w:rsidR="0072568D" w:rsidRPr="004D7E48" w:rsidRDefault="0072568D" w:rsidP="003E3767">
      <w:pPr>
        <w:tabs>
          <w:tab w:val="left" w:pos="720"/>
        </w:tabs>
        <w:spacing w:after="120"/>
        <w:jc w:val="both"/>
        <w:rPr>
          <w:rFonts w:cs="Times New Roman"/>
          <w:lang w:val="sk-SK"/>
        </w:rPr>
      </w:pPr>
      <w:r w:rsidRPr="004D7E48">
        <w:rPr>
          <w:rFonts w:cs="Times New Roman"/>
          <w:lang w:val="sk-SK"/>
        </w:rPr>
        <w:t>Číry, bezfarebný alebo slabo žltý roztok</w:t>
      </w:r>
      <w:r w:rsidR="001335A3" w:rsidRPr="004D7E48">
        <w:rPr>
          <w:rFonts w:cs="Times New Roman"/>
          <w:lang w:val="sk-SK"/>
        </w:rPr>
        <w:t xml:space="preserve">, </w:t>
      </w:r>
      <w:r w:rsidR="001335A3" w:rsidRPr="004D7E48">
        <w:rPr>
          <w:rStyle w:val="shorttext"/>
          <w:lang w:val="sk-SK"/>
        </w:rPr>
        <w:t>bez viditeľných častíc.</w:t>
      </w:r>
    </w:p>
    <w:p w:rsidR="00B07097" w:rsidRPr="004D7E48" w:rsidRDefault="00B07097" w:rsidP="003E3767">
      <w:pPr>
        <w:spacing w:after="120"/>
        <w:rPr>
          <w:rFonts w:cs="Times New Roman"/>
          <w:lang w:val="sk-SK"/>
        </w:rPr>
      </w:pPr>
    </w:p>
    <w:p w:rsidR="0072568D" w:rsidRPr="004D7E48" w:rsidRDefault="0072568D" w:rsidP="003E3767">
      <w:pPr>
        <w:spacing w:after="120"/>
        <w:jc w:val="both"/>
        <w:rPr>
          <w:rFonts w:cs="Times New Roman"/>
          <w:b/>
          <w:caps/>
          <w:lang w:val="sk-SK"/>
        </w:rPr>
      </w:pPr>
      <w:r w:rsidRPr="004D7E48">
        <w:rPr>
          <w:rFonts w:cs="Times New Roman"/>
          <w:b/>
          <w:caps/>
          <w:lang w:val="sk-SK"/>
        </w:rPr>
        <w:t>4.</w:t>
      </w:r>
      <w:r w:rsidRPr="004D7E48">
        <w:rPr>
          <w:rFonts w:cs="Times New Roman"/>
          <w:b/>
          <w:caps/>
          <w:lang w:val="sk-SK"/>
        </w:rPr>
        <w:tab/>
      </w:r>
      <w:r w:rsidRPr="004D7E48">
        <w:rPr>
          <w:rFonts w:cs="Times New Roman"/>
          <w:b/>
          <w:lang w:val="sk-SK"/>
        </w:rPr>
        <w:t>KLINICKÉ</w:t>
      </w:r>
      <w:r w:rsidRPr="004D7E48">
        <w:rPr>
          <w:rFonts w:cs="Times New Roman"/>
          <w:b/>
          <w:caps/>
          <w:lang w:val="sk-SK"/>
        </w:rPr>
        <w:t xml:space="preserve"> ÚDAJE</w:t>
      </w:r>
    </w:p>
    <w:p w:rsidR="0072568D" w:rsidRPr="004D7E48" w:rsidRDefault="0072568D" w:rsidP="003E3767">
      <w:pPr>
        <w:spacing w:after="120"/>
        <w:jc w:val="both"/>
        <w:rPr>
          <w:rFonts w:cs="Times New Roman"/>
          <w:b/>
          <w:lang w:val="sk-SK"/>
        </w:rPr>
      </w:pPr>
      <w:r w:rsidRPr="004D7E48">
        <w:rPr>
          <w:rFonts w:cs="Times New Roman"/>
          <w:b/>
          <w:lang w:val="sk-SK"/>
        </w:rPr>
        <w:t>4.1</w:t>
      </w:r>
      <w:r w:rsidRPr="004D7E48">
        <w:rPr>
          <w:rFonts w:cs="Times New Roman"/>
          <w:b/>
          <w:lang w:val="sk-SK"/>
        </w:rPr>
        <w:tab/>
        <w:t>Terapeutické indikácie</w:t>
      </w:r>
    </w:p>
    <w:p w:rsidR="0072568D" w:rsidRPr="004D7E48" w:rsidRDefault="0072568D" w:rsidP="003E3767">
      <w:pPr>
        <w:tabs>
          <w:tab w:val="left" w:pos="720"/>
        </w:tabs>
        <w:spacing w:after="120"/>
        <w:jc w:val="both"/>
        <w:rPr>
          <w:rFonts w:cs="Times New Roman"/>
          <w:lang w:val="sk-SK"/>
        </w:rPr>
      </w:pPr>
      <w:r w:rsidRPr="004D7E48">
        <w:rPr>
          <w:rFonts w:cs="Times New Roman"/>
          <w:lang w:val="sk-SK"/>
        </w:rPr>
        <w:t>Tento liek je určený len na diagnostické</w:t>
      </w:r>
      <w:r w:rsidR="000D09BF">
        <w:rPr>
          <w:rFonts w:cs="Times New Roman"/>
          <w:lang w:val="sk-SK"/>
        </w:rPr>
        <w:t xml:space="preserve"> </w:t>
      </w:r>
      <w:r w:rsidR="0035297B" w:rsidRPr="0035297B">
        <w:rPr>
          <w:lang w:val="sk-SK"/>
        </w:rPr>
        <w:t>použitie</w:t>
      </w:r>
      <w:r w:rsidRPr="004D7E48">
        <w:rPr>
          <w:rFonts w:cs="Times New Roman"/>
          <w:lang w:val="sk-SK"/>
        </w:rPr>
        <w:t>.</w:t>
      </w:r>
    </w:p>
    <w:p w:rsidR="0072568D" w:rsidRPr="004D7E48" w:rsidRDefault="0089743D" w:rsidP="003E3767">
      <w:pPr>
        <w:spacing w:after="120"/>
        <w:jc w:val="both"/>
        <w:rPr>
          <w:rFonts w:cs="Times New Roman"/>
          <w:lang w:val="sk-SK"/>
        </w:rPr>
      </w:pPr>
      <w:r w:rsidRPr="00EC6E19">
        <w:rPr>
          <w:rFonts w:cs="Times New Roman"/>
          <w:lang w:val="sk-SK"/>
        </w:rPr>
        <w:t>Fludeoxyglukóza (</w:t>
      </w:r>
      <w:r w:rsidRPr="00EC6E19">
        <w:rPr>
          <w:rFonts w:cs="Times New Roman"/>
          <w:vertAlign w:val="superscript"/>
          <w:lang w:val="sk-SK"/>
        </w:rPr>
        <w:t>18</w:t>
      </w:r>
      <w:r w:rsidRPr="00EC6E19">
        <w:rPr>
          <w:rFonts w:cs="Times New Roman"/>
          <w:lang w:val="sk-SK"/>
        </w:rPr>
        <w:t xml:space="preserve">F) je </w:t>
      </w:r>
      <w:r w:rsidR="0035297B" w:rsidRPr="0035297B">
        <w:rPr>
          <w:color w:val="000000"/>
          <w:lang w:val="sk-SK"/>
        </w:rPr>
        <w:t xml:space="preserve">indikovaná </w:t>
      </w:r>
      <w:r w:rsidR="00EC6E19">
        <w:rPr>
          <w:rFonts w:cs="Times New Roman"/>
          <w:lang w:val="sk-SK"/>
        </w:rPr>
        <w:t xml:space="preserve">na použitie </w:t>
      </w:r>
      <w:r w:rsidRPr="00EC6E19">
        <w:rPr>
          <w:rFonts w:cs="Times New Roman"/>
          <w:lang w:val="sk-SK"/>
        </w:rPr>
        <w:t>pre pozitrónovú emisnú tomografiu (PET) u dospelých a u detí.</w:t>
      </w:r>
    </w:p>
    <w:p w:rsidR="0025099A" w:rsidRPr="004D7E48" w:rsidRDefault="0025099A" w:rsidP="003E3767">
      <w:pPr>
        <w:spacing w:after="120"/>
        <w:jc w:val="both"/>
        <w:rPr>
          <w:rFonts w:cs="Times New Roman"/>
          <w:lang w:val="sk-SK"/>
        </w:rPr>
      </w:pPr>
    </w:p>
    <w:p w:rsidR="0072568D" w:rsidRPr="004D7E48" w:rsidRDefault="0072568D" w:rsidP="003E3767">
      <w:pPr>
        <w:tabs>
          <w:tab w:val="left" w:pos="720"/>
        </w:tabs>
        <w:spacing w:after="120"/>
        <w:jc w:val="both"/>
        <w:rPr>
          <w:rFonts w:cs="Times New Roman"/>
          <w:i/>
          <w:u w:val="single"/>
          <w:lang w:val="sk-SK"/>
        </w:rPr>
      </w:pPr>
      <w:r w:rsidRPr="004D7E48">
        <w:rPr>
          <w:rFonts w:cs="Times New Roman"/>
          <w:i/>
          <w:u w:val="single"/>
          <w:lang w:val="sk-SK"/>
        </w:rPr>
        <w:t>Onkológia</w:t>
      </w:r>
    </w:p>
    <w:p w:rsidR="0072568D" w:rsidRPr="004D7E48" w:rsidRDefault="0072568D" w:rsidP="003E3767">
      <w:pPr>
        <w:tabs>
          <w:tab w:val="left" w:pos="720"/>
        </w:tabs>
        <w:spacing w:after="120"/>
        <w:jc w:val="both"/>
        <w:rPr>
          <w:rFonts w:cs="Times New Roman"/>
          <w:lang w:val="sk-SK"/>
        </w:rPr>
      </w:pPr>
      <w:r w:rsidRPr="004D7E48">
        <w:rPr>
          <w:rFonts w:cs="Times New Roman"/>
          <w:lang w:val="sk-SK"/>
        </w:rPr>
        <w:t>U pacientov, ktorí podstupujú diagnostikovanie s cieľom popísať funkcie alebo ochorenia, kedy je cieľom diagnostikovania zvýšená spotreba glukózy v špecifických orgánoch alebo tkanivách. Nasledujúce indikácie sú dostatočne zdokumentované (pozri tiež časť 4.4):</w:t>
      </w:r>
    </w:p>
    <w:p w:rsidR="0072568D" w:rsidRPr="004D7E48" w:rsidRDefault="00181704" w:rsidP="003E3767">
      <w:pPr>
        <w:autoSpaceDE w:val="0"/>
        <w:autoSpaceDN w:val="0"/>
        <w:adjustRightInd w:val="0"/>
        <w:spacing w:after="120"/>
        <w:jc w:val="both"/>
        <w:rPr>
          <w:rFonts w:cs="Times New Roman"/>
          <w:lang w:val="sk-SK"/>
        </w:rPr>
      </w:pPr>
      <w:r w:rsidRPr="004D7E48">
        <w:rPr>
          <w:rFonts w:cs="Times New Roman"/>
          <w:lang w:val="sk-SK"/>
        </w:rPr>
        <w:t>Diagnóza</w:t>
      </w:r>
    </w:p>
    <w:p w:rsidR="0072568D" w:rsidRPr="004D7E48" w:rsidRDefault="0072568D" w:rsidP="003E3767">
      <w:pPr>
        <w:numPr>
          <w:ilvl w:val="0"/>
          <w:numId w:val="9"/>
        </w:numPr>
        <w:spacing w:after="120"/>
        <w:jc w:val="both"/>
        <w:rPr>
          <w:rFonts w:cs="Times New Roman"/>
          <w:lang w:val="sk-SK"/>
        </w:rPr>
      </w:pPr>
      <w:r w:rsidRPr="004D7E48">
        <w:rPr>
          <w:rFonts w:cs="Times New Roman"/>
          <w:lang w:val="sk-SK"/>
        </w:rPr>
        <w:t>charakteristika solitárneho pľúcneho ložiska</w:t>
      </w:r>
    </w:p>
    <w:p w:rsidR="0072568D" w:rsidRPr="004D7E48" w:rsidRDefault="0072568D" w:rsidP="003E3767">
      <w:pPr>
        <w:numPr>
          <w:ilvl w:val="0"/>
          <w:numId w:val="9"/>
        </w:numPr>
        <w:spacing w:after="120"/>
        <w:jc w:val="both"/>
        <w:rPr>
          <w:rFonts w:cs="Times New Roman"/>
          <w:lang w:val="sk-SK"/>
        </w:rPr>
      </w:pPr>
      <w:r w:rsidRPr="004D7E48">
        <w:rPr>
          <w:rFonts w:cs="Times New Roman"/>
          <w:lang w:val="sk-SK"/>
        </w:rPr>
        <w:t>detekcia nádoru neznámeho pôvodu, prejavujúceho sa napríklad cervikálnou adenopatiou, metastázami v pečeni alebo v kostiach</w:t>
      </w:r>
    </w:p>
    <w:p w:rsidR="0072568D" w:rsidRPr="004D7E48" w:rsidRDefault="0072568D" w:rsidP="003E3767">
      <w:pPr>
        <w:numPr>
          <w:ilvl w:val="0"/>
          <w:numId w:val="9"/>
        </w:numPr>
        <w:spacing w:after="120"/>
        <w:jc w:val="both"/>
        <w:rPr>
          <w:rFonts w:cs="Times New Roman"/>
          <w:lang w:val="sk-SK"/>
        </w:rPr>
      </w:pPr>
      <w:r w:rsidRPr="004D7E48">
        <w:rPr>
          <w:rFonts w:cs="Times New Roman"/>
          <w:lang w:val="sk-SK"/>
        </w:rPr>
        <w:t xml:space="preserve">charakterizácia tumoróznej masy pankreasu </w:t>
      </w:r>
    </w:p>
    <w:p w:rsidR="0072568D" w:rsidRPr="004D7E48" w:rsidRDefault="00181704" w:rsidP="003E3767">
      <w:pPr>
        <w:autoSpaceDE w:val="0"/>
        <w:autoSpaceDN w:val="0"/>
        <w:adjustRightInd w:val="0"/>
        <w:spacing w:after="120"/>
        <w:jc w:val="both"/>
        <w:rPr>
          <w:rFonts w:cs="Times New Roman"/>
          <w:lang w:val="sk-SK"/>
        </w:rPr>
      </w:pPr>
      <w:r w:rsidRPr="004D7E48">
        <w:rPr>
          <w:rFonts w:cs="Times New Roman"/>
          <w:lang w:val="sk-SK"/>
        </w:rPr>
        <w:lastRenderedPageBreak/>
        <w:t>Staging</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karcinómy hlavy a krku, vrátane určenia lokalizácie pre cielenú biopsiu</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primárny karcinóm pľúc</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karcinóm prsníka v pokročilom štádiu</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karcinóm pažeráka</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karcinóm pankreasu</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kolorektálny karcinóm, zvlášť pri restagingu recidívy</w:t>
      </w:r>
    </w:p>
    <w:p w:rsidR="0072568D" w:rsidRPr="004D7E48" w:rsidRDefault="0072568D" w:rsidP="003E3767">
      <w:pPr>
        <w:numPr>
          <w:ilvl w:val="0"/>
          <w:numId w:val="10"/>
        </w:numPr>
        <w:spacing w:after="120"/>
        <w:jc w:val="both"/>
        <w:rPr>
          <w:rFonts w:cs="Times New Roman"/>
          <w:lang w:val="sk-SK"/>
        </w:rPr>
      </w:pPr>
      <w:r w:rsidRPr="004D7E48">
        <w:rPr>
          <w:rFonts w:cs="Times New Roman"/>
          <w:lang w:val="sk-SK"/>
        </w:rPr>
        <w:t>malígny lymfóm</w:t>
      </w:r>
    </w:p>
    <w:p w:rsidR="00A16F17" w:rsidRPr="004D7E48" w:rsidRDefault="0072568D" w:rsidP="003E3767">
      <w:pPr>
        <w:numPr>
          <w:ilvl w:val="0"/>
          <w:numId w:val="10"/>
        </w:numPr>
        <w:spacing w:after="120"/>
        <w:jc w:val="both"/>
        <w:rPr>
          <w:rFonts w:cs="Times New Roman"/>
          <w:lang w:val="sk-SK"/>
        </w:rPr>
      </w:pPr>
      <w:r w:rsidRPr="004D7E48">
        <w:rPr>
          <w:rFonts w:cs="Times New Roman"/>
          <w:lang w:val="sk-SK"/>
        </w:rPr>
        <w:t xml:space="preserve">malígny melanóm, Breslow &gt;1,5 mm alebo </w:t>
      </w:r>
      <w:r w:rsidRPr="004D7E48">
        <w:rPr>
          <w:rFonts w:cs="Times New Roman"/>
          <w:spacing w:val="-3"/>
          <w:position w:val="-1"/>
          <w:lang w:val="sk-SK"/>
        </w:rPr>
        <w:t>metastáza v lymfatickej uzline pri primárnej diagnóze</w:t>
      </w:r>
      <w:r w:rsidRPr="004D7E48" w:rsidDel="00DA3810">
        <w:rPr>
          <w:rFonts w:cs="Times New Roman"/>
          <w:lang w:val="sk-SK"/>
        </w:rPr>
        <w:t xml:space="preserve"> </w:t>
      </w:r>
    </w:p>
    <w:p w:rsidR="0072568D" w:rsidRPr="004D7E48" w:rsidRDefault="0072568D" w:rsidP="003E3767">
      <w:pPr>
        <w:autoSpaceDE w:val="0"/>
        <w:autoSpaceDN w:val="0"/>
        <w:adjustRightInd w:val="0"/>
        <w:spacing w:after="120"/>
        <w:jc w:val="both"/>
        <w:rPr>
          <w:rFonts w:cs="Times New Roman"/>
          <w:lang w:val="sk-SK"/>
        </w:rPr>
      </w:pPr>
      <w:r w:rsidRPr="004D7E48">
        <w:rPr>
          <w:rFonts w:cs="Times New Roman"/>
          <w:lang w:val="sk-SK"/>
        </w:rPr>
        <w:t>Monit</w:t>
      </w:r>
      <w:r w:rsidR="00181704" w:rsidRPr="004D7E48">
        <w:rPr>
          <w:rFonts w:cs="Times New Roman"/>
          <w:lang w:val="sk-SK"/>
        </w:rPr>
        <w:t>orovanie terapeutickej odpovede</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malígny lymfóm</w:t>
      </w:r>
    </w:p>
    <w:p w:rsidR="00A16F17" w:rsidRPr="004D7E48" w:rsidRDefault="0072568D" w:rsidP="0025099A">
      <w:pPr>
        <w:numPr>
          <w:ilvl w:val="0"/>
          <w:numId w:val="11"/>
        </w:numPr>
        <w:spacing w:after="120"/>
        <w:jc w:val="both"/>
        <w:rPr>
          <w:rFonts w:cs="Times New Roman"/>
          <w:lang w:val="sk-SK"/>
        </w:rPr>
      </w:pPr>
      <w:r w:rsidRPr="004D7E48">
        <w:rPr>
          <w:rFonts w:cs="Times New Roman"/>
          <w:lang w:val="sk-SK"/>
        </w:rPr>
        <w:t>karcinómy hlavy a krku</w:t>
      </w:r>
    </w:p>
    <w:p w:rsidR="0072568D" w:rsidRPr="004D7E48" w:rsidRDefault="0072568D" w:rsidP="003E3767">
      <w:pPr>
        <w:autoSpaceDE w:val="0"/>
        <w:autoSpaceDN w:val="0"/>
        <w:adjustRightInd w:val="0"/>
        <w:spacing w:after="120"/>
        <w:jc w:val="both"/>
        <w:rPr>
          <w:rFonts w:cs="Times New Roman"/>
          <w:lang w:val="sk-SK"/>
        </w:rPr>
      </w:pPr>
      <w:r w:rsidRPr="004D7E48">
        <w:rPr>
          <w:rFonts w:cs="Times New Roman"/>
          <w:lang w:val="sk-SK"/>
        </w:rPr>
        <w:t>Detekcia v prípade odôv</w:t>
      </w:r>
      <w:r w:rsidR="00181704" w:rsidRPr="004D7E48">
        <w:rPr>
          <w:rFonts w:cs="Times New Roman"/>
          <w:lang w:val="sk-SK"/>
        </w:rPr>
        <w:t>odneného podozrenia na recidívy</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 xml:space="preserve">glióm s vysokým stupňom malignity (III </w:t>
      </w:r>
      <w:r w:rsidR="0042651D">
        <w:rPr>
          <w:rFonts w:cs="Times New Roman"/>
          <w:lang w:val="sk-SK"/>
        </w:rPr>
        <w:t>al</w:t>
      </w:r>
      <w:r w:rsidRPr="004D7E48">
        <w:rPr>
          <w:rFonts w:cs="Times New Roman"/>
          <w:lang w:val="sk-SK"/>
        </w:rPr>
        <w:t>ebo IV)</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karcinómy hlavy a krku</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karcinóm štítnej žľazy (nemedulárny): pacienti so</w:t>
      </w:r>
      <w:r w:rsidR="00346EB4" w:rsidRPr="004D7E48">
        <w:rPr>
          <w:rFonts w:cs="Times New Roman"/>
          <w:lang w:val="sk-SK"/>
        </w:rPr>
        <w:t xml:space="preserve"> zvýšenými sérovými hladinami t</w:t>
      </w:r>
      <w:r w:rsidRPr="004D7E48">
        <w:rPr>
          <w:rFonts w:cs="Times New Roman"/>
          <w:lang w:val="sk-SK"/>
        </w:rPr>
        <w:t xml:space="preserve">yreoglobulínu a negatívnou celotelovou </w:t>
      </w:r>
      <w:r w:rsidR="0089743D" w:rsidRPr="00EB7A34">
        <w:rPr>
          <w:rFonts w:cs="Times New Roman"/>
          <w:lang w:val="sk-SK"/>
        </w:rPr>
        <w:t>scintigrafiou</w:t>
      </w:r>
      <w:r w:rsidRPr="004D7E48">
        <w:rPr>
          <w:rFonts w:cs="Times New Roman"/>
          <w:lang w:val="sk-SK"/>
        </w:rPr>
        <w:t xml:space="preserve"> pomocou rádioaktívneho jódu</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primárny karcinóm pľúc</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karcinóm prsníka</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karcinóm pankreasu</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kolorektálny karcinóm</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karcinóm ovária</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malígny lymfóm</w:t>
      </w:r>
    </w:p>
    <w:p w:rsidR="0072568D" w:rsidRPr="004D7E48" w:rsidRDefault="0072568D" w:rsidP="003E3767">
      <w:pPr>
        <w:numPr>
          <w:ilvl w:val="0"/>
          <w:numId w:val="11"/>
        </w:numPr>
        <w:spacing w:after="120"/>
        <w:jc w:val="both"/>
        <w:rPr>
          <w:rFonts w:cs="Times New Roman"/>
          <w:lang w:val="sk-SK"/>
        </w:rPr>
      </w:pPr>
      <w:r w:rsidRPr="004D7E48">
        <w:rPr>
          <w:rFonts w:cs="Times New Roman"/>
          <w:lang w:val="sk-SK"/>
        </w:rPr>
        <w:t>malígny melanóm</w:t>
      </w:r>
    </w:p>
    <w:p w:rsidR="0072568D" w:rsidRPr="004D7E48" w:rsidRDefault="0072568D" w:rsidP="003E3767">
      <w:pPr>
        <w:spacing w:after="120"/>
        <w:rPr>
          <w:rFonts w:cs="Times New Roman"/>
          <w:i/>
          <w:u w:val="single"/>
          <w:lang w:val="sk-SK"/>
        </w:rPr>
      </w:pPr>
    </w:p>
    <w:p w:rsidR="0072568D" w:rsidRPr="004D7E48" w:rsidRDefault="0072568D" w:rsidP="003E3767">
      <w:pPr>
        <w:autoSpaceDE w:val="0"/>
        <w:autoSpaceDN w:val="0"/>
        <w:adjustRightInd w:val="0"/>
        <w:spacing w:after="120"/>
        <w:jc w:val="both"/>
        <w:rPr>
          <w:rFonts w:cs="Times New Roman"/>
          <w:i/>
          <w:u w:val="single"/>
          <w:lang w:val="sk-SK"/>
        </w:rPr>
      </w:pPr>
      <w:r w:rsidRPr="004D7E48">
        <w:rPr>
          <w:rFonts w:cs="Times New Roman"/>
          <w:i/>
          <w:u w:val="single"/>
          <w:lang w:val="sk-SK"/>
        </w:rPr>
        <w:t>Kardiológia</w:t>
      </w:r>
    </w:p>
    <w:p w:rsidR="0072568D" w:rsidRPr="004D7E48" w:rsidRDefault="0072568D" w:rsidP="003E3767">
      <w:pPr>
        <w:pStyle w:val="Zarkazkladnhotextu"/>
        <w:tabs>
          <w:tab w:val="left" w:pos="360"/>
        </w:tabs>
        <w:spacing w:line="276" w:lineRule="auto"/>
        <w:ind w:left="0"/>
        <w:jc w:val="both"/>
        <w:rPr>
          <w:sz w:val="22"/>
          <w:szCs w:val="22"/>
          <w:lang w:val="sk-SK"/>
        </w:rPr>
      </w:pPr>
      <w:r w:rsidRPr="004D7E48">
        <w:rPr>
          <w:sz w:val="22"/>
          <w:szCs w:val="22"/>
          <w:lang w:val="sk-SK"/>
        </w:rPr>
        <w:t>V kardiologickej indikácii je diagnostickým ci</w:t>
      </w:r>
      <w:r w:rsidR="00C60714" w:rsidRPr="004D7E48">
        <w:rPr>
          <w:sz w:val="22"/>
          <w:szCs w:val="22"/>
          <w:lang w:val="sk-SK"/>
        </w:rPr>
        <w:t xml:space="preserve">eľom </w:t>
      </w:r>
      <w:r w:rsidR="0089743D" w:rsidRPr="00EB7A34">
        <w:rPr>
          <w:sz w:val="22"/>
          <w:szCs w:val="22"/>
          <w:lang w:val="sk-SK"/>
        </w:rPr>
        <w:t>viabilné</w:t>
      </w:r>
      <w:r w:rsidR="00C60714" w:rsidRPr="004D7E48">
        <w:rPr>
          <w:sz w:val="22"/>
          <w:szCs w:val="22"/>
          <w:lang w:val="sk-SK"/>
        </w:rPr>
        <w:t xml:space="preserve"> tkanivo myokardu </w:t>
      </w:r>
      <w:r w:rsidRPr="004D7E48">
        <w:rPr>
          <w:sz w:val="22"/>
          <w:szCs w:val="22"/>
          <w:lang w:val="sk-SK"/>
        </w:rPr>
        <w:t>vychytávajúce glukózu, ale je hypo-perfúzne, preto musí predchádzať vyšetrenie vhodnými zobrazovacími technikami prietoku krvi.</w:t>
      </w:r>
    </w:p>
    <w:p w:rsidR="0072568D" w:rsidRPr="004D7E48" w:rsidRDefault="0072568D" w:rsidP="00C60714">
      <w:pPr>
        <w:numPr>
          <w:ilvl w:val="0"/>
          <w:numId w:val="8"/>
        </w:numPr>
        <w:tabs>
          <w:tab w:val="num" w:pos="851"/>
        </w:tabs>
        <w:spacing w:after="120"/>
        <w:ind w:left="709" w:hanging="283"/>
        <w:jc w:val="both"/>
        <w:rPr>
          <w:rFonts w:cs="Times New Roman"/>
          <w:lang w:val="sk-SK"/>
        </w:rPr>
      </w:pPr>
      <w:r w:rsidRPr="004D7E48">
        <w:rPr>
          <w:rFonts w:cs="Times New Roman"/>
          <w:lang w:val="sk-SK"/>
        </w:rPr>
        <w:t>Hodnotenie viability myokardu u pacientov so závažnou poruchou funkcie ľavej komory, ktorí sú kandidátmi na revaskularizáciu, pričom konvenčné zobrazovacie metódy nemajú dostatočný diagnostický prínos.</w:t>
      </w:r>
    </w:p>
    <w:p w:rsidR="00C60714" w:rsidRPr="004D7E48" w:rsidRDefault="00C60714" w:rsidP="00C60714">
      <w:pPr>
        <w:spacing w:after="120"/>
        <w:jc w:val="both"/>
        <w:rPr>
          <w:rFonts w:cs="Times New Roman"/>
          <w:lang w:val="sk-SK"/>
        </w:rPr>
      </w:pPr>
    </w:p>
    <w:p w:rsidR="0072568D" w:rsidRPr="004D7E48" w:rsidRDefault="0072568D" w:rsidP="003E3767">
      <w:pPr>
        <w:autoSpaceDE w:val="0"/>
        <w:autoSpaceDN w:val="0"/>
        <w:adjustRightInd w:val="0"/>
        <w:spacing w:after="120"/>
        <w:jc w:val="both"/>
        <w:rPr>
          <w:rFonts w:cs="Times New Roman"/>
          <w:i/>
          <w:u w:val="single"/>
          <w:lang w:val="sk-SK"/>
        </w:rPr>
      </w:pPr>
      <w:r w:rsidRPr="004D7E48">
        <w:rPr>
          <w:rFonts w:cs="Times New Roman"/>
          <w:i/>
          <w:u w:val="single"/>
          <w:lang w:val="sk-SK"/>
        </w:rPr>
        <w:t>Neurológia</w:t>
      </w:r>
    </w:p>
    <w:p w:rsidR="0072568D" w:rsidRPr="004D7E48" w:rsidRDefault="0072568D" w:rsidP="003E3767">
      <w:pPr>
        <w:autoSpaceDE w:val="0"/>
        <w:autoSpaceDN w:val="0"/>
        <w:adjustRightInd w:val="0"/>
        <w:spacing w:after="120"/>
        <w:jc w:val="both"/>
        <w:rPr>
          <w:rFonts w:cs="Times New Roman"/>
          <w:lang w:val="sk-SK"/>
        </w:rPr>
      </w:pPr>
      <w:r w:rsidRPr="004D7E48">
        <w:rPr>
          <w:rFonts w:cs="Times New Roman"/>
          <w:lang w:val="sk-SK"/>
        </w:rPr>
        <w:t xml:space="preserve">Diagnostickým cieľom pri neurologických indikáciách je </w:t>
      </w:r>
      <w:r w:rsidR="0089743D" w:rsidRPr="00EB7A34">
        <w:rPr>
          <w:rFonts w:cs="Times New Roman"/>
          <w:lang w:val="sk-SK"/>
        </w:rPr>
        <w:t>interiktálny</w:t>
      </w:r>
      <w:r w:rsidRPr="004D7E48">
        <w:rPr>
          <w:rFonts w:cs="Times New Roman"/>
          <w:lang w:val="sk-SK"/>
        </w:rPr>
        <w:t xml:space="preserve"> glukózový hypometabolizmus.</w:t>
      </w:r>
    </w:p>
    <w:p w:rsidR="0072568D" w:rsidRPr="004D7E48" w:rsidRDefault="0072568D" w:rsidP="003E3767">
      <w:pPr>
        <w:pStyle w:val="Odsekzoznamu"/>
        <w:numPr>
          <w:ilvl w:val="0"/>
          <w:numId w:val="8"/>
        </w:numPr>
        <w:tabs>
          <w:tab w:val="clear" w:pos="1080"/>
          <w:tab w:val="left" w:pos="709"/>
        </w:tabs>
        <w:spacing w:after="120"/>
        <w:ind w:left="709" w:hanging="283"/>
        <w:jc w:val="both"/>
        <w:rPr>
          <w:rFonts w:cs="Times New Roman"/>
          <w:lang w:val="sk-SK"/>
        </w:rPr>
      </w:pPr>
      <w:r w:rsidRPr="004D7E48">
        <w:rPr>
          <w:rFonts w:cs="Times New Roman"/>
          <w:lang w:val="sk-SK"/>
        </w:rPr>
        <w:lastRenderedPageBreak/>
        <w:t>Lokalizácia epileptogénneho ložiska v predoperačnom hodnotení parciálnej temporálnej epilepsie.</w:t>
      </w:r>
    </w:p>
    <w:p w:rsidR="00A16F17" w:rsidRPr="004D7E48" w:rsidRDefault="00A16F17" w:rsidP="003E3767">
      <w:pPr>
        <w:tabs>
          <w:tab w:val="left" w:pos="709"/>
        </w:tabs>
        <w:spacing w:after="120"/>
        <w:jc w:val="both"/>
        <w:rPr>
          <w:rFonts w:cs="Times New Roman"/>
          <w:lang w:val="sk-SK"/>
        </w:rPr>
      </w:pPr>
    </w:p>
    <w:p w:rsidR="00A67433" w:rsidRPr="004D7E48" w:rsidRDefault="00A67433" w:rsidP="003E3767">
      <w:pPr>
        <w:spacing w:after="120"/>
        <w:jc w:val="both"/>
        <w:rPr>
          <w:rFonts w:cs="Times New Roman"/>
          <w:i/>
          <w:u w:val="single"/>
          <w:lang w:val="sk-SK"/>
        </w:rPr>
      </w:pPr>
      <w:r w:rsidRPr="004D7E48">
        <w:rPr>
          <w:rFonts w:cs="Times New Roman"/>
          <w:i/>
          <w:u w:val="single"/>
          <w:lang w:val="sk-SK"/>
        </w:rPr>
        <w:t>Infe</w:t>
      </w:r>
      <w:r w:rsidR="00A16F17" w:rsidRPr="004D7E48">
        <w:rPr>
          <w:rFonts w:cs="Times New Roman"/>
          <w:i/>
          <w:u w:val="single"/>
          <w:lang w:val="sk-SK"/>
        </w:rPr>
        <w:t>kčné a zápalové ochorenia</w:t>
      </w:r>
    </w:p>
    <w:p w:rsidR="00A16F17" w:rsidRPr="004D7E48" w:rsidRDefault="00A16F17" w:rsidP="003E3767">
      <w:pPr>
        <w:spacing w:after="120"/>
        <w:jc w:val="both"/>
        <w:rPr>
          <w:rFonts w:cs="Times New Roman"/>
          <w:lang w:val="sk-SK"/>
        </w:rPr>
      </w:pPr>
      <w:r w:rsidRPr="004D7E48">
        <w:rPr>
          <w:rFonts w:cs="Times New Roman"/>
          <w:lang w:val="sk-SK"/>
        </w:rPr>
        <w:t>Pri infekčných a zápalových ochoreniach sú diagnostickým cieľom</w:t>
      </w:r>
      <w:r w:rsidR="00A67433" w:rsidRPr="004D7E48">
        <w:rPr>
          <w:rFonts w:cs="Times New Roman"/>
          <w:lang w:val="sk-SK"/>
        </w:rPr>
        <w:t xml:space="preserve"> </w:t>
      </w:r>
      <w:r w:rsidRPr="004D7E48">
        <w:rPr>
          <w:rFonts w:cs="Times New Roman"/>
          <w:lang w:val="sk-SK"/>
        </w:rPr>
        <w:t xml:space="preserve">tkanivá a štruktúry s abnormálne zvýšeným obsahom aktivovaných bielych krviniek. </w:t>
      </w:r>
    </w:p>
    <w:p w:rsidR="00A67433" w:rsidRPr="004D7E48" w:rsidRDefault="0042651D" w:rsidP="003E3767">
      <w:pPr>
        <w:spacing w:after="120"/>
        <w:jc w:val="both"/>
        <w:rPr>
          <w:rFonts w:cs="Times New Roman"/>
          <w:lang w:val="sk-SK"/>
        </w:rPr>
      </w:pPr>
      <w:r w:rsidRPr="004D7E48">
        <w:rPr>
          <w:rFonts w:cs="Times New Roman"/>
          <w:lang w:val="sk-SK"/>
        </w:rPr>
        <w:t xml:space="preserve">Pri infekčných a zápalových ochoreniach </w:t>
      </w:r>
      <w:r w:rsidR="00EB7A34" w:rsidRPr="004D7E48">
        <w:rPr>
          <w:rFonts w:cs="Times New Roman"/>
          <w:lang w:val="sk-SK"/>
        </w:rPr>
        <w:t>sú dostatočne zdokumentované</w:t>
      </w:r>
      <w:r w:rsidR="00EB7A34">
        <w:rPr>
          <w:rFonts w:cs="Times New Roman"/>
          <w:lang w:val="sk-SK"/>
        </w:rPr>
        <w:t xml:space="preserve"> </w:t>
      </w:r>
      <w:r>
        <w:rPr>
          <w:rFonts w:cs="Times New Roman"/>
          <w:lang w:val="sk-SK"/>
        </w:rPr>
        <w:t>n</w:t>
      </w:r>
      <w:r w:rsidR="00A16F17" w:rsidRPr="004D7E48">
        <w:rPr>
          <w:rFonts w:cs="Times New Roman"/>
          <w:lang w:val="sk-SK"/>
        </w:rPr>
        <w:t>asledujúce indikácie</w:t>
      </w:r>
      <w:r w:rsidR="00A67433" w:rsidRPr="004D7E48">
        <w:rPr>
          <w:rFonts w:cs="Times New Roman"/>
          <w:lang w:val="sk-SK"/>
        </w:rPr>
        <w:t>:</w:t>
      </w:r>
    </w:p>
    <w:p w:rsidR="00837CBD" w:rsidRPr="004D7E48" w:rsidRDefault="00837CBD" w:rsidP="003E3767">
      <w:pPr>
        <w:spacing w:after="120"/>
        <w:jc w:val="both"/>
        <w:rPr>
          <w:rFonts w:cs="Times New Roman"/>
          <w:lang w:val="sk-SK"/>
        </w:rPr>
      </w:pPr>
    </w:p>
    <w:p w:rsidR="00A67433" w:rsidRPr="004D7E48" w:rsidRDefault="00A67433" w:rsidP="003E3767">
      <w:pPr>
        <w:spacing w:after="120"/>
        <w:jc w:val="both"/>
        <w:rPr>
          <w:rFonts w:cs="Times New Roman"/>
          <w:u w:val="single"/>
          <w:lang w:val="sk-SK"/>
        </w:rPr>
      </w:pPr>
      <w:r w:rsidRPr="004D7E48">
        <w:rPr>
          <w:rFonts w:cs="Times New Roman"/>
          <w:u w:val="single"/>
          <w:lang w:val="sk-SK"/>
        </w:rPr>
        <w:t>Lo</w:t>
      </w:r>
      <w:r w:rsidR="00A16F17" w:rsidRPr="004D7E48">
        <w:rPr>
          <w:rFonts w:cs="Times New Roman"/>
          <w:u w:val="single"/>
          <w:lang w:val="sk-SK"/>
        </w:rPr>
        <w:t xml:space="preserve">kalizácia abnormálnych ložísk usmerňujúcich </w:t>
      </w:r>
      <w:proofErr w:type="spellStart"/>
      <w:r w:rsidR="00A16F17" w:rsidRPr="004D7E48">
        <w:rPr>
          <w:rFonts w:cs="Times New Roman"/>
          <w:u w:val="single"/>
          <w:lang w:val="sk-SK"/>
        </w:rPr>
        <w:t>etiologickú</w:t>
      </w:r>
      <w:proofErr w:type="spellEnd"/>
      <w:r w:rsidR="00A16F17" w:rsidRPr="004D7E48">
        <w:rPr>
          <w:rFonts w:cs="Times New Roman"/>
          <w:u w:val="single"/>
          <w:lang w:val="sk-SK"/>
        </w:rPr>
        <w:t xml:space="preserve"> diagnóz</w:t>
      </w:r>
      <w:r w:rsidR="0042651D">
        <w:rPr>
          <w:rFonts w:cs="Times New Roman"/>
          <w:u w:val="single"/>
          <w:lang w:val="sk-SK"/>
        </w:rPr>
        <w:t>u</w:t>
      </w:r>
      <w:r w:rsidR="00A16F17" w:rsidRPr="004D7E48">
        <w:rPr>
          <w:rFonts w:cs="Times New Roman"/>
          <w:u w:val="single"/>
          <w:lang w:val="sk-SK"/>
        </w:rPr>
        <w:t xml:space="preserve"> v prípade horúčky neznámeho pôvodu</w:t>
      </w:r>
    </w:p>
    <w:p w:rsidR="00A67433" w:rsidRPr="004D7E48" w:rsidRDefault="00A67433" w:rsidP="003E3767">
      <w:pPr>
        <w:spacing w:after="120"/>
        <w:jc w:val="both"/>
        <w:rPr>
          <w:rFonts w:cs="Times New Roman"/>
          <w:u w:val="single"/>
          <w:lang w:val="sk-SK"/>
        </w:rPr>
      </w:pPr>
      <w:r w:rsidRPr="004D7E48">
        <w:rPr>
          <w:rFonts w:cs="Times New Roman"/>
          <w:u w:val="single"/>
          <w:lang w:val="sk-SK"/>
        </w:rPr>
        <w:t>Diagn</w:t>
      </w:r>
      <w:r w:rsidR="002120A5" w:rsidRPr="004D7E48">
        <w:rPr>
          <w:rFonts w:cs="Times New Roman"/>
          <w:u w:val="single"/>
          <w:lang w:val="sk-SK"/>
        </w:rPr>
        <w:t>óz</w:t>
      </w:r>
      <w:r w:rsidR="00A16F17" w:rsidRPr="004D7E48">
        <w:rPr>
          <w:rFonts w:cs="Times New Roman"/>
          <w:u w:val="single"/>
          <w:lang w:val="sk-SK"/>
        </w:rPr>
        <w:t>a infekcie v prípade:</w:t>
      </w:r>
    </w:p>
    <w:p w:rsidR="00A16F17" w:rsidRPr="004D7E48" w:rsidRDefault="00A16F17" w:rsidP="003E3767">
      <w:pPr>
        <w:pStyle w:val="Odsekzoznamu"/>
        <w:numPr>
          <w:ilvl w:val="0"/>
          <w:numId w:val="6"/>
        </w:numPr>
        <w:spacing w:after="120"/>
        <w:jc w:val="both"/>
        <w:rPr>
          <w:rFonts w:cs="Times New Roman"/>
          <w:lang w:val="sk-SK"/>
        </w:rPr>
      </w:pPr>
      <w:r w:rsidRPr="004D7E48">
        <w:rPr>
          <w:rFonts w:cs="Times New Roman"/>
          <w:lang w:val="sk-SK"/>
        </w:rPr>
        <w:t>Podozrenia na chronickú infekciu kosti a/alebo okolitých štruktúr</w:t>
      </w:r>
      <w:r w:rsidR="00A67433" w:rsidRPr="004D7E48">
        <w:rPr>
          <w:rFonts w:cs="Times New Roman"/>
          <w:lang w:val="sk-SK"/>
        </w:rPr>
        <w:t>: osteomyelit</w:t>
      </w:r>
      <w:r w:rsidRPr="004D7E48">
        <w:rPr>
          <w:rFonts w:cs="Times New Roman"/>
          <w:lang w:val="sk-SK"/>
        </w:rPr>
        <w:t>ída</w:t>
      </w:r>
      <w:r w:rsidR="00A67433" w:rsidRPr="004D7E48">
        <w:rPr>
          <w:rFonts w:cs="Times New Roman"/>
          <w:lang w:val="sk-SK"/>
        </w:rPr>
        <w:t>, spond</w:t>
      </w:r>
      <w:r w:rsidRPr="004D7E48">
        <w:rPr>
          <w:rFonts w:cs="Times New Roman"/>
          <w:lang w:val="sk-SK"/>
        </w:rPr>
        <w:t>ylitída</w:t>
      </w:r>
      <w:r w:rsidR="00A67433" w:rsidRPr="004D7E48">
        <w:rPr>
          <w:rFonts w:cs="Times New Roman"/>
          <w:lang w:val="sk-SK"/>
        </w:rPr>
        <w:t>, dis</w:t>
      </w:r>
      <w:r w:rsidR="00181704" w:rsidRPr="004D7E48">
        <w:rPr>
          <w:rFonts w:cs="Times New Roman"/>
          <w:lang w:val="sk-SK"/>
        </w:rPr>
        <w:t>cit</w:t>
      </w:r>
      <w:r w:rsidRPr="004D7E48">
        <w:rPr>
          <w:rFonts w:cs="Times New Roman"/>
          <w:lang w:val="sk-SK"/>
        </w:rPr>
        <w:t>ída alebo osteitída</w:t>
      </w:r>
      <w:r w:rsidR="00181704" w:rsidRPr="004D7E48">
        <w:rPr>
          <w:rFonts w:cs="Times New Roman"/>
          <w:lang w:val="sk-SK"/>
        </w:rPr>
        <w:t>,</w:t>
      </w:r>
      <w:r w:rsidRPr="004D7E48">
        <w:rPr>
          <w:rFonts w:cs="Times New Roman"/>
          <w:lang w:val="sk-SK"/>
        </w:rPr>
        <w:t xml:space="preserve"> aj v prítomnosti kovových implantátov</w:t>
      </w:r>
    </w:p>
    <w:p w:rsidR="00837CBD" w:rsidRPr="004D7E48" w:rsidRDefault="00A67433" w:rsidP="003E3767">
      <w:pPr>
        <w:pStyle w:val="Odsekzoznamu"/>
        <w:numPr>
          <w:ilvl w:val="0"/>
          <w:numId w:val="6"/>
        </w:numPr>
        <w:spacing w:after="120"/>
        <w:jc w:val="both"/>
        <w:rPr>
          <w:rFonts w:cs="Times New Roman"/>
          <w:lang w:val="sk-SK"/>
        </w:rPr>
      </w:pPr>
      <w:r w:rsidRPr="004D7E48">
        <w:rPr>
          <w:rFonts w:cs="Times New Roman"/>
          <w:lang w:val="sk-SK"/>
        </w:rPr>
        <w:t>Diabetic</w:t>
      </w:r>
      <w:r w:rsidR="00A16F17" w:rsidRPr="004D7E48">
        <w:rPr>
          <w:rFonts w:cs="Times New Roman"/>
          <w:lang w:val="sk-SK"/>
        </w:rPr>
        <w:t>k</w:t>
      </w:r>
      <w:r w:rsidR="002120A5" w:rsidRPr="004D7E48">
        <w:rPr>
          <w:rFonts w:cs="Times New Roman"/>
          <w:lang w:val="sk-SK"/>
        </w:rPr>
        <w:t>ého</w:t>
      </w:r>
      <w:r w:rsidR="00A16F17" w:rsidRPr="004D7E48">
        <w:rPr>
          <w:rFonts w:cs="Times New Roman"/>
          <w:lang w:val="sk-SK"/>
        </w:rPr>
        <w:t xml:space="preserve"> pacient</w:t>
      </w:r>
      <w:r w:rsidR="002120A5" w:rsidRPr="004D7E48">
        <w:rPr>
          <w:rFonts w:cs="Times New Roman"/>
          <w:lang w:val="sk-SK"/>
        </w:rPr>
        <w:t>a</w:t>
      </w:r>
      <w:r w:rsidR="00A16F17" w:rsidRPr="004D7E48">
        <w:rPr>
          <w:rFonts w:cs="Times New Roman"/>
          <w:lang w:val="sk-SK"/>
        </w:rPr>
        <w:t xml:space="preserve"> s podozrením na </w:t>
      </w:r>
      <w:r w:rsidRPr="004D7E48">
        <w:rPr>
          <w:rFonts w:cs="Times New Roman"/>
          <w:lang w:val="sk-SK"/>
        </w:rPr>
        <w:t>Charcot</w:t>
      </w:r>
      <w:r w:rsidR="00A16F17" w:rsidRPr="004D7E48">
        <w:rPr>
          <w:rFonts w:cs="Times New Roman"/>
          <w:lang w:val="sk-SK"/>
        </w:rPr>
        <w:t>ovu</w:t>
      </w:r>
      <w:r w:rsidRPr="004D7E48">
        <w:rPr>
          <w:rFonts w:cs="Times New Roman"/>
          <w:lang w:val="sk-SK"/>
        </w:rPr>
        <w:t xml:space="preserve"> neuroartropat</w:t>
      </w:r>
      <w:r w:rsidR="00A16F17" w:rsidRPr="004D7E48">
        <w:rPr>
          <w:rFonts w:cs="Times New Roman"/>
          <w:lang w:val="sk-SK"/>
        </w:rPr>
        <w:t>iu nohy</w:t>
      </w:r>
      <w:r w:rsidRPr="004D7E48">
        <w:rPr>
          <w:rFonts w:cs="Times New Roman"/>
          <w:lang w:val="sk-SK"/>
        </w:rPr>
        <w:t>, osteomyeli</w:t>
      </w:r>
      <w:r w:rsidR="00837CBD" w:rsidRPr="004D7E48">
        <w:rPr>
          <w:rFonts w:cs="Times New Roman"/>
          <w:lang w:val="sk-SK"/>
        </w:rPr>
        <w:t>t</w:t>
      </w:r>
      <w:r w:rsidR="00A16F17" w:rsidRPr="004D7E48">
        <w:rPr>
          <w:rFonts w:cs="Times New Roman"/>
          <w:lang w:val="sk-SK"/>
        </w:rPr>
        <w:t>ídou a/alebo infekciou mäkkých tkanív</w:t>
      </w:r>
    </w:p>
    <w:p w:rsidR="00837CBD" w:rsidRPr="004D7E48" w:rsidRDefault="002120A5" w:rsidP="003E3767">
      <w:pPr>
        <w:pStyle w:val="Odsekzoznamu"/>
        <w:numPr>
          <w:ilvl w:val="0"/>
          <w:numId w:val="6"/>
        </w:numPr>
        <w:spacing w:after="120"/>
        <w:jc w:val="both"/>
        <w:rPr>
          <w:rFonts w:cs="Times New Roman"/>
          <w:lang w:val="sk-SK"/>
        </w:rPr>
      </w:pPr>
      <w:r w:rsidRPr="004D7E48">
        <w:rPr>
          <w:rFonts w:cs="Times New Roman"/>
          <w:lang w:val="sk-SK"/>
        </w:rPr>
        <w:t>Bolestivej náhrady bedrového kĺbu</w:t>
      </w:r>
    </w:p>
    <w:p w:rsidR="00837CBD" w:rsidRPr="004D7E48" w:rsidRDefault="002120A5" w:rsidP="003E3767">
      <w:pPr>
        <w:pStyle w:val="Odsekzoznamu"/>
        <w:numPr>
          <w:ilvl w:val="0"/>
          <w:numId w:val="6"/>
        </w:numPr>
        <w:spacing w:after="120"/>
        <w:jc w:val="both"/>
        <w:rPr>
          <w:rFonts w:cs="Times New Roman"/>
          <w:lang w:val="sk-SK"/>
        </w:rPr>
      </w:pPr>
      <w:r w:rsidRPr="004D7E48">
        <w:rPr>
          <w:rFonts w:cs="Times New Roman"/>
          <w:lang w:val="sk-SK"/>
        </w:rPr>
        <w:t xml:space="preserve">Cievnej </w:t>
      </w:r>
      <w:r w:rsidR="0089743D" w:rsidRPr="00EB7A34">
        <w:rPr>
          <w:rFonts w:cs="Times New Roman"/>
          <w:lang w:val="sk-SK"/>
        </w:rPr>
        <w:t>náhrady</w:t>
      </w:r>
    </w:p>
    <w:p w:rsidR="00837CBD" w:rsidRPr="004D7E48" w:rsidRDefault="002120A5" w:rsidP="003E3767">
      <w:pPr>
        <w:pStyle w:val="Odsekzoznamu"/>
        <w:numPr>
          <w:ilvl w:val="0"/>
          <w:numId w:val="6"/>
        </w:numPr>
        <w:spacing w:after="120"/>
        <w:jc w:val="both"/>
        <w:rPr>
          <w:rFonts w:cs="Times New Roman"/>
          <w:lang w:val="sk-SK"/>
        </w:rPr>
      </w:pPr>
      <w:r w:rsidRPr="004D7E48">
        <w:rPr>
          <w:rFonts w:cs="Times New Roman"/>
          <w:lang w:val="sk-SK"/>
        </w:rPr>
        <w:t>Horúčky u pacienta s AIDS</w:t>
      </w:r>
    </w:p>
    <w:p w:rsidR="00A67433" w:rsidRPr="004D7E48" w:rsidRDefault="00A67433" w:rsidP="003E3767">
      <w:pPr>
        <w:pStyle w:val="Odsekzoznamu"/>
        <w:numPr>
          <w:ilvl w:val="0"/>
          <w:numId w:val="6"/>
        </w:numPr>
        <w:spacing w:after="120"/>
        <w:jc w:val="both"/>
        <w:rPr>
          <w:rFonts w:cs="Times New Roman"/>
          <w:lang w:val="sk-SK"/>
        </w:rPr>
      </w:pPr>
      <w:r w:rsidRPr="004D7E48">
        <w:rPr>
          <w:rFonts w:cs="Times New Roman"/>
          <w:lang w:val="sk-SK"/>
        </w:rPr>
        <w:t>Dete</w:t>
      </w:r>
      <w:r w:rsidR="002120A5" w:rsidRPr="004D7E48">
        <w:rPr>
          <w:rFonts w:cs="Times New Roman"/>
          <w:lang w:val="sk-SK"/>
        </w:rPr>
        <w:t>kcie septických metastáz v prípade bakteriémie alebo endokarditídy (pozri tiež časť 4.4)</w:t>
      </w:r>
    </w:p>
    <w:p w:rsidR="002120A5" w:rsidRPr="004D7E48" w:rsidRDefault="002120A5" w:rsidP="003E3767">
      <w:pPr>
        <w:pStyle w:val="Odsekzoznamu"/>
        <w:spacing w:after="120"/>
        <w:jc w:val="both"/>
        <w:rPr>
          <w:rFonts w:cs="Times New Roman"/>
          <w:lang w:val="sk-SK"/>
        </w:rPr>
      </w:pPr>
    </w:p>
    <w:p w:rsidR="00A67433" w:rsidRPr="004D7E48" w:rsidRDefault="002120A5" w:rsidP="003E3767">
      <w:pPr>
        <w:spacing w:after="120"/>
        <w:jc w:val="both"/>
        <w:rPr>
          <w:rFonts w:cs="Times New Roman"/>
          <w:u w:val="single"/>
          <w:lang w:val="sk-SK"/>
        </w:rPr>
      </w:pPr>
      <w:r w:rsidRPr="004D7E48">
        <w:rPr>
          <w:rFonts w:cs="Times New Roman"/>
          <w:u w:val="single"/>
          <w:lang w:val="sk-SK"/>
        </w:rPr>
        <w:t>Detekcia rozsahu zápalu v prípade</w:t>
      </w:r>
      <w:r w:rsidR="00837CBD" w:rsidRPr="004D7E48">
        <w:rPr>
          <w:rFonts w:cs="Times New Roman"/>
          <w:u w:val="single"/>
          <w:lang w:val="sk-SK"/>
        </w:rPr>
        <w:t>:</w:t>
      </w:r>
    </w:p>
    <w:p w:rsidR="00837CBD" w:rsidRPr="004D7E48" w:rsidRDefault="002120A5" w:rsidP="003E3767">
      <w:pPr>
        <w:pStyle w:val="Odsekzoznamu"/>
        <w:numPr>
          <w:ilvl w:val="0"/>
          <w:numId w:val="6"/>
        </w:numPr>
        <w:spacing w:after="120"/>
        <w:jc w:val="both"/>
        <w:rPr>
          <w:rFonts w:cs="Times New Roman"/>
          <w:lang w:val="sk-SK"/>
        </w:rPr>
      </w:pPr>
      <w:r w:rsidRPr="004D7E48">
        <w:rPr>
          <w:rFonts w:cs="Times New Roman"/>
          <w:lang w:val="sk-SK"/>
        </w:rPr>
        <w:t>Sark</w:t>
      </w:r>
      <w:r w:rsidR="00A67433" w:rsidRPr="004D7E48">
        <w:rPr>
          <w:rFonts w:cs="Times New Roman"/>
          <w:lang w:val="sk-SK"/>
        </w:rPr>
        <w:t>oid</w:t>
      </w:r>
      <w:r w:rsidRPr="004D7E48">
        <w:rPr>
          <w:rFonts w:cs="Times New Roman"/>
          <w:lang w:val="sk-SK"/>
        </w:rPr>
        <w:t>ózy</w:t>
      </w:r>
    </w:p>
    <w:p w:rsidR="00837CBD" w:rsidRPr="004D7E48" w:rsidRDefault="002120A5" w:rsidP="003E3767">
      <w:pPr>
        <w:pStyle w:val="Odsekzoznamu"/>
        <w:numPr>
          <w:ilvl w:val="0"/>
          <w:numId w:val="6"/>
        </w:numPr>
        <w:spacing w:after="120"/>
        <w:jc w:val="both"/>
        <w:rPr>
          <w:rFonts w:cs="Times New Roman"/>
          <w:lang w:val="sk-SK"/>
        </w:rPr>
      </w:pPr>
      <w:r w:rsidRPr="004D7E48">
        <w:rPr>
          <w:rFonts w:cs="Times New Roman"/>
          <w:lang w:val="sk-SK"/>
        </w:rPr>
        <w:t>Zápalového ochorenia čreva</w:t>
      </w:r>
    </w:p>
    <w:p w:rsidR="00A67433" w:rsidRPr="004D7E48" w:rsidRDefault="00A67433" w:rsidP="003E3767">
      <w:pPr>
        <w:pStyle w:val="Odsekzoznamu"/>
        <w:numPr>
          <w:ilvl w:val="0"/>
          <w:numId w:val="6"/>
        </w:numPr>
        <w:spacing w:after="120"/>
        <w:jc w:val="both"/>
        <w:rPr>
          <w:rFonts w:cs="Times New Roman"/>
          <w:lang w:val="sk-SK"/>
        </w:rPr>
      </w:pPr>
      <w:r w:rsidRPr="004D7E48">
        <w:rPr>
          <w:rFonts w:cs="Times New Roman"/>
          <w:lang w:val="sk-SK"/>
        </w:rPr>
        <w:t>Vas</w:t>
      </w:r>
      <w:r w:rsidR="002120A5" w:rsidRPr="004D7E48">
        <w:rPr>
          <w:rFonts w:cs="Times New Roman"/>
          <w:lang w:val="sk-SK"/>
        </w:rPr>
        <w:t>kulitídy veľkých ciev</w:t>
      </w:r>
    </w:p>
    <w:p w:rsidR="002120A5" w:rsidRPr="004D7E48" w:rsidRDefault="002120A5" w:rsidP="003E3767">
      <w:pPr>
        <w:pStyle w:val="Odsekzoznamu"/>
        <w:spacing w:after="120"/>
        <w:jc w:val="both"/>
        <w:rPr>
          <w:rFonts w:cs="Times New Roman"/>
          <w:lang w:val="sk-SK"/>
        </w:rPr>
      </w:pPr>
    </w:p>
    <w:p w:rsidR="00A67433" w:rsidRPr="004D7E48" w:rsidRDefault="002120A5" w:rsidP="003E3767">
      <w:pPr>
        <w:spacing w:after="120"/>
        <w:jc w:val="both"/>
        <w:rPr>
          <w:rFonts w:cs="Times New Roman"/>
          <w:u w:val="single"/>
          <w:lang w:val="sk-SK"/>
        </w:rPr>
      </w:pPr>
      <w:r w:rsidRPr="004D7E48">
        <w:rPr>
          <w:rFonts w:cs="Times New Roman"/>
          <w:u w:val="single"/>
          <w:lang w:val="sk-SK"/>
        </w:rPr>
        <w:t>Terapeutické sledovanie</w:t>
      </w:r>
    </w:p>
    <w:p w:rsidR="002120A5" w:rsidRPr="004D7E48" w:rsidRDefault="002120A5" w:rsidP="003E3767">
      <w:pPr>
        <w:spacing w:after="120"/>
        <w:jc w:val="both"/>
        <w:rPr>
          <w:rFonts w:cs="Times New Roman"/>
          <w:lang w:val="sk-SK"/>
        </w:rPr>
      </w:pPr>
      <w:r w:rsidRPr="004D7E48">
        <w:rPr>
          <w:rFonts w:cs="Times New Roman"/>
          <w:lang w:val="sk-SK"/>
        </w:rPr>
        <w:t>Neresekovateľná alveolárna echinokokóza</w:t>
      </w:r>
      <w:r w:rsidR="00A67433" w:rsidRPr="004D7E48">
        <w:rPr>
          <w:rFonts w:cs="Times New Roman"/>
          <w:lang w:val="sk-SK"/>
        </w:rPr>
        <w:t xml:space="preserve">, </w:t>
      </w:r>
      <w:r w:rsidRPr="004D7E48">
        <w:rPr>
          <w:rFonts w:cs="Times New Roman"/>
          <w:lang w:val="sk-SK"/>
        </w:rPr>
        <w:t>pri hľadaní aktívnych ložísk parazita počas liečby a po prerušení liečby</w:t>
      </w:r>
    </w:p>
    <w:p w:rsidR="002120A5" w:rsidRPr="004D7E48" w:rsidRDefault="002120A5" w:rsidP="003E3767">
      <w:pPr>
        <w:spacing w:after="120"/>
        <w:jc w:val="both"/>
        <w:rPr>
          <w:rFonts w:cs="Times New Roman"/>
          <w:lang w:val="sk-SK"/>
        </w:rPr>
      </w:pPr>
    </w:p>
    <w:p w:rsidR="00464899" w:rsidRPr="004D7E48" w:rsidRDefault="00464899" w:rsidP="003E3767">
      <w:pPr>
        <w:spacing w:after="120"/>
        <w:jc w:val="both"/>
        <w:rPr>
          <w:rFonts w:cs="Times New Roman"/>
          <w:b/>
          <w:lang w:val="sk-SK"/>
        </w:rPr>
      </w:pPr>
      <w:r w:rsidRPr="004D7E48">
        <w:rPr>
          <w:rFonts w:cs="Times New Roman"/>
          <w:b/>
          <w:lang w:val="sk-SK"/>
        </w:rPr>
        <w:t>4.2</w:t>
      </w:r>
      <w:r w:rsidRPr="004D7E48">
        <w:rPr>
          <w:rFonts w:cs="Times New Roman"/>
          <w:b/>
          <w:lang w:val="sk-SK"/>
        </w:rPr>
        <w:tab/>
        <w:t>Dávkovanie a spôsob podávania</w:t>
      </w:r>
    </w:p>
    <w:p w:rsidR="00464899" w:rsidRPr="004D7E48" w:rsidRDefault="00464899" w:rsidP="003E3767">
      <w:pPr>
        <w:autoSpaceDE w:val="0"/>
        <w:autoSpaceDN w:val="0"/>
        <w:adjustRightInd w:val="0"/>
        <w:spacing w:after="120"/>
        <w:jc w:val="both"/>
        <w:rPr>
          <w:rFonts w:cs="Times New Roman"/>
          <w:lang w:val="sk-SK"/>
        </w:rPr>
      </w:pPr>
    </w:p>
    <w:p w:rsidR="00464899" w:rsidRPr="004D7E48" w:rsidRDefault="00464899" w:rsidP="003E3767">
      <w:pPr>
        <w:autoSpaceDE w:val="0"/>
        <w:autoSpaceDN w:val="0"/>
        <w:adjustRightInd w:val="0"/>
        <w:spacing w:after="120"/>
        <w:jc w:val="both"/>
        <w:rPr>
          <w:rFonts w:cs="Times New Roman"/>
          <w:b/>
          <w:lang w:val="sk-SK"/>
        </w:rPr>
      </w:pPr>
      <w:r w:rsidRPr="004D7E48">
        <w:rPr>
          <w:rFonts w:cs="Times New Roman"/>
          <w:b/>
          <w:lang w:val="sk-SK"/>
        </w:rPr>
        <w:t>Dávkovanie</w:t>
      </w:r>
    </w:p>
    <w:p w:rsidR="00464899" w:rsidRPr="004D7E48" w:rsidRDefault="00464899" w:rsidP="003E3767">
      <w:pPr>
        <w:autoSpaceDE w:val="0"/>
        <w:autoSpaceDN w:val="0"/>
        <w:adjustRightInd w:val="0"/>
        <w:spacing w:after="120"/>
        <w:jc w:val="both"/>
        <w:rPr>
          <w:rFonts w:cs="Times New Roman"/>
          <w:i/>
          <w:lang w:val="sk-SK"/>
        </w:rPr>
      </w:pPr>
      <w:r w:rsidRPr="004D7E48">
        <w:rPr>
          <w:rFonts w:cs="Times New Roman"/>
          <w:i/>
          <w:lang w:val="sk-SK"/>
        </w:rPr>
        <w:t>Dospelí a staršie osoby</w:t>
      </w:r>
    </w:p>
    <w:p w:rsidR="00464899" w:rsidRPr="004D7E48" w:rsidRDefault="00464899" w:rsidP="003E3767">
      <w:pPr>
        <w:autoSpaceDE w:val="0"/>
        <w:autoSpaceDN w:val="0"/>
        <w:adjustRightInd w:val="0"/>
        <w:spacing w:after="120"/>
        <w:jc w:val="both"/>
        <w:rPr>
          <w:rFonts w:cs="Times New Roman"/>
          <w:lang w:val="sk-SK"/>
        </w:rPr>
      </w:pPr>
      <w:r w:rsidRPr="004D7E48">
        <w:rPr>
          <w:rFonts w:cs="Times New Roman"/>
          <w:lang w:val="sk-SK"/>
        </w:rPr>
        <w:t>Odporúčaná aktivita pre dospelých pacientov s hmotnosťou 70 kg je od 100 do 400 MBq (upravuje sa  v závislosti od telesnej hmotnosti pacienta, od typu použitej kamery a režimu snímania) a podáva sa  priamou intravenóznou injekciou.</w:t>
      </w:r>
    </w:p>
    <w:p w:rsidR="00464899" w:rsidRPr="004D7E48" w:rsidRDefault="00464899" w:rsidP="003E3767">
      <w:pPr>
        <w:spacing w:after="120"/>
        <w:jc w:val="both"/>
        <w:rPr>
          <w:rFonts w:cs="Times New Roman"/>
          <w:i/>
          <w:lang w:val="sk-SK"/>
        </w:rPr>
      </w:pPr>
      <w:r w:rsidRPr="004D7E48">
        <w:rPr>
          <w:rFonts w:cs="Times New Roman"/>
          <w:i/>
          <w:lang w:val="sk-SK"/>
        </w:rPr>
        <w:t>Pacienti s poruchou funkcie obličiek a pečene</w:t>
      </w:r>
    </w:p>
    <w:p w:rsidR="00A67433" w:rsidRPr="004D7E48" w:rsidRDefault="00464899" w:rsidP="003E3767">
      <w:pPr>
        <w:spacing w:after="120"/>
        <w:jc w:val="both"/>
        <w:rPr>
          <w:rFonts w:cs="Times New Roman"/>
          <w:lang w:val="sk-SK"/>
        </w:rPr>
      </w:pPr>
      <w:r w:rsidRPr="004D7E48">
        <w:rPr>
          <w:rFonts w:cs="Times New Roman"/>
          <w:lang w:val="sk-SK"/>
        </w:rPr>
        <w:t>Potrebné je starostlivé zváženie aplikovanej a</w:t>
      </w:r>
      <w:r w:rsidR="00276425">
        <w:rPr>
          <w:rFonts w:cs="Times New Roman"/>
          <w:lang w:val="sk-SK"/>
        </w:rPr>
        <w:t>k</w:t>
      </w:r>
      <w:r w:rsidRPr="004D7E48">
        <w:rPr>
          <w:rFonts w:cs="Times New Roman"/>
          <w:lang w:val="sk-SK"/>
        </w:rPr>
        <w:t xml:space="preserve">tivity, nakoľko u týchto pacientov je možná vyššia expozícia radiácii. </w:t>
      </w:r>
    </w:p>
    <w:p w:rsidR="00464899" w:rsidRPr="004D7E48" w:rsidRDefault="00464899" w:rsidP="003E3767">
      <w:pPr>
        <w:autoSpaceDE w:val="0"/>
        <w:autoSpaceDN w:val="0"/>
        <w:adjustRightInd w:val="0"/>
        <w:spacing w:after="120"/>
        <w:jc w:val="both"/>
        <w:rPr>
          <w:rFonts w:cs="Times New Roman"/>
          <w:lang w:val="sk-SK"/>
        </w:rPr>
      </w:pPr>
      <w:r w:rsidRPr="004D7E48">
        <w:rPr>
          <w:rFonts w:cs="Times New Roman"/>
          <w:lang w:val="sk-SK"/>
        </w:rPr>
        <w:lastRenderedPageBreak/>
        <w:t>U </w:t>
      </w:r>
      <w:r w:rsidR="00276425" w:rsidRPr="004D7E48">
        <w:rPr>
          <w:rFonts w:cs="Times New Roman"/>
          <w:lang w:val="sk-SK"/>
        </w:rPr>
        <w:t>normálnej</w:t>
      </w:r>
      <w:r w:rsidRPr="004D7E48">
        <w:rPr>
          <w:rFonts w:cs="Times New Roman"/>
          <w:lang w:val="sk-SK"/>
        </w:rPr>
        <w:t xml:space="preserve"> a </w:t>
      </w:r>
      <w:r w:rsidR="00276425">
        <w:rPr>
          <w:rFonts w:cs="Times New Roman"/>
          <w:lang w:val="sk-SK"/>
        </w:rPr>
        <w:t>špeciálnej</w:t>
      </w:r>
      <w:r w:rsidRPr="004D7E48">
        <w:rPr>
          <w:rFonts w:cs="Times New Roman"/>
          <w:lang w:val="sk-SK"/>
        </w:rPr>
        <w:t xml:space="preserve"> populácie sa nevykonávali žiadne rozsiahle štúdie s</w:t>
      </w:r>
      <w:r w:rsidR="00EB7A34">
        <w:rPr>
          <w:rFonts w:cs="Times New Roman"/>
          <w:lang w:val="sk-SK"/>
        </w:rPr>
        <w:t> </w:t>
      </w:r>
      <w:r w:rsidRPr="004D7E48">
        <w:rPr>
          <w:rFonts w:cs="Times New Roman"/>
          <w:lang w:val="sk-SK"/>
        </w:rPr>
        <w:t>týmto</w:t>
      </w:r>
      <w:r w:rsidR="00EB7A34">
        <w:rPr>
          <w:rFonts w:cs="Times New Roman"/>
          <w:lang w:val="sk-SK"/>
        </w:rPr>
        <w:t xml:space="preserve"> </w:t>
      </w:r>
      <w:r w:rsidR="00276425">
        <w:rPr>
          <w:rFonts w:cs="Times New Roman"/>
          <w:lang w:val="sk-SK"/>
        </w:rPr>
        <w:t>liekom</w:t>
      </w:r>
      <w:r w:rsidRPr="004D7E48">
        <w:rPr>
          <w:rFonts w:cs="Times New Roman"/>
          <w:lang w:val="sk-SK"/>
        </w:rPr>
        <w:t xml:space="preserve">, čo sa týka </w:t>
      </w:r>
      <w:r w:rsidR="00EB7A34" w:rsidRPr="006A5FD1">
        <w:rPr>
          <w:rFonts w:cs="Times New Roman"/>
          <w:lang w:val="sk-SK"/>
        </w:rPr>
        <w:t>rozsahu dávkovania a</w:t>
      </w:r>
      <w:r w:rsidR="00EB7A34">
        <w:rPr>
          <w:rFonts w:cs="Times New Roman"/>
          <w:lang w:val="sk-SK"/>
        </w:rPr>
        <w:t> </w:t>
      </w:r>
      <w:r w:rsidR="00EB7A34" w:rsidRPr="006A5FD1">
        <w:rPr>
          <w:rFonts w:cs="Times New Roman"/>
          <w:lang w:val="sk-SK"/>
        </w:rPr>
        <w:t>prispôsobenia</w:t>
      </w:r>
      <w:r w:rsidR="00EB7A34">
        <w:rPr>
          <w:rFonts w:cs="Times New Roman"/>
          <w:lang w:val="sk-SK"/>
        </w:rPr>
        <w:t xml:space="preserve"> dávok</w:t>
      </w:r>
      <w:r w:rsidRPr="004D7E48">
        <w:rPr>
          <w:rFonts w:cs="Times New Roman"/>
          <w:lang w:val="sk-SK"/>
        </w:rPr>
        <w:t xml:space="preserve">. </w:t>
      </w:r>
    </w:p>
    <w:p w:rsidR="00464899" w:rsidRPr="004D7E48" w:rsidRDefault="00464899" w:rsidP="003E3767">
      <w:pPr>
        <w:autoSpaceDE w:val="0"/>
        <w:autoSpaceDN w:val="0"/>
        <w:adjustRightInd w:val="0"/>
        <w:spacing w:after="120"/>
        <w:jc w:val="both"/>
        <w:rPr>
          <w:rFonts w:cs="Times New Roman"/>
          <w:lang w:val="sk-SK"/>
        </w:rPr>
      </w:pPr>
      <w:r w:rsidRPr="004D7E48">
        <w:rPr>
          <w:rFonts w:cs="Times New Roman"/>
          <w:lang w:val="sk-SK"/>
        </w:rPr>
        <w:t>Farmakokinetika fludeoxyglukózy (</w:t>
      </w:r>
      <w:r w:rsidRPr="004D7E48">
        <w:rPr>
          <w:rFonts w:cs="Times New Roman"/>
          <w:vertAlign w:val="superscript"/>
          <w:lang w:val="sk-SK"/>
        </w:rPr>
        <w:t>18</w:t>
      </w:r>
      <w:r w:rsidRPr="004D7E48">
        <w:rPr>
          <w:rFonts w:cs="Times New Roman"/>
          <w:lang w:val="sk-SK"/>
        </w:rPr>
        <w:t>F) nebola stanovená u pacientov s poruchou funkcie obličiek.</w:t>
      </w:r>
    </w:p>
    <w:p w:rsidR="00F3067E" w:rsidRPr="004D7E48" w:rsidRDefault="00F3067E" w:rsidP="003E3767">
      <w:pPr>
        <w:spacing w:after="120"/>
        <w:jc w:val="both"/>
        <w:rPr>
          <w:rFonts w:cs="Times New Roman"/>
          <w:lang w:val="sk-SK"/>
        </w:rPr>
      </w:pPr>
    </w:p>
    <w:p w:rsidR="00464899" w:rsidRPr="004D7E48" w:rsidRDefault="00E36367" w:rsidP="003E3767">
      <w:pPr>
        <w:autoSpaceDE w:val="0"/>
        <w:autoSpaceDN w:val="0"/>
        <w:adjustRightInd w:val="0"/>
        <w:spacing w:after="120"/>
        <w:jc w:val="both"/>
        <w:rPr>
          <w:rFonts w:cs="Times New Roman"/>
          <w:i/>
          <w:iCs/>
          <w:lang w:val="sk-SK" w:eastAsia="sk-SK"/>
        </w:rPr>
      </w:pPr>
      <w:r w:rsidRPr="004D7E48">
        <w:rPr>
          <w:rFonts w:cs="Times New Roman"/>
          <w:i/>
          <w:iCs/>
          <w:lang w:val="sk-SK" w:eastAsia="sk-SK"/>
        </w:rPr>
        <w:t>Pediatrická populácia</w:t>
      </w:r>
    </w:p>
    <w:p w:rsidR="00464899" w:rsidRPr="004D7E48" w:rsidRDefault="00464899" w:rsidP="003E3767">
      <w:pPr>
        <w:autoSpaceDE w:val="0"/>
        <w:autoSpaceDN w:val="0"/>
        <w:adjustRightInd w:val="0"/>
        <w:spacing w:after="120"/>
        <w:jc w:val="both"/>
        <w:rPr>
          <w:rFonts w:cs="Times New Roman"/>
          <w:lang w:val="sk-SK"/>
        </w:rPr>
      </w:pPr>
      <w:r w:rsidRPr="004D7E48">
        <w:rPr>
          <w:rFonts w:cs="Times New Roman"/>
          <w:lang w:val="sk-SK"/>
        </w:rPr>
        <w:t>Použitie u detí a dospievajúcich je potrebné starostlivo zvážiť na základe klinických potrieb a posudzovania pomeru rizika/prínosu u tejto skupiny pacientov. Aktivitu podávanú deťom a mladistvým možno vypočítať na základe odporučenia Pediatrickej pracovnej skupiny EANM</w:t>
      </w:r>
      <w:r w:rsidRPr="004D7E48">
        <w:rPr>
          <w:rFonts w:cs="Times New Roman"/>
          <w:lang w:val="sk-SK"/>
        </w:rPr>
        <w:sym w:font="Symbol" w:char="F03B"/>
      </w:r>
      <w:r w:rsidRPr="004D7E48">
        <w:rPr>
          <w:rFonts w:cs="Times New Roman"/>
          <w:lang w:val="sk-SK"/>
        </w:rPr>
        <w:t xml:space="preserve">  z odporúčaných dávok pre dospelých podľa telesnej hmotnosti detí a mladistvých, s použitím koeficientov uvedených v tabuľke nižšie.</w:t>
      </w:r>
    </w:p>
    <w:p w:rsidR="00464899" w:rsidRPr="004D7E48" w:rsidRDefault="00464899" w:rsidP="00181704">
      <w:pPr>
        <w:autoSpaceDE w:val="0"/>
        <w:autoSpaceDN w:val="0"/>
        <w:adjustRightInd w:val="0"/>
        <w:spacing w:after="120"/>
        <w:jc w:val="center"/>
        <w:rPr>
          <w:rFonts w:cs="Times New Roman"/>
          <w:b/>
          <w:lang w:val="sk-SK" w:eastAsia="sk-SK"/>
        </w:rPr>
      </w:pPr>
      <w:r w:rsidRPr="004D7E48">
        <w:rPr>
          <w:rFonts w:cs="Times New Roman"/>
          <w:b/>
          <w:lang w:val="sk-SK" w:eastAsia="sk-SK"/>
        </w:rPr>
        <w:t>A[MBq]Podávaná = Základná aktivita × Koeficient</w:t>
      </w:r>
    </w:p>
    <w:p w:rsidR="00464899" w:rsidRPr="004D7E48" w:rsidRDefault="00464899" w:rsidP="003E3767">
      <w:pPr>
        <w:autoSpaceDE w:val="0"/>
        <w:autoSpaceDN w:val="0"/>
        <w:adjustRightInd w:val="0"/>
        <w:spacing w:after="120"/>
        <w:jc w:val="both"/>
        <w:rPr>
          <w:rFonts w:cs="Times New Roman"/>
          <w:lang w:val="sk-SK"/>
        </w:rPr>
      </w:pPr>
      <w:r w:rsidRPr="004D7E48">
        <w:rPr>
          <w:rFonts w:cs="Times New Roman"/>
          <w:lang w:val="sk-SK" w:eastAsia="sk-SK"/>
        </w:rPr>
        <w:t>Základná aktivita</w:t>
      </w:r>
      <w:r w:rsidRPr="004D7E48">
        <w:rPr>
          <w:rFonts w:cs="Times New Roman"/>
          <w:lang w:val="sk-SK"/>
        </w:rPr>
        <w:t xml:space="preserve"> pre 2D zobrazovanie je 25,9 MBq a pre 3D zobrazovanie 14,0 MBq (doporučené u detí).</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5"/>
        <w:gridCol w:w="1255"/>
        <w:gridCol w:w="1731"/>
        <w:gridCol w:w="1535"/>
        <w:gridCol w:w="1731"/>
        <w:gridCol w:w="1536"/>
      </w:tblGrid>
      <w:tr w:rsidR="00E00751" w:rsidRPr="004D7E48" w:rsidTr="00181704">
        <w:tc>
          <w:tcPr>
            <w:tcW w:w="1695" w:type="dxa"/>
            <w:tcBorders>
              <w:top w:val="single" w:sz="8"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autoSpaceDE w:val="0"/>
              <w:autoSpaceDN w:val="0"/>
              <w:adjustRightInd w:val="0"/>
              <w:spacing w:after="120"/>
              <w:jc w:val="center"/>
              <w:rPr>
                <w:rFonts w:cs="Times New Roman"/>
                <w:b/>
                <w:lang w:val="sk-SK" w:eastAsia="sk-SK"/>
              </w:rPr>
            </w:pPr>
            <w:r w:rsidRPr="004D7E48">
              <w:rPr>
                <w:rFonts w:cs="Times New Roman"/>
                <w:b/>
                <w:bCs/>
                <w:lang w:val="sk-SK" w:eastAsia="sk-SK"/>
              </w:rPr>
              <w:t>Hmotnosť</w:t>
            </w:r>
            <w:r w:rsidR="00181704" w:rsidRPr="004D7E48">
              <w:rPr>
                <w:rFonts w:cs="Times New Roman"/>
                <w:b/>
                <w:bCs/>
                <w:lang w:val="sk-SK" w:eastAsia="sk-SK"/>
              </w:rPr>
              <w:t xml:space="preserve"> </w:t>
            </w:r>
            <w:r w:rsidRPr="004D7E48">
              <w:rPr>
                <w:rFonts w:cs="Times New Roman"/>
                <w:b/>
                <w:bCs/>
                <w:lang w:val="sk-SK" w:eastAsia="sk-SK"/>
              </w:rPr>
              <w:t>[kg]</w:t>
            </w:r>
          </w:p>
        </w:tc>
        <w:tc>
          <w:tcPr>
            <w:tcW w:w="1255" w:type="dxa"/>
            <w:tcBorders>
              <w:top w:val="single" w:sz="8"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Koeficient</w:t>
            </w:r>
          </w:p>
        </w:tc>
        <w:tc>
          <w:tcPr>
            <w:tcW w:w="1731" w:type="dxa"/>
            <w:tcBorders>
              <w:top w:val="single" w:sz="8"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bCs/>
                <w:lang w:val="sk-SK" w:eastAsia="sk-SK"/>
              </w:rPr>
              <w:t>Hmotnosť [kg]</w:t>
            </w:r>
          </w:p>
        </w:tc>
        <w:tc>
          <w:tcPr>
            <w:tcW w:w="1535" w:type="dxa"/>
            <w:tcBorders>
              <w:top w:val="single" w:sz="8"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Koeficient</w:t>
            </w:r>
          </w:p>
        </w:tc>
        <w:tc>
          <w:tcPr>
            <w:tcW w:w="1731" w:type="dxa"/>
            <w:tcBorders>
              <w:top w:val="single" w:sz="8"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bCs/>
                <w:lang w:val="sk-SK" w:eastAsia="sk-SK"/>
              </w:rPr>
              <w:t>Hmotnosť [kg]</w:t>
            </w:r>
          </w:p>
        </w:tc>
        <w:tc>
          <w:tcPr>
            <w:tcW w:w="1536" w:type="dxa"/>
            <w:tcBorders>
              <w:top w:val="single" w:sz="8"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Koeficient</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b/>
                <w:lang w:val="sk-SK" w:eastAsia="sk-SK"/>
              </w:rPr>
              <w:t>3</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b/>
                <w:lang w:val="sk-SK" w:eastAsia="sk-SK"/>
              </w:rPr>
              <w:t>22</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5,29</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42</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9,14</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b/>
                <w:lang w:val="sk-SK" w:eastAsia="sk-SK"/>
              </w:rPr>
              <w:t>4</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1,14</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b/>
                <w:lang w:val="sk-SK" w:eastAsia="sk-SK"/>
              </w:rPr>
              <w:t>24</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5,71</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44</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9,57</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6</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1,71</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26</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6,14</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46</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10,00</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8</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2,14</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28</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6,43</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48</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10,29</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10</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2,71</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30</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6,86</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50</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10,71</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12</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3,14</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32</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7,29</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52-54</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11,29</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14</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3,57</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34</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7,72</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56-58</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12,00</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16</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4,00</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36</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8,00</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60-62</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12,71</w:t>
            </w:r>
          </w:p>
        </w:tc>
      </w:tr>
      <w:tr w:rsidR="00E00751" w:rsidRPr="004D7E48" w:rsidTr="00181704">
        <w:tc>
          <w:tcPr>
            <w:tcW w:w="1695"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18</w:t>
            </w:r>
          </w:p>
        </w:tc>
        <w:tc>
          <w:tcPr>
            <w:tcW w:w="125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4,43</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38</w:t>
            </w:r>
          </w:p>
        </w:tc>
        <w:tc>
          <w:tcPr>
            <w:tcW w:w="1535"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8,43</w:t>
            </w:r>
          </w:p>
        </w:tc>
        <w:tc>
          <w:tcPr>
            <w:tcW w:w="1731" w:type="dxa"/>
            <w:tcBorders>
              <w:top w:val="single" w:sz="6" w:space="0" w:color="auto"/>
              <w:left w:val="single" w:sz="8" w:space="0" w:color="auto"/>
              <w:bottom w:val="single" w:sz="6"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64-66</w:t>
            </w:r>
          </w:p>
        </w:tc>
        <w:tc>
          <w:tcPr>
            <w:tcW w:w="1536" w:type="dxa"/>
            <w:tcBorders>
              <w:top w:val="single" w:sz="6" w:space="0" w:color="auto"/>
              <w:left w:val="single" w:sz="6" w:space="0" w:color="auto"/>
              <w:bottom w:val="single" w:sz="6"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13,43</w:t>
            </w:r>
          </w:p>
        </w:tc>
      </w:tr>
      <w:tr w:rsidR="00E00751" w:rsidRPr="004D7E48" w:rsidTr="00181704">
        <w:tc>
          <w:tcPr>
            <w:tcW w:w="1695" w:type="dxa"/>
            <w:tcBorders>
              <w:top w:val="single" w:sz="6" w:space="0" w:color="auto"/>
              <w:left w:val="single" w:sz="8" w:space="0" w:color="auto"/>
              <w:bottom w:val="single" w:sz="8"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20</w:t>
            </w:r>
          </w:p>
        </w:tc>
        <w:tc>
          <w:tcPr>
            <w:tcW w:w="1255" w:type="dxa"/>
            <w:tcBorders>
              <w:top w:val="single" w:sz="6" w:space="0" w:color="auto"/>
              <w:left w:val="single" w:sz="6" w:space="0" w:color="auto"/>
              <w:bottom w:val="single" w:sz="8"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4,86</w:t>
            </w:r>
          </w:p>
        </w:tc>
        <w:tc>
          <w:tcPr>
            <w:tcW w:w="1731" w:type="dxa"/>
            <w:tcBorders>
              <w:top w:val="single" w:sz="6" w:space="0" w:color="auto"/>
              <w:left w:val="single" w:sz="8" w:space="0" w:color="auto"/>
              <w:bottom w:val="single" w:sz="8"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40</w:t>
            </w:r>
          </w:p>
        </w:tc>
        <w:tc>
          <w:tcPr>
            <w:tcW w:w="1535" w:type="dxa"/>
            <w:tcBorders>
              <w:top w:val="single" w:sz="6" w:space="0" w:color="auto"/>
              <w:left w:val="single" w:sz="6" w:space="0" w:color="auto"/>
              <w:bottom w:val="single" w:sz="8" w:space="0" w:color="auto"/>
              <w:right w:val="single" w:sz="8"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lang w:val="sk-SK" w:eastAsia="sk-SK"/>
              </w:rPr>
              <w:t>8,86</w:t>
            </w:r>
          </w:p>
        </w:tc>
        <w:tc>
          <w:tcPr>
            <w:tcW w:w="1731" w:type="dxa"/>
            <w:tcBorders>
              <w:top w:val="single" w:sz="6" w:space="0" w:color="auto"/>
              <w:left w:val="single" w:sz="8" w:space="0" w:color="auto"/>
              <w:bottom w:val="single" w:sz="8" w:space="0" w:color="auto"/>
              <w:right w:val="single" w:sz="6" w:space="0" w:color="auto"/>
            </w:tcBorders>
            <w:shd w:val="clear" w:color="auto" w:fill="auto"/>
            <w:vAlign w:val="center"/>
          </w:tcPr>
          <w:p w:rsidR="00464899" w:rsidRPr="004D7E48" w:rsidRDefault="00464899" w:rsidP="0025099A">
            <w:pPr>
              <w:spacing w:after="120"/>
              <w:jc w:val="center"/>
              <w:rPr>
                <w:rFonts w:cs="Times New Roman"/>
                <w:b/>
                <w:lang w:val="sk-SK" w:eastAsia="sk-SK"/>
              </w:rPr>
            </w:pPr>
            <w:r w:rsidRPr="004D7E48">
              <w:rPr>
                <w:rFonts w:cs="Times New Roman"/>
                <w:b/>
                <w:lang w:val="sk-SK" w:eastAsia="sk-SK"/>
              </w:rPr>
              <w:t>68</w:t>
            </w:r>
          </w:p>
        </w:tc>
        <w:tc>
          <w:tcPr>
            <w:tcW w:w="1536" w:type="dxa"/>
            <w:tcBorders>
              <w:top w:val="single" w:sz="6" w:space="0" w:color="auto"/>
              <w:left w:val="single" w:sz="6" w:space="0" w:color="auto"/>
              <w:bottom w:val="single" w:sz="8" w:space="0" w:color="auto"/>
              <w:right w:val="single" w:sz="8" w:space="0" w:color="auto"/>
            </w:tcBorders>
            <w:shd w:val="clear" w:color="auto" w:fill="auto"/>
            <w:vAlign w:val="center"/>
          </w:tcPr>
          <w:p w:rsidR="00464899" w:rsidRPr="004D7E48" w:rsidRDefault="00464899" w:rsidP="0025099A">
            <w:pPr>
              <w:spacing w:after="120"/>
              <w:jc w:val="center"/>
              <w:rPr>
                <w:rFonts w:cs="Times New Roman"/>
                <w:lang w:val="sk-SK" w:eastAsia="sk-SK"/>
              </w:rPr>
            </w:pPr>
            <w:r w:rsidRPr="004D7E48">
              <w:rPr>
                <w:rFonts w:cs="Times New Roman"/>
                <w:lang w:val="sk-SK" w:eastAsia="sk-SK"/>
              </w:rPr>
              <w:t>14,00</w:t>
            </w:r>
          </w:p>
        </w:tc>
      </w:tr>
    </w:tbl>
    <w:p w:rsidR="00C306F9" w:rsidRPr="004D7E48" w:rsidRDefault="00C306F9" w:rsidP="003E3767">
      <w:pPr>
        <w:spacing w:after="120"/>
        <w:rPr>
          <w:rFonts w:cs="Times New Roman"/>
          <w:lang w:val="sk-SK"/>
        </w:rPr>
      </w:pPr>
    </w:p>
    <w:p w:rsidR="00464899" w:rsidRPr="004D7E48" w:rsidRDefault="00464899" w:rsidP="003E3767">
      <w:pPr>
        <w:autoSpaceDE w:val="0"/>
        <w:autoSpaceDN w:val="0"/>
        <w:adjustRightInd w:val="0"/>
        <w:spacing w:after="120"/>
        <w:jc w:val="both"/>
        <w:rPr>
          <w:rFonts w:cs="Times New Roman"/>
          <w:u w:val="single"/>
          <w:lang w:val="sk-SK" w:eastAsia="sk-SK"/>
        </w:rPr>
      </w:pPr>
      <w:r w:rsidRPr="004D7E48">
        <w:rPr>
          <w:rFonts w:cs="Times New Roman"/>
          <w:u w:val="single"/>
          <w:lang w:val="sk-SK" w:eastAsia="sk-SK"/>
        </w:rPr>
        <w:t>Spôsob podania</w:t>
      </w:r>
    </w:p>
    <w:p w:rsidR="00984FE7" w:rsidRPr="00EB7A34" w:rsidRDefault="0089743D" w:rsidP="003E3767">
      <w:pPr>
        <w:spacing w:after="120"/>
        <w:rPr>
          <w:rFonts w:cs="Times New Roman"/>
          <w:lang w:val="sk-SK"/>
        </w:rPr>
      </w:pPr>
      <w:r w:rsidRPr="00EB7A34">
        <w:rPr>
          <w:rFonts w:cs="Times New Roman"/>
          <w:lang w:val="sk-SK"/>
        </w:rPr>
        <w:t>Na intravenózn</w:t>
      </w:r>
      <w:r w:rsidR="00EB7A34" w:rsidRPr="006A5FD1">
        <w:rPr>
          <w:rFonts w:cs="Times New Roman"/>
          <w:lang w:val="sk-SK"/>
        </w:rPr>
        <w:t>e použitie</w:t>
      </w:r>
      <w:r w:rsidRPr="00EB7A34">
        <w:rPr>
          <w:rFonts w:cs="Times New Roman"/>
          <w:lang w:val="sk-SK"/>
        </w:rPr>
        <w:t>.</w:t>
      </w:r>
    </w:p>
    <w:p w:rsidR="003872DD" w:rsidRPr="004D7E48" w:rsidRDefault="00F25ACA" w:rsidP="003E3767">
      <w:pPr>
        <w:spacing w:after="120"/>
        <w:jc w:val="both"/>
        <w:rPr>
          <w:rFonts w:cs="Times New Roman"/>
          <w:lang w:val="sk-SK"/>
        </w:rPr>
      </w:pPr>
      <w:r>
        <w:rPr>
          <w:rFonts w:cs="Times New Roman"/>
          <w:lang w:val="sk-SK"/>
        </w:rPr>
        <w:t>Na viacdávkové použitie.</w:t>
      </w:r>
    </w:p>
    <w:p w:rsidR="00F23917" w:rsidRPr="004D7E48" w:rsidRDefault="00F23917" w:rsidP="003E3767">
      <w:pPr>
        <w:spacing w:after="120"/>
        <w:jc w:val="both"/>
        <w:rPr>
          <w:rFonts w:cs="Times New Roman"/>
          <w:lang w:val="sk-SK"/>
        </w:rPr>
      </w:pPr>
      <w:r w:rsidRPr="004D7E48">
        <w:rPr>
          <w:rFonts w:cs="Times New Roman"/>
          <w:lang w:val="sk-SK"/>
        </w:rPr>
        <w:t>Aktivita fludeoxyglukózy (</w:t>
      </w:r>
      <w:r w:rsidRPr="004D7E48">
        <w:rPr>
          <w:rFonts w:cs="Times New Roman"/>
          <w:vertAlign w:val="superscript"/>
          <w:lang w:val="sk-SK"/>
        </w:rPr>
        <w:t>18</w:t>
      </w:r>
      <w:r w:rsidRPr="004D7E48">
        <w:rPr>
          <w:rFonts w:cs="Times New Roman"/>
          <w:lang w:val="sk-SK"/>
        </w:rPr>
        <w:t>F) sa musí zmerať pomocou dávkového kalibrátora pred aplikáciou pacientovi.</w:t>
      </w:r>
    </w:p>
    <w:p w:rsidR="00F3067E" w:rsidRPr="004D7E48" w:rsidRDefault="00F23917" w:rsidP="003E3767">
      <w:pPr>
        <w:spacing w:after="120"/>
        <w:jc w:val="both"/>
        <w:rPr>
          <w:rFonts w:cs="Times New Roman"/>
          <w:lang w:val="sk-SK"/>
        </w:rPr>
      </w:pPr>
      <w:r w:rsidRPr="004D7E48">
        <w:rPr>
          <w:rFonts w:cs="Times New Roman"/>
          <w:lang w:val="sk-SK"/>
        </w:rPr>
        <w:t>Podanie injekcie fludeoxyglukózy (</w:t>
      </w:r>
      <w:r w:rsidRPr="004D7E48">
        <w:rPr>
          <w:rFonts w:cs="Times New Roman"/>
          <w:vertAlign w:val="superscript"/>
          <w:lang w:val="sk-SK"/>
        </w:rPr>
        <w:t>18</w:t>
      </w:r>
      <w:r w:rsidRPr="004D7E48">
        <w:rPr>
          <w:rFonts w:cs="Times New Roman"/>
          <w:lang w:val="sk-SK"/>
        </w:rPr>
        <w:t>F) musí byť intravenózne, aby nedošlo k ožiareniu v dôsledku lokálneho extravazálneho podania a tiež k artefaktom zobrazovania.</w:t>
      </w:r>
    </w:p>
    <w:p w:rsidR="00F23917" w:rsidRPr="004D7E48" w:rsidRDefault="00F23917" w:rsidP="003E3767">
      <w:pPr>
        <w:autoSpaceDE w:val="0"/>
        <w:autoSpaceDN w:val="0"/>
        <w:adjustRightInd w:val="0"/>
        <w:spacing w:after="120"/>
        <w:jc w:val="both"/>
        <w:rPr>
          <w:rFonts w:cs="Times New Roman"/>
          <w:lang w:val="sk-SK"/>
        </w:rPr>
      </w:pPr>
      <w:r w:rsidRPr="004D7E48">
        <w:rPr>
          <w:rFonts w:cs="Times New Roman"/>
          <w:lang w:val="sk-SK"/>
        </w:rPr>
        <w:t>Pokyny na riedenie lieku pred podaním, pozri časť 12.</w:t>
      </w:r>
    </w:p>
    <w:p w:rsidR="00F23917" w:rsidRPr="004D7E48" w:rsidRDefault="00F23917" w:rsidP="003E3767">
      <w:pPr>
        <w:spacing w:after="120"/>
        <w:jc w:val="both"/>
        <w:rPr>
          <w:rFonts w:cs="Times New Roman"/>
          <w:lang w:val="sk-SK"/>
        </w:rPr>
      </w:pPr>
      <w:r w:rsidRPr="004D7E48">
        <w:rPr>
          <w:rFonts w:cs="Times New Roman"/>
          <w:lang w:val="sk-SK"/>
        </w:rPr>
        <w:t>Príprava pacienta</w:t>
      </w:r>
      <w:r w:rsidR="00181704" w:rsidRPr="004D7E48">
        <w:rPr>
          <w:rFonts w:cs="Times New Roman"/>
          <w:lang w:val="sk-SK"/>
        </w:rPr>
        <w:t>,</w:t>
      </w:r>
      <w:r w:rsidRPr="004D7E48">
        <w:rPr>
          <w:rFonts w:cs="Times New Roman"/>
          <w:lang w:val="sk-SK"/>
        </w:rPr>
        <w:t xml:space="preserve"> pozri časť 4.4</w:t>
      </w:r>
    </w:p>
    <w:p w:rsidR="00F3067E" w:rsidRPr="004D7E48" w:rsidRDefault="00F3067E" w:rsidP="003E3767">
      <w:pPr>
        <w:spacing w:after="120"/>
        <w:jc w:val="both"/>
        <w:rPr>
          <w:rFonts w:cs="Times New Roman"/>
          <w:lang w:val="sk-SK"/>
        </w:rPr>
      </w:pPr>
    </w:p>
    <w:p w:rsidR="00E36367" w:rsidRPr="004D7E48" w:rsidRDefault="00E36367" w:rsidP="003E3767">
      <w:pPr>
        <w:spacing w:after="120"/>
        <w:jc w:val="both"/>
        <w:rPr>
          <w:rFonts w:cs="Times New Roman"/>
          <w:i/>
          <w:lang w:val="sk-SK" w:eastAsia="sk-SK"/>
        </w:rPr>
      </w:pPr>
      <w:r w:rsidRPr="004D7E48">
        <w:rPr>
          <w:rFonts w:cs="Times New Roman"/>
          <w:i/>
          <w:lang w:val="sk-SK" w:eastAsia="sk-SK"/>
        </w:rPr>
        <w:t>Snímanie obrazu</w:t>
      </w:r>
    </w:p>
    <w:p w:rsidR="00E36367" w:rsidRPr="004D7E48" w:rsidRDefault="00E36367" w:rsidP="003E3767">
      <w:pPr>
        <w:spacing w:after="120"/>
        <w:jc w:val="both"/>
        <w:rPr>
          <w:rFonts w:cs="Times New Roman"/>
          <w:lang w:val="sk-SK"/>
        </w:rPr>
      </w:pPr>
      <w:r w:rsidRPr="004D7E48">
        <w:rPr>
          <w:rFonts w:cs="Times New Roman"/>
          <w:lang w:val="sk-SK"/>
        </w:rPr>
        <w:lastRenderedPageBreak/>
        <w:t>Emisné skeny sa obyčajne vykonávajú 45 až 60 minút po aplikácii injekcie fludeoxyglukózy (</w:t>
      </w:r>
      <w:r w:rsidRPr="004D7E48">
        <w:rPr>
          <w:rFonts w:cs="Times New Roman"/>
          <w:vertAlign w:val="superscript"/>
          <w:lang w:val="sk-SK"/>
        </w:rPr>
        <w:t>18</w:t>
      </w:r>
      <w:r w:rsidRPr="004D7E48">
        <w:rPr>
          <w:rFonts w:cs="Times New Roman"/>
          <w:lang w:val="sk-SK"/>
        </w:rPr>
        <w:t>F). Pokiaľ zostane aktivita dostatočná pre štatisticky spoľahlivé hodnotenie, môže sa PET vyšetrenie pomocou fludeoxyglukózy (</w:t>
      </w:r>
      <w:r w:rsidRPr="004D7E48">
        <w:rPr>
          <w:rFonts w:cs="Times New Roman"/>
          <w:vertAlign w:val="superscript"/>
          <w:lang w:val="sk-SK"/>
        </w:rPr>
        <w:t>18</w:t>
      </w:r>
      <w:r w:rsidRPr="004D7E48">
        <w:rPr>
          <w:rFonts w:cs="Times New Roman"/>
          <w:lang w:val="sk-SK"/>
        </w:rPr>
        <w:t>F)  vykonať aj po dvoch až troch hodinách po podaní, tým sa zníži aktivita pozadia.</w:t>
      </w:r>
    </w:p>
    <w:p w:rsidR="00E36367" w:rsidRPr="004D7E48" w:rsidRDefault="00E36367" w:rsidP="003E3767">
      <w:pPr>
        <w:spacing w:after="120"/>
        <w:jc w:val="both"/>
        <w:rPr>
          <w:rFonts w:cs="Times New Roman"/>
          <w:lang w:val="sk-SK"/>
        </w:rPr>
      </w:pPr>
      <w:r w:rsidRPr="004D7E48">
        <w:rPr>
          <w:rFonts w:cs="Times New Roman"/>
          <w:lang w:val="sk-SK"/>
        </w:rPr>
        <w:t>V prípade potreby je možné PET vyšetrenie fludeoxyglukózou (</w:t>
      </w:r>
      <w:r w:rsidRPr="004D7E48">
        <w:rPr>
          <w:rFonts w:cs="Times New Roman"/>
          <w:vertAlign w:val="superscript"/>
          <w:lang w:val="sk-SK"/>
        </w:rPr>
        <w:t>18</w:t>
      </w:r>
      <w:r w:rsidRPr="004D7E48">
        <w:rPr>
          <w:rFonts w:cs="Times New Roman"/>
          <w:lang w:val="sk-SK"/>
        </w:rPr>
        <w:t>F) v krátkom čase opakovať.</w:t>
      </w:r>
    </w:p>
    <w:p w:rsidR="00181704" w:rsidRPr="004D7E48" w:rsidRDefault="00181704" w:rsidP="003E3767">
      <w:pPr>
        <w:spacing w:after="120"/>
        <w:jc w:val="both"/>
        <w:rPr>
          <w:rFonts w:cs="Times New Roman"/>
          <w:lang w:val="sk-SK"/>
        </w:rPr>
      </w:pPr>
    </w:p>
    <w:p w:rsidR="00E36367" w:rsidRPr="004D7E48" w:rsidRDefault="00E36367" w:rsidP="003E3767">
      <w:pPr>
        <w:numPr>
          <w:ilvl w:val="1"/>
          <w:numId w:val="12"/>
        </w:numPr>
        <w:tabs>
          <w:tab w:val="left" w:pos="567"/>
        </w:tabs>
        <w:spacing w:after="120"/>
        <w:ind w:left="0" w:firstLine="0"/>
        <w:jc w:val="both"/>
        <w:rPr>
          <w:rFonts w:cs="Times New Roman"/>
          <w:lang w:val="sk-SK"/>
        </w:rPr>
      </w:pPr>
      <w:r w:rsidRPr="004D7E48">
        <w:rPr>
          <w:rFonts w:cs="Times New Roman"/>
          <w:b/>
          <w:lang w:val="sk-SK"/>
        </w:rPr>
        <w:t xml:space="preserve">Kontraindikácie </w:t>
      </w:r>
    </w:p>
    <w:p w:rsidR="00E36367" w:rsidRPr="004D7E48" w:rsidRDefault="00E36367" w:rsidP="003E3767">
      <w:pPr>
        <w:tabs>
          <w:tab w:val="left" w:pos="567"/>
        </w:tabs>
        <w:spacing w:after="120"/>
        <w:jc w:val="both"/>
        <w:rPr>
          <w:rFonts w:cs="Times New Roman"/>
          <w:lang w:val="sk-SK"/>
        </w:rPr>
      </w:pPr>
      <w:r w:rsidRPr="004D7E48">
        <w:rPr>
          <w:rFonts w:cs="Times New Roman"/>
          <w:lang w:val="sk-SK"/>
        </w:rPr>
        <w:t>Precitlivenosť na liečivo alebo na ktorúkoľvek z pomocných látok.</w:t>
      </w:r>
    </w:p>
    <w:p w:rsidR="00E36367" w:rsidRPr="004D7E48" w:rsidRDefault="00E36367" w:rsidP="003E3767">
      <w:pPr>
        <w:spacing w:after="120"/>
        <w:jc w:val="both"/>
        <w:rPr>
          <w:rFonts w:cs="Times New Roman"/>
          <w:lang w:val="sk-SK"/>
        </w:rPr>
      </w:pPr>
    </w:p>
    <w:p w:rsidR="00346EB4" w:rsidRPr="004D7E48" w:rsidRDefault="00346EB4" w:rsidP="0025099A">
      <w:pPr>
        <w:tabs>
          <w:tab w:val="left" w:pos="567"/>
        </w:tabs>
        <w:spacing w:after="120"/>
        <w:jc w:val="both"/>
        <w:rPr>
          <w:rFonts w:cs="Times New Roman"/>
          <w:b/>
          <w:lang w:val="sk-SK"/>
        </w:rPr>
      </w:pPr>
      <w:r w:rsidRPr="004D7E48">
        <w:rPr>
          <w:rFonts w:cs="Times New Roman"/>
          <w:b/>
          <w:lang w:val="sk-SK"/>
        </w:rPr>
        <w:t>4.4</w:t>
      </w:r>
      <w:r w:rsidRPr="004D7E48">
        <w:rPr>
          <w:rFonts w:cs="Times New Roman"/>
          <w:b/>
          <w:lang w:val="sk-SK"/>
        </w:rPr>
        <w:tab/>
        <w:t>Osobitné upozornenia a opatrenia pri používaní</w:t>
      </w:r>
    </w:p>
    <w:p w:rsidR="00E36367" w:rsidRPr="004D7E48" w:rsidRDefault="00E36367" w:rsidP="003E3767">
      <w:pPr>
        <w:spacing w:after="120"/>
        <w:jc w:val="both"/>
        <w:rPr>
          <w:rFonts w:cs="Times New Roman"/>
          <w:u w:val="single"/>
          <w:lang w:val="sk-SK"/>
        </w:rPr>
      </w:pPr>
      <w:r w:rsidRPr="004D7E48">
        <w:rPr>
          <w:rFonts w:cs="Times New Roman"/>
          <w:u w:val="single"/>
          <w:lang w:val="sk-SK"/>
        </w:rPr>
        <w:t>Možnosti vzniku hypersensitivity alebo anafylaktickej reakcie.</w:t>
      </w:r>
    </w:p>
    <w:p w:rsidR="00E36367" w:rsidRPr="004D7E48" w:rsidRDefault="00E36367" w:rsidP="003E3767">
      <w:pPr>
        <w:spacing w:after="120"/>
        <w:jc w:val="both"/>
        <w:rPr>
          <w:rFonts w:cs="Times New Roman"/>
          <w:lang w:val="sk-SK"/>
        </w:rPr>
      </w:pPr>
      <w:r w:rsidRPr="004D7E48">
        <w:rPr>
          <w:rFonts w:cs="Times New Roman"/>
          <w:lang w:val="sk-SK"/>
        </w:rPr>
        <w:t xml:space="preserve">Ak sa objaví hypersenzitivita alebo anafylaktická reakcia musí byť podávanie lieku okamžite prerušené a v prípade nutnosti zahájená intravenózna liečba. Na </w:t>
      </w:r>
      <w:r w:rsidRPr="004D7E48">
        <w:rPr>
          <w:rStyle w:val="hpsalt-edited"/>
          <w:rFonts w:eastAsia="Times" w:cs="Times New Roman"/>
          <w:lang w:val="sk-SK"/>
        </w:rPr>
        <w:t>umožnenie</w:t>
      </w:r>
      <w:r w:rsidRPr="004D7E48">
        <w:rPr>
          <w:rFonts w:cs="Times New Roman"/>
          <w:lang w:val="sk-SK"/>
        </w:rPr>
        <w:t xml:space="preserve"> </w:t>
      </w:r>
      <w:r w:rsidRPr="004D7E48">
        <w:rPr>
          <w:rStyle w:val="hps"/>
          <w:rFonts w:cs="Times New Roman"/>
          <w:lang w:val="sk-SK"/>
        </w:rPr>
        <w:t>okamžitého</w:t>
      </w:r>
      <w:r w:rsidRPr="004D7E48">
        <w:rPr>
          <w:rFonts w:cs="Times New Roman"/>
          <w:lang w:val="sk-SK"/>
        </w:rPr>
        <w:t xml:space="preserve"> </w:t>
      </w:r>
      <w:r w:rsidRPr="004D7E48">
        <w:rPr>
          <w:rStyle w:val="hps"/>
          <w:rFonts w:cs="Times New Roman"/>
          <w:lang w:val="sk-SK"/>
        </w:rPr>
        <w:t>zásahu</w:t>
      </w:r>
      <w:r w:rsidRPr="004D7E48">
        <w:rPr>
          <w:rFonts w:cs="Times New Roman"/>
          <w:lang w:val="sk-SK"/>
        </w:rPr>
        <w:t xml:space="preserve"> </w:t>
      </w:r>
      <w:r w:rsidRPr="004D7E48">
        <w:rPr>
          <w:rStyle w:val="hps"/>
          <w:rFonts w:cs="Times New Roman"/>
          <w:lang w:val="sk-SK"/>
        </w:rPr>
        <w:t>v</w:t>
      </w:r>
      <w:r w:rsidRPr="004D7E48">
        <w:rPr>
          <w:rFonts w:cs="Times New Roman"/>
          <w:lang w:val="sk-SK"/>
        </w:rPr>
        <w:t> </w:t>
      </w:r>
      <w:r w:rsidRPr="004D7E48">
        <w:rPr>
          <w:rStyle w:val="hps"/>
          <w:rFonts w:cs="Times New Roman"/>
          <w:lang w:val="sk-SK"/>
        </w:rPr>
        <w:t>naliehavých</w:t>
      </w:r>
      <w:r w:rsidRPr="004D7E48">
        <w:rPr>
          <w:rFonts w:cs="Times New Roman"/>
          <w:lang w:val="sk-SK"/>
        </w:rPr>
        <w:t xml:space="preserve"> </w:t>
      </w:r>
      <w:r w:rsidRPr="004D7E48">
        <w:rPr>
          <w:rStyle w:val="hps"/>
          <w:rFonts w:cs="Times New Roman"/>
          <w:lang w:val="sk-SK"/>
        </w:rPr>
        <w:t>situáciách</w:t>
      </w:r>
      <w:r w:rsidRPr="004D7E48">
        <w:rPr>
          <w:rFonts w:cs="Times New Roman"/>
          <w:lang w:val="sk-SK"/>
        </w:rPr>
        <w:t xml:space="preserve">, </w:t>
      </w:r>
      <w:r w:rsidRPr="004D7E48">
        <w:rPr>
          <w:rStyle w:val="hps"/>
          <w:rFonts w:cs="Times New Roman"/>
          <w:lang w:val="sk-SK"/>
        </w:rPr>
        <w:t>potrebné</w:t>
      </w:r>
      <w:r w:rsidRPr="004D7E48">
        <w:rPr>
          <w:rFonts w:cs="Times New Roman"/>
          <w:lang w:val="sk-SK"/>
        </w:rPr>
        <w:t xml:space="preserve"> </w:t>
      </w:r>
      <w:r w:rsidRPr="004D7E48">
        <w:rPr>
          <w:rStyle w:val="hps"/>
          <w:rFonts w:cs="Times New Roman"/>
          <w:lang w:val="sk-SK"/>
        </w:rPr>
        <w:t>lieky</w:t>
      </w:r>
      <w:r w:rsidRPr="004D7E48">
        <w:rPr>
          <w:rFonts w:cs="Times New Roman"/>
          <w:lang w:val="sk-SK"/>
        </w:rPr>
        <w:t xml:space="preserve"> </w:t>
      </w:r>
      <w:r w:rsidRPr="004D7E48">
        <w:rPr>
          <w:rStyle w:val="hps"/>
          <w:rFonts w:cs="Times New Roman"/>
          <w:lang w:val="sk-SK"/>
        </w:rPr>
        <w:t>a</w:t>
      </w:r>
      <w:r w:rsidRPr="004D7E48">
        <w:rPr>
          <w:rFonts w:cs="Times New Roman"/>
          <w:lang w:val="sk-SK"/>
        </w:rPr>
        <w:t xml:space="preserve"> </w:t>
      </w:r>
      <w:r w:rsidRPr="004D7E48">
        <w:rPr>
          <w:rStyle w:val="hps"/>
          <w:rFonts w:cs="Times New Roman"/>
          <w:lang w:val="sk-SK"/>
        </w:rPr>
        <w:t>vybavenie</w:t>
      </w:r>
      <w:r w:rsidRPr="004D7E48">
        <w:rPr>
          <w:rFonts w:cs="Times New Roman"/>
          <w:lang w:val="sk-SK"/>
        </w:rPr>
        <w:t xml:space="preserve">, </w:t>
      </w:r>
      <w:r w:rsidRPr="004D7E48">
        <w:rPr>
          <w:rStyle w:val="hps"/>
          <w:rFonts w:cs="Times New Roman"/>
          <w:lang w:val="sk-SK"/>
        </w:rPr>
        <w:t>ako</w:t>
      </w:r>
      <w:r w:rsidRPr="004D7E48">
        <w:rPr>
          <w:rFonts w:cs="Times New Roman"/>
          <w:lang w:val="sk-SK"/>
        </w:rPr>
        <w:t xml:space="preserve"> </w:t>
      </w:r>
      <w:r w:rsidRPr="004D7E48">
        <w:rPr>
          <w:rStyle w:val="hps"/>
          <w:rFonts w:cs="Times New Roman"/>
          <w:lang w:val="sk-SK"/>
        </w:rPr>
        <w:t>napríklad</w:t>
      </w:r>
      <w:r w:rsidRPr="004D7E48">
        <w:rPr>
          <w:rFonts w:cs="Times New Roman"/>
          <w:lang w:val="sk-SK"/>
        </w:rPr>
        <w:t xml:space="preserve"> </w:t>
      </w:r>
      <w:r w:rsidRPr="004D7E48">
        <w:rPr>
          <w:rStyle w:val="hps"/>
          <w:rFonts w:cs="Times New Roman"/>
          <w:lang w:val="sk-SK"/>
        </w:rPr>
        <w:t>endotracheálna</w:t>
      </w:r>
      <w:r w:rsidRPr="004D7E48">
        <w:rPr>
          <w:rFonts w:cs="Times New Roman"/>
          <w:lang w:val="sk-SK"/>
        </w:rPr>
        <w:t xml:space="preserve"> </w:t>
      </w:r>
      <w:r w:rsidRPr="004D7E48">
        <w:rPr>
          <w:rStyle w:val="hps"/>
          <w:rFonts w:cs="Times New Roman"/>
          <w:lang w:val="sk-SK"/>
        </w:rPr>
        <w:t>trubica</w:t>
      </w:r>
      <w:r w:rsidRPr="004D7E48">
        <w:rPr>
          <w:rFonts w:cs="Times New Roman"/>
          <w:lang w:val="sk-SK"/>
        </w:rPr>
        <w:t xml:space="preserve"> </w:t>
      </w:r>
      <w:r w:rsidRPr="004D7E48">
        <w:rPr>
          <w:rStyle w:val="hps"/>
          <w:rFonts w:cs="Times New Roman"/>
          <w:lang w:val="sk-SK"/>
        </w:rPr>
        <w:t>a</w:t>
      </w:r>
      <w:r w:rsidRPr="004D7E48">
        <w:rPr>
          <w:rFonts w:cs="Times New Roman"/>
          <w:lang w:val="sk-SK"/>
        </w:rPr>
        <w:t xml:space="preserve"> </w:t>
      </w:r>
      <w:r w:rsidRPr="004D7E48">
        <w:rPr>
          <w:rStyle w:val="hps"/>
          <w:rFonts w:cs="Times New Roman"/>
          <w:lang w:val="sk-SK"/>
        </w:rPr>
        <w:t>ventilátor</w:t>
      </w:r>
      <w:r w:rsidRPr="004D7E48">
        <w:rPr>
          <w:rFonts w:cs="Times New Roman"/>
          <w:lang w:val="sk-SK"/>
        </w:rPr>
        <w:t xml:space="preserve"> </w:t>
      </w:r>
      <w:r w:rsidRPr="004D7E48">
        <w:rPr>
          <w:rStyle w:val="hps"/>
          <w:rFonts w:cs="Times New Roman"/>
          <w:lang w:val="sk-SK"/>
        </w:rPr>
        <w:t>musia</w:t>
      </w:r>
      <w:r w:rsidRPr="004D7E48">
        <w:rPr>
          <w:rFonts w:cs="Times New Roman"/>
          <w:lang w:val="sk-SK"/>
        </w:rPr>
        <w:t xml:space="preserve"> </w:t>
      </w:r>
      <w:r w:rsidRPr="004D7E48">
        <w:rPr>
          <w:rStyle w:val="hps"/>
          <w:rFonts w:cs="Times New Roman"/>
          <w:lang w:val="sk-SK"/>
        </w:rPr>
        <w:t>byť</w:t>
      </w:r>
      <w:r w:rsidRPr="004D7E48">
        <w:rPr>
          <w:rFonts w:cs="Times New Roman"/>
          <w:lang w:val="sk-SK"/>
        </w:rPr>
        <w:t xml:space="preserve"> </w:t>
      </w:r>
      <w:r w:rsidRPr="004D7E48">
        <w:rPr>
          <w:rStyle w:val="hps"/>
          <w:rFonts w:cs="Times New Roman"/>
          <w:lang w:val="sk-SK"/>
        </w:rPr>
        <w:t>okamžite</w:t>
      </w:r>
      <w:r w:rsidRPr="004D7E48">
        <w:rPr>
          <w:rFonts w:cs="Times New Roman"/>
          <w:lang w:val="sk-SK"/>
        </w:rPr>
        <w:t xml:space="preserve"> </w:t>
      </w:r>
      <w:r w:rsidRPr="004D7E48">
        <w:rPr>
          <w:rStyle w:val="hps"/>
          <w:rFonts w:cs="Times New Roman"/>
          <w:lang w:val="sk-SK"/>
        </w:rPr>
        <w:t>k</w:t>
      </w:r>
      <w:r w:rsidRPr="004D7E48">
        <w:rPr>
          <w:rFonts w:cs="Times New Roman"/>
          <w:lang w:val="sk-SK"/>
        </w:rPr>
        <w:t xml:space="preserve"> </w:t>
      </w:r>
      <w:r w:rsidRPr="004D7E48">
        <w:rPr>
          <w:rStyle w:val="hps"/>
          <w:rFonts w:cs="Times New Roman"/>
          <w:lang w:val="sk-SK"/>
        </w:rPr>
        <w:t>dispozícii</w:t>
      </w:r>
      <w:r w:rsidRPr="004D7E48">
        <w:rPr>
          <w:rFonts w:cs="Times New Roman"/>
          <w:lang w:val="sk-SK"/>
        </w:rPr>
        <w:t>.</w:t>
      </w:r>
    </w:p>
    <w:p w:rsidR="00E36367" w:rsidRPr="004D7E48" w:rsidRDefault="00E36367" w:rsidP="003E3767">
      <w:pPr>
        <w:spacing w:after="120"/>
        <w:jc w:val="both"/>
        <w:rPr>
          <w:rFonts w:cs="Times New Roman"/>
          <w:u w:val="single"/>
          <w:lang w:val="sk-SK"/>
        </w:rPr>
      </w:pPr>
      <w:r w:rsidRPr="004D7E48">
        <w:rPr>
          <w:rFonts w:cs="Times New Roman"/>
          <w:u w:val="single"/>
          <w:lang w:val="sk-SK"/>
        </w:rPr>
        <w:t>Odôvodnenie individuálneho prínosu/rizika</w:t>
      </w:r>
    </w:p>
    <w:p w:rsidR="00E36367" w:rsidRPr="004D7E48" w:rsidRDefault="00E36367" w:rsidP="003E3767">
      <w:pPr>
        <w:spacing w:after="120"/>
        <w:jc w:val="both"/>
        <w:rPr>
          <w:rFonts w:cs="Times New Roman"/>
          <w:lang w:val="sk-SK"/>
        </w:rPr>
      </w:pPr>
      <w:r w:rsidRPr="004D7E48">
        <w:rPr>
          <w:rFonts w:cs="Times New Roman"/>
          <w:lang w:val="sk-SK"/>
        </w:rPr>
        <w:t>U všetkých pacientov musí byť expozícia žiarenia odôvodnená predpokladaným diagnostickým prínosom. Podávaná aktivita by mala byť v každom prípade čo najnižšia, aby sa dosiahla požadovaná diagnostická informácia.</w:t>
      </w:r>
    </w:p>
    <w:p w:rsidR="00E36367" w:rsidRPr="004D7E48" w:rsidRDefault="00E36367" w:rsidP="003E3767">
      <w:pPr>
        <w:spacing w:after="120"/>
        <w:jc w:val="both"/>
        <w:rPr>
          <w:rFonts w:cs="Times New Roman"/>
          <w:u w:val="single"/>
          <w:lang w:val="sk-SK"/>
        </w:rPr>
      </w:pPr>
      <w:r w:rsidRPr="004D7E48">
        <w:rPr>
          <w:rFonts w:cs="Times New Roman"/>
          <w:u w:val="single"/>
          <w:lang w:val="sk-SK"/>
        </w:rPr>
        <w:t>Poškodenie obličiek a pečene</w:t>
      </w:r>
    </w:p>
    <w:p w:rsidR="00E36367" w:rsidRPr="004D7E48" w:rsidRDefault="00E36367" w:rsidP="003E3767">
      <w:pPr>
        <w:spacing w:after="120"/>
        <w:jc w:val="both"/>
        <w:rPr>
          <w:rFonts w:eastAsia="MS Mincho" w:cs="Times New Roman"/>
          <w:lang w:val="sk-SK" w:eastAsia="ja-JP"/>
        </w:rPr>
      </w:pPr>
      <w:r w:rsidRPr="004D7E48">
        <w:rPr>
          <w:rFonts w:eastAsia="MS Mincho" w:cs="Times New Roman"/>
          <w:lang w:val="sk-SK" w:eastAsia="ja-JP"/>
        </w:rPr>
        <w:t>Vzhľadom k veľkému renálnemu vylučovaniu fludeoxyglukózy (</w:t>
      </w:r>
      <w:r w:rsidRPr="004D7E48">
        <w:rPr>
          <w:rFonts w:eastAsia="MS Mincho" w:cs="Times New Roman"/>
          <w:vertAlign w:val="superscript"/>
          <w:lang w:val="sk-SK" w:eastAsia="ja-JP"/>
        </w:rPr>
        <w:t>18</w:t>
      </w:r>
      <w:r w:rsidRPr="004D7E48">
        <w:rPr>
          <w:rFonts w:eastAsia="MS Mincho" w:cs="Times New Roman"/>
          <w:lang w:val="sk-SK" w:eastAsia="ja-JP"/>
        </w:rPr>
        <w:t xml:space="preserve">F), u pacientov so zníženou funkciou obličiek, je nutné starostlivo zvážiť pomer prínosu a rizika u týchto pacientov, keďže je tu možnosť zvýšenej radiačnej expozície. Aktivita </w:t>
      </w:r>
      <w:r w:rsidR="00276425">
        <w:rPr>
          <w:rFonts w:eastAsia="MS Mincho" w:cs="Times New Roman"/>
          <w:lang w:val="sk-SK" w:eastAsia="ja-JP"/>
        </w:rPr>
        <w:t xml:space="preserve">má </w:t>
      </w:r>
      <w:r w:rsidRPr="004D7E48">
        <w:rPr>
          <w:rFonts w:eastAsia="MS Mincho" w:cs="Times New Roman"/>
          <w:lang w:val="sk-SK" w:eastAsia="ja-JP"/>
        </w:rPr>
        <w:t>byť v prípade potreby upravená.</w:t>
      </w:r>
    </w:p>
    <w:p w:rsidR="00E36367" w:rsidRPr="004D7E48" w:rsidRDefault="00E36367" w:rsidP="003E3767">
      <w:pPr>
        <w:spacing w:after="120"/>
        <w:jc w:val="both"/>
        <w:rPr>
          <w:rFonts w:cs="Times New Roman"/>
          <w:lang w:val="sk-SK"/>
        </w:rPr>
      </w:pPr>
      <w:r w:rsidRPr="004D7E48">
        <w:rPr>
          <w:rFonts w:cs="Times New Roman"/>
          <w:u w:val="single"/>
          <w:lang w:val="sk-SK"/>
        </w:rPr>
        <w:t>Pediatrická populácia</w:t>
      </w:r>
    </w:p>
    <w:p w:rsidR="00E36367" w:rsidRPr="004D7E48" w:rsidRDefault="00E36367" w:rsidP="003E3767">
      <w:pPr>
        <w:spacing w:after="120"/>
        <w:jc w:val="both"/>
        <w:rPr>
          <w:rFonts w:cs="Times New Roman"/>
          <w:lang w:val="sk-SK"/>
        </w:rPr>
      </w:pPr>
      <w:r w:rsidRPr="004D7E48">
        <w:rPr>
          <w:rFonts w:cs="Times New Roman"/>
          <w:lang w:val="sk-SK"/>
        </w:rPr>
        <w:t>Pre informácie o použití u </w:t>
      </w:r>
      <w:r w:rsidRPr="004D7E48">
        <w:rPr>
          <w:rFonts w:cs="Times New Roman"/>
          <w:u w:val="single"/>
          <w:lang w:val="sk-SK"/>
        </w:rPr>
        <w:t>pediatrickej populácie</w:t>
      </w:r>
      <w:r w:rsidRPr="004D7E48">
        <w:rPr>
          <w:rFonts w:cs="Times New Roman"/>
          <w:lang w:val="sk-SK"/>
        </w:rPr>
        <w:t>, pozri časti 4.2 alebo 5.1.</w:t>
      </w:r>
    </w:p>
    <w:p w:rsidR="00E36367" w:rsidRPr="004D7E48" w:rsidRDefault="00E36367" w:rsidP="003E3767">
      <w:pPr>
        <w:spacing w:after="120"/>
        <w:jc w:val="both"/>
        <w:rPr>
          <w:rFonts w:cs="Times New Roman"/>
          <w:lang w:val="sk-SK"/>
        </w:rPr>
      </w:pPr>
      <w:r w:rsidRPr="004D7E48">
        <w:rPr>
          <w:rFonts w:cs="Times New Roman"/>
          <w:lang w:val="sk-SK"/>
        </w:rPr>
        <w:t>Pri indikácii je potrebné starostlivo zvážiť, že efektívna dávka na MBq je vyššia u detí ako u dospelých (pozri časť 11).</w:t>
      </w:r>
    </w:p>
    <w:p w:rsidR="00F3067E" w:rsidRPr="004D7E48" w:rsidRDefault="00F3067E" w:rsidP="003E3767">
      <w:pPr>
        <w:spacing w:after="120"/>
        <w:jc w:val="both"/>
        <w:rPr>
          <w:rFonts w:cs="Times New Roman"/>
          <w:lang w:val="sk-SK"/>
        </w:rPr>
      </w:pPr>
    </w:p>
    <w:p w:rsidR="00984FE7" w:rsidRPr="004D7E48" w:rsidRDefault="00E36367" w:rsidP="003E3767">
      <w:pPr>
        <w:spacing w:after="120"/>
        <w:rPr>
          <w:rFonts w:cs="Times New Roman"/>
          <w:u w:val="single"/>
          <w:lang w:val="sk-SK"/>
        </w:rPr>
      </w:pPr>
      <w:r w:rsidRPr="004D7E48">
        <w:rPr>
          <w:rFonts w:cs="Times New Roman"/>
          <w:u w:val="single"/>
          <w:lang w:val="sk-SK"/>
        </w:rPr>
        <w:t>Príprava pacienta</w:t>
      </w:r>
    </w:p>
    <w:p w:rsidR="00E36367" w:rsidRPr="004D7E48" w:rsidRDefault="00C0007A" w:rsidP="003E3767">
      <w:pPr>
        <w:spacing w:after="120"/>
        <w:jc w:val="both"/>
        <w:rPr>
          <w:rFonts w:cs="Times New Roman"/>
          <w:lang w:val="sk-SK"/>
        </w:rPr>
      </w:pPr>
      <w:r w:rsidRPr="004D7E48">
        <w:rPr>
          <w:rFonts w:cs="Times New Roman"/>
          <w:lang w:val="sk-SK"/>
        </w:rPr>
        <w:t>FLUDEOXYGLUKÓZA (</w:t>
      </w:r>
      <w:r w:rsidRPr="004D7E48">
        <w:rPr>
          <w:rFonts w:cs="Times New Roman"/>
          <w:vertAlign w:val="superscript"/>
          <w:lang w:val="sk-SK"/>
        </w:rPr>
        <w:t>18</w:t>
      </w:r>
      <w:r w:rsidRPr="004D7E48">
        <w:rPr>
          <w:rFonts w:cs="Times New Roman"/>
          <w:lang w:val="sk-SK"/>
        </w:rPr>
        <w:t xml:space="preserve">F) SYNEKTIK </w:t>
      </w:r>
      <w:r w:rsidR="00E36367" w:rsidRPr="004D7E48">
        <w:rPr>
          <w:rFonts w:cs="Times New Roman"/>
          <w:lang w:val="sk-SK"/>
        </w:rPr>
        <w:t>by sa mala podávať pacientom, ktorí sú dostatočne hydratovaní a sú nalačno minimálne 4 hodiny, aby sa získala maximálna cieľová aktivita, nakoľko je vychytávanie glukózy v bunkách obmedzené („saturačná kinetika“). Množstvo tekutiny by sa nemalo obmedzovať (je potrebné vyhnúť sa nápojom obsahujúcim glukózu).</w:t>
      </w:r>
    </w:p>
    <w:p w:rsidR="00E36367" w:rsidRPr="004D7E48" w:rsidRDefault="00E36367" w:rsidP="003E3767">
      <w:pPr>
        <w:spacing w:after="120"/>
        <w:jc w:val="both"/>
        <w:rPr>
          <w:rFonts w:cs="Times New Roman"/>
          <w:lang w:val="sk-SK"/>
        </w:rPr>
      </w:pPr>
      <w:r w:rsidRPr="004D7E48">
        <w:rPr>
          <w:rFonts w:cs="Times New Roman"/>
          <w:lang w:val="sk-SK"/>
        </w:rPr>
        <w:t xml:space="preserve">Aby sa získali snímky s najlepšou kvalitou a pre zníženie radiačnej expozície močového mechúra, </w:t>
      </w:r>
      <w:r w:rsidR="00276425">
        <w:rPr>
          <w:rFonts w:cs="Times New Roman"/>
          <w:lang w:val="sk-SK"/>
        </w:rPr>
        <w:t xml:space="preserve">majú </w:t>
      </w:r>
      <w:r w:rsidRPr="004D7E48">
        <w:rPr>
          <w:rFonts w:cs="Times New Roman"/>
          <w:lang w:val="sk-SK"/>
        </w:rPr>
        <w:t xml:space="preserve">pacienti piť dostatočné množstvo tekutín, pred PET a po PET vyšetrení vyprázdniť močový mechúr. </w:t>
      </w:r>
    </w:p>
    <w:p w:rsidR="00E36367" w:rsidRPr="004D7E48" w:rsidRDefault="00E36367" w:rsidP="003E3767">
      <w:pPr>
        <w:pStyle w:val="Odsekzoznamu"/>
        <w:numPr>
          <w:ilvl w:val="0"/>
          <w:numId w:val="6"/>
        </w:numPr>
        <w:spacing w:after="120"/>
        <w:jc w:val="both"/>
        <w:rPr>
          <w:rFonts w:cs="Times New Roman"/>
          <w:i/>
          <w:lang w:val="sk-SK"/>
        </w:rPr>
      </w:pPr>
      <w:r w:rsidRPr="004D7E48">
        <w:rPr>
          <w:rFonts w:cs="Times New Roman"/>
          <w:i/>
          <w:lang w:val="sk-SK"/>
        </w:rPr>
        <w:t>Onkológia a neurológia</w:t>
      </w:r>
    </w:p>
    <w:p w:rsidR="00E36367" w:rsidRPr="004D7E48" w:rsidRDefault="00E36367" w:rsidP="003E3767">
      <w:pPr>
        <w:spacing w:after="120"/>
        <w:jc w:val="both"/>
        <w:rPr>
          <w:rFonts w:cs="Times New Roman"/>
          <w:lang w:val="sk-SK"/>
        </w:rPr>
      </w:pPr>
      <w:r w:rsidRPr="004D7E48">
        <w:rPr>
          <w:rFonts w:cs="Times New Roman"/>
          <w:lang w:val="sk-SK"/>
        </w:rPr>
        <w:lastRenderedPageBreak/>
        <w:t xml:space="preserve">Aby sa zabránilo hyperfixácii rádiofarmaka vo svale, pacientom sa odporúča, aby sa pred vyšetrením vyhli všetkým nadmerným telesným aktivitám, boli v pokoji medzi aplikáciou injekcie a vyšetrením (pacienti majú pohodlne ležať bez čítania a rozprávania). </w:t>
      </w:r>
    </w:p>
    <w:p w:rsidR="00E36367" w:rsidRPr="004D7E48" w:rsidRDefault="00E36367" w:rsidP="003E3767">
      <w:pPr>
        <w:spacing w:after="120"/>
        <w:jc w:val="both"/>
        <w:rPr>
          <w:rFonts w:cs="Times New Roman"/>
          <w:lang w:val="sk-SK"/>
        </w:rPr>
      </w:pPr>
      <w:r w:rsidRPr="004D7E48">
        <w:rPr>
          <w:rFonts w:cs="Times New Roman"/>
          <w:lang w:val="sk-SK"/>
        </w:rPr>
        <w:t>Metabolizmus glukózy v mozgu závisí od mozgovej aktivity. Preto by sa mali neurologické vyšetrenia vykonať po fáze relaxácie v tmavej miestnosti s nízkou úrovňou hluku na pozadí.</w:t>
      </w:r>
    </w:p>
    <w:p w:rsidR="00C94C82" w:rsidRPr="004D7E48" w:rsidRDefault="00E36367" w:rsidP="003E3767">
      <w:pPr>
        <w:spacing w:after="120"/>
        <w:jc w:val="both"/>
        <w:rPr>
          <w:rFonts w:cs="Times New Roman"/>
          <w:lang w:val="sk-SK"/>
        </w:rPr>
      </w:pPr>
      <w:r w:rsidRPr="004D7E48">
        <w:rPr>
          <w:rFonts w:cs="Times New Roman"/>
          <w:lang w:val="sk-SK"/>
        </w:rPr>
        <w:t xml:space="preserve">Pred každým podaním lieku </w:t>
      </w:r>
      <w:r w:rsidR="00C0007A" w:rsidRPr="004D7E48">
        <w:rPr>
          <w:rFonts w:cs="Times New Roman"/>
          <w:lang w:val="sk-SK"/>
        </w:rPr>
        <w:t>FLUDEOXYGLUKÓZA (</w:t>
      </w:r>
      <w:r w:rsidR="00C0007A" w:rsidRPr="004D7E48">
        <w:rPr>
          <w:rFonts w:cs="Times New Roman"/>
          <w:vertAlign w:val="superscript"/>
          <w:lang w:val="sk-SK"/>
        </w:rPr>
        <w:t>18</w:t>
      </w:r>
      <w:r w:rsidR="00C0007A" w:rsidRPr="004D7E48">
        <w:rPr>
          <w:rFonts w:cs="Times New Roman"/>
          <w:lang w:val="sk-SK"/>
        </w:rPr>
        <w:t xml:space="preserve">F) SYNEKTIK </w:t>
      </w:r>
      <w:r w:rsidRPr="004D7E48">
        <w:rPr>
          <w:rFonts w:cs="Times New Roman"/>
          <w:lang w:val="sk-SK"/>
        </w:rPr>
        <w:t>sa m</w:t>
      </w:r>
      <w:r w:rsidR="00BA6C22">
        <w:rPr>
          <w:rFonts w:cs="Times New Roman"/>
          <w:lang w:val="sk-SK"/>
        </w:rPr>
        <w:t>á</w:t>
      </w:r>
      <w:r w:rsidRPr="004D7E48">
        <w:rPr>
          <w:rFonts w:cs="Times New Roman"/>
          <w:lang w:val="sk-SK"/>
        </w:rPr>
        <w:t xml:space="preserve"> vyšetriť glykémia, pretože hyperglykémia môže viesť k zníženiu senzitivity lieku, najmä ak je vyššia ako 8 mmol/l. PET vyšetrenie pomocou fludeoxyglukózy (</w:t>
      </w:r>
      <w:r w:rsidRPr="004D7E48">
        <w:rPr>
          <w:rFonts w:cs="Times New Roman"/>
          <w:vertAlign w:val="superscript"/>
          <w:lang w:val="sk-SK"/>
        </w:rPr>
        <w:t>18</w:t>
      </w:r>
      <w:r w:rsidRPr="004D7E48">
        <w:rPr>
          <w:rFonts w:cs="Times New Roman"/>
          <w:lang w:val="sk-SK"/>
        </w:rPr>
        <w:t>F) by sa podobne nemalo vykonávať u pacientov s nekontrolovaným diabetom.</w:t>
      </w:r>
    </w:p>
    <w:p w:rsidR="0025099A" w:rsidRPr="004D7E48" w:rsidRDefault="0025099A" w:rsidP="003E3767">
      <w:pPr>
        <w:spacing w:after="120"/>
        <w:jc w:val="both"/>
        <w:rPr>
          <w:rFonts w:cs="Times New Roman"/>
          <w:lang w:val="sk-SK"/>
        </w:rPr>
      </w:pPr>
    </w:p>
    <w:p w:rsidR="00E36367" w:rsidRPr="004D7E48" w:rsidRDefault="00E36367" w:rsidP="003E3767">
      <w:pPr>
        <w:spacing w:after="120"/>
        <w:jc w:val="both"/>
        <w:rPr>
          <w:rFonts w:cs="Times New Roman"/>
          <w:i/>
          <w:lang w:val="sk-SK"/>
        </w:rPr>
      </w:pPr>
      <w:r w:rsidRPr="004D7E48">
        <w:rPr>
          <w:rFonts w:cs="Times New Roman"/>
          <w:i/>
          <w:lang w:val="sk-SK"/>
        </w:rPr>
        <w:t>- Kardiológia</w:t>
      </w:r>
    </w:p>
    <w:p w:rsidR="00E36367" w:rsidRPr="004D7E48" w:rsidRDefault="00E36367" w:rsidP="003E3767">
      <w:pPr>
        <w:spacing w:after="120"/>
        <w:jc w:val="both"/>
        <w:rPr>
          <w:rFonts w:cs="Times New Roman"/>
          <w:lang w:val="sk-SK"/>
        </w:rPr>
      </w:pPr>
      <w:r w:rsidRPr="004D7E48">
        <w:rPr>
          <w:rFonts w:cs="Times New Roman"/>
          <w:lang w:val="sk-SK"/>
        </w:rPr>
        <w:t>Keďže vychytávanie glukózy v myokarde je závislé na inzulíne, odporúča sa pri vyšetrení myokardu podanie 50 g glukózy približne</w:t>
      </w:r>
      <w:r w:rsidR="00C0007A" w:rsidRPr="004D7E48">
        <w:rPr>
          <w:rFonts w:cs="Times New Roman"/>
          <w:lang w:val="sk-SK"/>
        </w:rPr>
        <w:t xml:space="preserve"> 1 hodinu pred aplikáciou lieku FLUDEOXYGLUKÓZA (</w:t>
      </w:r>
      <w:r w:rsidR="00C0007A" w:rsidRPr="004D7E48">
        <w:rPr>
          <w:rFonts w:cs="Times New Roman"/>
          <w:vertAlign w:val="superscript"/>
          <w:lang w:val="sk-SK"/>
        </w:rPr>
        <w:t>18</w:t>
      </w:r>
      <w:r w:rsidR="00C0007A" w:rsidRPr="004D7E48">
        <w:rPr>
          <w:rFonts w:cs="Times New Roman"/>
          <w:lang w:val="sk-SK"/>
        </w:rPr>
        <w:t>F) SYNEKTIK</w:t>
      </w:r>
      <w:r w:rsidRPr="004D7E48">
        <w:rPr>
          <w:rFonts w:cs="Times New Roman"/>
          <w:lang w:val="sk-SK"/>
        </w:rPr>
        <w:t>. Ak je to nutné, u pacientov s diabetes mellitus sa môže upraviť hladina glukózy v krvi pomocou kombinovanej infúzie inzulínu a glukózy (</w:t>
      </w:r>
      <w:r w:rsidR="0089743D" w:rsidRPr="00D474DA">
        <w:rPr>
          <w:rFonts w:cs="Times New Roman"/>
          <w:lang w:val="sk-SK"/>
        </w:rPr>
        <w:t>euglykemický-hyperinzulínový zámok</w:t>
      </w:r>
      <w:r w:rsidRPr="00D474DA">
        <w:rPr>
          <w:rFonts w:cs="Times New Roman"/>
          <w:lang w:val="sk-SK"/>
        </w:rPr>
        <w:t>).</w:t>
      </w:r>
    </w:p>
    <w:p w:rsidR="00E36367" w:rsidRPr="004D7E48" w:rsidRDefault="00E36367" w:rsidP="003E3767">
      <w:pPr>
        <w:spacing w:after="120"/>
        <w:jc w:val="both"/>
        <w:rPr>
          <w:rFonts w:cs="Times New Roman"/>
          <w:lang w:val="sk-SK"/>
        </w:rPr>
      </w:pPr>
    </w:p>
    <w:p w:rsidR="00447BE2" w:rsidRPr="004D7E48" w:rsidRDefault="00447BE2" w:rsidP="003E3767">
      <w:pPr>
        <w:tabs>
          <w:tab w:val="left" w:pos="2552"/>
        </w:tabs>
        <w:spacing w:after="120"/>
        <w:jc w:val="both"/>
        <w:rPr>
          <w:rFonts w:cs="Times New Roman"/>
          <w:u w:val="single"/>
          <w:lang w:val="sk-SK"/>
        </w:rPr>
      </w:pPr>
      <w:r w:rsidRPr="004D7E48">
        <w:rPr>
          <w:rFonts w:cs="Times New Roman"/>
          <w:u w:val="single"/>
          <w:lang w:val="sk-SK"/>
        </w:rPr>
        <w:t>Interpretácia zobrazení PET pomocou fludeoxyglukózy (</w:t>
      </w:r>
      <w:r w:rsidRPr="004D7E48">
        <w:rPr>
          <w:rFonts w:cs="Times New Roman"/>
          <w:u w:val="single"/>
          <w:vertAlign w:val="superscript"/>
          <w:lang w:val="sk-SK"/>
        </w:rPr>
        <w:t>18</w:t>
      </w:r>
      <w:r w:rsidRPr="004D7E48">
        <w:rPr>
          <w:rFonts w:cs="Times New Roman"/>
          <w:u w:val="single"/>
          <w:lang w:val="sk-SK"/>
        </w:rPr>
        <w:t>F)</w:t>
      </w:r>
    </w:p>
    <w:p w:rsidR="00C717C9" w:rsidRPr="004D7E48" w:rsidRDefault="00C717C9" w:rsidP="003E3767">
      <w:pPr>
        <w:spacing w:after="120"/>
        <w:jc w:val="both"/>
        <w:rPr>
          <w:rFonts w:cs="Times New Roman"/>
          <w:lang w:val="sk-SK"/>
        </w:rPr>
      </w:pPr>
      <w:r w:rsidRPr="004D7E48">
        <w:rPr>
          <w:rFonts w:cs="Times New Roman"/>
          <w:lang w:val="sk-SK"/>
        </w:rPr>
        <w:t>Diagnostická výkonnosť fludeoxyglukózy (</w:t>
      </w:r>
      <w:r w:rsidRPr="004D7E48">
        <w:rPr>
          <w:rFonts w:cs="Times New Roman"/>
          <w:vertAlign w:val="superscript"/>
          <w:lang w:val="sk-SK"/>
        </w:rPr>
        <w:t>18</w:t>
      </w:r>
      <w:r w:rsidRPr="004D7E48">
        <w:rPr>
          <w:rFonts w:cs="Times New Roman"/>
          <w:lang w:val="sk-SK"/>
        </w:rPr>
        <w:t>F) nebola pri zápalových ochoreniach čreva priamo porovnávaná so scintigrafiou so značenými leukocytmi, ktorá môže byť indikovaná pred PET s fludeoxyglukózou (</w:t>
      </w:r>
      <w:r w:rsidRPr="004D7E48">
        <w:rPr>
          <w:rFonts w:cs="Times New Roman"/>
          <w:vertAlign w:val="superscript"/>
          <w:lang w:val="sk-SK"/>
        </w:rPr>
        <w:t>18</w:t>
      </w:r>
      <w:r w:rsidRPr="004D7E48">
        <w:rPr>
          <w:rFonts w:cs="Times New Roman"/>
          <w:lang w:val="sk-SK"/>
        </w:rPr>
        <w:t>F) alebo po PET s fludeoxyglukózou (</w:t>
      </w:r>
      <w:r w:rsidRPr="004D7E48">
        <w:rPr>
          <w:rFonts w:cs="Times New Roman"/>
          <w:vertAlign w:val="superscript"/>
          <w:lang w:val="sk-SK"/>
        </w:rPr>
        <w:t>18</w:t>
      </w:r>
      <w:r w:rsidRPr="004D7E48">
        <w:rPr>
          <w:rFonts w:cs="Times New Roman"/>
          <w:lang w:val="sk-SK"/>
        </w:rPr>
        <w:t>F), ak nepriniesla jednoznačný výsledok.</w:t>
      </w:r>
    </w:p>
    <w:p w:rsidR="00C717C9" w:rsidRPr="004D7E48" w:rsidRDefault="00C717C9" w:rsidP="003E3767">
      <w:pPr>
        <w:spacing w:after="120"/>
        <w:jc w:val="both"/>
        <w:rPr>
          <w:rFonts w:cs="Times New Roman"/>
          <w:lang w:val="sk-SK"/>
        </w:rPr>
      </w:pPr>
      <w:r w:rsidRPr="004D7E48">
        <w:rPr>
          <w:rFonts w:cs="Times New Roman"/>
          <w:lang w:val="sk-SK"/>
        </w:rPr>
        <w:t>Infekčné a/alebo zápalové ochorenia a regeneratívne procesy po chirurgickom výkone môžu viesť k významnej akumulácii fludeoxyglukózy (</w:t>
      </w:r>
      <w:r w:rsidRPr="004D7E48">
        <w:rPr>
          <w:rFonts w:cs="Times New Roman"/>
          <w:vertAlign w:val="superscript"/>
          <w:lang w:val="sk-SK"/>
        </w:rPr>
        <w:t>18</w:t>
      </w:r>
      <w:r w:rsidRPr="004D7E48">
        <w:rPr>
          <w:rFonts w:cs="Times New Roman"/>
          <w:lang w:val="sk-SK"/>
        </w:rPr>
        <w:t>F) a k falošne pozitívnym nálezom, ak lokalizácia infekčných alebo zápalových ložísk nebola cieľom PET s fludeoxyglukózou (</w:t>
      </w:r>
      <w:r w:rsidRPr="004D7E48">
        <w:rPr>
          <w:rFonts w:cs="Times New Roman"/>
          <w:vertAlign w:val="superscript"/>
          <w:lang w:val="sk-SK"/>
        </w:rPr>
        <w:t>18</w:t>
      </w:r>
      <w:r w:rsidRPr="004D7E48">
        <w:rPr>
          <w:rFonts w:cs="Times New Roman"/>
          <w:lang w:val="sk-SK"/>
        </w:rPr>
        <w:t>F).</w:t>
      </w:r>
    </w:p>
    <w:p w:rsidR="00447BE2" w:rsidRPr="004D7E48" w:rsidRDefault="00447BE2" w:rsidP="003E3767">
      <w:pPr>
        <w:spacing w:after="120"/>
        <w:jc w:val="both"/>
        <w:rPr>
          <w:rFonts w:cs="Times New Roman"/>
          <w:lang w:val="sk-SK"/>
        </w:rPr>
      </w:pPr>
      <w:r w:rsidRPr="004D7E48">
        <w:rPr>
          <w:rFonts w:cs="Times New Roman"/>
          <w:lang w:val="sk-SK"/>
        </w:rPr>
        <w:t>V prípadoch, keď zvýšená akumulácia fludeoxyglukózy (</w:t>
      </w:r>
      <w:r w:rsidRPr="004D7E48">
        <w:rPr>
          <w:rFonts w:cs="Times New Roman"/>
          <w:vertAlign w:val="superscript"/>
          <w:lang w:val="sk-SK"/>
        </w:rPr>
        <w:t>18</w:t>
      </w:r>
      <w:r w:rsidRPr="004D7E48">
        <w:rPr>
          <w:rFonts w:cs="Times New Roman"/>
          <w:lang w:val="sk-SK"/>
        </w:rPr>
        <w:t>F) môže byť spôsobená buď nádorovým ochorením, infekciou alebo zápalom, treba doplniť in</w:t>
      </w:r>
      <w:r w:rsidR="00C717C9" w:rsidRPr="004D7E48">
        <w:rPr>
          <w:rFonts w:cs="Times New Roman"/>
          <w:lang w:val="sk-SK"/>
        </w:rPr>
        <w:t>formácie získané PET vyšetrením</w:t>
      </w:r>
      <w:r w:rsidRPr="004D7E48">
        <w:rPr>
          <w:rFonts w:cs="Times New Roman"/>
          <w:lang w:val="sk-SK"/>
        </w:rPr>
        <w:t xml:space="preserve"> pomocou fludeoxyglukózy (</w:t>
      </w:r>
      <w:r w:rsidRPr="004D7E48">
        <w:rPr>
          <w:rFonts w:cs="Times New Roman"/>
          <w:vertAlign w:val="superscript"/>
          <w:lang w:val="sk-SK"/>
        </w:rPr>
        <w:t>18</w:t>
      </w:r>
      <w:r w:rsidRPr="004D7E48">
        <w:rPr>
          <w:rFonts w:cs="Times New Roman"/>
          <w:lang w:val="sk-SK"/>
        </w:rPr>
        <w:t xml:space="preserve">F) ďalšími zobrazovacími diagnostickými metódami na stanovenie príčiny patologickej zmeny. Pri niektorých vyšetreniach napr. staging myelómu, </w:t>
      </w:r>
      <w:r w:rsidR="00C717C9" w:rsidRPr="004D7E48">
        <w:rPr>
          <w:rFonts w:cs="Times New Roman"/>
          <w:lang w:val="sk-SK"/>
        </w:rPr>
        <w:t xml:space="preserve">sú skúmané malígne aj infekčné </w:t>
      </w:r>
      <w:r w:rsidRPr="004D7E48">
        <w:rPr>
          <w:rFonts w:cs="Times New Roman"/>
          <w:lang w:val="sk-SK"/>
        </w:rPr>
        <w:t>ložiská a môžu byť odlíšené s dobrou presnosťou na základe topografických kritérií, napr. vychytávanie v mimodreňových miestach a/alebo kostné a kĺbové lézie by boli atypické pre mnohopočetný myelóm a zistené prípady spojené s infekciou. Momentálne nie sú ďalšie kritériá na odlíšenie infekcií a zápalov prostredníctvom vyšetrení pomocou fludeoxyglukózy (</w:t>
      </w:r>
      <w:r w:rsidRPr="004D7E48">
        <w:rPr>
          <w:rFonts w:cs="Times New Roman"/>
          <w:vertAlign w:val="superscript"/>
          <w:lang w:val="sk-SK"/>
        </w:rPr>
        <w:t>18</w:t>
      </w:r>
      <w:r w:rsidRPr="004D7E48">
        <w:rPr>
          <w:rFonts w:cs="Times New Roman"/>
          <w:lang w:val="sk-SK"/>
        </w:rPr>
        <w:t>F)</w:t>
      </w:r>
      <w:r w:rsidR="00BA6C22">
        <w:rPr>
          <w:rFonts w:cs="Times New Roman"/>
          <w:lang w:val="sk-SK"/>
        </w:rPr>
        <w:t>.</w:t>
      </w:r>
    </w:p>
    <w:p w:rsidR="00447BE2" w:rsidRPr="004D7E48" w:rsidRDefault="00447BE2" w:rsidP="003E3767">
      <w:pPr>
        <w:spacing w:after="120"/>
        <w:jc w:val="both"/>
        <w:rPr>
          <w:rFonts w:cs="Times New Roman"/>
          <w:lang w:val="sk-SK"/>
        </w:rPr>
      </w:pPr>
      <w:r w:rsidRPr="004D7E48">
        <w:rPr>
          <w:rFonts w:cs="Times New Roman"/>
          <w:lang w:val="sk-SK"/>
        </w:rPr>
        <w:t>Z dôvodu vysokého fyziologického vychytávania fludeoxyglukózy (</w:t>
      </w:r>
      <w:r w:rsidRPr="004D7E48">
        <w:rPr>
          <w:rFonts w:cs="Times New Roman"/>
          <w:vertAlign w:val="superscript"/>
          <w:lang w:val="sk-SK"/>
        </w:rPr>
        <w:t>18</w:t>
      </w:r>
      <w:r w:rsidRPr="004D7E48">
        <w:rPr>
          <w:rFonts w:cs="Times New Roman"/>
          <w:lang w:val="sk-SK"/>
        </w:rPr>
        <w:t>F) v mozgu, srdci  a v obličkách, PET/CT s fludeoxyglukózou (</w:t>
      </w:r>
      <w:r w:rsidRPr="004D7E48">
        <w:rPr>
          <w:rFonts w:cs="Times New Roman"/>
          <w:vertAlign w:val="superscript"/>
          <w:lang w:val="sk-SK"/>
        </w:rPr>
        <w:t>18</w:t>
      </w:r>
      <w:r w:rsidRPr="004D7E48">
        <w:rPr>
          <w:rFonts w:cs="Times New Roman"/>
          <w:lang w:val="sk-SK"/>
        </w:rPr>
        <w:t>F) nebola hodnotená pre detekciu septických metastatických ložísk v týchto orgánoch vzhľadom na bakter</w:t>
      </w:r>
      <w:r w:rsidR="005451F0" w:rsidRPr="004D7E48">
        <w:rPr>
          <w:rFonts w:cs="Times New Roman"/>
          <w:lang w:val="sk-SK"/>
        </w:rPr>
        <w:t>i</w:t>
      </w:r>
      <w:r w:rsidRPr="004D7E48">
        <w:rPr>
          <w:rFonts w:cs="Times New Roman"/>
          <w:lang w:val="sk-SK"/>
        </w:rPr>
        <w:t>émiu alebo endokarditídu.</w:t>
      </w:r>
    </w:p>
    <w:p w:rsidR="00447BE2" w:rsidRPr="004D7E48" w:rsidRDefault="00447BE2" w:rsidP="003E3767">
      <w:pPr>
        <w:spacing w:after="120"/>
        <w:jc w:val="both"/>
        <w:rPr>
          <w:rFonts w:cs="Times New Roman"/>
          <w:lang w:val="sk-SK"/>
        </w:rPr>
      </w:pPr>
      <w:r w:rsidRPr="004D7E48">
        <w:rPr>
          <w:rFonts w:cs="Times New Roman"/>
          <w:lang w:val="sk-SK"/>
        </w:rPr>
        <w:t>Po rádioterapii počas prvých 2 až 4 mesiacov sa nedajú vylúčiť falošne pozitívne alebo falošne negatívne výsledky vyšetrenia PET pomocou fludeoxyglukózy (</w:t>
      </w:r>
      <w:r w:rsidRPr="004D7E48">
        <w:rPr>
          <w:rFonts w:cs="Times New Roman"/>
          <w:vertAlign w:val="superscript"/>
          <w:lang w:val="sk-SK"/>
        </w:rPr>
        <w:t>18</w:t>
      </w:r>
      <w:r w:rsidRPr="004D7E48">
        <w:rPr>
          <w:rFonts w:cs="Times New Roman"/>
          <w:lang w:val="sk-SK"/>
        </w:rPr>
        <w:t>F). Ak klinická indikácia vyžaduje skoršiu diagnostiku pomocou vyšetrenia PET s fludeoxyglukózou (</w:t>
      </w:r>
      <w:r w:rsidRPr="004D7E48">
        <w:rPr>
          <w:rFonts w:cs="Times New Roman"/>
          <w:vertAlign w:val="superscript"/>
          <w:lang w:val="sk-SK"/>
        </w:rPr>
        <w:t>18</w:t>
      </w:r>
      <w:r w:rsidRPr="004D7E48">
        <w:rPr>
          <w:rFonts w:cs="Times New Roman"/>
          <w:lang w:val="sk-SK"/>
        </w:rPr>
        <w:t>F), musí sa skoršie vyšetrenie PET s fludeoxyglukózou (</w:t>
      </w:r>
      <w:r w:rsidRPr="004D7E48">
        <w:rPr>
          <w:rFonts w:cs="Times New Roman"/>
          <w:vertAlign w:val="superscript"/>
          <w:lang w:val="sk-SK"/>
        </w:rPr>
        <w:t>18</w:t>
      </w:r>
      <w:r w:rsidRPr="004D7E48">
        <w:rPr>
          <w:rFonts w:cs="Times New Roman"/>
          <w:lang w:val="sk-SK"/>
        </w:rPr>
        <w:t>F) odôvodnene zdokumentovať.</w:t>
      </w:r>
    </w:p>
    <w:p w:rsidR="00447BE2" w:rsidRPr="004D7E48" w:rsidRDefault="00447BE2" w:rsidP="003E3767">
      <w:pPr>
        <w:spacing w:after="120"/>
        <w:jc w:val="both"/>
        <w:rPr>
          <w:rFonts w:cs="Times New Roman"/>
          <w:lang w:val="sk-SK"/>
        </w:rPr>
      </w:pPr>
      <w:r w:rsidRPr="004D7E48">
        <w:rPr>
          <w:rFonts w:cs="Times New Roman"/>
          <w:lang w:val="sk-SK"/>
        </w:rPr>
        <w:t>Optimálny odstup je 4 až 6 týždňov po poslednom podaní chemoterapie, aby sa zabránilo falošne negatívnym výsledkom. Ak klinická indikácia vyžaduje skoršiu diagnostiku pomocou vyšetrenia PET s fludeoxyglukózou (</w:t>
      </w:r>
      <w:r w:rsidRPr="004D7E48">
        <w:rPr>
          <w:rFonts w:cs="Times New Roman"/>
          <w:vertAlign w:val="superscript"/>
          <w:lang w:val="sk-SK"/>
        </w:rPr>
        <w:t>18</w:t>
      </w:r>
      <w:r w:rsidRPr="004D7E48">
        <w:rPr>
          <w:rFonts w:cs="Times New Roman"/>
          <w:lang w:val="sk-SK"/>
        </w:rPr>
        <w:t>F), musí sa skoršie vyšetrenie PET s fludeoxyglukózou (</w:t>
      </w:r>
      <w:r w:rsidRPr="004D7E48">
        <w:rPr>
          <w:rFonts w:cs="Times New Roman"/>
          <w:vertAlign w:val="superscript"/>
          <w:lang w:val="sk-SK"/>
        </w:rPr>
        <w:t>18</w:t>
      </w:r>
      <w:r w:rsidRPr="004D7E48">
        <w:rPr>
          <w:rFonts w:cs="Times New Roman"/>
          <w:lang w:val="sk-SK"/>
        </w:rPr>
        <w:t xml:space="preserve">F) odôvodnene </w:t>
      </w:r>
      <w:r w:rsidRPr="004D7E48">
        <w:rPr>
          <w:rFonts w:cs="Times New Roman"/>
          <w:lang w:val="sk-SK"/>
        </w:rPr>
        <w:lastRenderedPageBreak/>
        <w:t>zdokumentovať. V prípade režimu chemoterapie s cyklami kratšími ako 4 týždne by sa malo vyšetrenie PET s fluoxyglukózou (</w:t>
      </w:r>
      <w:r w:rsidRPr="004D7E48">
        <w:rPr>
          <w:rFonts w:cs="Times New Roman"/>
          <w:vertAlign w:val="superscript"/>
          <w:lang w:val="sk-SK"/>
        </w:rPr>
        <w:t>18</w:t>
      </w:r>
      <w:r w:rsidRPr="004D7E48">
        <w:rPr>
          <w:rFonts w:cs="Times New Roman"/>
          <w:lang w:val="sk-SK"/>
        </w:rPr>
        <w:t>F) vykonať tesne pred opätovným zahájením nového cyklu.</w:t>
      </w:r>
    </w:p>
    <w:p w:rsidR="00447BE2" w:rsidRPr="004D7E48" w:rsidRDefault="00447BE2" w:rsidP="003E3767">
      <w:pPr>
        <w:spacing w:after="120"/>
        <w:jc w:val="both"/>
        <w:rPr>
          <w:rFonts w:cs="Times New Roman"/>
          <w:lang w:val="sk-SK"/>
        </w:rPr>
      </w:pPr>
      <w:r w:rsidRPr="004D7E48">
        <w:rPr>
          <w:rFonts w:cs="Times New Roman"/>
          <w:lang w:val="sk-SK"/>
        </w:rPr>
        <w:t>U lymfómu nízkeho stupňa (low-grade), karcinómu dolnej časti pažeráka a pri podozrení na recidívu karcinómu ovária, sa musí posudzovať iba pozitívna prediktívna hodnota z dôvodu obmedzenej senzitivity PET s fludeoxyglukózou (</w:t>
      </w:r>
      <w:r w:rsidRPr="004D7E48">
        <w:rPr>
          <w:rFonts w:cs="Times New Roman"/>
          <w:vertAlign w:val="superscript"/>
          <w:lang w:val="sk-SK"/>
        </w:rPr>
        <w:t>18</w:t>
      </w:r>
      <w:r w:rsidRPr="004D7E48">
        <w:rPr>
          <w:rFonts w:cs="Times New Roman"/>
          <w:lang w:val="sk-SK"/>
        </w:rPr>
        <w:t>F).</w:t>
      </w:r>
    </w:p>
    <w:p w:rsidR="00447BE2" w:rsidRPr="004D7E48" w:rsidRDefault="00447BE2" w:rsidP="003E3767">
      <w:pPr>
        <w:spacing w:after="120"/>
        <w:jc w:val="both"/>
        <w:rPr>
          <w:rFonts w:cs="Times New Roman"/>
          <w:lang w:val="sk-SK"/>
        </w:rPr>
      </w:pPr>
      <w:r w:rsidRPr="004D7E48">
        <w:rPr>
          <w:rFonts w:cs="Times New Roman"/>
          <w:lang w:val="sk-SK"/>
        </w:rPr>
        <w:t>Fludeoxyglukóza (</w:t>
      </w:r>
      <w:r w:rsidRPr="004D7E48">
        <w:rPr>
          <w:rFonts w:cs="Times New Roman"/>
          <w:vertAlign w:val="superscript"/>
          <w:lang w:val="sk-SK"/>
        </w:rPr>
        <w:t>18</w:t>
      </w:r>
      <w:r w:rsidRPr="004D7E48">
        <w:rPr>
          <w:rFonts w:cs="Times New Roman"/>
          <w:lang w:val="sk-SK"/>
        </w:rPr>
        <w:t>F) nie je efektívna pri detekcii metastáz v mozgu.</w:t>
      </w:r>
    </w:p>
    <w:p w:rsidR="00447BE2" w:rsidRPr="004D7E48" w:rsidRDefault="00447BE2" w:rsidP="003E3767">
      <w:pPr>
        <w:spacing w:after="120"/>
        <w:jc w:val="both"/>
        <w:rPr>
          <w:rFonts w:cs="Times New Roman"/>
          <w:lang w:val="sk-SK"/>
        </w:rPr>
      </w:pPr>
      <w:r w:rsidRPr="004D7E48">
        <w:rPr>
          <w:rStyle w:val="hps"/>
          <w:rFonts w:cs="Times New Roman"/>
          <w:lang w:val="sk-SK"/>
        </w:rPr>
        <w:t>Presnosť</w:t>
      </w:r>
      <w:r w:rsidRPr="004D7E48">
        <w:rPr>
          <w:rFonts w:cs="Times New Roman"/>
          <w:lang w:val="sk-SK"/>
        </w:rPr>
        <w:t xml:space="preserve"> zobrazenia PET s f</w:t>
      </w:r>
      <w:r w:rsidRPr="004D7E48">
        <w:rPr>
          <w:rStyle w:val="hps"/>
          <w:rFonts w:cs="Times New Roman"/>
          <w:lang w:val="sk-SK"/>
        </w:rPr>
        <w:t>ludeoxyglukózou</w:t>
      </w:r>
      <w:r w:rsidRPr="004D7E48">
        <w:rPr>
          <w:rFonts w:cs="Times New Roman"/>
          <w:lang w:val="sk-SK"/>
        </w:rPr>
        <w:t xml:space="preserve"> </w:t>
      </w:r>
      <w:r w:rsidRPr="004D7E48">
        <w:rPr>
          <w:rStyle w:val="hpsatn"/>
          <w:rFonts w:cs="Times New Roman"/>
          <w:lang w:val="sk-SK"/>
        </w:rPr>
        <w:t>(</w:t>
      </w:r>
      <w:r w:rsidRPr="004D7E48">
        <w:rPr>
          <w:rFonts w:cs="Times New Roman"/>
          <w:vertAlign w:val="superscript"/>
          <w:lang w:val="sk-SK"/>
        </w:rPr>
        <w:t>18</w:t>
      </w:r>
      <w:r w:rsidRPr="004D7E48">
        <w:rPr>
          <w:rFonts w:cs="Times New Roman"/>
          <w:lang w:val="sk-SK"/>
        </w:rPr>
        <w:t>F) je</w:t>
      </w:r>
      <w:r w:rsidRPr="004D7E48">
        <w:rPr>
          <w:rStyle w:val="hps"/>
          <w:rFonts w:cs="Times New Roman"/>
          <w:lang w:val="sk-SK"/>
        </w:rPr>
        <w:t xml:space="preserve"> lepšia</w:t>
      </w:r>
      <w:r w:rsidRPr="004D7E48">
        <w:rPr>
          <w:rFonts w:cs="Times New Roman"/>
          <w:lang w:val="sk-SK"/>
        </w:rPr>
        <w:t xml:space="preserve"> pri použití  </w:t>
      </w:r>
      <w:r w:rsidRPr="004D7E48">
        <w:rPr>
          <w:rStyle w:val="hps"/>
          <w:rFonts w:cs="Times New Roman"/>
          <w:lang w:val="sk-SK"/>
        </w:rPr>
        <w:t>PET/</w:t>
      </w:r>
      <w:r w:rsidRPr="004D7E48">
        <w:rPr>
          <w:rFonts w:cs="Times New Roman"/>
          <w:lang w:val="sk-SK"/>
        </w:rPr>
        <w:t>C</w:t>
      </w:r>
      <w:r w:rsidRPr="004D7E48">
        <w:rPr>
          <w:rStyle w:val="hps"/>
          <w:rFonts w:cs="Times New Roman"/>
          <w:lang w:val="sk-SK"/>
        </w:rPr>
        <w:t>T</w:t>
      </w:r>
      <w:r w:rsidRPr="004D7E48">
        <w:rPr>
          <w:rFonts w:cs="Times New Roman"/>
          <w:lang w:val="sk-SK"/>
        </w:rPr>
        <w:t xml:space="preserve">, </w:t>
      </w:r>
      <w:r w:rsidRPr="004D7E48">
        <w:rPr>
          <w:rStyle w:val="hps"/>
          <w:rFonts w:cs="Times New Roman"/>
          <w:lang w:val="sk-SK"/>
        </w:rPr>
        <w:t>ako</w:t>
      </w:r>
      <w:r w:rsidRPr="004D7E48">
        <w:rPr>
          <w:rFonts w:cs="Times New Roman"/>
          <w:lang w:val="sk-SK"/>
        </w:rPr>
        <w:t xml:space="preserve"> pri samotných </w:t>
      </w:r>
      <w:r w:rsidRPr="004D7E48">
        <w:rPr>
          <w:rStyle w:val="hps"/>
          <w:rFonts w:cs="Times New Roman"/>
          <w:lang w:val="sk-SK"/>
        </w:rPr>
        <w:t>PET</w:t>
      </w:r>
      <w:r w:rsidRPr="004D7E48">
        <w:rPr>
          <w:rFonts w:cs="Times New Roman"/>
          <w:lang w:val="sk-SK"/>
        </w:rPr>
        <w:t xml:space="preserve"> </w:t>
      </w:r>
      <w:r w:rsidRPr="004D7E48">
        <w:rPr>
          <w:rStyle w:val="hps"/>
          <w:rFonts w:cs="Times New Roman"/>
          <w:lang w:val="sk-SK"/>
        </w:rPr>
        <w:t>kamerách.</w:t>
      </w:r>
    </w:p>
    <w:p w:rsidR="00447BE2" w:rsidRPr="004D7E48" w:rsidRDefault="00447BE2" w:rsidP="003E3767">
      <w:pPr>
        <w:spacing w:after="120"/>
        <w:jc w:val="both"/>
        <w:rPr>
          <w:rFonts w:cs="Times New Roman"/>
          <w:lang w:val="sk-SK"/>
        </w:rPr>
      </w:pPr>
      <w:r w:rsidRPr="004D7E48">
        <w:rPr>
          <w:rFonts w:cs="Times New Roman"/>
          <w:lang w:val="sk-SK"/>
        </w:rPr>
        <w:t>Pri použití CT kontrastnej látky pre hybridný PET-CT skener sa môžu na PET snímkach pri útlme korekcie objaviť artefakty.</w:t>
      </w:r>
    </w:p>
    <w:p w:rsidR="00447BE2" w:rsidRPr="004D7E48" w:rsidRDefault="00447BE2" w:rsidP="003E3767">
      <w:pPr>
        <w:spacing w:after="120"/>
        <w:jc w:val="both"/>
        <w:rPr>
          <w:rFonts w:cs="Times New Roman"/>
          <w:u w:val="single"/>
          <w:lang w:val="sk-SK"/>
        </w:rPr>
      </w:pPr>
    </w:p>
    <w:p w:rsidR="00614F1A" w:rsidRPr="004D7E48" w:rsidRDefault="00614F1A" w:rsidP="003E3767">
      <w:pPr>
        <w:spacing w:after="120"/>
        <w:jc w:val="both"/>
        <w:rPr>
          <w:rFonts w:cs="Times New Roman"/>
          <w:u w:val="single"/>
          <w:lang w:val="sk-SK"/>
        </w:rPr>
      </w:pPr>
      <w:r w:rsidRPr="004D7E48">
        <w:rPr>
          <w:rStyle w:val="hps"/>
          <w:rFonts w:cs="Times New Roman"/>
          <w:u w:val="single"/>
          <w:lang w:val="sk-SK"/>
        </w:rPr>
        <w:t xml:space="preserve">Po </w:t>
      </w:r>
      <w:r w:rsidRPr="004D7E48">
        <w:rPr>
          <w:rFonts w:cs="Times New Roman"/>
          <w:u w:val="single"/>
          <w:lang w:val="sk-SK"/>
        </w:rPr>
        <w:t xml:space="preserve">vyšetrení </w:t>
      </w:r>
    </w:p>
    <w:p w:rsidR="00614F1A" w:rsidRPr="004D7E48" w:rsidRDefault="00614F1A" w:rsidP="003E3767">
      <w:pPr>
        <w:spacing w:after="120"/>
        <w:jc w:val="both"/>
        <w:rPr>
          <w:rFonts w:cs="Times New Roman"/>
          <w:lang w:val="sk-SK"/>
        </w:rPr>
      </w:pPr>
      <w:r w:rsidRPr="004D7E48">
        <w:rPr>
          <w:rFonts w:cs="Times New Roman"/>
          <w:lang w:val="sk-SK"/>
        </w:rPr>
        <w:t>Odporúča sa zabrániť blízkemu kontaktu pacienta s deťmi a tehotnými ženami počas prvých 12 hodín po podaní injekcie.</w:t>
      </w:r>
    </w:p>
    <w:p w:rsidR="00614F1A" w:rsidRPr="004D7E48" w:rsidRDefault="00614F1A" w:rsidP="003E3767">
      <w:pPr>
        <w:spacing w:after="120"/>
        <w:jc w:val="both"/>
        <w:rPr>
          <w:rFonts w:cs="Times New Roman"/>
          <w:lang w:val="sk-SK"/>
        </w:rPr>
      </w:pPr>
    </w:p>
    <w:p w:rsidR="00614F1A" w:rsidRPr="004D7E48" w:rsidRDefault="00614F1A" w:rsidP="00846068">
      <w:pPr>
        <w:rPr>
          <w:u w:val="single"/>
          <w:lang w:val="sk-SK"/>
        </w:rPr>
      </w:pPr>
      <w:r w:rsidRPr="004D7E48">
        <w:rPr>
          <w:u w:val="single"/>
          <w:lang w:val="sk-SK"/>
        </w:rPr>
        <w:t>Špecifické upozornenia</w:t>
      </w:r>
    </w:p>
    <w:p w:rsidR="00614F1A" w:rsidRPr="004D7E48" w:rsidRDefault="00614F1A" w:rsidP="003E3767">
      <w:pPr>
        <w:spacing w:after="120"/>
        <w:jc w:val="both"/>
        <w:rPr>
          <w:rFonts w:cs="Times New Roman"/>
          <w:lang w:val="sk-SK"/>
        </w:rPr>
      </w:pPr>
      <w:r w:rsidRPr="004D7E48">
        <w:rPr>
          <w:rFonts w:cs="Times New Roman"/>
          <w:lang w:val="sk-SK"/>
        </w:rPr>
        <w:t>V závislosti od času podania injekcie môže byť obsah sodíka v niektorých prípadoch vyšší ako 1 mmol (23 mg), čo treba vziať do úvahy u pacientov na diéte s nízkym obsahom sodíka.</w:t>
      </w:r>
    </w:p>
    <w:p w:rsidR="00614F1A" w:rsidRPr="004D7E48" w:rsidRDefault="00614F1A" w:rsidP="003E3767">
      <w:pPr>
        <w:spacing w:after="120"/>
        <w:jc w:val="both"/>
        <w:rPr>
          <w:rFonts w:cs="Times New Roman"/>
          <w:lang w:val="sk-SK"/>
        </w:rPr>
      </w:pPr>
    </w:p>
    <w:p w:rsidR="00AA70C6" w:rsidRPr="004D7E48" w:rsidRDefault="00614F1A" w:rsidP="003E3767">
      <w:pPr>
        <w:spacing w:after="120"/>
        <w:jc w:val="both"/>
        <w:rPr>
          <w:rFonts w:cs="Times New Roman"/>
          <w:lang w:val="sk-SK"/>
        </w:rPr>
      </w:pPr>
      <w:r w:rsidRPr="004D7E48">
        <w:rPr>
          <w:rFonts w:cs="Times New Roman"/>
          <w:lang w:val="sk-SK"/>
        </w:rPr>
        <w:t xml:space="preserve">Preventívne opatrenia týkajúce sa nebezpečenstva pre životné prostredie pozri časť 6.6. </w:t>
      </w:r>
    </w:p>
    <w:p w:rsidR="00C306F9" w:rsidRPr="004D7E48" w:rsidRDefault="00C306F9" w:rsidP="003E3767">
      <w:pPr>
        <w:spacing w:after="120"/>
        <w:jc w:val="both"/>
        <w:rPr>
          <w:rFonts w:cs="Times New Roman"/>
          <w:lang w:val="sk-SK"/>
        </w:rPr>
      </w:pPr>
    </w:p>
    <w:p w:rsidR="00614F1A" w:rsidRPr="004D7E48" w:rsidRDefault="00614F1A" w:rsidP="003E3767">
      <w:pPr>
        <w:autoSpaceDE w:val="0"/>
        <w:autoSpaceDN w:val="0"/>
        <w:adjustRightInd w:val="0"/>
        <w:spacing w:after="120"/>
        <w:jc w:val="both"/>
        <w:rPr>
          <w:rFonts w:cs="Times New Roman"/>
          <w:b/>
          <w:lang w:val="sk-SK"/>
        </w:rPr>
      </w:pPr>
      <w:r w:rsidRPr="004D7E48">
        <w:rPr>
          <w:rFonts w:cs="Times New Roman"/>
          <w:b/>
          <w:lang w:val="sk-SK"/>
        </w:rPr>
        <w:t>4.5</w:t>
      </w:r>
      <w:r w:rsidRPr="004D7E48">
        <w:rPr>
          <w:rFonts w:cs="Times New Roman"/>
          <w:b/>
          <w:lang w:val="sk-SK"/>
        </w:rPr>
        <w:tab/>
        <w:t>Liekové a iné interakcie</w:t>
      </w:r>
    </w:p>
    <w:p w:rsidR="00614F1A" w:rsidRPr="004D7E48" w:rsidRDefault="00614F1A" w:rsidP="003E3767">
      <w:pPr>
        <w:spacing w:after="120"/>
        <w:jc w:val="both"/>
        <w:rPr>
          <w:rFonts w:cs="Times New Roman"/>
          <w:lang w:val="sk-SK"/>
        </w:rPr>
      </w:pPr>
      <w:r w:rsidRPr="004D7E48">
        <w:rPr>
          <w:rFonts w:cs="Times New Roman"/>
          <w:lang w:val="sk-SK"/>
        </w:rPr>
        <w:t>Všetky lieky, ktoré ovplyvňujú hladinu glukózy v krvi, môžu mať vplyv na citlivosť vyšetrenia (napr. kortikosteroidy, valproát, karbamazepín, fenytoín, fenobarbital a katecholamíny).</w:t>
      </w:r>
    </w:p>
    <w:p w:rsidR="00614F1A" w:rsidRPr="004D7E48" w:rsidRDefault="00614F1A" w:rsidP="003E3767">
      <w:pPr>
        <w:spacing w:after="120"/>
        <w:jc w:val="both"/>
        <w:rPr>
          <w:rFonts w:cs="Times New Roman"/>
          <w:lang w:val="sk-SK"/>
        </w:rPr>
      </w:pPr>
      <w:r w:rsidRPr="004D7E48">
        <w:rPr>
          <w:rFonts w:cs="Times New Roman"/>
          <w:lang w:val="sk-SK"/>
        </w:rPr>
        <w:t>Pri podaní faktorov stimulujúcich granulocytové kolónie (CSF) existuje zvýšené riziko vychytávania fludeoxyglukózy (</w:t>
      </w:r>
      <w:r w:rsidRPr="004D7E48">
        <w:rPr>
          <w:rFonts w:cs="Times New Roman"/>
          <w:vertAlign w:val="superscript"/>
          <w:lang w:val="sk-SK"/>
        </w:rPr>
        <w:t>18</w:t>
      </w:r>
      <w:r w:rsidRPr="004D7E48">
        <w:rPr>
          <w:rFonts w:cs="Times New Roman"/>
          <w:lang w:val="sk-SK"/>
        </w:rPr>
        <w:t>F) v kostnej dreni a slezine po dobu niekoľkých dní, čo treba zvážiť pri interpretácii snímok získaných z PET vyšetrenia. Časový odstup minimálne piatich dní medzi liečbou pomocou CSF a PET vyšetrením môže túto interakciu znížiť.</w:t>
      </w:r>
    </w:p>
    <w:p w:rsidR="00614F1A" w:rsidRPr="004D7E48" w:rsidRDefault="00614F1A" w:rsidP="003E3767">
      <w:pPr>
        <w:spacing w:after="120"/>
        <w:jc w:val="both"/>
        <w:rPr>
          <w:rFonts w:cs="Times New Roman"/>
          <w:lang w:val="sk-SK"/>
        </w:rPr>
      </w:pPr>
      <w:r w:rsidRPr="004D7E48">
        <w:rPr>
          <w:rFonts w:cs="Times New Roman"/>
          <w:lang w:val="sk-SK"/>
        </w:rPr>
        <w:t>Podanie glukózy a inzulínu ovplyvňuje vstup fludeoxyglukózy (</w:t>
      </w:r>
      <w:r w:rsidRPr="004D7E48">
        <w:rPr>
          <w:rFonts w:cs="Times New Roman"/>
          <w:vertAlign w:val="superscript"/>
          <w:lang w:val="sk-SK"/>
        </w:rPr>
        <w:t>18</w:t>
      </w:r>
      <w:r w:rsidRPr="004D7E48">
        <w:rPr>
          <w:rFonts w:cs="Times New Roman"/>
          <w:lang w:val="sk-SK"/>
        </w:rPr>
        <w:t>F) do buniek. V prípade vysokých hladín glukózy v krvi a tiež nízkych hladín inzulínu v plazme sa vstup fludeoxyglukózy (</w:t>
      </w:r>
      <w:r w:rsidRPr="004D7E48">
        <w:rPr>
          <w:rFonts w:cs="Times New Roman"/>
          <w:vertAlign w:val="superscript"/>
          <w:lang w:val="sk-SK"/>
        </w:rPr>
        <w:t>18</w:t>
      </w:r>
      <w:r w:rsidRPr="004D7E48">
        <w:rPr>
          <w:rFonts w:cs="Times New Roman"/>
          <w:lang w:val="sk-SK"/>
        </w:rPr>
        <w:t>F) do orgánov a nádorov znižuje.</w:t>
      </w:r>
    </w:p>
    <w:p w:rsidR="00614F1A" w:rsidRPr="004D7E48" w:rsidRDefault="00614F1A" w:rsidP="003E3767">
      <w:pPr>
        <w:spacing w:after="120"/>
        <w:jc w:val="both"/>
        <w:rPr>
          <w:rFonts w:cs="Times New Roman"/>
          <w:lang w:val="sk-SK"/>
        </w:rPr>
      </w:pPr>
      <w:r w:rsidRPr="004D7E48">
        <w:rPr>
          <w:rFonts w:cs="Times New Roman"/>
          <w:lang w:val="sk-SK"/>
        </w:rPr>
        <w:t>Neuskutočnili sa žiadne interakčné štúdie fludeoxyglukózy (</w:t>
      </w:r>
      <w:r w:rsidRPr="004D7E48">
        <w:rPr>
          <w:rFonts w:cs="Times New Roman"/>
          <w:vertAlign w:val="superscript"/>
          <w:lang w:val="sk-SK"/>
        </w:rPr>
        <w:t>18</w:t>
      </w:r>
      <w:r w:rsidRPr="004D7E48">
        <w:rPr>
          <w:rFonts w:cs="Times New Roman"/>
          <w:lang w:val="sk-SK"/>
        </w:rPr>
        <w:t>F) a kontrastných látok pre počítačovú tomografiu.</w:t>
      </w:r>
    </w:p>
    <w:p w:rsidR="00AA70C6" w:rsidRPr="004D7E48" w:rsidRDefault="00AA70C6" w:rsidP="003E3767">
      <w:pPr>
        <w:spacing w:after="120"/>
        <w:jc w:val="both"/>
        <w:rPr>
          <w:rFonts w:cs="Times New Roman"/>
          <w:lang w:val="sk-SK"/>
        </w:rPr>
      </w:pPr>
    </w:p>
    <w:p w:rsidR="00614F1A" w:rsidRPr="004D7E48" w:rsidRDefault="00614F1A" w:rsidP="0025099A">
      <w:pPr>
        <w:autoSpaceDE w:val="0"/>
        <w:autoSpaceDN w:val="0"/>
        <w:adjustRightInd w:val="0"/>
        <w:spacing w:after="120"/>
        <w:jc w:val="both"/>
        <w:rPr>
          <w:rFonts w:cs="Times New Roman"/>
          <w:lang w:val="sk-SK"/>
        </w:rPr>
      </w:pPr>
      <w:r w:rsidRPr="004D7E48">
        <w:rPr>
          <w:rFonts w:cs="Times New Roman"/>
          <w:b/>
          <w:lang w:val="sk-SK"/>
        </w:rPr>
        <w:t>4.6</w:t>
      </w:r>
      <w:r w:rsidRPr="004D7E48">
        <w:rPr>
          <w:rFonts w:cs="Times New Roman"/>
          <w:b/>
          <w:lang w:val="sk-SK"/>
        </w:rPr>
        <w:tab/>
      </w:r>
      <w:r w:rsidR="007360D8" w:rsidRPr="0082735D">
        <w:rPr>
          <w:rFonts w:cs="Times New Roman"/>
          <w:b/>
          <w:lang w:val="sk-SK"/>
        </w:rPr>
        <w:t>Fertilita, gravidita a laktácia</w:t>
      </w:r>
    </w:p>
    <w:p w:rsidR="00614F1A" w:rsidRPr="004D7E48" w:rsidRDefault="00614F1A" w:rsidP="003E3767">
      <w:pPr>
        <w:spacing w:after="120"/>
        <w:jc w:val="both"/>
        <w:rPr>
          <w:rFonts w:cs="Times New Roman"/>
          <w:u w:val="single"/>
          <w:lang w:val="sk-SK"/>
        </w:rPr>
      </w:pPr>
      <w:r w:rsidRPr="004D7E48">
        <w:rPr>
          <w:rFonts w:cs="Times New Roman"/>
          <w:u w:val="single"/>
          <w:lang w:val="sk-SK"/>
        </w:rPr>
        <w:t>Ženy v reprodukčnom veku</w:t>
      </w:r>
    </w:p>
    <w:p w:rsidR="00614F1A" w:rsidRPr="004D7E48" w:rsidRDefault="00614F1A" w:rsidP="003E3767">
      <w:pPr>
        <w:spacing w:after="120"/>
        <w:jc w:val="both"/>
        <w:rPr>
          <w:rFonts w:cs="Times New Roman"/>
          <w:lang w:val="sk-SK"/>
        </w:rPr>
      </w:pPr>
      <w:r w:rsidRPr="004D7E48">
        <w:rPr>
          <w:rFonts w:cs="Times New Roman"/>
          <w:lang w:val="sk-SK"/>
        </w:rPr>
        <w:t xml:space="preserve">Ak je nevyhnutné aplikovať rádioaktívnu látku ženám v reprodukčnom veku, vždy je nutné </w:t>
      </w:r>
      <w:r w:rsidR="00F414EE">
        <w:rPr>
          <w:rFonts w:cs="Times New Roman"/>
          <w:lang w:val="sk-SK"/>
        </w:rPr>
        <w:t xml:space="preserve">vylúčiť </w:t>
      </w:r>
      <w:r w:rsidRPr="004D7E48">
        <w:rPr>
          <w:rFonts w:cs="Times New Roman"/>
          <w:lang w:val="sk-SK"/>
        </w:rPr>
        <w:t>možn</w:t>
      </w:r>
      <w:r w:rsidR="0082735D">
        <w:rPr>
          <w:rFonts w:cs="Times New Roman"/>
          <w:lang w:val="sk-SK"/>
        </w:rPr>
        <w:t xml:space="preserve">é </w:t>
      </w:r>
      <w:r w:rsidRPr="004D7E48">
        <w:rPr>
          <w:rFonts w:cs="Times New Roman"/>
          <w:lang w:val="sk-SK"/>
        </w:rPr>
        <w:t>tehotenstv</w:t>
      </w:r>
      <w:r w:rsidR="0082735D">
        <w:rPr>
          <w:rFonts w:cs="Times New Roman"/>
          <w:lang w:val="sk-SK"/>
        </w:rPr>
        <w:t>o</w:t>
      </w:r>
      <w:r w:rsidRPr="004D7E48">
        <w:rPr>
          <w:rFonts w:cs="Times New Roman"/>
          <w:lang w:val="sk-SK"/>
        </w:rPr>
        <w:t xml:space="preserve">. Každá žena, ktorej vynechala menštruácia, sa </w:t>
      </w:r>
      <w:r w:rsidR="0082735D">
        <w:rPr>
          <w:rFonts w:cs="Times New Roman"/>
          <w:lang w:val="sk-SK"/>
        </w:rPr>
        <w:t xml:space="preserve">má </w:t>
      </w:r>
      <w:r w:rsidRPr="004D7E48">
        <w:rPr>
          <w:rFonts w:cs="Times New Roman"/>
          <w:lang w:val="sk-SK"/>
        </w:rPr>
        <w:t xml:space="preserve">považovať za tehotnú, pokiaľ sa </w:t>
      </w:r>
      <w:r w:rsidRPr="004D7E48">
        <w:rPr>
          <w:rFonts w:cs="Times New Roman"/>
          <w:lang w:val="sk-SK"/>
        </w:rPr>
        <w:lastRenderedPageBreak/>
        <w:t xml:space="preserve">nepreukáže opak. V prípade </w:t>
      </w:r>
      <w:r w:rsidR="00F414EE">
        <w:rPr>
          <w:rFonts w:cs="Times New Roman"/>
          <w:lang w:val="sk-SK"/>
        </w:rPr>
        <w:t xml:space="preserve">pochybnosti </w:t>
      </w:r>
      <w:r w:rsidRPr="004D7E48">
        <w:rPr>
          <w:rFonts w:cs="Times New Roman"/>
          <w:lang w:val="sk-SK"/>
        </w:rPr>
        <w:t>možného tehotenstva (vynechaná menštruácia, nepravidelná menštruácia, atď.) je nutné pacientke ponúknuť alternatívne techniky (ak existujú) bez ionizujúceho žiarenia.</w:t>
      </w:r>
    </w:p>
    <w:p w:rsidR="00614F1A" w:rsidRPr="004D7E48" w:rsidRDefault="00614F1A" w:rsidP="003E3767">
      <w:pPr>
        <w:spacing w:after="120"/>
        <w:jc w:val="both"/>
        <w:rPr>
          <w:rFonts w:cs="Times New Roman"/>
          <w:u w:val="single"/>
          <w:lang w:val="sk-SK"/>
        </w:rPr>
      </w:pPr>
      <w:r w:rsidRPr="004D7E48">
        <w:rPr>
          <w:rFonts w:cs="Times New Roman"/>
          <w:u w:val="single"/>
          <w:lang w:val="sk-SK"/>
        </w:rPr>
        <w:t>Gravidita</w:t>
      </w:r>
    </w:p>
    <w:p w:rsidR="00614F1A" w:rsidRPr="004D7E48" w:rsidRDefault="00614F1A" w:rsidP="003E3767">
      <w:pPr>
        <w:spacing w:after="120"/>
        <w:jc w:val="both"/>
        <w:rPr>
          <w:rFonts w:cs="Times New Roman"/>
          <w:lang w:val="sk-SK"/>
        </w:rPr>
      </w:pPr>
      <w:r w:rsidRPr="004D7E48">
        <w:rPr>
          <w:rFonts w:cs="Times New Roman"/>
          <w:lang w:val="sk-SK"/>
        </w:rPr>
        <w:t>Rádionuklidové vyšetrenia tehotných žien spôsob</w:t>
      </w:r>
      <w:r w:rsidR="00F414EE">
        <w:rPr>
          <w:rFonts w:cs="Times New Roman"/>
          <w:lang w:val="sk-SK"/>
        </w:rPr>
        <w:t>ia</w:t>
      </w:r>
      <w:r w:rsidRPr="004D7E48">
        <w:rPr>
          <w:rFonts w:cs="Times New Roman"/>
          <w:lang w:val="sk-SK"/>
        </w:rPr>
        <w:t xml:space="preserve"> aj radiačnú záťaž plodu. </w:t>
      </w:r>
    </w:p>
    <w:p w:rsidR="00614F1A" w:rsidRPr="004D7E48" w:rsidRDefault="00614F1A" w:rsidP="003E3767">
      <w:pPr>
        <w:spacing w:after="120"/>
        <w:jc w:val="both"/>
        <w:rPr>
          <w:rFonts w:cs="Times New Roman"/>
          <w:lang w:val="sk-SK"/>
        </w:rPr>
      </w:pPr>
      <w:r w:rsidRPr="004D7E48">
        <w:rPr>
          <w:rFonts w:cs="Times New Roman"/>
          <w:lang w:val="sk-SK"/>
        </w:rPr>
        <w:t xml:space="preserve">V priebehu tehotenstva sa preto </w:t>
      </w:r>
      <w:r w:rsidR="00F414EE">
        <w:rPr>
          <w:rFonts w:cs="Times New Roman"/>
          <w:lang w:val="sk-SK"/>
        </w:rPr>
        <w:t xml:space="preserve">majú </w:t>
      </w:r>
      <w:r w:rsidRPr="004D7E48">
        <w:rPr>
          <w:rFonts w:cs="Times New Roman"/>
          <w:lang w:val="sk-SK"/>
        </w:rPr>
        <w:t>vykonávať iba nutné vyšetrenia</w:t>
      </w:r>
      <w:r w:rsidR="00F414EE">
        <w:rPr>
          <w:rFonts w:cs="Times New Roman"/>
          <w:lang w:val="sk-SK"/>
        </w:rPr>
        <w:t>,</w:t>
      </w:r>
      <w:r w:rsidRPr="004D7E48">
        <w:rPr>
          <w:rFonts w:cs="Times New Roman"/>
          <w:lang w:val="sk-SK"/>
        </w:rPr>
        <w:t xml:space="preserve"> u ktorých predpokladaný prínos podstatne prevyšuje riziko prinášané matke a plodu.</w:t>
      </w:r>
    </w:p>
    <w:p w:rsidR="00614F1A" w:rsidRPr="004D7E48" w:rsidRDefault="00614F1A" w:rsidP="003E3767">
      <w:pPr>
        <w:spacing w:after="120"/>
        <w:jc w:val="both"/>
        <w:rPr>
          <w:rFonts w:cs="Times New Roman"/>
          <w:lang w:val="sk-SK"/>
        </w:rPr>
      </w:pPr>
    </w:p>
    <w:p w:rsidR="00E10867" w:rsidRDefault="00E10867" w:rsidP="003E3767">
      <w:pPr>
        <w:spacing w:after="120"/>
        <w:jc w:val="both"/>
        <w:rPr>
          <w:rFonts w:cs="Times New Roman"/>
          <w:u w:val="single"/>
          <w:lang w:val="sk-SK"/>
        </w:rPr>
      </w:pPr>
      <w:r>
        <w:rPr>
          <w:noProof/>
          <w:u w:val="single"/>
        </w:rPr>
        <w:t>Dojčenie</w:t>
      </w:r>
      <w:r w:rsidRPr="004D7E48" w:rsidDel="00E10867">
        <w:rPr>
          <w:rFonts w:cs="Times New Roman"/>
          <w:u w:val="single"/>
          <w:lang w:val="sk-SK"/>
        </w:rPr>
        <w:t xml:space="preserve"> </w:t>
      </w:r>
    </w:p>
    <w:p w:rsidR="00614F1A" w:rsidRPr="004D7E48" w:rsidRDefault="00614F1A" w:rsidP="003E3767">
      <w:pPr>
        <w:spacing w:after="120"/>
        <w:jc w:val="both"/>
        <w:rPr>
          <w:rFonts w:cs="Times New Roman"/>
          <w:lang w:val="sk-SK"/>
        </w:rPr>
      </w:pPr>
      <w:r w:rsidRPr="004D7E48">
        <w:rPr>
          <w:rFonts w:cs="Times New Roman"/>
          <w:lang w:val="sk-SK"/>
        </w:rPr>
        <w:t xml:space="preserve">Pred aplikáciou </w:t>
      </w:r>
      <w:proofErr w:type="spellStart"/>
      <w:r w:rsidRPr="004D7E48">
        <w:rPr>
          <w:rFonts w:cs="Times New Roman"/>
          <w:lang w:val="sk-SK"/>
        </w:rPr>
        <w:t>rádiofarmák</w:t>
      </w:r>
      <w:proofErr w:type="spellEnd"/>
      <w:r w:rsidRPr="004D7E48">
        <w:rPr>
          <w:rFonts w:cs="Times New Roman"/>
          <w:lang w:val="sk-SK"/>
        </w:rPr>
        <w:t xml:space="preserve"> dojčiacim matkám je potrebné zvážiť, či sa nedá podanie rádiofarmaka odložiť na dobu, kedy matk</w:t>
      </w:r>
      <w:r w:rsidR="00F414EE">
        <w:rPr>
          <w:rFonts w:cs="Times New Roman"/>
          <w:lang w:val="sk-SK"/>
        </w:rPr>
        <w:t>a</w:t>
      </w:r>
      <w:r w:rsidRPr="004D7E48">
        <w:rPr>
          <w:rFonts w:cs="Times New Roman"/>
          <w:lang w:val="sk-SK"/>
        </w:rPr>
        <w:t xml:space="preserve"> zanechala dojčenie a tiež najvhodnejšiu voľbu rádiofarmaka s ohľadom na vylučovanie aktivity do materského mlieka. Ak je aplikácia nevyhnutná, treba prerušiť dojčenie na 12 hodín a odsaté mlieko odstrániť.</w:t>
      </w:r>
    </w:p>
    <w:p w:rsidR="00614F1A" w:rsidRPr="004D7E48" w:rsidRDefault="00614F1A" w:rsidP="003E3767">
      <w:pPr>
        <w:spacing w:after="120"/>
        <w:jc w:val="both"/>
        <w:rPr>
          <w:rFonts w:cs="Times New Roman"/>
          <w:lang w:val="sk-SK"/>
        </w:rPr>
      </w:pPr>
      <w:r w:rsidRPr="004D7E48">
        <w:rPr>
          <w:rFonts w:cs="Times New Roman"/>
          <w:lang w:val="sk-SK"/>
        </w:rPr>
        <w:t>Odporúča sa vyhnúť kontaktu medzi matkou a dieťaťom počas prvých 12 hodín po podaní injekcie rádiofarmaka.</w:t>
      </w:r>
    </w:p>
    <w:p w:rsidR="00614F1A" w:rsidRPr="004D7E48" w:rsidRDefault="00614F1A" w:rsidP="003E3767">
      <w:pPr>
        <w:autoSpaceDE w:val="0"/>
        <w:autoSpaceDN w:val="0"/>
        <w:adjustRightInd w:val="0"/>
        <w:spacing w:after="120"/>
        <w:jc w:val="both"/>
        <w:rPr>
          <w:rFonts w:cs="Times New Roman"/>
          <w:lang w:val="sk-SK"/>
        </w:rPr>
      </w:pPr>
    </w:p>
    <w:p w:rsidR="00614F1A" w:rsidRPr="004D7E48" w:rsidRDefault="00614F1A" w:rsidP="003E3767">
      <w:pPr>
        <w:autoSpaceDE w:val="0"/>
        <w:autoSpaceDN w:val="0"/>
        <w:adjustRightInd w:val="0"/>
        <w:spacing w:after="120"/>
        <w:jc w:val="both"/>
        <w:rPr>
          <w:rFonts w:cs="Times New Roman"/>
          <w:u w:val="single"/>
          <w:lang w:val="sk-SK"/>
        </w:rPr>
      </w:pPr>
      <w:r w:rsidRPr="004D7E48">
        <w:rPr>
          <w:rFonts w:cs="Times New Roman"/>
          <w:u w:val="single"/>
          <w:lang w:val="sk-SK"/>
        </w:rPr>
        <w:t>Fertilita</w:t>
      </w:r>
    </w:p>
    <w:p w:rsidR="00614F1A" w:rsidRPr="004D7E48" w:rsidRDefault="00614F1A" w:rsidP="003E3767">
      <w:pPr>
        <w:autoSpaceDE w:val="0"/>
        <w:autoSpaceDN w:val="0"/>
        <w:adjustRightInd w:val="0"/>
        <w:spacing w:after="120"/>
        <w:jc w:val="both"/>
        <w:rPr>
          <w:rFonts w:cs="Times New Roman"/>
          <w:lang w:val="sk-SK"/>
        </w:rPr>
      </w:pPr>
      <w:r w:rsidRPr="004D7E48">
        <w:rPr>
          <w:rStyle w:val="hps"/>
          <w:rFonts w:cs="Times New Roman"/>
          <w:lang w:val="sk-SK"/>
        </w:rPr>
        <w:t>Neuskutočnili sa žiadne</w:t>
      </w:r>
      <w:r w:rsidRPr="004D7E48">
        <w:rPr>
          <w:rFonts w:cs="Times New Roman"/>
          <w:lang w:val="sk-SK"/>
        </w:rPr>
        <w:t xml:space="preserve"> </w:t>
      </w:r>
      <w:r w:rsidRPr="004D7E48">
        <w:rPr>
          <w:rStyle w:val="hps"/>
          <w:rFonts w:cs="Times New Roman"/>
          <w:lang w:val="sk-SK"/>
        </w:rPr>
        <w:t>štúdie týkajúce sa</w:t>
      </w:r>
      <w:r w:rsidRPr="004D7E48">
        <w:rPr>
          <w:rFonts w:cs="Times New Roman"/>
          <w:lang w:val="sk-SK"/>
        </w:rPr>
        <w:t xml:space="preserve"> </w:t>
      </w:r>
      <w:r w:rsidRPr="004D7E48">
        <w:rPr>
          <w:rStyle w:val="hps"/>
          <w:rFonts w:cs="Times New Roman"/>
          <w:lang w:val="sk-SK"/>
        </w:rPr>
        <w:t>fertility</w:t>
      </w:r>
      <w:r w:rsidRPr="004D7E48">
        <w:rPr>
          <w:rFonts w:cs="Times New Roman"/>
          <w:lang w:val="sk-SK"/>
        </w:rPr>
        <w:t>.</w:t>
      </w:r>
    </w:p>
    <w:p w:rsidR="00C306F9" w:rsidRPr="004D7E48" w:rsidRDefault="00C306F9" w:rsidP="003E3767">
      <w:pPr>
        <w:spacing w:after="120"/>
        <w:rPr>
          <w:rFonts w:cs="Times New Roman"/>
          <w:lang w:val="sk-SK"/>
        </w:rPr>
      </w:pPr>
    </w:p>
    <w:p w:rsidR="00C85F0C" w:rsidRPr="004D7E48" w:rsidRDefault="00C85F0C" w:rsidP="003E3767">
      <w:pPr>
        <w:autoSpaceDE w:val="0"/>
        <w:autoSpaceDN w:val="0"/>
        <w:adjustRightInd w:val="0"/>
        <w:spacing w:after="120"/>
        <w:jc w:val="both"/>
        <w:rPr>
          <w:rFonts w:cs="Times New Roman"/>
          <w:lang w:val="sk-SK"/>
        </w:rPr>
      </w:pPr>
      <w:r w:rsidRPr="004D7E48">
        <w:rPr>
          <w:rFonts w:cs="Times New Roman"/>
          <w:b/>
          <w:lang w:val="sk-SK"/>
        </w:rPr>
        <w:t>4.7</w:t>
      </w:r>
      <w:r w:rsidRPr="004D7E48">
        <w:rPr>
          <w:rFonts w:cs="Times New Roman"/>
          <w:b/>
          <w:lang w:val="sk-SK"/>
        </w:rPr>
        <w:tab/>
        <w:t xml:space="preserve">Ovplyvnenie schopnosti viesť vozidlá a obsluhovať stroje </w:t>
      </w:r>
    </w:p>
    <w:p w:rsidR="00C85F0C" w:rsidRPr="004D7E48" w:rsidRDefault="00C85F0C" w:rsidP="003E3767">
      <w:pPr>
        <w:spacing w:after="120"/>
        <w:jc w:val="both"/>
        <w:rPr>
          <w:rFonts w:cs="Times New Roman"/>
          <w:lang w:val="sk-SK"/>
        </w:rPr>
      </w:pPr>
      <w:r w:rsidRPr="004D7E48">
        <w:rPr>
          <w:rFonts w:cs="Times New Roman"/>
          <w:lang w:val="sk-SK"/>
        </w:rPr>
        <w:t>Netýka sa.</w:t>
      </w:r>
    </w:p>
    <w:p w:rsidR="00C85F0C" w:rsidRPr="004D7E48" w:rsidRDefault="00C85F0C" w:rsidP="003E3767">
      <w:pPr>
        <w:spacing w:after="120"/>
        <w:rPr>
          <w:rFonts w:cs="Times New Roman"/>
          <w:b/>
          <w:lang w:val="sk-SK"/>
        </w:rPr>
      </w:pPr>
    </w:p>
    <w:p w:rsidR="00C85F0C" w:rsidRPr="004D7E48" w:rsidRDefault="00C85F0C" w:rsidP="003E3767">
      <w:pPr>
        <w:spacing w:after="120"/>
        <w:rPr>
          <w:rFonts w:cs="Times New Roman"/>
          <w:b/>
          <w:lang w:val="sk-SK"/>
        </w:rPr>
      </w:pPr>
      <w:r w:rsidRPr="004D7E48">
        <w:rPr>
          <w:rFonts w:cs="Times New Roman"/>
          <w:b/>
          <w:lang w:val="sk-SK"/>
        </w:rPr>
        <w:t>4.8</w:t>
      </w:r>
      <w:r w:rsidRPr="004D7E48">
        <w:rPr>
          <w:rFonts w:cs="Times New Roman"/>
          <w:b/>
          <w:lang w:val="sk-SK"/>
        </w:rPr>
        <w:tab/>
        <w:t>Nežiaduce účinky</w:t>
      </w:r>
    </w:p>
    <w:p w:rsidR="00C85F0C" w:rsidRPr="004D7E48" w:rsidRDefault="00C85F0C" w:rsidP="00C0007A">
      <w:pPr>
        <w:spacing w:after="120"/>
        <w:jc w:val="both"/>
        <w:rPr>
          <w:rFonts w:cs="Times New Roman"/>
          <w:lang w:val="sk-SK"/>
        </w:rPr>
      </w:pPr>
      <w:r w:rsidRPr="004D7E48">
        <w:rPr>
          <w:rFonts w:cs="Times New Roman"/>
          <w:lang w:val="sk-SK"/>
        </w:rPr>
        <w:t>Nežiaduce účinky po podaní fludeoxyglukózy (</w:t>
      </w:r>
      <w:r w:rsidRPr="004D7E48">
        <w:rPr>
          <w:rFonts w:cs="Times New Roman"/>
          <w:vertAlign w:val="superscript"/>
          <w:lang w:val="sk-SK"/>
        </w:rPr>
        <w:t>18</w:t>
      </w:r>
      <w:r w:rsidRPr="004D7E48">
        <w:rPr>
          <w:rFonts w:cs="Times New Roman"/>
          <w:lang w:val="sk-SK"/>
        </w:rPr>
        <w:t xml:space="preserve">F) doteraz  neboli pozorované. </w:t>
      </w:r>
    </w:p>
    <w:p w:rsidR="00C85F0C" w:rsidRPr="004D7E48" w:rsidRDefault="00C85F0C" w:rsidP="00C0007A">
      <w:pPr>
        <w:spacing w:after="120"/>
        <w:jc w:val="both"/>
        <w:rPr>
          <w:rFonts w:cs="Times New Roman"/>
          <w:lang w:val="sk-SK"/>
        </w:rPr>
      </w:pPr>
      <w:r w:rsidRPr="004D7E48">
        <w:rPr>
          <w:rFonts w:cs="Times New Roman"/>
          <w:lang w:val="sk-SK"/>
        </w:rPr>
        <w:t>Expozícia ionizujúcim žiarením môže spôsobiť rakovinu alebo potenciálny rozvoj dedičných defektov. Po podaní maximálnej odporúčanej aktivity 400 MBq, kde je efektívna dávka asi 7,6 mSv, je nízka pravdepodobnosť výskytu týchto nežiaducich účinkov.</w:t>
      </w:r>
    </w:p>
    <w:p w:rsidR="00C85F0C" w:rsidRPr="004D7E48" w:rsidRDefault="00C85F0C" w:rsidP="003E3767">
      <w:pPr>
        <w:spacing w:after="120"/>
        <w:jc w:val="both"/>
        <w:rPr>
          <w:rFonts w:cs="Times New Roman"/>
          <w:lang w:val="sk-SK"/>
        </w:rPr>
      </w:pPr>
    </w:p>
    <w:p w:rsidR="004E34B3" w:rsidRPr="004D7E48" w:rsidRDefault="00C85F0C" w:rsidP="003E3767">
      <w:pPr>
        <w:spacing w:after="120"/>
        <w:jc w:val="both"/>
        <w:rPr>
          <w:rFonts w:eastAsia="Times New Roman" w:cs="Times New Roman"/>
          <w:b/>
          <w:u w:val="single"/>
          <w:lang w:val="sk-SK" w:eastAsia="de-DE"/>
        </w:rPr>
      </w:pPr>
      <w:r w:rsidRPr="004D7E48">
        <w:rPr>
          <w:rFonts w:eastAsia="Times New Roman" w:cs="Times New Roman"/>
          <w:b/>
          <w:u w:val="single"/>
          <w:lang w:val="sk-SK" w:eastAsia="de-DE"/>
        </w:rPr>
        <w:t>Hlásenie podozrení na nežiaduce reakcie</w:t>
      </w:r>
    </w:p>
    <w:p w:rsidR="00E10867" w:rsidRPr="0087169E" w:rsidRDefault="0025099A" w:rsidP="003E3767">
      <w:pPr>
        <w:spacing w:after="120"/>
        <w:jc w:val="both"/>
        <w:rPr>
          <w:noProof/>
          <w:lang w:val="sk-SK"/>
        </w:rPr>
      </w:pPr>
      <w:r w:rsidRPr="004D7E48">
        <w:rPr>
          <w:rFonts w:eastAsia="Times New Roman" w:cs="Times New Roman"/>
          <w:lang w:val="sk-SK" w:eastAsia="de-DE"/>
        </w:rPr>
        <w:t xml:space="preserve">Hlásenie podozrení na nežiaduce reakcie po registrácii lieku je dôležité. Umožňuje priebežné monitorovanie pomeru prínosu a rizika lieku. Od zdravotníckych pracovníkov sa vyžaduje, aby hlásili akékoľvek podozrenia na nežiaduce </w:t>
      </w:r>
      <w:r w:rsidR="00E10867" w:rsidRPr="0087169E">
        <w:rPr>
          <w:noProof/>
          <w:lang w:val="sk-SK"/>
        </w:rPr>
        <w:t xml:space="preserve">reakcie na </w:t>
      </w:r>
      <w:r w:rsidR="00E10867" w:rsidRPr="0087169E">
        <w:rPr>
          <w:noProof/>
          <w:highlight w:val="lightGray"/>
          <w:lang w:val="sk-SK"/>
        </w:rPr>
        <w:t>národné centrum hlásenia uvedené v </w:t>
      </w:r>
      <w:hyperlink r:id="rId8" w:history="1">
        <w:r w:rsidR="00E10867" w:rsidRPr="0087169E">
          <w:rPr>
            <w:rStyle w:val="Hypertextovprepojenie"/>
            <w:noProof/>
            <w:highlight w:val="lightGray"/>
            <w:lang w:val="sk-SK"/>
          </w:rPr>
          <w:t>Prílohe V</w:t>
        </w:r>
      </w:hyperlink>
      <w:r w:rsidR="00E10867" w:rsidRPr="0087169E">
        <w:rPr>
          <w:noProof/>
          <w:lang w:val="sk-SK"/>
        </w:rPr>
        <w:t>.</w:t>
      </w:r>
    </w:p>
    <w:p w:rsidR="0025099A" w:rsidRPr="004D7E48" w:rsidRDefault="0025099A" w:rsidP="003E3767">
      <w:pPr>
        <w:spacing w:after="120"/>
        <w:jc w:val="both"/>
        <w:rPr>
          <w:rFonts w:eastAsia="Times New Roman" w:cs="Times New Roman"/>
          <w:lang w:val="sk-SK" w:eastAsia="de-DE"/>
        </w:rPr>
      </w:pPr>
    </w:p>
    <w:p w:rsidR="00F470DD" w:rsidRPr="004D7E48" w:rsidRDefault="00F470DD" w:rsidP="003E3767">
      <w:pPr>
        <w:autoSpaceDE w:val="0"/>
        <w:autoSpaceDN w:val="0"/>
        <w:adjustRightInd w:val="0"/>
        <w:spacing w:after="120"/>
        <w:jc w:val="both"/>
        <w:rPr>
          <w:rFonts w:cs="Times New Roman"/>
          <w:lang w:val="sk-SK"/>
        </w:rPr>
      </w:pPr>
      <w:r w:rsidRPr="004D7E48">
        <w:rPr>
          <w:rFonts w:cs="Times New Roman"/>
          <w:b/>
          <w:lang w:val="sk-SK"/>
        </w:rPr>
        <w:t>4.9</w:t>
      </w:r>
      <w:r w:rsidRPr="004D7E48">
        <w:rPr>
          <w:rFonts w:cs="Times New Roman"/>
          <w:b/>
          <w:lang w:val="sk-SK"/>
        </w:rPr>
        <w:tab/>
        <w:t>Predávkovanie</w:t>
      </w:r>
    </w:p>
    <w:p w:rsidR="004515F0" w:rsidRPr="004D7E48" w:rsidRDefault="00F470DD" w:rsidP="003E3767">
      <w:pPr>
        <w:spacing w:after="120"/>
        <w:jc w:val="both"/>
        <w:rPr>
          <w:rFonts w:cs="Times New Roman"/>
          <w:lang w:val="sk-SK"/>
        </w:rPr>
      </w:pPr>
      <w:r w:rsidRPr="004D7E48">
        <w:rPr>
          <w:rFonts w:cs="Times New Roman"/>
          <w:lang w:val="sk-SK"/>
        </w:rPr>
        <w:t>V prípade radiačného predávkovania fludeoxyglukózou (</w:t>
      </w:r>
      <w:r w:rsidRPr="004D7E48">
        <w:rPr>
          <w:rFonts w:cs="Times New Roman"/>
          <w:vertAlign w:val="superscript"/>
          <w:lang w:val="sk-SK"/>
        </w:rPr>
        <w:t>18</w:t>
      </w:r>
      <w:r w:rsidRPr="004D7E48">
        <w:rPr>
          <w:rFonts w:cs="Times New Roman"/>
          <w:lang w:val="sk-SK"/>
        </w:rPr>
        <w:t>F)  sa absorbovaná dávka podaná pacientovi musí znížiť zvýšeným vylučovaním rádiofarmaka pomocou forsírovanej diurézy a častým močením. Je účelné odhadnúť efekt</w:t>
      </w:r>
      <w:r w:rsidR="00D90A52" w:rsidRPr="004D7E48">
        <w:rPr>
          <w:rFonts w:cs="Times New Roman"/>
          <w:lang w:val="sk-SK"/>
        </w:rPr>
        <w:t>ívnu aplikovanú dávku žiarenia</w:t>
      </w:r>
      <w:r w:rsidR="00E30EA9" w:rsidRPr="004D7E48">
        <w:rPr>
          <w:rFonts w:cs="Times New Roman"/>
          <w:lang w:val="sk-SK"/>
        </w:rPr>
        <w:t>.</w:t>
      </w:r>
    </w:p>
    <w:p w:rsidR="00EA1D12" w:rsidRPr="004D7E48" w:rsidRDefault="00EA1D12" w:rsidP="003E3767">
      <w:pPr>
        <w:spacing w:after="120"/>
        <w:rPr>
          <w:rFonts w:cs="Times New Roman"/>
          <w:b/>
          <w:lang w:val="sk-SK"/>
        </w:rPr>
      </w:pPr>
    </w:p>
    <w:p w:rsidR="00D90A52" w:rsidRDefault="00D90A52" w:rsidP="003E3767">
      <w:pPr>
        <w:spacing w:after="120"/>
        <w:jc w:val="both"/>
        <w:rPr>
          <w:rFonts w:cs="Times New Roman"/>
          <w:b/>
          <w:caps/>
          <w:lang w:val="sk-SK"/>
        </w:rPr>
      </w:pPr>
      <w:r w:rsidRPr="004D7E48">
        <w:rPr>
          <w:rFonts w:cs="Times New Roman"/>
          <w:b/>
          <w:caps/>
          <w:lang w:val="sk-SK"/>
        </w:rPr>
        <w:lastRenderedPageBreak/>
        <w:t>5.</w:t>
      </w:r>
      <w:r w:rsidRPr="004D7E48">
        <w:rPr>
          <w:rFonts w:cs="Times New Roman"/>
          <w:b/>
          <w:caps/>
          <w:lang w:val="sk-SK"/>
        </w:rPr>
        <w:tab/>
      </w:r>
      <w:r w:rsidRPr="004D7E48">
        <w:rPr>
          <w:rFonts w:cs="Times New Roman"/>
          <w:b/>
          <w:lang w:val="sk-SK"/>
        </w:rPr>
        <w:t>FARMAKOLOGICKÉ VLASTNOSTI</w:t>
      </w:r>
      <w:r w:rsidRPr="004D7E48">
        <w:rPr>
          <w:rFonts w:cs="Times New Roman"/>
          <w:b/>
          <w:caps/>
          <w:lang w:val="sk-SK"/>
        </w:rPr>
        <w:t xml:space="preserve"> </w:t>
      </w:r>
    </w:p>
    <w:p w:rsidR="00FA73F2" w:rsidRPr="004D7E48" w:rsidRDefault="00FA73F2" w:rsidP="003E3767">
      <w:pPr>
        <w:spacing w:after="120"/>
        <w:jc w:val="both"/>
        <w:rPr>
          <w:rFonts w:cs="Times New Roman"/>
          <w:b/>
          <w:caps/>
          <w:lang w:val="sk-SK"/>
        </w:rPr>
      </w:pPr>
    </w:p>
    <w:p w:rsidR="00D90A52" w:rsidRPr="004D7E48" w:rsidRDefault="00D90A52" w:rsidP="003E3767">
      <w:pPr>
        <w:autoSpaceDE w:val="0"/>
        <w:autoSpaceDN w:val="0"/>
        <w:adjustRightInd w:val="0"/>
        <w:spacing w:after="120"/>
        <w:jc w:val="both"/>
        <w:rPr>
          <w:rFonts w:cs="Times New Roman"/>
          <w:lang w:val="sk-SK"/>
        </w:rPr>
      </w:pPr>
      <w:r w:rsidRPr="004D7E48">
        <w:rPr>
          <w:rFonts w:cs="Times New Roman"/>
          <w:b/>
          <w:lang w:val="sk-SK"/>
        </w:rPr>
        <w:t>5.1</w:t>
      </w:r>
      <w:r w:rsidRPr="004D7E48">
        <w:rPr>
          <w:rFonts w:cs="Times New Roman"/>
          <w:b/>
          <w:lang w:val="sk-SK"/>
        </w:rPr>
        <w:tab/>
        <w:t>Farmakodynamické vlastnosti</w:t>
      </w:r>
    </w:p>
    <w:p w:rsidR="00D90A52" w:rsidRPr="004D7E48" w:rsidRDefault="00D90A52" w:rsidP="003E3767">
      <w:pPr>
        <w:spacing w:after="120"/>
        <w:jc w:val="both"/>
        <w:rPr>
          <w:rFonts w:cs="Times New Roman"/>
          <w:lang w:val="sk-SK"/>
        </w:rPr>
      </w:pPr>
      <w:r w:rsidRPr="004D7E48">
        <w:rPr>
          <w:rFonts w:cs="Times New Roman"/>
          <w:lang w:val="sk-SK"/>
        </w:rPr>
        <w:t>Farmakoterapeutická skupina: diagnostické rádiofarmaká</w:t>
      </w:r>
      <w:r w:rsidR="00FA73F2">
        <w:rPr>
          <w:rFonts w:cs="Times New Roman"/>
          <w:lang w:val="sk-SK"/>
        </w:rPr>
        <w:t xml:space="preserve">, iné </w:t>
      </w:r>
      <w:r w:rsidR="00FA73F2" w:rsidRPr="004D7E48">
        <w:rPr>
          <w:rFonts w:cs="Times New Roman"/>
          <w:lang w:val="sk-SK"/>
        </w:rPr>
        <w:t>diagnostické rádiofarmaká</w:t>
      </w:r>
      <w:r w:rsidR="00827B79">
        <w:rPr>
          <w:rFonts w:cs="Times New Roman"/>
          <w:lang w:val="sk-SK"/>
        </w:rPr>
        <w:t xml:space="preserve"> na detekciu nádorov</w:t>
      </w:r>
    </w:p>
    <w:p w:rsidR="00D90A52" w:rsidRPr="004D7E48" w:rsidRDefault="00D90A52" w:rsidP="003E3767">
      <w:pPr>
        <w:spacing w:after="120"/>
        <w:jc w:val="both"/>
        <w:rPr>
          <w:rFonts w:cs="Times New Roman"/>
          <w:lang w:val="sk-SK"/>
        </w:rPr>
      </w:pPr>
      <w:r w:rsidRPr="004D7E48">
        <w:rPr>
          <w:rFonts w:cs="Times New Roman"/>
          <w:lang w:val="sk-SK"/>
        </w:rPr>
        <w:t>ATC kód: V09IX04</w:t>
      </w:r>
    </w:p>
    <w:p w:rsidR="00A73175" w:rsidRPr="004D7E48" w:rsidRDefault="00D90A52" w:rsidP="003E3767">
      <w:pPr>
        <w:spacing w:after="120"/>
        <w:rPr>
          <w:rFonts w:cs="Times New Roman"/>
          <w:u w:val="single"/>
          <w:lang w:val="sk-SK"/>
        </w:rPr>
      </w:pPr>
      <w:r w:rsidRPr="004D7E48">
        <w:rPr>
          <w:rFonts w:cs="Times New Roman"/>
          <w:u w:val="single"/>
          <w:lang w:val="sk-SK"/>
        </w:rPr>
        <w:t>Farmakodynamické vlastnosti</w:t>
      </w:r>
    </w:p>
    <w:p w:rsidR="00D90A52" w:rsidRDefault="00D90A52" w:rsidP="003E3767">
      <w:pPr>
        <w:spacing w:after="120"/>
        <w:jc w:val="both"/>
        <w:rPr>
          <w:rFonts w:cs="Times New Roman"/>
          <w:lang w:val="sk-SK"/>
        </w:rPr>
      </w:pPr>
      <w:r w:rsidRPr="004D7E48">
        <w:rPr>
          <w:rFonts w:cs="Times New Roman"/>
          <w:lang w:val="sk-SK"/>
        </w:rPr>
        <w:t>Pri chemických koncentráciách používaných na diagnostické vyšetrenia sa nejaví, že by  fludeoxyglukóza (</w:t>
      </w:r>
      <w:r w:rsidRPr="004D7E48">
        <w:rPr>
          <w:rFonts w:cs="Times New Roman"/>
          <w:vertAlign w:val="superscript"/>
          <w:lang w:val="sk-SK"/>
        </w:rPr>
        <w:t>18</w:t>
      </w:r>
      <w:r w:rsidRPr="004D7E48">
        <w:rPr>
          <w:rFonts w:cs="Times New Roman"/>
          <w:lang w:val="sk-SK"/>
        </w:rPr>
        <w:t xml:space="preserve">F) mala nejakú farmakodynamickú aktivitu. </w:t>
      </w:r>
    </w:p>
    <w:p w:rsidR="00FA73F2" w:rsidRPr="004D7E48" w:rsidRDefault="00FA73F2" w:rsidP="003E3767">
      <w:pPr>
        <w:spacing w:after="120"/>
        <w:jc w:val="both"/>
        <w:rPr>
          <w:rFonts w:cs="Times New Roman"/>
          <w:lang w:val="sk-SK"/>
        </w:rPr>
      </w:pPr>
    </w:p>
    <w:p w:rsidR="009041E2" w:rsidRPr="004D7E48" w:rsidRDefault="00346EB4" w:rsidP="003E3767">
      <w:pPr>
        <w:spacing w:after="120"/>
        <w:rPr>
          <w:rFonts w:cs="Times New Roman"/>
          <w:b/>
          <w:lang w:val="sk-SK"/>
        </w:rPr>
      </w:pPr>
      <w:r w:rsidRPr="004D7E48">
        <w:rPr>
          <w:rFonts w:cs="Times New Roman"/>
          <w:b/>
          <w:lang w:val="sk-SK"/>
        </w:rPr>
        <w:t>5.2</w:t>
      </w:r>
      <w:r w:rsidRPr="004D7E48">
        <w:rPr>
          <w:rFonts w:cs="Times New Roman"/>
          <w:b/>
          <w:lang w:val="sk-SK"/>
        </w:rPr>
        <w:tab/>
        <w:t>F</w:t>
      </w:r>
      <w:r w:rsidR="009041E2" w:rsidRPr="004D7E48">
        <w:rPr>
          <w:rFonts w:cs="Times New Roman"/>
          <w:b/>
          <w:lang w:val="sk-SK"/>
        </w:rPr>
        <w:t>arma</w:t>
      </w:r>
      <w:r w:rsidRPr="004D7E48">
        <w:rPr>
          <w:rFonts w:cs="Times New Roman"/>
          <w:b/>
          <w:lang w:val="sk-SK"/>
        </w:rPr>
        <w:t>k</w:t>
      </w:r>
      <w:r w:rsidR="009041E2" w:rsidRPr="004D7E48">
        <w:rPr>
          <w:rFonts w:cs="Times New Roman"/>
          <w:b/>
          <w:lang w:val="sk-SK"/>
        </w:rPr>
        <w:t>okinetic</w:t>
      </w:r>
      <w:r w:rsidRPr="004D7E48">
        <w:rPr>
          <w:rFonts w:cs="Times New Roman"/>
          <w:b/>
          <w:lang w:val="sk-SK"/>
        </w:rPr>
        <w:t>ké vlastnosti</w:t>
      </w:r>
    </w:p>
    <w:p w:rsidR="00D90A52" w:rsidRPr="004D7E48" w:rsidRDefault="00D90A52" w:rsidP="003E3767">
      <w:pPr>
        <w:spacing w:after="120"/>
        <w:jc w:val="both"/>
        <w:rPr>
          <w:rFonts w:cs="Times New Roman"/>
          <w:u w:val="single"/>
          <w:lang w:val="sk-SK"/>
        </w:rPr>
      </w:pPr>
      <w:r w:rsidRPr="004D7E48">
        <w:rPr>
          <w:rFonts w:cs="Times New Roman"/>
          <w:u w:val="single"/>
          <w:lang w:val="sk-SK"/>
        </w:rPr>
        <w:t>Distribúcia</w:t>
      </w:r>
    </w:p>
    <w:p w:rsidR="00D90A52" w:rsidRPr="004D7E48" w:rsidRDefault="00D90A52" w:rsidP="003E3767">
      <w:pPr>
        <w:spacing w:after="120"/>
        <w:jc w:val="both"/>
        <w:rPr>
          <w:rFonts w:cs="Times New Roman"/>
          <w:lang w:val="sk-SK"/>
        </w:rPr>
      </w:pPr>
      <w:r w:rsidRPr="004D7E48">
        <w:rPr>
          <w:rFonts w:cs="Times New Roman"/>
          <w:lang w:val="sk-SK"/>
        </w:rPr>
        <w:t>Fludeoxyglukóza (</w:t>
      </w:r>
      <w:r w:rsidRPr="004D7E48">
        <w:rPr>
          <w:rFonts w:cs="Times New Roman"/>
          <w:vertAlign w:val="superscript"/>
          <w:lang w:val="sk-SK"/>
        </w:rPr>
        <w:t>18</w:t>
      </w:r>
      <w:r w:rsidRPr="004D7E48">
        <w:rPr>
          <w:rFonts w:cs="Times New Roman"/>
          <w:lang w:val="sk-SK"/>
        </w:rPr>
        <w:t>F) je analóg glukózy, ktorý sa akumuluje vo všetkých bunkách, ktoré využívajú glukózu ako hlavný zdroj energie. Fludeoxyglukóza (</w:t>
      </w:r>
      <w:r w:rsidRPr="004D7E48">
        <w:rPr>
          <w:rFonts w:cs="Times New Roman"/>
          <w:vertAlign w:val="superscript"/>
          <w:lang w:val="sk-SK"/>
        </w:rPr>
        <w:t>18</w:t>
      </w:r>
      <w:r w:rsidRPr="004D7E48">
        <w:rPr>
          <w:rFonts w:cs="Times New Roman"/>
          <w:lang w:val="sk-SK"/>
        </w:rPr>
        <w:t>F) sa akumuluje v nádoroch s vysokým obratom glukózy. Po intravenóznom podaní je farmakokinetický profil fludeoxyglukózy (</w:t>
      </w:r>
      <w:r w:rsidRPr="004D7E48">
        <w:rPr>
          <w:rFonts w:cs="Times New Roman"/>
          <w:vertAlign w:val="superscript"/>
          <w:lang w:val="sk-SK"/>
        </w:rPr>
        <w:t>18</w:t>
      </w:r>
      <w:r w:rsidRPr="004D7E48">
        <w:rPr>
          <w:rFonts w:cs="Times New Roman"/>
          <w:lang w:val="sk-SK"/>
        </w:rPr>
        <w:t>F) v cievnom kompartmente bioexponenciálny. Čas distribúcie je 1 minúta a eliminačný polčas asi 12 minút.</w:t>
      </w:r>
    </w:p>
    <w:p w:rsidR="00D90A52" w:rsidRPr="004D7E48" w:rsidRDefault="00D90A52" w:rsidP="003E3767">
      <w:pPr>
        <w:spacing w:after="120"/>
        <w:jc w:val="both"/>
        <w:rPr>
          <w:rFonts w:cs="Times New Roman"/>
          <w:lang w:val="sk-SK"/>
        </w:rPr>
      </w:pPr>
      <w:r w:rsidRPr="004D7E48">
        <w:rPr>
          <w:rFonts w:cs="Times New Roman"/>
          <w:lang w:val="sk-SK"/>
        </w:rPr>
        <w:t>U zdravých ľudí sa fludeoxyglukóza (</w:t>
      </w:r>
      <w:r w:rsidRPr="004D7E48">
        <w:rPr>
          <w:rFonts w:cs="Times New Roman"/>
          <w:vertAlign w:val="superscript"/>
          <w:lang w:val="sk-SK"/>
        </w:rPr>
        <w:t>18</w:t>
      </w:r>
      <w:r w:rsidRPr="004D7E48">
        <w:rPr>
          <w:rFonts w:cs="Times New Roman"/>
          <w:lang w:val="sk-SK"/>
        </w:rPr>
        <w:t>F) distribuuje v orgánoch ľudského tela, najmä v mozgu a srdci, menej  v pľúcach a v pečeni.</w:t>
      </w:r>
    </w:p>
    <w:p w:rsidR="00951F93" w:rsidRPr="004D7E48" w:rsidRDefault="00951F93" w:rsidP="003E3767">
      <w:pPr>
        <w:spacing w:after="120"/>
        <w:jc w:val="both"/>
        <w:rPr>
          <w:rFonts w:cs="Times New Roman"/>
          <w:lang w:val="sk-SK"/>
        </w:rPr>
      </w:pPr>
    </w:p>
    <w:p w:rsidR="00D90A52" w:rsidRPr="004D7E48" w:rsidRDefault="00D90A52" w:rsidP="003E3767">
      <w:pPr>
        <w:spacing w:after="120"/>
        <w:jc w:val="both"/>
        <w:rPr>
          <w:rFonts w:cs="Times New Roman"/>
          <w:u w:val="single"/>
          <w:lang w:val="sk-SK"/>
        </w:rPr>
      </w:pPr>
      <w:r w:rsidRPr="004D7E48">
        <w:rPr>
          <w:rFonts w:cs="Times New Roman"/>
          <w:u w:val="single"/>
          <w:lang w:val="sk-SK"/>
        </w:rPr>
        <w:t>Orgánové vychytávanie</w:t>
      </w:r>
    </w:p>
    <w:p w:rsidR="00D90A52" w:rsidRPr="004D7E48" w:rsidRDefault="00D90A52" w:rsidP="003E3767">
      <w:pPr>
        <w:spacing w:after="120"/>
        <w:jc w:val="both"/>
        <w:rPr>
          <w:rFonts w:cs="Times New Roman"/>
          <w:lang w:val="sk-SK"/>
        </w:rPr>
      </w:pPr>
      <w:r w:rsidRPr="004D7E48">
        <w:rPr>
          <w:rFonts w:cs="Times New Roman"/>
          <w:lang w:val="sk-SK"/>
        </w:rPr>
        <w:t>Vychytávanie fludeoxyglukózy (</w:t>
      </w:r>
      <w:r w:rsidRPr="004D7E48">
        <w:rPr>
          <w:rFonts w:cs="Times New Roman"/>
          <w:vertAlign w:val="superscript"/>
          <w:lang w:val="sk-SK"/>
        </w:rPr>
        <w:t>18</w:t>
      </w:r>
      <w:r w:rsidRPr="004D7E48">
        <w:rPr>
          <w:rFonts w:cs="Times New Roman"/>
          <w:lang w:val="sk-SK"/>
        </w:rPr>
        <w:t>F) v bunkách vykonávajú tkanivovo-špecifické nosičové systémy, ktoré čiastočne závisia od inzulínu a preto môžu byť ovplyvnené jedlom, nutričným stavom a prítomnosťou diabetes mellitus. U pacientov s diabetes mellitus sa vyskytuje znížené vychytávanie fludeoxyglukózy (</w:t>
      </w:r>
      <w:r w:rsidRPr="004D7E48">
        <w:rPr>
          <w:rFonts w:cs="Times New Roman"/>
          <w:vertAlign w:val="superscript"/>
          <w:lang w:val="sk-SK"/>
        </w:rPr>
        <w:t>18</w:t>
      </w:r>
      <w:r w:rsidRPr="004D7E48">
        <w:rPr>
          <w:rFonts w:cs="Times New Roman"/>
          <w:lang w:val="sk-SK"/>
        </w:rPr>
        <w:t>F) v bunkách v dôsledku zmenenej tkanivovej distribúcie a metabolizmu glukózy.</w:t>
      </w:r>
    </w:p>
    <w:p w:rsidR="00D90A52" w:rsidRPr="004D7E48" w:rsidRDefault="00D90A52" w:rsidP="003E3767">
      <w:pPr>
        <w:spacing w:after="120"/>
        <w:jc w:val="both"/>
        <w:rPr>
          <w:rFonts w:cs="Times New Roman"/>
          <w:lang w:val="sk-SK"/>
        </w:rPr>
      </w:pPr>
      <w:r w:rsidRPr="004D7E48">
        <w:rPr>
          <w:rFonts w:cs="Times New Roman"/>
          <w:lang w:val="sk-SK"/>
        </w:rPr>
        <w:t>Fludeoxyglukóza (</w:t>
      </w:r>
      <w:r w:rsidRPr="004D7E48">
        <w:rPr>
          <w:rFonts w:cs="Times New Roman"/>
          <w:vertAlign w:val="superscript"/>
          <w:lang w:val="sk-SK"/>
        </w:rPr>
        <w:t>18</w:t>
      </w:r>
      <w:r w:rsidRPr="004D7E48">
        <w:rPr>
          <w:rFonts w:cs="Times New Roman"/>
          <w:lang w:val="sk-SK"/>
        </w:rPr>
        <w:t>F) sa transportuje cez bunkovú membránu podobným spôsobom ako glukóza, ale prechádza len prvým krokom glykolýzy po tvorbe fludeoxyglukózy-(</w:t>
      </w:r>
      <w:r w:rsidRPr="004D7E48">
        <w:rPr>
          <w:rFonts w:cs="Times New Roman"/>
          <w:vertAlign w:val="superscript"/>
          <w:lang w:val="sk-SK"/>
        </w:rPr>
        <w:t>18</w:t>
      </w:r>
      <w:r w:rsidRPr="004D7E48">
        <w:rPr>
          <w:rFonts w:cs="Times New Roman"/>
          <w:lang w:val="sk-SK"/>
        </w:rPr>
        <w:t>F)-6-fosfátu zostáva v nádorovej bunke a ďalej sa nemetabolizuje. Pretože následná defosforylácia intracelulárnymi fosfátmi je pomalá, zostáva fludeoxyglukóza (</w:t>
      </w:r>
      <w:r w:rsidRPr="004D7E48">
        <w:rPr>
          <w:rFonts w:cs="Times New Roman"/>
          <w:vertAlign w:val="superscript"/>
          <w:lang w:val="sk-SK"/>
        </w:rPr>
        <w:t>18</w:t>
      </w:r>
      <w:r w:rsidRPr="004D7E48">
        <w:rPr>
          <w:rFonts w:cs="Times New Roman"/>
          <w:lang w:val="sk-SK"/>
        </w:rPr>
        <w:t>F)-6-fosfát v tkanive po dobu niekoľkých hodín (efekt zachytenia).</w:t>
      </w:r>
    </w:p>
    <w:p w:rsidR="00D90A52" w:rsidRPr="004D7E48" w:rsidRDefault="00D90A52" w:rsidP="003E3767">
      <w:pPr>
        <w:spacing w:after="120"/>
        <w:jc w:val="both"/>
        <w:rPr>
          <w:rFonts w:cs="Times New Roman"/>
          <w:lang w:val="sk-SK"/>
        </w:rPr>
      </w:pPr>
      <w:r w:rsidRPr="004D7E48">
        <w:rPr>
          <w:rFonts w:cs="Times New Roman"/>
          <w:lang w:val="sk-SK"/>
        </w:rPr>
        <w:t>Fludeoxyglukóza (</w:t>
      </w:r>
      <w:r w:rsidRPr="004D7E48">
        <w:rPr>
          <w:rFonts w:cs="Times New Roman"/>
          <w:vertAlign w:val="superscript"/>
          <w:lang w:val="sk-SK"/>
        </w:rPr>
        <w:t>18</w:t>
      </w:r>
      <w:r w:rsidRPr="004D7E48">
        <w:rPr>
          <w:rFonts w:cs="Times New Roman"/>
          <w:lang w:val="sk-SK"/>
        </w:rPr>
        <w:t>F) prechádza hematoencefalickou bariérou. Približne 7% podanej dávky sa akumuluje v mozgu počas 80-100 minút po injekcii. Epileptogénne ložiská vykazujú nižší metabolizmus glukózy vo fázach bez záchvatov.</w:t>
      </w:r>
    </w:p>
    <w:p w:rsidR="00D90A52" w:rsidRPr="004D7E48" w:rsidRDefault="00D90A52" w:rsidP="003E3767">
      <w:pPr>
        <w:spacing w:after="120"/>
        <w:jc w:val="both"/>
        <w:rPr>
          <w:rFonts w:cs="Times New Roman"/>
          <w:lang w:val="sk-SK"/>
        </w:rPr>
      </w:pPr>
      <w:r w:rsidRPr="004D7E48">
        <w:rPr>
          <w:rFonts w:cs="Times New Roman"/>
          <w:lang w:val="sk-SK"/>
        </w:rPr>
        <w:t>Asi 3% aplikovanej aktivity sa vychytáva v myokarde počas 40 minút. Distribúcia fludeoxyglukózy (</w:t>
      </w:r>
      <w:r w:rsidRPr="004D7E48">
        <w:rPr>
          <w:rFonts w:cs="Times New Roman"/>
          <w:vertAlign w:val="superscript"/>
          <w:lang w:val="sk-SK"/>
        </w:rPr>
        <w:t>18</w:t>
      </w:r>
      <w:r w:rsidRPr="004D7E48">
        <w:rPr>
          <w:rFonts w:cs="Times New Roman"/>
          <w:lang w:val="sk-SK"/>
        </w:rPr>
        <w:t>F) v normálnom srdci je prevažne homogénna, sú však popísané regionálne rozdiely až 15% v medzikomorovom septe. Počas a po reverzibilnej myokardiálnej ischémii dochádza k zvýšenému vychytávaniu glukózy v myokardiálnej bunke.</w:t>
      </w:r>
    </w:p>
    <w:p w:rsidR="00D90A52" w:rsidRPr="004D7E48" w:rsidRDefault="00D90A52" w:rsidP="003E3767">
      <w:pPr>
        <w:spacing w:after="120"/>
        <w:jc w:val="both"/>
        <w:rPr>
          <w:rFonts w:cs="Times New Roman"/>
          <w:lang w:val="sk-SK"/>
        </w:rPr>
      </w:pPr>
      <w:r w:rsidRPr="004D7E48">
        <w:rPr>
          <w:rFonts w:cs="Times New Roman"/>
          <w:lang w:val="sk-SK"/>
        </w:rPr>
        <w:t xml:space="preserve">0,3 % a 0,9 - 2,4 % aplikovanej aktivity sa akumuluje v pankrease a v pľúcach. </w:t>
      </w:r>
    </w:p>
    <w:p w:rsidR="00D90A52" w:rsidRPr="004D7E48" w:rsidRDefault="00D90A52" w:rsidP="003E3767">
      <w:pPr>
        <w:spacing w:after="120"/>
        <w:jc w:val="both"/>
        <w:rPr>
          <w:rFonts w:cs="Times New Roman"/>
          <w:lang w:val="sk-SK"/>
        </w:rPr>
      </w:pPr>
      <w:r w:rsidRPr="004D7E48">
        <w:rPr>
          <w:rFonts w:cs="Times New Roman"/>
          <w:lang w:val="sk-SK"/>
        </w:rPr>
        <w:t>Fludeoxyglukóza (</w:t>
      </w:r>
      <w:r w:rsidRPr="004D7E48">
        <w:rPr>
          <w:rFonts w:cs="Times New Roman"/>
          <w:vertAlign w:val="superscript"/>
          <w:lang w:val="sk-SK"/>
        </w:rPr>
        <w:t>18</w:t>
      </w:r>
      <w:r w:rsidRPr="004D7E48">
        <w:rPr>
          <w:rFonts w:cs="Times New Roman"/>
          <w:lang w:val="sk-SK"/>
        </w:rPr>
        <w:t xml:space="preserve">F) sa tiež viaže v menšom rozsahu na očný sval, hltan a tenké črevo. </w:t>
      </w:r>
    </w:p>
    <w:p w:rsidR="00D90A52" w:rsidRPr="004D7E48" w:rsidRDefault="00D90A52" w:rsidP="003E3767">
      <w:pPr>
        <w:spacing w:after="120"/>
        <w:jc w:val="both"/>
        <w:rPr>
          <w:rFonts w:cs="Times New Roman"/>
          <w:lang w:val="sk-SK"/>
        </w:rPr>
      </w:pPr>
      <w:r w:rsidRPr="004D7E48">
        <w:rPr>
          <w:rFonts w:cs="Times New Roman"/>
          <w:lang w:val="sk-SK"/>
        </w:rPr>
        <w:t>Väzba na sval sa môže pozorovať krátko po námahe a v prípade svalovej námahy počas vyšetrenia.</w:t>
      </w:r>
    </w:p>
    <w:p w:rsidR="00D90A52" w:rsidRPr="004D7E48" w:rsidRDefault="00D90A52" w:rsidP="003E3767">
      <w:pPr>
        <w:spacing w:after="120"/>
        <w:jc w:val="both"/>
        <w:rPr>
          <w:rFonts w:cs="Times New Roman"/>
          <w:lang w:val="sk-SK"/>
        </w:rPr>
      </w:pPr>
    </w:p>
    <w:p w:rsidR="00D90A52" w:rsidRPr="004D7E48" w:rsidRDefault="00D90A52" w:rsidP="003E3767">
      <w:pPr>
        <w:spacing w:after="120"/>
        <w:jc w:val="both"/>
        <w:rPr>
          <w:rFonts w:cs="Times New Roman"/>
          <w:u w:val="single"/>
          <w:lang w:val="sk-SK"/>
        </w:rPr>
      </w:pPr>
      <w:r w:rsidRPr="004D7E48">
        <w:rPr>
          <w:rFonts w:cs="Times New Roman"/>
          <w:u w:val="single"/>
          <w:lang w:val="sk-SK"/>
        </w:rPr>
        <w:t>Eliminácia</w:t>
      </w:r>
    </w:p>
    <w:p w:rsidR="00D90A52" w:rsidRPr="004D7E48" w:rsidRDefault="00D90A52" w:rsidP="003E3767">
      <w:pPr>
        <w:spacing w:after="120"/>
        <w:jc w:val="both"/>
        <w:rPr>
          <w:rFonts w:cs="Times New Roman"/>
          <w:lang w:val="sk-SK"/>
        </w:rPr>
      </w:pPr>
      <w:r w:rsidRPr="004D7E48">
        <w:rPr>
          <w:rFonts w:cs="Times New Roman"/>
          <w:lang w:val="sk-SK"/>
        </w:rPr>
        <w:t>Eliminácia fludeoxyglukózy (</w:t>
      </w:r>
      <w:r w:rsidRPr="004D7E48">
        <w:rPr>
          <w:rFonts w:cs="Times New Roman"/>
          <w:vertAlign w:val="superscript"/>
          <w:lang w:val="sk-SK"/>
        </w:rPr>
        <w:t>18</w:t>
      </w:r>
      <w:r w:rsidRPr="004D7E48">
        <w:rPr>
          <w:rFonts w:cs="Times New Roman"/>
          <w:lang w:val="sk-SK"/>
        </w:rPr>
        <w:t>F) prebieha predovšetkým v obličkách, v priebehu dvoch hodín po aplikácii injekcie sa močom vylúči  20 % aktivity.</w:t>
      </w:r>
    </w:p>
    <w:p w:rsidR="00951F93" w:rsidRDefault="00D90A52" w:rsidP="003E3767">
      <w:pPr>
        <w:spacing w:after="120"/>
        <w:jc w:val="both"/>
        <w:rPr>
          <w:rFonts w:cs="Times New Roman"/>
          <w:lang w:val="sk-SK"/>
        </w:rPr>
      </w:pPr>
      <w:r w:rsidRPr="004D7E48">
        <w:rPr>
          <w:rFonts w:cs="Times New Roman"/>
          <w:lang w:val="sk-SK"/>
        </w:rPr>
        <w:t>Väzba na renálny parenchým je slabá, ale z dôvodu renálnej eliminácie fludeoxyglukózy (</w:t>
      </w:r>
      <w:r w:rsidRPr="004D7E48">
        <w:rPr>
          <w:rFonts w:cs="Times New Roman"/>
          <w:vertAlign w:val="superscript"/>
          <w:lang w:val="sk-SK"/>
        </w:rPr>
        <w:t>18</w:t>
      </w:r>
      <w:r w:rsidRPr="004D7E48">
        <w:rPr>
          <w:rFonts w:cs="Times New Roman"/>
          <w:lang w:val="sk-SK"/>
        </w:rPr>
        <w:t>F) má celý močový systém, obzvlášť močový mechúr, výraznú aktivitu.</w:t>
      </w:r>
    </w:p>
    <w:p w:rsidR="00630293" w:rsidRPr="004D7E48" w:rsidRDefault="00630293" w:rsidP="003E3767">
      <w:pPr>
        <w:spacing w:after="120"/>
        <w:jc w:val="both"/>
        <w:rPr>
          <w:rFonts w:cs="Times New Roman"/>
          <w:lang w:val="sk-SK"/>
        </w:rPr>
      </w:pPr>
    </w:p>
    <w:p w:rsidR="00B12A49" w:rsidRPr="004D7E48" w:rsidRDefault="00B12A49" w:rsidP="003E3767">
      <w:pPr>
        <w:autoSpaceDE w:val="0"/>
        <w:autoSpaceDN w:val="0"/>
        <w:adjustRightInd w:val="0"/>
        <w:spacing w:after="120"/>
        <w:jc w:val="both"/>
        <w:rPr>
          <w:rFonts w:cs="Times New Roman"/>
          <w:lang w:val="sk-SK"/>
        </w:rPr>
      </w:pPr>
      <w:r w:rsidRPr="004D7E48">
        <w:rPr>
          <w:rFonts w:cs="Times New Roman"/>
          <w:b/>
          <w:lang w:val="sk-SK"/>
        </w:rPr>
        <w:t>5.3</w:t>
      </w:r>
      <w:r w:rsidRPr="004D7E48">
        <w:rPr>
          <w:rFonts w:cs="Times New Roman"/>
          <w:b/>
          <w:lang w:val="sk-SK"/>
        </w:rPr>
        <w:tab/>
        <w:t>Predklinické údaje o bezpečnosti</w:t>
      </w:r>
    </w:p>
    <w:p w:rsidR="00B12A49" w:rsidRPr="004D7E48" w:rsidRDefault="00B12A49" w:rsidP="003E3767">
      <w:pPr>
        <w:spacing w:after="120"/>
        <w:jc w:val="both"/>
        <w:rPr>
          <w:rFonts w:cs="Times New Roman"/>
          <w:lang w:val="sk-SK"/>
        </w:rPr>
      </w:pPr>
      <w:r w:rsidRPr="004D7E48">
        <w:rPr>
          <w:rFonts w:cs="Times New Roman"/>
          <w:lang w:val="sk-SK"/>
        </w:rPr>
        <w:t>Pri toxikologick</w:t>
      </w:r>
      <w:r w:rsidR="00630293">
        <w:rPr>
          <w:rFonts w:cs="Times New Roman"/>
          <w:lang w:val="sk-SK"/>
        </w:rPr>
        <w:t>ých</w:t>
      </w:r>
      <w:r w:rsidRPr="004D7E48">
        <w:rPr>
          <w:rFonts w:cs="Times New Roman"/>
          <w:lang w:val="sk-SK"/>
        </w:rPr>
        <w:t xml:space="preserve"> štúdi</w:t>
      </w:r>
      <w:r w:rsidR="00630293">
        <w:rPr>
          <w:rFonts w:cs="Times New Roman"/>
          <w:lang w:val="sk-SK"/>
        </w:rPr>
        <w:t>ách</w:t>
      </w:r>
      <w:r w:rsidRPr="004D7E48">
        <w:rPr>
          <w:rFonts w:cs="Times New Roman"/>
          <w:lang w:val="sk-SK"/>
        </w:rPr>
        <w:t xml:space="preserve"> na myšiach a potkanoch nebol pozorovaný žiaden úhyn po jednej intravenóznej injekcii </w:t>
      </w:r>
      <w:r w:rsidR="00C60714" w:rsidRPr="004D7E48">
        <w:rPr>
          <w:rFonts w:cs="Times New Roman"/>
          <w:lang w:val="sk-SK"/>
        </w:rPr>
        <w:t>0,</w:t>
      </w:r>
      <w:r w:rsidR="00246D76" w:rsidRPr="004D7E48">
        <w:rPr>
          <w:rFonts w:cs="Times New Roman"/>
          <w:lang w:val="sk-SK"/>
        </w:rPr>
        <w:t xml:space="preserve">0002 mg/kg </w:t>
      </w:r>
      <w:r w:rsidRPr="004D7E48">
        <w:rPr>
          <w:rFonts w:cs="Times New Roman"/>
          <w:lang w:val="sk-SK"/>
        </w:rPr>
        <w:t>fludeoxyglukózy (</w:t>
      </w:r>
      <w:r w:rsidRPr="004D7E48">
        <w:rPr>
          <w:rFonts w:cs="Times New Roman"/>
          <w:vertAlign w:val="superscript"/>
          <w:lang w:val="sk-SK"/>
        </w:rPr>
        <w:t>18</w:t>
      </w:r>
      <w:r w:rsidRPr="004D7E48">
        <w:rPr>
          <w:rFonts w:cs="Times New Roman"/>
          <w:lang w:val="sk-SK"/>
        </w:rPr>
        <w:t>F).</w:t>
      </w:r>
      <w:r w:rsidR="00246D76" w:rsidRPr="004D7E48">
        <w:rPr>
          <w:rFonts w:cs="Times New Roman"/>
          <w:lang w:val="sk-SK"/>
        </w:rPr>
        <w:t xml:space="preserve"> </w:t>
      </w:r>
    </w:p>
    <w:p w:rsidR="00B12A49" w:rsidRPr="004D7E48" w:rsidRDefault="00F035F7" w:rsidP="003E3767">
      <w:pPr>
        <w:spacing w:after="120"/>
        <w:jc w:val="both"/>
        <w:rPr>
          <w:rFonts w:cs="Times New Roman"/>
          <w:lang w:val="sk-SK"/>
        </w:rPr>
      </w:pPr>
      <w:r w:rsidRPr="004D7E48">
        <w:rPr>
          <w:rFonts w:cs="Times New Roman"/>
          <w:lang w:val="sk-SK"/>
        </w:rPr>
        <w:t>Toxikologické štúdie</w:t>
      </w:r>
      <w:r w:rsidR="00346EB4" w:rsidRPr="004D7E48">
        <w:rPr>
          <w:rFonts w:cs="Times New Roman"/>
          <w:lang w:val="sk-SK"/>
        </w:rPr>
        <w:t xml:space="preserve"> s opakovaným podaním</w:t>
      </w:r>
      <w:r w:rsidRPr="004D7E48">
        <w:rPr>
          <w:rFonts w:cs="Times New Roman"/>
          <w:lang w:val="sk-SK"/>
        </w:rPr>
        <w:t xml:space="preserve"> neboli re</w:t>
      </w:r>
      <w:r w:rsidR="00346EB4" w:rsidRPr="004D7E48">
        <w:rPr>
          <w:rFonts w:cs="Times New Roman"/>
          <w:lang w:val="sk-SK"/>
        </w:rPr>
        <w:t>a</w:t>
      </w:r>
      <w:r w:rsidRPr="004D7E48">
        <w:rPr>
          <w:rFonts w:cs="Times New Roman"/>
          <w:lang w:val="sk-SK"/>
        </w:rPr>
        <w:t xml:space="preserve">lizované, lebo </w:t>
      </w:r>
      <w:r w:rsidR="00C0007A" w:rsidRPr="004D7E48">
        <w:rPr>
          <w:rFonts w:cs="Times New Roman"/>
          <w:lang w:val="sk-SK"/>
        </w:rPr>
        <w:t>FLUDEOXYGLUKÓZA (</w:t>
      </w:r>
      <w:r w:rsidR="00C0007A" w:rsidRPr="004D7E48">
        <w:rPr>
          <w:rFonts w:cs="Times New Roman"/>
          <w:vertAlign w:val="superscript"/>
          <w:lang w:val="sk-SK"/>
        </w:rPr>
        <w:t>18</w:t>
      </w:r>
      <w:r w:rsidR="00C0007A" w:rsidRPr="004D7E48">
        <w:rPr>
          <w:rFonts w:cs="Times New Roman"/>
          <w:lang w:val="sk-SK"/>
        </w:rPr>
        <w:t>F) SYNEKTIK</w:t>
      </w:r>
      <w:r w:rsidRPr="004D7E48">
        <w:rPr>
          <w:rFonts w:cs="Times New Roman"/>
          <w:lang w:val="sk-SK"/>
        </w:rPr>
        <w:t xml:space="preserve"> je podávaná v jednej dávke.</w:t>
      </w:r>
    </w:p>
    <w:p w:rsidR="00B12A49" w:rsidRPr="004D7E48" w:rsidRDefault="00630293" w:rsidP="003E3767">
      <w:pPr>
        <w:spacing w:after="120"/>
        <w:jc w:val="both"/>
        <w:rPr>
          <w:rFonts w:cs="Times New Roman"/>
          <w:lang w:val="sk-SK"/>
        </w:rPr>
      </w:pPr>
      <w:r>
        <w:rPr>
          <w:rFonts w:cs="Times New Roman"/>
          <w:lang w:val="sk-SK"/>
        </w:rPr>
        <w:t xml:space="preserve">Tento liek </w:t>
      </w:r>
      <w:r w:rsidR="00B12A49" w:rsidRPr="004D7E48">
        <w:rPr>
          <w:rFonts w:cs="Times New Roman"/>
          <w:lang w:val="sk-SK"/>
        </w:rPr>
        <w:t>nie je určen</w:t>
      </w:r>
      <w:r>
        <w:rPr>
          <w:rFonts w:cs="Times New Roman"/>
          <w:lang w:val="sk-SK"/>
        </w:rPr>
        <w:t>ý</w:t>
      </w:r>
      <w:r w:rsidR="00B12A49" w:rsidRPr="004D7E48">
        <w:rPr>
          <w:rFonts w:cs="Times New Roman"/>
          <w:lang w:val="sk-SK"/>
        </w:rPr>
        <w:t xml:space="preserve"> </w:t>
      </w:r>
      <w:r>
        <w:rPr>
          <w:rFonts w:cs="Times New Roman"/>
          <w:lang w:val="sk-SK"/>
        </w:rPr>
        <w:t>na</w:t>
      </w:r>
      <w:r w:rsidR="00B12A49" w:rsidRPr="004D7E48">
        <w:rPr>
          <w:rFonts w:cs="Times New Roman"/>
          <w:lang w:val="sk-SK"/>
        </w:rPr>
        <w:t xml:space="preserve"> pravidelné alebo kontinuálne podávanie.</w:t>
      </w:r>
    </w:p>
    <w:p w:rsidR="00B12A49" w:rsidRPr="004D7E48" w:rsidRDefault="00B12A49" w:rsidP="003E3767">
      <w:pPr>
        <w:spacing w:after="120"/>
        <w:jc w:val="both"/>
        <w:rPr>
          <w:rFonts w:cs="Times New Roman"/>
          <w:lang w:val="sk-SK"/>
        </w:rPr>
      </w:pPr>
      <w:r w:rsidRPr="004D7E48">
        <w:rPr>
          <w:rFonts w:cs="Times New Roman"/>
          <w:lang w:val="sk-SK"/>
        </w:rPr>
        <w:t>Štúdie mutagenity a chronickej karcinogenity neboli vykonané.</w:t>
      </w:r>
    </w:p>
    <w:p w:rsidR="00951F93" w:rsidRPr="004D7E48" w:rsidRDefault="00951F93" w:rsidP="003E3767">
      <w:pPr>
        <w:spacing w:after="120"/>
        <w:jc w:val="both"/>
        <w:rPr>
          <w:rFonts w:cs="Times New Roman"/>
          <w:lang w:val="sk-SK"/>
        </w:rPr>
      </w:pPr>
    </w:p>
    <w:p w:rsidR="00F035F7" w:rsidRPr="004D7E48" w:rsidRDefault="00F035F7" w:rsidP="003E3767">
      <w:pPr>
        <w:spacing w:after="120"/>
        <w:jc w:val="both"/>
        <w:rPr>
          <w:rFonts w:cs="Times New Roman"/>
          <w:b/>
          <w:caps/>
          <w:lang w:val="sk-SK"/>
        </w:rPr>
      </w:pPr>
      <w:r w:rsidRPr="004D7E48">
        <w:rPr>
          <w:rFonts w:cs="Times New Roman"/>
          <w:b/>
          <w:caps/>
          <w:lang w:val="sk-SK"/>
        </w:rPr>
        <w:t>6.</w:t>
      </w:r>
      <w:r w:rsidRPr="004D7E48">
        <w:rPr>
          <w:rFonts w:cs="Times New Roman"/>
          <w:b/>
          <w:caps/>
          <w:lang w:val="sk-SK"/>
        </w:rPr>
        <w:tab/>
      </w:r>
      <w:r w:rsidRPr="004D7E48">
        <w:rPr>
          <w:rFonts w:cs="Times New Roman"/>
          <w:b/>
          <w:lang w:val="sk-SK"/>
        </w:rPr>
        <w:t>FARMACEUTICKÉ ÚDAJE</w:t>
      </w:r>
    </w:p>
    <w:p w:rsidR="00F035F7" w:rsidRPr="004D7E48" w:rsidRDefault="00F035F7" w:rsidP="003E3767">
      <w:pPr>
        <w:autoSpaceDE w:val="0"/>
        <w:autoSpaceDN w:val="0"/>
        <w:adjustRightInd w:val="0"/>
        <w:spacing w:after="120"/>
        <w:jc w:val="both"/>
        <w:rPr>
          <w:rFonts w:cs="Times New Roman"/>
          <w:lang w:val="sk-SK"/>
        </w:rPr>
      </w:pPr>
      <w:r w:rsidRPr="004D7E48">
        <w:rPr>
          <w:rFonts w:cs="Times New Roman"/>
          <w:b/>
          <w:lang w:val="sk-SK"/>
        </w:rPr>
        <w:t>6.1</w:t>
      </w:r>
      <w:r w:rsidRPr="004D7E48">
        <w:rPr>
          <w:rFonts w:cs="Times New Roman"/>
          <w:b/>
          <w:lang w:val="sk-SK"/>
        </w:rPr>
        <w:tab/>
        <w:t>Zoznam pomocných látok</w:t>
      </w:r>
    </w:p>
    <w:p w:rsidR="00F035F7" w:rsidRPr="004D7E48" w:rsidRDefault="00EC6E19" w:rsidP="00C60714">
      <w:pPr>
        <w:spacing w:after="0" w:line="240" w:lineRule="auto"/>
        <w:jc w:val="both"/>
        <w:rPr>
          <w:rFonts w:cs="Times New Roman"/>
          <w:lang w:val="sk-SK"/>
        </w:rPr>
      </w:pPr>
      <w:r>
        <w:rPr>
          <w:rFonts w:cs="Times New Roman"/>
          <w:lang w:val="sk-SK"/>
        </w:rPr>
        <w:t>v</w:t>
      </w:r>
      <w:r w:rsidR="00120468" w:rsidRPr="004D7E48">
        <w:rPr>
          <w:rFonts w:cs="Times New Roman"/>
          <w:lang w:val="sk-SK"/>
        </w:rPr>
        <w:t>oda na injekciu</w:t>
      </w:r>
    </w:p>
    <w:p w:rsidR="00F035F7" w:rsidRPr="00EC6E19" w:rsidRDefault="00EC6E19" w:rsidP="00C60714">
      <w:pPr>
        <w:spacing w:after="0" w:line="240" w:lineRule="auto"/>
        <w:jc w:val="both"/>
        <w:rPr>
          <w:rFonts w:cs="Times New Roman"/>
          <w:lang w:val="sk-SK"/>
        </w:rPr>
      </w:pPr>
      <w:proofErr w:type="spellStart"/>
      <w:r>
        <w:rPr>
          <w:rFonts w:cs="Times New Roman"/>
          <w:lang w:val="sk-SK"/>
        </w:rPr>
        <w:t>h</w:t>
      </w:r>
      <w:r w:rsidR="0089743D" w:rsidRPr="00EC6E19">
        <w:rPr>
          <w:rFonts w:cs="Times New Roman"/>
          <w:lang w:val="sk-SK"/>
        </w:rPr>
        <w:t>ydrog</w:t>
      </w:r>
      <w:r>
        <w:rPr>
          <w:rFonts w:cs="Times New Roman"/>
          <w:lang w:val="sk-SK"/>
        </w:rPr>
        <w:t>e</w:t>
      </w:r>
      <w:r w:rsidR="0089743D" w:rsidRPr="00EC6E19">
        <w:rPr>
          <w:rFonts w:cs="Times New Roman"/>
          <w:lang w:val="sk-SK"/>
        </w:rPr>
        <w:t>ncitr</w:t>
      </w:r>
      <w:r>
        <w:rPr>
          <w:rFonts w:cs="Times New Roman"/>
          <w:lang w:val="sk-SK"/>
        </w:rPr>
        <w:t>on</w:t>
      </w:r>
      <w:r w:rsidR="0089743D" w:rsidRPr="00EC6E19">
        <w:rPr>
          <w:rFonts w:cs="Times New Roman"/>
          <w:lang w:val="sk-SK"/>
        </w:rPr>
        <w:t>an</w:t>
      </w:r>
      <w:proofErr w:type="spellEnd"/>
      <w:r w:rsidR="0089743D" w:rsidRPr="00EC6E19">
        <w:rPr>
          <w:rFonts w:cs="Times New Roman"/>
          <w:lang w:val="sk-SK"/>
        </w:rPr>
        <w:t xml:space="preserve"> sodný</w:t>
      </w:r>
      <w:r>
        <w:rPr>
          <w:rFonts w:cs="Times New Roman"/>
          <w:lang w:val="sk-SK"/>
        </w:rPr>
        <w:t>,</w:t>
      </w:r>
      <w:r w:rsidRPr="0087169E">
        <w:rPr>
          <w:bCs/>
          <w:lang w:val="sk-SK"/>
        </w:rPr>
        <w:t xml:space="preserve"> </w:t>
      </w:r>
      <w:proofErr w:type="spellStart"/>
      <w:r w:rsidRPr="0087169E">
        <w:rPr>
          <w:bCs/>
          <w:lang w:val="sk-SK"/>
        </w:rPr>
        <w:t>seskvihydrát</w:t>
      </w:r>
      <w:proofErr w:type="spellEnd"/>
    </w:p>
    <w:p w:rsidR="00C60714" w:rsidRPr="004D7E48" w:rsidRDefault="0089743D" w:rsidP="00C60714">
      <w:pPr>
        <w:spacing w:after="0" w:line="240" w:lineRule="auto"/>
        <w:rPr>
          <w:rFonts w:eastAsia="Times New Roman" w:cs="Times New Roman"/>
          <w:lang w:val="sk-SK" w:eastAsia="de-AT"/>
        </w:rPr>
      </w:pPr>
      <w:proofErr w:type="spellStart"/>
      <w:r w:rsidRPr="00EC6E19">
        <w:rPr>
          <w:rFonts w:eastAsia="Times New Roman" w:cs="Times New Roman"/>
          <w:lang w:val="sk-SK" w:eastAsia="de-AT"/>
        </w:rPr>
        <w:t>citr</w:t>
      </w:r>
      <w:r w:rsidR="00EC6E19">
        <w:rPr>
          <w:rFonts w:eastAsia="Times New Roman" w:cs="Times New Roman"/>
          <w:lang w:val="sk-SK" w:eastAsia="de-AT"/>
        </w:rPr>
        <w:t>o</w:t>
      </w:r>
      <w:r w:rsidRPr="00EC6E19">
        <w:rPr>
          <w:rFonts w:eastAsia="Times New Roman" w:cs="Times New Roman"/>
          <w:lang w:val="sk-SK" w:eastAsia="de-AT"/>
        </w:rPr>
        <w:t>nan</w:t>
      </w:r>
      <w:proofErr w:type="spellEnd"/>
      <w:r w:rsidRPr="00EC6E19">
        <w:rPr>
          <w:rFonts w:eastAsia="Times New Roman" w:cs="Times New Roman"/>
          <w:lang w:val="sk-SK" w:eastAsia="de-AT"/>
        </w:rPr>
        <w:t xml:space="preserve"> sodný</w:t>
      </w:r>
    </w:p>
    <w:p w:rsidR="00F035F7" w:rsidRPr="004D7E48" w:rsidRDefault="00EC6E19" w:rsidP="00C60714">
      <w:pPr>
        <w:spacing w:after="0" w:line="240" w:lineRule="auto"/>
        <w:jc w:val="both"/>
        <w:rPr>
          <w:rFonts w:cs="Times New Roman"/>
          <w:lang w:val="sk-SK"/>
        </w:rPr>
      </w:pPr>
      <w:r>
        <w:rPr>
          <w:rFonts w:cs="Times New Roman"/>
          <w:lang w:val="sk-SK"/>
        </w:rPr>
        <w:t>c</w:t>
      </w:r>
      <w:r w:rsidR="00F035F7" w:rsidRPr="004D7E48">
        <w:rPr>
          <w:rFonts w:cs="Times New Roman"/>
          <w:lang w:val="sk-SK"/>
        </w:rPr>
        <w:t xml:space="preserve">hlorid sodný 0,9 </w:t>
      </w:r>
      <w:r w:rsidR="00606C4E" w:rsidRPr="004D7E48">
        <w:rPr>
          <w:rFonts w:cs="Times New Roman"/>
          <w:lang w:val="sk-SK"/>
        </w:rPr>
        <w:t>mg/</w:t>
      </w:r>
      <w:r w:rsidR="00AF226C" w:rsidRPr="004D7E48">
        <w:rPr>
          <w:rFonts w:cs="Times New Roman"/>
          <w:lang w:val="sk-SK"/>
        </w:rPr>
        <w:t>m</w:t>
      </w:r>
      <w:r w:rsidR="001554A9">
        <w:rPr>
          <w:rFonts w:cs="Times New Roman"/>
          <w:lang w:val="sk-SK"/>
        </w:rPr>
        <w:t>l</w:t>
      </w:r>
    </w:p>
    <w:p w:rsidR="00593184" w:rsidRPr="004D7E48" w:rsidRDefault="00593184" w:rsidP="003E3767">
      <w:pPr>
        <w:spacing w:after="120"/>
        <w:jc w:val="both"/>
        <w:rPr>
          <w:rFonts w:cs="Times New Roman"/>
          <w:lang w:val="sk-SK"/>
        </w:rPr>
      </w:pPr>
    </w:p>
    <w:p w:rsidR="00984FE7" w:rsidRPr="004D7E48" w:rsidRDefault="00AA3225" w:rsidP="003E3767">
      <w:pPr>
        <w:spacing w:after="120"/>
        <w:jc w:val="both"/>
        <w:rPr>
          <w:rFonts w:cs="Times New Roman"/>
          <w:b/>
          <w:lang w:val="sk-SK"/>
        </w:rPr>
      </w:pPr>
      <w:r w:rsidRPr="004D7E48">
        <w:rPr>
          <w:rFonts w:cs="Times New Roman"/>
          <w:b/>
          <w:lang w:val="sk-SK"/>
        </w:rPr>
        <w:t>6.2</w:t>
      </w:r>
      <w:r w:rsidRPr="004D7E48">
        <w:rPr>
          <w:rFonts w:cs="Times New Roman"/>
          <w:b/>
          <w:lang w:val="sk-SK"/>
        </w:rPr>
        <w:tab/>
        <w:t>Inkompatibility</w:t>
      </w:r>
    </w:p>
    <w:p w:rsidR="00984FE7" w:rsidRPr="004D7E48" w:rsidRDefault="00B96903" w:rsidP="003E3767">
      <w:pPr>
        <w:spacing w:after="120"/>
        <w:jc w:val="both"/>
        <w:rPr>
          <w:rFonts w:cs="Times New Roman"/>
          <w:lang w:val="sk-SK"/>
        </w:rPr>
      </w:pPr>
      <w:r w:rsidRPr="004D7E48">
        <w:rPr>
          <w:rFonts w:cs="Times New Roman"/>
          <w:lang w:val="sk-SK"/>
        </w:rPr>
        <w:t>Tento liek sa nesmie miešať s inými liekmi okrem tých, ktoré sú uvedené v</w:t>
      </w:r>
      <w:r w:rsidR="001554A9">
        <w:rPr>
          <w:rFonts w:cs="Times New Roman"/>
          <w:lang w:val="sk-SK"/>
        </w:rPr>
        <w:t xml:space="preserve"> časti </w:t>
      </w:r>
      <w:r w:rsidR="00984FE7" w:rsidRPr="004D7E48">
        <w:rPr>
          <w:rFonts w:cs="Times New Roman"/>
          <w:lang w:val="sk-SK"/>
        </w:rPr>
        <w:t>6.6.</w:t>
      </w:r>
    </w:p>
    <w:p w:rsidR="00B96903" w:rsidRPr="004D7E48" w:rsidRDefault="00B96903" w:rsidP="003E3767">
      <w:pPr>
        <w:spacing w:after="120"/>
        <w:jc w:val="both"/>
        <w:rPr>
          <w:rFonts w:cs="Times New Roman"/>
          <w:lang w:val="sk-SK"/>
        </w:rPr>
      </w:pPr>
    </w:p>
    <w:p w:rsidR="00AA3225" w:rsidRPr="004D7E48" w:rsidRDefault="00AA3225" w:rsidP="003E3767">
      <w:pPr>
        <w:spacing w:after="120"/>
        <w:jc w:val="both"/>
        <w:rPr>
          <w:rFonts w:cs="Times New Roman"/>
          <w:lang w:val="sk-SK"/>
        </w:rPr>
      </w:pPr>
      <w:r w:rsidRPr="004D7E48">
        <w:rPr>
          <w:rFonts w:cs="Times New Roman"/>
          <w:b/>
          <w:lang w:val="sk-SK"/>
        </w:rPr>
        <w:t>6.3</w:t>
      </w:r>
      <w:r w:rsidRPr="004D7E48">
        <w:rPr>
          <w:rFonts w:cs="Times New Roman"/>
          <w:b/>
          <w:lang w:val="sk-SK"/>
        </w:rPr>
        <w:tab/>
        <w:t>Čas použiteľnosti</w:t>
      </w:r>
      <w:r w:rsidRPr="004D7E48">
        <w:rPr>
          <w:rFonts w:cs="Times New Roman"/>
          <w:lang w:val="sk-SK"/>
        </w:rPr>
        <w:t xml:space="preserve"> </w:t>
      </w:r>
    </w:p>
    <w:p w:rsidR="003E11A5" w:rsidRPr="004D7E48" w:rsidRDefault="00984FE7" w:rsidP="003E3767">
      <w:pPr>
        <w:spacing w:after="120"/>
        <w:jc w:val="both"/>
        <w:rPr>
          <w:rFonts w:cs="Times New Roman"/>
          <w:lang w:val="sk-SK"/>
        </w:rPr>
      </w:pPr>
      <w:r w:rsidRPr="004D7E48">
        <w:rPr>
          <w:rFonts w:cs="Times New Roman"/>
          <w:lang w:val="sk-SK"/>
        </w:rPr>
        <w:t>14 h</w:t>
      </w:r>
      <w:r w:rsidR="00B96903" w:rsidRPr="004D7E48">
        <w:rPr>
          <w:rFonts w:cs="Times New Roman"/>
          <w:lang w:val="sk-SK"/>
        </w:rPr>
        <w:t>odín od času kalibrácie a</w:t>
      </w:r>
      <w:r w:rsidR="003E11A5" w:rsidRPr="004D7E48">
        <w:rPr>
          <w:rFonts w:cs="Times New Roman"/>
          <w:lang w:val="sk-SK"/>
        </w:rPr>
        <w:t xml:space="preserve"> 8 ho</w:t>
      </w:r>
      <w:r w:rsidR="00B96903" w:rsidRPr="004D7E48">
        <w:rPr>
          <w:rFonts w:cs="Times New Roman"/>
          <w:lang w:val="sk-SK"/>
        </w:rPr>
        <w:t>dín od prvého použitia</w:t>
      </w:r>
      <w:r w:rsidR="003E11A5" w:rsidRPr="004D7E48">
        <w:rPr>
          <w:rFonts w:cs="Times New Roman"/>
          <w:lang w:val="sk-SK"/>
        </w:rPr>
        <w:t xml:space="preserve">. </w:t>
      </w:r>
    </w:p>
    <w:p w:rsidR="00984FE7" w:rsidRPr="004D7E48" w:rsidRDefault="00B96903" w:rsidP="003E3767">
      <w:pPr>
        <w:spacing w:after="120"/>
        <w:jc w:val="both"/>
        <w:rPr>
          <w:rFonts w:cs="Times New Roman"/>
          <w:lang w:val="sk-SK"/>
        </w:rPr>
      </w:pPr>
      <w:r w:rsidRPr="004D7E48">
        <w:rPr>
          <w:rFonts w:cs="Times New Roman"/>
          <w:lang w:val="sk-SK"/>
        </w:rPr>
        <w:t>Dátum a čas exspirácie sú uvedené na balení a</w:t>
      </w:r>
      <w:r w:rsidR="00120468" w:rsidRPr="004D7E48">
        <w:rPr>
          <w:rFonts w:cs="Times New Roman"/>
          <w:lang w:val="sk-SK"/>
        </w:rPr>
        <w:t xml:space="preserve"> </w:t>
      </w:r>
      <w:r w:rsidRPr="004D7E48">
        <w:rPr>
          <w:rFonts w:cs="Times New Roman"/>
          <w:lang w:val="sk-SK"/>
        </w:rPr>
        <w:t>na každej liekovke</w:t>
      </w:r>
      <w:r w:rsidR="00984FE7" w:rsidRPr="004D7E48">
        <w:rPr>
          <w:rFonts w:cs="Times New Roman"/>
          <w:lang w:val="sk-SK"/>
        </w:rPr>
        <w:t>.</w:t>
      </w:r>
    </w:p>
    <w:p w:rsidR="00B96903" w:rsidRPr="004D7E48" w:rsidRDefault="00B96903" w:rsidP="003E3767">
      <w:pPr>
        <w:spacing w:after="120"/>
        <w:jc w:val="both"/>
        <w:rPr>
          <w:rFonts w:cs="Times New Roman"/>
          <w:lang w:val="sk-SK"/>
        </w:rPr>
      </w:pPr>
    </w:p>
    <w:p w:rsidR="00AA3225" w:rsidRPr="004D7E48" w:rsidRDefault="00AA3225" w:rsidP="003E3767">
      <w:pPr>
        <w:autoSpaceDE w:val="0"/>
        <w:autoSpaceDN w:val="0"/>
        <w:adjustRightInd w:val="0"/>
        <w:spacing w:after="120"/>
        <w:jc w:val="both"/>
        <w:rPr>
          <w:rFonts w:cs="Times New Roman"/>
          <w:lang w:val="sk-SK"/>
        </w:rPr>
      </w:pPr>
      <w:r w:rsidRPr="004D7E48">
        <w:rPr>
          <w:rFonts w:cs="Times New Roman"/>
          <w:b/>
          <w:lang w:val="sk-SK"/>
        </w:rPr>
        <w:t>6.4</w:t>
      </w:r>
      <w:r w:rsidRPr="004D7E48">
        <w:rPr>
          <w:rFonts w:cs="Times New Roman"/>
          <w:b/>
          <w:lang w:val="sk-SK"/>
        </w:rPr>
        <w:tab/>
        <w:t>Špeciálne upozornenia na uchovávanie</w:t>
      </w:r>
    </w:p>
    <w:p w:rsidR="00AA3225" w:rsidRPr="004D7E48" w:rsidRDefault="00AA3225" w:rsidP="003E3767">
      <w:pPr>
        <w:spacing w:after="120"/>
        <w:jc w:val="both"/>
        <w:rPr>
          <w:rFonts w:cs="Times New Roman"/>
          <w:lang w:val="sk-SK"/>
        </w:rPr>
      </w:pPr>
      <w:r w:rsidRPr="004D7E48">
        <w:rPr>
          <w:rFonts w:cs="Times New Roman"/>
          <w:lang w:val="sk-SK"/>
        </w:rPr>
        <w:t>Liek sa má uchovávať pri teplote do 25 ºC v pôvodnom obale.</w:t>
      </w:r>
    </w:p>
    <w:p w:rsidR="00AA3225" w:rsidRPr="004D7E48" w:rsidRDefault="00AA3225" w:rsidP="003E3767">
      <w:pPr>
        <w:spacing w:after="120"/>
        <w:jc w:val="both"/>
        <w:rPr>
          <w:rFonts w:cs="Times New Roman"/>
          <w:lang w:val="sk-SK"/>
        </w:rPr>
      </w:pPr>
      <w:r w:rsidRPr="004D7E48">
        <w:rPr>
          <w:rFonts w:cs="Times New Roman"/>
          <w:lang w:val="sk-SK"/>
        </w:rPr>
        <w:t>Uchovávanie rádiofarmák musí byť v súlade s národnými požiadavkami týkajúcimi sa rádioaktívnych látok.</w:t>
      </w:r>
    </w:p>
    <w:p w:rsidR="00AA3225" w:rsidRPr="004D7E48" w:rsidRDefault="00AA3225" w:rsidP="003E3767">
      <w:pPr>
        <w:spacing w:after="120"/>
        <w:jc w:val="both"/>
        <w:rPr>
          <w:rFonts w:cs="Times New Roman"/>
          <w:b/>
          <w:lang w:val="sk-SK"/>
        </w:rPr>
      </w:pPr>
    </w:p>
    <w:p w:rsidR="00864D62" w:rsidRPr="004D7E48" w:rsidRDefault="00864D62" w:rsidP="003E3767">
      <w:pPr>
        <w:autoSpaceDE w:val="0"/>
        <w:autoSpaceDN w:val="0"/>
        <w:adjustRightInd w:val="0"/>
        <w:spacing w:after="120"/>
        <w:jc w:val="both"/>
        <w:rPr>
          <w:rFonts w:cs="Times New Roman"/>
          <w:lang w:val="sk-SK"/>
        </w:rPr>
      </w:pPr>
      <w:r w:rsidRPr="004D7E48">
        <w:rPr>
          <w:rFonts w:cs="Times New Roman"/>
          <w:b/>
          <w:lang w:val="sk-SK"/>
        </w:rPr>
        <w:t>6.5</w:t>
      </w:r>
      <w:r w:rsidRPr="004D7E48">
        <w:rPr>
          <w:rFonts w:cs="Times New Roman"/>
          <w:b/>
          <w:lang w:val="sk-SK"/>
        </w:rPr>
        <w:tab/>
        <w:t>Druh obalu a obsah balenia</w:t>
      </w:r>
    </w:p>
    <w:p w:rsidR="00120468" w:rsidRPr="004D7E48" w:rsidRDefault="00120468" w:rsidP="003E3767">
      <w:pPr>
        <w:spacing w:after="120"/>
        <w:jc w:val="both"/>
        <w:rPr>
          <w:lang w:val="sk-SK"/>
        </w:rPr>
      </w:pPr>
      <w:r w:rsidRPr="004D7E48">
        <w:rPr>
          <w:lang w:val="sk-SK"/>
        </w:rPr>
        <w:t>1</w:t>
      </w:r>
      <w:r w:rsidR="00B60760" w:rsidRPr="004D7E48">
        <w:rPr>
          <w:lang w:val="sk-SK"/>
        </w:rPr>
        <w:t>1</w:t>
      </w:r>
      <w:r w:rsidRPr="004D7E48">
        <w:rPr>
          <w:lang w:val="sk-SK"/>
        </w:rPr>
        <w:t xml:space="preserve"> alebo 25 </w:t>
      </w:r>
      <w:r w:rsidR="00AF226C" w:rsidRPr="004D7E48">
        <w:rPr>
          <w:lang w:val="sk-SK"/>
        </w:rPr>
        <w:t>m</w:t>
      </w:r>
      <w:r w:rsidR="001554A9">
        <w:rPr>
          <w:lang w:val="sk-SK"/>
        </w:rPr>
        <w:t>l</w:t>
      </w:r>
      <w:r w:rsidRPr="004D7E48">
        <w:rPr>
          <w:lang w:val="sk-SK"/>
        </w:rPr>
        <w:t xml:space="preserve"> viacdávková injekčná liekovka, </w:t>
      </w:r>
      <w:r w:rsidR="001554A9">
        <w:rPr>
          <w:lang w:val="sk-SK"/>
        </w:rPr>
        <w:t xml:space="preserve">z </w:t>
      </w:r>
      <w:r w:rsidRPr="004D7E48">
        <w:rPr>
          <w:lang w:val="sk-SK"/>
        </w:rPr>
        <w:t xml:space="preserve">bezfarebného </w:t>
      </w:r>
      <w:r w:rsidR="0089743D" w:rsidRPr="00D474DA">
        <w:rPr>
          <w:lang w:val="sk-SK"/>
        </w:rPr>
        <w:t>skla</w:t>
      </w:r>
      <w:r w:rsidRPr="004D7E48">
        <w:rPr>
          <w:lang w:val="sk-SK"/>
        </w:rPr>
        <w:t>, uzavretá gumenou zátkou potiahnutou teflónom a utesnená hliníkovým viečkom.</w:t>
      </w:r>
    </w:p>
    <w:p w:rsidR="007C3258" w:rsidRPr="004D7E48" w:rsidRDefault="000A5D42" w:rsidP="003E3767">
      <w:pPr>
        <w:spacing w:after="120"/>
        <w:jc w:val="both"/>
        <w:rPr>
          <w:rFonts w:cs="Times New Roman"/>
          <w:lang w:val="sk-SK"/>
        </w:rPr>
      </w:pPr>
      <w:r w:rsidRPr="004D7E48">
        <w:rPr>
          <w:rFonts w:cs="Times New Roman"/>
          <w:lang w:val="sk-SK"/>
        </w:rPr>
        <w:lastRenderedPageBreak/>
        <w:t>Jedna liekovka obsahuje</w:t>
      </w:r>
      <w:r w:rsidR="00C60714" w:rsidRPr="004D7E48">
        <w:rPr>
          <w:rFonts w:cs="Times New Roman"/>
          <w:lang w:val="sk-SK"/>
        </w:rPr>
        <w:t xml:space="preserve"> 0,</w:t>
      </w:r>
      <w:r w:rsidR="002503CB" w:rsidRPr="004D7E48">
        <w:rPr>
          <w:rFonts w:cs="Times New Roman"/>
          <w:lang w:val="sk-SK"/>
        </w:rPr>
        <w:t xml:space="preserve">2 </w:t>
      </w:r>
      <w:r w:rsidR="00AF226C" w:rsidRPr="004D7E48">
        <w:rPr>
          <w:rFonts w:cs="Times New Roman"/>
          <w:lang w:val="sk-SK"/>
        </w:rPr>
        <w:t>m</w:t>
      </w:r>
      <w:r w:rsidR="001554A9">
        <w:rPr>
          <w:rFonts w:cs="Times New Roman"/>
          <w:lang w:val="sk-SK"/>
        </w:rPr>
        <w:t>l</w:t>
      </w:r>
      <w:r w:rsidR="002503CB" w:rsidRPr="004D7E48">
        <w:rPr>
          <w:rFonts w:cs="Times New Roman"/>
          <w:lang w:val="sk-SK"/>
        </w:rPr>
        <w:t xml:space="preserve"> </w:t>
      </w:r>
      <w:r w:rsidRPr="004D7E48">
        <w:rPr>
          <w:rFonts w:cs="Times New Roman"/>
          <w:lang w:val="sk-SK"/>
        </w:rPr>
        <w:t>až</w:t>
      </w:r>
      <w:r w:rsidR="002503CB" w:rsidRPr="004D7E48">
        <w:rPr>
          <w:rFonts w:cs="Times New Roman"/>
          <w:lang w:val="sk-SK"/>
        </w:rPr>
        <w:t xml:space="preserve"> </w:t>
      </w:r>
      <w:r w:rsidR="00602A82" w:rsidRPr="004D7E48">
        <w:rPr>
          <w:rFonts w:cs="Times New Roman"/>
          <w:lang w:val="sk-SK"/>
        </w:rPr>
        <w:t>20</w:t>
      </w:r>
      <w:r w:rsidR="00C60714" w:rsidRPr="004D7E48">
        <w:rPr>
          <w:rFonts w:cs="Times New Roman"/>
          <w:lang w:val="sk-SK"/>
        </w:rPr>
        <w:t>,</w:t>
      </w:r>
      <w:r w:rsidR="0094667C" w:rsidRPr="004D7E48">
        <w:rPr>
          <w:rFonts w:cs="Times New Roman"/>
          <w:lang w:val="sk-SK"/>
        </w:rPr>
        <w:t>0</w:t>
      </w:r>
      <w:r w:rsidR="002503CB" w:rsidRPr="004D7E48">
        <w:rPr>
          <w:rFonts w:cs="Times New Roman"/>
          <w:lang w:val="sk-SK"/>
        </w:rPr>
        <w:t xml:space="preserve"> </w:t>
      </w:r>
      <w:r w:rsidR="00AF226C" w:rsidRPr="004D7E48">
        <w:rPr>
          <w:rFonts w:cs="Times New Roman"/>
          <w:lang w:val="sk-SK"/>
        </w:rPr>
        <w:t>m</w:t>
      </w:r>
      <w:r w:rsidR="001554A9">
        <w:rPr>
          <w:rFonts w:cs="Times New Roman"/>
          <w:lang w:val="sk-SK"/>
        </w:rPr>
        <w:t>l</w:t>
      </w:r>
      <w:r w:rsidR="0025099A" w:rsidRPr="004D7E48">
        <w:rPr>
          <w:rFonts w:cs="Times New Roman"/>
          <w:lang w:val="sk-SK"/>
        </w:rPr>
        <w:t xml:space="preserve"> </w:t>
      </w:r>
      <w:r w:rsidRPr="004D7E48">
        <w:rPr>
          <w:rFonts w:cs="Times New Roman"/>
          <w:lang w:val="sk-SK"/>
        </w:rPr>
        <w:t xml:space="preserve">roztoku, čo zodpovedá </w:t>
      </w:r>
      <w:r w:rsidR="00C60714" w:rsidRPr="004D7E48">
        <w:rPr>
          <w:rFonts w:cs="Times New Roman"/>
          <w:lang w:val="sk-SK"/>
        </w:rPr>
        <w:t>0,</w:t>
      </w:r>
      <w:r w:rsidR="00984FE7" w:rsidRPr="004D7E48">
        <w:rPr>
          <w:rFonts w:cs="Times New Roman"/>
          <w:lang w:val="sk-SK"/>
        </w:rPr>
        <w:t xml:space="preserve">2 GBq </w:t>
      </w:r>
      <w:r w:rsidRPr="004D7E48">
        <w:rPr>
          <w:rFonts w:cs="Times New Roman"/>
          <w:lang w:val="sk-SK"/>
        </w:rPr>
        <w:t>až</w:t>
      </w:r>
      <w:r w:rsidR="00984FE7" w:rsidRPr="004D7E48">
        <w:rPr>
          <w:rFonts w:cs="Times New Roman"/>
          <w:lang w:val="sk-SK"/>
        </w:rPr>
        <w:t xml:space="preserve"> </w:t>
      </w:r>
      <w:r w:rsidR="00602A82" w:rsidRPr="004D7E48">
        <w:rPr>
          <w:rFonts w:cs="Times New Roman"/>
          <w:lang w:val="sk-SK"/>
        </w:rPr>
        <w:t>20</w:t>
      </w:r>
      <w:r w:rsidR="00C60714" w:rsidRPr="004D7E48">
        <w:rPr>
          <w:rFonts w:cs="Times New Roman"/>
          <w:lang w:val="sk-SK"/>
        </w:rPr>
        <w:t>,</w:t>
      </w:r>
      <w:r w:rsidR="0094667C" w:rsidRPr="004D7E48">
        <w:rPr>
          <w:rFonts w:cs="Times New Roman"/>
          <w:lang w:val="sk-SK"/>
        </w:rPr>
        <w:t>0</w:t>
      </w:r>
      <w:r w:rsidR="00984FE7" w:rsidRPr="004D7E48">
        <w:rPr>
          <w:rFonts w:cs="Times New Roman"/>
          <w:lang w:val="sk-SK"/>
        </w:rPr>
        <w:t xml:space="preserve"> GBq </w:t>
      </w:r>
      <w:r w:rsidRPr="004D7E48">
        <w:rPr>
          <w:rFonts w:cs="Times New Roman"/>
          <w:lang w:val="sk-SK"/>
        </w:rPr>
        <w:t>na liekovku v čase kalibrácie</w:t>
      </w:r>
      <w:r w:rsidR="002503CB" w:rsidRPr="004D7E48">
        <w:rPr>
          <w:rFonts w:cs="Times New Roman"/>
          <w:lang w:val="sk-SK"/>
        </w:rPr>
        <w:t>.</w:t>
      </w:r>
    </w:p>
    <w:p w:rsidR="00EA1D12" w:rsidRPr="004D7E48" w:rsidRDefault="00EA1D12" w:rsidP="003E3767">
      <w:pPr>
        <w:spacing w:after="120"/>
        <w:jc w:val="both"/>
        <w:rPr>
          <w:rFonts w:cs="Times New Roman"/>
          <w:lang w:val="sk-SK"/>
        </w:rPr>
      </w:pPr>
    </w:p>
    <w:p w:rsidR="00984FE7" w:rsidRPr="004D7E48" w:rsidRDefault="00864D62" w:rsidP="003E3767">
      <w:pPr>
        <w:autoSpaceDE w:val="0"/>
        <w:autoSpaceDN w:val="0"/>
        <w:adjustRightInd w:val="0"/>
        <w:spacing w:after="120"/>
        <w:jc w:val="both"/>
        <w:rPr>
          <w:rFonts w:cs="Times New Roman"/>
          <w:lang w:val="sk-SK"/>
        </w:rPr>
      </w:pPr>
      <w:r w:rsidRPr="004D7E48">
        <w:rPr>
          <w:rFonts w:cs="Times New Roman"/>
          <w:b/>
          <w:lang w:val="sk-SK"/>
        </w:rPr>
        <w:t>6.6</w:t>
      </w:r>
      <w:r w:rsidRPr="004D7E48">
        <w:rPr>
          <w:rFonts w:cs="Times New Roman"/>
          <w:b/>
          <w:lang w:val="sk-SK"/>
        </w:rPr>
        <w:tab/>
        <w:t>Špeciálne opatrenia na likvidáciu a iné zaobchádzanie s liekom</w:t>
      </w:r>
    </w:p>
    <w:p w:rsidR="007C3258" w:rsidRPr="004D7E48" w:rsidRDefault="00864D62" w:rsidP="003E3767">
      <w:pPr>
        <w:spacing w:after="120"/>
        <w:jc w:val="both"/>
        <w:rPr>
          <w:rFonts w:cs="Times New Roman"/>
          <w:u w:val="single"/>
          <w:lang w:val="sk-SK"/>
        </w:rPr>
      </w:pPr>
      <w:r w:rsidRPr="004D7E48">
        <w:rPr>
          <w:rFonts w:cs="Times New Roman"/>
          <w:u w:val="single"/>
          <w:lang w:val="sk-SK"/>
        </w:rPr>
        <w:t>Všeobecné upozornenia</w:t>
      </w:r>
    </w:p>
    <w:p w:rsidR="00864D62" w:rsidRPr="004D7E48" w:rsidRDefault="009A726E" w:rsidP="003E3767">
      <w:pPr>
        <w:spacing w:after="120"/>
        <w:jc w:val="both"/>
        <w:rPr>
          <w:rFonts w:cs="Times New Roman"/>
          <w:lang w:val="sk-SK"/>
        </w:rPr>
      </w:pPr>
      <w:r w:rsidRPr="00EA2BEE">
        <w:rPr>
          <w:rFonts w:cs="Times New Roman"/>
          <w:lang w:val="sk-SK"/>
        </w:rPr>
        <w:t>Rádiofarmaká môžu</w:t>
      </w:r>
      <w:r w:rsidR="00864D62" w:rsidRPr="004D7E48">
        <w:rPr>
          <w:rFonts w:cs="Times New Roman"/>
          <w:lang w:val="sk-SK"/>
        </w:rPr>
        <w:t xml:space="preserve"> prijímať, používať a podávať iba oprávnené osoby vo vybraných zdravotníckych zariadeniach. </w:t>
      </w:r>
    </w:p>
    <w:p w:rsidR="00864D62" w:rsidRPr="004D7E48" w:rsidRDefault="00864D62" w:rsidP="003E3767">
      <w:pPr>
        <w:spacing w:after="120"/>
        <w:jc w:val="both"/>
        <w:rPr>
          <w:rFonts w:cs="Times New Roman"/>
          <w:lang w:val="sk-SK"/>
        </w:rPr>
      </w:pPr>
      <w:r w:rsidRPr="004D7E48">
        <w:rPr>
          <w:rFonts w:cs="Times New Roman"/>
          <w:lang w:val="sk-SK"/>
        </w:rPr>
        <w:t xml:space="preserve">Príjem rádiofarmák, ich skladovanie, používanie, preprava a kontrola sú predmetom povolení a/alebo licencií kompetentných inštitúcií. </w:t>
      </w:r>
    </w:p>
    <w:p w:rsidR="00864D62" w:rsidRPr="004D7E48" w:rsidRDefault="00864D62" w:rsidP="003E3767">
      <w:pPr>
        <w:spacing w:after="120"/>
        <w:jc w:val="both"/>
        <w:rPr>
          <w:rFonts w:cs="Times New Roman"/>
          <w:lang w:val="sk-SK"/>
        </w:rPr>
      </w:pPr>
      <w:r w:rsidRPr="004D7E48">
        <w:rPr>
          <w:rFonts w:cs="Times New Roman"/>
          <w:lang w:val="sk-SK"/>
        </w:rPr>
        <w:t>Používateľ musí pripravovať rádiofarmaká takým spôsobom, ktorý zabezpečí radiačnú bezpečnosť a zároveň pož</w:t>
      </w:r>
      <w:r w:rsidR="005451F0" w:rsidRPr="004D7E48">
        <w:rPr>
          <w:rFonts w:cs="Times New Roman"/>
          <w:lang w:val="sk-SK"/>
        </w:rPr>
        <w:t xml:space="preserve">adovanú farmaceutickú kvalitu. </w:t>
      </w:r>
      <w:r w:rsidRPr="004D7E48">
        <w:rPr>
          <w:rFonts w:cs="Times New Roman"/>
          <w:lang w:val="sk-SK"/>
        </w:rPr>
        <w:t>Potrebné je používať odporúčané aseptické postupy.</w:t>
      </w:r>
    </w:p>
    <w:p w:rsidR="00864D62" w:rsidRPr="004D7E48" w:rsidRDefault="00864D62" w:rsidP="003E3767">
      <w:pPr>
        <w:spacing w:after="120"/>
        <w:jc w:val="both"/>
        <w:rPr>
          <w:rFonts w:cs="Times New Roman"/>
          <w:b/>
          <w:lang w:val="sk-SK"/>
        </w:rPr>
      </w:pPr>
      <w:r w:rsidRPr="004D7E48">
        <w:rPr>
          <w:rFonts w:cs="Times New Roman"/>
          <w:lang w:val="sk-SK"/>
        </w:rPr>
        <w:t>Podávanie rádiofarmák predstavuje riziko pre ďalšie osoby spôsobené vonkajšou radiáciou alebo kontamináciou z rozliateho moču, zvratkov atď. Preto sa musia prijať opatrenia na ochranu proti radiácii v súlade s národnými predpismi.</w:t>
      </w:r>
    </w:p>
    <w:p w:rsidR="00864D62" w:rsidRPr="004D7E48" w:rsidRDefault="00864D62" w:rsidP="003E3767">
      <w:pPr>
        <w:spacing w:after="120"/>
        <w:rPr>
          <w:rFonts w:cs="Times New Roman"/>
          <w:lang w:val="sk-SK"/>
        </w:rPr>
      </w:pPr>
      <w:r w:rsidRPr="004D7E48">
        <w:rPr>
          <w:rFonts w:cs="Times New Roman"/>
          <w:lang w:val="sk-SK"/>
        </w:rPr>
        <w:t>Nepoužitý liek alebo odpad vzniknutý z lieku má byť zlikvidovaný v súlade s národnými požiadavkami.</w:t>
      </w:r>
    </w:p>
    <w:p w:rsidR="00C306F9" w:rsidRPr="004D7E48" w:rsidRDefault="00C306F9" w:rsidP="003E3767">
      <w:pPr>
        <w:spacing w:after="120"/>
        <w:jc w:val="both"/>
        <w:rPr>
          <w:rFonts w:cs="Times New Roman"/>
          <w:lang w:val="sk-SK"/>
        </w:rPr>
      </w:pPr>
    </w:p>
    <w:p w:rsidR="00864D62" w:rsidRPr="004D7E48" w:rsidRDefault="00864D62" w:rsidP="00E00751">
      <w:pPr>
        <w:rPr>
          <w:b/>
          <w:lang w:val="sk-SK"/>
        </w:rPr>
      </w:pPr>
      <w:r w:rsidRPr="004D7E48">
        <w:rPr>
          <w:rStyle w:val="longtext"/>
          <w:rFonts w:cs="Times New Roman"/>
          <w:b/>
          <w:bCs/>
          <w:lang w:val="sk-SK"/>
        </w:rPr>
        <w:t xml:space="preserve">7. </w:t>
      </w:r>
      <w:r w:rsidRPr="004D7E48">
        <w:rPr>
          <w:rStyle w:val="longtext"/>
          <w:rFonts w:cs="Times New Roman"/>
          <w:b/>
          <w:bCs/>
          <w:lang w:val="sk-SK"/>
        </w:rPr>
        <w:tab/>
        <w:t>DRŽITEĽ ROZHODNUTIA O REGISTRÁCII</w:t>
      </w:r>
      <w:r w:rsidRPr="004D7E48">
        <w:rPr>
          <w:b/>
          <w:lang w:val="sk-SK"/>
        </w:rPr>
        <w:t xml:space="preserve"> </w:t>
      </w:r>
    </w:p>
    <w:p w:rsidR="000F4173" w:rsidRPr="004D7E48" w:rsidRDefault="000F4173" w:rsidP="00606C4E">
      <w:pPr>
        <w:spacing w:after="0" w:line="240" w:lineRule="auto"/>
        <w:rPr>
          <w:b/>
          <w:lang w:val="sk-SK"/>
        </w:rPr>
      </w:pPr>
      <w:r w:rsidRPr="004D7E48">
        <w:rPr>
          <w:b/>
          <w:lang w:val="sk-SK"/>
        </w:rPr>
        <w:t>SYNEKTIK S.A.</w:t>
      </w:r>
    </w:p>
    <w:p w:rsidR="000F4173" w:rsidRPr="004D7E48" w:rsidRDefault="004C1CBE" w:rsidP="00606C4E">
      <w:pPr>
        <w:spacing w:after="0" w:line="240" w:lineRule="auto"/>
        <w:rPr>
          <w:lang w:val="sk-SK"/>
        </w:rPr>
      </w:pPr>
      <w:r w:rsidRPr="004D7E48">
        <w:rPr>
          <w:lang w:val="sk-SK"/>
        </w:rPr>
        <w:t>Al. W</w:t>
      </w:r>
      <w:r w:rsidR="000F4173" w:rsidRPr="004D7E48">
        <w:rPr>
          <w:lang w:val="sk-SK"/>
        </w:rPr>
        <w:t>.</w:t>
      </w:r>
      <w:r w:rsidRPr="004D7E48">
        <w:rPr>
          <w:lang w:val="sk-SK"/>
        </w:rPr>
        <w:t xml:space="preserve"> </w:t>
      </w:r>
      <w:r w:rsidR="000F4173" w:rsidRPr="004D7E48">
        <w:rPr>
          <w:lang w:val="sk-SK"/>
        </w:rPr>
        <w:t>Witosa 31</w:t>
      </w:r>
    </w:p>
    <w:p w:rsidR="000F4173" w:rsidRPr="004D7E48" w:rsidRDefault="000F4173" w:rsidP="00606C4E">
      <w:pPr>
        <w:spacing w:after="0" w:line="240" w:lineRule="auto"/>
        <w:rPr>
          <w:lang w:val="sk-SK"/>
        </w:rPr>
      </w:pPr>
      <w:r w:rsidRPr="004D7E48">
        <w:rPr>
          <w:lang w:val="sk-SK"/>
        </w:rPr>
        <w:t xml:space="preserve">00-710 </w:t>
      </w:r>
      <w:r w:rsidR="005451F0" w:rsidRPr="004D7E48">
        <w:rPr>
          <w:lang w:val="sk-SK"/>
        </w:rPr>
        <w:t>V</w:t>
      </w:r>
      <w:r w:rsidR="00864D62" w:rsidRPr="004D7E48">
        <w:rPr>
          <w:lang w:val="sk-SK"/>
        </w:rPr>
        <w:t>aršava</w:t>
      </w:r>
    </w:p>
    <w:p w:rsidR="000F4173" w:rsidRPr="004D7E48" w:rsidRDefault="00864D62" w:rsidP="00606C4E">
      <w:pPr>
        <w:spacing w:after="0" w:line="240" w:lineRule="auto"/>
        <w:rPr>
          <w:rStyle w:val="longtext"/>
          <w:rFonts w:cs="Times New Roman"/>
          <w:lang w:val="sk-SK"/>
        </w:rPr>
      </w:pPr>
      <w:r w:rsidRPr="004D7E48">
        <w:rPr>
          <w:lang w:val="sk-SK"/>
        </w:rPr>
        <w:t>Poľsko</w:t>
      </w:r>
    </w:p>
    <w:p w:rsidR="00D474DA" w:rsidRPr="0087169E" w:rsidRDefault="00D474DA" w:rsidP="00D474DA">
      <w:pPr>
        <w:rPr>
          <w:lang w:val="sk-SK"/>
        </w:rPr>
      </w:pPr>
    </w:p>
    <w:p w:rsidR="00D474DA" w:rsidRPr="0087169E" w:rsidRDefault="00D474DA" w:rsidP="00D474DA">
      <w:pPr>
        <w:rPr>
          <w:b/>
          <w:lang w:val="sk-SK"/>
        </w:rPr>
      </w:pPr>
      <w:r w:rsidRPr="0087169E">
        <w:rPr>
          <w:b/>
          <w:lang w:val="sk-SK"/>
        </w:rPr>
        <w:t>8.</w:t>
      </w:r>
      <w:r w:rsidRPr="0087169E">
        <w:rPr>
          <w:b/>
          <w:lang w:val="sk-SK"/>
        </w:rPr>
        <w:tab/>
        <w:t>REGISTRAČNÉ ČÍSLO</w:t>
      </w:r>
    </w:p>
    <w:p w:rsidR="00D474DA" w:rsidRDefault="00D474DA" w:rsidP="003E3767">
      <w:pPr>
        <w:spacing w:after="120"/>
        <w:rPr>
          <w:rFonts w:cs="Times New Roman"/>
          <w:lang w:val="sk-SK"/>
        </w:rPr>
      </w:pPr>
      <w:r w:rsidRPr="00D474DA">
        <w:rPr>
          <w:rFonts w:cs="Times New Roman"/>
          <w:lang w:val="sk-SK"/>
        </w:rPr>
        <w:t>88/0495/16-S</w:t>
      </w:r>
    </w:p>
    <w:p w:rsidR="00D474DA" w:rsidRPr="004D7E48" w:rsidRDefault="00D474DA" w:rsidP="003E3767">
      <w:pPr>
        <w:spacing w:after="120"/>
        <w:rPr>
          <w:rFonts w:cs="Times New Roman"/>
          <w:lang w:val="sk-SK"/>
        </w:rPr>
      </w:pPr>
    </w:p>
    <w:p w:rsidR="00346EB4" w:rsidRPr="004D7E48" w:rsidRDefault="00346EB4" w:rsidP="003E3767">
      <w:pPr>
        <w:spacing w:after="120"/>
        <w:rPr>
          <w:rFonts w:cs="Times New Roman"/>
          <w:lang w:val="sk-SK"/>
        </w:rPr>
      </w:pPr>
      <w:r w:rsidRPr="004D7E48">
        <w:rPr>
          <w:rFonts w:cs="Times New Roman"/>
          <w:b/>
          <w:caps/>
          <w:lang w:val="sk-SK"/>
        </w:rPr>
        <w:t>9.</w:t>
      </w:r>
      <w:r w:rsidRPr="004D7E48">
        <w:rPr>
          <w:rFonts w:cs="Times New Roman"/>
          <w:b/>
          <w:caps/>
          <w:lang w:val="sk-SK"/>
        </w:rPr>
        <w:tab/>
        <w:t>DÁTUM PRVEJ REGISTRÁCIE / PREDĹŽENIA REGISTRÁCIE</w:t>
      </w:r>
      <w:r w:rsidRPr="004D7E48">
        <w:rPr>
          <w:rFonts w:cs="Times New Roman"/>
          <w:lang w:val="sk-SK"/>
        </w:rPr>
        <w:t xml:space="preserve"> </w:t>
      </w:r>
    </w:p>
    <w:p w:rsidR="00346EB4" w:rsidRPr="004D7E48" w:rsidRDefault="00E00751" w:rsidP="00C60714">
      <w:pPr>
        <w:tabs>
          <w:tab w:val="left" w:pos="2852"/>
        </w:tabs>
        <w:spacing w:after="120"/>
        <w:rPr>
          <w:rFonts w:cs="Times New Roman"/>
          <w:lang w:val="sk-SK"/>
        </w:rPr>
      </w:pPr>
      <w:r w:rsidRPr="004D7E48">
        <w:rPr>
          <w:rFonts w:cs="Times New Roman"/>
          <w:lang w:val="sk-SK"/>
        </w:rPr>
        <w:tab/>
      </w:r>
    </w:p>
    <w:p w:rsidR="00984FE7" w:rsidRPr="004D7E48" w:rsidRDefault="00346EB4" w:rsidP="003E3767">
      <w:pPr>
        <w:spacing w:after="120"/>
        <w:rPr>
          <w:rFonts w:cs="Times New Roman"/>
          <w:b/>
          <w:lang w:val="sk-SK"/>
        </w:rPr>
      </w:pPr>
      <w:r w:rsidRPr="004D7E48">
        <w:rPr>
          <w:rFonts w:cs="Times New Roman"/>
          <w:b/>
          <w:caps/>
          <w:lang w:val="sk-SK"/>
        </w:rPr>
        <w:t>10.</w:t>
      </w:r>
      <w:r w:rsidRPr="004D7E48">
        <w:rPr>
          <w:rFonts w:cs="Times New Roman"/>
          <w:b/>
          <w:caps/>
          <w:lang w:val="sk-SK"/>
        </w:rPr>
        <w:tab/>
        <w:t>DÁTUM REVÍZIE TEXTU</w:t>
      </w:r>
    </w:p>
    <w:p w:rsidR="00D474DA" w:rsidRDefault="000D1F32" w:rsidP="003E3767">
      <w:pPr>
        <w:spacing w:after="120"/>
        <w:rPr>
          <w:rFonts w:cs="Times New Roman"/>
          <w:lang w:val="sk-SK"/>
        </w:rPr>
      </w:pPr>
      <w:r>
        <w:rPr>
          <w:rFonts w:cs="Times New Roman"/>
          <w:lang w:val="sk-SK"/>
        </w:rPr>
        <w:t>12</w:t>
      </w:r>
      <w:r w:rsidR="00D474DA">
        <w:rPr>
          <w:rFonts w:cs="Times New Roman"/>
          <w:lang w:val="sk-SK"/>
        </w:rPr>
        <w:t>/2016</w:t>
      </w:r>
    </w:p>
    <w:p w:rsidR="00984FE7" w:rsidRPr="004D7E48" w:rsidRDefault="009248CD" w:rsidP="003E3767">
      <w:pPr>
        <w:spacing w:after="120"/>
        <w:rPr>
          <w:rFonts w:cs="Times New Roman"/>
          <w:lang w:val="sk-SK"/>
        </w:rPr>
      </w:pPr>
      <w:r w:rsidRPr="004D7E48">
        <w:rPr>
          <w:rFonts w:cs="Times New Roman"/>
          <w:lang w:val="sk-SK"/>
        </w:rPr>
        <w:tab/>
      </w:r>
      <w:r w:rsidR="00984FE7" w:rsidRPr="004D7E48">
        <w:rPr>
          <w:rFonts w:cs="Times New Roman"/>
          <w:lang w:val="sk-SK"/>
        </w:rPr>
        <w:tab/>
      </w:r>
    </w:p>
    <w:p w:rsidR="00984FE7" w:rsidRPr="004D7E48" w:rsidRDefault="00346EB4" w:rsidP="003E3767">
      <w:pPr>
        <w:spacing w:after="120"/>
        <w:rPr>
          <w:rFonts w:cs="Times New Roman"/>
          <w:b/>
          <w:lang w:val="sk-SK"/>
        </w:rPr>
      </w:pPr>
      <w:r w:rsidRPr="004D7E48">
        <w:rPr>
          <w:rFonts w:cs="Times New Roman"/>
          <w:b/>
          <w:lang w:val="sk-SK"/>
        </w:rPr>
        <w:t>11.</w:t>
      </w:r>
      <w:r w:rsidRPr="004D7E48">
        <w:rPr>
          <w:rFonts w:cs="Times New Roman"/>
          <w:b/>
          <w:lang w:val="sk-SK"/>
        </w:rPr>
        <w:tab/>
        <w:t>DOZ</w:t>
      </w:r>
      <w:r w:rsidR="00984FE7" w:rsidRPr="004D7E48">
        <w:rPr>
          <w:rFonts w:cs="Times New Roman"/>
          <w:b/>
          <w:lang w:val="sk-SK"/>
        </w:rPr>
        <w:t>IMETR</w:t>
      </w:r>
      <w:r w:rsidRPr="004D7E48">
        <w:rPr>
          <w:rFonts w:cs="Times New Roman"/>
          <w:b/>
          <w:lang w:val="sk-SK"/>
        </w:rPr>
        <w:t>IA</w:t>
      </w:r>
    </w:p>
    <w:p w:rsidR="0058762A" w:rsidRPr="004D7E48" w:rsidRDefault="00346EB4" w:rsidP="003E3767">
      <w:pPr>
        <w:spacing w:after="120"/>
        <w:rPr>
          <w:rFonts w:cs="Times New Roman"/>
          <w:lang w:val="sk-SK"/>
        </w:rPr>
      </w:pPr>
      <w:r w:rsidRPr="004D7E48">
        <w:rPr>
          <w:rFonts w:cs="Times New Roman"/>
          <w:lang w:val="sk-SK"/>
        </w:rPr>
        <w:t>Nižšie uvedená tabuľka ukazuje dozimetrické údaje vypočítané podľa ICRP 106 Publication.</w:t>
      </w:r>
    </w:p>
    <w:p w:rsidR="00593184" w:rsidRPr="004D7E48" w:rsidRDefault="00593184" w:rsidP="003E3767">
      <w:pPr>
        <w:spacing w:after="120"/>
        <w:rPr>
          <w:rFonts w:cs="Times New Roman"/>
          <w:lang w:val="sk-SK"/>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3211"/>
        <w:gridCol w:w="1276"/>
        <w:gridCol w:w="1275"/>
        <w:gridCol w:w="1418"/>
        <w:gridCol w:w="1134"/>
        <w:gridCol w:w="1134"/>
      </w:tblGrid>
      <w:tr w:rsidR="00E00751" w:rsidRPr="0087169E" w:rsidTr="00606C4E">
        <w:trPr>
          <w:cantSplit/>
        </w:trPr>
        <w:tc>
          <w:tcPr>
            <w:tcW w:w="3211" w:type="dxa"/>
            <w:vMerge w:val="restart"/>
            <w:vAlign w:val="bottom"/>
          </w:tcPr>
          <w:p w:rsidR="00984FE7" w:rsidRPr="004D7E48" w:rsidRDefault="00346EB4" w:rsidP="003E3767">
            <w:pPr>
              <w:spacing w:after="120"/>
              <w:rPr>
                <w:rFonts w:cs="Times New Roman"/>
                <w:b/>
                <w:lang w:val="sk-SK"/>
              </w:rPr>
            </w:pPr>
            <w:r w:rsidRPr="004D7E48">
              <w:rPr>
                <w:rFonts w:cs="Times New Roman"/>
                <w:b/>
                <w:lang w:val="sk-SK"/>
              </w:rPr>
              <w:t>Orgán</w:t>
            </w:r>
          </w:p>
        </w:tc>
        <w:tc>
          <w:tcPr>
            <w:tcW w:w="6237" w:type="dxa"/>
            <w:gridSpan w:val="5"/>
            <w:vAlign w:val="center"/>
          </w:tcPr>
          <w:p w:rsidR="00984FE7" w:rsidRPr="004D7E48" w:rsidRDefault="00346EB4" w:rsidP="00606C4E">
            <w:pPr>
              <w:spacing w:after="120"/>
              <w:jc w:val="center"/>
              <w:rPr>
                <w:rFonts w:cs="Times New Roman"/>
                <w:b/>
                <w:lang w:val="sk-SK"/>
              </w:rPr>
            </w:pPr>
            <w:r w:rsidRPr="004D7E48">
              <w:rPr>
                <w:rFonts w:cs="Times New Roman"/>
                <w:b/>
                <w:lang w:val="sk-SK"/>
              </w:rPr>
              <w:t>Absorbovaná dávka na jednotku podanej aktivity (mGy/MBq)</w:t>
            </w:r>
          </w:p>
        </w:tc>
      </w:tr>
      <w:tr w:rsidR="00E00751" w:rsidRPr="004D7E48" w:rsidTr="00606C4E">
        <w:trPr>
          <w:cantSplit/>
        </w:trPr>
        <w:tc>
          <w:tcPr>
            <w:tcW w:w="3211" w:type="dxa"/>
            <w:vMerge/>
          </w:tcPr>
          <w:p w:rsidR="00346EB4" w:rsidRPr="004D7E48" w:rsidRDefault="00346EB4" w:rsidP="003E3767">
            <w:pPr>
              <w:pStyle w:val="Pta"/>
              <w:spacing w:after="120" w:line="276" w:lineRule="auto"/>
              <w:ind w:left="176"/>
              <w:rPr>
                <w:rFonts w:ascii="Times New Roman" w:hAnsi="Times New Roman"/>
                <w:b/>
                <w:sz w:val="22"/>
                <w:szCs w:val="22"/>
                <w:lang w:val="sk-SK"/>
              </w:rPr>
            </w:pPr>
          </w:p>
        </w:tc>
        <w:tc>
          <w:tcPr>
            <w:tcW w:w="1276" w:type="dxa"/>
            <w:vAlign w:val="center"/>
          </w:tcPr>
          <w:p w:rsidR="00346EB4" w:rsidRPr="004D7E48" w:rsidRDefault="00346EB4" w:rsidP="00606C4E">
            <w:pPr>
              <w:spacing w:after="120"/>
              <w:jc w:val="center"/>
              <w:rPr>
                <w:rFonts w:cs="Times New Roman"/>
                <w:b/>
                <w:lang w:val="sk-SK"/>
              </w:rPr>
            </w:pPr>
            <w:r w:rsidRPr="004D7E48">
              <w:rPr>
                <w:rFonts w:cs="Times New Roman"/>
                <w:b/>
                <w:lang w:val="sk-SK"/>
              </w:rPr>
              <w:t>Dospelí</w:t>
            </w:r>
          </w:p>
        </w:tc>
        <w:tc>
          <w:tcPr>
            <w:tcW w:w="1275" w:type="dxa"/>
            <w:vAlign w:val="center"/>
          </w:tcPr>
          <w:p w:rsidR="00346EB4" w:rsidRPr="004D7E48" w:rsidRDefault="00346EB4" w:rsidP="00606C4E">
            <w:pPr>
              <w:spacing w:after="120"/>
              <w:jc w:val="center"/>
              <w:rPr>
                <w:rFonts w:cs="Times New Roman"/>
                <w:b/>
                <w:lang w:val="sk-SK"/>
              </w:rPr>
            </w:pPr>
            <w:r w:rsidRPr="004D7E48">
              <w:rPr>
                <w:rFonts w:cs="Times New Roman"/>
                <w:b/>
                <w:lang w:val="sk-SK"/>
              </w:rPr>
              <w:t>15 roční</w:t>
            </w:r>
          </w:p>
        </w:tc>
        <w:tc>
          <w:tcPr>
            <w:tcW w:w="1418" w:type="dxa"/>
            <w:vAlign w:val="center"/>
          </w:tcPr>
          <w:p w:rsidR="00346EB4" w:rsidRPr="004D7E48" w:rsidRDefault="00346EB4" w:rsidP="00606C4E">
            <w:pPr>
              <w:spacing w:after="120"/>
              <w:jc w:val="center"/>
              <w:rPr>
                <w:rFonts w:cs="Times New Roman"/>
                <w:b/>
                <w:lang w:val="sk-SK"/>
              </w:rPr>
            </w:pPr>
            <w:r w:rsidRPr="004D7E48">
              <w:rPr>
                <w:rFonts w:cs="Times New Roman"/>
                <w:b/>
                <w:lang w:val="sk-SK"/>
              </w:rPr>
              <w:t>10 roční</w:t>
            </w:r>
          </w:p>
        </w:tc>
        <w:tc>
          <w:tcPr>
            <w:tcW w:w="1134" w:type="dxa"/>
            <w:vAlign w:val="center"/>
          </w:tcPr>
          <w:p w:rsidR="00346EB4" w:rsidRPr="004D7E48" w:rsidRDefault="00346EB4" w:rsidP="00606C4E">
            <w:pPr>
              <w:spacing w:after="120"/>
              <w:jc w:val="center"/>
              <w:rPr>
                <w:rFonts w:cs="Times New Roman"/>
                <w:b/>
                <w:lang w:val="sk-SK"/>
              </w:rPr>
            </w:pPr>
            <w:r w:rsidRPr="004D7E48">
              <w:rPr>
                <w:rFonts w:cs="Times New Roman"/>
                <w:b/>
                <w:lang w:val="sk-SK"/>
              </w:rPr>
              <w:t>5 roční</w:t>
            </w:r>
          </w:p>
        </w:tc>
        <w:tc>
          <w:tcPr>
            <w:tcW w:w="1134" w:type="dxa"/>
            <w:vAlign w:val="center"/>
          </w:tcPr>
          <w:p w:rsidR="00346EB4" w:rsidRPr="004D7E48" w:rsidRDefault="00346EB4" w:rsidP="00606C4E">
            <w:pPr>
              <w:spacing w:after="120"/>
              <w:jc w:val="center"/>
              <w:rPr>
                <w:rFonts w:cs="Times New Roman"/>
                <w:b/>
                <w:lang w:val="sk-SK"/>
              </w:rPr>
            </w:pPr>
            <w:r w:rsidRPr="004D7E48">
              <w:rPr>
                <w:rFonts w:cs="Times New Roman"/>
                <w:b/>
                <w:lang w:val="sk-SK"/>
              </w:rPr>
              <w:t>1 roční</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lastRenderedPageBreak/>
              <w:t>Nadobličky</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0,012</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0,016</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0,024</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0,039</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0,071</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Močový mechúr</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0,130</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0,160</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0,250</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0,340</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0,470</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Povrchy kostí</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0,011</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w:t>
            </w:r>
            <w:r w:rsidR="00EA2BEE">
              <w:rPr>
                <w:rFonts w:cs="Times New Roman"/>
                <w:lang w:val="sk-SK"/>
              </w:rPr>
              <w:t>6</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0,022</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0,034</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0,064</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Mozog</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0,038</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0,039</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0,041</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0,046</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0,063</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Prsia</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0,00</w:t>
            </w:r>
            <w:r w:rsidR="00EA2BEE">
              <w:rPr>
                <w:rFonts w:cs="Times New Roman"/>
                <w:lang w:val="sk-SK"/>
              </w:rPr>
              <w:t>88</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0,011</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0,018</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0,029</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0,056</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Žlčník</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0,013</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0,016</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0,024</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0,037</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0,070</w:t>
            </w:r>
          </w:p>
        </w:tc>
      </w:tr>
      <w:tr w:rsidR="00606C4E" w:rsidRPr="004D7E48" w:rsidTr="004D7E48">
        <w:trPr>
          <w:cantSplit/>
        </w:trPr>
        <w:tc>
          <w:tcPr>
            <w:tcW w:w="3211" w:type="dxa"/>
          </w:tcPr>
          <w:p w:rsidR="00606C4E" w:rsidRPr="004D7E48" w:rsidRDefault="00606C4E" w:rsidP="003E3767">
            <w:pPr>
              <w:spacing w:after="120"/>
              <w:ind w:left="176"/>
              <w:rPr>
                <w:rFonts w:cs="Times New Roman"/>
                <w:lang w:val="sk-SK"/>
              </w:rPr>
            </w:pPr>
            <w:r w:rsidRPr="004D7E48">
              <w:rPr>
                <w:rFonts w:cs="Times New Roman"/>
                <w:lang w:val="sk-SK"/>
              </w:rPr>
              <w:t>Gastrointestinálny trakt</w:t>
            </w:r>
          </w:p>
        </w:tc>
        <w:tc>
          <w:tcPr>
            <w:tcW w:w="6237" w:type="dxa"/>
            <w:gridSpan w:val="5"/>
            <w:vAlign w:val="center"/>
          </w:tcPr>
          <w:p w:rsidR="00606C4E" w:rsidRPr="004D7E48" w:rsidRDefault="00606C4E" w:rsidP="00606C4E">
            <w:pPr>
              <w:spacing w:after="120"/>
              <w:jc w:val="center"/>
              <w:rPr>
                <w:rFonts w:cs="Times New Roman"/>
                <w:lang w:val="sk-SK"/>
              </w:rPr>
            </w:pP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Žalúdok</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0,011</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0,014</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0,022</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0,035</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0,067</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Tenké črevo</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0,012</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0,016</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0,025</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0,040</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0,073</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Hrubé črevo</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0,013</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0,016</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0,025</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0,039</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0,070</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Stena hrubého čreva – horná časť</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0,012</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0,015</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0,024</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0,038</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0,070</w:t>
            </w:r>
          </w:p>
        </w:tc>
      </w:tr>
      <w:tr w:rsidR="00E00751" w:rsidRPr="004D7E48" w:rsidTr="00606C4E">
        <w:trPr>
          <w:cantSplit/>
        </w:trPr>
        <w:tc>
          <w:tcPr>
            <w:tcW w:w="3211" w:type="dxa"/>
          </w:tcPr>
          <w:p w:rsidR="00346EB4" w:rsidRPr="004D7E48" w:rsidRDefault="00346EB4" w:rsidP="003E3767">
            <w:pPr>
              <w:spacing w:after="120"/>
              <w:jc w:val="both"/>
              <w:rPr>
                <w:rFonts w:cs="Times New Roman"/>
                <w:lang w:val="sk-SK"/>
              </w:rPr>
            </w:pPr>
            <w:r w:rsidRPr="004D7E48">
              <w:rPr>
                <w:rFonts w:cs="Times New Roman"/>
                <w:lang w:val="sk-SK"/>
              </w:rPr>
              <w:t>Stena hrubého čreva – dolná časť</w:t>
            </w:r>
          </w:p>
        </w:tc>
        <w:tc>
          <w:tcPr>
            <w:tcW w:w="1276"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0,014</w:t>
            </w:r>
          </w:p>
        </w:tc>
        <w:tc>
          <w:tcPr>
            <w:tcW w:w="1275" w:type="dxa"/>
            <w:vAlign w:val="center"/>
          </w:tcPr>
          <w:p w:rsidR="00346EB4" w:rsidRPr="004D7E48" w:rsidRDefault="00346EB4" w:rsidP="00606C4E">
            <w:pPr>
              <w:spacing w:after="120"/>
              <w:jc w:val="center"/>
              <w:rPr>
                <w:rFonts w:cs="Times New Roman"/>
                <w:lang w:val="sk-SK"/>
              </w:rPr>
            </w:pPr>
            <w:r w:rsidRPr="004D7E48">
              <w:rPr>
                <w:rFonts w:cs="Times New Roman"/>
                <w:lang w:val="sk-SK"/>
              </w:rPr>
              <w:t>0,017</w:t>
            </w:r>
          </w:p>
        </w:tc>
        <w:tc>
          <w:tcPr>
            <w:tcW w:w="1418" w:type="dxa"/>
            <w:vAlign w:val="center"/>
          </w:tcPr>
          <w:p w:rsidR="00346EB4" w:rsidRPr="004D7E48" w:rsidRDefault="00346EB4" w:rsidP="00606C4E">
            <w:pPr>
              <w:spacing w:after="120"/>
              <w:jc w:val="center"/>
              <w:rPr>
                <w:rFonts w:cs="Times New Roman"/>
                <w:lang w:val="sk-SK"/>
              </w:rPr>
            </w:pPr>
            <w:r w:rsidRPr="004D7E48">
              <w:rPr>
                <w:rFonts w:cs="Times New Roman"/>
                <w:lang w:val="sk-SK"/>
              </w:rPr>
              <w:t>0,027</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0,041</w:t>
            </w:r>
          </w:p>
        </w:tc>
        <w:tc>
          <w:tcPr>
            <w:tcW w:w="1134" w:type="dxa"/>
            <w:vAlign w:val="center"/>
          </w:tcPr>
          <w:p w:rsidR="00346EB4" w:rsidRPr="004D7E48" w:rsidRDefault="00346EB4" w:rsidP="00606C4E">
            <w:pPr>
              <w:spacing w:after="120"/>
              <w:jc w:val="center"/>
              <w:rPr>
                <w:rFonts w:cs="Times New Roman"/>
                <w:lang w:val="sk-SK"/>
              </w:rPr>
            </w:pPr>
            <w:r w:rsidRPr="004D7E48">
              <w:rPr>
                <w:rFonts w:cs="Times New Roman"/>
                <w:lang w:val="sk-SK"/>
              </w:rPr>
              <w:t>0,070</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Srdce</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0,067</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0,087</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0,130</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0,210</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0,380</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Obličky</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0,017</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0,021</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0,029</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0,045</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0,078</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Pečeň</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0,021</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0,028</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0,042</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0,063</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0,120</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Pľúca</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0,020</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0,029</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0,041</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0,062</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0,120</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Svaly</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0,010</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0,013</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0,020</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0,033</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0,062</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Hltan</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0,012</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0,015</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0,022</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0,035</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0,066</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Vaječníky</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0,014</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0,018</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0,027</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0,043</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0,076</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Pankreas</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0,013</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0,016</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0,026</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0,040</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0,076</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Kostná dreň</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0,011</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0,014</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0,021</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0,032</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0,059</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Koža</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0,00</w:t>
            </w:r>
            <w:r w:rsidR="00814280">
              <w:rPr>
                <w:rFonts w:cs="Times New Roman"/>
                <w:lang w:val="sk-SK"/>
              </w:rPr>
              <w:t>7</w:t>
            </w:r>
            <w:r w:rsidRPr="004D7E48">
              <w:rPr>
                <w:rFonts w:cs="Times New Roman"/>
                <w:lang w:val="sk-SK"/>
              </w:rPr>
              <w:t>8</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w:t>
            </w:r>
            <w:r w:rsidR="00814280">
              <w:rPr>
                <w:rFonts w:cs="Times New Roman"/>
                <w:lang w:val="sk-SK"/>
              </w:rPr>
              <w:t>096</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0,015</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0,026</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0,050</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Slezina</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0,011</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0,014</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0,021</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0,035</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0,066</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Semenníky</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0,011</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0,014</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0,024</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0,037</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0,066</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Týmus</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0,012</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0,015</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0,022</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0,035</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0,066</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Štítna žľaza</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0,010</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0,013</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0,021</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0,034</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0,065</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Maternica</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0,018</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0,022</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0,036</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0,054</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0,090</w:t>
            </w:r>
          </w:p>
        </w:tc>
      </w:tr>
      <w:tr w:rsidR="00E00751" w:rsidRPr="004D7E48" w:rsidTr="00606C4E">
        <w:trPr>
          <w:cantSplit/>
        </w:trPr>
        <w:tc>
          <w:tcPr>
            <w:tcW w:w="3211" w:type="dxa"/>
          </w:tcPr>
          <w:p w:rsidR="003E3767" w:rsidRPr="004D7E48" w:rsidRDefault="003E3767" w:rsidP="003E3767">
            <w:pPr>
              <w:spacing w:after="120"/>
              <w:jc w:val="both"/>
              <w:rPr>
                <w:rFonts w:cs="Times New Roman"/>
                <w:lang w:val="sk-SK"/>
              </w:rPr>
            </w:pPr>
            <w:r w:rsidRPr="004D7E48">
              <w:rPr>
                <w:rFonts w:cs="Times New Roman"/>
                <w:lang w:val="sk-SK"/>
              </w:rPr>
              <w:t>Ostatné orgány</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0.012</w:t>
            </w:r>
          </w:p>
        </w:tc>
        <w:tc>
          <w:tcPr>
            <w:tcW w:w="1275" w:type="dxa"/>
            <w:vAlign w:val="center"/>
          </w:tcPr>
          <w:p w:rsidR="003E3767" w:rsidRPr="004D7E48" w:rsidRDefault="003E3767" w:rsidP="00606C4E">
            <w:pPr>
              <w:spacing w:after="120"/>
              <w:jc w:val="center"/>
              <w:rPr>
                <w:rFonts w:cs="Times New Roman"/>
                <w:lang w:val="sk-SK"/>
              </w:rPr>
            </w:pPr>
            <w:r w:rsidRPr="004D7E48">
              <w:rPr>
                <w:rFonts w:cs="Times New Roman"/>
                <w:lang w:val="sk-SK"/>
              </w:rPr>
              <w:t>0,015</w:t>
            </w:r>
          </w:p>
        </w:tc>
        <w:tc>
          <w:tcPr>
            <w:tcW w:w="1418" w:type="dxa"/>
            <w:vAlign w:val="center"/>
          </w:tcPr>
          <w:p w:rsidR="003E3767" w:rsidRPr="004D7E48" w:rsidRDefault="003E3767" w:rsidP="00606C4E">
            <w:pPr>
              <w:spacing w:after="120"/>
              <w:jc w:val="center"/>
              <w:rPr>
                <w:rFonts w:cs="Times New Roman"/>
                <w:lang w:val="sk-SK"/>
              </w:rPr>
            </w:pPr>
            <w:r w:rsidRPr="004D7E48">
              <w:rPr>
                <w:rFonts w:cs="Times New Roman"/>
                <w:lang w:val="sk-SK"/>
              </w:rPr>
              <w:t>0,024</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0,038</w:t>
            </w: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lang w:val="sk-SK"/>
              </w:rPr>
              <w:t>0,064</w:t>
            </w:r>
          </w:p>
        </w:tc>
      </w:tr>
      <w:tr w:rsidR="00E00751" w:rsidRPr="004D7E48" w:rsidTr="00606C4E">
        <w:trPr>
          <w:cantSplit/>
        </w:trPr>
        <w:tc>
          <w:tcPr>
            <w:tcW w:w="3211" w:type="dxa"/>
          </w:tcPr>
          <w:p w:rsidR="003E3767" w:rsidRPr="004D7E48" w:rsidRDefault="003E3767" w:rsidP="003E3767">
            <w:pPr>
              <w:spacing w:after="120"/>
              <w:jc w:val="both"/>
              <w:rPr>
                <w:rFonts w:cs="Times New Roman"/>
                <w:b/>
                <w:lang w:val="sk-SK"/>
              </w:rPr>
            </w:pPr>
            <w:r w:rsidRPr="004D7E48">
              <w:rPr>
                <w:rFonts w:cs="Times New Roman"/>
                <w:b/>
                <w:lang w:val="sk-SK"/>
              </w:rPr>
              <w:t>Efektívna dávka</w:t>
            </w:r>
          </w:p>
          <w:p w:rsidR="003E3767" w:rsidRPr="004D7E48" w:rsidRDefault="003E3767" w:rsidP="003E3767">
            <w:pPr>
              <w:spacing w:after="120"/>
              <w:jc w:val="both"/>
              <w:rPr>
                <w:rFonts w:cs="Times New Roman"/>
                <w:lang w:val="sk-SK"/>
              </w:rPr>
            </w:pPr>
            <w:r w:rsidRPr="004D7E48">
              <w:rPr>
                <w:rFonts w:cs="Times New Roman"/>
                <w:b/>
                <w:lang w:val="sk-SK"/>
              </w:rPr>
              <w:t>(mSv/MBq)</w:t>
            </w:r>
          </w:p>
        </w:tc>
        <w:tc>
          <w:tcPr>
            <w:tcW w:w="1276" w:type="dxa"/>
            <w:vAlign w:val="center"/>
          </w:tcPr>
          <w:p w:rsidR="003E3767" w:rsidRPr="004D7E48" w:rsidRDefault="003E3767" w:rsidP="00606C4E">
            <w:pPr>
              <w:spacing w:after="120"/>
              <w:jc w:val="center"/>
              <w:rPr>
                <w:rFonts w:cs="Times New Roman"/>
                <w:lang w:val="sk-SK"/>
              </w:rPr>
            </w:pPr>
            <w:r w:rsidRPr="004D7E48">
              <w:rPr>
                <w:rFonts w:cs="Times New Roman"/>
                <w:b/>
                <w:lang w:val="sk-SK"/>
              </w:rPr>
              <w:t>0,019</w:t>
            </w:r>
          </w:p>
          <w:p w:rsidR="003E3767" w:rsidRPr="004D7E48" w:rsidRDefault="003E3767" w:rsidP="00606C4E">
            <w:pPr>
              <w:spacing w:after="120"/>
              <w:jc w:val="center"/>
              <w:rPr>
                <w:rFonts w:cs="Times New Roman"/>
                <w:b/>
                <w:lang w:val="sk-SK"/>
              </w:rPr>
            </w:pPr>
          </w:p>
        </w:tc>
        <w:tc>
          <w:tcPr>
            <w:tcW w:w="1275" w:type="dxa"/>
            <w:vAlign w:val="center"/>
          </w:tcPr>
          <w:p w:rsidR="003E3767" w:rsidRPr="004D7E48" w:rsidRDefault="003E3767" w:rsidP="00606C4E">
            <w:pPr>
              <w:spacing w:after="120"/>
              <w:jc w:val="center"/>
              <w:rPr>
                <w:rFonts w:cs="Times New Roman"/>
                <w:b/>
                <w:lang w:val="sk-SK"/>
              </w:rPr>
            </w:pPr>
            <w:r w:rsidRPr="004D7E48">
              <w:rPr>
                <w:rFonts w:cs="Times New Roman"/>
                <w:b/>
                <w:lang w:val="sk-SK"/>
              </w:rPr>
              <w:t>0,024</w:t>
            </w:r>
          </w:p>
          <w:p w:rsidR="003E3767" w:rsidRPr="004D7E48" w:rsidRDefault="003E3767" w:rsidP="00606C4E">
            <w:pPr>
              <w:spacing w:after="120"/>
              <w:jc w:val="center"/>
              <w:rPr>
                <w:rFonts w:cs="Times New Roman"/>
                <w:b/>
                <w:lang w:val="sk-SK"/>
              </w:rPr>
            </w:pPr>
          </w:p>
        </w:tc>
        <w:tc>
          <w:tcPr>
            <w:tcW w:w="1418" w:type="dxa"/>
            <w:vAlign w:val="center"/>
          </w:tcPr>
          <w:p w:rsidR="003E3767" w:rsidRPr="004D7E48" w:rsidRDefault="003E3767" w:rsidP="00606C4E">
            <w:pPr>
              <w:spacing w:after="120"/>
              <w:jc w:val="center"/>
              <w:rPr>
                <w:rFonts w:cs="Times New Roman"/>
                <w:b/>
                <w:lang w:val="sk-SK"/>
              </w:rPr>
            </w:pPr>
            <w:r w:rsidRPr="004D7E48">
              <w:rPr>
                <w:rFonts w:cs="Times New Roman"/>
                <w:b/>
                <w:lang w:val="sk-SK"/>
              </w:rPr>
              <w:t>0,037</w:t>
            </w:r>
          </w:p>
          <w:p w:rsidR="003E3767" w:rsidRPr="004D7E48" w:rsidRDefault="003E3767" w:rsidP="00606C4E">
            <w:pPr>
              <w:spacing w:after="120"/>
              <w:jc w:val="center"/>
              <w:rPr>
                <w:rFonts w:cs="Times New Roman"/>
                <w:b/>
                <w:lang w:val="sk-SK"/>
              </w:rPr>
            </w:pP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b/>
                <w:lang w:val="sk-SK"/>
              </w:rPr>
              <w:t>0,056</w:t>
            </w:r>
          </w:p>
          <w:p w:rsidR="003E3767" w:rsidRPr="004D7E48" w:rsidRDefault="003E3767" w:rsidP="00606C4E">
            <w:pPr>
              <w:spacing w:after="120"/>
              <w:jc w:val="center"/>
              <w:rPr>
                <w:rFonts w:cs="Times New Roman"/>
                <w:b/>
                <w:lang w:val="sk-SK"/>
              </w:rPr>
            </w:pPr>
          </w:p>
        </w:tc>
        <w:tc>
          <w:tcPr>
            <w:tcW w:w="1134" w:type="dxa"/>
            <w:vAlign w:val="center"/>
          </w:tcPr>
          <w:p w:rsidR="003E3767" w:rsidRPr="004D7E48" w:rsidRDefault="003E3767" w:rsidP="00606C4E">
            <w:pPr>
              <w:spacing w:after="120"/>
              <w:jc w:val="center"/>
              <w:rPr>
                <w:rFonts w:cs="Times New Roman"/>
                <w:lang w:val="sk-SK"/>
              </w:rPr>
            </w:pPr>
            <w:r w:rsidRPr="004D7E48">
              <w:rPr>
                <w:rFonts w:cs="Times New Roman"/>
                <w:b/>
                <w:lang w:val="sk-SK"/>
              </w:rPr>
              <w:t>0,095</w:t>
            </w:r>
          </w:p>
          <w:p w:rsidR="003E3767" w:rsidRPr="004D7E48" w:rsidRDefault="003E3767" w:rsidP="00606C4E">
            <w:pPr>
              <w:spacing w:after="120"/>
              <w:jc w:val="center"/>
              <w:rPr>
                <w:rFonts w:cs="Times New Roman"/>
                <w:b/>
                <w:lang w:val="sk-SK"/>
              </w:rPr>
            </w:pPr>
          </w:p>
        </w:tc>
      </w:tr>
    </w:tbl>
    <w:p w:rsidR="0025099A" w:rsidRPr="004D7E48" w:rsidRDefault="0025099A" w:rsidP="003E3767">
      <w:pPr>
        <w:spacing w:after="120"/>
        <w:rPr>
          <w:rFonts w:cs="Times New Roman"/>
          <w:lang w:val="sk-SK"/>
        </w:rPr>
      </w:pPr>
    </w:p>
    <w:p w:rsidR="00707FF0" w:rsidRPr="004D7E48" w:rsidRDefault="003E3767" w:rsidP="00C60714">
      <w:pPr>
        <w:spacing w:after="120"/>
        <w:jc w:val="both"/>
        <w:rPr>
          <w:rFonts w:cs="Times New Roman"/>
          <w:lang w:val="sk-SK"/>
        </w:rPr>
      </w:pPr>
      <w:r w:rsidRPr="004D7E48">
        <w:rPr>
          <w:rFonts w:cs="Times New Roman"/>
          <w:lang w:val="sk-SK"/>
        </w:rPr>
        <w:t>Efektívna dávka vyplývajúca z podania maximálne odporúčanej aktivity</w:t>
      </w:r>
      <w:r w:rsidR="00984FE7" w:rsidRPr="004D7E48">
        <w:rPr>
          <w:rFonts w:cs="Times New Roman"/>
          <w:lang w:val="sk-SK"/>
        </w:rPr>
        <w:t xml:space="preserve"> </w:t>
      </w:r>
      <w:r w:rsidR="005B40B7" w:rsidRPr="004D7E48">
        <w:rPr>
          <w:rFonts w:cs="Times New Roman"/>
          <w:lang w:val="sk-SK"/>
        </w:rPr>
        <w:t xml:space="preserve">400 </w:t>
      </w:r>
      <w:r w:rsidR="00984FE7" w:rsidRPr="004D7E48">
        <w:rPr>
          <w:rFonts w:cs="Times New Roman"/>
          <w:lang w:val="sk-SK"/>
        </w:rPr>
        <w:t xml:space="preserve">MBq </w:t>
      </w:r>
      <w:r w:rsidR="00213A9E" w:rsidRPr="004D7E48">
        <w:rPr>
          <w:rFonts w:cs="Times New Roman"/>
          <w:lang w:val="sk-SK"/>
        </w:rPr>
        <w:t>fludeoxyglukóz</w:t>
      </w:r>
      <w:r w:rsidRPr="004D7E48">
        <w:rPr>
          <w:rFonts w:cs="Times New Roman"/>
          <w:lang w:val="sk-SK"/>
        </w:rPr>
        <w:t>y</w:t>
      </w:r>
      <w:r w:rsidR="001964E5" w:rsidRPr="004D7E48">
        <w:rPr>
          <w:rFonts w:cs="Times New Roman"/>
          <w:lang w:val="sk-SK"/>
        </w:rPr>
        <w:t xml:space="preserve"> (</w:t>
      </w:r>
      <w:r w:rsidR="001964E5" w:rsidRPr="004D7E48">
        <w:rPr>
          <w:rFonts w:cs="Times New Roman"/>
          <w:vertAlign w:val="superscript"/>
          <w:lang w:val="sk-SK"/>
        </w:rPr>
        <w:t>18</w:t>
      </w:r>
      <w:r w:rsidR="001964E5" w:rsidRPr="004D7E48">
        <w:rPr>
          <w:rFonts w:cs="Times New Roman"/>
          <w:lang w:val="sk-SK"/>
        </w:rPr>
        <w:t xml:space="preserve">F) </w:t>
      </w:r>
      <w:r w:rsidRPr="004D7E48">
        <w:rPr>
          <w:rFonts w:cs="Times New Roman"/>
          <w:lang w:val="sk-SK"/>
        </w:rPr>
        <w:t>dospelému s hmotnosťou 70 kg je asi</w:t>
      </w:r>
      <w:r w:rsidR="00984FE7" w:rsidRPr="004D7E48">
        <w:rPr>
          <w:rFonts w:cs="Times New Roman"/>
          <w:lang w:val="sk-SK"/>
        </w:rPr>
        <w:t xml:space="preserve"> </w:t>
      </w:r>
      <w:r w:rsidR="00C60714" w:rsidRPr="004D7E48">
        <w:rPr>
          <w:rFonts w:cs="Times New Roman"/>
          <w:lang w:val="sk-SK"/>
        </w:rPr>
        <w:t>7,</w:t>
      </w:r>
      <w:r w:rsidR="005B40B7" w:rsidRPr="004D7E48">
        <w:rPr>
          <w:rFonts w:cs="Times New Roman"/>
          <w:lang w:val="sk-SK"/>
        </w:rPr>
        <w:t xml:space="preserve">6 </w:t>
      </w:r>
      <w:r w:rsidR="00707FF0" w:rsidRPr="004D7E48">
        <w:rPr>
          <w:rFonts w:cs="Times New Roman"/>
          <w:lang w:val="sk-SK"/>
        </w:rPr>
        <w:t xml:space="preserve">mSv. </w:t>
      </w:r>
    </w:p>
    <w:p w:rsidR="003E3767" w:rsidRPr="004D7E48" w:rsidRDefault="003E3767" w:rsidP="00C60714">
      <w:pPr>
        <w:spacing w:after="120"/>
        <w:jc w:val="both"/>
        <w:rPr>
          <w:rFonts w:cs="Times New Roman"/>
          <w:lang w:val="sk-SK"/>
        </w:rPr>
      </w:pPr>
      <w:r w:rsidRPr="004D7E48">
        <w:rPr>
          <w:rFonts w:cs="Times New Roman"/>
          <w:lang w:val="sk-SK"/>
        </w:rPr>
        <w:lastRenderedPageBreak/>
        <w:t>Pre túto aktivitu 400 MBq je radiačné zaťaženie kritických orgánov, močového mechúra, srdca a mozgu: 52 mGy, 27 mGy a 15 mGy, v uvedenom poradí.</w:t>
      </w:r>
    </w:p>
    <w:p w:rsidR="00C02615" w:rsidRPr="004D7E48" w:rsidRDefault="00C02615" w:rsidP="00C60714">
      <w:pPr>
        <w:spacing w:after="120"/>
        <w:jc w:val="both"/>
        <w:rPr>
          <w:rFonts w:cs="Times New Roman"/>
          <w:b/>
          <w:lang w:val="sk-SK"/>
        </w:rPr>
      </w:pPr>
    </w:p>
    <w:p w:rsidR="003E3767" w:rsidRPr="004D7E48" w:rsidRDefault="003E3767" w:rsidP="003E3767">
      <w:pPr>
        <w:tabs>
          <w:tab w:val="left" w:pos="360"/>
        </w:tabs>
        <w:spacing w:after="120"/>
        <w:jc w:val="both"/>
        <w:rPr>
          <w:rFonts w:cs="Times New Roman"/>
          <w:b/>
          <w:caps/>
          <w:lang w:val="sk-SK"/>
        </w:rPr>
      </w:pPr>
      <w:r w:rsidRPr="004D7E48">
        <w:rPr>
          <w:rFonts w:cs="Times New Roman"/>
          <w:b/>
          <w:caps/>
          <w:lang w:val="sk-SK"/>
        </w:rPr>
        <w:t>12.</w:t>
      </w:r>
      <w:r w:rsidRPr="004D7E48">
        <w:rPr>
          <w:rFonts w:cs="Times New Roman"/>
          <w:b/>
          <w:caps/>
          <w:lang w:val="sk-SK"/>
        </w:rPr>
        <w:tab/>
        <w:t>POKYNY</w:t>
      </w:r>
      <w:r w:rsidRPr="004D7E48">
        <w:rPr>
          <w:rFonts w:cs="Times New Roman"/>
          <w:b/>
          <w:lang w:val="sk-SK"/>
        </w:rPr>
        <w:t xml:space="preserve"> NA PRÍPRAVU RÁDIOFARMÁK</w:t>
      </w:r>
    </w:p>
    <w:p w:rsidR="006B7513" w:rsidRPr="004D7E48" w:rsidRDefault="003E3767" w:rsidP="003E3767">
      <w:pPr>
        <w:spacing w:after="120"/>
        <w:jc w:val="both"/>
        <w:rPr>
          <w:rFonts w:cs="Times New Roman"/>
          <w:u w:val="single"/>
          <w:lang w:val="sk-SK"/>
        </w:rPr>
      </w:pPr>
      <w:r w:rsidRPr="004D7E48">
        <w:rPr>
          <w:rFonts w:cs="Times New Roman"/>
          <w:u w:val="single"/>
          <w:lang w:val="sk-SK"/>
        </w:rPr>
        <w:t>Spôsob prípravy</w:t>
      </w:r>
    </w:p>
    <w:p w:rsidR="003E3767" w:rsidRPr="004D7E48" w:rsidRDefault="003E3767" w:rsidP="003E3767">
      <w:pPr>
        <w:autoSpaceDE w:val="0"/>
        <w:autoSpaceDN w:val="0"/>
        <w:adjustRightInd w:val="0"/>
        <w:spacing w:after="120"/>
        <w:jc w:val="both"/>
        <w:rPr>
          <w:rFonts w:cs="Times New Roman"/>
          <w:lang w:val="sk-SK" w:eastAsia="sk-SK"/>
        </w:rPr>
      </w:pPr>
      <w:r w:rsidRPr="004D7E48">
        <w:rPr>
          <w:rFonts w:cs="Times New Roman"/>
          <w:lang w:val="sk-SK" w:eastAsia="sk-SK"/>
        </w:rPr>
        <w:t>Balenie sa musí pred použitím skontrolovať a aktivita  zmerať pomocou merača rádioaktivity.</w:t>
      </w:r>
    </w:p>
    <w:p w:rsidR="003E3767" w:rsidRPr="004D7E48" w:rsidRDefault="003E3767" w:rsidP="003E3767">
      <w:pPr>
        <w:autoSpaceDE w:val="0"/>
        <w:autoSpaceDN w:val="0"/>
        <w:adjustRightInd w:val="0"/>
        <w:spacing w:after="120"/>
        <w:jc w:val="both"/>
        <w:rPr>
          <w:rFonts w:cs="Times New Roman"/>
          <w:lang w:val="sk-SK" w:eastAsia="sk-SK"/>
        </w:rPr>
      </w:pPr>
      <w:r w:rsidRPr="004D7E48">
        <w:rPr>
          <w:rFonts w:cs="Times New Roman"/>
          <w:lang w:val="sk-SK" w:eastAsia="sk-SK"/>
        </w:rPr>
        <w:t>Liek sa môže nariediť injekčným r</w:t>
      </w:r>
      <w:r w:rsidR="00C60714" w:rsidRPr="004D7E48">
        <w:rPr>
          <w:rFonts w:cs="Times New Roman"/>
          <w:lang w:val="sk-SK" w:eastAsia="sk-SK"/>
        </w:rPr>
        <w:t>oztokom chloridu sodného 9 mg/</w:t>
      </w:r>
      <w:r w:rsidR="00AF226C" w:rsidRPr="004D7E48">
        <w:rPr>
          <w:rFonts w:cs="Times New Roman"/>
          <w:lang w:val="sk-SK" w:eastAsia="sk-SK"/>
        </w:rPr>
        <w:t>mL</w:t>
      </w:r>
      <w:r w:rsidRPr="004D7E48">
        <w:rPr>
          <w:rFonts w:cs="Times New Roman"/>
          <w:lang w:val="sk-SK" w:eastAsia="sk-SK"/>
        </w:rPr>
        <w:t>.</w:t>
      </w:r>
    </w:p>
    <w:p w:rsidR="003E3767" w:rsidRPr="004D7E48" w:rsidRDefault="003E3767" w:rsidP="003E3767">
      <w:pPr>
        <w:autoSpaceDE w:val="0"/>
        <w:autoSpaceDN w:val="0"/>
        <w:adjustRightInd w:val="0"/>
        <w:spacing w:after="120"/>
        <w:jc w:val="both"/>
        <w:rPr>
          <w:rFonts w:cs="Times New Roman"/>
          <w:lang w:val="sk-SK" w:eastAsia="sk-SK"/>
        </w:rPr>
      </w:pPr>
      <w:r w:rsidRPr="004D7E48">
        <w:rPr>
          <w:rFonts w:cs="Times New Roman"/>
          <w:lang w:val="sk-SK" w:eastAsia="sk-SK"/>
        </w:rPr>
        <w:t>Natiahnutie roztoku sa musí vykonať za aseptických podmienok. Injekčná liekovka sa nesmie otvoriť po dezinfekcii zátky, roztok sa m</w:t>
      </w:r>
      <w:r w:rsidR="00814280">
        <w:rPr>
          <w:rFonts w:cs="Times New Roman"/>
          <w:lang w:val="sk-SK" w:eastAsia="sk-SK"/>
        </w:rPr>
        <w:t>á</w:t>
      </w:r>
      <w:r w:rsidRPr="004D7E48">
        <w:rPr>
          <w:rFonts w:cs="Times New Roman"/>
          <w:lang w:val="sk-SK" w:eastAsia="sk-SK"/>
        </w:rPr>
        <w:t xml:space="preserve"> natiahnuť cez zátku pomocou jednorazovej sterilnej injekčnej striekačky s vhodným ochranným krytím a pomocou jednorazovej sterilnej ihly alebo použitím autorizovaného automatického aplikačného systému. </w:t>
      </w:r>
    </w:p>
    <w:p w:rsidR="00967B14" w:rsidRPr="004D7E48" w:rsidRDefault="003E3767" w:rsidP="00C0007A">
      <w:pPr>
        <w:autoSpaceDE w:val="0"/>
        <w:autoSpaceDN w:val="0"/>
        <w:adjustRightInd w:val="0"/>
        <w:spacing w:after="120"/>
        <w:jc w:val="both"/>
        <w:rPr>
          <w:rFonts w:cs="Times New Roman"/>
          <w:lang w:val="sk-SK" w:eastAsia="sk-SK"/>
        </w:rPr>
      </w:pPr>
      <w:r w:rsidRPr="004D7E48">
        <w:rPr>
          <w:rFonts w:cs="Times New Roman"/>
          <w:lang w:val="sk-SK" w:eastAsia="sk-SK"/>
        </w:rPr>
        <w:t>Ak je liekovka poškodená, liek sa nesmie použiť.</w:t>
      </w:r>
    </w:p>
    <w:p w:rsidR="003E3767" w:rsidRPr="004D7E48" w:rsidRDefault="003E3767" w:rsidP="00C0007A">
      <w:pPr>
        <w:autoSpaceDE w:val="0"/>
        <w:autoSpaceDN w:val="0"/>
        <w:adjustRightInd w:val="0"/>
        <w:spacing w:after="120"/>
        <w:jc w:val="both"/>
        <w:rPr>
          <w:rFonts w:cs="Times New Roman"/>
          <w:u w:val="single"/>
          <w:lang w:val="sk-SK" w:eastAsia="sk-SK"/>
        </w:rPr>
      </w:pPr>
      <w:r w:rsidRPr="004D7E48">
        <w:rPr>
          <w:rFonts w:cs="Times New Roman"/>
          <w:u w:val="single"/>
          <w:lang w:val="sk-SK" w:eastAsia="sk-SK"/>
        </w:rPr>
        <w:t>Kontrola kvality</w:t>
      </w:r>
    </w:p>
    <w:p w:rsidR="003E3767" w:rsidRPr="004D7E48" w:rsidRDefault="003E3767" w:rsidP="00C0007A">
      <w:pPr>
        <w:spacing w:after="120"/>
        <w:jc w:val="both"/>
        <w:rPr>
          <w:rFonts w:cs="Times New Roman"/>
          <w:lang w:val="sk-SK" w:eastAsia="sk-SK"/>
        </w:rPr>
      </w:pPr>
      <w:r w:rsidRPr="004D7E48">
        <w:rPr>
          <w:rFonts w:cs="Times New Roman"/>
          <w:lang w:val="sk-SK" w:eastAsia="sk-SK"/>
        </w:rPr>
        <w:t>Roztok sa m</w:t>
      </w:r>
      <w:r w:rsidR="00814280">
        <w:rPr>
          <w:rFonts w:cs="Times New Roman"/>
          <w:lang w:val="sk-SK" w:eastAsia="sk-SK"/>
        </w:rPr>
        <w:t>á</w:t>
      </w:r>
      <w:r w:rsidRPr="004D7E48">
        <w:rPr>
          <w:rFonts w:cs="Times New Roman"/>
          <w:lang w:val="sk-SK" w:eastAsia="sk-SK"/>
        </w:rPr>
        <w:t xml:space="preserve">  pred použitím vizuálne skontrolovať. Používať sa m</w:t>
      </w:r>
      <w:r w:rsidR="00814280">
        <w:rPr>
          <w:rFonts w:cs="Times New Roman"/>
          <w:lang w:val="sk-SK" w:eastAsia="sk-SK"/>
        </w:rPr>
        <w:t>á</w:t>
      </w:r>
      <w:r w:rsidRPr="004D7E48">
        <w:rPr>
          <w:rFonts w:cs="Times New Roman"/>
          <w:lang w:val="sk-SK" w:eastAsia="sk-SK"/>
        </w:rPr>
        <w:t xml:space="preserve"> len číry roztok bez viditeľných častíc.</w:t>
      </w:r>
    </w:p>
    <w:p w:rsidR="000872D8" w:rsidRPr="004D7E48" w:rsidRDefault="003E3767" w:rsidP="00C0007A">
      <w:pPr>
        <w:spacing w:after="120"/>
        <w:jc w:val="both"/>
        <w:rPr>
          <w:rFonts w:eastAsia="Times New Roman" w:cs="Times New Roman"/>
          <w:noProof/>
          <w:lang w:val="sk-SK" w:eastAsia="de-DE"/>
        </w:rPr>
      </w:pPr>
      <w:r w:rsidRPr="004D7E48">
        <w:rPr>
          <w:rFonts w:cs="Times New Roman"/>
          <w:lang w:val="sk-SK"/>
        </w:rPr>
        <w:t xml:space="preserve">Podrobné informácie o tomto lieku sú </w:t>
      </w:r>
      <w:r w:rsidR="00D474DA" w:rsidRPr="0087169E">
        <w:rPr>
          <w:noProof/>
          <w:lang w:val="sk-SK"/>
        </w:rPr>
        <w:t>dostupné</w:t>
      </w:r>
      <w:r w:rsidR="00D474DA" w:rsidRPr="004D7E48" w:rsidDel="00D474DA">
        <w:rPr>
          <w:rFonts w:cs="Times New Roman"/>
          <w:lang w:val="sk-SK"/>
        </w:rPr>
        <w:t xml:space="preserve"> </w:t>
      </w:r>
      <w:r w:rsidRPr="004D7E48">
        <w:rPr>
          <w:rFonts w:cs="Times New Roman"/>
          <w:lang w:val="sk-SK"/>
        </w:rPr>
        <w:t>na internetovej stránke Štátneho ústavu pre kontrolu liečiv</w:t>
      </w:r>
      <w:r w:rsidR="0025099A" w:rsidRPr="004D7E48">
        <w:rPr>
          <w:rFonts w:cs="Times New Roman"/>
          <w:lang w:val="sk-SK"/>
        </w:rPr>
        <w:t xml:space="preserve"> ŠÚKL (</w:t>
      </w:r>
      <w:hyperlink r:id="rId9" w:history="1">
        <w:r w:rsidR="0025099A" w:rsidRPr="004D7E48">
          <w:rPr>
            <w:rStyle w:val="Hypertextovprepojenie"/>
            <w:rFonts w:cs="Times New Roman"/>
            <w:lang w:val="sk-SK"/>
          </w:rPr>
          <w:t>www.sukl.sk</w:t>
        </w:r>
      </w:hyperlink>
      <w:r w:rsidR="0025099A" w:rsidRPr="004D7E48">
        <w:rPr>
          <w:rFonts w:cs="Times New Roman"/>
          <w:lang w:val="sk-SK"/>
        </w:rPr>
        <w:t>)</w:t>
      </w:r>
      <w:r w:rsidRPr="004D7E48">
        <w:rPr>
          <w:rFonts w:cs="Times New Roman"/>
          <w:lang w:val="sk-SK"/>
        </w:rPr>
        <w:t>.</w:t>
      </w:r>
    </w:p>
    <w:sectPr w:rsidR="000872D8" w:rsidRPr="004D7E48" w:rsidSect="0087169E">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119" w:rsidRDefault="00693119" w:rsidP="00B07097">
      <w:pPr>
        <w:spacing w:after="0" w:line="240" w:lineRule="auto"/>
      </w:pPr>
      <w:r>
        <w:separator/>
      </w:r>
    </w:p>
  </w:endnote>
  <w:endnote w:type="continuationSeparator" w:id="0">
    <w:p w:rsidR="00693119" w:rsidRDefault="00693119" w:rsidP="00B07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4267"/>
      <w:docPartObj>
        <w:docPartGallery w:val="Page Numbers (Bottom of Page)"/>
        <w:docPartUnique/>
      </w:docPartObj>
    </w:sdtPr>
    <w:sdtContent>
      <w:p w:rsidR="0087169E" w:rsidRDefault="0035297B">
        <w:pPr>
          <w:pStyle w:val="Pta"/>
          <w:jc w:val="center"/>
        </w:pPr>
        <w:r>
          <w:fldChar w:fldCharType="begin"/>
        </w:r>
        <w:r w:rsidR="0087169E">
          <w:instrText xml:space="preserve"> PAGE   \* MERGEFORMAT </w:instrText>
        </w:r>
        <w:r>
          <w:fldChar w:fldCharType="separate"/>
        </w:r>
        <w:r w:rsidR="007C57F2">
          <w:rPr>
            <w:noProof/>
          </w:rPr>
          <w:t>13</w:t>
        </w:r>
        <w:r>
          <w:fldChar w:fldCharType="end"/>
        </w:r>
      </w:p>
    </w:sdtContent>
  </w:sdt>
  <w:p w:rsidR="0087169E" w:rsidRPr="00972C24" w:rsidRDefault="0087169E" w:rsidP="00972C2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119" w:rsidRDefault="00693119" w:rsidP="00B07097">
      <w:pPr>
        <w:spacing w:after="0" w:line="240" w:lineRule="auto"/>
      </w:pPr>
      <w:r>
        <w:separator/>
      </w:r>
    </w:p>
  </w:footnote>
  <w:footnote w:type="continuationSeparator" w:id="0">
    <w:p w:rsidR="00693119" w:rsidRDefault="00693119" w:rsidP="00B07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9E" w:rsidRPr="004B5A57" w:rsidRDefault="0087169E" w:rsidP="004D7E48">
    <w:pPr>
      <w:widowControl w:val="0"/>
      <w:rPr>
        <w:snapToGrid w:val="0"/>
        <w:sz w:val="18"/>
        <w:szCs w:val="18"/>
        <w:lang w:val="sk-SK"/>
      </w:rPr>
    </w:pPr>
    <w:r w:rsidRPr="004B5A57">
      <w:rPr>
        <w:snapToGrid w:val="0"/>
        <w:sz w:val="18"/>
        <w:szCs w:val="18"/>
        <w:lang w:val="sk-SK"/>
      </w:rPr>
      <w:t xml:space="preserve">Schválený text k rozhodnutiu o registrácii, ev. č.: </w:t>
    </w:r>
    <w:r>
      <w:rPr>
        <w:sz w:val="18"/>
        <w:szCs w:val="18"/>
        <w:lang w:val="de-DE"/>
      </w:rPr>
      <w:t>2015/02382-REG</w:t>
    </w:r>
  </w:p>
  <w:p w:rsidR="0087169E" w:rsidRDefault="0087169E">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5A6"/>
    <w:multiLevelType w:val="hybridMultilevel"/>
    <w:tmpl w:val="82383E4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0C505A4"/>
    <w:multiLevelType w:val="hybridMultilevel"/>
    <w:tmpl w:val="274E56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A543D43"/>
    <w:multiLevelType w:val="multilevel"/>
    <w:tmpl w:val="A6C2ECA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2B06381C"/>
    <w:multiLevelType w:val="hybridMultilevel"/>
    <w:tmpl w:val="98624B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D763F2B"/>
    <w:multiLevelType w:val="hybridMultilevel"/>
    <w:tmpl w:val="378691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3435884"/>
    <w:multiLevelType w:val="hybridMultilevel"/>
    <w:tmpl w:val="07B4F864"/>
    <w:lvl w:ilvl="0" w:tplc="0C070001">
      <w:start w:val="1"/>
      <w:numFmt w:val="bullet"/>
      <w:lvlText w:val=""/>
      <w:lvlJc w:val="left"/>
      <w:pPr>
        <w:ind w:left="883" w:hanging="360"/>
      </w:pPr>
      <w:rPr>
        <w:rFonts w:ascii="Symbol" w:hAnsi="Symbol" w:hint="default"/>
      </w:rPr>
    </w:lvl>
    <w:lvl w:ilvl="1" w:tplc="0C070003" w:tentative="1">
      <w:start w:val="1"/>
      <w:numFmt w:val="bullet"/>
      <w:lvlText w:val="o"/>
      <w:lvlJc w:val="left"/>
      <w:pPr>
        <w:ind w:left="1603" w:hanging="360"/>
      </w:pPr>
      <w:rPr>
        <w:rFonts w:ascii="Courier New" w:hAnsi="Courier New" w:cs="Courier New" w:hint="default"/>
      </w:rPr>
    </w:lvl>
    <w:lvl w:ilvl="2" w:tplc="0C070005" w:tentative="1">
      <w:start w:val="1"/>
      <w:numFmt w:val="bullet"/>
      <w:lvlText w:val=""/>
      <w:lvlJc w:val="left"/>
      <w:pPr>
        <w:ind w:left="2323" w:hanging="360"/>
      </w:pPr>
      <w:rPr>
        <w:rFonts w:ascii="Wingdings" w:hAnsi="Wingdings" w:hint="default"/>
      </w:rPr>
    </w:lvl>
    <w:lvl w:ilvl="3" w:tplc="0C070001" w:tentative="1">
      <w:start w:val="1"/>
      <w:numFmt w:val="bullet"/>
      <w:lvlText w:val=""/>
      <w:lvlJc w:val="left"/>
      <w:pPr>
        <w:ind w:left="3043" w:hanging="360"/>
      </w:pPr>
      <w:rPr>
        <w:rFonts w:ascii="Symbol" w:hAnsi="Symbol" w:hint="default"/>
      </w:rPr>
    </w:lvl>
    <w:lvl w:ilvl="4" w:tplc="0C070003" w:tentative="1">
      <w:start w:val="1"/>
      <w:numFmt w:val="bullet"/>
      <w:lvlText w:val="o"/>
      <w:lvlJc w:val="left"/>
      <w:pPr>
        <w:ind w:left="3763" w:hanging="360"/>
      </w:pPr>
      <w:rPr>
        <w:rFonts w:ascii="Courier New" w:hAnsi="Courier New" w:cs="Courier New" w:hint="default"/>
      </w:rPr>
    </w:lvl>
    <w:lvl w:ilvl="5" w:tplc="0C070005" w:tentative="1">
      <w:start w:val="1"/>
      <w:numFmt w:val="bullet"/>
      <w:lvlText w:val=""/>
      <w:lvlJc w:val="left"/>
      <w:pPr>
        <w:ind w:left="4483" w:hanging="360"/>
      </w:pPr>
      <w:rPr>
        <w:rFonts w:ascii="Wingdings" w:hAnsi="Wingdings" w:hint="default"/>
      </w:rPr>
    </w:lvl>
    <w:lvl w:ilvl="6" w:tplc="0C070001" w:tentative="1">
      <w:start w:val="1"/>
      <w:numFmt w:val="bullet"/>
      <w:lvlText w:val=""/>
      <w:lvlJc w:val="left"/>
      <w:pPr>
        <w:ind w:left="5203" w:hanging="360"/>
      </w:pPr>
      <w:rPr>
        <w:rFonts w:ascii="Symbol" w:hAnsi="Symbol" w:hint="default"/>
      </w:rPr>
    </w:lvl>
    <w:lvl w:ilvl="7" w:tplc="0C070003" w:tentative="1">
      <w:start w:val="1"/>
      <w:numFmt w:val="bullet"/>
      <w:lvlText w:val="o"/>
      <w:lvlJc w:val="left"/>
      <w:pPr>
        <w:ind w:left="5923" w:hanging="360"/>
      </w:pPr>
      <w:rPr>
        <w:rFonts w:ascii="Courier New" w:hAnsi="Courier New" w:cs="Courier New" w:hint="default"/>
      </w:rPr>
    </w:lvl>
    <w:lvl w:ilvl="8" w:tplc="0C070005" w:tentative="1">
      <w:start w:val="1"/>
      <w:numFmt w:val="bullet"/>
      <w:lvlText w:val=""/>
      <w:lvlJc w:val="left"/>
      <w:pPr>
        <w:ind w:left="6643" w:hanging="360"/>
      </w:pPr>
      <w:rPr>
        <w:rFonts w:ascii="Wingdings" w:hAnsi="Wingdings" w:hint="default"/>
      </w:rPr>
    </w:lvl>
  </w:abstractNum>
  <w:abstractNum w:abstractNumId="6">
    <w:nsid w:val="3D0F1A94"/>
    <w:multiLevelType w:val="hybridMultilevel"/>
    <w:tmpl w:val="31A886E6"/>
    <w:lvl w:ilvl="0" w:tplc="815885AA">
      <w:start w:val="1"/>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D8264B3"/>
    <w:multiLevelType w:val="hybridMultilevel"/>
    <w:tmpl w:val="D076E6FA"/>
    <w:lvl w:ilvl="0" w:tplc="815885AA">
      <w:start w:val="1"/>
      <w:numFmt w:val="bullet"/>
      <w:lvlText w:val="-"/>
      <w:lvlJc w:val="left"/>
      <w:pPr>
        <w:tabs>
          <w:tab w:val="num" w:pos="1080"/>
        </w:tabs>
        <w:ind w:left="1080" w:hanging="360"/>
      </w:pPr>
      <w:rPr>
        <w:rFonts w:ascii="Times New Roman" w:eastAsiaTheme="minorHAnsi" w:hAnsi="Times New Roman" w:cs="Times New 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8">
    <w:nsid w:val="578A2492"/>
    <w:multiLevelType w:val="hybridMultilevel"/>
    <w:tmpl w:val="1E8083D6"/>
    <w:lvl w:ilvl="0" w:tplc="815885AA">
      <w:start w:val="1"/>
      <w:numFmt w:val="bullet"/>
      <w:lvlText w:val="-"/>
      <w:lvlJc w:val="left"/>
      <w:pPr>
        <w:tabs>
          <w:tab w:val="num" w:pos="1080"/>
        </w:tabs>
        <w:ind w:left="1080" w:hanging="360"/>
      </w:pPr>
      <w:rPr>
        <w:rFonts w:ascii="Times New Roman" w:eastAsiaTheme="minorHAnsi" w:hAnsi="Times New Roman" w:cs="Times New 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9">
    <w:nsid w:val="5CC362C5"/>
    <w:multiLevelType w:val="hybridMultilevel"/>
    <w:tmpl w:val="B6100FA0"/>
    <w:lvl w:ilvl="0" w:tplc="815885A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3D188C"/>
    <w:multiLevelType w:val="hybridMultilevel"/>
    <w:tmpl w:val="C30E9E68"/>
    <w:lvl w:ilvl="0" w:tplc="815885A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B220CC"/>
    <w:multiLevelType w:val="hybridMultilevel"/>
    <w:tmpl w:val="23E44B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4"/>
  </w:num>
  <w:num w:numId="5">
    <w:abstractNumId w:val="5"/>
  </w:num>
  <w:num w:numId="6">
    <w:abstractNumId w:val="6"/>
  </w:num>
  <w:num w:numId="7">
    <w:abstractNumId w:val="0"/>
  </w:num>
  <w:num w:numId="8">
    <w:abstractNumId w:val="8"/>
  </w:num>
  <w:num w:numId="9">
    <w:abstractNumId w:val="10"/>
  </w:num>
  <w:num w:numId="10">
    <w:abstractNumId w:val="7"/>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D5A9F"/>
    <w:rsid w:val="00002DBF"/>
    <w:rsid w:val="000203AA"/>
    <w:rsid w:val="0002733D"/>
    <w:rsid w:val="00036DC5"/>
    <w:rsid w:val="000376FD"/>
    <w:rsid w:val="0004182F"/>
    <w:rsid w:val="000872D8"/>
    <w:rsid w:val="00094787"/>
    <w:rsid w:val="000A5D42"/>
    <w:rsid w:val="000C5D6D"/>
    <w:rsid w:val="000C7E9C"/>
    <w:rsid w:val="000D09BF"/>
    <w:rsid w:val="000D1F32"/>
    <w:rsid w:val="000E0BAD"/>
    <w:rsid w:val="000F4173"/>
    <w:rsid w:val="000F64AF"/>
    <w:rsid w:val="00111DC7"/>
    <w:rsid w:val="00113244"/>
    <w:rsid w:val="00117EFB"/>
    <w:rsid w:val="00120468"/>
    <w:rsid w:val="001335A3"/>
    <w:rsid w:val="00153AA8"/>
    <w:rsid w:val="001554A9"/>
    <w:rsid w:val="00161E11"/>
    <w:rsid w:val="00181704"/>
    <w:rsid w:val="00183597"/>
    <w:rsid w:val="001964E5"/>
    <w:rsid w:val="001977D3"/>
    <w:rsid w:val="001B052A"/>
    <w:rsid w:val="001B3CDC"/>
    <w:rsid w:val="001C49F6"/>
    <w:rsid w:val="001D3291"/>
    <w:rsid w:val="001D5465"/>
    <w:rsid w:val="001D64F7"/>
    <w:rsid w:val="001F4229"/>
    <w:rsid w:val="001F6365"/>
    <w:rsid w:val="002120A5"/>
    <w:rsid w:val="00213A9E"/>
    <w:rsid w:val="0024159D"/>
    <w:rsid w:val="00246D76"/>
    <w:rsid w:val="002503CB"/>
    <w:rsid w:val="0025099A"/>
    <w:rsid w:val="00253F74"/>
    <w:rsid w:val="002703DE"/>
    <w:rsid w:val="00276425"/>
    <w:rsid w:val="002855FA"/>
    <w:rsid w:val="00294225"/>
    <w:rsid w:val="0030009F"/>
    <w:rsid w:val="00336E2F"/>
    <w:rsid w:val="00346EB4"/>
    <w:rsid w:val="0035297B"/>
    <w:rsid w:val="00352E81"/>
    <w:rsid w:val="003872DD"/>
    <w:rsid w:val="00393004"/>
    <w:rsid w:val="003C23CB"/>
    <w:rsid w:val="003D5A9F"/>
    <w:rsid w:val="003E11A5"/>
    <w:rsid w:val="003E3767"/>
    <w:rsid w:val="0042651D"/>
    <w:rsid w:val="00447BE2"/>
    <w:rsid w:val="004515F0"/>
    <w:rsid w:val="00457D40"/>
    <w:rsid w:val="00461296"/>
    <w:rsid w:val="00464899"/>
    <w:rsid w:val="0048459A"/>
    <w:rsid w:val="004931E0"/>
    <w:rsid w:val="004953BC"/>
    <w:rsid w:val="004A01DF"/>
    <w:rsid w:val="004A3EAF"/>
    <w:rsid w:val="004B39E5"/>
    <w:rsid w:val="004C1CBE"/>
    <w:rsid w:val="004D7E48"/>
    <w:rsid w:val="004E1BEC"/>
    <w:rsid w:val="004E34B3"/>
    <w:rsid w:val="004E35BD"/>
    <w:rsid w:val="004F1826"/>
    <w:rsid w:val="00513D00"/>
    <w:rsid w:val="005451F0"/>
    <w:rsid w:val="00554E83"/>
    <w:rsid w:val="00557EB3"/>
    <w:rsid w:val="0058762A"/>
    <w:rsid w:val="00593184"/>
    <w:rsid w:val="005979DF"/>
    <w:rsid w:val="005B40B7"/>
    <w:rsid w:val="005C270D"/>
    <w:rsid w:val="005D218D"/>
    <w:rsid w:val="005D37FC"/>
    <w:rsid w:val="005E4A5B"/>
    <w:rsid w:val="005E7B4D"/>
    <w:rsid w:val="00602A82"/>
    <w:rsid w:val="00603EC7"/>
    <w:rsid w:val="00606C4E"/>
    <w:rsid w:val="00614F1A"/>
    <w:rsid w:val="006172BA"/>
    <w:rsid w:val="00630293"/>
    <w:rsid w:val="00671858"/>
    <w:rsid w:val="00676A3D"/>
    <w:rsid w:val="00692C3E"/>
    <w:rsid w:val="00693119"/>
    <w:rsid w:val="006972F2"/>
    <w:rsid w:val="006B7513"/>
    <w:rsid w:val="006C2166"/>
    <w:rsid w:val="006F27F2"/>
    <w:rsid w:val="006F7D99"/>
    <w:rsid w:val="00707FF0"/>
    <w:rsid w:val="007106D9"/>
    <w:rsid w:val="00713E5F"/>
    <w:rsid w:val="00715591"/>
    <w:rsid w:val="0072568D"/>
    <w:rsid w:val="007360D8"/>
    <w:rsid w:val="00740613"/>
    <w:rsid w:val="00747B49"/>
    <w:rsid w:val="00756973"/>
    <w:rsid w:val="00766B55"/>
    <w:rsid w:val="0079256E"/>
    <w:rsid w:val="007A2E50"/>
    <w:rsid w:val="007B34DE"/>
    <w:rsid w:val="007C3258"/>
    <w:rsid w:val="007C57F2"/>
    <w:rsid w:val="007C63CA"/>
    <w:rsid w:val="007D041E"/>
    <w:rsid w:val="007D0BF2"/>
    <w:rsid w:val="007E7B7A"/>
    <w:rsid w:val="00810E25"/>
    <w:rsid w:val="00814280"/>
    <w:rsid w:val="0082735D"/>
    <w:rsid w:val="00827B79"/>
    <w:rsid w:val="00837CBD"/>
    <w:rsid w:val="008432ED"/>
    <w:rsid w:val="00846068"/>
    <w:rsid w:val="00847F2C"/>
    <w:rsid w:val="00864D62"/>
    <w:rsid w:val="0087169E"/>
    <w:rsid w:val="008947C8"/>
    <w:rsid w:val="0089743D"/>
    <w:rsid w:val="008A4012"/>
    <w:rsid w:val="008A76AD"/>
    <w:rsid w:val="008B0618"/>
    <w:rsid w:val="008B3960"/>
    <w:rsid w:val="008E2324"/>
    <w:rsid w:val="009041E2"/>
    <w:rsid w:val="009118A6"/>
    <w:rsid w:val="00912ACD"/>
    <w:rsid w:val="009137D6"/>
    <w:rsid w:val="00913E2C"/>
    <w:rsid w:val="009248CD"/>
    <w:rsid w:val="00935148"/>
    <w:rsid w:val="0094492D"/>
    <w:rsid w:val="0094667C"/>
    <w:rsid w:val="0095132D"/>
    <w:rsid w:val="00951F93"/>
    <w:rsid w:val="00967B14"/>
    <w:rsid w:val="00972C24"/>
    <w:rsid w:val="009800F4"/>
    <w:rsid w:val="00984FE7"/>
    <w:rsid w:val="00995FD4"/>
    <w:rsid w:val="00997E71"/>
    <w:rsid w:val="009A726E"/>
    <w:rsid w:val="009B2C2B"/>
    <w:rsid w:val="009F260F"/>
    <w:rsid w:val="00A06FB6"/>
    <w:rsid w:val="00A16F17"/>
    <w:rsid w:val="00A62962"/>
    <w:rsid w:val="00A67251"/>
    <w:rsid w:val="00A67433"/>
    <w:rsid w:val="00A73175"/>
    <w:rsid w:val="00AA3225"/>
    <w:rsid w:val="00AA70C6"/>
    <w:rsid w:val="00AF226C"/>
    <w:rsid w:val="00B07097"/>
    <w:rsid w:val="00B12A49"/>
    <w:rsid w:val="00B15C6B"/>
    <w:rsid w:val="00B37FD4"/>
    <w:rsid w:val="00B4602D"/>
    <w:rsid w:val="00B50943"/>
    <w:rsid w:val="00B55BFC"/>
    <w:rsid w:val="00B60760"/>
    <w:rsid w:val="00B73CB5"/>
    <w:rsid w:val="00B76B0B"/>
    <w:rsid w:val="00B93D64"/>
    <w:rsid w:val="00B95791"/>
    <w:rsid w:val="00B96903"/>
    <w:rsid w:val="00BA6C22"/>
    <w:rsid w:val="00BD055D"/>
    <w:rsid w:val="00C0007A"/>
    <w:rsid w:val="00C02615"/>
    <w:rsid w:val="00C10BBE"/>
    <w:rsid w:val="00C306F9"/>
    <w:rsid w:val="00C31F17"/>
    <w:rsid w:val="00C32D97"/>
    <w:rsid w:val="00C412C4"/>
    <w:rsid w:val="00C42CA1"/>
    <w:rsid w:val="00C60714"/>
    <w:rsid w:val="00C63211"/>
    <w:rsid w:val="00C717C9"/>
    <w:rsid w:val="00C85F0C"/>
    <w:rsid w:val="00C94C82"/>
    <w:rsid w:val="00C97786"/>
    <w:rsid w:val="00CA1EDA"/>
    <w:rsid w:val="00CA5F5D"/>
    <w:rsid w:val="00CA7930"/>
    <w:rsid w:val="00CD722B"/>
    <w:rsid w:val="00CE41B2"/>
    <w:rsid w:val="00CE4F8D"/>
    <w:rsid w:val="00CF636C"/>
    <w:rsid w:val="00D35403"/>
    <w:rsid w:val="00D474DA"/>
    <w:rsid w:val="00D522E8"/>
    <w:rsid w:val="00D569E4"/>
    <w:rsid w:val="00D60683"/>
    <w:rsid w:val="00D83DB0"/>
    <w:rsid w:val="00D9080E"/>
    <w:rsid w:val="00D90A52"/>
    <w:rsid w:val="00D960F1"/>
    <w:rsid w:val="00D979C9"/>
    <w:rsid w:val="00DD03EF"/>
    <w:rsid w:val="00DF6003"/>
    <w:rsid w:val="00E00751"/>
    <w:rsid w:val="00E10867"/>
    <w:rsid w:val="00E15B3A"/>
    <w:rsid w:val="00E232FD"/>
    <w:rsid w:val="00E30EA9"/>
    <w:rsid w:val="00E36367"/>
    <w:rsid w:val="00E65B18"/>
    <w:rsid w:val="00E661E4"/>
    <w:rsid w:val="00E72921"/>
    <w:rsid w:val="00E7615E"/>
    <w:rsid w:val="00E8106D"/>
    <w:rsid w:val="00E87B68"/>
    <w:rsid w:val="00E87E8F"/>
    <w:rsid w:val="00EA1D12"/>
    <w:rsid w:val="00EA2BEE"/>
    <w:rsid w:val="00EB7A34"/>
    <w:rsid w:val="00EC6E19"/>
    <w:rsid w:val="00ED168A"/>
    <w:rsid w:val="00ED216E"/>
    <w:rsid w:val="00EE6CB1"/>
    <w:rsid w:val="00F035F7"/>
    <w:rsid w:val="00F0445C"/>
    <w:rsid w:val="00F14D58"/>
    <w:rsid w:val="00F15D8B"/>
    <w:rsid w:val="00F23917"/>
    <w:rsid w:val="00F25ACA"/>
    <w:rsid w:val="00F3067E"/>
    <w:rsid w:val="00F414EE"/>
    <w:rsid w:val="00F470DD"/>
    <w:rsid w:val="00F77F41"/>
    <w:rsid w:val="00F80315"/>
    <w:rsid w:val="00F80459"/>
    <w:rsid w:val="00FA73F2"/>
    <w:rsid w:val="00FC18E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3767"/>
    <w:rPr>
      <w:rFonts w:ascii="Times New Roman" w:hAnsi="Times New Roman"/>
    </w:rPr>
  </w:style>
  <w:style w:type="paragraph" w:styleId="Nadpis1">
    <w:name w:val="heading 1"/>
    <w:basedOn w:val="Normlny"/>
    <w:next w:val="Normlny"/>
    <w:link w:val="Nadpis1Char"/>
    <w:uiPriority w:val="9"/>
    <w:qFormat/>
    <w:rsid w:val="003E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3E37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E3767"/>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3E376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3E376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3E37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unhideWhenUsed/>
    <w:qFormat/>
    <w:rsid w:val="003E37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9"/>
    <w:qFormat/>
    <w:rsid w:val="00984FE7"/>
    <w:pPr>
      <w:keepNext/>
      <w:tabs>
        <w:tab w:val="left" w:pos="567"/>
      </w:tabs>
      <w:spacing w:after="0" w:line="260" w:lineRule="exact"/>
      <w:ind w:left="567" w:hanging="567"/>
      <w:jc w:val="both"/>
      <w:outlineLvl w:val="7"/>
    </w:pPr>
    <w:rPr>
      <w:rFonts w:eastAsia="Times New Roman" w:cs="Times New Roman"/>
      <w:b/>
      <w:i/>
      <w:szCs w:val="20"/>
      <w:lang w:val="en-GB"/>
    </w:rPr>
  </w:style>
  <w:style w:type="paragraph" w:styleId="Nadpis9">
    <w:name w:val="heading 9"/>
    <w:basedOn w:val="Normlny"/>
    <w:next w:val="Normlny"/>
    <w:link w:val="Nadpis9Char"/>
    <w:uiPriority w:val="9"/>
    <w:unhideWhenUsed/>
    <w:qFormat/>
    <w:rsid w:val="003E37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84FE7"/>
    <w:rPr>
      <w:color w:val="0000FF" w:themeColor="hyperlink"/>
      <w:u w:val="single"/>
    </w:rPr>
  </w:style>
  <w:style w:type="character" w:customStyle="1" w:styleId="Nadpis8Char">
    <w:name w:val="Nadpis 8 Char"/>
    <w:basedOn w:val="Predvolenpsmoodseku"/>
    <w:link w:val="Nadpis8"/>
    <w:uiPriority w:val="99"/>
    <w:rsid w:val="00984FE7"/>
    <w:rPr>
      <w:rFonts w:ascii="Times New Roman" w:eastAsia="Times New Roman" w:hAnsi="Times New Roman" w:cs="Times New Roman"/>
      <w:b/>
      <w:i/>
      <w:szCs w:val="20"/>
      <w:lang w:val="en-GB"/>
    </w:rPr>
  </w:style>
  <w:style w:type="paragraph" w:styleId="Pta">
    <w:name w:val="footer"/>
    <w:basedOn w:val="Normlny"/>
    <w:link w:val="PtaChar"/>
    <w:uiPriority w:val="99"/>
    <w:rsid w:val="00984FE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taChar">
    <w:name w:val="Päta Char"/>
    <w:basedOn w:val="Predvolenpsmoodseku"/>
    <w:link w:val="Pta"/>
    <w:uiPriority w:val="99"/>
    <w:rsid w:val="00984FE7"/>
    <w:rPr>
      <w:rFonts w:ascii="Helvetica" w:eastAsia="Times New Roman" w:hAnsi="Helvetica" w:cs="Times New Roman"/>
      <w:sz w:val="16"/>
      <w:szCs w:val="20"/>
      <w:lang w:val="en-GB"/>
    </w:rPr>
  </w:style>
  <w:style w:type="paragraph" w:styleId="Textbubliny">
    <w:name w:val="Balloon Text"/>
    <w:basedOn w:val="Normlny"/>
    <w:link w:val="TextbublinyChar"/>
    <w:uiPriority w:val="99"/>
    <w:semiHidden/>
    <w:unhideWhenUsed/>
    <w:rsid w:val="00912A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12ACD"/>
    <w:rPr>
      <w:rFonts w:ascii="Tahoma" w:hAnsi="Tahoma" w:cs="Tahoma"/>
      <w:sz w:val="16"/>
      <w:szCs w:val="16"/>
    </w:rPr>
  </w:style>
  <w:style w:type="paragraph" w:styleId="Odsekzoznamu">
    <w:name w:val="List Paragraph"/>
    <w:basedOn w:val="Normlny"/>
    <w:uiPriority w:val="34"/>
    <w:qFormat/>
    <w:rsid w:val="00461296"/>
    <w:pPr>
      <w:ind w:left="720"/>
      <w:contextualSpacing/>
    </w:pPr>
  </w:style>
  <w:style w:type="table" w:styleId="Mriekatabuky">
    <w:name w:val="Table Grid"/>
    <w:basedOn w:val="Normlnatabuka"/>
    <w:uiPriority w:val="59"/>
    <w:rsid w:val="0059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basedOn w:val="Predvolenpsmoodseku"/>
    <w:uiPriority w:val="99"/>
    <w:semiHidden/>
    <w:unhideWhenUsed/>
    <w:rsid w:val="009248CD"/>
    <w:rPr>
      <w:sz w:val="16"/>
      <w:szCs w:val="16"/>
    </w:rPr>
  </w:style>
  <w:style w:type="paragraph" w:styleId="Textkomentra">
    <w:name w:val="annotation text"/>
    <w:basedOn w:val="Normlny"/>
    <w:link w:val="TextkomentraChar"/>
    <w:uiPriority w:val="99"/>
    <w:semiHidden/>
    <w:unhideWhenUsed/>
    <w:rsid w:val="009248CD"/>
    <w:pPr>
      <w:spacing w:line="240" w:lineRule="auto"/>
    </w:pPr>
    <w:rPr>
      <w:sz w:val="20"/>
      <w:szCs w:val="20"/>
    </w:rPr>
  </w:style>
  <w:style w:type="character" w:customStyle="1" w:styleId="TextkomentraChar">
    <w:name w:val="Text komentára Char"/>
    <w:basedOn w:val="Predvolenpsmoodseku"/>
    <w:link w:val="Textkomentra"/>
    <w:uiPriority w:val="99"/>
    <w:semiHidden/>
    <w:rsid w:val="009248CD"/>
    <w:rPr>
      <w:sz w:val="20"/>
      <w:szCs w:val="20"/>
    </w:rPr>
  </w:style>
  <w:style w:type="paragraph" w:styleId="Predmetkomentra">
    <w:name w:val="annotation subject"/>
    <w:basedOn w:val="Textkomentra"/>
    <w:next w:val="Textkomentra"/>
    <w:link w:val="PredmetkomentraChar"/>
    <w:uiPriority w:val="99"/>
    <w:semiHidden/>
    <w:unhideWhenUsed/>
    <w:rsid w:val="009248CD"/>
    <w:rPr>
      <w:b/>
      <w:bCs/>
    </w:rPr>
  </w:style>
  <w:style w:type="character" w:customStyle="1" w:styleId="PredmetkomentraChar">
    <w:name w:val="Predmet komentára Char"/>
    <w:basedOn w:val="TextkomentraChar"/>
    <w:link w:val="Predmetkomentra"/>
    <w:uiPriority w:val="99"/>
    <w:semiHidden/>
    <w:rsid w:val="009248CD"/>
    <w:rPr>
      <w:b/>
      <w:bCs/>
      <w:sz w:val="20"/>
      <w:szCs w:val="20"/>
    </w:rPr>
  </w:style>
  <w:style w:type="paragraph" w:styleId="Hlavika">
    <w:name w:val="header"/>
    <w:basedOn w:val="Normlny"/>
    <w:link w:val="HlavikaChar"/>
    <w:uiPriority w:val="99"/>
    <w:unhideWhenUsed/>
    <w:rsid w:val="00B070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7097"/>
  </w:style>
  <w:style w:type="paragraph" w:styleId="Zarkazkladnhotextu">
    <w:name w:val="Body Text Indent"/>
    <w:basedOn w:val="Normlny"/>
    <w:link w:val="ZarkazkladnhotextuChar"/>
    <w:uiPriority w:val="99"/>
    <w:semiHidden/>
    <w:unhideWhenUsed/>
    <w:rsid w:val="0072568D"/>
    <w:pPr>
      <w:spacing w:after="120" w:line="240" w:lineRule="auto"/>
      <w:ind w:left="283"/>
    </w:pPr>
    <w:rPr>
      <w:rFonts w:eastAsia="Times New Roman" w:cs="Times New Roman"/>
      <w:sz w:val="24"/>
      <w:szCs w:val="20"/>
      <w:lang w:val="en-GB" w:eastAsia="fr-FR"/>
    </w:rPr>
  </w:style>
  <w:style w:type="character" w:customStyle="1" w:styleId="ZarkazkladnhotextuChar">
    <w:name w:val="Zarážka základného textu Char"/>
    <w:basedOn w:val="Predvolenpsmoodseku"/>
    <w:link w:val="Zarkazkladnhotextu"/>
    <w:uiPriority w:val="99"/>
    <w:semiHidden/>
    <w:rsid w:val="0072568D"/>
    <w:rPr>
      <w:rFonts w:ascii="Times New Roman" w:eastAsia="Times New Roman" w:hAnsi="Times New Roman" w:cs="Times New Roman"/>
      <w:sz w:val="24"/>
      <w:szCs w:val="20"/>
      <w:lang w:val="en-GB" w:eastAsia="fr-FR"/>
    </w:rPr>
  </w:style>
  <w:style w:type="character" w:customStyle="1" w:styleId="hpsalt-edited">
    <w:name w:val="hps alt-edited"/>
    <w:basedOn w:val="Predvolenpsmoodseku"/>
    <w:rsid w:val="00E36367"/>
  </w:style>
  <w:style w:type="character" w:customStyle="1" w:styleId="hps">
    <w:name w:val="hps"/>
    <w:basedOn w:val="Predvolenpsmoodseku"/>
    <w:rsid w:val="00E36367"/>
  </w:style>
  <w:style w:type="character" w:customStyle="1" w:styleId="hpsatn">
    <w:name w:val="hps atn"/>
    <w:basedOn w:val="Predvolenpsmoodseku"/>
    <w:rsid w:val="00447BE2"/>
  </w:style>
  <w:style w:type="character" w:customStyle="1" w:styleId="longtext">
    <w:name w:val="long_text"/>
    <w:basedOn w:val="Predvolenpsmoodseku"/>
    <w:rsid w:val="00864D62"/>
  </w:style>
  <w:style w:type="character" w:customStyle="1" w:styleId="Nadpis1Char">
    <w:name w:val="Nadpis 1 Char"/>
    <w:basedOn w:val="Predvolenpsmoodseku"/>
    <w:link w:val="Nadpis1"/>
    <w:uiPriority w:val="9"/>
    <w:rsid w:val="003E3767"/>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3E3767"/>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E3767"/>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3E3767"/>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3E3767"/>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3E3767"/>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rsid w:val="003E3767"/>
    <w:rPr>
      <w:rFonts w:asciiTheme="majorHAnsi" w:eastAsiaTheme="majorEastAsia" w:hAnsiTheme="majorHAnsi" w:cstheme="majorBidi"/>
      <w:i/>
      <w:iCs/>
      <w:color w:val="404040" w:themeColor="text1" w:themeTint="BF"/>
    </w:rPr>
  </w:style>
  <w:style w:type="character" w:customStyle="1" w:styleId="Nadpis9Char">
    <w:name w:val="Nadpis 9 Char"/>
    <w:basedOn w:val="Predvolenpsmoodseku"/>
    <w:link w:val="Nadpis9"/>
    <w:uiPriority w:val="9"/>
    <w:rsid w:val="003E3767"/>
    <w:rPr>
      <w:rFonts w:asciiTheme="majorHAnsi" w:eastAsiaTheme="majorEastAsia" w:hAnsiTheme="majorHAnsi" w:cstheme="majorBidi"/>
      <w:i/>
      <w:iCs/>
      <w:color w:val="404040" w:themeColor="text1" w:themeTint="BF"/>
      <w:sz w:val="20"/>
      <w:szCs w:val="20"/>
    </w:rPr>
  </w:style>
  <w:style w:type="paragraph" w:styleId="Nzov">
    <w:name w:val="Title"/>
    <w:basedOn w:val="Normlny"/>
    <w:next w:val="Normlny"/>
    <w:link w:val="NzovChar"/>
    <w:uiPriority w:val="10"/>
    <w:qFormat/>
    <w:rsid w:val="003E37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3E3767"/>
    <w:rPr>
      <w:rFonts w:asciiTheme="majorHAnsi" w:eastAsiaTheme="majorEastAsia" w:hAnsiTheme="majorHAnsi" w:cstheme="majorBidi"/>
      <w:color w:val="17365D" w:themeColor="text2" w:themeShade="BF"/>
      <w:spacing w:val="5"/>
      <w:kern w:val="28"/>
      <w:sz w:val="52"/>
      <w:szCs w:val="52"/>
    </w:rPr>
  </w:style>
  <w:style w:type="character" w:customStyle="1" w:styleId="shorttext">
    <w:name w:val="short_text"/>
    <w:basedOn w:val="Predvolenpsmoodseku"/>
    <w:rsid w:val="001335A3"/>
  </w:style>
  <w:style w:type="paragraph" w:styleId="Revzia">
    <w:name w:val="Revision"/>
    <w:hidden/>
    <w:uiPriority w:val="99"/>
    <w:semiHidden/>
    <w:rsid w:val="004D7E48"/>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67"/>
    <w:rPr>
      <w:rFonts w:ascii="Times New Roman" w:hAnsi="Times New Roman"/>
    </w:rPr>
  </w:style>
  <w:style w:type="paragraph" w:styleId="Titre1">
    <w:name w:val="heading 1"/>
    <w:basedOn w:val="Normal"/>
    <w:next w:val="Normal"/>
    <w:link w:val="Titre1Car"/>
    <w:uiPriority w:val="9"/>
    <w:qFormat/>
    <w:rsid w:val="003E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E37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E376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E376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3E3767"/>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3E37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E37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qFormat/>
    <w:rsid w:val="00984FE7"/>
    <w:pPr>
      <w:keepNext/>
      <w:tabs>
        <w:tab w:val="left" w:pos="567"/>
      </w:tabs>
      <w:spacing w:after="0" w:line="260" w:lineRule="exact"/>
      <w:ind w:left="567" w:hanging="567"/>
      <w:jc w:val="both"/>
      <w:outlineLvl w:val="7"/>
    </w:pPr>
    <w:rPr>
      <w:rFonts w:eastAsia="Times New Roman" w:cs="Times New Roman"/>
      <w:b/>
      <w:i/>
      <w:szCs w:val="20"/>
      <w:lang w:val="en-GB"/>
    </w:rPr>
  </w:style>
  <w:style w:type="paragraph" w:styleId="Titre9">
    <w:name w:val="heading 9"/>
    <w:basedOn w:val="Normal"/>
    <w:next w:val="Normal"/>
    <w:link w:val="Titre9Car"/>
    <w:uiPriority w:val="9"/>
    <w:unhideWhenUsed/>
    <w:qFormat/>
    <w:rsid w:val="003E37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84FE7"/>
    <w:rPr>
      <w:color w:val="0000FF" w:themeColor="hyperlink"/>
      <w:u w:val="single"/>
    </w:rPr>
  </w:style>
  <w:style w:type="character" w:customStyle="1" w:styleId="Titre8Car">
    <w:name w:val="Titre 8 Car"/>
    <w:basedOn w:val="Policepardfaut"/>
    <w:link w:val="Titre8"/>
    <w:uiPriority w:val="99"/>
    <w:rsid w:val="00984FE7"/>
    <w:rPr>
      <w:rFonts w:ascii="Times New Roman" w:eastAsia="Times New Roman" w:hAnsi="Times New Roman" w:cs="Times New Roman"/>
      <w:b/>
      <w:i/>
      <w:szCs w:val="20"/>
      <w:lang w:val="en-GB"/>
    </w:rPr>
  </w:style>
  <w:style w:type="paragraph" w:styleId="Pieddepage">
    <w:name w:val="footer"/>
    <w:basedOn w:val="Normal"/>
    <w:link w:val="PieddepageCar"/>
    <w:uiPriority w:val="99"/>
    <w:rsid w:val="00984FE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ieddepageCar">
    <w:name w:val="Pied de page Car"/>
    <w:basedOn w:val="Policepardfaut"/>
    <w:link w:val="Pieddepage"/>
    <w:uiPriority w:val="99"/>
    <w:rsid w:val="00984FE7"/>
    <w:rPr>
      <w:rFonts w:ascii="Helvetica" w:eastAsia="Times New Roman" w:hAnsi="Helvetica" w:cs="Times New Roman"/>
      <w:sz w:val="16"/>
      <w:szCs w:val="20"/>
      <w:lang w:val="en-GB"/>
    </w:rPr>
  </w:style>
  <w:style w:type="paragraph" w:styleId="Textedebulles">
    <w:name w:val="Balloon Text"/>
    <w:basedOn w:val="Normal"/>
    <w:link w:val="TextedebullesCar"/>
    <w:uiPriority w:val="99"/>
    <w:semiHidden/>
    <w:unhideWhenUsed/>
    <w:rsid w:val="00912A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2ACD"/>
    <w:rPr>
      <w:rFonts w:ascii="Tahoma" w:hAnsi="Tahoma" w:cs="Tahoma"/>
      <w:sz w:val="16"/>
      <w:szCs w:val="16"/>
    </w:rPr>
  </w:style>
  <w:style w:type="paragraph" w:styleId="Paragraphedeliste">
    <w:name w:val="List Paragraph"/>
    <w:basedOn w:val="Normal"/>
    <w:uiPriority w:val="34"/>
    <w:qFormat/>
    <w:rsid w:val="00461296"/>
    <w:pPr>
      <w:ind w:left="720"/>
      <w:contextualSpacing/>
    </w:pPr>
  </w:style>
  <w:style w:type="table" w:styleId="Grilledutableau">
    <w:name w:val="Table Grid"/>
    <w:basedOn w:val="TableauNormal"/>
    <w:uiPriority w:val="59"/>
    <w:rsid w:val="0059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9248CD"/>
    <w:rPr>
      <w:sz w:val="16"/>
      <w:szCs w:val="16"/>
    </w:rPr>
  </w:style>
  <w:style w:type="paragraph" w:styleId="Commentaire">
    <w:name w:val="annotation text"/>
    <w:basedOn w:val="Normal"/>
    <w:link w:val="CommentaireCar"/>
    <w:uiPriority w:val="99"/>
    <w:semiHidden/>
    <w:unhideWhenUsed/>
    <w:rsid w:val="009248CD"/>
    <w:pPr>
      <w:spacing w:line="240" w:lineRule="auto"/>
    </w:pPr>
    <w:rPr>
      <w:sz w:val="20"/>
      <w:szCs w:val="20"/>
    </w:rPr>
  </w:style>
  <w:style w:type="character" w:customStyle="1" w:styleId="CommentaireCar">
    <w:name w:val="Commentaire Car"/>
    <w:basedOn w:val="Policepardfaut"/>
    <w:link w:val="Commentaire"/>
    <w:uiPriority w:val="99"/>
    <w:semiHidden/>
    <w:rsid w:val="009248CD"/>
    <w:rPr>
      <w:sz w:val="20"/>
      <w:szCs w:val="20"/>
    </w:rPr>
  </w:style>
  <w:style w:type="paragraph" w:styleId="Objetducommentaire">
    <w:name w:val="annotation subject"/>
    <w:basedOn w:val="Commentaire"/>
    <w:next w:val="Commentaire"/>
    <w:link w:val="ObjetducommentaireCar"/>
    <w:uiPriority w:val="99"/>
    <w:semiHidden/>
    <w:unhideWhenUsed/>
    <w:rsid w:val="009248CD"/>
    <w:rPr>
      <w:b/>
      <w:bCs/>
    </w:rPr>
  </w:style>
  <w:style w:type="character" w:customStyle="1" w:styleId="ObjetducommentaireCar">
    <w:name w:val="Objet du commentaire Car"/>
    <w:basedOn w:val="CommentaireCar"/>
    <w:link w:val="Objetducommentaire"/>
    <w:uiPriority w:val="99"/>
    <w:semiHidden/>
    <w:rsid w:val="009248CD"/>
    <w:rPr>
      <w:b/>
      <w:bCs/>
      <w:sz w:val="20"/>
      <w:szCs w:val="20"/>
    </w:rPr>
  </w:style>
  <w:style w:type="paragraph" w:styleId="En-tte">
    <w:name w:val="header"/>
    <w:basedOn w:val="Normal"/>
    <w:link w:val="En-tteCar"/>
    <w:uiPriority w:val="99"/>
    <w:unhideWhenUsed/>
    <w:rsid w:val="00B07097"/>
    <w:pPr>
      <w:tabs>
        <w:tab w:val="center" w:pos="4536"/>
        <w:tab w:val="right" w:pos="9072"/>
      </w:tabs>
      <w:spacing w:after="0" w:line="240" w:lineRule="auto"/>
    </w:pPr>
  </w:style>
  <w:style w:type="character" w:customStyle="1" w:styleId="En-tteCar">
    <w:name w:val="En-tête Car"/>
    <w:basedOn w:val="Policepardfaut"/>
    <w:link w:val="En-tte"/>
    <w:uiPriority w:val="99"/>
    <w:rsid w:val="00B07097"/>
  </w:style>
  <w:style w:type="paragraph" w:styleId="Retraitcorpsdetexte">
    <w:name w:val="Body Text Indent"/>
    <w:basedOn w:val="Normal"/>
    <w:link w:val="RetraitcorpsdetexteCar"/>
    <w:uiPriority w:val="99"/>
    <w:semiHidden/>
    <w:unhideWhenUsed/>
    <w:rsid w:val="0072568D"/>
    <w:pPr>
      <w:spacing w:after="120" w:line="240" w:lineRule="auto"/>
      <w:ind w:left="283"/>
    </w:pPr>
    <w:rPr>
      <w:rFonts w:eastAsia="Times New Roman" w:cs="Times New Roman"/>
      <w:sz w:val="24"/>
      <w:szCs w:val="20"/>
      <w:lang w:val="en-GB" w:eastAsia="fr-FR"/>
    </w:rPr>
  </w:style>
  <w:style w:type="character" w:customStyle="1" w:styleId="RetraitcorpsdetexteCar">
    <w:name w:val="Retrait corps de texte Car"/>
    <w:basedOn w:val="Policepardfaut"/>
    <w:link w:val="Retraitcorpsdetexte"/>
    <w:uiPriority w:val="99"/>
    <w:semiHidden/>
    <w:rsid w:val="0072568D"/>
    <w:rPr>
      <w:rFonts w:ascii="Times New Roman" w:eastAsia="Times New Roman" w:hAnsi="Times New Roman" w:cs="Times New Roman"/>
      <w:sz w:val="24"/>
      <w:szCs w:val="20"/>
      <w:lang w:val="en-GB" w:eastAsia="fr-FR"/>
    </w:rPr>
  </w:style>
  <w:style w:type="character" w:customStyle="1" w:styleId="hpsalt-edited">
    <w:name w:val="hps alt-edited"/>
    <w:basedOn w:val="Policepardfaut"/>
    <w:rsid w:val="00E36367"/>
  </w:style>
  <w:style w:type="character" w:customStyle="1" w:styleId="hps">
    <w:name w:val="hps"/>
    <w:basedOn w:val="Policepardfaut"/>
    <w:rsid w:val="00E36367"/>
  </w:style>
  <w:style w:type="character" w:customStyle="1" w:styleId="hpsatn">
    <w:name w:val="hps atn"/>
    <w:basedOn w:val="Policepardfaut"/>
    <w:rsid w:val="00447BE2"/>
  </w:style>
  <w:style w:type="character" w:customStyle="1" w:styleId="longtext">
    <w:name w:val="long_text"/>
    <w:basedOn w:val="Policepardfaut"/>
    <w:rsid w:val="00864D62"/>
  </w:style>
  <w:style w:type="character" w:customStyle="1" w:styleId="Titre1Car">
    <w:name w:val="Titre 1 Car"/>
    <w:basedOn w:val="Policepardfaut"/>
    <w:link w:val="Titre1"/>
    <w:uiPriority w:val="9"/>
    <w:rsid w:val="003E376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E376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E376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E376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3E376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3E376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3E3767"/>
    <w:rPr>
      <w:rFonts w:asciiTheme="majorHAnsi" w:eastAsiaTheme="majorEastAsia" w:hAnsiTheme="majorHAnsi" w:cstheme="majorBidi"/>
      <w:i/>
      <w:iCs/>
      <w:color w:val="404040" w:themeColor="text1" w:themeTint="BF"/>
    </w:rPr>
  </w:style>
  <w:style w:type="character" w:customStyle="1" w:styleId="Titre9Car">
    <w:name w:val="Titre 9 Car"/>
    <w:basedOn w:val="Policepardfaut"/>
    <w:link w:val="Titre9"/>
    <w:uiPriority w:val="9"/>
    <w:rsid w:val="003E3767"/>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3E37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E3767"/>
    <w:rPr>
      <w:rFonts w:asciiTheme="majorHAnsi" w:eastAsiaTheme="majorEastAsia" w:hAnsiTheme="majorHAnsi" w:cstheme="majorBidi"/>
      <w:color w:val="17365D" w:themeColor="text2" w:themeShade="BF"/>
      <w:spacing w:val="5"/>
      <w:kern w:val="28"/>
      <w:sz w:val="52"/>
      <w:szCs w:val="52"/>
    </w:rPr>
  </w:style>
  <w:style w:type="character" w:customStyle="1" w:styleId="shorttext">
    <w:name w:val="short_text"/>
    <w:basedOn w:val="Policepardfaut"/>
    <w:rsid w:val="001335A3"/>
  </w:style>
  <w:style w:type="paragraph" w:styleId="Rvision">
    <w:name w:val="Revision"/>
    <w:hidden/>
    <w:uiPriority w:val="99"/>
    <w:semiHidden/>
    <w:rsid w:val="004D7E48"/>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724643803">
      <w:bodyDiv w:val="1"/>
      <w:marLeft w:val="0"/>
      <w:marRight w:val="0"/>
      <w:marTop w:val="0"/>
      <w:marBottom w:val="0"/>
      <w:divBdr>
        <w:top w:val="none" w:sz="0" w:space="0" w:color="auto"/>
        <w:left w:val="none" w:sz="0" w:space="0" w:color="auto"/>
        <w:bottom w:val="none" w:sz="0" w:space="0" w:color="auto"/>
        <w:right w:val="none" w:sz="0" w:space="0" w:color="auto"/>
      </w:divBdr>
    </w:div>
    <w:div w:id="10234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8359-0E2B-4AB6-97C6-A93CE6AD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3570</Words>
  <Characters>20355</Characters>
  <Application>Microsoft Office Word</Application>
  <DocSecurity>0</DocSecurity>
  <Lines>169</Lines>
  <Paragraphs>47</Paragraphs>
  <ScaleCrop>false</ScaleCrop>
  <HeadingPairs>
    <vt:vector size="6" baseType="variant">
      <vt:variant>
        <vt:lpstr>Titre</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IASON</dc:creator>
  <cp:lastModifiedBy> sulejova</cp:lastModifiedBy>
  <cp:revision>3</cp:revision>
  <cp:lastPrinted>2016-03-30T11:41:00Z</cp:lastPrinted>
  <dcterms:created xsi:type="dcterms:W3CDTF">2016-12-09T14:56:00Z</dcterms:created>
  <dcterms:modified xsi:type="dcterms:W3CDTF">2016-12-16T07:55:00Z</dcterms:modified>
</cp:coreProperties>
</file>