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58" w:rsidRPr="00795AA9" w:rsidRDefault="00117058" w:rsidP="00CA33F3">
      <w:pPr>
        <w:pStyle w:val="Nzov"/>
        <w:jc w:val="left"/>
        <w:rPr>
          <w:rFonts w:ascii="Times New Roman" w:hAnsi="Times New Roman"/>
          <w:sz w:val="22"/>
          <w:szCs w:val="22"/>
        </w:rPr>
      </w:pPr>
    </w:p>
    <w:p w:rsidR="00117058" w:rsidRPr="00D054F2" w:rsidRDefault="00117058" w:rsidP="00F645B1">
      <w:pPr>
        <w:pStyle w:val="Nzov"/>
        <w:rPr>
          <w:rFonts w:ascii="Times New Roman" w:hAnsi="Times New Roman"/>
          <w:sz w:val="22"/>
          <w:szCs w:val="22"/>
        </w:rPr>
      </w:pPr>
      <w:r w:rsidRPr="00795AA9">
        <w:rPr>
          <w:rFonts w:ascii="Times New Roman" w:hAnsi="Times New Roman"/>
          <w:noProof/>
          <w:sz w:val="22"/>
          <w:szCs w:val="22"/>
        </w:rPr>
        <w:t>SÚHRN CHARAKTERISTICKÝCH VLASTNOSTÍ LIEKU</w:t>
      </w:r>
    </w:p>
    <w:p w:rsidR="00117058" w:rsidRPr="00D054F2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567BC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Názov liEku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    </w:t>
      </w:r>
    </w:p>
    <w:p w:rsidR="00117058" w:rsidRDefault="00117058" w:rsidP="00AB3A9A">
      <w:pPr>
        <w:pStyle w:val="Nadpis3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795AA9">
        <w:rPr>
          <w:rFonts w:ascii="Times New Roman" w:hAnsi="Times New Roman" w:cs="Times New Roman"/>
          <w:b w:val="0"/>
          <w:sz w:val="22"/>
          <w:szCs w:val="22"/>
        </w:rPr>
        <w:t>Canespor</w:t>
      </w:r>
      <w:proofErr w:type="spellEnd"/>
      <w:r w:rsidRPr="00795AA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95AA9">
        <w:rPr>
          <w:rFonts w:ascii="Times New Roman" w:hAnsi="Times New Roman" w:cs="Times New Roman"/>
          <w:b w:val="0"/>
          <w:sz w:val="22"/>
          <w:szCs w:val="22"/>
        </w:rPr>
        <w:t>sada</w:t>
      </w:r>
      <w:proofErr w:type="spellEnd"/>
      <w:r w:rsidRPr="00795AA9">
        <w:rPr>
          <w:rFonts w:ascii="Times New Roman" w:hAnsi="Times New Roman" w:cs="Times New Roman"/>
          <w:b w:val="0"/>
          <w:sz w:val="22"/>
          <w:szCs w:val="22"/>
        </w:rPr>
        <w:t xml:space="preserve"> na nechty</w:t>
      </w:r>
    </w:p>
    <w:p w:rsidR="00117058" w:rsidRPr="00795AA9" w:rsidRDefault="00117058" w:rsidP="00795AA9">
      <w:pPr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 xml:space="preserve">10 mg/g + 400 mg/g </w:t>
      </w:r>
      <w:proofErr w:type="spellStart"/>
      <w:r>
        <w:rPr>
          <w:rFonts w:ascii="Times New Roman" w:hAnsi="Times New Roman"/>
          <w:sz w:val="22"/>
          <w:lang w:val="sk-SK"/>
        </w:rPr>
        <w:t>dermálna</w:t>
      </w:r>
      <w:proofErr w:type="spellEnd"/>
      <w:r>
        <w:rPr>
          <w:rFonts w:ascii="Times New Roman" w:hAnsi="Times New Roman"/>
          <w:sz w:val="22"/>
          <w:lang w:val="sk-SK"/>
        </w:rPr>
        <w:t xml:space="preserve"> masť</w:t>
      </w:r>
    </w:p>
    <w:p w:rsidR="00117058" w:rsidRPr="00EF6AD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 xml:space="preserve">KVALITATÍVNE A KVANTITATÍVNE </w:t>
      </w:r>
      <w:r w:rsidRPr="004567BC">
        <w:rPr>
          <w:rFonts w:ascii="Times New Roman" w:hAnsi="Times New Roman"/>
          <w:b/>
          <w:caps/>
          <w:sz w:val="22"/>
          <w:szCs w:val="22"/>
          <w:lang w:val="sk-SK"/>
        </w:rPr>
        <w:t>Zloženie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1 g </w:t>
      </w: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masti obsahuje 10 mg </w:t>
      </w: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a 400 mg močoviny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4849E0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u w:val="single"/>
          <w:lang w:val="sk-SK"/>
        </w:rPr>
        <w:t>Pomocná látka so známym účinkom: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lanolín.</w:t>
      </w:r>
    </w:p>
    <w:p w:rsidR="00117058" w:rsidRPr="00F355E3" w:rsidRDefault="00117058" w:rsidP="00BB4ABA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Lieková forma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Dermálna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masť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567BC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4567BC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</w:t>
      </w:r>
      <w:r w:rsidRPr="004567BC">
        <w:rPr>
          <w:rFonts w:ascii="Times New Roman" w:hAnsi="Times New Roman"/>
          <w:sz w:val="22"/>
          <w:szCs w:val="22"/>
          <w:lang w:val="sk-SK"/>
        </w:rPr>
        <w:t>ltkastá homogénna masť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117058" w:rsidRPr="00F132B1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AB3A9A">
      <w:pPr>
        <w:pStyle w:val="Zkladntext2"/>
        <w:rPr>
          <w:szCs w:val="22"/>
        </w:rPr>
      </w:pPr>
      <w:r w:rsidRPr="00F645B1">
        <w:rPr>
          <w:szCs w:val="22"/>
        </w:rPr>
        <w:t xml:space="preserve">Liečba </w:t>
      </w:r>
      <w:proofErr w:type="spellStart"/>
      <w:r w:rsidRPr="00AB3A9A">
        <w:rPr>
          <w:szCs w:val="22"/>
        </w:rPr>
        <w:t>mykotických</w:t>
      </w:r>
      <w:proofErr w:type="spellEnd"/>
      <w:r w:rsidRPr="00AB3A9A">
        <w:rPr>
          <w:szCs w:val="22"/>
        </w:rPr>
        <w:t xml:space="preserve"> infekcií </w:t>
      </w:r>
      <w:r w:rsidRPr="004C044D">
        <w:rPr>
          <w:szCs w:val="22"/>
        </w:rPr>
        <w:t>nechto</w:t>
      </w:r>
      <w:r>
        <w:rPr>
          <w:szCs w:val="22"/>
        </w:rPr>
        <w:t>v</w:t>
      </w:r>
      <w:r w:rsidRPr="004567BC">
        <w:rPr>
          <w:szCs w:val="22"/>
        </w:rPr>
        <w:t xml:space="preserve"> r</w:t>
      </w:r>
      <w:r>
        <w:rPr>
          <w:szCs w:val="22"/>
        </w:rPr>
        <w:t>ú</w:t>
      </w:r>
      <w:r w:rsidRPr="004567BC">
        <w:rPr>
          <w:szCs w:val="22"/>
        </w:rPr>
        <w:t>k a n</w:t>
      </w:r>
      <w:r>
        <w:rPr>
          <w:szCs w:val="22"/>
        </w:rPr>
        <w:t>ô</w:t>
      </w:r>
      <w:r w:rsidRPr="004567BC">
        <w:rPr>
          <w:szCs w:val="22"/>
        </w:rPr>
        <w:t xml:space="preserve">h, vrátane </w:t>
      </w:r>
      <w:proofErr w:type="spellStart"/>
      <w:r w:rsidRPr="004567BC">
        <w:rPr>
          <w:szCs w:val="22"/>
        </w:rPr>
        <w:t>atraumatického</w:t>
      </w:r>
      <w:proofErr w:type="spellEnd"/>
      <w:r w:rsidRPr="004567BC">
        <w:rPr>
          <w:szCs w:val="22"/>
        </w:rPr>
        <w:t xml:space="preserve"> odstráneni</w:t>
      </w:r>
      <w:r>
        <w:rPr>
          <w:szCs w:val="22"/>
        </w:rPr>
        <w:t>a</w:t>
      </w:r>
      <w:r w:rsidRPr="004567BC">
        <w:rPr>
          <w:szCs w:val="22"/>
        </w:rPr>
        <w:t xml:space="preserve"> nechtov</w:t>
      </w:r>
      <w:r>
        <w:rPr>
          <w:szCs w:val="22"/>
        </w:rPr>
        <w:t xml:space="preserve"> </w:t>
      </w:r>
      <w:r w:rsidRPr="004567BC">
        <w:rPr>
          <w:szCs w:val="22"/>
        </w:rPr>
        <w:t>so súčasn</w:t>
      </w:r>
      <w:r>
        <w:rPr>
          <w:szCs w:val="22"/>
        </w:rPr>
        <w:t>ým</w:t>
      </w:r>
      <w:r w:rsidRPr="004567BC">
        <w:rPr>
          <w:szCs w:val="22"/>
        </w:rPr>
        <w:t xml:space="preserve"> </w:t>
      </w:r>
      <w:proofErr w:type="spellStart"/>
      <w:r w:rsidRPr="004567BC">
        <w:rPr>
          <w:szCs w:val="22"/>
        </w:rPr>
        <w:t>antimykotick</w:t>
      </w:r>
      <w:r>
        <w:rPr>
          <w:szCs w:val="22"/>
        </w:rPr>
        <w:t>ým</w:t>
      </w:r>
      <w:proofErr w:type="spellEnd"/>
      <w:r w:rsidRPr="004567BC">
        <w:rPr>
          <w:szCs w:val="22"/>
        </w:rPr>
        <w:t xml:space="preserve"> účin</w:t>
      </w:r>
      <w:r>
        <w:rPr>
          <w:szCs w:val="22"/>
        </w:rPr>
        <w:t>kom</w:t>
      </w:r>
      <w:r w:rsidRPr="004567BC">
        <w:rPr>
          <w:szCs w:val="22"/>
        </w:rPr>
        <w:t>.</w:t>
      </w: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4.2      Dávkovanie a spôsob podávania</w:t>
      </w: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849E0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Z </w:t>
      </w:r>
      <w:r>
        <w:rPr>
          <w:rFonts w:ascii="Times New Roman" w:hAnsi="Times New Roman"/>
          <w:sz w:val="22"/>
          <w:szCs w:val="22"/>
          <w:lang w:val="sk-SK"/>
        </w:rPr>
        <w:t>tuby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sa jedenkrát denne nanesie na postihnutý necht toľko masti, aby pokrývala v tenkej vrstve celú nechtovú plochu.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F645B1">
        <w:rPr>
          <w:rFonts w:ascii="Times New Roman" w:hAnsi="Times New Roman"/>
          <w:sz w:val="22"/>
          <w:szCs w:val="22"/>
          <w:lang w:val="sk-SK"/>
        </w:rPr>
        <w:t xml:space="preserve">Po nanesení masti sa liečené nechty na ruke alebo nohe prikryjú </w:t>
      </w:r>
      <w:r>
        <w:rPr>
          <w:rFonts w:ascii="Times New Roman" w:hAnsi="Times New Roman"/>
          <w:sz w:val="22"/>
          <w:szCs w:val="22"/>
          <w:lang w:val="sk-SK"/>
        </w:rPr>
        <w:t xml:space="preserve">na 24 hodín </w:t>
      </w:r>
      <w:r w:rsidRPr="00404E4B">
        <w:rPr>
          <w:rFonts w:ascii="Times New Roman" w:hAnsi="Times New Roman"/>
          <w:sz w:val="22"/>
          <w:szCs w:val="22"/>
          <w:lang w:val="sk-SK"/>
        </w:rPr>
        <w:t>náplasťou. Náplasť možno rozdeliť na polovicu v závislosti od veľkosti nechtu. Aby sa zabezpečilo zachovanie priľnavosti náplasti, presvedčte sa, že v mieste aplikácie priľnavej vrstvy sa na koži nenachádza žiadna masť. Okrem toho sa vyhnite kontaktu s priľnavou vrstvou náplast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prstami. 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Náplasť sa má denne vymieňať. 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Počas každodennej výmeny náplasti sa prsty na rukách alebo nohách (prípadne celá ruka alebo noha) namočia na </w:t>
      </w:r>
      <w:r>
        <w:rPr>
          <w:rFonts w:ascii="Times New Roman" w:hAnsi="Times New Roman"/>
          <w:sz w:val="22"/>
          <w:szCs w:val="22"/>
          <w:lang w:val="sk-SK"/>
        </w:rPr>
        <w:t xml:space="preserve">približne 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10 minút do teplej vody a potom sa zmäknutá časť postihnutého nechtu odstráni priloženou škrabkou. Po osušení liečených nechtov sa znovu nanesie masť a necht sa prikryje náplasťou.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Nanášanie masti a zábal s náplasťou sa musia denne dôkladne opakovať tak dlho, </w:t>
      </w:r>
      <w:r>
        <w:rPr>
          <w:rFonts w:ascii="Times New Roman" w:hAnsi="Times New Roman"/>
          <w:sz w:val="22"/>
          <w:szCs w:val="22"/>
          <w:lang w:val="sk-SK"/>
        </w:rPr>
        <w:t>kým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nechtové lôžko nie je hladké a žiadn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zmäknut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nechtov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(postihnut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plesňou) sa už nedá odstrániť. Podľa závažnosti infekcie a h</w:t>
      </w:r>
      <w:r w:rsidRPr="00F132B1">
        <w:rPr>
          <w:rFonts w:ascii="Times New Roman" w:hAnsi="Times New Roman"/>
          <w:sz w:val="22"/>
          <w:szCs w:val="22"/>
          <w:lang w:val="sk-SK"/>
        </w:rPr>
        <w:t>rúbky nechtu trvá liečba zvyčajne 7 až 14 dní. Masť pôsobí iba na postihnut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nechtov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, zdravé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nie </w:t>
      </w:r>
      <w:r>
        <w:rPr>
          <w:rFonts w:ascii="Times New Roman" w:hAnsi="Times New Roman"/>
          <w:sz w:val="22"/>
          <w:szCs w:val="22"/>
          <w:lang w:val="sk-SK"/>
        </w:rPr>
        <w:t>je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ovplyvnené.</w:t>
      </w:r>
    </w:p>
    <w:p w:rsidR="00117058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A1798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F645B1">
        <w:rPr>
          <w:rFonts w:ascii="Times New Roman" w:hAnsi="Times New Roman"/>
          <w:sz w:val="22"/>
          <w:szCs w:val="22"/>
          <w:lang w:val="sk-SK"/>
        </w:rPr>
        <w:t xml:space="preserve">Prikrytie kože okolo nechtu nie je zvyčajne potrebné. Ak sa však vo výnimočných prípadoch vyskytne podráždenie, na kožu okolo </w:t>
      </w:r>
      <w:r w:rsidRPr="00AB3A9A">
        <w:rPr>
          <w:rFonts w:ascii="Times New Roman" w:hAnsi="Times New Roman"/>
          <w:sz w:val="22"/>
          <w:szCs w:val="22"/>
          <w:lang w:val="sk-SK"/>
        </w:rPr>
        <w:t xml:space="preserve">nechtu sa má </w:t>
      </w:r>
      <w:r>
        <w:rPr>
          <w:rFonts w:ascii="Times New Roman" w:hAnsi="Times New Roman"/>
          <w:sz w:val="22"/>
          <w:szCs w:val="22"/>
          <w:lang w:val="sk-SK"/>
        </w:rPr>
        <w:t xml:space="preserve">pred aplikáciu náplasti 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naniesť napr. zinková </w:t>
      </w:r>
      <w:r>
        <w:rPr>
          <w:rFonts w:ascii="Times New Roman" w:hAnsi="Times New Roman"/>
          <w:sz w:val="22"/>
          <w:szCs w:val="22"/>
          <w:lang w:val="sk-SK"/>
        </w:rPr>
        <w:t>pasta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117058" w:rsidRPr="00F645B1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C044D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AB3A9A">
        <w:rPr>
          <w:rFonts w:ascii="Times New Roman" w:hAnsi="Times New Roman"/>
          <w:sz w:val="22"/>
          <w:szCs w:val="22"/>
          <w:lang w:val="sk-SK"/>
        </w:rPr>
        <w:lastRenderedPageBreak/>
        <w:t>Po odstránení nechtu sa má systematicky pokračovať asi 4 týždne v </w:t>
      </w:r>
      <w:proofErr w:type="spellStart"/>
      <w:r w:rsidRPr="00AB3A9A">
        <w:rPr>
          <w:rFonts w:ascii="Times New Roman" w:hAnsi="Times New Roman"/>
          <w:sz w:val="22"/>
          <w:szCs w:val="22"/>
          <w:lang w:val="sk-SK"/>
        </w:rPr>
        <w:t>antimykotickej</w:t>
      </w:r>
      <w:proofErr w:type="spellEnd"/>
      <w:r w:rsidRPr="00AB3A9A">
        <w:rPr>
          <w:rFonts w:ascii="Times New Roman" w:hAnsi="Times New Roman"/>
          <w:sz w:val="22"/>
          <w:szCs w:val="22"/>
          <w:lang w:val="sk-SK"/>
        </w:rPr>
        <w:t xml:space="preserve"> liečbe liekom </w:t>
      </w:r>
      <w:proofErr w:type="spellStart"/>
      <w:r w:rsidRPr="00AB3A9A">
        <w:rPr>
          <w:rFonts w:ascii="Times New Roman" w:hAnsi="Times New Roman"/>
          <w:sz w:val="22"/>
          <w:szCs w:val="22"/>
          <w:lang w:val="sk-SK"/>
        </w:rPr>
        <w:t>Canespor</w:t>
      </w:r>
      <w:proofErr w:type="spellEnd"/>
      <w:r w:rsidRPr="00AB3A9A">
        <w:rPr>
          <w:rFonts w:ascii="Times New Roman" w:hAnsi="Times New Roman"/>
          <w:sz w:val="22"/>
          <w:szCs w:val="22"/>
          <w:lang w:val="sk-SK"/>
        </w:rPr>
        <w:t xml:space="preserve"> krém. </w:t>
      </w:r>
    </w:p>
    <w:p w:rsidR="00117058" w:rsidRPr="004849E0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Dôkladné odstránenie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 postihnutých častí nechtu a následné </w:t>
      </w:r>
      <w:r w:rsidRPr="00795AA9">
        <w:rPr>
          <w:rFonts w:ascii="Times New Roman" w:hAnsi="Times New Roman"/>
          <w:sz w:val="22"/>
          <w:szCs w:val="22"/>
          <w:lang w:val="sk-SK"/>
        </w:rPr>
        <w:t>starostlivé ošetrenie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 liekom </w:t>
      </w:r>
      <w:proofErr w:type="spellStart"/>
      <w:r w:rsidRPr="00A17983">
        <w:rPr>
          <w:rFonts w:ascii="Times New Roman" w:hAnsi="Times New Roman"/>
          <w:sz w:val="22"/>
          <w:szCs w:val="22"/>
          <w:lang w:val="sk-SK"/>
        </w:rPr>
        <w:t>Canespor</w:t>
      </w:r>
      <w:proofErr w:type="spellEnd"/>
      <w:r w:rsidRPr="00A17983">
        <w:rPr>
          <w:rFonts w:ascii="Times New Roman" w:hAnsi="Times New Roman"/>
          <w:sz w:val="22"/>
          <w:szCs w:val="22"/>
          <w:lang w:val="sk-SK"/>
        </w:rPr>
        <w:t xml:space="preserve"> krém sú dôležité pre dlhodobú úspešnú liečbu </w:t>
      </w:r>
      <w:proofErr w:type="spellStart"/>
      <w:r w:rsidRPr="00A17983">
        <w:rPr>
          <w:rFonts w:ascii="Times New Roman" w:hAnsi="Times New Roman"/>
          <w:sz w:val="22"/>
          <w:szCs w:val="22"/>
          <w:lang w:val="sk-SK"/>
        </w:rPr>
        <w:t>mykotickej</w:t>
      </w:r>
      <w:proofErr w:type="spellEnd"/>
      <w:r w:rsidRPr="00A17983">
        <w:rPr>
          <w:rFonts w:ascii="Times New Roman" w:hAnsi="Times New Roman"/>
          <w:sz w:val="22"/>
          <w:szCs w:val="22"/>
          <w:lang w:val="sk-SK"/>
        </w:rPr>
        <w:t xml:space="preserve"> infekcie </w:t>
      </w:r>
      <w:proofErr w:type="spellStart"/>
      <w:r w:rsidRPr="00A17983">
        <w:rPr>
          <w:rFonts w:ascii="Times New Roman" w:hAnsi="Times New Roman"/>
          <w:sz w:val="22"/>
          <w:szCs w:val="22"/>
          <w:lang w:val="sk-SK"/>
        </w:rPr>
        <w:t>nechtu.</w:t>
      </w:r>
      <w:r w:rsidRPr="00F355E3">
        <w:rPr>
          <w:rFonts w:ascii="Times New Roman" w:hAnsi="Times New Roman"/>
          <w:sz w:val="22"/>
          <w:szCs w:val="22"/>
          <w:lang w:val="sk-SK"/>
        </w:rPr>
        <w:t>V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 závažných prípadoch sa má liečba nahradiť systémovou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antimykotickou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liečbou  alebo chirurgickým zákrokom.</w:t>
      </w:r>
    </w:p>
    <w:p w:rsidR="00117058" w:rsidRPr="00AB3A9A" w:rsidRDefault="00117058" w:rsidP="00795AA9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4849E0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V zriedkavých prípadoch, ak je pacient alergický na náplasť, je potrebné použiť inú vod</w:t>
      </w:r>
      <w:r>
        <w:rPr>
          <w:rFonts w:ascii="Times New Roman" w:hAnsi="Times New Roman"/>
          <w:sz w:val="22"/>
          <w:szCs w:val="22"/>
          <w:lang w:val="sk-SK"/>
        </w:rPr>
        <w:t>ovzdor</w:t>
      </w:r>
      <w:r w:rsidRPr="004C044D">
        <w:rPr>
          <w:rFonts w:ascii="Times New Roman" w:hAnsi="Times New Roman"/>
          <w:sz w:val="22"/>
          <w:szCs w:val="22"/>
          <w:lang w:val="sk-SK"/>
        </w:rPr>
        <w:t>nú náplasť alebo gumo</w:t>
      </w:r>
      <w:r w:rsidRPr="004849E0">
        <w:rPr>
          <w:rFonts w:ascii="Times New Roman" w:hAnsi="Times New Roman"/>
          <w:sz w:val="22"/>
          <w:szCs w:val="22"/>
          <w:lang w:val="sk-SK"/>
        </w:rPr>
        <w:t xml:space="preserve">vé </w:t>
      </w:r>
      <w:proofErr w:type="spellStart"/>
      <w:r w:rsidRPr="004849E0">
        <w:rPr>
          <w:rFonts w:ascii="Times New Roman" w:hAnsi="Times New Roman"/>
          <w:sz w:val="22"/>
          <w:szCs w:val="22"/>
          <w:lang w:val="sk-SK"/>
        </w:rPr>
        <w:t>rukavicové</w:t>
      </w:r>
      <w:proofErr w:type="spellEnd"/>
      <w:r w:rsidRPr="004849E0">
        <w:rPr>
          <w:rFonts w:ascii="Times New Roman" w:hAnsi="Times New Roman"/>
          <w:sz w:val="22"/>
          <w:szCs w:val="22"/>
          <w:lang w:val="sk-SK"/>
        </w:rPr>
        <w:t xml:space="preserve"> prsty.</w:t>
      </w:r>
    </w:p>
    <w:p w:rsidR="00117058" w:rsidRPr="00BB4ABA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rPr>
          <w:rFonts w:ascii="Times New Roman" w:hAnsi="Times New Roman"/>
          <w:b/>
          <w:i/>
          <w:sz w:val="22"/>
          <w:szCs w:val="22"/>
          <w:lang w:val="sk-SK"/>
        </w:rPr>
      </w:pPr>
      <w:r w:rsidRPr="00795AA9">
        <w:rPr>
          <w:rFonts w:ascii="Times New Roman" w:hAnsi="Times New Roman"/>
          <w:i/>
          <w:noProof/>
          <w:sz w:val="22"/>
          <w:szCs w:val="22"/>
          <w:lang w:val="sk-SK"/>
        </w:rPr>
        <w:t>Pediatrická populácia</w:t>
      </w:r>
    </w:p>
    <w:p w:rsidR="00117058" w:rsidRPr="00D054F2" w:rsidRDefault="00117058" w:rsidP="00795AA9">
      <w:pPr>
        <w:pStyle w:val="Zkladntext"/>
        <w:spacing w:line="240" w:lineRule="auto"/>
        <w:rPr>
          <w:rFonts w:ascii="Times New Roman" w:hAnsi="Times New Roman"/>
          <w:b/>
          <w:i/>
          <w:sz w:val="22"/>
          <w:szCs w:val="22"/>
        </w:rPr>
      </w:pP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>Hĺbkov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štúdie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u detí </w:t>
      </w:r>
      <w:r>
        <w:rPr>
          <w:rFonts w:ascii="Times New Roman" w:hAnsi="Times New Roman"/>
          <w:sz w:val="22"/>
          <w:szCs w:val="22"/>
          <w:lang w:val="sk-SK"/>
        </w:rPr>
        <w:t>sa nevykonali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hodnotenie hlásených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klinických údajov nepreukázal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žiadne indikácie, pri ktorých by bolo možné očakávať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vznik nežiaducich účinkov u detí.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I napriek tomu sa smie </w:t>
      </w: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Canespor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sada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na nechty u dojčiat </w:t>
      </w:r>
      <w:r w:rsidRPr="00AB3A9A">
        <w:rPr>
          <w:rFonts w:ascii="Times New Roman" w:hAnsi="Times New Roman"/>
          <w:sz w:val="22"/>
          <w:szCs w:val="22"/>
          <w:lang w:val="sk-SK"/>
        </w:rPr>
        <w:t>a detí do 3 rokov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podávať len pod lekárskym dohľadom.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132B1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F132B1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117058" w:rsidRPr="00F645B1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AB3A9A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B3A9A">
        <w:rPr>
          <w:rFonts w:ascii="Times New Roman" w:hAnsi="Times New Roman"/>
          <w:sz w:val="22"/>
          <w:szCs w:val="22"/>
        </w:rPr>
        <w:t xml:space="preserve">Precitlivenosť na </w:t>
      </w:r>
      <w:proofErr w:type="spellStart"/>
      <w:r w:rsidRPr="00AB3A9A">
        <w:rPr>
          <w:rFonts w:ascii="Times New Roman" w:hAnsi="Times New Roman"/>
          <w:sz w:val="22"/>
          <w:szCs w:val="22"/>
        </w:rPr>
        <w:t>bifonazol</w:t>
      </w:r>
      <w:proofErr w:type="spellEnd"/>
      <w:r w:rsidRPr="00AB3A9A">
        <w:rPr>
          <w:rFonts w:ascii="Times New Roman" w:hAnsi="Times New Roman"/>
          <w:sz w:val="22"/>
          <w:szCs w:val="22"/>
        </w:rPr>
        <w:t xml:space="preserve"> alebo na ktorúkoľvek z pomocných látok uvedených v časti 6.1.</w:t>
      </w:r>
    </w:p>
    <w:p w:rsidR="00117058" w:rsidRPr="004849E0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117058" w:rsidRPr="00BB4ABA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B43357" w:rsidRDefault="00117058" w:rsidP="004C044D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Pacienti s anamnézou reakcií 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z </w:t>
      </w:r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precitlivenosti na iné </w:t>
      </w:r>
      <w:proofErr w:type="spellStart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>imidazolové</w:t>
      </w:r>
      <w:proofErr w:type="spellEnd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antimykotiká (napr. </w:t>
      </w:r>
      <w:proofErr w:type="spellStart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>ekonazol</w:t>
      </w:r>
      <w:proofErr w:type="spellEnd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</w:t>
      </w:r>
      <w:proofErr w:type="spellStart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>klotrimazol</w:t>
      </w:r>
      <w:proofErr w:type="spellEnd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</w:t>
      </w:r>
      <w:proofErr w:type="spellStart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>mikonazol</w:t>
      </w:r>
      <w:proofErr w:type="spellEnd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), musia užívať lieky s obsahom </w:t>
      </w:r>
      <w:proofErr w:type="spellStart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>bifonazolu</w:t>
      </w:r>
      <w:proofErr w:type="spellEnd"/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s opatrnosťou. </w:t>
      </w:r>
    </w:p>
    <w:p w:rsidR="00117058" w:rsidRPr="00F645B1" w:rsidRDefault="00117058" w:rsidP="004849E0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17058" w:rsidRPr="00B43357" w:rsidRDefault="00117058" w:rsidP="004849E0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AB3A9A">
        <w:rPr>
          <w:rFonts w:ascii="Times New Roman" w:hAnsi="Times New Roman" w:cs="Times New Roman"/>
          <w:b w:val="0"/>
          <w:bCs w:val="0"/>
          <w:sz w:val="22"/>
          <w:szCs w:val="22"/>
        </w:rPr>
        <w:t>Canespor</w:t>
      </w:r>
      <w:proofErr w:type="spellEnd"/>
      <w:r w:rsidRPr="00AB3A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AB3A9A">
        <w:rPr>
          <w:rFonts w:ascii="Times New Roman" w:hAnsi="Times New Roman" w:cs="Times New Roman"/>
          <w:b w:val="0"/>
          <w:bCs w:val="0"/>
          <w:sz w:val="22"/>
          <w:szCs w:val="22"/>
        </w:rPr>
        <w:t>sada</w:t>
      </w:r>
      <w:proofErr w:type="spellEnd"/>
      <w:r w:rsidRPr="00AB3A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na nechty sa nesmie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dostať do kontaktu s očami</w:t>
      </w:r>
      <w:r w:rsidRPr="00B43357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95AA9">
        <w:rPr>
          <w:rFonts w:ascii="Times New Roman" w:hAnsi="Times New Roman"/>
          <w:b w:val="0"/>
          <w:sz w:val="22"/>
          <w:szCs w:val="22"/>
        </w:rPr>
        <w:t>Perorálnemu požitiu je potrebné zabrániť.</w:t>
      </w:r>
      <w:r w:rsidRPr="00B4335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117058" w:rsidRPr="00F645B1" w:rsidRDefault="00117058" w:rsidP="00BB4AB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D0078B" w:rsidRDefault="00117058" w:rsidP="00795AA9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 w:rsidRPr="00AB3A9A">
        <w:rPr>
          <w:rFonts w:ascii="Times New Roman" w:hAnsi="Times New Roman"/>
          <w:sz w:val="22"/>
          <w:szCs w:val="22"/>
        </w:rPr>
        <w:t>Canespor</w:t>
      </w:r>
      <w:proofErr w:type="spellEnd"/>
      <w:r w:rsidRPr="00AB3A9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A9A">
        <w:rPr>
          <w:rFonts w:ascii="Times New Roman" w:hAnsi="Times New Roman"/>
          <w:sz w:val="22"/>
          <w:szCs w:val="22"/>
        </w:rPr>
        <w:t>sada</w:t>
      </w:r>
      <w:proofErr w:type="spellEnd"/>
      <w:r w:rsidRPr="00AB3A9A">
        <w:rPr>
          <w:rFonts w:ascii="Times New Roman" w:hAnsi="Times New Roman"/>
          <w:sz w:val="22"/>
          <w:szCs w:val="22"/>
        </w:rPr>
        <w:t xml:space="preserve"> na nechty</w:t>
      </w:r>
      <w:r w:rsidRPr="00AB3A9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B3A9A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môže</w:t>
      </w:r>
      <w:r w:rsidRPr="00AB3A9A">
        <w:rPr>
          <w:rFonts w:ascii="Times New Roman" w:hAnsi="Times New Roman"/>
          <w:sz w:val="22"/>
          <w:szCs w:val="22"/>
        </w:rPr>
        <w:t xml:space="preserve"> používať u</w:t>
      </w:r>
      <w:r w:rsidRPr="004C044D">
        <w:rPr>
          <w:rFonts w:ascii="Times New Roman" w:hAnsi="Times New Roman"/>
          <w:sz w:val="22"/>
          <w:szCs w:val="22"/>
        </w:rPr>
        <w:t xml:space="preserve"> dojčiat </w:t>
      </w:r>
      <w:r w:rsidRPr="004849E0">
        <w:rPr>
          <w:rFonts w:ascii="Times New Roman" w:hAnsi="Times New Roman"/>
          <w:sz w:val="22"/>
          <w:szCs w:val="22"/>
        </w:rPr>
        <w:t xml:space="preserve">a detí do 3 rokov </w:t>
      </w:r>
      <w:r>
        <w:rPr>
          <w:rFonts w:ascii="Times New Roman" w:hAnsi="Times New Roman"/>
          <w:sz w:val="22"/>
          <w:szCs w:val="22"/>
        </w:rPr>
        <w:t>len pod</w:t>
      </w:r>
      <w:r w:rsidRPr="004849E0">
        <w:rPr>
          <w:rFonts w:ascii="Times New Roman" w:hAnsi="Times New Roman"/>
          <w:sz w:val="22"/>
          <w:szCs w:val="22"/>
        </w:rPr>
        <w:t xml:space="preserve"> dohľad</w:t>
      </w:r>
      <w:r>
        <w:rPr>
          <w:rFonts w:ascii="Times New Roman" w:hAnsi="Times New Roman"/>
          <w:sz w:val="22"/>
          <w:szCs w:val="22"/>
        </w:rPr>
        <w:t>om</w:t>
      </w:r>
      <w:r w:rsidRPr="004849E0">
        <w:rPr>
          <w:rFonts w:ascii="Times New Roman" w:hAnsi="Times New Roman"/>
          <w:sz w:val="22"/>
          <w:szCs w:val="22"/>
        </w:rPr>
        <w:t xml:space="preserve"> lekára. </w:t>
      </w:r>
    </w:p>
    <w:p w:rsidR="00117058" w:rsidRPr="00BB4ABA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B43357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A7801">
        <w:rPr>
          <w:rFonts w:ascii="Times New Roman" w:hAnsi="Times New Roman"/>
          <w:sz w:val="22"/>
          <w:szCs w:val="22"/>
        </w:rPr>
        <w:t>Canespor</w:t>
      </w:r>
      <w:proofErr w:type="spell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A7801">
        <w:rPr>
          <w:rFonts w:ascii="Times New Roman" w:hAnsi="Times New Roman"/>
          <w:sz w:val="22"/>
          <w:szCs w:val="22"/>
        </w:rPr>
        <w:t>sada</w:t>
      </w:r>
      <w:proofErr w:type="spell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DA7801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43357">
        <w:rPr>
          <w:rFonts w:ascii="Times New Roman" w:hAnsi="Times New Roman"/>
          <w:sz w:val="22"/>
          <w:szCs w:val="22"/>
        </w:rPr>
        <w:t>nechty</w:t>
      </w:r>
      <w:proofErr w:type="spellEnd"/>
      <w:r w:rsidRPr="00795AA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95AA9">
        <w:rPr>
          <w:rFonts w:ascii="Times New Roman" w:hAnsi="Times New Roman"/>
          <w:bCs/>
          <w:sz w:val="22"/>
          <w:szCs w:val="22"/>
        </w:rPr>
        <w:t>obsahuje</w:t>
      </w:r>
      <w:proofErr w:type="spellEnd"/>
      <w:r w:rsidRPr="00795AA9">
        <w:rPr>
          <w:rFonts w:ascii="Times New Roman" w:hAnsi="Times New Roman"/>
          <w:bCs/>
          <w:sz w:val="22"/>
          <w:szCs w:val="22"/>
        </w:rPr>
        <w:t xml:space="preserve"> 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>lanolín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k-SK"/>
        </w:rPr>
        <w:t>M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ôže </w:t>
      </w:r>
      <w:r>
        <w:rPr>
          <w:rFonts w:ascii="Times New Roman" w:hAnsi="Times New Roman"/>
          <w:bCs/>
          <w:sz w:val="22"/>
          <w:szCs w:val="22"/>
          <w:lang w:val="sk-SK"/>
        </w:rPr>
        <w:t>vyvolať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 lokálne kožné reakcie (napr. kontaktnú dermatitídu).</w:t>
      </w:r>
    </w:p>
    <w:p w:rsidR="00117058" w:rsidRPr="00F645B1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AB3A9A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B3A9A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AB3A9A">
        <w:rPr>
          <w:rFonts w:ascii="Times New Roman" w:hAnsi="Times New Roman"/>
          <w:b/>
          <w:sz w:val="22"/>
          <w:szCs w:val="22"/>
          <w:lang w:val="sk-SK"/>
        </w:rPr>
        <w:tab/>
        <w:t>Liekové a iné interakcie</w:t>
      </w:r>
    </w:p>
    <w:p w:rsidR="00117058" w:rsidRPr="00AB3A9A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 Z obmedzených údajov vyplýva, že môže dochádzať k interakcii medzi lokálne podávaným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bifonazolom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warfarínom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, čo môže viesť k zvýšeniu INR. Pri súbežnom podávaní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warfarínu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je potrebné pacienta primerane sledovať.</w:t>
      </w:r>
    </w:p>
    <w:p w:rsidR="00117058" w:rsidRPr="00F355E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567BC" w:rsidRDefault="00117058" w:rsidP="00795AA9">
      <w:pPr>
        <w:numPr>
          <w:ilvl w:val="1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D054F2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Pr="00D054F2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D054F2">
        <w:rPr>
          <w:rFonts w:ascii="Times New Roman" w:hAnsi="Times New Roman"/>
          <w:b/>
          <w:sz w:val="22"/>
          <w:szCs w:val="22"/>
        </w:rPr>
        <w:t>gravidita</w:t>
      </w:r>
      <w:proofErr w:type="spellEnd"/>
      <w:r w:rsidRPr="00D054F2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D054F2">
        <w:rPr>
          <w:rFonts w:ascii="Times New Roman" w:hAnsi="Times New Roman"/>
          <w:b/>
          <w:sz w:val="22"/>
          <w:szCs w:val="22"/>
        </w:rPr>
        <w:t>laktácia</w:t>
      </w:r>
      <w:proofErr w:type="spellEnd"/>
    </w:p>
    <w:p w:rsidR="00117058" w:rsidRPr="00404E4B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795AA9">
        <w:rPr>
          <w:rFonts w:ascii="Times New Roman" w:hAnsi="Times New Roman"/>
          <w:sz w:val="22"/>
          <w:szCs w:val="22"/>
          <w:u w:val="single"/>
        </w:rPr>
        <w:t>Gravidita</w:t>
      </w:r>
    </w:p>
    <w:p w:rsidR="00117058" w:rsidRDefault="00117058" w:rsidP="004849E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>Predklinické údaje o bezpečnosti a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farmakokinetické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údaje u ľudí nenaznačujú škodlivé účinky na matku a dieťa pri používaní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počas gravidity </w:t>
      </w:r>
      <w:r w:rsidRPr="00795AA9">
        <w:rPr>
          <w:rFonts w:ascii="Times New Roman" w:hAnsi="Times New Roman"/>
          <w:sz w:val="22"/>
          <w:szCs w:val="22"/>
          <w:lang w:val="sk-SK"/>
        </w:rPr>
        <w:t>(pozri časť 5.3).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>Nie sú však dostupné žiadne klinické údaje.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Ako preventívne opatrenie sa odporúča nepoužívať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počas prvého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trimestra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gravidity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Default="00117058" w:rsidP="00BB4AB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Nie sú k dispozícii žiadne údaje o použ</w:t>
      </w:r>
      <w:r>
        <w:rPr>
          <w:rFonts w:ascii="Times New Roman" w:hAnsi="Times New Roman"/>
          <w:sz w:val="22"/>
          <w:szCs w:val="22"/>
          <w:lang w:val="sk-SK"/>
        </w:rPr>
        <w:t>ití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močoviny u gravidných žien. Zo štúdií </w:t>
      </w:r>
      <w:r>
        <w:rPr>
          <w:rFonts w:ascii="Times New Roman" w:hAnsi="Times New Roman"/>
          <w:sz w:val="22"/>
          <w:szCs w:val="22"/>
          <w:lang w:val="sk-SK"/>
        </w:rPr>
        <w:t xml:space="preserve">reprodukčnej toxicity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na zvieratách nevyplývajú žiadne priame ani nepriame škodlivé účinky (pozri časť 5.3). Ako </w:t>
      </w:r>
      <w:r w:rsidRPr="00795AA9">
        <w:rPr>
          <w:rFonts w:ascii="Times New Roman" w:hAnsi="Times New Roman"/>
          <w:sz w:val="22"/>
          <w:szCs w:val="22"/>
          <w:lang w:val="sk-SK"/>
        </w:rPr>
        <w:lastRenderedPageBreak/>
        <w:t xml:space="preserve">preventívne opatrenie sa odporúča nepoužívať močovinu (alebo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masť) počas prvého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trimestra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gravidity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795AA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117058" w:rsidRPr="00795AA9" w:rsidRDefault="00117058" w:rsidP="00795AA9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Nie je známe, či sa </w:t>
      </w:r>
      <w:proofErr w:type="spellStart"/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t>bifonazol</w:t>
      </w:r>
      <w:proofErr w:type="spellEnd"/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vylučuje do materského mlieka u ľudí. </w:t>
      </w:r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Vylučovanie </w:t>
      </w:r>
      <w:proofErr w:type="spellStart"/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>bifonazolu</w:t>
      </w:r>
      <w:proofErr w:type="spellEnd"/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do mlieka sa  skúmalo na zvieratách.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Dostupné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farmakodynamické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/toxikologické údaje u zvierat dokázali vylučovanie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jeho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do mlieka (pozri časť 5.3). Počas liečby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bifonazolom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sz w:val="22"/>
          <w:szCs w:val="22"/>
          <w:lang w:val="sk-SK"/>
        </w:rPr>
        <w:t xml:space="preserve">má </w:t>
      </w:r>
      <w:r w:rsidRPr="00795AA9">
        <w:rPr>
          <w:rFonts w:ascii="Times New Roman" w:hAnsi="Times New Roman"/>
          <w:sz w:val="22"/>
          <w:szCs w:val="22"/>
          <w:lang w:val="sk-SK"/>
        </w:rPr>
        <w:t>dojčenie prerušiť.</w:t>
      </w:r>
    </w:p>
    <w:p w:rsidR="00117058" w:rsidRDefault="00117058" w:rsidP="00F645B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AA654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 xml:space="preserve">Nie je známe, či sa močovina vylučuje do </w:t>
      </w:r>
      <w:r>
        <w:rPr>
          <w:rFonts w:ascii="Times New Roman" w:hAnsi="Times New Roman"/>
          <w:sz w:val="22"/>
          <w:szCs w:val="22"/>
          <w:lang w:val="sk-SK"/>
        </w:rPr>
        <w:t>mater</w:t>
      </w:r>
      <w:r w:rsidRPr="00795AA9">
        <w:rPr>
          <w:rFonts w:ascii="Times New Roman" w:hAnsi="Times New Roman"/>
          <w:sz w:val="22"/>
          <w:szCs w:val="22"/>
          <w:lang w:val="sk-SK"/>
        </w:rPr>
        <w:t>ského mlieka</w:t>
      </w:r>
      <w:r>
        <w:rPr>
          <w:rFonts w:ascii="Times New Roman" w:hAnsi="Times New Roman"/>
          <w:sz w:val="22"/>
          <w:szCs w:val="22"/>
          <w:lang w:val="sk-SK"/>
        </w:rPr>
        <w:t xml:space="preserve"> u ľudí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Počas liečby močovinou alebo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dermálnou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masťou sa má dojčenie prerušiť.</w:t>
      </w:r>
    </w:p>
    <w:p w:rsidR="00117058" w:rsidRPr="00F355E3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795AA9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:rsidR="00117058" w:rsidRPr="00795AA9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Predklinické štúdie ne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kázali, že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m</w:t>
      </w:r>
      <w:r>
        <w:rPr>
          <w:rFonts w:ascii="Times New Roman" w:hAnsi="Times New Roman"/>
          <w:sz w:val="22"/>
          <w:szCs w:val="22"/>
          <w:lang w:val="sk-SK"/>
        </w:rPr>
        <w:t>ôže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poškodzovať mužskú alebo ženskú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(pozri časť 5.3).</w:t>
      </w:r>
    </w:p>
    <w:p w:rsidR="00117058" w:rsidRPr="00404E4B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795AA9" w:rsidRDefault="00117058" w:rsidP="004849E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Predklinické štúdie ne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795AA9">
        <w:rPr>
          <w:rFonts w:ascii="Times New Roman" w:hAnsi="Times New Roman"/>
          <w:sz w:val="22"/>
          <w:szCs w:val="22"/>
          <w:lang w:val="sk-SK"/>
        </w:rPr>
        <w:t>kázali</w:t>
      </w:r>
      <w:r>
        <w:rPr>
          <w:rFonts w:ascii="Times New Roman" w:hAnsi="Times New Roman"/>
          <w:sz w:val="22"/>
          <w:szCs w:val="22"/>
          <w:lang w:val="sk-SK"/>
        </w:rPr>
        <w:t xml:space="preserve"> potenciálny škodlivý účinok močoviny na spermie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(pozri časť 5.3). O možných účinkoch na ženskú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nie sú k dispozícii žiadne </w:t>
      </w:r>
      <w:r>
        <w:rPr>
          <w:rFonts w:ascii="Times New Roman" w:hAnsi="Times New Roman"/>
          <w:sz w:val="22"/>
          <w:szCs w:val="22"/>
          <w:lang w:val="sk-SK"/>
        </w:rPr>
        <w:t>údaje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EF6AD3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EF6AD3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117058" w:rsidRDefault="00117058" w:rsidP="00E75159">
      <w:pPr>
        <w:numPr>
          <w:ilvl w:val="1"/>
          <w:numId w:val="11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:rsidR="00117058" w:rsidRPr="00404E4B" w:rsidRDefault="00117058" w:rsidP="00E75159">
      <w:pPr>
        <w:ind w:left="72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noProof/>
          <w:sz w:val="22"/>
          <w:szCs w:val="22"/>
          <w:lang w:val="sk-SK"/>
        </w:rPr>
        <w:t xml:space="preserve">Canespor sada na nechty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nemá žiadny alebo má zanedbateľný vplyv na schopnosť viesť vozidlá a obsluhovať stroje.</w:t>
      </w:r>
    </w:p>
    <w:p w:rsidR="00117058" w:rsidRPr="00404E4B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4C044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E75159">
        <w:rPr>
          <w:rFonts w:ascii="Times New Roman" w:hAnsi="Times New Roman"/>
          <w:bCs/>
          <w:sz w:val="22"/>
          <w:szCs w:val="22"/>
          <w:u w:val="single"/>
          <w:lang w:val="sk-SK"/>
        </w:rPr>
        <w:t>Poruchy kože a podkožného tkaniva</w:t>
      </w:r>
      <w:r w:rsidRPr="00F132B1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:rsidR="00117058" w:rsidRPr="00D054F2" w:rsidRDefault="00117058" w:rsidP="004C044D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Kontaktná dermatitída, macerácia kože, </w:t>
      </w:r>
      <w:r>
        <w:rPr>
          <w:rFonts w:ascii="Times New Roman" w:hAnsi="Times New Roman"/>
          <w:sz w:val="22"/>
          <w:szCs w:val="22"/>
          <w:lang w:val="sk-SK"/>
        </w:rPr>
        <w:t>odlupovanie pokožky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deskvamácia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>porucha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nechtov, zmena farby nechtov, </w:t>
      </w:r>
      <w:proofErr w:type="spellStart"/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>erytém</w:t>
      </w:r>
      <w:proofErr w:type="spellEnd"/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 podráždenie kože,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bolesť v mieste </w:t>
      </w:r>
      <w:r>
        <w:rPr>
          <w:rFonts w:ascii="Times New Roman" w:hAnsi="Times New Roman"/>
          <w:sz w:val="22"/>
          <w:szCs w:val="22"/>
          <w:lang w:val="sk-SK"/>
        </w:rPr>
        <w:t>podania</w:t>
      </w:r>
      <w:r w:rsidRPr="00795AA9">
        <w:rPr>
          <w:rFonts w:ascii="Times New Roman" w:hAnsi="Times New Roman"/>
          <w:sz w:val="22"/>
          <w:szCs w:val="22"/>
          <w:lang w:val="sk-SK"/>
        </w:rPr>
        <w:t>, bolesť končatín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</w:t>
      </w:r>
      <w:proofErr w:type="spellStart"/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>pruritus</w:t>
      </w:r>
      <w:proofErr w:type="spellEnd"/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>, vyrážka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>.</w:t>
      </w:r>
    </w:p>
    <w:p w:rsidR="00117058" w:rsidRPr="004567BC" w:rsidRDefault="00117058" w:rsidP="004849E0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404E4B" w:rsidRDefault="00117058" w:rsidP="00BB4ABA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 w:eastAsia="en-US"/>
        </w:rPr>
      </w:pPr>
      <w:r w:rsidRPr="00404E4B">
        <w:rPr>
          <w:rFonts w:ascii="Times New Roman" w:hAnsi="Times New Roman"/>
          <w:sz w:val="22"/>
          <w:szCs w:val="22"/>
          <w:lang w:val="sk-SK" w:eastAsia="en-US"/>
        </w:rPr>
        <w:t xml:space="preserve">Tieto nežiaduce účinky sú po </w:t>
      </w:r>
      <w:r>
        <w:rPr>
          <w:rFonts w:ascii="Times New Roman" w:hAnsi="Times New Roman"/>
          <w:sz w:val="22"/>
          <w:szCs w:val="22"/>
          <w:lang w:val="sk-SK" w:eastAsia="en-US"/>
        </w:rPr>
        <w:t>ukončení</w:t>
      </w:r>
      <w:r w:rsidRPr="00404E4B">
        <w:rPr>
          <w:rFonts w:ascii="Times New Roman" w:hAnsi="Times New Roman"/>
          <w:sz w:val="22"/>
          <w:szCs w:val="22"/>
          <w:lang w:val="sk-SK" w:eastAsia="en-US"/>
        </w:rPr>
        <w:t xml:space="preserve"> liečby reverzibilné. </w:t>
      </w:r>
    </w:p>
    <w:p w:rsidR="00117058" w:rsidRPr="00404E4B" w:rsidRDefault="00117058" w:rsidP="00795AA9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 w:eastAsia="en-US"/>
        </w:rPr>
        <w:t xml:space="preserve">  </w:t>
      </w:r>
    </w:p>
    <w:p w:rsidR="00117058" w:rsidRPr="003847F5" w:rsidRDefault="00117058" w:rsidP="00F645B1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3847F5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117058" w:rsidRPr="00795AA9" w:rsidRDefault="00117058" w:rsidP="00AB3A9A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505296" w:rsidRPr="00505296">
        <w:rPr>
          <w:rFonts w:ascii="Times New Roman" w:hAnsi="Times New Roman"/>
          <w:noProof/>
          <w:sz w:val="22"/>
          <w:szCs w:val="22"/>
          <w:lang w:val="sk-SK"/>
        </w:rPr>
        <w:t xml:space="preserve">na </w:t>
      </w:r>
      <w:r w:rsidR="00505296" w:rsidRPr="0050529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 centrum hlásenia uvedené</w:t>
      </w:r>
      <w:r w:rsidR="00505296" w:rsidRPr="00505296">
        <w:rPr>
          <w:noProof/>
          <w:szCs w:val="22"/>
          <w:highlight w:val="lightGray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FC62BA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FC62BA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054F2">
        <w:rPr>
          <w:rFonts w:ascii="Times New Roman" w:hAnsi="Times New Roman"/>
          <w:b/>
          <w:sz w:val="22"/>
          <w:szCs w:val="22"/>
          <w:lang w:val="sk-SK"/>
        </w:rPr>
        <w:t xml:space="preserve">4.9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D054F2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117058" w:rsidRPr="004567BC" w:rsidRDefault="00117058" w:rsidP="004C044D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404E4B" w:rsidRDefault="00117058" w:rsidP="004849E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404E4B">
        <w:rPr>
          <w:rFonts w:ascii="Times New Roman" w:hAnsi="Times New Roman"/>
          <w:sz w:val="22"/>
          <w:szCs w:val="22"/>
        </w:rPr>
        <w:t xml:space="preserve">Nepredpokladá sa žiadne riziko akútnej intoxikácie, pretože je nepravdepodobné, že by došlo k predávkovaniu prostredníctvom </w:t>
      </w:r>
      <w:r w:rsidRPr="00DA7801">
        <w:rPr>
          <w:rFonts w:ascii="Times New Roman" w:hAnsi="Times New Roman"/>
          <w:sz w:val="22"/>
          <w:szCs w:val="22"/>
        </w:rPr>
        <w:t>jedin</w:t>
      </w:r>
      <w:r>
        <w:rPr>
          <w:rFonts w:ascii="Times New Roman" w:hAnsi="Times New Roman"/>
          <w:sz w:val="22"/>
          <w:szCs w:val="22"/>
        </w:rPr>
        <w:t>ého</w:t>
      </w:r>
      <w:r w:rsidRPr="00DA7801">
        <w:rPr>
          <w:rFonts w:ascii="Times New Roman" w:hAnsi="Times New Roman"/>
          <w:sz w:val="22"/>
          <w:szCs w:val="22"/>
        </w:rPr>
        <w:t xml:space="preserve"> kožn</w:t>
      </w:r>
      <w:r>
        <w:rPr>
          <w:rFonts w:ascii="Times New Roman" w:hAnsi="Times New Roman"/>
          <w:sz w:val="22"/>
          <w:szCs w:val="22"/>
        </w:rPr>
        <w:t>ého</w:t>
      </w:r>
      <w:r w:rsidRPr="00DA780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podania</w:t>
      </w:r>
      <w:r w:rsidRPr="00DA7801">
        <w:rPr>
          <w:rFonts w:ascii="Times New Roman" w:hAnsi="Times New Roman"/>
          <w:sz w:val="22"/>
          <w:szCs w:val="22"/>
        </w:rPr>
        <w:t xml:space="preserve"> </w:t>
      </w:r>
      <w:r w:rsidRPr="00404E4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podanie</w:t>
      </w:r>
      <w:r w:rsidRPr="00404E4B">
        <w:rPr>
          <w:rFonts w:ascii="Times New Roman" w:hAnsi="Times New Roman"/>
          <w:sz w:val="22"/>
          <w:szCs w:val="22"/>
        </w:rPr>
        <w:t xml:space="preserve"> na veľkú plochu a to v podmienkach priaznivých pre absorpciu) alebo prostredníctvom neúmyselného perorálneho požitia.</w:t>
      </w:r>
    </w:p>
    <w:p w:rsidR="00117058" w:rsidRPr="00404E4B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132B1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F132B1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117058" w:rsidRPr="00F645B1" w:rsidRDefault="00117058" w:rsidP="00AB3A9A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117058" w:rsidRPr="004C044D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B3A9A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AB3A9A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B3A9A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AB3A9A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117058" w:rsidRPr="004849E0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F645B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B4ABA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BB4ABA">
        <w:rPr>
          <w:rFonts w:ascii="Times New Roman" w:hAnsi="Times New Roman"/>
          <w:sz w:val="22"/>
          <w:szCs w:val="22"/>
          <w:lang w:val="sk-SK"/>
        </w:rPr>
        <w:t xml:space="preserve"> skupina: 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antimykotiká používané v dermatológii,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imidazolové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triazolové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deriváty</w:t>
      </w:r>
    </w:p>
    <w:p w:rsidR="00117058" w:rsidRPr="00404E4B" w:rsidRDefault="00117058" w:rsidP="00AB3A9A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ATC kód: D01AC60</w:t>
      </w:r>
    </w:p>
    <w:p w:rsidR="00117058" w:rsidRPr="00404E4B" w:rsidRDefault="00117058" w:rsidP="004C044D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u w:val="single"/>
          <w:lang w:val="sk-SK"/>
        </w:rPr>
        <w:t>Mechanizmus účinku</w:t>
      </w:r>
    </w:p>
    <w:p w:rsidR="00117058" w:rsidRPr="00795AA9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lastRenderedPageBreak/>
        <w:t>Bifonazol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je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imidazolový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derivát so širokým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antimykotickým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spektrom účinku, ktoré zahŕňa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dermatofyty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, kvasinky, plesne a iné huby. Močovina pôsobí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keratoplasticky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4849E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F132B1" w:rsidRDefault="00117058" w:rsidP="00BB4AB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 w:rsidRPr="00F132B1">
        <w:rPr>
          <w:rFonts w:ascii="Times New Roman" w:hAnsi="Times New Roman"/>
          <w:sz w:val="22"/>
          <w:szCs w:val="22"/>
        </w:rPr>
        <w:t>Bifonazol</w:t>
      </w:r>
      <w:proofErr w:type="spellEnd"/>
      <w:r w:rsidRPr="00F13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32B1">
        <w:rPr>
          <w:rFonts w:ascii="Times New Roman" w:hAnsi="Times New Roman"/>
          <w:sz w:val="22"/>
          <w:szCs w:val="22"/>
        </w:rPr>
        <w:t>inhibuje</w:t>
      </w:r>
      <w:proofErr w:type="spellEnd"/>
      <w:r w:rsidRPr="00F13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32B1">
        <w:rPr>
          <w:rFonts w:ascii="Times New Roman" w:hAnsi="Times New Roman"/>
          <w:sz w:val="22"/>
          <w:szCs w:val="22"/>
        </w:rPr>
        <w:t>biosyntézu</w:t>
      </w:r>
      <w:proofErr w:type="spellEnd"/>
      <w:r w:rsidRPr="00F13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32B1">
        <w:rPr>
          <w:rFonts w:ascii="Times New Roman" w:hAnsi="Times New Roman"/>
          <w:sz w:val="22"/>
          <w:szCs w:val="22"/>
        </w:rPr>
        <w:t>ergosterolu</w:t>
      </w:r>
      <w:proofErr w:type="spellEnd"/>
      <w:r w:rsidRPr="00F132B1">
        <w:rPr>
          <w:rFonts w:ascii="Times New Roman" w:hAnsi="Times New Roman"/>
          <w:sz w:val="22"/>
          <w:szCs w:val="22"/>
        </w:rPr>
        <w:t xml:space="preserve"> na dvoch rôznych úrovniach</w:t>
      </w:r>
      <w:r>
        <w:rPr>
          <w:rFonts w:ascii="Times New Roman" w:hAnsi="Times New Roman"/>
          <w:sz w:val="22"/>
          <w:szCs w:val="22"/>
        </w:rPr>
        <w:t>,</w:t>
      </w:r>
      <w:r w:rsidRPr="00F132B1">
        <w:rPr>
          <w:rFonts w:ascii="Times New Roman" w:hAnsi="Times New Roman"/>
          <w:sz w:val="22"/>
          <w:szCs w:val="22"/>
        </w:rPr>
        <w:t xml:space="preserve"> na rozdiel od </w:t>
      </w:r>
      <w:proofErr w:type="spellStart"/>
      <w:r w:rsidRPr="00F132B1">
        <w:rPr>
          <w:rFonts w:ascii="Times New Roman" w:hAnsi="Times New Roman"/>
          <w:sz w:val="22"/>
          <w:szCs w:val="22"/>
        </w:rPr>
        <w:t>azolových</w:t>
      </w:r>
      <w:proofErr w:type="spellEnd"/>
      <w:r w:rsidRPr="00F132B1">
        <w:rPr>
          <w:rFonts w:ascii="Times New Roman" w:hAnsi="Times New Roman"/>
          <w:sz w:val="22"/>
          <w:szCs w:val="22"/>
        </w:rPr>
        <w:t xml:space="preserve"> derivátov a od ostatných antimykotík, ktoré pôsobia iba na jednej úrovni</w:t>
      </w:r>
      <w:r>
        <w:rPr>
          <w:rFonts w:ascii="Times New Roman" w:hAnsi="Times New Roman"/>
          <w:sz w:val="22"/>
          <w:szCs w:val="22"/>
        </w:rPr>
        <w:t>.</w:t>
      </w:r>
      <w:r w:rsidRPr="00F13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Inhibícia syntézy </w:t>
      </w:r>
      <w:proofErr w:type="spellStart"/>
      <w:r>
        <w:rPr>
          <w:rFonts w:ascii="Times New Roman" w:hAnsi="Times New Roman"/>
          <w:sz w:val="22"/>
          <w:szCs w:val="22"/>
        </w:rPr>
        <w:t>ergosterolu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132B1">
        <w:rPr>
          <w:rFonts w:ascii="Times New Roman" w:hAnsi="Times New Roman"/>
          <w:sz w:val="22"/>
          <w:szCs w:val="22"/>
        </w:rPr>
        <w:t>vedie k poruchám štruktúry a funkcie cytoplazmatickej membrány.</w:t>
      </w:r>
    </w:p>
    <w:p w:rsidR="00117058" w:rsidRPr="00795AA9" w:rsidRDefault="00117058" w:rsidP="00795AA9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Hodnoty minimálnej inhibičnej koncentrácie (MIC) pre uvedené typy húb sú v rozmedzí 0,062 – 16 µg/ml.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vykazuje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fungicídny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účinok proti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dermatofytom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Pr="00F355E3">
        <w:rPr>
          <w:rFonts w:ascii="Times New Roman" w:hAnsi="Times New Roman"/>
          <w:i/>
          <w:sz w:val="22"/>
          <w:szCs w:val="22"/>
          <w:lang w:val="sk-SK"/>
        </w:rPr>
        <w:t>Trichophyton</w:t>
      </w:r>
      <w:proofErr w:type="spellEnd"/>
      <w:r w:rsidRPr="00F355E3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355E3">
        <w:rPr>
          <w:rFonts w:ascii="Times New Roman" w:hAnsi="Times New Roman"/>
          <w:i/>
          <w:sz w:val="22"/>
          <w:szCs w:val="22"/>
          <w:lang w:val="sk-SK"/>
        </w:rPr>
        <w:t>spp</w:t>
      </w:r>
      <w:proofErr w:type="spellEnd"/>
      <w:r w:rsidRPr="00F355E3">
        <w:rPr>
          <w:rFonts w:ascii="Times New Roman" w:hAnsi="Times New Roman"/>
          <w:i/>
          <w:sz w:val="22"/>
          <w:szCs w:val="22"/>
          <w:lang w:val="sk-SK"/>
        </w:rPr>
        <w:t>.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, ktorý sa dosiahne pri koncentrácií 5 µg/ml a expozícii 6 hodín. Účinok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na kvasinky, napr. </w:t>
      </w:r>
      <w:proofErr w:type="spellStart"/>
      <w:r w:rsidRPr="00F355E3">
        <w:rPr>
          <w:rFonts w:ascii="Times New Roman" w:hAnsi="Times New Roman"/>
          <w:i/>
          <w:sz w:val="22"/>
          <w:szCs w:val="22"/>
          <w:lang w:val="sk-SK"/>
        </w:rPr>
        <w:t>Candida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je pri koncentrácii 1 – 4 µg/ml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fungistatický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, pri koncentrácii 20 µg/ml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fungicídny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>. U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kokov s výnimkou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enterokokov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sú hodnoty MIC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v rozmedzí 4 – 16 µg/ml. U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korynebaktérií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je MIC medzi 0,5 – 2 µg/ml. </w:t>
      </w:r>
      <w:r w:rsidRPr="00EF6AD3">
        <w:rPr>
          <w:rFonts w:ascii="Times New Roman" w:hAnsi="Times New Roman"/>
          <w:sz w:val="22"/>
          <w:szCs w:val="22"/>
          <w:lang w:val="sk-SK"/>
        </w:rPr>
        <w:t>Z hľadiska rezistencie je situ</w:t>
      </w:r>
      <w:r w:rsidRPr="00D054F2">
        <w:rPr>
          <w:rFonts w:ascii="Times New Roman" w:hAnsi="Times New Roman"/>
          <w:sz w:val="22"/>
          <w:szCs w:val="22"/>
          <w:lang w:val="sk-SK"/>
        </w:rPr>
        <w:t xml:space="preserve">ácia pri </w:t>
      </w:r>
      <w:proofErr w:type="spellStart"/>
      <w:r w:rsidRPr="00D054F2">
        <w:rPr>
          <w:rFonts w:ascii="Times New Roman" w:hAnsi="Times New Roman"/>
          <w:sz w:val="22"/>
          <w:szCs w:val="22"/>
          <w:lang w:val="sk-SK"/>
        </w:rPr>
        <w:t>bifonazol</w:t>
      </w:r>
      <w:r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Pr="00D054F2">
        <w:rPr>
          <w:rFonts w:ascii="Times New Roman" w:hAnsi="Times New Roman"/>
          <w:sz w:val="22"/>
          <w:szCs w:val="22"/>
          <w:lang w:val="sk-SK"/>
        </w:rPr>
        <w:t xml:space="preserve"> priaznivá. </w:t>
      </w:r>
      <w:r w:rsidRPr="00F355E3">
        <w:rPr>
          <w:rFonts w:ascii="Times New Roman" w:hAnsi="Times New Roman"/>
          <w:sz w:val="22"/>
          <w:szCs w:val="22"/>
          <w:lang w:val="sk-SK"/>
        </w:rPr>
        <w:t>Primárne rezistentné kmene sú vzácne. Výskumy doteraz nepreukázali vývoj sekundárnej rezistencie u primárne citlivých kmeňov.</w:t>
      </w: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Močovina je prirodzene sa vyskytujúcou látkou, ktorá sa nachádza napr. v ľudskom tele. Pri používaní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masti sa keratín infikovaného nechtu zmäkčuje prostredníctvom močoviny, čo umožňuje neinvazívne a bezbolestné odstránenie infikovaného nechtu. Okrem toho </w:t>
      </w:r>
      <w:r w:rsidRPr="00F355E3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Pr="00F355E3">
        <w:rPr>
          <w:rFonts w:ascii="Times New Roman" w:hAnsi="Times New Roman"/>
          <w:i/>
          <w:sz w:val="22"/>
          <w:szCs w:val="22"/>
          <w:lang w:val="sk-SK"/>
        </w:rPr>
        <w:t>vitro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štúdie preukázali, že na infikovaných nechtoch nôh močovina zlepšuje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penetráciu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. Kombinácia týchto látok teda zlepšuje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antimykotický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účinok.</w:t>
      </w:r>
    </w:p>
    <w:p w:rsidR="00117058" w:rsidRPr="00F355E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17058" w:rsidRPr="00EF6AD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EF6AD3">
        <w:rPr>
          <w:rFonts w:ascii="Times New Roman" w:hAnsi="Times New Roman"/>
          <w:b/>
          <w:sz w:val="22"/>
          <w:szCs w:val="22"/>
          <w:lang w:val="sk-SK"/>
        </w:rPr>
        <w:t>5.2.</w:t>
      </w:r>
      <w:r w:rsidRPr="00EF6AD3">
        <w:rPr>
          <w:rFonts w:ascii="Times New Roman" w:hAnsi="Times New Roman"/>
          <w:b/>
          <w:sz w:val="22"/>
          <w:szCs w:val="22"/>
          <w:lang w:val="sk-SK"/>
        </w:rPr>
        <w:tab/>
        <w:t xml:space="preserve"> </w:t>
      </w:r>
      <w:proofErr w:type="spellStart"/>
      <w:r w:rsidRPr="00EF6AD3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EF6AD3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117058" w:rsidRPr="00D054F2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795AA9"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Príslušné plazmatické hladiny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>, ktoré boli výsledkom lieč</w:t>
      </w:r>
      <w:r>
        <w:rPr>
          <w:rFonts w:ascii="Times New Roman" w:hAnsi="Times New Roman"/>
          <w:sz w:val="22"/>
          <w:szCs w:val="22"/>
          <w:lang w:val="sk-SK"/>
        </w:rPr>
        <w:t>by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masťou s obsahom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, boli vždy nižšie ako detekčný limit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(tzn. &lt; 1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ng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>/ml).</w:t>
      </w: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EF6AD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117058" w:rsidRPr="00404E4B" w:rsidRDefault="00117058" w:rsidP="00AB3A9A">
      <w:pPr>
        <w:pStyle w:val="Nadpis1"/>
        <w:spacing w:line="240" w:lineRule="auto"/>
        <w:jc w:val="left"/>
        <w:rPr>
          <w:rFonts w:ascii="Times New Roman" w:hAnsi="Times New Roman"/>
          <w:b/>
          <w:i/>
          <w:sz w:val="22"/>
          <w:szCs w:val="22"/>
          <w:u w:val="none"/>
        </w:rPr>
      </w:pPr>
    </w:p>
    <w:p w:rsidR="00117058" w:rsidRPr="00F645B1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Predklinické údaje na základe obvyklých </w:t>
      </w:r>
      <w:r>
        <w:rPr>
          <w:rFonts w:ascii="Times New Roman" w:hAnsi="Times New Roman"/>
          <w:sz w:val="22"/>
          <w:szCs w:val="22"/>
          <w:lang w:val="sk-SK"/>
        </w:rPr>
        <w:t xml:space="preserve">farmakologických </w:t>
      </w:r>
      <w:r w:rsidRPr="00404E4B">
        <w:rPr>
          <w:rFonts w:ascii="Times New Roman" w:hAnsi="Times New Roman"/>
          <w:sz w:val="22"/>
          <w:szCs w:val="22"/>
          <w:lang w:val="sk-SK"/>
        </w:rPr>
        <w:t>štúdií bezpečnosti, toxicity po jednorazovom podaní a </w:t>
      </w:r>
      <w:proofErr w:type="spellStart"/>
      <w:r w:rsidRPr="00404E4B">
        <w:rPr>
          <w:rFonts w:ascii="Times New Roman" w:hAnsi="Times New Roman"/>
          <w:sz w:val="22"/>
          <w:szCs w:val="22"/>
          <w:lang w:val="sk-SK"/>
        </w:rPr>
        <w:t>genotoxicity</w:t>
      </w:r>
      <w:proofErr w:type="spellEnd"/>
      <w:r w:rsidRPr="00404E4B">
        <w:rPr>
          <w:rFonts w:ascii="Times New Roman" w:hAnsi="Times New Roman"/>
          <w:sz w:val="22"/>
          <w:szCs w:val="22"/>
          <w:lang w:val="sk-SK"/>
        </w:rPr>
        <w:t xml:space="preserve"> neodhalili žiadne osobitné riziko pre ľudí. Účinky na pečeň </w:t>
      </w:r>
      <w:r w:rsidRPr="00404E4B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(indukcia enzýmov, odbúravanie tukov) sa pozorovali v štúdiách toxicity po opakovanom perorálnom podávaní, no iba pri expozíciách presahujúcich maximálne expozície u ľudí, </w:t>
      </w:r>
      <w:r w:rsidRPr="00F132B1">
        <w:rPr>
          <w:rFonts w:ascii="Times New Roman" w:hAnsi="Times New Roman"/>
          <w:noProof/>
          <w:sz w:val="22"/>
          <w:szCs w:val="22"/>
          <w:lang w:val="sk-SK"/>
        </w:rPr>
        <w:t xml:space="preserve">čo poukazuje na malý význam pre klinické použitie. 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>Štúdie karcinogenity s </w:t>
      </w:r>
      <w:proofErr w:type="spellStart"/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>bifonazolom</w:t>
      </w:r>
      <w:proofErr w:type="spellEnd"/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sa nevykonali.</w:t>
      </w:r>
    </w:p>
    <w:p w:rsidR="00117058" w:rsidRPr="00AB3A9A" w:rsidRDefault="00117058" w:rsidP="00514227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EF6AD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>Štúdie reprodukčnej toxicity na  králikoch s perorálnymi dávkami 30 mg/kg telesnej hmotnosti  viedli k </w:t>
      </w:r>
      <w:proofErr w:type="spellStart"/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>embryotoxicite</w:t>
      </w:r>
      <w:proofErr w:type="spellEnd"/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vrátane letality.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U potkanov nebol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bifonazol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embryotoxický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v perorálnych dávkach do 100 mg/kg telesnej hmotnosti, ale pri dávke 100 mg/kg sa </w:t>
      </w:r>
      <w:r>
        <w:rPr>
          <w:rFonts w:ascii="Times New Roman" w:hAnsi="Times New Roman"/>
          <w:sz w:val="22"/>
          <w:szCs w:val="22"/>
          <w:lang w:val="sk-SK"/>
        </w:rPr>
        <w:t xml:space="preserve">u plodu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pozoroval retardovaný vývoj skeletu. Tento účinok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fetálny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vývoj skeletu sa môže považovať za sekundárny účinok v dôsledku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maternálnej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toxicity (redukcia telesnej hmotnosti). Vzhľadom na nízku absorpciu liečiva cez kožu </w:t>
      </w: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majú tieto nálezy malý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význam pre klinické použitie.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U potkanov s perorálnymi dávkami do 40 mg/kg telesnej hmotnosti sa nepozorovalo žiadne poškodenie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fertility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samcov a samíc.</w:t>
      </w:r>
    </w:p>
    <w:p w:rsidR="00117058" w:rsidRPr="00D054F2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Neklinické údaje ne</w:t>
      </w:r>
      <w:r>
        <w:rPr>
          <w:rFonts w:ascii="Times New Roman" w:hAnsi="Times New Roman"/>
          <w:sz w:val="22"/>
          <w:szCs w:val="22"/>
          <w:lang w:val="sk-SK"/>
        </w:rPr>
        <w:t>naznač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ujú žiadne špeciálne nebezpečenstvo pre ľudí, ktoré by vyplývalo z použitia močoviny, a to na základe bežných štúdií jednodávkovej toxicity, toxicity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opakovanej dávke, štúdii karcinogénneho potenciálu a reprodukčnej a vývojovej toxicity.</w:t>
      </w: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Š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túdie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genotoxicity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poskytli zmiešané výsledky. </w:t>
      </w:r>
      <w:proofErr w:type="spellStart"/>
      <w:r w:rsidRPr="00795AA9">
        <w:rPr>
          <w:rFonts w:ascii="Times New Roman" w:hAnsi="Times New Roman"/>
          <w:sz w:val="22"/>
          <w:szCs w:val="22"/>
          <w:lang w:val="sk-SK"/>
        </w:rPr>
        <w:t>Genotoxické</w:t>
      </w:r>
      <w:proofErr w:type="spellEnd"/>
      <w:r w:rsidRPr="00795AA9">
        <w:rPr>
          <w:rFonts w:ascii="Times New Roman" w:hAnsi="Times New Roman"/>
          <w:sz w:val="22"/>
          <w:szCs w:val="22"/>
          <w:lang w:val="sk-SK"/>
        </w:rPr>
        <w:t xml:space="preserve"> účinky hlásené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niektorých štúdiách môžu súvisieť s rozvinutím DNA pri koncentráciách močoviny, </w:t>
      </w:r>
      <w:r>
        <w:rPr>
          <w:rFonts w:ascii="Times New Roman" w:hAnsi="Times New Roman"/>
          <w:sz w:val="22"/>
          <w:szCs w:val="22"/>
          <w:lang w:val="sk-SK"/>
        </w:rPr>
        <w:t xml:space="preserve">ktoré výrazne prekračujú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maximálnu expozíciu </w:t>
      </w:r>
      <w:r>
        <w:rPr>
          <w:rFonts w:ascii="Times New Roman" w:hAnsi="Times New Roman"/>
          <w:sz w:val="22"/>
          <w:szCs w:val="22"/>
          <w:lang w:val="sk-SK"/>
        </w:rPr>
        <w:t xml:space="preserve">u ľudí, a preto sú </w:t>
      </w:r>
      <w:r w:rsidRPr="00795AA9">
        <w:rPr>
          <w:rFonts w:ascii="Times New Roman" w:hAnsi="Times New Roman"/>
          <w:sz w:val="22"/>
          <w:szCs w:val="22"/>
          <w:lang w:val="sk-SK"/>
        </w:rPr>
        <w:t>minimálne relevantné pre klinické použitie.</w:t>
      </w:r>
    </w:p>
    <w:p w:rsidR="00117058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Znášanlivosť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masti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hodnotila v štúdiách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subakútnej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toxicity po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podaní na králikoch. Podanie dávky 300 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masti/kg telesnej hmotnosti (čo zodpovedá </w:t>
      </w: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3 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/kg telesnej hmotnosti a 120 mg močoviny/kg telesnej hmotnosti) nepreukázali látkovo špecifické poškodenie kože alebo vnútorných orgánov. Nevyskytla sa žiadna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ulcerácia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liečených oblastí kože. Lokálna znášanlivosť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masti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bola dobrá.</w:t>
      </w:r>
    </w:p>
    <w:p w:rsidR="00117058" w:rsidRDefault="00117058" w:rsidP="00795AA9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F355E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Štúdie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peri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>- a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postnatálneho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vývoja na potkanoch preukázali, že dávka toxická pre matku 40 mg/kg je smrteľná pre plod. Avšak dávka 20 mg/kg nemala žiaden nežiaduci účinok na samicu ani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peri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>- a 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postnatálny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vývoj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mláďať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117058" w:rsidRPr="00F355E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B</w:t>
      </w:r>
      <w:r w:rsidRPr="00A94490">
        <w:rPr>
          <w:rFonts w:ascii="Times New Roman" w:hAnsi="Times New Roman"/>
          <w:sz w:val="22"/>
          <w:szCs w:val="22"/>
          <w:lang w:val="sk-SK"/>
        </w:rPr>
        <w:t>ifonazol</w:t>
      </w:r>
      <w:proofErr w:type="spellEnd"/>
      <w:r w:rsidRPr="00A94490">
        <w:rPr>
          <w:rFonts w:ascii="Times New Roman" w:hAnsi="Times New Roman"/>
          <w:sz w:val="22"/>
          <w:szCs w:val="22"/>
          <w:lang w:val="sk-SK"/>
        </w:rPr>
        <w:t xml:space="preserve"> prechádza cez </w:t>
      </w:r>
      <w:proofErr w:type="spellStart"/>
      <w:r w:rsidRPr="00A94490">
        <w:rPr>
          <w:rFonts w:ascii="Times New Roman" w:hAnsi="Times New Roman"/>
          <w:sz w:val="22"/>
          <w:szCs w:val="22"/>
          <w:lang w:val="sk-SK"/>
        </w:rPr>
        <w:t>placentálnu</w:t>
      </w:r>
      <w:proofErr w:type="spellEnd"/>
      <w:r w:rsidRPr="00A94490">
        <w:rPr>
          <w:rFonts w:ascii="Times New Roman" w:hAnsi="Times New Roman"/>
          <w:sz w:val="22"/>
          <w:szCs w:val="22"/>
          <w:lang w:val="sk-SK"/>
        </w:rPr>
        <w:t xml:space="preserve"> bariéru. V štúdii s </w:t>
      </w:r>
      <w:r>
        <w:rPr>
          <w:rFonts w:ascii="Times New Roman" w:hAnsi="Times New Roman"/>
          <w:sz w:val="22"/>
          <w:szCs w:val="22"/>
          <w:lang w:val="sk-SK"/>
        </w:rPr>
        <w:t>dojčiacimi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potkanmi, ktorým sa intravenózne podával </w:t>
      </w:r>
      <w:proofErr w:type="spellStart"/>
      <w:r w:rsidRPr="00A94490">
        <w:rPr>
          <w:rFonts w:ascii="Times New Roman" w:hAnsi="Times New Roman"/>
          <w:sz w:val="22"/>
          <w:szCs w:val="22"/>
          <w:lang w:val="sk-SK"/>
        </w:rPr>
        <w:t>bifonazol</w:t>
      </w:r>
      <w:proofErr w:type="spellEnd"/>
      <w:r w:rsidRPr="00A94490">
        <w:rPr>
          <w:rFonts w:ascii="Times New Roman" w:hAnsi="Times New Roman"/>
          <w:sz w:val="22"/>
          <w:szCs w:val="22"/>
          <w:lang w:val="sk-SK"/>
        </w:rPr>
        <w:t xml:space="preserve">, sa 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A94490">
        <w:rPr>
          <w:rFonts w:ascii="Times New Roman" w:hAnsi="Times New Roman"/>
          <w:sz w:val="22"/>
          <w:szCs w:val="22"/>
          <w:lang w:val="sk-SK"/>
        </w:rPr>
        <w:t>kázalo</w:t>
      </w:r>
      <w:r>
        <w:rPr>
          <w:rFonts w:ascii="Times New Roman" w:hAnsi="Times New Roman"/>
          <w:sz w:val="22"/>
          <w:szCs w:val="22"/>
          <w:lang w:val="sk-SK"/>
        </w:rPr>
        <w:t xml:space="preserve"> jeho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vyluč</w:t>
      </w:r>
      <w:r>
        <w:rPr>
          <w:rFonts w:ascii="Times New Roman" w:hAnsi="Times New Roman"/>
          <w:sz w:val="22"/>
          <w:szCs w:val="22"/>
          <w:lang w:val="sk-SK"/>
        </w:rPr>
        <w:t>ovanie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do mlieka.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Nie </w:t>
      </w:r>
      <w:r w:rsidRPr="00F355E3">
        <w:rPr>
          <w:rFonts w:ascii="Times New Roman" w:hAnsi="Times New Roman"/>
          <w:noProof/>
          <w:sz w:val="22"/>
          <w:szCs w:val="22"/>
          <w:lang w:val="sk-SK"/>
        </w:rPr>
        <w:t>sú k dispozícii údaje o použití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355E3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F355E3">
        <w:rPr>
          <w:rFonts w:ascii="Times New Roman" w:hAnsi="Times New Roman"/>
          <w:sz w:val="22"/>
          <w:szCs w:val="22"/>
          <w:lang w:val="sk-SK"/>
        </w:rPr>
        <w:t xml:space="preserve"> u gravidných a dojčiacich žien. </w:t>
      </w:r>
    </w:p>
    <w:p w:rsidR="00117058" w:rsidRPr="00F355E3" w:rsidRDefault="00117058" w:rsidP="003B7F7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3B7F7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Testy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mutagenity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i/>
          <w:sz w:val="22"/>
          <w:szCs w:val="22"/>
        </w:rPr>
        <w:t>in vitro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D464F">
        <w:rPr>
          <w:rFonts w:ascii="Times New Roman" w:hAnsi="Times New Roman"/>
          <w:sz w:val="22"/>
          <w:szCs w:val="22"/>
        </w:rPr>
        <w:t>a</w:t>
      </w:r>
      <w:proofErr w:type="gramEnd"/>
      <w:r w:rsidRPr="00FD464F">
        <w:rPr>
          <w:rFonts w:ascii="Times New Roman" w:hAnsi="Times New Roman"/>
          <w:sz w:val="22"/>
          <w:szCs w:val="22"/>
        </w:rPr>
        <w:t> </w:t>
      </w:r>
      <w:r w:rsidRPr="00FD464F">
        <w:rPr>
          <w:rFonts w:ascii="Times New Roman" w:hAnsi="Times New Roman"/>
          <w:i/>
          <w:sz w:val="22"/>
          <w:szCs w:val="22"/>
        </w:rPr>
        <w:t>in vivo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nepreukázali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mutagénny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potenciál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 w:rsidRPr="00FD464F">
        <w:rPr>
          <w:rFonts w:ascii="Times New Roman" w:hAnsi="Times New Roman"/>
          <w:sz w:val="22"/>
          <w:szCs w:val="22"/>
        </w:rPr>
        <w:t>.</w:t>
      </w:r>
    </w:p>
    <w:p w:rsidR="00117058" w:rsidRPr="004C044D" w:rsidRDefault="00117058" w:rsidP="00BB4ABA">
      <w:pPr>
        <w:pStyle w:val="Nadpis1"/>
        <w:spacing w:line="240" w:lineRule="auto"/>
        <w:jc w:val="left"/>
        <w:rPr>
          <w:rFonts w:ascii="Times New Roman" w:hAnsi="Times New Roman"/>
          <w:bCs/>
          <w:iCs/>
          <w:sz w:val="22"/>
          <w:szCs w:val="22"/>
          <w:u w:val="none"/>
        </w:rPr>
      </w:pPr>
      <w:r w:rsidRPr="004C044D">
        <w:rPr>
          <w:rFonts w:ascii="Times New Roman" w:hAnsi="Times New Roman"/>
          <w:bCs/>
          <w:iCs/>
          <w:sz w:val="22"/>
          <w:szCs w:val="22"/>
          <w:u w:val="none"/>
        </w:rPr>
        <w:t xml:space="preserve">   </w:t>
      </w:r>
    </w:p>
    <w:p w:rsidR="00117058" w:rsidRPr="004849E0" w:rsidRDefault="00117058" w:rsidP="00795AA9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117058" w:rsidRPr="00BB4ABA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Pr="004C044D">
        <w:rPr>
          <w:rFonts w:ascii="Times New Roman" w:hAnsi="Times New Roman"/>
          <w:sz w:val="22"/>
          <w:szCs w:val="22"/>
          <w:lang w:val="sk-SK"/>
        </w:rPr>
        <w:t>anolín</w:t>
      </w:r>
    </w:p>
    <w:p w:rsidR="00117058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biely vosk</w:t>
      </w:r>
    </w:p>
    <w:p w:rsidR="00117058" w:rsidRPr="004C044D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biela vazelína</w:t>
      </w:r>
    </w:p>
    <w:p w:rsidR="00117058" w:rsidRPr="00514227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117058" w:rsidRPr="00BB4ABA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BB4ABA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BB4ABA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117058" w:rsidRPr="00795AA9" w:rsidRDefault="00117058" w:rsidP="0051422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6.3.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117058" w:rsidRPr="00795AA9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3 roky</w:t>
      </w:r>
    </w:p>
    <w:p w:rsidR="00117058" w:rsidRPr="00795AA9" w:rsidRDefault="00117058" w:rsidP="0051422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5927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Uchovávajte pri teplote do 25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F6AD3">
        <w:rPr>
          <w:rFonts w:ascii="Times New Roman" w:hAnsi="Times New Roman"/>
          <w:sz w:val="22"/>
          <w:szCs w:val="22"/>
          <w:lang w:val="sk-SK"/>
        </w:rPr>
        <w:t>°C.</w:t>
      </w:r>
      <w:r w:rsidRPr="00EF6AD3">
        <w:rPr>
          <w:rFonts w:ascii="Times New Roman" w:hAnsi="Times New Roman"/>
          <w:sz w:val="22"/>
          <w:szCs w:val="22"/>
          <w:lang w:val="sk-SK"/>
        </w:rPr>
        <w:tab/>
      </w:r>
    </w:p>
    <w:p w:rsidR="00117058" w:rsidRPr="00D054F2" w:rsidRDefault="00117058" w:rsidP="005142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Druh obalu a obsah balenia</w:t>
      </w:r>
      <w:r w:rsidRPr="00404E4B">
        <w:rPr>
          <w:rFonts w:ascii="Times New Roman" w:hAnsi="Times New Roman"/>
          <w:b/>
          <w:color w:val="0000FF"/>
          <w:sz w:val="22"/>
          <w:szCs w:val="22"/>
          <w:lang w:val="sk-SK"/>
        </w:rPr>
        <w:t xml:space="preserve"> </w:t>
      </w:r>
    </w:p>
    <w:p w:rsidR="00117058" w:rsidRPr="00404E4B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Canespor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nechty sa dodáva v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hliníkovej tube spolu s 15 prúžkami vodovzdornej náplasti a 1 škrabkou na nechty.</w:t>
      </w:r>
    </w:p>
    <w:p w:rsidR="00117058" w:rsidRPr="00AB3A9A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C044D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Veľkosť balenia</w:t>
      </w:r>
      <w:r w:rsidRPr="004C044D">
        <w:rPr>
          <w:rFonts w:ascii="Times New Roman" w:hAnsi="Times New Roman"/>
          <w:sz w:val="22"/>
          <w:szCs w:val="22"/>
          <w:lang w:val="sk-SK"/>
        </w:rPr>
        <w:t>: 10 g masti</w:t>
      </w:r>
    </w:p>
    <w:p w:rsidR="00117058" w:rsidRPr="00514227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</w:r>
      <w:r w:rsidRPr="00BB4ABA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 a iné zaobchádzanie s liekom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117058" w:rsidRPr="00795AA9" w:rsidRDefault="00117058" w:rsidP="00514227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849E0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C044D">
      <w:pPr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795AA9">
        <w:rPr>
          <w:rFonts w:ascii="Times New Roman" w:hAnsi="Times New Roman"/>
          <w:color w:val="000000"/>
          <w:sz w:val="22"/>
          <w:szCs w:val="22"/>
        </w:rPr>
        <w:t xml:space="preserve">Bayer, </w:t>
      </w:r>
      <w:proofErr w:type="spellStart"/>
      <w:r w:rsidRPr="00795AA9">
        <w:rPr>
          <w:rFonts w:ascii="Times New Roman" w:hAnsi="Times New Roman"/>
          <w:color w:val="000000"/>
          <w:sz w:val="22"/>
          <w:szCs w:val="22"/>
        </w:rPr>
        <w:t>spol</w:t>
      </w:r>
      <w:proofErr w:type="spellEnd"/>
      <w:r w:rsidRPr="00795AA9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795AA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795AA9">
        <w:rPr>
          <w:rFonts w:ascii="Times New Roman" w:hAnsi="Times New Roman"/>
          <w:color w:val="000000"/>
          <w:sz w:val="22"/>
          <w:szCs w:val="22"/>
        </w:rPr>
        <w:t>s</w:t>
      </w:r>
      <w:proofErr w:type="gramEnd"/>
      <w:r w:rsidRPr="00795AA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95AA9">
        <w:rPr>
          <w:rFonts w:ascii="Times New Roman" w:hAnsi="Times New Roman"/>
          <w:color w:val="000000"/>
          <w:sz w:val="22"/>
          <w:szCs w:val="22"/>
        </w:rPr>
        <w:t>r.o</w:t>
      </w:r>
      <w:proofErr w:type="spellEnd"/>
      <w:r w:rsidRPr="00795AA9">
        <w:rPr>
          <w:rFonts w:ascii="Times New Roman" w:hAnsi="Times New Roman"/>
          <w:color w:val="000000"/>
          <w:sz w:val="22"/>
          <w:szCs w:val="22"/>
        </w:rPr>
        <w:t>.</w:t>
      </w:r>
    </w:p>
    <w:p w:rsidR="00117058" w:rsidRPr="00E9665A" w:rsidRDefault="00117058" w:rsidP="00E9665A">
      <w:pPr>
        <w:rPr>
          <w:rFonts w:ascii="Times New Roman" w:hAnsi="Times New Roman"/>
          <w:bCs/>
          <w:sz w:val="22"/>
          <w:szCs w:val="22"/>
          <w:lang w:val="sk-SK" w:eastAsia="sk-SK"/>
        </w:rPr>
      </w:pPr>
      <w:proofErr w:type="spellStart"/>
      <w:r w:rsidRPr="00E9665A">
        <w:rPr>
          <w:rFonts w:ascii="Times New Roman" w:hAnsi="Times New Roman"/>
          <w:bCs/>
          <w:sz w:val="22"/>
          <w:szCs w:val="22"/>
          <w:lang w:val="sk-SK" w:eastAsia="sk-SK"/>
        </w:rPr>
        <w:t>Karadžičova</w:t>
      </w:r>
      <w:proofErr w:type="spellEnd"/>
      <w:r w:rsidRPr="00E9665A">
        <w:rPr>
          <w:rFonts w:ascii="Times New Roman" w:hAnsi="Times New Roman"/>
          <w:bCs/>
          <w:sz w:val="22"/>
          <w:szCs w:val="22"/>
          <w:lang w:val="sk-SK" w:eastAsia="sk-SK"/>
        </w:rPr>
        <w:t xml:space="preserve"> 2</w:t>
      </w:r>
    </w:p>
    <w:p w:rsidR="00117058" w:rsidRPr="00795AA9" w:rsidRDefault="00117058" w:rsidP="004849E0">
      <w:pPr>
        <w:rPr>
          <w:rFonts w:ascii="Times New Roman" w:hAnsi="Times New Roman"/>
          <w:color w:val="000000"/>
          <w:sz w:val="22"/>
          <w:szCs w:val="22"/>
          <w:lang w:val="sv-SE"/>
        </w:rPr>
      </w:pPr>
      <w:r w:rsidRPr="00E9665A">
        <w:rPr>
          <w:rFonts w:ascii="Times New Roman" w:hAnsi="Times New Roman"/>
          <w:bCs/>
          <w:sz w:val="22"/>
          <w:szCs w:val="22"/>
          <w:lang w:val="sk-SK" w:eastAsia="sk-SK"/>
        </w:rPr>
        <w:t>811 09 Bratislava</w:t>
      </w:r>
    </w:p>
    <w:p w:rsidR="00117058" w:rsidRPr="00795AA9" w:rsidRDefault="00117058" w:rsidP="00BB4ABA">
      <w:pPr>
        <w:rPr>
          <w:rFonts w:ascii="Times New Roman" w:hAnsi="Times New Roman"/>
          <w:color w:val="000000"/>
          <w:sz w:val="22"/>
          <w:szCs w:val="22"/>
          <w:lang w:val="pt-PT"/>
        </w:rPr>
      </w:pPr>
      <w:r w:rsidRPr="00795AA9">
        <w:rPr>
          <w:rFonts w:ascii="Times New Roman" w:hAnsi="Times New Roman"/>
          <w:color w:val="000000"/>
          <w:sz w:val="22"/>
          <w:szCs w:val="22"/>
          <w:lang w:val="sv-SE"/>
        </w:rPr>
        <w:t>Slovenská republika</w:t>
      </w:r>
      <w:r w:rsidRPr="00795AA9">
        <w:rPr>
          <w:rFonts w:ascii="Times New Roman" w:hAnsi="Times New Roman"/>
          <w:color w:val="000000"/>
          <w:sz w:val="22"/>
          <w:szCs w:val="22"/>
          <w:lang w:val="pt-PT"/>
        </w:rPr>
        <w:t xml:space="preserve"> </w:t>
      </w:r>
    </w:p>
    <w:p w:rsidR="00117058" w:rsidRPr="00C27B14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117058" w:rsidRPr="00404E4B" w:rsidRDefault="00117058" w:rsidP="00AB3A9A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26/0221/92-CS</w:t>
      </w:r>
    </w:p>
    <w:p w:rsidR="00117058" w:rsidRPr="00404E4B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849E0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DÁTUM PRVEJ REGISTRÁCIE/ PREDĹŽENIA REGISTRÁCIE</w:t>
      </w:r>
    </w:p>
    <w:p w:rsidR="00117058" w:rsidRPr="00F132B1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Dátum prvej registrácie: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1.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apríl</w:t>
      </w: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 1992</w:t>
      </w:r>
    </w:p>
    <w:p w:rsidR="00117058" w:rsidRPr="00795AA9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Dátum posledného predĺženia registrácie: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18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noProof/>
          <w:sz w:val="22"/>
          <w:szCs w:val="22"/>
          <w:lang w:val="sk-SK"/>
        </w:rPr>
        <w:t>apríla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k-SK"/>
        </w:rPr>
        <w:t>2006</w:t>
      </w:r>
    </w:p>
    <w:p w:rsidR="00117058" w:rsidRPr="00404E4B" w:rsidRDefault="00117058" w:rsidP="00BB4AB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795AA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117058" w:rsidRPr="00F132B1" w:rsidRDefault="00117058" w:rsidP="00AB3A9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Január 2017</w:t>
      </w:r>
    </w:p>
    <w:sectPr w:rsidR="00117058" w:rsidRPr="00795AA9" w:rsidSect="00795A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34" w:right="1418" w:bottom="1134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94" w:rsidRDefault="00611494">
      <w:r>
        <w:separator/>
      </w:r>
    </w:p>
  </w:endnote>
  <w:endnote w:type="continuationSeparator" w:id="0">
    <w:p w:rsidR="00611494" w:rsidRDefault="00611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58" w:rsidRDefault="0050529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170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17058" w:rsidRDefault="0011705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58" w:rsidRPr="00795AA9" w:rsidRDefault="00505296">
    <w:pPr>
      <w:pStyle w:val="Pta"/>
      <w:jc w:val="center"/>
      <w:rPr>
        <w:rFonts w:ascii="Times New Roman" w:hAnsi="Times New Roman"/>
        <w:sz w:val="18"/>
      </w:rPr>
    </w:pPr>
    <w:r w:rsidRPr="00795AA9">
      <w:rPr>
        <w:rFonts w:ascii="Times New Roman" w:hAnsi="Times New Roman"/>
        <w:sz w:val="18"/>
      </w:rPr>
      <w:fldChar w:fldCharType="begin"/>
    </w:r>
    <w:r w:rsidR="00117058" w:rsidRPr="00795AA9">
      <w:rPr>
        <w:rFonts w:ascii="Times New Roman" w:hAnsi="Times New Roman"/>
        <w:sz w:val="18"/>
      </w:rPr>
      <w:instrText>PAGE   \* MERGEFORMAT</w:instrText>
    </w:r>
    <w:r w:rsidRPr="00795AA9">
      <w:rPr>
        <w:rFonts w:ascii="Times New Roman" w:hAnsi="Times New Roman"/>
        <w:sz w:val="18"/>
      </w:rPr>
      <w:fldChar w:fldCharType="separate"/>
    </w:r>
    <w:r w:rsidR="000A6139" w:rsidRPr="000A6139">
      <w:rPr>
        <w:rFonts w:ascii="Times New Roman" w:hAnsi="Times New Roman"/>
        <w:noProof/>
        <w:sz w:val="18"/>
        <w:lang w:val="sk-SK"/>
      </w:rPr>
      <w:t>6</w:t>
    </w:r>
    <w:r w:rsidRPr="00795AA9">
      <w:rPr>
        <w:rFonts w:ascii="Times New Roman" w:hAnsi="Times New Roman"/>
        <w:sz w:val="18"/>
      </w:rPr>
      <w:fldChar w:fldCharType="end"/>
    </w:r>
  </w:p>
  <w:p w:rsidR="00117058" w:rsidRPr="00795AA9" w:rsidRDefault="00117058">
    <w:pPr>
      <w:pStyle w:val="Pta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right="360"/>
      <w:jc w:val="both"/>
      <w:rPr>
        <w:rFonts w:ascii="Times New Roman" w:hAnsi="Times New Roman"/>
        <w:sz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58" w:rsidRPr="00795AA9" w:rsidRDefault="00505296">
    <w:pPr>
      <w:pStyle w:val="Pta"/>
      <w:jc w:val="center"/>
      <w:rPr>
        <w:rFonts w:ascii="Times New Roman" w:hAnsi="Times New Roman"/>
        <w:sz w:val="18"/>
      </w:rPr>
    </w:pPr>
    <w:r w:rsidRPr="00795AA9">
      <w:rPr>
        <w:rFonts w:ascii="Times New Roman" w:hAnsi="Times New Roman"/>
        <w:sz w:val="18"/>
      </w:rPr>
      <w:fldChar w:fldCharType="begin"/>
    </w:r>
    <w:r w:rsidR="00117058" w:rsidRPr="00795AA9">
      <w:rPr>
        <w:rFonts w:ascii="Times New Roman" w:hAnsi="Times New Roman"/>
        <w:sz w:val="18"/>
      </w:rPr>
      <w:instrText>PAGE   \* MERGEFORMAT</w:instrText>
    </w:r>
    <w:r w:rsidRPr="00795AA9">
      <w:rPr>
        <w:rFonts w:ascii="Times New Roman" w:hAnsi="Times New Roman"/>
        <w:sz w:val="18"/>
      </w:rPr>
      <w:fldChar w:fldCharType="separate"/>
    </w:r>
    <w:r w:rsidR="000A6139" w:rsidRPr="000A6139">
      <w:rPr>
        <w:rFonts w:ascii="Times New Roman" w:hAnsi="Times New Roman"/>
        <w:noProof/>
        <w:sz w:val="18"/>
        <w:lang w:val="sk-SK"/>
      </w:rPr>
      <w:t>1</w:t>
    </w:r>
    <w:r w:rsidRPr="00795AA9">
      <w:rPr>
        <w:rFonts w:ascii="Times New Roman" w:hAnsi="Times New Roman"/>
        <w:sz w:val="18"/>
      </w:rPr>
      <w:fldChar w:fldCharType="end"/>
    </w:r>
  </w:p>
  <w:p w:rsidR="00117058" w:rsidRPr="00795AA9" w:rsidRDefault="00117058">
    <w:pPr>
      <w:pStyle w:val="Pta"/>
      <w:rPr>
        <w:rFonts w:ascii="Times New Roman" w:hAnsi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94" w:rsidRDefault="00611494">
      <w:r>
        <w:separator/>
      </w:r>
    </w:p>
  </w:footnote>
  <w:footnote w:type="continuationSeparator" w:id="0">
    <w:p w:rsidR="00611494" w:rsidRDefault="00611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58" w:rsidRDefault="00117058">
    <w:pPr>
      <w:pStyle w:val="Hlavika"/>
      <w:rPr>
        <w:rFonts w:ascii="Times New Roman" w:hAnsi="Times New Roman"/>
        <w:bCs/>
        <w:sz w:val="18"/>
        <w:szCs w:val="18"/>
      </w:rPr>
    </w:pPr>
  </w:p>
  <w:p w:rsidR="00117058" w:rsidRDefault="00117058" w:rsidP="004567B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58" w:rsidRDefault="00117058" w:rsidP="004567BC">
    <w:pPr>
      <w:pStyle w:val="Hlavika"/>
    </w:pPr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č.2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</w:t>
    </w:r>
    <w:r w:rsidRPr="00FF4BB4">
      <w:rPr>
        <w:rFonts w:ascii="Times New Roman" w:hAnsi="Times New Roman"/>
        <w:bCs/>
        <w:sz w:val="18"/>
        <w:szCs w:val="18"/>
      </w:rPr>
      <w:t>o </w:t>
    </w:r>
    <w:proofErr w:type="spellStart"/>
    <w:r w:rsidRPr="00FF4BB4">
      <w:rPr>
        <w:rFonts w:ascii="Times New Roman" w:hAnsi="Times New Roman"/>
        <w:bCs/>
        <w:sz w:val="18"/>
        <w:szCs w:val="18"/>
      </w:rPr>
      <w:t>zmene</w:t>
    </w:r>
    <w:proofErr w:type="spellEnd"/>
    <w:r w:rsidRPr="00820AFB">
      <w:rPr>
        <w:rFonts w:ascii="Times New Roman" w:hAnsi="Times New Roman"/>
        <w:b/>
        <w:bCs/>
        <w:sz w:val="18"/>
        <w:szCs w:val="18"/>
      </w:rPr>
      <w:t xml:space="preserve">, </w:t>
    </w:r>
    <w:proofErr w:type="spellStart"/>
    <w:r w:rsidRPr="00820AFB">
      <w:rPr>
        <w:rFonts w:ascii="Times New Roman" w:hAnsi="Times New Roman"/>
        <w:bCs/>
        <w:sz w:val="18"/>
        <w:szCs w:val="18"/>
      </w:rPr>
      <w:t>ev</w:t>
    </w:r>
    <w:proofErr w:type="spellEnd"/>
    <w:r w:rsidRPr="00820AFB">
      <w:rPr>
        <w:rFonts w:ascii="Times New Roman" w:hAnsi="Times New Roman"/>
        <w:bCs/>
        <w:sz w:val="18"/>
        <w:szCs w:val="18"/>
      </w:rPr>
      <w:t>. č.</w:t>
    </w:r>
    <w:r>
      <w:rPr>
        <w:rFonts w:ascii="Times New Roman" w:hAnsi="Times New Roman"/>
        <w:bCs/>
        <w:sz w:val="18"/>
        <w:szCs w:val="18"/>
      </w:rPr>
      <w:t>: 2016/05993-Z1A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0DD"/>
    <w:multiLevelType w:val="singleLevel"/>
    <w:tmpl w:val="7A2205A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">
    <w:nsid w:val="1D33710C"/>
    <w:multiLevelType w:val="multilevel"/>
    <w:tmpl w:val="53A448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1E0439CE"/>
    <w:multiLevelType w:val="multilevel"/>
    <w:tmpl w:val="C55614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87726F4"/>
    <w:multiLevelType w:val="multilevel"/>
    <w:tmpl w:val="51B630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0000C0F"/>
    <w:multiLevelType w:val="multilevel"/>
    <w:tmpl w:val="C04CC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3B36DCE"/>
    <w:multiLevelType w:val="multilevel"/>
    <w:tmpl w:val="8F92574A"/>
    <w:lvl w:ilvl="0">
      <w:start w:val="5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5440073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95622CD"/>
    <w:multiLevelType w:val="singleLevel"/>
    <w:tmpl w:val="82FEF072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abstractNum w:abstractNumId="8">
    <w:nsid w:val="5C864EFD"/>
    <w:multiLevelType w:val="singleLevel"/>
    <w:tmpl w:val="06E6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5F9D5122"/>
    <w:multiLevelType w:val="multilevel"/>
    <w:tmpl w:val="885468D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E8744B1"/>
    <w:multiLevelType w:val="singleLevel"/>
    <w:tmpl w:val="18468F78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BA9"/>
    <w:rsid w:val="00010EB8"/>
    <w:rsid w:val="00027EE6"/>
    <w:rsid w:val="00034315"/>
    <w:rsid w:val="00063B38"/>
    <w:rsid w:val="000701E5"/>
    <w:rsid w:val="00070FBD"/>
    <w:rsid w:val="000A6139"/>
    <w:rsid w:val="000C30DC"/>
    <w:rsid w:val="00101608"/>
    <w:rsid w:val="00117058"/>
    <w:rsid w:val="00126A95"/>
    <w:rsid w:val="00152368"/>
    <w:rsid w:val="00155034"/>
    <w:rsid w:val="001679E5"/>
    <w:rsid w:val="001A2533"/>
    <w:rsid w:val="002C4DDC"/>
    <w:rsid w:val="002C53A1"/>
    <w:rsid w:val="003650D7"/>
    <w:rsid w:val="003847F5"/>
    <w:rsid w:val="003B7F72"/>
    <w:rsid w:val="004014CF"/>
    <w:rsid w:val="00404E4B"/>
    <w:rsid w:val="00410976"/>
    <w:rsid w:val="004567BC"/>
    <w:rsid w:val="004849E0"/>
    <w:rsid w:val="004854AF"/>
    <w:rsid w:val="004C044D"/>
    <w:rsid w:val="004E355D"/>
    <w:rsid w:val="00505296"/>
    <w:rsid w:val="00514227"/>
    <w:rsid w:val="0055521B"/>
    <w:rsid w:val="00611494"/>
    <w:rsid w:val="00736054"/>
    <w:rsid w:val="00795AA9"/>
    <w:rsid w:val="007C260B"/>
    <w:rsid w:val="007F525B"/>
    <w:rsid w:val="00800EA9"/>
    <w:rsid w:val="00820AFB"/>
    <w:rsid w:val="00851FF2"/>
    <w:rsid w:val="00862330"/>
    <w:rsid w:val="00871A4B"/>
    <w:rsid w:val="00930B8C"/>
    <w:rsid w:val="0093502E"/>
    <w:rsid w:val="00972DD9"/>
    <w:rsid w:val="00977FFD"/>
    <w:rsid w:val="0099757D"/>
    <w:rsid w:val="009A30CC"/>
    <w:rsid w:val="009F6579"/>
    <w:rsid w:val="00A13348"/>
    <w:rsid w:val="00A17983"/>
    <w:rsid w:val="00A4103A"/>
    <w:rsid w:val="00A60B2B"/>
    <w:rsid w:val="00A64BA9"/>
    <w:rsid w:val="00A90229"/>
    <w:rsid w:val="00A94490"/>
    <w:rsid w:val="00AA654C"/>
    <w:rsid w:val="00AB11C8"/>
    <w:rsid w:val="00AB3A9A"/>
    <w:rsid w:val="00B40FBF"/>
    <w:rsid w:val="00B43357"/>
    <w:rsid w:val="00B43B7D"/>
    <w:rsid w:val="00B7629D"/>
    <w:rsid w:val="00BB4ABA"/>
    <w:rsid w:val="00BF59DA"/>
    <w:rsid w:val="00C27B14"/>
    <w:rsid w:val="00CA33F3"/>
    <w:rsid w:val="00CE6163"/>
    <w:rsid w:val="00D006A6"/>
    <w:rsid w:val="00D0078B"/>
    <w:rsid w:val="00D054F2"/>
    <w:rsid w:val="00D8079B"/>
    <w:rsid w:val="00D95617"/>
    <w:rsid w:val="00DA7801"/>
    <w:rsid w:val="00E5416A"/>
    <w:rsid w:val="00E75159"/>
    <w:rsid w:val="00E9665A"/>
    <w:rsid w:val="00EC0B74"/>
    <w:rsid w:val="00EF6AD3"/>
    <w:rsid w:val="00F132B1"/>
    <w:rsid w:val="00F15664"/>
    <w:rsid w:val="00F17A8B"/>
    <w:rsid w:val="00F323D7"/>
    <w:rsid w:val="00F355E3"/>
    <w:rsid w:val="00F645B1"/>
    <w:rsid w:val="00FC62BA"/>
    <w:rsid w:val="00FD464F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5296"/>
    <w:rPr>
      <w:rFonts w:cs="Times New Roman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jc w:val="both"/>
      <w:outlineLvl w:val="0"/>
    </w:pPr>
    <w:rPr>
      <w:rFonts w:ascii="Arial" w:hAnsi="Arial"/>
      <w:sz w:val="24"/>
      <w:u w:val="single"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jc w:val="both"/>
      <w:outlineLvl w:val="1"/>
    </w:pPr>
    <w:rPr>
      <w:rFonts w:ascii="Arial" w:hAnsi="Arial"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utlineLvl w:val="2"/>
    </w:pPr>
    <w:rPr>
      <w:rFonts w:ascii="Arial" w:hAnsi="Arial" w:cs="Arial"/>
      <w:b/>
      <w:bCs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505296"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296"/>
    <w:pPr>
      <w:ind w:left="708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296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"/>
    <w:qFormat/>
    <w:rsid w:val="00505296"/>
    <w:pPr>
      <w:ind w:left="708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505296"/>
    <w:pPr>
      <w:ind w:left="708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505296"/>
    <w:pPr>
      <w:ind w:left="708"/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40B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40B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40B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40B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40B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40B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40B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40B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40B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505296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04E4B"/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505296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640B7"/>
    <w:rPr>
      <w:rFonts w:cs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rsid w:val="00505296"/>
    <w:rPr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0529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40B7"/>
    <w:rPr>
      <w:rFonts w:cs="Times New Roman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505296"/>
    <w:pPr>
      <w:spacing w:line="360" w:lineRule="atLeast"/>
      <w:jc w:val="both"/>
    </w:pPr>
    <w:rPr>
      <w:rFonts w:ascii="Arial" w:hAnsi="Arial"/>
      <w:sz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40B7"/>
    <w:rPr>
      <w:rFonts w:cs="Times New Roman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ind w:left="360"/>
      <w:jc w:val="both"/>
    </w:pPr>
    <w:rPr>
      <w:rFonts w:ascii="Arial" w:hAnsi="Arial"/>
      <w:sz w:val="24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640B7"/>
    <w:rPr>
      <w:rFonts w:cs="Times New Roman"/>
      <w:lang w:val="en-US" w:eastAsia="en-US"/>
    </w:rPr>
  </w:style>
  <w:style w:type="paragraph" w:styleId="Nzov">
    <w:name w:val="Title"/>
    <w:basedOn w:val="Normlny"/>
    <w:link w:val="NzovChar"/>
    <w:uiPriority w:val="10"/>
    <w:qFormat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rFonts w:ascii="Arial" w:hAnsi="Arial"/>
      <w:b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64BA9"/>
    <w:rPr>
      <w:rFonts w:ascii="Arial" w:hAnsi="Arial"/>
      <w:b/>
      <w:sz w:val="24"/>
      <w:lang w:val="sk-SK"/>
    </w:rPr>
  </w:style>
  <w:style w:type="character" w:styleId="slostrany">
    <w:name w:val="page number"/>
    <w:basedOn w:val="Predvolenpsmoodseku"/>
    <w:uiPriority w:val="99"/>
    <w:rsid w:val="00505296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Times New Roman" w:hAnsi="Times New Roman"/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640B7"/>
    <w:rPr>
      <w:rFonts w:cs="Times New Roman"/>
      <w:lang w:val="en-US" w:eastAsia="en-US"/>
    </w:rPr>
  </w:style>
  <w:style w:type="character" w:customStyle="1" w:styleId="GlobalBayerBodyTextCharCharChar">
    <w:name w:val="Global Bayer Body Text Char Char Char"/>
    <w:link w:val="GlobalBayerBodyTextCharChar"/>
    <w:locked/>
    <w:rsid w:val="00505296"/>
    <w:rPr>
      <w:rFonts w:ascii="Arial" w:hAnsi="Arial"/>
      <w:sz w:val="24"/>
      <w:lang w:val="en-US" w:eastAsia="de-DE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505296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eastAsia="de-DE"/>
    </w:rPr>
  </w:style>
  <w:style w:type="paragraph" w:customStyle="1" w:styleId="GlobalBayerBodyTextChar">
    <w:name w:val="Global Bayer Body Text Char"/>
    <w:basedOn w:val="Normlny"/>
    <w:rsid w:val="00505296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505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0B7"/>
    <w:rPr>
      <w:rFonts w:ascii="Times New Roman" w:hAnsi="Times New Roman" w:cs="Times New Roman"/>
      <w:sz w:val="0"/>
      <w:szCs w:val="0"/>
      <w:lang w:val="en-US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A64BA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645B1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5B1"/>
    <w:rPr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645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1778</Words>
  <Characters>10137</Characters>
  <Application>Microsoft Office Word</Application>
  <DocSecurity>0</DocSecurity>
  <Lines>84</Lines>
  <Paragraphs>23</Paragraphs>
  <ScaleCrop>false</ScaleCrop>
  <Company>Bayer, s.r.o.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 </cp:lastModifiedBy>
  <cp:revision>6</cp:revision>
  <cp:lastPrinted>2009-07-22T07:00:00Z</cp:lastPrinted>
  <dcterms:created xsi:type="dcterms:W3CDTF">2016-11-10T13:03:00Z</dcterms:created>
  <dcterms:modified xsi:type="dcterms:W3CDTF">2017-01-04T06:42:00Z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2016-08-07T12:58:08Z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