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13D0" w:rsidRPr="001D5249" w:rsidRDefault="009113D0" w:rsidP="001D5249">
      <w:pPr>
        <w:widowControl w:val="0"/>
        <w:tabs>
          <w:tab w:val="left" w:pos="567"/>
        </w:tabs>
        <w:rPr>
          <w:b/>
          <w:bCs/>
          <w:iCs/>
          <w:noProof/>
          <w:sz w:val="22"/>
          <w:szCs w:val="22"/>
          <w:lang w:val="en-GB" w:eastAsia="en-US"/>
        </w:rPr>
      </w:pPr>
    </w:p>
    <w:p w:rsidR="00E00E06" w:rsidRPr="001D5249" w:rsidRDefault="00E00E06" w:rsidP="001D5249">
      <w:pPr>
        <w:widowControl w:val="0"/>
        <w:tabs>
          <w:tab w:val="left" w:pos="567"/>
        </w:tabs>
        <w:jc w:val="center"/>
        <w:rPr>
          <w:b/>
          <w:bCs/>
          <w:iCs/>
          <w:sz w:val="22"/>
          <w:szCs w:val="22"/>
          <w:lang w:val="sk-SK" w:eastAsia="en-US"/>
        </w:rPr>
      </w:pPr>
      <w:r w:rsidRPr="001D5249">
        <w:rPr>
          <w:b/>
          <w:sz w:val="22"/>
          <w:szCs w:val="22"/>
        </w:rPr>
        <w:t>SÚHRN CHARAKTERISTICKÝCH VLASTNOSTÍ LIEKU</w:t>
      </w:r>
    </w:p>
    <w:p w:rsidR="00E00E06" w:rsidRPr="001D5249" w:rsidRDefault="00E00E06">
      <w:pPr>
        <w:widowControl w:val="0"/>
        <w:tabs>
          <w:tab w:val="left" w:pos="567"/>
        </w:tabs>
        <w:rPr>
          <w:b/>
          <w:bCs/>
          <w:iCs/>
          <w:noProof/>
          <w:sz w:val="22"/>
          <w:szCs w:val="22"/>
          <w:lang w:val="en-GB" w:eastAsia="en-US"/>
        </w:rPr>
      </w:pPr>
    </w:p>
    <w:p w:rsidR="00E00E06" w:rsidRPr="001D5249" w:rsidRDefault="00E00E06">
      <w:pPr>
        <w:widowControl w:val="0"/>
        <w:tabs>
          <w:tab w:val="left" w:pos="567"/>
        </w:tabs>
        <w:rPr>
          <w:b/>
          <w:bCs/>
          <w:iCs/>
          <w:noProof/>
          <w:sz w:val="22"/>
          <w:szCs w:val="22"/>
          <w:lang w:val="en-GB" w:eastAsia="en-US"/>
        </w:rPr>
      </w:pPr>
    </w:p>
    <w:p w:rsidR="00E00E06" w:rsidRPr="001D5249" w:rsidRDefault="00E00E06">
      <w:pPr>
        <w:widowControl w:val="0"/>
        <w:tabs>
          <w:tab w:val="left" w:pos="567"/>
        </w:tabs>
        <w:rPr>
          <w:b/>
          <w:sz w:val="22"/>
          <w:szCs w:val="22"/>
          <w:lang w:val="en-GB" w:eastAsia="en-US"/>
        </w:rPr>
      </w:pPr>
      <w:r w:rsidRPr="001D5249">
        <w:rPr>
          <w:b/>
          <w:bCs/>
          <w:iCs/>
          <w:noProof/>
          <w:sz w:val="22"/>
          <w:szCs w:val="22"/>
          <w:lang w:val="en-GB" w:eastAsia="en-US"/>
        </w:rPr>
        <w:t>1.</w:t>
      </w:r>
      <w:r w:rsidRPr="001D5249">
        <w:rPr>
          <w:b/>
          <w:bCs/>
          <w:iCs/>
          <w:noProof/>
          <w:sz w:val="22"/>
          <w:szCs w:val="22"/>
          <w:lang w:val="en-GB" w:eastAsia="en-US"/>
        </w:rPr>
        <w:tab/>
      </w:r>
      <w:r w:rsidRPr="001D5249">
        <w:rPr>
          <w:b/>
          <w:sz w:val="22"/>
          <w:szCs w:val="22"/>
        </w:rPr>
        <w:t>NÁZOV LIEKU</w:t>
      </w:r>
    </w:p>
    <w:p w:rsidR="00E00E06" w:rsidRPr="001D5249" w:rsidRDefault="00E00E06">
      <w:pPr>
        <w:widowControl w:val="0"/>
        <w:tabs>
          <w:tab w:val="left" w:pos="567"/>
        </w:tabs>
        <w:rPr>
          <w:iCs/>
          <w:sz w:val="22"/>
          <w:szCs w:val="22"/>
          <w:lang w:val="en-GB" w:eastAsia="en-US"/>
        </w:rPr>
      </w:pPr>
    </w:p>
    <w:p w:rsidR="00550318" w:rsidRPr="001D5249" w:rsidRDefault="00E00E06">
      <w:pPr>
        <w:widowControl w:val="0"/>
        <w:tabs>
          <w:tab w:val="left" w:pos="567"/>
        </w:tabs>
        <w:rPr>
          <w:sz w:val="22"/>
          <w:szCs w:val="22"/>
          <w:lang w:val="en-US"/>
        </w:rPr>
      </w:pPr>
      <w:r w:rsidRPr="001D5249">
        <w:rPr>
          <w:noProof/>
          <w:sz w:val="22"/>
          <w:szCs w:val="22"/>
          <w:lang w:val="en-GB" w:eastAsia="en-US"/>
        </w:rPr>
        <w:t xml:space="preserve">Abrea </w:t>
      </w:r>
      <w:r w:rsidRPr="001D5249">
        <w:rPr>
          <w:sz w:val="22"/>
          <w:szCs w:val="22"/>
          <w:lang w:val="en-US"/>
        </w:rPr>
        <w:t xml:space="preserve">75 mg </w:t>
      </w:r>
    </w:p>
    <w:p w:rsidR="00E00E06" w:rsidRPr="001D5249" w:rsidRDefault="00E00E06">
      <w:pPr>
        <w:widowControl w:val="0"/>
        <w:tabs>
          <w:tab w:val="left" w:pos="567"/>
        </w:tabs>
        <w:rPr>
          <w:iCs/>
          <w:sz w:val="22"/>
          <w:szCs w:val="22"/>
          <w:lang w:val="en-GB" w:eastAsia="en-US"/>
        </w:rPr>
      </w:pPr>
      <w:r w:rsidRPr="001D5249">
        <w:rPr>
          <w:sz w:val="22"/>
          <w:szCs w:val="22"/>
          <w:lang w:val="en-US"/>
        </w:rPr>
        <w:t>gastrorezistentné tablety</w:t>
      </w:r>
    </w:p>
    <w:p w:rsidR="00550318" w:rsidRPr="001D5249" w:rsidRDefault="00550318">
      <w:pPr>
        <w:widowControl w:val="0"/>
        <w:tabs>
          <w:tab w:val="left" w:pos="567"/>
        </w:tabs>
        <w:rPr>
          <w:noProof/>
          <w:sz w:val="22"/>
          <w:szCs w:val="22"/>
          <w:lang w:val="en-GB" w:eastAsia="en-US"/>
        </w:rPr>
      </w:pPr>
    </w:p>
    <w:p w:rsidR="00550318" w:rsidRPr="001D5249" w:rsidRDefault="00E00E06">
      <w:pPr>
        <w:widowControl w:val="0"/>
        <w:tabs>
          <w:tab w:val="left" w:pos="567"/>
        </w:tabs>
        <w:rPr>
          <w:sz w:val="22"/>
          <w:szCs w:val="22"/>
          <w:lang w:val="en-US"/>
        </w:rPr>
      </w:pPr>
      <w:r w:rsidRPr="00E55E5C">
        <w:rPr>
          <w:noProof/>
          <w:sz w:val="22"/>
          <w:szCs w:val="22"/>
          <w:lang w:val="en-GB" w:eastAsia="en-US"/>
        </w:rPr>
        <w:t xml:space="preserve">Abrea </w:t>
      </w:r>
      <w:r w:rsidRPr="00E55E5C">
        <w:rPr>
          <w:sz w:val="22"/>
          <w:szCs w:val="22"/>
          <w:lang w:val="en-US"/>
        </w:rPr>
        <w:t xml:space="preserve">100 mg </w:t>
      </w:r>
    </w:p>
    <w:p w:rsidR="00E00E06" w:rsidRPr="00E55E5C" w:rsidRDefault="00E00E06">
      <w:pPr>
        <w:widowControl w:val="0"/>
        <w:tabs>
          <w:tab w:val="left" w:pos="567"/>
        </w:tabs>
        <w:rPr>
          <w:sz w:val="22"/>
          <w:szCs w:val="22"/>
          <w:lang w:val="en-US"/>
        </w:rPr>
      </w:pPr>
      <w:r w:rsidRPr="00E55E5C">
        <w:rPr>
          <w:sz w:val="22"/>
          <w:szCs w:val="22"/>
          <w:lang w:val="en-US"/>
        </w:rPr>
        <w:t>gastrorezistentné tablety</w:t>
      </w:r>
    </w:p>
    <w:p w:rsidR="00550318" w:rsidRPr="001D5249" w:rsidRDefault="00550318">
      <w:pPr>
        <w:widowControl w:val="0"/>
        <w:tabs>
          <w:tab w:val="left" w:pos="567"/>
        </w:tabs>
        <w:rPr>
          <w:sz w:val="22"/>
          <w:szCs w:val="22"/>
          <w:lang w:val="en-US"/>
        </w:rPr>
      </w:pPr>
    </w:p>
    <w:p w:rsidR="00550318" w:rsidRPr="001D5249" w:rsidRDefault="00E00E06">
      <w:pPr>
        <w:widowControl w:val="0"/>
        <w:tabs>
          <w:tab w:val="left" w:pos="567"/>
        </w:tabs>
        <w:rPr>
          <w:sz w:val="22"/>
          <w:szCs w:val="22"/>
          <w:lang w:val="en-US"/>
        </w:rPr>
      </w:pPr>
      <w:r w:rsidRPr="00E55E5C">
        <w:rPr>
          <w:sz w:val="22"/>
          <w:szCs w:val="22"/>
          <w:lang w:val="en-US"/>
        </w:rPr>
        <w:t xml:space="preserve">Abrea 160 mg </w:t>
      </w:r>
    </w:p>
    <w:p w:rsidR="00E00E06" w:rsidRPr="00E55E5C" w:rsidRDefault="00E00E06">
      <w:pPr>
        <w:widowControl w:val="0"/>
        <w:tabs>
          <w:tab w:val="left" w:pos="567"/>
        </w:tabs>
        <w:rPr>
          <w:sz w:val="22"/>
          <w:szCs w:val="22"/>
          <w:lang w:val="en-US"/>
        </w:rPr>
      </w:pPr>
      <w:r w:rsidRPr="00E55E5C">
        <w:rPr>
          <w:sz w:val="22"/>
          <w:szCs w:val="22"/>
          <w:lang w:val="en-US"/>
        </w:rPr>
        <w:t>gastrorezistentné tablety</w:t>
      </w:r>
    </w:p>
    <w:p w:rsidR="00E00E06" w:rsidRPr="001D5249" w:rsidRDefault="00E00E06">
      <w:pPr>
        <w:widowControl w:val="0"/>
        <w:tabs>
          <w:tab w:val="left" w:pos="567"/>
        </w:tabs>
        <w:rPr>
          <w:b/>
          <w:sz w:val="22"/>
          <w:szCs w:val="22"/>
          <w:lang w:val="en-GB" w:eastAsia="en-US"/>
        </w:rPr>
      </w:pPr>
    </w:p>
    <w:p w:rsidR="00E00E06" w:rsidRPr="001D5249" w:rsidRDefault="00E00E06">
      <w:pPr>
        <w:widowControl w:val="0"/>
        <w:tabs>
          <w:tab w:val="left" w:pos="567"/>
        </w:tabs>
        <w:rPr>
          <w:b/>
          <w:sz w:val="22"/>
          <w:szCs w:val="22"/>
          <w:lang w:val="en-GB" w:eastAsia="en-US"/>
        </w:rPr>
      </w:pPr>
    </w:p>
    <w:p w:rsidR="00E00E06" w:rsidRPr="001D5249" w:rsidRDefault="00E00E06">
      <w:pPr>
        <w:widowControl w:val="0"/>
        <w:tabs>
          <w:tab w:val="left" w:pos="567"/>
        </w:tabs>
        <w:rPr>
          <w:sz w:val="22"/>
          <w:szCs w:val="22"/>
          <w:lang w:val="en-GB" w:eastAsia="en-US"/>
        </w:rPr>
      </w:pPr>
      <w:r w:rsidRPr="001D5249">
        <w:rPr>
          <w:b/>
          <w:sz w:val="22"/>
          <w:szCs w:val="22"/>
          <w:lang w:val="en-GB" w:eastAsia="en-US"/>
        </w:rPr>
        <w:t>2.</w:t>
      </w:r>
      <w:r w:rsidRPr="001D5249">
        <w:rPr>
          <w:b/>
          <w:sz w:val="22"/>
          <w:szCs w:val="22"/>
          <w:lang w:val="en-GB" w:eastAsia="en-US"/>
        </w:rPr>
        <w:tab/>
      </w:r>
      <w:r w:rsidRPr="001D5249">
        <w:rPr>
          <w:b/>
          <w:sz w:val="22"/>
          <w:szCs w:val="22"/>
        </w:rPr>
        <w:t>KVALITATÍVNE A KVANTITATÍVNE ZLOŽENIE</w:t>
      </w:r>
    </w:p>
    <w:p w:rsidR="00E00E06" w:rsidRPr="001D5249" w:rsidRDefault="00E00E06">
      <w:pPr>
        <w:widowControl w:val="0"/>
        <w:tabs>
          <w:tab w:val="left" w:pos="567"/>
        </w:tabs>
        <w:rPr>
          <w:sz w:val="22"/>
          <w:szCs w:val="22"/>
        </w:rPr>
      </w:pPr>
    </w:p>
    <w:p w:rsidR="00E00E06" w:rsidRPr="001D5249" w:rsidRDefault="00E00E06">
      <w:pPr>
        <w:rPr>
          <w:sz w:val="22"/>
          <w:szCs w:val="22"/>
        </w:rPr>
      </w:pPr>
      <w:r w:rsidRPr="001D5249">
        <w:rPr>
          <w:sz w:val="22"/>
          <w:szCs w:val="22"/>
        </w:rPr>
        <w:t>Každá gastrorezistentná tableta obsahuje 75 mg, 100 mg alebo 160 mg kyseliny acetylsalicylovej.</w:t>
      </w:r>
    </w:p>
    <w:p w:rsidR="00E00E06" w:rsidRPr="001D5249" w:rsidRDefault="00E00E06">
      <w:pPr>
        <w:rPr>
          <w:sz w:val="22"/>
          <w:szCs w:val="22"/>
        </w:rPr>
      </w:pPr>
    </w:p>
    <w:p w:rsidR="00E00E06" w:rsidRPr="001D5249" w:rsidRDefault="00E00E06">
      <w:pPr>
        <w:rPr>
          <w:sz w:val="22"/>
          <w:szCs w:val="22"/>
          <w:u w:val="single"/>
        </w:rPr>
      </w:pPr>
      <w:r w:rsidRPr="001D5249">
        <w:rPr>
          <w:sz w:val="22"/>
          <w:szCs w:val="22"/>
          <w:u w:val="single"/>
        </w:rPr>
        <w:t>Pomocné látky so známym účinkom:</w:t>
      </w:r>
    </w:p>
    <w:p w:rsidR="00E00E06" w:rsidRPr="001D5249" w:rsidRDefault="00E00E06">
      <w:pPr>
        <w:tabs>
          <w:tab w:val="left" w:pos="851"/>
          <w:tab w:val="right" w:leader="dot" w:pos="9072"/>
        </w:tabs>
        <w:rPr>
          <w:sz w:val="22"/>
          <w:szCs w:val="22"/>
        </w:rPr>
      </w:pPr>
      <w:r w:rsidRPr="00E55E5C">
        <w:rPr>
          <w:sz w:val="22"/>
          <w:szCs w:val="22"/>
        </w:rPr>
        <w:t>75 mg:</w:t>
      </w:r>
      <w:r w:rsidRPr="001D5249">
        <w:rPr>
          <w:sz w:val="22"/>
          <w:szCs w:val="22"/>
        </w:rPr>
        <w:t xml:space="preserve"> </w:t>
      </w:r>
      <w:r w:rsidRPr="001D5249">
        <w:rPr>
          <w:sz w:val="22"/>
          <w:szCs w:val="22"/>
        </w:rPr>
        <w:tab/>
        <w:t>Monohydrát laktózy</w:t>
      </w:r>
      <w:r w:rsidRPr="001D5249">
        <w:rPr>
          <w:sz w:val="22"/>
          <w:szCs w:val="22"/>
        </w:rPr>
        <w:tab/>
        <w:t>45 mg v tablete.</w:t>
      </w:r>
    </w:p>
    <w:p w:rsidR="00E00E06" w:rsidRPr="001D5249" w:rsidRDefault="00E00E06">
      <w:pPr>
        <w:tabs>
          <w:tab w:val="left" w:pos="851"/>
          <w:tab w:val="right" w:leader="dot" w:pos="9072"/>
        </w:tabs>
        <w:rPr>
          <w:sz w:val="22"/>
          <w:szCs w:val="22"/>
        </w:rPr>
      </w:pPr>
      <w:r w:rsidRPr="001D5249">
        <w:rPr>
          <w:sz w:val="22"/>
          <w:szCs w:val="22"/>
        </w:rPr>
        <w:tab/>
      </w:r>
      <w:r w:rsidR="00DF5208">
        <w:rPr>
          <w:sz w:val="22"/>
          <w:szCs w:val="22"/>
        </w:rPr>
        <w:t>Oranžová žlť</w:t>
      </w:r>
      <w:r w:rsidRPr="001D5249">
        <w:rPr>
          <w:sz w:val="22"/>
          <w:szCs w:val="22"/>
        </w:rPr>
        <w:t xml:space="preserve"> (E110)</w:t>
      </w:r>
      <w:r w:rsidRPr="001D5249">
        <w:rPr>
          <w:sz w:val="22"/>
          <w:szCs w:val="22"/>
        </w:rPr>
        <w:tab/>
        <w:t>0,0006 mg v tablete.</w:t>
      </w:r>
    </w:p>
    <w:p w:rsidR="00E00E06" w:rsidRPr="001D5249" w:rsidRDefault="00E00E06">
      <w:pPr>
        <w:widowControl w:val="0"/>
        <w:tabs>
          <w:tab w:val="left" w:pos="567"/>
        </w:tabs>
        <w:rPr>
          <w:sz w:val="22"/>
          <w:szCs w:val="22"/>
          <w:lang w:eastAsia="en-US"/>
        </w:rPr>
      </w:pPr>
    </w:p>
    <w:p w:rsidR="00E00E06" w:rsidRPr="001D5249" w:rsidRDefault="00E00E06">
      <w:pPr>
        <w:tabs>
          <w:tab w:val="left" w:pos="851"/>
          <w:tab w:val="right" w:leader="dot" w:pos="9072"/>
        </w:tabs>
        <w:rPr>
          <w:sz w:val="22"/>
          <w:szCs w:val="22"/>
        </w:rPr>
      </w:pPr>
      <w:r w:rsidRPr="00E55E5C">
        <w:rPr>
          <w:sz w:val="22"/>
          <w:szCs w:val="22"/>
        </w:rPr>
        <w:t>100 mg:</w:t>
      </w:r>
      <w:r w:rsidRPr="00E55E5C">
        <w:rPr>
          <w:sz w:val="22"/>
          <w:szCs w:val="22"/>
        </w:rPr>
        <w:tab/>
        <w:t>Monohydrát laktózy…………………………………………………………60 mg v tablete</w:t>
      </w:r>
    </w:p>
    <w:p w:rsidR="00E00E06" w:rsidRPr="001D5249" w:rsidRDefault="00E00E06">
      <w:pPr>
        <w:widowControl w:val="0"/>
        <w:tabs>
          <w:tab w:val="left" w:pos="567"/>
        </w:tabs>
        <w:rPr>
          <w:sz w:val="22"/>
          <w:szCs w:val="22"/>
          <w:lang w:eastAsia="en-US"/>
        </w:rPr>
      </w:pPr>
    </w:p>
    <w:p w:rsidR="00E00E06" w:rsidRPr="00E55E5C" w:rsidRDefault="00E00E06">
      <w:pPr>
        <w:tabs>
          <w:tab w:val="left" w:pos="851"/>
          <w:tab w:val="right" w:leader="dot" w:pos="9072"/>
        </w:tabs>
        <w:rPr>
          <w:sz w:val="22"/>
          <w:szCs w:val="22"/>
        </w:rPr>
      </w:pPr>
      <w:r w:rsidRPr="00E55E5C">
        <w:rPr>
          <w:sz w:val="22"/>
          <w:szCs w:val="22"/>
        </w:rPr>
        <w:t>160 mg:</w:t>
      </w:r>
      <w:r w:rsidRPr="00E55E5C">
        <w:rPr>
          <w:sz w:val="22"/>
          <w:szCs w:val="22"/>
        </w:rPr>
        <w:tab/>
        <w:t>Monohydrát laktózy</w:t>
      </w:r>
      <w:r w:rsidRPr="00E55E5C">
        <w:rPr>
          <w:sz w:val="22"/>
          <w:szCs w:val="22"/>
        </w:rPr>
        <w:tab/>
        <w:t>96 mg v tablete.</w:t>
      </w:r>
    </w:p>
    <w:p w:rsidR="00E00E06" w:rsidRPr="001D5249" w:rsidRDefault="00E00E06">
      <w:pPr>
        <w:tabs>
          <w:tab w:val="left" w:pos="851"/>
          <w:tab w:val="right" w:leader="dot" w:pos="9072"/>
        </w:tabs>
        <w:rPr>
          <w:sz w:val="22"/>
          <w:szCs w:val="22"/>
        </w:rPr>
      </w:pPr>
      <w:r w:rsidRPr="00E55E5C">
        <w:rPr>
          <w:sz w:val="22"/>
          <w:szCs w:val="22"/>
        </w:rPr>
        <w:tab/>
        <w:t>Lecitín (sójový) (E322)</w:t>
      </w:r>
      <w:r w:rsidRPr="00E55E5C">
        <w:rPr>
          <w:sz w:val="22"/>
          <w:szCs w:val="22"/>
        </w:rPr>
        <w:tab/>
        <w:t>0,42 mg v tablete.</w:t>
      </w:r>
    </w:p>
    <w:p w:rsidR="00E00E06" w:rsidRPr="001D5249" w:rsidRDefault="00E00E06">
      <w:pPr>
        <w:widowControl w:val="0"/>
        <w:tabs>
          <w:tab w:val="left" w:pos="567"/>
        </w:tabs>
        <w:rPr>
          <w:sz w:val="22"/>
          <w:szCs w:val="22"/>
          <w:lang w:eastAsia="en-US"/>
        </w:rPr>
      </w:pPr>
    </w:p>
    <w:p w:rsidR="00E00E06" w:rsidRPr="001D5249" w:rsidRDefault="00E00E06">
      <w:pPr>
        <w:widowControl w:val="0"/>
        <w:tabs>
          <w:tab w:val="left" w:pos="567"/>
        </w:tabs>
        <w:rPr>
          <w:sz w:val="22"/>
          <w:szCs w:val="22"/>
        </w:rPr>
      </w:pPr>
      <w:r w:rsidRPr="001D5249">
        <w:rPr>
          <w:sz w:val="22"/>
          <w:szCs w:val="22"/>
        </w:rPr>
        <w:t>Úplný zoznam pomocných látok, pozri časť 6.1.</w:t>
      </w:r>
      <w:r w:rsidRPr="001D5249">
        <w:rPr>
          <w:sz w:val="22"/>
          <w:szCs w:val="22"/>
          <w:lang w:eastAsia="en-US"/>
        </w:rPr>
        <w:t xml:space="preserve"> </w:t>
      </w:r>
    </w:p>
    <w:p w:rsidR="00E00E06" w:rsidRPr="001D5249" w:rsidRDefault="00E00E06">
      <w:pPr>
        <w:widowControl w:val="0"/>
        <w:tabs>
          <w:tab w:val="left" w:pos="567"/>
        </w:tabs>
        <w:rPr>
          <w:sz w:val="22"/>
          <w:szCs w:val="22"/>
          <w:lang w:eastAsia="en-US"/>
        </w:rPr>
      </w:pPr>
    </w:p>
    <w:p w:rsidR="00E00E06" w:rsidRPr="001D5249" w:rsidRDefault="00E00E06">
      <w:pPr>
        <w:widowControl w:val="0"/>
        <w:tabs>
          <w:tab w:val="left" w:pos="567"/>
        </w:tabs>
        <w:rPr>
          <w:sz w:val="22"/>
          <w:szCs w:val="22"/>
          <w:lang w:eastAsia="en-US"/>
        </w:rPr>
      </w:pPr>
    </w:p>
    <w:p w:rsidR="00E00E06" w:rsidRPr="001D5249" w:rsidRDefault="00E00E06">
      <w:pPr>
        <w:widowControl w:val="0"/>
        <w:tabs>
          <w:tab w:val="left" w:pos="567"/>
        </w:tabs>
        <w:rPr>
          <w:b/>
          <w:caps/>
          <w:sz w:val="22"/>
          <w:szCs w:val="22"/>
          <w:lang w:val="en-GB" w:eastAsia="en-US"/>
        </w:rPr>
      </w:pPr>
      <w:r w:rsidRPr="001D5249">
        <w:rPr>
          <w:b/>
          <w:sz w:val="22"/>
          <w:szCs w:val="22"/>
          <w:lang w:val="en-GB" w:eastAsia="en-US"/>
        </w:rPr>
        <w:t>3.</w:t>
      </w:r>
      <w:r w:rsidRPr="001D5249">
        <w:rPr>
          <w:b/>
          <w:sz w:val="22"/>
          <w:szCs w:val="22"/>
          <w:lang w:val="en-GB" w:eastAsia="en-US"/>
        </w:rPr>
        <w:tab/>
      </w:r>
      <w:r w:rsidRPr="001D5249">
        <w:rPr>
          <w:b/>
          <w:sz w:val="22"/>
          <w:szCs w:val="22"/>
        </w:rPr>
        <w:t>LIEKOVÁ FORMA</w:t>
      </w:r>
    </w:p>
    <w:p w:rsidR="00E00E06" w:rsidRPr="001D5249" w:rsidRDefault="00E00E06">
      <w:pPr>
        <w:widowControl w:val="0"/>
        <w:tabs>
          <w:tab w:val="left" w:pos="567"/>
        </w:tabs>
        <w:rPr>
          <w:sz w:val="22"/>
          <w:szCs w:val="22"/>
          <w:lang w:val="en-GB" w:eastAsia="en-US"/>
        </w:rPr>
      </w:pPr>
    </w:p>
    <w:p w:rsidR="00E00E06" w:rsidRPr="001D5249" w:rsidRDefault="00E00E06">
      <w:pPr>
        <w:rPr>
          <w:sz w:val="22"/>
          <w:szCs w:val="22"/>
        </w:rPr>
      </w:pPr>
      <w:r w:rsidRPr="001D5249">
        <w:rPr>
          <w:sz w:val="22"/>
          <w:szCs w:val="22"/>
        </w:rPr>
        <w:t>Gastrorezistentná tableta</w:t>
      </w:r>
    </w:p>
    <w:p w:rsidR="00E00E06" w:rsidRPr="001D5249" w:rsidRDefault="00E00E06">
      <w:pPr>
        <w:rPr>
          <w:sz w:val="22"/>
          <w:szCs w:val="22"/>
          <w:highlight w:val="lightGray"/>
        </w:rPr>
      </w:pPr>
    </w:p>
    <w:p w:rsidR="00E00E06" w:rsidRPr="001D5249" w:rsidRDefault="00E00E06">
      <w:pPr>
        <w:rPr>
          <w:sz w:val="22"/>
          <w:szCs w:val="22"/>
        </w:rPr>
      </w:pPr>
      <w:r w:rsidRPr="00E55E5C">
        <w:rPr>
          <w:noProof/>
          <w:sz w:val="22"/>
          <w:szCs w:val="22"/>
          <w:lang w:val="en-GB" w:eastAsia="en-US"/>
        </w:rPr>
        <w:t xml:space="preserve">Abrea </w:t>
      </w:r>
      <w:r w:rsidRPr="00E55E5C">
        <w:rPr>
          <w:sz w:val="22"/>
          <w:szCs w:val="22"/>
          <w:lang w:val="en-US"/>
        </w:rPr>
        <w:t xml:space="preserve">75 mg: </w:t>
      </w:r>
      <w:r w:rsidRPr="001D5249">
        <w:rPr>
          <w:sz w:val="22"/>
          <w:szCs w:val="22"/>
          <w:lang w:val="en-US"/>
        </w:rPr>
        <w:t>ružové okrúhle</w:t>
      </w:r>
      <w:r w:rsidR="007C4D6C" w:rsidRPr="001D5249">
        <w:rPr>
          <w:sz w:val="22"/>
          <w:szCs w:val="22"/>
          <w:lang w:val="en-US"/>
        </w:rPr>
        <w:t>,</w:t>
      </w:r>
      <w:r w:rsidRPr="001D5249">
        <w:rPr>
          <w:sz w:val="22"/>
          <w:szCs w:val="22"/>
          <w:lang w:val="en-US"/>
        </w:rPr>
        <w:t xml:space="preserve"> bikonvexné filmom obalené tablety s priemerom okolo 7,2 mm.</w:t>
      </w:r>
    </w:p>
    <w:p w:rsidR="00E00E06" w:rsidRPr="00E55E5C" w:rsidRDefault="00E00E06">
      <w:pPr>
        <w:rPr>
          <w:sz w:val="22"/>
          <w:szCs w:val="22"/>
        </w:rPr>
      </w:pPr>
      <w:r w:rsidRPr="00E55E5C">
        <w:rPr>
          <w:noProof/>
          <w:sz w:val="22"/>
          <w:szCs w:val="22"/>
          <w:lang w:val="en-GB" w:eastAsia="en-US"/>
        </w:rPr>
        <w:t xml:space="preserve">Abrea </w:t>
      </w:r>
      <w:r w:rsidRPr="00E55E5C">
        <w:rPr>
          <w:sz w:val="22"/>
          <w:szCs w:val="22"/>
          <w:lang w:val="en-US"/>
        </w:rPr>
        <w:t>100 mg</w:t>
      </w:r>
      <w:r w:rsidRPr="00E55E5C">
        <w:rPr>
          <w:sz w:val="22"/>
          <w:szCs w:val="22"/>
        </w:rPr>
        <w:t>: biele</w:t>
      </w:r>
      <w:r w:rsidR="007C4D6C" w:rsidRPr="001D5249">
        <w:rPr>
          <w:sz w:val="22"/>
          <w:szCs w:val="22"/>
        </w:rPr>
        <w:t>,</w:t>
      </w:r>
      <w:r w:rsidRPr="00E55E5C">
        <w:rPr>
          <w:sz w:val="22"/>
          <w:szCs w:val="22"/>
        </w:rPr>
        <w:t xml:space="preserve"> okrúhle</w:t>
      </w:r>
      <w:r w:rsidR="007C4D6C" w:rsidRPr="001D5249">
        <w:rPr>
          <w:sz w:val="22"/>
          <w:szCs w:val="22"/>
        </w:rPr>
        <w:t>,</w:t>
      </w:r>
      <w:r w:rsidRPr="00E55E5C">
        <w:rPr>
          <w:sz w:val="22"/>
          <w:szCs w:val="22"/>
        </w:rPr>
        <w:t xml:space="preserve"> bikonvexné filmom obalené tablety s priemerom okolo 8,1 mm.</w:t>
      </w:r>
    </w:p>
    <w:p w:rsidR="00E00E06" w:rsidRPr="001D5249" w:rsidRDefault="00E00E06">
      <w:pPr>
        <w:rPr>
          <w:sz w:val="22"/>
          <w:szCs w:val="22"/>
        </w:rPr>
      </w:pPr>
      <w:r w:rsidRPr="00E55E5C">
        <w:rPr>
          <w:noProof/>
          <w:sz w:val="22"/>
          <w:szCs w:val="22"/>
          <w:lang w:val="en-GB" w:eastAsia="en-US"/>
        </w:rPr>
        <w:t xml:space="preserve">Abrea </w:t>
      </w:r>
      <w:r w:rsidRPr="00E55E5C">
        <w:rPr>
          <w:sz w:val="22"/>
          <w:szCs w:val="22"/>
          <w:lang w:val="en-US"/>
        </w:rPr>
        <w:t>160 mg:</w:t>
      </w:r>
      <w:r w:rsidRPr="00E55E5C">
        <w:rPr>
          <w:sz w:val="22"/>
          <w:szCs w:val="22"/>
        </w:rPr>
        <w:t xml:space="preserve"> žlté</w:t>
      </w:r>
      <w:r w:rsidR="007C4D6C" w:rsidRPr="001D5249">
        <w:rPr>
          <w:sz w:val="22"/>
          <w:szCs w:val="22"/>
        </w:rPr>
        <w:t>,</w:t>
      </w:r>
      <w:r w:rsidRPr="00E55E5C">
        <w:rPr>
          <w:sz w:val="22"/>
          <w:szCs w:val="22"/>
        </w:rPr>
        <w:t xml:space="preserve"> okrúhle</w:t>
      </w:r>
      <w:r w:rsidR="007C4D6C" w:rsidRPr="001D5249">
        <w:rPr>
          <w:sz w:val="22"/>
          <w:szCs w:val="22"/>
        </w:rPr>
        <w:t>,</w:t>
      </w:r>
      <w:r w:rsidRPr="00E55E5C">
        <w:rPr>
          <w:sz w:val="22"/>
          <w:szCs w:val="22"/>
        </w:rPr>
        <w:t xml:space="preserve"> bikonvexné filmom obalené tablety s priemerom okolo 9,2 mm.</w:t>
      </w:r>
    </w:p>
    <w:p w:rsidR="00E00E06" w:rsidRPr="001D5249" w:rsidRDefault="00E00E06">
      <w:pPr>
        <w:widowControl w:val="0"/>
        <w:tabs>
          <w:tab w:val="left" w:pos="567"/>
        </w:tabs>
        <w:rPr>
          <w:sz w:val="22"/>
          <w:szCs w:val="22"/>
          <w:lang w:eastAsia="en-US"/>
        </w:rPr>
      </w:pPr>
    </w:p>
    <w:p w:rsidR="00E00E06" w:rsidRPr="001D5249" w:rsidRDefault="00E00E06">
      <w:pPr>
        <w:widowControl w:val="0"/>
        <w:tabs>
          <w:tab w:val="left" w:pos="567"/>
        </w:tabs>
        <w:rPr>
          <w:sz w:val="22"/>
          <w:szCs w:val="22"/>
          <w:lang w:eastAsia="en-US"/>
        </w:rPr>
      </w:pPr>
    </w:p>
    <w:p w:rsidR="00E00E06" w:rsidRPr="001D5249" w:rsidRDefault="00E00E06">
      <w:pPr>
        <w:widowControl w:val="0"/>
        <w:tabs>
          <w:tab w:val="left" w:pos="567"/>
        </w:tabs>
        <w:rPr>
          <w:caps/>
          <w:sz w:val="22"/>
          <w:szCs w:val="22"/>
          <w:lang w:val="en-GB" w:eastAsia="en-US"/>
        </w:rPr>
      </w:pPr>
      <w:r w:rsidRPr="001D5249">
        <w:rPr>
          <w:b/>
          <w:caps/>
          <w:sz w:val="22"/>
          <w:szCs w:val="22"/>
          <w:lang w:val="en-GB" w:eastAsia="en-US"/>
        </w:rPr>
        <w:t>4.</w:t>
      </w:r>
      <w:r w:rsidRPr="001D5249">
        <w:rPr>
          <w:b/>
          <w:caps/>
          <w:sz w:val="22"/>
          <w:szCs w:val="22"/>
          <w:lang w:val="en-GB" w:eastAsia="en-US"/>
        </w:rPr>
        <w:tab/>
      </w:r>
      <w:r w:rsidRPr="001D5249">
        <w:rPr>
          <w:b/>
          <w:caps/>
          <w:sz w:val="22"/>
          <w:szCs w:val="22"/>
        </w:rPr>
        <w:t>KLINICKÉ ÚDAJE</w:t>
      </w:r>
    </w:p>
    <w:p w:rsidR="00E00E06" w:rsidRPr="001D5249" w:rsidRDefault="00E00E06">
      <w:pPr>
        <w:widowControl w:val="0"/>
        <w:tabs>
          <w:tab w:val="left" w:pos="567"/>
        </w:tabs>
        <w:rPr>
          <w:sz w:val="22"/>
          <w:szCs w:val="22"/>
          <w:lang w:val="en-GB" w:eastAsia="en-US"/>
        </w:rPr>
      </w:pPr>
    </w:p>
    <w:p w:rsidR="00E00E06" w:rsidRPr="001D5249" w:rsidRDefault="00E00E06">
      <w:pPr>
        <w:widowControl w:val="0"/>
        <w:tabs>
          <w:tab w:val="left" w:pos="567"/>
        </w:tabs>
        <w:rPr>
          <w:sz w:val="22"/>
          <w:szCs w:val="22"/>
          <w:lang w:val="en-GB" w:eastAsia="en-US"/>
        </w:rPr>
      </w:pPr>
      <w:r w:rsidRPr="001D5249">
        <w:rPr>
          <w:b/>
          <w:sz w:val="22"/>
          <w:szCs w:val="22"/>
          <w:lang w:val="en-GB" w:eastAsia="en-US"/>
        </w:rPr>
        <w:t>4.1</w:t>
      </w:r>
      <w:r w:rsidRPr="001D5249">
        <w:rPr>
          <w:b/>
          <w:sz w:val="22"/>
          <w:szCs w:val="22"/>
          <w:lang w:val="en-GB" w:eastAsia="en-US"/>
        </w:rPr>
        <w:tab/>
        <w:t>Terapeutické indikácie</w:t>
      </w:r>
    </w:p>
    <w:p w:rsidR="00E00E06" w:rsidRPr="001D5249" w:rsidRDefault="00E00E06">
      <w:pPr>
        <w:widowControl w:val="0"/>
        <w:tabs>
          <w:tab w:val="left" w:pos="567"/>
        </w:tabs>
        <w:rPr>
          <w:sz w:val="22"/>
          <w:szCs w:val="22"/>
          <w:lang w:val="en-GB" w:eastAsia="en-US"/>
        </w:rPr>
      </w:pPr>
    </w:p>
    <w:p w:rsidR="00E00E06" w:rsidRPr="001D5249" w:rsidRDefault="00E00E06">
      <w:pPr>
        <w:widowControl w:val="0"/>
        <w:tabs>
          <w:tab w:val="left" w:pos="567"/>
        </w:tabs>
        <w:rPr>
          <w:sz w:val="22"/>
          <w:szCs w:val="22"/>
          <w:lang w:val="en-GB" w:eastAsia="en-US"/>
        </w:rPr>
      </w:pPr>
      <w:r w:rsidRPr="001D5249">
        <w:rPr>
          <w:sz w:val="22"/>
          <w:szCs w:val="22"/>
          <w:lang w:val="en-GB" w:eastAsia="en-US"/>
        </w:rPr>
        <w:t>-</w:t>
      </w:r>
      <w:r w:rsidRPr="001D5249">
        <w:rPr>
          <w:sz w:val="22"/>
          <w:szCs w:val="22"/>
          <w:lang w:val="en-GB" w:eastAsia="en-US"/>
        </w:rPr>
        <w:tab/>
      </w:r>
      <w:r w:rsidRPr="001D5249">
        <w:rPr>
          <w:sz w:val="22"/>
          <w:szCs w:val="22"/>
        </w:rPr>
        <w:t>Sekundárna prevencia infarkt</w:t>
      </w:r>
      <w:r w:rsidR="004D690E" w:rsidRPr="001D5249">
        <w:rPr>
          <w:sz w:val="22"/>
          <w:szCs w:val="22"/>
        </w:rPr>
        <w:t>u</w:t>
      </w:r>
      <w:r w:rsidRPr="001D5249">
        <w:rPr>
          <w:sz w:val="22"/>
          <w:szCs w:val="22"/>
        </w:rPr>
        <w:t xml:space="preserve"> myokardu</w:t>
      </w:r>
      <w:r w:rsidRPr="001D5249">
        <w:rPr>
          <w:sz w:val="22"/>
          <w:szCs w:val="22"/>
          <w:lang w:val="en-GB" w:eastAsia="en-US"/>
        </w:rPr>
        <w:t>.</w:t>
      </w:r>
    </w:p>
    <w:p w:rsidR="00E00E06" w:rsidRPr="001D5249" w:rsidRDefault="00E00E06">
      <w:pPr>
        <w:widowControl w:val="0"/>
        <w:tabs>
          <w:tab w:val="left" w:pos="567"/>
        </w:tabs>
        <w:rPr>
          <w:sz w:val="22"/>
          <w:szCs w:val="22"/>
          <w:lang w:val="en-GB" w:eastAsia="en-US"/>
        </w:rPr>
      </w:pPr>
      <w:r w:rsidRPr="001D5249">
        <w:rPr>
          <w:sz w:val="22"/>
          <w:szCs w:val="22"/>
          <w:lang w:val="en-GB" w:eastAsia="en-US"/>
        </w:rPr>
        <w:t>-</w:t>
      </w:r>
      <w:r w:rsidRPr="001D5249">
        <w:rPr>
          <w:sz w:val="22"/>
          <w:szCs w:val="22"/>
          <w:lang w:val="en-GB" w:eastAsia="en-US"/>
        </w:rPr>
        <w:tab/>
      </w:r>
      <w:r w:rsidRPr="001D5249">
        <w:rPr>
          <w:sz w:val="22"/>
          <w:szCs w:val="22"/>
        </w:rPr>
        <w:t>Prevencia kardiovaskulárnej morbidity u pacientov trpiacich na stabilnú ang</w:t>
      </w:r>
      <w:r w:rsidR="00C52936" w:rsidRPr="001D5249">
        <w:rPr>
          <w:sz w:val="22"/>
          <w:szCs w:val="22"/>
        </w:rPr>
        <w:t>í</w:t>
      </w:r>
      <w:r w:rsidRPr="001D5249">
        <w:rPr>
          <w:sz w:val="22"/>
          <w:szCs w:val="22"/>
        </w:rPr>
        <w:t>nu pe</w:t>
      </w:r>
      <w:r w:rsidR="00D8103B" w:rsidRPr="001D5249">
        <w:rPr>
          <w:sz w:val="22"/>
          <w:szCs w:val="22"/>
        </w:rPr>
        <w:t>k</w:t>
      </w:r>
      <w:r w:rsidRPr="001D5249">
        <w:rPr>
          <w:sz w:val="22"/>
          <w:szCs w:val="22"/>
        </w:rPr>
        <w:t>toris</w:t>
      </w:r>
      <w:r w:rsidRPr="001D5249">
        <w:rPr>
          <w:sz w:val="22"/>
          <w:szCs w:val="22"/>
          <w:lang w:val="en-GB" w:eastAsia="en-US"/>
        </w:rPr>
        <w:t>.</w:t>
      </w:r>
    </w:p>
    <w:p w:rsidR="00E00E06" w:rsidRPr="001D5249" w:rsidRDefault="00E00E06">
      <w:pPr>
        <w:widowControl w:val="0"/>
        <w:tabs>
          <w:tab w:val="left" w:pos="567"/>
        </w:tabs>
        <w:rPr>
          <w:sz w:val="22"/>
          <w:szCs w:val="22"/>
          <w:lang w:val="en-GB" w:eastAsia="en-US"/>
        </w:rPr>
      </w:pPr>
      <w:r w:rsidRPr="001D5249">
        <w:rPr>
          <w:sz w:val="22"/>
          <w:szCs w:val="22"/>
          <w:lang w:val="en-GB" w:eastAsia="en-US"/>
        </w:rPr>
        <w:t>-</w:t>
      </w:r>
      <w:r w:rsidRPr="001D5249">
        <w:rPr>
          <w:sz w:val="22"/>
          <w:szCs w:val="22"/>
          <w:lang w:val="en-GB" w:eastAsia="en-US"/>
        </w:rPr>
        <w:tab/>
      </w:r>
      <w:r w:rsidRPr="001D5249">
        <w:rPr>
          <w:sz w:val="22"/>
          <w:szCs w:val="22"/>
        </w:rPr>
        <w:t>Liečba nestabilnej ang</w:t>
      </w:r>
      <w:r w:rsidR="009F0C5C" w:rsidRPr="001D5249">
        <w:rPr>
          <w:sz w:val="22"/>
          <w:szCs w:val="22"/>
        </w:rPr>
        <w:t>í</w:t>
      </w:r>
      <w:r w:rsidRPr="001D5249">
        <w:rPr>
          <w:sz w:val="22"/>
          <w:szCs w:val="22"/>
        </w:rPr>
        <w:t>ny pe</w:t>
      </w:r>
      <w:r w:rsidR="009F0C5C" w:rsidRPr="001D5249">
        <w:rPr>
          <w:sz w:val="22"/>
          <w:szCs w:val="22"/>
        </w:rPr>
        <w:t>k</w:t>
      </w:r>
      <w:r w:rsidRPr="001D5249">
        <w:rPr>
          <w:sz w:val="22"/>
          <w:szCs w:val="22"/>
        </w:rPr>
        <w:t>toris, okrem podávania počas akútnej fázy</w:t>
      </w:r>
      <w:r w:rsidRPr="001D5249">
        <w:rPr>
          <w:sz w:val="22"/>
          <w:szCs w:val="22"/>
          <w:lang w:val="en-GB" w:eastAsia="en-US"/>
        </w:rPr>
        <w:t>.</w:t>
      </w:r>
    </w:p>
    <w:p w:rsidR="00E00E06" w:rsidRPr="001D5249" w:rsidRDefault="00E00E06" w:rsidP="00E55E5C">
      <w:pPr>
        <w:widowControl w:val="0"/>
        <w:tabs>
          <w:tab w:val="left" w:pos="567"/>
        </w:tabs>
        <w:ind w:left="567" w:hanging="567"/>
        <w:rPr>
          <w:sz w:val="22"/>
          <w:szCs w:val="22"/>
          <w:lang w:val="en-GB" w:eastAsia="en-US"/>
        </w:rPr>
      </w:pPr>
      <w:r w:rsidRPr="001D5249">
        <w:rPr>
          <w:sz w:val="22"/>
          <w:szCs w:val="22"/>
          <w:lang w:val="en-GB" w:eastAsia="en-US"/>
        </w:rPr>
        <w:t>-</w:t>
      </w:r>
      <w:r w:rsidRPr="001D5249">
        <w:rPr>
          <w:sz w:val="22"/>
          <w:szCs w:val="22"/>
          <w:lang w:val="en-GB" w:eastAsia="en-US"/>
        </w:rPr>
        <w:tab/>
      </w:r>
      <w:r w:rsidRPr="001D5249">
        <w:rPr>
          <w:sz w:val="22"/>
          <w:szCs w:val="22"/>
        </w:rPr>
        <w:t>Prevencia oklúzie štepu po revaskularizačnej operácii srdca pomocou aorto-koronárneho premostenia (Coronary Artery Bypass Grafting (CABG))</w:t>
      </w:r>
      <w:r w:rsidRPr="001D5249">
        <w:rPr>
          <w:sz w:val="22"/>
          <w:szCs w:val="22"/>
          <w:lang w:val="en-GB" w:eastAsia="en-US"/>
        </w:rPr>
        <w:t>.</w:t>
      </w:r>
    </w:p>
    <w:p w:rsidR="00E00E06" w:rsidRPr="001D5249" w:rsidRDefault="00E00E06" w:rsidP="001D5249">
      <w:pPr>
        <w:widowControl w:val="0"/>
        <w:tabs>
          <w:tab w:val="left" w:pos="567"/>
        </w:tabs>
        <w:rPr>
          <w:sz w:val="22"/>
          <w:szCs w:val="22"/>
          <w:lang w:val="en-GB" w:eastAsia="en-US"/>
        </w:rPr>
      </w:pPr>
      <w:r w:rsidRPr="001D5249">
        <w:rPr>
          <w:sz w:val="22"/>
          <w:szCs w:val="22"/>
          <w:lang w:val="en-GB" w:eastAsia="en-US"/>
        </w:rPr>
        <w:t>-</w:t>
      </w:r>
      <w:r w:rsidRPr="001D5249">
        <w:rPr>
          <w:sz w:val="22"/>
          <w:szCs w:val="22"/>
          <w:lang w:val="en-GB" w:eastAsia="en-US"/>
        </w:rPr>
        <w:tab/>
      </w:r>
      <w:r w:rsidRPr="001D5249">
        <w:rPr>
          <w:sz w:val="22"/>
          <w:szCs w:val="22"/>
        </w:rPr>
        <w:t>Koronárna angioplastika, okrem podávania počas akútnej fázy</w:t>
      </w:r>
      <w:r w:rsidRPr="001D5249">
        <w:rPr>
          <w:sz w:val="22"/>
          <w:szCs w:val="22"/>
          <w:lang w:val="en-GB" w:eastAsia="en-US"/>
        </w:rPr>
        <w:t>.</w:t>
      </w:r>
    </w:p>
    <w:p w:rsidR="00E00E06" w:rsidRPr="001D5249" w:rsidRDefault="00E00E06">
      <w:pPr>
        <w:widowControl w:val="0"/>
        <w:tabs>
          <w:tab w:val="left" w:pos="567"/>
        </w:tabs>
        <w:ind w:left="567" w:hanging="567"/>
        <w:rPr>
          <w:sz w:val="22"/>
          <w:szCs w:val="22"/>
        </w:rPr>
      </w:pPr>
      <w:r w:rsidRPr="001D5249">
        <w:rPr>
          <w:sz w:val="22"/>
          <w:szCs w:val="22"/>
          <w:lang w:val="en-GB" w:eastAsia="en-US"/>
        </w:rPr>
        <w:t>-</w:t>
      </w:r>
      <w:r w:rsidRPr="001D5249">
        <w:rPr>
          <w:sz w:val="22"/>
          <w:szCs w:val="22"/>
          <w:lang w:val="en-GB" w:eastAsia="en-US"/>
        </w:rPr>
        <w:tab/>
      </w:r>
      <w:r w:rsidRPr="001D5249">
        <w:rPr>
          <w:sz w:val="22"/>
          <w:szCs w:val="22"/>
        </w:rPr>
        <w:t>Sekundárna prevencia prechodných ischemických atakov (</w:t>
      </w:r>
      <w:r w:rsidRPr="001D5249">
        <w:rPr>
          <w:iCs/>
          <w:sz w:val="22"/>
          <w:szCs w:val="22"/>
        </w:rPr>
        <w:t xml:space="preserve">transient ischaemic attacks, </w:t>
      </w:r>
      <w:r w:rsidRPr="001D5249">
        <w:rPr>
          <w:sz w:val="22"/>
          <w:szCs w:val="22"/>
        </w:rPr>
        <w:t>TIA) a ischemických cerebrovaskulárnych príhod (</w:t>
      </w:r>
      <w:r w:rsidRPr="001D5249">
        <w:rPr>
          <w:iCs/>
          <w:sz w:val="22"/>
          <w:szCs w:val="22"/>
        </w:rPr>
        <w:t>cerebrovascular accidents,</w:t>
      </w:r>
      <w:r w:rsidRPr="001D5249">
        <w:rPr>
          <w:sz w:val="22"/>
          <w:szCs w:val="22"/>
        </w:rPr>
        <w:t xml:space="preserve"> CVA) za predpokladu vylúčenia intracerebrálnych hemorágií. </w:t>
      </w:r>
    </w:p>
    <w:p w:rsidR="00E00E06" w:rsidRPr="001D5249" w:rsidRDefault="00E00E06">
      <w:pPr>
        <w:widowControl w:val="0"/>
        <w:tabs>
          <w:tab w:val="left" w:pos="567"/>
        </w:tabs>
        <w:rPr>
          <w:sz w:val="22"/>
          <w:szCs w:val="22"/>
          <w:lang w:val="en-GB" w:eastAsia="en-US"/>
        </w:rPr>
      </w:pPr>
    </w:p>
    <w:p w:rsidR="00E00E06" w:rsidRPr="001D5249" w:rsidRDefault="00E00E06">
      <w:pPr>
        <w:widowControl w:val="0"/>
        <w:tabs>
          <w:tab w:val="left" w:pos="567"/>
        </w:tabs>
        <w:rPr>
          <w:sz w:val="22"/>
          <w:szCs w:val="22"/>
        </w:rPr>
      </w:pPr>
      <w:r w:rsidRPr="001D5249">
        <w:rPr>
          <w:sz w:val="22"/>
          <w:szCs w:val="22"/>
          <w:lang w:val="en-GB" w:eastAsia="en-US"/>
        </w:rPr>
        <w:t xml:space="preserve">Abrea </w:t>
      </w:r>
      <w:r w:rsidRPr="001D5249">
        <w:rPr>
          <w:sz w:val="22"/>
          <w:szCs w:val="22"/>
        </w:rPr>
        <w:t>sa neodporúča v život zachraňujúcich situáciách</w:t>
      </w:r>
      <w:r w:rsidRPr="001D5249">
        <w:rPr>
          <w:sz w:val="22"/>
          <w:szCs w:val="22"/>
          <w:lang w:val="en-GB" w:eastAsia="en-US"/>
        </w:rPr>
        <w:t xml:space="preserve">. </w:t>
      </w:r>
      <w:r w:rsidRPr="001D5249">
        <w:rPr>
          <w:sz w:val="22"/>
          <w:szCs w:val="22"/>
        </w:rPr>
        <w:t xml:space="preserve">Je určená na sekundárnu prevenciu </w:t>
      </w:r>
      <w:r w:rsidR="0053596F" w:rsidRPr="001D5249">
        <w:rPr>
          <w:sz w:val="22"/>
          <w:szCs w:val="22"/>
        </w:rPr>
        <w:lastRenderedPageBreak/>
        <w:t>pri</w:t>
      </w:r>
      <w:r w:rsidR="00651D92" w:rsidRPr="001D5249">
        <w:rPr>
          <w:sz w:val="22"/>
          <w:szCs w:val="22"/>
        </w:rPr>
        <w:t> </w:t>
      </w:r>
      <w:r w:rsidRPr="001D5249">
        <w:rPr>
          <w:sz w:val="22"/>
          <w:szCs w:val="22"/>
        </w:rPr>
        <w:t>chronick</w:t>
      </w:r>
      <w:r w:rsidR="0053596F" w:rsidRPr="001D5249">
        <w:rPr>
          <w:sz w:val="22"/>
          <w:szCs w:val="22"/>
        </w:rPr>
        <w:t>ej</w:t>
      </w:r>
      <w:r w:rsidRPr="001D5249">
        <w:rPr>
          <w:sz w:val="22"/>
          <w:szCs w:val="22"/>
        </w:rPr>
        <w:t xml:space="preserve"> liečb</w:t>
      </w:r>
      <w:r w:rsidR="0053596F" w:rsidRPr="001D5249">
        <w:rPr>
          <w:sz w:val="22"/>
          <w:szCs w:val="22"/>
        </w:rPr>
        <w:t>e</w:t>
      </w:r>
      <w:bookmarkStart w:id="0" w:name="_GoBack"/>
      <w:bookmarkEnd w:id="0"/>
      <w:r w:rsidRPr="001D5249">
        <w:rPr>
          <w:sz w:val="22"/>
          <w:szCs w:val="22"/>
        </w:rPr>
        <w:t>.</w:t>
      </w:r>
    </w:p>
    <w:p w:rsidR="00E00E06" w:rsidRPr="001D5249" w:rsidRDefault="00E00E06">
      <w:pPr>
        <w:widowControl w:val="0"/>
        <w:tabs>
          <w:tab w:val="left" w:pos="567"/>
        </w:tabs>
        <w:rPr>
          <w:sz w:val="22"/>
          <w:szCs w:val="22"/>
          <w:lang w:val="en-GB" w:eastAsia="en-US"/>
        </w:rPr>
      </w:pPr>
    </w:p>
    <w:p w:rsidR="00E00E06" w:rsidRPr="001D5249" w:rsidRDefault="00E00E06">
      <w:pPr>
        <w:widowControl w:val="0"/>
        <w:tabs>
          <w:tab w:val="left" w:pos="567"/>
        </w:tabs>
        <w:rPr>
          <w:b/>
          <w:sz w:val="22"/>
          <w:szCs w:val="22"/>
          <w:lang w:val="en-GB" w:eastAsia="en-US"/>
        </w:rPr>
      </w:pPr>
      <w:r w:rsidRPr="001D5249">
        <w:rPr>
          <w:b/>
          <w:sz w:val="22"/>
          <w:szCs w:val="22"/>
          <w:lang w:val="en-GB" w:eastAsia="en-US"/>
        </w:rPr>
        <w:t>4.2</w:t>
      </w:r>
      <w:r w:rsidRPr="001D5249">
        <w:rPr>
          <w:b/>
          <w:sz w:val="22"/>
          <w:szCs w:val="22"/>
          <w:lang w:val="en-GB" w:eastAsia="en-US"/>
        </w:rPr>
        <w:tab/>
      </w:r>
      <w:r w:rsidRPr="001D5249">
        <w:rPr>
          <w:b/>
          <w:sz w:val="22"/>
          <w:szCs w:val="22"/>
        </w:rPr>
        <w:t>Dávkovanie a spôsob podávania</w:t>
      </w:r>
    </w:p>
    <w:p w:rsidR="00E00E06" w:rsidRPr="001D5249" w:rsidRDefault="00E00E06">
      <w:pPr>
        <w:widowControl w:val="0"/>
        <w:tabs>
          <w:tab w:val="left" w:pos="567"/>
        </w:tabs>
        <w:rPr>
          <w:sz w:val="22"/>
          <w:szCs w:val="22"/>
          <w:lang w:val="en-GB" w:eastAsia="en-US"/>
        </w:rPr>
      </w:pPr>
    </w:p>
    <w:p w:rsidR="00E00E06" w:rsidRPr="001D5249" w:rsidRDefault="00E00E06">
      <w:pPr>
        <w:widowControl w:val="0"/>
        <w:rPr>
          <w:sz w:val="22"/>
          <w:szCs w:val="22"/>
          <w:u w:val="single"/>
          <w:lang w:val="en-GB" w:eastAsia="en-US"/>
        </w:rPr>
      </w:pPr>
      <w:r w:rsidRPr="001D5249">
        <w:rPr>
          <w:sz w:val="22"/>
          <w:szCs w:val="22"/>
          <w:u w:val="single"/>
          <w:lang w:val="en-GB" w:eastAsia="en-US"/>
        </w:rPr>
        <w:t>Dávkovanie</w:t>
      </w:r>
    </w:p>
    <w:p w:rsidR="00E00E06" w:rsidRPr="001D5249" w:rsidRDefault="00E00E06">
      <w:pPr>
        <w:widowControl w:val="0"/>
        <w:rPr>
          <w:i/>
          <w:iCs/>
          <w:sz w:val="22"/>
          <w:szCs w:val="22"/>
          <w:lang w:val="en-GB" w:eastAsia="en-US"/>
        </w:rPr>
      </w:pPr>
    </w:p>
    <w:p w:rsidR="00E00E06" w:rsidRPr="001D5249" w:rsidRDefault="00E00E06">
      <w:pPr>
        <w:rPr>
          <w:i/>
          <w:spacing w:val="-5"/>
          <w:sz w:val="22"/>
          <w:szCs w:val="22"/>
          <w:u w:val="single"/>
        </w:rPr>
      </w:pPr>
      <w:r w:rsidRPr="001D5249">
        <w:rPr>
          <w:i/>
          <w:spacing w:val="-5"/>
          <w:sz w:val="22"/>
          <w:szCs w:val="22"/>
          <w:u w:val="single"/>
        </w:rPr>
        <w:t>Dospelí</w:t>
      </w:r>
    </w:p>
    <w:p w:rsidR="00E00E06" w:rsidRPr="001D5249" w:rsidRDefault="00E00E06">
      <w:pPr>
        <w:rPr>
          <w:i/>
          <w:sz w:val="22"/>
          <w:szCs w:val="22"/>
        </w:rPr>
      </w:pPr>
      <w:r w:rsidRPr="001D5249">
        <w:rPr>
          <w:i/>
          <w:sz w:val="22"/>
          <w:szCs w:val="22"/>
        </w:rPr>
        <w:t>Sekundárna prevencia infarktu myokardu:</w:t>
      </w:r>
    </w:p>
    <w:p w:rsidR="00E00E06" w:rsidRPr="001D5249" w:rsidRDefault="00E00E06">
      <w:pPr>
        <w:rPr>
          <w:sz w:val="22"/>
          <w:szCs w:val="22"/>
        </w:rPr>
      </w:pPr>
      <w:r w:rsidRPr="001D5249">
        <w:rPr>
          <w:sz w:val="22"/>
          <w:szCs w:val="22"/>
        </w:rPr>
        <w:t>Odporúčaná dávka je 75</w:t>
      </w:r>
      <w:r w:rsidR="00286733" w:rsidRPr="001D5249">
        <w:rPr>
          <w:sz w:val="22"/>
          <w:szCs w:val="22"/>
        </w:rPr>
        <w:t xml:space="preserve"> – </w:t>
      </w:r>
      <w:r w:rsidRPr="001D5249">
        <w:rPr>
          <w:sz w:val="22"/>
          <w:szCs w:val="22"/>
        </w:rPr>
        <w:t>160 mg jedenkrát denne.</w:t>
      </w:r>
    </w:p>
    <w:p w:rsidR="00E00E06" w:rsidRPr="001D5249" w:rsidRDefault="00E00E06">
      <w:pPr>
        <w:rPr>
          <w:sz w:val="22"/>
          <w:szCs w:val="22"/>
        </w:rPr>
      </w:pPr>
    </w:p>
    <w:p w:rsidR="00E00E06" w:rsidRPr="001D5249" w:rsidRDefault="00E00E06">
      <w:pPr>
        <w:rPr>
          <w:i/>
          <w:sz w:val="22"/>
          <w:szCs w:val="22"/>
        </w:rPr>
      </w:pPr>
      <w:r w:rsidRPr="001D5249">
        <w:rPr>
          <w:i/>
          <w:sz w:val="22"/>
          <w:szCs w:val="22"/>
        </w:rPr>
        <w:t>Prevencia kardiovaskulárnej morbidity u pacientov trpiacich na stabilnú ang</w:t>
      </w:r>
      <w:r w:rsidR="00286733" w:rsidRPr="001D5249">
        <w:rPr>
          <w:i/>
          <w:sz w:val="22"/>
          <w:szCs w:val="22"/>
        </w:rPr>
        <w:t>í</w:t>
      </w:r>
      <w:r w:rsidRPr="001D5249">
        <w:rPr>
          <w:i/>
          <w:sz w:val="22"/>
          <w:szCs w:val="22"/>
        </w:rPr>
        <w:t>nu pe</w:t>
      </w:r>
      <w:r w:rsidR="00286733" w:rsidRPr="001D5249">
        <w:rPr>
          <w:i/>
          <w:sz w:val="22"/>
          <w:szCs w:val="22"/>
        </w:rPr>
        <w:t>k</w:t>
      </w:r>
      <w:r w:rsidRPr="001D5249">
        <w:rPr>
          <w:i/>
          <w:sz w:val="22"/>
          <w:szCs w:val="22"/>
        </w:rPr>
        <w:t>toris:</w:t>
      </w:r>
    </w:p>
    <w:p w:rsidR="00E00E06" w:rsidRPr="001D5249" w:rsidRDefault="00E00E06">
      <w:pPr>
        <w:rPr>
          <w:sz w:val="22"/>
          <w:szCs w:val="22"/>
        </w:rPr>
      </w:pPr>
      <w:r w:rsidRPr="001D5249">
        <w:rPr>
          <w:sz w:val="22"/>
          <w:szCs w:val="22"/>
        </w:rPr>
        <w:t>Odporúčaná dávka je 75</w:t>
      </w:r>
      <w:r w:rsidR="00540D03" w:rsidRPr="001D5249">
        <w:rPr>
          <w:sz w:val="22"/>
          <w:szCs w:val="22"/>
        </w:rPr>
        <w:t xml:space="preserve"> – </w:t>
      </w:r>
      <w:r w:rsidRPr="001D5249">
        <w:rPr>
          <w:sz w:val="22"/>
          <w:szCs w:val="22"/>
        </w:rPr>
        <w:t>160 mg jedenkrát denne.</w:t>
      </w:r>
    </w:p>
    <w:p w:rsidR="00E00E06" w:rsidRPr="001D5249" w:rsidRDefault="00E00E06">
      <w:pPr>
        <w:rPr>
          <w:sz w:val="22"/>
          <w:szCs w:val="22"/>
        </w:rPr>
      </w:pPr>
    </w:p>
    <w:p w:rsidR="00E00E06" w:rsidRPr="001D5249" w:rsidRDefault="00E00E06">
      <w:pPr>
        <w:rPr>
          <w:i/>
          <w:sz w:val="22"/>
          <w:szCs w:val="22"/>
        </w:rPr>
      </w:pPr>
      <w:r w:rsidRPr="001D5249">
        <w:rPr>
          <w:i/>
          <w:sz w:val="22"/>
          <w:szCs w:val="22"/>
        </w:rPr>
        <w:t>Liečba nestabilnej ang</w:t>
      </w:r>
      <w:r w:rsidR="002B1E22" w:rsidRPr="001D5249">
        <w:rPr>
          <w:i/>
          <w:sz w:val="22"/>
          <w:szCs w:val="22"/>
        </w:rPr>
        <w:t>í</w:t>
      </w:r>
      <w:r w:rsidRPr="001D5249">
        <w:rPr>
          <w:i/>
          <w:sz w:val="22"/>
          <w:szCs w:val="22"/>
        </w:rPr>
        <w:t>ny pe</w:t>
      </w:r>
      <w:r w:rsidR="002B1E22" w:rsidRPr="001D5249">
        <w:rPr>
          <w:i/>
          <w:sz w:val="22"/>
          <w:szCs w:val="22"/>
        </w:rPr>
        <w:t>k</w:t>
      </w:r>
      <w:r w:rsidRPr="001D5249">
        <w:rPr>
          <w:i/>
          <w:sz w:val="22"/>
          <w:szCs w:val="22"/>
        </w:rPr>
        <w:t>toris, okrem podávania počas akútnej fázy:</w:t>
      </w:r>
    </w:p>
    <w:p w:rsidR="00E00E06" w:rsidRPr="001D5249" w:rsidRDefault="00E00E06">
      <w:pPr>
        <w:rPr>
          <w:sz w:val="22"/>
          <w:szCs w:val="22"/>
        </w:rPr>
      </w:pPr>
      <w:r w:rsidRPr="001D5249">
        <w:rPr>
          <w:sz w:val="22"/>
          <w:szCs w:val="22"/>
        </w:rPr>
        <w:t>Odporúčaná dávka je 75</w:t>
      </w:r>
      <w:r w:rsidR="00540D03" w:rsidRPr="001D5249">
        <w:rPr>
          <w:sz w:val="22"/>
          <w:szCs w:val="22"/>
        </w:rPr>
        <w:t xml:space="preserve"> – </w:t>
      </w:r>
      <w:r w:rsidRPr="001D5249">
        <w:rPr>
          <w:sz w:val="22"/>
          <w:szCs w:val="22"/>
        </w:rPr>
        <w:t>160 mg jedenkrát denne.</w:t>
      </w:r>
    </w:p>
    <w:p w:rsidR="00E00E06" w:rsidRPr="001D5249" w:rsidRDefault="00E00E06">
      <w:pPr>
        <w:rPr>
          <w:sz w:val="22"/>
          <w:szCs w:val="22"/>
        </w:rPr>
      </w:pPr>
    </w:p>
    <w:p w:rsidR="00E00E06" w:rsidRPr="001D5249" w:rsidRDefault="00E00E06">
      <w:pPr>
        <w:rPr>
          <w:i/>
          <w:sz w:val="22"/>
          <w:szCs w:val="22"/>
        </w:rPr>
      </w:pPr>
      <w:r w:rsidRPr="001D5249">
        <w:rPr>
          <w:i/>
          <w:sz w:val="22"/>
          <w:szCs w:val="22"/>
        </w:rPr>
        <w:t>Prevencia oklúzie štepu po revaskularizačnej operácii srdca pomocou aorto-koronárneho premostenia (Coronary Artery Bypass Grafting (CABG)):</w:t>
      </w:r>
    </w:p>
    <w:p w:rsidR="00E00E06" w:rsidRPr="001D5249" w:rsidRDefault="00E00E06">
      <w:pPr>
        <w:rPr>
          <w:sz w:val="22"/>
          <w:szCs w:val="22"/>
        </w:rPr>
      </w:pPr>
      <w:r w:rsidRPr="001D5249">
        <w:rPr>
          <w:sz w:val="22"/>
          <w:szCs w:val="22"/>
        </w:rPr>
        <w:t>Odporúčaná dávka je 75</w:t>
      </w:r>
      <w:r w:rsidR="00540D03" w:rsidRPr="001D5249">
        <w:rPr>
          <w:sz w:val="22"/>
          <w:szCs w:val="22"/>
        </w:rPr>
        <w:t xml:space="preserve"> – </w:t>
      </w:r>
      <w:r w:rsidRPr="001D5249">
        <w:rPr>
          <w:sz w:val="22"/>
          <w:szCs w:val="22"/>
        </w:rPr>
        <w:t>160 mg jedenkrát denne.</w:t>
      </w:r>
    </w:p>
    <w:p w:rsidR="00E00E06" w:rsidRPr="001D5249" w:rsidRDefault="00E00E06">
      <w:pPr>
        <w:rPr>
          <w:sz w:val="22"/>
          <w:szCs w:val="22"/>
        </w:rPr>
      </w:pPr>
    </w:p>
    <w:p w:rsidR="00E00E06" w:rsidRPr="001D5249" w:rsidRDefault="00E00E06">
      <w:pPr>
        <w:rPr>
          <w:i/>
          <w:sz w:val="22"/>
          <w:szCs w:val="22"/>
        </w:rPr>
      </w:pPr>
      <w:r w:rsidRPr="001D5249">
        <w:rPr>
          <w:i/>
          <w:sz w:val="22"/>
          <w:szCs w:val="22"/>
        </w:rPr>
        <w:t>Koronárna angioplastika, okrem podávania počas akútnej fázy:</w:t>
      </w:r>
    </w:p>
    <w:p w:rsidR="00E00E06" w:rsidRPr="001D5249" w:rsidRDefault="00E00E06">
      <w:pPr>
        <w:rPr>
          <w:sz w:val="22"/>
          <w:szCs w:val="22"/>
        </w:rPr>
      </w:pPr>
      <w:r w:rsidRPr="001D5249">
        <w:rPr>
          <w:sz w:val="22"/>
          <w:szCs w:val="22"/>
        </w:rPr>
        <w:t>Odporúčaná dávka je 75</w:t>
      </w:r>
      <w:r w:rsidR="00540D03" w:rsidRPr="001D5249">
        <w:rPr>
          <w:sz w:val="22"/>
          <w:szCs w:val="22"/>
        </w:rPr>
        <w:t xml:space="preserve"> –</w:t>
      </w:r>
      <w:r w:rsidRPr="001D5249">
        <w:rPr>
          <w:sz w:val="22"/>
          <w:szCs w:val="22"/>
        </w:rPr>
        <w:t xml:space="preserve"> 160 mg jedenkrát denne.</w:t>
      </w:r>
    </w:p>
    <w:p w:rsidR="00E00E06" w:rsidRPr="001D5249" w:rsidRDefault="00E00E06">
      <w:pPr>
        <w:rPr>
          <w:sz w:val="22"/>
          <w:szCs w:val="22"/>
        </w:rPr>
      </w:pPr>
    </w:p>
    <w:p w:rsidR="00E00E06" w:rsidRPr="001D5249" w:rsidRDefault="00E00E06">
      <w:pPr>
        <w:rPr>
          <w:i/>
          <w:sz w:val="22"/>
          <w:szCs w:val="22"/>
        </w:rPr>
      </w:pPr>
      <w:r w:rsidRPr="001D5249">
        <w:rPr>
          <w:i/>
          <w:sz w:val="22"/>
          <w:szCs w:val="22"/>
        </w:rPr>
        <w:t>Sekundárna prevencia prechodných ischemických atakov (TIA) a ischemických cerebrovaskulárnych príhod (CVA) za predpokladu vylúčenia intracerebrálnych hemorágií:</w:t>
      </w:r>
    </w:p>
    <w:p w:rsidR="00E00E06" w:rsidRPr="001D5249" w:rsidRDefault="00E00E06">
      <w:pPr>
        <w:rPr>
          <w:sz w:val="22"/>
          <w:szCs w:val="22"/>
        </w:rPr>
      </w:pPr>
      <w:r w:rsidRPr="001D5249">
        <w:rPr>
          <w:sz w:val="22"/>
          <w:szCs w:val="22"/>
        </w:rPr>
        <w:t>Odporúčaná dávka je 75</w:t>
      </w:r>
      <w:r w:rsidR="00540D03" w:rsidRPr="001D5249">
        <w:rPr>
          <w:sz w:val="22"/>
          <w:szCs w:val="22"/>
        </w:rPr>
        <w:t xml:space="preserve"> – </w:t>
      </w:r>
      <w:r w:rsidRPr="001D5249">
        <w:rPr>
          <w:sz w:val="22"/>
          <w:szCs w:val="22"/>
        </w:rPr>
        <w:t>325 mg jedenkrát denne.</w:t>
      </w:r>
    </w:p>
    <w:p w:rsidR="00E00E06" w:rsidRPr="001D5249" w:rsidRDefault="00E00E06">
      <w:pPr>
        <w:rPr>
          <w:sz w:val="22"/>
          <w:szCs w:val="22"/>
        </w:rPr>
      </w:pPr>
    </w:p>
    <w:p w:rsidR="00E00E06" w:rsidRPr="001D5249" w:rsidRDefault="00E00E06">
      <w:pPr>
        <w:rPr>
          <w:sz w:val="22"/>
          <w:szCs w:val="22"/>
        </w:rPr>
      </w:pPr>
      <w:r w:rsidRPr="001D5249">
        <w:rPr>
          <w:sz w:val="22"/>
          <w:szCs w:val="22"/>
        </w:rPr>
        <w:t xml:space="preserve">Abrea sa nesmie užívať vo vyšších dávkach, pokiaľ tak neurčí lekár a dávka nesmie presiahnuť 325 mg denne. </w:t>
      </w:r>
    </w:p>
    <w:p w:rsidR="00E00E06" w:rsidRPr="001D5249" w:rsidRDefault="00E00E06">
      <w:pPr>
        <w:rPr>
          <w:sz w:val="22"/>
          <w:szCs w:val="22"/>
        </w:rPr>
      </w:pPr>
      <w:r w:rsidRPr="001D5249">
        <w:rPr>
          <w:sz w:val="22"/>
          <w:szCs w:val="22"/>
        </w:rPr>
        <w:t xml:space="preserve">Pri dávkovaní sa majú vziať do úvahy národné a lokálne smernice liečby. </w:t>
      </w:r>
    </w:p>
    <w:p w:rsidR="00E00E06" w:rsidRPr="001D5249" w:rsidRDefault="00E00E06">
      <w:pPr>
        <w:rPr>
          <w:sz w:val="22"/>
          <w:szCs w:val="22"/>
        </w:rPr>
      </w:pPr>
    </w:p>
    <w:p w:rsidR="00E00E06" w:rsidRPr="001D5249" w:rsidRDefault="00E00E06">
      <w:pPr>
        <w:pStyle w:val="Zarkazkladnhotextu"/>
        <w:spacing w:after="0"/>
        <w:ind w:left="0"/>
        <w:rPr>
          <w:i/>
          <w:spacing w:val="-3"/>
          <w:sz w:val="22"/>
          <w:szCs w:val="22"/>
          <w:u w:val="single"/>
        </w:rPr>
      </w:pPr>
      <w:r w:rsidRPr="001D5249">
        <w:rPr>
          <w:i/>
          <w:spacing w:val="-3"/>
          <w:sz w:val="22"/>
          <w:szCs w:val="22"/>
          <w:u w:val="single"/>
        </w:rPr>
        <w:t>Starší pacienti</w:t>
      </w:r>
    </w:p>
    <w:p w:rsidR="00E00E06" w:rsidRPr="001D5249" w:rsidRDefault="00E00E06">
      <w:pPr>
        <w:rPr>
          <w:spacing w:val="-3"/>
          <w:sz w:val="22"/>
          <w:szCs w:val="22"/>
        </w:rPr>
      </w:pPr>
      <w:r w:rsidRPr="001D5249">
        <w:rPr>
          <w:spacing w:val="-3"/>
          <w:sz w:val="22"/>
          <w:szCs w:val="22"/>
        </w:rPr>
        <w:t>Kyselina acetylsalicylová sa u starších pacientov, ktorí sú náchylnejší na nežiaduce udalosti, spravidla má používať s opatrnosťou. Ak nie je prítomná závažná renálna alebo hepatálna insuficiencia (pozri časti 4.3 a 4.4), odporúča sa bežná dávka pre dospelých. Liečba sa má prehodnocovať v pravidelných intervaloch.</w:t>
      </w:r>
    </w:p>
    <w:p w:rsidR="00E00E06" w:rsidRPr="001D5249" w:rsidRDefault="00E00E06">
      <w:pPr>
        <w:rPr>
          <w:spacing w:val="-5"/>
          <w:sz w:val="22"/>
          <w:szCs w:val="22"/>
        </w:rPr>
      </w:pPr>
    </w:p>
    <w:p w:rsidR="00E00E06" w:rsidRPr="001D5249" w:rsidRDefault="00E00E06">
      <w:pPr>
        <w:rPr>
          <w:i/>
          <w:spacing w:val="-5"/>
          <w:sz w:val="22"/>
          <w:szCs w:val="22"/>
          <w:u w:val="single"/>
        </w:rPr>
      </w:pPr>
      <w:r w:rsidRPr="001D5249">
        <w:rPr>
          <w:i/>
          <w:spacing w:val="-5"/>
          <w:sz w:val="22"/>
          <w:szCs w:val="22"/>
          <w:u w:val="single"/>
        </w:rPr>
        <w:t xml:space="preserve">Pediatrická populácia </w:t>
      </w:r>
    </w:p>
    <w:p w:rsidR="00E00E06" w:rsidRPr="001D5249" w:rsidRDefault="00E00E06">
      <w:pPr>
        <w:rPr>
          <w:spacing w:val="-5"/>
          <w:sz w:val="22"/>
          <w:szCs w:val="22"/>
        </w:rPr>
      </w:pPr>
      <w:r w:rsidRPr="001D5249">
        <w:rPr>
          <w:spacing w:val="-3"/>
          <w:sz w:val="22"/>
          <w:szCs w:val="22"/>
        </w:rPr>
        <w:t>Kyselina acetylsalicylová</w:t>
      </w:r>
      <w:r w:rsidRPr="001D5249">
        <w:rPr>
          <w:rStyle w:val="Siln"/>
          <w:b w:val="0"/>
          <w:sz w:val="22"/>
          <w:szCs w:val="22"/>
        </w:rPr>
        <w:t xml:space="preserve"> sa neodporúča u detí a dospievajúcich </w:t>
      </w:r>
      <w:r w:rsidR="00F37432" w:rsidRPr="001D5249">
        <w:rPr>
          <w:rStyle w:val="Siln"/>
          <w:b w:val="0"/>
          <w:sz w:val="22"/>
          <w:szCs w:val="22"/>
        </w:rPr>
        <w:t>vo veku menej ako</w:t>
      </w:r>
      <w:r w:rsidRPr="001D5249">
        <w:rPr>
          <w:rStyle w:val="Siln"/>
          <w:b w:val="0"/>
          <w:sz w:val="22"/>
          <w:szCs w:val="22"/>
        </w:rPr>
        <w:t xml:space="preserve"> 16 rokov okrem odporúčania lekára, keď prínos preváži riziko</w:t>
      </w:r>
      <w:r w:rsidRPr="001D5249">
        <w:rPr>
          <w:spacing w:val="-3"/>
          <w:sz w:val="22"/>
          <w:szCs w:val="22"/>
        </w:rPr>
        <w:t xml:space="preserve"> (pozri časť 4.4).</w:t>
      </w:r>
    </w:p>
    <w:p w:rsidR="00E00E06" w:rsidRPr="001D5249" w:rsidRDefault="00E00E06">
      <w:pPr>
        <w:rPr>
          <w:spacing w:val="-5"/>
          <w:sz w:val="22"/>
          <w:szCs w:val="22"/>
        </w:rPr>
      </w:pPr>
    </w:p>
    <w:p w:rsidR="00E00E06" w:rsidRPr="001D5249" w:rsidRDefault="00E00E06">
      <w:pPr>
        <w:rPr>
          <w:spacing w:val="-5"/>
          <w:sz w:val="22"/>
          <w:szCs w:val="22"/>
          <w:u w:val="single"/>
        </w:rPr>
      </w:pPr>
      <w:r w:rsidRPr="001D5249">
        <w:rPr>
          <w:spacing w:val="-3"/>
          <w:sz w:val="22"/>
          <w:szCs w:val="22"/>
          <w:u w:val="single"/>
        </w:rPr>
        <w:t>Spôsob podávania</w:t>
      </w:r>
      <w:r w:rsidRPr="001D5249">
        <w:rPr>
          <w:spacing w:val="-5"/>
          <w:sz w:val="22"/>
          <w:szCs w:val="22"/>
          <w:u w:val="single"/>
        </w:rPr>
        <w:t xml:space="preserve"> </w:t>
      </w:r>
    </w:p>
    <w:p w:rsidR="00E00E06" w:rsidRPr="001D5249" w:rsidRDefault="00E00E06">
      <w:pPr>
        <w:pStyle w:val="Zarkazkladnhotextu"/>
        <w:spacing w:after="0"/>
        <w:ind w:left="0"/>
        <w:rPr>
          <w:spacing w:val="-3"/>
          <w:sz w:val="22"/>
          <w:szCs w:val="22"/>
        </w:rPr>
      </w:pPr>
      <w:r w:rsidRPr="001D5249">
        <w:rPr>
          <w:spacing w:val="-3"/>
          <w:sz w:val="22"/>
          <w:szCs w:val="22"/>
        </w:rPr>
        <w:t>Na perorálne použitie.</w:t>
      </w:r>
    </w:p>
    <w:p w:rsidR="00E00E06" w:rsidRPr="001D5249" w:rsidRDefault="00E00E06">
      <w:pPr>
        <w:rPr>
          <w:spacing w:val="-5"/>
          <w:sz w:val="22"/>
          <w:szCs w:val="22"/>
        </w:rPr>
      </w:pPr>
      <w:r w:rsidRPr="001D5249">
        <w:rPr>
          <w:spacing w:val="-3"/>
          <w:sz w:val="22"/>
          <w:szCs w:val="22"/>
        </w:rPr>
        <w:t>Tablety sa majú prehltnúť celé a zapiť dostatočným množstvom tekutiny (1/2 pohára vody). Tablety majú gastrorezistentný obal, ktorý zamedzuje dráždiacim účinkom na črevá, a preto sa nesmú drviť, lámať ani hrýzť.</w:t>
      </w:r>
    </w:p>
    <w:p w:rsidR="00E00E06" w:rsidRPr="001D5249" w:rsidRDefault="00E00E06">
      <w:pPr>
        <w:rPr>
          <w:spacing w:val="-5"/>
          <w:sz w:val="22"/>
          <w:szCs w:val="22"/>
        </w:rPr>
      </w:pPr>
    </w:p>
    <w:p w:rsidR="00E00E06" w:rsidRPr="001D5249" w:rsidRDefault="00E00E06">
      <w:pPr>
        <w:rPr>
          <w:spacing w:val="-5"/>
          <w:sz w:val="22"/>
          <w:szCs w:val="22"/>
          <w:u w:val="single"/>
        </w:rPr>
      </w:pPr>
      <w:r w:rsidRPr="001D5249">
        <w:rPr>
          <w:spacing w:val="-5"/>
          <w:sz w:val="22"/>
          <w:szCs w:val="22"/>
          <w:u w:val="single"/>
        </w:rPr>
        <w:t>Dĺžka podávania:</w:t>
      </w:r>
    </w:p>
    <w:p w:rsidR="00E00E06" w:rsidRPr="001D5249" w:rsidRDefault="00E00E06">
      <w:pPr>
        <w:rPr>
          <w:spacing w:val="-5"/>
          <w:sz w:val="22"/>
          <w:szCs w:val="22"/>
        </w:rPr>
      </w:pPr>
      <w:r w:rsidRPr="001D5249">
        <w:rPr>
          <w:spacing w:val="-5"/>
          <w:sz w:val="22"/>
          <w:szCs w:val="22"/>
        </w:rPr>
        <w:t>Dlhodobá liečba s najnižšou možnou dávkou.</w:t>
      </w:r>
    </w:p>
    <w:p w:rsidR="00E00E06" w:rsidRPr="001D5249" w:rsidRDefault="00E00E06">
      <w:pPr>
        <w:widowControl w:val="0"/>
        <w:tabs>
          <w:tab w:val="left" w:pos="567"/>
        </w:tabs>
        <w:rPr>
          <w:sz w:val="22"/>
          <w:szCs w:val="22"/>
          <w:lang w:val="en-GB" w:eastAsia="en-US"/>
        </w:rPr>
      </w:pPr>
    </w:p>
    <w:p w:rsidR="00E00E06" w:rsidRPr="001D5249" w:rsidRDefault="00E00E06">
      <w:pPr>
        <w:widowControl w:val="0"/>
        <w:tabs>
          <w:tab w:val="left" w:pos="567"/>
        </w:tabs>
        <w:rPr>
          <w:sz w:val="22"/>
          <w:szCs w:val="22"/>
          <w:lang w:val="en-GB" w:eastAsia="en-US"/>
        </w:rPr>
      </w:pPr>
      <w:r w:rsidRPr="001D5249">
        <w:rPr>
          <w:b/>
          <w:sz w:val="22"/>
          <w:szCs w:val="22"/>
          <w:lang w:val="en-GB" w:eastAsia="en-US"/>
        </w:rPr>
        <w:t>4.3</w:t>
      </w:r>
      <w:r w:rsidRPr="001D5249">
        <w:rPr>
          <w:b/>
          <w:sz w:val="22"/>
          <w:szCs w:val="22"/>
          <w:lang w:val="en-GB" w:eastAsia="en-US"/>
        </w:rPr>
        <w:tab/>
      </w:r>
      <w:r w:rsidRPr="001D5249">
        <w:rPr>
          <w:b/>
          <w:sz w:val="22"/>
          <w:szCs w:val="22"/>
        </w:rPr>
        <w:t>Kontraindikácie</w:t>
      </w:r>
    </w:p>
    <w:p w:rsidR="00E00E06" w:rsidRPr="001D5249" w:rsidRDefault="00E00E06">
      <w:pPr>
        <w:widowControl w:val="0"/>
        <w:tabs>
          <w:tab w:val="left" w:pos="567"/>
        </w:tabs>
        <w:rPr>
          <w:sz w:val="22"/>
          <w:szCs w:val="22"/>
          <w:lang w:val="en-GB" w:eastAsia="en-US"/>
        </w:rPr>
      </w:pPr>
    </w:p>
    <w:p w:rsidR="00E00E06" w:rsidRPr="001D5249" w:rsidRDefault="00E00E06">
      <w:pPr>
        <w:widowControl w:val="0"/>
        <w:tabs>
          <w:tab w:val="left" w:pos="567"/>
        </w:tabs>
        <w:ind w:left="567" w:hanging="567"/>
        <w:rPr>
          <w:sz w:val="22"/>
          <w:szCs w:val="22"/>
          <w:lang w:val="en-GB" w:eastAsia="en-US"/>
        </w:rPr>
      </w:pPr>
      <w:r w:rsidRPr="001D5249">
        <w:rPr>
          <w:sz w:val="22"/>
          <w:szCs w:val="22"/>
          <w:lang w:val="en-GB" w:eastAsia="en-US"/>
        </w:rPr>
        <w:t>-</w:t>
      </w:r>
      <w:r w:rsidRPr="001D5249">
        <w:rPr>
          <w:sz w:val="22"/>
          <w:szCs w:val="22"/>
          <w:lang w:val="en-GB" w:eastAsia="en-US"/>
        </w:rPr>
        <w:tab/>
      </w:r>
      <w:r w:rsidRPr="001D5249">
        <w:rPr>
          <w:sz w:val="22"/>
          <w:szCs w:val="22"/>
        </w:rPr>
        <w:t xml:space="preserve">Precitlivenosť na </w:t>
      </w:r>
      <w:r w:rsidR="00476997" w:rsidRPr="001D5249">
        <w:rPr>
          <w:sz w:val="22"/>
          <w:szCs w:val="22"/>
        </w:rPr>
        <w:t>liečivo</w:t>
      </w:r>
      <w:r w:rsidRPr="001D5249">
        <w:rPr>
          <w:sz w:val="22"/>
          <w:szCs w:val="22"/>
        </w:rPr>
        <w:t xml:space="preserve"> alebo inhibítory prostaglandín syntetázy (t.j. niektorí astmatickí pacienti, ktorí môžu trpieť prudkými záchvatmi alebo mdlob</w:t>
      </w:r>
      <w:r w:rsidR="00F40E13" w:rsidRPr="001D5249">
        <w:rPr>
          <w:sz w:val="22"/>
          <w:szCs w:val="22"/>
        </w:rPr>
        <w:t>ou</w:t>
      </w:r>
      <w:r w:rsidRPr="001D5249">
        <w:rPr>
          <w:sz w:val="22"/>
          <w:szCs w:val="22"/>
        </w:rPr>
        <w:t>) alebo na ktorúkoľvek z pomocných látok uvedených v časti 6.1</w:t>
      </w:r>
      <w:r w:rsidRPr="001D5249">
        <w:rPr>
          <w:sz w:val="22"/>
          <w:szCs w:val="22"/>
          <w:lang w:val="en-GB" w:eastAsia="en-US"/>
        </w:rPr>
        <w:t>;</w:t>
      </w:r>
    </w:p>
    <w:p w:rsidR="00E00E06" w:rsidRPr="001D5249" w:rsidRDefault="00E00E06">
      <w:pPr>
        <w:widowControl w:val="0"/>
        <w:tabs>
          <w:tab w:val="left" w:pos="567"/>
        </w:tabs>
        <w:ind w:left="567" w:hanging="567"/>
        <w:rPr>
          <w:sz w:val="22"/>
          <w:szCs w:val="22"/>
          <w:lang w:val="en-GB" w:eastAsia="en-US"/>
        </w:rPr>
      </w:pPr>
      <w:bookmarkStart w:id="1" w:name="OLE_LINK5"/>
      <w:r w:rsidRPr="001D5249">
        <w:rPr>
          <w:sz w:val="22"/>
          <w:szCs w:val="22"/>
          <w:lang w:val="en-GB" w:eastAsia="en-US"/>
        </w:rPr>
        <w:t>-</w:t>
      </w:r>
      <w:r w:rsidRPr="001D5249">
        <w:rPr>
          <w:sz w:val="22"/>
          <w:szCs w:val="22"/>
          <w:lang w:val="en-GB" w:eastAsia="en-US"/>
        </w:rPr>
        <w:tab/>
      </w:r>
      <w:r w:rsidRPr="001D5249">
        <w:rPr>
          <w:sz w:val="22"/>
          <w:szCs w:val="22"/>
        </w:rPr>
        <w:t>Aktívny alebo rekurentný peptický vred žalúdka a/alebo krvácanie do žalúdka/tenkého čreva v anamnéze alebo iné krvácania ako napr. cerebrovaskulárne hemorágie</w:t>
      </w:r>
      <w:r w:rsidRPr="001D5249">
        <w:rPr>
          <w:sz w:val="22"/>
          <w:szCs w:val="22"/>
          <w:lang w:val="en-GB" w:eastAsia="en-US"/>
        </w:rPr>
        <w:t>;</w:t>
      </w:r>
    </w:p>
    <w:p w:rsidR="00E00E06" w:rsidRPr="001D5249" w:rsidRDefault="00E00E06">
      <w:pPr>
        <w:widowControl w:val="0"/>
        <w:tabs>
          <w:tab w:val="left" w:pos="567"/>
        </w:tabs>
        <w:rPr>
          <w:sz w:val="22"/>
          <w:szCs w:val="22"/>
          <w:lang w:val="en-GB" w:eastAsia="en-US"/>
        </w:rPr>
      </w:pPr>
      <w:r w:rsidRPr="001D5249">
        <w:rPr>
          <w:sz w:val="22"/>
          <w:szCs w:val="22"/>
          <w:lang w:val="en-GB" w:eastAsia="en-US"/>
        </w:rPr>
        <w:t>-</w:t>
      </w:r>
      <w:r w:rsidRPr="001D5249">
        <w:rPr>
          <w:sz w:val="22"/>
          <w:szCs w:val="22"/>
          <w:lang w:val="en-GB" w:eastAsia="en-US"/>
        </w:rPr>
        <w:tab/>
      </w:r>
      <w:r w:rsidRPr="001D5249">
        <w:rPr>
          <w:sz w:val="22"/>
          <w:szCs w:val="22"/>
        </w:rPr>
        <w:t>Hemoragická diatéza; poruchy koagulácie ako sú hemofília a trombocytopénia.</w:t>
      </w:r>
      <w:r w:rsidRPr="001D5249">
        <w:rPr>
          <w:sz w:val="22"/>
          <w:szCs w:val="22"/>
          <w:lang w:val="en-GB" w:eastAsia="en-US"/>
        </w:rPr>
        <w:t>;</w:t>
      </w:r>
    </w:p>
    <w:p w:rsidR="00E00E06" w:rsidRPr="001D5249" w:rsidRDefault="00E00E06">
      <w:pPr>
        <w:widowControl w:val="0"/>
        <w:tabs>
          <w:tab w:val="left" w:pos="567"/>
        </w:tabs>
        <w:rPr>
          <w:sz w:val="22"/>
          <w:szCs w:val="22"/>
          <w:lang w:val="en-GB" w:eastAsia="en-US"/>
        </w:rPr>
      </w:pPr>
      <w:r w:rsidRPr="001D5249">
        <w:rPr>
          <w:sz w:val="22"/>
          <w:szCs w:val="22"/>
          <w:lang w:val="en-GB" w:eastAsia="en-US"/>
        </w:rPr>
        <w:lastRenderedPageBreak/>
        <w:t>-</w:t>
      </w:r>
      <w:r w:rsidRPr="001D5249">
        <w:rPr>
          <w:sz w:val="22"/>
          <w:szCs w:val="22"/>
          <w:lang w:val="en-GB" w:eastAsia="en-US"/>
        </w:rPr>
        <w:tab/>
      </w:r>
      <w:r w:rsidRPr="001D5249">
        <w:rPr>
          <w:sz w:val="22"/>
          <w:szCs w:val="22"/>
        </w:rPr>
        <w:t>Závažné poškodenie pečene</w:t>
      </w:r>
      <w:r w:rsidRPr="001D5249">
        <w:rPr>
          <w:sz w:val="22"/>
          <w:szCs w:val="22"/>
          <w:lang w:val="en-GB" w:eastAsia="en-US"/>
        </w:rPr>
        <w:t>;</w:t>
      </w:r>
    </w:p>
    <w:p w:rsidR="00E00E06" w:rsidRPr="001D5249" w:rsidRDefault="00E00E06">
      <w:pPr>
        <w:widowControl w:val="0"/>
        <w:tabs>
          <w:tab w:val="left" w:pos="567"/>
        </w:tabs>
        <w:rPr>
          <w:sz w:val="22"/>
          <w:szCs w:val="22"/>
          <w:lang w:val="en-GB" w:eastAsia="en-US"/>
        </w:rPr>
      </w:pPr>
      <w:r w:rsidRPr="001D5249">
        <w:rPr>
          <w:sz w:val="22"/>
          <w:szCs w:val="22"/>
          <w:lang w:val="en-GB" w:eastAsia="en-US"/>
        </w:rPr>
        <w:t>-</w:t>
      </w:r>
      <w:r w:rsidRPr="001D5249">
        <w:rPr>
          <w:sz w:val="22"/>
          <w:szCs w:val="22"/>
          <w:lang w:val="en-GB" w:eastAsia="en-US"/>
        </w:rPr>
        <w:tab/>
      </w:r>
      <w:r w:rsidRPr="001D5249">
        <w:rPr>
          <w:sz w:val="22"/>
          <w:szCs w:val="22"/>
        </w:rPr>
        <w:t>Závažné poškodenie obličiek</w:t>
      </w:r>
      <w:r w:rsidRPr="001D5249">
        <w:rPr>
          <w:sz w:val="22"/>
          <w:szCs w:val="22"/>
          <w:lang w:val="en-GB" w:eastAsia="en-US"/>
        </w:rPr>
        <w:t>;</w:t>
      </w:r>
    </w:p>
    <w:p w:rsidR="00E00E06" w:rsidRPr="001D5249" w:rsidRDefault="00E00E06">
      <w:pPr>
        <w:widowControl w:val="0"/>
        <w:tabs>
          <w:tab w:val="left" w:pos="567"/>
        </w:tabs>
        <w:ind w:left="567" w:hanging="567"/>
        <w:rPr>
          <w:sz w:val="22"/>
          <w:szCs w:val="22"/>
          <w:lang w:val="en-GB" w:eastAsia="en-US"/>
        </w:rPr>
      </w:pPr>
      <w:r w:rsidRPr="001D5249">
        <w:rPr>
          <w:sz w:val="22"/>
          <w:szCs w:val="22"/>
          <w:lang w:val="en-GB" w:eastAsia="en-US"/>
        </w:rPr>
        <w:t>-</w:t>
      </w:r>
      <w:r w:rsidRPr="001D5249">
        <w:rPr>
          <w:sz w:val="22"/>
          <w:szCs w:val="22"/>
          <w:lang w:val="en-GB" w:eastAsia="en-US"/>
        </w:rPr>
        <w:tab/>
      </w:r>
      <w:r w:rsidRPr="001D5249">
        <w:rPr>
          <w:sz w:val="22"/>
          <w:szCs w:val="22"/>
        </w:rPr>
        <w:t>Závažné zlyhanie srdca</w:t>
      </w:r>
      <w:r w:rsidRPr="001D5249">
        <w:rPr>
          <w:sz w:val="22"/>
          <w:szCs w:val="22"/>
          <w:lang w:val="en-GB" w:eastAsia="en-US"/>
        </w:rPr>
        <w:t>;</w:t>
      </w:r>
    </w:p>
    <w:p w:rsidR="00E00E06" w:rsidRPr="001D5249" w:rsidRDefault="00E00E06">
      <w:pPr>
        <w:widowControl w:val="0"/>
        <w:tabs>
          <w:tab w:val="left" w:pos="567"/>
        </w:tabs>
        <w:ind w:left="567" w:hanging="567"/>
        <w:rPr>
          <w:sz w:val="22"/>
          <w:szCs w:val="22"/>
          <w:lang w:val="en-GB" w:eastAsia="en-US"/>
        </w:rPr>
      </w:pPr>
      <w:r w:rsidRPr="001D5249">
        <w:rPr>
          <w:sz w:val="22"/>
          <w:szCs w:val="22"/>
          <w:lang w:val="en-GB" w:eastAsia="en-US"/>
        </w:rPr>
        <w:t>-</w:t>
      </w:r>
      <w:r w:rsidRPr="001D5249">
        <w:rPr>
          <w:sz w:val="22"/>
          <w:szCs w:val="22"/>
          <w:lang w:val="en-GB" w:eastAsia="en-US"/>
        </w:rPr>
        <w:tab/>
      </w:r>
      <w:r w:rsidRPr="001D5249">
        <w:rPr>
          <w:sz w:val="22"/>
          <w:szCs w:val="22"/>
          <w:lang w:val="sk-SK"/>
        </w:rPr>
        <w:t>Dávky ≥ 100 mg denne v treťom trimestri gravidity (pozri časť 4.6)</w:t>
      </w:r>
      <w:r w:rsidRPr="001D5249">
        <w:rPr>
          <w:sz w:val="22"/>
          <w:szCs w:val="22"/>
          <w:lang w:val="en-GB" w:eastAsia="en-US"/>
        </w:rPr>
        <w:t>;</w:t>
      </w:r>
    </w:p>
    <w:p w:rsidR="00E00E06" w:rsidRPr="001D5249" w:rsidRDefault="00E00E06">
      <w:pPr>
        <w:widowControl w:val="0"/>
        <w:tabs>
          <w:tab w:val="left" w:pos="567"/>
        </w:tabs>
        <w:rPr>
          <w:sz w:val="22"/>
          <w:szCs w:val="22"/>
          <w:lang w:val="en-GB" w:eastAsia="en-US"/>
        </w:rPr>
      </w:pPr>
      <w:r w:rsidRPr="001D5249">
        <w:rPr>
          <w:sz w:val="22"/>
          <w:szCs w:val="22"/>
          <w:lang w:val="en-GB" w:eastAsia="en-US"/>
        </w:rPr>
        <w:t>-</w:t>
      </w:r>
      <w:r w:rsidRPr="001D5249">
        <w:rPr>
          <w:sz w:val="22"/>
          <w:szCs w:val="22"/>
          <w:lang w:val="en-GB" w:eastAsia="en-US"/>
        </w:rPr>
        <w:tab/>
      </w:r>
      <w:r w:rsidRPr="001D5249">
        <w:rPr>
          <w:sz w:val="22"/>
          <w:szCs w:val="22"/>
        </w:rPr>
        <w:t>Metotrexát užívaný v dávkach &gt; 15 mg/týždeň (pozri časť 4.5)</w:t>
      </w:r>
      <w:r w:rsidRPr="001D5249">
        <w:rPr>
          <w:sz w:val="22"/>
          <w:szCs w:val="22"/>
          <w:lang w:val="en-GB" w:eastAsia="en-US"/>
        </w:rPr>
        <w:t>.</w:t>
      </w:r>
      <w:bookmarkEnd w:id="1"/>
    </w:p>
    <w:p w:rsidR="00E00E06" w:rsidRPr="001D5249" w:rsidRDefault="00E00E06">
      <w:pPr>
        <w:widowControl w:val="0"/>
        <w:tabs>
          <w:tab w:val="left" w:pos="567"/>
        </w:tabs>
        <w:rPr>
          <w:sz w:val="22"/>
          <w:szCs w:val="22"/>
          <w:lang w:val="en-GB" w:eastAsia="en-US"/>
        </w:rPr>
      </w:pPr>
    </w:p>
    <w:p w:rsidR="00E00E06" w:rsidRPr="001D5249" w:rsidRDefault="00E00E06">
      <w:pPr>
        <w:widowControl w:val="0"/>
        <w:tabs>
          <w:tab w:val="left" w:pos="567"/>
        </w:tabs>
        <w:rPr>
          <w:sz w:val="22"/>
          <w:szCs w:val="22"/>
          <w:lang w:val="en-GB" w:eastAsia="en-US"/>
        </w:rPr>
      </w:pPr>
      <w:r w:rsidRPr="001D5249">
        <w:rPr>
          <w:b/>
          <w:sz w:val="22"/>
          <w:szCs w:val="22"/>
          <w:lang w:val="en-GB" w:eastAsia="en-US"/>
        </w:rPr>
        <w:t>4.4</w:t>
      </w:r>
      <w:r w:rsidRPr="001D5249">
        <w:rPr>
          <w:b/>
          <w:sz w:val="22"/>
          <w:szCs w:val="22"/>
          <w:lang w:val="en-GB" w:eastAsia="en-US"/>
        </w:rPr>
        <w:tab/>
      </w:r>
      <w:r w:rsidRPr="001D5249">
        <w:rPr>
          <w:b/>
          <w:sz w:val="22"/>
          <w:szCs w:val="22"/>
        </w:rPr>
        <w:t>Osobitné upozornenia a opatrenia pri používaní</w:t>
      </w:r>
    </w:p>
    <w:p w:rsidR="00E00E06" w:rsidRPr="001D5249" w:rsidRDefault="00E00E06">
      <w:pPr>
        <w:widowControl w:val="0"/>
        <w:tabs>
          <w:tab w:val="left" w:pos="567"/>
        </w:tabs>
        <w:rPr>
          <w:sz w:val="22"/>
          <w:szCs w:val="22"/>
          <w:lang w:val="en-GB" w:eastAsia="en-US"/>
        </w:rPr>
      </w:pPr>
    </w:p>
    <w:p w:rsidR="00E00E06" w:rsidRPr="001D5249" w:rsidRDefault="00E00E06">
      <w:pPr>
        <w:rPr>
          <w:sz w:val="22"/>
          <w:szCs w:val="22"/>
        </w:rPr>
      </w:pPr>
      <w:r w:rsidRPr="001D5249">
        <w:rPr>
          <w:sz w:val="22"/>
          <w:szCs w:val="22"/>
        </w:rPr>
        <w:t>Abrea nie je vhodná ako protizápalový/analgetický/antipyretický liek.</w:t>
      </w:r>
    </w:p>
    <w:p w:rsidR="00E00E06" w:rsidRPr="001D5249" w:rsidRDefault="00E00E06">
      <w:pPr>
        <w:rPr>
          <w:sz w:val="22"/>
          <w:szCs w:val="22"/>
        </w:rPr>
      </w:pPr>
    </w:p>
    <w:p w:rsidR="00E00E06" w:rsidRPr="001D5249" w:rsidRDefault="00E00E06">
      <w:pPr>
        <w:pStyle w:val="Zarkazkladnhotextu2"/>
        <w:spacing w:after="0" w:line="240" w:lineRule="auto"/>
        <w:ind w:left="0"/>
        <w:rPr>
          <w:sz w:val="22"/>
          <w:szCs w:val="22"/>
        </w:rPr>
      </w:pPr>
      <w:r w:rsidRPr="001D5249">
        <w:rPr>
          <w:sz w:val="22"/>
          <w:szCs w:val="22"/>
        </w:rPr>
        <w:t xml:space="preserve">Odporúča sa pre použitie u dospelých a dospievajúcich </w:t>
      </w:r>
      <w:r w:rsidR="00C32333" w:rsidRPr="001D5249">
        <w:rPr>
          <w:sz w:val="22"/>
          <w:szCs w:val="22"/>
        </w:rPr>
        <w:t xml:space="preserve">vo veku </w:t>
      </w:r>
      <w:r w:rsidRPr="001D5249">
        <w:rPr>
          <w:sz w:val="22"/>
          <w:szCs w:val="22"/>
        </w:rPr>
        <w:t xml:space="preserve">od 16 rokov. Tento liek sa neodporúča na použitie u detí a dospievajúcich </w:t>
      </w:r>
      <w:r w:rsidR="005B553F" w:rsidRPr="001D5249">
        <w:rPr>
          <w:sz w:val="22"/>
          <w:szCs w:val="22"/>
        </w:rPr>
        <w:t xml:space="preserve">vo veku </w:t>
      </w:r>
      <w:r w:rsidRPr="001D5249">
        <w:rPr>
          <w:sz w:val="22"/>
          <w:szCs w:val="22"/>
        </w:rPr>
        <w:t xml:space="preserve">do 16 rokov, pokiaľ predpokladaný prínos nepreváži riziká. Kyselina acetylsalicylová môže byť faktorom prispievajúcim k príčine Reyeovho syndrómu u niektorých detí. </w:t>
      </w:r>
    </w:p>
    <w:p w:rsidR="00E00E06" w:rsidRPr="001D5249" w:rsidRDefault="00E00E06">
      <w:pPr>
        <w:pStyle w:val="Zarkazkladnhotextu2"/>
        <w:spacing w:after="0" w:line="240" w:lineRule="auto"/>
        <w:ind w:left="0"/>
        <w:rPr>
          <w:sz w:val="22"/>
          <w:szCs w:val="22"/>
        </w:rPr>
      </w:pPr>
    </w:p>
    <w:p w:rsidR="00E00E06" w:rsidRPr="001D5249" w:rsidRDefault="00E00E06">
      <w:pPr>
        <w:pStyle w:val="Zarkazkladnhotextu2"/>
        <w:spacing w:after="0" w:line="240" w:lineRule="auto"/>
        <w:ind w:left="0"/>
        <w:rPr>
          <w:sz w:val="22"/>
          <w:szCs w:val="22"/>
        </w:rPr>
      </w:pPr>
      <w:r w:rsidRPr="001D5249">
        <w:rPr>
          <w:sz w:val="22"/>
          <w:szCs w:val="22"/>
        </w:rPr>
        <w:t>Existuje zvýšené riziko hemorágie</w:t>
      </w:r>
      <w:r w:rsidR="00AF2730" w:rsidRPr="001D5249">
        <w:rPr>
          <w:sz w:val="22"/>
          <w:szCs w:val="22"/>
        </w:rPr>
        <w:t xml:space="preserve"> a predĺženého času krvácania</w:t>
      </w:r>
      <w:r w:rsidRPr="001D5249">
        <w:rPr>
          <w:sz w:val="22"/>
          <w:szCs w:val="22"/>
        </w:rPr>
        <w:t>, najmä počas chirurgických výkonov a po nich (dokonca aj v prípadoch malých zákrokov, napr. extrakcia zuba). Preto sa má podávať s</w:t>
      </w:r>
      <w:r w:rsidR="00FF5B81" w:rsidRPr="001D5249">
        <w:rPr>
          <w:sz w:val="22"/>
          <w:szCs w:val="22"/>
        </w:rPr>
        <w:t> </w:t>
      </w:r>
      <w:r w:rsidRPr="001D5249">
        <w:rPr>
          <w:sz w:val="22"/>
          <w:szCs w:val="22"/>
        </w:rPr>
        <w:t>opatrnosťou pred chirurgickým výkon</w:t>
      </w:r>
      <w:r w:rsidR="00F05F6C" w:rsidRPr="001D5249">
        <w:rPr>
          <w:sz w:val="22"/>
          <w:szCs w:val="22"/>
        </w:rPr>
        <w:t>om</w:t>
      </w:r>
      <w:r w:rsidRPr="001D5249">
        <w:rPr>
          <w:sz w:val="22"/>
          <w:szCs w:val="22"/>
        </w:rPr>
        <w:t>, vrátane extrakcie zub</w:t>
      </w:r>
      <w:r w:rsidR="00F92B4F" w:rsidRPr="001D5249">
        <w:rPr>
          <w:sz w:val="22"/>
          <w:szCs w:val="22"/>
        </w:rPr>
        <w:t>a</w:t>
      </w:r>
      <w:r w:rsidRPr="001D5249">
        <w:rPr>
          <w:sz w:val="22"/>
          <w:szCs w:val="22"/>
        </w:rPr>
        <w:t>. Môže byť potrebné prechodné prerušenie liečby.</w:t>
      </w:r>
    </w:p>
    <w:p w:rsidR="00E00E06" w:rsidRPr="001D5249" w:rsidRDefault="00E00E06">
      <w:pPr>
        <w:pStyle w:val="Zarkazkladnhotextu2"/>
        <w:spacing w:after="0" w:line="240" w:lineRule="auto"/>
        <w:ind w:left="0"/>
        <w:rPr>
          <w:sz w:val="22"/>
          <w:szCs w:val="22"/>
        </w:rPr>
      </w:pPr>
    </w:p>
    <w:p w:rsidR="00E00E06" w:rsidRPr="001D5249" w:rsidRDefault="00E00E06">
      <w:pPr>
        <w:pStyle w:val="Zarkazkladnhotextu2"/>
        <w:spacing w:after="0" w:line="240" w:lineRule="auto"/>
        <w:ind w:left="0"/>
        <w:rPr>
          <w:sz w:val="22"/>
          <w:szCs w:val="22"/>
        </w:rPr>
      </w:pPr>
      <w:r w:rsidRPr="001D5249">
        <w:rPr>
          <w:sz w:val="22"/>
          <w:szCs w:val="22"/>
        </w:rPr>
        <w:t>Abrea sa neodporúča počas menorágie, kde môže zvýšiť menštruačné krvácanie.</w:t>
      </w:r>
    </w:p>
    <w:p w:rsidR="00E00E06" w:rsidRPr="001D5249" w:rsidRDefault="00E00E06">
      <w:pPr>
        <w:pStyle w:val="Zarkazkladnhotextu2"/>
        <w:spacing w:after="0" w:line="240" w:lineRule="auto"/>
        <w:ind w:left="0"/>
        <w:rPr>
          <w:sz w:val="22"/>
          <w:szCs w:val="22"/>
        </w:rPr>
      </w:pPr>
    </w:p>
    <w:p w:rsidR="00E00E06" w:rsidRPr="001D5249" w:rsidRDefault="00E00E06">
      <w:pPr>
        <w:pStyle w:val="Zarkazkladnhotextu2"/>
        <w:spacing w:after="0" w:line="240" w:lineRule="auto"/>
        <w:ind w:left="0"/>
        <w:rPr>
          <w:sz w:val="22"/>
          <w:szCs w:val="22"/>
        </w:rPr>
      </w:pPr>
      <w:r w:rsidRPr="001D5249">
        <w:rPr>
          <w:sz w:val="22"/>
          <w:szCs w:val="22"/>
        </w:rPr>
        <w:t>Abrea sa má používať s opatrnosťou v prípade nekontrolovanej hypertenzie a ak má pacient v anamnéze žalúdočné vredy a</w:t>
      </w:r>
      <w:r w:rsidR="00B031E3" w:rsidRPr="001D5249">
        <w:rPr>
          <w:sz w:val="22"/>
          <w:szCs w:val="22"/>
        </w:rPr>
        <w:t>lebo</w:t>
      </w:r>
      <w:r w:rsidRPr="001D5249">
        <w:rPr>
          <w:sz w:val="22"/>
          <w:szCs w:val="22"/>
        </w:rPr>
        <w:t> vredy dvanástnika alebo hemoragické epizódy alebo u pacientov liečených antikoagulanciami.</w:t>
      </w:r>
    </w:p>
    <w:p w:rsidR="00E00E06" w:rsidRPr="001D5249" w:rsidRDefault="00E00E06">
      <w:pPr>
        <w:pStyle w:val="Zarkazkladnhotextu2"/>
        <w:spacing w:after="0" w:line="240" w:lineRule="auto"/>
        <w:ind w:left="0"/>
        <w:rPr>
          <w:sz w:val="22"/>
          <w:szCs w:val="22"/>
        </w:rPr>
      </w:pPr>
    </w:p>
    <w:p w:rsidR="00E00E06" w:rsidRPr="001D5249" w:rsidRDefault="00E00E06">
      <w:pPr>
        <w:pStyle w:val="Zarkazkladnhotextu2"/>
        <w:spacing w:after="0" w:line="240" w:lineRule="auto"/>
        <w:ind w:left="0"/>
        <w:rPr>
          <w:sz w:val="22"/>
          <w:szCs w:val="22"/>
        </w:rPr>
      </w:pPr>
      <w:r w:rsidRPr="001D5249">
        <w:rPr>
          <w:sz w:val="22"/>
          <w:szCs w:val="22"/>
        </w:rPr>
        <w:t>Pacienti musia hlásiť svojmu lekárovi akékoľvek nezvyčajné príznaky krvácania. Ak sa objaví gastrointestinálne krvácanie alebo tvorba vredov, liečba musí byť ukončená.</w:t>
      </w:r>
    </w:p>
    <w:p w:rsidR="00E00E06" w:rsidRPr="001D5249" w:rsidRDefault="00E00E06">
      <w:pPr>
        <w:pStyle w:val="Zarkazkladnhotextu2"/>
        <w:spacing w:after="0" w:line="240" w:lineRule="auto"/>
        <w:ind w:left="0"/>
        <w:rPr>
          <w:sz w:val="22"/>
          <w:szCs w:val="22"/>
        </w:rPr>
      </w:pPr>
    </w:p>
    <w:p w:rsidR="00E00E06" w:rsidRPr="001D5249" w:rsidRDefault="00E00E06">
      <w:pPr>
        <w:pStyle w:val="Zarkazkladnhotextu2"/>
        <w:spacing w:after="0" w:line="240" w:lineRule="auto"/>
        <w:ind w:left="0"/>
        <w:rPr>
          <w:sz w:val="22"/>
          <w:szCs w:val="22"/>
        </w:rPr>
      </w:pPr>
      <w:r w:rsidRPr="001D5249">
        <w:rPr>
          <w:sz w:val="22"/>
          <w:szCs w:val="22"/>
        </w:rPr>
        <w:t>Kyselina acetylsalicylová sa má používať s opatrnosťou u pacientov so stredne závažným poškodením obličiek alebo pečene (pri závažnom poškodení je kontraindikovaná) alebo u dehydratovaných pacientov, keďže použitie NSAID môže mať za následok zhoršenie renálnej funkcie. U pacientov s miernou alebo stredne závažnou insuficienciou pečene sa majú pravidelne vykonávať testy pečene.</w:t>
      </w:r>
    </w:p>
    <w:p w:rsidR="00E00E06" w:rsidRPr="001D5249" w:rsidRDefault="00E00E06">
      <w:pPr>
        <w:rPr>
          <w:sz w:val="22"/>
          <w:szCs w:val="22"/>
        </w:rPr>
      </w:pPr>
    </w:p>
    <w:p w:rsidR="00E00E06" w:rsidRPr="001D5249" w:rsidRDefault="00E00E06">
      <w:pPr>
        <w:rPr>
          <w:sz w:val="22"/>
          <w:szCs w:val="22"/>
        </w:rPr>
      </w:pPr>
      <w:r w:rsidRPr="001D5249">
        <w:rPr>
          <w:sz w:val="22"/>
          <w:szCs w:val="22"/>
        </w:rPr>
        <w:t>Kyselina acetylsalicylová môže vyvolať bronchospazmus a navodiť astmatické záchvaty alebo iné reakcie z precitlivenosti. Rizikovými faktormi sú prítomnosť astmy, senná nádcha, nosové polypy alebo chronické respiračné ochoreni</w:t>
      </w:r>
      <w:r w:rsidR="00B031E3" w:rsidRPr="001D5249">
        <w:rPr>
          <w:sz w:val="22"/>
          <w:szCs w:val="22"/>
        </w:rPr>
        <w:t>a</w:t>
      </w:r>
      <w:r w:rsidRPr="001D5249">
        <w:rPr>
          <w:sz w:val="22"/>
          <w:szCs w:val="22"/>
        </w:rPr>
        <w:t>. Toto tiež platí pre pacientov, u ktorých sa objavil</w:t>
      </w:r>
      <w:r w:rsidR="0004041A" w:rsidRPr="001D5249">
        <w:rPr>
          <w:sz w:val="22"/>
          <w:szCs w:val="22"/>
        </w:rPr>
        <w:t>a</w:t>
      </w:r>
      <w:r w:rsidRPr="001D5249">
        <w:rPr>
          <w:sz w:val="22"/>
          <w:szCs w:val="22"/>
        </w:rPr>
        <w:t xml:space="preserve"> alergick</w:t>
      </w:r>
      <w:r w:rsidR="0004041A" w:rsidRPr="001D5249">
        <w:rPr>
          <w:sz w:val="22"/>
          <w:szCs w:val="22"/>
        </w:rPr>
        <w:t>á</w:t>
      </w:r>
      <w:r w:rsidRPr="001D5249">
        <w:rPr>
          <w:sz w:val="22"/>
          <w:szCs w:val="22"/>
        </w:rPr>
        <w:t xml:space="preserve"> reakci</w:t>
      </w:r>
      <w:r w:rsidR="0004041A" w:rsidRPr="001D5249">
        <w:rPr>
          <w:sz w:val="22"/>
          <w:szCs w:val="22"/>
        </w:rPr>
        <w:t>a</w:t>
      </w:r>
      <w:r w:rsidRPr="001D5249">
        <w:rPr>
          <w:sz w:val="22"/>
          <w:szCs w:val="22"/>
        </w:rPr>
        <w:t xml:space="preserve"> po iných látkach (napr. kožné reakcie, svrbenie alebo žihľavka).</w:t>
      </w:r>
    </w:p>
    <w:p w:rsidR="00E00E06" w:rsidRPr="001D5249" w:rsidRDefault="00E00E06">
      <w:pPr>
        <w:rPr>
          <w:sz w:val="22"/>
          <w:szCs w:val="22"/>
        </w:rPr>
      </w:pPr>
    </w:p>
    <w:p w:rsidR="00E00E06" w:rsidRPr="001D5249" w:rsidRDefault="00E00E06">
      <w:pPr>
        <w:pStyle w:val="Zarkazkladnhotextu2"/>
        <w:spacing w:after="0" w:line="240" w:lineRule="auto"/>
        <w:ind w:left="0"/>
        <w:rPr>
          <w:sz w:val="22"/>
          <w:szCs w:val="22"/>
        </w:rPr>
      </w:pPr>
      <w:r w:rsidRPr="001D5249">
        <w:rPr>
          <w:sz w:val="22"/>
          <w:szCs w:val="22"/>
        </w:rPr>
        <w:t>V súvislosti s užívaním kyseliny acetylsalicylovej sa zriedkavo zaznamenali závažné kožné reakcie vrátane Stevensovho-Johnsonovho syndrómu (pozri časť 4.8). Abrea sa musí vysadiť pri prvom prejave kožnej vyrážky, lézií na slizniciach alebo inom prejave hypersenzitivity.</w:t>
      </w:r>
    </w:p>
    <w:p w:rsidR="00E00E06" w:rsidRPr="001D5249" w:rsidRDefault="00E00E06">
      <w:pPr>
        <w:rPr>
          <w:sz w:val="22"/>
          <w:szCs w:val="22"/>
        </w:rPr>
      </w:pPr>
    </w:p>
    <w:p w:rsidR="00E00E06" w:rsidRPr="001D5249" w:rsidRDefault="00E00E06">
      <w:pPr>
        <w:pStyle w:val="Zarkazkladnhotextu2"/>
        <w:spacing w:after="0" w:line="240" w:lineRule="auto"/>
        <w:ind w:left="0"/>
        <w:rPr>
          <w:sz w:val="22"/>
          <w:szCs w:val="22"/>
        </w:rPr>
      </w:pPr>
      <w:r w:rsidRPr="001D5249">
        <w:rPr>
          <w:sz w:val="22"/>
          <w:szCs w:val="22"/>
        </w:rPr>
        <w:t>Starší pacienti sú obzvlášť náchylní na nežiaduce účinky NSAID, vrátane kyseliny acetylsalicylovej, najmä na gastrointestinálne krvácanie a perforáciu, ktoré môžu byť smrteľné (pozri časť 4.2). Keď sa vyžaduje dlhodobá liečba, pacienti musia byť pravidelne kontrolovaní.</w:t>
      </w:r>
    </w:p>
    <w:p w:rsidR="00E00E06" w:rsidRPr="001D5249" w:rsidRDefault="00E00E06">
      <w:pPr>
        <w:rPr>
          <w:sz w:val="22"/>
          <w:szCs w:val="22"/>
        </w:rPr>
      </w:pPr>
    </w:p>
    <w:p w:rsidR="00E00E06" w:rsidRPr="001D5249" w:rsidRDefault="00E00E06">
      <w:pPr>
        <w:rPr>
          <w:sz w:val="22"/>
          <w:szCs w:val="22"/>
        </w:rPr>
      </w:pPr>
      <w:r w:rsidRPr="001D5249">
        <w:rPr>
          <w:sz w:val="22"/>
          <w:szCs w:val="22"/>
        </w:rPr>
        <w:t>Súbežná liečba Abreou a inými liekmi, ktoré menia hemostázu (t.j. antikoagulanciá ako napríklad warfarín, trombolytiká a antiagreganciá, protizápalové lieky a selektívne inhibítory spätného vychytávania serotonínu), sa neodporúča, pokiaľ to nie je prísne indikované, lebo môže zvýšiť riziko krvácania (pozri časť 4.5). Ak je nutné túto kombináciu použiť, odporúča sa dôkladné sledovanie pacienta z hľadiska prejavov krvácania.</w:t>
      </w:r>
    </w:p>
    <w:p w:rsidR="00E00E06" w:rsidRPr="001D5249" w:rsidRDefault="00E00E06">
      <w:pPr>
        <w:rPr>
          <w:sz w:val="22"/>
          <w:szCs w:val="22"/>
        </w:rPr>
      </w:pPr>
    </w:p>
    <w:p w:rsidR="00E00E06" w:rsidRPr="001D5249" w:rsidRDefault="00E00E06">
      <w:pPr>
        <w:autoSpaceDE w:val="0"/>
        <w:autoSpaceDN w:val="0"/>
        <w:adjustRightInd w:val="0"/>
        <w:rPr>
          <w:sz w:val="22"/>
          <w:szCs w:val="22"/>
        </w:rPr>
      </w:pPr>
      <w:r w:rsidRPr="001D5249">
        <w:rPr>
          <w:sz w:val="22"/>
          <w:szCs w:val="22"/>
        </w:rPr>
        <w:t>Pozornosť sa odporúča u pacientov so súbežnou liečbou liekmi, ako sú perorálne kortikosteroidy,  selektívne inhibítory spätného vychytávania s</w:t>
      </w:r>
      <w:r w:rsidR="0004041A" w:rsidRPr="001D5249">
        <w:rPr>
          <w:sz w:val="22"/>
          <w:szCs w:val="22"/>
        </w:rPr>
        <w:t>e</w:t>
      </w:r>
      <w:r w:rsidRPr="001D5249">
        <w:rPr>
          <w:sz w:val="22"/>
          <w:szCs w:val="22"/>
        </w:rPr>
        <w:t>rotonínu a defera</w:t>
      </w:r>
      <w:r w:rsidR="00D5008C" w:rsidRPr="001D5249">
        <w:rPr>
          <w:sz w:val="22"/>
          <w:szCs w:val="22"/>
        </w:rPr>
        <w:t>s</w:t>
      </w:r>
      <w:r w:rsidRPr="001D5249">
        <w:rPr>
          <w:sz w:val="22"/>
          <w:szCs w:val="22"/>
        </w:rPr>
        <w:t xml:space="preserve">irox, ktoré môžu zvýšiť riziko ulcerácie (pozri časť 4.5). </w:t>
      </w:r>
    </w:p>
    <w:p w:rsidR="00E00E06" w:rsidRPr="001D5249" w:rsidRDefault="00E00E06">
      <w:pPr>
        <w:rPr>
          <w:sz w:val="22"/>
          <w:szCs w:val="22"/>
        </w:rPr>
      </w:pPr>
    </w:p>
    <w:p w:rsidR="00E00E06" w:rsidRPr="001D5249" w:rsidRDefault="00E00E06">
      <w:pPr>
        <w:rPr>
          <w:sz w:val="22"/>
          <w:szCs w:val="22"/>
        </w:rPr>
      </w:pPr>
      <w:r w:rsidRPr="001D5249">
        <w:rPr>
          <w:sz w:val="22"/>
          <w:szCs w:val="22"/>
        </w:rPr>
        <w:lastRenderedPageBreak/>
        <w:t>Pri nízkom dávkovaní kyselina acetylsalicylová znižuje vylučovanie kyseliny močovej. Vzhľadom na</w:t>
      </w:r>
      <w:r w:rsidR="00BB0ED0" w:rsidRPr="001D5249">
        <w:rPr>
          <w:sz w:val="22"/>
          <w:szCs w:val="22"/>
        </w:rPr>
        <w:t> </w:t>
      </w:r>
      <w:r w:rsidRPr="001D5249">
        <w:rPr>
          <w:sz w:val="22"/>
          <w:szCs w:val="22"/>
        </w:rPr>
        <w:t xml:space="preserve">to pacienti s predispozíciou na znížené vylučovanie kyseliny močovej môžu mať záchvaty dny (pozri časť 4.5). </w:t>
      </w:r>
    </w:p>
    <w:p w:rsidR="00E00E06" w:rsidRPr="001D5249" w:rsidRDefault="00E00E06">
      <w:pPr>
        <w:rPr>
          <w:sz w:val="22"/>
          <w:szCs w:val="22"/>
        </w:rPr>
      </w:pPr>
    </w:p>
    <w:p w:rsidR="00E00E06" w:rsidRPr="001D5249" w:rsidRDefault="00E00E06">
      <w:pPr>
        <w:rPr>
          <w:sz w:val="22"/>
          <w:szCs w:val="22"/>
        </w:rPr>
      </w:pPr>
      <w:r w:rsidRPr="001D5249">
        <w:rPr>
          <w:sz w:val="22"/>
          <w:szCs w:val="22"/>
        </w:rPr>
        <w:t>Abrea sa má užívať s opatrnosťou u pacientov s nedostatkom glukóza-6-fosfátdehydrogenázy.</w:t>
      </w:r>
    </w:p>
    <w:p w:rsidR="00E00E06" w:rsidRPr="001D5249" w:rsidRDefault="00E00E06">
      <w:pPr>
        <w:rPr>
          <w:sz w:val="22"/>
          <w:szCs w:val="22"/>
        </w:rPr>
      </w:pPr>
    </w:p>
    <w:p w:rsidR="00E00E06" w:rsidRPr="001D5249" w:rsidRDefault="00E00E06">
      <w:pPr>
        <w:rPr>
          <w:sz w:val="22"/>
          <w:szCs w:val="22"/>
        </w:rPr>
      </w:pPr>
      <w:r w:rsidRPr="001D5249">
        <w:rPr>
          <w:sz w:val="22"/>
          <w:szCs w:val="22"/>
        </w:rPr>
        <w:t xml:space="preserve">Riziko hypoglykemického účinku s derivátmi sulfonylmočoviny a inzulínmi môže byť zosilnené Abreou </w:t>
      </w:r>
      <w:r w:rsidR="00253A5E" w:rsidRPr="001D5249">
        <w:rPr>
          <w:sz w:val="22"/>
          <w:szCs w:val="22"/>
        </w:rPr>
        <w:t xml:space="preserve">pri predávkovaní </w:t>
      </w:r>
      <w:r w:rsidRPr="001D5249">
        <w:rPr>
          <w:sz w:val="22"/>
          <w:szCs w:val="22"/>
        </w:rPr>
        <w:t>(pozri časť 4.5).</w:t>
      </w:r>
    </w:p>
    <w:p w:rsidR="00E00E06" w:rsidRPr="001D5249" w:rsidRDefault="00E00E06">
      <w:pPr>
        <w:rPr>
          <w:sz w:val="22"/>
          <w:szCs w:val="22"/>
        </w:rPr>
      </w:pPr>
    </w:p>
    <w:p w:rsidR="00E00E06" w:rsidRPr="001D5249" w:rsidRDefault="00E00E06">
      <w:pPr>
        <w:rPr>
          <w:sz w:val="22"/>
          <w:szCs w:val="22"/>
        </w:rPr>
      </w:pPr>
      <w:r w:rsidRPr="001D5249">
        <w:rPr>
          <w:sz w:val="22"/>
          <w:szCs w:val="22"/>
        </w:rPr>
        <w:t xml:space="preserve">Tento liek obsahuje laktózu. </w:t>
      </w:r>
      <w:r w:rsidRPr="001D5249">
        <w:rPr>
          <w:bCs/>
          <w:sz w:val="22"/>
          <w:szCs w:val="22"/>
        </w:rPr>
        <w:t>Pacienti</w:t>
      </w:r>
      <w:r w:rsidRPr="001D5249">
        <w:rPr>
          <w:sz w:val="22"/>
          <w:szCs w:val="22"/>
        </w:rPr>
        <w:t xml:space="preserve"> so </w:t>
      </w:r>
      <w:r w:rsidRPr="001D5249">
        <w:rPr>
          <w:bCs/>
          <w:sz w:val="22"/>
          <w:szCs w:val="22"/>
        </w:rPr>
        <w:t>zriedkavými dedičnými</w:t>
      </w:r>
      <w:r w:rsidRPr="001D5249">
        <w:rPr>
          <w:sz w:val="22"/>
          <w:szCs w:val="22"/>
        </w:rPr>
        <w:t xml:space="preserve"> problémami galaktózovej intolerancie, lapónskeho deficitu laktázy alebo glukózo-galaktózovej </w:t>
      </w:r>
      <w:r w:rsidRPr="001D5249">
        <w:rPr>
          <w:bCs/>
          <w:sz w:val="22"/>
          <w:szCs w:val="22"/>
        </w:rPr>
        <w:t>malabsorpcie</w:t>
      </w:r>
      <w:r w:rsidRPr="001D5249">
        <w:rPr>
          <w:sz w:val="22"/>
          <w:szCs w:val="22"/>
        </w:rPr>
        <w:t xml:space="preserve"> nesmú užívať  tento liek. </w:t>
      </w:r>
    </w:p>
    <w:p w:rsidR="00E00E06" w:rsidRPr="001D5249" w:rsidRDefault="00E00E06">
      <w:pPr>
        <w:rPr>
          <w:noProof/>
          <w:sz w:val="22"/>
          <w:szCs w:val="22"/>
          <w:highlight w:val="lightGray"/>
          <w:lang w:val="en-GB" w:eastAsia="en-US"/>
        </w:rPr>
      </w:pPr>
    </w:p>
    <w:p w:rsidR="00E00E06" w:rsidRPr="001D5249" w:rsidRDefault="00E00E06">
      <w:pPr>
        <w:rPr>
          <w:sz w:val="22"/>
          <w:szCs w:val="22"/>
        </w:rPr>
      </w:pPr>
      <w:r w:rsidRPr="00E55E5C">
        <w:rPr>
          <w:noProof/>
          <w:sz w:val="22"/>
          <w:szCs w:val="22"/>
          <w:lang w:val="en-GB" w:eastAsia="en-US"/>
        </w:rPr>
        <w:t xml:space="preserve">Abrea </w:t>
      </w:r>
      <w:r w:rsidRPr="00E55E5C">
        <w:rPr>
          <w:sz w:val="22"/>
          <w:szCs w:val="22"/>
          <w:lang w:val="en-US"/>
        </w:rPr>
        <w:t>75 mg</w:t>
      </w:r>
      <w:r w:rsidRPr="00E55E5C">
        <w:rPr>
          <w:sz w:val="22"/>
          <w:szCs w:val="22"/>
        </w:rPr>
        <w:t xml:space="preserve"> obsahuje </w:t>
      </w:r>
      <w:r w:rsidR="00FF46BC">
        <w:rPr>
          <w:sz w:val="22"/>
          <w:szCs w:val="22"/>
        </w:rPr>
        <w:t>oranžová žlť,</w:t>
      </w:r>
      <w:r w:rsidRPr="00E55E5C">
        <w:rPr>
          <w:sz w:val="22"/>
          <w:szCs w:val="22"/>
        </w:rPr>
        <w:t xml:space="preserve"> hlinitý lak (E110), ktorý môže spôsobiť alergické reakcie.</w:t>
      </w:r>
    </w:p>
    <w:p w:rsidR="00E00E06" w:rsidRPr="001D5249" w:rsidRDefault="00E00E06">
      <w:pPr>
        <w:widowControl w:val="0"/>
        <w:tabs>
          <w:tab w:val="left" w:pos="567"/>
        </w:tabs>
        <w:rPr>
          <w:sz w:val="22"/>
          <w:szCs w:val="22"/>
          <w:lang w:eastAsia="en-US"/>
        </w:rPr>
      </w:pPr>
    </w:p>
    <w:p w:rsidR="00E00E06" w:rsidRPr="001D5249" w:rsidRDefault="00E00E06">
      <w:pPr>
        <w:rPr>
          <w:sz w:val="22"/>
          <w:szCs w:val="22"/>
        </w:rPr>
      </w:pPr>
      <w:r w:rsidRPr="00E55E5C">
        <w:rPr>
          <w:noProof/>
          <w:sz w:val="22"/>
          <w:szCs w:val="22"/>
          <w:lang w:val="en-GB" w:eastAsia="en-US"/>
        </w:rPr>
        <w:t xml:space="preserve">Abrea </w:t>
      </w:r>
      <w:r w:rsidRPr="00E55E5C">
        <w:rPr>
          <w:sz w:val="22"/>
          <w:szCs w:val="22"/>
        </w:rPr>
        <w:t>160 mg obsahuje sójový lecitín, ktorý môže byť zdrojom sójovej bielkoviny a preto sa nesmie používať u pacientov alergických na sóju alebo arašidy, kvôli riziku hypertenzívnych reakcií.</w:t>
      </w:r>
    </w:p>
    <w:p w:rsidR="00E00E06" w:rsidRPr="001D5249" w:rsidRDefault="00E00E06">
      <w:pPr>
        <w:widowControl w:val="0"/>
        <w:tabs>
          <w:tab w:val="left" w:pos="567"/>
        </w:tabs>
        <w:rPr>
          <w:sz w:val="22"/>
          <w:szCs w:val="22"/>
          <w:lang w:eastAsia="en-US"/>
        </w:rPr>
      </w:pPr>
    </w:p>
    <w:p w:rsidR="00E00E06" w:rsidRPr="001D5249" w:rsidRDefault="00E00E06">
      <w:pPr>
        <w:widowControl w:val="0"/>
        <w:tabs>
          <w:tab w:val="left" w:pos="567"/>
        </w:tabs>
        <w:rPr>
          <w:sz w:val="22"/>
          <w:szCs w:val="22"/>
          <w:lang w:val="en-GB" w:eastAsia="en-US"/>
        </w:rPr>
      </w:pPr>
      <w:r w:rsidRPr="001D5249">
        <w:rPr>
          <w:b/>
          <w:sz w:val="22"/>
          <w:szCs w:val="22"/>
          <w:lang w:val="en-GB" w:eastAsia="en-US"/>
        </w:rPr>
        <w:t>4.5</w:t>
      </w:r>
      <w:r w:rsidRPr="001D5249">
        <w:rPr>
          <w:b/>
          <w:sz w:val="22"/>
          <w:szCs w:val="22"/>
          <w:lang w:val="en-GB" w:eastAsia="en-US"/>
        </w:rPr>
        <w:tab/>
      </w:r>
      <w:r w:rsidRPr="001D5249">
        <w:rPr>
          <w:b/>
          <w:sz w:val="22"/>
          <w:szCs w:val="22"/>
        </w:rPr>
        <w:t>Liekové a iné interakcie</w:t>
      </w:r>
    </w:p>
    <w:p w:rsidR="00E00E06" w:rsidRPr="001D5249" w:rsidRDefault="00E00E06">
      <w:pPr>
        <w:widowControl w:val="0"/>
        <w:tabs>
          <w:tab w:val="left" w:pos="567"/>
        </w:tabs>
        <w:rPr>
          <w:sz w:val="22"/>
          <w:szCs w:val="22"/>
          <w:lang w:val="en-GB" w:eastAsia="en-US"/>
        </w:rPr>
      </w:pPr>
    </w:p>
    <w:p w:rsidR="00E00E06" w:rsidRPr="001D5249" w:rsidRDefault="00E00E06">
      <w:pPr>
        <w:ind w:left="540" w:hanging="540"/>
        <w:rPr>
          <w:sz w:val="22"/>
          <w:szCs w:val="22"/>
          <w:u w:val="single"/>
        </w:rPr>
      </w:pPr>
      <w:r w:rsidRPr="001D5249">
        <w:rPr>
          <w:sz w:val="22"/>
          <w:szCs w:val="22"/>
          <w:u w:val="single"/>
        </w:rPr>
        <w:t>Kontraindikované kombinácie</w:t>
      </w:r>
    </w:p>
    <w:p w:rsidR="00E00E06" w:rsidRPr="001D5249" w:rsidRDefault="00E00E06">
      <w:pPr>
        <w:tabs>
          <w:tab w:val="left" w:pos="0"/>
        </w:tabs>
        <w:rPr>
          <w:i/>
          <w:sz w:val="22"/>
          <w:szCs w:val="22"/>
        </w:rPr>
      </w:pPr>
    </w:p>
    <w:p w:rsidR="00E00E06" w:rsidRPr="001D5249" w:rsidRDefault="00E00E06">
      <w:pPr>
        <w:rPr>
          <w:i/>
          <w:sz w:val="22"/>
          <w:szCs w:val="22"/>
        </w:rPr>
      </w:pPr>
      <w:r w:rsidRPr="001D5249">
        <w:rPr>
          <w:i/>
          <w:sz w:val="22"/>
          <w:szCs w:val="22"/>
        </w:rPr>
        <w:t>Metotrexát (užívaný v dávkach &gt; 15 mg/týždeň):</w:t>
      </w:r>
    </w:p>
    <w:p w:rsidR="00E00E06" w:rsidRPr="001D5249" w:rsidRDefault="00E00E06">
      <w:pPr>
        <w:tabs>
          <w:tab w:val="left" w:pos="0"/>
        </w:tabs>
        <w:rPr>
          <w:sz w:val="22"/>
          <w:szCs w:val="22"/>
        </w:rPr>
      </w:pPr>
      <w:r w:rsidRPr="001D5249">
        <w:rPr>
          <w:sz w:val="22"/>
          <w:szCs w:val="22"/>
        </w:rPr>
        <w:t>Kombinácia liekov metotrexátu a kyseliny acetylsalicylovej zvyšuje hematologickú toxicitu metotrexátu vzhľadom na celkovo znížený renálny klírens metotrexátu kyselinou acetylsalicylovou. Preto je súbežné užívanie metotrexátu (v dávkach &gt; 15 mg/týždeň) s Abreou kontraindikované (pozri časť 4.3).</w:t>
      </w:r>
    </w:p>
    <w:p w:rsidR="00E00E06" w:rsidRPr="001D5249" w:rsidRDefault="00E00E06">
      <w:pPr>
        <w:tabs>
          <w:tab w:val="left" w:pos="0"/>
        </w:tabs>
        <w:rPr>
          <w:sz w:val="22"/>
          <w:szCs w:val="22"/>
        </w:rPr>
      </w:pPr>
    </w:p>
    <w:p w:rsidR="00E00E06" w:rsidRPr="001D5249" w:rsidRDefault="00E00E06">
      <w:pPr>
        <w:rPr>
          <w:sz w:val="22"/>
          <w:szCs w:val="22"/>
          <w:u w:val="single"/>
        </w:rPr>
      </w:pPr>
      <w:r w:rsidRPr="001D5249">
        <w:rPr>
          <w:sz w:val="22"/>
          <w:szCs w:val="22"/>
          <w:u w:val="single"/>
        </w:rPr>
        <w:t>Neodporúčané kombinácie</w:t>
      </w:r>
    </w:p>
    <w:p w:rsidR="00CF0EC5" w:rsidRPr="001D5249" w:rsidRDefault="00CF0EC5">
      <w:pPr>
        <w:rPr>
          <w:sz w:val="22"/>
          <w:szCs w:val="22"/>
          <w:u w:val="single"/>
        </w:rPr>
      </w:pPr>
    </w:p>
    <w:p w:rsidR="00E00E06" w:rsidRPr="001D5249" w:rsidRDefault="00E00E06">
      <w:pPr>
        <w:rPr>
          <w:i/>
          <w:sz w:val="22"/>
          <w:szCs w:val="22"/>
        </w:rPr>
      </w:pPr>
      <w:r w:rsidRPr="001D5249">
        <w:rPr>
          <w:i/>
          <w:sz w:val="22"/>
          <w:szCs w:val="22"/>
        </w:rPr>
        <w:t>Urikozuriká napr. probenecid, sulfinpyrazón</w:t>
      </w:r>
    </w:p>
    <w:p w:rsidR="00E00E06" w:rsidRPr="001D5249" w:rsidRDefault="00E00E06">
      <w:pPr>
        <w:tabs>
          <w:tab w:val="left" w:pos="0"/>
        </w:tabs>
        <w:rPr>
          <w:i/>
          <w:sz w:val="22"/>
          <w:szCs w:val="22"/>
        </w:rPr>
      </w:pPr>
      <w:r w:rsidRPr="001D5249">
        <w:rPr>
          <w:sz w:val="22"/>
          <w:szCs w:val="22"/>
        </w:rPr>
        <w:t xml:space="preserve">Salicyláty </w:t>
      </w:r>
      <w:r w:rsidR="001E103D" w:rsidRPr="001D5249">
        <w:rPr>
          <w:sz w:val="22"/>
          <w:szCs w:val="22"/>
        </w:rPr>
        <w:t>ma</w:t>
      </w:r>
      <w:r w:rsidRPr="001D5249">
        <w:rPr>
          <w:sz w:val="22"/>
          <w:szCs w:val="22"/>
        </w:rPr>
        <w:t xml:space="preserve">jú </w:t>
      </w:r>
      <w:r w:rsidR="001E103D" w:rsidRPr="001D5249">
        <w:rPr>
          <w:sz w:val="22"/>
          <w:szCs w:val="22"/>
        </w:rPr>
        <w:t xml:space="preserve">opačný </w:t>
      </w:r>
      <w:r w:rsidRPr="001D5249">
        <w:rPr>
          <w:sz w:val="22"/>
          <w:szCs w:val="22"/>
        </w:rPr>
        <w:t>účinok</w:t>
      </w:r>
      <w:r w:rsidR="001E103D" w:rsidRPr="001D5249">
        <w:rPr>
          <w:sz w:val="22"/>
          <w:szCs w:val="22"/>
        </w:rPr>
        <w:t xml:space="preserve"> ako probenecid</w:t>
      </w:r>
      <w:r w:rsidR="00962036" w:rsidRPr="001D5249">
        <w:rPr>
          <w:sz w:val="22"/>
          <w:szCs w:val="22"/>
        </w:rPr>
        <w:t xml:space="preserve"> a sulfinpyrazón</w:t>
      </w:r>
      <w:r w:rsidRPr="001D5249">
        <w:rPr>
          <w:sz w:val="22"/>
          <w:szCs w:val="22"/>
        </w:rPr>
        <w:t>. Tejto kombinácii je potrebné sa vyhnúť.</w:t>
      </w:r>
    </w:p>
    <w:p w:rsidR="00E00E06" w:rsidRPr="001D5249" w:rsidRDefault="00E00E06">
      <w:pPr>
        <w:rPr>
          <w:sz w:val="22"/>
          <w:szCs w:val="22"/>
        </w:rPr>
      </w:pPr>
    </w:p>
    <w:p w:rsidR="00E00E06" w:rsidRPr="001D5249" w:rsidRDefault="00E00E06">
      <w:pPr>
        <w:rPr>
          <w:sz w:val="22"/>
          <w:szCs w:val="22"/>
          <w:u w:val="single"/>
        </w:rPr>
      </w:pPr>
      <w:r w:rsidRPr="001D5249">
        <w:rPr>
          <w:sz w:val="22"/>
          <w:szCs w:val="22"/>
          <w:u w:val="single"/>
        </w:rPr>
        <w:t>Kombinácie vyžadujúce si opatrnosť pri použití alebo zohľadnenie:</w:t>
      </w:r>
    </w:p>
    <w:p w:rsidR="00E00E06" w:rsidRPr="001D5249" w:rsidRDefault="00E00E06">
      <w:pPr>
        <w:rPr>
          <w:i/>
          <w:sz w:val="22"/>
          <w:szCs w:val="22"/>
        </w:rPr>
      </w:pPr>
    </w:p>
    <w:p w:rsidR="00E00E06" w:rsidRPr="001D5249" w:rsidRDefault="00E00E06">
      <w:pPr>
        <w:rPr>
          <w:sz w:val="22"/>
          <w:szCs w:val="22"/>
        </w:rPr>
      </w:pPr>
      <w:r w:rsidRPr="001D5249">
        <w:rPr>
          <w:i/>
          <w:sz w:val="22"/>
          <w:szCs w:val="22"/>
        </w:rPr>
        <w:t xml:space="preserve">Antikoagulanciá a trombolytiká, napr. </w:t>
      </w:r>
      <w:r w:rsidR="00E56B10" w:rsidRPr="001D5249">
        <w:rPr>
          <w:i/>
          <w:sz w:val="22"/>
          <w:szCs w:val="22"/>
        </w:rPr>
        <w:t>k</w:t>
      </w:r>
      <w:r w:rsidRPr="001D5249">
        <w:rPr>
          <w:i/>
          <w:sz w:val="22"/>
          <w:szCs w:val="22"/>
        </w:rPr>
        <w:t>umarín</w:t>
      </w:r>
      <w:r w:rsidR="003C554E" w:rsidRPr="001D5249">
        <w:rPr>
          <w:i/>
          <w:sz w:val="22"/>
          <w:szCs w:val="22"/>
        </w:rPr>
        <w:t>,</w:t>
      </w:r>
      <w:r w:rsidRPr="001D5249">
        <w:rPr>
          <w:i/>
          <w:sz w:val="22"/>
          <w:szCs w:val="22"/>
        </w:rPr>
        <w:t xml:space="preserve"> heparín</w:t>
      </w:r>
      <w:r w:rsidR="003C554E" w:rsidRPr="001D5249">
        <w:rPr>
          <w:i/>
          <w:sz w:val="22"/>
          <w:szCs w:val="22"/>
        </w:rPr>
        <w:t>, warfarín,</w:t>
      </w:r>
      <w:r w:rsidRPr="001D5249">
        <w:rPr>
          <w:i/>
          <w:sz w:val="22"/>
          <w:szCs w:val="22"/>
        </w:rPr>
        <w:t> altepláza.</w:t>
      </w:r>
    </w:p>
    <w:p w:rsidR="00E00E06" w:rsidRPr="001D5249" w:rsidRDefault="00E00E06">
      <w:pPr>
        <w:rPr>
          <w:sz w:val="22"/>
          <w:szCs w:val="22"/>
        </w:rPr>
      </w:pPr>
      <w:r w:rsidRPr="001D5249">
        <w:rPr>
          <w:sz w:val="22"/>
          <w:szCs w:val="22"/>
        </w:rPr>
        <w:t>Zvýšené riziko krvácania vzhľadom na inhibovanú funkciu trombocytov, poškodenie sliznice dvanástnika a vytesnenie perorálnych antikoagulantov z väzbových miest na plazmatické proteíny. Čas krvácania sa musí sledovať (pozri časť 4.4).</w:t>
      </w:r>
    </w:p>
    <w:p w:rsidR="00E00E06" w:rsidRPr="001D5249" w:rsidRDefault="00E00E06">
      <w:pPr>
        <w:rPr>
          <w:sz w:val="22"/>
          <w:szCs w:val="22"/>
        </w:rPr>
      </w:pPr>
      <w:r w:rsidRPr="001D5249">
        <w:rPr>
          <w:sz w:val="22"/>
          <w:szCs w:val="22"/>
        </w:rPr>
        <w:t>Obzvlášť sa liečba kyselinou acetylsalicylovou nesmie začať počas prvých 24 hodín po liečbe alteplázou u pacientov s akútnou cievnou mozgovou príhodou. Neodporúča sa preto súbežná liečba.</w:t>
      </w:r>
    </w:p>
    <w:p w:rsidR="00E00E06" w:rsidRPr="001D5249" w:rsidRDefault="00E00E06">
      <w:pPr>
        <w:rPr>
          <w:sz w:val="22"/>
          <w:szCs w:val="22"/>
        </w:rPr>
      </w:pPr>
    </w:p>
    <w:p w:rsidR="00E00E06" w:rsidRPr="001D5249" w:rsidRDefault="00E00E06">
      <w:pPr>
        <w:rPr>
          <w:i/>
          <w:sz w:val="22"/>
          <w:szCs w:val="22"/>
        </w:rPr>
      </w:pPr>
      <w:r w:rsidRPr="001D5249">
        <w:rPr>
          <w:i/>
          <w:sz w:val="22"/>
          <w:szCs w:val="22"/>
        </w:rPr>
        <w:t>Antitrombotiká (napr. klopidogrel, tiklopidín, cilostazol</w:t>
      </w:r>
      <w:r w:rsidR="00206389" w:rsidRPr="001D5249">
        <w:rPr>
          <w:i/>
          <w:sz w:val="22"/>
          <w:szCs w:val="22"/>
        </w:rPr>
        <w:t xml:space="preserve"> a dipyridamol</w:t>
      </w:r>
      <w:r w:rsidRPr="001D5249">
        <w:rPr>
          <w:i/>
          <w:sz w:val="22"/>
          <w:szCs w:val="22"/>
        </w:rPr>
        <w:t>) a selektívne inhibítory spätného vychytávania s</w:t>
      </w:r>
      <w:r w:rsidR="009157DD" w:rsidRPr="001D5249">
        <w:rPr>
          <w:i/>
          <w:sz w:val="22"/>
          <w:szCs w:val="22"/>
        </w:rPr>
        <w:t>e</w:t>
      </w:r>
      <w:r w:rsidRPr="001D5249">
        <w:rPr>
          <w:i/>
          <w:sz w:val="22"/>
          <w:szCs w:val="22"/>
        </w:rPr>
        <w:t>rotonínu (SSRI, napr. sertralín alebo paroxetín )</w:t>
      </w:r>
    </w:p>
    <w:p w:rsidR="00E00E06" w:rsidRPr="001D5249" w:rsidRDefault="00E00E06">
      <w:pPr>
        <w:rPr>
          <w:sz w:val="22"/>
          <w:szCs w:val="22"/>
        </w:rPr>
      </w:pPr>
      <w:r w:rsidRPr="001D5249">
        <w:rPr>
          <w:sz w:val="22"/>
          <w:szCs w:val="22"/>
        </w:rPr>
        <w:t>Zvýšené riziko gastrointestinálneho krvácania (pozri časť 4.4).</w:t>
      </w:r>
    </w:p>
    <w:p w:rsidR="00E00E06" w:rsidRPr="001D5249" w:rsidRDefault="00E00E06">
      <w:pPr>
        <w:rPr>
          <w:sz w:val="22"/>
          <w:szCs w:val="22"/>
        </w:rPr>
      </w:pPr>
    </w:p>
    <w:p w:rsidR="00E00E06" w:rsidRPr="001D5249" w:rsidRDefault="00E00E06">
      <w:pPr>
        <w:rPr>
          <w:i/>
          <w:sz w:val="22"/>
          <w:szCs w:val="22"/>
        </w:rPr>
      </w:pPr>
      <w:r w:rsidRPr="001D5249">
        <w:rPr>
          <w:i/>
          <w:sz w:val="22"/>
          <w:szCs w:val="22"/>
        </w:rPr>
        <w:t xml:space="preserve">Antidiabetiká napr. </w:t>
      </w:r>
      <w:r w:rsidR="00B41776" w:rsidRPr="001D5249">
        <w:rPr>
          <w:i/>
          <w:sz w:val="22"/>
          <w:szCs w:val="22"/>
        </w:rPr>
        <w:t xml:space="preserve">deriváty </w:t>
      </w:r>
      <w:r w:rsidRPr="001D5249">
        <w:rPr>
          <w:i/>
          <w:sz w:val="22"/>
          <w:szCs w:val="22"/>
        </w:rPr>
        <w:t>sulfonylmočovin</w:t>
      </w:r>
      <w:r w:rsidR="00B41776" w:rsidRPr="001D5249">
        <w:rPr>
          <w:i/>
          <w:sz w:val="22"/>
          <w:szCs w:val="22"/>
        </w:rPr>
        <w:t>y</w:t>
      </w:r>
      <w:r w:rsidRPr="001D5249">
        <w:rPr>
          <w:i/>
          <w:sz w:val="22"/>
          <w:szCs w:val="22"/>
        </w:rPr>
        <w:t xml:space="preserve"> a inzulín</w:t>
      </w:r>
    </w:p>
    <w:p w:rsidR="00E00E06" w:rsidRPr="001D5249" w:rsidRDefault="00E00E06">
      <w:pPr>
        <w:rPr>
          <w:sz w:val="22"/>
          <w:szCs w:val="22"/>
        </w:rPr>
      </w:pPr>
      <w:r w:rsidRPr="001D5249">
        <w:rPr>
          <w:sz w:val="22"/>
          <w:szCs w:val="22"/>
        </w:rPr>
        <w:t>Salicyláty môžu zvyšovať hypoglykemický účinok antidiabetík. Pri použití vysokých dávok salicylátov tak môže byť vhodné isté zníženie dávkovania antidiabetík. Odporúčajú sa zvýšené kontroly hladiny glukózy v krvi.</w:t>
      </w:r>
    </w:p>
    <w:p w:rsidR="00E00E06" w:rsidRPr="001D5249" w:rsidRDefault="00E00E06">
      <w:pPr>
        <w:rPr>
          <w:sz w:val="22"/>
          <w:szCs w:val="22"/>
        </w:rPr>
      </w:pPr>
    </w:p>
    <w:p w:rsidR="00E00E06" w:rsidRPr="001D5249" w:rsidRDefault="00E00E06">
      <w:pPr>
        <w:rPr>
          <w:i/>
          <w:sz w:val="22"/>
          <w:szCs w:val="22"/>
        </w:rPr>
      </w:pPr>
      <w:r w:rsidRPr="001D5249">
        <w:rPr>
          <w:i/>
          <w:sz w:val="22"/>
          <w:szCs w:val="22"/>
        </w:rPr>
        <w:t>Digoxín a lítium</w:t>
      </w:r>
    </w:p>
    <w:p w:rsidR="00E00E06" w:rsidRPr="001D5249" w:rsidRDefault="00E00E06">
      <w:pPr>
        <w:rPr>
          <w:sz w:val="22"/>
          <w:szCs w:val="22"/>
        </w:rPr>
      </w:pPr>
      <w:r w:rsidRPr="001D5249">
        <w:rPr>
          <w:sz w:val="22"/>
          <w:szCs w:val="22"/>
        </w:rPr>
        <w:t>Kyselina acetylsalicylová  poškodzuje vylučovanie digoxínu a lítia obličkami, čoho následkom sú zvýšené plazmatické koncentrácie. Na začiatku a konci liečby kyselinou acetylsalicylovou sa odporúča sledovanie plazmatických koncentrácií digoxínu a lítia. Môže byť potrebná úprava dávky.</w:t>
      </w:r>
    </w:p>
    <w:p w:rsidR="00E00E06" w:rsidRPr="001D5249" w:rsidRDefault="00E00E06">
      <w:pPr>
        <w:rPr>
          <w:sz w:val="22"/>
          <w:szCs w:val="22"/>
        </w:rPr>
      </w:pPr>
    </w:p>
    <w:p w:rsidR="00E00E06" w:rsidRPr="001D5249" w:rsidRDefault="00E00E06">
      <w:pPr>
        <w:rPr>
          <w:i/>
          <w:sz w:val="22"/>
          <w:szCs w:val="22"/>
        </w:rPr>
      </w:pPr>
      <w:r w:rsidRPr="001D5249">
        <w:rPr>
          <w:i/>
          <w:sz w:val="22"/>
          <w:szCs w:val="22"/>
        </w:rPr>
        <w:lastRenderedPageBreak/>
        <w:t xml:space="preserve">Diuretiká a antihypertenzíva </w:t>
      </w:r>
    </w:p>
    <w:p w:rsidR="00E00E06" w:rsidRPr="001D5249" w:rsidRDefault="00E00E06">
      <w:pPr>
        <w:rPr>
          <w:sz w:val="22"/>
          <w:szCs w:val="22"/>
        </w:rPr>
      </w:pPr>
      <w:r w:rsidRPr="001D5249">
        <w:rPr>
          <w:sz w:val="22"/>
          <w:szCs w:val="22"/>
        </w:rPr>
        <w:t>NSAID môžu znížiť antihypertenzný účinok diuretík a iných antihypertenzív. Je potrebné dôsledne monitorovať krvný tlak. Súbežné podávanie ACE inhibítorov, antagonistov receptora pre angiotenzín II a blokátorov kalciového kanála zvyšuje riziko akútneho renálneho zlyhania v kombinácii s</w:t>
      </w:r>
      <w:r w:rsidR="00AC0967" w:rsidRPr="001D5249">
        <w:rPr>
          <w:sz w:val="22"/>
          <w:szCs w:val="22"/>
        </w:rPr>
        <w:t> </w:t>
      </w:r>
      <w:r w:rsidRPr="001D5249">
        <w:rPr>
          <w:sz w:val="22"/>
          <w:szCs w:val="22"/>
        </w:rPr>
        <w:t>vysokými dávkami ASA.</w:t>
      </w:r>
    </w:p>
    <w:p w:rsidR="00E00E06" w:rsidRPr="001D5249" w:rsidRDefault="00B06B8B">
      <w:pPr>
        <w:rPr>
          <w:sz w:val="22"/>
          <w:szCs w:val="22"/>
        </w:rPr>
      </w:pPr>
      <w:r w:rsidRPr="001D5249">
        <w:rPr>
          <w:sz w:val="22"/>
          <w:szCs w:val="22"/>
        </w:rPr>
        <w:t>Kľ</w:t>
      </w:r>
      <w:r w:rsidR="004937A1" w:rsidRPr="001D5249">
        <w:rPr>
          <w:sz w:val="22"/>
          <w:szCs w:val="22"/>
        </w:rPr>
        <w:t>učkové d</w:t>
      </w:r>
      <w:r w:rsidR="00E00E06" w:rsidRPr="001D5249">
        <w:rPr>
          <w:sz w:val="22"/>
          <w:szCs w:val="22"/>
        </w:rPr>
        <w:t>iuretiká: riziko akútneho zlyhania obličiek</w:t>
      </w:r>
      <w:r w:rsidR="007F108F" w:rsidRPr="001D5249">
        <w:rPr>
          <w:sz w:val="22"/>
          <w:szCs w:val="22"/>
        </w:rPr>
        <w:t xml:space="preserve"> spôsobené</w:t>
      </w:r>
      <w:r w:rsidR="00E00E06" w:rsidRPr="001D5249">
        <w:rPr>
          <w:sz w:val="22"/>
          <w:szCs w:val="22"/>
        </w:rPr>
        <w:t xml:space="preserve"> znížen</w:t>
      </w:r>
      <w:r w:rsidR="007F108F" w:rsidRPr="001D5249">
        <w:rPr>
          <w:sz w:val="22"/>
          <w:szCs w:val="22"/>
        </w:rPr>
        <w:t>ou</w:t>
      </w:r>
      <w:r w:rsidR="00E00E06" w:rsidRPr="001D5249">
        <w:rPr>
          <w:sz w:val="22"/>
          <w:szCs w:val="22"/>
        </w:rPr>
        <w:t xml:space="preserve"> glomerulárn</w:t>
      </w:r>
      <w:r w:rsidR="007F108F" w:rsidRPr="001D5249">
        <w:rPr>
          <w:sz w:val="22"/>
          <w:szCs w:val="22"/>
        </w:rPr>
        <w:t>ou</w:t>
      </w:r>
      <w:r w:rsidR="00E00E06" w:rsidRPr="001D5249">
        <w:rPr>
          <w:sz w:val="22"/>
          <w:szCs w:val="22"/>
        </w:rPr>
        <w:t xml:space="preserve"> filtrác</w:t>
      </w:r>
      <w:r w:rsidR="007F108F" w:rsidRPr="001D5249">
        <w:rPr>
          <w:sz w:val="22"/>
          <w:szCs w:val="22"/>
        </w:rPr>
        <w:t>iou</w:t>
      </w:r>
      <w:r w:rsidR="00E00E06" w:rsidRPr="001D5249">
        <w:rPr>
          <w:sz w:val="22"/>
          <w:szCs w:val="22"/>
        </w:rPr>
        <w:t xml:space="preserve"> </w:t>
      </w:r>
      <w:r w:rsidR="000E5D87" w:rsidRPr="001D5249">
        <w:rPr>
          <w:sz w:val="22"/>
          <w:szCs w:val="22"/>
        </w:rPr>
        <w:t>v </w:t>
      </w:r>
      <w:r w:rsidR="007F108F" w:rsidRPr="001D5249">
        <w:rPr>
          <w:sz w:val="22"/>
          <w:szCs w:val="22"/>
        </w:rPr>
        <w:t>dôsledku</w:t>
      </w:r>
      <w:r w:rsidR="00B92215" w:rsidRPr="001D5249">
        <w:rPr>
          <w:sz w:val="22"/>
          <w:szCs w:val="22"/>
        </w:rPr>
        <w:t> </w:t>
      </w:r>
      <w:r w:rsidR="00E00E06" w:rsidRPr="001D5249">
        <w:rPr>
          <w:sz w:val="22"/>
          <w:szCs w:val="22"/>
        </w:rPr>
        <w:t>znížen</w:t>
      </w:r>
      <w:r w:rsidR="007F108F" w:rsidRPr="001D5249">
        <w:rPr>
          <w:sz w:val="22"/>
          <w:szCs w:val="22"/>
        </w:rPr>
        <w:t>ej</w:t>
      </w:r>
      <w:r w:rsidR="00E00E06" w:rsidRPr="001D5249">
        <w:rPr>
          <w:sz w:val="22"/>
          <w:szCs w:val="22"/>
        </w:rPr>
        <w:t xml:space="preserve"> syntéz</w:t>
      </w:r>
      <w:r w:rsidR="007F108F" w:rsidRPr="001D5249">
        <w:rPr>
          <w:sz w:val="22"/>
          <w:szCs w:val="22"/>
        </w:rPr>
        <w:t>y</w:t>
      </w:r>
      <w:r w:rsidR="00E00E06" w:rsidRPr="001D5249">
        <w:rPr>
          <w:sz w:val="22"/>
          <w:szCs w:val="22"/>
        </w:rPr>
        <w:t xml:space="preserve"> </w:t>
      </w:r>
      <w:r w:rsidR="00B92215" w:rsidRPr="001D5249">
        <w:rPr>
          <w:sz w:val="22"/>
          <w:szCs w:val="22"/>
        </w:rPr>
        <w:t xml:space="preserve">renálnych </w:t>
      </w:r>
      <w:r w:rsidR="00E00E06" w:rsidRPr="001D5249">
        <w:rPr>
          <w:sz w:val="22"/>
          <w:szCs w:val="22"/>
        </w:rPr>
        <w:t>prostaglandínov. Na začiatku liečby sa odporúča hydratovanie pacienta a sledovanie renálnej funkcie. V prípade súbežného užívania s verapamilom je potrebné monitorovať aj čas krvácania.</w:t>
      </w:r>
    </w:p>
    <w:p w:rsidR="00E00E06" w:rsidRPr="001D5249" w:rsidRDefault="00E00E06">
      <w:pPr>
        <w:rPr>
          <w:sz w:val="22"/>
          <w:szCs w:val="22"/>
        </w:rPr>
      </w:pPr>
    </w:p>
    <w:p w:rsidR="00E00E06" w:rsidRPr="001D5249" w:rsidRDefault="00110E84">
      <w:pPr>
        <w:rPr>
          <w:i/>
          <w:sz w:val="22"/>
          <w:szCs w:val="22"/>
        </w:rPr>
      </w:pPr>
      <w:hyperlink r:id="rId8" w:history="1">
        <w:r w:rsidR="00E00E06" w:rsidRPr="001D5249">
          <w:rPr>
            <w:rStyle w:val="Hypertextovprepojenie"/>
            <w:i/>
            <w:sz w:val="22"/>
            <w:szCs w:val="22"/>
            <w:u w:val="none"/>
          </w:rPr>
          <w:t>Inhibítory karboanhydrázy</w:t>
        </w:r>
      </w:hyperlink>
      <w:r w:rsidR="00E00E06" w:rsidRPr="001D5249">
        <w:rPr>
          <w:i/>
          <w:sz w:val="22"/>
          <w:szCs w:val="22"/>
        </w:rPr>
        <w:t xml:space="preserve"> (acetazolamid)</w:t>
      </w:r>
    </w:p>
    <w:p w:rsidR="00E00E06" w:rsidRPr="001D5249" w:rsidRDefault="00E00E06">
      <w:pPr>
        <w:rPr>
          <w:sz w:val="22"/>
          <w:szCs w:val="22"/>
        </w:rPr>
      </w:pPr>
      <w:r w:rsidRPr="001D5249">
        <w:rPr>
          <w:sz w:val="22"/>
          <w:szCs w:val="22"/>
        </w:rPr>
        <w:t xml:space="preserve">Môže mať za následok </w:t>
      </w:r>
      <w:r w:rsidR="00832E75" w:rsidRPr="001D5249">
        <w:rPr>
          <w:sz w:val="22"/>
          <w:szCs w:val="22"/>
        </w:rPr>
        <w:t>závažn</w:t>
      </w:r>
      <w:r w:rsidRPr="001D5249">
        <w:rPr>
          <w:sz w:val="22"/>
          <w:szCs w:val="22"/>
        </w:rPr>
        <w:t>ú acidózu a zvýšenú toxicitu centrálneho nervového systému.</w:t>
      </w:r>
    </w:p>
    <w:p w:rsidR="00E00E06" w:rsidRPr="001D5249" w:rsidRDefault="00E00E06">
      <w:pPr>
        <w:rPr>
          <w:sz w:val="22"/>
          <w:szCs w:val="22"/>
        </w:rPr>
      </w:pPr>
    </w:p>
    <w:p w:rsidR="00E00E06" w:rsidRPr="001D5249" w:rsidRDefault="00E00E06">
      <w:pPr>
        <w:rPr>
          <w:i/>
          <w:sz w:val="22"/>
          <w:szCs w:val="22"/>
        </w:rPr>
      </w:pPr>
      <w:r w:rsidRPr="001D5249">
        <w:rPr>
          <w:i/>
          <w:sz w:val="22"/>
          <w:szCs w:val="22"/>
        </w:rPr>
        <w:t>Systémové kortikosteroidy</w:t>
      </w:r>
    </w:p>
    <w:p w:rsidR="00E00E06" w:rsidRPr="001D5249" w:rsidRDefault="00E00E06">
      <w:pPr>
        <w:rPr>
          <w:sz w:val="22"/>
          <w:szCs w:val="22"/>
        </w:rPr>
      </w:pPr>
      <w:r w:rsidRPr="001D5249">
        <w:rPr>
          <w:sz w:val="22"/>
          <w:szCs w:val="22"/>
        </w:rPr>
        <w:t xml:space="preserve">Riziko gastrointestinálnej ulcerácie a krvácania môže byť zvýšené, keď sa kyselina acetylsalicylová podáva súbežne s kortikosteroidmi (pozri časť 4.4). </w:t>
      </w:r>
    </w:p>
    <w:p w:rsidR="00E00E06" w:rsidRPr="001D5249" w:rsidRDefault="00E00E06">
      <w:pPr>
        <w:rPr>
          <w:sz w:val="22"/>
          <w:szCs w:val="22"/>
        </w:rPr>
      </w:pPr>
    </w:p>
    <w:p w:rsidR="00E00E06" w:rsidRPr="001D5249" w:rsidRDefault="00E00E06">
      <w:pPr>
        <w:rPr>
          <w:i/>
          <w:sz w:val="22"/>
          <w:szCs w:val="22"/>
        </w:rPr>
      </w:pPr>
      <w:r w:rsidRPr="001D5249">
        <w:rPr>
          <w:i/>
          <w:sz w:val="22"/>
          <w:szCs w:val="22"/>
        </w:rPr>
        <w:t xml:space="preserve">Metotrexát (užívaný v dávkach &lt; 15 mg/týždeň): </w:t>
      </w:r>
    </w:p>
    <w:p w:rsidR="00E00E06" w:rsidRPr="001D5249" w:rsidRDefault="00E00E06">
      <w:pPr>
        <w:rPr>
          <w:sz w:val="22"/>
          <w:szCs w:val="22"/>
        </w:rPr>
      </w:pPr>
      <w:r w:rsidRPr="001D5249">
        <w:rPr>
          <w:sz w:val="22"/>
          <w:szCs w:val="22"/>
        </w:rPr>
        <w:t xml:space="preserve">Kombinácia liekov metotrexátu a kyseliny acetylsalicylovej môže zvýšiť hematologickú toxicitu metotrexátu vzhľadom na celkovo znížený renálny klírens metotrexátu kyselinou acetylsalicylovou. Počas prvých týždňov liečby kombináciou týchto liekov sa majú vykonávať týždenné vyšetrenia krvného obrazu. V prípade dokonca aj mierne poškodenej renálnej funkcie, ako aj u starších pacientov sa musí vykonávať prísnejšie sledovanie. </w:t>
      </w:r>
    </w:p>
    <w:p w:rsidR="00E00E06" w:rsidRPr="001D5249" w:rsidRDefault="00E00E06">
      <w:pPr>
        <w:rPr>
          <w:i/>
          <w:sz w:val="22"/>
          <w:szCs w:val="22"/>
        </w:rPr>
      </w:pPr>
    </w:p>
    <w:p w:rsidR="00E00E06" w:rsidRPr="001D5249" w:rsidRDefault="00E00E06">
      <w:pPr>
        <w:rPr>
          <w:i/>
          <w:sz w:val="22"/>
          <w:szCs w:val="22"/>
        </w:rPr>
      </w:pPr>
      <w:r w:rsidRPr="001D5249">
        <w:rPr>
          <w:i/>
          <w:sz w:val="22"/>
          <w:szCs w:val="22"/>
        </w:rPr>
        <w:t>Iné NSAID</w:t>
      </w:r>
    </w:p>
    <w:p w:rsidR="00E00E06" w:rsidRPr="001D5249" w:rsidRDefault="00E00E06">
      <w:pPr>
        <w:rPr>
          <w:sz w:val="22"/>
          <w:szCs w:val="22"/>
        </w:rPr>
      </w:pPr>
      <w:r w:rsidRPr="001D5249">
        <w:rPr>
          <w:sz w:val="22"/>
          <w:szCs w:val="22"/>
        </w:rPr>
        <w:t xml:space="preserve">V dôsledku synergických účinkov je zvýšené riziko vzniku vredov a gastrointestinálneho krvácania. </w:t>
      </w:r>
    </w:p>
    <w:p w:rsidR="00E00E06" w:rsidRPr="001D5249" w:rsidRDefault="00E00E06">
      <w:pPr>
        <w:rPr>
          <w:sz w:val="22"/>
          <w:szCs w:val="22"/>
        </w:rPr>
      </w:pPr>
    </w:p>
    <w:p w:rsidR="00E00E06" w:rsidRPr="001D5249" w:rsidRDefault="00E00E06">
      <w:pPr>
        <w:rPr>
          <w:i/>
          <w:sz w:val="22"/>
          <w:szCs w:val="22"/>
        </w:rPr>
      </w:pPr>
      <w:r w:rsidRPr="001D5249">
        <w:rPr>
          <w:i/>
          <w:sz w:val="22"/>
          <w:szCs w:val="22"/>
        </w:rPr>
        <w:t>Ibuprofen</w:t>
      </w:r>
    </w:p>
    <w:p w:rsidR="00E00E06" w:rsidRPr="001D5249" w:rsidRDefault="00E00E06">
      <w:pPr>
        <w:rPr>
          <w:sz w:val="22"/>
          <w:szCs w:val="22"/>
        </w:rPr>
      </w:pPr>
      <w:r w:rsidRPr="001D5249">
        <w:rPr>
          <w:sz w:val="22"/>
          <w:szCs w:val="22"/>
        </w:rPr>
        <w:t xml:space="preserve">Experimentálne údaje naznačujú, že ibuprofen môže inhibovať účinok nízkej dávky kyseliny acetylsalicylovej na agregáciu doštičiek, keď sa podávajú súbežne. Limitácie týchto údajov a neistoty extrapolácie údajov </w:t>
      </w:r>
      <w:r w:rsidRPr="001D5249">
        <w:rPr>
          <w:i/>
          <w:iCs/>
          <w:sz w:val="22"/>
          <w:szCs w:val="22"/>
        </w:rPr>
        <w:t xml:space="preserve">ex vivo </w:t>
      </w:r>
      <w:r w:rsidRPr="001D5249">
        <w:rPr>
          <w:sz w:val="22"/>
          <w:szCs w:val="22"/>
        </w:rPr>
        <w:t xml:space="preserve">na klinickú situáciu však znamenajú, že nemožno urobiť žiadne jednoznačné závery o pravidelnom užívaní ibuprofenu a žiadny klinicky významný účinok sa nepovažuje za pravdepodobný pri príležitostnom použití ibuprofenu (pozri časť 5.1). </w:t>
      </w:r>
    </w:p>
    <w:p w:rsidR="00E00E06" w:rsidRPr="001D5249" w:rsidRDefault="00E00E06">
      <w:pPr>
        <w:rPr>
          <w:sz w:val="22"/>
          <w:szCs w:val="22"/>
        </w:rPr>
      </w:pPr>
    </w:p>
    <w:p w:rsidR="00E00E06" w:rsidRPr="001D5249" w:rsidRDefault="00E00E06">
      <w:pPr>
        <w:rPr>
          <w:i/>
          <w:sz w:val="22"/>
          <w:szCs w:val="22"/>
        </w:rPr>
      </w:pPr>
      <w:r w:rsidRPr="001D5249">
        <w:rPr>
          <w:i/>
          <w:sz w:val="22"/>
          <w:szCs w:val="22"/>
        </w:rPr>
        <w:t>Cyklosporín, takrolimus</w:t>
      </w:r>
    </w:p>
    <w:p w:rsidR="00E00E06" w:rsidRPr="001D5249" w:rsidRDefault="00E00E06">
      <w:pPr>
        <w:rPr>
          <w:sz w:val="22"/>
          <w:szCs w:val="22"/>
        </w:rPr>
      </w:pPr>
      <w:r w:rsidRPr="001D5249">
        <w:rPr>
          <w:sz w:val="22"/>
          <w:szCs w:val="22"/>
        </w:rPr>
        <w:t>Súbežné užívanie NSAID s cyklosporínom alebo takrolimom môže zvýšiť nefrotoxický účinok cyklosporínu a takrolimu. V prípade súbežného užívania týchto látok a kyseliny acetylsalicylovej sa má sledovať renálna funkcia.</w:t>
      </w:r>
    </w:p>
    <w:p w:rsidR="00E00E06" w:rsidRPr="001D5249" w:rsidRDefault="00E00E06">
      <w:pPr>
        <w:rPr>
          <w:sz w:val="22"/>
          <w:szCs w:val="22"/>
        </w:rPr>
      </w:pPr>
    </w:p>
    <w:p w:rsidR="00E00E06" w:rsidRPr="001D5249" w:rsidRDefault="00E00E06">
      <w:pPr>
        <w:rPr>
          <w:sz w:val="22"/>
          <w:szCs w:val="22"/>
        </w:rPr>
      </w:pPr>
      <w:r w:rsidRPr="001D5249">
        <w:rPr>
          <w:i/>
          <w:sz w:val="22"/>
          <w:szCs w:val="22"/>
        </w:rPr>
        <w:t>Valproát</w:t>
      </w:r>
    </w:p>
    <w:p w:rsidR="00E00E06" w:rsidRPr="001D5249" w:rsidRDefault="00E00E06">
      <w:pPr>
        <w:rPr>
          <w:sz w:val="22"/>
          <w:szCs w:val="22"/>
        </w:rPr>
      </w:pPr>
      <w:r w:rsidRPr="001D5249">
        <w:rPr>
          <w:sz w:val="22"/>
          <w:szCs w:val="22"/>
        </w:rPr>
        <w:t xml:space="preserve">Zaznamenalo sa, že kyselina acetylsalicylová znižuje väzbovosť valproátu na sérový albumín, čím zvyšuje jeho voľné plazmatické koncentrácie v rovnovážnom stave. </w:t>
      </w:r>
    </w:p>
    <w:p w:rsidR="00E00E06" w:rsidRPr="001D5249" w:rsidRDefault="00E00E06">
      <w:pPr>
        <w:rPr>
          <w:sz w:val="22"/>
          <w:szCs w:val="22"/>
        </w:rPr>
      </w:pPr>
    </w:p>
    <w:p w:rsidR="00E00E06" w:rsidRPr="001D5249" w:rsidRDefault="00E00E06">
      <w:pPr>
        <w:rPr>
          <w:i/>
          <w:sz w:val="22"/>
          <w:szCs w:val="22"/>
        </w:rPr>
      </w:pPr>
      <w:r w:rsidRPr="001D5249">
        <w:rPr>
          <w:i/>
          <w:sz w:val="22"/>
          <w:szCs w:val="22"/>
        </w:rPr>
        <w:t>Fenytoín</w:t>
      </w:r>
    </w:p>
    <w:p w:rsidR="00E00E06" w:rsidRPr="001D5249" w:rsidRDefault="00E00E06">
      <w:pPr>
        <w:rPr>
          <w:sz w:val="22"/>
          <w:szCs w:val="22"/>
        </w:rPr>
      </w:pPr>
      <w:r w:rsidRPr="001D5249">
        <w:rPr>
          <w:sz w:val="22"/>
          <w:szCs w:val="22"/>
        </w:rPr>
        <w:t>Salicyláty znižujú väzbovosť fenytoínu na plazmatický albumín. Môže to viesť k poklesu celkových hladín fenytoínu v plazme, no k zvýšeniu frakcie voľného fenytoínu. Koncentrácia neviazaného liečiva a tým aj terapeutický účinok sa však nejavia ako významne pozmenené.</w:t>
      </w:r>
    </w:p>
    <w:p w:rsidR="00E00E06" w:rsidRPr="001D5249" w:rsidRDefault="00E00E06">
      <w:pPr>
        <w:rPr>
          <w:sz w:val="22"/>
          <w:szCs w:val="22"/>
        </w:rPr>
      </w:pPr>
    </w:p>
    <w:p w:rsidR="00E00E06" w:rsidRPr="001D5249" w:rsidRDefault="00E00E06">
      <w:pPr>
        <w:rPr>
          <w:i/>
          <w:sz w:val="22"/>
          <w:szCs w:val="22"/>
        </w:rPr>
      </w:pPr>
      <w:r w:rsidRPr="001D5249">
        <w:rPr>
          <w:i/>
          <w:sz w:val="22"/>
          <w:szCs w:val="22"/>
        </w:rPr>
        <w:t>Alkohol</w:t>
      </w:r>
    </w:p>
    <w:p w:rsidR="00E00E06" w:rsidRPr="001D5249" w:rsidRDefault="00E00E06">
      <w:pPr>
        <w:rPr>
          <w:sz w:val="22"/>
          <w:szCs w:val="22"/>
        </w:rPr>
      </w:pPr>
      <w:r w:rsidRPr="001D5249">
        <w:rPr>
          <w:sz w:val="22"/>
          <w:szCs w:val="22"/>
        </w:rPr>
        <w:t xml:space="preserve">Súbežné užívanie alkoholu a kyseliny acetylsalicylovej zvyšuje riziko gastrointestinálneho krvácania. </w:t>
      </w:r>
    </w:p>
    <w:p w:rsidR="00E00E06" w:rsidRPr="001D5249" w:rsidRDefault="00E00E06">
      <w:pPr>
        <w:rPr>
          <w:sz w:val="22"/>
          <w:szCs w:val="22"/>
        </w:rPr>
      </w:pPr>
    </w:p>
    <w:p w:rsidR="00E00E06" w:rsidRPr="001D5249" w:rsidRDefault="00E00E06">
      <w:pPr>
        <w:widowControl w:val="0"/>
        <w:tabs>
          <w:tab w:val="left" w:pos="567"/>
        </w:tabs>
        <w:rPr>
          <w:sz w:val="22"/>
          <w:szCs w:val="22"/>
          <w:lang w:val="en-GB" w:eastAsia="en-US"/>
        </w:rPr>
      </w:pPr>
    </w:p>
    <w:p w:rsidR="00E00E06" w:rsidRPr="001D5249" w:rsidRDefault="00E00E06">
      <w:pPr>
        <w:widowControl w:val="0"/>
        <w:tabs>
          <w:tab w:val="left" w:pos="567"/>
        </w:tabs>
        <w:rPr>
          <w:sz w:val="22"/>
          <w:szCs w:val="22"/>
          <w:lang w:val="en-GB" w:eastAsia="en-US"/>
        </w:rPr>
      </w:pPr>
      <w:r w:rsidRPr="001D5249">
        <w:rPr>
          <w:b/>
          <w:sz w:val="22"/>
          <w:szCs w:val="22"/>
          <w:lang w:val="en-GB" w:eastAsia="en-US"/>
        </w:rPr>
        <w:t>4.6</w:t>
      </w:r>
      <w:r w:rsidRPr="001D5249">
        <w:rPr>
          <w:b/>
          <w:sz w:val="22"/>
          <w:szCs w:val="22"/>
          <w:lang w:val="en-GB" w:eastAsia="en-US"/>
        </w:rPr>
        <w:tab/>
      </w:r>
      <w:r w:rsidRPr="001D5249">
        <w:rPr>
          <w:b/>
          <w:bCs/>
          <w:sz w:val="22"/>
          <w:szCs w:val="22"/>
          <w:lang w:val="en-GB" w:eastAsia="en-US"/>
        </w:rPr>
        <w:t>Fertilita, gravidita a laktácia</w:t>
      </w:r>
    </w:p>
    <w:p w:rsidR="00E00E06" w:rsidRPr="001D5249" w:rsidRDefault="00E00E06">
      <w:pPr>
        <w:widowControl w:val="0"/>
        <w:tabs>
          <w:tab w:val="left" w:pos="567"/>
        </w:tabs>
        <w:rPr>
          <w:b/>
          <w:sz w:val="22"/>
          <w:szCs w:val="22"/>
          <w:lang w:val="en-GB" w:eastAsia="en-US"/>
        </w:rPr>
      </w:pPr>
    </w:p>
    <w:p w:rsidR="00E00E06" w:rsidRPr="001D5249" w:rsidRDefault="00E00E06">
      <w:pPr>
        <w:ind w:left="567" w:hanging="567"/>
        <w:rPr>
          <w:i/>
          <w:sz w:val="22"/>
          <w:szCs w:val="22"/>
        </w:rPr>
      </w:pPr>
      <w:r w:rsidRPr="001D5249">
        <w:rPr>
          <w:bCs/>
          <w:iCs/>
          <w:sz w:val="22"/>
          <w:szCs w:val="22"/>
          <w:u w:val="single"/>
        </w:rPr>
        <w:t>Gravidita</w:t>
      </w:r>
    </w:p>
    <w:p w:rsidR="00E00E06" w:rsidRPr="001D5249" w:rsidRDefault="00E00E06">
      <w:pPr>
        <w:autoSpaceDE w:val="0"/>
        <w:autoSpaceDN w:val="0"/>
        <w:adjustRightInd w:val="0"/>
        <w:jc w:val="both"/>
        <w:rPr>
          <w:i/>
          <w:sz w:val="22"/>
          <w:szCs w:val="22"/>
        </w:rPr>
      </w:pPr>
    </w:p>
    <w:p w:rsidR="00E00E06" w:rsidRPr="001D5249" w:rsidRDefault="00E00E06">
      <w:pPr>
        <w:autoSpaceDE w:val="0"/>
        <w:autoSpaceDN w:val="0"/>
        <w:adjustRightInd w:val="0"/>
        <w:jc w:val="both"/>
        <w:rPr>
          <w:i/>
          <w:sz w:val="22"/>
          <w:szCs w:val="22"/>
        </w:rPr>
      </w:pPr>
      <w:r w:rsidRPr="001D5249">
        <w:rPr>
          <w:i/>
          <w:sz w:val="22"/>
          <w:szCs w:val="22"/>
        </w:rPr>
        <w:t>Nízke dávky (do 100 mg</w:t>
      </w:r>
      <w:r w:rsidR="0053102E" w:rsidRPr="001D5249">
        <w:rPr>
          <w:i/>
          <w:sz w:val="22"/>
          <w:szCs w:val="22"/>
        </w:rPr>
        <w:t>/</w:t>
      </w:r>
      <w:r w:rsidRPr="001D5249">
        <w:rPr>
          <w:i/>
          <w:sz w:val="22"/>
          <w:szCs w:val="22"/>
        </w:rPr>
        <w:t>de</w:t>
      </w:r>
      <w:r w:rsidR="0053102E" w:rsidRPr="001D5249">
        <w:rPr>
          <w:i/>
          <w:sz w:val="22"/>
          <w:szCs w:val="22"/>
        </w:rPr>
        <w:t>ň</w:t>
      </w:r>
      <w:r w:rsidRPr="001D5249">
        <w:rPr>
          <w:i/>
          <w:sz w:val="22"/>
          <w:szCs w:val="22"/>
        </w:rPr>
        <w:t>):</w:t>
      </w:r>
    </w:p>
    <w:p w:rsidR="00E00E06" w:rsidRPr="001D5249" w:rsidRDefault="00E00E06">
      <w:pPr>
        <w:autoSpaceDE w:val="0"/>
        <w:autoSpaceDN w:val="0"/>
        <w:adjustRightInd w:val="0"/>
        <w:rPr>
          <w:i/>
          <w:sz w:val="22"/>
          <w:szCs w:val="22"/>
        </w:rPr>
      </w:pPr>
      <w:r w:rsidRPr="001D5249">
        <w:rPr>
          <w:sz w:val="22"/>
          <w:szCs w:val="22"/>
        </w:rPr>
        <w:lastRenderedPageBreak/>
        <w:t>Klinické štúdie ukazujú, že dávky do 100 mg</w:t>
      </w:r>
      <w:r w:rsidR="0053102E" w:rsidRPr="001D5249">
        <w:rPr>
          <w:sz w:val="22"/>
          <w:szCs w:val="22"/>
        </w:rPr>
        <w:t>/deň</w:t>
      </w:r>
      <w:r w:rsidRPr="001D5249">
        <w:rPr>
          <w:sz w:val="22"/>
          <w:szCs w:val="22"/>
        </w:rPr>
        <w:t xml:space="preserve"> na obmedzené použitie v pôrodníctve, ktoré si vyžadujú špeciálne sledovanie, sa javia ako bezpečné.</w:t>
      </w:r>
    </w:p>
    <w:p w:rsidR="00E00E06" w:rsidRPr="001D5249" w:rsidRDefault="00E00E06">
      <w:pPr>
        <w:autoSpaceDE w:val="0"/>
        <w:autoSpaceDN w:val="0"/>
        <w:adjustRightInd w:val="0"/>
        <w:rPr>
          <w:i/>
          <w:sz w:val="22"/>
          <w:szCs w:val="22"/>
        </w:rPr>
      </w:pPr>
    </w:p>
    <w:p w:rsidR="00E00E06" w:rsidRPr="001D5249" w:rsidRDefault="00E00E06">
      <w:pPr>
        <w:autoSpaceDE w:val="0"/>
        <w:autoSpaceDN w:val="0"/>
        <w:adjustRightInd w:val="0"/>
        <w:jc w:val="both"/>
        <w:rPr>
          <w:i/>
          <w:sz w:val="22"/>
          <w:szCs w:val="22"/>
        </w:rPr>
      </w:pPr>
      <w:r w:rsidRPr="001D5249">
        <w:rPr>
          <w:i/>
          <w:sz w:val="22"/>
          <w:szCs w:val="22"/>
        </w:rPr>
        <w:t>Dávky 100 </w:t>
      </w:r>
      <w:r w:rsidR="003A22EB" w:rsidRPr="001D5249">
        <w:rPr>
          <w:i/>
          <w:sz w:val="22"/>
          <w:szCs w:val="22"/>
        </w:rPr>
        <w:t>–</w:t>
      </w:r>
      <w:r w:rsidRPr="001D5249">
        <w:rPr>
          <w:i/>
          <w:sz w:val="22"/>
          <w:szCs w:val="22"/>
        </w:rPr>
        <w:t> 500 mg</w:t>
      </w:r>
      <w:r w:rsidR="003A22EB" w:rsidRPr="001D5249">
        <w:rPr>
          <w:i/>
          <w:sz w:val="22"/>
          <w:szCs w:val="22"/>
        </w:rPr>
        <w:t>/</w:t>
      </w:r>
      <w:r w:rsidRPr="001D5249">
        <w:rPr>
          <w:i/>
          <w:sz w:val="22"/>
          <w:szCs w:val="22"/>
        </w:rPr>
        <w:t>de</w:t>
      </w:r>
      <w:r w:rsidR="003A22EB" w:rsidRPr="001D5249">
        <w:rPr>
          <w:i/>
          <w:sz w:val="22"/>
          <w:szCs w:val="22"/>
        </w:rPr>
        <w:t>ň</w:t>
      </w:r>
      <w:r w:rsidRPr="001D5249">
        <w:rPr>
          <w:i/>
          <w:sz w:val="22"/>
          <w:szCs w:val="22"/>
        </w:rPr>
        <w:t>:</w:t>
      </w:r>
    </w:p>
    <w:p w:rsidR="00E00E06" w:rsidRPr="001D5249" w:rsidRDefault="00E00E06">
      <w:pPr>
        <w:autoSpaceDE w:val="0"/>
        <w:autoSpaceDN w:val="0"/>
        <w:adjustRightInd w:val="0"/>
        <w:rPr>
          <w:i/>
          <w:sz w:val="22"/>
          <w:szCs w:val="22"/>
        </w:rPr>
      </w:pPr>
      <w:r w:rsidRPr="001D5249">
        <w:rPr>
          <w:sz w:val="22"/>
          <w:szCs w:val="22"/>
        </w:rPr>
        <w:t>S užívaním dávok nad 100 mg</w:t>
      </w:r>
      <w:r w:rsidR="00C13A6F" w:rsidRPr="001D5249">
        <w:rPr>
          <w:sz w:val="22"/>
          <w:szCs w:val="22"/>
        </w:rPr>
        <w:t>/</w:t>
      </w:r>
      <w:r w:rsidRPr="001D5249">
        <w:rPr>
          <w:sz w:val="22"/>
          <w:szCs w:val="22"/>
        </w:rPr>
        <w:t>de</w:t>
      </w:r>
      <w:r w:rsidR="00C13A6F" w:rsidRPr="001D5249">
        <w:rPr>
          <w:sz w:val="22"/>
          <w:szCs w:val="22"/>
        </w:rPr>
        <w:t>ň</w:t>
      </w:r>
      <w:r w:rsidRPr="001D5249">
        <w:rPr>
          <w:sz w:val="22"/>
          <w:szCs w:val="22"/>
        </w:rPr>
        <w:t xml:space="preserve"> do 500 mg</w:t>
      </w:r>
      <w:r w:rsidR="00C13A6F" w:rsidRPr="001D5249">
        <w:rPr>
          <w:sz w:val="22"/>
          <w:szCs w:val="22"/>
        </w:rPr>
        <w:t>/</w:t>
      </w:r>
      <w:r w:rsidRPr="001D5249">
        <w:rPr>
          <w:sz w:val="22"/>
          <w:szCs w:val="22"/>
        </w:rPr>
        <w:t>de</w:t>
      </w:r>
      <w:r w:rsidR="00C13A6F" w:rsidRPr="001D5249">
        <w:rPr>
          <w:sz w:val="22"/>
          <w:szCs w:val="22"/>
        </w:rPr>
        <w:t>ň</w:t>
      </w:r>
      <w:r w:rsidRPr="001D5249">
        <w:rPr>
          <w:sz w:val="22"/>
          <w:szCs w:val="22"/>
        </w:rPr>
        <w:t xml:space="preserve"> nie sú dostatočné klinické skúsenosti. Preto nižšie uvedené odporúčania týkajúce sa dávok 500 mg</w:t>
      </w:r>
      <w:r w:rsidR="00C13A6F" w:rsidRPr="001D5249">
        <w:rPr>
          <w:sz w:val="22"/>
          <w:szCs w:val="22"/>
        </w:rPr>
        <w:t>/</w:t>
      </w:r>
      <w:r w:rsidRPr="001D5249">
        <w:rPr>
          <w:sz w:val="22"/>
          <w:szCs w:val="22"/>
        </w:rPr>
        <w:t>de</w:t>
      </w:r>
      <w:r w:rsidR="00C13A6F" w:rsidRPr="001D5249">
        <w:rPr>
          <w:sz w:val="22"/>
          <w:szCs w:val="22"/>
        </w:rPr>
        <w:t>ň</w:t>
      </w:r>
      <w:r w:rsidRPr="001D5249">
        <w:rPr>
          <w:sz w:val="22"/>
          <w:szCs w:val="22"/>
        </w:rPr>
        <w:t xml:space="preserve"> a vyšších platia i pre toto dávkovacie rozmedzie.</w:t>
      </w:r>
    </w:p>
    <w:p w:rsidR="00E00E06" w:rsidRPr="001D5249" w:rsidRDefault="00E00E06">
      <w:pPr>
        <w:autoSpaceDE w:val="0"/>
        <w:autoSpaceDN w:val="0"/>
        <w:adjustRightInd w:val="0"/>
        <w:rPr>
          <w:i/>
          <w:sz w:val="22"/>
          <w:szCs w:val="22"/>
        </w:rPr>
      </w:pPr>
    </w:p>
    <w:p w:rsidR="00E00E06" w:rsidRPr="001D5249" w:rsidRDefault="00E00E06">
      <w:pPr>
        <w:autoSpaceDE w:val="0"/>
        <w:autoSpaceDN w:val="0"/>
        <w:adjustRightInd w:val="0"/>
        <w:rPr>
          <w:i/>
          <w:sz w:val="22"/>
          <w:szCs w:val="22"/>
        </w:rPr>
      </w:pPr>
      <w:r w:rsidRPr="001D5249">
        <w:rPr>
          <w:i/>
          <w:sz w:val="22"/>
          <w:szCs w:val="22"/>
        </w:rPr>
        <w:t>Dávky 500 mg</w:t>
      </w:r>
      <w:r w:rsidR="00C13A6F" w:rsidRPr="001D5249">
        <w:rPr>
          <w:i/>
          <w:sz w:val="22"/>
          <w:szCs w:val="22"/>
        </w:rPr>
        <w:t>/</w:t>
      </w:r>
      <w:r w:rsidRPr="001D5249">
        <w:rPr>
          <w:i/>
          <w:sz w:val="22"/>
          <w:szCs w:val="22"/>
        </w:rPr>
        <w:t>de</w:t>
      </w:r>
      <w:r w:rsidR="00C13A6F" w:rsidRPr="001D5249">
        <w:rPr>
          <w:i/>
          <w:sz w:val="22"/>
          <w:szCs w:val="22"/>
        </w:rPr>
        <w:t>ň</w:t>
      </w:r>
      <w:r w:rsidRPr="001D5249">
        <w:rPr>
          <w:i/>
          <w:sz w:val="22"/>
          <w:szCs w:val="22"/>
        </w:rPr>
        <w:t xml:space="preserve"> a vyššie:</w:t>
      </w:r>
    </w:p>
    <w:p w:rsidR="00E00E06" w:rsidRPr="001D5249" w:rsidRDefault="00E00E06">
      <w:pPr>
        <w:autoSpaceDE w:val="0"/>
        <w:autoSpaceDN w:val="0"/>
        <w:adjustRightInd w:val="0"/>
        <w:rPr>
          <w:sz w:val="22"/>
          <w:szCs w:val="22"/>
        </w:rPr>
      </w:pPr>
      <w:r w:rsidRPr="001D5249">
        <w:rPr>
          <w:sz w:val="22"/>
          <w:szCs w:val="22"/>
        </w:rPr>
        <w:t xml:space="preserve">Inhibícia syntézy prostaglandínov môže negatívne ovplyvniť graviditu a/alebo embryofetálny vývoj. Údaje z epidemiologických štúdií naznačujú zvýšené riziko potratov a srdcových malformácií a gastroschízy po užití inhibítora syntézy prostaglandínov v skorej fáze gravidity. Absolútne riziko kardiovaskulárnych malformácií bolo zvýšené z menej ako 1 % na približne 1,5 %. Predpokladá sa, že riziko sa zvyšuje s dávkou a dĺžkou liečby. U zvierat sa preukázalo, že </w:t>
      </w:r>
      <w:r w:rsidR="00086AA0" w:rsidRPr="001D5249">
        <w:rPr>
          <w:sz w:val="22"/>
          <w:szCs w:val="22"/>
        </w:rPr>
        <w:t xml:space="preserve">podávanie </w:t>
      </w:r>
      <w:r w:rsidRPr="001D5249">
        <w:rPr>
          <w:sz w:val="22"/>
          <w:szCs w:val="22"/>
        </w:rPr>
        <w:t>inhibítor</w:t>
      </w:r>
      <w:r w:rsidR="00086AA0" w:rsidRPr="001D5249">
        <w:rPr>
          <w:sz w:val="22"/>
          <w:szCs w:val="22"/>
        </w:rPr>
        <w:t>a</w:t>
      </w:r>
      <w:r w:rsidRPr="001D5249">
        <w:rPr>
          <w:sz w:val="22"/>
          <w:szCs w:val="22"/>
        </w:rPr>
        <w:t xml:space="preserve"> syntézy prostaglandínov vedie k zvýšeniu preimplantačných a postimplantačných strát a embryofetálnej letality. U zvierat, ktorým sa podával inhibítor syntézy prostaglandínov počas obdobia organogenézy, bol ďalej popísaný zvýšený výskyt rôznych </w:t>
      </w:r>
      <w:r w:rsidR="000D3F19" w:rsidRPr="001D5249">
        <w:rPr>
          <w:sz w:val="22"/>
          <w:szCs w:val="22"/>
        </w:rPr>
        <w:t>malformácií</w:t>
      </w:r>
      <w:r w:rsidRPr="001D5249">
        <w:rPr>
          <w:sz w:val="22"/>
          <w:szCs w:val="22"/>
        </w:rPr>
        <w:t xml:space="preserve"> vrátane kardiovaskulárnych. V prvom a druhom trimestri gravidity sa kyselina acetylsalicylová nemá podávať, pokiaľ to nie je celkom nutné. Ak kyselinu acetylsalicylovú užíva žena, ktorá sa pokúša otehotnieť alebo v prvom a druhom trimestri gravidity, potom je potrebné užívať čo najnižšiu dávku a liečba má byť čo najkratšia.</w:t>
      </w:r>
    </w:p>
    <w:p w:rsidR="00E00E06" w:rsidRPr="001D5249" w:rsidRDefault="00E00E06">
      <w:pPr>
        <w:autoSpaceDE w:val="0"/>
        <w:autoSpaceDN w:val="0"/>
        <w:adjustRightInd w:val="0"/>
        <w:rPr>
          <w:i/>
          <w:sz w:val="22"/>
          <w:szCs w:val="22"/>
        </w:rPr>
      </w:pPr>
    </w:p>
    <w:p w:rsidR="00E00E06" w:rsidRPr="001D5249" w:rsidRDefault="00E00E06">
      <w:pPr>
        <w:autoSpaceDE w:val="0"/>
        <w:autoSpaceDN w:val="0"/>
        <w:adjustRightInd w:val="0"/>
        <w:rPr>
          <w:sz w:val="22"/>
          <w:szCs w:val="22"/>
        </w:rPr>
      </w:pPr>
      <w:r w:rsidRPr="001D5249">
        <w:rPr>
          <w:sz w:val="22"/>
          <w:szCs w:val="22"/>
        </w:rPr>
        <w:t>V treťom trimestri gravidity môžu všetky inhibítory syntézy prostaglandínov vystaviť plod:</w:t>
      </w:r>
    </w:p>
    <w:p w:rsidR="00E00E06" w:rsidRPr="001D5249" w:rsidRDefault="00E00E06" w:rsidP="00E55E5C">
      <w:pPr>
        <w:pStyle w:val="Odsekzoznamu1"/>
        <w:numPr>
          <w:ilvl w:val="0"/>
          <w:numId w:val="4"/>
        </w:numPr>
        <w:autoSpaceDE w:val="0"/>
        <w:autoSpaceDN w:val="0"/>
        <w:adjustRightInd w:val="0"/>
        <w:ind w:left="426" w:hanging="426"/>
        <w:rPr>
          <w:sz w:val="22"/>
          <w:szCs w:val="22"/>
          <w:lang w:val="sk-SK"/>
        </w:rPr>
      </w:pPr>
      <w:r w:rsidRPr="001D5249">
        <w:rPr>
          <w:sz w:val="22"/>
          <w:szCs w:val="22"/>
          <w:lang w:val="sk-SK"/>
        </w:rPr>
        <w:t>kardiopulmonálnej toxicite (s predčasným uzáverom ductus arteriosus a pľúcnou hypertenziou);</w:t>
      </w:r>
    </w:p>
    <w:p w:rsidR="00E00E06" w:rsidRPr="001D5249" w:rsidRDefault="00E00E06" w:rsidP="00E55E5C">
      <w:pPr>
        <w:pStyle w:val="Odsekzoznamu1"/>
        <w:numPr>
          <w:ilvl w:val="0"/>
          <w:numId w:val="4"/>
        </w:numPr>
        <w:autoSpaceDE w:val="0"/>
        <w:autoSpaceDN w:val="0"/>
        <w:adjustRightInd w:val="0"/>
        <w:ind w:left="426" w:hanging="426"/>
        <w:rPr>
          <w:sz w:val="22"/>
          <w:szCs w:val="22"/>
          <w:lang w:val="sk-SK"/>
        </w:rPr>
      </w:pPr>
      <w:r w:rsidRPr="001D5249">
        <w:rPr>
          <w:sz w:val="22"/>
          <w:szCs w:val="22"/>
          <w:lang w:val="sk-SK"/>
        </w:rPr>
        <w:t>renálnej dysfunkcii, ktorá môže progredovať až k zlyhaniu obličiek s oligohydroamniózou;</w:t>
      </w:r>
    </w:p>
    <w:p w:rsidR="00E00E06" w:rsidRPr="001D5249" w:rsidRDefault="00E00E06" w:rsidP="001D5249">
      <w:pPr>
        <w:pStyle w:val="Default"/>
        <w:rPr>
          <w:color w:val="auto"/>
          <w:sz w:val="22"/>
          <w:szCs w:val="22"/>
          <w:lang w:val="sk-SK"/>
        </w:rPr>
      </w:pPr>
    </w:p>
    <w:p w:rsidR="00E00E06" w:rsidRPr="001D5249" w:rsidRDefault="00E00E06">
      <w:pPr>
        <w:pStyle w:val="Default"/>
        <w:rPr>
          <w:color w:val="auto"/>
          <w:sz w:val="22"/>
          <w:szCs w:val="22"/>
          <w:lang w:val="sk-SK"/>
        </w:rPr>
      </w:pPr>
      <w:r w:rsidRPr="001D5249">
        <w:rPr>
          <w:color w:val="auto"/>
          <w:sz w:val="22"/>
          <w:szCs w:val="22"/>
          <w:lang w:val="sk-SK"/>
        </w:rPr>
        <w:t>matku a novorodenca na konci gravidity:</w:t>
      </w:r>
    </w:p>
    <w:p w:rsidR="00E00E06" w:rsidRPr="001D5249" w:rsidRDefault="00E00E06">
      <w:pPr>
        <w:pStyle w:val="Default"/>
        <w:ind w:left="426" w:hanging="426"/>
        <w:rPr>
          <w:color w:val="auto"/>
          <w:sz w:val="22"/>
          <w:szCs w:val="22"/>
          <w:lang w:val="sk-SK"/>
        </w:rPr>
      </w:pPr>
      <w:r w:rsidRPr="001D5249">
        <w:rPr>
          <w:color w:val="auto"/>
          <w:sz w:val="22"/>
          <w:szCs w:val="22"/>
          <w:lang w:val="sk-SK"/>
        </w:rPr>
        <w:t xml:space="preserve">- </w:t>
      </w:r>
      <w:r w:rsidRPr="001D5249">
        <w:rPr>
          <w:color w:val="auto"/>
          <w:sz w:val="22"/>
          <w:szCs w:val="22"/>
          <w:lang w:val="sk-SK"/>
        </w:rPr>
        <w:tab/>
        <w:t>možnému predĺženiu krvácavosti, antiagregačný účinok sa môže vyskytnúť aj pri veľmi nízkych dávkach;</w:t>
      </w:r>
    </w:p>
    <w:p w:rsidR="00E00E06" w:rsidRPr="001D5249" w:rsidRDefault="00DB7B2A" w:rsidP="00E55E5C">
      <w:pPr>
        <w:pStyle w:val="Odsekzoznamu1"/>
        <w:autoSpaceDE w:val="0"/>
        <w:autoSpaceDN w:val="0"/>
        <w:adjustRightInd w:val="0"/>
        <w:ind w:left="426" w:hanging="426"/>
        <w:rPr>
          <w:sz w:val="22"/>
          <w:szCs w:val="22"/>
          <w:lang w:val="sk-SK"/>
        </w:rPr>
      </w:pPr>
      <w:r w:rsidRPr="001D5249">
        <w:rPr>
          <w:sz w:val="22"/>
          <w:szCs w:val="22"/>
          <w:lang w:val="sk-SK"/>
        </w:rPr>
        <w:t>-</w:t>
      </w:r>
      <w:r w:rsidRPr="001D5249">
        <w:rPr>
          <w:sz w:val="22"/>
          <w:szCs w:val="22"/>
          <w:lang w:val="sk-SK"/>
        </w:rPr>
        <w:tab/>
      </w:r>
      <w:r w:rsidR="00E00E06" w:rsidRPr="001D5249">
        <w:rPr>
          <w:sz w:val="22"/>
          <w:szCs w:val="22"/>
          <w:lang w:val="sk-SK"/>
        </w:rPr>
        <w:t>inhibícii maternicových kontrakcií, ktoré majú za následok oneskorený alebo predĺžený pôrod.</w:t>
      </w:r>
    </w:p>
    <w:p w:rsidR="00E00E06" w:rsidRPr="001D5249" w:rsidRDefault="00E00E06" w:rsidP="001D5249">
      <w:pPr>
        <w:autoSpaceDE w:val="0"/>
        <w:autoSpaceDN w:val="0"/>
        <w:adjustRightInd w:val="0"/>
        <w:rPr>
          <w:sz w:val="22"/>
          <w:szCs w:val="22"/>
        </w:rPr>
      </w:pPr>
    </w:p>
    <w:p w:rsidR="00E00E06" w:rsidRPr="001D5249" w:rsidRDefault="00E00E06" w:rsidP="001D5249">
      <w:pPr>
        <w:autoSpaceDE w:val="0"/>
        <w:autoSpaceDN w:val="0"/>
        <w:adjustRightInd w:val="0"/>
        <w:rPr>
          <w:sz w:val="22"/>
          <w:szCs w:val="22"/>
        </w:rPr>
      </w:pPr>
      <w:r w:rsidRPr="001D5249">
        <w:rPr>
          <w:sz w:val="22"/>
          <w:szCs w:val="22"/>
        </w:rPr>
        <w:t>Z týchto dôvodov je kyselina acetylsalicylová v dávkach 100 mg</w:t>
      </w:r>
      <w:r w:rsidR="00E91821" w:rsidRPr="001D5249">
        <w:rPr>
          <w:sz w:val="22"/>
          <w:szCs w:val="22"/>
        </w:rPr>
        <w:t>/d</w:t>
      </w:r>
      <w:r w:rsidRPr="001D5249">
        <w:rPr>
          <w:sz w:val="22"/>
          <w:szCs w:val="22"/>
        </w:rPr>
        <w:t>e</w:t>
      </w:r>
      <w:r w:rsidR="00E91821" w:rsidRPr="001D5249">
        <w:rPr>
          <w:sz w:val="22"/>
          <w:szCs w:val="22"/>
        </w:rPr>
        <w:t>ň</w:t>
      </w:r>
      <w:r w:rsidRPr="001D5249">
        <w:rPr>
          <w:sz w:val="22"/>
          <w:szCs w:val="22"/>
        </w:rPr>
        <w:t xml:space="preserve"> a vyšších kontraindikovaná v</w:t>
      </w:r>
      <w:r w:rsidR="00E91821" w:rsidRPr="001D5249">
        <w:rPr>
          <w:sz w:val="22"/>
          <w:szCs w:val="22"/>
        </w:rPr>
        <w:t> </w:t>
      </w:r>
      <w:r w:rsidRPr="001D5249">
        <w:rPr>
          <w:sz w:val="22"/>
          <w:szCs w:val="22"/>
        </w:rPr>
        <w:t>treťom trimestri gravidity.</w:t>
      </w:r>
    </w:p>
    <w:p w:rsidR="00E00E06" w:rsidRPr="001D5249" w:rsidRDefault="00E00E06">
      <w:pPr>
        <w:autoSpaceDE w:val="0"/>
        <w:autoSpaceDN w:val="0"/>
        <w:adjustRightInd w:val="0"/>
        <w:rPr>
          <w:i/>
          <w:sz w:val="22"/>
          <w:szCs w:val="22"/>
        </w:rPr>
      </w:pPr>
    </w:p>
    <w:p w:rsidR="00E00E06" w:rsidRPr="001D5249" w:rsidRDefault="00E00E06">
      <w:pPr>
        <w:autoSpaceDE w:val="0"/>
        <w:autoSpaceDN w:val="0"/>
        <w:adjustRightInd w:val="0"/>
        <w:jc w:val="both"/>
        <w:rPr>
          <w:sz w:val="22"/>
          <w:szCs w:val="22"/>
          <w:u w:val="single"/>
        </w:rPr>
      </w:pPr>
      <w:r w:rsidRPr="001D5249">
        <w:rPr>
          <w:sz w:val="22"/>
          <w:szCs w:val="22"/>
          <w:u w:val="single"/>
        </w:rPr>
        <w:t>Dojčenie</w:t>
      </w:r>
    </w:p>
    <w:p w:rsidR="00E00E06" w:rsidRPr="001D5249" w:rsidRDefault="00E00E06">
      <w:pPr>
        <w:autoSpaceDE w:val="0"/>
        <w:autoSpaceDN w:val="0"/>
        <w:adjustRightInd w:val="0"/>
        <w:rPr>
          <w:i/>
          <w:sz w:val="22"/>
          <w:szCs w:val="22"/>
        </w:rPr>
      </w:pPr>
      <w:r w:rsidRPr="001D5249">
        <w:rPr>
          <w:sz w:val="22"/>
          <w:szCs w:val="22"/>
          <w:lang w:val="sk-SK"/>
        </w:rPr>
        <w:t>Salicyláty a ich metabolity sa v mal</w:t>
      </w:r>
      <w:r w:rsidR="009A335C" w:rsidRPr="001D5249">
        <w:rPr>
          <w:sz w:val="22"/>
          <w:szCs w:val="22"/>
          <w:lang w:val="sk-SK"/>
        </w:rPr>
        <w:t>ých</w:t>
      </w:r>
      <w:r w:rsidRPr="001D5249">
        <w:rPr>
          <w:sz w:val="22"/>
          <w:szCs w:val="22"/>
          <w:lang w:val="sk-SK"/>
        </w:rPr>
        <w:t xml:space="preserve"> množstv</w:t>
      </w:r>
      <w:r w:rsidR="009A335C" w:rsidRPr="001D5249">
        <w:rPr>
          <w:sz w:val="22"/>
          <w:szCs w:val="22"/>
          <w:lang w:val="sk-SK"/>
        </w:rPr>
        <w:t>ách</w:t>
      </w:r>
      <w:r w:rsidRPr="001D5249">
        <w:rPr>
          <w:sz w:val="22"/>
          <w:szCs w:val="22"/>
          <w:lang w:val="sk-SK"/>
        </w:rPr>
        <w:t xml:space="preserve"> vylučujú do </w:t>
      </w:r>
      <w:r w:rsidR="00C74FD1" w:rsidRPr="001D5249">
        <w:rPr>
          <w:sz w:val="22"/>
          <w:szCs w:val="22"/>
          <w:lang w:val="sk-SK"/>
        </w:rPr>
        <w:t>mater</w:t>
      </w:r>
      <w:r w:rsidRPr="001D5249">
        <w:rPr>
          <w:sz w:val="22"/>
          <w:szCs w:val="22"/>
          <w:lang w:val="sk-SK"/>
        </w:rPr>
        <w:t>ského mlieka. Keďže sa dosiaľ nepreukázali žiadne nežiaduce účinky na novorodenca, nie je nutné po krátkodobom použití odporúčanej dávky prerušiť dojčenie. V prípadoch dlhodobého užívania a/alebo podan</w:t>
      </w:r>
      <w:r w:rsidR="00AA719D" w:rsidRPr="001D5249">
        <w:rPr>
          <w:sz w:val="22"/>
          <w:szCs w:val="22"/>
          <w:lang w:val="sk-SK"/>
        </w:rPr>
        <w:t>ia</w:t>
      </w:r>
      <w:r w:rsidRPr="001D5249">
        <w:rPr>
          <w:sz w:val="22"/>
          <w:szCs w:val="22"/>
          <w:lang w:val="sk-SK"/>
        </w:rPr>
        <w:t xml:space="preserve"> vysokých dávok sa má dojčenie prerušiť.</w:t>
      </w:r>
    </w:p>
    <w:p w:rsidR="00E00E06" w:rsidRPr="001D5249" w:rsidRDefault="00E00E06">
      <w:pPr>
        <w:widowControl w:val="0"/>
        <w:tabs>
          <w:tab w:val="left" w:pos="567"/>
        </w:tabs>
        <w:rPr>
          <w:b/>
          <w:sz w:val="22"/>
          <w:szCs w:val="22"/>
          <w:lang w:val="en-GB" w:eastAsia="en-US"/>
        </w:rPr>
      </w:pPr>
    </w:p>
    <w:p w:rsidR="00E00E06" w:rsidRPr="001D5249" w:rsidRDefault="00E00E06">
      <w:pPr>
        <w:widowControl w:val="0"/>
        <w:tabs>
          <w:tab w:val="left" w:pos="567"/>
        </w:tabs>
        <w:rPr>
          <w:sz w:val="22"/>
          <w:szCs w:val="22"/>
          <w:lang w:val="en-GB" w:eastAsia="en-US"/>
        </w:rPr>
      </w:pPr>
      <w:r w:rsidRPr="001D5249">
        <w:rPr>
          <w:b/>
          <w:sz w:val="22"/>
          <w:szCs w:val="22"/>
          <w:lang w:val="en-GB" w:eastAsia="en-US"/>
        </w:rPr>
        <w:t>4.7</w:t>
      </w:r>
      <w:r w:rsidRPr="001D5249">
        <w:rPr>
          <w:b/>
          <w:sz w:val="22"/>
          <w:szCs w:val="22"/>
          <w:lang w:val="en-GB" w:eastAsia="en-US"/>
        </w:rPr>
        <w:tab/>
      </w:r>
      <w:r w:rsidRPr="001D5249">
        <w:rPr>
          <w:b/>
          <w:sz w:val="22"/>
          <w:szCs w:val="22"/>
        </w:rPr>
        <w:t>Ovplyvnenie schopnosti viesť vozidlá a obsluhovať stroje</w:t>
      </w:r>
    </w:p>
    <w:p w:rsidR="00E00E06" w:rsidRPr="001D5249" w:rsidRDefault="00E00E06">
      <w:pPr>
        <w:widowControl w:val="0"/>
        <w:tabs>
          <w:tab w:val="left" w:pos="567"/>
        </w:tabs>
        <w:rPr>
          <w:sz w:val="22"/>
          <w:szCs w:val="22"/>
          <w:lang w:val="en-GB" w:eastAsia="en-US"/>
        </w:rPr>
      </w:pPr>
    </w:p>
    <w:p w:rsidR="00E00E06" w:rsidRPr="001D5249" w:rsidRDefault="00E00E06">
      <w:pPr>
        <w:rPr>
          <w:sz w:val="22"/>
          <w:szCs w:val="22"/>
        </w:rPr>
      </w:pPr>
      <w:r w:rsidRPr="001D5249">
        <w:rPr>
          <w:sz w:val="22"/>
          <w:szCs w:val="22"/>
        </w:rPr>
        <w:t xml:space="preserve">S Abreou sa neuskutočnili žiadne štúdie o účinkoch na schopnosť viesť vozidlá a obsluhovať stroje. </w:t>
      </w:r>
    </w:p>
    <w:p w:rsidR="00E00E06" w:rsidRPr="001D5249" w:rsidRDefault="00E00E06">
      <w:pPr>
        <w:rPr>
          <w:sz w:val="22"/>
          <w:szCs w:val="22"/>
        </w:rPr>
      </w:pPr>
      <w:r w:rsidRPr="001D5249">
        <w:rPr>
          <w:sz w:val="22"/>
          <w:szCs w:val="22"/>
        </w:rPr>
        <w:t>Na základe farmakodynamických vlastností a nežiaducich účinkov kyseliny acetylsalicylovej sa neočakáva žiadny vplyv na reaktivitu a schopnosť viesť vozidlá alebo obsluhovať stroje.</w:t>
      </w:r>
    </w:p>
    <w:p w:rsidR="00E00E06" w:rsidRPr="001D5249" w:rsidRDefault="00E00E06">
      <w:pPr>
        <w:widowControl w:val="0"/>
        <w:rPr>
          <w:sz w:val="22"/>
          <w:szCs w:val="22"/>
          <w:lang w:val="en-GB" w:eastAsia="en-US"/>
        </w:rPr>
      </w:pPr>
    </w:p>
    <w:p w:rsidR="00E00E06" w:rsidRPr="001D5249" w:rsidRDefault="00E00E06">
      <w:pPr>
        <w:widowControl w:val="0"/>
        <w:tabs>
          <w:tab w:val="left" w:pos="567"/>
        </w:tabs>
        <w:rPr>
          <w:b/>
          <w:bCs/>
          <w:sz w:val="22"/>
          <w:szCs w:val="22"/>
          <w:lang w:val="en-GB" w:eastAsia="en-US"/>
        </w:rPr>
      </w:pPr>
      <w:r w:rsidRPr="001D5249">
        <w:rPr>
          <w:b/>
          <w:bCs/>
          <w:sz w:val="22"/>
          <w:szCs w:val="22"/>
          <w:lang w:val="en-GB" w:eastAsia="en-US"/>
        </w:rPr>
        <w:t>4.8</w:t>
      </w:r>
      <w:r w:rsidRPr="001D5249">
        <w:rPr>
          <w:b/>
          <w:bCs/>
          <w:sz w:val="22"/>
          <w:szCs w:val="22"/>
          <w:lang w:val="en-GB" w:eastAsia="en-US"/>
        </w:rPr>
        <w:tab/>
      </w:r>
      <w:r w:rsidRPr="001D5249">
        <w:rPr>
          <w:b/>
          <w:sz w:val="22"/>
          <w:szCs w:val="22"/>
        </w:rPr>
        <w:t>Nežiaduce účinky</w:t>
      </w:r>
    </w:p>
    <w:p w:rsidR="00E00E06" w:rsidRPr="001D5249" w:rsidRDefault="00E00E06">
      <w:pPr>
        <w:widowControl w:val="0"/>
        <w:tabs>
          <w:tab w:val="left" w:pos="567"/>
        </w:tabs>
        <w:rPr>
          <w:sz w:val="22"/>
          <w:szCs w:val="22"/>
          <w:lang w:val="en-GB" w:eastAsia="en-US"/>
        </w:rPr>
      </w:pPr>
    </w:p>
    <w:p w:rsidR="00E00E06" w:rsidRPr="001D5249" w:rsidRDefault="007D546B" w:rsidP="00E55E5C">
      <w:pPr>
        <w:widowControl w:val="0"/>
        <w:numPr>
          <w:ilvl w:val="0"/>
          <w:numId w:val="1"/>
        </w:numPr>
        <w:rPr>
          <w:sz w:val="22"/>
          <w:szCs w:val="22"/>
          <w:lang w:val="en-GB" w:eastAsia="en-US"/>
        </w:rPr>
      </w:pPr>
      <w:r w:rsidRPr="001D5249">
        <w:rPr>
          <w:noProof/>
          <w:sz w:val="22"/>
          <w:szCs w:val="22"/>
          <w:lang w:val="en-GB"/>
        </w:rPr>
        <w:t>v</w:t>
      </w:r>
      <w:r w:rsidR="00E00E06" w:rsidRPr="001D5249">
        <w:rPr>
          <w:noProof/>
          <w:sz w:val="22"/>
          <w:szCs w:val="22"/>
          <w:lang w:val="en-GB"/>
        </w:rPr>
        <w:t>eľmi časté (</w:t>
      </w:r>
      <w:r w:rsidR="00E00E06" w:rsidRPr="001D5249">
        <w:rPr>
          <w:noProof/>
          <w:sz w:val="22"/>
          <w:szCs w:val="22"/>
          <w:lang w:val="en-GB"/>
        </w:rPr>
        <w:sym w:font="Symbol" w:char="F0B3"/>
      </w:r>
      <w:r w:rsidR="00E00E06" w:rsidRPr="001D5249">
        <w:rPr>
          <w:noProof/>
          <w:sz w:val="22"/>
          <w:szCs w:val="22"/>
          <w:lang w:val="en-GB"/>
        </w:rPr>
        <w:t xml:space="preserve"> 1/10)</w:t>
      </w:r>
    </w:p>
    <w:p w:rsidR="00E00E06" w:rsidRPr="001D5249" w:rsidRDefault="00E00E06" w:rsidP="00E55E5C">
      <w:pPr>
        <w:widowControl w:val="0"/>
        <w:numPr>
          <w:ilvl w:val="0"/>
          <w:numId w:val="1"/>
        </w:numPr>
        <w:rPr>
          <w:noProof/>
          <w:sz w:val="22"/>
          <w:szCs w:val="22"/>
          <w:lang w:val="en-GB"/>
        </w:rPr>
      </w:pPr>
      <w:r w:rsidRPr="001D5249">
        <w:rPr>
          <w:noProof/>
          <w:sz w:val="22"/>
          <w:szCs w:val="22"/>
          <w:lang w:val="en-GB"/>
        </w:rPr>
        <w:t>časté (</w:t>
      </w:r>
      <w:r w:rsidRPr="001D5249">
        <w:rPr>
          <w:noProof/>
          <w:sz w:val="22"/>
          <w:szCs w:val="22"/>
          <w:lang w:val="en-GB"/>
        </w:rPr>
        <w:sym w:font="Symbol" w:char="F0B3"/>
      </w:r>
      <w:r w:rsidRPr="001D5249">
        <w:rPr>
          <w:noProof/>
          <w:sz w:val="22"/>
          <w:szCs w:val="22"/>
          <w:lang w:val="en-GB"/>
        </w:rPr>
        <w:t xml:space="preserve"> 1/100 </w:t>
      </w:r>
      <w:r w:rsidR="007D546B" w:rsidRPr="001D5249">
        <w:rPr>
          <w:noProof/>
          <w:sz w:val="22"/>
          <w:szCs w:val="22"/>
          <w:lang w:val="en-GB"/>
        </w:rPr>
        <w:t>až</w:t>
      </w:r>
      <w:r w:rsidRPr="001D5249">
        <w:rPr>
          <w:noProof/>
          <w:sz w:val="22"/>
          <w:szCs w:val="22"/>
          <w:lang w:val="en-GB"/>
        </w:rPr>
        <w:t xml:space="preserve"> &lt; 1/10)</w:t>
      </w:r>
    </w:p>
    <w:p w:rsidR="00E00E06" w:rsidRPr="001D5249" w:rsidRDefault="00E00E06" w:rsidP="00E55E5C">
      <w:pPr>
        <w:widowControl w:val="0"/>
        <w:numPr>
          <w:ilvl w:val="0"/>
          <w:numId w:val="1"/>
        </w:numPr>
        <w:rPr>
          <w:noProof/>
          <w:sz w:val="22"/>
          <w:szCs w:val="22"/>
          <w:lang w:val="en-GB"/>
        </w:rPr>
      </w:pPr>
      <w:r w:rsidRPr="001D5249">
        <w:rPr>
          <w:noProof/>
          <w:sz w:val="22"/>
          <w:szCs w:val="22"/>
          <w:lang w:val="en-GB"/>
        </w:rPr>
        <w:t>menej časté (</w:t>
      </w:r>
      <w:r w:rsidRPr="001D5249">
        <w:rPr>
          <w:noProof/>
          <w:sz w:val="22"/>
          <w:szCs w:val="22"/>
          <w:lang w:val="en-GB"/>
        </w:rPr>
        <w:sym w:font="Symbol" w:char="F0B3"/>
      </w:r>
      <w:r w:rsidRPr="001D5249">
        <w:rPr>
          <w:noProof/>
          <w:sz w:val="22"/>
          <w:szCs w:val="22"/>
          <w:lang w:val="en-GB"/>
        </w:rPr>
        <w:t xml:space="preserve"> 1/1</w:t>
      </w:r>
      <w:r w:rsidR="007D546B" w:rsidRPr="001D5249">
        <w:rPr>
          <w:noProof/>
          <w:sz w:val="22"/>
          <w:szCs w:val="22"/>
          <w:lang w:val="en-GB"/>
        </w:rPr>
        <w:t> </w:t>
      </w:r>
      <w:r w:rsidRPr="001D5249">
        <w:rPr>
          <w:noProof/>
          <w:sz w:val="22"/>
          <w:szCs w:val="22"/>
          <w:lang w:val="en-GB"/>
        </w:rPr>
        <w:t xml:space="preserve">000 </w:t>
      </w:r>
      <w:r w:rsidR="007D546B" w:rsidRPr="001D5249">
        <w:rPr>
          <w:noProof/>
          <w:sz w:val="22"/>
          <w:szCs w:val="22"/>
          <w:lang w:val="en-GB"/>
        </w:rPr>
        <w:t>až</w:t>
      </w:r>
      <w:r w:rsidRPr="001D5249">
        <w:rPr>
          <w:noProof/>
          <w:sz w:val="22"/>
          <w:szCs w:val="22"/>
          <w:lang w:val="en-GB"/>
        </w:rPr>
        <w:t xml:space="preserve"> &lt; 1/100)</w:t>
      </w:r>
    </w:p>
    <w:p w:rsidR="00E00E06" w:rsidRPr="001D5249" w:rsidRDefault="00E00E06" w:rsidP="00E55E5C">
      <w:pPr>
        <w:widowControl w:val="0"/>
        <w:numPr>
          <w:ilvl w:val="0"/>
          <w:numId w:val="1"/>
        </w:numPr>
        <w:rPr>
          <w:noProof/>
          <w:sz w:val="22"/>
          <w:szCs w:val="22"/>
          <w:lang w:val="en-GB"/>
        </w:rPr>
      </w:pPr>
      <w:r w:rsidRPr="001D5249">
        <w:rPr>
          <w:noProof/>
          <w:sz w:val="22"/>
          <w:szCs w:val="22"/>
          <w:lang w:val="en-GB"/>
        </w:rPr>
        <w:t>zriedkavé (</w:t>
      </w:r>
      <w:r w:rsidRPr="001D5249">
        <w:rPr>
          <w:noProof/>
          <w:sz w:val="22"/>
          <w:szCs w:val="22"/>
          <w:lang w:val="en-GB"/>
        </w:rPr>
        <w:sym w:font="Symbol" w:char="F0B3"/>
      </w:r>
      <w:r w:rsidRPr="001D5249">
        <w:rPr>
          <w:noProof/>
          <w:sz w:val="22"/>
          <w:szCs w:val="22"/>
          <w:lang w:val="en-GB"/>
        </w:rPr>
        <w:t xml:space="preserve"> 1/10</w:t>
      </w:r>
      <w:r w:rsidR="007D546B" w:rsidRPr="001D5249">
        <w:rPr>
          <w:noProof/>
          <w:sz w:val="22"/>
          <w:szCs w:val="22"/>
          <w:lang w:val="en-GB"/>
        </w:rPr>
        <w:t> </w:t>
      </w:r>
      <w:r w:rsidRPr="001D5249">
        <w:rPr>
          <w:noProof/>
          <w:sz w:val="22"/>
          <w:szCs w:val="22"/>
          <w:lang w:val="en-GB"/>
        </w:rPr>
        <w:t xml:space="preserve">000 </w:t>
      </w:r>
      <w:r w:rsidR="007D546B" w:rsidRPr="001D5249">
        <w:rPr>
          <w:noProof/>
          <w:sz w:val="22"/>
          <w:szCs w:val="22"/>
          <w:lang w:val="en-GB"/>
        </w:rPr>
        <w:t>až</w:t>
      </w:r>
      <w:r w:rsidRPr="001D5249">
        <w:rPr>
          <w:noProof/>
          <w:sz w:val="22"/>
          <w:szCs w:val="22"/>
          <w:lang w:val="en-GB"/>
        </w:rPr>
        <w:t xml:space="preserve"> &lt; 1/1</w:t>
      </w:r>
      <w:r w:rsidR="007D546B" w:rsidRPr="001D5249">
        <w:rPr>
          <w:noProof/>
          <w:sz w:val="22"/>
          <w:szCs w:val="22"/>
          <w:lang w:val="en-GB"/>
        </w:rPr>
        <w:t> </w:t>
      </w:r>
      <w:r w:rsidRPr="001D5249">
        <w:rPr>
          <w:noProof/>
          <w:sz w:val="22"/>
          <w:szCs w:val="22"/>
          <w:lang w:val="en-GB"/>
        </w:rPr>
        <w:t>000)</w:t>
      </w:r>
    </w:p>
    <w:p w:rsidR="00E00E06" w:rsidRPr="001D5249" w:rsidRDefault="007D546B" w:rsidP="00E55E5C">
      <w:pPr>
        <w:widowControl w:val="0"/>
        <w:numPr>
          <w:ilvl w:val="0"/>
          <w:numId w:val="1"/>
        </w:numPr>
        <w:rPr>
          <w:noProof/>
          <w:sz w:val="22"/>
          <w:szCs w:val="22"/>
          <w:lang w:val="en-GB"/>
        </w:rPr>
      </w:pPr>
      <w:r w:rsidRPr="001D5249">
        <w:rPr>
          <w:noProof/>
          <w:sz w:val="22"/>
          <w:szCs w:val="22"/>
          <w:lang w:val="en-GB"/>
        </w:rPr>
        <w:t>v</w:t>
      </w:r>
      <w:r w:rsidR="00E00E06" w:rsidRPr="001D5249">
        <w:rPr>
          <w:noProof/>
          <w:sz w:val="22"/>
          <w:szCs w:val="22"/>
          <w:lang w:val="en-GB"/>
        </w:rPr>
        <w:t>eľmi zriedkavé (&lt; 1/10</w:t>
      </w:r>
      <w:r w:rsidRPr="001D5249">
        <w:rPr>
          <w:noProof/>
          <w:sz w:val="22"/>
          <w:szCs w:val="22"/>
          <w:lang w:val="en-GB"/>
        </w:rPr>
        <w:t> </w:t>
      </w:r>
      <w:r w:rsidR="00E00E06" w:rsidRPr="001D5249">
        <w:rPr>
          <w:noProof/>
          <w:sz w:val="22"/>
          <w:szCs w:val="22"/>
          <w:lang w:val="en-GB"/>
        </w:rPr>
        <w:t>000)</w:t>
      </w:r>
    </w:p>
    <w:p w:rsidR="00E00E06" w:rsidRPr="001D5249" w:rsidRDefault="007D546B" w:rsidP="00E55E5C">
      <w:pPr>
        <w:widowControl w:val="0"/>
        <w:numPr>
          <w:ilvl w:val="0"/>
          <w:numId w:val="1"/>
        </w:numPr>
        <w:rPr>
          <w:noProof/>
          <w:sz w:val="22"/>
          <w:szCs w:val="22"/>
          <w:lang w:val="en-GB"/>
        </w:rPr>
      </w:pPr>
      <w:r w:rsidRPr="001D5249">
        <w:rPr>
          <w:noProof/>
          <w:sz w:val="22"/>
          <w:szCs w:val="22"/>
          <w:lang w:val="en-GB"/>
        </w:rPr>
        <w:t>n</w:t>
      </w:r>
      <w:r w:rsidR="00E00E06" w:rsidRPr="001D5249">
        <w:rPr>
          <w:noProof/>
          <w:sz w:val="22"/>
          <w:szCs w:val="22"/>
          <w:lang w:val="en-GB"/>
        </w:rPr>
        <w:t>eznáme (nie je možné stanoviť z dostupných údajov)</w:t>
      </w:r>
    </w:p>
    <w:p w:rsidR="00E00E06" w:rsidRPr="001D5249" w:rsidRDefault="00E00E06" w:rsidP="001D5249">
      <w:pPr>
        <w:widowControl w:val="0"/>
        <w:tabs>
          <w:tab w:val="left" w:pos="567"/>
        </w:tabs>
        <w:rPr>
          <w:sz w:val="22"/>
          <w:szCs w:val="22"/>
          <w:lang w:val="en-GB"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8"/>
        <w:gridCol w:w="1444"/>
        <w:gridCol w:w="1520"/>
        <w:gridCol w:w="2359"/>
        <w:gridCol w:w="1975"/>
      </w:tblGrid>
      <w:tr w:rsidR="00E00E06" w:rsidRPr="001D5249" w:rsidTr="00DE4B4E">
        <w:tc>
          <w:tcPr>
            <w:tcW w:w="1055" w:type="pct"/>
          </w:tcPr>
          <w:p w:rsidR="00E00E06" w:rsidRPr="001D5249" w:rsidRDefault="00E00E06">
            <w:pPr>
              <w:widowControl w:val="0"/>
              <w:tabs>
                <w:tab w:val="left" w:pos="567"/>
              </w:tabs>
              <w:rPr>
                <w:sz w:val="22"/>
                <w:szCs w:val="22"/>
                <w:lang w:val="en-GB" w:eastAsia="en-US"/>
              </w:rPr>
            </w:pPr>
          </w:p>
        </w:tc>
        <w:tc>
          <w:tcPr>
            <w:tcW w:w="782" w:type="pct"/>
          </w:tcPr>
          <w:p w:rsidR="00E00E06" w:rsidRPr="001D5249" w:rsidRDefault="007D546B">
            <w:pPr>
              <w:widowControl w:val="0"/>
              <w:tabs>
                <w:tab w:val="left" w:pos="567"/>
              </w:tabs>
              <w:jc w:val="center"/>
              <w:rPr>
                <w:sz w:val="22"/>
                <w:szCs w:val="22"/>
                <w:lang w:val="en-GB" w:eastAsia="en-US"/>
              </w:rPr>
            </w:pPr>
            <w:r w:rsidRPr="001D5249">
              <w:rPr>
                <w:noProof/>
                <w:sz w:val="22"/>
                <w:szCs w:val="22"/>
                <w:lang w:val="en-GB" w:eastAsia="en-US"/>
              </w:rPr>
              <w:t>Č</w:t>
            </w:r>
            <w:r w:rsidR="00E00E06" w:rsidRPr="001D5249">
              <w:rPr>
                <w:noProof/>
                <w:sz w:val="22"/>
                <w:szCs w:val="22"/>
                <w:lang w:val="en-GB" w:eastAsia="en-US"/>
              </w:rPr>
              <w:t>asté</w:t>
            </w:r>
          </w:p>
        </w:tc>
        <w:tc>
          <w:tcPr>
            <w:tcW w:w="822" w:type="pct"/>
          </w:tcPr>
          <w:p w:rsidR="00E00E06" w:rsidRPr="001D5249" w:rsidRDefault="00E00E06">
            <w:pPr>
              <w:widowControl w:val="0"/>
              <w:tabs>
                <w:tab w:val="left" w:pos="567"/>
              </w:tabs>
              <w:jc w:val="center"/>
              <w:rPr>
                <w:sz w:val="22"/>
                <w:szCs w:val="22"/>
                <w:lang w:val="en-GB" w:eastAsia="en-US"/>
              </w:rPr>
            </w:pPr>
            <w:r w:rsidRPr="001D5249">
              <w:rPr>
                <w:noProof/>
                <w:sz w:val="22"/>
                <w:szCs w:val="22"/>
                <w:lang w:val="en-GB" w:eastAsia="en-US"/>
              </w:rPr>
              <w:t>Menej časté</w:t>
            </w:r>
          </w:p>
        </w:tc>
        <w:tc>
          <w:tcPr>
            <w:tcW w:w="1274" w:type="pct"/>
          </w:tcPr>
          <w:p w:rsidR="00E00E06" w:rsidRPr="001D5249" w:rsidRDefault="007D546B">
            <w:pPr>
              <w:widowControl w:val="0"/>
              <w:tabs>
                <w:tab w:val="left" w:pos="567"/>
              </w:tabs>
              <w:jc w:val="center"/>
              <w:rPr>
                <w:sz w:val="22"/>
                <w:szCs w:val="22"/>
                <w:lang w:val="en-GB" w:eastAsia="en-US"/>
              </w:rPr>
            </w:pPr>
            <w:r w:rsidRPr="001D5249">
              <w:rPr>
                <w:noProof/>
                <w:sz w:val="22"/>
                <w:szCs w:val="22"/>
                <w:lang w:val="en-GB" w:eastAsia="en-US"/>
              </w:rPr>
              <w:t>Z</w:t>
            </w:r>
            <w:r w:rsidR="00E00E06" w:rsidRPr="001D5249">
              <w:rPr>
                <w:noProof/>
                <w:sz w:val="22"/>
                <w:szCs w:val="22"/>
                <w:lang w:val="en-GB" w:eastAsia="en-US"/>
              </w:rPr>
              <w:t>riedkavé</w:t>
            </w:r>
          </w:p>
        </w:tc>
        <w:tc>
          <w:tcPr>
            <w:tcW w:w="1067" w:type="pct"/>
          </w:tcPr>
          <w:p w:rsidR="00E00E06" w:rsidRPr="001D5249" w:rsidRDefault="00E00E06">
            <w:pPr>
              <w:widowControl w:val="0"/>
              <w:tabs>
                <w:tab w:val="left" w:pos="567"/>
              </w:tabs>
              <w:jc w:val="center"/>
              <w:rPr>
                <w:noProof/>
                <w:sz w:val="22"/>
                <w:szCs w:val="22"/>
                <w:lang w:val="en-GB" w:eastAsia="en-US"/>
              </w:rPr>
            </w:pPr>
            <w:r w:rsidRPr="001D5249">
              <w:rPr>
                <w:noProof/>
                <w:sz w:val="22"/>
                <w:szCs w:val="22"/>
                <w:lang w:val="en-GB" w:eastAsia="en-US"/>
              </w:rPr>
              <w:t>Neznáme</w:t>
            </w:r>
          </w:p>
        </w:tc>
      </w:tr>
      <w:tr w:rsidR="00E00E06" w:rsidRPr="001D5249" w:rsidTr="00DE4B4E">
        <w:tc>
          <w:tcPr>
            <w:tcW w:w="1055" w:type="pct"/>
          </w:tcPr>
          <w:p w:rsidR="00E00E06" w:rsidRPr="001D5249" w:rsidRDefault="00E00E06" w:rsidP="001D5249">
            <w:pPr>
              <w:widowControl w:val="0"/>
              <w:tabs>
                <w:tab w:val="left" w:pos="567"/>
              </w:tabs>
              <w:rPr>
                <w:noProof/>
                <w:sz w:val="22"/>
                <w:szCs w:val="22"/>
                <w:lang w:val="en-GB" w:eastAsia="en-US"/>
              </w:rPr>
            </w:pPr>
            <w:r w:rsidRPr="001D5249">
              <w:rPr>
                <w:sz w:val="22"/>
                <w:szCs w:val="22"/>
              </w:rPr>
              <w:t xml:space="preserve">Poruchy krvi a lymfatického </w:t>
            </w:r>
            <w:r w:rsidRPr="001D5249">
              <w:rPr>
                <w:sz w:val="22"/>
                <w:szCs w:val="22"/>
              </w:rPr>
              <w:lastRenderedPageBreak/>
              <w:t>systému</w:t>
            </w:r>
          </w:p>
        </w:tc>
        <w:tc>
          <w:tcPr>
            <w:tcW w:w="782" w:type="pct"/>
          </w:tcPr>
          <w:p w:rsidR="00E00E06" w:rsidRPr="001D5249" w:rsidRDefault="00E00E06">
            <w:pPr>
              <w:rPr>
                <w:noProof/>
                <w:sz w:val="22"/>
                <w:szCs w:val="22"/>
              </w:rPr>
            </w:pPr>
            <w:r w:rsidRPr="001D5249">
              <w:rPr>
                <w:sz w:val="22"/>
                <w:szCs w:val="22"/>
              </w:rPr>
              <w:lastRenderedPageBreak/>
              <w:t xml:space="preserve">Zvýšená náchylnosť </w:t>
            </w:r>
            <w:r w:rsidRPr="001D5249">
              <w:rPr>
                <w:sz w:val="22"/>
                <w:szCs w:val="22"/>
              </w:rPr>
              <w:lastRenderedPageBreak/>
              <w:t>na krvácanie</w:t>
            </w:r>
            <w:r w:rsidRPr="001D5249">
              <w:rPr>
                <w:noProof/>
                <w:sz w:val="22"/>
                <w:szCs w:val="22"/>
              </w:rPr>
              <w:t xml:space="preserve"> </w:t>
            </w:r>
          </w:p>
        </w:tc>
        <w:tc>
          <w:tcPr>
            <w:tcW w:w="822" w:type="pct"/>
          </w:tcPr>
          <w:p w:rsidR="00E00E06" w:rsidRPr="001D5249" w:rsidRDefault="00E00E06">
            <w:pPr>
              <w:rPr>
                <w:noProof/>
                <w:sz w:val="22"/>
                <w:szCs w:val="22"/>
              </w:rPr>
            </w:pPr>
          </w:p>
        </w:tc>
        <w:tc>
          <w:tcPr>
            <w:tcW w:w="1274" w:type="pct"/>
          </w:tcPr>
          <w:p w:rsidR="00E00E06" w:rsidRPr="001D5249" w:rsidRDefault="00E00E06">
            <w:pPr>
              <w:rPr>
                <w:noProof/>
                <w:sz w:val="22"/>
                <w:szCs w:val="22"/>
              </w:rPr>
            </w:pPr>
            <w:r w:rsidRPr="001D5249">
              <w:rPr>
                <w:sz w:val="22"/>
                <w:szCs w:val="22"/>
              </w:rPr>
              <w:t xml:space="preserve">Trombocytopénia, granulocytóza, </w:t>
            </w:r>
            <w:r w:rsidRPr="001D5249">
              <w:rPr>
                <w:sz w:val="22"/>
                <w:szCs w:val="22"/>
              </w:rPr>
              <w:lastRenderedPageBreak/>
              <w:t>aplastická anémia</w:t>
            </w:r>
            <w:r w:rsidRPr="001D5249">
              <w:rPr>
                <w:noProof/>
                <w:sz w:val="22"/>
                <w:szCs w:val="22"/>
              </w:rPr>
              <w:t xml:space="preserve"> </w:t>
            </w:r>
          </w:p>
        </w:tc>
        <w:tc>
          <w:tcPr>
            <w:tcW w:w="1067" w:type="pct"/>
          </w:tcPr>
          <w:p w:rsidR="00236D21" w:rsidRPr="001D5249" w:rsidRDefault="00E00E06">
            <w:pPr>
              <w:autoSpaceDE w:val="0"/>
              <w:autoSpaceDN w:val="0"/>
              <w:adjustRightInd w:val="0"/>
              <w:rPr>
                <w:sz w:val="22"/>
                <w:szCs w:val="22"/>
              </w:rPr>
            </w:pPr>
            <w:r w:rsidRPr="001D5249">
              <w:rPr>
                <w:sz w:val="22"/>
                <w:szCs w:val="22"/>
              </w:rPr>
              <w:lastRenderedPageBreak/>
              <w:t xml:space="preserve">Prípady krvácania s predĺženým </w:t>
            </w:r>
            <w:r w:rsidRPr="001D5249">
              <w:rPr>
                <w:sz w:val="22"/>
                <w:szCs w:val="22"/>
              </w:rPr>
              <w:lastRenderedPageBreak/>
              <w:t xml:space="preserve">časom krvácania ako je epistaxa, gingiválne krvácanie. Symptómy môžu pretrvávať počas </w:t>
            </w:r>
          </w:p>
          <w:p w:rsidR="00E00E06" w:rsidRPr="001D5249" w:rsidRDefault="00E00E06">
            <w:pPr>
              <w:autoSpaceDE w:val="0"/>
              <w:autoSpaceDN w:val="0"/>
              <w:adjustRightInd w:val="0"/>
              <w:rPr>
                <w:sz w:val="22"/>
                <w:szCs w:val="22"/>
              </w:rPr>
            </w:pPr>
            <w:r w:rsidRPr="001D5249">
              <w:rPr>
                <w:sz w:val="22"/>
                <w:szCs w:val="22"/>
              </w:rPr>
              <w:t>4</w:t>
            </w:r>
            <w:r w:rsidR="00236D21" w:rsidRPr="001D5249">
              <w:rPr>
                <w:sz w:val="22"/>
                <w:szCs w:val="22"/>
              </w:rPr>
              <w:t xml:space="preserve"> – </w:t>
            </w:r>
            <w:r w:rsidRPr="001D5249">
              <w:rPr>
                <w:sz w:val="22"/>
                <w:szCs w:val="22"/>
              </w:rPr>
              <w:t>8 dní po</w:t>
            </w:r>
            <w:r w:rsidR="00236D21" w:rsidRPr="001D5249">
              <w:rPr>
                <w:sz w:val="22"/>
                <w:szCs w:val="22"/>
              </w:rPr>
              <w:t> </w:t>
            </w:r>
            <w:r w:rsidRPr="001D5249">
              <w:rPr>
                <w:sz w:val="22"/>
                <w:szCs w:val="22"/>
              </w:rPr>
              <w:t>vysadení kyseliny acetylsalicylovej. Ako dôsledok môže byť zvýšené riziko krvácania počas chirurgických výkonov.</w:t>
            </w:r>
          </w:p>
          <w:p w:rsidR="00E00E06" w:rsidRPr="001D5249" w:rsidRDefault="00E00E06">
            <w:pPr>
              <w:tabs>
                <w:tab w:val="left" w:pos="0"/>
              </w:tabs>
              <w:rPr>
                <w:sz w:val="22"/>
                <w:szCs w:val="22"/>
              </w:rPr>
            </w:pPr>
            <w:r w:rsidRPr="001D5249">
              <w:rPr>
                <w:sz w:val="22"/>
                <w:szCs w:val="22"/>
              </w:rPr>
              <w:t>Existujúce (hemateméza, meléna) alebo okultné gastrointestinálne krvácanie, ktoré môže viesť k anémii s nedostatkom železa (častejšie pri</w:t>
            </w:r>
            <w:r w:rsidR="00236D21" w:rsidRPr="001D5249">
              <w:rPr>
                <w:sz w:val="22"/>
                <w:szCs w:val="22"/>
              </w:rPr>
              <w:t> </w:t>
            </w:r>
            <w:r w:rsidRPr="001D5249">
              <w:rPr>
                <w:sz w:val="22"/>
                <w:szCs w:val="22"/>
              </w:rPr>
              <w:t>vysokých dávkach)</w:t>
            </w:r>
          </w:p>
          <w:p w:rsidR="00E00E06" w:rsidRPr="001D5249" w:rsidRDefault="00E00E06">
            <w:pPr>
              <w:rPr>
                <w:noProof/>
                <w:sz w:val="22"/>
                <w:szCs w:val="22"/>
              </w:rPr>
            </w:pPr>
          </w:p>
        </w:tc>
      </w:tr>
      <w:tr w:rsidR="00E00E06" w:rsidRPr="001D5249" w:rsidTr="00DE4B4E">
        <w:tc>
          <w:tcPr>
            <w:tcW w:w="1055" w:type="pct"/>
          </w:tcPr>
          <w:p w:rsidR="00E00E06" w:rsidRPr="001D5249" w:rsidRDefault="00E00E06" w:rsidP="001D5249">
            <w:pPr>
              <w:widowControl w:val="0"/>
              <w:tabs>
                <w:tab w:val="left" w:pos="567"/>
              </w:tabs>
              <w:rPr>
                <w:sz w:val="22"/>
                <w:szCs w:val="22"/>
                <w:lang w:val="en-GB" w:eastAsia="en-US"/>
              </w:rPr>
            </w:pPr>
            <w:r w:rsidRPr="001D5249">
              <w:rPr>
                <w:bCs/>
                <w:spacing w:val="-3"/>
                <w:sz w:val="22"/>
                <w:szCs w:val="22"/>
              </w:rPr>
              <w:lastRenderedPageBreak/>
              <w:t>Poruchy imunitného systému</w:t>
            </w:r>
          </w:p>
        </w:tc>
        <w:tc>
          <w:tcPr>
            <w:tcW w:w="782" w:type="pct"/>
          </w:tcPr>
          <w:p w:rsidR="00E00E06" w:rsidRPr="001D5249" w:rsidRDefault="00E00E06">
            <w:pPr>
              <w:rPr>
                <w:sz w:val="22"/>
                <w:szCs w:val="22"/>
              </w:rPr>
            </w:pPr>
          </w:p>
        </w:tc>
        <w:tc>
          <w:tcPr>
            <w:tcW w:w="822" w:type="pct"/>
          </w:tcPr>
          <w:p w:rsidR="00E00E06" w:rsidRPr="001D5249" w:rsidRDefault="00E00E06">
            <w:pPr>
              <w:rPr>
                <w:noProof/>
                <w:sz w:val="22"/>
                <w:szCs w:val="22"/>
              </w:rPr>
            </w:pPr>
          </w:p>
        </w:tc>
        <w:tc>
          <w:tcPr>
            <w:tcW w:w="1274" w:type="pct"/>
          </w:tcPr>
          <w:p w:rsidR="00E00E06" w:rsidRPr="001D5249" w:rsidRDefault="00E00E06">
            <w:pPr>
              <w:tabs>
                <w:tab w:val="left" w:pos="0"/>
              </w:tabs>
              <w:rPr>
                <w:sz w:val="22"/>
                <w:szCs w:val="22"/>
              </w:rPr>
            </w:pPr>
            <w:r w:rsidRPr="001D5249">
              <w:rPr>
                <w:iCs/>
                <w:spacing w:val="-3"/>
                <w:sz w:val="22"/>
                <w:szCs w:val="22"/>
              </w:rPr>
              <w:t xml:space="preserve">Hypersenzitívne reakcie, </w:t>
            </w:r>
            <w:r w:rsidRPr="001D5249">
              <w:rPr>
                <w:spacing w:val="-3"/>
                <w:sz w:val="22"/>
                <w:szCs w:val="22"/>
              </w:rPr>
              <w:t>angioedém, alergický edém, anafylaktické reakcie vrátane šoku</w:t>
            </w:r>
          </w:p>
        </w:tc>
        <w:tc>
          <w:tcPr>
            <w:tcW w:w="1067" w:type="pct"/>
          </w:tcPr>
          <w:p w:rsidR="00E00E06" w:rsidRPr="001D5249" w:rsidRDefault="00E00E06">
            <w:pPr>
              <w:tabs>
                <w:tab w:val="left" w:pos="0"/>
              </w:tabs>
              <w:rPr>
                <w:sz w:val="22"/>
                <w:szCs w:val="22"/>
              </w:rPr>
            </w:pPr>
          </w:p>
        </w:tc>
      </w:tr>
      <w:tr w:rsidR="00E00E06" w:rsidRPr="001D5249" w:rsidTr="00DE4B4E">
        <w:tc>
          <w:tcPr>
            <w:tcW w:w="1055" w:type="pct"/>
          </w:tcPr>
          <w:p w:rsidR="00E00E06" w:rsidRPr="001D5249" w:rsidRDefault="00E00E06" w:rsidP="001D5249">
            <w:pPr>
              <w:widowControl w:val="0"/>
              <w:tabs>
                <w:tab w:val="center" w:pos="4536"/>
                <w:tab w:val="right" w:pos="9072"/>
              </w:tabs>
              <w:rPr>
                <w:noProof/>
                <w:sz w:val="22"/>
                <w:szCs w:val="22"/>
                <w:lang w:val="en-GB" w:eastAsia="en-US"/>
              </w:rPr>
            </w:pPr>
            <w:r w:rsidRPr="001D5249">
              <w:rPr>
                <w:bCs/>
                <w:spacing w:val="-3"/>
                <w:sz w:val="22"/>
                <w:szCs w:val="22"/>
              </w:rPr>
              <w:t>Poruchy metabolizmu a výživy</w:t>
            </w:r>
          </w:p>
        </w:tc>
        <w:tc>
          <w:tcPr>
            <w:tcW w:w="782" w:type="pct"/>
          </w:tcPr>
          <w:p w:rsidR="00E00E06" w:rsidRPr="001D5249" w:rsidRDefault="00E00E06">
            <w:pPr>
              <w:rPr>
                <w:sz w:val="22"/>
                <w:szCs w:val="22"/>
              </w:rPr>
            </w:pPr>
          </w:p>
        </w:tc>
        <w:tc>
          <w:tcPr>
            <w:tcW w:w="822" w:type="pct"/>
          </w:tcPr>
          <w:p w:rsidR="00E00E06" w:rsidRPr="001D5249" w:rsidRDefault="00E00E06">
            <w:pPr>
              <w:rPr>
                <w:noProof/>
                <w:sz w:val="22"/>
                <w:szCs w:val="22"/>
              </w:rPr>
            </w:pPr>
          </w:p>
        </w:tc>
        <w:tc>
          <w:tcPr>
            <w:tcW w:w="1274" w:type="pct"/>
          </w:tcPr>
          <w:p w:rsidR="00E00E06" w:rsidRPr="001D5249" w:rsidRDefault="00E00E06">
            <w:pPr>
              <w:tabs>
                <w:tab w:val="left" w:pos="0"/>
              </w:tabs>
              <w:rPr>
                <w:sz w:val="22"/>
                <w:szCs w:val="22"/>
              </w:rPr>
            </w:pPr>
          </w:p>
        </w:tc>
        <w:tc>
          <w:tcPr>
            <w:tcW w:w="1067" w:type="pct"/>
          </w:tcPr>
          <w:p w:rsidR="00E00E06" w:rsidRPr="001D5249" w:rsidRDefault="00E00E06">
            <w:pPr>
              <w:tabs>
                <w:tab w:val="left" w:pos="0"/>
              </w:tabs>
              <w:rPr>
                <w:sz w:val="22"/>
                <w:szCs w:val="22"/>
              </w:rPr>
            </w:pPr>
            <w:r w:rsidRPr="001D5249">
              <w:rPr>
                <w:spacing w:val="-3"/>
                <w:sz w:val="22"/>
                <w:szCs w:val="22"/>
              </w:rPr>
              <w:t>Hyperurikémia, hypoglykémia</w:t>
            </w:r>
          </w:p>
        </w:tc>
      </w:tr>
      <w:tr w:rsidR="00E00E06" w:rsidRPr="001D5249" w:rsidTr="00DE4B4E">
        <w:tc>
          <w:tcPr>
            <w:tcW w:w="1055" w:type="pct"/>
          </w:tcPr>
          <w:p w:rsidR="00E00E06" w:rsidRPr="001D5249" w:rsidRDefault="00E00E06" w:rsidP="001D5249">
            <w:pPr>
              <w:widowControl w:val="0"/>
              <w:rPr>
                <w:noProof/>
                <w:sz w:val="22"/>
                <w:szCs w:val="22"/>
                <w:lang w:val="en-GB" w:eastAsia="en-US"/>
              </w:rPr>
            </w:pPr>
            <w:r w:rsidRPr="001D5249">
              <w:rPr>
                <w:sz w:val="22"/>
                <w:szCs w:val="22"/>
              </w:rPr>
              <w:t>Poruchy nervového systému</w:t>
            </w:r>
          </w:p>
        </w:tc>
        <w:tc>
          <w:tcPr>
            <w:tcW w:w="782" w:type="pct"/>
          </w:tcPr>
          <w:p w:rsidR="00E00E06" w:rsidRPr="001D5249" w:rsidRDefault="00E00E06">
            <w:pPr>
              <w:rPr>
                <w:sz w:val="22"/>
                <w:szCs w:val="22"/>
              </w:rPr>
            </w:pPr>
          </w:p>
        </w:tc>
        <w:tc>
          <w:tcPr>
            <w:tcW w:w="822" w:type="pct"/>
          </w:tcPr>
          <w:p w:rsidR="00E00E06" w:rsidRPr="001D5249" w:rsidRDefault="00E00E06">
            <w:pPr>
              <w:rPr>
                <w:noProof/>
                <w:sz w:val="22"/>
                <w:szCs w:val="22"/>
              </w:rPr>
            </w:pPr>
          </w:p>
        </w:tc>
        <w:tc>
          <w:tcPr>
            <w:tcW w:w="1274" w:type="pct"/>
          </w:tcPr>
          <w:p w:rsidR="00E00E06" w:rsidRPr="001D5249" w:rsidRDefault="00E00E06">
            <w:pPr>
              <w:tabs>
                <w:tab w:val="left" w:pos="0"/>
              </w:tabs>
              <w:rPr>
                <w:i/>
                <w:sz w:val="22"/>
                <w:szCs w:val="22"/>
                <w:lang w:eastAsia="nl-NL"/>
              </w:rPr>
            </w:pPr>
            <w:r w:rsidRPr="001D5249">
              <w:rPr>
                <w:sz w:val="22"/>
                <w:szCs w:val="22"/>
              </w:rPr>
              <w:t>Intrakraniálna hemorágia</w:t>
            </w:r>
          </w:p>
        </w:tc>
        <w:tc>
          <w:tcPr>
            <w:tcW w:w="1067" w:type="pct"/>
          </w:tcPr>
          <w:p w:rsidR="00E00E06" w:rsidRPr="001D5249" w:rsidRDefault="00E00E06">
            <w:pPr>
              <w:tabs>
                <w:tab w:val="left" w:pos="0"/>
              </w:tabs>
              <w:rPr>
                <w:noProof/>
                <w:sz w:val="22"/>
                <w:szCs w:val="22"/>
                <w:lang w:eastAsia="nl-NL" w:bidi="en-US"/>
              </w:rPr>
            </w:pPr>
            <w:r w:rsidRPr="001D5249">
              <w:rPr>
                <w:sz w:val="22"/>
                <w:szCs w:val="22"/>
              </w:rPr>
              <w:t>Bolesť hlavy, závrat</w:t>
            </w:r>
            <w:r w:rsidRPr="001D5249">
              <w:rPr>
                <w:noProof/>
                <w:sz w:val="22"/>
                <w:szCs w:val="22"/>
                <w:lang w:eastAsia="nl-NL" w:bidi="en-US"/>
              </w:rPr>
              <w:t xml:space="preserve"> </w:t>
            </w:r>
          </w:p>
        </w:tc>
      </w:tr>
      <w:tr w:rsidR="00E00E06" w:rsidRPr="001D5249" w:rsidTr="00DE4B4E">
        <w:tc>
          <w:tcPr>
            <w:tcW w:w="1055" w:type="pct"/>
          </w:tcPr>
          <w:p w:rsidR="00E00E06" w:rsidRPr="001D5249" w:rsidRDefault="00E00E06" w:rsidP="001D5249">
            <w:pPr>
              <w:widowControl w:val="0"/>
              <w:tabs>
                <w:tab w:val="center" w:pos="4536"/>
                <w:tab w:val="right" w:pos="9072"/>
              </w:tabs>
              <w:rPr>
                <w:noProof/>
                <w:sz w:val="22"/>
                <w:szCs w:val="22"/>
                <w:lang w:val="en-GB" w:eastAsia="en-US"/>
              </w:rPr>
            </w:pPr>
            <w:r w:rsidRPr="001D5249">
              <w:rPr>
                <w:sz w:val="22"/>
                <w:szCs w:val="22"/>
              </w:rPr>
              <w:t>Poruchy ucha a labyrintu</w:t>
            </w:r>
          </w:p>
        </w:tc>
        <w:tc>
          <w:tcPr>
            <w:tcW w:w="782" w:type="pct"/>
          </w:tcPr>
          <w:p w:rsidR="00E00E06" w:rsidRPr="001D5249" w:rsidRDefault="00E00E06">
            <w:pPr>
              <w:rPr>
                <w:sz w:val="22"/>
                <w:szCs w:val="22"/>
              </w:rPr>
            </w:pPr>
          </w:p>
        </w:tc>
        <w:tc>
          <w:tcPr>
            <w:tcW w:w="822" w:type="pct"/>
          </w:tcPr>
          <w:p w:rsidR="00E00E06" w:rsidRPr="001D5249" w:rsidRDefault="00E00E06">
            <w:pPr>
              <w:rPr>
                <w:noProof/>
                <w:sz w:val="22"/>
                <w:szCs w:val="22"/>
              </w:rPr>
            </w:pPr>
          </w:p>
        </w:tc>
        <w:tc>
          <w:tcPr>
            <w:tcW w:w="1274" w:type="pct"/>
          </w:tcPr>
          <w:p w:rsidR="00E00E06" w:rsidRPr="001D5249" w:rsidRDefault="00E00E06">
            <w:pPr>
              <w:tabs>
                <w:tab w:val="left" w:pos="0"/>
              </w:tabs>
              <w:rPr>
                <w:sz w:val="22"/>
                <w:szCs w:val="22"/>
                <w:lang w:eastAsia="nl-NL"/>
              </w:rPr>
            </w:pPr>
          </w:p>
        </w:tc>
        <w:tc>
          <w:tcPr>
            <w:tcW w:w="1067" w:type="pct"/>
          </w:tcPr>
          <w:p w:rsidR="00E00E06" w:rsidRPr="001D5249" w:rsidRDefault="00E00E06">
            <w:pPr>
              <w:tabs>
                <w:tab w:val="left" w:pos="0"/>
              </w:tabs>
              <w:rPr>
                <w:sz w:val="22"/>
                <w:szCs w:val="22"/>
              </w:rPr>
            </w:pPr>
            <w:r w:rsidRPr="001D5249">
              <w:rPr>
                <w:sz w:val="22"/>
                <w:szCs w:val="22"/>
              </w:rPr>
              <w:t>Znížená schopnosť počutia; tinnitus</w:t>
            </w:r>
          </w:p>
        </w:tc>
      </w:tr>
      <w:tr w:rsidR="00E00E06" w:rsidRPr="001D5249" w:rsidTr="00DE4B4E">
        <w:tc>
          <w:tcPr>
            <w:tcW w:w="1055" w:type="pct"/>
          </w:tcPr>
          <w:p w:rsidR="00E00E06" w:rsidRPr="001D5249" w:rsidRDefault="00E00E06" w:rsidP="001D5249">
            <w:pPr>
              <w:widowControl w:val="0"/>
              <w:tabs>
                <w:tab w:val="center" w:pos="4536"/>
                <w:tab w:val="right" w:pos="9072"/>
              </w:tabs>
              <w:rPr>
                <w:noProof/>
                <w:sz w:val="22"/>
                <w:szCs w:val="22"/>
                <w:lang w:val="en-GB" w:eastAsia="en-US"/>
              </w:rPr>
            </w:pPr>
            <w:r w:rsidRPr="001D5249">
              <w:rPr>
                <w:bCs/>
                <w:spacing w:val="-3"/>
                <w:sz w:val="22"/>
                <w:szCs w:val="22"/>
              </w:rPr>
              <w:t>Poruchy ciev</w:t>
            </w:r>
          </w:p>
        </w:tc>
        <w:tc>
          <w:tcPr>
            <w:tcW w:w="782" w:type="pct"/>
          </w:tcPr>
          <w:p w:rsidR="00E00E06" w:rsidRPr="001D5249" w:rsidRDefault="00E00E06">
            <w:pPr>
              <w:rPr>
                <w:sz w:val="22"/>
                <w:szCs w:val="22"/>
              </w:rPr>
            </w:pPr>
          </w:p>
        </w:tc>
        <w:tc>
          <w:tcPr>
            <w:tcW w:w="822" w:type="pct"/>
          </w:tcPr>
          <w:p w:rsidR="00E00E06" w:rsidRPr="001D5249" w:rsidRDefault="00E00E06">
            <w:pPr>
              <w:rPr>
                <w:noProof/>
                <w:sz w:val="22"/>
                <w:szCs w:val="22"/>
              </w:rPr>
            </w:pPr>
          </w:p>
        </w:tc>
        <w:tc>
          <w:tcPr>
            <w:tcW w:w="1274" w:type="pct"/>
          </w:tcPr>
          <w:p w:rsidR="00E00E06" w:rsidRPr="001D5249" w:rsidRDefault="00E00E06">
            <w:pPr>
              <w:rPr>
                <w:sz w:val="22"/>
                <w:szCs w:val="22"/>
              </w:rPr>
            </w:pPr>
            <w:r w:rsidRPr="001D5249">
              <w:rPr>
                <w:sz w:val="22"/>
                <w:szCs w:val="22"/>
              </w:rPr>
              <w:t>Hemoragická vaskulitída</w:t>
            </w:r>
          </w:p>
        </w:tc>
        <w:tc>
          <w:tcPr>
            <w:tcW w:w="1067" w:type="pct"/>
          </w:tcPr>
          <w:p w:rsidR="00E00E06" w:rsidRPr="001D5249" w:rsidRDefault="00E00E06">
            <w:pPr>
              <w:rPr>
                <w:sz w:val="22"/>
                <w:szCs w:val="22"/>
              </w:rPr>
            </w:pPr>
          </w:p>
        </w:tc>
      </w:tr>
      <w:tr w:rsidR="00E00E06" w:rsidRPr="001D5249" w:rsidTr="00DE4B4E">
        <w:tc>
          <w:tcPr>
            <w:tcW w:w="1055" w:type="pct"/>
          </w:tcPr>
          <w:p w:rsidR="00E00E06" w:rsidRPr="001D5249" w:rsidRDefault="00E00E06" w:rsidP="001D5249">
            <w:pPr>
              <w:widowControl w:val="0"/>
              <w:tabs>
                <w:tab w:val="center" w:pos="4536"/>
                <w:tab w:val="right" w:pos="9072"/>
              </w:tabs>
              <w:rPr>
                <w:noProof/>
                <w:sz w:val="22"/>
                <w:szCs w:val="22"/>
                <w:lang w:val="en-GB" w:eastAsia="en-US"/>
              </w:rPr>
            </w:pPr>
            <w:r w:rsidRPr="001D5249">
              <w:rPr>
                <w:iCs/>
                <w:spacing w:val="-3"/>
                <w:sz w:val="22"/>
                <w:szCs w:val="22"/>
              </w:rPr>
              <w:t>Poruchy dýchacej sústavy, hrudníka a mediastína</w:t>
            </w:r>
          </w:p>
        </w:tc>
        <w:tc>
          <w:tcPr>
            <w:tcW w:w="782" w:type="pct"/>
          </w:tcPr>
          <w:p w:rsidR="00E00E06" w:rsidRPr="001D5249" w:rsidRDefault="00E00E06">
            <w:pPr>
              <w:rPr>
                <w:sz w:val="22"/>
                <w:szCs w:val="22"/>
              </w:rPr>
            </w:pPr>
          </w:p>
        </w:tc>
        <w:tc>
          <w:tcPr>
            <w:tcW w:w="822" w:type="pct"/>
          </w:tcPr>
          <w:p w:rsidR="00E00E06" w:rsidRPr="001D5249" w:rsidRDefault="00E00E06">
            <w:pPr>
              <w:rPr>
                <w:noProof/>
                <w:sz w:val="22"/>
                <w:szCs w:val="22"/>
              </w:rPr>
            </w:pPr>
            <w:r w:rsidRPr="001D5249">
              <w:rPr>
                <w:sz w:val="22"/>
                <w:szCs w:val="22"/>
              </w:rPr>
              <w:t>Rinitída, dyspnoe</w:t>
            </w:r>
            <w:r w:rsidRPr="001D5249">
              <w:rPr>
                <w:noProof/>
                <w:sz w:val="22"/>
                <w:szCs w:val="22"/>
              </w:rPr>
              <w:t xml:space="preserve"> </w:t>
            </w:r>
          </w:p>
        </w:tc>
        <w:tc>
          <w:tcPr>
            <w:tcW w:w="1274" w:type="pct"/>
          </w:tcPr>
          <w:p w:rsidR="00E00E06" w:rsidRPr="001D5249" w:rsidRDefault="00E00E06">
            <w:pPr>
              <w:tabs>
                <w:tab w:val="left" w:pos="0"/>
              </w:tabs>
              <w:rPr>
                <w:sz w:val="22"/>
                <w:szCs w:val="22"/>
                <w:lang w:eastAsia="nl-NL"/>
              </w:rPr>
            </w:pPr>
            <w:r w:rsidRPr="001D5249">
              <w:rPr>
                <w:sz w:val="22"/>
                <w:szCs w:val="22"/>
              </w:rPr>
              <w:t>Bronchospazmus, astmatick</w:t>
            </w:r>
            <w:r w:rsidR="00236D21" w:rsidRPr="001D5249">
              <w:rPr>
                <w:sz w:val="22"/>
                <w:szCs w:val="22"/>
              </w:rPr>
              <w:t>é</w:t>
            </w:r>
            <w:r w:rsidRPr="001D5249">
              <w:rPr>
                <w:sz w:val="22"/>
                <w:szCs w:val="22"/>
              </w:rPr>
              <w:t xml:space="preserve"> záchvat</w:t>
            </w:r>
            <w:r w:rsidR="00236D21" w:rsidRPr="001D5249">
              <w:rPr>
                <w:sz w:val="22"/>
                <w:szCs w:val="22"/>
              </w:rPr>
              <w:t>y</w:t>
            </w:r>
            <w:r w:rsidRPr="001D5249">
              <w:rPr>
                <w:sz w:val="22"/>
                <w:szCs w:val="22"/>
                <w:lang w:eastAsia="nl-NL"/>
              </w:rPr>
              <w:t xml:space="preserve"> </w:t>
            </w:r>
          </w:p>
        </w:tc>
        <w:tc>
          <w:tcPr>
            <w:tcW w:w="1067" w:type="pct"/>
          </w:tcPr>
          <w:p w:rsidR="00E00E06" w:rsidRPr="001D5249" w:rsidRDefault="00E00E06">
            <w:pPr>
              <w:rPr>
                <w:sz w:val="22"/>
                <w:szCs w:val="22"/>
              </w:rPr>
            </w:pPr>
          </w:p>
        </w:tc>
      </w:tr>
      <w:tr w:rsidR="00E00E06" w:rsidRPr="001D5249" w:rsidTr="00DE4B4E">
        <w:tc>
          <w:tcPr>
            <w:tcW w:w="1055" w:type="pct"/>
          </w:tcPr>
          <w:p w:rsidR="00E00E06" w:rsidRPr="001D5249" w:rsidRDefault="00E00E06" w:rsidP="001D5249">
            <w:pPr>
              <w:autoSpaceDE w:val="0"/>
              <w:autoSpaceDN w:val="0"/>
              <w:adjustRightInd w:val="0"/>
              <w:rPr>
                <w:noProof/>
                <w:sz w:val="22"/>
                <w:szCs w:val="22"/>
                <w:lang w:val="en-GB" w:eastAsia="en-US"/>
              </w:rPr>
            </w:pPr>
            <w:r w:rsidRPr="001D5249">
              <w:rPr>
                <w:sz w:val="22"/>
                <w:szCs w:val="22"/>
              </w:rPr>
              <w:t>Poruchy gastrointestinálneho traktu</w:t>
            </w:r>
          </w:p>
        </w:tc>
        <w:tc>
          <w:tcPr>
            <w:tcW w:w="782" w:type="pct"/>
          </w:tcPr>
          <w:p w:rsidR="00E00E06" w:rsidRPr="001D5249" w:rsidRDefault="00E00E06">
            <w:pPr>
              <w:rPr>
                <w:sz w:val="22"/>
                <w:szCs w:val="22"/>
              </w:rPr>
            </w:pPr>
            <w:r w:rsidRPr="001D5249">
              <w:rPr>
                <w:sz w:val="22"/>
                <w:szCs w:val="22"/>
              </w:rPr>
              <w:t>Dyspepsia, nauzea, vracanie, hnačka</w:t>
            </w:r>
          </w:p>
        </w:tc>
        <w:tc>
          <w:tcPr>
            <w:tcW w:w="822" w:type="pct"/>
          </w:tcPr>
          <w:p w:rsidR="00E00E06" w:rsidRPr="001D5249" w:rsidRDefault="00E00E06">
            <w:pPr>
              <w:rPr>
                <w:sz w:val="22"/>
                <w:szCs w:val="22"/>
              </w:rPr>
            </w:pPr>
          </w:p>
        </w:tc>
        <w:tc>
          <w:tcPr>
            <w:tcW w:w="1274" w:type="pct"/>
          </w:tcPr>
          <w:p w:rsidR="00E00E06" w:rsidRPr="001D5249" w:rsidRDefault="00236D21">
            <w:pPr>
              <w:rPr>
                <w:sz w:val="22"/>
                <w:szCs w:val="22"/>
              </w:rPr>
            </w:pPr>
            <w:r w:rsidRPr="001D5249">
              <w:rPr>
                <w:sz w:val="22"/>
                <w:szCs w:val="22"/>
              </w:rPr>
              <w:t>Závažn</w:t>
            </w:r>
            <w:r w:rsidR="00E00E06" w:rsidRPr="001D5249">
              <w:rPr>
                <w:sz w:val="22"/>
                <w:szCs w:val="22"/>
              </w:rPr>
              <w:t xml:space="preserve">á gastrointestinálna hemorágia </w:t>
            </w:r>
          </w:p>
        </w:tc>
        <w:tc>
          <w:tcPr>
            <w:tcW w:w="1067" w:type="pct"/>
          </w:tcPr>
          <w:p w:rsidR="00E00E06" w:rsidRPr="001D5249" w:rsidRDefault="00E00E06">
            <w:pPr>
              <w:tabs>
                <w:tab w:val="left" w:pos="0"/>
              </w:tabs>
              <w:rPr>
                <w:sz w:val="22"/>
                <w:szCs w:val="22"/>
              </w:rPr>
            </w:pPr>
            <w:r w:rsidRPr="001D5249">
              <w:rPr>
                <w:sz w:val="22"/>
                <w:szCs w:val="22"/>
              </w:rPr>
              <w:t>Žalúdočné vredy alebo vredy dvanástnika a perforácia</w:t>
            </w:r>
          </w:p>
        </w:tc>
      </w:tr>
      <w:tr w:rsidR="00E00E06" w:rsidRPr="001D5249" w:rsidTr="00DE4B4E">
        <w:tc>
          <w:tcPr>
            <w:tcW w:w="1055" w:type="pct"/>
          </w:tcPr>
          <w:p w:rsidR="00E00E06" w:rsidRPr="001D5249" w:rsidRDefault="00E00E06" w:rsidP="001D5249">
            <w:pPr>
              <w:widowControl w:val="0"/>
              <w:tabs>
                <w:tab w:val="center" w:pos="4536"/>
                <w:tab w:val="right" w:pos="9072"/>
              </w:tabs>
              <w:rPr>
                <w:noProof/>
                <w:sz w:val="22"/>
                <w:szCs w:val="22"/>
                <w:lang w:val="en-GB" w:eastAsia="en-US"/>
              </w:rPr>
            </w:pPr>
            <w:r w:rsidRPr="001D5249">
              <w:rPr>
                <w:sz w:val="22"/>
                <w:szCs w:val="22"/>
              </w:rPr>
              <w:t>Poruchy pečene a žlčových ciest</w:t>
            </w:r>
          </w:p>
        </w:tc>
        <w:tc>
          <w:tcPr>
            <w:tcW w:w="782" w:type="pct"/>
          </w:tcPr>
          <w:p w:rsidR="00E00E06" w:rsidRPr="001D5249" w:rsidRDefault="00E00E06">
            <w:pPr>
              <w:rPr>
                <w:sz w:val="22"/>
                <w:szCs w:val="22"/>
              </w:rPr>
            </w:pPr>
          </w:p>
        </w:tc>
        <w:tc>
          <w:tcPr>
            <w:tcW w:w="822" w:type="pct"/>
          </w:tcPr>
          <w:p w:rsidR="00E00E06" w:rsidRPr="001D5249" w:rsidRDefault="00E00E06">
            <w:pPr>
              <w:rPr>
                <w:sz w:val="22"/>
                <w:szCs w:val="22"/>
              </w:rPr>
            </w:pPr>
          </w:p>
        </w:tc>
        <w:tc>
          <w:tcPr>
            <w:tcW w:w="1274" w:type="pct"/>
          </w:tcPr>
          <w:p w:rsidR="00E00E06" w:rsidRPr="001D5249" w:rsidRDefault="00E00E06">
            <w:pPr>
              <w:rPr>
                <w:sz w:val="22"/>
                <w:szCs w:val="22"/>
              </w:rPr>
            </w:pPr>
            <w:r w:rsidRPr="001D5249">
              <w:rPr>
                <w:sz w:val="22"/>
                <w:szCs w:val="22"/>
              </w:rPr>
              <w:t>Reyeov syndróm</w:t>
            </w:r>
          </w:p>
        </w:tc>
        <w:tc>
          <w:tcPr>
            <w:tcW w:w="1067" w:type="pct"/>
          </w:tcPr>
          <w:p w:rsidR="00E00E06" w:rsidRPr="001D5249" w:rsidRDefault="00E00E06">
            <w:pPr>
              <w:tabs>
                <w:tab w:val="left" w:pos="0"/>
              </w:tabs>
              <w:rPr>
                <w:sz w:val="22"/>
                <w:szCs w:val="22"/>
              </w:rPr>
            </w:pPr>
            <w:r w:rsidRPr="001D5249">
              <w:rPr>
                <w:sz w:val="22"/>
                <w:szCs w:val="22"/>
              </w:rPr>
              <w:t>Insuficiencia pečene, zvýšené hladiny pečeňových enzýmov</w:t>
            </w:r>
          </w:p>
        </w:tc>
      </w:tr>
      <w:tr w:rsidR="00E00E06" w:rsidRPr="001D5249" w:rsidTr="00DE4B4E">
        <w:tc>
          <w:tcPr>
            <w:tcW w:w="1055" w:type="pct"/>
          </w:tcPr>
          <w:p w:rsidR="00E00E06" w:rsidRPr="001D5249" w:rsidRDefault="00E00E06" w:rsidP="001D5249">
            <w:pPr>
              <w:widowControl w:val="0"/>
              <w:tabs>
                <w:tab w:val="center" w:pos="4536"/>
                <w:tab w:val="right" w:pos="9072"/>
              </w:tabs>
              <w:rPr>
                <w:noProof/>
                <w:sz w:val="22"/>
                <w:szCs w:val="22"/>
                <w:lang w:val="en-GB" w:eastAsia="en-US"/>
              </w:rPr>
            </w:pPr>
            <w:r w:rsidRPr="001D5249">
              <w:rPr>
                <w:sz w:val="22"/>
                <w:szCs w:val="22"/>
              </w:rPr>
              <w:t xml:space="preserve">Poruchy kože a podkožného </w:t>
            </w:r>
            <w:r w:rsidRPr="001D5249">
              <w:rPr>
                <w:sz w:val="22"/>
                <w:szCs w:val="22"/>
              </w:rPr>
              <w:lastRenderedPageBreak/>
              <w:t>tkaniva</w:t>
            </w:r>
          </w:p>
        </w:tc>
        <w:tc>
          <w:tcPr>
            <w:tcW w:w="782" w:type="pct"/>
          </w:tcPr>
          <w:p w:rsidR="00E00E06" w:rsidRPr="001D5249" w:rsidRDefault="00E00E06">
            <w:pPr>
              <w:rPr>
                <w:sz w:val="22"/>
                <w:szCs w:val="22"/>
              </w:rPr>
            </w:pPr>
          </w:p>
        </w:tc>
        <w:tc>
          <w:tcPr>
            <w:tcW w:w="822" w:type="pct"/>
          </w:tcPr>
          <w:p w:rsidR="00E00E06" w:rsidRPr="001D5249" w:rsidRDefault="00E00E06">
            <w:pPr>
              <w:rPr>
                <w:sz w:val="22"/>
                <w:szCs w:val="22"/>
              </w:rPr>
            </w:pPr>
            <w:r w:rsidRPr="001D5249">
              <w:rPr>
                <w:sz w:val="22"/>
                <w:szCs w:val="22"/>
              </w:rPr>
              <w:t>Žihľavka</w:t>
            </w:r>
          </w:p>
          <w:p w:rsidR="00E00E06" w:rsidRPr="001D5249" w:rsidRDefault="00E00E06">
            <w:pPr>
              <w:rPr>
                <w:sz w:val="22"/>
                <w:szCs w:val="22"/>
              </w:rPr>
            </w:pPr>
          </w:p>
        </w:tc>
        <w:tc>
          <w:tcPr>
            <w:tcW w:w="1274" w:type="pct"/>
          </w:tcPr>
          <w:p w:rsidR="00E00E06" w:rsidRPr="001D5249" w:rsidRDefault="00E00E06">
            <w:pPr>
              <w:rPr>
                <w:sz w:val="22"/>
                <w:szCs w:val="22"/>
                <w:lang w:val="sv-SE"/>
              </w:rPr>
            </w:pPr>
            <w:r w:rsidRPr="001D5249">
              <w:rPr>
                <w:sz w:val="22"/>
                <w:szCs w:val="22"/>
              </w:rPr>
              <w:t xml:space="preserve">Stevensov-Johnsonov syndróm, Lyellov </w:t>
            </w:r>
            <w:r w:rsidRPr="001D5249">
              <w:rPr>
                <w:sz w:val="22"/>
                <w:szCs w:val="22"/>
              </w:rPr>
              <w:lastRenderedPageBreak/>
              <w:t xml:space="preserve">syndróm, purpura, erythema nodosum, </w:t>
            </w:r>
            <w:r w:rsidR="00B721C7" w:rsidRPr="001D5249">
              <w:rPr>
                <w:sz w:val="22"/>
                <w:szCs w:val="22"/>
              </w:rPr>
              <w:t>multiformný erytém</w:t>
            </w:r>
          </w:p>
        </w:tc>
        <w:tc>
          <w:tcPr>
            <w:tcW w:w="1067" w:type="pct"/>
          </w:tcPr>
          <w:p w:rsidR="00E00E06" w:rsidRPr="001D5249" w:rsidRDefault="00E00E06">
            <w:pPr>
              <w:rPr>
                <w:sz w:val="22"/>
                <w:szCs w:val="22"/>
                <w:lang w:val="sv-SE"/>
              </w:rPr>
            </w:pPr>
          </w:p>
        </w:tc>
      </w:tr>
      <w:tr w:rsidR="00E00E06" w:rsidRPr="001D5249" w:rsidTr="00DE4B4E">
        <w:tc>
          <w:tcPr>
            <w:tcW w:w="1055" w:type="pct"/>
          </w:tcPr>
          <w:p w:rsidR="00E00E06" w:rsidRPr="001D5249" w:rsidRDefault="00E00E06" w:rsidP="001D5249">
            <w:pPr>
              <w:autoSpaceDE w:val="0"/>
              <w:autoSpaceDN w:val="0"/>
              <w:adjustRightInd w:val="0"/>
              <w:jc w:val="both"/>
              <w:rPr>
                <w:sz w:val="22"/>
                <w:szCs w:val="22"/>
              </w:rPr>
            </w:pPr>
            <w:r w:rsidRPr="001D5249">
              <w:rPr>
                <w:sz w:val="22"/>
                <w:szCs w:val="22"/>
              </w:rPr>
              <w:lastRenderedPageBreak/>
              <w:t>Poruchy obličiek a močových ciest</w:t>
            </w:r>
          </w:p>
          <w:p w:rsidR="00E00E06" w:rsidRPr="001D5249" w:rsidRDefault="00E00E06">
            <w:pPr>
              <w:widowControl w:val="0"/>
              <w:tabs>
                <w:tab w:val="center" w:pos="4536"/>
                <w:tab w:val="right" w:pos="9072"/>
              </w:tabs>
              <w:rPr>
                <w:noProof/>
                <w:sz w:val="22"/>
                <w:szCs w:val="22"/>
                <w:lang w:val="en-GB" w:eastAsia="en-US"/>
              </w:rPr>
            </w:pPr>
          </w:p>
        </w:tc>
        <w:tc>
          <w:tcPr>
            <w:tcW w:w="782" w:type="pct"/>
          </w:tcPr>
          <w:p w:rsidR="00E00E06" w:rsidRPr="001D5249" w:rsidRDefault="00E00E06">
            <w:pPr>
              <w:rPr>
                <w:sz w:val="22"/>
                <w:szCs w:val="22"/>
              </w:rPr>
            </w:pPr>
          </w:p>
        </w:tc>
        <w:tc>
          <w:tcPr>
            <w:tcW w:w="822" w:type="pct"/>
          </w:tcPr>
          <w:p w:rsidR="00E00E06" w:rsidRPr="001D5249" w:rsidRDefault="00E00E06">
            <w:pPr>
              <w:rPr>
                <w:sz w:val="22"/>
                <w:szCs w:val="22"/>
              </w:rPr>
            </w:pPr>
          </w:p>
        </w:tc>
        <w:tc>
          <w:tcPr>
            <w:tcW w:w="1274" w:type="pct"/>
          </w:tcPr>
          <w:p w:rsidR="00E00E06" w:rsidRPr="001D5249" w:rsidRDefault="00E00E06">
            <w:pPr>
              <w:rPr>
                <w:sz w:val="22"/>
                <w:szCs w:val="22"/>
              </w:rPr>
            </w:pPr>
          </w:p>
        </w:tc>
        <w:tc>
          <w:tcPr>
            <w:tcW w:w="1067" w:type="pct"/>
          </w:tcPr>
          <w:p w:rsidR="00E00E06" w:rsidRPr="001D5249" w:rsidRDefault="00E00E06">
            <w:pPr>
              <w:rPr>
                <w:sz w:val="22"/>
                <w:szCs w:val="22"/>
              </w:rPr>
            </w:pPr>
            <w:r w:rsidRPr="001D5249">
              <w:rPr>
                <w:sz w:val="22"/>
                <w:szCs w:val="22"/>
              </w:rPr>
              <w:t>Poškodená renálna funkcia, akútne renálne zlyhanie</w:t>
            </w:r>
          </w:p>
        </w:tc>
      </w:tr>
      <w:tr w:rsidR="00E00E06" w:rsidRPr="001D5249" w:rsidTr="00DE4B4E">
        <w:tc>
          <w:tcPr>
            <w:tcW w:w="1055" w:type="pct"/>
          </w:tcPr>
          <w:p w:rsidR="00E00E06" w:rsidRPr="001D5249" w:rsidRDefault="00E00E06" w:rsidP="001D5249">
            <w:pPr>
              <w:widowControl w:val="0"/>
              <w:tabs>
                <w:tab w:val="center" w:pos="4536"/>
                <w:tab w:val="right" w:pos="9072"/>
              </w:tabs>
              <w:rPr>
                <w:noProof/>
                <w:sz w:val="22"/>
                <w:szCs w:val="22"/>
                <w:lang w:val="en-GB" w:eastAsia="en-US"/>
              </w:rPr>
            </w:pPr>
            <w:r w:rsidRPr="001D5249">
              <w:rPr>
                <w:sz w:val="22"/>
                <w:szCs w:val="22"/>
              </w:rPr>
              <w:t>Poruchy reprodukčného systému a prsníkov</w:t>
            </w:r>
          </w:p>
        </w:tc>
        <w:tc>
          <w:tcPr>
            <w:tcW w:w="782" w:type="pct"/>
          </w:tcPr>
          <w:p w:rsidR="00E00E06" w:rsidRPr="001D5249" w:rsidRDefault="00E00E06">
            <w:pPr>
              <w:rPr>
                <w:sz w:val="22"/>
                <w:szCs w:val="22"/>
              </w:rPr>
            </w:pPr>
          </w:p>
        </w:tc>
        <w:tc>
          <w:tcPr>
            <w:tcW w:w="822" w:type="pct"/>
          </w:tcPr>
          <w:p w:rsidR="00E00E06" w:rsidRPr="001D5249" w:rsidRDefault="00E00E06">
            <w:pPr>
              <w:rPr>
                <w:sz w:val="22"/>
                <w:szCs w:val="22"/>
              </w:rPr>
            </w:pPr>
          </w:p>
        </w:tc>
        <w:tc>
          <w:tcPr>
            <w:tcW w:w="1274" w:type="pct"/>
          </w:tcPr>
          <w:p w:rsidR="00E00E06" w:rsidRPr="001D5249" w:rsidRDefault="00E00E06">
            <w:pPr>
              <w:rPr>
                <w:sz w:val="22"/>
                <w:szCs w:val="22"/>
              </w:rPr>
            </w:pPr>
            <w:r w:rsidRPr="001D5249">
              <w:rPr>
                <w:sz w:val="22"/>
                <w:szCs w:val="22"/>
              </w:rPr>
              <w:t>Menorágia</w:t>
            </w:r>
          </w:p>
        </w:tc>
        <w:tc>
          <w:tcPr>
            <w:tcW w:w="1067" w:type="pct"/>
          </w:tcPr>
          <w:p w:rsidR="00E00E06" w:rsidRPr="001D5249" w:rsidRDefault="00E00E06">
            <w:pPr>
              <w:rPr>
                <w:sz w:val="22"/>
                <w:szCs w:val="22"/>
              </w:rPr>
            </w:pPr>
          </w:p>
        </w:tc>
      </w:tr>
    </w:tbl>
    <w:p w:rsidR="00E00E06" w:rsidRPr="001D5249" w:rsidRDefault="00E00E06" w:rsidP="001D5249">
      <w:pPr>
        <w:widowControl w:val="0"/>
        <w:tabs>
          <w:tab w:val="left" w:pos="567"/>
        </w:tabs>
        <w:rPr>
          <w:sz w:val="22"/>
          <w:szCs w:val="22"/>
          <w:lang w:val="en-GB" w:eastAsia="en-US"/>
        </w:rPr>
      </w:pPr>
    </w:p>
    <w:p w:rsidR="00E00E06" w:rsidRPr="001D5249" w:rsidRDefault="00E00E06" w:rsidP="001D5249">
      <w:pPr>
        <w:suppressLineNumbers/>
        <w:autoSpaceDE w:val="0"/>
        <w:autoSpaceDN w:val="0"/>
        <w:adjustRightInd w:val="0"/>
        <w:rPr>
          <w:sz w:val="22"/>
          <w:szCs w:val="22"/>
          <w:u w:val="single"/>
        </w:rPr>
      </w:pPr>
      <w:r w:rsidRPr="001D5249">
        <w:rPr>
          <w:sz w:val="22"/>
          <w:szCs w:val="22"/>
          <w:u w:val="single"/>
        </w:rPr>
        <w:t>Hlásenie podozrení na nežiaduce reakcie</w:t>
      </w:r>
    </w:p>
    <w:p w:rsidR="00E00E06" w:rsidRPr="001D5249" w:rsidRDefault="00E00E06">
      <w:pPr>
        <w:rPr>
          <w:sz w:val="22"/>
          <w:szCs w:val="22"/>
        </w:rPr>
      </w:pPr>
      <w:r w:rsidRPr="001D5249">
        <w:rPr>
          <w:sz w:val="22"/>
          <w:szCs w:val="22"/>
        </w:rPr>
        <w:t xml:space="preserve">Hlásenie podozrení na nežiaduce reakcie po registrácii lieku je dôležité. Umožňuje priebežné monitorovanie pomeru prínosu a rizika lieku. Od zdravotníckych pracovníkov sa vyžaduje, aby hlásili akékoľvek podozrenia na nežiaduce reakcie </w:t>
      </w:r>
      <w:r w:rsidR="00891ADD" w:rsidRPr="001D5249">
        <w:rPr>
          <w:sz w:val="22"/>
          <w:szCs w:val="22"/>
        </w:rPr>
        <w:t>na</w:t>
      </w:r>
      <w:r w:rsidRPr="001D5249">
        <w:rPr>
          <w:sz w:val="22"/>
          <w:szCs w:val="22"/>
        </w:rPr>
        <w:t xml:space="preserve"> </w:t>
      </w:r>
      <w:r w:rsidRPr="001D5249">
        <w:rPr>
          <w:sz w:val="22"/>
          <w:szCs w:val="22"/>
          <w:highlight w:val="lightGray"/>
        </w:rPr>
        <w:t xml:space="preserve">národné </w:t>
      </w:r>
      <w:r w:rsidR="00891ADD" w:rsidRPr="001D5249">
        <w:rPr>
          <w:sz w:val="22"/>
          <w:szCs w:val="22"/>
          <w:highlight w:val="lightGray"/>
        </w:rPr>
        <w:t>centrum</w:t>
      </w:r>
      <w:r w:rsidRPr="001D5249">
        <w:rPr>
          <w:sz w:val="22"/>
          <w:szCs w:val="22"/>
          <w:highlight w:val="lightGray"/>
        </w:rPr>
        <w:t xml:space="preserve"> hlásenia uvedené v </w:t>
      </w:r>
      <w:hyperlink r:id="rId9" w:history="1">
        <w:r w:rsidRPr="001D5249">
          <w:rPr>
            <w:rStyle w:val="Hypertextovprepojenie"/>
            <w:sz w:val="22"/>
            <w:szCs w:val="22"/>
            <w:highlight w:val="lightGray"/>
          </w:rPr>
          <w:t>Prílohe V</w:t>
        </w:r>
      </w:hyperlink>
      <w:r w:rsidRPr="001D5249">
        <w:rPr>
          <w:sz w:val="22"/>
          <w:szCs w:val="22"/>
          <w:highlight w:val="lightGray"/>
        </w:rPr>
        <w:t>.</w:t>
      </w:r>
    </w:p>
    <w:p w:rsidR="00E00E06" w:rsidRPr="001D5249" w:rsidRDefault="00E00E06">
      <w:pPr>
        <w:widowControl w:val="0"/>
        <w:tabs>
          <w:tab w:val="left" w:pos="567"/>
        </w:tabs>
        <w:rPr>
          <w:sz w:val="22"/>
          <w:szCs w:val="22"/>
          <w:lang w:val="en-GB" w:eastAsia="en-US"/>
        </w:rPr>
      </w:pPr>
    </w:p>
    <w:p w:rsidR="00E00E06" w:rsidRPr="001D5249" w:rsidRDefault="00E00E06">
      <w:pPr>
        <w:widowControl w:val="0"/>
        <w:tabs>
          <w:tab w:val="left" w:pos="567"/>
        </w:tabs>
        <w:rPr>
          <w:sz w:val="22"/>
          <w:szCs w:val="22"/>
          <w:lang w:val="en-GB" w:eastAsia="en-US"/>
        </w:rPr>
      </w:pPr>
      <w:r w:rsidRPr="001D5249">
        <w:rPr>
          <w:b/>
          <w:sz w:val="22"/>
          <w:szCs w:val="22"/>
          <w:lang w:val="en-GB" w:eastAsia="en-US"/>
        </w:rPr>
        <w:t>4.9</w:t>
      </w:r>
      <w:r w:rsidRPr="001D5249">
        <w:rPr>
          <w:b/>
          <w:sz w:val="22"/>
          <w:szCs w:val="22"/>
          <w:lang w:val="en-GB" w:eastAsia="en-US"/>
        </w:rPr>
        <w:tab/>
      </w:r>
      <w:r w:rsidRPr="001D5249">
        <w:rPr>
          <w:b/>
          <w:sz w:val="22"/>
          <w:szCs w:val="22"/>
        </w:rPr>
        <w:t>Predávkovanie</w:t>
      </w:r>
    </w:p>
    <w:p w:rsidR="00E00E06" w:rsidRPr="001D5249" w:rsidRDefault="00E00E06">
      <w:pPr>
        <w:widowControl w:val="0"/>
        <w:tabs>
          <w:tab w:val="left" w:pos="567"/>
        </w:tabs>
        <w:rPr>
          <w:sz w:val="22"/>
          <w:szCs w:val="22"/>
          <w:lang w:val="en-GB" w:eastAsia="en-US"/>
        </w:rPr>
      </w:pPr>
    </w:p>
    <w:p w:rsidR="00313A66" w:rsidRPr="001D5249" w:rsidRDefault="00E00E06">
      <w:pPr>
        <w:autoSpaceDE w:val="0"/>
        <w:autoSpaceDN w:val="0"/>
        <w:adjustRightInd w:val="0"/>
        <w:rPr>
          <w:sz w:val="22"/>
          <w:szCs w:val="22"/>
        </w:rPr>
      </w:pPr>
      <w:r w:rsidRPr="001D5249">
        <w:rPr>
          <w:sz w:val="22"/>
          <w:szCs w:val="22"/>
        </w:rPr>
        <w:t xml:space="preserve">Hoci existujú významné rozdiely medzi jednotlivými osobami, za toxickú dávku sa považuje dávka približne 200 mg/kg u dospelých a 100 mg/kg u detí. Letálna dávka kyseliny acetylsalicylovej je  </w:t>
      </w:r>
    </w:p>
    <w:p w:rsidR="00E00E06" w:rsidRPr="001D5249" w:rsidRDefault="00E00E06">
      <w:pPr>
        <w:autoSpaceDE w:val="0"/>
        <w:autoSpaceDN w:val="0"/>
        <w:adjustRightInd w:val="0"/>
        <w:rPr>
          <w:sz w:val="22"/>
          <w:szCs w:val="22"/>
        </w:rPr>
      </w:pPr>
      <w:r w:rsidRPr="001D5249">
        <w:rPr>
          <w:sz w:val="22"/>
          <w:szCs w:val="22"/>
        </w:rPr>
        <w:t>25 </w:t>
      </w:r>
      <w:r w:rsidR="00313A66" w:rsidRPr="001D5249">
        <w:rPr>
          <w:sz w:val="22"/>
          <w:szCs w:val="22"/>
        </w:rPr>
        <w:t>–</w:t>
      </w:r>
      <w:r w:rsidRPr="001D5249">
        <w:rPr>
          <w:sz w:val="22"/>
          <w:szCs w:val="22"/>
        </w:rPr>
        <w:t> 30 g. Koncentráci</w:t>
      </w:r>
      <w:r w:rsidR="00B91F66" w:rsidRPr="001D5249">
        <w:rPr>
          <w:sz w:val="22"/>
          <w:szCs w:val="22"/>
        </w:rPr>
        <w:t>e</w:t>
      </w:r>
      <w:r w:rsidRPr="001D5249">
        <w:rPr>
          <w:sz w:val="22"/>
          <w:szCs w:val="22"/>
        </w:rPr>
        <w:t xml:space="preserve"> salicylátu v plazme nad 300 mg/l znamená intoxikáciu. Plazmatické koncentrácie nad 500 mg/l u dospelých a 300 mg/l u detí spôsobujú obvykle </w:t>
      </w:r>
      <w:r w:rsidR="007036AB" w:rsidRPr="001D5249">
        <w:rPr>
          <w:sz w:val="22"/>
          <w:szCs w:val="22"/>
        </w:rPr>
        <w:t>závažn</w:t>
      </w:r>
      <w:r w:rsidRPr="001D5249">
        <w:rPr>
          <w:sz w:val="22"/>
          <w:szCs w:val="22"/>
        </w:rPr>
        <w:t>ú toxicitu. Predávkovanie môže byť škodlivé pre starších pacientov a predovšetkým pre malé deti (terapeutické predávkovanie alebo časté neúmyselné intoxikácie môžu byť fatálne).</w:t>
      </w:r>
    </w:p>
    <w:p w:rsidR="00E00E06" w:rsidRPr="001D5249" w:rsidRDefault="00E00E06">
      <w:pPr>
        <w:rPr>
          <w:sz w:val="22"/>
          <w:szCs w:val="22"/>
        </w:rPr>
      </w:pPr>
    </w:p>
    <w:p w:rsidR="00E00E06" w:rsidRPr="001D5249" w:rsidRDefault="00E00E06">
      <w:pPr>
        <w:rPr>
          <w:bCs/>
          <w:iCs/>
          <w:sz w:val="22"/>
          <w:szCs w:val="22"/>
          <w:u w:val="single"/>
        </w:rPr>
      </w:pPr>
      <w:r w:rsidRPr="001D5249">
        <w:rPr>
          <w:sz w:val="22"/>
          <w:szCs w:val="22"/>
          <w:u w:val="single"/>
        </w:rPr>
        <w:t>Príznaky stredne závažných intoxikácií</w:t>
      </w:r>
    </w:p>
    <w:p w:rsidR="00E00E06" w:rsidRPr="001D5249" w:rsidRDefault="00E00E06">
      <w:pPr>
        <w:rPr>
          <w:sz w:val="22"/>
          <w:szCs w:val="22"/>
        </w:rPr>
      </w:pPr>
      <w:r w:rsidRPr="001D5249">
        <w:rPr>
          <w:sz w:val="22"/>
          <w:szCs w:val="22"/>
        </w:rPr>
        <w:t>Tinnitus, poruchy sluchu, bolesť hlavy, vertigo, zmätenosť a gastrointestinálne symptómy (nauzea, vracanie a bolesť brucha).</w:t>
      </w:r>
    </w:p>
    <w:p w:rsidR="00E00E06" w:rsidRPr="001D5249" w:rsidRDefault="00E00E06">
      <w:pPr>
        <w:rPr>
          <w:b/>
          <w:bCs/>
          <w:i/>
          <w:iCs/>
          <w:sz w:val="22"/>
          <w:szCs w:val="22"/>
        </w:rPr>
      </w:pPr>
    </w:p>
    <w:p w:rsidR="00E00E06" w:rsidRPr="001D5249" w:rsidRDefault="00E00E06">
      <w:pPr>
        <w:autoSpaceDE w:val="0"/>
        <w:autoSpaceDN w:val="0"/>
        <w:adjustRightInd w:val="0"/>
        <w:rPr>
          <w:sz w:val="22"/>
          <w:szCs w:val="22"/>
          <w:u w:val="single"/>
        </w:rPr>
      </w:pPr>
      <w:r w:rsidRPr="001D5249">
        <w:rPr>
          <w:sz w:val="22"/>
          <w:szCs w:val="22"/>
          <w:u w:val="single"/>
        </w:rPr>
        <w:t>Príznaky závažných intoxikácií</w:t>
      </w:r>
    </w:p>
    <w:p w:rsidR="00E00E06" w:rsidRPr="001D5249" w:rsidRDefault="00E00E06">
      <w:pPr>
        <w:autoSpaceDE w:val="0"/>
        <w:autoSpaceDN w:val="0"/>
        <w:adjustRightInd w:val="0"/>
        <w:rPr>
          <w:sz w:val="22"/>
          <w:szCs w:val="22"/>
        </w:rPr>
      </w:pPr>
      <w:r w:rsidRPr="001D5249">
        <w:rPr>
          <w:sz w:val="22"/>
          <w:szCs w:val="22"/>
        </w:rPr>
        <w:t xml:space="preserve">Príznaky súvisiace so závažnou poruchou acidobázickej rovnováhy. Jej prvým príznakom je hyperventilácia, ktorá má za následok respiračnú alkalózu. Respiračná acidóza vzniká ako následok utlmenia dýchacieho centra. Okrem toho metabolická acidóza sa vyskytuje aj ako výsledok prítomnosti salicylátu. </w:t>
      </w:r>
    </w:p>
    <w:p w:rsidR="00E00E06" w:rsidRPr="001D5249" w:rsidRDefault="00E00E06">
      <w:pPr>
        <w:autoSpaceDE w:val="0"/>
        <w:autoSpaceDN w:val="0"/>
        <w:adjustRightInd w:val="0"/>
        <w:rPr>
          <w:sz w:val="22"/>
          <w:szCs w:val="22"/>
        </w:rPr>
      </w:pPr>
      <w:r w:rsidRPr="001D5249">
        <w:rPr>
          <w:sz w:val="22"/>
          <w:szCs w:val="22"/>
        </w:rPr>
        <w:t>Keďže mladšie deti sa často dostavia k lekárovi až v neskorom štádiu intoxikácie, je u nich obvykle prítomná acidóza.</w:t>
      </w:r>
    </w:p>
    <w:p w:rsidR="00E00E06" w:rsidRPr="001D5249" w:rsidRDefault="00E00E06">
      <w:pPr>
        <w:rPr>
          <w:b/>
          <w:bCs/>
          <w:i/>
          <w:iCs/>
          <w:sz w:val="22"/>
          <w:szCs w:val="22"/>
        </w:rPr>
      </w:pPr>
      <w:r w:rsidRPr="001D5249">
        <w:rPr>
          <w:sz w:val="22"/>
          <w:szCs w:val="22"/>
        </w:rPr>
        <w:t>Ďalej sa môžu objaviť tieto symptómy: hypertermia a potenie vedúce k dehydratácii</w:t>
      </w:r>
      <w:r w:rsidR="001E1C9A" w:rsidRPr="001D5249">
        <w:rPr>
          <w:sz w:val="22"/>
          <w:szCs w:val="22"/>
        </w:rPr>
        <w:t xml:space="preserve">, </w:t>
      </w:r>
      <w:r w:rsidRPr="001D5249">
        <w:rPr>
          <w:sz w:val="22"/>
          <w:szCs w:val="22"/>
        </w:rPr>
        <w:t>prejavuj</w:t>
      </w:r>
      <w:r w:rsidR="001E1C9A" w:rsidRPr="001D5249">
        <w:rPr>
          <w:sz w:val="22"/>
          <w:szCs w:val="22"/>
        </w:rPr>
        <w:t>úce sa:</w:t>
      </w:r>
      <w:r w:rsidRPr="001D5249">
        <w:rPr>
          <w:sz w:val="22"/>
          <w:szCs w:val="22"/>
        </w:rPr>
        <w:t xml:space="preserve"> nepokojom, kŕčmi, halucináciami a hypoglykémiou. Útlm nervového systému môže viesť ku</w:t>
      </w:r>
      <w:r w:rsidR="00130322" w:rsidRPr="001D5249">
        <w:rPr>
          <w:sz w:val="22"/>
          <w:szCs w:val="22"/>
        </w:rPr>
        <w:t> </w:t>
      </w:r>
      <w:r w:rsidRPr="001D5249">
        <w:rPr>
          <w:sz w:val="22"/>
          <w:szCs w:val="22"/>
        </w:rPr>
        <w:t xml:space="preserve">kóme, kardiovaskulárnemu kolapsu </w:t>
      </w:r>
      <w:r w:rsidR="001E1C9A" w:rsidRPr="001D5249">
        <w:rPr>
          <w:sz w:val="22"/>
          <w:szCs w:val="22"/>
        </w:rPr>
        <w:t>alebo</w:t>
      </w:r>
      <w:r w:rsidRPr="001D5249">
        <w:rPr>
          <w:sz w:val="22"/>
          <w:szCs w:val="22"/>
        </w:rPr>
        <w:t xml:space="preserve"> zastaveniu dýchania.</w:t>
      </w:r>
    </w:p>
    <w:p w:rsidR="00E00E06" w:rsidRPr="001D5249" w:rsidRDefault="00E00E06">
      <w:pPr>
        <w:rPr>
          <w:b/>
          <w:bCs/>
          <w:i/>
          <w:iCs/>
          <w:sz w:val="22"/>
          <w:szCs w:val="22"/>
        </w:rPr>
      </w:pPr>
    </w:p>
    <w:p w:rsidR="00E00E06" w:rsidRPr="001D5249" w:rsidRDefault="00E00E06">
      <w:pPr>
        <w:autoSpaceDE w:val="0"/>
        <w:autoSpaceDN w:val="0"/>
        <w:adjustRightInd w:val="0"/>
        <w:rPr>
          <w:sz w:val="22"/>
          <w:szCs w:val="22"/>
          <w:u w:val="single"/>
        </w:rPr>
      </w:pPr>
      <w:r w:rsidRPr="001D5249">
        <w:rPr>
          <w:sz w:val="22"/>
          <w:szCs w:val="22"/>
          <w:u w:val="single"/>
        </w:rPr>
        <w:t>Liečba predávkovania</w:t>
      </w:r>
    </w:p>
    <w:p w:rsidR="00E00E06" w:rsidRPr="001D5249" w:rsidRDefault="00E00E06">
      <w:pPr>
        <w:autoSpaceDE w:val="0"/>
        <w:autoSpaceDN w:val="0"/>
        <w:adjustRightInd w:val="0"/>
        <w:rPr>
          <w:sz w:val="22"/>
          <w:szCs w:val="22"/>
        </w:rPr>
      </w:pPr>
      <w:r w:rsidRPr="001D5249">
        <w:rPr>
          <w:sz w:val="22"/>
          <w:szCs w:val="22"/>
        </w:rPr>
        <w:t>Pri požití toxickej dávky je nutná hospitalizácia. Pri stredne závažnej intoxikácii je potrebné sa pokúsiť o vyvolanie vracania.</w:t>
      </w:r>
    </w:p>
    <w:p w:rsidR="00E00E06" w:rsidRPr="001D5249" w:rsidRDefault="00E00E06">
      <w:pPr>
        <w:autoSpaceDE w:val="0"/>
        <w:autoSpaceDN w:val="0"/>
        <w:adjustRightInd w:val="0"/>
        <w:rPr>
          <w:sz w:val="22"/>
          <w:szCs w:val="22"/>
        </w:rPr>
      </w:pPr>
      <w:r w:rsidRPr="001D5249">
        <w:rPr>
          <w:sz w:val="22"/>
          <w:szCs w:val="22"/>
        </w:rPr>
        <w:t>Ak je tento pokus neúspešný, má sa v prvej hodine po požití významného množstva lieku začať s</w:t>
      </w:r>
      <w:r w:rsidR="00257EE8" w:rsidRPr="001D5249">
        <w:rPr>
          <w:sz w:val="22"/>
          <w:szCs w:val="22"/>
        </w:rPr>
        <w:t> </w:t>
      </w:r>
      <w:r w:rsidRPr="001D5249">
        <w:rPr>
          <w:sz w:val="22"/>
          <w:szCs w:val="22"/>
        </w:rPr>
        <w:t>výplachom žalúdka. Následne sa podá aktívne uhlie (adsorbent) a síran sodný (laxatívum).</w:t>
      </w:r>
    </w:p>
    <w:p w:rsidR="00E00E06" w:rsidRPr="001D5249" w:rsidRDefault="00E00E06">
      <w:pPr>
        <w:autoSpaceDE w:val="0"/>
        <w:autoSpaceDN w:val="0"/>
        <w:adjustRightInd w:val="0"/>
        <w:rPr>
          <w:sz w:val="22"/>
          <w:szCs w:val="22"/>
        </w:rPr>
      </w:pPr>
      <w:r w:rsidRPr="001D5249">
        <w:rPr>
          <w:sz w:val="22"/>
          <w:szCs w:val="22"/>
        </w:rPr>
        <w:t>Aktívne uhlie sa môže podať v jednorazovej dávke (50 g u dospelých, 1 g/kg telesnej hmotnosti u detí vo veku do 12 rokov).</w:t>
      </w:r>
    </w:p>
    <w:p w:rsidR="00E00E06" w:rsidRPr="001D5249" w:rsidRDefault="00E00E06">
      <w:pPr>
        <w:rPr>
          <w:sz w:val="22"/>
          <w:szCs w:val="22"/>
        </w:rPr>
      </w:pPr>
      <w:r w:rsidRPr="001D5249">
        <w:rPr>
          <w:sz w:val="22"/>
          <w:szCs w:val="22"/>
        </w:rPr>
        <w:t>Alkalizácia moču (250 mmol NaHCO</w:t>
      </w:r>
      <w:r w:rsidRPr="001D5249">
        <w:rPr>
          <w:sz w:val="22"/>
          <w:szCs w:val="22"/>
          <w:vertAlign w:val="subscript"/>
        </w:rPr>
        <w:t>3</w:t>
      </w:r>
      <w:r w:rsidRPr="001D5249">
        <w:rPr>
          <w:sz w:val="22"/>
          <w:szCs w:val="22"/>
        </w:rPr>
        <w:t xml:space="preserve"> počas 3 hodín) so súčasnou kontrolou pH moču. Pri závažnej intoxikácii sa má uprednostniť hemodialýza. </w:t>
      </w:r>
    </w:p>
    <w:p w:rsidR="00E00E06" w:rsidRPr="001D5249" w:rsidRDefault="00E00E06">
      <w:pPr>
        <w:rPr>
          <w:sz w:val="22"/>
          <w:szCs w:val="22"/>
        </w:rPr>
      </w:pPr>
      <w:r w:rsidRPr="001D5249">
        <w:rPr>
          <w:sz w:val="22"/>
          <w:szCs w:val="22"/>
        </w:rPr>
        <w:t>Ďalšie symptómy sa liečia symptomaticky.</w:t>
      </w:r>
    </w:p>
    <w:p w:rsidR="00E00E06" w:rsidRPr="001D5249" w:rsidRDefault="00E00E06">
      <w:pPr>
        <w:rPr>
          <w:b/>
          <w:bCs/>
          <w:i/>
          <w:iCs/>
          <w:sz w:val="22"/>
          <w:szCs w:val="22"/>
        </w:rPr>
      </w:pPr>
    </w:p>
    <w:p w:rsidR="00E00E06" w:rsidRPr="001D5249" w:rsidRDefault="00E00E06">
      <w:pPr>
        <w:rPr>
          <w:b/>
          <w:bCs/>
          <w:i/>
          <w:iCs/>
          <w:sz w:val="22"/>
          <w:szCs w:val="22"/>
        </w:rPr>
      </w:pPr>
    </w:p>
    <w:p w:rsidR="00E00E06" w:rsidRPr="001D5249" w:rsidRDefault="00E00E06">
      <w:pPr>
        <w:widowControl w:val="0"/>
        <w:tabs>
          <w:tab w:val="left" w:pos="567"/>
        </w:tabs>
        <w:rPr>
          <w:sz w:val="22"/>
          <w:szCs w:val="22"/>
          <w:lang w:val="en-GB" w:eastAsia="en-US"/>
        </w:rPr>
      </w:pPr>
      <w:r w:rsidRPr="001D5249">
        <w:rPr>
          <w:b/>
          <w:sz w:val="22"/>
          <w:szCs w:val="22"/>
          <w:lang w:val="en-GB" w:eastAsia="en-US"/>
        </w:rPr>
        <w:t>5.</w:t>
      </w:r>
      <w:r w:rsidRPr="001D5249">
        <w:rPr>
          <w:b/>
          <w:sz w:val="22"/>
          <w:szCs w:val="22"/>
          <w:lang w:val="en-GB" w:eastAsia="en-US"/>
        </w:rPr>
        <w:tab/>
      </w:r>
      <w:r w:rsidRPr="001D5249">
        <w:rPr>
          <w:b/>
          <w:sz w:val="22"/>
          <w:szCs w:val="22"/>
        </w:rPr>
        <w:t>FARMAKOLOGICKÉ VLASTNOSTI</w:t>
      </w:r>
    </w:p>
    <w:p w:rsidR="00E00E06" w:rsidRPr="001D5249" w:rsidRDefault="00E00E06">
      <w:pPr>
        <w:widowControl w:val="0"/>
        <w:tabs>
          <w:tab w:val="left" w:pos="567"/>
        </w:tabs>
        <w:rPr>
          <w:b/>
          <w:sz w:val="22"/>
          <w:szCs w:val="22"/>
          <w:lang w:val="en-GB" w:eastAsia="en-US"/>
        </w:rPr>
      </w:pPr>
    </w:p>
    <w:p w:rsidR="00E00E06" w:rsidRPr="001D5249" w:rsidRDefault="00E00E06">
      <w:pPr>
        <w:widowControl w:val="0"/>
        <w:tabs>
          <w:tab w:val="left" w:pos="567"/>
        </w:tabs>
        <w:rPr>
          <w:sz w:val="22"/>
          <w:szCs w:val="22"/>
          <w:lang w:val="en-GB" w:eastAsia="en-US"/>
        </w:rPr>
      </w:pPr>
      <w:r w:rsidRPr="001D5249">
        <w:rPr>
          <w:b/>
          <w:sz w:val="22"/>
          <w:szCs w:val="22"/>
          <w:lang w:val="en-GB" w:eastAsia="en-US"/>
        </w:rPr>
        <w:t>5.1</w:t>
      </w:r>
      <w:r w:rsidRPr="001D5249">
        <w:rPr>
          <w:b/>
          <w:sz w:val="22"/>
          <w:szCs w:val="22"/>
          <w:lang w:val="en-GB" w:eastAsia="en-US"/>
        </w:rPr>
        <w:tab/>
      </w:r>
      <w:r w:rsidRPr="001D5249">
        <w:rPr>
          <w:b/>
          <w:sz w:val="22"/>
          <w:szCs w:val="22"/>
        </w:rPr>
        <w:t>Farmakodynamické vlastnosti</w:t>
      </w:r>
    </w:p>
    <w:p w:rsidR="00E00E06" w:rsidRPr="001D5249" w:rsidRDefault="00E00E06">
      <w:pPr>
        <w:widowControl w:val="0"/>
        <w:tabs>
          <w:tab w:val="left" w:pos="567"/>
        </w:tabs>
        <w:rPr>
          <w:sz w:val="22"/>
          <w:szCs w:val="22"/>
          <w:lang w:val="en-GB" w:eastAsia="en-US"/>
        </w:rPr>
      </w:pPr>
    </w:p>
    <w:p w:rsidR="00E00E06" w:rsidRPr="001D5249" w:rsidRDefault="00E00E06">
      <w:pPr>
        <w:jc w:val="both"/>
        <w:outlineLvl w:val="0"/>
        <w:rPr>
          <w:sz w:val="22"/>
          <w:szCs w:val="22"/>
        </w:rPr>
      </w:pPr>
      <w:r w:rsidRPr="001D5249">
        <w:rPr>
          <w:sz w:val="22"/>
          <w:szCs w:val="22"/>
        </w:rPr>
        <w:t xml:space="preserve">Farmakoterapeutická skupina: Antitrombotiká: </w:t>
      </w:r>
      <w:r w:rsidR="00582929" w:rsidRPr="001D5249">
        <w:rPr>
          <w:sz w:val="22"/>
          <w:szCs w:val="22"/>
        </w:rPr>
        <w:t>antiagreganciá trombocytov</w:t>
      </w:r>
      <w:r w:rsidRPr="001D5249">
        <w:rPr>
          <w:sz w:val="22"/>
          <w:szCs w:val="22"/>
        </w:rPr>
        <w:t xml:space="preserve"> okrem heparínu, ATC kód: B01AC06.</w:t>
      </w:r>
    </w:p>
    <w:p w:rsidR="00E00E06" w:rsidRPr="001D5249" w:rsidRDefault="00E00E06">
      <w:pPr>
        <w:widowControl w:val="0"/>
        <w:rPr>
          <w:noProof/>
          <w:sz w:val="22"/>
          <w:szCs w:val="22"/>
          <w:lang w:val="en-GB" w:eastAsia="en-US"/>
        </w:rPr>
      </w:pPr>
    </w:p>
    <w:p w:rsidR="00E00E06" w:rsidRPr="001D5249" w:rsidRDefault="00E00E06">
      <w:pPr>
        <w:widowControl w:val="0"/>
        <w:autoSpaceDE w:val="0"/>
        <w:autoSpaceDN w:val="0"/>
        <w:adjustRightInd w:val="0"/>
        <w:rPr>
          <w:color w:val="000000"/>
          <w:sz w:val="22"/>
          <w:szCs w:val="22"/>
          <w:u w:val="single"/>
        </w:rPr>
      </w:pPr>
      <w:r w:rsidRPr="001D5249">
        <w:rPr>
          <w:color w:val="000000"/>
          <w:sz w:val="22"/>
          <w:szCs w:val="22"/>
          <w:u w:val="single"/>
        </w:rPr>
        <w:t>Mechanizmus účinku</w:t>
      </w:r>
    </w:p>
    <w:p w:rsidR="00E00E06" w:rsidRPr="001D5249" w:rsidRDefault="00E00E06">
      <w:pPr>
        <w:autoSpaceDE w:val="0"/>
        <w:autoSpaceDN w:val="0"/>
        <w:adjustRightInd w:val="0"/>
        <w:rPr>
          <w:sz w:val="22"/>
          <w:szCs w:val="22"/>
        </w:rPr>
      </w:pPr>
      <w:r w:rsidRPr="001D5249">
        <w:rPr>
          <w:sz w:val="22"/>
          <w:szCs w:val="22"/>
        </w:rPr>
        <w:t>Kyselina acetylsalicylová inhibuje aktiváciu trombocytov: blokádou trombocytovej cyklooxygenázy acetyláciou inhibuje syntézu tromboxánu A</w:t>
      </w:r>
      <w:r w:rsidRPr="001D5249">
        <w:rPr>
          <w:sz w:val="22"/>
          <w:szCs w:val="22"/>
          <w:vertAlign w:val="subscript"/>
        </w:rPr>
        <w:t>2</w:t>
      </w:r>
      <w:r w:rsidRPr="001D5249">
        <w:rPr>
          <w:sz w:val="22"/>
          <w:szCs w:val="22"/>
        </w:rPr>
        <w:t xml:space="preserve">, čo je fyziologická aktivačná látka uvoľňovaná trombocytmi, ktorá zohráva úlohu pri komplikáciách ateromatóznych lézií. </w:t>
      </w:r>
    </w:p>
    <w:p w:rsidR="00E00E06" w:rsidRPr="001D5249" w:rsidRDefault="00E00E06">
      <w:pPr>
        <w:rPr>
          <w:sz w:val="22"/>
          <w:szCs w:val="22"/>
        </w:rPr>
      </w:pPr>
      <w:r w:rsidRPr="001D5249">
        <w:rPr>
          <w:sz w:val="22"/>
          <w:szCs w:val="22"/>
        </w:rPr>
        <w:t>Inhibícia TXA</w:t>
      </w:r>
      <w:r w:rsidRPr="001D5249">
        <w:rPr>
          <w:sz w:val="22"/>
          <w:szCs w:val="22"/>
          <w:vertAlign w:val="subscript"/>
        </w:rPr>
        <w:t>2</w:t>
      </w:r>
      <w:r w:rsidRPr="001D5249">
        <w:rPr>
          <w:sz w:val="22"/>
          <w:szCs w:val="22"/>
        </w:rPr>
        <w:t xml:space="preserve"> syntézy je ireverzibilná, pretože trombocyty, ktoré nemajú jadro, nie sú schopné (z</w:t>
      </w:r>
      <w:r w:rsidR="00582929" w:rsidRPr="001D5249">
        <w:rPr>
          <w:sz w:val="22"/>
          <w:szCs w:val="22"/>
        </w:rPr>
        <w:t> </w:t>
      </w:r>
      <w:r w:rsidRPr="001D5249">
        <w:rPr>
          <w:sz w:val="22"/>
          <w:szCs w:val="22"/>
        </w:rPr>
        <w:t>dôvodu nedostatku potenciálu syntézy proteínov) syntetizovať novú cyklooxygenázu, ktorá bola acetylovaná kyselinou acetylsalicylovou.</w:t>
      </w:r>
    </w:p>
    <w:p w:rsidR="00E00E06" w:rsidRPr="001D5249" w:rsidRDefault="00E00E06">
      <w:pPr>
        <w:rPr>
          <w:sz w:val="22"/>
          <w:szCs w:val="22"/>
        </w:rPr>
      </w:pPr>
    </w:p>
    <w:p w:rsidR="00E00E06" w:rsidRPr="001D5249" w:rsidRDefault="00E00E06">
      <w:pPr>
        <w:widowControl w:val="0"/>
        <w:autoSpaceDE w:val="0"/>
        <w:autoSpaceDN w:val="0"/>
        <w:adjustRightInd w:val="0"/>
        <w:rPr>
          <w:color w:val="000000"/>
          <w:sz w:val="22"/>
          <w:szCs w:val="22"/>
          <w:u w:val="single"/>
        </w:rPr>
      </w:pPr>
      <w:r w:rsidRPr="001D5249">
        <w:rPr>
          <w:color w:val="000000"/>
          <w:sz w:val="22"/>
          <w:szCs w:val="22"/>
          <w:u w:val="single"/>
        </w:rPr>
        <w:t>Farmakodynamické účinky</w:t>
      </w:r>
    </w:p>
    <w:p w:rsidR="00E00E06" w:rsidRPr="001D5249" w:rsidRDefault="00E00E06">
      <w:pPr>
        <w:autoSpaceDE w:val="0"/>
        <w:autoSpaceDN w:val="0"/>
        <w:adjustRightInd w:val="0"/>
        <w:rPr>
          <w:sz w:val="22"/>
          <w:szCs w:val="22"/>
        </w:rPr>
      </w:pPr>
      <w:r w:rsidRPr="001D5249">
        <w:rPr>
          <w:sz w:val="22"/>
          <w:szCs w:val="22"/>
        </w:rPr>
        <w:t>Opakované dávky od 20 do 325 mg sa podieľajú na inhibícii enzymatickej aktivity od 30 do 95 %.</w:t>
      </w:r>
    </w:p>
    <w:p w:rsidR="00E00E06" w:rsidRPr="001D5249" w:rsidRDefault="00E00E06">
      <w:pPr>
        <w:autoSpaceDE w:val="0"/>
        <w:autoSpaceDN w:val="0"/>
        <w:adjustRightInd w:val="0"/>
        <w:rPr>
          <w:sz w:val="22"/>
          <w:szCs w:val="22"/>
        </w:rPr>
      </w:pPr>
      <w:r w:rsidRPr="001D5249">
        <w:rPr>
          <w:sz w:val="22"/>
          <w:szCs w:val="22"/>
        </w:rPr>
        <w:t>Vzhľadom na ireverzibilnú povahu väzby pretrváva tento účinok po celú dobu životnosti trombocytu (7 –</w:t>
      </w:r>
      <w:r w:rsidR="00D16EF7" w:rsidRPr="001D5249">
        <w:rPr>
          <w:sz w:val="22"/>
          <w:szCs w:val="22"/>
        </w:rPr>
        <w:t xml:space="preserve"> </w:t>
      </w:r>
      <w:r w:rsidRPr="001D5249">
        <w:rPr>
          <w:sz w:val="22"/>
          <w:szCs w:val="22"/>
        </w:rPr>
        <w:t>10 dní). Inhibičný účinok sa nevyčerpá pri dlhodobej liečbe a enzymatická aktivita postupne opäť začína po obnove trombocytov 24 – 48 hodín po prerušení liečby.</w:t>
      </w:r>
    </w:p>
    <w:p w:rsidR="00E00E06" w:rsidRPr="001D5249" w:rsidRDefault="00E00E06">
      <w:pPr>
        <w:rPr>
          <w:sz w:val="22"/>
          <w:szCs w:val="22"/>
        </w:rPr>
      </w:pPr>
      <w:r w:rsidRPr="001D5249">
        <w:rPr>
          <w:sz w:val="22"/>
          <w:szCs w:val="22"/>
        </w:rPr>
        <w:t xml:space="preserve">Kyselina acetylsalicylová predlžuje krvácavosť v priemere </w:t>
      </w:r>
      <w:r w:rsidR="006B55EA" w:rsidRPr="001D5249">
        <w:rPr>
          <w:sz w:val="22"/>
          <w:szCs w:val="22"/>
        </w:rPr>
        <w:t xml:space="preserve">približne </w:t>
      </w:r>
      <w:r w:rsidRPr="001D5249">
        <w:rPr>
          <w:sz w:val="22"/>
          <w:szCs w:val="22"/>
        </w:rPr>
        <w:t>o 50 až 100 %, no možno pozorovať individuálne rozdiely.</w:t>
      </w:r>
    </w:p>
    <w:p w:rsidR="00E00E06" w:rsidRPr="001D5249" w:rsidRDefault="00E00E06">
      <w:pPr>
        <w:autoSpaceDE w:val="0"/>
        <w:autoSpaceDN w:val="0"/>
        <w:adjustRightInd w:val="0"/>
        <w:rPr>
          <w:sz w:val="22"/>
          <w:szCs w:val="22"/>
        </w:rPr>
      </w:pPr>
      <w:r w:rsidRPr="001D5249">
        <w:rPr>
          <w:sz w:val="22"/>
          <w:szCs w:val="22"/>
        </w:rPr>
        <w:t xml:space="preserve">Experimentálne údaje ukazujú, že ibuprofen môže inhibovať účinok nízkej dávky kyseliny acetylsalicylovej na agregáciu trombocytov, pokiaľ sa s ňou podáva súbežne. </w:t>
      </w:r>
    </w:p>
    <w:p w:rsidR="00E00E06" w:rsidRPr="001D5249" w:rsidRDefault="00E00E06">
      <w:pPr>
        <w:rPr>
          <w:sz w:val="22"/>
          <w:szCs w:val="22"/>
        </w:rPr>
      </w:pPr>
      <w:r w:rsidRPr="001D5249">
        <w:rPr>
          <w:sz w:val="22"/>
          <w:szCs w:val="22"/>
        </w:rPr>
        <w:t xml:space="preserve">V jednej štúdii sa zistilo, že ak sa podala jednorazová dávka 400 mg ibuprofenu 8 hodín pred alebo 30 minút po dávke kyseliny acetylsalicylovej (81 mg) s okamžitým uvoľňovaním, došlo k zníženiu účinku kyseliny acetylsalicylovej na tvorbu tromboxánu alebo agregáciu trombocytov. Obmedzenia týchto údajov a neistota ohľadne extrapolácie </w:t>
      </w:r>
      <w:r w:rsidRPr="001D5249">
        <w:rPr>
          <w:i/>
          <w:sz w:val="22"/>
          <w:szCs w:val="22"/>
        </w:rPr>
        <w:t>ex vivo</w:t>
      </w:r>
      <w:r w:rsidRPr="001D5249">
        <w:rPr>
          <w:sz w:val="22"/>
          <w:szCs w:val="22"/>
        </w:rPr>
        <w:t xml:space="preserve"> údajov na klinickú situáciu však naznačujú, že nie je možné urobiť konečné závery ohľadne pravidelného užívania ibuprofenu a nie je možné sa domnievať, že pri občasnom užití ibuprofenu bude klinicky významný účinok pravdepodobný.</w:t>
      </w:r>
    </w:p>
    <w:p w:rsidR="00E00E06" w:rsidRPr="001D5249" w:rsidRDefault="00E00E06">
      <w:pPr>
        <w:rPr>
          <w:sz w:val="22"/>
          <w:szCs w:val="22"/>
        </w:rPr>
      </w:pPr>
    </w:p>
    <w:p w:rsidR="00E00E06" w:rsidRPr="001D5249" w:rsidRDefault="00E00E06">
      <w:pPr>
        <w:widowControl w:val="0"/>
        <w:tabs>
          <w:tab w:val="left" w:pos="567"/>
        </w:tabs>
        <w:rPr>
          <w:sz w:val="22"/>
          <w:szCs w:val="22"/>
          <w:lang w:val="en-GB" w:eastAsia="en-US"/>
        </w:rPr>
      </w:pPr>
      <w:r w:rsidRPr="001D5249">
        <w:rPr>
          <w:b/>
          <w:sz w:val="22"/>
          <w:szCs w:val="22"/>
          <w:lang w:val="en-GB" w:eastAsia="en-US"/>
        </w:rPr>
        <w:t>5.2</w:t>
      </w:r>
      <w:r w:rsidRPr="001D5249">
        <w:rPr>
          <w:b/>
          <w:sz w:val="22"/>
          <w:szCs w:val="22"/>
          <w:lang w:val="en-GB" w:eastAsia="en-US"/>
        </w:rPr>
        <w:tab/>
      </w:r>
      <w:r w:rsidRPr="001D5249">
        <w:rPr>
          <w:b/>
          <w:sz w:val="22"/>
          <w:szCs w:val="22"/>
        </w:rPr>
        <w:t>Farmakokinetické vlastnosti</w:t>
      </w:r>
    </w:p>
    <w:p w:rsidR="00E00E06" w:rsidRPr="001D5249" w:rsidRDefault="00E00E06">
      <w:pPr>
        <w:widowControl w:val="0"/>
        <w:tabs>
          <w:tab w:val="left" w:pos="567"/>
        </w:tabs>
        <w:rPr>
          <w:b/>
          <w:sz w:val="22"/>
          <w:szCs w:val="22"/>
          <w:lang w:val="en-GB" w:eastAsia="en-US"/>
        </w:rPr>
      </w:pPr>
    </w:p>
    <w:p w:rsidR="00E00E06" w:rsidRPr="001D5249" w:rsidRDefault="00E00E06">
      <w:pPr>
        <w:rPr>
          <w:sz w:val="22"/>
          <w:szCs w:val="22"/>
          <w:u w:val="single"/>
        </w:rPr>
      </w:pPr>
      <w:r w:rsidRPr="001D5249">
        <w:rPr>
          <w:sz w:val="22"/>
          <w:szCs w:val="22"/>
          <w:u w:val="single"/>
        </w:rPr>
        <w:t>Absorpcia</w:t>
      </w:r>
    </w:p>
    <w:p w:rsidR="00E00E06" w:rsidRPr="001D5249" w:rsidRDefault="00E00E06">
      <w:pPr>
        <w:rPr>
          <w:sz w:val="22"/>
          <w:szCs w:val="22"/>
        </w:rPr>
      </w:pPr>
      <w:r w:rsidRPr="001D5249">
        <w:rPr>
          <w:sz w:val="22"/>
          <w:szCs w:val="22"/>
        </w:rPr>
        <w:t xml:space="preserve">Po perorálnom podaní sa kyselina acetylsalicylová  rýchlo a úplne vstrebáva z gastrointestinálneho traktu. Najdôležitejším miestom absorpcie je proximálna časť tenkého čreva. Avšak významná časť dávky sa hydrolyzuje na kyselinu salicylovú v stene tenkého čreva už pri absorpcii. Stupeň hydrolýzy je závislý od rýchlosti vstrebávania. </w:t>
      </w:r>
    </w:p>
    <w:p w:rsidR="00E00E06" w:rsidRPr="001D5249" w:rsidRDefault="00E00E06">
      <w:pPr>
        <w:rPr>
          <w:sz w:val="22"/>
          <w:szCs w:val="22"/>
        </w:rPr>
      </w:pPr>
      <w:r w:rsidRPr="001D5249">
        <w:rPr>
          <w:sz w:val="22"/>
          <w:szCs w:val="22"/>
        </w:rPr>
        <w:t>Po užití gastrorezistentných tabliet Abrea sa maximáln</w:t>
      </w:r>
      <w:r w:rsidR="00EC6BC8" w:rsidRPr="001D5249">
        <w:rPr>
          <w:sz w:val="22"/>
          <w:szCs w:val="22"/>
        </w:rPr>
        <w:t>e</w:t>
      </w:r>
      <w:r w:rsidRPr="001D5249">
        <w:rPr>
          <w:sz w:val="22"/>
          <w:szCs w:val="22"/>
        </w:rPr>
        <w:t xml:space="preserve"> plazmatick</w:t>
      </w:r>
      <w:r w:rsidR="00EC6BC8" w:rsidRPr="001D5249">
        <w:rPr>
          <w:sz w:val="22"/>
          <w:szCs w:val="22"/>
        </w:rPr>
        <w:t>é</w:t>
      </w:r>
      <w:r w:rsidRPr="001D5249">
        <w:rPr>
          <w:sz w:val="22"/>
          <w:szCs w:val="22"/>
        </w:rPr>
        <w:t xml:space="preserve"> hladin</w:t>
      </w:r>
      <w:r w:rsidR="00EC6BC8" w:rsidRPr="001D5249">
        <w:rPr>
          <w:sz w:val="22"/>
          <w:szCs w:val="22"/>
        </w:rPr>
        <w:t>y</w:t>
      </w:r>
      <w:r w:rsidRPr="001D5249">
        <w:rPr>
          <w:sz w:val="22"/>
          <w:szCs w:val="22"/>
        </w:rPr>
        <w:t xml:space="preserve"> kyseliny acetylsalicylovej dosiahn</w:t>
      </w:r>
      <w:r w:rsidR="00DE342D" w:rsidRPr="001D5249">
        <w:rPr>
          <w:sz w:val="22"/>
          <w:szCs w:val="22"/>
        </w:rPr>
        <w:t>ú</w:t>
      </w:r>
      <w:r w:rsidRPr="001D5249">
        <w:rPr>
          <w:sz w:val="22"/>
          <w:szCs w:val="22"/>
        </w:rPr>
        <w:t xml:space="preserve"> približne po 3,5 hodinách a kyseliny salicylovej približne po 4,5 hodinách po podaní nalačno. Ak sa tablety užívajú s jedlom, maximálne plazmatické hladiny sa dosiahn</w:t>
      </w:r>
      <w:r w:rsidR="00AB457D" w:rsidRPr="001D5249">
        <w:rPr>
          <w:sz w:val="22"/>
          <w:szCs w:val="22"/>
        </w:rPr>
        <w:t>ú</w:t>
      </w:r>
      <w:r w:rsidRPr="001D5249">
        <w:rPr>
          <w:sz w:val="22"/>
          <w:szCs w:val="22"/>
        </w:rPr>
        <w:t xml:space="preserve"> približne o 3 hodiny neskôr ako v stave nalačno.</w:t>
      </w:r>
    </w:p>
    <w:p w:rsidR="00E00E06" w:rsidRPr="001D5249" w:rsidRDefault="00E00E06">
      <w:pPr>
        <w:widowControl w:val="0"/>
        <w:numPr>
          <w:ilvl w:val="12"/>
          <w:numId w:val="0"/>
        </w:numPr>
        <w:tabs>
          <w:tab w:val="left" w:pos="567"/>
        </w:tabs>
        <w:ind w:right="-2"/>
        <w:rPr>
          <w:iCs/>
          <w:sz w:val="22"/>
          <w:szCs w:val="22"/>
          <w:u w:val="single"/>
          <w:lang w:val="en-GB" w:eastAsia="en-US"/>
        </w:rPr>
      </w:pPr>
    </w:p>
    <w:p w:rsidR="00E00E06" w:rsidRPr="001D5249" w:rsidRDefault="00E00E06">
      <w:pPr>
        <w:rPr>
          <w:sz w:val="22"/>
          <w:szCs w:val="22"/>
          <w:u w:val="single"/>
        </w:rPr>
      </w:pPr>
      <w:r w:rsidRPr="001D5249">
        <w:rPr>
          <w:sz w:val="22"/>
          <w:szCs w:val="22"/>
          <w:u w:val="single"/>
        </w:rPr>
        <w:t>Distribúcia</w:t>
      </w:r>
    </w:p>
    <w:p w:rsidR="00E00E06" w:rsidRPr="001D5249" w:rsidRDefault="00E00E06">
      <w:pPr>
        <w:rPr>
          <w:sz w:val="22"/>
          <w:szCs w:val="22"/>
        </w:rPr>
      </w:pPr>
      <w:r w:rsidRPr="001D5249">
        <w:rPr>
          <w:sz w:val="22"/>
          <w:szCs w:val="22"/>
        </w:rPr>
        <w:t>Kyselina acetylsalicylová, rovnako ako hlavný metabolit salicylová kyselina, sa výrazne viažu na</w:t>
      </w:r>
      <w:r w:rsidR="0035189A" w:rsidRPr="001D5249">
        <w:rPr>
          <w:sz w:val="22"/>
          <w:szCs w:val="22"/>
        </w:rPr>
        <w:t> </w:t>
      </w:r>
      <w:r w:rsidRPr="001D5249">
        <w:rPr>
          <w:sz w:val="22"/>
          <w:szCs w:val="22"/>
        </w:rPr>
        <w:t>plazmatické bielkoviny, najmä albumín, a distribuujú sa rýchlo do všetkých častí tela. Stupeň väzby kyseliny salicylovej na bielkoviny je veľmi závislý od koncentrácie kyseliny salicylovej a koncentrácie albumínu. Distribučný objem kyseliny acetylsalicylovej je približne 0,16 l/kg telesnej hmotnosti. Kyselina salicylová sa pomaly rozptyľuje do synoviálnej tekutiny, prechádza placentárnou bariérou a prechádza do materského mlieka.</w:t>
      </w:r>
    </w:p>
    <w:p w:rsidR="00E00E06" w:rsidRPr="001D5249" w:rsidRDefault="00E00E06">
      <w:pPr>
        <w:rPr>
          <w:sz w:val="22"/>
          <w:szCs w:val="22"/>
        </w:rPr>
      </w:pPr>
    </w:p>
    <w:p w:rsidR="00E00E06" w:rsidRPr="001D5249" w:rsidRDefault="00E00E06">
      <w:pPr>
        <w:rPr>
          <w:iCs/>
          <w:sz w:val="22"/>
          <w:szCs w:val="22"/>
          <w:u w:val="single"/>
        </w:rPr>
      </w:pPr>
      <w:r w:rsidRPr="001D5249">
        <w:rPr>
          <w:iCs/>
          <w:sz w:val="22"/>
          <w:szCs w:val="22"/>
          <w:u w:val="single"/>
        </w:rPr>
        <w:t xml:space="preserve">Biotransformácia </w:t>
      </w:r>
    </w:p>
    <w:p w:rsidR="00E00E06" w:rsidRPr="001D5249" w:rsidRDefault="00E00E06">
      <w:pPr>
        <w:rPr>
          <w:sz w:val="22"/>
          <w:szCs w:val="22"/>
        </w:rPr>
      </w:pPr>
      <w:r w:rsidRPr="001D5249">
        <w:rPr>
          <w:sz w:val="22"/>
          <w:szCs w:val="22"/>
        </w:rPr>
        <w:t>Kyselina acetylsalicylová sa rýchlo metabolizuje na kyselinu salicylovú s polčasom 15</w:t>
      </w:r>
      <w:r w:rsidR="0066237B" w:rsidRPr="001D5249">
        <w:rPr>
          <w:sz w:val="22"/>
          <w:szCs w:val="22"/>
        </w:rPr>
        <w:t xml:space="preserve"> – </w:t>
      </w:r>
      <w:r w:rsidRPr="001D5249">
        <w:rPr>
          <w:sz w:val="22"/>
          <w:szCs w:val="22"/>
        </w:rPr>
        <w:t>30 minút. Kyselina salicylová sa následne prevažne mení na konjugáty glycínu a kyseliny glukurónovej a stopy kyseliny genti</w:t>
      </w:r>
      <w:r w:rsidR="00FF46BC">
        <w:rPr>
          <w:sz w:val="22"/>
          <w:szCs w:val="22"/>
        </w:rPr>
        <w:t>s</w:t>
      </w:r>
      <w:r w:rsidRPr="001D5249">
        <w:rPr>
          <w:sz w:val="22"/>
          <w:szCs w:val="22"/>
        </w:rPr>
        <w:t>ovej.</w:t>
      </w:r>
    </w:p>
    <w:p w:rsidR="00E00E06" w:rsidRPr="001D5249" w:rsidRDefault="00E00E06">
      <w:pPr>
        <w:rPr>
          <w:sz w:val="22"/>
          <w:szCs w:val="22"/>
        </w:rPr>
      </w:pPr>
      <w:r w:rsidRPr="001D5249">
        <w:rPr>
          <w:sz w:val="22"/>
          <w:szCs w:val="22"/>
        </w:rPr>
        <w:t xml:space="preserve">Eliminačná kinetika kyseliny salicylovej je závislá od dávky, pretože metabolizmus je limitovaný kapacitou pečeňových enzýmov. Polčas </w:t>
      </w:r>
      <w:r w:rsidR="006F4CBD" w:rsidRPr="001D5249">
        <w:rPr>
          <w:sz w:val="22"/>
          <w:szCs w:val="22"/>
        </w:rPr>
        <w:t>eliminácie</w:t>
      </w:r>
      <w:r w:rsidRPr="001D5249">
        <w:rPr>
          <w:sz w:val="22"/>
          <w:szCs w:val="22"/>
        </w:rPr>
        <w:t xml:space="preserve"> sa teda mení a je 2</w:t>
      </w:r>
      <w:r w:rsidR="00CD5793" w:rsidRPr="001D5249">
        <w:rPr>
          <w:sz w:val="22"/>
          <w:szCs w:val="22"/>
        </w:rPr>
        <w:t xml:space="preserve"> – </w:t>
      </w:r>
      <w:r w:rsidRPr="001D5249">
        <w:rPr>
          <w:sz w:val="22"/>
          <w:szCs w:val="22"/>
        </w:rPr>
        <w:t>3 hodiny po nízkych dávkach, 12 hodín po zvyčajných analgetických dávkach a 15</w:t>
      </w:r>
      <w:r w:rsidR="00CD5793" w:rsidRPr="001D5249">
        <w:rPr>
          <w:sz w:val="22"/>
          <w:szCs w:val="22"/>
        </w:rPr>
        <w:t xml:space="preserve"> – </w:t>
      </w:r>
      <w:r w:rsidRPr="001D5249">
        <w:rPr>
          <w:sz w:val="22"/>
          <w:szCs w:val="22"/>
        </w:rPr>
        <w:t>30 hodín po vysokých terapeutických dávkach alebo intoxikácii.</w:t>
      </w:r>
    </w:p>
    <w:p w:rsidR="00E00E06" w:rsidRPr="001D5249" w:rsidRDefault="00E00E06">
      <w:pPr>
        <w:rPr>
          <w:sz w:val="22"/>
          <w:szCs w:val="22"/>
        </w:rPr>
      </w:pPr>
    </w:p>
    <w:p w:rsidR="00E00E06" w:rsidRPr="001D5249" w:rsidRDefault="000A4934">
      <w:pPr>
        <w:rPr>
          <w:sz w:val="22"/>
          <w:szCs w:val="22"/>
          <w:u w:val="single"/>
        </w:rPr>
      </w:pPr>
      <w:r w:rsidRPr="001D5249">
        <w:rPr>
          <w:sz w:val="22"/>
          <w:szCs w:val="22"/>
          <w:u w:val="single"/>
        </w:rPr>
        <w:t>Eliminácia</w:t>
      </w:r>
    </w:p>
    <w:p w:rsidR="00E00E06" w:rsidRPr="001D5249" w:rsidRDefault="00E00E06">
      <w:pPr>
        <w:rPr>
          <w:sz w:val="22"/>
          <w:szCs w:val="22"/>
        </w:rPr>
      </w:pPr>
      <w:r w:rsidRPr="001D5249">
        <w:rPr>
          <w:sz w:val="22"/>
          <w:szCs w:val="22"/>
        </w:rPr>
        <w:t>Kyselina salicylová a jej metabolity sa vylučujú prevažne obličkami.</w:t>
      </w:r>
    </w:p>
    <w:p w:rsidR="00E00E06" w:rsidRPr="001D5249" w:rsidRDefault="00E00E06">
      <w:pPr>
        <w:widowControl w:val="0"/>
        <w:numPr>
          <w:ilvl w:val="12"/>
          <w:numId w:val="0"/>
        </w:numPr>
        <w:tabs>
          <w:tab w:val="left" w:pos="567"/>
        </w:tabs>
        <w:ind w:right="-2"/>
        <w:rPr>
          <w:iCs/>
          <w:sz w:val="22"/>
          <w:szCs w:val="22"/>
          <w:u w:val="single"/>
          <w:lang w:val="en-GB" w:eastAsia="en-US"/>
        </w:rPr>
      </w:pPr>
    </w:p>
    <w:p w:rsidR="00E00E06" w:rsidRPr="001D5249" w:rsidRDefault="00E00E06">
      <w:pPr>
        <w:widowControl w:val="0"/>
        <w:tabs>
          <w:tab w:val="left" w:pos="567"/>
        </w:tabs>
        <w:rPr>
          <w:sz w:val="22"/>
          <w:szCs w:val="22"/>
          <w:lang w:val="en-GB" w:eastAsia="en-US"/>
        </w:rPr>
      </w:pPr>
      <w:r w:rsidRPr="001D5249">
        <w:rPr>
          <w:b/>
          <w:sz w:val="22"/>
          <w:szCs w:val="22"/>
          <w:lang w:val="en-GB" w:eastAsia="en-US"/>
        </w:rPr>
        <w:lastRenderedPageBreak/>
        <w:t>5.3</w:t>
      </w:r>
      <w:r w:rsidRPr="001D5249">
        <w:rPr>
          <w:b/>
          <w:sz w:val="22"/>
          <w:szCs w:val="22"/>
          <w:lang w:val="en-GB" w:eastAsia="en-US"/>
        </w:rPr>
        <w:tab/>
      </w:r>
      <w:r w:rsidRPr="001D5249">
        <w:rPr>
          <w:b/>
          <w:sz w:val="22"/>
          <w:szCs w:val="22"/>
        </w:rPr>
        <w:t>Predklinické údaje o bezpečnosti</w:t>
      </w:r>
    </w:p>
    <w:p w:rsidR="00E00E06" w:rsidRPr="001D5249" w:rsidRDefault="00E00E06">
      <w:pPr>
        <w:widowControl w:val="0"/>
        <w:tabs>
          <w:tab w:val="left" w:pos="567"/>
        </w:tabs>
        <w:rPr>
          <w:sz w:val="22"/>
          <w:szCs w:val="22"/>
          <w:lang w:val="en-GB" w:eastAsia="en-US"/>
        </w:rPr>
      </w:pPr>
    </w:p>
    <w:p w:rsidR="00E00E06" w:rsidRPr="001D5249" w:rsidRDefault="00E00E06">
      <w:pPr>
        <w:rPr>
          <w:sz w:val="22"/>
          <w:szCs w:val="22"/>
        </w:rPr>
      </w:pPr>
      <w:r w:rsidRPr="001D5249">
        <w:rPr>
          <w:sz w:val="22"/>
          <w:szCs w:val="22"/>
        </w:rPr>
        <w:t>Predklinický bezpečnostný profil kyseliny acetylsalicylovej je dobre zdokumentovaný.</w:t>
      </w:r>
    </w:p>
    <w:p w:rsidR="00E00E06" w:rsidRPr="001D5249" w:rsidRDefault="00E00E06">
      <w:pPr>
        <w:rPr>
          <w:sz w:val="22"/>
          <w:szCs w:val="22"/>
        </w:rPr>
      </w:pPr>
      <w:r w:rsidRPr="001D5249">
        <w:rPr>
          <w:sz w:val="22"/>
          <w:szCs w:val="22"/>
        </w:rPr>
        <w:t>V experimentálnych štúdiách na zvieratách salicyláty nepreukázali poškodenie iného orgánu než poškodenie obličiek.</w:t>
      </w:r>
    </w:p>
    <w:p w:rsidR="00E00E06" w:rsidRPr="001D5249" w:rsidRDefault="00E00E06">
      <w:pPr>
        <w:rPr>
          <w:sz w:val="22"/>
          <w:szCs w:val="22"/>
        </w:rPr>
      </w:pPr>
      <w:r w:rsidRPr="001D5249">
        <w:rPr>
          <w:sz w:val="22"/>
          <w:szCs w:val="22"/>
        </w:rPr>
        <w:t xml:space="preserve">V štúdiách na potkanoch bola fetotoxicita a teratogénne účinky pozorované s kyselinou acetylsalicylovou v dávkach toxických pre matku. Klinický význam nie je známy, pretože dávky použité v </w:t>
      </w:r>
      <w:r w:rsidR="00BF2489" w:rsidRPr="001D5249">
        <w:rPr>
          <w:sz w:val="22"/>
          <w:szCs w:val="22"/>
        </w:rPr>
        <w:t>pred</w:t>
      </w:r>
      <w:r w:rsidRPr="001D5249">
        <w:rPr>
          <w:sz w:val="22"/>
          <w:szCs w:val="22"/>
        </w:rPr>
        <w:t>klinických štúdiách sú oveľa vyššie (minimálne 7-krát) ako maximálne odporúčané dávky vo vybraných kardiovaskulárnych indikáciách.</w:t>
      </w:r>
    </w:p>
    <w:p w:rsidR="00E00E06" w:rsidRPr="001D5249" w:rsidRDefault="00E00E06">
      <w:pPr>
        <w:rPr>
          <w:sz w:val="22"/>
          <w:szCs w:val="22"/>
        </w:rPr>
      </w:pPr>
      <w:r w:rsidRPr="001D5249">
        <w:rPr>
          <w:sz w:val="22"/>
          <w:szCs w:val="22"/>
        </w:rPr>
        <w:t>Kyselina acetylsalicylová bola rozsiahlo skúmaná s ohľadom na mutagénne a karcinogénne účinky. Výsledky ako celok nevykazujú žiadne významné prejavy akýchkoľvek mutagénnych alebo karcinogénnych účinkov v štúdiách na myšiach a potkanoch.</w:t>
      </w:r>
    </w:p>
    <w:p w:rsidR="00E00E06" w:rsidRPr="001D5249" w:rsidRDefault="00E00E06">
      <w:pPr>
        <w:rPr>
          <w:sz w:val="22"/>
          <w:szCs w:val="22"/>
        </w:rPr>
      </w:pPr>
    </w:p>
    <w:p w:rsidR="00E00E06" w:rsidRPr="001D5249" w:rsidRDefault="00E00E06">
      <w:pPr>
        <w:widowControl w:val="0"/>
        <w:tabs>
          <w:tab w:val="left" w:pos="567"/>
        </w:tabs>
        <w:rPr>
          <w:b/>
          <w:sz w:val="22"/>
          <w:szCs w:val="22"/>
          <w:lang w:val="en-GB" w:eastAsia="en-US"/>
        </w:rPr>
      </w:pPr>
    </w:p>
    <w:p w:rsidR="00E00E06" w:rsidRPr="001D5249" w:rsidRDefault="00E00E06">
      <w:pPr>
        <w:widowControl w:val="0"/>
        <w:tabs>
          <w:tab w:val="left" w:pos="567"/>
        </w:tabs>
        <w:rPr>
          <w:b/>
          <w:sz w:val="22"/>
          <w:szCs w:val="22"/>
          <w:lang w:val="en-GB" w:eastAsia="en-US"/>
        </w:rPr>
      </w:pPr>
      <w:r w:rsidRPr="001D5249">
        <w:rPr>
          <w:b/>
          <w:sz w:val="22"/>
          <w:szCs w:val="22"/>
          <w:lang w:val="en-GB" w:eastAsia="en-US"/>
        </w:rPr>
        <w:t>6.</w:t>
      </w:r>
      <w:r w:rsidRPr="001D5249">
        <w:rPr>
          <w:b/>
          <w:sz w:val="22"/>
          <w:szCs w:val="22"/>
          <w:lang w:val="en-GB" w:eastAsia="en-US"/>
        </w:rPr>
        <w:tab/>
      </w:r>
      <w:r w:rsidRPr="001D5249">
        <w:rPr>
          <w:b/>
          <w:sz w:val="22"/>
          <w:szCs w:val="22"/>
        </w:rPr>
        <w:t>FARMACEUTICKÉ INFORMÁCIE</w:t>
      </w:r>
    </w:p>
    <w:p w:rsidR="00E00E06" w:rsidRPr="001D5249" w:rsidRDefault="00E00E06">
      <w:pPr>
        <w:widowControl w:val="0"/>
        <w:tabs>
          <w:tab w:val="left" w:pos="567"/>
        </w:tabs>
        <w:rPr>
          <w:b/>
          <w:sz w:val="22"/>
          <w:szCs w:val="22"/>
          <w:lang w:val="en-GB" w:eastAsia="en-US"/>
        </w:rPr>
      </w:pPr>
    </w:p>
    <w:p w:rsidR="00E00E06" w:rsidRPr="001D5249" w:rsidRDefault="00E00E06">
      <w:pPr>
        <w:widowControl w:val="0"/>
        <w:tabs>
          <w:tab w:val="left" w:pos="567"/>
        </w:tabs>
        <w:rPr>
          <w:b/>
          <w:sz w:val="22"/>
          <w:szCs w:val="22"/>
          <w:lang w:val="en-GB" w:eastAsia="en-US"/>
        </w:rPr>
      </w:pPr>
      <w:r w:rsidRPr="001D5249">
        <w:rPr>
          <w:b/>
          <w:sz w:val="22"/>
          <w:szCs w:val="22"/>
          <w:lang w:val="en-GB" w:eastAsia="en-US"/>
        </w:rPr>
        <w:t>6.1</w:t>
      </w:r>
      <w:r w:rsidRPr="001D5249">
        <w:rPr>
          <w:b/>
          <w:sz w:val="22"/>
          <w:szCs w:val="22"/>
          <w:lang w:val="en-GB" w:eastAsia="en-US"/>
        </w:rPr>
        <w:tab/>
      </w:r>
      <w:r w:rsidRPr="001D5249">
        <w:rPr>
          <w:b/>
          <w:sz w:val="22"/>
          <w:szCs w:val="22"/>
        </w:rPr>
        <w:t>Zoznam pomocných látok</w:t>
      </w:r>
    </w:p>
    <w:p w:rsidR="00E00E06" w:rsidRPr="001D5249" w:rsidRDefault="00E00E06">
      <w:pPr>
        <w:widowControl w:val="0"/>
        <w:tabs>
          <w:tab w:val="left" w:pos="567"/>
        </w:tabs>
        <w:rPr>
          <w:sz w:val="22"/>
          <w:szCs w:val="22"/>
          <w:lang w:val="en-GB" w:eastAsia="en-US"/>
        </w:rPr>
      </w:pPr>
    </w:p>
    <w:p w:rsidR="00E00E06" w:rsidRPr="001D5249" w:rsidRDefault="00E00E06">
      <w:pPr>
        <w:rPr>
          <w:b/>
          <w:sz w:val="22"/>
          <w:szCs w:val="22"/>
          <w:lang w:val="en-US"/>
        </w:rPr>
      </w:pPr>
      <w:r w:rsidRPr="00E55E5C">
        <w:rPr>
          <w:b/>
          <w:noProof/>
          <w:sz w:val="22"/>
          <w:szCs w:val="22"/>
          <w:lang w:val="en-GB" w:eastAsia="en-US"/>
        </w:rPr>
        <w:t xml:space="preserve">Abrea </w:t>
      </w:r>
      <w:r w:rsidRPr="00E55E5C">
        <w:rPr>
          <w:b/>
          <w:sz w:val="22"/>
          <w:szCs w:val="22"/>
          <w:lang w:val="en-US"/>
        </w:rPr>
        <w:t>75 mg</w:t>
      </w:r>
    </w:p>
    <w:p w:rsidR="00E00E06" w:rsidRPr="001D5249" w:rsidRDefault="00E00E06">
      <w:pPr>
        <w:widowControl w:val="0"/>
        <w:tabs>
          <w:tab w:val="left" w:pos="567"/>
        </w:tabs>
        <w:rPr>
          <w:i/>
          <w:iCs/>
          <w:sz w:val="22"/>
          <w:szCs w:val="22"/>
          <w:u w:val="single"/>
          <w:lang w:val="en-GB"/>
        </w:rPr>
      </w:pPr>
      <w:r w:rsidRPr="001D5249">
        <w:rPr>
          <w:i/>
          <w:iCs/>
          <w:sz w:val="22"/>
          <w:szCs w:val="22"/>
          <w:u w:val="single"/>
          <w:lang w:val="en-GB"/>
        </w:rPr>
        <w:t>Jadro tablety</w:t>
      </w:r>
    </w:p>
    <w:p w:rsidR="00E00E06" w:rsidRPr="001D5249" w:rsidRDefault="00C83B36">
      <w:pPr>
        <w:rPr>
          <w:sz w:val="22"/>
          <w:szCs w:val="22"/>
        </w:rPr>
      </w:pPr>
      <w:r w:rsidRPr="001D5249">
        <w:rPr>
          <w:sz w:val="22"/>
          <w:szCs w:val="22"/>
        </w:rPr>
        <w:t>m</w:t>
      </w:r>
      <w:r w:rsidR="00E00E06" w:rsidRPr="001D5249">
        <w:rPr>
          <w:sz w:val="22"/>
          <w:szCs w:val="22"/>
        </w:rPr>
        <w:t>onohydrát laktózy</w:t>
      </w:r>
    </w:p>
    <w:p w:rsidR="00E00E06" w:rsidRPr="001D5249" w:rsidRDefault="00C83B36">
      <w:pPr>
        <w:rPr>
          <w:sz w:val="22"/>
          <w:szCs w:val="22"/>
        </w:rPr>
      </w:pPr>
      <w:r w:rsidRPr="001D5249">
        <w:rPr>
          <w:sz w:val="22"/>
          <w:szCs w:val="22"/>
        </w:rPr>
        <w:t>m</w:t>
      </w:r>
      <w:r w:rsidR="00E00E06" w:rsidRPr="001D5249">
        <w:rPr>
          <w:sz w:val="22"/>
          <w:szCs w:val="22"/>
        </w:rPr>
        <w:t xml:space="preserve">ikrokryštalická celulóza </w:t>
      </w:r>
    </w:p>
    <w:p w:rsidR="00E00E06" w:rsidRPr="001D5249" w:rsidRDefault="00C83B36">
      <w:pPr>
        <w:rPr>
          <w:sz w:val="22"/>
          <w:szCs w:val="22"/>
        </w:rPr>
      </w:pPr>
      <w:r w:rsidRPr="001D5249">
        <w:rPr>
          <w:sz w:val="22"/>
          <w:szCs w:val="22"/>
        </w:rPr>
        <w:t>k</w:t>
      </w:r>
      <w:r w:rsidR="00E00E06" w:rsidRPr="001D5249">
        <w:rPr>
          <w:sz w:val="22"/>
          <w:szCs w:val="22"/>
        </w:rPr>
        <w:t xml:space="preserve">oloidný oxid kremičitý bezvodý </w:t>
      </w:r>
    </w:p>
    <w:p w:rsidR="00E00E06" w:rsidRPr="001D5249" w:rsidRDefault="00C83B36">
      <w:pPr>
        <w:rPr>
          <w:sz w:val="22"/>
          <w:szCs w:val="22"/>
        </w:rPr>
      </w:pPr>
      <w:r w:rsidRPr="001D5249">
        <w:rPr>
          <w:sz w:val="22"/>
          <w:szCs w:val="22"/>
        </w:rPr>
        <w:t>z</w:t>
      </w:r>
      <w:r w:rsidR="00E00E06" w:rsidRPr="001D5249">
        <w:rPr>
          <w:sz w:val="22"/>
          <w:szCs w:val="22"/>
        </w:rPr>
        <w:t>emiakový škrob</w:t>
      </w:r>
    </w:p>
    <w:p w:rsidR="00E00E06" w:rsidRPr="001D5249" w:rsidRDefault="00E00E06">
      <w:pPr>
        <w:rPr>
          <w:sz w:val="22"/>
          <w:szCs w:val="22"/>
        </w:rPr>
      </w:pPr>
      <w:r w:rsidRPr="001D5249">
        <w:rPr>
          <w:sz w:val="22"/>
          <w:szCs w:val="22"/>
        </w:rPr>
        <w:t>mastenec</w:t>
      </w:r>
    </w:p>
    <w:p w:rsidR="00E00E06" w:rsidRPr="001D5249" w:rsidRDefault="00E00E06">
      <w:pPr>
        <w:rPr>
          <w:sz w:val="22"/>
          <w:szCs w:val="22"/>
        </w:rPr>
      </w:pPr>
      <w:r w:rsidRPr="001D5249">
        <w:rPr>
          <w:sz w:val="22"/>
          <w:szCs w:val="22"/>
        </w:rPr>
        <w:t>triacetín</w:t>
      </w:r>
    </w:p>
    <w:p w:rsidR="00E00E06" w:rsidRPr="001D5249" w:rsidRDefault="00A772EA">
      <w:pPr>
        <w:rPr>
          <w:sz w:val="22"/>
          <w:szCs w:val="22"/>
        </w:rPr>
      </w:pPr>
      <w:r w:rsidRPr="001D5249">
        <w:rPr>
          <w:sz w:val="22"/>
          <w:szCs w:val="22"/>
        </w:rPr>
        <w:t xml:space="preserve">30 % disperzia </w:t>
      </w:r>
      <w:r w:rsidR="00E00E06" w:rsidRPr="001D5249">
        <w:rPr>
          <w:sz w:val="22"/>
          <w:szCs w:val="22"/>
        </w:rPr>
        <w:t>kopolymér</w:t>
      </w:r>
      <w:r w:rsidRPr="001D5249">
        <w:rPr>
          <w:sz w:val="22"/>
          <w:szCs w:val="22"/>
        </w:rPr>
        <w:t>u</w:t>
      </w:r>
      <w:r w:rsidR="00E00E06" w:rsidRPr="001D5249">
        <w:rPr>
          <w:sz w:val="22"/>
          <w:szCs w:val="22"/>
        </w:rPr>
        <w:t xml:space="preserve"> kyseliny metakrylovej </w:t>
      </w:r>
      <w:r w:rsidRPr="001D5249">
        <w:rPr>
          <w:sz w:val="22"/>
          <w:szCs w:val="22"/>
        </w:rPr>
        <w:t>s</w:t>
      </w:r>
      <w:r w:rsidR="00E00E06" w:rsidRPr="001D5249">
        <w:rPr>
          <w:sz w:val="22"/>
          <w:szCs w:val="22"/>
        </w:rPr>
        <w:t xml:space="preserve"> etylakrylát</w:t>
      </w:r>
      <w:r w:rsidRPr="001D5249">
        <w:rPr>
          <w:sz w:val="22"/>
          <w:szCs w:val="22"/>
        </w:rPr>
        <w:t>om</w:t>
      </w:r>
      <w:r w:rsidR="00E00E06" w:rsidRPr="001D5249">
        <w:rPr>
          <w:sz w:val="22"/>
          <w:szCs w:val="22"/>
        </w:rPr>
        <w:t xml:space="preserve"> (1:1) </w:t>
      </w:r>
    </w:p>
    <w:p w:rsidR="00E00E06" w:rsidRPr="001D5249" w:rsidRDefault="00E00E06">
      <w:pPr>
        <w:widowControl w:val="0"/>
        <w:tabs>
          <w:tab w:val="left" w:pos="567"/>
        </w:tabs>
        <w:rPr>
          <w:sz w:val="22"/>
          <w:szCs w:val="22"/>
          <w:lang w:eastAsia="en-US"/>
        </w:rPr>
      </w:pPr>
      <w:r w:rsidRPr="001D5249">
        <w:rPr>
          <w:sz w:val="22"/>
          <w:szCs w:val="22"/>
          <w:lang w:eastAsia="en-US"/>
        </w:rPr>
        <w:t>dodecyls</w:t>
      </w:r>
      <w:r w:rsidR="006A258C">
        <w:rPr>
          <w:sz w:val="22"/>
          <w:szCs w:val="22"/>
          <w:lang w:eastAsia="en-US"/>
        </w:rPr>
        <w:t>íran</w:t>
      </w:r>
      <w:r w:rsidRPr="001D5249">
        <w:rPr>
          <w:sz w:val="22"/>
          <w:szCs w:val="22"/>
          <w:lang w:eastAsia="en-US"/>
        </w:rPr>
        <w:t xml:space="preserve"> sodný*</w:t>
      </w:r>
    </w:p>
    <w:p w:rsidR="00E00E06" w:rsidRPr="001D5249" w:rsidRDefault="00E00E06">
      <w:pPr>
        <w:widowControl w:val="0"/>
        <w:tabs>
          <w:tab w:val="left" w:pos="567"/>
        </w:tabs>
        <w:rPr>
          <w:sz w:val="22"/>
          <w:szCs w:val="22"/>
          <w:lang w:eastAsia="en-US"/>
        </w:rPr>
      </w:pPr>
      <w:r w:rsidRPr="001D5249">
        <w:rPr>
          <w:sz w:val="22"/>
          <w:szCs w:val="22"/>
          <w:lang w:eastAsia="en-US"/>
        </w:rPr>
        <w:t>polysorbát 80*</w:t>
      </w:r>
    </w:p>
    <w:p w:rsidR="00E00E06" w:rsidRPr="001D5249" w:rsidRDefault="00E00E06">
      <w:pPr>
        <w:widowControl w:val="0"/>
        <w:tabs>
          <w:tab w:val="left" w:pos="567"/>
        </w:tabs>
        <w:rPr>
          <w:i/>
          <w:iCs/>
          <w:sz w:val="22"/>
          <w:szCs w:val="22"/>
          <w:u w:val="single"/>
          <w:lang w:val="en-GB"/>
        </w:rPr>
      </w:pPr>
      <w:r w:rsidRPr="001D5249">
        <w:rPr>
          <w:i/>
          <w:iCs/>
          <w:sz w:val="22"/>
          <w:szCs w:val="22"/>
          <w:u w:val="single"/>
          <w:lang w:val="en-GB"/>
        </w:rPr>
        <w:t>Filmový obal</w:t>
      </w:r>
    </w:p>
    <w:p w:rsidR="00E00E06" w:rsidRPr="001D5249" w:rsidRDefault="00E00E06">
      <w:pPr>
        <w:rPr>
          <w:sz w:val="22"/>
          <w:szCs w:val="22"/>
          <w:lang w:val="de-AT"/>
        </w:rPr>
      </w:pPr>
      <w:r w:rsidRPr="001D5249">
        <w:rPr>
          <w:sz w:val="22"/>
          <w:szCs w:val="22"/>
          <w:lang w:val="de-AT"/>
        </w:rPr>
        <w:t>polyvinylalkohol (E1203)</w:t>
      </w:r>
    </w:p>
    <w:p w:rsidR="00E00E06" w:rsidRPr="001D5249" w:rsidRDefault="00E00E06">
      <w:pPr>
        <w:rPr>
          <w:sz w:val="22"/>
          <w:szCs w:val="22"/>
          <w:lang w:val="de-AT"/>
        </w:rPr>
      </w:pPr>
      <w:r w:rsidRPr="001D5249">
        <w:rPr>
          <w:sz w:val="22"/>
          <w:szCs w:val="22"/>
          <w:lang w:val="de-AT"/>
        </w:rPr>
        <w:t>oxid titaničitý (E171)</w:t>
      </w:r>
    </w:p>
    <w:p w:rsidR="00E00E06" w:rsidRPr="001D5249" w:rsidRDefault="00E00E06">
      <w:pPr>
        <w:rPr>
          <w:sz w:val="22"/>
          <w:szCs w:val="22"/>
          <w:lang w:val="pt-PT"/>
        </w:rPr>
      </w:pPr>
      <w:r w:rsidRPr="001D5249">
        <w:rPr>
          <w:sz w:val="22"/>
          <w:szCs w:val="22"/>
          <w:lang w:val="pt-PT"/>
        </w:rPr>
        <w:t>makrogol 3350 (E1521)</w:t>
      </w:r>
    </w:p>
    <w:p w:rsidR="00E00E06" w:rsidRPr="001D5249" w:rsidRDefault="00E00E06">
      <w:pPr>
        <w:rPr>
          <w:sz w:val="22"/>
          <w:szCs w:val="22"/>
          <w:lang w:val="pt-PT"/>
        </w:rPr>
      </w:pPr>
      <w:r w:rsidRPr="001D5249">
        <w:rPr>
          <w:sz w:val="22"/>
          <w:szCs w:val="22"/>
          <w:lang w:val="pt-PT"/>
        </w:rPr>
        <w:t>karmín (E120)</w:t>
      </w:r>
    </w:p>
    <w:p w:rsidR="00E00E06" w:rsidRPr="001D5249" w:rsidRDefault="00E00E06">
      <w:pPr>
        <w:rPr>
          <w:sz w:val="22"/>
          <w:szCs w:val="22"/>
          <w:lang w:val="pt-PT"/>
        </w:rPr>
      </w:pPr>
      <w:r w:rsidRPr="001D5249">
        <w:rPr>
          <w:sz w:val="22"/>
          <w:szCs w:val="22"/>
          <w:lang w:val="pt-PT"/>
        </w:rPr>
        <w:t>oranžová žlť</w:t>
      </w:r>
      <w:r w:rsidR="00FF46BC">
        <w:rPr>
          <w:sz w:val="22"/>
          <w:szCs w:val="22"/>
          <w:lang w:val="pt-PT"/>
        </w:rPr>
        <w:t>,</w:t>
      </w:r>
      <w:r w:rsidRPr="001D5249">
        <w:rPr>
          <w:sz w:val="22"/>
          <w:szCs w:val="22"/>
          <w:lang w:val="pt-PT"/>
        </w:rPr>
        <w:t xml:space="preserve"> hlinitý lak (E110)</w:t>
      </w:r>
    </w:p>
    <w:p w:rsidR="00E00E06" w:rsidRPr="001D5249" w:rsidRDefault="00E00E06">
      <w:pPr>
        <w:widowControl w:val="0"/>
        <w:tabs>
          <w:tab w:val="left" w:pos="567"/>
        </w:tabs>
        <w:rPr>
          <w:b/>
          <w:sz w:val="22"/>
          <w:szCs w:val="22"/>
          <w:lang w:val="pt-PT" w:eastAsia="en-US"/>
        </w:rPr>
      </w:pPr>
    </w:p>
    <w:p w:rsidR="00E00E06" w:rsidRPr="00E55E5C" w:rsidRDefault="00E00E06">
      <w:pPr>
        <w:rPr>
          <w:b/>
          <w:sz w:val="22"/>
          <w:szCs w:val="22"/>
          <w:lang w:val="en-US"/>
        </w:rPr>
      </w:pPr>
      <w:r w:rsidRPr="00E55E5C">
        <w:rPr>
          <w:b/>
          <w:noProof/>
          <w:sz w:val="22"/>
          <w:szCs w:val="22"/>
          <w:lang w:val="en-GB" w:eastAsia="en-US"/>
        </w:rPr>
        <w:t xml:space="preserve">Abrea </w:t>
      </w:r>
      <w:r w:rsidRPr="00E55E5C">
        <w:rPr>
          <w:b/>
          <w:sz w:val="22"/>
          <w:szCs w:val="22"/>
          <w:lang w:val="en-US"/>
        </w:rPr>
        <w:t>100 mg</w:t>
      </w:r>
    </w:p>
    <w:p w:rsidR="00E00E06" w:rsidRPr="00E55E5C" w:rsidRDefault="00E00E06">
      <w:pPr>
        <w:rPr>
          <w:i/>
          <w:sz w:val="22"/>
          <w:szCs w:val="22"/>
          <w:u w:val="single"/>
        </w:rPr>
      </w:pPr>
      <w:r w:rsidRPr="00E55E5C">
        <w:rPr>
          <w:i/>
          <w:sz w:val="22"/>
          <w:szCs w:val="22"/>
          <w:u w:val="single"/>
        </w:rPr>
        <w:t>Jadro tablety</w:t>
      </w:r>
    </w:p>
    <w:p w:rsidR="00E00E06" w:rsidRPr="00E55E5C" w:rsidRDefault="00C83B36">
      <w:pPr>
        <w:rPr>
          <w:sz w:val="22"/>
          <w:szCs w:val="22"/>
        </w:rPr>
      </w:pPr>
      <w:r w:rsidRPr="001D5249">
        <w:rPr>
          <w:sz w:val="22"/>
          <w:szCs w:val="22"/>
        </w:rPr>
        <w:t>m</w:t>
      </w:r>
      <w:r w:rsidR="00E00E06" w:rsidRPr="00E55E5C">
        <w:rPr>
          <w:sz w:val="22"/>
          <w:szCs w:val="22"/>
        </w:rPr>
        <w:t>onohydrát laktózy</w:t>
      </w:r>
    </w:p>
    <w:p w:rsidR="00E00E06" w:rsidRPr="00E55E5C" w:rsidRDefault="00C83B36">
      <w:pPr>
        <w:rPr>
          <w:sz w:val="22"/>
          <w:szCs w:val="22"/>
        </w:rPr>
      </w:pPr>
      <w:r w:rsidRPr="001D5249">
        <w:rPr>
          <w:sz w:val="22"/>
          <w:szCs w:val="22"/>
        </w:rPr>
        <w:t>m</w:t>
      </w:r>
      <w:r w:rsidR="00E00E06" w:rsidRPr="00E55E5C">
        <w:rPr>
          <w:sz w:val="22"/>
          <w:szCs w:val="22"/>
        </w:rPr>
        <w:t xml:space="preserve">ikrokryštalická celulóza </w:t>
      </w:r>
    </w:p>
    <w:p w:rsidR="00E00E06" w:rsidRPr="00E55E5C" w:rsidRDefault="00C83B36">
      <w:pPr>
        <w:rPr>
          <w:sz w:val="22"/>
          <w:szCs w:val="22"/>
        </w:rPr>
      </w:pPr>
      <w:r w:rsidRPr="001D5249">
        <w:rPr>
          <w:sz w:val="22"/>
          <w:szCs w:val="22"/>
        </w:rPr>
        <w:t>k</w:t>
      </w:r>
      <w:r w:rsidR="00E00E06" w:rsidRPr="00E55E5C">
        <w:rPr>
          <w:sz w:val="22"/>
          <w:szCs w:val="22"/>
        </w:rPr>
        <w:t xml:space="preserve">oloidný oxid kremičitý bezvodý </w:t>
      </w:r>
    </w:p>
    <w:p w:rsidR="00E00E06" w:rsidRPr="00E55E5C" w:rsidRDefault="00C83B36">
      <w:pPr>
        <w:rPr>
          <w:sz w:val="22"/>
          <w:szCs w:val="22"/>
        </w:rPr>
      </w:pPr>
      <w:r w:rsidRPr="001D5249">
        <w:rPr>
          <w:sz w:val="22"/>
          <w:szCs w:val="22"/>
        </w:rPr>
        <w:t>z</w:t>
      </w:r>
      <w:r w:rsidR="00E00E06" w:rsidRPr="00E55E5C">
        <w:rPr>
          <w:sz w:val="22"/>
          <w:szCs w:val="22"/>
        </w:rPr>
        <w:t>emiakový škrob</w:t>
      </w:r>
    </w:p>
    <w:p w:rsidR="00E00E06" w:rsidRPr="001D5249" w:rsidRDefault="00E00E06">
      <w:pPr>
        <w:widowControl w:val="0"/>
        <w:tabs>
          <w:tab w:val="left" w:pos="567"/>
        </w:tabs>
        <w:rPr>
          <w:i/>
          <w:iCs/>
          <w:sz w:val="22"/>
          <w:szCs w:val="22"/>
          <w:u w:val="single"/>
          <w:lang w:val="en-GB"/>
        </w:rPr>
      </w:pPr>
      <w:r w:rsidRPr="00E55E5C">
        <w:rPr>
          <w:i/>
          <w:iCs/>
          <w:sz w:val="22"/>
          <w:szCs w:val="22"/>
          <w:u w:val="single"/>
          <w:lang w:val="en-GB"/>
        </w:rPr>
        <w:t>Filmový obal</w:t>
      </w:r>
    </w:p>
    <w:p w:rsidR="00E00E06" w:rsidRPr="00E55E5C" w:rsidRDefault="00E00E06">
      <w:pPr>
        <w:rPr>
          <w:sz w:val="22"/>
          <w:szCs w:val="22"/>
        </w:rPr>
      </w:pPr>
      <w:r w:rsidRPr="00E55E5C">
        <w:rPr>
          <w:sz w:val="22"/>
          <w:szCs w:val="22"/>
        </w:rPr>
        <w:t>mastenec</w:t>
      </w:r>
    </w:p>
    <w:p w:rsidR="00E00E06" w:rsidRPr="00E55E5C" w:rsidRDefault="00E00E06">
      <w:pPr>
        <w:rPr>
          <w:sz w:val="22"/>
          <w:szCs w:val="22"/>
        </w:rPr>
      </w:pPr>
      <w:r w:rsidRPr="00E55E5C">
        <w:rPr>
          <w:sz w:val="22"/>
          <w:szCs w:val="22"/>
        </w:rPr>
        <w:t>triacetín</w:t>
      </w:r>
    </w:p>
    <w:p w:rsidR="00E00E06" w:rsidRPr="00E55E5C" w:rsidRDefault="00A772EA">
      <w:pPr>
        <w:rPr>
          <w:sz w:val="22"/>
          <w:szCs w:val="22"/>
        </w:rPr>
      </w:pPr>
      <w:r w:rsidRPr="001D5249">
        <w:rPr>
          <w:sz w:val="22"/>
          <w:szCs w:val="22"/>
        </w:rPr>
        <w:t xml:space="preserve">30 % disperzia </w:t>
      </w:r>
      <w:r w:rsidR="00E00E06" w:rsidRPr="00E55E5C">
        <w:rPr>
          <w:sz w:val="22"/>
          <w:szCs w:val="22"/>
        </w:rPr>
        <w:t>kopolymér</w:t>
      </w:r>
      <w:r w:rsidRPr="001D5249">
        <w:rPr>
          <w:sz w:val="22"/>
          <w:szCs w:val="22"/>
        </w:rPr>
        <w:t>u</w:t>
      </w:r>
      <w:r w:rsidR="00E00E06" w:rsidRPr="00E55E5C">
        <w:rPr>
          <w:sz w:val="22"/>
          <w:szCs w:val="22"/>
        </w:rPr>
        <w:t xml:space="preserve"> kyseliny metakrylovej </w:t>
      </w:r>
      <w:r w:rsidRPr="001D5249">
        <w:rPr>
          <w:sz w:val="22"/>
          <w:szCs w:val="22"/>
        </w:rPr>
        <w:t>s</w:t>
      </w:r>
      <w:r w:rsidR="00E00E06" w:rsidRPr="00E55E5C">
        <w:rPr>
          <w:sz w:val="22"/>
          <w:szCs w:val="22"/>
        </w:rPr>
        <w:t xml:space="preserve"> etylakrylát</w:t>
      </w:r>
      <w:r w:rsidRPr="001D5249">
        <w:rPr>
          <w:sz w:val="22"/>
          <w:szCs w:val="22"/>
        </w:rPr>
        <w:t>om</w:t>
      </w:r>
      <w:r w:rsidR="00E00E06" w:rsidRPr="00E55E5C">
        <w:rPr>
          <w:sz w:val="22"/>
          <w:szCs w:val="22"/>
        </w:rPr>
        <w:t xml:space="preserve"> (1:1)</w:t>
      </w:r>
    </w:p>
    <w:p w:rsidR="00E00E06" w:rsidRPr="00E55E5C" w:rsidRDefault="00E00E06">
      <w:pPr>
        <w:widowControl w:val="0"/>
        <w:tabs>
          <w:tab w:val="left" w:pos="567"/>
        </w:tabs>
        <w:rPr>
          <w:sz w:val="22"/>
          <w:szCs w:val="22"/>
          <w:lang w:eastAsia="en-US"/>
        </w:rPr>
      </w:pPr>
      <w:r w:rsidRPr="00E55E5C">
        <w:rPr>
          <w:sz w:val="22"/>
          <w:szCs w:val="22"/>
        </w:rPr>
        <w:t>dodecyls</w:t>
      </w:r>
      <w:r w:rsidR="006A258C">
        <w:rPr>
          <w:sz w:val="22"/>
          <w:szCs w:val="22"/>
        </w:rPr>
        <w:t>íran</w:t>
      </w:r>
      <w:r w:rsidRPr="00E55E5C">
        <w:rPr>
          <w:sz w:val="22"/>
          <w:szCs w:val="22"/>
        </w:rPr>
        <w:t xml:space="preserve"> sodný</w:t>
      </w:r>
      <w:r w:rsidRPr="00E55E5C">
        <w:rPr>
          <w:sz w:val="22"/>
          <w:szCs w:val="22"/>
          <w:lang w:eastAsia="en-US"/>
        </w:rPr>
        <w:t xml:space="preserve"> *</w:t>
      </w:r>
    </w:p>
    <w:p w:rsidR="00E00E06" w:rsidRPr="00E55E5C" w:rsidRDefault="00E00E06">
      <w:pPr>
        <w:widowControl w:val="0"/>
        <w:tabs>
          <w:tab w:val="left" w:pos="567"/>
        </w:tabs>
        <w:rPr>
          <w:sz w:val="22"/>
          <w:szCs w:val="22"/>
          <w:lang w:eastAsia="en-US"/>
        </w:rPr>
      </w:pPr>
      <w:r w:rsidRPr="00E55E5C">
        <w:rPr>
          <w:sz w:val="22"/>
          <w:szCs w:val="22"/>
          <w:lang w:eastAsia="en-US"/>
        </w:rPr>
        <w:t>polysorbát 80*</w:t>
      </w:r>
    </w:p>
    <w:p w:rsidR="00E00E06" w:rsidRPr="00E55E5C" w:rsidRDefault="00E00E06">
      <w:pPr>
        <w:widowControl w:val="0"/>
        <w:tabs>
          <w:tab w:val="left" w:pos="567"/>
        </w:tabs>
        <w:rPr>
          <w:sz w:val="22"/>
          <w:szCs w:val="22"/>
          <w:lang w:eastAsia="en-US"/>
        </w:rPr>
      </w:pPr>
    </w:p>
    <w:p w:rsidR="00E00E06" w:rsidRPr="00E55E5C" w:rsidRDefault="00E00E06">
      <w:pPr>
        <w:rPr>
          <w:b/>
          <w:sz w:val="22"/>
          <w:szCs w:val="22"/>
          <w:lang w:val="en-US"/>
        </w:rPr>
      </w:pPr>
      <w:r w:rsidRPr="00E55E5C">
        <w:rPr>
          <w:b/>
          <w:noProof/>
          <w:sz w:val="22"/>
          <w:szCs w:val="22"/>
          <w:lang w:val="en-GB" w:eastAsia="en-US"/>
        </w:rPr>
        <w:t xml:space="preserve">Abrea </w:t>
      </w:r>
      <w:r w:rsidRPr="00E55E5C">
        <w:rPr>
          <w:b/>
          <w:sz w:val="22"/>
          <w:szCs w:val="22"/>
          <w:lang w:val="en-US"/>
        </w:rPr>
        <w:t>160 mg</w:t>
      </w:r>
    </w:p>
    <w:p w:rsidR="00E00E06" w:rsidRPr="00E55E5C" w:rsidRDefault="00160CB2">
      <w:pPr>
        <w:widowControl w:val="0"/>
        <w:tabs>
          <w:tab w:val="left" w:pos="567"/>
        </w:tabs>
        <w:rPr>
          <w:i/>
          <w:iCs/>
          <w:sz w:val="22"/>
          <w:szCs w:val="22"/>
          <w:u w:val="single"/>
          <w:lang w:val="en-GB"/>
        </w:rPr>
      </w:pPr>
      <w:r w:rsidRPr="001D5249">
        <w:rPr>
          <w:i/>
          <w:iCs/>
          <w:sz w:val="22"/>
          <w:szCs w:val="22"/>
          <w:u w:val="single"/>
          <w:lang w:val="en-GB"/>
        </w:rPr>
        <w:t>Jadro tablety</w:t>
      </w:r>
    </w:p>
    <w:p w:rsidR="00E00E06" w:rsidRPr="00E55E5C" w:rsidRDefault="00C83B36">
      <w:pPr>
        <w:rPr>
          <w:sz w:val="22"/>
          <w:szCs w:val="22"/>
        </w:rPr>
      </w:pPr>
      <w:r w:rsidRPr="001D5249">
        <w:rPr>
          <w:sz w:val="22"/>
          <w:szCs w:val="22"/>
        </w:rPr>
        <w:t>m</w:t>
      </w:r>
      <w:r w:rsidR="00E00E06" w:rsidRPr="00E55E5C">
        <w:rPr>
          <w:sz w:val="22"/>
          <w:szCs w:val="22"/>
        </w:rPr>
        <w:t>onohydrát laktózy</w:t>
      </w:r>
    </w:p>
    <w:p w:rsidR="00E00E06" w:rsidRPr="00E55E5C" w:rsidRDefault="00C83B36">
      <w:pPr>
        <w:rPr>
          <w:sz w:val="22"/>
          <w:szCs w:val="22"/>
        </w:rPr>
      </w:pPr>
      <w:r w:rsidRPr="001D5249">
        <w:rPr>
          <w:sz w:val="22"/>
          <w:szCs w:val="22"/>
        </w:rPr>
        <w:t>m</w:t>
      </w:r>
      <w:r w:rsidR="00E00E06" w:rsidRPr="00E55E5C">
        <w:rPr>
          <w:sz w:val="22"/>
          <w:szCs w:val="22"/>
        </w:rPr>
        <w:t xml:space="preserve">ikrokryštalická celulóza </w:t>
      </w:r>
    </w:p>
    <w:p w:rsidR="00E00E06" w:rsidRPr="00E55E5C" w:rsidRDefault="00C83B36">
      <w:pPr>
        <w:rPr>
          <w:sz w:val="22"/>
          <w:szCs w:val="22"/>
        </w:rPr>
      </w:pPr>
      <w:r w:rsidRPr="001D5249">
        <w:rPr>
          <w:sz w:val="22"/>
          <w:szCs w:val="22"/>
        </w:rPr>
        <w:t>k</w:t>
      </w:r>
      <w:r w:rsidR="00E00E06" w:rsidRPr="00E55E5C">
        <w:rPr>
          <w:sz w:val="22"/>
          <w:szCs w:val="22"/>
        </w:rPr>
        <w:t xml:space="preserve">oloidný oxid kremičitý bezvodý </w:t>
      </w:r>
    </w:p>
    <w:p w:rsidR="00E00E06" w:rsidRPr="00E55E5C" w:rsidRDefault="00C83B36">
      <w:pPr>
        <w:rPr>
          <w:sz w:val="22"/>
          <w:szCs w:val="22"/>
        </w:rPr>
      </w:pPr>
      <w:r w:rsidRPr="001D5249">
        <w:rPr>
          <w:sz w:val="22"/>
          <w:szCs w:val="22"/>
        </w:rPr>
        <w:t>z</w:t>
      </w:r>
      <w:r w:rsidR="00E00E06" w:rsidRPr="00E55E5C">
        <w:rPr>
          <w:sz w:val="22"/>
          <w:szCs w:val="22"/>
        </w:rPr>
        <w:t>emiakový škrob</w:t>
      </w:r>
    </w:p>
    <w:p w:rsidR="00E00E06" w:rsidRPr="00E55E5C" w:rsidRDefault="00E00E06">
      <w:pPr>
        <w:rPr>
          <w:sz w:val="22"/>
          <w:szCs w:val="22"/>
        </w:rPr>
      </w:pPr>
      <w:r w:rsidRPr="00E55E5C">
        <w:rPr>
          <w:sz w:val="22"/>
          <w:szCs w:val="22"/>
        </w:rPr>
        <w:t>mastenec</w:t>
      </w:r>
    </w:p>
    <w:p w:rsidR="00E00E06" w:rsidRPr="00E55E5C" w:rsidRDefault="00E00E06">
      <w:pPr>
        <w:rPr>
          <w:sz w:val="22"/>
          <w:szCs w:val="22"/>
        </w:rPr>
      </w:pPr>
      <w:r w:rsidRPr="00E55E5C">
        <w:rPr>
          <w:sz w:val="22"/>
          <w:szCs w:val="22"/>
        </w:rPr>
        <w:t>triacetín</w:t>
      </w:r>
    </w:p>
    <w:p w:rsidR="00E00E06" w:rsidRPr="00E55E5C" w:rsidRDefault="00C83B36">
      <w:pPr>
        <w:rPr>
          <w:sz w:val="22"/>
          <w:szCs w:val="22"/>
        </w:rPr>
      </w:pPr>
      <w:r w:rsidRPr="001D5249">
        <w:rPr>
          <w:sz w:val="22"/>
          <w:szCs w:val="22"/>
        </w:rPr>
        <w:lastRenderedPageBreak/>
        <w:t xml:space="preserve">30 % disperzia </w:t>
      </w:r>
      <w:r w:rsidR="00E00E06" w:rsidRPr="00E55E5C">
        <w:rPr>
          <w:sz w:val="22"/>
          <w:szCs w:val="22"/>
        </w:rPr>
        <w:t>kopolymér</w:t>
      </w:r>
      <w:r w:rsidRPr="001D5249">
        <w:rPr>
          <w:sz w:val="22"/>
          <w:szCs w:val="22"/>
        </w:rPr>
        <w:t>u</w:t>
      </w:r>
      <w:r w:rsidR="00E00E06" w:rsidRPr="00E55E5C">
        <w:rPr>
          <w:sz w:val="22"/>
          <w:szCs w:val="22"/>
        </w:rPr>
        <w:t xml:space="preserve"> kyseliny metakrylovej </w:t>
      </w:r>
      <w:r w:rsidRPr="001D5249">
        <w:rPr>
          <w:sz w:val="22"/>
          <w:szCs w:val="22"/>
        </w:rPr>
        <w:t>s</w:t>
      </w:r>
      <w:r w:rsidR="00E00E06" w:rsidRPr="00E55E5C">
        <w:rPr>
          <w:sz w:val="22"/>
          <w:szCs w:val="22"/>
        </w:rPr>
        <w:t xml:space="preserve"> etylakrylát</w:t>
      </w:r>
      <w:r w:rsidRPr="001D5249">
        <w:rPr>
          <w:sz w:val="22"/>
          <w:szCs w:val="22"/>
        </w:rPr>
        <w:t>om</w:t>
      </w:r>
      <w:r w:rsidR="00E00E06" w:rsidRPr="00E55E5C">
        <w:rPr>
          <w:sz w:val="22"/>
          <w:szCs w:val="22"/>
        </w:rPr>
        <w:t xml:space="preserve"> (1:1)</w:t>
      </w:r>
    </w:p>
    <w:p w:rsidR="00E00E06" w:rsidRPr="00E55E5C" w:rsidRDefault="00E00E06">
      <w:pPr>
        <w:widowControl w:val="0"/>
        <w:tabs>
          <w:tab w:val="left" w:pos="567"/>
        </w:tabs>
        <w:rPr>
          <w:sz w:val="22"/>
          <w:szCs w:val="22"/>
          <w:lang w:eastAsia="en-US"/>
        </w:rPr>
      </w:pPr>
      <w:r w:rsidRPr="00E55E5C">
        <w:rPr>
          <w:sz w:val="22"/>
          <w:szCs w:val="22"/>
        </w:rPr>
        <w:t>dodecyls</w:t>
      </w:r>
      <w:r w:rsidR="006A258C">
        <w:rPr>
          <w:sz w:val="22"/>
          <w:szCs w:val="22"/>
        </w:rPr>
        <w:t>íran</w:t>
      </w:r>
      <w:r w:rsidRPr="00E55E5C">
        <w:rPr>
          <w:sz w:val="22"/>
          <w:szCs w:val="22"/>
        </w:rPr>
        <w:t xml:space="preserve"> sodný</w:t>
      </w:r>
      <w:r w:rsidRPr="00E55E5C">
        <w:rPr>
          <w:sz w:val="22"/>
          <w:szCs w:val="22"/>
          <w:lang w:eastAsia="en-US"/>
        </w:rPr>
        <w:t xml:space="preserve"> *</w:t>
      </w:r>
    </w:p>
    <w:p w:rsidR="00E00E06" w:rsidRPr="00E55E5C" w:rsidRDefault="00E00E06">
      <w:pPr>
        <w:widowControl w:val="0"/>
        <w:tabs>
          <w:tab w:val="left" w:pos="567"/>
        </w:tabs>
        <w:rPr>
          <w:sz w:val="22"/>
          <w:szCs w:val="22"/>
          <w:lang w:eastAsia="en-US"/>
        </w:rPr>
      </w:pPr>
      <w:r w:rsidRPr="00E55E5C">
        <w:rPr>
          <w:sz w:val="22"/>
          <w:szCs w:val="22"/>
          <w:lang w:eastAsia="en-US"/>
        </w:rPr>
        <w:t>polysorbát 80*</w:t>
      </w:r>
    </w:p>
    <w:p w:rsidR="00E00E06" w:rsidRPr="001D5249" w:rsidRDefault="00E00E06">
      <w:pPr>
        <w:widowControl w:val="0"/>
        <w:tabs>
          <w:tab w:val="left" w:pos="567"/>
        </w:tabs>
        <w:rPr>
          <w:i/>
          <w:iCs/>
          <w:sz w:val="22"/>
          <w:szCs w:val="22"/>
          <w:u w:val="single"/>
          <w:lang w:val="en-GB"/>
        </w:rPr>
      </w:pPr>
      <w:r w:rsidRPr="00E55E5C">
        <w:rPr>
          <w:i/>
          <w:iCs/>
          <w:sz w:val="22"/>
          <w:szCs w:val="22"/>
          <w:u w:val="single"/>
          <w:lang w:val="en-GB"/>
        </w:rPr>
        <w:t>Filmový obal</w:t>
      </w:r>
    </w:p>
    <w:p w:rsidR="00E00E06" w:rsidRPr="00E55E5C" w:rsidRDefault="00E00E06">
      <w:pPr>
        <w:rPr>
          <w:sz w:val="22"/>
          <w:szCs w:val="22"/>
          <w:lang w:val="de-AT"/>
        </w:rPr>
      </w:pPr>
      <w:r w:rsidRPr="00E55E5C">
        <w:rPr>
          <w:sz w:val="22"/>
          <w:szCs w:val="22"/>
          <w:lang w:val="de-AT"/>
        </w:rPr>
        <w:t>polyvinylalkohol (E1203)</w:t>
      </w:r>
    </w:p>
    <w:p w:rsidR="00E00E06" w:rsidRPr="00E55E5C" w:rsidRDefault="00E00E06">
      <w:pPr>
        <w:rPr>
          <w:sz w:val="22"/>
          <w:szCs w:val="22"/>
          <w:lang w:val="de-AT"/>
        </w:rPr>
      </w:pPr>
      <w:r w:rsidRPr="00E55E5C">
        <w:rPr>
          <w:sz w:val="22"/>
          <w:szCs w:val="22"/>
          <w:lang w:val="de-AT"/>
        </w:rPr>
        <w:t>oxid titaničitý (E171)</w:t>
      </w:r>
    </w:p>
    <w:p w:rsidR="00E00E06" w:rsidRPr="00E55E5C" w:rsidRDefault="00E00E06">
      <w:pPr>
        <w:rPr>
          <w:sz w:val="22"/>
          <w:szCs w:val="22"/>
        </w:rPr>
      </w:pPr>
      <w:r w:rsidRPr="00E55E5C">
        <w:rPr>
          <w:sz w:val="22"/>
          <w:szCs w:val="22"/>
        </w:rPr>
        <w:t>makrogol 3350 (E1521)</w:t>
      </w:r>
    </w:p>
    <w:p w:rsidR="00E00E06" w:rsidRPr="00E55E5C" w:rsidRDefault="00E00E06">
      <w:pPr>
        <w:rPr>
          <w:sz w:val="22"/>
          <w:szCs w:val="22"/>
        </w:rPr>
      </w:pPr>
      <w:r w:rsidRPr="00E55E5C">
        <w:rPr>
          <w:sz w:val="22"/>
          <w:szCs w:val="22"/>
        </w:rPr>
        <w:t>sójový lecitín (E322)</w:t>
      </w:r>
    </w:p>
    <w:p w:rsidR="00E00E06" w:rsidRPr="001D5249" w:rsidRDefault="00E00E06">
      <w:pPr>
        <w:rPr>
          <w:sz w:val="22"/>
          <w:szCs w:val="22"/>
        </w:rPr>
      </w:pPr>
      <w:r w:rsidRPr="00E55E5C">
        <w:rPr>
          <w:sz w:val="22"/>
          <w:szCs w:val="22"/>
        </w:rPr>
        <w:t>žltý oxid železitý (E172)</w:t>
      </w:r>
    </w:p>
    <w:p w:rsidR="00E00E06" w:rsidRPr="001D5249" w:rsidRDefault="00E00E06">
      <w:pPr>
        <w:widowControl w:val="0"/>
        <w:tabs>
          <w:tab w:val="left" w:pos="567"/>
        </w:tabs>
        <w:rPr>
          <w:b/>
          <w:sz w:val="22"/>
          <w:szCs w:val="22"/>
          <w:lang w:eastAsia="en-US"/>
        </w:rPr>
      </w:pPr>
    </w:p>
    <w:p w:rsidR="00E00E06" w:rsidRPr="001D5249" w:rsidRDefault="00E00E06">
      <w:pPr>
        <w:tabs>
          <w:tab w:val="left" w:pos="284"/>
        </w:tabs>
        <w:autoSpaceDE w:val="0"/>
        <w:autoSpaceDN w:val="0"/>
        <w:adjustRightInd w:val="0"/>
        <w:rPr>
          <w:sz w:val="22"/>
          <w:szCs w:val="22"/>
          <w:lang w:val="en-US" w:eastAsia="es-ES"/>
        </w:rPr>
      </w:pPr>
      <w:r w:rsidRPr="001D5249">
        <w:rPr>
          <w:sz w:val="22"/>
          <w:szCs w:val="22"/>
          <w:lang w:eastAsia="en-US"/>
        </w:rPr>
        <w:t>*</w:t>
      </w:r>
      <w:r w:rsidRPr="001D5249">
        <w:rPr>
          <w:sz w:val="22"/>
          <w:szCs w:val="22"/>
          <w:lang w:eastAsia="en-US"/>
        </w:rPr>
        <w:tab/>
        <w:t>Môže obsahovať dodecyls</w:t>
      </w:r>
      <w:r w:rsidR="002541EC">
        <w:rPr>
          <w:sz w:val="22"/>
          <w:szCs w:val="22"/>
          <w:lang w:eastAsia="en-US"/>
        </w:rPr>
        <w:t>íran</w:t>
      </w:r>
      <w:r w:rsidRPr="001D5249">
        <w:rPr>
          <w:sz w:val="22"/>
          <w:szCs w:val="22"/>
          <w:lang w:eastAsia="en-US"/>
        </w:rPr>
        <w:t xml:space="preserve"> sodný a polysorbát</w:t>
      </w:r>
      <w:r w:rsidRPr="001D5249">
        <w:rPr>
          <w:sz w:val="22"/>
          <w:szCs w:val="22"/>
          <w:lang w:val="en-US" w:eastAsia="es-ES"/>
        </w:rPr>
        <w:t xml:space="preserve"> 80</w:t>
      </w:r>
    </w:p>
    <w:p w:rsidR="00E00E06" w:rsidRPr="001D5249" w:rsidRDefault="00E00E06">
      <w:pPr>
        <w:widowControl w:val="0"/>
        <w:tabs>
          <w:tab w:val="left" w:pos="567"/>
        </w:tabs>
        <w:rPr>
          <w:b/>
          <w:sz w:val="22"/>
          <w:szCs w:val="22"/>
          <w:lang w:eastAsia="en-US"/>
        </w:rPr>
      </w:pPr>
    </w:p>
    <w:p w:rsidR="00E00E06" w:rsidRPr="001D5249" w:rsidRDefault="00E00E06">
      <w:pPr>
        <w:widowControl w:val="0"/>
        <w:tabs>
          <w:tab w:val="left" w:pos="567"/>
        </w:tabs>
        <w:rPr>
          <w:sz w:val="22"/>
          <w:szCs w:val="22"/>
          <w:lang w:val="en-GB" w:eastAsia="en-US"/>
        </w:rPr>
      </w:pPr>
      <w:r w:rsidRPr="001D5249">
        <w:rPr>
          <w:b/>
          <w:sz w:val="22"/>
          <w:szCs w:val="22"/>
          <w:lang w:val="en-GB" w:eastAsia="en-US"/>
        </w:rPr>
        <w:t>6.2</w:t>
      </w:r>
      <w:r w:rsidRPr="001D5249">
        <w:rPr>
          <w:b/>
          <w:sz w:val="22"/>
          <w:szCs w:val="22"/>
          <w:lang w:val="en-GB" w:eastAsia="en-US"/>
        </w:rPr>
        <w:tab/>
      </w:r>
      <w:r w:rsidRPr="001D5249">
        <w:rPr>
          <w:b/>
          <w:sz w:val="22"/>
          <w:szCs w:val="22"/>
        </w:rPr>
        <w:t>Inkompatibility</w:t>
      </w:r>
    </w:p>
    <w:p w:rsidR="00E00E06" w:rsidRPr="001D5249" w:rsidRDefault="00E00E06">
      <w:pPr>
        <w:widowControl w:val="0"/>
        <w:tabs>
          <w:tab w:val="left" w:pos="567"/>
        </w:tabs>
        <w:rPr>
          <w:sz w:val="22"/>
          <w:szCs w:val="22"/>
          <w:lang w:val="en-GB" w:eastAsia="en-US"/>
        </w:rPr>
      </w:pPr>
    </w:p>
    <w:p w:rsidR="00E00E06" w:rsidRPr="001D5249" w:rsidRDefault="00E00E06">
      <w:pPr>
        <w:widowControl w:val="0"/>
        <w:tabs>
          <w:tab w:val="left" w:pos="567"/>
        </w:tabs>
        <w:rPr>
          <w:sz w:val="22"/>
          <w:szCs w:val="22"/>
          <w:lang w:val="en-GB" w:eastAsia="en-US"/>
        </w:rPr>
      </w:pPr>
      <w:r w:rsidRPr="001D5249">
        <w:rPr>
          <w:sz w:val="22"/>
          <w:szCs w:val="22"/>
          <w:lang w:val="en-GB" w:eastAsia="en-US"/>
        </w:rPr>
        <w:t>Neaplikovateľné.</w:t>
      </w:r>
    </w:p>
    <w:p w:rsidR="00E00E06" w:rsidRPr="001D5249" w:rsidRDefault="00E00E06">
      <w:pPr>
        <w:widowControl w:val="0"/>
        <w:tabs>
          <w:tab w:val="left" w:pos="567"/>
        </w:tabs>
        <w:rPr>
          <w:sz w:val="22"/>
          <w:szCs w:val="22"/>
          <w:lang w:val="en-GB" w:eastAsia="en-US"/>
        </w:rPr>
      </w:pPr>
    </w:p>
    <w:p w:rsidR="00E00E06" w:rsidRPr="001D5249" w:rsidRDefault="00E00E06">
      <w:pPr>
        <w:widowControl w:val="0"/>
        <w:tabs>
          <w:tab w:val="left" w:pos="567"/>
        </w:tabs>
        <w:rPr>
          <w:sz w:val="22"/>
          <w:szCs w:val="22"/>
          <w:lang w:val="en-GB" w:eastAsia="en-US"/>
        </w:rPr>
      </w:pPr>
      <w:r w:rsidRPr="001D5249">
        <w:rPr>
          <w:b/>
          <w:sz w:val="22"/>
          <w:szCs w:val="22"/>
          <w:lang w:val="en-GB" w:eastAsia="en-US"/>
        </w:rPr>
        <w:t>6.3</w:t>
      </w:r>
      <w:r w:rsidRPr="001D5249">
        <w:rPr>
          <w:b/>
          <w:sz w:val="22"/>
          <w:szCs w:val="22"/>
          <w:lang w:val="en-GB" w:eastAsia="en-US"/>
        </w:rPr>
        <w:tab/>
        <w:t>Čas použiteľnosti</w:t>
      </w:r>
    </w:p>
    <w:p w:rsidR="00E00E06" w:rsidRPr="001D5249" w:rsidRDefault="00E00E06">
      <w:pPr>
        <w:widowControl w:val="0"/>
        <w:tabs>
          <w:tab w:val="left" w:pos="567"/>
        </w:tabs>
        <w:rPr>
          <w:sz w:val="22"/>
          <w:szCs w:val="22"/>
          <w:lang w:val="en-GB" w:eastAsia="en-US"/>
        </w:rPr>
      </w:pPr>
    </w:p>
    <w:p w:rsidR="00E00E06" w:rsidRPr="001D5249" w:rsidRDefault="00E00E06">
      <w:pPr>
        <w:rPr>
          <w:sz w:val="22"/>
          <w:szCs w:val="22"/>
        </w:rPr>
      </w:pPr>
      <w:r w:rsidRPr="00E55E5C">
        <w:rPr>
          <w:sz w:val="22"/>
          <w:szCs w:val="22"/>
        </w:rPr>
        <w:t>75 mg a 160 mg</w:t>
      </w:r>
      <w:r w:rsidRPr="001D5249">
        <w:rPr>
          <w:sz w:val="22"/>
          <w:szCs w:val="22"/>
        </w:rPr>
        <w:t>: 2 roky</w:t>
      </w:r>
    </w:p>
    <w:p w:rsidR="00E00E06" w:rsidRPr="001D5249" w:rsidRDefault="00E00E06">
      <w:pPr>
        <w:rPr>
          <w:sz w:val="22"/>
          <w:szCs w:val="22"/>
        </w:rPr>
      </w:pPr>
      <w:r w:rsidRPr="00E55E5C">
        <w:rPr>
          <w:sz w:val="22"/>
          <w:szCs w:val="22"/>
        </w:rPr>
        <w:t>100 mg: 3 roky</w:t>
      </w:r>
    </w:p>
    <w:p w:rsidR="00E00E06" w:rsidRPr="001D5249" w:rsidRDefault="00E00E06">
      <w:pPr>
        <w:widowControl w:val="0"/>
        <w:tabs>
          <w:tab w:val="left" w:pos="567"/>
        </w:tabs>
        <w:rPr>
          <w:iCs/>
          <w:sz w:val="22"/>
          <w:szCs w:val="22"/>
          <w:highlight w:val="cyan"/>
          <w:lang w:eastAsia="en-US"/>
        </w:rPr>
      </w:pPr>
    </w:p>
    <w:p w:rsidR="00E00E06" w:rsidRPr="001D5249" w:rsidRDefault="00E00E06">
      <w:pPr>
        <w:widowControl w:val="0"/>
        <w:tabs>
          <w:tab w:val="left" w:pos="567"/>
        </w:tabs>
        <w:rPr>
          <w:b/>
          <w:sz w:val="22"/>
          <w:szCs w:val="22"/>
          <w:lang w:val="en-GB" w:eastAsia="en-US"/>
        </w:rPr>
      </w:pPr>
      <w:r w:rsidRPr="001D5249">
        <w:rPr>
          <w:b/>
          <w:sz w:val="22"/>
          <w:szCs w:val="22"/>
          <w:lang w:val="en-GB" w:eastAsia="en-US"/>
        </w:rPr>
        <w:t>6.4</w:t>
      </w:r>
      <w:r w:rsidRPr="001D5249">
        <w:rPr>
          <w:b/>
          <w:sz w:val="22"/>
          <w:szCs w:val="22"/>
          <w:lang w:val="en-GB" w:eastAsia="en-US"/>
        </w:rPr>
        <w:tab/>
      </w:r>
      <w:r w:rsidRPr="001D5249">
        <w:rPr>
          <w:b/>
          <w:sz w:val="22"/>
          <w:szCs w:val="22"/>
        </w:rPr>
        <w:t>Špeciálne upozornenia na uchovávanie</w:t>
      </w:r>
    </w:p>
    <w:p w:rsidR="00E00E06" w:rsidRPr="001D5249" w:rsidRDefault="00E00E06">
      <w:pPr>
        <w:widowControl w:val="0"/>
        <w:tabs>
          <w:tab w:val="left" w:pos="567"/>
        </w:tabs>
        <w:rPr>
          <w:i/>
          <w:iCs/>
          <w:sz w:val="22"/>
          <w:szCs w:val="22"/>
          <w:lang w:val="en-GB" w:eastAsia="en-US"/>
        </w:rPr>
      </w:pPr>
    </w:p>
    <w:p w:rsidR="00E00E06" w:rsidRPr="001D5249" w:rsidRDefault="00E00E06">
      <w:pPr>
        <w:rPr>
          <w:sz w:val="22"/>
          <w:szCs w:val="22"/>
        </w:rPr>
      </w:pPr>
      <w:r w:rsidRPr="00E55E5C">
        <w:rPr>
          <w:sz w:val="22"/>
          <w:szCs w:val="22"/>
        </w:rPr>
        <w:t>75 mg</w:t>
      </w:r>
      <w:r w:rsidRPr="001D5249">
        <w:rPr>
          <w:sz w:val="22"/>
          <w:szCs w:val="22"/>
        </w:rPr>
        <w:t>:</w:t>
      </w:r>
    </w:p>
    <w:p w:rsidR="00E00E06" w:rsidRPr="001D5249" w:rsidRDefault="00E00E06">
      <w:pPr>
        <w:rPr>
          <w:sz w:val="22"/>
          <w:szCs w:val="22"/>
        </w:rPr>
      </w:pPr>
      <w:r w:rsidRPr="001D5249">
        <w:rPr>
          <w:sz w:val="22"/>
          <w:szCs w:val="22"/>
        </w:rPr>
        <w:t>Uchovávajte pri teplote neprevyšujúcej 25</w:t>
      </w:r>
      <w:r w:rsidR="00DE4B4E" w:rsidRPr="001D5249">
        <w:rPr>
          <w:sz w:val="22"/>
          <w:szCs w:val="22"/>
        </w:rPr>
        <w:t xml:space="preserve"> </w:t>
      </w:r>
      <w:r w:rsidRPr="001D5249">
        <w:rPr>
          <w:sz w:val="22"/>
          <w:szCs w:val="22"/>
        </w:rPr>
        <w:t>°C.</w:t>
      </w:r>
    </w:p>
    <w:p w:rsidR="00E00E06" w:rsidRPr="001D5249" w:rsidRDefault="00E00E06">
      <w:pPr>
        <w:autoSpaceDE w:val="0"/>
        <w:autoSpaceDN w:val="0"/>
        <w:adjustRightInd w:val="0"/>
        <w:rPr>
          <w:sz w:val="22"/>
          <w:szCs w:val="22"/>
          <w:lang w:val="en-US" w:eastAsia="es-ES"/>
        </w:rPr>
      </w:pPr>
      <w:r w:rsidRPr="001D5249">
        <w:rPr>
          <w:sz w:val="22"/>
          <w:szCs w:val="22"/>
          <w:lang w:val="en-US" w:eastAsia="es-ES"/>
        </w:rPr>
        <w:t>Uchovávajte v pôvodnom obale na ochranu pred svetlom.</w:t>
      </w:r>
    </w:p>
    <w:p w:rsidR="00E00E06" w:rsidRPr="001D5249" w:rsidRDefault="00E00E06">
      <w:pPr>
        <w:autoSpaceDE w:val="0"/>
        <w:autoSpaceDN w:val="0"/>
        <w:adjustRightInd w:val="0"/>
        <w:rPr>
          <w:sz w:val="22"/>
          <w:szCs w:val="22"/>
          <w:highlight w:val="lightGray"/>
        </w:rPr>
      </w:pPr>
    </w:p>
    <w:p w:rsidR="00E00E06" w:rsidRPr="001D5249" w:rsidRDefault="00E00E06">
      <w:pPr>
        <w:autoSpaceDE w:val="0"/>
        <w:autoSpaceDN w:val="0"/>
        <w:adjustRightInd w:val="0"/>
        <w:rPr>
          <w:sz w:val="22"/>
          <w:szCs w:val="22"/>
          <w:lang w:val="en-US" w:eastAsia="es-ES"/>
        </w:rPr>
      </w:pPr>
      <w:r w:rsidRPr="00E55E5C">
        <w:rPr>
          <w:sz w:val="22"/>
          <w:szCs w:val="22"/>
        </w:rPr>
        <w:t>100 mg:</w:t>
      </w:r>
    </w:p>
    <w:p w:rsidR="00E00E06" w:rsidRPr="001D5249" w:rsidRDefault="00E00E06">
      <w:pPr>
        <w:rPr>
          <w:sz w:val="22"/>
          <w:szCs w:val="22"/>
        </w:rPr>
      </w:pPr>
      <w:r w:rsidRPr="00E55E5C">
        <w:rPr>
          <w:sz w:val="22"/>
          <w:szCs w:val="22"/>
        </w:rPr>
        <w:t>Uchovávajte pri teplote neprevyšujúcej 30</w:t>
      </w:r>
      <w:r w:rsidR="00DE4B4E" w:rsidRPr="001D5249">
        <w:rPr>
          <w:sz w:val="22"/>
          <w:szCs w:val="22"/>
        </w:rPr>
        <w:t xml:space="preserve"> </w:t>
      </w:r>
      <w:r w:rsidRPr="00E55E5C">
        <w:rPr>
          <w:sz w:val="22"/>
          <w:szCs w:val="22"/>
        </w:rPr>
        <w:t>°C.</w:t>
      </w:r>
    </w:p>
    <w:p w:rsidR="00E00E06" w:rsidRPr="001D5249" w:rsidRDefault="00E00E06">
      <w:pPr>
        <w:widowControl w:val="0"/>
        <w:tabs>
          <w:tab w:val="left" w:pos="567"/>
        </w:tabs>
        <w:rPr>
          <w:noProof/>
          <w:sz w:val="22"/>
          <w:szCs w:val="22"/>
          <w:lang w:eastAsia="en-US"/>
        </w:rPr>
      </w:pPr>
    </w:p>
    <w:p w:rsidR="00E00E06" w:rsidRPr="00E55E5C" w:rsidRDefault="00E00E06">
      <w:pPr>
        <w:rPr>
          <w:sz w:val="22"/>
          <w:szCs w:val="22"/>
        </w:rPr>
      </w:pPr>
      <w:r w:rsidRPr="00E55E5C">
        <w:rPr>
          <w:sz w:val="22"/>
          <w:szCs w:val="22"/>
        </w:rPr>
        <w:t>160 mg:</w:t>
      </w:r>
    </w:p>
    <w:p w:rsidR="00E00E06" w:rsidRPr="00E55E5C" w:rsidRDefault="00E00E06">
      <w:pPr>
        <w:rPr>
          <w:sz w:val="22"/>
          <w:szCs w:val="22"/>
        </w:rPr>
      </w:pPr>
      <w:r w:rsidRPr="00E55E5C">
        <w:rPr>
          <w:sz w:val="22"/>
          <w:szCs w:val="22"/>
        </w:rPr>
        <w:t>Uchovávajte pri teplote neprevyšujúcej 30</w:t>
      </w:r>
      <w:r w:rsidR="00DE4B4E" w:rsidRPr="001D5249">
        <w:rPr>
          <w:sz w:val="22"/>
          <w:szCs w:val="22"/>
        </w:rPr>
        <w:t xml:space="preserve"> </w:t>
      </w:r>
      <w:r w:rsidRPr="00E55E5C">
        <w:rPr>
          <w:sz w:val="22"/>
          <w:szCs w:val="22"/>
        </w:rPr>
        <w:t>°C.</w:t>
      </w:r>
    </w:p>
    <w:p w:rsidR="00E00E06" w:rsidRPr="001D5249" w:rsidRDefault="00E00E06">
      <w:pPr>
        <w:autoSpaceDE w:val="0"/>
        <w:autoSpaceDN w:val="0"/>
        <w:adjustRightInd w:val="0"/>
        <w:rPr>
          <w:sz w:val="22"/>
          <w:szCs w:val="22"/>
          <w:lang w:val="en-US" w:eastAsia="es-ES"/>
        </w:rPr>
      </w:pPr>
      <w:r w:rsidRPr="00E55E5C">
        <w:rPr>
          <w:sz w:val="22"/>
          <w:szCs w:val="22"/>
          <w:lang w:val="en-US" w:eastAsia="es-ES"/>
        </w:rPr>
        <w:t>Uchovávajte v pôvodnom obale na ochranu pred svetlom.</w:t>
      </w:r>
    </w:p>
    <w:p w:rsidR="00E00E06" w:rsidRPr="001D5249" w:rsidRDefault="00E00E06">
      <w:pPr>
        <w:widowControl w:val="0"/>
        <w:tabs>
          <w:tab w:val="left" w:pos="567"/>
        </w:tabs>
        <w:rPr>
          <w:noProof/>
          <w:sz w:val="22"/>
          <w:szCs w:val="22"/>
          <w:lang w:val="en-US" w:eastAsia="en-US"/>
        </w:rPr>
      </w:pPr>
    </w:p>
    <w:p w:rsidR="00E00E06" w:rsidRPr="001D5249" w:rsidRDefault="00E00E06">
      <w:pPr>
        <w:widowControl w:val="0"/>
        <w:tabs>
          <w:tab w:val="left" w:pos="567"/>
        </w:tabs>
        <w:rPr>
          <w:b/>
          <w:sz w:val="22"/>
          <w:szCs w:val="22"/>
          <w:lang w:val="en-GB" w:eastAsia="en-US"/>
        </w:rPr>
      </w:pPr>
      <w:r w:rsidRPr="001D5249">
        <w:rPr>
          <w:b/>
          <w:sz w:val="22"/>
          <w:szCs w:val="22"/>
          <w:lang w:val="en-GB" w:eastAsia="en-US"/>
        </w:rPr>
        <w:t>6.5</w:t>
      </w:r>
      <w:r w:rsidRPr="001D5249">
        <w:rPr>
          <w:b/>
          <w:sz w:val="22"/>
          <w:szCs w:val="22"/>
          <w:lang w:val="en-GB" w:eastAsia="en-US"/>
        </w:rPr>
        <w:tab/>
      </w:r>
      <w:r w:rsidRPr="001D5249">
        <w:rPr>
          <w:b/>
          <w:sz w:val="22"/>
          <w:szCs w:val="22"/>
        </w:rPr>
        <w:t>Druh obalu a obsah balenia</w:t>
      </w:r>
    </w:p>
    <w:p w:rsidR="00E00E06" w:rsidRPr="001D5249" w:rsidRDefault="00E00E06">
      <w:pPr>
        <w:widowControl w:val="0"/>
        <w:tabs>
          <w:tab w:val="left" w:pos="567"/>
        </w:tabs>
        <w:rPr>
          <w:sz w:val="22"/>
          <w:szCs w:val="22"/>
          <w:lang w:val="en-GB" w:eastAsia="en-US"/>
        </w:rPr>
      </w:pPr>
    </w:p>
    <w:p w:rsidR="00E00E06" w:rsidRPr="001D5249" w:rsidRDefault="00E00E06">
      <w:pPr>
        <w:rPr>
          <w:sz w:val="22"/>
          <w:szCs w:val="22"/>
        </w:rPr>
      </w:pPr>
      <w:r w:rsidRPr="001D5249">
        <w:rPr>
          <w:sz w:val="22"/>
          <w:szCs w:val="22"/>
        </w:rPr>
        <w:t>Blister (PVC/Alumínium).</w:t>
      </w:r>
    </w:p>
    <w:p w:rsidR="00E00E06" w:rsidRPr="001D5249" w:rsidRDefault="00E00E06">
      <w:pPr>
        <w:rPr>
          <w:i/>
          <w:sz w:val="22"/>
          <w:szCs w:val="22"/>
        </w:rPr>
      </w:pPr>
      <w:r w:rsidRPr="001D5249">
        <w:rPr>
          <w:i/>
          <w:sz w:val="22"/>
          <w:szCs w:val="22"/>
        </w:rPr>
        <w:t>Veľkosti balenia:</w:t>
      </w:r>
    </w:p>
    <w:p w:rsidR="00E00E06" w:rsidRPr="001D5249" w:rsidRDefault="00E00E06">
      <w:pPr>
        <w:rPr>
          <w:sz w:val="22"/>
          <w:szCs w:val="22"/>
        </w:rPr>
      </w:pPr>
      <w:r w:rsidRPr="001D5249">
        <w:rPr>
          <w:sz w:val="22"/>
          <w:szCs w:val="22"/>
        </w:rPr>
        <w:t xml:space="preserve">Blistre: </w:t>
      </w:r>
      <w:r w:rsidRPr="001D5249">
        <w:rPr>
          <w:bCs/>
          <w:sz w:val="22"/>
          <w:szCs w:val="22"/>
          <w:lang w:val="en-GB"/>
        </w:rPr>
        <w:t xml:space="preserve">20, </w:t>
      </w:r>
      <w:r w:rsidRPr="001D5249">
        <w:rPr>
          <w:sz w:val="22"/>
          <w:szCs w:val="22"/>
          <w:lang w:val="en-GB"/>
        </w:rPr>
        <w:t>28, 30, 50, 56, 60, 84, 90 a 100</w:t>
      </w:r>
      <w:r w:rsidRPr="001D5249">
        <w:rPr>
          <w:color w:val="0070C0"/>
          <w:sz w:val="22"/>
          <w:szCs w:val="22"/>
          <w:lang w:val="en-GB"/>
        </w:rPr>
        <w:t xml:space="preserve"> </w:t>
      </w:r>
      <w:r w:rsidRPr="001D5249">
        <w:rPr>
          <w:sz w:val="22"/>
          <w:szCs w:val="22"/>
        </w:rPr>
        <w:t>gastrorezistentn</w:t>
      </w:r>
      <w:r w:rsidR="00DE4B4E" w:rsidRPr="001D5249">
        <w:rPr>
          <w:sz w:val="22"/>
          <w:szCs w:val="22"/>
        </w:rPr>
        <w:t>ých</w:t>
      </w:r>
      <w:r w:rsidRPr="001D5249">
        <w:rPr>
          <w:sz w:val="22"/>
          <w:szCs w:val="22"/>
        </w:rPr>
        <w:t xml:space="preserve"> tabl</w:t>
      </w:r>
      <w:r w:rsidR="00DE4B4E" w:rsidRPr="001D5249">
        <w:rPr>
          <w:sz w:val="22"/>
          <w:szCs w:val="22"/>
        </w:rPr>
        <w:t>iet</w:t>
      </w:r>
      <w:r w:rsidRPr="001D5249">
        <w:rPr>
          <w:sz w:val="22"/>
          <w:szCs w:val="22"/>
        </w:rPr>
        <w:t>.</w:t>
      </w:r>
    </w:p>
    <w:p w:rsidR="00E00E06" w:rsidRPr="001D5249" w:rsidRDefault="00E00E06">
      <w:pPr>
        <w:widowControl w:val="0"/>
        <w:tabs>
          <w:tab w:val="left" w:pos="567"/>
        </w:tabs>
        <w:rPr>
          <w:sz w:val="22"/>
          <w:szCs w:val="22"/>
          <w:highlight w:val="yellow"/>
          <w:lang w:eastAsia="en-US"/>
        </w:rPr>
      </w:pPr>
    </w:p>
    <w:p w:rsidR="00E00E06" w:rsidRPr="001D5249" w:rsidRDefault="00E00E06">
      <w:pPr>
        <w:widowControl w:val="0"/>
        <w:tabs>
          <w:tab w:val="left" w:pos="567"/>
        </w:tabs>
        <w:rPr>
          <w:sz w:val="22"/>
          <w:szCs w:val="22"/>
          <w:lang w:val="en-GB" w:eastAsia="en-US"/>
        </w:rPr>
      </w:pPr>
      <w:r w:rsidRPr="001D5249">
        <w:rPr>
          <w:sz w:val="22"/>
          <w:szCs w:val="22"/>
        </w:rPr>
        <w:t>Na trh nemusia byť uvedené všetky veľkosti balenia</w:t>
      </w:r>
      <w:r w:rsidRPr="001D5249">
        <w:rPr>
          <w:sz w:val="22"/>
          <w:szCs w:val="22"/>
          <w:lang w:val="en-GB" w:eastAsia="en-US"/>
        </w:rPr>
        <w:t>.</w:t>
      </w:r>
    </w:p>
    <w:p w:rsidR="00E00E06" w:rsidRPr="001D5249" w:rsidRDefault="00E00E06">
      <w:pPr>
        <w:widowControl w:val="0"/>
        <w:tabs>
          <w:tab w:val="left" w:pos="567"/>
        </w:tabs>
        <w:rPr>
          <w:sz w:val="22"/>
          <w:szCs w:val="22"/>
          <w:lang w:val="en-GB" w:eastAsia="en-US"/>
        </w:rPr>
      </w:pPr>
    </w:p>
    <w:p w:rsidR="00E00E06" w:rsidRPr="001D5249" w:rsidRDefault="00E00E06">
      <w:pPr>
        <w:widowControl w:val="0"/>
        <w:tabs>
          <w:tab w:val="left" w:pos="567"/>
        </w:tabs>
        <w:outlineLvl w:val="0"/>
        <w:rPr>
          <w:sz w:val="22"/>
          <w:szCs w:val="22"/>
          <w:lang w:val="en-GB" w:eastAsia="en-US"/>
        </w:rPr>
      </w:pPr>
      <w:r w:rsidRPr="001D5249">
        <w:rPr>
          <w:b/>
          <w:sz w:val="22"/>
          <w:szCs w:val="22"/>
          <w:lang w:val="en-GB" w:eastAsia="en-US"/>
        </w:rPr>
        <w:t>6.6</w:t>
      </w:r>
      <w:r w:rsidRPr="001D5249">
        <w:rPr>
          <w:b/>
          <w:sz w:val="22"/>
          <w:szCs w:val="22"/>
          <w:lang w:val="en-GB" w:eastAsia="en-US"/>
        </w:rPr>
        <w:tab/>
      </w:r>
      <w:r w:rsidRPr="001D5249">
        <w:rPr>
          <w:b/>
          <w:bCs/>
          <w:sz w:val="22"/>
          <w:szCs w:val="22"/>
        </w:rPr>
        <w:t>Špeciálne opatrenia na likvidáciu</w:t>
      </w:r>
      <w:r w:rsidRPr="001D5249">
        <w:rPr>
          <w:b/>
          <w:sz w:val="22"/>
          <w:szCs w:val="22"/>
        </w:rPr>
        <w:t xml:space="preserve"> </w:t>
      </w:r>
      <w:r w:rsidRPr="001D5249">
        <w:rPr>
          <w:b/>
          <w:bCs/>
          <w:sz w:val="22"/>
          <w:szCs w:val="22"/>
        </w:rPr>
        <w:t>a iné zaobchádzanie s liekom</w:t>
      </w:r>
      <w:r w:rsidRPr="001D5249">
        <w:rPr>
          <w:b/>
          <w:sz w:val="22"/>
          <w:szCs w:val="22"/>
          <w:lang w:val="en-GB" w:eastAsia="en-US"/>
        </w:rPr>
        <w:t xml:space="preserve"> </w:t>
      </w:r>
    </w:p>
    <w:p w:rsidR="00E00E06" w:rsidRPr="001D5249" w:rsidRDefault="00E00E06">
      <w:pPr>
        <w:widowControl w:val="0"/>
        <w:tabs>
          <w:tab w:val="left" w:pos="567"/>
        </w:tabs>
        <w:rPr>
          <w:sz w:val="22"/>
          <w:szCs w:val="22"/>
          <w:lang w:val="en-GB" w:eastAsia="en-US"/>
        </w:rPr>
      </w:pPr>
    </w:p>
    <w:p w:rsidR="00E00E06" w:rsidRPr="001D5249" w:rsidRDefault="00E00E06">
      <w:pPr>
        <w:rPr>
          <w:sz w:val="22"/>
          <w:szCs w:val="22"/>
        </w:rPr>
      </w:pPr>
      <w:r w:rsidRPr="001D5249">
        <w:rPr>
          <w:noProof/>
          <w:sz w:val="22"/>
          <w:szCs w:val="22"/>
        </w:rPr>
        <w:t xml:space="preserve">Všetok nepoužitý liek </w:t>
      </w:r>
      <w:r w:rsidRPr="001D5249">
        <w:rPr>
          <w:sz w:val="22"/>
          <w:szCs w:val="22"/>
        </w:rPr>
        <w:t>alebo odpad vzniknutý z lieku sa má zlikvidovať v súlade s národnými požiadavkami.</w:t>
      </w:r>
    </w:p>
    <w:p w:rsidR="00E00E06" w:rsidRPr="001D5249" w:rsidRDefault="00E00E06">
      <w:pPr>
        <w:widowControl w:val="0"/>
        <w:tabs>
          <w:tab w:val="left" w:pos="567"/>
        </w:tabs>
        <w:rPr>
          <w:sz w:val="22"/>
          <w:szCs w:val="22"/>
          <w:lang w:eastAsia="en-US"/>
        </w:rPr>
      </w:pPr>
    </w:p>
    <w:p w:rsidR="00E00E06" w:rsidRPr="001D5249" w:rsidRDefault="00E00E06">
      <w:pPr>
        <w:widowControl w:val="0"/>
        <w:tabs>
          <w:tab w:val="left" w:pos="567"/>
        </w:tabs>
        <w:rPr>
          <w:sz w:val="22"/>
          <w:szCs w:val="22"/>
          <w:lang w:val="en-GB" w:eastAsia="en-US"/>
        </w:rPr>
      </w:pPr>
    </w:p>
    <w:p w:rsidR="00E00E06" w:rsidRPr="001D5249" w:rsidRDefault="00E00E06">
      <w:pPr>
        <w:widowControl w:val="0"/>
        <w:tabs>
          <w:tab w:val="left" w:pos="567"/>
        </w:tabs>
        <w:rPr>
          <w:sz w:val="22"/>
          <w:szCs w:val="22"/>
          <w:lang w:val="en-GB" w:eastAsia="en-US"/>
        </w:rPr>
      </w:pPr>
      <w:r w:rsidRPr="001D5249">
        <w:rPr>
          <w:b/>
          <w:sz w:val="22"/>
          <w:szCs w:val="22"/>
          <w:lang w:val="en-GB" w:eastAsia="en-US"/>
        </w:rPr>
        <w:t>7.</w:t>
      </w:r>
      <w:r w:rsidRPr="001D5249">
        <w:rPr>
          <w:b/>
          <w:sz w:val="22"/>
          <w:szCs w:val="22"/>
          <w:lang w:val="en-GB" w:eastAsia="en-US"/>
        </w:rPr>
        <w:tab/>
      </w:r>
      <w:r w:rsidRPr="001D5249">
        <w:rPr>
          <w:b/>
          <w:sz w:val="22"/>
          <w:szCs w:val="22"/>
        </w:rPr>
        <w:t>DRŽITEĽ ROZHODNUTIA O REGISTRÁCII</w:t>
      </w:r>
    </w:p>
    <w:p w:rsidR="00E00E06" w:rsidRPr="001D5249" w:rsidRDefault="00E00E06">
      <w:pPr>
        <w:tabs>
          <w:tab w:val="left" w:pos="567"/>
        </w:tabs>
        <w:rPr>
          <w:sz w:val="22"/>
          <w:szCs w:val="22"/>
          <w:lang w:val="sk-SK" w:eastAsia="en-US"/>
        </w:rPr>
      </w:pPr>
    </w:p>
    <w:p w:rsidR="00E00E06" w:rsidRPr="001D5249" w:rsidRDefault="00E00E06">
      <w:pPr>
        <w:widowControl w:val="0"/>
        <w:rPr>
          <w:sz w:val="22"/>
          <w:szCs w:val="22"/>
          <w:lang w:val="sk-SK" w:eastAsia="en-US"/>
        </w:rPr>
      </w:pPr>
      <w:r w:rsidRPr="001D5249">
        <w:rPr>
          <w:sz w:val="22"/>
          <w:szCs w:val="22"/>
          <w:lang w:val="sk-SK" w:eastAsia="en-US"/>
        </w:rPr>
        <w:t>KRKA, d.d., Novo mesto</w:t>
      </w:r>
    </w:p>
    <w:p w:rsidR="00E00E06" w:rsidRPr="001D5249" w:rsidRDefault="00E00E06">
      <w:pPr>
        <w:widowControl w:val="0"/>
        <w:rPr>
          <w:sz w:val="22"/>
          <w:szCs w:val="22"/>
          <w:lang w:val="sk-SK" w:eastAsia="en-US"/>
        </w:rPr>
      </w:pPr>
      <w:r w:rsidRPr="001D5249">
        <w:rPr>
          <w:sz w:val="22"/>
          <w:szCs w:val="22"/>
          <w:lang w:val="sk-SK" w:eastAsia="en-US"/>
        </w:rPr>
        <w:t>Šmarješka cesta 6</w:t>
      </w:r>
    </w:p>
    <w:p w:rsidR="00E00E06" w:rsidRPr="001D5249" w:rsidRDefault="00E00E06">
      <w:pPr>
        <w:widowControl w:val="0"/>
        <w:rPr>
          <w:sz w:val="22"/>
          <w:szCs w:val="22"/>
          <w:lang w:val="sk-SK" w:eastAsia="en-US"/>
        </w:rPr>
      </w:pPr>
      <w:r w:rsidRPr="001D5249">
        <w:rPr>
          <w:sz w:val="22"/>
          <w:szCs w:val="22"/>
          <w:lang w:val="sk-SK" w:eastAsia="en-US"/>
        </w:rPr>
        <w:t>8501 Novo mesto</w:t>
      </w:r>
    </w:p>
    <w:p w:rsidR="00E00E06" w:rsidRPr="001D5249" w:rsidRDefault="00E00E06">
      <w:pPr>
        <w:autoSpaceDE w:val="0"/>
        <w:autoSpaceDN w:val="0"/>
        <w:adjustRightInd w:val="0"/>
        <w:jc w:val="both"/>
        <w:rPr>
          <w:sz w:val="22"/>
          <w:szCs w:val="22"/>
          <w:lang w:val="sk-SK" w:eastAsia="en-US"/>
        </w:rPr>
      </w:pPr>
      <w:r w:rsidRPr="001D5249">
        <w:rPr>
          <w:sz w:val="22"/>
          <w:szCs w:val="22"/>
          <w:lang w:val="sk-SK" w:eastAsia="en-US"/>
        </w:rPr>
        <w:t>Slovinsko</w:t>
      </w:r>
    </w:p>
    <w:p w:rsidR="00E00E06" w:rsidRPr="001D5249" w:rsidRDefault="00E00E06">
      <w:pPr>
        <w:widowControl w:val="0"/>
        <w:tabs>
          <w:tab w:val="left" w:pos="567"/>
        </w:tabs>
        <w:jc w:val="both"/>
        <w:rPr>
          <w:sz w:val="22"/>
          <w:szCs w:val="22"/>
          <w:highlight w:val="yellow"/>
          <w:lang w:val="en-GB" w:eastAsia="en-US"/>
        </w:rPr>
      </w:pPr>
    </w:p>
    <w:p w:rsidR="00E00E06" w:rsidRPr="001D5249" w:rsidRDefault="00E00E06">
      <w:pPr>
        <w:widowControl w:val="0"/>
        <w:tabs>
          <w:tab w:val="left" w:pos="567"/>
        </w:tabs>
        <w:rPr>
          <w:sz w:val="22"/>
          <w:szCs w:val="22"/>
          <w:lang w:val="en-GB" w:eastAsia="en-US"/>
        </w:rPr>
      </w:pPr>
    </w:p>
    <w:p w:rsidR="00550318" w:rsidRPr="001D5249" w:rsidRDefault="00E00E06">
      <w:pPr>
        <w:widowControl w:val="0"/>
        <w:tabs>
          <w:tab w:val="left" w:pos="567"/>
        </w:tabs>
        <w:rPr>
          <w:b/>
          <w:bCs/>
          <w:sz w:val="22"/>
          <w:szCs w:val="22"/>
        </w:rPr>
      </w:pPr>
      <w:r w:rsidRPr="001D5249">
        <w:rPr>
          <w:b/>
          <w:sz w:val="22"/>
          <w:szCs w:val="22"/>
          <w:lang w:val="en-GB" w:eastAsia="en-US"/>
        </w:rPr>
        <w:t>8.</w:t>
      </w:r>
      <w:r w:rsidRPr="001D5249">
        <w:rPr>
          <w:b/>
          <w:sz w:val="22"/>
          <w:szCs w:val="22"/>
          <w:lang w:val="en-GB" w:eastAsia="en-US"/>
        </w:rPr>
        <w:tab/>
      </w:r>
      <w:r w:rsidRPr="001D5249">
        <w:rPr>
          <w:b/>
          <w:sz w:val="22"/>
          <w:szCs w:val="22"/>
        </w:rPr>
        <w:t xml:space="preserve">REGISTRAČNÉ </w:t>
      </w:r>
      <w:r w:rsidRPr="001D5249">
        <w:rPr>
          <w:b/>
          <w:bCs/>
          <w:sz w:val="22"/>
          <w:szCs w:val="22"/>
        </w:rPr>
        <w:t>ČÍSL</w:t>
      </w:r>
      <w:r w:rsidR="00550318" w:rsidRPr="001D5249">
        <w:rPr>
          <w:b/>
          <w:bCs/>
          <w:sz w:val="22"/>
          <w:szCs w:val="22"/>
        </w:rPr>
        <w:t>A</w:t>
      </w:r>
    </w:p>
    <w:p w:rsidR="00C152C6" w:rsidRPr="001D5249" w:rsidRDefault="00C152C6">
      <w:pPr>
        <w:widowControl w:val="0"/>
        <w:tabs>
          <w:tab w:val="left" w:pos="567"/>
        </w:tabs>
        <w:rPr>
          <w:sz w:val="22"/>
          <w:szCs w:val="22"/>
          <w:lang w:val="en-US"/>
        </w:rPr>
      </w:pPr>
      <w:r w:rsidRPr="001D5249">
        <w:rPr>
          <w:noProof/>
          <w:sz w:val="22"/>
          <w:szCs w:val="22"/>
          <w:lang w:val="en-GB" w:eastAsia="en-US"/>
        </w:rPr>
        <w:lastRenderedPageBreak/>
        <w:t xml:space="preserve">Abrea </w:t>
      </w:r>
      <w:r w:rsidRPr="001D5249">
        <w:rPr>
          <w:sz w:val="22"/>
          <w:szCs w:val="22"/>
          <w:lang w:val="en-US"/>
        </w:rPr>
        <w:t>75 mg: 16/0005/17-S</w:t>
      </w:r>
    </w:p>
    <w:p w:rsidR="00C152C6" w:rsidRPr="001D5249" w:rsidRDefault="00C152C6">
      <w:pPr>
        <w:widowControl w:val="0"/>
        <w:tabs>
          <w:tab w:val="left" w:pos="567"/>
        </w:tabs>
        <w:rPr>
          <w:sz w:val="22"/>
          <w:szCs w:val="22"/>
          <w:lang w:val="en-US"/>
        </w:rPr>
      </w:pPr>
      <w:r w:rsidRPr="001D5249">
        <w:rPr>
          <w:noProof/>
          <w:sz w:val="22"/>
          <w:szCs w:val="22"/>
          <w:lang w:val="en-GB" w:eastAsia="en-US"/>
        </w:rPr>
        <w:t xml:space="preserve">Abrea </w:t>
      </w:r>
      <w:r w:rsidRPr="001D5249">
        <w:rPr>
          <w:sz w:val="22"/>
          <w:szCs w:val="22"/>
          <w:lang w:val="en-US"/>
        </w:rPr>
        <w:t>100 mg: 16/0006/17-S</w:t>
      </w:r>
    </w:p>
    <w:p w:rsidR="00C152C6" w:rsidRPr="001D5249" w:rsidRDefault="00C152C6">
      <w:pPr>
        <w:widowControl w:val="0"/>
        <w:tabs>
          <w:tab w:val="left" w:pos="567"/>
        </w:tabs>
        <w:rPr>
          <w:sz w:val="22"/>
          <w:szCs w:val="22"/>
          <w:lang w:val="en-US"/>
        </w:rPr>
      </w:pPr>
      <w:r w:rsidRPr="001D5249">
        <w:rPr>
          <w:noProof/>
          <w:sz w:val="22"/>
          <w:szCs w:val="22"/>
          <w:lang w:val="en-GB" w:eastAsia="en-US"/>
        </w:rPr>
        <w:t xml:space="preserve">Abrea </w:t>
      </w:r>
      <w:r w:rsidRPr="001D5249">
        <w:rPr>
          <w:sz w:val="22"/>
          <w:szCs w:val="22"/>
          <w:lang w:val="en-US"/>
        </w:rPr>
        <w:t>160 mg: 16/0007/17-S</w:t>
      </w:r>
    </w:p>
    <w:p w:rsidR="00E00E06" w:rsidRPr="001D5249" w:rsidRDefault="00E00E06">
      <w:pPr>
        <w:widowControl w:val="0"/>
        <w:tabs>
          <w:tab w:val="left" w:pos="567"/>
        </w:tabs>
        <w:rPr>
          <w:sz w:val="22"/>
          <w:szCs w:val="22"/>
          <w:lang w:val="en-GB" w:eastAsia="en-US"/>
        </w:rPr>
      </w:pPr>
    </w:p>
    <w:p w:rsidR="00E00E06" w:rsidRPr="001D5249" w:rsidRDefault="00E00E06">
      <w:pPr>
        <w:widowControl w:val="0"/>
        <w:tabs>
          <w:tab w:val="left" w:pos="567"/>
        </w:tabs>
        <w:rPr>
          <w:sz w:val="22"/>
          <w:szCs w:val="22"/>
          <w:lang w:val="en-GB" w:eastAsia="en-US"/>
        </w:rPr>
      </w:pPr>
    </w:p>
    <w:p w:rsidR="00E00E06" w:rsidRPr="001D5249" w:rsidRDefault="00E00E06">
      <w:pPr>
        <w:widowControl w:val="0"/>
        <w:tabs>
          <w:tab w:val="left" w:pos="567"/>
        </w:tabs>
        <w:rPr>
          <w:sz w:val="22"/>
          <w:szCs w:val="22"/>
          <w:lang w:val="en-GB" w:eastAsia="en-US"/>
        </w:rPr>
      </w:pPr>
      <w:r w:rsidRPr="001D5249">
        <w:rPr>
          <w:b/>
          <w:sz w:val="22"/>
          <w:szCs w:val="22"/>
          <w:lang w:val="en-GB" w:eastAsia="en-US"/>
        </w:rPr>
        <w:t>9.</w:t>
      </w:r>
      <w:r w:rsidRPr="001D5249">
        <w:rPr>
          <w:b/>
          <w:sz w:val="22"/>
          <w:szCs w:val="22"/>
          <w:lang w:val="en-GB" w:eastAsia="en-US"/>
        </w:rPr>
        <w:tab/>
      </w:r>
      <w:r w:rsidRPr="001D5249">
        <w:rPr>
          <w:b/>
          <w:sz w:val="22"/>
          <w:szCs w:val="22"/>
        </w:rPr>
        <w:t>DÁTUM PRVEJ REGISTRÁCIE/PREDĹŽENIA REGISTRÁCIE</w:t>
      </w:r>
    </w:p>
    <w:p w:rsidR="00E00E06" w:rsidRPr="001D5249" w:rsidRDefault="00E00E06">
      <w:pPr>
        <w:widowControl w:val="0"/>
        <w:tabs>
          <w:tab w:val="left" w:pos="567"/>
        </w:tabs>
        <w:rPr>
          <w:i/>
          <w:sz w:val="22"/>
          <w:szCs w:val="22"/>
          <w:lang w:val="en-GB" w:eastAsia="en-US"/>
        </w:rPr>
      </w:pPr>
    </w:p>
    <w:p w:rsidR="00E00E06" w:rsidRPr="001D5249" w:rsidRDefault="00E00E06">
      <w:pPr>
        <w:widowControl w:val="0"/>
        <w:tabs>
          <w:tab w:val="left" w:pos="567"/>
        </w:tabs>
        <w:rPr>
          <w:sz w:val="22"/>
          <w:szCs w:val="22"/>
          <w:lang w:val="sk-SK"/>
        </w:rPr>
      </w:pPr>
      <w:r w:rsidRPr="001D5249">
        <w:rPr>
          <w:sz w:val="22"/>
          <w:szCs w:val="22"/>
          <w:lang w:val="sk-SK"/>
        </w:rPr>
        <w:t>Dátum prvej registrácie:</w:t>
      </w:r>
    </w:p>
    <w:p w:rsidR="00E00E06" w:rsidRPr="001D5249" w:rsidRDefault="00E00E06">
      <w:pPr>
        <w:widowControl w:val="0"/>
        <w:tabs>
          <w:tab w:val="left" w:pos="567"/>
        </w:tabs>
        <w:rPr>
          <w:sz w:val="22"/>
          <w:szCs w:val="22"/>
          <w:lang w:val="sk-SK"/>
        </w:rPr>
      </w:pPr>
    </w:p>
    <w:p w:rsidR="00E00E06" w:rsidRPr="001D5249" w:rsidRDefault="00E00E06">
      <w:pPr>
        <w:widowControl w:val="0"/>
        <w:tabs>
          <w:tab w:val="left" w:pos="567"/>
        </w:tabs>
        <w:rPr>
          <w:sz w:val="22"/>
          <w:szCs w:val="22"/>
          <w:lang w:val="en-GB" w:eastAsia="en-US"/>
        </w:rPr>
      </w:pPr>
    </w:p>
    <w:p w:rsidR="00E00E06" w:rsidRPr="001D5249" w:rsidRDefault="00E00E06">
      <w:pPr>
        <w:widowControl w:val="0"/>
        <w:tabs>
          <w:tab w:val="left" w:pos="567"/>
        </w:tabs>
        <w:rPr>
          <w:b/>
          <w:sz w:val="22"/>
          <w:szCs w:val="22"/>
          <w:lang w:val="en-GB" w:eastAsia="en-US"/>
        </w:rPr>
      </w:pPr>
      <w:r w:rsidRPr="001D5249">
        <w:rPr>
          <w:b/>
          <w:sz w:val="22"/>
          <w:szCs w:val="22"/>
          <w:lang w:val="en-GB" w:eastAsia="en-US"/>
        </w:rPr>
        <w:t>10.</w:t>
      </w:r>
      <w:r w:rsidRPr="001D5249">
        <w:rPr>
          <w:b/>
          <w:sz w:val="22"/>
          <w:szCs w:val="22"/>
          <w:lang w:val="en-GB" w:eastAsia="en-US"/>
        </w:rPr>
        <w:tab/>
      </w:r>
      <w:r w:rsidRPr="001D5249">
        <w:rPr>
          <w:b/>
          <w:sz w:val="22"/>
          <w:szCs w:val="22"/>
        </w:rPr>
        <w:t>DÁTUM REVÍZIE TEXTU</w:t>
      </w:r>
    </w:p>
    <w:p w:rsidR="00E00E06" w:rsidRPr="001D5249" w:rsidRDefault="00E00E06">
      <w:pPr>
        <w:widowControl w:val="0"/>
        <w:tabs>
          <w:tab w:val="left" w:pos="567"/>
        </w:tabs>
        <w:rPr>
          <w:sz w:val="22"/>
          <w:szCs w:val="22"/>
          <w:lang w:val="en-GB" w:eastAsia="en-US"/>
        </w:rPr>
      </w:pPr>
    </w:p>
    <w:p w:rsidR="00444B38" w:rsidRPr="00E55E5C" w:rsidRDefault="00837340">
      <w:pPr>
        <w:rPr>
          <w:sz w:val="22"/>
          <w:szCs w:val="22"/>
        </w:rPr>
      </w:pPr>
      <w:r w:rsidRPr="00E55E5C">
        <w:rPr>
          <w:sz w:val="22"/>
          <w:szCs w:val="22"/>
        </w:rPr>
        <w:t>01/2017</w:t>
      </w:r>
    </w:p>
    <w:sectPr w:rsidR="00444B38" w:rsidRPr="00E55E5C" w:rsidSect="00E55E5C">
      <w:headerReference w:type="default" r:id="rId10"/>
      <w:footerReference w:type="default" r:id="rId11"/>
      <w:headerReference w:type="first" r:id="rId12"/>
      <w:footerReference w:type="first" r:id="rId13"/>
      <w:pgSz w:w="11906" w:h="16838" w:code="9"/>
      <w:pgMar w:top="1134" w:right="1418" w:bottom="1134" w:left="1418" w:header="73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5A39" w:rsidRDefault="00535A39" w:rsidP="009113D0">
      <w:r>
        <w:separator/>
      </w:r>
    </w:p>
  </w:endnote>
  <w:endnote w:type="continuationSeparator" w:id="0">
    <w:p w:rsidR="00535A39" w:rsidRDefault="00535A39" w:rsidP="00911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6053793"/>
      <w:docPartObj>
        <w:docPartGallery w:val="Page Numbers (Bottom of Page)"/>
        <w:docPartUnique/>
      </w:docPartObj>
    </w:sdtPr>
    <w:sdtEndPr>
      <w:rPr>
        <w:sz w:val="18"/>
        <w:szCs w:val="18"/>
      </w:rPr>
    </w:sdtEndPr>
    <w:sdtContent>
      <w:p w:rsidR="00DE4B4E" w:rsidRPr="00E55E5C" w:rsidRDefault="00DE4B4E">
        <w:pPr>
          <w:pStyle w:val="Pta"/>
          <w:jc w:val="center"/>
          <w:rPr>
            <w:sz w:val="18"/>
            <w:szCs w:val="18"/>
          </w:rPr>
        </w:pPr>
        <w:r w:rsidRPr="00E55E5C">
          <w:rPr>
            <w:sz w:val="18"/>
            <w:szCs w:val="18"/>
          </w:rPr>
          <w:fldChar w:fldCharType="begin"/>
        </w:r>
        <w:r w:rsidRPr="00E55E5C">
          <w:rPr>
            <w:sz w:val="18"/>
            <w:szCs w:val="18"/>
          </w:rPr>
          <w:instrText>PAGE   \* MERGEFORMAT</w:instrText>
        </w:r>
        <w:r w:rsidRPr="00E55E5C">
          <w:rPr>
            <w:sz w:val="18"/>
            <w:szCs w:val="18"/>
          </w:rPr>
          <w:fldChar w:fldCharType="separate"/>
        </w:r>
        <w:r w:rsidR="00E55E5C" w:rsidRPr="00E55E5C">
          <w:rPr>
            <w:noProof/>
            <w:sz w:val="18"/>
            <w:szCs w:val="18"/>
            <w:lang w:val="sk-SK"/>
          </w:rPr>
          <w:t>12</w:t>
        </w:r>
        <w:r w:rsidRPr="00E55E5C">
          <w:rPr>
            <w:sz w:val="18"/>
            <w:szCs w:val="18"/>
          </w:rPr>
          <w:fldChar w:fldCharType="end"/>
        </w:r>
      </w:p>
    </w:sdtContent>
  </w:sdt>
  <w:p w:rsidR="00DE4B4E" w:rsidRDefault="00DE4B4E">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1852717"/>
      <w:docPartObj>
        <w:docPartGallery w:val="Page Numbers (Bottom of Page)"/>
        <w:docPartUnique/>
      </w:docPartObj>
    </w:sdtPr>
    <w:sdtEndPr>
      <w:rPr>
        <w:sz w:val="18"/>
        <w:szCs w:val="18"/>
      </w:rPr>
    </w:sdtEndPr>
    <w:sdtContent>
      <w:p w:rsidR="00DE4B4E" w:rsidRPr="00E55E5C" w:rsidRDefault="00DE4B4E">
        <w:pPr>
          <w:pStyle w:val="Pta"/>
          <w:jc w:val="center"/>
          <w:rPr>
            <w:sz w:val="18"/>
            <w:szCs w:val="18"/>
          </w:rPr>
        </w:pPr>
        <w:r w:rsidRPr="00E55E5C">
          <w:rPr>
            <w:sz w:val="18"/>
            <w:szCs w:val="18"/>
          </w:rPr>
          <w:fldChar w:fldCharType="begin"/>
        </w:r>
        <w:r w:rsidRPr="00E55E5C">
          <w:rPr>
            <w:sz w:val="18"/>
            <w:szCs w:val="18"/>
          </w:rPr>
          <w:instrText>PAGE   \* MERGEFORMAT</w:instrText>
        </w:r>
        <w:r w:rsidRPr="00E55E5C">
          <w:rPr>
            <w:sz w:val="18"/>
            <w:szCs w:val="18"/>
          </w:rPr>
          <w:fldChar w:fldCharType="separate"/>
        </w:r>
        <w:r w:rsidR="00E55E5C" w:rsidRPr="00E55E5C">
          <w:rPr>
            <w:noProof/>
            <w:sz w:val="18"/>
            <w:szCs w:val="18"/>
            <w:lang w:val="sk-SK"/>
          </w:rPr>
          <w:t>1</w:t>
        </w:r>
        <w:r w:rsidRPr="00E55E5C">
          <w:rPr>
            <w:sz w:val="18"/>
            <w:szCs w:val="18"/>
          </w:rPr>
          <w:fldChar w:fldCharType="end"/>
        </w:r>
      </w:p>
    </w:sdtContent>
  </w:sdt>
  <w:p w:rsidR="00DE4B4E" w:rsidRDefault="00DE4B4E">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5A39" w:rsidRDefault="00535A39" w:rsidP="009113D0">
      <w:r>
        <w:separator/>
      </w:r>
    </w:p>
  </w:footnote>
  <w:footnote w:type="continuationSeparator" w:id="0">
    <w:p w:rsidR="00535A39" w:rsidRDefault="00535A39" w:rsidP="009113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B4E" w:rsidRDefault="00DE4B4E">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B4E" w:rsidRDefault="00DE4B4E" w:rsidP="004D690E">
    <w:pPr>
      <w:widowControl w:val="0"/>
      <w:tabs>
        <w:tab w:val="left" w:pos="567"/>
      </w:tabs>
      <w:rPr>
        <w:b/>
        <w:bCs/>
        <w:iCs/>
        <w:noProof/>
        <w:sz w:val="22"/>
        <w:szCs w:val="22"/>
        <w:lang w:val="en-GB" w:eastAsia="en-US"/>
      </w:rPr>
    </w:pPr>
    <w:r w:rsidRPr="006D69C2">
      <w:rPr>
        <w:sz w:val="18"/>
        <w:szCs w:val="18"/>
      </w:rPr>
      <w:t>Schválený text k rozhodnutiu o registrácii, ev.č.:</w:t>
    </w:r>
    <w:r>
      <w:rPr>
        <w:sz w:val="18"/>
        <w:szCs w:val="18"/>
      </w:rPr>
      <w:t xml:space="preserve"> 2016/00366-REG, 2016/00367-REG,</w:t>
    </w:r>
    <w:r w:rsidRPr="00EA3A88">
      <w:rPr>
        <w:sz w:val="18"/>
        <w:szCs w:val="18"/>
      </w:rPr>
      <w:t xml:space="preserve"> </w:t>
    </w:r>
    <w:r>
      <w:rPr>
        <w:sz w:val="18"/>
        <w:szCs w:val="18"/>
      </w:rPr>
      <w:t>2016/00368-REG</w:t>
    </w:r>
  </w:p>
  <w:p w:rsidR="00DE4B4E" w:rsidRDefault="00DE4B4E">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2F5896"/>
    <w:multiLevelType w:val="hybridMultilevel"/>
    <w:tmpl w:val="90D601E4"/>
    <w:lvl w:ilvl="0" w:tplc="20663B0A">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
    <w:nsid w:val="34A9790D"/>
    <w:multiLevelType w:val="hybridMultilevel"/>
    <w:tmpl w:val="94D8C23E"/>
    <w:lvl w:ilvl="0" w:tplc="20663B0A">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nsid w:val="480813BB"/>
    <w:multiLevelType w:val="hybridMultilevel"/>
    <w:tmpl w:val="4882F632"/>
    <w:lvl w:ilvl="0" w:tplc="00C27B86">
      <w:start w:val="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6AB60803"/>
    <w:multiLevelType w:val="hybridMultilevel"/>
    <w:tmpl w:val="17F0B1F0"/>
    <w:lvl w:ilvl="0" w:tplc="D450914A">
      <w:start w:val="1"/>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E06"/>
    <w:rsid w:val="00012DDF"/>
    <w:rsid w:val="00033FE2"/>
    <w:rsid w:val="0004041A"/>
    <w:rsid w:val="00086AA0"/>
    <w:rsid w:val="000A4934"/>
    <w:rsid w:val="000D3F19"/>
    <w:rsid w:val="000E5D87"/>
    <w:rsid w:val="00110E84"/>
    <w:rsid w:val="00130322"/>
    <w:rsid w:val="00160CB2"/>
    <w:rsid w:val="001D5249"/>
    <w:rsid w:val="001E103D"/>
    <w:rsid w:val="001E1C9A"/>
    <w:rsid w:val="00200C89"/>
    <w:rsid w:val="00206389"/>
    <w:rsid w:val="00236D21"/>
    <w:rsid w:val="00253A5E"/>
    <w:rsid w:val="002541EC"/>
    <w:rsid w:val="00257EE8"/>
    <w:rsid w:val="00286733"/>
    <w:rsid w:val="002B1E22"/>
    <w:rsid w:val="002E684A"/>
    <w:rsid w:val="002E77C7"/>
    <w:rsid w:val="002F6FB2"/>
    <w:rsid w:val="00313A66"/>
    <w:rsid w:val="0035189A"/>
    <w:rsid w:val="00362D81"/>
    <w:rsid w:val="003A22EB"/>
    <w:rsid w:val="003C554E"/>
    <w:rsid w:val="003E1A0B"/>
    <w:rsid w:val="003E5456"/>
    <w:rsid w:val="00444B38"/>
    <w:rsid w:val="00476997"/>
    <w:rsid w:val="004937A1"/>
    <w:rsid w:val="004B4803"/>
    <w:rsid w:val="004D690E"/>
    <w:rsid w:val="0053102E"/>
    <w:rsid w:val="0053596F"/>
    <w:rsid w:val="00535A39"/>
    <w:rsid w:val="00540D03"/>
    <w:rsid w:val="00550318"/>
    <w:rsid w:val="00571AFC"/>
    <w:rsid w:val="00582929"/>
    <w:rsid w:val="005B553F"/>
    <w:rsid w:val="005E0B74"/>
    <w:rsid w:val="005E3707"/>
    <w:rsid w:val="00650DED"/>
    <w:rsid w:val="00651D92"/>
    <w:rsid w:val="0066237B"/>
    <w:rsid w:val="006A258C"/>
    <w:rsid w:val="006B55EA"/>
    <w:rsid w:val="006F4CBD"/>
    <w:rsid w:val="007036AB"/>
    <w:rsid w:val="0070373B"/>
    <w:rsid w:val="007063A0"/>
    <w:rsid w:val="00754A92"/>
    <w:rsid w:val="007A171D"/>
    <w:rsid w:val="007B4292"/>
    <w:rsid w:val="007C4D6C"/>
    <w:rsid w:val="007D546B"/>
    <w:rsid w:val="007E2F7D"/>
    <w:rsid w:val="007F108F"/>
    <w:rsid w:val="00832E75"/>
    <w:rsid w:val="00837340"/>
    <w:rsid w:val="00877E26"/>
    <w:rsid w:val="00891ADD"/>
    <w:rsid w:val="008B672A"/>
    <w:rsid w:val="008F7C4B"/>
    <w:rsid w:val="0090174B"/>
    <w:rsid w:val="009113D0"/>
    <w:rsid w:val="009157DD"/>
    <w:rsid w:val="00954053"/>
    <w:rsid w:val="00962036"/>
    <w:rsid w:val="009A335C"/>
    <w:rsid w:val="009A3CE5"/>
    <w:rsid w:val="009F0C5C"/>
    <w:rsid w:val="00A11A06"/>
    <w:rsid w:val="00A15CB4"/>
    <w:rsid w:val="00A71D89"/>
    <w:rsid w:val="00A772EA"/>
    <w:rsid w:val="00AA57EB"/>
    <w:rsid w:val="00AA719D"/>
    <w:rsid w:val="00AB457D"/>
    <w:rsid w:val="00AC0967"/>
    <w:rsid w:val="00AF2730"/>
    <w:rsid w:val="00B031E3"/>
    <w:rsid w:val="00B06B8B"/>
    <w:rsid w:val="00B113BF"/>
    <w:rsid w:val="00B41776"/>
    <w:rsid w:val="00B721C7"/>
    <w:rsid w:val="00B91F66"/>
    <w:rsid w:val="00B92215"/>
    <w:rsid w:val="00BB0ED0"/>
    <w:rsid w:val="00BD16FF"/>
    <w:rsid w:val="00BF2489"/>
    <w:rsid w:val="00C13A6F"/>
    <w:rsid w:val="00C152C6"/>
    <w:rsid w:val="00C32333"/>
    <w:rsid w:val="00C52936"/>
    <w:rsid w:val="00C74FD1"/>
    <w:rsid w:val="00C83B36"/>
    <w:rsid w:val="00CD5793"/>
    <w:rsid w:val="00CF0EC5"/>
    <w:rsid w:val="00D16EF7"/>
    <w:rsid w:val="00D5008C"/>
    <w:rsid w:val="00D8103B"/>
    <w:rsid w:val="00DB7B2A"/>
    <w:rsid w:val="00DC0231"/>
    <w:rsid w:val="00DE342D"/>
    <w:rsid w:val="00DE3822"/>
    <w:rsid w:val="00DE4B4E"/>
    <w:rsid w:val="00DF5208"/>
    <w:rsid w:val="00E00E06"/>
    <w:rsid w:val="00E444B0"/>
    <w:rsid w:val="00E55E5C"/>
    <w:rsid w:val="00E56B10"/>
    <w:rsid w:val="00E91821"/>
    <w:rsid w:val="00EC6BC8"/>
    <w:rsid w:val="00ED25E2"/>
    <w:rsid w:val="00F0353B"/>
    <w:rsid w:val="00F05F6C"/>
    <w:rsid w:val="00F37432"/>
    <w:rsid w:val="00F40E13"/>
    <w:rsid w:val="00F92B4F"/>
    <w:rsid w:val="00F96A11"/>
    <w:rsid w:val="00FB1853"/>
    <w:rsid w:val="00FE0AED"/>
    <w:rsid w:val="00FF34C2"/>
    <w:rsid w:val="00FF46BC"/>
    <w:rsid w:val="00FF5B8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E00E06"/>
    <w:pPr>
      <w:spacing w:after="0" w:line="240" w:lineRule="auto"/>
    </w:pPr>
    <w:rPr>
      <w:rFonts w:ascii="Times New Roman" w:eastAsia="Times New Roman" w:hAnsi="Times New Roman" w:cs="Times New Roman"/>
      <w:sz w:val="24"/>
      <w:szCs w:val="20"/>
      <w:lang w:val="sl-SI" w:eastAsia="sl-S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rsid w:val="00E00E06"/>
    <w:rPr>
      <w:rFonts w:ascii="Times New Roman" w:hAnsi="Times New Roman"/>
      <w:color w:val="auto"/>
      <w:sz w:val="24"/>
      <w:szCs w:val="24"/>
      <w:u w:val="single"/>
      <w:lang w:val="en-US"/>
    </w:rPr>
  </w:style>
  <w:style w:type="paragraph" w:customStyle="1" w:styleId="Default">
    <w:name w:val="Default"/>
    <w:uiPriority w:val="99"/>
    <w:rsid w:val="00E00E06"/>
    <w:pPr>
      <w:autoSpaceDE w:val="0"/>
      <w:autoSpaceDN w:val="0"/>
      <w:adjustRightInd w:val="0"/>
      <w:spacing w:after="0" w:line="240" w:lineRule="auto"/>
    </w:pPr>
    <w:rPr>
      <w:rFonts w:ascii="Times New Roman" w:eastAsia="Times New Roman" w:hAnsi="Times New Roman" w:cs="Times New Roman"/>
      <w:color w:val="000000"/>
      <w:sz w:val="24"/>
      <w:szCs w:val="24"/>
      <w:lang w:val="sl-SI" w:eastAsia="sl-SI"/>
    </w:rPr>
  </w:style>
  <w:style w:type="paragraph" w:styleId="Zarkazkladnhotextu">
    <w:name w:val="Body Text Indent"/>
    <w:basedOn w:val="Normlny"/>
    <w:link w:val="ZarkazkladnhotextuChar"/>
    <w:rsid w:val="00E00E06"/>
    <w:pPr>
      <w:spacing w:after="120"/>
      <w:ind w:left="283"/>
    </w:pPr>
  </w:style>
  <w:style w:type="character" w:customStyle="1" w:styleId="ZarkazkladnhotextuChar">
    <w:name w:val="Zarážka základného textu Char"/>
    <w:basedOn w:val="Predvolenpsmoodseku"/>
    <w:link w:val="Zarkazkladnhotextu"/>
    <w:rsid w:val="00E00E06"/>
    <w:rPr>
      <w:rFonts w:ascii="Times New Roman" w:eastAsia="Times New Roman" w:hAnsi="Times New Roman" w:cs="Times New Roman"/>
      <w:sz w:val="24"/>
      <w:szCs w:val="20"/>
      <w:lang w:val="sl-SI" w:eastAsia="sl-SI"/>
    </w:rPr>
  </w:style>
  <w:style w:type="character" w:styleId="Siln">
    <w:name w:val="Strong"/>
    <w:uiPriority w:val="99"/>
    <w:qFormat/>
    <w:rsid w:val="00E00E06"/>
    <w:rPr>
      <w:rFonts w:cs="Times New Roman"/>
      <w:b/>
    </w:rPr>
  </w:style>
  <w:style w:type="paragraph" w:styleId="Zarkazkladnhotextu2">
    <w:name w:val="Body Text Indent 2"/>
    <w:basedOn w:val="Normlny"/>
    <w:link w:val="Zarkazkladnhotextu2Char"/>
    <w:rsid w:val="00E00E06"/>
    <w:pPr>
      <w:spacing w:after="120" w:line="480" w:lineRule="auto"/>
      <w:ind w:left="283"/>
    </w:pPr>
  </w:style>
  <w:style w:type="character" w:customStyle="1" w:styleId="Zarkazkladnhotextu2Char">
    <w:name w:val="Zarážka základného textu 2 Char"/>
    <w:basedOn w:val="Predvolenpsmoodseku"/>
    <w:link w:val="Zarkazkladnhotextu2"/>
    <w:rsid w:val="00E00E06"/>
    <w:rPr>
      <w:rFonts w:ascii="Times New Roman" w:eastAsia="Times New Roman" w:hAnsi="Times New Roman" w:cs="Times New Roman"/>
      <w:sz w:val="24"/>
      <w:szCs w:val="20"/>
      <w:lang w:val="sl-SI" w:eastAsia="sl-SI"/>
    </w:rPr>
  </w:style>
  <w:style w:type="paragraph" w:customStyle="1" w:styleId="Odsekzoznamu1">
    <w:name w:val="Odsek zoznamu1"/>
    <w:basedOn w:val="Normlny"/>
    <w:uiPriority w:val="99"/>
    <w:rsid w:val="00E00E06"/>
    <w:pPr>
      <w:ind w:left="720"/>
    </w:pPr>
    <w:rPr>
      <w:szCs w:val="24"/>
      <w:lang w:val="cs-CZ" w:eastAsia="cs-CZ"/>
    </w:rPr>
  </w:style>
  <w:style w:type="paragraph" w:styleId="Hlavika">
    <w:name w:val="header"/>
    <w:basedOn w:val="Normlny"/>
    <w:link w:val="HlavikaChar"/>
    <w:uiPriority w:val="99"/>
    <w:unhideWhenUsed/>
    <w:rsid w:val="009113D0"/>
    <w:pPr>
      <w:tabs>
        <w:tab w:val="center" w:pos="4536"/>
        <w:tab w:val="right" w:pos="9072"/>
      </w:tabs>
    </w:pPr>
  </w:style>
  <w:style w:type="character" w:customStyle="1" w:styleId="HlavikaChar">
    <w:name w:val="Hlavička Char"/>
    <w:basedOn w:val="Predvolenpsmoodseku"/>
    <w:link w:val="Hlavika"/>
    <w:uiPriority w:val="99"/>
    <w:rsid w:val="009113D0"/>
    <w:rPr>
      <w:rFonts w:ascii="Times New Roman" w:eastAsia="Times New Roman" w:hAnsi="Times New Roman" w:cs="Times New Roman"/>
      <w:sz w:val="24"/>
      <w:szCs w:val="20"/>
      <w:lang w:val="sl-SI" w:eastAsia="sl-SI"/>
    </w:rPr>
  </w:style>
  <w:style w:type="paragraph" w:styleId="Pta">
    <w:name w:val="footer"/>
    <w:basedOn w:val="Normlny"/>
    <w:link w:val="PtaChar"/>
    <w:uiPriority w:val="99"/>
    <w:unhideWhenUsed/>
    <w:rsid w:val="009113D0"/>
    <w:pPr>
      <w:tabs>
        <w:tab w:val="center" w:pos="4536"/>
        <w:tab w:val="right" w:pos="9072"/>
      </w:tabs>
    </w:pPr>
  </w:style>
  <w:style w:type="character" w:customStyle="1" w:styleId="PtaChar">
    <w:name w:val="Päta Char"/>
    <w:basedOn w:val="Predvolenpsmoodseku"/>
    <w:link w:val="Pta"/>
    <w:uiPriority w:val="99"/>
    <w:rsid w:val="009113D0"/>
    <w:rPr>
      <w:rFonts w:ascii="Times New Roman" w:eastAsia="Times New Roman" w:hAnsi="Times New Roman" w:cs="Times New Roman"/>
      <w:sz w:val="24"/>
      <w:szCs w:val="20"/>
      <w:lang w:val="sl-SI" w:eastAsia="sl-SI"/>
    </w:rPr>
  </w:style>
  <w:style w:type="paragraph" w:styleId="Textbubliny">
    <w:name w:val="Balloon Text"/>
    <w:basedOn w:val="Normlny"/>
    <w:link w:val="TextbublinyChar"/>
    <w:uiPriority w:val="99"/>
    <w:semiHidden/>
    <w:unhideWhenUsed/>
    <w:rsid w:val="00754A92"/>
    <w:rPr>
      <w:rFonts w:ascii="Tahoma" w:hAnsi="Tahoma" w:cs="Tahoma"/>
      <w:sz w:val="16"/>
      <w:szCs w:val="16"/>
    </w:rPr>
  </w:style>
  <w:style w:type="character" w:customStyle="1" w:styleId="TextbublinyChar">
    <w:name w:val="Text bubliny Char"/>
    <w:basedOn w:val="Predvolenpsmoodseku"/>
    <w:link w:val="Textbubliny"/>
    <w:uiPriority w:val="99"/>
    <w:semiHidden/>
    <w:rsid w:val="00754A92"/>
    <w:rPr>
      <w:rFonts w:ascii="Tahoma" w:eastAsia="Times New Roman" w:hAnsi="Tahoma" w:cs="Tahoma"/>
      <w:sz w:val="16"/>
      <w:szCs w:val="16"/>
      <w:lang w:val="sl-SI" w:eastAsia="sl-SI"/>
    </w:rPr>
  </w:style>
  <w:style w:type="character" w:styleId="Odkaznakomentr">
    <w:name w:val="annotation reference"/>
    <w:basedOn w:val="Predvolenpsmoodseku"/>
    <w:uiPriority w:val="99"/>
    <w:semiHidden/>
    <w:unhideWhenUsed/>
    <w:rsid w:val="0053596F"/>
    <w:rPr>
      <w:sz w:val="16"/>
      <w:szCs w:val="16"/>
    </w:rPr>
  </w:style>
  <w:style w:type="paragraph" w:styleId="Textkomentra">
    <w:name w:val="annotation text"/>
    <w:basedOn w:val="Normlny"/>
    <w:link w:val="TextkomentraChar"/>
    <w:uiPriority w:val="99"/>
    <w:semiHidden/>
    <w:unhideWhenUsed/>
    <w:rsid w:val="0053596F"/>
    <w:rPr>
      <w:sz w:val="20"/>
    </w:rPr>
  </w:style>
  <w:style w:type="character" w:customStyle="1" w:styleId="TextkomentraChar">
    <w:name w:val="Text komentára Char"/>
    <w:basedOn w:val="Predvolenpsmoodseku"/>
    <w:link w:val="Textkomentra"/>
    <w:uiPriority w:val="99"/>
    <w:semiHidden/>
    <w:rsid w:val="0053596F"/>
    <w:rPr>
      <w:rFonts w:ascii="Times New Roman" w:eastAsia="Times New Roman" w:hAnsi="Times New Roman" w:cs="Times New Roman"/>
      <w:sz w:val="20"/>
      <w:szCs w:val="20"/>
      <w:lang w:val="sl-SI" w:eastAsia="sl-SI"/>
    </w:rPr>
  </w:style>
  <w:style w:type="paragraph" w:styleId="Predmetkomentra">
    <w:name w:val="annotation subject"/>
    <w:basedOn w:val="Textkomentra"/>
    <w:next w:val="Textkomentra"/>
    <w:link w:val="PredmetkomentraChar"/>
    <w:uiPriority w:val="99"/>
    <w:semiHidden/>
    <w:unhideWhenUsed/>
    <w:rsid w:val="0053596F"/>
    <w:rPr>
      <w:b/>
      <w:bCs/>
    </w:rPr>
  </w:style>
  <w:style w:type="character" w:customStyle="1" w:styleId="PredmetkomentraChar">
    <w:name w:val="Predmet komentára Char"/>
    <w:basedOn w:val="TextkomentraChar"/>
    <w:link w:val="Predmetkomentra"/>
    <w:uiPriority w:val="99"/>
    <w:semiHidden/>
    <w:rsid w:val="0053596F"/>
    <w:rPr>
      <w:rFonts w:ascii="Times New Roman" w:eastAsia="Times New Roman" w:hAnsi="Times New Roman" w:cs="Times New Roman"/>
      <w:b/>
      <w:bCs/>
      <w:sz w:val="20"/>
      <w:szCs w:val="20"/>
      <w:lang w:val="sl-SI" w:eastAsia="sl-SI"/>
    </w:rPr>
  </w:style>
  <w:style w:type="character" w:styleId="PouitHypertextovPrepojenie">
    <w:name w:val="FollowedHyperlink"/>
    <w:basedOn w:val="Predvolenpsmoodseku"/>
    <w:uiPriority w:val="99"/>
    <w:semiHidden/>
    <w:unhideWhenUsed/>
    <w:rsid w:val="00891AD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E00E06"/>
    <w:pPr>
      <w:spacing w:after="0" w:line="240" w:lineRule="auto"/>
    </w:pPr>
    <w:rPr>
      <w:rFonts w:ascii="Times New Roman" w:eastAsia="Times New Roman" w:hAnsi="Times New Roman" w:cs="Times New Roman"/>
      <w:sz w:val="24"/>
      <w:szCs w:val="20"/>
      <w:lang w:val="sl-SI" w:eastAsia="sl-S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rsid w:val="00E00E06"/>
    <w:rPr>
      <w:rFonts w:ascii="Times New Roman" w:hAnsi="Times New Roman"/>
      <w:color w:val="auto"/>
      <w:sz w:val="24"/>
      <w:szCs w:val="24"/>
      <w:u w:val="single"/>
      <w:lang w:val="en-US"/>
    </w:rPr>
  </w:style>
  <w:style w:type="paragraph" w:customStyle="1" w:styleId="Default">
    <w:name w:val="Default"/>
    <w:uiPriority w:val="99"/>
    <w:rsid w:val="00E00E06"/>
    <w:pPr>
      <w:autoSpaceDE w:val="0"/>
      <w:autoSpaceDN w:val="0"/>
      <w:adjustRightInd w:val="0"/>
      <w:spacing w:after="0" w:line="240" w:lineRule="auto"/>
    </w:pPr>
    <w:rPr>
      <w:rFonts w:ascii="Times New Roman" w:eastAsia="Times New Roman" w:hAnsi="Times New Roman" w:cs="Times New Roman"/>
      <w:color w:val="000000"/>
      <w:sz w:val="24"/>
      <w:szCs w:val="24"/>
      <w:lang w:val="sl-SI" w:eastAsia="sl-SI"/>
    </w:rPr>
  </w:style>
  <w:style w:type="paragraph" w:styleId="Zarkazkladnhotextu">
    <w:name w:val="Body Text Indent"/>
    <w:basedOn w:val="Normlny"/>
    <w:link w:val="ZarkazkladnhotextuChar"/>
    <w:rsid w:val="00E00E06"/>
    <w:pPr>
      <w:spacing w:after="120"/>
      <w:ind w:left="283"/>
    </w:pPr>
  </w:style>
  <w:style w:type="character" w:customStyle="1" w:styleId="ZarkazkladnhotextuChar">
    <w:name w:val="Zarážka základného textu Char"/>
    <w:basedOn w:val="Predvolenpsmoodseku"/>
    <w:link w:val="Zarkazkladnhotextu"/>
    <w:rsid w:val="00E00E06"/>
    <w:rPr>
      <w:rFonts w:ascii="Times New Roman" w:eastAsia="Times New Roman" w:hAnsi="Times New Roman" w:cs="Times New Roman"/>
      <w:sz w:val="24"/>
      <w:szCs w:val="20"/>
      <w:lang w:val="sl-SI" w:eastAsia="sl-SI"/>
    </w:rPr>
  </w:style>
  <w:style w:type="character" w:styleId="Siln">
    <w:name w:val="Strong"/>
    <w:uiPriority w:val="99"/>
    <w:qFormat/>
    <w:rsid w:val="00E00E06"/>
    <w:rPr>
      <w:rFonts w:cs="Times New Roman"/>
      <w:b/>
    </w:rPr>
  </w:style>
  <w:style w:type="paragraph" w:styleId="Zarkazkladnhotextu2">
    <w:name w:val="Body Text Indent 2"/>
    <w:basedOn w:val="Normlny"/>
    <w:link w:val="Zarkazkladnhotextu2Char"/>
    <w:rsid w:val="00E00E06"/>
    <w:pPr>
      <w:spacing w:after="120" w:line="480" w:lineRule="auto"/>
      <w:ind w:left="283"/>
    </w:pPr>
  </w:style>
  <w:style w:type="character" w:customStyle="1" w:styleId="Zarkazkladnhotextu2Char">
    <w:name w:val="Zarážka základného textu 2 Char"/>
    <w:basedOn w:val="Predvolenpsmoodseku"/>
    <w:link w:val="Zarkazkladnhotextu2"/>
    <w:rsid w:val="00E00E06"/>
    <w:rPr>
      <w:rFonts w:ascii="Times New Roman" w:eastAsia="Times New Roman" w:hAnsi="Times New Roman" w:cs="Times New Roman"/>
      <w:sz w:val="24"/>
      <w:szCs w:val="20"/>
      <w:lang w:val="sl-SI" w:eastAsia="sl-SI"/>
    </w:rPr>
  </w:style>
  <w:style w:type="paragraph" w:customStyle="1" w:styleId="Odsekzoznamu1">
    <w:name w:val="Odsek zoznamu1"/>
    <w:basedOn w:val="Normlny"/>
    <w:uiPriority w:val="99"/>
    <w:rsid w:val="00E00E06"/>
    <w:pPr>
      <w:ind w:left="720"/>
    </w:pPr>
    <w:rPr>
      <w:szCs w:val="24"/>
      <w:lang w:val="cs-CZ" w:eastAsia="cs-CZ"/>
    </w:rPr>
  </w:style>
  <w:style w:type="paragraph" w:styleId="Hlavika">
    <w:name w:val="header"/>
    <w:basedOn w:val="Normlny"/>
    <w:link w:val="HlavikaChar"/>
    <w:uiPriority w:val="99"/>
    <w:unhideWhenUsed/>
    <w:rsid w:val="009113D0"/>
    <w:pPr>
      <w:tabs>
        <w:tab w:val="center" w:pos="4536"/>
        <w:tab w:val="right" w:pos="9072"/>
      </w:tabs>
    </w:pPr>
  </w:style>
  <w:style w:type="character" w:customStyle="1" w:styleId="HlavikaChar">
    <w:name w:val="Hlavička Char"/>
    <w:basedOn w:val="Predvolenpsmoodseku"/>
    <w:link w:val="Hlavika"/>
    <w:uiPriority w:val="99"/>
    <w:rsid w:val="009113D0"/>
    <w:rPr>
      <w:rFonts w:ascii="Times New Roman" w:eastAsia="Times New Roman" w:hAnsi="Times New Roman" w:cs="Times New Roman"/>
      <w:sz w:val="24"/>
      <w:szCs w:val="20"/>
      <w:lang w:val="sl-SI" w:eastAsia="sl-SI"/>
    </w:rPr>
  </w:style>
  <w:style w:type="paragraph" w:styleId="Pta">
    <w:name w:val="footer"/>
    <w:basedOn w:val="Normlny"/>
    <w:link w:val="PtaChar"/>
    <w:uiPriority w:val="99"/>
    <w:unhideWhenUsed/>
    <w:rsid w:val="009113D0"/>
    <w:pPr>
      <w:tabs>
        <w:tab w:val="center" w:pos="4536"/>
        <w:tab w:val="right" w:pos="9072"/>
      </w:tabs>
    </w:pPr>
  </w:style>
  <w:style w:type="character" w:customStyle="1" w:styleId="PtaChar">
    <w:name w:val="Päta Char"/>
    <w:basedOn w:val="Predvolenpsmoodseku"/>
    <w:link w:val="Pta"/>
    <w:uiPriority w:val="99"/>
    <w:rsid w:val="009113D0"/>
    <w:rPr>
      <w:rFonts w:ascii="Times New Roman" w:eastAsia="Times New Roman" w:hAnsi="Times New Roman" w:cs="Times New Roman"/>
      <w:sz w:val="24"/>
      <w:szCs w:val="20"/>
      <w:lang w:val="sl-SI" w:eastAsia="sl-SI"/>
    </w:rPr>
  </w:style>
  <w:style w:type="paragraph" w:styleId="Textbubliny">
    <w:name w:val="Balloon Text"/>
    <w:basedOn w:val="Normlny"/>
    <w:link w:val="TextbublinyChar"/>
    <w:uiPriority w:val="99"/>
    <w:semiHidden/>
    <w:unhideWhenUsed/>
    <w:rsid w:val="00754A92"/>
    <w:rPr>
      <w:rFonts w:ascii="Tahoma" w:hAnsi="Tahoma" w:cs="Tahoma"/>
      <w:sz w:val="16"/>
      <w:szCs w:val="16"/>
    </w:rPr>
  </w:style>
  <w:style w:type="character" w:customStyle="1" w:styleId="TextbublinyChar">
    <w:name w:val="Text bubliny Char"/>
    <w:basedOn w:val="Predvolenpsmoodseku"/>
    <w:link w:val="Textbubliny"/>
    <w:uiPriority w:val="99"/>
    <w:semiHidden/>
    <w:rsid w:val="00754A92"/>
    <w:rPr>
      <w:rFonts w:ascii="Tahoma" w:eastAsia="Times New Roman" w:hAnsi="Tahoma" w:cs="Tahoma"/>
      <w:sz w:val="16"/>
      <w:szCs w:val="16"/>
      <w:lang w:val="sl-SI" w:eastAsia="sl-SI"/>
    </w:rPr>
  </w:style>
  <w:style w:type="character" w:styleId="Odkaznakomentr">
    <w:name w:val="annotation reference"/>
    <w:basedOn w:val="Predvolenpsmoodseku"/>
    <w:uiPriority w:val="99"/>
    <w:semiHidden/>
    <w:unhideWhenUsed/>
    <w:rsid w:val="0053596F"/>
    <w:rPr>
      <w:sz w:val="16"/>
      <w:szCs w:val="16"/>
    </w:rPr>
  </w:style>
  <w:style w:type="paragraph" w:styleId="Textkomentra">
    <w:name w:val="annotation text"/>
    <w:basedOn w:val="Normlny"/>
    <w:link w:val="TextkomentraChar"/>
    <w:uiPriority w:val="99"/>
    <w:semiHidden/>
    <w:unhideWhenUsed/>
    <w:rsid w:val="0053596F"/>
    <w:rPr>
      <w:sz w:val="20"/>
    </w:rPr>
  </w:style>
  <w:style w:type="character" w:customStyle="1" w:styleId="TextkomentraChar">
    <w:name w:val="Text komentára Char"/>
    <w:basedOn w:val="Predvolenpsmoodseku"/>
    <w:link w:val="Textkomentra"/>
    <w:uiPriority w:val="99"/>
    <w:semiHidden/>
    <w:rsid w:val="0053596F"/>
    <w:rPr>
      <w:rFonts w:ascii="Times New Roman" w:eastAsia="Times New Roman" w:hAnsi="Times New Roman" w:cs="Times New Roman"/>
      <w:sz w:val="20"/>
      <w:szCs w:val="20"/>
      <w:lang w:val="sl-SI" w:eastAsia="sl-SI"/>
    </w:rPr>
  </w:style>
  <w:style w:type="paragraph" w:styleId="Predmetkomentra">
    <w:name w:val="annotation subject"/>
    <w:basedOn w:val="Textkomentra"/>
    <w:next w:val="Textkomentra"/>
    <w:link w:val="PredmetkomentraChar"/>
    <w:uiPriority w:val="99"/>
    <w:semiHidden/>
    <w:unhideWhenUsed/>
    <w:rsid w:val="0053596F"/>
    <w:rPr>
      <w:b/>
      <w:bCs/>
    </w:rPr>
  </w:style>
  <w:style w:type="character" w:customStyle="1" w:styleId="PredmetkomentraChar">
    <w:name w:val="Predmet komentára Char"/>
    <w:basedOn w:val="TextkomentraChar"/>
    <w:link w:val="Predmetkomentra"/>
    <w:uiPriority w:val="99"/>
    <w:semiHidden/>
    <w:rsid w:val="0053596F"/>
    <w:rPr>
      <w:rFonts w:ascii="Times New Roman" w:eastAsia="Times New Roman" w:hAnsi="Times New Roman" w:cs="Times New Roman"/>
      <w:b/>
      <w:bCs/>
      <w:sz w:val="20"/>
      <w:szCs w:val="20"/>
      <w:lang w:val="sl-SI" w:eastAsia="sl-SI"/>
    </w:rPr>
  </w:style>
  <w:style w:type="character" w:styleId="PouitHypertextovPrepojenie">
    <w:name w:val="FollowedHyperlink"/>
    <w:basedOn w:val="Predvolenpsmoodseku"/>
    <w:uiPriority w:val="99"/>
    <w:semiHidden/>
    <w:unhideWhenUsed/>
    <w:rsid w:val="00891AD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cc.sk/web/humanne-lieky/atc-skupiny/s01ec/inhibitory-karboanhydrazy.html"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368</TotalTime>
  <Pages>12</Pages>
  <Words>4078</Words>
  <Characters>23245</Characters>
  <Application>Microsoft Office Word</Application>
  <DocSecurity>0</DocSecurity>
  <Lines>193</Lines>
  <Paragraphs>54</Paragraphs>
  <ScaleCrop>false</ScaleCrop>
  <HeadingPairs>
    <vt:vector size="2" baseType="variant">
      <vt:variant>
        <vt:lpstr>Názov</vt:lpstr>
      </vt:variant>
      <vt:variant>
        <vt:i4>1</vt:i4>
      </vt:variant>
    </vt:vector>
  </HeadingPairs>
  <TitlesOfParts>
    <vt:vector size="1" baseType="lpstr">
      <vt:lpstr/>
    </vt:vector>
  </TitlesOfParts>
  <Company>Krka, d.d.</Company>
  <LinksUpToDate>false</LinksUpToDate>
  <CharactersWithSpaces>27269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Derianova, Martina</dc:creator>
  <cp:lastModifiedBy>Košuthová, Katarína</cp:lastModifiedBy>
  <cp:revision>128</cp:revision>
  <dcterms:created xsi:type="dcterms:W3CDTF">2016-12-23T08:56:00Z</dcterms:created>
  <dcterms:modified xsi:type="dcterms:W3CDTF">2017-01-12T09:25:00Z</dcterms:modified>
</cp:coreProperties>
</file>