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42" w:rsidRPr="006C372D" w:rsidRDefault="00B65342" w:rsidP="00404BAD">
      <w:pPr>
        <w:pStyle w:val="Nadpis1"/>
        <w:tabs>
          <w:tab w:val="left" w:pos="840"/>
          <w:tab w:val="center" w:pos="4535"/>
        </w:tabs>
        <w:spacing w:before="0" w:after="0"/>
        <w:jc w:val="left"/>
        <w:rPr>
          <w:rFonts w:ascii="Times New Roman" w:hAnsi="Times New Roman"/>
          <w:caps/>
          <w:sz w:val="22"/>
          <w:szCs w:val="22"/>
        </w:rPr>
      </w:pPr>
      <w:r>
        <w:rPr>
          <w:rFonts w:ascii="Times New Roman" w:hAnsi="Times New Roman"/>
          <w:caps/>
          <w:sz w:val="22"/>
          <w:szCs w:val="22"/>
        </w:rPr>
        <w:tab/>
      </w:r>
      <w:r>
        <w:rPr>
          <w:rFonts w:ascii="Times New Roman" w:hAnsi="Times New Roman"/>
          <w:caps/>
          <w:sz w:val="22"/>
          <w:szCs w:val="22"/>
        </w:rPr>
        <w:tab/>
      </w:r>
      <w:r w:rsidRPr="006C372D">
        <w:rPr>
          <w:rFonts w:ascii="Times New Roman" w:hAnsi="Times New Roman"/>
          <w:caps/>
          <w:sz w:val="22"/>
          <w:szCs w:val="22"/>
        </w:rPr>
        <w:t>Súhrn charakteristických vlastností lieku</w:t>
      </w:r>
    </w:p>
    <w:p w:rsidR="00B65342" w:rsidRPr="006C372D" w:rsidRDefault="00B65342">
      <w:pPr>
        <w:widowControl/>
        <w:rPr>
          <w:sz w:val="22"/>
          <w:szCs w:val="22"/>
        </w:rPr>
      </w:pPr>
    </w:p>
    <w:p w:rsidR="00B65342" w:rsidRPr="006C372D" w:rsidRDefault="00B65342">
      <w:pPr>
        <w:widowControl/>
        <w:jc w:val="both"/>
        <w:rPr>
          <w:sz w:val="22"/>
          <w:szCs w:val="22"/>
        </w:rPr>
      </w:pPr>
    </w:p>
    <w:p w:rsidR="00B65342" w:rsidRPr="006C372D" w:rsidRDefault="00B65342" w:rsidP="006A7905">
      <w:pPr>
        <w:pStyle w:val="Nadpis1"/>
        <w:spacing w:before="0" w:after="0"/>
        <w:jc w:val="left"/>
        <w:rPr>
          <w:rFonts w:ascii="Times New Roman" w:hAnsi="Times New Roman"/>
          <w:sz w:val="22"/>
          <w:szCs w:val="22"/>
        </w:rPr>
      </w:pPr>
      <w:r w:rsidRPr="006C372D">
        <w:rPr>
          <w:rFonts w:ascii="Times New Roman" w:hAnsi="Times New Roman"/>
          <w:sz w:val="22"/>
          <w:szCs w:val="22"/>
        </w:rPr>
        <w:t xml:space="preserve">1. </w:t>
      </w:r>
      <w:r>
        <w:rPr>
          <w:rFonts w:ascii="Times New Roman" w:hAnsi="Times New Roman"/>
          <w:sz w:val="22"/>
          <w:szCs w:val="22"/>
        </w:rPr>
        <w:tab/>
      </w:r>
      <w:r w:rsidRPr="006C372D">
        <w:rPr>
          <w:rFonts w:ascii="Times New Roman" w:hAnsi="Times New Roman"/>
          <w:sz w:val="22"/>
          <w:szCs w:val="22"/>
        </w:rPr>
        <w:t>NÁZOV LIEKU</w:t>
      </w:r>
    </w:p>
    <w:p w:rsidR="00B65342" w:rsidRPr="006C372D" w:rsidRDefault="00B65342" w:rsidP="006A7905">
      <w:pPr>
        <w:widowControl/>
        <w:rPr>
          <w:sz w:val="22"/>
          <w:szCs w:val="22"/>
        </w:rPr>
      </w:pPr>
    </w:p>
    <w:p w:rsidR="00B65342" w:rsidRPr="006C372D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>BITAMMON 375</w:t>
      </w:r>
    </w:p>
    <w:p w:rsidR="00B65342" w:rsidRPr="006D5F96" w:rsidRDefault="00B65342" w:rsidP="006A7905">
      <w:pPr>
        <w:widowControl/>
        <w:rPr>
          <w:sz w:val="22"/>
          <w:szCs w:val="22"/>
        </w:rPr>
      </w:pPr>
      <w:r w:rsidRPr="006D5F96">
        <w:rPr>
          <w:sz w:val="22"/>
          <w:szCs w:val="22"/>
        </w:rPr>
        <w:t>obalené tablety</w:t>
      </w:r>
    </w:p>
    <w:p w:rsidR="00B65342" w:rsidRDefault="00B65342" w:rsidP="006A7905">
      <w:pPr>
        <w:widowControl/>
        <w:rPr>
          <w:b/>
          <w:sz w:val="22"/>
          <w:szCs w:val="22"/>
        </w:rPr>
      </w:pP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Pr="006C372D" w:rsidRDefault="00B65342" w:rsidP="006A7905">
      <w:pPr>
        <w:pStyle w:val="Nadpis1"/>
        <w:spacing w:before="0" w:after="0"/>
        <w:jc w:val="left"/>
        <w:rPr>
          <w:rFonts w:ascii="Times New Roman" w:hAnsi="Times New Roman"/>
          <w:sz w:val="22"/>
          <w:szCs w:val="22"/>
        </w:rPr>
      </w:pPr>
      <w:r w:rsidRPr="006C372D">
        <w:rPr>
          <w:rFonts w:ascii="Times New Roman" w:hAnsi="Times New Roman"/>
          <w:sz w:val="22"/>
          <w:szCs w:val="22"/>
        </w:rPr>
        <w:t xml:space="preserve">2. </w:t>
      </w:r>
      <w:r>
        <w:rPr>
          <w:rFonts w:ascii="Times New Roman" w:hAnsi="Times New Roman"/>
          <w:sz w:val="22"/>
          <w:szCs w:val="22"/>
        </w:rPr>
        <w:tab/>
      </w:r>
      <w:r w:rsidRPr="006C372D">
        <w:rPr>
          <w:rFonts w:ascii="Times New Roman" w:hAnsi="Times New Roman"/>
          <w:sz w:val="22"/>
          <w:szCs w:val="22"/>
        </w:rPr>
        <w:t xml:space="preserve">KVALITATÍVNE A KVANTITATÍVNE ZLOŽENIE </w:t>
      </w:r>
    </w:p>
    <w:p w:rsidR="00B65342" w:rsidRPr="006C372D" w:rsidRDefault="00B65342" w:rsidP="006A7905">
      <w:pPr>
        <w:widowControl/>
        <w:rPr>
          <w:sz w:val="22"/>
          <w:szCs w:val="22"/>
        </w:rPr>
      </w:pPr>
    </w:p>
    <w:p w:rsidR="00B65342" w:rsidRPr="006C372D" w:rsidRDefault="00B65342" w:rsidP="006A7905">
      <w:pPr>
        <w:pStyle w:val="Nadpis1"/>
        <w:tabs>
          <w:tab w:val="left" w:pos="8505"/>
        </w:tabs>
        <w:spacing w:before="0" w:after="0"/>
        <w:jc w:val="left"/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D</w:t>
      </w:r>
      <w:r w:rsidRPr="00E82472">
        <w:rPr>
          <w:rFonts w:ascii="Times New Roman" w:hAnsi="Times New Roman"/>
          <w:b w:val="0"/>
          <w:sz w:val="22"/>
          <w:szCs w:val="22"/>
        </w:rPr>
        <w:t>ihydrát</w:t>
      </w:r>
      <w:proofErr w:type="spellEnd"/>
      <w:r w:rsidRPr="00E8247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E82472">
        <w:rPr>
          <w:rFonts w:ascii="Times New Roman" w:hAnsi="Times New Roman"/>
          <w:b w:val="0"/>
          <w:sz w:val="22"/>
          <w:szCs w:val="22"/>
        </w:rPr>
        <w:t>sultamicilíniumtosilátu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506,3 mg,</w:t>
      </w:r>
      <w:r w:rsidRPr="006C372D">
        <w:rPr>
          <w:rFonts w:ascii="Times New Roman" w:hAnsi="Times New Roman"/>
          <w:b w:val="0"/>
          <w:sz w:val="22"/>
          <w:szCs w:val="22"/>
        </w:rPr>
        <w:t xml:space="preserve"> čo zodpovedá 375 mg </w:t>
      </w:r>
      <w:proofErr w:type="spellStart"/>
      <w:r w:rsidRPr="00E82472">
        <w:rPr>
          <w:rFonts w:ascii="Times New Roman" w:hAnsi="Times New Roman"/>
          <w:b w:val="0"/>
          <w:sz w:val="22"/>
          <w:szCs w:val="22"/>
        </w:rPr>
        <w:t>sultamicilín</w:t>
      </w:r>
      <w:r>
        <w:rPr>
          <w:rFonts w:ascii="Times New Roman" w:hAnsi="Times New Roman"/>
          <w:b w:val="0"/>
          <w:sz w:val="22"/>
          <w:szCs w:val="22"/>
        </w:rPr>
        <w:t>u</w:t>
      </w:r>
      <w:proofErr w:type="spellEnd"/>
      <w:r w:rsidRPr="006C372D">
        <w:rPr>
          <w:rFonts w:ascii="Times New Roman" w:hAnsi="Times New Roman"/>
          <w:b w:val="0"/>
          <w:sz w:val="22"/>
          <w:szCs w:val="22"/>
        </w:rPr>
        <w:t xml:space="preserve"> v 1 obalenej tablete.</w:t>
      </w:r>
    </w:p>
    <w:p w:rsidR="00B65342" w:rsidRPr="006C372D" w:rsidRDefault="00B65342" w:rsidP="006A7905">
      <w:pPr>
        <w:widowControl/>
        <w:rPr>
          <w:sz w:val="22"/>
          <w:szCs w:val="22"/>
        </w:rPr>
      </w:pPr>
      <w:proofErr w:type="spellStart"/>
      <w:r w:rsidRPr="006C372D">
        <w:rPr>
          <w:sz w:val="22"/>
          <w:szCs w:val="22"/>
        </w:rPr>
        <w:t>Sultamicilín</w:t>
      </w:r>
      <w:proofErr w:type="spellEnd"/>
      <w:r w:rsidRPr="006C372D">
        <w:rPr>
          <w:sz w:val="22"/>
          <w:szCs w:val="22"/>
        </w:rPr>
        <w:t xml:space="preserve"> je </w:t>
      </w:r>
      <w:proofErr w:type="spellStart"/>
      <w:r w:rsidRPr="006C372D">
        <w:rPr>
          <w:sz w:val="22"/>
          <w:szCs w:val="22"/>
        </w:rPr>
        <w:t>prekurzor</w:t>
      </w:r>
      <w:proofErr w:type="spellEnd"/>
      <w:r w:rsidRPr="006C372D">
        <w:rPr>
          <w:sz w:val="22"/>
          <w:szCs w:val="22"/>
        </w:rPr>
        <w:t xml:space="preserve"> („</w:t>
      </w:r>
      <w:proofErr w:type="spellStart"/>
      <w:r w:rsidRPr="006C372D">
        <w:rPr>
          <w:sz w:val="22"/>
          <w:szCs w:val="22"/>
        </w:rPr>
        <w:t>prodrug</w:t>
      </w:r>
      <w:proofErr w:type="spellEnd"/>
      <w:r w:rsidRPr="006C372D">
        <w:rPr>
          <w:sz w:val="22"/>
          <w:szCs w:val="22"/>
        </w:rPr>
        <w:t xml:space="preserve">“) obsahujúci </w:t>
      </w:r>
      <w:proofErr w:type="spellStart"/>
      <w:r w:rsidRPr="006C372D">
        <w:rPr>
          <w:sz w:val="22"/>
          <w:szCs w:val="22"/>
        </w:rPr>
        <w:t>sulbaktám</w:t>
      </w:r>
      <w:proofErr w:type="spellEnd"/>
      <w:r w:rsidRPr="006C372D">
        <w:rPr>
          <w:sz w:val="22"/>
          <w:szCs w:val="22"/>
        </w:rPr>
        <w:t xml:space="preserve"> a </w:t>
      </w:r>
      <w:proofErr w:type="spellStart"/>
      <w:r w:rsidRPr="006C372D">
        <w:rPr>
          <w:sz w:val="22"/>
          <w:szCs w:val="22"/>
        </w:rPr>
        <w:t>ampicilín</w:t>
      </w:r>
      <w:proofErr w:type="spellEnd"/>
      <w:r w:rsidRPr="006C372D">
        <w:rPr>
          <w:sz w:val="22"/>
          <w:szCs w:val="22"/>
        </w:rPr>
        <w:t xml:space="preserve"> v množstve, ktoré je ekvivalentné 147 mg </w:t>
      </w:r>
      <w:proofErr w:type="spellStart"/>
      <w:r w:rsidRPr="006C372D">
        <w:rPr>
          <w:sz w:val="22"/>
          <w:szCs w:val="22"/>
        </w:rPr>
        <w:t>sulbaktámu</w:t>
      </w:r>
      <w:proofErr w:type="spellEnd"/>
      <w:r w:rsidRPr="006C372D">
        <w:rPr>
          <w:sz w:val="22"/>
          <w:szCs w:val="22"/>
        </w:rPr>
        <w:t xml:space="preserve"> a 220 mg </w:t>
      </w:r>
      <w:proofErr w:type="spellStart"/>
      <w:r w:rsidRPr="006C372D">
        <w:rPr>
          <w:sz w:val="22"/>
          <w:szCs w:val="22"/>
        </w:rPr>
        <w:t>ampicilínu</w:t>
      </w:r>
      <w:proofErr w:type="spellEnd"/>
      <w:r w:rsidRPr="006C372D">
        <w:rPr>
          <w:sz w:val="22"/>
          <w:szCs w:val="22"/>
        </w:rPr>
        <w:t>.</w:t>
      </w:r>
    </w:p>
    <w:p w:rsidR="00B65342" w:rsidRPr="006C372D" w:rsidRDefault="00B65342" w:rsidP="006A7905">
      <w:pPr>
        <w:widowControl/>
        <w:rPr>
          <w:sz w:val="22"/>
          <w:szCs w:val="22"/>
        </w:rPr>
      </w:pPr>
    </w:p>
    <w:p w:rsidR="00B65342" w:rsidRPr="006C372D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>Úplný zoznam pomocných látok, pozri časť 6.1.</w:t>
      </w:r>
    </w:p>
    <w:p w:rsidR="00B65342" w:rsidRDefault="00B65342" w:rsidP="006A7905">
      <w:pPr>
        <w:widowControl/>
        <w:rPr>
          <w:b/>
          <w:sz w:val="22"/>
          <w:szCs w:val="22"/>
        </w:rPr>
      </w:pP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Pr="006C372D" w:rsidRDefault="00B65342" w:rsidP="006A7905">
      <w:pPr>
        <w:widowControl/>
        <w:rPr>
          <w:b/>
          <w:kern w:val="28"/>
          <w:sz w:val="22"/>
          <w:szCs w:val="22"/>
        </w:rPr>
      </w:pPr>
      <w:r w:rsidRPr="006C372D">
        <w:rPr>
          <w:b/>
          <w:kern w:val="28"/>
          <w:sz w:val="22"/>
          <w:szCs w:val="22"/>
        </w:rPr>
        <w:t xml:space="preserve">3. </w:t>
      </w:r>
      <w:r>
        <w:rPr>
          <w:b/>
          <w:kern w:val="28"/>
          <w:sz w:val="22"/>
          <w:szCs w:val="22"/>
        </w:rPr>
        <w:tab/>
      </w:r>
      <w:r w:rsidRPr="006C372D">
        <w:rPr>
          <w:b/>
          <w:kern w:val="28"/>
          <w:sz w:val="22"/>
          <w:szCs w:val="22"/>
        </w:rPr>
        <w:t>LIEKOVÁ FORMA</w:t>
      </w: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Pr="006C372D" w:rsidRDefault="00B65342" w:rsidP="006A7905">
      <w:pPr>
        <w:widowControl/>
        <w:rPr>
          <w:sz w:val="22"/>
          <w:szCs w:val="22"/>
        </w:rPr>
      </w:pPr>
      <w:r>
        <w:rPr>
          <w:sz w:val="22"/>
          <w:szCs w:val="22"/>
        </w:rPr>
        <w:t>o</w:t>
      </w:r>
      <w:r w:rsidRPr="006C372D">
        <w:rPr>
          <w:sz w:val="22"/>
          <w:szCs w:val="22"/>
        </w:rPr>
        <w:t>balen</w:t>
      </w:r>
      <w:r>
        <w:rPr>
          <w:sz w:val="22"/>
          <w:szCs w:val="22"/>
        </w:rPr>
        <w:t>á</w:t>
      </w:r>
      <w:r w:rsidRPr="006C372D">
        <w:rPr>
          <w:sz w:val="22"/>
          <w:szCs w:val="22"/>
        </w:rPr>
        <w:t xml:space="preserve"> tablet</w:t>
      </w:r>
      <w:r>
        <w:rPr>
          <w:sz w:val="22"/>
          <w:szCs w:val="22"/>
        </w:rPr>
        <w:t>a</w:t>
      </w:r>
      <w:r w:rsidRPr="006C372D">
        <w:rPr>
          <w:sz w:val="22"/>
          <w:szCs w:val="22"/>
        </w:rPr>
        <w:t xml:space="preserve"> </w:t>
      </w:r>
    </w:p>
    <w:p w:rsidR="00B65342" w:rsidRPr="006C372D" w:rsidRDefault="00B65342" w:rsidP="006A7905">
      <w:pPr>
        <w:widowControl/>
        <w:rPr>
          <w:sz w:val="22"/>
          <w:szCs w:val="22"/>
        </w:rPr>
      </w:pPr>
      <w:r>
        <w:rPr>
          <w:sz w:val="22"/>
          <w:szCs w:val="22"/>
        </w:rPr>
        <w:t>b</w:t>
      </w:r>
      <w:r w:rsidRPr="006C372D">
        <w:rPr>
          <w:sz w:val="22"/>
          <w:szCs w:val="22"/>
        </w:rPr>
        <w:t>iele hladké tablety šošovkovitého tvaru (</w:t>
      </w:r>
      <w:smartTag w:uri="urn:schemas-microsoft-com:office:smarttags" w:element="metricconverter">
        <w:smartTagPr>
          <w:attr w:name="ProductID" w:val="13 mm"/>
        </w:smartTagPr>
        <w:r w:rsidRPr="006C372D">
          <w:rPr>
            <w:sz w:val="22"/>
            <w:szCs w:val="22"/>
          </w:rPr>
          <w:t>13 mm</w:t>
        </w:r>
      </w:smartTag>
      <w:r w:rsidRPr="006C372D">
        <w:rPr>
          <w:sz w:val="22"/>
          <w:szCs w:val="22"/>
        </w:rPr>
        <w:t>)</w:t>
      </w:r>
    </w:p>
    <w:p w:rsidR="00B65342" w:rsidRDefault="00B65342" w:rsidP="006A7905">
      <w:pPr>
        <w:widowControl/>
        <w:rPr>
          <w:sz w:val="22"/>
          <w:szCs w:val="22"/>
        </w:rPr>
      </w:pPr>
    </w:p>
    <w:p w:rsidR="00B65342" w:rsidRPr="006C372D" w:rsidRDefault="00B65342" w:rsidP="006A7905">
      <w:pPr>
        <w:widowControl/>
        <w:rPr>
          <w:sz w:val="22"/>
          <w:szCs w:val="22"/>
        </w:rPr>
      </w:pPr>
    </w:p>
    <w:p w:rsidR="00B65342" w:rsidRPr="006C372D" w:rsidRDefault="00B65342" w:rsidP="006A7905">
      <w:pPr>
        <w:pStyle w:val="Nadpis1"/>
        <w:spacing w:before="0" w:after="0"/>
        <w:jc w:val="left"/>
        <w:rPr>
          <w:rFonts w:ascii="Times New Roman" w:hAnsi="Times New Roman"/>
          <w:sz w:val="22"/>
          <w:szCs w:val="22"/>
        </w:rPr>
      </w:pPr>
      <w:r w:rsidRPr="006C372D">
        <w:rPr>
          <w:rFonts w:ascii="Times New Roman" w:hAnsi="Times New Roman"/>
          <w:sz w:val="22"/>
          <w:szCs w:val="22"/>
        </w:rPr>
        <w:t xml:space="preserve">4. </w:t>
      </w:r>
      <w:r>
        <w:rPr>
          <w:rFonts w:ascii="Times New Roman" w:hAnsi="Times New Roman"/>
          <w:sz w:val="22"/>
          <w:szCs w:val="22"/>
        </w:rPr>
        <w:tab/>
      </w:r>
      <w:r w:rsidRPr="006C372D">
        <w:rPr>
          <w:rFonts w:ascii="Times New Roman" w:hAnsi="Times New Roman"/>
          <w:sz w:val="22"/>
          <w:szCs w:val="22"/>
        </w:rPr>
        <w:t>KLINICKÉ ÚDAJE</w:t>
      </w: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Default="00B65342" w:rsidP="006A7905">
      <w:pPr>
        <w:widowControl/>
        <w:numPr>
          <w:ilvl w:val="1"/>
          <w:numId w:val="6"/>
        </w:numPr>
        <w:rPr>
          <w:b/>
          <w:sz w:val="22"/>
          <w:szCs w:val="22"/>
        </w:rPr>
      </w:pPr>
      <w:r w:rsidRPr="006C372D">
        <w:rPr>
          <w:b/>
          <w:sz w:val="22"/>
          <w:szCs w:val="22"/>
        </w:rPr>
        <w:t>Terapeutické indikácie</w:t>
      </w:r>
    </w:p>
    <w:p w:rsidR="00B65342" w:rsidRPr="006C372D" w:rsidRDefault="00B65342" w:rsidP="006A7905">
      <w:pPr>
        <w:widowControl/>
        <w:rPr>
          <w:sz w:val="22"/>
          <w:szCs w:val="22"/>
        </w:rPr>
      </w:pPr>
    </w:p>
    <w:p w:rsidR="00B65342" w:rsidRPr="006C372D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 xml:space="preserve">Liek sa používa na liečbu infekcií vyvolaných citlivými mikroorganizmami. </w:t>
      </w:r>
    </w:p>
    <w:p w:rsidR="00B65342" w:rsidRPr="006C372D" w:rsidRDefault="00B65342" w:rsidP="006A7905">
      <w:pPr>
        <w:pStyle w:val="BodyText23"/>
        <w:widowControl/>
        <w:spacing w:before="0"/>
        <w:ind w:left="0"/>
        <w:rPr>
          <w:sz w:val="22"/>
          <w:szCs w:val="22"/>
        </w:rPr>
      </w:pPr>
      <w:r w:rsidRPr="006C372D">
        <w:rPr>
          <w:sz w:val="22"/>
          <w:szCs w:val="22"/>
        </w:rPr>
        <w:t>Je vhodný na liečbu infekcií v oblasti horných dýchacích ciest (</w:t>
      </w:r>
      <w:proofErr w:type="spellStart"/>
      <w:r w:rsidRPr="006C372D">
        <w:rPr>
          <w:sz w:val="22"/>
          <w:szCs w:val="22"/>
        </w:rPr>
        <w:t>tonsilitis</w:t>
      </w:r>
      <w:proofErr w:type="spellEnd"/>
      <w:r w:rsidRPr="006C372D">
        <w:rPr>
          <w:sz w:val="22"/>
          <w:szCs w:val="22"/>
        </w:rPr>
        <w:t xml:space="preserve">, </w:t>
      </w:r>
      <w:proofErr w:type="spellStart"/>
      <w:r w:rsidRPr="006C372D">
        <w:rPr>
          <w:sz w:val="22"/>
          <w:szCs w:val="22"/>
        </w:rPr>
        <w:t>sinusitis</w:t>
      </w:r>
      <w:proofErr w:type="spellEnd"/>
      <w:r w:rsidRPr="006C372D">
        <w:rPr>
          <w:sz w:val="22"/>
          <w:szCs w:val="22"/>
        </w:rPr>
        <w:t xml:space="preserve">, </w:t>
      </w:r>
      <w:proofErr w:type="spellStart"/>
      <w:r w:rsidRPr="006C372D">
        <w:rPr>
          <w:sz w:val="22"/>
          <w:szCs w:val="22"/>
        </w:rPr>
        <w:t>otitis</w:t>
      </w:r>
      <w:proofErr w:type="spellEnd"/>
      <w:r w:rsidRPr="006C372D">
        <w:rPr>
          <w:sz w:val="22"/>
          <w:szCs w:val="22"/>
        </w:rPr>
        <w:t xml:space="preserve"> </w:t>
      </w:r>
      <w:proofErr w:type="spellStart"/>
      <w:r w:rsidRPr="006C372D">
        <w:rPr>
          <w:sz w:val="22"/>
          <w:szCs w:val="22"/>
        </w:rPr>
        <w:t>media</w:t>
      </w:r>
      <w:proofErr w:type="spellEnd"/>
      <w:r w:rsidRPr="006C372D">
        <w:rPr>
          <w:sz w:val="22"/>
          <w:szCs w:val="22"/>
        </w:rPr>
        <w:t xml:space="preserve"> a pod.), dolných dýchacích ciest (</w:t>
      </w:r>
      <w:proofErr w:type="spellStart"/>
      <w:r w:rsidRPr="006C372D">
        <w:rPr>
          <w:sz w:val="22"/>
          <w:szCs w:val="22"/>
        </w:rPr>
        <w:t>bronchitis</w:t>
      </w:r>
      <w:proofErr w:type="spellEnd"/>
      <w:r w:rsidRPr="006C372D">
        <w:rPr>
          <w:sz w:val="22"/>
          <w:szCs w:val="22"/>
        </w:rPr>
        <w:t xml:space="preserve">, </w:t>
      </w:r>
      <w:proofErr w:type="spellStart"/>
      <w:r w:rsidRPr="006C372D">
        <w:rPr>
          <w:sz w:val="22"/>
          <w:szCs w:val="22"/>
        </w:rPr>
        <w:t>pneumonia</w:t>
      </w:r>
      <w:proofErr w:type="spellEnd"/>
      <w:r w:rsidRPr="006C372D">
        <w:rPr>
          <w:sz w:val="22"/>
          <w:szCs w:val="22"/>
        </w:rPr>
        <w:t xml:space="preserve"> a pod.), močových ciest, na liečbu </w:t>
      </w:r>
      <w:proofErr w:type="spellStart"/>
      <w:r w:rsidRPr="006C372D">
        <w:rPr>
          <w:sz w:val="22"/>
          <w:szCs w:val="22"/>
        </w:rPr>
        <w:t>pyelonefritídy</w:t>
      </w:r>
      <w:proofErr w:type="spellEnd"/>
      <w:r w:rsidRPr="006C372D">
        <w:rPr>
          <w:sz w:val="22"/>
          <w:szCs w:val="22"/>
        </w:rPr>
        <w:t xml:space="preserve">, </w:t>
      </w:r>
      <w:proofErr w:type="spellStart"/>
      <w:r w:rsidRPr="006C372D">
        <w:rPr>
          <w:sz w:val="22"/>
          <w:szCs w:val="22"/>
        </w:rPr>
        <w:t>gonokokovej</w:t>
      </w:r>
      <w:proofErr w:type="spellEnd"/>
      <w:r w:rsidRPr="006C372D">
        <w:rPr>
          <w:sz w:val="22"/>
          <w:szCs w:val="22"/>
        </w:rPr>
        <w:t xml:space="preserve"> infekcie a infekčného postihnutia kože a mäkkých tkanív.</w:t>
      </w:r>
    </w:p>
    <w:p w:rsidR="00B65342" w:rsidRPr="006C372D" w:rsidRDefault="00B65342" w:rsidP="006A7905">
      <w:pPr>
        <w:widowControl/>
        <w:rPr>
          <w:sz w:val="22"/>
          <w:szCs w:val="22"/>
          <w:u w:val="single"/>
        </w:rPr>
      </w:pPr>
    </w:p>
    <w:p w:rsidR="00B65342" w:rsidRDefault="00B65342" w:rsidP="006A7905">
      <w:pPr>
        <w:widowControl/>
        <w:rPr>
          <w:b/>
          <w:sz w:val="22"/>
          <w:szCs w:val="22"/>
        </w:rPr>
      </w:pPr>
      <w:r w:rsidRPr="006C372D">
        <w:rPr>
          <w:b/>
          <w:sz w:val="22"/>
          <w:szCs w:val="22"/>
        </w:rPr>
        <w:t xml:space="preserve">4.2 </w:t>
      </w:r>
      <w:r>
        <w:rPr>
          <w:b/>
          <w:sz w:val="22"/>
          <w:szCs w:val="22"/>
        </w:rPr>
        <w:tab/>
      </w:r>
      <w:r w:rsidRPr="006C372D">
        <w:rPr>
          <w:b/>
          <w:sz w:val="22"/>
          <w:szCs w:val="22"/>
        </w:rPr>
        <w:t>Dávkovanie a spôsob podávania</w:t>
      </w:r>
    </w:p>
    <w:p w:rsidR="00B65342" w:rsidRPr="006C372D" w:rsidRDefault="00B65342" w:rsidP="006A7905">
      <w:pPr>
        <w:widowControl/>
        <w:rPr>
          <w:sz w:val="22"/>
          <w:szCs w:val="22"/>
        </w:rPr>
      </w:pPr>
    </w:p>
    <w:p w:rsidR="00B65342" w:rsidRPr="006D5F96" w:rsidRDefault="00B65342" w:rsidP="006A7905">
      <w:pPr>
        <w:pStyle w:val="BodyText22"/>
        <w:widowControl/>
        <w:spacing w:before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Dávkovanie</w:t>
      </w:r>
    </w:p>
    <w:p w:rsidR="00B65342" w:rsidRDefault="00B65342" w:rsidP="006A7905">
      <w:pPr>
        <w:pStyle w:val="BodyText22"/>
        <w:widowControl/>
        <w:spacing w:before="0"/>
        <w:rPr>
          <w:sz w:val="22"/>
          <w:szCs w:val="22"/>
        </w:rPr>
      </w:pPr>
    </w:p>
    <w:p w:rsidR="00B65342" w:rsidRPr="006C372D" w:rsidRDefault="00B65342" w:rsidP="006A7905">
      <w:pPr>
        <w:pStyle w:val="BodyText22"/>
        <w:widowControl/>
        <w:spacing w:before="0"/>
        <w:rPr>
          <w:sz w:val="22"/>
          <w:szCs w:val="22"/>
        </w:rPr>
      </w:pPr>
      <w:r w:rsidRPr="006C372D">
        <w:rPr>
          <w:sz w:val="22"/>
          <w:szCs w:val="22"/>
        </w:rPr>
        <w:t xml:space="preserve">Odporúčaná dávka </w:t>
      </w:r>
      <w:proofErr w:type="spellStart"/>
      <w:r w:rsidRPr="006C372D">
        <w:rPr>
          <w:sz w:val="22"/>
          <w:szCs w:val="22"/>
        </w:rPr>
        <w:t>sultamicilínu</w:t>
      </w:r>
      <w:proofErr w:type="spellEnd"/>
      <w:r w:rsidRPr="006C372D">
        <w:rPr>
          <w:sz w:val="22"/>
          <w:szCs w:val="22"/>
        </w:rPr>
        <w:t xml:space="preserve"> pre dospelých pacientov (vrátane star</w:t>
      </w:r>
      <w:r>
        <w:rPr>
          <w:sz w:val="22"/>
          <w:szCs w:val="22"/>
        </w:rPr>
        <w:t>ších</w:t>
      </w:r>
      <w:r w:rsidRPr="006C372D">
        <w:rPr>
          <w:sz w:val="22"/>
          <w:szCs w:val="22"/>
        </w:rPr>
        <w:t xml:space="preserve"> pacientov) je 375</w:t>
      </w:r>
      <w:r>
        <w:rPr>
          <w:sz w:val="22"/>
          <w:szCs w:val="22"/>
        </w:rPr>
        <w:t xml:space="preserve"> až </w:t>
      </w:r>
      <w:r w:rsidRPr="006C372D">
        <w:rPr>
          <w:sz w:val="22"/>
          <w:szCs w:val="22"/>
        </w:rPr>
        <w:t>750 mg 2-krát denne. S liečbou sa zvyčajne pokračuje ešte 48 hodín po odznení klinických príznakov. Liečba trvá zvyčajne 5</w:t>
      </w:r>
      <w:r>
        <w:rPr>
          <w:sz w:val="22"/>
          <w:szCs w:val="22"/>
        </w:rPr>
        <w:t xml:space="preserve"> až </w:t>
      </w:r>
      <w:r w:rsidRPr="006C372D">
        <w:rPr>
          <w:sz w:val="22"/>
          <w:szCs w:val="22"/>
        </w:rPr>
        <w:t xml:space="preserve">14 dní, ale v nevyhnutných prípadoch môže byť predĺžená. </w:t>
      </w:r>
    </w:p>
    <w:p w:rsidR="00B65342" w:rsidRPr="006C372D" w:rsidRDefault="00B65342" w:rsidP="006A7905">
      <w:pPr>
        <w:pStyle w:val="BodyText22"/>
        <w:widowControl/>
        <w:spacing w:before="0"/>
        <w:rPr>
          <w:sz w:val="22"/>
          <w:szCs w:val="22"/>
        </w:rPr>
      </w:pPr>
      <w:r w:rsidRPr="006C372D">
        <w:rPr>
          <w:sz w:val="22"/>
          <w:szCs w:val="22"/>
        </w:rPr>
        <w:t xml:space="preserve">Pri liečbe nekomplikovanej kvapavky je možné užiť v jedinej perorálnej dávke </w:t>
      </w:r>
      <w:smartTag w:uri="urn:schemas-microsoft-com:office:smarttags" w:element="metricconverter">
        <w:smartTagPr>
          <w:attr w:name="ProductID" w:val="2,25 g"/>
        </w:smartTagPr>
        <w:r w:rsidRPr="006C372D">
          <w:rPr>
            <w:sz w:val="22"/>
            <w:szCs w:val="22"/>
          </w:rPr>
          <w:t>2,25 g</w:t>
        </w:r>
      </w:smartTag>
      <w:r w:rsidRPr="006C372D">
        <w:rPr>
          <w:sz w:val="22"/>
          <w:szCs w:val="22"/>
        </w:rPr>
        <w:t xml:space="preserve"> </w:t>
      </w:r>
      <w:proofErr w:type="spellStart"/>
      <w:r w:rsidRPr="006C372D">
        <w:rPr>
          <w:sz w:val="22"/>
          <w:szCs w:val="22"/>
        </w:rPr>
        <w:t>sultamicilínu</w:t>
      </w:r>
      <w:proofErr w:type="spellEnd"/>
      <w:r w:rsidRPr="006C372D">
        <w:rPr>
          <w:sz w:val="22"/>
          <w:szCs w:val="22"/>
        </w:rPr>
        <w:t xml:space="preserve">       (6 tabliet po 375 mg). Ako sprievodný liek sa môže podať </w:t>
      </w:r>
      <w:proofErr w:type="spellStart"/>
      <w:r w:rsidRPr="006C372D">
        <w:rPr>
          <w:sz w:val="22"/>
          <w:szCs w:val="22"/>
        </w:rPr>
        <w:t>probenecid</w:t>
      </w:r>
      <w:proofErr w:type="spellEnd"/>
      <w:r w:rsidRPr="006C372D">
        <w:rPr>
          <w:sz w:val="22"/>
          <w:szCs w:val="22"/>
        </w:rPr>
        <w:t xml:space="preserve"> v dávke </w:t>
      </w:r>
      <w:smartTag w:uri="urn:schemas-microsoft-com:office:smarttags" w:element="metricconverter">
        <w:smartTagPr>
          <w:attr w:name="ProductID" w:val="1 g"/>
        </w:smartTagPr>
        <w:r w:rsidRPr="006C372D">
          <w:rPr>
            <w:sz w:val="22"/>
            <w:szCs w:val="22"/>
          </w:rPr>
          <w:t>1 g</w:t>
        </w:r>
      </w:smartTag>
      <w:r w:rsidRPr="006C372D">
        <w:rPr>
          <w:sz w:val="22"/>
          <w:szCs w:val="22"/>
        </w:rPr>
        <w:t xml:space="preserve">, ktorý predĺži účinnú plazmatickú koncentráciu </w:t>
      </w:r>
      <w:proofErr w:type="spellStart"/>
      <w:r w:rsidRPr="006C372D">
        <w:rPr>
          <w:sz w:val="22"/>
          <w:szCs w:val="22"/>
        </w:rPr>
        <w:t>ampicilínu</w:t>
      </w:r>
      <w:proofErr w:type="spellEnd"/>
      <w:r w:rsidRPr="006C372D">
        <w:rPr>
          <w:sz w:val="22"/>
          <w:szCs w:val="22"/>
        </w:rPr>
        <w:t xml:space="preserve"> a </w:t>
      </w:r>
      <w:proofErr w:type="spellStart"/>
      <w:r w:rsidRPr="006C372D">
        <w:rPr>
          <w:sz w:val="22"/>
          <w:szCs w:val="22"/>
        </w:rPr>
        <w:t>sulbaktámu</w:t>
      </w:r>
      <w:proofErr w:type="spellEnd"/>
      <w:r w:rsidRPr="006C372D">
        <w:rPr>
          <w:sz w:val="22"/>
          <w:szCs w:val="22"/>
        </w:rPr>
        <w:t xml:space="preserve">. Ak je infekcia spôsobená </w:t>
      </w:r>
      <w:proofErr w:type="spellStart"/>
      <w:r w:rsidRPr="006C372D">
        <w:rPr>
          <w:sz w:val="22"/>
          <w:szCs w:val="22"/>
        </w:rPr>
        <w:t>hemolytickými</w:t>
      </w:r>
      <w:proofErr w:type="spellEnd"/>
      <w:r w:rsidRPr="006C372D">
        <w:rPr>
          <w:sz w:val="22"/>
          <w:szCs w:val="22"/>
        </w:rPr>
        <w:t xml:space="preserve"> streptokokmi, liečba </w:t>
      </w:r>
      <w:r>
        <w:rPr>
          <w:sz w:val="22"/>
          <w:szCs w:val="22"/>
        </w:rPr>
        <w:t>má</w:t>
      </w:r>
      <w:r w:rsidRPr="006C372D">
        <w:rPr>
          <w:sz w:val="22"/>
          <w:szCs w:val="22"/>
        </w:rPr>
        <w:t xml:space="preserve"> trvať aspoň 10 dní, aby sa zabránilo vzniku akútnej reumatickej horúčky alebo </w:t>
      </w:r>
      <w:proofErr w:type="spellStart"/>
      <w:r w:rsidRPr="006C372D">
        <w:rPr>
          <w:sz w:val="22"/>
          <w:szCs w:val="22"/>
        </w:rPr>
        <w:t>glomerulonefritídy</w:t>
      </w:r>
      <w:proofErr w:type="spellEnd"/>
      <w:r w:rsidRPr="006C372D">
        <w:rPr>
          <w:sz w:val="22"/>
          <w:szCs w:val="22"/>
        </w:rPr>
        <w:t xml:space="preserve">.  </w:t>
      </w:r>
    </w:p>
    <w:p w:rsidR="00B65342" w:rsidRDefault="00B65342" w:rsidP="006A7905">
      <w:pPr>
        <w:pStyle w:val="Nadpis6"/>
        <w:widowControl/>
        <w:spacing w:before="0"/>
        <w:rPr>
          <w:sz w:val="22"/>
          <w:szCs w:val="22"/>
        </w:rPr>
      </w:pPr>
    </w:p>
    <w:p w:rsidR="00B65342" w:rsidRPr="006C372D" w:rsidRDefault="00B65342" w:rsidP="006A7905">
      <w:pPr>
        <w:pStyle w:val="Nadpis6"/>
        <w:widowControl/>
        <w:spacing w:before="0"/>
        <w:rPr>
          <w:i w:val="0"/>
          <w:sz w:val="22"/>
          <w:szCs w:val="22"/>
        </w:rPr>
      </w:pPr>
      <w:r>
        <w:rPr>
          <w:sz w:val="22"/>
          <w:szCs w:val="22"/>
        </w:rPr>
        <w:t>P</w:t>
      </w:r>
      <w:r w:rsidRPr="006C372D">
        <w:rPr>
          <w:sz w:val="22"/>
          <w:szCs w:val="22"/>
        </w:rPr>
        <w:t>acient</w:t>
      </w:r>
      <w:r>
        <w:rPr>
          <w:sz w:val="22"/>
          <w:szCs w:val="22"/>
        </w:rPr>
        <w:t>i</w:t>
      </w:r>
      <w:r w:rsidRPr="006C372D">
        <w:rPr>
          <w:sz w:val="22"/>
          <w:szCs w:val="22"/>
        </w:rPr>
        <w:t xml:space="preserve"> s</w:t>
      </w:r>
      <w:r>
        <w:rPr>
          <w:sz w:val="22"/>
          <w:szCs w:val="22"/>
        </w:rPr>
        <w:t>o</w:t>
      </w:r>
      <w:r w:rsidRPr="006C372D">
        <w:rPr>
          <w:sz w:val="22"/>
          <w:szCs w:val="22"/>
        </w:rPr>
        <w:t xml:space="preserve"> zhoršenými </w:t>
      </w:r>
      <w:proofErr w:type="spellStart"/>
      <w:r w:rsidRPr="006C372D">
        <w:rPr>
          <w:sz w:val="22"/>
          <w:szCs w:val="22"/>
        </w:rPr>
        <w:t>renálnymi</w:t>
      </w:r>
      <w:proofErr w:type="spellEnd"/>
      <w:r w:rsidRPr="006C372D">
        <w:rPr>
          <w:sz w:val="22"/>
          <w:szCs w:val="22"/>
        </w:rPr>
        <w:t xml:space="preserve"> funkciami</w:t>
      </w:r>
    </w:p>
    <w:p w:rsidR="00B65342" w:rsidRPr="006C372D" w:rsidRDefault="00B65342" w:rsidP="006A7905">
      <w:pPr>
        <w:rPr>
          <w:sz w:val="22"/>
          <w:szCs w:val="22"/>
        </w:rPr>
      </w:pPr>
      <w:r w:rsidRPr="006C372D">
        <w:rPr>
          <w:sz w:val="22"/>
          <w:szCs w:val="22"/>
        </w:rPr>
        <w:t xml:space="preserve">U pacientov s ťažkou poruchou </w:t>
      </w:r>
      <w:proofErr w:type="spellStart"/>
      <w:r w:rsidRPr="006C372D">
        <w:rPr>
          <w:sz w:val="22"/>
          <w:szCs w:val="22"/>
        </w:rPr>
        <w:t>renálnych</w:t>
      </w:r>
      <w:proofErr w:type="spellEnd"/>
      <w:r w:rsidRPr="006C372D">
        <w:rPr>
          <w:sz w:val="22"/>
          <w:szCs w:val="22"/>
        </w:rPr>
        <w:t xml:space="preserve"> funkcií (</w:t>
      </w:r>
      <w:proofErr w:type="spellStart"/>
      <w:r w:rsidRPr="006C372D">
        <w:rPr>
          <w:sz w:val="22"/>
          <w:szCs w:val="22"/>
        </w:rPr>
        <w:t>klírens</w:t>
      </w:r>
      <w:proofErr w:type="spellEnd"/>
      <w:r w:rsidRPr="006C372D">
        <w:rPr>
          <w:sz w:val="22"/>
          <w:szCs w:val="22"/>
        </w:rPr>
        <w:t xml:space="preserve"> </w:t>
      </w:r>
      <w:proofErr w:type="spellStart"/>
      <w:r w:rsidRPr="006C372D">
        <w:rPr>
          <w:sz w:val="22"/>
          <w:szCs w:val="22"/>
        </w:rPr>
        <w:t>kreatinínu</w:t>
      </w:r>
      <w:proofErr w:type="spellEnd"/>
      <w:r w:rsidRPr="006C372D">
        <w:rPr>
          <w:sz w:val="22"/>
          <w:szCs w:val="22"/>
        </w:rPr>
        <w:t xml:space="preserve"> </w:t>
      </w:r>
      <w:r w:rsidRPr="006C372D">
        <w:rPr>
          <w:sz w:val="22"/>
          <w:szCs w:val="22"/>
        </w:rPr>
        <w:sym w:font="Symbol" w:char="F0A3"/>
      </w:r>
      <w:r w:rsidRPr="006C372D">
        <w:rPr>
          <w:sz w:val="22"/>
          <w:szCs w:val="22"/>
        </w:rPr>
        <w:t xml:space="preserve"> 30 ml/min.) je vylučovanie </w:t>
      </w:r>
      <w:proofErr w:type="spellStart"/>
      <w:r w:rsidRPr="006C372D">
        <w:rPr>
          <w:sz w:val="22"/>
          <w:szCs w:val="22"/>
        </w:rPr>
        <w:t>ampicilínu</w:t>
      </w:r>
      <w:proofErr w:type="spellEnd"/>
      <w:r w:rsidRPr="006C372D">
        <w:rPr>
          <w:sz w:val="22"/>
          <w:szCs w:val="22"/>
        </w:rPr>
        <w:t xml:space="preserve"> a </w:t>
      </w:r>
      <w:proofErr w:type="spellStart"/>
      <w:r w:rsidRPr="006C372D">
        <w:rPr>
          <w:sz w:val="22"/>
          <w:szCs w:val="22"/>
        </w:rPr>
        <w:t>sulbaktámu</w:t>
      </w:r>
      <w:proofErr w:type="spellEnd"/>
      <w:r w:rsidRPr="006C372D">
        <w:rPr>
          <w:sz w:val="22"/>
          <w:szCs w:val="22"/>
        </w:rPr>
        <w:t xml:space="preserve"> postihnuté rovnako, preto ich vzájomný pomer v plazme ostáva konštantný.  Dávka </w:t>
      </w:r>
      <w:proofErr w:type="spellStart"/>
      <w:r w:rsidRPr="006C372D">
        <w:rPr>
          <w:sz w:val="22"/>
          <w:szCs w:val="22"/>
        </w:rPr>
        <w:t>sultamicilínu</w:t>
      </w:r>
      <w:proofErr w:type="spellEnd"/>
      <w:r w:rsidRPr="006C372D">
        <w:rPr>
          <w:sz w:val="22"/>
          <w:szCs w:val="22"/>
        </w:rPr>
        <w:t xml:space="preserve"> u takýchto pacientov sa podáva v dlhších intervaloch, ako pri zvyčajnom dávkovaní </w:t>
      </w:r>
      <w:proofErr w:type="spellStart"/>
      <w:r w:rsidRPr="006C372D">
        <w:rPr>
          <w:sz w:val="22"/>
          <w:szCs w:val="22"/>
        </w:rPr>
        <w:t>ampicilínu</w:t>
      </w:r>
      <w:proofErr w:type="spellEnd"/>
      <w:r w:rsidRPr="006C372D">
        <w:rPr>
          <w:sz w:val="22"/>
          <w:szCs w:val="22"/>
        </w:rPr>
        <w:t xml:space="preserve"> samotného.  </w:t>
      </w:r>
    </w:p>
    <w:p w:rsidR="00B65342" w:rsidRDefault="00B65342" w:rsidP="006A7905">
      <w:pPr>
        <w:widowControl/>
        <w:rPr>
          <w:i/>
          <w:sz w:val="22"/>
          <w:szCs w:val="22"/>
        </w:rPr>
      </w:pPr>
    </w:p>
    <w:p w:rsidR="00B65342" w:rsidRDefault="00B65342" w:rsidP="006A7905">
      <w:pPr>
        <w:widowControl/>
        <w:rPr>
          <w:i/>
          <w:sz w:val="22"/>
          <w:szCs w:val="22"/>
        </w:rPr>
        <w:sectPr w:rsidR="00B65342" w:rsidSect="00404BA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418" w:bottom="1134" w:left="1418" w:header="425" w:footer="607" w:gutter="0"/>
          <w:cols w:space="708"/>
        </w:sectPr>
      </w:pPr>
      <w:r>
        <w:rPr>
          <w:i/>
          <w:sz w:val="22"/>
          <w:szCs w:val="22"/>
        </w:rPr>
        <w:t>Pediatrická populácia</w:t>
      </w:r>
      <w:r w:rsidRPr="006C372D">
        <w:rPr>
          <w:i/>
          <w:sz w:val="22"/>
          <w:szCs w:val="22"/>
        </w:rPr>
        <w:t xml:space="preserve"> </w:t>
      </w:r>
    </w:p>
    <w:p w:rsidR="00B65342" w:rsidRPr="006C372D" w:rsidRDefault="00B65342" w:rsidP="006A7905">
      <w:pPr>
        <w:widowControl/>
        <w:rPr>
          <w:i/>
          <w:sz w:val="22"/>
          <w:szCs w:val="22"/>
        </w:rPr>
      </w:pPr>
      <w:r w:rsidRPr="006C372D">
        <w:rPr>
          <w:i/>
          <w:sz w:val="22"/>
          <w:szCs w:val="22"/>
        </w:rPr>
        <w:lastRenderedPageBreak/>
        <w:t xml:space="preserve"> </w:t>
      </w:r>
    </w:p>
    <w:p w:rsidR="00B65342" w:rsidRPr="006C372D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 xml:space="preserve">U detí do </w:t>
      </w:r>
      <w:smartTag w:uri="urn:schemas-microsoft-com:office:smarttags" w:element="metricconverter">
        <w:smartTagPr>
          <w:attr w:name="ProductID" w:val="30 kg"/>
        </w:smartTagPr>
        <w:r w:rsidRPr="006C372D">
          <w:rPr>
            <w:sz w:val="22"/>
            <w:szCs w:val="22"/>
          </w:rPr>
          <w:t>30 kg</w:t>
        </w:r>
      </w:smartTag>
      <w:r w:rsidRPr="006C372D">
        <w:rPr>
          <w:sz w:val="22"/>
          <w:szCs w:val="22"/>
        </w:rPr>
        <w:t xml:space="preserve"> sa podáva zvyčajne 25</w:t>
      </w:r>
      <w:r>
        <w:rPr>
          <w:sz w:val="22"/>
          <w:szCs w:val="22"/>
        </w:rPr>
        <w:t xml:space="preserve"> až </w:t>
      </w:r>
      <w:r w:rsidRPr="006C372D">
        <w:rPr>
          <w:sz w:val="22"/>
          <w:szCs w:val="22"/>
        </w:rPr>
        <w:t xml:space="preserve">50 mg/kg/deň rozdelených do 2 denných dávok podľa závažnosti infekcie a rozhodnutia lekára. Pre deti s hmotnosťou nižšou ako </w:t>
      </w:r>
      <w:smartTag w:uri="urn:schemas-microsoft-com:office:smarttags" w:element="metricconverter">
        <w:smartTagPr>
          <w:attr w:name="ProductID" w:val="30 kg"/>
        </w:smartTagPr>
        <w:r w:rsidRPr="006C372D">
          <w:rPr>
            <w:sz w:val="22"/>
            <w:szCs w:val="22"/>
          </w:rPr>
          <w:t>30 kg</w:t>
        </w:r>
      </w:smartTag>
      <w:r w:rsidRPr="006C372D">
        <w:rPr>
          <w:sz w:val="22"/>
          <w:szCs w:val="22"/>
        </w:rPr>
        <w:t xml:space="preserve"> je vhodnejšia sirupová lieková forma, nakoľko tablety sa v tomto prípade nedajú presne dávkovať.  </w:t>
      </w:r>
    </w:p>
    <w:p w:rsidR="00B65342" w:rsidRPr="006C372D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 xml:space="preserve">Deti s hmotnosťou </w:t>
      </w:r>
      <w:smartTag w:uri="urn:schemas-microsoft-com:office:smarttags" w:element="metricconverter">
        <w:smartTagPr>
          <w:attr w:name="ProductID" w:val="30 kg"/>
        </w:smartTagPr>
        <w:r w:rsidRPr="006C372D">
          <w:rPr>
            <w:sz w:val="22"/>
            <w:szCs w:val="22"/>
          </w:rPr>
          <w:t>30 kg</w:t>
        </w:r>
      </w:smartTag>
      <w:r w:rsidRPr="006C372D">
        <w:rPr>
          <w:sz w:val="22"/>
          <w:szCs w:val="22"/>
        </w:rPr>
        <w:t xml:space="preserve"> a viac môžu užívať liek v obdobnom dávkovaní ako dospelí.  </w:t>
      </w:r>
    </w:p>
    <w:p w:rsidR="00B65342" w:rsidRPr="006C372D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>Tablety sa užívajú celé, nerozhryznuté a zapíjajú sa malým množstvom tekutiny.</w:t>
      </w:r>
    </w:p>
    <w:p w:rsidR="00B65342" w:rsidRPr="006C372D" w:rsidRDefault="00B65342" w:rsidP="006A7905">
      <w:pPr>
        <w:widowControl/>
        <w:rPr>
          <w:sz w:val="22"/>
          <w:szCs w:val="22"/>
        </w:rPr>
      </w:pPr>
    </w:p>
    <w:p w:rsidR="00B65342" w:rsidRDefault="00B65342" w:rsidP="006A7905">
      <w:pPr>
        <w:widowControl/>
        <w:rPr>
          <w:b/>
          <w:sz w:val="22"/>
          <w:szCs w:val="22"/>
        </w:rPr>
      </w:pPr>
      <w:r w:rsidRPr="006C372D">
        <w:rPr>
          <w:b/>
          <w:sz w:val="22"/>
          <w:szCs w:val="22"/>
        </w:rPr>
        <w:t xml:space="preserve">4.3 </w:t>
      </w:r>
      <w:r>
        <w:rPr>
          <w:b/>
          <w:sz w:val="22"/>
          <w:szCs w:val="22"/>
        </w:rPr>
        <w:tab/>
      </w:r>
      <w:r w:rsidRPr="006C372D">
        <w:rPr>
          <w:b/>
          <w:sz w:val="22"/>
          <w:szCs w:val="22"/>
        </w:rPr>
        <w:t>Kontraindikácie</w:t>
      </w:r>
    </w:p>
    <w:p w:rsidR="00B65342" w:rsidRPr="006C372D" w:rsidRDefault="00B65342" w:rsidP="006A7905">
      <w:pPr>
        <w:widowControl/>
        <w:rPr>
          <w:sz w:val="22"/>
          <w:szCs w:val="22"/>
        </w:rPr>
      </w:pPr>
    </w:p>
    <w:p w:rsidR="00B65342" w:rsidRPr="006C372D" w:rsidRDefault="00B65342" w:rsidP="006A7905">
      <w:pPr>
        <w:pStyle w:val="BodyText22"/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Precitlivenosť na </w:t>
      </w:r>
      <w:r w:rsidRPr="006C372D">
        <w:rPr>
          <w:sz w:val="22"/>
          <w:szCs w:val="22"/>
        </w:rPr>
        <w:t xml:space="preserve">iné penicilínové či </w:t>
      </w:r>
      <w:proofErr w:type="spellStart"/>
      <w:r w:rsidRPr="006C372D">
        <w:rPr>
          <w:sz w:val="22"/>
          <w:szCs w:val="22"/>
        </w:rPr>
        <w:t>cefalosporínové</w:t>
      </w:r>
      <w:proofErr w:type="spellEnd"/>
      <w:r w:rsidRPr="006C372D">
        <w:rPr>
          <w:sz w:val="22"/>
          <w:szCs w:val="22"/>
        </w:rPr>
        <w:t xml:space="preserve"> antibiotiká </w:t>
      </w:r>
      <w:r>
        <w:rPr>
          <w:sz w:val="22"/>
          <w:szCs w:val="22"/>
        </w:rPr>
        <w:t>alebo na ktorúkoľvek z pomocných látok uvedených v časti 6.1.</w:t>
      </w:r>
    </w:p>
    <w:p w:rsidR="00B65342" w:rsidRPr="006C372D" w:rsidRDefault="00B65342" w:rsidP="006A7905">
      <w:pPr>
        <w:widowControl/>
        <w:rPr>
          <w:sz w:val="22"/>
          <w:szCs w:val="22"/>
        </w:rPr>
      </w:pPr>
    </w:p>
    <w:p w:rsidR="00B65342" w:rsidRDefault="00B65342" w:rsidP="006A7905">
      <w:pPr>
        <w:widowControl/>
        <w:rPr>
          <w:b/>
          <w:sz w:val="22"/>
          <w:szCs w:val="22"/>
        </w:rPr>
      </w:pPr>
      <w:r w:rsidRPr="006C372D">
        <w:rPr>
          <w:b/>
          <w:sz w:val="22"/>
          <w:szCs w:val="22"/>
        </w:rPr>
        <w:t xml:space="preserve">4.4 </w:t>
      </w:r>
      <w:r>
        <w:rPr>
          <w:b/>
          <w:sz w:val="22"/>
          <w:szCs w:val="22"/>
        </w:rPr>
        <w:tab/>
      </w:r>
      <w:r w:rsidRPr="006C372D">
        <w:rPr>
          <w:b/>
          <w:sz w:val="22"/>
          <w:szCs w:val="22"/>
        </w:rPr>
        <w:t>Osobitné upozornenia a opatrenia pri používaní</w:t>
      </w:r>
    </w:p>
    <w:p w:rsidR="00B65342" w:rsidRPr="006C372D" w:rsidRDefault="00B65342" w:rsidP="006A7905">
      <w:pPr>
        <w:widowControl/>
        <w:rPr>
          <w:sz w:val="22"/>
          <w:szCs w:val="22"/>
        </w:rPr>
      </w:pPr>
    </w:p>
    <w:p w:rsidR="00B65342" w:rsidRPr="006C372D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 xml:space="preserve">Vzhľadom na pomerne časté alergické reakcie na penicilínové antibiotiká je pred začiatkom liečby nevyhnutné vykonať podrobnú anamnézu pacienta s ohľadom na jeho alergie.  </w:t>
      </w:r>
    </w:p>
    <w:p w:rsidR="00B65342" w:rsidRPr="006C372D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 xml:space="preserve">Počas dlhotrvajúcej liečby </w:t>
      </w:r>
      <w:r>
        <w:rPr>
          <w:sz w:val="22"/>
          <w:szCs w:val="22"/>
        </w:rPr>
        <w:t>liekom</w:t>
      </w:r>
      <w:r w:rsidRPr="006C372D">
        <w:rPr>
          <w:sz w:val="22"/>
          <w:szCs w:val="22"/>
        </w:rPr>
        <w:t xml:space="preserve"> </w:t>
      </w:r>
      <w:proofErr w:type="spellStart"/>
      <w:r w:rsidRPr="006C372D">
        <w:rPr>
          <w:sz w:val="22"/>
          <w:szCs w:val="22"/>
        </w:rPr>
        <w:t>B</w:t>
      </w:r>
      <w:r>
        <w:rPr>
          <w:sz w:val="22"/>
          <w:szCs w:val="22"/>
        </w:rPr>
        <w:t>itammon</w:t>
      </w:r>
      <w:proofErr w:type="spellEnd"/>
      <w:r w:rsidRPr="006C372D">
        <w:rPr>
          <w:sz w:val="22"/>
          <w:szCs w:val="22"/>
        </w:rPr>
        <w:t xml:space="preserve"> 375 sa odporúča pravidelné sledovanie </w:t>
      </w:r>
      <w:proofErr w:type="spellStart"/>
      <w:r w:rsidRPr="006C372D">
        <w:rPr>
          <w:sz w:val="22"/>
          <w:szCs w:val="22"/>
        </w:rPr>
        <w:t>renálnych</w:t>
      </w:r>
      <w:proofErr w:type="spellEnd"/>
      <w:r w:rsidRPr="006C372D">
        <w:rPr>
          <w:sz w:val="22"/>
          <w:szCs w:val="22"/>
        </w:rPr>
        <w:t xml:space="preserve"> a </w:t>
      </w:r>
      <w:proofErr w:type="spellStart"/>
      <w:r w:rsidRPr="006C372D">
        <w:rPr>
          <w:sz w:val="22"/>
          <w:szCs w:val="22"/>
        </w:rPr>
        <w:t>hepatálnych</w:t>
      </w:r>
      <w:proofErr w:type="spellEnd"/>
      <w:r w:rsidRPr="006C372D">
        <w:rPr>
          <w:sz w:val="22"/>
          <w:szCs w:val="22"/>
        </w:rPr>
        <w:t xml:space="preserve"> funkcií, ako aj parametrov krvného obrazu.</w:t>
      </w:r>
    </w:p>
    <w:p w:rsidR="00B65342" w:rsidRPr="006C372D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 xml:space="preserve">Podávanie </w:t>
      </w:r>
      <w:r>
        <w:rPr>
          <w:sz w:val="22"/>
          <w:szCs w:val="22"/>
        </w:rPr>
        <w:t>lieku</w:t>
      </w:r>
      <w:r w:rsidRPr="006C372D">
        <w:rPr>
          <w:sz w:val="22"/>
          <w:szCs w:val="22"/>
        </w:rPr>
        <w:t xml:space="preserve"> pacientom s infekčnou </w:t>
      </w:r>
      <w:proofErr w:type="spellStart"/>
      <w:r w:rsidRPr="006C372D">
        <w:rPr>
          <w:sz w:val="22"/>
          <w:szCs w:val="22"/>
        </w:rPr>
        <w:t>mononukleózou</w:t>
      </w:r>
      <w:proofErr w:type="spellEnd"/>
      <w:r w:rsidRPr="006C372D">
        <w:rPr>
          <w:sz w:val="22"/>
          <w:szCs w:val="22"/>
        </w:rPr>
        <w:t xml:space="preserve"> sa neodporúča vzhľadom na zvýšené riziko vzniku kožného exantému.</w:t>
      </w:r>
    </w:p>
    <w:p w:rsidR="00B65342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>Zvýšená opatrnosť je potrebná u diabetických pacientov, pretože liek obsahuje laktózu.</w:t>
      </w:r>
    </w:p>
    <w:p w:rsidR="00B65342" w:rsidRPr="006C372D" w:rsidRDefault="00B65342" w:rsidP="006A7905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Pacienti so zriedkavými dedičnými problémami </w:t>
      </w:r>
      <w:proofErr w:type="spellStart"/>
      <w:r>
        <w:rPr>
          <w:sz w:val="22"/>
          <w:szCs w:val="22"/>
        </w:rPr>
        <w:t>galaktózovej</w:t>
      </w:r>
      <w:proofErr w:type="spellEnd"/>
      <w:r>
        <w:rPr>
          <w:sz w:val="22"/>
          <w:szCs w:val="22"/>
        </w:rPr>
        <w:t xml:space="preserve"> intolerancie, laponského deficitu </w:t>
      </w:r>
      <w:proofErr w:type="spellStart"/>
      <w:r>
        <w:rPr>
          <w:sz w:val="22"/>
          <w:szCs w:val="22"/>
        </w:rPr>
        <w:t>laktázy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glukózo-galaktózovej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malabsorpcie</w:t>
      </w:r>
      <w:proofErr w:type="spellEnd"/>
      <w:r>
        <w:rPr>
          <w:sz w:val="22"/>
          <w:szCs w:val="22"/>
        </w:rPr>
        <w:t xml:space="preserve"> nesmú užívať tento liek.</w:t>
      </w: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Default="00B65342" w:rsidP="006A7905">
      <w:pPr>
        <w:widowControl/>
        <w:rPr>
          <w:b/>
          <w:sz w:val="22"/>
          <w:szCs w:val="22"/>
        </w:rPr>
      </w:pPr>
      <w:r w:rsidRPr="006C372D">
        <w:rPr>
          <w:b/>
          <w:sz w:val="22"/>
          <w:szCs w:val="22"/>
        </w:rPr>
        <w:t xml:space="preserve">4.5 </w:t>
      </w:r>
      <w:r>
        <w:rPr>
          <w:b/>
          <w:sz w:val="22"/>
          <w:szCs w:val="22"/>
        </w:rPr>
        <w:tab/>
      </w:r>
      <w:r w:rsidRPr="006C372D">
        <w:rPr>
          <w:b/>
          <w:sz w:val="22"/>
          <w:szCs w:val="22"/>
        </w:rPr>
        <w:t>Liekové a iné interakcie</w:t>
      </w: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Pr="006C372D" w:rsidRDefault="00B65342" w:rsidP="006A7905">
      <w:pPr>
        <w:rPr>
          <w:sz w:val="22"/>
          <w:szCs w:val="22"/>
        </w:rPr>
      </w:pPr>
      <w:proofErr w:type="spellStart"/>
      <w:r w:rsidRPr="006C372D">
        <w:rPr>
          <w:i/>
          <w:sz w:val="22"/>
          <w:szCs w:val="22"/>
          <w:u w:val="single"/>
        </w:rPr>
        <w:t>Alopurinol</w:t>
      </w:r>
      <w:proofErr w:type="spellEnd"/>
      <w:r w:rsidRPr="006C372D">
        <w:rPr>
          <w:i/>
          <w:sz w:val="22"/>
          <w:szCs w:val="22"/>
          <w:u w:val="single"/>
        </w:rPr>
        <w:t>:</w:t>
      </w:r>
      <w:r w:rsidRPr="006C372D">
        <w:rPr>
          <w:sz w:val="22"/>
          <w:szCs w:val="22"/>
        </w:rPr>
        <w:t xml:space="preserve"> Súčasné podávanie </w:t>
      </w:r>
      <w:proofErr w:type="spellStart"/>
      <w:r w:rsidRPr="006C372D">
        <w:rPr>
          <w:sz w:val="22"/>
          <w:szCs w:val="22"/>
        </w:rPr>
        <w:t>alopurinolu</w:t>
      </w:r>
      <w:proofErr w:type="spellEnd"/>
      <w:r w:rsidRPr="006C372D">
        <w:rPr>
          <w:sz w:val="22"/>
          <w:szCs w:val="22"/>
        </w:rPr>
        <w:t xml:space="preserve"> a </w:t>
      </w:r>
      <w:proofErr w:type="spellStart"/>
      <w:r w:rsidRPr="006C372D">
        <w:rPr>
          <w:sz w:val="22"/>
          <w:szCs w:val="22"/>
        </w:rPr>
        <w:t>ampicilínu</w:t>
      </w:r>
      <w:proofErr w:type="spellEnd"/>
      <w:r w:rsidRPr="006C372D">
        <w:rPr>
          <w:sz w:val="22"/>
          <w:szCs w:val="22"/>
        </w:rPr>
        <w:t xml:space="preserve"> významne zvyšuje pravdepodobnosť výskytu kožného exantému v porovnaní s pacientmi, ktorí užívajú len samotný </w:t>
      </w:r>
      <w:proofErr w:type="spellStart"/>
      <w:r w:rsidRPr="006C372D">
        <w:rPr>
          <w:sz w:val="22"/>
          <w:szCs w:val="22"/>
        </w:rPr>
        <w:t>ampicilín</w:t>
      </w:r>
      <w:proofErr w:type="spellEnd"/>
      <w:r w:rsidRPr="006C372D">
        <w:rPr>
          <w:sz w:val="22"/>
          <w:szCs w:val="22"/>
        </w:rPr>
        <w:t>.</w:t>
      </w:r>
    </w:p>
    <w:p w:rsidR="00B65342" w:rsidRPr="006C372D" w:rsidRDefault="00B65342" w:rsidP="006A7905">
      <w:pPr>
        <w:rPr>
          <w:sz w:val="22"/>
          <w:szCs w:val="22"/>
        </w:rPr>
      </w:pPr>
    </w:p>
    <w:p w:rsidR="00B65342" w:rsidRPr="006C372D" w:rsidRDefault="00B65342" w:rsidP="006A7905">
      <w:pPr>
        <w:rPr>
          <w:sz w:val="22"/>
          <w:szCs w:val="22"/>
        </w:rPr>
      </w:pPr>
      <w:proofErr w:type="spellStart"/>
      <w:r w:rsidRPr="006C372D">
        <w:rPr>
          <w:i/>
          <w:sz w:val="22"/>
          <w:szCs w:val="22"/>
          <w:u w:val="single"/>
        </w:rPr>
        <w:t>Antikoagulanciá</w:t>
      </w:r>
      <w:proofErr w:type="spellEnd"/>
      <w:r w:rsidRPr="006C372D">
        <w:rPr>
          <w:i/>
          <w:sz w:val="22"/>
          <w:szCs w:val="22"/>
          <w:u w:val="single"/>
        </w:rPr>
        <w:t>:</w:t>
      </w:r>
      <w:r w:rsidRPr="006C372D">
        <w:rPr>
          <w:sz w:val="22"/>
          <w:szCs w:val="22"/>
        </w:rPr>
        <w:t xml:space="preserve"> </w:t>
      </w:r>
      <w:proofErr w:type="spellStart"/>
      <w:r w:rsidRPr="006C372D">
        <w:rPr>
          <w:sz w:val="22"/>
          <w:szCs w:val="22"/>
        </w:rPr>
        <w:t>Peniclíny</w:t>
      </w:r>
      <w:proofErr w:type="spellEnd"/>
      <w:r w:rsidRPr="006C372D">
        <w:rPr>
          <w:sz w:val="22"/>
          <w:szCs w:val="22"/>
        </w:rPr>
        <w:t xml:space="preserve"> môžu spôsobiť zmenu v </w:t>
      </w:r>
      <w:proofErr w:type="spellStart"/>
      <w:r w:rsidRPr="006C372D">
        <w:rPr>
          <w:sz w:val="22"/>
          <w:szCs w:val="22"/>
        </w:rPr>
        <w:t>agregácii</w:t>
      </w:r>
      <w:proofErr w:type="spellEnd"/>
      <w:r w:rsidRPr="006C372D">
        <w:rPr>
          <w:sz w:val="22"/>
          <w:szCs w:val="22"/>
        </w:rPr>
        <w:t xml:space="preserve"> krvných doštičiek a </w:t>
      </w:r>
      <w:proofErr w:type="spellStart"/>
      <w:r w:rsidRPr="006C372D">
        <w:rPr>
          <w:sz w:val="22"/>
          <w:szCs w:val="22"/>
        </w:rPr>
        <w:t>hemokoagulačných</w:t>
      </w:r>
      <w:proofErr w:type="spellEnd"/>
      <w:r w:rsidRPr="006C372D">
        <w:rPr>
          <w:sz w:val="22"/>
          <w:szCs w:val="22"/>
        </w:rPr>
        <w:t xml:space="preserve"> testoch. Tento účinok môžu zvyšovať </w:t>
      </w:r>
      <w:proofErr w:type="spellStart"/>
      <w:r w:rsidRPr="006C372D">
        <w:rPr>
          <w:sz w:val="22"/>
          <w:szCs w:val="22"/>
        </w:rPr>
        <w:t>antikoagulanciá</w:t>
      </w:r>
      <w:proofErr w:type="spellEnd"/>
      <w:r w:rsidRPr="006C372D">
        <w:rPr>
          <w:sz w:val="22"/>
          <w:szCs w:val="22"/>
        </w:rPr>
        <w:t>.</w:t>
      </w:r>
    </w:p>
    <w:p w:rsidR="00B65342" w:rsidRPr="006C372D" w:rsidRDefault="00B65342" w:rsidP="006A7905">
      <w:pPr>
        <w:rPr>
          <w:sz w:val="22"/>
          <w:szCs w:val="22"/>
        </w:rPr>
      </w:pPr>
    </w:p>
    <w:p w:rsidR="00B65342" w:rsidRPr="006C372D" w:rsidRDefault="00B65342" w:rsidP="006A7905">
      <w:pPr>
        <w:rPr>
          <w:sz w:val="22"/>
          <w:szCs w:val="22"/>
        </w:rPr>
      </w:pPr>
      <w:proofErr w:type="spellStart"/>
      <w:r w:rsidRPr="006C372D">
        <w:rPr>
          <w:i/>
          <w:sz w:val="22"/>
          <w:szCs w:val="22"/>
          <w:u w:val="single"/>
        </w:rPr>
        <w:t>Bakteriostatické</w:t>
      </w:r>
      <w:proofErr w:type="spellEnd"/>
      <w:r w:rsidRPr="006C372D">
        <w:rPr>
          <w:i/>
          <w:sz w:val="22"/>
          <w:szCs w:val="22"/>
          <w:u w:val="single"/>
        </w:rPr>
        <w:t xml:space="preserve"> lieky </w:t>
      </w:r>
      <w:r w:rsidRPr="006C372D">
        <w:rPr>
          <w:i/>
          <w:sz w:val="22"/>
          <w:szCs w:val="22"/>
        </w:rPr>
        <w:t>(</w:t>
      </w:r>
      <w:proofErr w:type="spellStart"/>
      <w:r w:rsidRPr="006C372D">
        <w:rPr>
          <w:i/>
          <w:sz w:val="22"/>
          <w:szCs w:val="22"/>
        </w:rPr>
        <w:t>chloramfenikol</w:t>
      </w:r>
      <w:proofErr w:type="spellEnd"/>
      <w:r w:rsidRPr="006C372D">
        <w:rPr>
          <w:i/>
          <w:sz w:val="22"/>
          <w:szCs w:val="22"/>
        </w:rPr>
        <w:t xml:space="preserve">, </w:t>
      </w:r>
      <w:proofErr w:type="spellStart"/>
      <w:r w:rsidRPr="006C372D">
        <w:rPr>
          <w:i/>
          <w:sz w:val="22"/>
          <w:szCs w:val="22"/>
        </w:rPr>
        <w:t>erytromycín</w:t>
      </w:r>
      <w:proofErr w:type="spellEnd"/>
      <w:r w:rsidRPr="006C372D">
        <w:rPr>
          <w:i/>
          <w:sz w:val="22"/>
          <w:szCs w:val="22"/>
        </w:rPr>
        <w:t xml:space="preserve">, sulfónamidy a tetracyklíny): </w:t>
      </w:r>
      <w:proofErr w:type="spellStart"/>
      <w:r w:rsidRPr="006C372D">
        <w:rPr>
          <w:sz w:val="22"/>
          <w:szCs w:val="22"/>
        </w:rPr>
        <w:t>Bakteriostatické</w:t>
      </w:r>
      <w:proofErr w:type="spellEnd"/>
      <w:r w:rsidRPr="006C372D">
        <w:rPr>
          <w:sz w:val="22"/>
          <w:szCs w:val="22"/>
        </w:rPr>
        <w:t xml:space="preserve"> lieky môžu interferovať s baktericídnymi účinkami penicilínov, preto je lepšie sa vyhnúť ich súčasnému podávaniu.</w:t>
      </w:r>
    </w:p>
    <w:p w:rsidR="00B65342" w:rsidRPr="006C372D" w:rsidRDefault="00B65342" w:rsidP="006A7905">
      <w:pPr>
        <w:rPr>
          <w:sz w:val="22"/>
          <w:szCs w:val="22"/>
        </w:rPr>
      </w:pPr>
    </w:p>
    <w:p w:rsidR="00B65342" w:rsidRPr="006C372D" w:rsidRDefault="00B65342" w:rsidP="006A7905">
      <w:pPr>
        <w:rPr>
          <w:sz w:val="22"/>
          <w:szCs w:val="22"/>
        </w:rPr>
      </w:pPr>
      <w:r w:rsidRPr="006C372D">
        <w:rPr>
          <w:i/>
          <w:sz w:val="22"/>
          <w:szCs w:val="22"/>
          <w:u w:val="single"/>
        </w:rPr>
        <w:t xml:space="preserve">Perorálne </w:t>
      </w:r>
      <w:proofErr w:type="spellStart"/>
      <w:r w:rsidRPr="006C372D">
        <w:rPr>
          <w:i/>
          <w:sz w:val="22"/>
          <w:szCs w:val="22"/>
          <w:u w:val="single"/>
        </w:rPr>
        <w:t>kontraceptíva</w:t>
      </w:r>
      <w:proofErr w:type="spellEnd"/>
      <w:r w:rsidRPr="006C372D">
        <w:rPr>
          <w:i/>
          <w:sz w:val="22"/>
          <w:szCs w:val="22"/>
          <w:u w:val="single"/>
        </w:rPr>
        <w:t xml:space="preserve"> obsahujúce estrogény: </w:t>
      </w:r>
      <w:r w:rsidRPr="006C372D">
        <w:rPr>
          <w:sz w:val="22"/>
          <w:szCs w:val="22"/>
        </w:rPr>
        <w:t xml:space="preserve">Boli hlásené prípady zníženia účinku perorálnych </w:t>
      </w:r>
      <w:proofErr w:type="spellStart"/>
      <w:r w:rsidRPr="006C372D">
        <w:rPr>
          <w:sz w:val="22"/>
          <w:szCs w:val="22"/>
        </w:rPr>
        <w:t>kontraceptív</w:t>
      </w:r>
      <w:proofErr w:type="spellEnd"/>
      <w:r w:rsidRPr="006C372D">
        <w:rPr>
          <w:sz w:val="22"/>
          <w:szCs w:val="22"/>
        </w:rPr>
        <w:t xml:space="preserve"> u žien, ktoré užívali </w:t>
      </w:r>
      <w:proofErr w:type="spellStart"/>
      <w:r w:rsidRPr="006C372D">
        <w:rPr>
          <w:sz w:val="22"/>
          <w:szCs w:val="22"/>
        </w:rPr>
        <w:t>ampicilín</w:t>
      </w:r>
      <w:proofErr w:type="spellEnd"/>
      <w:r w:rsidRPr="006C372D">
        <w:rPr>
          <w:sz w:val="22"/>
          <w:szCs w:val="22"/>
        </w:rPr>
        <w:t xml:space="preserve">, výsledkom čoho bolo neplánované tehotenstvo. I keď táto súvislosť je málo pravdepodobná, pacientky treba upozorniť, aby užívali alternatívnu alebo kombinovanú </w:t>
      </w:r>
      <w:proofErr w:type="spellStart"/>
      <w:r w:rsidRPr="006C372D">
        <w:rPr>
          <w:sz w:val="22"/>
          <w:szCs w:val="22"/>
        </w:rPr>
        <w:t>kontraceptívnu</w:t>
      </w:r>
      <w:proofErr w:type="spellEnd"/>
      <w:r w:rsidRPr="006C372D">
        <w:rPr>
          <w:sz w:val="22"/>
          <w:szCs w:val="22"/>
        </w:rPr>
        <w:t xml:space="preserve"> metódu, ak sú liečené </w:t>
      </w:r>
      <w:proofErr w:type="spellStart"/>
      <w:r w:rsidRPr="006C372D">
        <w:rPr>
          <w:sz w:val="22"/>
          <w:szCs w:val="22"/>
        </w:rPr>
        <w:t>ampicilínom</w:t>
      </w:r>
      <w:proofErr w:type="spellEnd"/>
      <w:r w:rsidRPr="006C372D">
        <w:rPr>
          <w:sz w:val="22"/>
          <w:szCs w:val="22"/>
        </w:rPr>
        <w:t>.</w:t>
      </w:r>
    </w:p>
    <w:p w:rsidR="00B65342" w:rsidRPr="006C372D" w:rsidRDefault="00B65342" w:rsidP="006A7905">
      <w:pPr>
        <w:rPr>
          <w:sz w:val="22"/>
          <w:szCs w:val="22"/>
        </w:rPr>
      </w:pPr>
    </w:p>
    <w:p w:rsidR="00B65342" w:rsidRPr="006C372D" w:rsidRDefault="00B65342" w:rsidP="006A7905">
      <w:pPr>
        <w:rPr>
          <w:sz w:val="22"/>
          <w:szCs w:val="22"/>
        </w:rPr>
      </w:pPr>
      <w:proofErr w:type="spellStart"/>
      <w:r w:rsidRPr="006C372D">
        <w:rPr>
          <w:i/>
          <w:sz w:val="22"/>
          <w:szCs w:val="22"/>
          <w:u w:val="single"/>
        </w:rPr>
        <w:t>Metotrexát</w:t>
      </w:r>
      <w:proofErr w:type="spellEnd"/>
      <w:r w:rsidRPr="006C372D">
        <w:rPr>
          <w:i/>
          <w:sz w:val="22"/>
          <w:szCs w:val="22"/>
          <w:u w:val="single"/>
        </w:rPr>
        <w:t>:</w:t>
      </w:r>
      <w:r w:rsidRPr="006C372D">
        <w:rPr>
          <w:i/>
          <w:sz w:val="22"/>
          <w:szCs w:val="22"/>
        </w:rPr>
        <w:t xml:space="preserve"> </w:t>
      </w:r>
      <w:r w:rsidRPr="006C372D">
        <w:rPr>
          <w:sz w:val="22"/>
          <w:szCs w:val="22"/>
        </w:rPr>
        <w:t xml:space="preserve">Súčasné podávanie s penicilínmi viedlo k zníženiu </w:t>
      </w:r>
      <w:proofErr w:type="spellStart"/>
      <w:r w:rsidRPr="006C372D">
        <w:rPr>
          <w:sz w:val="22"/>
          <w:szCs w:val="22"/>
        </w:rPr>
        <w:t>klírensu</w:t>
      </w:r>
      <w:proofErr w:type="spellEnd"/>
      <w:r w:rsidRPr="006C372D">
        <w:rPr>
          <w:sz w:val="22"/>
          <w:szCs w:val="22"/>
        </w:rPr>
        <w:t xml:space="preserve"> </w:t>
      </w:r>
      <w:proofErr w:type="spellStart"/>
      <w:r w:rsidRPr="006C372D">
        <w:rPr>
          <w:sz w:val="22"/>
          <w:szCs w:val="22"/>
        </w:rPr>
        <w:t>metotrexátu</w:t>
      </w:r>
      <w:proofErr w:type="spellEnd"/>
      <w:r w:rsidRPr="006C372D">
        <w:rPr>
          <w:sz w:val="22"/>
          <w:szCs w:val="22"/>
        </w:rPr>
        <w:t xml:space="preserve"> a k zodpovedajúcemu zvýšeniu jeho toxicity. Pacientov treba pozorne monitorovať. Môže byť potrebné zvýšiť dávku </w:t>
      </w:r>
      <w:proofErr w:type="spellStart"/>
      <w:r w:rsidRPr="006C372D">
        <w:rPr>
          <w:sz w:val="22"/>
          <w:szCs w:val="22"/>
        </w:rPr>
        <w:t>leukovorínu</w:t>
      </w:r>
      <w:proofErr w:type="spellEnd"/>
      <w:r w:rsidRPr="006C372D">
        <w:rPr>
          <w:sz w:val="22"/>
          <w:szCs w:val="22"/>
        </w:rPr>
        <w:t xml:space="preserve"> a podávať ho dlhší čas.</w:t>
      </w:r>
    </w:p>
    <w:p w:rsidR="00B65342" w:rsidRPr="006C372D" w:rsidRDefault="00B65342" w:rsidP="006A7905">
      <w:pPr>
        <w:rPr>
          <w:sz w:val="22"/>
          <w:szCs w:val="22"/>
        </w:rPr>
      </w:pPr>
    </w:p>
    <w:p w:rsidR="00B65342" w:rsidRPr="006C372D" w:rsidRDefault="00B65342" w:rsidP="006A7905">
      <w:pPr>
        <w:rPr>
          <w:sz w:val="22"/>
          <w:szCs w:val="22"/>
        </w:rPr>
      </w:pPr>
      <w:proofErr w:type="spellStart"/>
      <w:r w:rsidRPr="006C372D">
        <w:rPr>
          <w:i/>
          <w:sz w:val="22"/>
          <w:szCs w:val="22"/>
          <w:u w:val="single"/>
        </w:rPr>
        <w:t>Probenecid</w:t>
      </w:r>
      <w:proofErr w:type="spellEnd"/>
      <w:r w:rsidRPr="006C372D">
        <w:rPr>
          <w:sz w:val="22"/>
          <w:szCs w:val="22"/>
        </w:rPr>
        <w:t xml:space="preserve">: </w:t>
      </w:r>
      <w:proofErr w:type="spellStart"/>
      <w:r w:rsidRPr="006C372D">
        <w:rPr>
          <w:sz w:val="22"/>
          <w:szCs w:val="22"/>
        </w:rPr>
        <w:t>Probenecid</w:t>
      </w:r>
      <w:proofErr w:type="spellEnd"/>
      <w:r w:rsidRPr="006C372D">
        <w:rPr>
          <w:sz w:val="22"/>
          <w:szCs w:val="22"/>
        </w:rPr>
        <w:t xml:space="preserve"> znižuje </w:t>
      </w:r>
      <w:proofErr w:type="spellStart"/>
      <w:r w:rsidRPr="006C372D">
        <w:rPr>
          <w:sz w:val="22"/>
          <w:szCs w:val="22"/>
        </w:rPr>
        <w:t>renálnu</w:t>
      </w:r>
      <w:proofErr w:type="spellEnd"/>
      <w:r w:rsidRPr="006C372D">
        <w:rPr>
          <w:sz w:val="22"/>
          <w:szCs w:val="22"/>
        </w:rPr>
        <w:t xml:space="preserve"> </w:t>
      </w:r>
      <w:proofErr w:type="spellStart"/>
      <w:r w:rsidRPr="006C372D">
        <w:rPr>
          <w:sz w:val="22"/>
          <w:szCs w:val="22"/>
        </w:rPr>
        <w:t>tubulárnu</w:t>
      </w:r>
      <w:proofErr w:type="spellEnd"/>
      <w:r w:rsidRPr="006C372D">
        <w:rPr>
          <w:sz w:val="22"/>
          <w:szCs w:val="22"/>
        </w:rPr>
        <w:t xml:space="preserve"> sekréciu </w:t>
      </w:r>
      <w:proofErr w:type="spellStart"/>
      <w:r w:rsidRPr="006C372D">
        <w:rPr>
          <w:sz w:val="22"/>
          <w:szCs w:val="22"/>
        </w:rPr>
        <w:t>ampicilínu</w:t>
      </w:r>
      <w:proofErr w:type="spellEnd"/>
      <w:r w:rsidRPr="006C372D">
        <w:rPr>
          <w:sz w:val="22"/>
          <w:szCs w:val="22"/>
        </w:rPr>
        <w:t xml:space="preserve"> a </w:t>
      </w:r>
      <w:proofErr w:type="spellStart"/>
      <w:r w:rsidRPr="006C372D">
        <w:rPr>
          <w:sz w:val="22"/>
          <w:szCs w:val="22"/>
        </w:rPr>
        <w:t>sulbaktámu</w:t>
      </w:r>
      <w:proofErr w:type="spellEnd"/>
      <w:r w:rsidRPr="006C372D">
        <w:rPr>
          <w:sz w:val="22"/>
          <w:szCs w:val="22"/>
        </w:rPr>
        <w:t>, ak sa používajú súčasne. Tento účinok vedie k zvýšeniu a predĺženiu sérových koncentrácií, predĺženiu eliminačného polčasu a zvýšeniu rizika toxicity.</w:t>
      </w:r>
    </w:p>
    <w:p w:rsidR="00B65342" w:rsidRPr="006C372D" w:rsidRDefault="00B65342" w:rsidP="006A7905">
      <w:pPr>
        <w:rPr>
          <w:sz w:val="22"/>
          <w:szCs w:val="22"/>
        </w:rPr>
      </w:pPr>
    </w:p>
    <w:p w:rsidR="00B65342" w:rsidRPr="006C372D" w:rsidRDefault="00B65342" w:rsidP="006A7905">
      <w:pPr>
        <w:rPr>
          <w:sz w:val="22"/>
          <w:szCs w:val="22"/>
        </w:rPr>
      </w:pPr>
      <w:r w:rsidRPr="006C372D">
        <w:rPr>
          <w:i/>
          <w:sz w:val="22"/>
          <w:szCs w:val="22"/>
          <w:u w:val="single"/>
        </w:rPr>
        <w:t>Ovplyvnenie výsledkov laboratórnych testov:</w:t>
      </w:r>
      <w:r w:rsidRPr="006C372D">
        <w:rPr>
          <w:i/>
          <w:sz w:val="22"/>
          <w:szCs w:val="22"/>
        </w:rPr>
        <w:t xml:space="preserve"> </w:t>
      </w:r>
      <w:r w:rsidRPr="006C372D">
        <w:rPr>
          <w:sz w:val="22"/>
          <w:szCs w:val="22"/>
        </w:rPr>
        <w:t xml:space="preserve">Stanovenie cukru v moči pomocou </w:t>
      </w:r>
      <w:proofErr w:type="spellStart"/>
      <w:r w:rsidRPr="006C372D">
        <w:rPr>
          <w:sz w:val="22"/>
          <w:szCs w:val="22"/>
        </w:rPr>
        <w:t>Benedictovho</w:t>
      </w:r>
      <w:proofErr w:type="spellEnd"/>
      <w:r w:rsidRPr="006C372D">
        <w:rPr>
          <w:sz w:val="22"/>
          <w:szCs w:val="22"/>
        </w:rPr>
        <w:t xml:space="preserve"> činidla, </w:t>
      </w:r>
      <w:proofErr w:type="spellStart"/>
      <w:r w:rsidRPr="006C372D">
        <w:rPr>
          <w:sz w:val="22"/>
          <w:szCs w:val="22"/>
        </w:rPr>
        <w:t>Fehlingovho</w:t>
      </w:r>
      <w:proofErr w:type="spellEnd"/>
      <w:r w:rsidRPr="006C372D">
        <w:rPr>
          <w:sz w:val="22"/>
          <w:szCs w:val="22"/>
        </w:rPr>
        <w:t xml:space="preserve"> činidla a </w:t>
      </w:r>
      <w:proofErr w:type="spellStart"/>
      <w:r w:rsidRPr="006C372D">
        <w:rPr>
          <w:sz w:val="22"/>
          <w:szCs w:val="22"/>
        </w:rPr>
        <w:t>Clinitestu</w:t>
      </w:r>
      <w:r w:rsidRPr="006C372D">
        <w:rPr>
          <w:sz w:val="22"/>
          <w:szCs w:val="22"/>
          <w:vertAlign w:val="superscript"/>
        </w:rPr>
        <w:t>TM</w:t>
      </w:r>
      <w:proofErr w:type="spellEnd"/>
      <w:r w:rsidRPr="006C372D">
        <w:rPr>
          <w:sz w:val="22"/>
          <w:szCs w:val="22"/>
          <w:vertAlign w:val="superscript"/>
        </w:rPr>
        <w:t xml:space="preserve"> </w:t>
      </w:r>
      <w:r w:rsidRPr="006C372D">
        <w:rPr>
          <w:sz w:val="22"/>
          <w:szCs w:val="22"/>
        </w:rPr>
        <w:t xml:space="preserve">môže dávať falošné pozitívne výsledky. Boli zaznamenané prechodné zníženia plazmatickej koncentrácie celkového </w:t>
      </w:r>
      <w:proofErr w:type="spellStart"/>
      <w:r w:rsidRPr="006C372D">
        <w:rPr>
          <w:sz w:val="22"/>
          <w:szCs w:val="22"/>
        </w:rPr>
        <w:t>konjugovaného</w:t>
      </w:r>
      <w:proofErr w:type="spellEnd"/>
      <w:r w:rsidRPr="006C372D">
        <w:rPr>
          <w:sz w:val="22"/>
          <w:szCs w:val="22"/>
        </w:rPr>
        <w:t xml:space="preserve"> </w:t>
      </w:r>
      <w:proofErr w:type="spellStart"/>
      <w:r w:rsidRPr="006C372D">
        <w:rPr>
          <w:sz w:val="22"/>
          <w:szCs w:val="22"/>
        </w:rPr>
        <w:t>estriolu</w:t>
      </w:r>
      <w:proofErr w:type="spellEnd"/>
      <w:r w:rsidRPr="006C372D">
        <w:rPr>
          <w:sz w:val="22"/>
          <w:szCs w:val="22"/>
        </w:rPr>
        <w:t xml:space="preserve">, </w:t>
      </w:r>
      <w:proofErr w:type="spellStart"/>
      <w:r w:rsidRPr="006C372D">
        <w:rPr>
          <w:sz w:val="22"/>
          <w:szCs w:val="22"/>
        </w:rPr>
        <w:t>estriol-glukuronidu</w:t>
      </w:r>
      <w:proofErr w:type="spellEnd"/>
      <w:r w:rsidRPr="006C372D">
        <w:rPr>
          <w:sz w:val="22"/>
          <w:szCs w:val="22"/>
        </w:rPr>
        <w:t xml:space="preserve">, </w:t>
      </w:r>
      <w:proofErr w:type="spellStart"/>
      <w:r w:rsidRPr="006C372D">
        <w:rPr>
          <w:sz w:val="22"/>
          <w:szCs w:val="22"/>
        </w:rPr>
        <w:t>konjugovaného</w:t>
      </w:r>
      <w:proofErr w:type="spellEnd"/>
      <w:r w:rsidRPr="006C372D">
        <w:rPr>
          <w:sz w:val="22"/>
          <w:szCs w:val="22"/>
        </w:rPr>
        <w:t xml:space="preserve"> </w:t>
      </w:r>
      <w:proofErr w:type="spellStart"/>
      <w:r w:rsidRPr="006C372D">
        <w:rPr>
          <w:sz w:val="22"/>
          <w:szCs w:val="22"/>
        </w:rPr>
        <w:t>estrónu</w:t>
      </w:r>
      <w:proofErr w:type="spellEnd"/>
      <w:r w:rsidRPr="006C372D">
        <w:rPr>
          <w:sz w:val="22"/>
          <w:szCs w:val="22"/>
        </w:rPr>
        <w:t xml:space="preserve"> a </w:t>
      </w:r>
      <w:proofErr w:type="spellStart"/>
      <w:r w:rsidRPr="006C372D">
        <w:rPr>
          <w:sz w:val="22"/>
          <w:szCs w:val="22"/>
        </w:rPr>
        <w:t>estradiolu</w:t>
      </w:r>
      <w:proofErr w:type="spellEnd"/>
      <w:r w:rsidRPr="006C372D">
        <w:rPr>
          <w:sz w:val="22"/>
          <w:szCs w:val="22"/>
        </w:rPr>
        <w:t xml:space="preserve"> u </w:t>
      </w:r>
      <w:r>
        <w:rPr>
          <w:sz w:val="22"/>
          <w:szCs w:val="22"/>
        </w:rPr>
        <w:t>gravidných</w:t>
      </w:r>
      <w:r w:rsidRPr="006C372D">
        <w:rPr>
          <w:sz w:val="22"/>
          <w:szCs w:val="22"/>
        </w:rPr>
        <w:t xml:space="preserve"> žien, ktoré užívali </w:t>
      </w:r>
      <w:proofErr w:type="spellStart"/>
      <w:r w:rsidRPr="006C372D">
        <w:rPr>
          <w:sz w:val="22"/>
          <w:szCs w:val="22"/>
        </w:rPr>
        <w:t>ampicilín</w:t>
      </w:r>
      <w:proofErr w:type="spellEnd"/>
      <w:r w:rsidRPr="006C372D">
        <w:rPr>
          <w:sz w:val="22"/>
          <w:szCs w:val="22"/>
        </w:rPr>
        <w:t xml:space="preserve">. Takýto účinok sa môže dostaviť aj pri podávaní </w:t>
      </w:r>
      <w:proofErr w:type="spellStart"/>
      <w:r w:rsidRPr="006C372D">
        <w:rPr>
          <w:sz w:val="22"/>
          <w:szCs w:val="22"/>
        </w:rPr>
        <w:t>sulbactamum</w:t>
      </w:r>
      <w:proofErr w:type="spellEnd"/>
      <w:r w:rsidRPr="006C372D">
        <w:rPr>
          <w:sz w:val="22"/>
          <w:szCs w:val="22"/>
        </w:rPr>
        <w:t xml:space="preserve"> </w:t>
      </w:r>
      <w:proofErr w:type="spellStart"/>
      <w:r w:rsidRPr="006C372D">
        <w:rPr>
          <w:sz w:val="22"/>
          <w:szCs w:val="22"/>
        </w:rPr>
        <w:t>natricum</w:t>
      </w:r>
      <w:proofErr w:type="spellEnd"/>
      <w:r w:rsidRPr="006C372D">
        <w:rPr>
          <w:sz w:val="22"/>
          <w:szCs w:val="22"/>
        </w:rPr>
        <w:t>/</w:t>
      </w:r>
      <w:proofErr w:type="spellStart"/>
      <w:r w:rsidRPr="006C372D">
        <w:rPr>
          <w:sz w:val="22"/>
          <w:szCs w:val="22"/>
        </w:rPr>
        <w:t>ampicillinum</w:t>
      </w:r>
      <w:proofErr w:type="spellEnd"/>
      <w:r w:rsidRPr="006C372D">
        <w:rPr>
          <w:sz w:val="22"/>
          <w:szCs w:val="22"/>
        </w:rPr>
        <w:t xml:space="preserve"> </w:t>
      </w:r>
      <w:proofErr w:type="spellStart"/>
      <w:r w:rsidRPr="006C372D">
        <w:rPr>
          <w:sz w:val="22"/>
          <w:szCs w:val="22"/>
        </w:rPr>
        <w:t>natricum</w:t>
      </w:r>
      <w:proofErr w:type="spellEnd"/>
      <w:r w:rsidRPr="006C37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i.m</w:t>
      </w:r>
      <w:proofErr w:type="spellEnd"/>
      <w:r>
        <w:rPr>
          <w:sz w:val="22"/>
          <w:szCs w:val="22"/>
        </w:rPr>
        <w:t>.</w:t>
      </w:r>
      <w:r w:rsidRPr="006C372D"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i.v</w:t>
      </w:r>
      <w:proofErr w:type="spellEnd"/>
      <w:r w:rsidRPr="006C372D">
        <w:rPr>
          <w:sz w:val="22"/>
          <w:szCs w:val="22"/>
        </w:rPr>
        <w:t>.</w:t>
      </w:r>
    </w:p>
    <w:p w:rsidR="00B65342" w:rsidRPr="006C372D" w:rsidRDefault="00B65342" w:rsidP="006A7905">
      <w:pPr>
        <w:rPr>
          <w:i/>
          <w:sz w:val="22"/>
          <w:szCs w:val="22"/>
          <w:u w:val="single"/>
        </w:rPr>
      </w:pPr>
    </w:p>
    <w:p w:rsidR="00B65342" w:rsidRDefault="00B65342" w:rsidP="006A7905">
      <w:pPr>
        <w:widowControl/>
        <w:rPr>
          <w:b/>
          <w:sz w:val="22"/>
          <w:szCs w:val="22"/>
        </w:rPr>
      </w:pPr>
      <w:r w:rsidRPr="006C372D">
        <w:rPr>
          <w:b/>
          <w:sz w:val="22"/>
          <w:szCs w:val="22"/>
        </w:rPr>
        <w:t xml:space="preserve">4.6 </w:t>
      </w:r>
      <w:r>
        <w:rPr>
          <w:b/>
          <w:sz w:val="22"/>
          <w:szCs w:val="22"/>
        </w:rPr>
        <w:tab/>
      </w:r>
      <w:proofErr w:type="spellStart"/>
      <w:r w:rsidRPr="006C372D">
        <w:rPr>
          <w:b/>
          <w:sz w:val="22"/>
          <w:szCs w:val="22"/>
        </w:rPr>
        <w:t>Fertilita</w:t>
      </w:r>
      <w:proofErr w:type="spellEnd"/>
      <w:r w:rsidRPr="006C372D">
        <w:rPr>
          <w:b/>
          <w:sz w:val="22"/>
          <w:szCs w:val="22"/>
        </w:rPr>
        <w:t>, gravidita a</w:t>
      </w:r>
      <w:r>
        <w:rPr>
          <w:b/>
          <w:sz w:val="22"/>
          <w:szCs w:val="22"/>
        </w:rPr>
        <w:t> </w:t>
      </w:r>
      <w:r w:rsidRPr="006C372D">
        <w:rPr>
          <w:b/>
          <w:sz w:val="22"/>
          <w:szCs w:val="22"/>
        </w:rPr>
        <w:t>laktácia</w:t>
      </w: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Default="00B65342" w:rsidP="006A7905">
      <w:pPr>
        <w:pStyle w:val="Nadpis6"/>
        <w:widowControl/>
        <w:spacing w:before="0"/>
        <w:rPr>
          <w:i w:val="0"/>
          <w:sz w:val="22"/>
          <w:szCs w:val="22"/>
          <w:u w:val="single"/>
        </w:rPr>
      </w:pPr>
      <w:proofErr w:type="spellStart"/>
      <w:r>
        <w:rPr>
          <w:i w:val="0"/>
          <w:sz w:val="22"/>
          <w:szCs w:val="22"/>
          <w:u w:val="single"/>
        </w:rPr>
        <w:t>Fertilita</w:t>
      </w:r>
      <w:proofErr w:type="spellEnd"/>
      <w:r>
        <w:rPr>
          <w:i w:val="0"/>
          <w:sz w:val="22"/>
          <w:szCs w:val="22"/>
          <w:u w:val="single"/>
        </w:rPr>
        <w:t xml:space="preserve"> a g</w:t>
      </w:r>
      <w:r w:rsidRPr="003A4A13">
        <w:rPr>
          <w:i w:val="0"/>
          <w:sz w:val="22"/>
          <w:szCs w:val="22"/>
          <w:u w:val="single"/>
        </w:rPr>
        <w:t>ravidita</w:t>
      </w:r>
    </w:p>
    <w:p w:rsidR="00B65342" w:rsidRPr="003A4A13" w:rsidRDefault="00B65342" w:rsidP="003A4A13"/>
    <w:p w:rsidR="00B65342" w:rsidRDefault="00B65342" w:rsidP="006A7905">
      <w:pPr>
        <w:pStyle w:val="BodyText22"/>
        <w:widowControl/>
        <w:spacing w:before="0"/>
        <w:rPr>
          <w:sz w:val="22"/>
          <w:szCs w:val="22"/>
        </w:rPr>
      </w:pPr>
      <w:r w:rsidRPr="006C372D">
        <w:rPr>
          <w:sz w:val="22"/>
          <w:szCs w:val="22"/>
        </w:rPr>
        <w:t>Reprodukčné štúdie na z</w:t>
      </w:r>
      <w:smartTag w:uri="urn:schemas-microsoft-com:office:smarttags" w:element="PersonName">
        <w:r w:rsidRPr="006C372D">
          <w:rPr>
            <w:sz w:val="22"/>
            <w:szCs w:val="22"/>
          </w:rPr>
          <w:t>viera</w:t>
        </w:r>
      </w:smartTag>
      <w:r w:rsidRPr="006C372D">
        <w:rPr>
          <w:sz w:val="22"/>
          <w:szCs w:val="22"/>
        </w:rPr>
        <w:t xml:space="preserve">tách nepodali žiadny dôkaz o narušení </w:t>
      </w:r>
      <w:proofErr w:type="spellStart"/>
      <w:r w:rsidRPr="006C372D">
        <w:rPr>
          <w:sz w:val="22"/>
          <w:szCs w:val="22"/>
        </w:rPr>
        <w:t>fertility</w:t>
      </w:r>
      <w:proofErr w:type="spellEnd"/>
      <w:r w:rsidRPr="006C372D">
        <w:rPr>
          <w:sz w:val="22"/>
          <w:szCs w:val="22"/>
        </w:rPr>
        <w:t xml:space="preserve"> alebo poškodení plodu po podaní </w:t>
      </w:r>
      <w:proofErr w:type="spellStart"/>
      <w:r w:rsidRPr="006C372D">
        <w:rPr>
          <w:sz w:val="22"/>
          <w:szCs w:val="22"/>
        </w:rPr>
        <w:t>sultamicilínu</w:t>
      </w:r>
      <w:proofErr w:type="spellEnd"/>
      <w:r w:rsidRPr="006C372D">
        <w:rPr>
          <w:sz w:val="22"/>
          <w:szCs w:val="22"/>
        </w:rPr>
        <w:t xml:space="preserve">. Nebolo však stanovené, či je podávanie </w:t>
      </w:r>
      <w:proofErr w:type="spellStart"/>
      <w:r w:rsidRPr="006C372D">
        <w:rPr>
          <w:sz w:val="22"/>
          <w:szCs w:val="22"/>
        </w:rPr>
        <w:t>sultamicilínu</w:t>
      </w:r>
      <w:proofErr w:type="spellEnd"/>
      <w:r w:rsidRPr="006C372D">
        <w:rPr>
          <w:sz w:val="22"/>
          <w:szCs w:val="22"/>
        </w:rPr>
        <w:t xml:space="preserve"> tehotným ženám bezpečné.</w:t>
      </w:r>
    </w:p>
    <w:p w:rsidR="00B65342" w:rsidRPr="006C372D" w:rsidRDefault="00B65342" w:rsidP="006A7905">
      <w:pPr>
        <w:pStyle w:val="BodyText22"/>
        <w:widowControl/>
        <w:spacing w:before="0"/>
        <w:rPr>
          <w:sz w:val="22"/>
          <w:szCs w:val="22"/>
        </w:rPr>
      </w:pPr>
      <w:r w:rsidRPr="006C372D">
        <w:rPr>
          <w:sz w:val="22"/>
          <w:szCs w:val="22"/>
        </w:rPr>
        <w:t xml:space="preserve"> </w:t>
      </w:r>
    </w:p>
    <w:p w:rsidR="00B65342" w:rsidRDefault="00B65342" w:rsidP="006A7905">
      <w:pPr>
        <w:pStyle w:val="Nadpis6"/>
        <w:widowControl/>
        <w:spacing w:before="0"/>
        <w:rPr>
          <w:i w:val="0"/>
          <w:sz w:val="22"/>
          <w:szCs w:val="22"/>
          <w:u w:val="single"/>
        </w:rPr>
      </w:pPr>
      <w:r w:rsidRPr="003A4A13">
        <w:rPr>
          <w:i w:val="0"/>
          <w:sz w:val="22"/>
          <w:szCs w:val="22"/>
          <w:u w:val="single"/>
        </w:rPr>
        <w:t>Laktácia</w:t>
      </w:r>
    </w:p>
    <w:p w:rsidR="00B65342" w:rsidRPr="003A4A13" w:rsidRDefault="00B65342" w:rsidP="003A4A13"/>
    <w:p w:rsidR="00B65342" w:rsidRPr="006C372D" w:rsidRDefault="00B65342" w:rsidP="006A7905">
      <w:pPr>
        <w:pStyle w:val="BodyText22"/>
        <w:widowControl/>
        <w:spacing w:before="0"/>
        <w:rPr>
          <w:sz w:val="22"/>
          <w:szCs w:val="22"/>
        </w:rPr>
      </w:pPr>
      <w:proofErr w:type="spellStart"/>
      <w:r w:rsidRPr="006C372D">
        <w:rPr>
          <w:sz w:val="22"/>
          <w:szCs w:val="22"/>
        </w:rPr>
        <w:t>Ampicilín</w:t>
      </w:r>
      <w:proofErr w:type="spellEnd"/>
      <w:r w:rsidRPr="006C372D">
        <w:rPr>
          <w:sz w:val="22"/>
          <w:szCs w:val="22"/>
        </w:rPr>
        <w:t xml:space="preserve"> aj </w:t>
      </w:r>
      <w:proofErr w:type="spellStart"/>
      <w:r w:rsidRPr="006C372D">
        <w:rPr>
          <w:sz w:val="22"/>
          <w:szCs w:val="22"/>
        </w:rPr>
        <w:t>sulbaktám</w:t>
      </w:r>
      <w:proofErr w:type="spellEnd"/>
      <w:r w:rsidRPr="006C372D">
        <w:rPr>
          <w:sz w:val="22"/>
          <w:szCs w:val="22"/>
        </w:rPr>
        <w:t xml:space="preserve"> sa v nízkych koncentráciách vylučujú do </w:t>
      </w:r>
      <w:r>
        <w:rPr>
          <w:sz w:val="22"/>
          <w:szCs w:val="22"/>
        </w:rPr>
        <w:t>ľudského</w:t>
      </w:r>
      <w:r w:rsidRPr="006C372D">
        <w:rPr>
          <w:sz w:val="22"/>
          <w:szCs w:val="22"/>
        </w:rPr>
        <w:t xml:space="preserve"> mlieka.</w:t>
      </w:r>
    </w:p>
    <w:p w:rsidR="00B65342" w:rsidRPr="006C372D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>Pri podávaní lieku dojčiacim ženám je preto potrebná zvýšená opatrnosť.</w:t>
      </w: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Default="00B65342" w:rsidP="006A7905">
      <w:pPr>
        <w:widowControl/>
        <w:rPr>
          <w:b/>
          <w:sz w:val="22"/>
          <w:szCs w:val="22"/>
        </w:rPr>
      </w:pPr>
      <w:r w:rsidRPr="006C372D">
        <w:rPr>
          <w:b/>
          <w:sz w:val="22"/>
          <w:szCs w:val="22"/>
        </w:rPr>
        <w:t xml:space="preserve">4.7 </w:t>
      </w:r>
      <w:r>
        <w:rPr>
          <w:b/>
          <w:sz w:val="22"/>
          <w:szCs w:val="22"/>
        </w:rPr>
        <w:tab/>
      </w:r>
      <w:r w:rsidRPr="006C372D">
        <w:rPr>
          <w:b/>
          <w:sz w:val="22"/>
          <w:szCs w:val="22"/>
        </w:rPr>
        <w:t>Ovplyvnenie schopnosti viesť vozidlá a obsluhovať stroje</w:t>
      </w: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Pr="006C372D" w:rsidRDefault="00B65342" w:rsidP="006A7905">
      <w:pPr>
        <w:pStyle w:val="BodyText22"/>
        <w:widowControl/>
        <w:spacing w:before="0"/>
        <w:rPr>
          <w:sz w:val="22"/>
          <w:szCs w:val="22"/>
        </w:rPr>
      </w:pPr>
      <w:proofErr w:type="spellStart"/>
      <w:r w:rsidRPr="006C372D">
        <w:rPr>
          <w:sz w:val="22"/>
          <w:szCs w:val="22"/>
        </w:rPr>
        <w:t>B</w:t>
      </w:r>
      <w:r>
        <w:rPr>
          <w:sz w:val="22"/>
          <w:szCs w:val="22"/>
        </w:rPr>
        <w:t>itammon</w:t>
      </w:r>
      <w:proofErr w:type="spellEnd"/>
      <w:r w:rsidRPr="006C372D">
        <w:rPr>
          <w:sz w:val="22"/>
          <w:szCs w:val="22"/>
        </w:rPr>
        <w:t xml:space="preserve"> 375 </w:t>
      </w:r>
      <w:r>
        <w:rPr>
          <w:sz w:val="22"/>
          <w:szCs w:val="22"/>
        </w:rPr>
        <w:t>nemá žiadny alebo má zanedbateľný vplyv na</w:t>
      </w:r>
      <w:r w:rsidRPr="006C372D">
        <w:rPr>
          <w:sz w:val="22"/>
          <w:szCs w:val="22"/>
        </w:rPr>
        <w:t xml:space="preserve"> schopnosť viesť vozidlá a obsluhovať stroje.</w:t>
      </w: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Default="00B65342" w:rsidP="006A7905">
      <w:pPr>
        <w:widowControl/>
        <w:rPr>
          <w:b/>
          <w:sz w:val="22"/>
          <w:szCs w:val="22"/>
        </w:rPr>
      </w:pPr>
      <w:r w:rsidRPr="006C372D">
        <w:rPr>
          <w:b/>
          <w:sz w:val="22"/>
          <w:szCs w:val="22"/>
        </w:rPr>
        <w:t xml:space="preserve">4.8 </w:t>
      </w:r>
      <w:r>
        <w:rPr>
          <w:b/>
          <w:sz w:val="22"/>
          <w:szCs w:val="22"/>
        </w:rPr>
        <w:tab/>
      </w:r>
      <w:r w:rsidRPr="006C372D">
        <w:rPr>
          <w:b/>
          <w:sz w:val="22"/>
          <w:szCs w:val="22"/>
        </w:rPr>
        <w:t>Nežiaduce účinky</w:t>
      </w:r>
    </w:p>
    <w:p w:rsidR="00B65342" w:rsidRPr="006C372D" w:rsidRDefault="00B65342" w:rsidP="006A7905">
      <w:pPr>
        <w:widowControl/>
        <w:rPr>
          <w:sz w:val="22"/>
          <w:szCs w:val="22"/>
        </w:rPr>
      </w:pPr>
    </w:p>
    <w:p w:rsidR="00B65342" w:rsidRPr="006C372D" w:rsidRDefault="00B65342" w:rsidP="006A7905">
      <w:pPr>
        <w:pStyle w:val="BodyText22"/>
        <w:widowControl/>
        <w:spacing w:before="0"/>
        <w:rPr>
          <w:sz w:val="22"/>
          <w:szCs w:val="22"/>
        </w:rPr>
      </w:pPr>
      <w:r w:rsidRPr="006C372D">
        <w:rPr>
          <w:sz w:val="22"/>
          <w:szCs w:val="22"/>
        </w:rPr>
        <w:t>Liek sa zvyčajne dobre znáša, prípadné nežiaduce účinky nebývajú závažné.</w:t>
      </w:r>
    </w:p>
    <w:p w:rsidR="00B65342" w:rsidRPr="003A4A13" w:rsidRDefault="00B65342" w:rsidP="006A7905">
      <w:pPr>
        <w:rPr>
          <w:sz w:val="22"/>
          <w:szCs w:val="22"/>
          <w:highlight w:val="yellow"/>
        </w:rPr>
      </w:pPr>
    </w:p>
    <w:p w:rsidR="00B65342" w:rsidRPr="006C372D" w:rsidRDefault="00B65342" w:rsidP="006A7905">
      <w:pPr>
        <w:rPr>
          <w:sz w:val="22"/>
          <w:szCs w:val="22"/>
        </w:rPr>
      </w:pPr>
      <w:r w:rsidRPr="00063208">
        <w:rPr>
          <w:sz w:val="22"/>
          <w:szCs w:val="22"/>
        </w:rPr>
        <w:t>Zistené frekvencie výskytu nežiaducich účinkov boli zoradené podľa nasledujúcej konvencie: veľmi časté (</w:t>
      </w:r>
      <w:r w:rsidRPr="00063208">
        <w:rPr>
          <w:sz w:val="22"/>
          <w:szCs w:val="22"/>
        </w:rPr>
        <w:sym w:font="Symbol" w:char="F0B3"/>
      </w:r>
      <w:r w:rsidRPr="00063208">
        <w:rPr>
          <w:sz w:val="22"/>
          <w:szCs w:val="22"/>
        </w:rPr>
        <w:t> 1/10); časté (</w:t>
      </w:r>
      <w:r w:rsidRPr="00063208">
        <w:rPr>
          <w:sz w:val="22"/>
          <w:szCs w:val="22"/>
        </w:rPr>
        <w:sym w:font="Symbol" w:char="F0B3"/>
      </w:r>
      <w:r w:rsidRPr="00063208">
        <w:rPr>
          <w:sz w:val="22"/>
          <w:szCs w:val="22"/>
        </w:rPr>
        <w:t> 1/100 až </w:t>
      </w:r>
      <w:r w:rsidRPr="00063208">
        <w:rPr>
          <w:sz w:val="22"/>
          <w:szCs w:val="22"/>
        </w:rPr>
        <w:sym w:font="Symbol" w:char="F03C"/>
      </w:r>
      <w:r w:rsidRPr="00063208">
        <w:rPr>
          <w:sz w:val="22"/>
          <w:szCs w:val="22"/>
        </w:rPr>
        <w:t> 1/10); menej časté (</w:t>
      </w:r>
      <w:r w:rsidRPr="00063208">
        <w:rPr>
          <w:sz w:val="22"/>
          <w:szCs w:val="22"/>
        </w:rPr>
        <w:sym w:font="Symbol" w:char="F0B3"/>
      </w:r>
      <w:r w:rsidRPr="00063208">
        <w:rPr>
          <w:sz w:val="22"/>
          <w:szCs w:val="22"/>
        </w:rPr>
        <w:t> 1/1 000 až </w:t>
      </w:r>
      <w:r w:rsidRPr="00063208">
        <w:rPr>
          <w:sz w:val="22"/>
          <w:szCs w:val="22"/>
        </w:rPr>
        <w:sym w:font="Symbol" w:char="F03C"/>
      </w:r>
      <w:r w:rsidRPr="00063208">
        <w:rPr>
          <w:sz w:val="22"/>
          <w:szCs w:val="22"/>
        </w:rPr>
        <w:t> 1/100); zriedkavé (</w:t>
      </w:r>
      <w:r w:rsidRPr="00063208">
        <w:rPr>
          <w:sz w:val="22"/>
          <w:szCs w:val="22"/>
        </w:rPr>
        <w:sym w:font="Symbol" w:char="F0B3"/>
      </w:r>
      <w:r w:rsidRPr="00063208">
        <w:rPr>
          <w:sz w:val="22"/>
          <w:szCs w:val="22"/>
        </w:rPr>
        <w:t> 1/10 000 až </w:t>
      </w:r>
      <w:r w:rsidRPr="00063208">
        <w:rPr>
          <w:sz w:val="22"/>
          <w:szCs w:val="22"/>
        </w:rPr>
        <w:sym w:font="Symbol" w:char="F03C"/>
      </w:r>
      <w:r w:rsidRPr="00063208">
        <w:rPr>
          <w:sz w:val="22"/>
          <w:szCs w:val="22"/>
        </w:rPr>
        <w:t> 1/1 000); veľmi zriedkavé (</w:t>
      </w:r>
      <w:r w:rsidRPr="00063208">
        <w:rPr>
          <w:sz w:val="22"/>
          <w:szCs w:val="22"/>
        </w:rPr>
        <w:sym w:font="Symbol" w:char="F03C"/>
      </w:r>
      <w:r w:rsidRPr="00063208">
        <w:rPr>
          <w:sz w:val="22"/>
          <w:szCs w:val="22"/>
        </w:rPr>
        <w:t> 1/10 000), neznáme (z dostupných údajov).</w:t>
      </w:r>
    </w:p>
    <w:p w:rsidR="00B65342" w:rsidRPr="006C372D" w:rsidRDefault="00B65342" w:rsidP="006A7905">
      <w:pPr>
        <w:rPr>
          <w:b/>
          <w:sz w:val="22"/>
          <w:szCs w:val="22"/>
        </w:rPr>
      </w:pPr>
    </w:p>
    <w:p w:rsidR="00B65342" w:rsidRPr="006C372D" w:rsidRDefault="00B65342" w:rsidP="006A7905">
      <w:pPr>
        <w:pStyle w:val="BodyText21"/>
        <w:numPr>
          <w:ilvl w:val="0"/>
          <w:numId w:val="1"/>
        </w:numPr>
        <w:tabs>
          <w:tab w:val="left" w:pos="360"/>
        </w:tabs>
        <w:jc w:val="left"/>
        <w:rPr>
          <w:rFonts w:ascii="Times New Roman" w:hAnsi="Times New Roman"/>
          <w:sz w:val="22"/>
          <w:szCs w:val="22"/>
        </w:rPr>
      </w:pPr>
      <w:r w:rsidRPr="006C372D">
        <w:rPr>
          <w:rFonts w:ascii="Times New Roman" w:hAnsi="Times New Roman"/>
          <w:sz w:val="22"/>
          <w:szCs w:val="22"/>
          <w:u w:val="single"/>
        </w:rPr>
        <w:t xml:space="preserve">Poruchy </w:t>
      </w:r>
      <w:proofErr w:type="spellStart"/>
      <w:r w:rsidRPr="006C372D">
        <w:rPr>
          <w:rFonts w:ascii="Times New Roman" w:hAnsi="Times New Roman"/>
          <w:sz w:val="22"/>
          <w:szCs w:val="22"/>
          <w:u w:val="single"/>
        </w:rPr>
        <w:t>gastrointestinálneho</w:t>
      </w:r>
      <w:proofErr w:type="spellEnd"/>
      <w:r w:rsidRPr="006C372D">
        <w:rPr>
          <w:rFonts w:ascii="Times New Roman" w:hAnsi="Times New Roman"/>
          <w:sz w:val="22"/>
          <w:szCs w:val="22"/>
          <w:u w:val="single"/>
        </w:rPr>
        <w:t xml:space="preserve"> traktu</w:t>
      </w:r>
      <w:r w:rsidRPr="006C372D">
        <w:rPr>
          <w:rFonts w:ascii="Times New Roman" w:hAnsi="Times New Roman"/>
          <w:sz w:val="22"/>
          <w:szCs w:val="22"/>
        </w:rPr>
        <w:t xml:space="preserve">: </w:t>
      </w:r>
    </w:p>
    <w:p w:rsidR="00B65342" w:rsidRPr="006C372D" w:rsidRDefault="00B65342" w:rsidP="006A7905">
      <w:pPr>
        <w:pStyle w:val="BodyText21"/>
        <w:ind w:left="284"/>
        <w:jc w:val="left"/>
        <w:rPr>
          <w:rFonts w:ascii="Times New Roman" w:hAnsi="Times New Roman"/>
          <w:sz w:val="22"/>
          <w:szCs w:val="22"/>
        </w:rPr>
      </w:pPr>
      <w:r w:rsidRPr="006C372D">
        <w:rPr>
          <w:rFonts w:ascii="Times New Roman" w:hAnsi="Times New Roman"/>
          <w:sz w:val="22"/>
          <w:szCs w:val="22"/>
        </w:rPr>
        <w:t xml:space="preserve"> Časté: hnačky, nevoľnosť, vracanie, bolesti brucha</w:t>
      </w:r>
    </w:p>
    <w:p w:rsidR="00B65342" w:rsidRPr="006C372D" w:rsidRDefault="00B65342" w:rsidP="006A7905">
      <w:pPr>
        <w:pStyle w:val="BodyText21"/>
        <w:ind w:left="284"/>
        <w:jc w:val="left"/>
        <w:rPr>
          <w:rFonts w:ascii="Times New Roman" w:hAnsi="Times New Roman"/>
          <w:sz w:val="22"/>
          <w:szCs w:val="22"/>
        </w:rPr>
      </w:pPr>
      <w:r w:rsidRPr="006C372D">
        <w:rPr>
          <w:rFonts w:ascii="Times New Roman" w:hAnsi="Times New Roman"/>
          <w:sz w:val="22"/>
          <w:szCs w:val="22"/>
        </w:rPr>
        <w:t xml:space="preserve"> Zriedkavé: </w:t>
      </w:r>
      <w:proofErr w:type="spellStart"/>
      <w:r w:rsidRPr="006C372D">
        <w:rPr>
          <w:rFonts w:ascii="Times New Roman" w:hAnsi="Times New Roman"/>
          <w:sz w:val="22"/>
          <w:szCs w:val="22"/>
        </w:rPr>
        <w:t>enterokolitída</w:t>
      </w:r>
      <w:proofErr w:type="spellEnd"/>
      <w:r w:rsidRPr="006C372D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C372D">
        <w:rPr>
          <w:rFonts w:ascii="Times New Roman" w:hAnsi="Times New Roman"/>
          <w:sz w:val="22"/>
          <w:szCs w:val="22"/>
        </w:rPr>
        <w:t>pseudomembranózna</w:t>
      </w:r>
      <w:proofErr w:type="spellEnd"/>
      <w:r w:rsidRPr="006C37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C372D">
        <w:rPr>
          <w:rFonts w:ascii="Times New Roman" w:hAnsi="Times New Roman"/>
          <w:sz w:val="22"/>
          <w:szCs w:val="22"/>
        </w:rPr>
        <w:t>kolitída</w:t>
      </w:r>
      <w:proofErr w:type="spellEnd"/>
    </w:p>
    <w:p w:rsidR="00B65342" w:rsidRPr="006C372D" w:rsidRDefault="00B65342" w:rsidP="006A7905">
      <w:pPr>
        <w:pStyle w:val="BodyText21"/>
        <w:ind w:left="284"/>
        <w:jc w:val="left"/>
        <w:rPr>
          <w:rFonts w:ascii="Times New Roman" w:hAnsi="Times New Roman"/>
          <w:sz w:val="22"/>
          <w:szCs w:val="22"/>
        </w:rPr>
      </w:pPr>
    </w:p>
    <w:p w:rsidR="00B65342" w:rsidRPr="006C372D" w:rsidRDefault="00B65342" w:rsidP="006A7905">
      <w:pPr>
        <w:widowControl/>
        <w:numPr>
          <w:ilvl w:val="0"/>
          <w:numId w:val="2"/>
        </w:numPr>
        <w:tabs>
          <w:tab w:val="left" w:pos="360"/>
        </w:tabs>
        <w:rPr>
          <w:sz w:val="22"/>
          <w:szCs w:val="22"/>
        </w:rPr>
      </w:pPr>
      <w:r w:rsidRPr="006C372D">
        <w:rPr>
          <w:sz w:val="22"/>
          <w:szCs w:val="22"/>
          <w:u w:val="single"/>
        </w:rPr>
        <w:t>Poruchy kože a podkožného tkaniva</w:t>
      </w:r>
      <w:r w:rsidRPr="006C372D">
        <w:rPr>
          <w:sz w:val="22"/>
          <w:szCs w:val="22"/>
        </w:rPr>
        <w:t>:</w:t>
      </w:r>
    </w:p>
    <w:p w:rsidR="00B65342" w:rsidRPr="006C372D" w:rsidRDefault="00B65342" w:rsidP="006A7905">
      <w:pPr>
        <w:ind w:firstLine="360"/>
        <w:rPr>
          <w:sz w:val="22"/>
          <w:szCs w:val="22"/>
        </w:rPr>
      </w:pPr>
      <w:r w:rsidRPr="006C372D">
        <w:rPr>
          <w:sz w:val="22"/>
          <w:szCs w:val="22"/>
        </w:rPr>
        <w:t>Zriedkavé: kožné vyrážky, svrbenie kože</w:t>
      </w:r>
    </w:p>
    <w:p w:rsidR="00B65342" w:rsidRPr="006C372D" w:rsidRDefault="00B65342" w:rsidP="006A7905">
      <w:pPr>
        <w:rPr>
          <w:sz w:val="22"/>
          <w:szCs w:val="22"/>
        </w:rPr>
      </w:pPr>
    </w:p>
    <w:p w:rsidR="00B65342" w:rsidRPr="006C372D" w:rsidRDefault="00B65342" w:rsidP="006A7905">
      <w:pPr>
        <w:widowControl/>
        <w:numPr>
          <w:ilvl w:val="0"/>
          <w:numId w:val="3"/>
        </w:numPr>
        <w:tabs>
          <w:tab w:val="left" w:pos="360"/>
        </w:tabs>
        <w:rPr>
          <w:sz w:val="22"/>
          <w:szCs w:val="22"/>
        </w:rPr>
      </w:pPr>
      <w:r w:rsidRPr="006C372D">
        <w:rPr>
          <w:sz w:val="22"/>
          <w:szCs w:val="22"/>
          <w:u w:val="single"/>
        </w:rPr>
        <w:t>Poruchy nervového systému:</w:t>
      </w:r>
      <w:r w:rsidRPr="006C372D">
        <w:rPr>
          <w:sz w:val="22"/>
          <w:szCs w:val="22"/>
        </w:rPr>
        <w:t xml:space="preserve"> </w:t>
      </w:r>
      <w:r w:rsidRPr="006C372D">
        <w:rPr>
          <w:sz w:val="22"/>
          <w:szCs w:val="22"/>
        </w:rPr>
        <w:br/>
        <w:t>Zriedkavé: únava, bolesti hlavy</w:t>
      </w:r>
    </w:p>
    <w:p w:rsidR="00B65342" w:rsidRPr="006C372D" w:rsidRDefault="00B65342" w:rsidP="006A7905">
      <w:pPr>
        <w:widowControl/>
        <w:tabs>
          <w:tab w:val="left" w:pos="360"/>
        </w:tabs>
        <w:rPr>
          <w:sz w:val="22"/>
          <w:szCs w:val="22"/>
        </w:rPr>
      </w:pPr>
    </w:p>
    <w:p w:rsidR="00B65342" w:rsidRPr="006C372D" w:rsidRDefault="00B65342" w:rsidP="006A7905">
      <w:pPr>
        <w:widowControl/>
        <w:numPr>
          <w:ilvl w:val="0"/>
          <w:numId w:val="4"/>
        </w:numPr>
        <w:tabs>
          <w:tab w:val="left" w:pos="360"/>
        </w:tabs>
        <w:rPr>
          <w:sz w:val="22"/>
          <w:szCs w:val="22"/>
        </w:rPr>
      </w:pPr>
      <w:r w:rsidRPr="006C372D">
        <w:rPr>
          <w:sz w:val="22"/>
          <w:szCs w:val="22"/>
          <w:u w:val="single"/>
        </w:rPr>
        <w:t>Poruchy endokrinného systému</w:t>
      </w:r>
      <w:r w:rsidRPr="006C372D">
        <w:rPr>
          <w:sz w:val="22"/>
          <w:szCs w:val="22"/>
        </w:rPr>
        <w:t>:</w:t>
      </w:r>
    </w:p>
    <w:p w:rsidR="00B65342" w:rsidRPr="006C372D" w:rsidRDefault="00B65342" w:rsidP="006A7905">
      <w:pPr>
        <w:widowControl/>
        <w:tabs>
          <w:tab w:val="left" w:pos="360"/>
        </w:tabs>
        <w:ind w:left="360"/>
        <w:rPr>
          <w:sz w:val="22"/>
          <w:szCs w:val="22"/>
        </w:rPr>
      </w:pPr>
      <w:r w:rsidRPr="006C372D">
        <w:rPr>
          <w:sz w:val="22"/>
          <w:szCs w:val="22"/>
        </w:rPr>
        <w:t>Časté: sucho v ústach</w:t>
      </w:r>
    </w:p>
    <w:p w:rsidR="00B65342" w:rsidRPr="006C372D" w:rsidRDefault="00B65342" w:rsidP="006A7905">
      <w:pPr>
        <w:widowControl/>
        <w:tabs>
          <w:tab w:val="left" w:pos="360"/>
        </w:tabs>
        <w:ind w:left="360"/>
        <w:rPr>
          <w:sz w:val="22"/>
          <w:szCs w:val="22"/>
        </w:rPr>
      </w:pPr>
    </w:p>
    <w:p w:rsidR="00B65342" w:rsidRPr="006C372D" w:rsidRDefault="00B65342" w:rsidP="006A7905">
      <w:pPr>
        <w:widowControl/>
        <w:numPr>
          <w:ilvl w:val="0"/>
          <w:numId w:val="5"/>
        </w:numPr>
        <w:tabs>
          <w:tab w:val="left" w:pos="360"/>
        </w:tabs>
        <w:rPr>
          <w:sz w:val="22"/>
          <w:szCs w:val="22"/>
        </w:rPr>
      </w:pPr>
      <w:r w:rsidRPr="006C372D">
        <w:rPr>
          <w:sz w:val="22"/>
          <w:szCs w:val="22"/>
          <w:u w:val="single"/>
        </w:rPr>
        <w:t>Celkové poruchy a reakcie v mieste podania</w:t>
      </w:r>
      <w:r w:rsidRPr="006C372D">
        <w:rPr>
          <w:sz w:val="22"/>
          <w:szCs w:val="22"/>
        </w:rPr>
        <w:t>:</w:t>
      </w:r>
    </w:p>
    <w:p w:rsidR="00B65342" w:rsidRPr="006C372D" w:rsidRDefault="00B65342" w:rsidP="006A7905">
      <w:pPr>
        <w:widowControl/>
        <w:tabs>
          <w:tab w:val="left" w:pos="360"/>
        </w:tabs>
        <w:ind w:left="360"/>
        <w:rPr>
          <w:sz w:val="22"/>
          <w:szCs w:val="22"/>
        </w:rPr>
      </w:pPr>
      <w:r w:rsidRPr="006C372D">
        <w:rPr>
          <w:sz w:val="22"/>
          <w:szCs w:val="22"/>
        </w:rPr>
        <w:t xml:space="preserve">Vzácne: </w:t>
      </w:r>
      <w:proofErr w:type="spellStart"/>
      <w:r w:rsidRPr="006C372D">
        <w:rPr>
          <w:sz w:val="22"/>
          <w:szCs w:val="22"/>
        </w:rPr>
        <w:t>anafylaktický</w:t>
      </w:r>
      <w:proofErr w:type="spellEnd"/>
      <w:r w:rsidRPr="006C372D">
        <w:rPr>
          <w:sz w:val="22"/>
          <w:szCs w:val="22"/>
        </w:rPr>
        <w:t xml:space="preserve"> šok</w:t>
      </w:r>
    </w:p>
    <w:p w:rsidR="00B65342" w:rsidRDefault="00B65342" w:rsidP="006A7905">
      <w:pPr>
        <w:widowControl/>
        <w:tabs>
          <w:tab w:val="left" w:pos="360"/>
        </w:tabs>
        <w:rPr>
          <w:sz w:val="22"/>
          <w:szCs w:val="22"/>
        </w:rPr>
      </w:pPr>
    </w:p>
    <w:p w:rsidR="00B65342" w:rsidRPr="005443A3" w:rsidRDefault="00B65342" w:rsidP="005443A3">
      <w:pPr>
        <w:suppressLineNumbers/>
        <w:rPr>
          <w:sz w:val="22"/>
          <w:szCs w:val="22"/>
          <w:u w:val="single"/>
        </w:rPr>
      </w:pPr>
      <w:r w:rsidRPr="005443A3">
        <w:rPr>
          <w:noProof/>
          <w:sz w:val="22"/>
          <w:szCs w:val="22"/>
          <w:u w:val="single"/>
        </w:rPr>
        <w:t>Hlásenie podozrení na nežiaduce reakcie</w:t>
      </w:r>
    </w:p>
    <w:p w:rsidR="00B65342" w:rsidRPr="005443A3" w:rsidRDefault="00B65342" w:rsidP="005443A3">
      <w:pPr>
        <w:suppressLineNumbers/>
        <w:rPr>
          <w:noProof/>
          <w:sz w:val="22"/>
          <w:szCs w:val="22"/>
        </w:rPr>
      </w:pPr>
      <w:r w:rsidRPr="005443A3">
        <w:rPr>
          <w:noProof/>
          <w:sz w:val="22"/>
          <w:szCs w:val="22"/>
        </w:rPr>
        <w:t>Hlásenie podozrení na nežiaduce reakcie po registrácii lieku je dôležité.</w:t>
      </w:r>
      <w:r w:rsidRPr="005443A3">
        <w:rPr>
          <w:sz w:val="22"/>
          <w:szCs w:val="22"/>
        </w:rPr>
        <w:t xml:space="preserve"> </w:t>
      </w:r>
      <w:r w:rsidRPr="005443A3">
        <w:rPr>
          <w:noProof/>
          <w:sz w:val="22"/>
          <w:szCs w:val="22"/>
        </w:rPr>
        <w:t>Umožňuje priebežné monitorovanie pomeru prínosu a rizika lieku.</w:t>
      </w:r>
      <w:r w:rsidRPr="005443A3">
        <w:rPr>
          <w:sz w:val="22"/>
          <w:szCs w:val="22"/>
        </w:rPr>
        <w:t xml:space="preserve"> Od </w:t>
      </w:r>
      <w:r w:rsidRPr="005443A3">
        <w:rPr>
          <w:noProof/>
          <w:sz w:val="22"/>
          <w:szCs w:val="22"/>
        </w:rPr>
        <w:t xml:space="preserve">zdravotníckych pracovníkov sa vyžaduje, aby hlásili akékoľvek podozrenia na nežiaduce reakcie prostredníctvom </w:t>
      </w:r>
      <w:r w:rsidRPr="005443A3">
        <w:rPr>
          <w:noProof/>
          <w:sz w:val="22"/>
          <w:szCs w:val="22"/>
          <w:highlight w:val="lightGray"/>
        </w:rPr>
        <w:t>národného systému hlásenia uvedeného v </w:t>
      </w:r>
      <w:hyperlink r:id="rId13" w:history="1">
        <w:r w:rsidRPr="005443A3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5443A3">
        <w:rPr>
          <w:noProof/>
          <w:sz w:val="22"/>
          <w:szCs w:val="22"/>
        </w:rPr>
        <w:t>.</w:t>
      </w:r>
    </w:p>
    <w:p w:rsidR="00B65342" w:rsidRPr="005443A3" w:rsidRDefault="00B65342" w:rsidP="006A7905">
      <w:pPr>
        <w:widowControl/>
        <w:tabs>
          <w:tab w:val="left" w:pos="360"/>
        </w:tabs>
        <w:rPr>
          <w:sz w:val="22"/>
          <w:szCs w:val="22"/>
        </w:rPr>
      </w:pPr>
    </w:p>
    <w:p w:rsidR="00B65342" w:rsidRDefault="00B65342" w:rsidP="006A7905">
      <w:pPr>
        <w:widowControl/>
        <w:rPr>
          <w:b/>
          <w:sz w:val="22"/>
          <w:szCs w:val="22"/>
        </w:rPr>
      </w:pPr>
      <w:r w:rsidRPr="006C372D">
        <w:rPr>
          <w:b/>
          <w:sz w:val="22"/>
          <w:szCs w:val="22"/>
        </w:rPr>
        <w:t xml:space="preserve">4.9 </w:t>
      </w:r>
      <w:r>
        <w:rPr>
          <w:b/>
          <w:sz w:val="22"/>
          <w:szCs w:val="22"/>
        </w:rPr>
        <w:tab/>
      </w:r>
      <w:r w:rsidRPr="006C372D">
        <w:rPr>
          <w:b/>
          <w:sz w:val="22"/>
          <w:szCs w:val="22"/>
        </w:rPr>
        <w:t>Predávkovanie</w:t>
      </w:r>
    </w:p>
    <w:p w:rsidR="00B65342" w:rsidRPr="006C372D" w:rsidRDefault="00B65342" w:rsidP="006A7905">
      <w:pPr>
        <w:widowControl/>
        <w:rPr>
          <w:sz w:val="22"/>
          <w:szCs w:val="22"/>
        </w:rPr>
      </w:pPr>
    </w:p>
    <w:p w:rsidR="00B65342" w:rsidRPr="006C372D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 xml:space="preserve">Vysoké dávky penicilínových antibiotík môžu v ojedinelých prípadoch vyvolať </w:t>
      </w:r>
      <w:proofErr w:type="spellStart"/>
      <w:r w:rsidRPr="006C372D">
        <w:rPr>
          <w:sz w:val="22"/>
          <w:szCs w:val="22"/>
        </w:rPr>
        <w:t>epileptiformné</w:t>
      </w:r>
      <w:proofErr w:type="spellEnd"/>
      <w:r w:rsidRPr="006C372D">
        <w:rPr>
          <w:sz w:val="22"/>
          <w:szCs w:val="22"/>
        </w:rPr>
        <w:t xml:space="preserve"> kŕče.</w:t>
      </w:r>
    </w:p>
    <w:p w:rsidR="00B65342" w:rsidRPr="006C372D" w:rsidRDefault="00B65342" w:rsidP="006A7905">
      <w:pPr>
        <w:widowControl/>
        <w:rPr>
          <w:sz w:val="22"/>
          <w:szCs w:val="22"/>
        </w:rPr>
      </w:pPr>
    </w:p>
    <w:p w:rsidR="00B65342" w:rsidRPr="006C372D" w:rsidRDefault="00B65342" w:rsidP="006A7905">
      <w:pPr>
        <w:widowControl/>
        <w:rPr>
          <w:sz w:val="22"/>
          <w:szCs w:val="22"/>
        </w:rPr>
      </w:pPr>
    </w:p>
    <w:p w:rsidR="00B65342" w:rsidRPr="006C372D" w:rsidRDefault="00B65342" w:rsidP="006A7905">
      <w:pPr>
        <w:pStyle w:val="Nadpis1"/>
        <w:spacing w:before="0" w:after="0"/>
        <w:jc w:val="left"/>
        <w:rPr>
          <w:rFonts w:ascii="Times New Roman" w:hAnsi="Times New Roman"/>
          <w:sz w:val="22"/>
          <w:szCs w:val="22"/>
        </w:rPr>
      </w:pPr>
      <w:r w:rsidRPr="006C372D">
        <w:rPr>
          <w:rFonts w:ascii="Times New Roman" w:hAnsi="Times New Roman"/>
          <w:sz w:val="22"/>
          <w:szCs w:val="22"/>
        </w:rPr>
        <w:lastRenderedPageBreak/>
        <w:t xml:space="preserve">5. </w:t>
      </w:r>
      <w:r>
        <w:rPr>
          <w:rFonts w:ascii="Times New Roman" w:hAnsi="Times New Roman"/>
          <w:sz w:val="22"/>
          <w:szCs w:val="22"/>
        </w:rPr>
        <w:tab/>
      </w:r>
      <w:r w:rsidRPr="006C372D">
        <w:rPr>
          <w:rFonts w:ascii="Times New Roman" w:hAnsi="Times New Roman"/>
          <w:sz w:val="22"/>
          <w:szCs w:val="22"/>
        </w:rPr>
        <w:t>FARMAKOLOGICKÉ VLASTNOSTI</w:t>
      </w:r>
    </w:p>
    <w:p w:rsidR="00B65342" w:rsidRPr="006C372D" w:rsidRDefault="00B65342" w:rsidP="006A7905">
      <w:pPr>
        <w:widowControl/>
        <w:rPr>
          <w:sz w:val="22"/>
          <w:szCs w:val="22"/>
        </w:rPr>
      </w:pPr>
    </w:p>
    <w:p w:rsidR="00B65342" w:rsidRDefault="00B65342" w:rsidP="006A7905">
      <w:pPr>
        <w:widowControl/>
        <w:rPr>
          <w:b/>
          <w:sz w:val="22"/>
          <w:szCs w:val="22"/>
        </w:rPr>
      </w:pPr>
      <w:r w:rsidRPr="006C372D">
        <w:rPr>
          <w:b/>
          <w:sz w:val="22"/>
          <w:szCs w:val="22"/>
        </w:rPr>
        <w:t xml:space="preserve">5.1 </w:t>
      </w:r>
      <w:r>
        <w:rPr>
          <w:b/>
          <w:sz w:val="22"/>
          <w:szCs w:val="22"/>
        </w:rPr>
        <w:tab/>
      </w:r>
      <w:proofErr w:type="spellStart"/>
      <w:r w:rsidRPr="006C372D">
        <w:rPr>
          <w:b/>
          <w:sz w:val="22"/>
          <w:szCs w:val="22"/>
        </w:rPr>
        <w:t>Farmakodynamické</w:t>
      </w:r>
      <w:proofErr w:type="spellEnd"/>
      <w:r w:rsidRPr="006C372D">
        <w:rPr>
          <w:b/>
          <w:sz w:val="22"/>
          <w:szCs w:val="22"/>
        </w:rPr>
        <w:t xml:space="preserve"> vlastnosti</w:t>
      </w: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Pr="006C372D" w:rsidRDefault="00B65342" w:rsidP="006A7905">
      <w:pPr>
        <w:widowControl/>
        <w:rPr>
          <w:sz w:val="22"/>
          <w:szCs w:val="22"/>
        </w:rPr>
      </w:pPr>
      <w:proofErr w:type="spellStart"/>
      <w:r w:rsidRPr="006C372D">
        <w:rPr>
          <w:sz w:val="22"/>
          <w:szCs w:val="22"/>
        </w:rPr>
        <w:t>Farmakoterapeutická</w:t>
      </w:r>
      <w:proofErr w:type="spellEnd"/>
      <w:r w:rsidRPr="006C372D">
        <w:rPr>
          <w:sz w:val="22"/>
          <w:szCs w:val="22"/>
        </w:rPr>
        <w:t xml:space="preserve"> skupina: </w:t>
      </w:r>
      <w:r>
        <w:rPr>
          <w:sz w:val="22"/>
          <w:szCs w:val="22"/>
        </w:rPr>
        <w:t xml:space="preserve">antibiotikum, kombinácie penicilínov vrátane inhibície </w:t>
      </w:r>
      <w:proofErr w:type="spellStart"/>
      <w:r>
        <w:rPr>
          <w:sz w:val="22"/>
          <w:szCs w:val="22"/>
        </w:rPr>
        <w:t>betalaktamáz</w:t>
      </w:r>
      <w:proofErr w:type="spellEnd"/>
    </w:p>
    <w:p w:rsidR="00B65342" w:rsidRPr="006C372D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>ATC kód: J01CR04</w:t>
      </w:r>
    </w:p>
    <w:p w:rsidR="00B65342" w:rsidRPr="006C372D" w:rsidRDefault="00B65342" w:rsidP="006A7905">
      <w:pPr>
        <w:pStyle w:val="BodyText22"/>
        <w:widowControl/>
        <w:spacing w:before="0"/>
        <w:rPr>
          <w:sz w:val="22"/>
          <w:szCs w:val="22"/>
        </w:rPr>
      </w:pPr>
    </w:p>
    <w:p w:rsidR="00B65342" w:rsidRPr="006C372D" w:rsidRDefault="00B65342" w:rsidP="006A7905">
      <w:pPr>
        <w:pStyle w:val="BodyText22"/>
        <w:widowControl/>
        <w:spacing w:before="0"/>
        <w:rPr>
          <w:sz w:val="22"/>
          <w:szCs w:val="22"/>
        </w:rPr>
      </w:pPr>
      <w:proofErr w:type="spellStart"/>
      <w:r w:rsidRPr="006C372D">
        <w:rPr>
          <w:sz w:val="22"/>
          <w:szCs w:val="22"/>
        </w:rPr>
        <w:t>Sultamicilín</w:t>
      </w:r>
      <w:proofErr w:type="spellEnd"/>
      <w:r w:rsidRPr="006C372D">
        <w:rPr>
          <w:sz w:val="22"/>
          <w:szCs w:val="22"/>
        </w:rPr>
        <w:t xml:space="preserve"> je kombináciou dvoch liečiv: </w:t>
      </w:r>
      <w:proofErr w:type="spellStart"/>
      <w:r w:rsidRPr="006C372D">
        <w:rPr>
          <w:sz w:val="22"/>
          <w:szCs w:val="22"/>
        </w:rPr>
        <w:t>ampicilínu</w:t>
      </w:r>
      <w:proofErr w:type="spellEnd"/>
      <w:r w:rsidRPr="006C372D">
        <w:rPr>
          <w:sz w:val="22"/>
          <w:szCs w:val="22"/>
        </w:rPr>
        <w:t xml:space="preserve"> a </w:t>
      </w:r>
      <w:proofErr w:type="spellStart"/>
      <w:r w:rsidRPr="006C372D">
        <w:rPr>
          <w:sz w:val="22"/>
          <w:szCs w:val="22"/>
        </w:rPr>
        <w:t>sulbaktámu</w:t>
      </w:r>
      <w:proofErr w:type="spellEnd"/>
      <w:r w:rsidRPr="006C372D">
        <w:rPr>
          <w:sz w:val="22"/>
          <w:szCs w:val="22"/>
        </w:rPr>
        <w:t>.</w:t>
      </w:r>
    </w:p>
    <w:p w:rsidR="00B65342" w:rsidRPr="006C372D" w:rsidRDefault="00B65342" w:rsidP="006A7905">
      <w:pPr>
        <w:widowControl/>
        <w:rPr>
          <w:sz w:val="22"/>
          <w:szCs w:val="22"/>
        </w:rPr>
      </w:pPr>
      <w:proofErr w:type="spellStart"/>
      <w:r w:rsidRPr="006C372D">
        <w:rPr>
          <w:i/>
          <w:sz w:val="22"/>
          <w:szCs w:val="22"/>
        </w:rPr>
        <w:t>Ampicilín</w:t>
      </w:r>
      <w:proofErr w:type="spellEnd"/>
      <w:r w:rsidRPr="006C372D">
        <w:rPr>
          <w:sz w:val="22"/>
          <w:szCs w:val="22"/>
        </w:rPr>
        <w:t xml:space="preserve"> pôsobí u citlivých mikroorganizmov v štádiu aktívnej </w:t>
      </w:r>
      <w:proofErr w:type="spellStart"/>
      <w:r w:rsidRPr="006C372D">
        <w:rPr>
          <w:sz w:val="22"/>
          <w:szCs w:val="22"/>
        </w:rPr>
        <w:t>multiplikácie</w:t>
      </w:r>
      <w:proofErr w:type="spellEnd"/>
      <w:r w:rsidRPr="006C372D">
        <w:rPr>
          <w:sz w:val="22"/>
          <w:szCs w:val="22"/>
        </w:rPr>
        <w:t xml:space="preserve"> inhibíciou </w:t>
      </w:r>
      <w:proofErr w:type="spellStart"/>
      <w:r w:rsidRPr="006C372D">
        <w:rPr>
          <w:sz w:val="22"/>
          <w:szCs w:val="22"/>
        </w:rPr>
        <w:t>biosyntézy</w:t>
      </w:r>
      <w:proofErr w:type="spellEnd"/>
      <w:r w:rsidRPr="006C372D">
        <w:rPr>
          <w:sz w:val="22"/>
          <w:szCs w:val="22"/>
        </w:rPr>
        <w:t xml:space="preserve"> </w:t>
      </w:r>
      <w:proofErr w:type="spellStart"/>
      <w:r w:rsidRPr="006C372D">
        <w:rPr>
          <w:sz w:val="22"/>
          <w:szCs w:val="22"/>
        </w:rPr>
        <w:t>mukopeptidu</w:t>
      </w:r>
      <w:proofErr w:type="spellEnd"/>
      <w:r w:rsidRPr="006C372D">
        <w:rPr>
          <w:sz w:val="22"/>
          <w:szCs w:val="22"/>
        </w:rPr>
        <w:t xml:space="preserve"> bunkovej steny. Má baktericídny účinok.</w:t>
      </w:r>
    </w:p>
    <w:p w:rsidR="00B65342" w:rsidRPr="006C372D" w:rsidRDefault="00B65342" w:rsidP="006A7905">
      <w:pPr>
        <w:widowControl/>
        <w:rPr>
          <w:sz w:val="22"/>
          <w:szCs w:val="22"/>
        </w:rPr>
      </w:pPr>
      <w:proofErr w:type="spellStart"/>
      <w:r w:rsidRPr="006C372D">
        <w:rPr>
          <w:i/>
          <w:sz w:val="22"/>
          <w:szCs w:val="22"/>
        </w:rPr>
        <w:t>Sulbaktám</w:t>
      </w:r>
      <w:proofErr w:type="spellEnd"/>
      <w:r w:rsidRPr="006C372D">
        <w:rPr>
          <w:i/>
          <w:sz w:val="22"/>
          <w:szCs w:val="22"/>
        </w:rPr>
        <w:t xml:space="preserve"> </w:t>
      </w:r>
      <w:r w:rsidRPr="006C372D">
        <w:rPr>
          <w:sz w:val="22"/>
          <w:szCs w:val="22"/>
        </w:rPr>
        <w:t xml:space="preserve">je ireverzibilný inhibítor väčšiny významných </w:t>
      </w:r>
      <w:proofErr w:type="spellStart"/>
      <w:r w:rsidRPr="006C372D">
        <w:rPr>
          <w:sz w:val="22"/>
          <w:szCs w:val="22"/>
        </w:rPr>
        <w:t>betalaktamáz</w:t>
      </w:r>
      <w:proofErr w:type="spellEnd"/>
      <w:r w:rsidRPr="006C372D">
        <w:rPr>
          <w:sz w:val="22"/>
          <w:szCs w:val="22"/>
        </w:rPr>
        <w:t xml:space="preserve"> vyskytujúcich sa u mikroorganizmov rezistentných na penicilín. Má teda schopnosť chrániť </w:t>
      </w:r>
      <w:proofErr w:type="spellStart"/>
      <w:r w:rsidRPr="006C372D">
        <w:rPr>
          <w:sz w:val="22"/>
          <w:szCs w:val="22"/>
        </w:rPr>
        <w:t>betalaktámový</w:t>
      </w:r>
      <w:proofErr w:type="spellEnd"/>
      <w:r w:rsidRPr="006C372D">
        <w:rPr>
          <w:sz w:val="22"/>
          <w:szCs w:val="22"/>
        </w:rPr>
        <w:t xml:space="preserve"> kruh </w:t>
      </w:r>
      <w:proofErr w:type="spellStart"/>
      <w:r w:rsidRPr="006C372D">
        <w:rPr>
          <w:sz w:val="22"/>
          <w:szCs w:val="22"/>
        </w:rPr>
        <w:t>ampicilínu</w:t>
      </w:r>
      <w:proofErr w:type="spellEnd"/>
      <w:r w:rsidRPr="006C372D">
        <w:rPr>
          <w:sz w:val="22"/>
          <w:szCs w:val="22"/>
        </w:rPr>
        <w:t xml:space="preserve"> pred deštrukciou </w:t>
      </w:r>
      <w:proofErr w:type="spellStart"/>
      <w:r w:rsidRPr="006C372D">
        <w:rPr>
          <w:sz w:val="22"/>
          <w:szCs w:val="22"/>
        </w:rPr>
        <w:t>betalaktamázami</w:t>
      </w:r>
      <w:proofErr w:type="spellEnd"/>
      <w:r w:rsidRPr="006C372D">
        <w:rPr>
          <w:sz w:val="22"/>
          <w:szCs w:val="22"/>
        </w:rPr>
        <w:t xml:space="preserve"> rezistentných mikroorganizmov. Pôsobenie </w:t>
      </w:r>
      <w:proofErr w:type="spellStart"/>
      <w:r w:rsidRPr="006C372D">
        <w:rPr>
          <w:sz w:val="22"/>
          <w:szCs w:val="22"/>
        </w:rPr>
        <w:t>ampicilínu</w:t>
      </w:r>
      <w:proofErr w:type="spellEnd"/>
      <w:r w:rsidRPr="006C372D">
        <w:rPr>
          <w:sz w:val="22"/>
          <w:szCs w:val="22"/>
        </w:rPr>
        <w:t xml:space="preserve"> a </w:t>
      </w:r>
      <w:proofErr w:type="spellStart"/>
      <w:r w:rsidRPr="006C372D">
        <w:rPr>
          <w:sz w:val="22"/>
          <w:szCs w:val="22"/>
        </w:rPr>
        <w:t>sulbaktámu</w:t>
      </w:r>
      <w:proofErr w:type="spellEnd"/>
      <w:r w:rsidRPr="006C372D">
        <w:rPr>
          <w:sz w:val="22"/>
          <w:szCs w:val="22"/>
        </w:rPr>
        <w:t xml:space="preserve"> je synergické.   </w:t>
      </w:r>
    </w:p>
    <w:p w:rsidR="00B65342" w:rsidRPr="006C372D" w:rsidRDefault="00B65342" w:rsidP="006A7905">
      <w:pPr>
        <w:widowControl/>
        <w:rPr>
          <w:i/>
          <w:sz w:val="22"/>
          <w:szCs w:val="22"/>
        </w:rPr>
      </w:pPr>
      <w:r w:rsidRPr="006C372D">
        <w:rPr>
          <w:sz w:val="22"/>
          <w:szCs w:val="22"/>
        </w:rPr>
        <w:t xml:space="preserve">Významnú antibakteriálnu aktivitu vykazuje </w:t>
      </w:r>
      <w:proofErr w:type="spellStart"/>
      <w:r w:rsidRPr="006C372D">
        <w:rPr>
          <w:sz w:val="22"/>
          <w:szCs w:val="22"/>
        </w:rPr>
        <w:t>sulbaktám</w:t>
      </w:r>
      <w:proofErr w:type="spellEnd"/>
      <w:r w:rsidRPr="006C372D">
        <w:rPr>
          <w:sz w:val="22"/>
          <w:szCs w:val="22"/>
        </w:rPr>
        <w:t xml:space="preserve"> len proti </w:t>
      </w:r>
      <w:proofErr w:type="spellStart"/>
      <w:r w:rsidRPr="006C372D">
        <w:rPr>
          <w:i/>
          <w:sz w:val="22"/>
          <w:szCs w:val="22"/>
        </w:rPr>
        <w:t>Neisseriaceae</w:t>
      </w:r>
      <w:proofErr w:type="spellEnd"/>
      <w:r w:rsidRPr="006C372D">
        <w:rPr>
          <w:i/>
          <w:sz w:val="22"/>
          <w:szCs w:val="22"/>
        </w:rPr>
        <w:t xml:space="preserve">, </w:t>
      </w:r>
      <w:proofErr w:type="spellStart"/>
      <w:r w:rsidRPr="006C372D">
        <w:rPr>
          <w:i/>
          <w:sz w:val="22"/>
          <w:szCs w:val="22"/>
        </w:rPr>
        <w:t>Acinetobacter</w:t>
      </w:r>
      <w:proofErr w:type="spellEnd"/>
      <w:r w:rsidRPr="006C372D">
        <w:rPr>
          <w:i/>
          <w:sz w:val="22"/>
          <w:szCs w:val="22"/>
        </w:rPr>
        <w:t xml:space="preserve"> </w:t>
      </w:r>
      <w:proofErr w:type="spellStart"/>
      <w:r w:rsidRPr="006C372D">
        <w:rPr>
          <w:i/>
          <w:sz w:val="22"/>
          <w:szCs w:val="22"/>
        </w:rPr>
        <w:t>calcoaceticus</w:t>
      </w:r>
      <w:proofErr w:type="spellEnd"/>
      <w:r w:rsidRPr="006C372D">
        <w:rPr>
          <w:i/>
          <w:sz w:val="22"/>
          <w:szCs w:val="22"/>
        </w:rPr>
        <w:t xml:space="preserve">, </w:t>
      </w:r>
      <w:proofErr w:type="spellStart"/>
      <w:r w:rsidRPr="006C372D">
        <w:rPr>
          <w:i/>
          <w:sz w:val="22"/>
          <w:szCs w:val="22"/>
        </w:rPr>
        <w:t>Bacteroides</w:t>
      </w:r>
      <w:proofErr w:type="spellEnd"/>
      <w:r w:rsidRPr="006C372D">
        <w:rPr>
          <w:i/>
          <w:sz w:val="22"/>
          <w:szCs w:val="22"/>
        </w:rPr>
        <w:t xml:space="preserve"> </w:t>
      </w:r>
      <w:proofErr w:type="spellStart"/>
      <w:r w:rsidRPr="006C372D">
        <w:rPr>
          <w:i/>
          <w:sz w:val="22"/>
          <w:szCs w:val="22"/>
        </w:rPr>
        <w:t>sp</w:t>
      </w:r>
      <w:proofErr w:type="spellEnd"/>
      <w:r w:rsidRPr="006C372D">
        <w:rPr>
          <w:i/>
          <w:sz w:val="22"/>
          <w:szCs w:val="22"/>
        </w:rPr>
        <w:t xml:space="preserve">., </w:t>
      </w:r>
      <w:proofErr w:type="spellStart"/>
      <w:r w:rsidRPr="006C372D">
        <w:rPr>
          <w:i/>
          <w:sz w:val="22"/>
          <w:szCs w:val="22"/>
        </w:rPr>
        <w:t>Branhamella</w:t>
      </w:r>
      <w:proofErr w:type="spellEnd"/>
      <w:r w:rsidRPr="006C372D">
        <w:rPr>
          <w:i/>
          <w:sz w:val="22"/>
          <w:szCs w:val="22"/>
        </w:rPr>
        <w:t xml:space="preserve"> </w:t>
      </w:r>
      <w:proofErr w:type="spellStart"/>
      <w:r w:rsidRPr="006C372D">
        <w:rPr>
          <w:i/>
          <w:sz w:val="22"/>
          <w:szCs w:val="22"/>
        </w:rPr>
        <w:t>catarrhalis</w:t>
      </w:r>
      <w:proofErr w:type="spellEnd"/>
      <w:r w:rsidRPr="006C372D">
        <w:rPr>
          <w:i/>
          <w:sz w:val="22"/>
          <w:szCs w:val="22"/>
        </w:rPr>
        <w:t xml:space="preserve"> a </w:t>
      </w:r>
      <w:proofErr w:type="spellStart"/>
      <w:r w:rsidRPr="006C372D">
        <w:rPr>
          <w:i/>
          <w:sz w:val="22"/>
          <w:szCs w:val="22"/>
        </w:rPr>
        <w:t>Pseudomonas</w:t>
      </w:r>
      <w:proofErr w:type="spellEnd"/>
      <w:r w:rsidRPr="006C372D">
        <w:rPr>
          <w:i/>
          <w:sz w:val="22"/>
          <w:szCs w:val="22"/>
        </w:rPr>
        <w:t xml:space="preserve"> </w:t>
      </w:r>
      <w:proofErr w:type="spellStart"/>
      <w:r w:rsidRPr="006C372D">
        <w:rPr>
          <w:i/>
          <w:sz w:val="22"/>
          <w:szCs w:val="22"/>
        </w:rPr>
        <w:t>cepacia</w:t>
      </w:r>
      <w:proofErr w:type="spellEnd"/>
      <w:r w:rsidRPr="006C372D">
        <w:rPr>
          <w:i/>
          <w:sz w:val="22"/>
          <w:szCs w:val="22"/>
        </w:rPr>
        <w:t xml:space="preserve">.  </w:t>
      </w:r>
    </w:p>
    <w:p w:rsidR="00B65342" w:rsidRPr="006C372D" w:rsidRDefault="00B65342" w:rsidP="006A7905">
      <w:pPr>
        <w:pStyle w:val="Nadpis7"/>
        <w:widowControl/>
        <w:spacing w:before="0"/>
        <w:rPr>
          <w:sz w:val="22"/>
          <w:szCs w:val="22"/>
        </w:rPr>
      </w:pPr>
    </w:p>
    <w:p w:rsidR="00B65342" w:rsidRPr="006C372D" w:rsidRDefault="00B65342" w:rsidP="006A7905">
      <w:pPr>
        <w:pStyle w:val="Nadpis7"/>
        <w:widowControl/>
        <w:spacing w:before="0"/>
        <w:rPr>
          <w:sz w:val="22"/>
          <w:szCs w:val="22"/>
        </w:rPr>
      </w:pPr>
      <w:r w:rsidRPr="006C372D">
        <w:rPr>
          <w:sz w:val="22"/>
          <w:szCs w:val="22"/>
        </w:rPr>
        <w:t>Antibakteriálne spektrum</w:t>
      </w:r>
    </w:p>
    <w:p w:rsidR="00B65342" w:rsidRPr="006C372D" w:rsidRDefault="00B65342" w:rsidP="006A7905">
      <w:pPr>
        <w:pStyle w:val="BodyText22"/>
        <w:widowControl/>
        <w:spacing w:before="0"/>
        <w:rPr>
          <w:i/>
          <w:sz w:val="22"/>
          <w:szCs w:val="22"/>
        </w:rPr>
      </w:pPr>
      <w:proofErr w:type="spellStart"/>
      <w:r w:rsidRPr="006C372D">
        <w:rPr>
          <w:sz w:val="22"/>
          <w:szCs w:val="22"/>
        </w:rPr>
        <w:t>Sultamicilín</w:t>
      </w:r>
      <w:proofErr w:type="spellEnd"/>
      <w:r w:rsidRPr="006C372D">
        <w:rPr>
          <w:sz w:val="22"/>
          <w:szCs w:val="22"/>
        </w:rPr>
        <w:t xml:space="preserve"> je účinný proti širokému spektru </w:t>
      </w:r>
      <w:proofErr w:type="spellStart"/>
      <w:r w:rsidRPr="006C372D">
        <w:rPr>
          <w:sz w:val="22"/>
          <w:szCs w:val="22"/>
        </w:rPr>
        <w:t>grampozitívnych</w:t>
      </w:r>
      <w:proofErr w:type="spellEnd"/>
      <w:r w:rsidRPr="006C372D">
        <w:rPr>
          <w:sz w:val="22"/>
          <w:szCs w:val="22"/>
        </w:rPr>
        <w:t xml:space="preserve"> a </w:t>
      </w:r>
      <w:proofErr w:type="spellStart"/>
      <w:r w:rsidRPr="006C372D">
        <w:rPr>
          <w:sz w:val="22"/>
          <w:szCs w:val="22"/>
        </w:rPr>
        <w:t>gramnegatívnych</w:t>
      </w:r>
      <w:proofErr w:type="spellEnd"/>
      <w:r w:rsidRPr="006C372D">
        <w:rPr>
          <w:sz w:val="22"/>
          <w:szCs w:val="22"/>
        </w:rPr>
        <w:t xml:space="preserve"> baktérií, vrátane </w:t>
      </w:r>
      <w:proofErr w:type="spellStart"/>
      <w:r w:rsidRPr="006C372D">
        <w:rPr>
          <w:i/>
          <w:sz w:val="22"/>
          <w:szCs w:val="22"/>
        </w:rPr>
        <w:t>Staphylococcus</w:t>
      </w:r>
      <w:proofErr w:type="spellEnd"/>
      <w:r w:rsidRPr="006C372D">
        <w:rPr>
          <w:i/>
          <w:sz w:val="22"/>
          <w:szCs w:val="22"/>
        </w:rPr>
        <w:t xml:space="preserve"> </w:t>
      </w:r>
      <w:proofErr w:type="spellStart"/>
      <w:r w:rsidRPr="006C372D">
        <w:rPr>
          <w:i/>
          <w:sz w:val="22"/>
          <w:szCs w:val="22"/>
        </w:rPr>
        <w:t>aureus</w:t>
      </w:r>
      <w:proofErr w:type="spellEnd"/>
      <w:r w:rsidRPr="006C372D">
        <w:rPr>
          <w:i/>
          <w:sz w:val="22"/>
          <w:szCs w:val="22"/>
        </w:rPr>
        <w:t xml:space="preserve"> a </w:t>
      </w:r>
      <w:proofErr w:type="spellStart"/>
      <w:r w:rsidRPr="006C372D">
        <w:rPr>
          <w:i/>
          <w:sz w:val="22"/>
          <w:szCs w:val="22"/>
        </w:rPr>
        <w:t>epidermidis</w:t>
      </w:r>
      <w:proofErr w:type="spellEnd"/>
      <w:r w:rsidRPr="006C372D">
        <w:rPr>
          <w:sz w:val="22"/>
          <w:szCs w:val="22"/>
        </w:rPr>
        <w:t xml:space="preserve"> (vrátane kmeňov rezistentných na penicilín a niektorých kmeňov rezistentných na </w:t>
      </w:r>
      <w:proofErr w:type="spellStart"/>
      <w:r w:rsidRPr="006C372D">
        <w:rPr>
          <w:sz w:val="22"/>
          <w:szCs w:val="22"/>
        </w:rPr>
        <w:t>meticilín</w:t>
      </w:r>
      <w:proofErr w:type="spellEnd"/>
      <w:r w:rsidRPr="006C372D">
        <w:rPr>
          <w:sz w:val="22"/>
          <w:szCs w:val="22"/>
        </w:rPr>
        <w:t xml:space="preserve">), </w:t>
      </w:r>
      <w:proofErr w:type="spellStart"/>
      <w:r w:rsidRPr="006C372D">
        <w:rPr>
          <w:i/>
          <w:sz w:val="22"/>
          <w:szCs w:val="22"/>
        </w:rPr>
        <w:t>Streptococcus</w:t>
      </w:r>
      <w:proofErr w:type="spellEnd"/>
      <w:r w:rsidRPr="006C372D">
        <w:rPr>
          <w:i/>
          <w:sz w:val="22"/>
          <w:szCs w:val="22"/>
        </w:rPr>
        <w:t xml:space="preserve"> </w:t>
      </w:r>
      <w:proofErr w:type="spellStart"/>
      <w:r w:rsidRPr="006C372D">
        <w:rPr>
          <w:i/>
          <w:sz w:val="22"/>
          <w:szCs w:val="22"/>
        </w:rPr>
        <w:t>pneumoniae</w:t>
      </w:r>
      <w:proofErr w:type="spellEnd"/>
      <w:r w:rsidRPr="006C372D">
        <w:rPr>
          <w:i/>
          <w:sz w:val="22"/>
          <w:szCs w:val="22"/>
        </w:rPr>
        <w:t xml:space="preserve">, </w:t>
      </w:r>
      <w:proofErr w:type="spellStart"/>
      <w:r w:rsidRPr="006C372D">
        <w:rPr>
          <w:i/>
          <w:sz w:val="22"/>
          <w:szCs w:val="22"/>
        </w:rPr>
        <w:t>Streptococcus</w:t>
      </w:r>
      <w:proofErr w:type="spellEnd"/>
      <w:r w:rsidRPr="006C372D">
        <w:rPr>
          <w:i/>
          <w:sz w:val="22"/>
          <w:szCs w:val="22"/>
        </w:rPr>
        <w:t xml:space="preserve"> </w:t>
      </w:r>
      <w:proofErr w:type="spellStart"/>
      <w:r w:rsidRPr="006C372D">
        <w:rPr>
          <w:i/>
          <w:sz w:val="22"/>
          <w:szCs w:val="22"/>
        </w:rPr>
        <w:t>faecalis</w:t>
      </w:r>
      <w:proofErr w:type="spellEnd"/>
      <w:r w:rsidRPr="006C372D">
        <w:rPr>
          <w:sz w:val="22"/>
          <w:szCs w:val="22"/>
        </w:rPr>
        <w:t xml:space="preserve"> a ďalšie streptokoky, </w:t>
      </w:r>
      <w:proofErr w:type="spellStart"/>
      <w:r w:rsidRPr="006C372D">
        <w:rPr>
          <w:i/>
          <w:sz w:val="22"/>
          <w:szCs w:val="22"/>
        </w:rPr>
        <w:t>Haemophilus</w:t>
      </w:r>
      <w:proofErr w:type="spellEnd"/>
      <w:r w:rsidRPr="006C372D">
        <w:rPr>
          <w:i/>
          <w:sz w:val="22"/>
          <w:szCs w:val="22"/>
        </w:rPr>
        <w:t xml:space="preserve"> </w:t>
      </w:r>
      <w:proofErr w:type="spellStart"/>
      <w:r w:rsidRPr="006C372D">
        <w:rPr>
          <w:i/>
          <w:sz w:val="22"/>
          <w:szCs w:val="22"/>
        </w:rPr>
        <w:t>influenzae</w:t>
      </w:r>
      <w:proofErr w:type="spellEnd"/>
      <w:r w:rsidRPr="006C372D">
        <w:rPr>
          <w:i/>
          <w:sz w:val="22"/>
          <w:szCs w:val="22"/>
        </w:rPr>
        <w:t xml:space="preserve"> a </w:t>
      </w:r>
      <w:proofErr w:type="spellStart"/>
      <w:r w:rsidRPr="006C372D">
        <w:rPr>
          <w:i/>
          <w:sz w:val="22"/>
          <w:szCs w:val="22"/>
        </w:rPr>
        <w:t>parainfluenzae</w:t>
      </w:r>
      <w:proofErr w:type="spellEnd"/>
      <w:r w:rsidRPr="006C372D">
        <w:rPr>
          <w:i/>
          <w:sz w:val="22"/>
          <w:szCs w:val="22"/>
        </w:rPr>
        <w:t xml:space="preserve">, </w:t>
      </w:r>
      <w:proofErr w:type="spellStart"/>
      <w:r w:rsidRPr="006C372D">
        <w:rPr>
          <w:i/>
          <w:sz w:val="22"/>
          <w:szCs w:val="22"/>
        </w:rPr>
        <w:t>Branhamella</w:t>
      </w:r>
      <w:proofErr w:type="spellEnd"/>
      <w:r w:rsidRPr="006C372D">
        <w:rPr>
          <w:i/>
          <w:sz w:val="22"/>
          <w:szCs w:val="22"/>
        </w:rPr>
        <w:t xml:space="preserve"> </w:t>
      </w:r>
      <w:proofErr w:type="spellStart"/>
      <w:r w:rsidRPr="006C372D">
        <w:rPr>
          <w:i/>
          <w:sz w:val="22"/>
          <w:szCs w:val="22"/>
        </w:rPr>
        <w:t>catarrhalis</w:t>
      </w:r>
      <w:proofErr w:type="spellEnd"/>
      <w:r w:rsidRPr="006C372D">
        <w:rPr>
          <w:sz w:val="22"/>
          <w:szCs w:val="22"/>
        </w:rPr>
        <w:t xml:space="preserve">, anaeróby vrátane </w:t>
      </w:r>
      <w:proofErr w:type="spellStart"/>
      <w:r w:rsidRPr="006C372D">
        <w:rPr>
          <w:i/>
          <w:sz w:val="22"/>
          <w:szCs w:val="22"/>
        </w:rPr>
        <w:t>Bacteroides</w:t>
      </w:r>
      <w:proofErr w:type="spellEnd"/>
      <w:r w:rsidRPr="006C372D">
        <w:rPr>
          <w:i/>
          <w:sz w:val="22"/>
          <w:szCs w:val="22"/>
        </w:rPr>
        <w:t xml:space="preserve"> </w:t>
      </w:r>
      <w:proofErr w:type="spellStart"/>
      <w:r w:rsidRPr="006C372D">
        <w:rPr>
          <w:i/>
          <w:sz w:val="22"/>
          <w:szCs w:val="22"/>
        </w:rPr>
        <w:t>fragilis</w:t>
      </w:r>
      <w:proofErr w:type="spellEnd"/>
      <w:r w:rsidRPr="006C372D">
        <w:rPr>
          <w:sz w:val="22"/>
          <w:szCs w:val="22"/>
        </w:rPr>
        <w:t xml:space="preserve"> a príbuzných druhov, </w:t>
      </w:r>
      <w:proofErr w:type="spellStart"/>
      <w:r w:rsidRPr="006C372D">
        <w:rPr>
          <w:i/>
          <w:sz w:val="22"/>
          <w:szCs w:val="22"/>
        </w:rPr>
        <w:t>Escherichia</w:t>
      </w:r>
      <w:proofErr w:type="spellEnd"/>
      <w:r w:rsidRPr="006C372D">
        <w:rPr>
          <w:i/>
          <w:sz w:val="22"/>
          <w:szCs w:val="22"/>
        </w:rPr>
        <w:t xml:space="preserve"> </w:t>
      </w:r>
      <w:proofErr w:type="spellStart"/>
      <w:r w:rsidRPr="006C372D">
        <w:rPr>
          <w:i/>
          <w:sz w:val="22"/>
          <w:szCs w:val="22"/>
        </w:rPr>
        <w:t>coli</w:t>
      </w:r>
      <w:proofErr w:type="spellEnd"/>
      <w:r w:rsidRPr="006C372D">
        <w:rPr>
          <w:i/>
          <w:sz w:val="22"/>
          <w:szCs w:val="22"/>
        </w:rPr>
        <w:t xml:space="preserve">, </w:t>
      </w:r>
      <w:proofErr w:type="spellStart"/>
      <w:r w:rsidRPr="006C372D">
        <w:rPr>
          <w:i/>
          <w:sz w:val="22"/>
          <w:szCs w:val="22"/>
        </w:rPr>
        <w:t>Klebsiella</w:t>
      </w:r>
      <w:proofErr w:type="spellEnd"/>
      <w:r w:rsidRPr="006C372D">
        <w:rPr>
          <w:i/>
          <w:sz w:val="22"/>
          <w:szCs w:val="22"/>
        </w:rPr>
        <w:t xml:space="preserve"> </w:t>
      </w:r>
      <w:proofErr w:type="spellStart"/>
      <w:r w:rsidRPr="006C372D">
        <w:rPr>
          <w:i/>
          <w:sz w:val="22"/>
          <w:szCs w:val="22"/>
        </w:rPr>
        <w:t>sp</w:t>
      </w:r>
      <w:proofErr w:type="spellEnd"/>
      <w:r w:rsidRPr="006C372D">
        <w:rPr>
          <w:i/>
          <w:sz w:val="22"/>
          <w:szCs w:val="22"/>
        </w:rPr>
        <w:t xml:space="preserve">., </w:t>
      </w:r>
      <w:proofErr w:type="spellStart"/>
      <w:r w:rsidRPr="006C372D">
        <w:rPr>
          <w:i/>
          <w:sz w:val="22"/>
          <w:szCs w:val="22"/>
        </w:rPr>
        <w:t>Proteus</w:t>
      </w:r>
      <w:proofErr w:type="spellEnd"/>
      <w:r w:rsidRPr="006C372D">
        <w:rPr>
          <w:i/>
          <w:sz w:val="22"/>
          <w:szCs w:val="22"/>
        </w:rPr>
        <w:t xml:space="preserve"> </w:t>
      </w:r>
      <w:proofErr w:type="spellStart"/>
      <w:r w:rsidRPr="006C372D">
        <w:rPr>
          <w:i/>
          <w:sz w:val="22"/>
          <w:szCs w:val="22"/>
        </w:rPr>
        <w:t>sp</w:t>
      </w:r>
      <w:proofErr w:type="spellEnd"/>
      <w:r w:rsidRPr="006C372D">
        <w:rPr>
          <w:sz w:val="22"/>
          <w:szCs w:val="22"/>
        </w:rPr>
        <w:t>. (</w:t>
      </w:r>
      <w:proofErr w:type="spellStart"/>
      <w:r w:rsidRPr="006C372D">
        <w:rPr>
          <w:sz w:val="22"/>
          <w:szCs w:val="22"/>
        </w:rPr>
        <w:t>indol-pozitívne</w:t>
      </w:r>
      <w:proofErr w:type="spellEnd"/>
      <w:r w:rsidRPr="006C372D">
        <w:rPr>
          <w:sz w:val="22"/>
          <w:szCs w:val="22"/>
        </w:rPr>
        <w:t xml:space="preserve"> aj </w:t>
      </w:r>
      <w:proofErr w:type="spellStart"/>
      <w:r w:rsidRPr="006C372D">
        <w:rPr>
          <w:sz w:val="22"/>
          <w:szCs w:val="22"/>
        </w:rPr>
        <w:t>indol-negatívne</w:t>
      </w:r>
      <w:proofErr w:type="spellEnd"/>
      <w:r w:rsidRPr="006C372D">
        <w:rPr>
          <w:sz w:val="22"/>
          <w:szCs w:val="22"/>
        </w:rPr>
        <w:t xml:space="preserve">), </w:t>
      </w:r>
      <w:proofErr w:type="spellStart"/>
      <w:r w:rsidRPr="006C372D">
        <w:rPr>
          <w:i/>
          <w:sz w:val="22"/>
          <w:szCs w:val="22"/>
        </w:rPr>
        <w:t>Enterobacter</w:t>
      </w:r>
      <w:proofErr w:type="spellEnd"/>
      <w:r w:rsidRPr="006C372D">
        <w:rPr>
          <w:i/>
          <w:sz w:val="22"/>
          <w:szCs w:val="22"/>
        </w:rPr>
        <w:t xml:space="preserve">, </w:t>
      </w:r>
      <w:proofErr w:type="spellStart"/>
      <w:r w:rsidRPr="006C372D">
        <w:rPr>
          <w:i/>
          <w:sz w:val="22"/>
          <w:szCs w:val="22"/>
        </w:rPr>
        <w:t>Citrobacter</w:t>
      </w:r>
      <w:proofErr w:type="spellEnd"/>
      <w:r w:rsidRPr="006C372D">
        <w:rPr>
          <w:i/>
          <w:sz w:val="22"/>
          <w:szCs w:val="22"/>
        </w:rPr>
        <w:t xml:space="preserve">, </w:t>
      </w:r>
      <w:proofErr w:type="spellStart"/>
      <w:r w:rsidRPr="006C372D">
        <w:rPr>
          <w:i/>
          <w:sz w:val="22"/>
          <w:szCs w:val="22"/>
        </w:rPr>
        <w:t>Morganella</w:t>
      </w:r>
      <w:proofErr w:type="spellEnd"/>
      <w:r w:rsidRPr="006C372D">
        <w:rPr>
          <w:i/>
          <w:sz w:val="22"/>
          <w:szCs w:val="22"/>
        </w:rPr>
        <w:t xml:space="preserve"> </w:t>
      </w:r>
      <w:proofErr w:type="spellStart"/>
      <w:r w:rsidRPr="006C372D">
        <w:rPr>
          <w:i/>
          <w:sz w:val="22"/>
          <w:szCs w:val="22"/>
        </w:rPr>
        <w:t>morganii</w:t>
      </w:r>
      <w:proofErr w:type="spellEnd"/>
      <w:r w:rsidRPr="006C372D">
        <w:rPr>
          <w:i/>
          <w:sz w:val="22"/>
          <w:szCs w:val="22"/>
        </w:rPr>
        <w:t xml:space="preserve">, </w:t>
      </w:r>
      <w:proofErr w:type="spellStart"/>
      <w:r w:rsidRPr="006C372D">
        <w:rPr>
          <w:i/>
          <w:sz w:val="22"/>
          <w:szCs w:val="22"/>
        </w:rPr>
        <w:t>Neisseria</w:t>
      </w:r>
      <w:proofErr w:type="spellEnd"/>
      <w:r w:rsidRPr="006C372D">
        <w:rPr>
          <w:i/>
          <w:sz w:val="22"/>
          <w:szCs w:val="22"/>
        </w:rPr>
        <w:t xml:space="preserve"> </w:t>
      </w:r>
      <w:proofErr w:type="spellStart"/>
      <w:r w:rsidRPr="006C372D">
        <w:rPr>
          <w:i/>
          <w:sz w:val="22"/>
          <w:szCs w:val="22"/>
        </w:rPr>
        <w:t>meningitidis</w:t>
      </w:r>
      <w:proofErr w:type="spellEnd"/>
      <w:r w:rsidRPr="006C372D">
        <w:rPr>
          <w:sz w:val="22"/>
          <w:szCs w:val="22"/>
        </w:rPr>
        <w:t xml:space="preserve"> a </w:t>
      </w:r>
      <w:proofErr w:type="spellStart"/>
      <w:r w:rsidRPr="006C372D">
        <w:rPr>
          <w:i/>
          <w:sz w:val="22"/>
          <w:szCs w:val="22"/>
        </w:rPr>
        <w:t>Neisseria</w:t>
      </w:r>
      <w:proofErr w:type="spellEnd"/>
      <w:r w:rsidRPr="006C372D">
        <w:rPr>
          <w:i/>
          <w:sz w:val="22"/>
          <w:szCs w:val="22"/>
        </w:rPr>
        <w:t xml:space="preserve"> </w:t>
      </w:r>
      <w:proofErr w:type="spellStart"/>
      <w:r w:rsidRPr="006C372D">
        <w:rPr>
          <w:i/>
          <w:sz w:val="22"/>
          <w:szCs w:val="22"/>
        </w:rPr>
        <w:t>gonorrhoae</w:t>
      </w:r>
      <w:proofErr w:type="spellEnd"/>
      <w:r w:rsidRPr="006C372D">
        <w:rPr>
          <w:i/>
          <w:sz w:val="22"/>
          <w:szCs w:val="22"/>
        </w:rPr>
        <w:t>.</w:t>
      </w:r>
    </w:p>
    <w:p w:rsidR="00B65342" w:rsidRPr="006C372D" w:rsidRDefault="00B65342" w:rsidP="006A7905">
      <w:pPr>
        <w:pStyle w:val="BodyText24"/>
        <w:jc w:val="left"/>
        <w:rPr>
          <w:rFonts w:ascii="Times New Roman" w:hAnsi="Times New Roman"/>
          <w:sz w:val="22"/>
          <w:szCs w:val="22"/>
        </w:rPr>
      </w:pPr>
    </w:p>
    <w:p w:rsidR="00B65342" w:rsidRDefault="00B65342" w:rsidP="006A7905">
      <w:pPr>
        <w:widowControl/>
        <w:rPr>
          <w:b/>
          <w:sz w:val="22"/>
          <w:szCs w:val="22"/>
        </w:rPr>
      </w:pPr>
      <w:r w:rsidRPr="006C372D">
        <w:rPr>
          <w:b/>
          <w:sz w:val="22"/>
          <w:szCs w:val="22"/>
        </w:rPr>
        <w:t xml:space="preserve">5.2 </w:t>
      </w:r>
      <w:r>
        <w:rPr>
          <w:b/>
          <w:sz w:val="22"/>
          <w:szCs w:val="22"/>
        </w:rPr>
        <w:tab/>
      </w:r>
      <w:proofErr w:type="spellStart"/>
      <w:r w:rsidRPr="006C372D">
        <w:rPr>
          <w:b/>
          <w:sz w:val="22"/>
          <w:szCs w:val="22"/>
        </w:rPr>
        <w:t>Farmakokinetické</w:t>
      </w:r>
      <w:proofErr w:type="spellEnd"/>
      <w:r w:rsidRPr="006C372D">
        <w:rPr>
          <w:b/>
          <w:sz w:val="22"/>
          <w:szCs w:val="22"/>
        </w:rPr>
        <w:t xml:space="preserve"> vlastnosti</w:t>
      </w: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Pr="006C372D" w:rsidRDefault="00B65342" w:rsidP="006A7905">
      <w:pPr>
        <w:pStyle w:val="BodyText22"/>
        <w:widowControl/>
        <w:spacing w:before="0"/>
        <w:rPr>
          <w:sz w:val="22"/>
          <w:szCs w:val="22"/>
        </w:rPr>
      </w:pPr>
      <w:proofErr w:type="spellStart"/>
      <w:r w:rsidRPr="006C372D">
        <w:rPr>
          <w:sz w:val="22"/>
          <w:szCs w:val="22"/>
        </w:rPr>
        <w:t>Sultamicilín</w:t>
      </w:r>
      <w:proofErr w:type="spellEnd"/>
      <w:r w:rsidRPr="006C372D">
        <w:rPr>
          <w:sz w:val="22"/>
          <w:szCs w:val="22"/>
        </w:rPr>
        <w:t xml:space="preserve"> sa po perorálnom podaní hydrolyzuje na </w:t>
      </w:r>
      <w:proofErr w:type="spellStart"/>
      <w:r w:rsidRPr="006C372D">
        <w:rPr>
          <w:sz w:val="22"/>
          <w:szCs w:val="22"/>
        </w:rPr>
        <w:t>ampicilín</w:t>
      </w:r>
      <w:proofErr w:type="spellEnd"/>
      <w:r w:rsidRPr="006C372D">
        <w:rPr>
          <w:sz w:val="22"/>
          <w:szCs w:val="22"/>
        </w:rPr>
        <w:t xml:space="preserve"> a </w:t>
      </w:r>
      <w:proofErr w:type="spellStart"/>
      <w:r w:rsidRPr="006C372D">
        <w:rPr>
          <w:sz w:val="22"/>
          <w:szCs w:val="22"/>
        </w:rPr>
        <w:t>sulbaktám</w:t>
      </w:r>
      <w:proofErr w:type="spellEnd"/>
      <w:r w:rsidRPr="006C372D">
        <w:rPr>
          <w:sz w:val="22"/>
          <w:szCs w:val="22"/>
        </w:rPr>
        <w:t xml:space="preserve">. Ich pomer v systémovom krvnom obehu je 1:1. Biologická dostupnosť perorálne podaného </w:t>
      </w:r>
      <w:r>
        <w:rPr>
          <w:sz w:val="22"/>
          <w:szCs w:val="22"/>
        </w:rPr>
        <w:t>lieku</w:t>
      </w:r>
      <w:r w:rsidRPr="006C372D">
        <w:rPr>
          <w:sz w:val="22"/>
          <w:szCs w:val="22"/>
        </w:rPr>
        <w:t xml:space="preserve"> činí 80 % rovnakej dávky </w:t>
      </w:r>
      <w:proofErr w:type="spellStart"/>
      <w:r w:rsidRPr="006C372D">
        <w:rPr>
          <w:sz w:val="22"/>
          <w:szCs w:val="22"/>
        </w:rPr>
        <w:t>sulbaktámu</w:t>
      </w:r>
      <w:proofErr w:type="spellEnd"/>
      <w:r w:rsidRPr="006C372D">
        <w:rPr>
          <w:sz w:val="22"/>
          <w:szCs w:val="22"/>
        </w:rPr>
        <w:t xml:space="preserve"> a </w:t>
      </w:r>
      <w:proofErr w:type="spellStart"/>
      <w:r w:rsidRPr="006C372D">
        <w:rPr>
          <w:sz w:val="22"/>
          <w:szCs w:val="22"/>
        </w:rPr>
        <w:t>ampicilínu</w:t>
      </w:r>
      <w:proofErr w:type="spellEnd"/>
      <w:r w:rsidRPr="006C372D">
        <w:rPr>
          <w:sz w:val="22"/>
          <w:szCs w:val="22"/>
        </w:rPr>
        <w:t>, podaných intravenózne.</w:t>
      </w:r>
    </w:p>
    <w:p w:rsidR="00B65342" w:rsidRPr="006C372D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 xml:space="preserve">Podanie po jedle neovplyvňuje biologickú dostupnosť </w:t>
      </w:r>
      <w:proofErr w:type="spellStart"/>
      <w:r w:rsidRPr="006C372D">
        <w:rPr>
          <w:sz w:val="22"/>
          <w:szCs w:val="22"/>
        </w:rPr>
        <w:t>sultamicilínu</w:t>
      </w:r>
      <w:proofErr w:type="spellEnd"/>
      <w:r w:rsidRPr="006C372D">
        <w:rPr>
          <w:sz w:val="22"/>
          <w:szCs w:val="22"/>
        </w:rPr>
        <w:t>.</w:t>
      </w:r>
    </w:p>
    <w:p w:rsidR="00B65342" w:rsidRPr="006C372D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 xml:space="preserve">Maximálne sérové hladiny </w:t>
      </w:r>
      <w:proofErr w:type="spellStart"/>
      <w:r w:rsidRPr="006C372D">
        <w:rPr>
          <w:sz w:val="22"/>
          <w:szCs w:val="22"/>
        </w:rPr>
        <w:t>ampicilínu</w:t>
      </w:r>
      <w:proofErr w:type="spellEnd"/>
      <w:r w:rsidRPr="006C372D">
        <w:rPr>
          <w:sz w:val="22"/>
          <w:szCs w:val="22"/>
        </w:rPr>
        <w:t xml:space="preserve"> sú pri užití </w:t>
      </w:r>
      <w:proofErr w:type="spellStart"/>
      <w:r w:rsidRPr="006C372D">
        <w:rPr>
          <w:sz w:val="22"/>
          <w:szCs w:val="22"/>
        </w:rPr>
        <w:t>sultamicilínu</w:t>
      </w:r>
      <w:proofErr w:type="spellEnd"/>
      <w:r w:rsidRPr="006C372D">
        <w:rPr>
          <w:sz w:val="22"/>
          <w:szCs w:val="22"/>
        </w:rPr>
        <w:t xml:space="preserve"> približne dvojnásobné ako u rovnakej dávky </w:t>
      </w:r>
      <w:proofErr w:type="spellStart"/>
      <w:r w:rsidRPr="006C372D">
        <w:rPr>
          <w:sz w:val="22"/>
          <w:szCs w:val="22"/>
        </w:rPr>
        <w:t>ampicilínu</w:t>
      </w:r>
      <w:proofErr w:type="spellEnd"/>
      <w:r w:rsidRPr="006C372D">
        <w:rPr>
          <w:sz w:val="22"/>
          <w:szCs w:val="22"/>
        </w:rPr>
        <w:t xml:space="preserve"> podaného perorálne.</w:t>
      </w:r>
    </w:p>
    <w:p w:rsidR="00B65342" w:rsidRPr="006C372D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 xml:space="preserve">Polčas eliminácie </w:t>
      </w:r>
      <w:proofErr w:type="spellStart"/>
      <w:r w:rsidRPr="006C372D">
        <w:rPr>
          <w:sz w:val="22"/>
          <w:szCs w:val="22"/>
        </w:rPr>
        <w:t>sulbaktámu</w:t>
      </w:r>
      <w:proofErr w:type="spellEnd"/>
      <w:r w:rsidRPr="006C372D">
        <w:rPr>
          <w:sz w:val="22"/>
          <w:szCs w:val="22"/>
        </w:rPr>
        <w:t xml:space="preserve"> je u zdravých dobrovoľníkov asi 45 minút, pre </w:t>
      </w:r>
      <w:proofErr w:type="spellStart"/>
      <w:r w:rsidRPr="006C372D">
        <w:rPr>
          <w:sz w:val="22"/>
          <w:szCs w:val="22"/>
        </w:rPr>
        <w:t>ampicilín</w:t>
      </w:r>
      <w:proofErr w:type="spellEnd"/>
      <w:r w:rsidRPr="006C372D">
        <w:rPr>
          <w:sz w:val="22"/>
          <w:szCs w:val="22"/>
        </w:rPr>
        <w:t xml:space="preserve"> asi 1 hodinu, pričom 50</w:t>
      </w:r>
      <w:r>
        <w:rPr>
          <w:sz w:val="22"/>
          <w:szCs w:val="22"/>
        </w:rPr>
        <w:t xml:space="preserve"> až </w:t>
      </w:r>
      <w:r w:rsidRPr="006C372D">
        <w:rPr>
          <w:sz w:val="22"/>
          <w:szCs w:val="22"/>
        </w:rPr>
        <w:t xml:space="preserve">75 % oboch látok sa v nezmenenej forme vylučuje močom. </w:t>
      </w:r>
    </w:p>
    <w:p w:rsidR="00B65342" w:rsidRPr="006C372D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>Eliminačný polčas sa predlžuje u starších osôb a u pacientov s </w:t>
      </w:r>
      <w:proofErr w:type="spellStart"/>
      <w:r w:rsidRPr="006C372D">
        <w:rPr>
          <w:sz w:val="22"/>
          <w:szCs w:val="22"/>
        </w:rPr>
        <w:t>renálnou</w:t>
      </w:r>
      <w:proofErr w:type="spellEnd"/>
      <w:r w:rsidRPr="006C372D">
        <w:rPr>
          <w:sz w:val="22"/>
          <w:szCs w:val="22"/>
        </w:rPr>
        <w:t xml:space="preserve"> poruchou. </w:t>
      </w:r>
    </w:p>
    <w:p w:rsidR="00B65342" w:rsidRPr="006C372D" w:rsidRDefault="00B65342" w:rsidP="006A7905">
      <w:pPr>
        <w:widowControl/>
        <w:rPr>
          <w:sz w:val="22"/>
          <w:szCs w:val="22"/>
        </w:rPr>
      </w:pPr>
    </w:p>
    <w:p w:rsidR="00B65342" w:rsidRDefault="00B65342" w:rsidP="006A7905">
      <w:pPr>
        <w:widowControl/>
        <w:rPr>
          <w:b/>
          <w:sz w:val="22"/>
          <w:szCs w:val="22"/>
        </w:rPr>
      </w:pPr>
      <w:r w:rsidRPr="006C372D">
        <w:rPr>
          <w:b/>
          <w:sz w:val="22"/>
          <w:szCs w:val="22"/>
        </w:rPr>
        <w:t xml:space="preserve">5.3 </w:t>
      </w:r>
      <w:r>
        <w:rPr>
          <w:b/>
          <w:sz w:val="22"/>
          <w:szCs w:val="22"/>
        </w:rPr>
        <w:tab/>
      </w:r>
      <w:r w:rsidRPr="006C372D">
        <w:rPr>
          <w:b/>
          <w:sz w:val="22"/>
          <w:szCs w:val="22"/>
        </w:rPr>
        <w:t>Predklinické údaje o</w:t>
      </w:r>
      <w:r>
        <w:rPr>
          <w:b/>
          <w:sz w:val="22"/>
          <w:szCs w:val="22"/>
        </w:rPr>
        <w:t> </w:t>
      </w:r>
      <w:r w:rsidRPr="006C372D">
        <w:rPr>
          <w:b/>
          <w:sz w:val="22"/>
          <w:szCs w:val="22"/>
        </w:rPr>
        <w:t>bezpečnosti</w:t>
      </w: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>Bezpečnosť lieku bola dokázaná dostatočne dlhodobým používaním v klinickej praxi.</w:t>
      </w:r>
    </w:p>
    <w:p w:rsidR="00B65342" w:rsidRDefault="00B65342" w:rsidP="006A7905">
      <w:pPr>
        <w:widowControl/>
        <w:rPr>
          <w:sz w:val="22"/>
          <w:szCs w:val="22"/>
        </w:rPr>
      </w:pPr>
    </w:p>
    <w:p w:rsidR="00B65342" w:rsidRPr="006C372D" w:rsidRDefault="00B65342" w:rsidP="006A7905">
      <w:pPr>
        <w:widowControl/>
        <w:rPr>
          <w:sz w:val="22"/>
          <w:szCs w:val="22"/>
        </w:rPr>
      </w:pPr>
    </w:p>
    <w:p w:rsidR="00B65342" w:rsidRPr="006C372D" w:rsidRDefault="00B65342" w:rsidP="006A7905">
      <w:pPr>
        <w:pStyle w:val="Nadpis1"/>
        <w:spacing w:before="0" w:after="0"/>
        <w:jc w:val="left"/>
        <w:rPr>
          <w:rFonts w:ascii="Times New Roman" w:hAnsi="Times New Roman"/>
          <w:sz w:val="22"/>
          <w:szCs w:val="22"/>
        </w:rPr>
      </w:pPr>
      <w:r w:rsidRPr="006C372D">
        <w:rPr>
          <w:rFonts w:ascii="Times New Roman" w:hAnsi="Times New Roman"/>
          <w:sz w:val="22"/>
          <w:szCs w:val="22"/>
        </w:rPr>
        <w:t xml:space="preserve">6. </w:t>
      </w:r>
      <w:r>
        <w:rPr>
          <w:rFonts w:ascii="Times New Roman" w:hAnsi="Times New Roman"/>
          <w:sz w:val="22"/>
          <w:szCs w:val="22"/>
        </w:rPr>
        <w:tab/>
      </w:r>
      <w:r w:rsidRPr="006C372D">
        <w:rPr>
          <w:rFonts w:ascii="Times New Roman" w:hAnsi="Times New Roman"/>
          <w:sz w:val="22"/>
          <w:szCs w:val="22"/>
        </w:rPr>
        <w:t>FARMACEUTICKÉ INFORMÁCIE</w:t>
      </w:r>
    </w:p>
    <w:p w:rsidR="00B65342" w:rsidRPr="006C372D" w:rsidRDefault="00B65342" w:rsidP="006A7905">
      <w:pPr>
        <w:widowControl/>
        <w:rPr>
          <w:sz w:val="22"/>
          <w:szCs w:val="22"/>
        </w:rPr>
      </w:pPr>
    </w:p>
    <w:p w:rsidR="00B65342" w:rsidRDefault="00B65342" w:rsidP="006A7905">
      <w:pPr>
        <w:widowControl/>
        <w:rPr>
          <w:b/>
          <w:sz w:val="22"/>
          <w:szCs w:val="22"/>
        </w:rPr>
      </w:pPr>
      <w:r w:rsidRPr="006C372D">
        <w:rPr>
          <w:b/>
          <w:sz w:val="22"/>
          <w:szCs w:val="22"/>
        </w:rPr>
        <w:t xml:space="preserve">6.1 </w:t>
      </w:r>
      <w:r>
        <w:rPr>
          <w:b/>
          <w:sz w:val="22"/>
          <w:szCs w:val="22"/>
        </w:rPr>
        <w:tab/>
      </w:r>
      <w:r w:rsidRPr="006C372D">
        <w:rPr>
          <w:b/>
          <w:sz w:val="22"/>
          <w:szCs w:val="22"/>
        </w:rPr>
        <w:t>Zoznam pomocných látok</w:t>
      </w: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Pr="006C372D" w:rsidRDefault="00B65342" w:rsidP="006A7905">
      <w:pPr>
        <w:pStyle w:val="Nadpis1"/>
        <w:tabs>
          <w:tab w:val="left" w:pos="4678"/>
        </w:tabs>
        <w:spacing w:before="0" w:after="0"/>
        <w:jc w:val="left"/>
        <w:rPr>
          <w:rFonts w:ascii="Times New Roman" w:hAnsi="Times New Roman"/>
          <w:b w:val="0"/>
          <w:sz w:val="22"/>
          <w:szCs w:val="22"/>
        </w:rPr>
      </w:pPr>
      <w:r w:rsidRPr="003D4344">
        <w:rPr>
          <w:rFonts w:ascii="Times New Roman" w:hAnsi="Times New Roman"/>
          <w:b w:val="0"/>
          <w:sz w:val="22"/>
          <w:szCs w:val="22"/>
        </w:rPr>
        <w:t xml:space="preserve">sodná soľ </w:t>
      </w:r>
      <w:proofErr w:type="spellStart"/>
      <w:r w:rsidRPr="003D4344">
        <w:rPr>
          <w:rFonts w:ascii="Times New Roman" w:hAnsi="Times New Roman"/>
          <w:b w:val="0"/>
          <w:sz w:val="22"/>
          <w:szCs w:val="22"/>
        </w:rPr>
        <w:t>kroskarmelózy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3D4344">
        <w:rPr>
          <w:rFonts w:ascii="Times New Roman" w:hAnsi="Times New Roman"/>
          <w:b w:val="0"/>
          <w:sz w:val="22"/>
          <w:szCs w:val="22"/>
        </w:rPr>
        <w:t>krospovidón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3D4344">
        <w:rPr>
          <w:rFonts w:ascii="Times New Roman" w:hAnsi="Times New Roman"/>
          <w:b w:val="0"/>
          <w:sz w:val="22"/>
          <w:szCs w:val="22"/>
        </w:rPr>
        <w:t>hyprolóza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3D4344">
        <w:rPr>
          <w:rFonts w:ascii="Times New Roman" w:hAnsi="Times New Roman"/>
          <w:b w:val="0"/>
          <w:sz w:val="22"/>
          <w:szCs w:val="22"/>
        </w:rPr>
        <w:t>magnéziumstearát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</w:t>
      </w:r>
      <w:r w:rsidRPr="003D4344">
        <w:rPr>
          <w:rFonts w:ascii="Times New Roman" w:hAnsi="Times New Roman"/>
          <w:b w:val="0"/>
          <w:sz w:val="22"/>
          <w:szCs w:val="22"/>
        </w:rPr>
        <w:t>mastenec</w:t>
      </w:r>
      <w:r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monohydrát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laktózy, </w:t>
      </w:r>
      <w:r w:rsidRPr="003D4344">
        <w:rPr>
          <w:rFonts w:ascii="Times New Roman" w:hAnsi="Times New Roman"/>
          <w:b w:val="0"/>
          <w:sz w:val="22"/>
          <w:szCs w:val="22"/>
        </w:rPr>
        <w:t xml:space="preserve">obaľovacia sústava </w:t>
      </w:r>
      <w:proofErr w:type="spellStart"/>
      <w:r w:rsidRPr="003D4344">
        <w:rPr>
          <w:rFonts w:ascii="Times New Roman" w:hAnsi="Times New Roman"/>
          <w:b w:val="0"/>
          <w:sz w:val="22"/>
          <w:szCs w:val="22"/>
        </w:rPr>
        <w:t>Sepifilm</w:t>
      </w:r>
      <w:proofErr w:type="spellEnd"/>
      <w:r w:rsidRPr="003D4344">
        <w:rPr>
          <w:rFonts w:ascii="Times New Roman" w:hAnsi="Times New Roman"/>
          <w:b w:val="0"/>
          <w:sz w:val="22"/>
          <w:szCs w:val="22"/>
        </w:rPr>
        <w:t xml:space="preserve"> 752 biela</w:t>
      </w: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Default="00B65342" w:rsidP="006A7905">
      <w:pPr>
        <w:widowControl/>
        <w:rPr>
          <w:b/>
          <w:sz w:val="22"/>
          <w:szCs w:val="22"/>
        </w:rPr>
      </w:pPr>
      <w:r w:rsidRPr="006C372D">
        <w:rPr>
          <w:b/>
          <w:sz w:val="22"/>
          <w:szCs w:val="22"/>
        </w:rPr>
        <w:t xml:space="preserve">6.2 </w:t>
      </w:r>
      <w:r>
        <w:rPr>
          <w:b/>
          <w:sz w:val="22"/>
          <w:szCs w:val="22"/>
        </w:rPr>
        <w:tab/>
      </w:r>
      <w:r w:rsidRPr="006C372D">
        <w:rPr>
          <w:b/>
          <w:sz w:val="22"/>
          <w:szCs w:val="22"/>
        </w:rPr>
        <w:t>Inkompatibility</w:t>
      </w: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Pr="006C372D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>Nie sú známe.</w:t>
      </w: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Default="00B65342" w:rsidP="006A7905">
      <w:pPr>
        <w:widowControl/>
        <w:rPr>
          <w:b/>
          <w:sz w:val="22"/>
          <w:szCs w:val="22"/>
        </w:rPr>
      </w:pPr>
      <w:r w:rsidRPr="006C372D">
        <w:rPr>
          <w:b/>
          <w:sz w:val="22"/>
          <w:szCs w:val="22"/>
        </w:rPr>
        <w:lastRenderedPageBreak/>
        <w:t xml:space="preserve">6.3 </w:t>
      </w:r>
      <w:r>
        <w:rPr>
          <w:b/>
          <w:sz w:val="22"/>
          <w:szCs w:val="22"/>
        </w:rPr>
        <w:tab/>
      </w:r>
      <w:r w:rsidRPr="006C372D">
        <w:rPr>
          <w:b/>
          <w:sz w:val="22"/>
          <w:szCs w:val="22"/>
        </w:rPr>
        <w:t>Čas použiteľnosti</w:t>
      </w:r>
    </w:p>
    <w:p w:rsidR="00B65342" w:rsidRPr="006C372D" w:rsidRDefault="00B65342" w:rsidP="006A7905">
      <w:pPr>
        <w:widowControl/>
        <w:rPr>
          <w:sz w:val="22"/>
          <w:szCs w:val="22"/>
        </w:rPr>
      </w:pPr>
    </w:p>
    <w:p w:rsidR="00B65342" w:rsidRPr="006C372D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>3 roky</w:t>
      </w: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Default="00B65342" w:rsidP="006A7905">
      <w:pPr>
        <w:widowControl/>
        <w:rPr>
          <w:b/>
          <w:sz w:val="22"/>
          <w:szCs w:val="22"/>
        </w:rPr>
      </w:pPr>
      <w:r w:rsidRPr="006C372D">
        <w:rPr>
          <w:b/>
          <w:sz w:val="22"/>
          <w:szCs w:val="22"/>
        </w:rPr>
        <w:t xml:space="preserve">6.4 </w:t>
      </w:r>
      <w:r>
        <w:rPr>
          <w:b/>
          <w:sz w:val="22"/>
          <w:szCs w:val="22"/>
        </w:rPr>
        <w:tab/>
      </w:r>
      <w:r w:rsidRPr="006C372D">
        <w:rPr>
          <w:b/>
          <w:sz w:val="22"/>
          <w:szCs w:val="22"/>
        </w:rPr>
        <w:t>Špeciálne upozornenia na uchovávanie</w:t>
      </w: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Pr="006C372D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 xml:space="preserve">Uchovávajte </w:t>
      </w:r>
      <w:r>
        <w:rPr>
          <w:sz w:val="22"/>
          <w:szCs w:val="22"/>
        </w:rPr>
        <w:t xml:space="preserve">pri teplote do </w:t>
      </w:r>
      <w:smartTag w:uri="urn:schemas-microsoft-com:office:smarttags" w:element="metricconverter">
        <w:smartTagPr>
          <w:attr w:name="ProductID" w:val="25ﾠﾰC"/>
        </w:smartTagPr>
        <w:r>
          <w:rPr>
            <w:sz w:val="22"/>
            <w:szCs w:val="22"/>
          </w:rPr>
          <w:t>25 °C</w:t>
        </w:r>
      </w:smartTag>
      <w:r w:rsidRPr="00813D5E">
        <w:rPr>
          <w:sz w:val="22"/>
          <w:szCs w:val="22"/>
        </w:rPr>
        <w:t xml:space="preserve"> </w:t>
      </w:r>
      <w:r w:rsidRPr="006C372D">
        <w:rPr>
          <w:sz w:val="22"/>
          <w:szCs w:val="22"/>
        </w:rPr>
        <w:t>v pôvodnom obale</w:t>
      </w:r>
      <w:r>
        <w:rPr>
          <w:sz w:val="22"/>
          <w:szCs w:val="22"/>
        </w:rPr>
        <w:t xml:space="preserve"> </w:t>
      </w:r>
      <w:r w:rsidRPr="006C372D">
        <w:rPr>
          <w:sz w:val="22"/>
          <w:szCs w:val="22"/>
        </w:rPr>
        <w:t>na ochranu pred vlhkosťou.</w:t>
      </w:r>
    </w:p>
    <w:p w:rsidR="00B65342" w:rsidRPr="006C372D" w:rsidRDefault="00B65342" w:rsidP="006A7905">
      <w:pPr>
        <w:widowControl/>
        <w:rPr>
          <w:b/>
          <w:sz w:val="22"/>
          <w:szCs w:val="22"/>
        </w:rPr>
      </w:pPr>
      <w:r w:rsidRPr="006C372D">
        <w:rPr>
          <w:sz w:val="22"/>
          <w:szCs w:val="22"/>
        </w:rPr>
        <w:t>Uchovávajte mimo dohľadu a dosahu detí.</w:t>
      </w: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Default="00B65342" w:rsidP="006A7905">
      <w:pPr>
        <w:widowControl/>
        <w:rPr>
          <w:b/>
          <w:sz w:val="22"/>
          <w:szCs w:val="22"/>
        </w:rPr>
      </w:pPr>
      <w:r w:rsidRPr="006C372D">
        <w:rPr>
          <w:b/>
          <w:sz w:val="22"/>
          <w:szCs w:val="22"/>
        </w:rPr>
        <w:t xml:space="preserve">6.5 </w:t>
      </w:r>
      <w:r>
        <w:rPr>
          <w:b/>
          <w:sz w:val="22"/>
          <w:szCs w:val="22"/>
        </w:rPr>
        <w:tab/>
      </w:r>
      <w:r w:rsidRPr="006C372D">
        <w:rPr>
          <w:b/>
          <w:sz w:val="22"/>
          <w:szCs w:val="22"/>
        </w:rPr>
        <w:t>Druh obalu a obsah balenia</w:t>
      </w: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Pr="006C372D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>1. Fľaška z hnedého skla s </w:t>
      </w:r>
      <w:proofErr w:type="spellStart"/>
      <w:r w:rsidRPr="006C372D">
        <w:rPr>
          <w:sz w:val="22"/>
          <w:szCs w:val="22"/>
        </w:rPr>
        <w:t>vysušovadlom</w:t>
      </w:r>
      <w:proofErr w:type="spellEnd"/>
      <w:r w:rsidRPr="006C372D">
        <w:rPr>
          <w:sz w:val="22"/>
          <w:szCs w:val="22"/>
        </w:rPr>
        <w:t xml:space="preserve"> a uzáverom s tesniacou vložkou, škatuľka, písomná</w:t>
      </w:r>
    </w:p>
    <w:p w:rsidR="00B65342" w:rsidRPr="006C372D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 xml:space="preserve">    informácia pre používateľ</w:t>
      </w:r>
      <w:r>
        <w:rPr>
          <w:sz w:val="22"/>
          <w:szCs w:val="22"/>
        </w:rPr>
        <w:t>a</w:t>
      </w:r>
      <w:r w:rsidRPr="006C372D">
        <w:rPr>
          <w:sz w:val="22"/>
          <w:szCs w:val="22"/>
        </w:rPr>
        <w:t>.</w:t>
      </w:r>
    </w:p>
    <w:p w:rsidR="00B65342" w:rsidRPr="006C372D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 xml:space="preserve">    Veľkosť balenia:  10, 12, 20 obalených tabliet.</w:t>
      </w:r>
    </w:p>
    <w:p w:rsidR="00B65342" w:rsidRPr="006C372D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 xml:space="preserve">2. </w:t>
      </w:r>
      <w:proofErr w:type="spellStart"/>
      <w:r w:rsidRPr="006C372D">
        <w:rPr>
          <w:sz w:val="22"/>
          <w:szCs w:val="22"/>
        </w:rPr>
        <w:t>Blister</w:t>
      </w:r>
      <w:proofErr w:type="spellEnd"/>
      <w:r w:rsidRPr="006C372D">
        <w:rPr>
          <w:sz w:val="22"/>
          <w:szCs w:val="22"/>
        </w:rPr>
        <w:t xml:space="preserve"> A</w:t>
      </w:r>
      <w:r>
        <w:rPr>
          <w:sz w:val="22"/>
          <w:szCs w:val="22"/>
        </w:rPr>
        <w:t>LU</w:t>
      </w:r>
      <w:r w:rsidRPr="006C372D">
        <w:rPr>
          <w:sz w:val="22"/>
          <w:szCs w:val="22"/>
        </w:rPr>
        <w:t xml:space="preserve"> fólia a fólia OPA25µm/ALU45µm/PVC60µm, škatuľka, písomná informácia pre</w:t>
      </w:r>
    </w:p>
    <w:p w:rsidR="00B65342" w:rsidRPr="006C372D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 xml:space="preserve">    používateľ</w:t>
      </w:r>
      <w:r>
        <w:rPr>
          <w:sz w:val="22"/>
          <w:szCs w:val="22"/>
        </w:rPr>
        <w:t>a</w:t>
      </w:r>
      <w:r w:rsidRPr="006C372D">
        <w:rPr>
          <w:sz w:val="22"/>
          <w:szCs w:val="22"/>
        </w:rPr>
        <w:t>.</w:t>
      </w:r>
    </w:p>
    <w:p w:rsidR="00B65342" w:rsidRPr="006C372D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 xml:space="preserve">    Veľkosť balenia: 1 x 10, 2 x 10</w:t>
      </w:r>
      <w:r>
        <w:rPr>
          <w:sz w:val="22"/>
          <w:szCs w:val="22"/>
        </w:rPr>
        <w:t>, 2 x 6</w:t>
      </w:r>
      <w:r w:rsidRPr="00E42BEE">
        <w:rPr>
          <w:sz w:val="22"/>
          <w:szCs w:val="22"/>
        </w:rPr>
        <w:t>, 2 x 7</w:t>
      </w:r>
      <w:r w:rsidRPr="006C372D">
        <w:rPr>
          <w:sz w:val="22"/>
          <w:szCs w:val="22"/>
        </w:rPr>
        <w:t xml:space="preserve"> obalených tabliet</w:t>
      </w:r>
    </w:p>
    <w:p w:rsidR="00B65342" w:rsidRPr="006C372D" w:rsidRDefault="00B65342" w:rsidP="006A7905">
      <w:pPr>
        <w:widowControl/>
        <w:rPr>
          <w:sz w:val="22"/>
          <w:szCs w:val="22"/>
        </w:rPr>
      </w:pPr>
    </w:p>
    <w:p w:rsidR="00B65342" w:rsidRPr="006C372D" w:rsidRDefault="00B65342" w:rsidP="006A7905">
      <w:pPr>
        <w:widowControl/>
        <w:rPr>
          <w:sz w:val="22"/>
          <w:szCs w:val="22"/>
        </w:rPr>
      </w:pPr>
      <w:r w:rsidRPr="006C372D">
        <w:rPr>
          <w:sz w:val="22"/>
          <w:szCs w:val="22"/>
        </w:rPr>
        <w:t>Nie všetky veľkosti balenia musia byť uvedené na trh.</w:t>
      </w: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Default="00B65342" w:rsidP="006A7905">
      <w:pPr>
        <w:widowControl/>
        <w:rPr>
          <w:b/>
          <w:sz w:val="22"/>
          <w:szCs w:val="22"/>
        </w:rPr>
      </w:pPr>
      <w:r w:rsidRPr="006C372D">
        <w:rPr>
          <w:b/>
          <w:sz w:val="22"/>
          <w:szCs w:val="22"/>
        </w:rPr>
        <w:t xml:space="preserve">6.6 </w:t>
      </w:r>
      <w:r>
        <w:rPr>
          <w:b/>
          <w:sz w:val="22"/>
          <w:szCs w:val="22"/>
        </w:rPr>
        <w:tab/>
      </w:r>
      <w:r w:rsidRPr="006C372D">
        <w:rPr>
          <w:b/>
          <w:sz w:val="22"/>
          <w:szCs w:val="22"/>
        </w:rPr>
        <w:t>Špeciálne opatrenia na likvidáciu a iné zaobchádzanie s</w:t>
      </w:r>
      <w:r>
        <w:rPr>
          <w:b/>
          <w:sz w:val="22"/>
          <w:szCs w:val="22"/>
        </w:rPr>
        <w:t> </w:t>
      </w:r>
      <w:r w:rsidRPr="006C372D">
        <w:rPr>
          <w:b/>
          <w:sz w:val="22"/>
          <w:szCs w:val="22"/>
        </w:rPr>
        <w:t>liekom</w:t>
      </w: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Pr="006C372D" w:rsidRDefault="00B65342" w:rsidP="006A7905">
      <w:pPr>
        <w:widowControl/>
        <w:rPr>
          <w:sz w:val="22"/>
          <w:szCs w:val="22"/>
        </w:rPr>
      </w:pPr>
      <w:r>
        <w:rPr>
          <w:sz w:val="22"/>
          <w:szCs w:val="22"/>
        </w:rPr>
        <w:t>Nepoužitý liek alebo odpad vzniknutý z lieku treba</w:t>
      </w:r>
      <w:r w:rsidRPr="006C372D">
        <w:rPr>
          <w:sz w:val="22"/>
          <w:szCs w:val="22"/>
        </w:rPr>
        <w:t xml:space="preserve"> vrátiť do lekárne.</w:t>
      </w: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Pr="006C372D" w:rsidRDefault="00B65342" w:rsidP="006A7905">
      <w:pPr>
        <w:widowControl/>
        <w:rPr>
          <w:b/>
          <w:kern w:val="28"/>
          <w:sz w:val="22"/>
          <w:szCs w:val="22"/>
        </w:rPr>
      </w:pPr>
      <w:r w:rsidRPr="006C372D">
        <w:rPr>
          <w:b/>
          <w:kern w:val="28"/>
          <w:sz w:val="22"/>
          <w:szCs w:val="22"/>
        </w:rPr>
        <w:t xml:space="preserve">7. </w:t>
      </w:r>
      <w:r>
        <w:rPr>
          <w:b/>
          <w:kern w:val="28"/>
          <w:sz w:val="22"/>
          <w:szCs w:val="22"/>
        </w:rPr>
        <w:tab/>
      </w:r>
      <w:r w:rsidRPr="006C372D">
        <w:rPr>
          <w:b/>
          <w:kern w:val="28"/>
          <w:sz w:val="22"/>
          <w:szCs w:val="22"/>
        </w:rPr>
        <w:t>DRŽITEĽ ROZHODNUTIA O REGISTRÁCII</w:t>
      </w:r>
    </w:p>
    <w:p w:rsidR="00B65342" w:rsidRPr="006C372D" w:rsidRDefault="00B65342" w:rsidP="006A7905">
      <w:pPr>
        <w:widowControl/>
        <w:rPr>
          <w:b/>
          <w:kern w:val="28"/>
          <w:sz w:val="22"/>
          <w:szCs w:val="22"/>
        </w:rPr>
      </w:pPr>
    </w:p>
    <w:p w:rsidR="00B65342" w:rsidRPr="006C372D" w:rsidRDefault="00B65342" w:rsidP="006A7905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BB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 a.s., </w:t>
      </w:r>
      <w:proofErr w:type="spellStart"/>
      <w:r>
        <w:rPr>
          <w:sz w:val="22"/>
          <w:szCs w:val="22"/>
        </w:rPr>
        <w:t>Durychova</w:t>
      </w:r>
      <w:proofErr w:type="spellEnd"/>
      <w:r>
        <w:rPr>
          <w:sz w:val="22"/>
          <w:szCs w:val="22"/>
        </w:rPr>
        <w:t xml:space="preserve"> 101/66, 142 00 Praha 4 - </w:t>
      </w:r>
      <w:proofErr w:type="spellStart"/>
      <w:r>
        <w:rPr>
          <w:sz w:val="22"/>
          <w:szCs w:val="22"/>
        </w:rPr>
        <w:t>Lhotka</w:t>
      </w:r>
      <w:proofErr w:type="spellEnd"/>
      <w:r>
        <w:rPr>
          <w:sz w:val="22"/>
          <w:szCs w:val="22"/>
        </w:rPr>
        <w:t>, Česká republika</w:t>
      </w: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Pr="006C372D" w:rsidRDefault="00B65342" w:rsidP="006A7905">
      <w:pPr>
        <w:widowControl/>
        <w:rPr>
          <w:b/>
          <w:kern w:val="28"/>
          <w:sz w:val="22"/>
          <w:szCs w:val="22"/>
        </w:rPr>
      </w:pPr>
      <w:r w:rsidRPr="006C372D">
        <w:rPr>
          <w:b/>
          <w:kern w:val="28"/>
          <w:sz w:val="22"/>
          <w:szCs w:val="22"/>
        </w:rPr>
        <w:t xml:space="preserve">8. </w:t>
      </w:r>
      <w:r>
        <w:rPr>
          <w:b/>
          <w:kern w:val="28"/>
          <w:sz w:val="22"/>
          <w:szCs w:val="22"/>
        </w:rPr>
        <w:tab/>
      </w:r>
      <w:r w:rsidRPr="006C372D">
        <w:rPr>
          <w:b/>
          <w:kern w:val="28"/>
          <w:sz w:val="22"/>
          <w:szCs w:val="22"/>
        </w:rPr>
        <w:t>REGISTRAČNÉ ČÍSLO</w:t>
      </w:r>
    </w:p>
    <w:p w:rsidR="00B65342" w:rsidRDefault="00B65342" w:rsidP="006A7905">
      <w:pPr>
        <w:widowControl/>
        <w:rPr>
          <w:b/>
          <w:sz w:val="22"/>
          <w:szCs w:val="22"/>
        </w:rPr>
      </w:pPr>
    </w:p>
    <w:p w:rsidR="00B65342" w:rsidRPr="0017040C" w:rsidRDefault="00B65342" w:rsidP="006A7905">
      <w:pPr>
        <w:widowControl/>
        <w:rPr>
          <w:sz w:val="22"/>
          <w:szCs w:val="22"/>
        </w:rPr>
      </w:pPr>
      <w:r w:rsidRPr="0017040C">
        <w:rPr>
          <w:sz w:val="22"/>
          <w:szCs w:val="22"/>
        </w:rPr>
        <w:t>15/0280/03-S</w:t>
      </w: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Pr="006C372D" w:rsidRDefault="00B65342" w:rsidP="006A7905">
      <w:pPr>
        <w:widowControl/>
        <w:rPr>
          <w:b/>
          <w:sz w:val="22"/>
          <w:szCs w:val="22"/>
        </w:rPr>
      </w:pPr>
    </w:p>
    <w:p w:rsidR="00B65342" w:rsidRPr="006C372D" w:rsidRDefault="00B65342" w:rsidP="006A7905">
      <w:pPr>
        <w:widowControl/>
        <w:rPr>
          <w:b/>
          <w:kern w:val="28"/>
          <w:sz w:val="22"/>
          <w:szCs w:val="22"/>
        </w:rPr>
      </w:pPr>
      <w:r w:rsidRPr="006C372D">
        <w:rPr>
          <w:b/>
          <w:kern w:val="28"/>
          <w:sz w:val="22"/>
          <w:szCs w:val="22"/>
        </w:rPr>
        <w:t xml:space="preserve">9. </w:t>
      </w:r>
      <w:r>
        <w:rPr>
          <w:b/>
          <w:kern w:val="28"/>
          <w:sz w:val="22"/>
          <w:szCs w:val="22"/>
        </w:rPr>
        <w:tab/>
      </w:r>
      <w:r w:rsidRPr="006C372D">
        <w:rPr>
          <w:b/>
          <w:kern w:val="28"/>
          <w:sz w:val="22"/>
          <w:szCs w:val="22"/>
        </w:rPr>
        <w:t>DÁTUM PRVEJ REGISTRÁCIE / PREDĹŽENIA REGISTRÁCIE</w:t>
      </w:r>
    </w:p>
    <w:p w:rsidR="00B65342" w:rsidRDefault="00B65342" w:rsidP="006A7905">
      <w:pPr>
        <w:widowControl/>
        <w:rPr>
          <w:kern w:val="28"/>
          <w:sz w:val="22"/>
          <w:szCs w:val="22"/>
        </w:rPr>
      </w:pPr>
    </w:p>
    <w:p w:rsidR="00B65342" w:rsidRPr="006C372D" w:rsidRDefault="00B65342" w:rsidP="006A7905">
      <w:pPr>
        <w:widowControl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 xml:space="preserve">Dátum prvej registrácie: </w:t>
      </w:r>
      <w:r w:rsidRPr="006C372D">
        <w:rPr>
          <w:kern w:val="28"/>
          <w:sz w:val="22"/>
          <w:szCs w:val="22"/>
        </w:rPr>
        <w:t>22.</w:t>
      </w:r>
      <w:r>
        <w:rPr>
          <w:kern w:val="28"/>
          <w:sz w:val="22"/>
          <w:szCs w:val="22"/>
        </w:rPr>
        <w:t xml:space="preserve"> september </w:t>
      </w:r>
      <w:r w:rsidRPr="006C372D">
        <w:rPr>
          <w:kern w:val="28"/>
          <w:sz w:val="22"/>
          <w:szCs w:val="22"/>
        </w:rPr>
        <w:t>2003</w:t>
      </w:r>
    </w:p>
    <w:p w:rsidR="00B65342" w:rsidRPr="000D7E2D" w:rsidRDefault="00B65342" w:rsidP="006A7905">
      <w:pPr>
        <w:widowControl/>
        <w:rPr>
          <w:sz w:val="22"/>
          <w:szCs w:val="22"/>
        </w:rPr>
      </w:pPr>
      <w:r w:rsidRPr="000D7E2D">
        <w:rPr>
          <w:sz w:val="22"/>
          <w:szCs w:val="22"/>
        </w:rPr>
        <w:t>Dátum posledného predĺženia</w:t>
      </w:r>
      <w:r>
        <w:rPr>
          <w:sz w:val="22"/>
          <w:szCs w:val="22"/>
        </w:rPr>
        <w:t xml:space="preserve"> registrácie</w:t>
      </w:r>
      <w:r w:rsidRPr="000D7E2D">
        <w:rPr>
          <w:sz w:val="22"/>
          <w:szCs w:val="22"/>
        </w:rPr>
        <w:t xml:space="preserve">: </w:t>
      </w:r>
      <w:r>
        <w:rPr>
          <w:sz w:val="22"/>
          <w:szCs w:val="22"/>
        </w:rPr>
        <w:t>11. december 2008</w:t>
      </w:r>
    </w:p>
    <w:p w:rsidR="00B65342" w:rsidRDefault="00B65342" w:rsidP="006A7905">
      <w:pPr>
        <w:widowControl/>
        <w:rPr>
          <w:sz w:val="22"/>
          <w:szCs w:val="22"/>
        </w:rPr>
      </w:pPr>
    </w:p>
    <w:p w:rsidR="00B65342" w:rsidRPr="000D7E2D" w:rsidRDefault="00B65342" w:rsidP="006A7905">
      <w:pPr>
        <w:widowControl/>
        <w:rPr>
          <w:sz w:val="22"/>
          <w:szCs w:val="22"/>
        </w:rPr>
      </w:pPr>
    </w:p>
    <w:p w:rsidR="00B65342" w:rsidRPr="006C372D" w:rsidRDefault="00B65342" w:rsidP="006A7905">
      <w:pPr>
        <w:pStyle w:val="Nadpis1"/>
        <w:spacing w:before="0" w:after="0"/>
        <w:jc w:val="left"/>
        <w:rPr>
          <w:rFonts w:ascii="Times New Roman" w:hAnsi="Times New Roman"/>
          <w:sz w:val="22"/>
          <w:szCs w:val="22"/>
        </w:rPr>
      </w:pPr>
      <w:r w:rsidRPr="006C372D">
        <w:rPr>
          <w:rFonts w:ascii="Times New Roman" w:hAnsi="Times New Roman"/>
          <w:sz w:val="22"/>
          <w:szCs w:val="22"/>
        </w:rPr>
        <w:t xml:space="preserve">10. </w:t>
      </w:r>
      <w:r>
        <w:rPr>
          <w:rFonts w:ascii="Times New Roman" w:hAnsi="Times New Roman"/>
          <w:sz w:val="22"/>
          <w:szCs w:val="22"/>
        </w:rPr>
        <w:tab/>
      </w:r>
      <w:r w:rsidRPr="006C372D">
        <w:rPr>
          <w:rFonts w:ascii="Times New Roman" w:hAnsi="Times New Roman"/>
          <w:sz w:val="22"/>
          <w:szCs w:val="22"/>
        </w:rPr>
        <w:t>DÁTUM REVÍZIE TEXTU</w:t>
      </w:r>
    </w:p>
    <w:p w:rsidR="00B65342" w:rsidRDefault="00B65342" w:rsidP="006A7905">
      <w:pPr>
        <w:pStyle w:val="Hlavika"/>
        <w:tabs>
          <w:tab w:val="clear" w:pos="4536"/>
          <w:tab w:val="clear" w:pos="9072"/>
        </w:tabs>
        <w:jc w:val="left"/>
        <w:rPr>
          <w:rFonts w:ascii="Times New Roman" w:hAnsi="Times New Roman"/>
          <w:sz w:val="22"/>
          <w:szCs w:val="22"/>
        </w:rPr>
      </w:pPr>
    </w:p>
    <w:p w:rsidR="00B65342" w:rsidRPr="006C372D" w:rsidRDefault="00421677" w:rsidP="006A7905">
      <w:pPr>
        <w:pStyle w:val="Hlavika"/>
        <w:tabs>
          <w:tab w:val="clear" w:pos="4536"/>
          <w:tab w:val="clear" w:pos="9072"/>
        </w:tabs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01/2017</w:t>
      </w:r>
    </w:p>
    <w:p w:rsidR="00B65342" w:rsidRPr="006C372D" w:rsidRDefault="00B65342">
      <w:pPr>
        <w:widowControl/>
        <w:jc w:val="both"/>
        <w:rPr>
          <w:sz w:val="22"/>
          <w:szCs w:val="22"/>
        </w:rPr>
      </w:pPr>
    </w:p>
    <w:sectPr w:rsidR="00B65342" w:rsidRPr="006C372D" w:rsidSect="00256D8E">
      <w:headerReference w:type="default" r:id="rId14"/>
      <w:pgSz w:w="11906" w:h="16838"/>
      <w:pgMar w:top="1134" w:right="1418" w:bottom="1560" w:left="1418" w:header="425" w:footer="60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E43" w:rsidRDefault="004B7E43">
      <w:r>
        <w:separator/>
      </w:r>
    </w:p>
  </w:endnote>
  <w:endnote w:type="continuationSeparator" w:id="0">
    <w:p w:rsidR="004B7E43" w:rsidRDefault="004B7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Univers">
    <w:panose1 w:val="020B060302020203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342" w:rsidRDefault="00B65342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342" w:rsidRPr="004A4037" w:rsidRDefault="00366EBF" w:rsidP="005C2FDD">
    <w:pPr>
      <w:pStyle w:val="Pta"/>
      <w:tabs>
        <w:tab w:val="left" w:pos="6237"/>
      </w:tabs>
      <w:jc w:val="center"/>
      <w:rPr>
        <w:rFonts w:ascii="Times New Roman" w:hAnsi="Times New Roman"/>
        <w:sz w:val="18"/>
        <w:szCs w:val="18"/>
      </w:rPr>
    </w:pPr>
    <w:r w:rsidRPr="004A4037">
      <w:rPr>
        <w:rStyle w:val="slostrany"/>
        <w:rFonts w:ascii="Times New Roman" w:hAnsi="Times New Roman"/>
        <w:sz w:val="18"/>
        <w:szCs w:val="18"/>
      </w:rPr>
      <w:fldChar w:fldCharType="begin"/>
    </w:r>
    <w:r w:rsidR="00B65342" w:rsidRPr="004A4037">
      <w:rPr>
        <w:rStyle w:val="slostrany"/>
        <w:rFonts w:ascii="Times New Roman" w:hAnsi="Times New Roman"/>
        <w:sz w:val="18"/>
        <w:szCs w:val="18"/>
      </w:rPr>
      <w:instrText xml:space="preserve"> PAGE </w:instrText>
    </w:r>
    <w:r w:rsidRPr="004A4037">
      <w:rPr>
        <w:rStyle w:val="slostrany"/>
        <w:rFonts w:ascii="Times New Roman" w:hAnsi="Times New Roman"/>
        <w:sz w:val="18"/>
        <w:szCs w:val="18"/>
      </w:rPr>
      <w:fldChar w:fldCharType="separate"/>
    </w:r>
    <w:r w:rsidR="00421677">
      <w:rPr>
        <w:rStyle w:val="slostrany"/>
        <w:rFonts w:ascii="Times New Roman" w:hAnsi="Times New Roman"/>
        <w:noProof/>
        <w:sz w:val="18"/>
        <w:szCs w:val="18"/>
      </w:rPr>
      <w:t>5</w:t>
    </w:r>
    <w:r w:rsidRPr="004A4037">
      <w:rPr>
        <w:rStyle w:val="slostrany"/>
        <w:rFonts w:ascii="Times New Roman" w:hAnsi="Times New Roman"/>
        <w:sz w:val="18"/>
        <w:szCs w:val="18"/>
      </w:rPr>
      <w:fldChar w:fldCharType="end"/>
    </w:r>
  </w:p>
  <w:p w:rsidR="00B65342" w:rsidRDefault="00B65342">
    <w:pPr>
      <w:pStyle w:val="Pta"/>
      <w:rPr>
        <w:rFonts w:ascii="Arial" w:hAnsi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342" w:rsidRDefault="00B6534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E43" w:rsidRDefault="004B7E43">
      <w:r>
        <w:separator/>
      </w:r>
    </w:p>
  </w:footnote>
  <w:footnote w:type="continuationSeparator" w:id="0">
    <w:p w:rsidR="004B7E43" w:rsidRDefault="004B7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342" w:rsidRDefault="00B65342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342" w:rsidRDefault="00B65342">
    <w:pPr>
      <w:pStyle w:val="Hlavika"/>
      <w:rPr>
        <w:rFonts w:ascii="Times New Roman" w:hAnsi="Times New Roman"/>
        <w:sz w:val="18"/>
        <w:szCs w:val="18"/>
      </w:rPr>
    </w:pPr>
  </w:p>
  <w:p w:rsidR="00B65342" w:rsidRDefault="00B65342">
    <w:pPr>
      <w:pStyle w:val="Hlavika"/>
      <w:rPr>
        <w:rFonts w:ascii="Times New Roman" w:hAnsi="Times New Roman"/>
        <w:sz w:val="18"/>
        <w:szCs w:val="18"/>
      </w:rPr>
    </w:pPr>
  </w:p>
  <w:p w:rsidR="00B65342" w:rsidRPr="006A7905" w:rsidRDefault="00B65342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2 k notifikácii o zmene, ev. č.: 2016/05783-Z1A</w:t>
    </w:r>
  </w:p>
  <w:p w:rsidR="00B65342" w:rsidRDefault="00B65342" w:rsidP="00404BAD">
    <w:pPr>
      <w:pStyle w:val="Hlavika"/>
    </w:pPr>
    <w:r>
      <w:tab/>
    </w:r>
  </w:p>
  <w:p w:rsidR="00B65342" w:rsidRDefault="00B65342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342" w:rsidRDefault="00B65342">
    <w:pPr>
      <w:pStyle w:val="Hlavik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342" w:rsidRPr="006A7905" w:rsidRDefault="00B65342">
    <w:pPr>
      <w:pStyle w:val="Hlavika"/>
      <w:rPr>
        <w:rFonts w:ascii="Times New Roman" w:hAnsi="Times New Roman"/>
        <w:sz w:val="18"/>
        <w:szCs w:val="18"/>
      </w:rPr>
    </w:pPr>
  </w:p>
  <w:p w:rsidR="00B65342" w:rsidRDefault="00B65342">
    <w:pPr>
      <w:pStyle w:val="Hlavika"/>
    </w:pPr>
  </w:p>
  <w:p w:rsidR="00B65342" w:rsidRDefault="00B6534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3A26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AFE85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C3672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234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A1AF8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5EE69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58DB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20EF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D4C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48D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D500072"/>
    <w:lvl w:ilvl="0">
      <w:numFmt w:val="bullet"/>
      <w:lvlText w:val="*"/>
      <w:lvlJc w:val="left"/>
    </w:lvl>
  </w:abstractNum>
  <w:abstractNum w:abstractNumId="11">
    <w:nsid w:val="0CA012EB"/>
    <w:multiLevelType w:val="singleLevel"/>
    <w:tmpl w:val="12B6453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</w:abstractNum>
  <w:abstractNum w:abstractNumId="12">
    <w:nsid w:val="2CF02FA8"/>
    <w:multiLevelType w:val="multilevel"/>
    <w:tmpl w:val="F96E7A4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373936DC"/>
    <w:multiLevelType w:val="singleLevel"/>
    <w:tmpl w:val="12B6453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</w:abstractNum>
  <w:abstractNum w:abstractNumId="14">
    <w:nsid w:val="6A95290B"/>
    <w:multiLevelType w:val="singleLevel"/>
    <w:tmpl w:val="12B6453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</w:abstractNum>
  <w:abstractNum w:abstractNumId="15">
    <w:nsid w:val="6D983454"/>
    <w:multiLevelType w:val="singleLevel"/>
    <w:tmpl w:val="12B6453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</w:abstractNum>
  <w:num w:numId="1">
    <w:abstractNumId w:val="14"/>
  </w:num>
  <w:num w:numId="2">
    <w:abstractNumId w:val="15"/>
  </w:num>
  <w:num w:numId="3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  <w:sz w:val="20"/>
        </w:rPr>
      </w:lvl>
    </w:lvlOverride>
  </w:num>
  <w:num w:numId="4">
    <w:abstractNumId w:val="13"/>
  </w:num>
  <w:num w:numId="5">
    <w:abstractNumId w:val="11"/>
  </w:num>
  <w:num w:numId="6">
    <w:abstractNumId w:val="12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372D"/>
    <w:rsid w:val="00004C20"/>
    <w:rsid w:val="0002676E"/>
    <w:rsid w:val="0002684A"/>
    <w:rsid w:val="00053C60"/>
    <w:rsid w:val="0005499E"/>
    <w:rsid w:val="00063208"/>
    <w:rsid w:val="0008233A"/>
    <w:rsid w:val="000931DF"/>
    <w:rsid w:val="000D2EBE"/>
    <w:rsid w:val="000D7E2D"/>
    <w:rsid w:val="000F22D9"/>
    <w:rsid w:val="0013373F"/>
    <w:rsid w:val="00133FE3"/>
    <w:rsid w:val="00146EEF"/>
    <w:rsid w:val="00155AA3"/>
    <w:rsid w:val="0017040C"/>
    <w:rsid w:val="0018712E"/>
    <w:rsid w:val="001A77A1"/>
    <w:rsid w:val="001C27F2"/>
    <w:rsid w:val="00227096"/>
    <w:rsid w:val="00256D8E"/>
    <w:rsid w:val="00257B78"/>
    <w:rsid w:val="002A4D4E"/>
    <w:rsid w:val="002E09FF"/>
    <w:rsid w:val="00347341"/>
    <w:rsid w:val="0035151F"/>
    <w:rsid w:val="00354AD5"/>
    <w:rsid w:val="00366EBF"/>
    <w:rsid w:val="00377169"/>
    <w:rsid w:val="00380EC9"/>
    <w:rsid w:val="003A4A13"/>
    <w:rsid w:val="003B15DB"/>
    <w:rsid w:val="003C2659"/>
    <w:rsid w:val="003D2D00"/>
    <w:rsid w:val="003D4344"/>
    <w:rsid w:val="00404BAD"/>
    <w:rsid w:val="0041072C"/>
    <w:rsid w:val="00421677"/>
    <w:rsid w:val="0042301E"/>
    <w:rsid w:val="00437EC5"/>
    <w:rsid w:val="004720F6"/>
    <w:rsid w:val="00472A13"/>
    <w:rsid w:val="004A4037"/>
    <w:rsid w:val="004B0A7B"/>
    <w:rsid w:val="004B674A"/>
    <w:rsid w:val="004B7E43"/>
    <w:rsid w:val="004C71B4"/>
    <w:rsid w:val="004E1E81"/>
    <w:rsid w:val="004F2F54"/>
    <w:rsid w:val="005075E2"/>
    <w:rsid w:val="0052009B"/>
    <w:rsid w:val="005443A3"/>
    <w:rsid w:val="00563BC3"/>
    <w:rsid w:val="005C0A52"/>
    <w:rsid w:val="005C2FDD"/>
    <w:rsid w:val="005E463F"/>
    <w:rsid w:val="00605890"/>
    <w:rsid w:val="00607732"/>
    <w:rsid w:val="0061641D"/>
    <w:rsid w:val="00632D62"/>
    <w:rsid w:val="00664973"/>
    <w:rsid w:val="00694923"/>
    <w:rsid w:val="006A7905"/>
    <w:rsid w:val="006C0B53"/>
    <w:rsid w:val="006C372D"/>
    <w:rsid w:val="006D5F96"/>
    <w:rsid w:val="006E50F2"/>
    <w:rsid w:val="006F4043"/>
    <w:rsid w:val="00703FA6"/>
    <w:rsid w:val="00743F91"/>
    <w:rsid w:val="00746B79"/>
    <w:rsid w:val="00763C21"/>
    <w:rsid w:val="00764303"/>
    <w:rsid w:val="007B7EBC"/>
    <w:rsid w:val="007E29E4"/>
    <w:rsid w:val="00802AB6"/>
    <w:rsid w:val="00813D5E"/>
    <w:rsid w:val="00822162"/>
    <w:rsid w:val="00824A39"/>
    <w:rsid w:val="00837256"/>
    <w:rsid w:val="00844508"/>
    <w:rsid w:val="008614CF"/>
    <w:rsid w:val="00872B6D"/>
    <w:rsid w:val="008D4607"/>
    <w:rsid w:val="008E7520"/>
    <w:rsid w:val="008F0374"/>
    <w:rsid w:val="009553BF"/>
    <w:rsid w:val="009661E9"/>
    <w:rsid w:val="00984668"/>
    <w:rsid w:val="00A35F6E"/>
    <w:rsid w:val="00A37FEB"/>
    <w:rsid w:val="00A50856"/>
    <w:rsid w:val="00A5795C"/>
    <w:rsid w:val="00A73AAA"/>
    <w:rsid w:val="00AD2433"/>
    <w:rsid w:val="00B411E5"/>
    <w:rsid w:val="00B413E9"/>
    <w:rsid w:val="00B61464"/>
    <w:rsid w:val="00B65342"/>
    <w:rsid w:val="00B71EF2"/>
    <w:rsid w:val="00BA7781"/>
    <w:rsid w:val="00BC7AEA"/>
    <w:rsid w:val="00C06E1E"/>
    <w:rsid w:val="00C131F3"/>
    <w:rsid w:val="00C43AD4"/>
    <w:rsid w:val="00CE1640"/>
    <w:rsid w:val="00D008EB"/>
    <w:rsid w:val="00D67E0E"/>
    <w:rsid w:val="00D76D0D"/>
    <w:rsid w:val="00DD0E70"/>
    <w:rsid w:val="00E17626"/>
    <w:rsid w:val="00E42BEE"/>
    <w:rsid w:val="00E80EF1"/>
    <w:rsid w:val="00E82472"/>
    <w:rsid w:val="00EB678C"/>
    <w:rsid w:val="00F627D8"/>
    <w:rsid w:val="00FB332F"/>
    <w:rsid w:val="00FB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66EB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y"/>
    <w:next w:val="Normlny"/>
    <w:link w:val="Nadpis1Char"/>
    <w:uiPriority w:val="9"/>
    <w:qFormat/>
    <w:rsid w:val="00366EBF"/>
    <w:pPr>
      <w:keepNext/>
      <w:widowControl/>
      <w:spacing w:before="240" w:after="60"/>
      <w:jc w:val="both"/>
      <w:outlineLvl w:val="0"/>
    </w:pPr>
    <w:rPr>
      <w:rFonts w:ascii="Arial" w:hAnsi="Arial"/>
      <w:b/>
      <w:kern w:val="28"/>
      <w:sz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366EBF"/>
    <w:pPr>
      <w:keepNext/>
      <w:spacing w:before="120"/>
      <w:outlineLvl w:val="5"/>
    </w:pPr>
    <w:rPr>
      <w:i/>
      <w:sz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366EBF"/>
    <w:pPr>
      <w:keepNext/>
      <w:spacing w:before="120"/>
      <w:outlineLvl w:val="6"/>
    </w:pPr>
    <w:rPr>
      <w:i/>
      <w:sz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366EBF"/>
    <w:pPr>
      <w:keepNext/>
      <w:ind w:right="-2"/>
      <w:outlineLvl w:val="7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B39F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B39F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B39FA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B39FA"/>
    <w:rPr>
      <w:rFonts w:ascii="Calibri" w:eastAsia="Times New Roman" w:hAnsi="Calibri" w:cs="Times New Roman"/>
      <w:i/>
      <w:iCs/>
      <w:sz w:val="24"/>
      <w:szCs w:val="24"/>
    </w:rPr>
  </w:style>
  <w:style w:type="paragraph" w:styleId="Hlavika">
    <w:name w:val="header"/>
    <w:basedOn w:val="Normlny"/>
    <w:link w:val="HlavikaChar"/>
    <w:uiPriority w:val="99"/>
    <w:semiHidden/>
    <w:rsid w:val="00366EBF"/>
    <w:pPr>
      <w:widowControl/>
      <w:tabs>
        <w:tab w:val="center" w:pos="4536"/>
        <w:tab w:val="right" w:pos="9072"/>
      </w:tabs>
      <w:jc w:val="both"/>
    </w:pPr>
    <w:rPr>
      <w:rFonts w:ascii="Univers" w:hAnsi="Univers"/>
      <w:sz w:val="24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BB39FA"/>
  </w:style>
  <w:style w:type="paragraph" w:styleId="Pta">
    <w:name w:val="footer"/>
    <w:basedOn w:val="Normlny"/>
    <w:link w:val="PtaChar"/>
    <w:uiPriority w:val="99"/>
    <w:semiHidden/>
    <w:rsid w:val="00366EBF"/>
    <w:pPr>
      <w:widowControl/>
      <w:tabs>
        <w:tab w:val="center" w:pos="4536"/>
        <w:tab w:val="right" w:pos="9072"/>
      </w:tabs>
      <w:jc w:val="both"/>
    </w:pPr>
    <w:rPr>
      <w:rFonts w:ascii="Univers" w:hAnsi="Univers"/>
      <w:sz w:val="24"/>
    </w:rPr>
  </w:style>
  <w:style w:type="character" w:customStyle="1" w:styleId="PtaChar">
    <w:name w:val="Päta Char"/>
    <w:basedOn w:val="Predvolenpsmoodseku"/>
    <w:link w:val="Pta"/>
    <w:uiPriority w:val="99"/>
    <w:semiHidden/>
    <w:rsid w:val="00BB39FA"/>
  </w:style>
  <w:style w:type="character" w:styleId="slostrany">
    <w:name w:val="page number"/>
    <w:basedOn w:val="Predvolenpsmoodseku"/>
    <w:uiPriority w:val="99"/>
    <w:semiHidden/>
    <w:rsid w:val="00366EBF"/>
  </w:style>
  <w:style w:type="paragraph" w:customStyle="1" w:styleId="BodyText24">
    <w:name w:val="Body Text 24"/>
    <w:basedOn w:val="Normlny"/>
    <w:rsid w:val="00366EBF"/>
    <w:pPr>
      <w:widowControl/>
      <w:jc w:val="both"/>
    </w:pPr>
    <w:rPr>
      <w:rFonts w:ascii="Arial" w:hAnsi="Arial"/>
    </w:rPr>
  </w:style>
  <w:style w:type="paragraph" w:customStyle="1" w:styleId="BodyText23">
    <w:name w:val="Body Text 23"/>
    <w:basedOn w:val="Normlny"/>
    <w:rsid w:val="00366EBF"/>
    <w:pPr>
      <w:spacing w:before="120"/>
      <w:ind w:left="60"/>
    </w:pPr>
    <w:rPr>
      <w:sz w:val="24"/>
    </w:rPr>
  </w:style>
  <w:style w:type="paragraph" w:customStyle="1" w:styleId="BodyText22">
    <w:name w:val="Body Text 22"/>
    <w:basedOn w:val="Normlny"/>
    <w:rsid w:val="00366EBF"/>
    <w:pPr>
      <w:spacing w:before="120"/>
    </w:pPr>
    <w:rPr>
      <w:sz w:val="24"/>
    </w:rPr>
  </w:style>
  <w:style w:type="paragraph" w:customStyle="1" w:styleId="BalloonText28">
    <w:name w:val="Balloon Text28"/>
    <w:basedOn w:val="Normlny"/>
    <w:rsid w:val="00366EBF"/>
    <w:rPr>
      <w:rFonts w:ascii="Tahoma" w:hAnsi="Tahoma"/>
      <w:sz w:val="16"/>
    </w:rPr>
  </w:style>
  <w:style w:type="paragraph" w:customStyle="1" w:styleId="BalloonText27">
    <w:name w:val="Balloon Text27"/>
    <w:basedOn w:val="Normlny"/>
    <w:rsid w:val="00366EBF"/>
    <w:rPr>
      <w:rFonts w:ascii="Tahoma" w:hAnsi="Tahoma"/>
      <w:sz w:val="16"/>
    </w:rPr>
  </w:style>
  <w:style w:type="paragraph" w:customStyle="1" w:styleId="BalloonText26">
    <w:name w:val="Balloon Text26"/>
    <w:basedOn w:val="Normlny"/>
    <w:rsid w:val="00366EBF"/>
    <w:rPr>
      <w:rFonts w:ascii="Tahoma" w:hAnsi="Tahoma"/>
      <w:sz w:val="16"/>
    </w:rPr>
  </w:style>
  <w:style w:type="paragraph" w:customStyle="1" w:styleId="BalloonText25">
    <w:name w:val="Balloon Text25"/>
    <w:basedOn w:val="Normlny"/>
    <w:rsid w:val="00366EBF"/>
    <w:rPr>
      <w:rFonts w:ascii="Tahoma" w:hAnsi="Tahoma"/>
      <w:sz w:val="16"/>
    </w:rPr>
  </w:style>
  <w:style w:type="paragraph" w:customStyle="1" w:styleId="BalloonText24">
    <w:name w:val="Balloon Text24"/>
    <w:basedOn w:val="Normlny"/>
    <w:rsid w:val="00366EBF"/>
    <w:rPr>
      <w:rFonts w:ascii="Tahoma" w:hAnsi="Tahoma"/>
      <w:sz w:val="16"/>
    </w:rPr>
  </w:style>
  <w:style w:type="paragraph" w:customStyle="1" w:styleId="BalloonText23">
    <w:name w:val="Balloon Text23"/>
    <w:basedOn w:val="Normlny"/>
    <w:rsid w:val="00366EBF"/>
    <w:rPr>
      <w:rFonts w:ascii="Tahoma" w:hAnsi="Tahoma"/>
      <w:sz w:val="16"/>
    </w:rPr>
  </w:style>
  <w:style w:type="paragraph" w:customStyle="1" w:styleId="BalloonText22">
    <w:name w:val="Balloon Text22"/>
    <w:basedOn w:val="Normlny"/>
    <w:rsid w:val="00366EBF"/>
    <w:rPr>
      <w:rFonts w:ascii="Tahoma" w:hAnsi="Tahoma"/>
      <w:sz w:val="16"/>
    </w:rPr>
  </w:style>
  <w:style w:type="paragraph" w:customStyle="1" w:styleId="BalloonText21">
    <w:name w:val="Balloon Text21"/>
    <w:basedOn w:val="Normlny"/>
    <w:rsid w:val="00366EBF"/>
    <w:rPr>
      <w:rFonts w:ascii="Tahoma" w:hAnsi="Tahoma"/>
      <w:sz w:val="16"/>
    </w:rPr>
  </w:style>
  <w:style w:type="paragraph" w:customStyle="1" w:styleId="BalloonText20">
    <w:name w:val="Balloon Text20"/>
    <w:basedOn w:val="Normlny"/>
    <w:rsid w:val="00366EBF"/>
    <w:rPr>
      <w:rFonts w:ascii="Tahoma" w:hAnsi="Tahoma"/>
      <w:sz w:val="16"/>
    </w:rPr>
  </w:style>
  <w:style w:type="paragraph" w:customStyle="1" w:styleId="BalloonText19">
    <w:name w:val="Balloon Text19"/>
    <w:basedOn w:val="Normlny"/>
    <w:rsid w:val="00366EBF"/>
    <w:rPr>
      <w:rFonts w:ascii="Tahoma" w:hAnsi="Tahoma"/>
      <w:sz w:val="16"/>
    </w:rPr>
  </w:style>
  <w:style w:type="paragraph" w:customStyle="1" w:styleId="BalloonText18">
    <w:name w:val="Balloon Text18"/>
    <w:basedOn w:val="Normlny"/>
    <w:rsid w:val="00366EBF"/>
    <w:rPr>
      <w:rFonts w:ascii="Tahoma" w:hAnsi="Tahoma"/>
      <w:sz w:val="16"/>
    </w:rPr>
  </w:style>
  <w:style w:type="paragraph" w:customStyle="1" w:styleId="BalloonText17">
    <w:name w:val="Balloon Text17"/>
    <w:basedOn w:val="Normlny"/>
    <w:rsid w:val="00366EBF"/>
    <w:rPr>
      <w:rFonts w:ascii="Tahoma" w:hAnsi="Tahoma"/>
      <w:sz w:val="16"/>
    </w:rPr>
  </w:style>
  <w:style w:type="paragraph" w:customStyle="1" w:styleId="BodyText21">
    <w:name w:val="Body Text 21"/>
    <w:basedOn w:val="Normlny"/>
    <w:rsid w:val="00632D62"/>
    <w:pPr>
      <w:widowControl/>
      <w:jc w:val="both"/>
    </w:pPr>
    <w:rPr>
      <w:rFonts w:ascii="Arial" w:hAnsi="Arial"/>
    </w:rPr>
  </w:style>
  <w:style w:type="paragraph" w:customStyle="1" w:styleId="BalloonText16">
    <w:name w:val="Balloon Text16"/>
    <w:basedOn w:val="Normlny"/>
    <w:rsid w:val="00366EBF"/>
    <w:rPr>
      <w:rFonts w:ascii="Tahoma" w:hAnsi="Tahoma"/>
      <w:sz w:val="16"/>
    </w:rPr>
  </w:style>
  <w:style w:type="paragraph" w:customStyle="1" w:styleId="BalloonText15">
    <w:name w:val="Balloon Text15"/>
    <w:basedOn w:val="Normlny"/>
    <w:rsid w:val="00366EBF"/>
    <w:rPr>
      <w:rFonts w:ascii="Tahoma" w:hAnsi="Tahoma"/>
      <w:sz w:val="16"/>
    </w:rPr>
  </w:style>
  <w:style w:type="paragraph" w:customStyle="1" w:styleId="BalloonText14">
    <w:name w:val="Balloon Text14"/>
    <w:basedOn w:val="Normlny"/>
    <w:rsid w:val="00366EBF"/>
    <w:rPr>
      <w:rFonts w:ascii="Tahoma" w:hAnsi="Tahoma"/>
      <w:sz w:val="16"/>
    </w:rPr>
  </w:style>
  <w:style w:type="paragraph" w:customStyle="1" w:styleId="BalloonText13">
    <w:name w:val="Balloon Text13"/>
    <w:basedOn w:val="Normlny"/>
    <w:rsid w:val="00366EBF"/>
    <w:rPr>
      <w:rFonts w:ascii="Tahoma" w:hAnsi="Tahoma"/>
      <w:sz w:val="16"/>
    </w:rPr>
  </w:style>
  <w:style w:type="paragraph" w:customStyle="1" w:styleId="BalloonText12">
    <w:name w:val="Balloon Text12"/>
    <w:basedOn w:val="Normlny"/>
    <w:rsid w:val="00366EBF"/>
    <w:rPr>
      <w:rFonts w:ascii="Tahoma" w:hAnsi="Tahoma"/>
      <w:sz w:val="16"/>
    </w:rPr>
  </w:style>
  <w:style w:type="paragraph" w:customStyle="1" w:styleId="BalloonText11">
    <w:name w:val="Balloon Text11"/>
    <w:basedOn w:val="Normlny"/>
    <w:rsid w:val="00366EBF"/>
    <w:rPr>
      <w:rFonts w:ascii="Tahoma" w:hAnsi="Tahoma"/>
      <w:sz w:val="16"/>
    </w:rPr>
  </w:style>
  <w:style w:type="paragraph" w:customStyle="1" w:styleId="BalloonText10">
    <w:name w:val="Balloon Text10"/>
    <w:basedOn w:val="Normlny"/>
    <w:rsid w:val="00366EBF"/>
    <w:rPr>
      <w:rFonts w:ascii="Tahoma" w:hAnsi="Tahoma"/>
      <w:sz w:val="16"/>
    </w:rPr>
  </w:style>
  <w:style w:type="paragraph" w:customStyle="1" w:styleId="BalloonText9">
    <w:name w:val="Balloon Text9"/>
    <w:basedOn w:val="Normlny"/>
    <w:rsid w:val="00366EBF"/>
    <w:rPr>
      <w:rFonts w:ascii="Tahoma" w:hAnsi="Tahoma"/>
      <w:sz w:val="16"/>
    </w:rPr>
  </w:style>
  <w:style w:type="paragraph" w:customStyle="1" w:styleId="BalloonText8">
    <w:name w:val="Balloon Text8"/>
    <w:basedOn w:val="Normlny"/>
    <w:rsid w:val="00366EBF"/>
    <w:rPr>
      <w:rFonts w:ascii="Tahoma" w:hAnsi="Tahoma"/>
      <w:sz w:val="16"/>
    </w:rPr>
  </w:style>
  <w:style w:type="paragraph" w:customStyle="1" w:styleId="BalloonText7">
    <w:name w:val="Balloon Text7"/>
    <w:basedOn w:val="Normlny"/>
    <w:rsid w:val="00366EBF"/>
    <w:rPr>
      <w:rFonts w:ascii="Tahoma" w:hAnsi="Tahoma"/>
      <w:sz w:val="16"/>
    </w:rPr>
  </w:style>
  <w:style w:type="paragraph" w:customStyle="1" w:styleId="BalloonText6">
    <w:name w:val="Balloon Text6"/>
    <w:basedOn w:val="Normlny"/>
    <w:rsid w:val="00366EBF"/>
    <w:rPr>
      <w:rFonts w:ascii="Tahoma" w:hAnsi="Tahoma"/>
      <w:sz w:val="16"/>
    </w:rPr>
  </w:style>
  <w:style w:type="paragraph" w:customStyle="1" w:styleId="BalloonText5">
    <w:name w:val="Balloon Text5"/>
    <w:basedOn w:val="Normlny"/>
    <w:rsid w:val="00366EBF"/>
    <w:rPr>
      <w:rFonts w:ascii="Tahoma" w:hAnsi="Tahoma"/>
      <w:sz w:val="16"/>
    </w:rPr>
  </w:style>
  <w:style w:type="paragraph" w:customStyle="1" w:styleId="BalloonText4">
    <w:name w:val="Balloon Text4"/>
    <w:basedOn w:val="Normlny"/>
    <w:rsid w:val="00366EBF"/>
    <w:rPr>
      <w:rFonts w:ascii="Tahoma" w:hAnsi="Tahoma"/>
      <w:sz w:val="16"/>
    </w:rPr>
  </w:style>
  <w:style w:type="paragraph" w:customStyle="1" w:styleId="BalloonText3">
    <w:name w:val="Balloon Text3"/>
    <w:basedOn w:val="Normlny"/>
    <w:rsid w:val="00366EBF"/>
    <w:rPr>
      <w:rFonts w:ascii="Tahoma" w:hAnsi="Tahoma"/>
      <w:sz w:val="16"/>
    </w:rPr>
  </w:style>
  <w:style w:type="paragraph" w:customStyle="1" w:styleId="BalloonText2">
    <w:name w:val="Balloon Text2"/>
    <w:basedOn w:val="Normlny"/>
    <w:rsid w:val="00366EBF"/>
    <w:rPr>
      <w:rFonts w:ascii="Tahoma" w:hAnsi="Tahoma"/>
      <w:sz w:val="16"/>
    </w:rPr>
  </w:style>
  <w:style w:type="paragraph" w:customStyle="1" w:styleId="BalloonText1">
    <w:name w:val="Balloon Text1"/>
    <w:basedOn w:val="Normlny"/>
    <w:rsid w:val="00366EBF"/>
    <w:rPr>
      <w:rFonts w:ascii="Tahoma" w:hAnsi="Tahoma"/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372D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C372D"/>
    <w:rPr>
      <w:rFonts w:ascii="Tahoma" w:hAnsi="Tahoma"/>
      <w:sz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844508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44508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44508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45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632D62"/>
    <w:rPr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B61464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BB39FA"/>
    <w:rPr>
      <w:sz w:val="0"/>
      <w:szCs w:val="0"/>
    </w:rPr>
  </w:style>
  <w:style w:type="character" w:styleId="Hypertextovprepojenie">
    <w:name w:val="Hyperlink"/>
    <w:basedOn w:val="Predvolenpsmoodseku"/>
    <w:uiPriority w:val="99"/>
    <w:rsid w:val="005E463F"/>
    <w:rPr>
      <w:color w:val="0000FF"/>
      <w:u w:val="single"/>
    </w:rPr>
  </w:style>
  <w:style w:type="character" w:customStyle="1" w:styleId="ZkladntextChar">
    <w:name w:val="Základný text Char"/>
    <w:link w:val="Zkladntext"/>
    <w:locked/>
    <w:rsid w:val="005E463F"/>
    <w:rPr>
      <w:sz w:val="24"/>
      <w:lang w:val="sk-SK" w:eastAsia="sk-SK"/>
    </w:rPr>
  </w:style>
  <w:style w:type="paragraph" w:styleId="Zkladntext">
    <w:name w:val="Body Text"/>
    <w:basedOn w:val="Normlny"/>
    <w:link w:val="ZkladntextChar"/>
    <w:rsid w:val="005E463F"/>
    <w:pPr>
      <w:widowControl/>
      <w:overflowPunct/>
      <w:autoSpaceDE/>
      <w:autoSpaceDN/>
      <w:adjustRightInd/>
      <w:spacing w:after="120"/>
      <w:textAlignment w:val="auto"/>
    </w:pPr>
    <w:rPr>
      <w:sz w:val="24"/>
    </w:rPr>
  </w:style>
  <w:style w:type="character" w:customStyle="1" w:styleId="BodyTextChar1">
    <w:name w:val="Body Text Char1"/>
    <w:basedOn w:val="Predvolenpsmoodseku"/>
    <w:link w:val="Zkladntext"/>
    <w:uiPriority w:val="99"/>
    <w:semiHidden/>
    <w:rsid w:val="00BB39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7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1624</Words>
  <Characters>9258</Characters>
  <Application>Microsoft Office Word</Application>
  <DocSecurity>0</DocSecurity>
  <Lines>77</Lines>
  <Paragraphs>21</Paragraphs>
  <ScaleCrop>false</ScaleCrop>
  <Company/>
  <LinksUpToDate>false</LinksUpToDate>
  <CharactersWithSpaces>10861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/>
  <dc:creator>volekova</dc:creator>
  <cp:keywords/>
  <dc:description/>
  <cp:lastModifiedBy> Jana Repiščáková</cp:lastModifiedBy>
  <cp:revision>4</cp:revision>
  <cp:lastPrinted>2013-09-20T07:45:00Z</cp:lastPrinted>
  <dcterms:created xsi:type="dcterms:W3CDTF">2016-11-22T11:35:00Z</dcterms:created>
  <dcterms:modified xsi:type="dcterms:W3CDTF">2017-01-13T07:06:00Z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