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37" w:rsidRPr="00ED4FD9" w:rsidRDefault="00104237" w:rsidP="009B6482">
      <w:pPr>
        <w:pStyle w:val="Hlavika"/>
        <w:rPr>
          <w:rFonts w:ascii="Times New Roman" w:hAnsi="Times New Roman"/>
          <w:sz w:val="18"/>
          <w:szCs w:val="18"/>
          <w:lang w:val="sk-SK"/>
        </w:rPr>
      </w:pPr>
      <w:r>
        <w:rPr>
          <w:rFonts w:ascii="Times New Roman" w:hAnsi="Times New Roman"/>
          <w:sz w:val="18"/>
          <w:szCs w:val="18"/>
          <w:lang w:val="sk-SK"/>
        </w:rPr>
        <w:t>Príloha č.2 k notifikácii o zmene,</w:t>
      </w:r>
      <w:r w:rsidRPr="004D3665">
        <w:rPr>
          <w:rFonts w:ascii="Times New Roman" w:hAnsi="Times New Roman"/>
          <w:sz w:val="18"/>
          <w:szCs w:val="18"/>
          <w:lang w:val="sk-SK"/>
        </w:rPr>
        <w:t xml:space="preserve"> </w:t>
      </w:r>
      <w:proofErr w:type="spellStart"/>
      <w:r w:rsidRPr="004D3665">
        <w:rPr>
          <w:rFonts w:ascii="Times New Roman" w:hAnsi="Times New Roman"/>
          <w:sz w:val="18"/>
          <w:szCs w:val="18"/>
          <w:lang w:val="sk-SK"/>
        </w:rPr>
        <w:t>ev.č</w:t>
      </w:r>
      <w:proofErr w:type="spellEnd"/>
      <w:r w:rsidRPr="004D3665">
        <w:rPr>
          <w:rFonts w:ascii="Times New Roman" w:hAnsi="Times New Roman"/>
          <w:sz w:val="18"/>
          <w:szCs w:val="18"/>
          <w:lang w:val="sk-SK"/>
        </w:rPr>
        <w:t>.:</w:t>
      </w:r>
      <w:r>
        <w:rPr>
          <w:rFonts w:ascii="Times New Roman" w:hAnsi="Times New Roman"/>
          <w:sz w:val="18"/>
          <w:szCs w:val="18"/>
          <w:lang w:val="sk-SK"/>
        </w:rPr>
        <w:t xml:space="preserve"> </w:t>
      </w:r>
      <w:r>
        <w:rPr>
          <w:rFonts w:ascii="Times New Roman" w:hAnsi="Times New Roman"/>
          <w:sz w:val="18"/>
          <w:szCs w:val="18"/>
        </w:rPr>
        <w:t>2016/05783-Z1A</w:t>
      </w:r>
    </w:p>
    <w:p w:rsidR="00104237" w:rsidRDefault="00104237" w:rsidP="00521BBA">
      <w:pPr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104237" w:rsidRDefault="00104237" w:rsidP="0036265C">
      <w:pPr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</w:p>
    <w:p w:rsidR="00104237" w:rsidRPr="004D3665" w:rsidRDefault="00104237" w:rsidP="0036265C">
      <w:pPr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4D3665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:rsidR="00104237" w:rsidRPr="004D3665" w:rsidRDefault="00104237" w:rsidP="0036265C">
      <w:pPr>
        <w:rPr>
          <w:rFonts w:ascii="Times New Roman" w:hAnsi="Times New Roman"/>
          <w:sz w:val="22"/>
          <w:szCs w:val="22"/>
          <w:lang w:val="sk-SK"/>
        </w:rPr>
      </w:pPr>
    </w:p>
    <w:p w:rsidR="00104237" w:rsidRPr="004D3665" w:rsidRDefault="00104237" w:rsidP="0036265C">
      <w:pPr>
        <w:rPr>
          <w:rFonts w:ascii="Times New Roman" w:hAnsi="Times New Roman"/>
          <w:sz w:val="22"/>
          <w:szCs w:val="22"/>
          <w:lang w:val="sk-SK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1.</w:t>
      </w:r>
      <w:r w:rsidRPr="00895868">
        <w:rPr>
          <w:rFonts w:ascii="Times New Roman" w:hAnsi="Times New Roman"/>
          <w:caps/>
          <w:sz w:val="22"/>
          <w:szCs w:val="22"/>
        </w:rPr>
        <w:tab/>
        <w:t>Názov lieku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PAMYCON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na prípravu kvapiek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prášok na prípravu kvapiek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2.</w:t>
      </w:r>
      <w:r w:rsidRPr="00895868">
        <w:rPr>
          <w:rFonts w:ascii="Times New Roman" w:hAnsi="Times New Roman"/>
          <w:caps/>
          <w:sz w:val="22"/>
          <w:szCs w:val="22"/>
        </w:rPr>
        <w:tab/>
        <w:t xml:space="preserve">Kvalitatívne a kvantitatívne zloŽenie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Neomycíniumsulfát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33 000 medzinárodných jednotiek,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bacitracín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2 500 medzinárodných jednotiek v 1 fľaštičke.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Úplný zoznam pomocných látok, pozri časť 6.1.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3.</w:t>
      </w:r>
      <w:r w:rsidRPr="00895868">
        <w:rPr>
          <w:rFonts w:ascii="Times New Roman" w:hAnsi="Times New Roman"/>
          <w:caps/>
          <w:sz w:val="22"/>
          <w:szCs w:val="22"/>
        </w:rPr>
        <w:tab/>
        <w:t>Lieková forma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Prášok na prípravu kvapiek </w:t>
      </w:r>
      <w:r>
        <w:rPr>
          <w:rFonts w:ascii="Times New Roman" w:hAnsi="Times New Roman"/>
          <w:b w:val="0"/>
          <w:sz w:val="22"/>
          <w:szCs w:val="22"/>
        </w:rPr>
        <w:t>žltkastej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farby.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4.</w:t>
      </w:r>
      <w:r w:rsidRPr="00895868">
        <w:rPr>
          <w:rFonts w:ascii="Times New Roman" w:hAnsi="Times New Roman"/>
          <w:caps/>
          <w:sz w:val="22"/>
          <w:szCs w:val="22"/>
        </w:rPr>
        <w:tab/>
        <w:t>Klinické údaje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 xml:space="preserve">4.1 </w:t>
      </w:r>
      <w:r w:rsidRPr="00895868">
        <w:rPr>
          <w:rFonts w:ascii="Times New Roman" w:hAnsi="Times New Roman"/>
          <w:sz w:val="22"/>
          <w:szCs w:val="22"/>
        </w:rPr>
        <w:tab/>
        <w:t>Terapeutické indikácie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V chirurgii – na liečbu infikovaných rán a poranení.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V pôrodníctve a gynekológii - na liečbu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ragád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bradaviek,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mastitíd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 abscesov v čase dojčenia, bakteriálnych fluórov v indikovaných prípadoch.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V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oftalmológii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- na liečbu akútnych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konjunktivitíd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(vrátane hnisavých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konjunktivitíd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novorodencov), akútnych zápalov rohovky, infikovaných erózií rohovky,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dakryocystitíd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blefarokonjunktivitíd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hordeolózy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 pri predoperačnej príprave na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vnútroočné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operácie.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V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otorinolaryngológii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– na liečbu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otitis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externa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otitis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media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suppurativa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chronica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sinusitis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maxillaris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>, infekcií sliznice horných a dolných dýchacích ciest a pri bronchiektáziách a ďalej pri pooperačnej starostlivosti po ušných operáciách.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 xml:space="preserve">4.2 </w:t>
      </w:r>
      <w:r w:rsidRPr="00895868">
        <w:rPr>
          <w:rFonts w:ascii="Times New Roman" w:hAnsi="Times New Roman"/>
          <w:sz w:val="22"/>
          <w:szCs w:val="22"/>
        </w:rPr>
        <w:tab/>
        <w:t>Dávkovanie a spôsob podávania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895868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  <w:r w:rsidRPr="00895868">
        <w:rPr>
          <w:rFonts w:ascii="Times New Roman" w:hAnsi="Times New Roman"/>
          <w:sz w:val="22"/>
          <w:szCs w:val="22"/>
          <w:lang w:val="sk-SK"/>
        </w:rPr>
        <w:t xml:space="preserve">Do ucha sa kvapká obvykle 2 až 5 kvapiek 2 krát denne, do nosa 2 až 5 kvapiek </w:t>
      </w:r>
      <w:smartTag w:uri="urn:schemas-microsoft-com:office:smarttags" w:element="metricconverter">
        <w:smartTagPr>
          <w:attr w:name="ProductID" w:val="3 a"/>
        </w:smartTagPr>
        <w:r w:rsidRPr="00895868">
          <w:rPr>
            <w:rFonts w:ascii="Times New Roman" w:hAnsi="Times New Roman"/>
            <w:sz w:val="22"/>
            <w:szCs w:val="22"/>
            <w:lang w:val="sk-SK"/>
          </w:rPr>
          <w:t>3 a</w:t>
        </w:r>
      </w:smartTag>
      <w:r w:rsidRPr="00895868">
        <w:rPr>
          <w:rFonts w:ascii="Times New Roman" w:hAnsi="Times New Roman"/>
          <w:sz w:val="22"/>
          <w:szCs w:val="22"/>
          <w:lang w:val="sk-SK"/>
        </w:rPr>
        <w:t xml:space="preserve"> viackrát denne, do oka 1 až 2 kvapky 4 až 6 krát denne. O dĺžke liečby rozhodne vždy lekár. 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</w:p>
    <w:p w:rsidR="00104237" w:rsidRPr="00895868" w:rsidRDefault="00104237" w:rsidP="00895868">
      <w:pPr>
        <w:rPr>
          <w:rFonts w:ascii="Times New Roman" w:hAnsi="Times New Roman"/>
          <w:i/>
          <w:sz w:val="22"/>
          <w:szCs w:val="22"/>
          <w:lang w:val="sk-SK"/>
        </w:rPr>
      </w:pPr>
      <w:r w:rsidRPr="00895868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  <w:r w:rsidRPr="00895868">
        <w:rPr>
          <w:rFonts w:ascii="Times New Roman" w:hAnsi="Times New Roman"/>
          <w:sz w:val="22"/>
          <w:szCs w:val="22"/>
          <w:lang w:val="sk-SK"/>
        </w:rPr>
        <w:t>Dávkovanie je rovnaké ako u dospelých.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895868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  <w:r w:rsidRPr="00895868">
        <w:rPr>
          <w:rFonts w:ascii="Times New Roman" w:hAnsi="Times New Roman"/>
          <w:sz w:val="22"/>
          <w:szCs w:val="22"/>
          <w:lang w:val="sk-SK"/>
        </w:rPr>
        <w:t xml:space="preserve">Roztok sa kvapká priamo na infikované miesto tak často, ako určí lekár. Roztok sa aplikuje výlučne lokálne; </w:t>
      </w:r>
      <w:proofErr w:type="spellStart"/>
      <w:r w:rsidRPr="00895868">
        <w:rPr>
          <w:rFonts w:ascii="Times New Roman" w:hAnsi="Times New Roman"/>
          <w:sz w:val="22"/>
          <w:szCs w:val="22"/>
          <w:lang w:val="sk-SK"/>
        </w:rPr>
        <w:t>instiluje</w:t>
      </w:r>
      <w:proofErr w:type="spellEnd"/>
      <w:r w:rsidRPr="0089586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895868">
        <w:rPr>
          <w:rFonts w:ascii="Times New Roman" w:hAnsi="Times New Roman"/>
          <w:sz w:val="22"/>
          <w:szCs w:val="22"/>
          <w:lang w:val="sk-SK"/>
        </w:rPr>
        <w:t xml:space="preserve">priamo do infikovaného miesta alebo sa roztokom </w:t>
      </w:r>
      <w:r>
        <w:rPr>
          <w:rFonts w:ascii="Times New Roman" w:hAnsi="Times New Roman"/>
          <w:sz w:val="22"/>
          <w:szCs w:val="22"/>
          <w:lang w:val="sk-SK"/>
        </w:rPr>
        <w:t>PAMYCONU</w:t>
      </w:r>
      <w:r w:rsidRPr="00895868">
        <w:rPr>
          <w:rFonts w:ascii="Times New Roman" w:hAnsi="Times New Roman"/>
          <w:sz w:val="22"/>
          <w:szCs w:val="22"/>
          <w:lang w:val="sk-SK"/>
        </w:rPr>
        <w:t xml:space="preserve"> nasýtené prúžky gázy vkladajú do infikovaných miest a prikvapkávaním roztoku sa gáza udržuje stále vlhká.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895868">
        <w:rPr>
          <w:rFonts w:ascii="Times New Roman" w:hAnsi="Times New Roman"/>
          <w:i/>
          <w:sz w:val="22"/>
          <w:szCs w:val="22"/>
          <w:lang w:val="sk-SK"/>
        </w:rPr>
        <w:lastRenderedPageBreak/>
        <w:t>Opatrenia pred zaobchádzaním alebo podaním lieku</w:t>
      </w:r>
    </w:p>
    <w:p w:rsidR="00104237" w:rsidRDefault="00104237" w:rsidP="008958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895868">
        <w:rPr>
          <w:rFonts w:ascii="Times New Roman" w:hAnsi="Times New Roman"/>
          <w:sz w:val="22"/>
          <w:szCs w:val="22"/>
          <w:lang w:val="sk-SK"/>
        </w:rPr>
        <w:t xml:space="preserve">Pokyny na </w:t>
      </w:r>
      <w:r w:rsidRPr="00895868">
        <w:rPr>
          <w:rFonts w:ascii="Times New Roman" w:hAnsi="Times New Roman"/>
          <w:noProof/>
          <w:sz w:val="22"/>
          <w:szCs w:val="24"/>
          <w:lang w:val="sk-SK"/>
        </w:rPr>
        <w:t>rekonštitúciu</w:t>
      </w:r>
      <w:r w:rsidRPr="00895868">
        <w:rPr>
          <w:rFonts w:ascii="Times New Roman" w:hAnsi="Times New Roman"/>
          <w:sz w:val="22"/>
          <w:szCs w:val="22"/>
          <w:lang w:val="sk-SK"/>
        </w:rPr>
        <w:t xml:space="preserve"> lieku pred podaním, pozri časť 6.6.</w:t>
      </w:r>
    </w:p>
    <w:p w:rsidR="00104237" w:rsidRDefault="00104237" w:rsidP="008958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4.3</w:t>
      </w:r>
      <w:r w:rsidRPr="00895868">
        <w:rPr>
          <w:rFonts w:ascii="Times New Roman" w:hAnsi="Times New Roman"/>
          <w:sz w:val="22"/>
          <w:szCs w:val="22"/>
        </w:rPr>
        <w:tab/>
        <w:t>Kontraindikácie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Precitlivenosť na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a/alebo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bacitracín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alebo na ktorúkoľvek z pomocných látok uvedených v časti 6.1.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Liek sa nesmie aplikovať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parenterálne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 ani na rozsiahle plochy, najmä ak sú erodované a mokvajúce, vred predkolenia (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ulcus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cruris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) 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varikózny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terén predkolenia. Neodporúča sa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instilácia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do telových dutín (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peritoneálna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intrapleurálna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>) pre možný výskyt závažných toxických účinkov.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4.4</w:t>
      </w:r>
      <w:r w:rsidRPr="00895868">
        <w:rPr>
          <w:rFonts w:ascii="Times New Roman" w:hAnsi="Times New Roman"/>
          <w:sz w:val="22"/>
          <w:szCs w:val="22"/>
        </w:rPr>
        <w:tab/>
        <w:t>Osobitné upozornenia a opatrenia pri používaní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Liek sa nesmie používať </w:t>
      </w:r>
      <w:r>
        <w:rPr>
          <w:rFonts w:ascii="Times New Roman" w:hAnsi="Times New Roman"/>
          <w:b w:val="0"/>
          <w:sz w:val="22"/>
          <w:szCs w:val="22"/>
        </w:rPr>
        <w:t>pri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infekčných proceso</w:t>
      </w:r>
      <w:r>
        <w:rPr>
          <w:rFonts w:ascii="Times New Roman" w:hAnsi="Times New Roman"/>
          <w:b w:val="0"/>
          <w:sz w:val="22"/>
          <w:szCs w:val="22"/>
        </w:rPr>
        <w:t>ch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vyvolaných necitlivou mikroflórou, napríklad kvasinkami a plesňami alebo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nozokomiálnymi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kmeňmi rezistentnými na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>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Racionálna terapia </w:t>
      </w:r>
      <w:r>
        <w:rPr>
          <w:rFonts w:ascii="Times New Roman" w:hAnsi="Times New Roman"/>
          <w:b w:val="0"/>
          <w:sz w:val="22"/>
          <w:szCs w:val="22"/>
        </w:rPr>
        <w:t>PAMYCONOM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sa má opierať o výsledky mikrobiologického vyšetrenia 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antibiogramov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ktoré sa majú vykonať nielen na začiatku, ale aj v priebehu liečenia. Ak sa po aplikácii lieku podráždi pokožka, ide pravdepodobne o precitlivenosť, ktorá sa dá dokázať plátkovým testom s masťou alebo roztokom </w:t>
      </w:r>
      <w:r>
        <w:rPr>
          <w:rFonts w:ascii="Times New Roman" w:hAnsi="Times New Roman"/>
          <w:b w:val="0"/>
          <w:sz w:val="22"/>
          <w:szCs w:val="22"/>
        </w:rPr>
        <w:t>PAMYCONU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(poprípade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neomycínu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). Pri pozitívnom výsledku treba liečbu prerušiť a chorého upozorniť, že ani v budúcnosti sa nesmie liečiť </w:t>
      </w:r>
      <w:r>
        <w:rPr>
          <w:rFonts w:ascii="Times New Roman" w:hAnsi="Times New Roman"/>
          <w:b w:val="0"/>
          <w:sz w:val="22"/>
          <w:szCs w:val="22"/>
        </w:rPr>
        <w:t>PAMYCONOM</w:t>
      </w:r>
      <w:r w:rsidRPr="00895868">
        <w:rPr>
          <w:rFonts w:ascii="Times New Roman" w:hAnsi="Times New Roman"/>
          <w:b w:val="0"/>
          <w:sz w:val="22"/>
          <w:szCs w:val="22"/>
        </w:rPr>
        <w:t>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4.5</w:t>
      </w:r>
      <w:r w:rsidRPr="00895868">
        <w:rPr>
          <w:rFonts w:ascii="Times New Roman" w:hAnsi="Times New Roman"/>
          <w:sz w:val="22"/>
          <w:szCs w:val="22"/>
        </w:rPr>
        <w:tab/>
        <w:t>Liekové a iné interakcie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Pri vonkajšej aplikácii sa liečivá </w:t>
      </w:r>
      <w:r>
        <w:rPr>
          <w:rFonts w:ascii="Times New Roman" w:hAnsi="Times New Roman"/>
          <w:b w:val="0"/>
          <w:sz w:val="22"/>
          <w:szCs w:val="22"/>
        </w:rPr>
        <w:t>PAMYCONU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nedostávajú do krvného obehu, a preto nehrozí riziko vzájomného ovplyvnenia účinku s iným liečivom.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4.6</w:t>
      </w:r>
      <w:r w:rsidRPr="00895868">
        <w:rPr>
          <w:rFonts w:ascii="Times New Roman" w:hAnsi="Times New Roman"/>
          <w:sz w:val="22"/>
          <w:szCs w:val="22"/>
        </w:rPr>
        <w:tab/>
      </w:r>
      <w:proofErr w:type="spellStart"/>
      <w:r w:rsidRPr="00895868">
        <w:rPr>
          <w:rFonts w:ascii="Times New Roman" w:hAnsi="Times New Roman"/>
          <w:sz w:val="22"/>
          <w:szCs w:val="22"/>
        </w:rPr>
        <w:t>Fertilita</w:t>
      </w:r>
      <w:proofErr w:type="spellEnd"/>
      <w:r w:rsidRPr="00895868">
        <w:rPr>
          <w:rFonts w:ascii="Times New Roman" w:hAnsi="Times New Roman"/>
          <w:sz w:val="22"/>
          <w:szCs w:val="22"/>
        </w:rPr>
        <w:t>, gravidita a laktácia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F443AC">
        <w:rPr>
          <w:rFonts w:ascii="Times New Roman" w:hAnsi="Times New Roman"/>
          <w:b w:val="0"/>
          <w:sz w:val="22"/>
          <w:szCs w:val="22"/>
          <w:u w:val="single"/>
        </w:rPr>
        <w:t>Gravidita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F443AC">
        <w:rPr>
          <w:rFonts w:ascii="Times New Roman" w:hAnsi="Times New Roman"/>
          <w:b w:val="0"/>
          <w:sz w:val="22"/>
          <w:szCs w:val="22"/>
        </w:rPr>
        <w:t xml:space="preserve">Pri odporúčanom spôsobe podávania sa neočakáva nepriaznivý vplyv na plod v priebehu tehotenstva. 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275C62"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F443AC">
        <w:rPr>
          <w:rFonts w:ascii="Times New Roman" w:hAnsi="Times New Roman"/>
          <w:b w:val="0"/>
          <w:sz w:val="22"/>
          <w:szCs w:val="22"/>
        </w:rPr>
        <w:t xml:space="preserve">Použitie počas laktácie nie je spojené s výskytom nežiaducich účinkov u dojčiat, pretože pri lokálnom použití liečivá neprestupujú do ľudského mlieka. Použitie PAMYCONU na liečbu </w:t>
      </w:r>
      <w:proofErr w:type="spellStart"/>
      <w:r w:rsidRPr="00F443AC">
        <w:rPr>
          <w:rFonts w:ascii="Times New Roman" w:hAnsi="Times New Roman"/>
          <w:b w:val="0"/>
          <w:sz w:val="22"/>
          <w:szCs w:val="22"/>
        </w:rPr>
        <w:t>ragád</w:t>
      </w:r>
      <w:proofErr w:type="spellEnd"/>
      <w:r w:rsidRPr="00F443AC">
        <w:rPr>
          <w:rFonts w:ascii="Times New Roman" w:hAnsi="Times New Roman"/>
          <w:b w:val="0"/>
          <w:sz w:val="22"/>
          <w:szCs w:val="22"/>
        </w:rPr>
        <w:t xml:space="preserve"> bradaviek u matky nie je spojené s výskytom nežiaducich účinkov (</w:t>
      </w:r>
      <w:proofErr w:type="spellStart"/>
      <w:r w:rsidRPr="00F443AC">
        <w:rPr>
          <w:rFonts w:ascii="Times New Roman" w:hAnsi="Times New Roman"/>
          <w:b w:val="0"/>
          <w:sz w:val="22"/>
          <w:szCs w:val="22"/>
        </w:rPr>
        <w:t>ototoxicita</w:t>
      </w:r>
      <w:proofErr w:type="spellEnd"/>
      <w:r w:rsidRPr="00F443AC">
        <w:rPr>
          <w:rFonts w:ascii="Times New Roman" w:hAnsi="Times New Roman"/>
          <w:b w:val="0"/>
          <w:sz w:val="22"/>
          <w:szCs w:val="22"/>
        </w:rPr>
        <w:t>, ovplyvnenie mikroflóry čreva) u dojčiat, pretože koncentrácia účinných látok v správne pripravenom roztoku je nízka.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9B6482" w:rsidRDefault="00104237" w:rsidP="009E6215">
      <w:pPr>
        <w:shd w:val="clear" w:color="auto" w:fill="FFFFFF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9B6482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:rsidR="00104237" w:rsidRPr="00F443AC" w:rsidRDefault="00104237" w:rsidP="009E6215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 w:rsidRPr="00F443AC">
        <w:rPr>
          <w:rFonts w:ascii="Times New Roman" w:hAnsi="Times New Roman"/>
          <w:sz w:val="22"/>
          <w:szCs w:val="22"/>
        </w:rPr>
        <w:t xml:space="preserve">Nie sú k dispozícii údaje o účinkoch lieku na plodnosť u ľudí. 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F443AC">
        <w:rPr>
          <w:rFonts w:ascii="Times New Roman" w:hAnsi="Times New Roman"/>
          <w:sz w:val="22"/>
          <w:szCs w:val="22"/>
        </w:rPr>
        <w:t>4.7</w:t>
      </w:r>
      <w:r w:rsidRPr="00F443AC">
        <w:rPr>
          <w:rFonts w:ascii="Times New Roman" w:hAnsi="Times New Roman"/>
          <w:sz w:val="22"/>
          <w:szCs w:val="22"/>
        </w:rPr>
        <w:tab/>
        <w:t>Ovplyvnenie schopnosti viesť vozidlá a obsluhovať stroje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F443AC">
        <w:rPr>
          <w:rFonts w:ascii="Times New Roman" w:hAnsi="Times New Roman"/>
          <w:b w:val="0"/>
          <w:sz w:val="22"/>
          <w:szCs w:val="22"/>
        </w:rPr>
        <w:t>Netýka sa.</w:t>
      </w:r>
    </w:p>
    <w:p w:rsidR="00104237" w:rsidRPr="00F443AC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F443AC">
        <w:rPr>
          <w:rFonts w:ascii="Times New Roman" w:hAnsi="Times New Roman"/>
          <w:sz w:val="22"/>
          <w:szCs w:val="22"/>
        </w:rPr>
        <w:t>4.8</w:t>
      </w:r>
      <w:r w:rsidRPr="00F443AC">
        <w:rPr>
          <w:rFonts w:ascii="Times New Roman" w:hAnsi="Times New Roman"/>
          <w:sz w:val="22"/>
          <w:szCs w:val="22"/>
        </w:rPr>
        <w:tab/>
        <w:t>Nežiaduce účinky</w:t>
      </w:r>
    </w:p>
    <w:p w:rsidR="00104237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000000" w:rsidRDefault="00104237">
      <w:pPr>
        <w:rPr>
          <w:rFonts w:ascii="Times New Roman" w:hAnsi="Times New Roman"/>
          <w:sz w:val="22"/>
          <w:szCs w:val="22"/>
          <w:u w:val="single"/>
          <w:lang w:val="sk-SK" w:eastAsia="en-US"/>
        </w:rPr>
      </w:pPr>
      <w:r w:rsidRPr="00C70E61">
        <w:rPr>
          <w:rFonts w:ascii="Times New Roman" w:hAnsi="Times New Roman"/>
          <w:sz w:val="22"/>
          <w:szCs w:val="22"/>
          <w:u w:val="single"/>
          <w:lang w:val="sk-SK" w:eastAsia="en-US"/>
        </w:rPr>
        <w:t>Asi u 5 až 15 % liečených sa vyskytujú alergické reakcie:</w:t>
      </w:r>
    </w:p>
    <w:p w:rsidR="00000000" w:rsidRDefault="00104237">
      <w:pPr>
        <w:rPr>
          <w:rFonts w:ascii="Times New Roman" w:hAnsi="Times New Roman"/>
          <w:i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Poruchy kože a podkožného tkaniva</w:t>
      </w:r>
    </w:p>
    <w:p w:rsidR="00000000" w:rsidRDefault="00104237">
      <w:pPr>
        <w:rPr>
          <w:rFonts w:ascii="Times New Roman" w:hAnsi="Times New Roman"/>
          <w:sz w:val="22"/>
          <w:szCs w:val="22"/>
          <w:lang w:val="sk-SK" w:eastAsia="en-US"/>
        </w:rPr>
      </w:pPr>
      <w:r w:rsidRPr="00C70E61">
        <w:rPr>
          <w:rFonts w:ascii="Times New Roman" w:hAnsi="Times New Roman"/>
          <w:sz w:val="22"/>
          <w:szCs w:val="22"/>
          <w:lang w:val="sk-SK" w:eastAsia="en-US"/>
        </w:rPr>
        <w:t>-kontaktná dermatitída</w:t>
      </w:r>
    </w:p>
    <w:p w:rsidR="00000000" w:rsidRDefault="00104237">
      <w:pPr>
        <w:rPr>
          <w:rFonts w:ascii="Times New Roman" w:hAnsi="Times New Roman"/>
          <w:i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Poruchy oka</w:t>
      </w:r>
    </w:p>
    <w:p w:rsidR="00000000" w:rsidRDefault="00104237">
      <w:pPr>
        <w:rPr>
          <w:rFonts w:ascii="Times New Roman" w:hAnsi="Times New Roman"/>
          <w:sz w:val="22"/>
          <w:szCs w:val="22"/>
          <w:lang w:val="sk-SK" w:eastAsia="en-US"/>
        </w:rPr>
      </w:pPr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-</w:t>
      </w:r>
      <w:r w:rsidRPr="00C70E61">
        <w:rPr>
          <w:rFonts w:ascii="Times New Roman" w:hAnsi="Times New Roman"/>
          <w:b/>
          <w:sz w:val="22"/>
          <w:szCs w:val="22"/>
          <w:lang w:val="sk-SK" w:eastAsia="en-US"/>
        </w:rPr>
        <w:t xml:space="preserve"> </w:t>
      </w:r>
      <w:r w:rsidRPr="00C70E61">
        <w:rPr>
          <w:rFonts w:ascii="Times New Roman" w:hAnsi="Times New Roman"/>
          <w:sz w:val="22"/>
          <w:szCs w:val="22"/>
          <w:lang w:val="sk-SK" w:eastAsia="en-US"/>
        </w:rPr>
        <w:t xml:space="preserve">alergické 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/>
        </w:rPr>
        <w:t>konjunktivitídy</w:t>
      </w:r>
      <w:proofErr w:type="spellEnd"/>
    </w:p>
    <w:p w:rsidR="00000000" w:rsidRDefault="00104237">
      <w:pPr>
        <w:rPr>
          <w:rFonts w:ascii="Times New Roman" w:hAnsi="Times New Roman"/>
          <w:i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Poruchy imunitného systému</w:t>
      </w:r>
    </w:p>
    <w:p w:rsidR="00000000" w:rsidRDefault="00104237">
      <w:pPr>
        <w:rPr>
          <w:rFonts w:ascii="Times New Roman" w:hAnsi="Times New Roman"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lastRenderedPageBreak/>
        <w:t xml:space="preserve">- riziko 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anafylaktického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 xml:space="preserve"> šoku</w:t>
      </w:r>
    </w:p>
    <w:p w:rsidR="00000000" w:rsidRDefault="00104237">
      <w:pPr>
        <w:rPr>
          <w:rFonts w:ascii="Times New Roman" w:hAnsi="Times New Roman"/>
          <w:i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Celkové poruchy a reakcie v mieste podania</w:t>
      </w:r>
    </w:p>
    <w:p w:rsidR="00000000" w:rsidRDefault="00104237">
      <w:pPr>
        <w:rPr>
          <w:rFonts w:ascii="Times New Roman" w:hAnsi="Times New Roman"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-</w:t>
      </w:r>
      <w:r w:rsidRPr="00C70E61">
        <w:rPr>
          <w:rFonts w:ascii="Times New Roman" w:hAnsi="Times New Roman"/>
          <w:b/>
          <w:sz w:val="22"/>
          <w:szCs w:val="22"/>
          <w:lang w:val="sk-SK" w:eastAsia="en-US"/>
        </w:rPr>
        <w:t xml:space="preserve"> 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/>
        </w:rPr>
        <w:t>senzibilizácia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/>
        </w:rPr>
        <w:t xml:space="preserve"> (najmä na 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/>
        </w:rPr>
        <w:t>neomycín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/>
        </w:rPr>
        <w:t>) predovšetkým pri dlhšie trvajúcej alebo opakovanej lokálnej aplikácii</w:t>
      </w:r>
    </w:p>
    <w:p w:rsidR="00000000" w:rsidRDefault="00104237">
      <w:pPr>
        <w:rPr>
          <w:rFonts w:ascii="Times New Roman" w:hAnsi="Times New Roman"/>
          <w:sz w:val="22"/>
          <w:szCs w:val="22"/>
          <w:u w:val="single"/>
          <w:lang w:val="sk-SK" w:eastAsia="en-US" w:bidi="si-LK"/>
        </w:rPr>
      </w:pPr>
      <w:r w:rsidRPr="00C70E61">
        <w:rPr>
          <w:rFonts w:ascii="Times New Roman" w:hAnsi="Times New Roman"/>
          <w:sz w:val="22"/>
          <w:szCs w:val="22"/>
          <w:u w:val="single"/>
          <w:lang w:val="sk-SK" w:eastAsia="en-US" w:bidi="si-LK"/>
        </w:rPr>
        <w:t>Ďalšie nežiaduce účinky:</w:t>
      </w:r>
    </w:p>
    <w:p w:rsidR="00000000" w:rsidRDefault="00104237">
      <w:pPr>
        <w:rPr>
          <w:rFonts w:ascii="Times New Roman" w:hAnsi="Times New Roman"/>
          <w:i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Poruchy nervového systému</w:t>
      </w:r>
    </w:p>
    <w:p w:rsidR="00000000" w:rsidRDefault="00104237">
      <w:pPr>
        <w:rPr>
          <w:rFonts w:ascii="Times New Roman" w:hAnsi="Times New Roman"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-</w:t>
      </w:r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 xml:space="preserve"> ireverzibilné poškodenie sluchovej vetvy VIII. hlavového nervu s čiastočnou až úplnou hluchotou (po 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neomycíne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).</w:t>
      </w:r>
    </w:p>
    <w:p w:rsidR="00000000" w:rsidRDefault="00104237">
      <w:pPr>
        <w:rPr>
          <w:rFonts w:ascii="Times New Roman" w:hAnsi="Times New Roman"/>
          <w:i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i/>
          <w:sz w:val="22"/>
          <w:szCs w:val="22"/>
          <w:lang w:val="sk-SK" w:eastAsia="en-US" w:bidi="si-LK"/>
        </w:rPr>
        <w:t>Poruchy obličiek a močových ciest</w:t>
      </w:r>
    </w:p>
    <w:p w:rsidR="00000000" w:rsidRDefault="00104237">
      <w:pPr>
        <w:rPr>
          <w:rFonts w:ascii="Times New Roman" w:hAnsi="Times New Roman"/>
          <w:sz w:val="22"/>
          <w:szCs w:val="22"/>
          <w:lang w:val="sk-SK" w:eastAsia="en-US" w:bidi="si-LK"/>
        </w:rPr>
      </w:pPr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-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nefrotoxicita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 xml:space="preserve"> (po absorpcii väčšieho množstva 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neomycínu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 xml:space="preserve"> a </w:t>
      </w:r>
      <w:proofErr w:type="spellStart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bacitracínu</w:t>
      </w:r>
      <w:proofErr w:type="spellEnd"/>
      <w:r w:rsidRPr="00C70E61">
        <w:rPr>
          <w:rFonts w:ascii="Times New Roman" w:hAnsi="Times New Roman"/>
          <w:sz w:val="22"/>
          <w:szCs w:val="22"/>
          <w:lang w:val="sk-SK" w:eastAsia="en-US" w:bidi="si-LK"/>
        </w:rPr>
        <w:t>)</w:t>
      </w:r>
    </w:p>
    <w:p w:rsidR="00104237" w:rsidRPr="00C70E61" w:rsidRDefault="00104237" w:rsidP="00C70E61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9E6215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9E6215"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noProof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895868">
        <w:rPr>
          <w:rFonts w:ascii="Times New Roman" w:hAnsi="Times New Roman"/>
          <w:b w:val="0"/>
          <w:noProof/>
          <w:sz w:val="22"/>
          <w:szCs w:val="22"/>
          <w:highlight w:val="lightGray"/>
        </w:rPr>
        <w:t>národného systému hlásenia uvedeného v </w:t>
      </w:r>
      <w:hyperlink r:id="rId7" w:history="1">
        <w:r w:rsidRPr="00895868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  <w:u w:val="none"/>
          </w:rPr>
          <w:t>Prílohe V</w:t>
        </w:r>
      </w:hyperlink>
      <w:r w:rsidRPr="00895868">
        <w:rPr>
          <w:rFonts w:ascii="Times New Roman" w:hAnsi="Times New Roman"/>
          <w:b w:val="0"/>
          <w:noProof/>
          <w:sz w:val="22"/>
          <w:szCs w:val="22"/>
        </w:rPr>
        <w:t>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4.9</w:t>
      </w:r>
      <w:r w:rsidRPr="00895868">
        <w:rPr>
          <w:rFonts w:ascii="Times New Roman" w:hAnsi="Times New Roman"/>
          <w:sz w:val="22"/>
          <w:szCs w:val="22"/>
        </w:rPr>
        <w:tab/>
        <w:t>Predávkovanie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Pri odporúčanom spôsobe podávania sa neočakáva </w:t>
      </w:r>
      <w:r>
        <w:rPr>
          <w:rFonts w:ascii="Times New Roman" w:hAnsi="Times New Roman"/>
          <w:b w:val="0"/>
          <w:sz w:val="22"/>
          <w:szCs w:val="22"/>
        </w:rPr>
        <w:t>predávkovanie</w:t>
      </w:r>
      <w:r w:rsidRPr="00895868">
        <w:rPr>
          <w:rFonts w:ascii="Times New Roman" w:hAnsi="Times New Roman"/>
          <w:b w:val="0"/>
          <w:sz w:val="22"/>
          <w:szCs w:val="22"/>
        </w:rPr>
        <w:t>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caps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5.</w:t>
      </w:r>
      <w:r w:rsidRPr="00895868">
        <w:rPr>
          <w:rFonts w:ascii="Times New Roman" w:hAnsi="Times New Roman"/>
          <w:caps/>
          <w:sz w:val="22"/>
          <w:szCs w:val="22"/>
        </w:rPr>
        <w:tab/>
        <w:t>Farmakologické vlastnosti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5.1</w:t>
      </w:r>
      <w:r w:rsidRPr="00895868">
        <w:rPr>
          <w:rFonts w:ascii="Times New Roman" w:hAnsi="Times New Roman"/>
          <w:sz w:val="22"/>
          <w:szCs w:val="22"/>
        </w:rPr>
        <w:tab/>
      </w:r>
      <w:proofErr w:type="spellStart"/>
      <w:r w:rsidRPr="00895868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895868">
        <w:rPr>
          <w:rFonts w:ascii="Times New Roman" w:hAnsi="Times New Roman"/>
          <w:sz w:val="22"/>
          <w:szCs w:val="22"/>
        </w:rPr>
        <w:t xml:space="preserve"> vlastnosti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Farmakoterapeutická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skupina: </w:t>
      </w:r>
      <w:r>
        <w:rPr>
          <w:rFonts w:ascii="Times New Roman" w:hAnsi="Times New Roman"/>
          <w:b w:val="0"/>
          <w:sz w:val="22"/>
          <w:szCs w:val="22"/>
        </w:rPr>
        <w:t>antibiotiká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chemoterapeutiká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používané v dermatológii, iné </w:t>
      </w:r>
      <w:r w:rsidRPr="00895868">
        <w:rPr>
          <w:rFonts w:ascii="Times New Roman" w:hAnsi="Times New Roman"/>
          <w:b w:val="0"/>
          <w:sz w:val="22"/>
          <w:szCs w:val="22"/>
        </w:rPr>
        <w:t>antibiotik</w:t>
      </w:r>
      <w:r>
        <w:rPr>
          <w:rFonts w:ascii="Times New Roman" w:hAnsi="Times New Roman"/>
          <w:b w:val="0"/>
          <w:sz w:val="22"/>
          <w:szCs w:val="22"/>
        </w:rPr>
        <w:t>á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na vonkajšie použitie, ATC kód: D06AX</w:t>
      </w:r>
    </w:p>
    <w:p w:rsidR="00104237" w:rsidRPr="009B6482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9E6215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9B6482">
        <w:rPr>
          <w:rFonts w:ascii="Times New Roman" w:hAnsi="Times New Roman"/>
          <w:b w:val="0"/>
          <w:sz w:val="22"/>
          <w:szCs w:val="22"/>
          <w:u w:val="single"/>
        </w:rPr>
        <w:t>Mechanizmus účinku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Účinok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neomycínu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spočíva v nesprávnom prečítaní genetického kódu baktérií, čím je narušený priebeh syntézy proteínov.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Bacitracín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inhibuje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biosyntézu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bunkovej steny. Dochádza preto k dvojstrannému účinku na bakteriálnu bunku. Okrem tohto aditívneho pôsobenia bol pozorovaný u obidvoch baktericídnych zložiek lieku tiež tzv.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synergizmus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napríklad proti rastu streptokokov,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enterokokov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pneumokokov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 niektorých stafylokokov.</w:t>
      </w:r>
    </w:p>
    <w:p w:rsidR="00104237" w:rsidRPr="009B6482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9E6215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9B6482">
        <w:rPr>
          <w:rFonts w:ascii="Times New Roman" w:hAnsi="Times New Roman"/>
          <w:b w:val="0"/>
          <w:sz w:val="22"/>
          <w:szCs w:val="22"/>
          <w:u w:val="single"/>
        </w:rPr>
        <w:t>Klinická účinnosť a bezpečnosť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je účinný proti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grampozitívnym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 zvlášť proti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gramnegatívnym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patogénom. Spektrum účinku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bacitracínu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zahrňuje predovšetkým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grampozitívne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baktérie a koky, ale aj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gramnegatívne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koky a niektoré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gramnegatívne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baktérie.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5.2</w:t>
      </w:r>
      <w:r w:rsidRPr="00895868">
        <w:rPr>
          <w:rFonts w:ascii="Times New Roman" w:hAnsi="Times New Roman"/>
          <w:sz w:val="22"/>
          <w:szCs w:val="22"/>
        </w:rPr>
        <w:tab/>
      </w:r>
      <w:proofErr w:type="spellStart"/>
      <w:r w:rsidRPr="00895868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895868">
        <w:rPr>
          <w:rFonts w:ascii="Times New Roman" w:hAnsi="Times New Roman"/>
          <w:sz w:val="22"/>
          <w:szCs w:val="22"/>
        </w:rPr>
        <w:t xml:space="preserve"> vlastnosti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PAMYCON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je zmes antibiotík na lokálne použitie, ktoré sa neaplikujú systémovo. Liečivá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bacitracín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sa cez neporušenú kožu a sliznice vstrebávajú len minimálne</w:t>
      </w:r>
      <w:r>
        <w:rPr>
          <w:rFonts w:ascii="Times New Roman" w:hAnsi="Times New Roman"/>
          <w:b w:val="0"/>
          <w:sz w:val="22"/>
          <w:szCs w:val="22"/>
        </w:rPr>
        <w:t>,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a tým sa dosahuje vysoká koncentrácia účinných látok v mieste aplikácie.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5.3</w:t>
      </w:r>
      <w:r w:rsidRPr="00895868">
        <w:rPr>
          <w:rFonts w:ascii="Times New Roman" w:hAnsi="Times New Roman"/>
          <w:sz w:val="22"/>
          <w:szCs w:val="22"/>
        </w:rPr>
        <w:tab/>
        <w:t>Predklinické údaje o bezpečnosti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lastRenderedPageBreak/>
        <w:t>V testoch akútnej toxicity bola stanovená hodnota LD</w:t>
      </w:r>
      <w:r w:rsidRPr="00895868">
        <w:rPr>
          <w:rFonts w:ascii="Times New Roman" w:hAnsi="Times New Roman"/>
          <w:b w:val="0"/>
          <w:sz w:val="22"/>
          <w:szCs w:val="22"/>
          <w:vertAlign w:val="subscript"/>
        </w:rPr>
        <w:t>50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u potkanov po perorálnom podaní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neomycínu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na 2,75 g/kg a 510 000 IU/kg u myší po perorálnej aplikácii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bacitracínu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>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6.</w:t>
      </w:r>
      <w:r w:rsidRPr="00895868">
        <w:rPr>
          <w:rFonts w:ascii="Times New Roman" w:hAnsi="Times New Roman"/>
          <w:caps/>
          <w:sz w:val="22"/>
          <w:szCs w:val="22"/>
        </w:rPr>
        <w:tab/>
        <w:t>Farmaceutické INFORmÁCIE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6.1</w:t>
      </w:r>
      <w:r w:rsidRPr="00895868">
        <w:rPr>
          <w:rFonts w:ascii="Times New Roman" w:hAnsi="Times New Roman"/>
          <w:sz w:val="22"/>
          <w:szCs w:val="22"/>
        </w:rPr>
        <w:tab/>
        <w:t>Zoznam pomocných látok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hlorid sodný,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karbetopendecíniumbromid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polysorbát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80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6.2</w:t>
      </w:r>
      <w:r w:rsidRPr="00895868">
        <w:rPr>
          <w:rFonts w:ascii="Times New Roman" w:hAnsi="Times New Roman"/>
          <w:sz w:val="22"/>
          <w:szCs w:val="22"/>
        </w:rPr>
        <w:tab/>
        <w:t xml:space="preserve">Inkompatibility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Neaplikovateľné.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6.3</w:t>
      </w:r>
      <w:r w:rsidRPr="00895868">
        <w:rPr>
          <w:rFonts w:ascii="Times New Roman" w:hAnsi="Times New Roman"/>
          <w:sz w:val="22"/>
          <w:szCs w:val="22"/>
        </w:rPr>
        <w:tab/>
        <w:t xml:space="preserve">Čas použiteľnosti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Substancia:</w:t>
      </w:r>
      <w:r w:rsidRPr="00895868">
        <w:rPr>
          <w:rFonts w:ascii="Times New Roman" w:hAnsi="Times New Roman"/>
          <w:b w:val="0"/>
          <w:sz w:val="22"/>
          <w:szCs w:val="22"/>
        </w:rPr>
        <w:tab/>
      </w:r>
      <w:r w:rsidRPr="00895868">
        <w:rPr>
          <w:rFonts w:ascii="Times New Roman" w:hAnsi="Times New Roman"/>
          <w:b w:val="0"/>
          <w:sz w:val="22"/>
          <w:szCs w:val="22"/>
        </w:rPr>
        <w:tab/>
        <w:t xml:space="preserve">2 roky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Pripravený roztok:</w:t>
      </w:r>
      <w:r w:rsidRPr="00895868">
        <w:rPr>
          <w:rFonts w:ascii="Times New Roman" w:hAnsi="Times New Roman"/>
          <w:b w:val="0"/>
          <w:sz w:val="22"/>
          <w:szCs w:val="22"/>
        </w:rPr>
        <w:tab/>
        <w:t>7 dní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6.4</w:t>
      </w:r>
      <w:r w:rsidRPr="00895868">
        <w:rPr>
          <w:rFonts w:ascii="Times New Roman" w:hAnsi="Times New Roman"/>
          <w:sz w:val="22"/>
          <w:szCs w:val="22"/>
        </w:rPr>
        <w:tab/>
        <w:t>Špeciálne upozornenia na uchovávanie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  <w:r w:rsidRPr="00895868">
        <w:rPr>
          <w:rFonts w:ascii="Times New Roman" w:hAnsi="Times New Roman"/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15 °C"/>
        </w:smartTagPr>
        <w:r w:rsidRPr="00895868">
          <w:rPr>
            <w:rFonts w:ascii="Times New Roman" w:hAnsi="Times New Roman"/>
            <w:sz w:val="22"/>
            <w:szCs w:val="22"/>
            <w:lang w:val="sk-SK"/>
          </w:rPr>
          <w:t>15 °C</w:t>
        </w:r>
      </w:smartTag>
      <w:r w:rsidRPr="00895868">
        <w:rPr>
          <w:rFonts w:ascii="Times New Roman" w:hAnsi="Times New Roman"/>
          <w:sz w:val="22"/>
          <w:szCs w:val="22"/>
          <w:lang w:val="sk-SK"/>
        </w:rPr>
        <w:t xml:space="preserve"> v pôvodnom obale, na ochranu pred svetlom a vlhkosťou. </w:t>
      </w:r>
      <w:r>
        <w:rPr>
          <w:rFonts w:ascii="Times New Roman" w:hAnsi="Times New Roman"/>
          <w:sz w:val="22"/>
          <w:szCs w:val="22"/>
          <w:lang w:val="sk-SK"/>
        </w:rPr>
        <w:t xml:space="preserve">Neuchovávajte v mrazničke. </w:t>
      </w:r>
    </w:p>
    <w:p w:rsidR="00104237" w:rsidRPr="00895868" w:rsidRDefault="00104237" w:rsidP="00895868">
      <w:pPr>
        <w:rPr>
          <w:rFonts w:ascii="Times New Roman" w:hAnsi="Times New Roman"/>
          <w:sz w:val="22"/>
          <w:szCs w:val="22"/>
          <w:lang w:val="sk-SK"/>
        </w:rPr>
      </w:pPr>
      <w:r w:rsidRPr="00895868">
        <w:rPr>
          <w:rFonts w:ascii="Times New Roman" w:hAnsi="Times New Roman"/>
          <w:sz w:val="22"/>
          <w:szCs w:val="22"/>
          <w:lang w:val="sk-SK"/>
        </w:rPr>
        <w:t>Pripravený roztok uchovávajte v chladničke</w:t>
      </w:r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2 °C"/>
        </w:smartTagPr>
        <w:r w:rsidRPr="00895868">
          <w:rPr>
            <w:rFonts w:ascii="Times New Roman" w:hAnsi="Times New Roman"/>
            <w:sz w:val="22"/>
            <w:szCs w:val="22"/>
            <w:lang w:val="sk-SK"/>
          </w:rPr>
          <w:t>2 °C</w:t>
        </w:r>
      </w:smartTag>
      <w:r w:rsidRPr="0089586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–</w:t>
      </w:r>
      <w:r w:rsidRPr="00895868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 °C"/>
        </w:smartTagPr>
        <w:r w:rsidRPr="00895868">
          <w:rPr>
            <w:rFonts w:ascii="Times New Roman" w:hAnsi="Times New Roman"/>
            <w:sz w:val="22"/>
            <w:szCs w:val="22"/>
            <w:lang w:val="sk-SK"/>
          </w:rPr>
          <w:t>8 °C</w:t>
        </w:r>
      </w:smartTag>
      <w:r>
        <w:rPr>
          <w:rFonts w:ascii="Times New Roman" w:hAnsi="Times New Roman"/>
          <w:sz w:val="22"/>
          <w:szCs w:val="22"/>
          <w:lang w:val="sk-SK"/>
        </w:rPr>
        <w:t>)</w:t>
      </w:r>
      <w:r w:rsidRPr="00895868">
        <w:rPr>
          <w:rFonts w:ascii="Times New Roman" w:hAnsi="Times New Roman"/>
          <w:sz w:val="22"/>
          <w:szCs w:val="22"/>
          <w:lang w:val="sk-SK"/>
        </w:rPr>
        <w:t>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6.5</w:t>
      </w:r>
      <w:r w:rsidRPr="00895868">
        <w:rPr>
          <w:rFonts w:ascii="Times New Roman" w:hAnsi="Times New Roman"/>
          <w:sz w:val="22"/>
          <w:szCs w:val="22"/>
        </w:rPr>
        <w:tab/>
        <w:t>Druh obalu a obsah balenia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</w:t>
      </w:r>
      <w:r w:rsidRPr="00895868">
        <w:rPr>
          <w:rFonts w:ascii="Times New Roman" w:hAnsi="Times New Roman"/>
          <w:b w:val="0"/>
          <w:sz w:val="22"/>
          <w:szCs w:val="22"/>
        </w:rPr>
        <w:t>nedá</w:t>
      </w:r>
      <w:r>
        <w:rPr>
          <w:rFonts w:ascii="Times New Roman" w:hAnsi="Times New Roman"/>
          <w:b w:val="0"/>
          <w:sz w:val="22"/>
          <w:szCs w:val="22"/>
        </w:rPr>
        <w:t xml:space="preserve"> sklenená</w:t>
      </w:r>
      <w:r w:rsidRPr="00895868">
        <w:rPr>
          <w:rFonts w:ascii="Times New Roman" w:hAnsi="Times New Roman"/>
          <w:b w:val="0"/>
          <w:sz w:val="22"/>
          <w:szCs w:val="22"/>
        </w:rPr>
        <w:t xml:space="preserve"> fľaštička uzavretá gumovou zátkou a hliníkovým uzáverom a samostatne zabalené kvapkadlo s uzáverom.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Veľkosť balenia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895868">
        <w:rPr>
          <w:rFonts w:ascii="Times New Roman" w:hAnsi="Times New Roman"/>
          <w:b w:val="0"/>
          <w:sz w:val="22"/>
          <w:szCs w:val="22"/>
        </w:rPr>
        <w:t>1 x 1 fľaštička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                            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895868">
        <w:rPr>
          <w:rFonts w:ascii="Times New Roman" w:hAnsi="Times New Roman"/>
          <w:b w:val="0"/>
          <w:sz w:val="22"/>
          <w:szCs w:val="22"/>
        </w:rPr>
        <w:t>10 x 1 fľaštička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Na trh nemusia byť uvedené všetky veľkosti balenia.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895868">
        <w:rPr>
          <w:rFonts w:ascii="Times New Roman" w:hAnsi="Times New Roman"/>
          <w:sz w:val="22"/>
          <w:szCs w:val="22"/>
        </w:rPr>
        <w:t>6.6</w:t>
      </w:r>
      <w:r w:rsidRPr="00895868">
        <w:rPr>
          <w:rFonts w:ascii="Times New Roman" w:hAnsi="Times New Roman"/>
          <w:sz w:val="22"/>
          <w:szCs w:val="22"/>
        </w:rPr>
        <w:tab/>
        <w:t>Špeciálne opatrenia na likvidáciu a iné zaobchádzanie s liekom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B9075D">
        <w:rPr>
          <w:rFonts w:ascii="Times New Roman" w:hAnsi="Times New Roman"/>
          <w:b w:val="0"/>
          <w:sz w:val="22"/>
          <w:szCs w:val="22"/>
        </w:rPr>
        <w:t>Všetok nepoužitý liek alebo odpad vzniknutý z lieku sa má zlikvidovať v súlade s národnými požiadavkami.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>Liek ako taký nie je určený na bezprostredné použitie a musí byť pred vydaním do rúk pacienta v lekárni rozpustený. Lekárnik pripraví roztok v súlade s požiadavkami správnej lekárenskej praxe nasledovným postupom: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Pomocou pinzety odstráňte z fľaštičky hliníkový uzáver a gumovú zátku a k obsahu vo fľaštičke pridajte 10 ml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aqua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pro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95868">
        <w:rPr>
          <w:rFonts w:ascii="Times New Roman" w:hAnsi="Times New Roman"/>
          <w:b w:val="0"/>
          <w:sz w:val="22"/>
          <w:szCs w:val="22"/>
        </w:rPr>
        <w:t>injectione</w:t>
      </w:r>
      <w:proofErr w:type="spellEnd"/>
      <w:r w:rsidRPr="00895868">
        <w:rPr>
          <w:rFonts w:ascii="Times New Roman" w:hAnsi="Times New Roman"/>
          <w:b w:val="0"/>
          <w:sz w:val="22"/>
          <w:szCs w:val="22"/>
        </w:rPr>
        <w:t>. Po starostlivom uzavretí fľaštičky gumovou zátkou obsah pretrepávajte asi 1 minútu. Potom odstráňte pôvodný uzáver a nasaďte na fľaštičku kvapkadlo. Dátum prípravy vyznačte na škatuľke.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7.</w:t>
      </w:r>
      <w:r w:rsidRPr="00895868">
        <w:rPr>
          <w:rFonts w:ascii="Times New Roman" w:hAnsi="Times New Roman"/>
          <w:caps/>
          <w:sz w:val="22"/>
          <w:szCs w:val="22"/>
        </w:rPr>
        <w:tab/>
        <w:t>Držiteľ rozhodnutIA O REGISTRÁCII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940779">
        <w:rPr>
          <w:rFonts w:ascii="Times New Roman" w:hAnsi="Times New Roman"/>
          <w:b w:val="0"/>
          <w:sz w:val="22"/>
          <w:szCs w:val="22"/>
        </w:rPr>
        <w:t xml:space="preserve">BB </w:t>
      </w:r>
      <w:proofErr w:type="spellStart"/>
      <w:r w:rsidRPr="00940779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940779">
        <w:rPr>
          <w:rFonts w:ascii="Times New Roman" w:hAnsi="Times New Roman"/>
          <w:b w:val="0"/>
          <w:sz w:val="22"/>
          <w:szCs w:val="22"/>
        </w:rPr>
        <w:t xml:space="preserve"> a.s.,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Durychova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101/66, 142 00 </w:t>
      </w:r>
      <w:r w:rsidRPr="00940779">
        <w:rPr>
          <w:rFonts w:ascii="Times New Roman" w:hAnsi="Times New Roman"/>
          <w:b w:val="0"/>
          <w:sz w:val="22"/>
          <w:szCs w:val="22"/>
        </w:rPr>
        <w:t>Praha 4</w:t>
      </w:r>
      <w:r>
        <w:rPr>
          <w:rFonts w:ascii="Times New Roman" w:hAnsi="Times New Roman"/>
          <w:b w:val="0"/>
          <w:sz w:val="22"/>
          <w:szCs w:val="22"/>
        </w:rPr>
        <w:t xml:space="preserve"> -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Lhotka</w:t>
      </w:r>
      <w:proofErr w:type="spellEnd"/>
      <w:r w:rsidRPr="00940779">
        <w:rPr>
          <w:rFonts w:ascii="Times New Roman" w:hAnsi="Times New Roman"/>
          <w:b w:val="0"/>
          <w:sz w:val="22"/>
          <w:szCs w:val="22"/>
        </w:rPr>
        <w:t xml:space="preserve">, Česká republika  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8.</w:t>
      </w:r>
      <w:r w:rsidRPr="00895868">
        <w:rPr>
          <w:rFonts w:ascii="Times New Roman" w:hAnsi="Times New Roman"/>
          <w:caps/>
          <w:sz w:val="22"/>
          <w:szCs w:val="22"/>
        </w:rPr>
        <w:tab/>
        <w:t>RegistračnÉ číslo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15/0056/84-S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9.</w:t>
      </w:r>
      <w:r w:rsidRPr="00895868">
        <w:rPr>
          <w:rFonts w:ascii="Times New Roman" w:hAnsi="Times New Roman"/>
          <w:caps/>
          <w:sz w:val="22"/>
          <w:szCs w:val="22"/>
        </w:rPr>
        <w:tab/>
        <w:t>DÁtum PRVEJ registrÁcIe / prEdĹženIA registrÁcIe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Dátum prvej registrácie: 18. október 1984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895868">
        <w:rPr>
          <w:rFonts w:ascii="Times New Roman" w:hAnsi="Times New Roman"/>
          <w:b w:val="0"/>
          <w:sz w:val="22"/>
          <w:szCs w:val="22"/>
        </w:rPr>
        <w:t xml:space="preserve">Dátum posledného predĺženia registrácie:  15. október 2008  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caps/>
          <w:sz w:val="22"/>
          <w:szCs w:val="22"/>
        </w:rPr>
      </w:pPr>
      <w:r w:rsidRPr="00895868">
        <w:rPr>
          <w:rFonts w:ascii="Times New Roman" w:hAnsi="Times New Roman"/>
          <w:caps/>
          <w:sz w:val="22"/>
          <w:szCs w:val="22"/>
        </w:rPr>
        <w:t>10.</w:t>
      </w:r>
      <w:r w:rsidRPr="00895868">
        <w:rPr>
          <w:rFonts w:ascii="Times New Roman" w:hAnsi="Times New Roman"/>
          <w:caps/>
          <w:sz w:val="22"/>
          <w:szCs w:val="22"/>
        </w:rPr>
        <w:tab/>
        <w:t>DÁtum revÍzIe textu</w:t>
      </w:r>
    </w:p>
    <w:p w:rsidR="00104237" w:rsidRPr="00895868" w:rsidRDefault="00104237" w:rsidP="00895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04237" w:rsidRPr="00895868" w:rsidRDefault="00B70E8E" w:rsidP="00895868">
      <w:pPr>
        <w:keepNext/>
        <w:outlineLvl w:val="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Január 2017</w:t>
      </w:r>
    </w:p>
    <w:sectPr w:rsidR="00104237" w:rsidRPr="00895868" w:rsidSect="008E0BCF">
      <w:headerReference w:type="default" r:id="rId8"/>
      <w:endnotePr>
        <w:numFmt w:val="decimal"/>
        <w:numStart w:val="0"/>
      </w:endnotePr>
      <w:pgSz w:w="12240" w:h="15840"/>
      <w:pgMar w:top="1134" w:right="1418" w:bottom="1134" w:left="1418" w:header="709" w:footer="3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5F" w:rsidRDefault="00044C5F">
      <w:r>
        <w:separator/>
      </w:r>
    </w:p>
  </w:endnote>
  <w:endnote w:type="continuationSeparator" w:id="0">
    <w:p w:rsidR="00044C5F" w:rsidRDefault="0004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5F" w:rsidRDefault="00044C5F">
      <w:r>
        <w:separator/>
      </w:r>
    </w:p>
  </w:footnote>
  <w:footnote w:type="continuationSeparator" w:id="0">
    <w:p w:rsidR="00044C5F" w:rsidRDefault="00044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7" w:rsidRPr="00ED4FD9" w:rsidRDefault="00104237" w:rsidP="00ED4FD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09A39F4"/>
    <w:multiLevelType w:val="multilevel"/>
    <w:tmpl w:val="24400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0D5"/>
    <w:rsid w:val="00001EFC"/>
    <w:rsid w:val="00014ED1"/>
    <w:rsid w:val="000275A9"/>
    <w:rsid w:val="00031685"/>
    <w:rsid w:val="000316E2"/>
    <w:rsid w:val="00044C5F"/>
    <w:rsid w:val="0004721C"/>
    <w:rsid w:val="0005356E"/>
    <w:rsid w:val="00066229"/>
    <w:rsid w:val="00066556"/>
    <w:rsid w:val="00072F2F"/>
    <w:rsid w:val="0008470A"/>
    <w:rsid w:val="00092963"/>
    <w:rsid w:val="00097AB3"/>
    <w:rsid w:val="000C0CDF"/>
    <w:rsid w:val="000C32B3"/>
    <w:rsid w:val="000C555B"/>
    <w:rsid w:val="000C7726"/>
    <w:rsid w:val="000D1121"/>
    <w:rsid w:val="000D3D60"/>
    <w:rsid w:val="00101976"/>
    <w:rsid w:val="00104237"/>
    <w:rsid w:val="00110777"/>
    <w:rsid w:val="00110830"/>
    <w:rsid w:val="00117CC2"/>
    <w:rsid w:val="001220B0"/>
    <w:rsid w:val="001249F9"/>
    <w:rsid w:val="00134F21"/>
    <w:rsid w:val="001443E9"/>
    <w:rsid w:val="00155B8B"/>
    <w:rsid w:val="001603BE"/>
    <w:rsid w:val="00160D25"/>
    <w:rsid w:val="001726EE"/>
    <w:rsid w:val="00176654"/>
    <w:rsid w:val="00183C0C"/>
    <w:rsid w:val="00184699"/>
    <w:rsid w:val="00195640"/>
    <w:rsid w:val="00195CD7"/>
    <w:rsid w:val="001A15F7"/>
    <w:rsid w:val="001B2CE2"/>
    <w:rsid w:val="001B747B"/>
    <w:rsid w:val="001C7327"/>
    <w:rsid w:val="001C7D46"/>
    <w:rsid w:val="001D0F00"/>
    <w:rsid w:val="001D1B63"/>
    <w:rsid w:val="001E125D"/>
    <w:rsid w:val="001E5058"/>
    <w:rsid w:val="002177F0"/>
    <w:rsid w:val="00221D7D"/>
    <w:rsid w:val="00230231"/>
    <w:rsid w:val="002558F2"/>
    <w:rsid w:val="00267989"/>
    <w:rsid w:val="0027093F"/>
    <w:rsid w:val="00271984"/>
    <w:rsid w:val="00275C62"/>
    <w:rsid w:val="0027695F"/>
    <w:rsid w:val="00280701"/>
    <w:rsid w:val="00284FBA"/>
    <w:rsid w:val="002850D7"/>
    <w:rsid w:val="00295846"/>
    <w:rsid w:val="002C2B08"/>
    <w:rsid w:val="002C7EFC"/>
    <w:rsid w:val="002E7BB3"/>
    <w:rsid w:val="002F2D8E"/>
    <w:rsid w:val="00300AFB"/>
    <w:rsid w:val="00302F85"/>
    <w:rsid w:val="00302FA7"/>
    <w:rsid w:val="00303C4E"/>
    <w:rsid w:val="003051EC"/>
    <w:rsid w:val="0030775A"/>
    <w:rsid w:val="00311981"/>
    <w:rsid w:val="00313626"/>
    <w:rsid w:val="00321A73"/>
    <w:rsid w:val="0034161A"/>
    <w:rsid w:val="0034774A"/>
    <w:rsid w:val="0035295A"/>
    <w:rsid w:val="00353F5A"/>
    <w:rsid w:val="003609EC"/>
    <w:rsid w:val="0036265C"/>
    <w:rsid w:val="00362CB8"/>
    <w:rsid w:val="003727BC"/>
    <w:rsid w:val="003927C4"/>
    <w:rsid w:val="00392DD9"/>
    <w:rsid w:val="00396055"/>
    <w:rsid w:val="00397DD7"/>
    <w:rsid w:val="003A3A5F"/>
    <w:rsid w:val="003B320A"/>
    <w:rsid w:val="003B5AC5"/>
    <w:rsid w:val="003D42DC"/>
    <w:rsid w:val="003E636E"/>
    <w:rsid w:val="003F0013"/>
    <w:rsid w:val="00404A21"/>
    <w:rsid w:val="004156BE"/>
    <w:rsid w:val="0042513A"/>
    <w:rsid w:val="004323F3"/>
    <w:rsid w:val="00435DB5"/>
    <w:rsid w:val="00436392"/>
    <w:rsid w:val="00442CFB"/>
    <w:rsid w:val="0045047B"/>
    <w:rsid w:val="00462651"/>
    <w:rsid w:val="00465774"/>
    <w:rsid w:val="00472182"/>
    <w:rsid w:val="00484AFE"/>
    <w:rsid w:val="00487868"/>
    <w:rsid w:val="004A385D"/>
    <w:rsid w:val="004B1ECE"/>
    <w:rsid w:val="004B262A"/>
    <w:rsid w:val="004B6AC5"/>
    <w:rsid w:val="004D3665"/>
    <w:rsid w:val="004E0318"/>
    <w:rsid w:val="004F0F3F"/>
    <w:rsid w:val="004F232D"/>
    <w:rsid w:val="004F6FC3"/>
    <w:rsid w:val="005015E0"/>
    <w:rsid w:val="00515A76"/>
    <w:rsid w:val="00521BBA"/>
    <w:rsid w:val="005301D3"/>
    <w:rsid w:val="005517A2"/>
    <w:rsid w:val="00552CC6"/>
    <w:rsid w:val="0057429B"/>
    <w:rsid w:val="0057639A"/>
    <w:rsid w:val="005802BA"/>
    <w:rsid w:val="005842CE"/>
    <w:rsid w:val="00591C30"/>
    <w:rsid w:val="00597D7B"/>
    <w:rsid w:val="005B00E4"/>
    <w:rsid w:val="005B48B5"/>
    <w:rsid w:val="005D5A45"/>
    <w:rsid w:val="005E73D0"/>
    <w:rsid w:val="005F5289"/>
    <w:rsid w:val="00621142"/>
    <w:rsid w:val="00621933"/>
    <w:rsid w:val="006355CD"/>
    <w:rsid w:val="00636524"/>
    <w:rsid w:val="006429A8"/>
    <w:rsid w:val="0065284F"/>
    <w:rsid w:val="006539BC"/>
    <w:rsid w:val="00654133"/>
    <w:rsid w:val="00656E61"/>
    <w:rsid w:val="006674CE"/>
    <w:rsid w:val="0068133E"/>
    <w:rsid w:val="00696AB4"/>
    <w:rsid w:val="00696B37"/>
    <w:rsid w:val="006B31A5"/>
    <w:rsid w:val="006B68D7"/>
    <w:rsid w:val="006B7E82"/>
    <w:rsid w:val="006C4420"/>
    <w:rsid w:val="006C7D5B"/>
    <w:rsid w:val="006E6B0D"/>
    <w:rsid w:val="006E7F56"/>
    <w:rsid w:val="00703392"/>
    <w:rsid w:val="00712A27"/>
    <w:rsid w:val="00720510"/>
    <w:rsid w:val="00727E00"/>
    <w:rsid w:val="007334E1"/>
    <w:rsid w:val="00764B44"/>
    <w:rsid w:val="00770A2D"/>
    <w:rsid w:val="00780FC3"/>
    <w:rsid w:val="00787F71"/>
    <w:rsid w:val="007939AD"/>
    <w:rsid w:val="00794AB9"/>
    <w:rsid w:val="007A0565"/>
    <w:rsid w:val="007A1EA8"/>
    <w:rsid w:val="007B7F83"/>
    <w:rsid w:val="007C0079"/>
    <w:rsid w:val="007D5AB0"/>
    <w:rsid w:val="007E0583"/>
    <w:rsid w:val="007E5218"/>
    <w:rsid w:val="007F2366"/>
    <w:rsid w:val="007F7066"/>
    <w:rsid w:val="00803DC1"/>
    <w:rsid w:val="00823CD8"/>
    <w:rsid w:val="00826ED3"/>
    <w:rsid w:val="0083335C"/>
    <w:rsid w:val="00833BAE"/>
    <w:rsid w:val="00871D9D"/>
    <w:rsid w:val="00881CAB"/>
    <w:rsid w:val="00895868"/>
    <w:rsid w:val="008B11DA"/>
    <w:rsid w:val="008B1628"/>
    <w:rsid w:val="008C5139"/>
    <w:rsid w:val="008C7CC6"/>
    <w:rsid w:val="008D7DF1"/>
    <w:rsid w:val="008E07CB"/>
    <w:rsid w:val="008E0BCF"/>
    <w:rsid w:val="008F36D8"/>
    <w:rsid w:val="008F3865"/>
    <w:rsid w:val="008F5C88"/>
    <w:rsid w:val="008F6FCA"/>
    <w:rsid w:val="009050D5"/>
    <w:rsid w:val="00914E0E"/>
    <w:rsid w:val="00922CA9"/>
    <w:rsid w:val="00940779"/>
    <w:rsid w:val="00942023"/>
    <w:rsid w:val="00952F42"/>
    <w:rsid w:val="00972251"/>
    <w:rsid w:val="009727C6"/>
    <w:rsid w:val="0097531E"/>
    <w:rsid w:val="00984101"/>
    <w:rsid w:val="00984B83"/>
    <w:rsid w:val="00987CB7"/>
    <w:rsid w:val="009969B6"/>
    <w:rsid w:val="009A266A"/>
    <w:rsid w:val="009B17FF"/>
    <w:rsid w:val="009B6482"/>
    <w:rsid w:val="009B7703"/>
    <w:rsid w:val="009C5ECC"/>
    <w:rsid w:val="009C6A03"/>
    <w:rsid w:val="009D6196"/>
    <w:rsid w:val="009E6215"/>
    <w:rsid w:val="009F1532"/>
    <w:rsid w:val="009F7CCA"/>
    <w:rsid w:val="00A21806"/>
    <w:rsid w:val="00A25D77"/>
    <w:rsid w:val="00A26750"/>
    <w:rsid w:val="00A27281"/>
    <w:rsid w:val="00A31C20"/>
    <w:rsid w:val="00A420CF"/>
    <w:rsid w:val="00A42FD5"/>
    <w:rsid w:val="00A4378D"/>
    <w:rsid w:val="00A43B65"/>
    <w:rsid w:val="00A61441"/>
    <w:rsid w:val="00A6178E"/>
    <w:rsid w:val="00A67AC2"/>
    <w:rsid w:val="00A72909"/>
    <w:rsid w:val="00A75E13"/>
    <w:rsid w:val="00A87068"/>
    <w:rsid w:val="00A904FB"/>
    <w:rsid w:val="00A95CF4"/>
    <w:rsid w:val="00AA484D"/>
    <w:rsid w:val="00AB13DB"/>
    <w:rsid w:val="00AB1A22"/>
    <w:rsid w:val="00AE0848"/>
    <w:rsid w:val="00AF60B2"/>
    <w:rsid w:val="00B0716A"/>
    <w:rsid w:val="00B11126"/>
    <w:rsid w:val="00B132CA"/>
    <w:rsid w:val="00B16E16"/>
    <w:rsid w:val="00B241CD"/>
    <w:rsid w:val="00B24738"/>
    <w:rsid w:val="00B35EC8"/>
    <w:rsid w:val="00B554A1"/>
    <w:rsid w:val="00B568B1"/>
    <w:rsid w:val="00B65E0C"/>
    <w:rsid w:val="00B70E8E"/>
    <w:rsid w:val="00B81C9C"/>
    <w:rsid w:val="00B84FB5"/>
    <w:rsid w:val="00B9075D"/>
    <w:rsid w:val="00B955FC"/>
    <w:rsid w:val="00B97EDE"/>
    <w:rsid w:val="00BA1092"/>
    <w:rsid w:val="00BB272D"/>
    <w:rsid w:val="00BC4516"/>
    <w:rsid w:val="00BD07C1"/>
    <w:rsid w:val="00BD5DFD"/>
    <w:rsid w:val="00BD7654"/>
    <w:rsid w:val="00C01450"/>
    <w:rsid w:val="00C07E86"/>
    <w:rsid w:val="00C2439F"/>
    <w:rsid w:val="00C32447"/>
    <w:rsid w:val="00C40F57"/>
    <w:rsid w:val="00C44842"/>
    <w:rsid w:val="00C51C9A"/>
    <w:rsid w:val="00C5557D"/>
    <w:rsid w:val="00C655BF"/>
    <w:rsid w:val="00C70E61"/>
    <w:rsid w:val="00C73B0C"/>
    <w:rsid w:val="00C7408A"/>
    <w:rsid w:val="00C74AC2"/>
    <w:rsid w:val="00C81DAC"/>
    <w:rsid w:val="00C95646"/>
    <w:rsid w:val="00CE147D"/>
    <w:rsid w:val="00CE3ED2"/>
    <w:rsid w:val="00CE443C"/>
    <w:rsid w:val="00CE5589"/>
    <w:rsid w:val="00CE5BCE"/>
    <w:rsid w:val="00CF4D56"/>
    <w:rsid w:val="00CF79DB"/>
    <w:rsid w:val="00D006E7"/>
    <w:rsid w:val="00D0213E"/>
    <w:rsid w:val="00D033FE"/>
    <w:rsid w:val="00D03BEE"/>
    <w:rsid w:val="00D0566D"/>
    <w:rsid w:val="00D23E86"/>
    <w:rsid w:val="00D30DE6"/>
    <w:rsid w:val="00D37931"/>
    <w:rsid w:val="00D4165C"/>
    <w:rsid w:val="00D418EE"/>
    <w:rsid w:val="00D41F71"/>
    <w:rsid w:val="00D46983"/>
    <w:rsid w:val="00D50929"/>
    <w:rsid w:val="00D649B3"/>
    <w:rsid w:val="00D926D8"/>
    <w:rsid w:val="00D9314A"/>
    <w:rsid w:val="00D93E32"/>
    <w:rsid w:val="00DB01BB"/>
    <w:rsid w:val="00DB1FA0"/>
    <w:rsid w:val="00DB3898"/>
    <w:rsid w:val="00DB5D00"/>
    <w:rsid w:val="00DB77B4"/>
    <w:rsid w:val="00DE7F21"/>
    <w:rsid w:val="00DF47BD"/>
    <w:rsid w:val="00E026E6"/>
    <w:rsid w:val="00E06BFA"/>
    <w:rsid w:val="00E17E2D"/>
    <w:rsid w:val="00E256B6"/>
    <w:rsid w:val="00E2770F"/>
    <w:rsid w:val="00E45CB1"/>
    <w:rsid w:val="00E57325"/>
    <w:rsid w:val="00E84F5B"/>
    <w:rsid w:val="00E90015"/>
    <w:rsid w:val="00E90828"/>
    <w:rsid w:val="00E9172D"/>
    <w:rsid w:val="00E91751"/>
    <w:rsid w:val="00EB4B11"/>
    <w:rsid w:val="00ED0993"/>
    <w:rsid w:val="00ED23C4"/>
    <w:rsid w:val="00ED3C93"/>
    <w:rsid w:val="00ED4FD9"/>
    <w:rsid w:val="00EE13BC"/>
    <w:rsid w:val="00F02AEF"/>
    <w:rsid w:val="00F06FB2"/>
    <w:rsid w:val="00F33084"/>
    <w:rsid w:val="00F37DDC"/>
    <w:rsid w:val="00F42856"/>
    <w:rsid w:val="00F443AC"/>
    <w:rsid w:val="00F44E47"/>
    <w:rsid w:val="00F57B02"/>
    <w:rsid w:val="00F711F7"/>
    <w:rsid w:val="00F93695"/>
    <w:rsid w:val="00FC6945"/>
    <w:rsid w:val="00FD2E9E"/>
    <w:rsid w:val="00FD4759"/>
    <w:rsid w:val="00FE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MS Sans Serif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01EFC"/>
    <w:rPr>
      <w:rFonts w:cs="Times New Roman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1EF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link w:val="Nadpis2Char"/>
    <w:uiPriority w:val="9"/>
    <w:qFormat/>
    <w:rsid w:val="00001EFC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link w:val="Nadpis3Char"/>
    <w:uiPriority w:val="9"/>
    <w:qFormat/>
    <w:rsid w:val="00001EFC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01EFC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link w:val="Nadpis5Char"/>
    <w:uiPriority w:val="9"/>
    <w:qFormat/>
    <w:rsid w:val="00001EFC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link w:val="Nadpis6Char"/>
    <w:uiPriority w:val="9"/>
    <w:qFormat/>
    <w:rsid w:val="00001EFC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001EFC"/>
    <w:pPr>
      <w:keepNext/>
      <w:jc w:val="both"/>
      <w:outlineLvl w:val="6"/>
    </w:pPr>
    <w:rPr>
      <w:rFonts w:ascii="Arial" w:hAnsi="Arial"/>
      <w:b/>
      <w:lang w:val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001EFC"/>
    <w:pPr>
      <w:keepNext/>
      <w:outlineLvl w:val="7"/>
    </w:pPr>
    <w:rPr>
      <w:rFonts w:ascii="Arial" w:hAnsi="Arial"/>
      <w:b/>
      <w:i/>
      <w:lang w:val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001EFC"/>
    <w:pPr>
      <w:keepNext/>
      <w:outlineLvl w:val="8"/>
    </w:pPr>
    <w:rPr>
      <w:rFonts w:ascii="Arial" w:hAnsi="Arial"/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5B0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5B0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5B0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5B0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5B0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5B0C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5B0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5B0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5B0C"/>
    <w:rPr>
      <w:rFonts w:ascii="Cambria" w:eastAsia="Times New Roman" w:hAnsi="Cambria" w:cs="Times New Roman"/>
      <w:sz w:val="22"/>
      <w:szCs w:val="22"/>
      <w:lang w:val="en-US"/>
    </w:rPr>
  </w:style>
  <w:style w:type="paragraph" w:styleId="Hlavika">
    <w:name w:val="header"/>
    <w:basedOn w:val="Normlny"/>
    <w:link w:val="HlavikaChar"/>
    <w:uiPriority w:val="99"/>
    <w:rsid w:val="00001E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C5B0C"/>
    <w:rPr>
      <w:rFonts w:cs="Times New Roman"/>
      <w:lang w:val="en-US"/>
    </w:rPr>
  </w:style>
  <w:style w:type="paragraph" w:styleId="Pta">
    <w:name w:val="footer"/>
    <w:basedOn w:val="Normlny"/>
    <w:link w:val="PtaChar"/>
    <w:uiPriority w:val="99"/>
    <w:rsid w:val="00001E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C5B0C"/>
    <w:rPr>
      <w:rFonts w:cs="Times New Roman"/>
      <w:lang w:val="en-US"/>
    </w:rPr>
  </w:style>
  <w:style w:type="paragraph" w:styleId="Nzov">
    <w:name w:val="Title"/>
    <w:basedOn w:val="Normlny"/>
    <w:link w:val="NzovChar"/>
    <w:uiPriority w:val="10"/>
    <w:qFormat/>
    <w:rsid w:val="00001EFC"/>
    <w:pPr>
      <w:jc w:val="center"/>
    </w:pPr>
    <w:rPr>
      <w:rFonts w:ascii="Arial" w:hAnsi="Arial"/>
      <w:b/>
      <w:i/>
      <w:sz w:val="48"/>
    </w:rPr>
  </w:style>
  <w:style w:type="character" w:customStyle="1" w:styleId="NzovChar">
    <w:name w:val="Názov Char"/>
    <w:basedOn w:val="Predvolenpsmoodseku"/>
    <w:link w:val="Nzov"/>
    <w:uiPriority w:val="10"/>
    <w:rsid w:val="006C5B0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xtmakra">
    <w:name w:val="macro"/>
    <w:link w:val="TextmakraChar"/>
    <w:uiPriority w:val="99"/>
    <w:semiHidden/>
    <w:rsid w:val="00001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 w:cs="Times New Roman"/>
      <w:sz w:val="16"/>
      <w:lang w:val="en-GB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C5B0C"/>
    <w:rPr>
      <w:rFonts w:ascii="AralEEW" w:hAnsi="AralEEW" w:cs="Times New Roman"/>
      <w:sz w:val="16"/>
      <w:lang w:val="en-GB" w:eastAsia="sk-SK" w:bidi="ar-SA"/>
    </w:rPr>
  </w:style>
  <w:style w:type="paragraph" w:styleId="Zkladntext">
    <w:name w:val="Body Text"/>
    <w:basedOn w:val="Normlny"/>
    <w:link w:val="ZkladntextChar"/>
    <w:uiPriority w:val="99"/>
    <w:rsid w:val="00001EFC"/>
    <w:pPr>
      <w:jc w:val="center"/>
    </w:pPr>
    <w:rPr>
      <w:rFonts w:ascii="Arial" w:hAnsi="Arial"/>
      <w:b/>
      <w:sz w:val="7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C5B0C"/>
    <w:rPr>
      <w:rFonts w:cs="Times New Roman"/>
      <w:lang w:val="en-US"/>
    </w:rPr>
  </w:style>
  <w:style w:type="paragraph" w:styleId="Zkladntext2">
    <w:name w:val="Body Text 2"/>
    <w:basedOn w:val="Normlny"/>
    <w:link w:val="Zkladntext2Char"/>
    <w:uiPriority w:val="99"/>
    <w:rsid w:val="00001EFC"/>
    <w:pPr>
      <w:jc w:val="both"/>
    </w:pPr>
    <w:rPr>
      <w:rFonts w:ascii="Arial" w:hAnsi="Arial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C5B0C"/>
    <w:rPr>
      <w:rFonts w:cs="Times New Roman"/>
      <w:lang w:val="en-US"/>
    </w:rPr>
  </w:style>
  <w:style w:type="paragraph" w:styleId="Zarkazkladnhotextu">
    <w:name w:val="Body Text Indent"/>
    <w:basedOn w:val="Normlny"/>
    <w:link w:val="ZarkazkladnhotextuChar"/>
    <w:uiPriority w:val="99"/>
    <w:rsid w:val="00001EFC"/>
    <w:pPr>
      <w:jc w:val="both"/>
    </w:pPr>
    <w:rPr>
      <w:rFonts w:ascii="Arial" w:hAnsi="Arial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C5B0C"/>
    <w:rPr>
      <w:rFonts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rsid w:val="00001EFC"/>
    <w:pPr>
      <w:ind w:left="2127" w:hanging="2127"/>
    </w:pPr>
    <w:rPr>
      <w:rFonts w:ascii="Arial" w:hAnsi="Arial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C5B0C"/>
    <w:rPr>
      <w:rFonts w:cs="Times New Roman"/>
      <w:lang w:val="en-US"/>
    </w:rPr>
  </w:style>
  <w:style w:type="character" w:styleId="slostrany">
    <w:name w:val="page number"/>
    <w:basedOn w:val="Predvolenpsmoodseku"/>
    <w:uiPriority w:val="99"/>
    <w:rsid w:val="00001EFC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5B00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B0C"/>
    <w:rPr>
      <w:rFonts w:ascii="Times New Roman" w:hAnsi="Times New Roman" w:cs="Times New Roman"/>
      <w:sz w:val="0"/>
      <w:szCs w:val="0"/>
      <w:lang w:val="en-US"/>
    </w:rPr>
  </w:style>
  <w:style w:type="character" w:styleId="Hypertextovprepojenie">
    <w:name w:val="Hyperlink"/>
    <w:basedOn w:val="Predvolenpsmoodseku"/>
    <w:uiPriority w:val="99"/>
    <w:rsid w:val="0098410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F711F7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F711F7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711F7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711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F711F7"/>
    <w:rPr>
      <w:b/>
    </w:rPr>
  </w:style>
  <w:style w:type="paragraph" w:styleId="Revzia">
    <w:name w:val="Revision"/>
    <w:hidden/>
    <w:uiPriority w:val="99"/>
    <w:semiHidden/>
    <w:rsid w:val="0027093F"/>
    <w:rPr>
      <w:rFonts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1223</Words>
  <Characters>6973</Characters>
  <Application>Microsoft Office Word</Application>
  <DocSecurity>0</DocSecurity>
  <Lines>58</Lines>
  <Paragraphs>16</Paragraphs>
  <ScaleCrop>false</ScaleCrop>
  <Company>VVZ, Biotika a.s.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Biotika, a.s.</dc:creator>
  <cp:keywords/>
  <dc:description/>
  <cp:lastModifiedBy> Jana Repiščáková</cp:lastModifiedBy>
  <cp:revision>4</cp:revision>
  <cp:lastPrinted>2013-09-25T10:13:00Z</cp:lastPrinted>
  <dcterms:created xsi:type="dcterms:W3CDTF">2016-11-22T11:34:00Z</dcterms:created>
  <dcterms:modified xsi:type="dcterms:W3CDTF">2017-01-13T07:16:00Z</dcterms:modified>
</cp:coreProperties>
</file>