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50912" w14:textId="77777777" w:rsidR="00513C0F" w:rsidRPr="00305E31" w:rsidRDefault="00183E0E" w:rsidP="00FC35F0">
      <w:pPr>
        <w:pStyle w:val="SPCnadpis"/>
        <w:spacing w:before="0" w:after="0"/>
        <w:rPr>
          <w:lang w:val="sk-SK"/>
        </w:rPr>
      </w:pPr>
      <w:r w:rsidRPr="00EF4253">
        <w:rPr>
          <w:lang w:val="sk-SK"/>
        </w:rPr>
        <w:t>SÚHRN CHARAKTERISTICKÝCH VLASTNOSTÍ LIEKU</w:t>
      </w:r>
    </w:p>
    <w:p w14:paraId="5BEF0590" w14:textId="77777777" w:rsidR="0084711F" w:rsidRPr="00EF4253" w:rsidRDefault="0084711F" w:rsidP="00FC35F0">
      <w:pPr>
        <w:pStyle w:val="SPCnadpis"/>
        <w:spacing w:before="0" w:after="0"/>
        <w:rPr>
          <w:lang w:val="sk-SK"/>
        </w:rPr>
      </w:pPr>
    </w:p>
    <w:p w14:paraId="32E9E11D" w14:textId="77777777" w:rsidR="00513C0F" w:rsidRPr="00EF4253" w:rsidRDefault="00183E0E" w:rsidP="00FC35F0">
      <w:pPr>
        <w:pStyle w:val="Styl1"/>
        <w:spacing w:before="0" w:after="0"/>
        <w:rPr>
          <w:lang w:val="sk-SK"/>
        </w:rPr>
      </w:pPr>
      <w:r w:rsidRPr="00EF4253">
        <w:rPr>
          <w:lang w:val="sk-SK"/>
        </w:rPr>
        <w:t>NÁZOV LIEKU</w:t>
      </w:r>
    </w:p>
    <w:p w14:paraId="3B95C55C" w14:textId="77777777" w:rsidR="0084711F" w:rsidRPr="00EF4253" w:rsidRDefault="0084711F" w:rsidP="00FC35F0">
      <w:pPr>
        <w:pStyle w:val="Normlndobloku"/>
        <w:spacing w:after="0"/>
      </w:pPr>
    </w:p>
    <w:p w14:paraId="516DECC0" w14:textId="6FED1178" w:rsidR="00384651" w:rsidRPr="00EF4253" w:rsidRDefault="00540818" w:rsidP="00FC35F0">
      <w:pPr>
        <w:pStyle w:val="Normlndobloku"/>
        <w:spacing w:after="0"/>
      </w:pPr>
      <w:r w:rsidRPr="00EF4253">
        <w:t>MELENOR 35</w:t>
      </w:r>
      <w:r w:rsidR="008A53FB" w:rsidRPr="00EF4253">
        <w:t> </w:t>
      </w:r>
      <w:r w:rsidRPr="00EF4253">
        <w:t>mg</w:t>
      </w:r>
    </w:p>
    <w:p w14:paraId="7BC12054" w14:textId="77777777" w:rsidR="0084711F" w:rsidRPr="00EF4253" w:rsidRDefault="0084711F" w:rsidP="00FC35F0">
      <w:pPr>
        <w:pStyle w:val="Normlndobloku"/>
        <w:spacing w:after="0"/>
      </w:pPr>
    </w:p>
    <w:p w14:paraId="01206C14" w14:textId="77777777" w:rsidR="00540818" w:rsidRPr="00EF4253" w:rsidRDefault="00540818" w:rsidP="00FC35F0">
      <w:pPr>
        <w:pStyle w:val="Normlndobloku"/>
        <w:spacing w:after="0"/>
      </w:pPr>
      <w:r w:rsidRPr="00EF4253">
        <w:t>filmom obalené tablety</w:t>
      </w:r>
    </w:p>
    <w:p w14:paraId="45D3AC58" w14:textId="77777777" w:rsidR="0084711F" w:rsidRPr="00EF4253" w:rsidRDefault="0084711F" w:rsidP="00FC35F0">
      <w:pPr>
        <w:pStyle w:val="Normlndobloku"/>
        <w:spacing w:after="0"/>
      </w:pPr>
    </w:p>
    <w:p w14:paraId="648774B9" w14:textId="77777777" w:rsidR="0084711F" w:rsidRPr="00EF4253" w:rsidRDefault="0084711F" w:rsidP="00FC35F0">
      <w:pPr>
        <w:pStyle w:val="Normlndobloku"/>
        <w:spacing w:after="0"/>
      </w:pPr>
    </w:p>
    <w:p w14:paraId="53DEE513" w14:textId="74C426D8" w:rsidR="00513C0F" w:rsidRPr="00EF4253" w:rsidRDefault="00183E0E" w:rsidP="00FC35F0">
      <w:pPr>
        <w:pStyle w:val="Styl1"/>
        <w:spacing w:before="0" w:after="0"/>
        <w:rPr>
          <w:lang w:val="sk-SK"/>
        </w:rPr>
      </w:pPr>
      <w:r w:rsidRPr="00EF4253">
        <w:rPr>
          <w:lang w:val="sk-SK"/>
        </w:rPr>
        <w:t>KVALITATÍVNE A</w:t>
      </w:r>
      <w:r w:rsidR="008A53FB" w:rsidRPr="00EF4253">
        <w:rPr>
          <w:lang w:val="sk-SK"/>
        </w:rPr>
        <w:t> </w:t>
      </w:r>
      <w:r w:rsidRPr="00EF4253">
        <w:rPr>
          <w:lang w:val="sk-SK"/>
        </w:rPr>
        <w:t>KVANTITATÍVNE ZLOŽENIE</w:t>
      </w:r>
    </w:p>
    <w:p w14:paraId="6F7897CE" w14:textId="77777777" w:rsidR="00901588" w:rsidRPr="00EF4253" w:rsidRDefault="00901588" w:rsidP="00FC35F0">
      <w:pPr>
        <w:pStyle w:val="Normlndobloku"/>
        <w:spacing w:after="0"/>
      </w:pPr>
    </w:p>
    <w:p w14:paraId="2906F162" w14:textId="268E8C13" w:rsidR="00474ACA" w:rsidRPr="00EF4253" w:rsidRDefault="00335E30" w:rsidP="00FC35F0">
      <w:pPr>
        <w:pStyle w:val="Normlndobloku"/>
        <w:spacing w:after="0"/>
      </w:pPr>
      <w:r w:rsidRPr="00EF4253">
        <w:t>Jedna</w:t>
      </w:r>
      <w:r w:rsidR="00474ACA" w:rsidRPr="00EF4253">
        <w:t xml:space="preserve"> filmom obalená tableta obsahuje 35</w:t>
      </w:r>
      <w:r w:rsidR="000A31A8" w:rsidRPr="00EF4253">
        <w:t> </w:t>
      </w:r>
      <w:r w:rsidR="00474ACA" w:rsidRPr="00EF4253">
        <w:t xml:space="preserve">mg </w:t>
      </w:r>
      <w:proofErr w:type="spellStart"/>
      <w:r w:rsidR="00474ACA" w:rsidRPr="00EF4253">
        <w:t>nátriumrizedronátu</w:t>
      </w:r>
      <w:proofErr w:type="spellEnd"/>
      <w:r w:rsidR="00474ACA" w:rsidRPr="00EF4253">
        <w:t xml:space="preserve"> (čo zodpovedá 32,5 mg</w:t>
      </w:r>
      <w:r w:rsidR="000A31A8" w:rsidRPr="00EF4253">
        <w:t> </w:t>
      </w:r>
      <w:r w:rsidR="00474ACA" w:rsidRPr="00EF4253">
        <w:t xml:space="preserve">kyseliny </w:t>
      </w:r>
      <w:proofErr w:type="spellStart"/>
      <w:r w:rsidR="00474ACA" w:rsidRPr="00EF4253">
        <w:t>rizedrónovej</w:t>
      </w:r>
      <w:proofErr w:type="spellEnd"/>
      <w:r w:rsidR="00474ACA" w:rsidRPr="00EF4253">
        <w:t>).</w:t>
      </w:r>
    </w:p>
    <w:p w14:paraId="7367C835" w14:textId="77777777" w:rsidR="00901588" w:rsidRPr="00FC35F0" w:rsidRDefault="00901588" w:rsidP="00FC35F0">
      <w:pPr>
        <w:pStyle w:val="Styl30"/>
        <w:spacing w:after="0"/>
        <w:rPr>
          <w:lang w:val="sk-SK"/>
        </w:rPr>
      </w:pPr>
    </w:p>
    <w:p w14:paraId="0A66F5A0" w14:textId="45A08BBF" w:rsidR="00912848" w:rsidRPr="00FC35F0" w:rsidRDefault="00912848" w:rsidP="00FC35F0">
      <w:pPr>
        <w:pStyle w:val="Styl30"/>
        <w:spacing w:after="0"/>
        <w:rPr>
          <w:lang w:val="sk-SK"/>
        </w:rPr>
      </w:pPr>
      <w:r w:rsidRPr="00FC35F0">
        <w:rPr>
          <w:lang w:val="sk-SK"/>
        </w:rPr>
        <w:t>Pomocné látky so známym účinkom</w:t>
      </w:r>
    </w:p>
    <w:p w14:paraId="2AE9B75E" w14:textId="3B1DE5DE" w:rsidR="00540818" w:rsidRPr="00EF4253" w:rsidRDefault="00335E30" w:rsidP="00FC35F0">
      <w:pPr>
        <w:pStyle w:val="Normlndobloku"/>
        <w:spacing w:after="0"/>
      </w:pPr>
      <w:r w:rsidRPr="00305E31">
        <w:t>Jedna</w:t>
      </w:r>
      <w:r w:rsidR="00540818" w:rsidRPr="00305E31">
        <w:t xml:space="preserve"> filmom obalená tableta obsahuje</w:t>
      </w:r>
      <w:r w:rsidR="00912848" w:rsidRPr="00305E31">
        <w:t xml:space="preserve"> </w:t>
      </w:r>
      <w:r w:rsidR="00540818" w:rsidRPr="00453536">
        <w:t>143,6</w:t>
      </w:r>
      <w:r w:rsidR="000A31A8" w:rsidRPr="00EF4253">
        <w:t> </w:t>
      </w:r>
      <w:r w:rsidR="00540818" w:rsidRPr="00EF4253">
        <w:t>mg laktózy.</w:t>
      </w:r>
    </w:p>
    <w:p w14:paraId="508E0522" w14:textId="77777777" w:rsidR="00901588" w:rsidRPr="00EF4253" w:rsidRDefault="00901588" w:rsidP="00FC35F0">
      <w:pPr>
        <w:pStyle w:val="Normlndobloku"/>
        <w:spacing w:after="0"/>
      </w:pPr>
    </w:p>
    <w:p w14:paraId="632C6C7C" w14:textId="77777777" w:rsidR="00513C0F" w:rsidRPr="00EF4253" w:rsidRDefault="00183E0E" w:rsidP="00FC35F0">
      <w:pPr>
        <w:pStyle w:val="Normlndobloku"/>
        <w:spacing w:after="0"/>
      </w:pPr>
      <w:r w:rsidRPr="00EF4253">
        <w:t>Úplný zoznam pomocných látok, pozri časť 6.1.</w:t>
      </w:r>
    </w:p>
    <w:p w14:paraId="0E3C5F11" w14:textId="77777777" w:rsidR="0084711F" w:rsidRPr="00EF4253" w:rsidRDefault="0084711F" w:rsidP="00FC35F0">
      <w:pPr>
        <w:pStyle w:val="Normlndobloku"/>
        <w:spacing w:after="0"/>
      </w:pPr>
    </w:p>
    <w:p w14:paraId="3D17BC9F" w14:textId="77777777" w:rsidR="0084711F" w:rsidRPr="00EF4253" w:rsidRDefault="0084711F" w:rsidP="00FC35F0">
      <w:pPr>
        <w:pStyle w:val="Normlndobloku"/>
        <w:spacing w:after="0"/>
      </w:pPr>
    </w:p>
    <w:p w14:paraId="3A4ABAFF" w14:textId="77777777" w:rsidR="00513C0F" w:rsidRPr="00EF4253" w:rsidRDefault="00183E0E" w:rsidP="00FC35F0">
      <w:pPr>
        <w:pStyle w:val="Styl1"/>
        <w:spacing w:before="0" w:after="0"/>
        <w:rPr>
          <w:lang w:val="sk-SK"/>
        </w:rPr>
      </w:pPr>
      <w:r w:rsidRPr="00EF4253">
        <w:rPr>
          <w:lang w:val="sk-SK"/>
        </w:rPr>
        <w:t>LIEKOVÁ FORMA</w:t>
      </w:r>
    </w:p>
    <w:p w14:paraId="52ABECC0" w14:textId="77777777" w:rsidR="0084711F" w:rsidRPr="00EF4253" w:rsidRDefault="0084711F" w:rsidP="00FC35F0">
      <w:pPr>
        <w:pStyle w:val="Normlndobloku"/>
        <w:spacing w:after="0"/>
      </w:pPr>
    </w:p>
    <w:p w14:paraId="5FF49C54" w14:textId="77777777" w:rsidR="00513C0F" w:rsidRPr="00EF4253" w:rsidRDefault="00540818" w:rsidP="00FC35F0">
      <w:pPr>
        <w:pStyle w:val="Normlndobloku"/>
        <w:spacing w:after="0"/>
      </w:pPr>
      <w:r w:rsidRPr="00EF4253">
        <w:t>Filmom obalená tableta</w:t>
      </w:r>
    </w:p>
    <w:p w14:paraId="28A660C3" w14:textId="77777777" w:rsidR="0084711F" w:rsidRPr="00EF4253" w:rsidRDefault="0084711F" w:rsidP="00FC35F0">
      <w:pPr>
        <w:pStyle w:val="Normlndobloku"/>
        <w:spacing w:after="0"/>
      </w:pPr>
    </w:p>
    <w:p w14:paraId="461E3E99" w14:textId="0F75A30F" w:rsidR="00A772BC" w:rsidRPr="00EF4253" w:rsidRDefault="00540818" w:rsidP="00FC35F0">
      <w:pPr>
        <w:pStyle w:val="Normlndobloku"/>
        <w:spacing w:after="0"/>
      </w:pPr>
      <w:r w:rsidRPr="00EF4253">
        <w:t xml:space="preserve">Svetlo </w:t>
      </w:r>
      <w:r w:rsidR="00222D66" w:rsidRPr="00EF4253">
        <w:t>oranžové</w:t>
      </w:r>
      <w:r w:rsidRPr="00EF4253">
        <w:t xml:space="preserve">, okrúhle, filmom obalené tablety </w:t>
      </w:r>
      <w:r w:rsidR="00D60838" w:rsidRPr="00EF4253">
        <w:t>s</w:t>
      </w:r>
      <w:r w:rsidRPr="00EF4253">
        <w:t> priemer</w:t>
      </w:r>
      <w:r w:rsidR="00D60838" w:rsidRPr="00EF4253">
        <w:t>om</w:t>
      </w:r>
      <w:r w:rsidRPr="00EF4253">
        <w:t xml:space="preserve"> 9,1</w:t>
      </w:r>
      <w:r w:rsidR="00311A4D" w:rsidRPr="00EF4253">
        <w:t> </w:t>
      </w:r>
      <w:r w:rsidRPr="00EF4253">
        <w:t xml:space="preserve">mm, </w:t>
      </w:r>
      <w:r w:rsidR="00D60838" w:rsidRPr="00EF4253">
        <w:t>s</w:t>
      </w:r>
      <w:r w:rsidR="00311A4D" w:rsidRPr="00EF4253">
        <w:t> </w:t>
      </w:r>
      <w:r w:rsidR="00D60838" w:rsidRPr="00EF4253">
        <w:t>označením</w:t>
      </w:r>
      <w:r w:rsidRPr="00EF4253">
        <w:t xml:space="preserve"> „J“</w:t>
      </w:r>
      <w:r w:rsidR="00D60838" w:rsidRPr="00EF4253">
        <w:t xml:space="preserve"> na jednej strane a</w:t>
      </w:r>
      <w:r w:rsidR="00311A4D" w:rsidRPr="00EF4253">
        <w:t> </w:t>
      </w:r>
      <w:r w:rsidR="00D60838" w:rsidRPr="00EF4253">
        <w:t>s</w:t>
      </w:r>
      <w:r w:rsidR="00311A4D" w:rsidRPr="00EF4253">
        <w:t> </w:t>
      </w:r>
      <w:r w:rsidR="00D60838" w:rsidRPr="00EF4253">
        <w:t>označením</w:t>
      </w:r>
      <w:r w:rsidRPr="00EF4253">
        <w:t xml:space="preserve"> „35“</w:t>
      </w:r>
      <w:r w:rsidR="00D60838" w:rsidRPr="00EF4253">
        <w:t xml:space="preserve"> na druhej strane.</w:t>
      </w:r>
    </w:p>
    <w:p w14:paraId="4012C243" w14:textId="77777777" w:rsidR="0084711F" w:rsidRPr="00EF4253" w:rsidRDefault="0084711F" w:rsidP="00FC35F0">
      <w:pPr>
        <w:pStyle w:val="Normlndobloku"/>
        <w:spacing w:after="0"/>
      </w:pPr>
    </w:p>
    <w:p w14:paraId="2AB36AD9" w14:textId="77777777" w:rsidR="0084711F" w:rsidRPr="00EF4253" w:rsidRDefault="0084711F" w:rsidP="00FC35F0">
      <w:pPr>
        <w:pStyle w:val="Normlndobloku"/>
        <w:spacing w:after="0"/>
      </w:pPr>
    </w:p>
    <w:p w14:paraId="115445A2" w14:textId="77777777" w:rsidR="00513C0F" w:rsidRPr="00EF4253" w:rsidRDefault="00183E0E" w:rsidP="00FC35F0">
      <w:pPr>
        <w:pStyle w:val="Styl1"/>
        <w:spacing w:before="0" w:after="0"/>
        <w:rPr>
          <w:lang w:val="sk-SK"/>
        </w:rPr>
      </w:pPr>
      <w:r w:rsidRPr="00EF4253">
        <w:rPr>
          <w:lang w:val="sk-SK"/>
        </w:rPr>
        <w:t>KLINICKÉ ÚDAJE</w:t>
      </w:r>
    </w:p>
    <w:p w14:paraId="4016BD88" w14:textId="77777777" w:rsidR="0084711F" w:rsidRPr="00EF4253" w:rsidRDefault="0084711F" w:rsidP="00FC35F0">
      <w:pPr>
        <w:pStyle w:val="Styl1"/>
        <w:numPr>
          <w:ilvl w:val="0"/>
          <w:numId w:val="0"/>
        </w:numPr>
        <w:spacing w:before="0" w:after="0"/>
        <w:ind w:left="360"/>
        <w:rPr>
          <w:lang w:val="sk-SK"/>
        </w:rPr>
      </w:pPr>
    </w:p>
    <w:p w14:paraId="6900075B" w14:textId="77777777" w:rsidR="00222D66" w:rsidRPr="00EF4253" w:rsidRDefault="00183E0E" w:rsidP="00FC35F0">
      <w:pPr>
        <w:pStyle w:val="Styl2"/>
        <w:spacing w:before="0" w:after="0"/>
        <w:rPr>
          <w:lang w:val="sk-SK"/>
        </w:rPr>
      </w:pPr>
      <w:r w:rsidRPr="00EF4253">
        <w:rPr>
          <w:lang w:val="sk-SK"/>
        </w:rPr>
        <w:t>Terapeutické indikácie</w:t>
      </w:r>
    </w:p>
    <w:p w14:paraId="11DAD89B" w14:textId="77777777" w:rsidR="0084711F" w:rsidRPr="00EF4253" w:rsidRDefault="0084711F" w:rsidP="00FC35F0">
      <w:pPr>
        <w:pStyle w:val="Normlndobloku"/>
        <w:spacing w:after="0"/>
      </w:pPr>
    </w:p>
    <w:p w14:paraId="41270E0B" w14:textId="2EFD2EA6" w:rsidR="00222D66" w:rsidRPr="00EF4253" w:rsidRDefault="00222D66" w:rsidP="00FC35F0">
      <w:pPr>
        <w:pStyle w:val="Normlndobloku"/>
        <w:spacing w:after="0"/>
      </w:pPr>
      <w:r w:rsidRPr="00EF4253">
        <w:t xml:space="preserve">Liečba </w:t>
      </w:r>
      <w:proofErr w:type="spellStart"/>
      <w:r w:rsidRPr="00EF4253">
        <w:t>osteoporózy</w:t>
      </w:r>
      <w:proofErr w:type="spellEnd"/>
      <w:r w:rsidR="00FF424F" w:rsidRPr="00EF4253">
        <w:t xml:space="preserve"> u žien po </w:t>
      </w:r>
      <w:proofErr w:type="spellStart"/>
      <w:r w:rsidR="00FF424F" w:rsidRPr="00EF4253">
        <w:t>menopauze</w:t>
      </w:r>
      <w:proofErr w:type="spellEnd"/>
      <w:r w:rsidRPr="00EF4253">
        <w:t xml:space="preserve">, </w:t>
      </w:r>
      <w:r w:rsidR="00FF424F" w:rsidRPr="00EF4253">
        <w:t>aby sa</w:t>
      </w:r>
      <w:r w:rsidRPr="00EF4253">
        <w:t xml:space="preserve"> </w:t>
      </w:r>
      <w:r w:rsidR="004C5192" w:rsidRPr="00EF4253">
        <w:t>zníž</w:t>
      </w:r>
      <w:r w:rsidR="00FF424F" w:rsidRPr="00EF4253">
        <w:t>ilo</w:t>
      </w:r>
      <w:r w:rsidRPr="00EF4253">
        <w:t xml:space="preserve"> rizik</w:t>
      </w:r>
      <w:r w:rsidR="00FF424F" w:rsidRPr="00EF4253">
        <w:t>o</w:t>
      </w:r>
      <w:r w:rsidRPr="00EF4253">
        <w:t xml:space="preserve"> </w:t>
      </w:r>
      <w:proofErr w:type="spellStart"/>
      <w:r w:rsidRPr="00EF4253">
        <w:t>vert</w:t>
      </w:r>
      <w:r w:rsidR="00311A4D" w:rsidRPr="00EF4253">
        <w:t>e</w:t>
      </w:r>
      <w:r w:rsidRPr="00EF4253">
        <w:t>brálnych</w:t>
      </w:r>
      <w:proofErr w:type="spellEnd"/>
      <w:r w:rsidRPr="00EF4253">
        <w:t xml:space="preserve"> fraktúr.</w:t>
      </w:r>
    </w:p>
    <w:p w14:paraId="125289A0" w14:textId="77777777" w:rsidR="00513C0F" w:rsidRPr="00EF4253" w:rsidRDefault="00222D66" w:rsidP="00FC35F0">
      <w:pPr>
        <w:pStyle w:val="Normlndobloku"/>
        <w:spacing w:after="0"/>
      </w:pPr>
      <w:r w:rsidRPr="00EF4253">
        <w:t xml:space="preserve">Liečba potvrdenej </w:t>
      </w:r>
      <w:proofErr w:type="spellStart"/>
      <w:r w:rsidRPr="00EF4253">
        <w:t>osteoporózy</w:t>
      </w:r>
      <w:proofErr w:type="spellEnd"/>
      <w:r w:rsidR="005D21EF" w:rsidRPr="00EF4253">
        <w:t xml:space="preserve"> u žien po </w:t>
      </w:r>
      <w:proofErr w:type="spellStart"/>
      <w:r w:rsidR="005D21EF" w:rsidRPr="00EF4253">
        <w:t>menopauze</w:t>
      </w:r>
      <w:proofErr w:type="spellEnd"/>
      <w:r w:rsidRPr="00EF4253">
        <w:t xml:space="preserve">, </w:t>
      </w:r>
      <w:r w:rsidR="00AF5617" w:rsidRPr="00EF4253">
        <w:t xml:space="preserve">aby sa </w:t>
      </w:r>
      <w:r w:rsidRPr="00EF4253">
        <w:t>zníž</w:t>
      </w:r>
      <w:r w:rsidR="00AF5617" w:rsidRPr="00EF4253">
        <w:t>ilo</w:t>
      </w:r>
      <w:r w:rsidRPr="00EF4253">
        <w:t xml:space="preserve"> rizik</w:t>
      </w:r>
      <w:r w:rsidR="00AF5617" w:rsidRPr="00EF4253">
        <w:t>o</w:t>
      </w:r>
      <w:r w:rsidRPr="00EF4253">
        <w:t xml:space="preserve"> fraktúr bedrového kĺbu (pozri časť 5.1).</w:t>
      </w:r>
    </w:p>
    <w:p w14:paraId="7EC35A60" w14:textId="77777777" w:rsidR="001D1B96" w:rsidRPr="00EF4253" w:rsidRDefault="001D1B96" w:rsidP="00FC35F0">
      <w:pPr>
        <w:pStyle w:val="Normlndobloku"/>
        <w:spacing w:after="0"/>
      </w:pPr>
    </w:p>
    <w:p w14:paraId="03767980" w14:textId="77777777" w:rsidR="00222D66" w:rsidRPr="00EF4253" w:rsidRDefault="00222D66" w:rsidP="00FC35F0">
      <w:pPr>
        <w:pStyle w:val="Normlndobloku"/>
        <w:spacing w:after="0"/>
      </w:pPr>
      <w:r w:rsidRPr="00EF4253">
        <w:t xml:space="preserve">Liečba </w:t>
      </w:r>
      <w:proofErr w:type="spellStart"/>
      <w:r w:rsidRPr="00EF4253">
        <w:t>osteoporózy</w:t>
      </w:r>
      <w:proofErr w:type="spellEnd"/>
      <w:r w:rsidRPr="00EF4253">
        <w:t xml:space="preserve"> u mužov s vysokým rizikom fraktúr (pozri časť 5.1).</w:t>
      </w:r>
    </w:p>
    <w:p w14:paraId="622298BE" w14:textId="77777777" w:rsidR="0084711F" w:rsidRPr="00EF4253" w:rsidRDefault="0084711F" w:rsidP="00FC35F0">
      <w:pPr>
        <w:pStyle w:val="Normlndobloku"/>
        <w:spacing w:after="0"/>
      </w:pPr>
    </w:p>
    <w:p w14:paraId="731FC3B7" w14:textId="41F3529F" w:rsidR="00513C0F" w:rsidRPr="00EF4253" w:rsidRDefault="00183E0E" w:rsidP="00FC35F0">
      <w:pPr>
        <w:pStyle w:val="Styl2"/>
        <w:spacing w:before="0" w:after="0"/>
        <w:rPr>
          <w:lang w:val="sk-SK"/>
        </w:rPr>
      </w:pPr>
      <w:r w:rsidRPr="00EF4253">
        <w:rPr>
          <w:lang w:val="sk-SK"/>
        </w:rPr>
        <w:t>Dávkovanie a</w:t>
      </w:r>
      <w:r w:rsidR="008A53FB" w:rsidRPr="00EF4253">
        <w:rPr>
          <w:lang w:val="sk-SK"/>
        </w:rPr>
        <w:t> </w:t>
      </w:r>
      <w:r w:rsidRPr="00EF4253">
        <w:rPr>
          <w:lang w:val="sk-SK"/>
        </w:rPr>
        <w:t>spôsob podávania</w:t>
      </w:r>
    </w:p>
    <w:p w14:paraId="03F4D1D5" w14:textId="77777777" w:rsidR="0084711F" w:rsidRPr="00FC35F0" w:rsidRDefault="0084711F" w:rsidP="00FC35F0">
      <w:pPr>
        <w:pStyle w:val="Styl30"/>
        <w:spacing w:after="0"/>
        <w:rPr>
          <w:lang w:val="sk-SK"/>
        </w:rPr>
      </w:pPr>
    </w:p>
    <w:p w14:paraId="24A447BB" w14:textId="77777777" w:rsidR="0078210B" w:rsidRPr="00FC35F0" w:rsidRDefault="00245FF1" w:rsidP="00FC35F0">
      <w:pPr>
        <w:pStyle w:val="Styl30"/>
        <w:spacing w:after="0"/>
        <w:rPr>
          <w:lang w:val="sk-SK"/>
        </w:rPr>
      </w:pPr>
      <w:r w:rsidRPr="00FC35F0">
        <w:rPr>
          <w:lang w:val="sk-SK"/>
        </w:rPr>
        <w:t>Dávkovanie</w:t>
      </w:r>
    </w:p>
    <w:p w14:paraId="276EFF80" w14:textId="77777777" w:rsidR="001D1B96" w:rsidRPr="00305E31" w:rsidRDefault="001D1B96" w:rsidP="00FC35F0">
      <w:pPr>
        <w:pStyle w:val="Normlndobloku"/>
        <w:spacing w:after="0"/>
      </w:pPr>
    </w:p>
    <w:p w14:paraId="4D609B56" w14:textId="2EB58012" w:rsidR="00F9521D" w:rsidRPr="00EF4253" w:rsidRDefault="00F9521D" w:rsidP="00FC35F0">
      <w:pPr>
        <w:pStyle w:val="Normlndobloku"/>
        <w:spacing w:after="0"/>
      </w:pPr>
      <w:r w:rsidRPr="00EF4253">
        <w:t>Odporúčaná dávka u dospelých je 1 tableta 35</w:t>
      </w:r>
      <w:r w:rsidR="000A31A8" w:rsidRPr="00EF4253">
        <w:t> </w:t>
      </w:r>
      <w:r w:rsidRPr="00EF4253">
        <w:t>mg perorálne raz za týždeň. Tablety sa ma</w:t>
      </w:r>
      <w:r w:rsidR="00423425" w:rsidRPr="00EF4253">
        <w:t>jú</w:t>
      </w:r>
      <w:r w:rsidRPr="00EF4253">
        <w:t xml:space="preserve"> užívať každý týždeň v rovnaký deň.</w:t>
      </w:r>
    </w:p>
    <w:p w14:paraId="0E341A3F" w14:textId="6696E46E" w:rsidR="00F9521D" w:rsidRPr="00EF4253" w:rsidRDefault="00F9521D" w:rsidP="00FC35F0">
      <w:pPr>
        <w:pStyle w:val="Normlndobloku"/>
        <w:spacing w:after="0"/>
      </w:pPr>
      <w:r w:rsidRPr="00EF4253">
        <w:t xml:space="preserve">Absorpcia </w:t>
      </w:r>
      <w:proofErr w:type="spellStart"/>
      <w:r w:rsidRPr="00EF4253">
        <w:t>n</w:t>
      </w:r>
      <w:r w:rsidR="004C5192" w:rsidRPr="00EF4253">
        <w:t>á</w:t>
      </w:r>
      <w:r w:rsidRPr="00EF4253">
        <w:t>triumri</w:t>
      </w:r>
      <w:r w:rsidR="00305E31">
        <w:t>z</w:t>
      </w:r>
      <w:r w:rsidRPr="00305E31">
        <w:t>edronátu</w:t>
      </w:r>
      <w:proofErr w:type="spellEnd"/>
      <w:r w:rsidRPr="00305E31">
        <w:t xml:space="preserve"> je ovplyvnená jedlom, pre zabezpečenie adekvátnej absorpcie ma</w:t>
      </w:r>
      <w:r w:rsidR="003D2BE8" w:rsidRPr="00305E31">
        <w:t>jú</w:t>
      </w:r>
      <w:r w:rsidRPr="00453536">
        <w:t xml:space="preserve"> pacienti užívať MELENOR </w:t>
      </w:r>
      <w:r w:rsidRPr="00EF4253">
        <w:t>35</w:t>
      </w:r>
      <w:r w:rsidR="000A31A8" w:rsidRPr="00EF4253">
        <w:t> </w:t>
      </w:r>
      <w:r w:rsidRPr="00EF4253">
        <w:t>mg:</w:t>
      </w:r>
    </w:p>
    <w:p w14:paraId="7FDF9ADB" w14:textId="45C64885" w:rsidR="00F9521D" w:rsidRPr="00EF4253" w:rsidRDefault="00F9521D">
      <w:pPr>
        <w:pStyle w:val="Normlndoblokusodrkami"/>
      </w:pPr>
      <w:r w:rsidRPr="00FC35F0">
        <w:t>pred raňajkami: najmenej 30</w:t>
      </w:r>
      <w:r w:rsidR="000A31A8" w:rsidRPr="00FC35F0">
        <w:t> </w:t>
      </w:r>
      <w:r w:rsidRPr="00FC35F0">
        <w:t>minút pred prvým denným jedlom, iným lie</w:t>
      </w:r>
      <w:r w:rsidR="003D2BE8" w:rsidRPr="00FC35F0">
        <w:t>kom</w:t>
      </w:r>
      <w:r w:rsidRPr="00FC35F0">
        <w:t xml:space="preserve"> alebo nápojom (iným než čistá voda)</w:t>
      </w:r>
    </w:p>
    <w:p w14:paraId="4044B7B3" w14:textId="62D8FA1E" w:rsidR="00F9521D" w:rsidRPr="00EF4253" w:rsidRDefault="00F9521D" w:rsidP="00FC35F0">
      <w:pPr>
        <w:pStyle w:val="Normlndobloku"/>
        <w:spacing w:after="0"/>
      </w:pPr>
      <w:r w:rsidRPr="00EF4253">
        <w:lastRenderedPageBreak/>
        <w:t>Pacienti ma</w:t>
      </w:r>
      <w:r w:rsidR="00FC404D" w:rsidRPr="00EF4253">
        <w:t>jú</w:t>
      </w:r>
      <w:r w:rsidRPr="00EF4253">
        <w:t xml:space="preserve"> byť informovan</w:t>
      </w:r>
      <w:r w:rsidR="004C5192" w:rsidRPr="00EF4253">
        <w:t>í</w:t>
      </w:r>
      <w:r w:rsidRPr="00EF4253">
        <w:t>, že pokiaľ vynechajú dávku, ma</w:t>
      </w:r>
      <w:r w:rsidR="004254BC" w:rsidRPr="00EF4253">
        <w:t>jú</w:t>
      </w:r>
      <w:r w:rsidRPr="00EF4253">
        <w:t xml:space="preserve"> si vziať jednu tabletu MELENOR 35</w:t>
      </w:r>
      <w:r w:rsidR="000A31A8" w:rsidRPr="00EF4253">
        <w:t> </w:t>
      </w:r>
      <w:r w:rsidRPr="00EF4253">
        <w:t>mg v deň, kedy si spomenú, a potom sa ma</w:t>
      </w:r>
      <w:r w:rsidR="004254BC" w:rsidRPr="00EF4253">
        <w:t>jú</w:t>
      </w:r>
      <w:r w:rsidRPr="00EF4253">
        <w:t xml:space="preserve"> vrátiť k užívaniu jednej tablety týždenne v</w:t>
      </w:r>
      <w:r w:rsidR="00311A4D" w:rsidRPr="00EF4253">
        <w:t> </w:t>
      </w:r>
      <w:r w:rsidRPr="00EF4253">
        <w:t>deň</w:t>
      </w:r>
      <w:r w:rsidR="00311A4D" w:rsidRPr="00EF4253">
        <w:t>,</w:t>
      </w:r>
      <w:r w:rsidRPr="00EF4253">
        <w:t xml:space="preserve"> kedy ju normálne užívajú. Počas jedného dňa sa nesmú užiť dve tablety.</w:t>
      </w:r>
    </w:p>
    <w:p w14:paraId="684C9742" w14:textId="77777777" w:rsidR="001D1B96" w:rsidRPr="00EF4253" w:rsidRDefault="001D1B96" w:rsidP="00FC35F0">
      <w:pPr>
        <w:pStyle w:val="Normlndobloku"/>
        <w:spacing w:after="0"/>
      </w:pPr>
    </w:p>
    <w:p w14:paraId="27481656" w14:textId="2CB2D0B2" w:rsidR="00F9521D" w:rsidRPr="00EF4253" w:rsidRDefault="00F9521D" w:rsidP="00FC35F0">
      <w:pPr>
        <w:pStyle w:val="Normlndobloku"/>
        <w:spacing w:after="0"/>
      </w:pPr>
      <w:r w:rsidRPr="00EF4253">
        <w:t xml:space="preserve">Tableta sa </w:t>
      </w:r>
      <w:r w:rsidR="001D1B96" w:rsidRPr="00EF4253">
        <w:t xml:space="preserve">musí </w:t>
      </w:r>
      <w:r w:rsidRPr="00EF4253">
        <w:t>prehltnúť celá a</w:t>
      </w:r>
      <w:r w:rsidR="00311A4D" w:rsidRPr="00EF4253">
        <w:t> </w:t>
      </w:r>
      <w:r w:rsidR="001D1B96" w:rsidRPr="00EF4253">
        <w:t xml:space="preserve">nesmie </w:t>
      </w:r>
      <w:r w:rsidRPr="00EF4253">
        <w:t>sa cmúľať alebo žuvať. MELENOR 35 mg sa má užiť vo vzpriamenej polohe a</w:t>
      </w:r>
      <w:r w:rsidR="000A31A8" w:rsidRPr="00EF4253">
        <w:t> </w:t>
      </w:r>
      <w:r w:rsidRPr="00EF4253">
        <w:t>zapiť pohárom čistej vody (</w:t>
      </w:r>
      <w:r w:rsidRPr="00305E31">
        <w:sym w:font="Symbol" w:char="F0B3"/>
      </w:r>
      <w:r w:rsidR="000A31A8" w:rsidRPr="00305E31">
        <w:t> </w:t>
      </w:r>
      <w:r w:rsidRPr="00305E31">
        <w:t>120</w:t>
      </w:r>
      <w:r w:rsidR="000A31A8" w:rsidRPr="00305E31">
        <w:t> </w:t>
      </w:r>
      <w:r w:rsidRPr="00453536">
        <w:t>ml), aby sa tableta ľahšie dostala do žalúdka. 30</w:t>
      </w:r>
      <w:r w:rsidR="009744CE" w:rsidRPr="00EF4253">
        <w:t> </w:t>
      </w:r>
      <w:r w:rsidRPr="00EF4253">
        <w:t>minút po užití tablety si pacienti nemajú ľahnúť (pozri časť 4.4).</w:t>
      </w:r>
    </w:p>
    <w:p w14:paraId="5E2DF7D0" w14:textId="77777777" w:rsidR="001D1B96" w:rsidRPr="00EF4253" w:rsidRDefault="001D1B96" w:rsidP="00FC35F0">
      <w:pPr>
        <w:pStyle w:val="Normlndobloku"/>
        <w:spacing w:after="0"/>
      </w:pPr>
    </w:p>
    <w:p w14:paraId="138D9F96" w14:textId="62FD0F75" w:rsidR="00311A4D" w:rsidRPr="00EF4253" w:rsidRDefault="00311A4D" w:rsidP="00FC35F0">
      <w:pPr>
        <w:pStyle w:val="Normlndobloku"/>
        <w:spacing w:after="0"/>
      </w:pPr>
      <w:r w:rsidRPr="00EF4253">
        <w:t xml:space="preserve">Optimálna dĺžka liečby </w:t>
      </w:r>
      <w:proofErr w:type="spellStart"/>
      <w:r w:rsidRPr="00EF4253">
        <w:t>osteoporózy</w:t>
      </w:r>
      <w:proofErr w:type="spellEnd"/>
      <w:r w:rsidRPr="00EF4253">
        <w:t xml:space="preserve"> </w:t>
      </w:r>
      <w:proofErr w:type="spellStart"/>
      <w:r w:rsidRPr="00EF4253">
        <w:t>bisfosfonátmi</w:t>
      </w:r>
      <w:proofErr w:type="spellEnd"/>
      <w:r w:rsidRPr="00EF4253">
        <w:t xml:space="preserve"> nebola stanovená. Potreba pokračovať v liečbe sa má u jednotlivých pacientov pravidelne prehodnocovať na základe prínosov a možných rizík </w:t>
      </w:r>
      <w:proofErr w:type="spellStart"/>
      <w:r w:rsidRPr="00EF4253">
        <w:t>rizedronátu</w:t>
      </w:r>
      <w:proofErr w:type="spellEnd"/>
      <w:r w:rsidRPr="00EF4253">
        <w:t>, najmä po 5 alebo viacerých rokoch užívania.</w:t>
      </w:r>
    </w:p>
    <w:p w14:paraId="549D3791" w14:textId="77777777" w:rsidR="001D1B96" w:rsidRPr="00EF4253" w:rsidRDefault="001D1B96" w:rsidP="00FC35F0">
      <w:pPr>
        <w:pStyle w:val="Normlndobloku"/>
        <w:spacing w:after="0"/>
      </w:pPr>
    </w:p>
    <w:p w14:paraId="3B2FF5C4" w14:textId="2146F0B2" w:rsidR="00F9521D" w:rsidRPr="00EF4253" w:rsidRDefault="00F9521D" w:rsidP="00FC35F0">
      <w:pPr>
        <w:pStyle w:val="Normlndobloku"/>
        <w:spacing w:after="0"/>
      </w:pPr>
      <w:r w:rsidRPr="00EF4253">
        <w:t>Ak denný príjem vápnika a</w:t>
      </w:r>
      <w:r w:rsidR="000A31A8" w:rsidRPr="00EF4253">
        <w:t> </w:t>
      </w:r>
      <w:r w:rsidRPr="00EF4253">
        <w:t xml:space="preserve">vitamínu D nie je primeraný, má sa zvážiť ich </w:t>
      </w:r>
      <w:proofErr w:type="spellStart"/>
      <w:r w:rsidRPr="00EF4253">
        <w:t>suplementácia</w:t>
      </w:r>
      <w:proofErr w:type="spellEnd"/>
      <w:r w:rsidRPr="00EF4253">
        <w:t>.</w:t>
      </w:r>
    </w:p>
    <w:p w14:paraId="644A8BFC" w14:textId="77777777" w:rsidR="0084711F" w:rsidRPr="00EF4253" w:rsidRDefault="0084711F" w:rsidP="00FC35F0">
      <w:pPr>
        <w:pStyle w:val="Styl30"/>
        <w:spacing w:after="0"/>
        <w:rPr>
          <w:lang w:val="sk-SK"/>
        </w:rPr>
      </w:pPr>
    </w:p>
    <w:p w14:paraId="39F4237D" w14:textId="77777777" w:rsidR="00F9521D" w:rsidRPr="00EF4253" w:rsidRDefault="004C5192" w:rsidP="00FC35F0">
      <w:pPr>
        <w:pStyle w:val="Styl30"/>
        <w:spacing w:after="0"/>
        <w:rPr>
          <w:lang w:val="sk-SK"/>
        </w:rPr>
      </w:pPr>
      <w:r w:rsidRPr="00EF4253">
        <w:rPr>
          <w:lang w:val="sk-SK"/>
        </w:rPr>
        <w:t>Starší pacienti</w:t>
      </w:r>
    </w:p>
    <w:p w14:paraId="1AE93005" w14:textId="77777777" w:rsidR="0084711F" w:rsidRPr="00EF4253" w:rsidRDefault="0084711F" w:rsidP="00FC35F0">
      <w:pPr>
        <w:pStyle w:val="Normlndobloku"/>
        <w:spacing w:after="0"/>
      </w:pPr>
    </w:p>
    <w:p w14:paraId="66025098" w14:textId="0439E5E3" w:rsidR="00F9521D" w:rsidRPr="00EF4253" w:rsidRDefault="00F52AB5" w:rsidP="00FC35F0">
      <w:pPr>
        <w:pStyle w:val="Normlndobloku"/>
        <w:spacing w:after="0"/>
      </w:pPr>
      <w:r w:rsidRPr="00EF4253">
        <w:t>Ú</w:t>
      </w:r>
      <w:r w:rsidR="00F9521D" w:rsidRPr="00EF4253">
        <w:t>prava dávk</w:t>
      </w:r>
      <w:r w:rsidRPr="00EF4253">
        <w:t>ovania</w:t>
      </w:r>
      <w:r w:rsidR="00F9521D" w:rsidRPr="00EF4253">
        <w:t xml:space="preserve"> nie je potrebná, keďže biologická dostupnosť, distribúcia a</w:t>
      </w:r>
      <w:r w:rsidR="000A31A8" w:rsidRPr="00EF4253">
        <w:t> </w:t>
      </w:r>
      <w:r w:rsidR="00F9521D" w:rsidRPr="00EF4253">
        <w:t>eliminácia u</w:t>
      </w:r>
      <w:r w:rsidR="000A31A8" w:rsidRPr="00EF4253">
        <w:t> </w:t>
      </w:r>
      <w:r w:rsidR="00F9521D" w:rsidRPr="00EF4253">
        <w:t>starších pacientov (</w:t>
      </w:r>
      <w:r w:rsidR="009328E4" w:rsidRPr="00EF4253">
        <w:t xml:space="preserve">nad </w:t>
      </w:r>
      <w:r w:rsidR="00F9521D" w:rsidRPr="00EF4253">
        <w:t xml:space="preserve">60 rokov) </w:t>
      </w:r>
      <w:r w:rsidR="00CC393A" w:rsidRPr="00EF4253">
        <w:t xml:space="preserve">boli </w:t>
      </w:r>
      <w:r w:rsidR="00F9521D" w:rsidRPr="00EF4253">
        <w:t>podobn</w:t>
      </w:r>
      <w:r w:rsidR="00CC393A" w:rsidRPr="00EF4253">
        <w:t>é</w:t>
      </w:r>
      <w:r w:rsidR="00F9521D" w:rsidRPr="00EF4253">
        <w:t xml:space="preserve"> ako u mladších </w:t>
      </w:r>
      <w:r w:rsidR="006926B5" w:rsidRPr="00EF4253">
        <w:t>jedincov</w:t>
      </w:r>
      <w:r w:rsidR="00F9521D" w:rsidRPr="00EF4253">
        <w:t>.</w:t>
      </w:r>
      <w:r w:rsidR="009328E4" w:rsidRPr="00EF4253">
        <w:t xml:space="preserve"> To isté </w:t>
      </w:r>
      <w:r w:rsidRPr="00EF4253">
        <w:t>platí aj</w:t>
      </w:r>
      <w:r w:rsidR="001A3A39" w:rsidRPr="00EF4253">
        <w:t xml:space="preserve"> </w:t>
      </w:r>
      <w:r w:rsidRPr="00EF4253">
        <w:t>pre</w:t>
      </w:r>
      <w:r w:rsidR="009328E4" w:rsidRPr="00EF4253">
        <w:t xml:space="preserve"> </w:t>
      </w:r>
      <w:r w:rsidR="00F9521D" w:rsidRPr="00EF4253">
        <w:t xml:space="preserve">veľmi </w:t>
      </w:r>
      <w:r w:rsidR="006926B5" w:rsidRPr="00EF4253">
        <w:t xml:space="preserve">staré pacientky </w:t>
      </w:r>
      <w:r w:rsidR="00F9521D" w:rsidRPr="00EF4253">
        <w:t xml:space="preserve">(75 rokov a viac)  po </w:t>
      </w:r>
      <w:proofErr w:type="spellStart"/>
      <w:r w:rsidR="00F9521D" w:rsidRPr="00EF4253">
        <w:t>menopauze</w:t>
      </w:r>
      <w:proofErr w:type="spellEnd"/>
      <w:r w:rsidR="00F9521D" w:rsidRPr="00EF4253">
        <w:t>.</w:t>
      </w:r>
    </w:p>
    <w:p w14:paraId="7EE3F1C0" w14:textId="77777777" w:rsidR="0084711F" w:rsidRPr="00EF4253" w:rsidRDefault="0084711F" w:rsidP="00FC35F0">
      <w:pPr>
        <w:pStyle w:val="Styl30"/>
        <w:spacing w:after="0"/>
        <w:rPr>
          <w:lang w:val="sk-SK"/>
        </w:rPr>
      </w:pPr>
    </w:p>
    <w:p w14:paraId="01DABD6D" w14:textId="3C34E6FE" w:rsidR="009328E4" w:rsidRPr="00EF4253" w:rsidRDefault="00EE2EF3" w:rsidP="00FC35F0">
      <w:pPr>
        <w:pStyle w:val="Styl30"/>
        <w:spacing w:after="0"/>
        <w:rPr>
          <w:lang w:val="sk-SK"/>
        </w:rPr>
      </w:pPr>
      <w:r w:rsidRPr="00EF4253">
        <w:rPr>
          <w:lang w:val="sk-SK"/>
        </w:rPr>
        <w:t>P</w:t>
      </w:r>
      <w:r w:rsidR="002B37F9" w:rsidRPr="00EF4253">
        <w:rPr>
          <w:lang w:val="sk-SK"/>
        </w:rPr>
        <w:t>orucha</w:t>
      </w:r>
      <w:r w:rsidRPr="00EF4253">
        <w:rPr>
          <w:lang w:val="sk-SK"/>
        </w:rPr>
        <w:t xml:space="preserve"> funkcie obličiek</w:t>
      </w:r>
    </w:p>
    <w:p w14:paraId="09BE4CF6" w14:textId="77777777" w:rsidR="0084711F" w:rsidRPr="00EF4253" w:rsidRDefault="0084711F" w:rsidP="00FC35F0">
      <w:pPr>
        <w:pStyle w:val="Normlndobloku"/>
        <w:spacing w:after="0"/>
      </w:pPr>
    </w:p>
    <w:p w14:paraId="3FA1A8C8" w14:textId="16AAB895" w:rsidR="009328E4" w:rsidRPr="00EF4253" w:rsidRDefault="009328E4" w:rsidP="00FC35F0">
      <w:pPr>
        <w:pStyle w:val="Normlndobloku"/>
        <w:spacing w:after="0"/>
      </w:pPr>
      <w:r w:rsidRPr="00EF4253">
        <w:t>U pacientov s miern</w:t>
      </w:r>
      <w:r w:rsidR="002B37F9" w:rsidRPr="00EF4253">
        <w:t>ou</w:t>
      </w:r>
      <w:r w:rsidRPr="00EF4253">
        <w:t xml:space="preserve"> až stredne závažn</w:t>
      </w:r>
      <w:r w:rsidR="002B37F9" w:rsidRPr="00EF4253">
        <w:t>ou</w:t>
      </w:r>
      <w:r w:rsidRPr="00EF4253">
        <w:t xml:space="preserve"> </w:t>
      </w:r>
      <w:r w:rsidR="00EE2EF3" w:rsidRPr="00EF4253">
        <w:t>po</w:t>
      </w:r>
      <w:r w:rsidR="002B37F9" w:rsidRPr="00EF4253">
        <w:t>ruchou</w:t>
      </w:r>
      <w:r w:rsidR="00EE2EF3" w:rsidRPr="00EF4253">
        <w:t xml:space="preserve"> </w:t>
      </w:r>
      <w:r w:rsidRPr="00EF4253">
        <w:t xml:space="preserve">funkcie </w:t>
      </w:r>
      <w:r w:rsidR="00EE2EF3" w:rsidRPr="00EF4253">
        <w:t xml:space="preserve">obličiek </w:t>
      </w:r>
      <w:r w:rsidRPr="00EF4253">
        <w:t>nie je úprava dávkovania potrebná. U pacientov so závažn</w:t>
      </w:r>
      <w:r w:rsidR="002B37F9" w:rsidRPr="00EF4253">
        <w:t>ou</w:t>
      </w:r>
      <w:r w:rsidRPr="00EF4253">
        <w:t xml:space="preserve"> </w:t>
      </w:r>
      <w:r w:rsidR="00EE2EF3" w:rsidRPr="00EF4253">
        <w:t>po</w:t>
      </w:r>
      <w:r w:rsidR="002B37F9" w:rsidRPr="00EF4253">
        <w:t>ruchou</w:t>
      </w:r>
      <w:r w:rsidR="00EE2EF3" w:rsidRPr="00EF4253">
        <w:t xml:space="preserve"> </w:t>
      </w:r>
      <w:r w:rsidRPr="00EF4253">
        <w:t xml:space="preserve">funkcie </w:t>
      </w:r>
      <w:r w:rsidR="00EE2EF3" w:rsidRPr="00EF4253">
        <w:t xml:space="preserve">obličiek </w:t>
      </w:r>
      <w:r w:rsidRPr="00EF4253">
        <w:t>(</w:t>
      </w:r>
      <w:proofErr w:type="spellStart"/>
      <w:r w:rsidRPr="00EF4253">
        <w:t>klírens</w:t>
      </w:r>
      <w:proofErr w:type="spellEnd"/>
      <w:r w:rsidRPr="00EF4253">
        <w:t xml:space="preserve"> </w:t>
      </w:r>
      <w:proofErr w:type="spellStart"/>
      <w:r w:rsidRPr="00EF4253">
        <w:t>kreatinínu</w:t>
      </w:r>
      <w:proofErr w:type="spellEnd"/>
      <w:r w:rsidRPr="00EF4253">
        <w:t xml:space="preserve"> &lt;</w:t>
      </w:r>
      <w:r w:rsidR="000A31A8" w:rsidRPr="00EF4253">
        <w:t> </w:t>
      </w:r>
      <w:r w:rsidRPr="00EF4253">
        <w:t>30</w:t>
      </w:r>
      <w:r w:rsidR="000A31A8" w:rsidRPr="00EF4253">
        <w:t> </w:t>
      </w:r>
      <w:r w:rsidRPr="00EF4253">
        <w:t xml:space="preserve">ml/min) je užívanie </w:t>
      </w:r>
      <w:proofErr w:type="spellStart"/>
      <w:r w:rsidRPr="00EF4253">
        <w:t>nátriumrizedronátu</w:t>
      </w:r>
      <w:proofErr w:type="spellEnd"/>
      <w:r w:rsidRPr="00EF4253">
        <w:t xml:space="preserve"> kontraindikované (pozri časti 4.3 a</w:t>
      </w:r>
      <w:r w:rsidR="002B37F9" w:rsidRPr="00EF4253">
        <w:t> </w:t>
      </w:r>
      <w:r w:rsidRPr="00EF4253">
        <w:t>5.2).</w:t>
      </w:r>
    </w:p>
    <w:p w14:paraId="649B36BB" w14:textId="77777777" w:rsidR="0084711F" w:rsidRPr="00EF4253" w:rsidRDefault="0084711F" w:rsidP="00FC35F0">
      <w:pPr>
        <w:pStyle w:val="Styl30"/>
        <w:spacing w:after="0"/>
        <w:rPr>
          <w:lang w:val="sk-SK"/>
        </w:rPr>
      </w:pPr>
    </w:p>
    <w:p w14:paraId="37D4E49D" w14:textId="77777777" w:rsidR="009328E4" w:rsidRPr="00EF4253" w:rsidRDefault="00354D2F" w:rsidP="00FC35F0">
      <w:pPr>
        <w:pStyle w:val="Styl30"/>
        <w:spacing w:after="0"/>
        <w:rPr>
          <w:lang w:val="sk-SK"/>
        </w:rPr>
      </w:pPr>
      <w:r w:rsidRPr="00EF4253">
        <w:rPr>
          <w:lang w:val="sk-SK"/>
        </w:rPr>
        <w:t>Pediatrická populácia</w:t>
      </w:r>
    </w:p>
    <w:p w14:paraId="318F9B12" w14:textId="77777777" w:rsidR="0084711F" w:rsidRPr="00EF4253" w:rsidRDefault="0084711F" w:rsidP="00FC35F0">
      <w:pPr>
        <w:pStyle w:val="Normlndobloku"/>
        <w:spacing w:after="0"/>
      </w:pPr>
    </w:p>
    <w:p w14:paraId="7D533159" w14:textId="770BE8C7" w:rsidR="00F9521D" w:rsidRPr="00EF4253" w:rsidRDefault="004C5192" w:rsidP="00FC35F0">
      <w:pPr>
        <w:pStyle w:val="Normlndobloku"/>
        <w:spacing w:after="0"/>
      </w:pPr>
      <w:r w:rsidRPr="00EF4253">
        <w:t>P</w:t>
      </w:r>
      <w:r w:rsidR="009328E4" w:rsidRPr="00EF4253">
        <w:t xml:space="preserve">oužívanie </w:t>
      </w:r>
      <w:proofErr w:type="spellStart"/>
      <w:r w:rsidR="009328E4" w:rsidRPr="00EF4253">
        <w:t>nátriumrizedronátu</w:t>
      </w:r>
      <w:proofErr w:type="spellEnd"/>
      <w:r w:rsidR="009328E4" w:rsidRPr="00EF4253">
        <w:t xml:space="preserve"> sa neodporúča u</w:t>
      </w:r>
      <w:r w:rsidR="000A31A8" w:rsidRPr="00EF4253">
        <w:t> </w:t>
      </w:r>
      <w:r w:rsidR="009328E4" w:rsidRPr="00EF4253">
        <w:t>detí vo veku do 18 rokov pre nedostatočné údaje o</w:t>
      </w:r>
      <w:r w:rsidR="009744CE" w:rsidRPr="00EF4253">
        <w:t> </w:t>
      </w:r>
      <w:r w:rsidR="009328E4" w:rsidRPr="00EF4253">
        <w:t>bezpečnosti a</w:t>
      </w:r>
      <w:r w:rsidR="000A31A8" w:rsidRPr="00EF4253">
        <w:t> </w:t>
      </w:r>
      <w:r w:rsidR="009328E4" w:rsidRPr="00EF4253">
        <w:t>účinnosti (pozri aj časť 5.1).</w:t>
      </w:r>
    </w:p>
    <w:p w14:paraId="6D3CD408" w14:textId="77777777" w:rsidR="0084711F" w:rsidRPr="00EF4253" w:rsidRDefault="0084711F" w:rsidP="00FC35F0">
      <w:pPr>
        <w:pStyle w:val="Normlndobloku"/>
        <w:spacing w:after="0"/>
      </w:pPr>
    </w:p>
    <w:p w14:paraId="519F3695" w14:textId="4FDFB70F" w:rsidR="0084711F" w:rsidRDefault="00183E0E" w:rsidP="00FC35F0">
      <w:pPr>
        <w:pStyle w:val="Styl2"/>
        <w:spacing w:before="0" w:after="0"/>
      </w:pPr>
      <w:r w:rsidRPr="00FC35F0">
        <w:rPr>
          <w:lang w:val="sk-SK"/>
        </w:rPr>
        <w:t>Kontraindikácie</w:t>
      </w:r>
    </w:p>
    <w:p w14:paraId="547E8A3F" w14:textId="77777777" w:rsidR="00305E31" w:rsidRPr="00FC35F0" w:rsidRDefault="00305E31" w:rsidP="00305E31">
      <w:pPr>
        <w:pStyle w:val="Styl2"/>
        <w:numPr>
          <w:ilvl w:val="0"/>
          <w:numId w:val="0"/>
        </w:numPr>
        <w:spacing w:before="0" w:after="0"/>
        <w:ind w:left="454"/>
        <w:rPr>
          <w:lang w:val="sk-SK"/>
        </w:rPr>
      </w:pPr>
    </w:p>
    <w:p w14:paraId="3E64FFF7" w14:textId="1EEE0D9C" w:rsidR="009328E4" w:rsidRPr="00EF4253" w:rsidRDefault="009328E4">
      <w:pPr>
        <w:pStyle w:val="Normlndoblokusodrkami"/>
      </w:pPr>
      <w:r w:rsidRPr="00305E31">
        <w:t xml:space="preserve">Precitlivenosť na </w:t>
      </w:r>
      <w:r w:rsidR="0049094C" w:rsidRPr="00305E31">
        <w:t>liečivo</w:t>
      </w:r>
      <w:r w:rsidRPr="00305E31">
        <w:t xml:space="preserve"> alebo na </w:t>
      </w:r>
      <w:r w:rsidR="005458EA" w:rsidRPr="00453536">
        <w:t>ktorúkoľvek</w:t>
      </w:r>
      <w:r w:rsidRPr="00EF4253">
        <w:t xml:space="preserve"> z pomocných látok</w:t>
      </w:r>
      <w:r w:rsidR="0049094C" w:rsidRPr="00EF4253">
        <w:t xml:space="preserve"> uvedených v časti 6.1</w:t>
      </w:r>
      <w:r w:rsidRPr="00EF4253">
        <w:t>.</w:t>
      </w:r>
    </w:p>
    <w:p w14:paraId="43BC6A64" w14:textId="77777777" w:rsidR="009328E4" w:rsidRPr="00EF4253" w:rsidRDefault="009328E4">
      <w:pPr>
        <w:pStyle w:val="Normlndoblokusodrkami"/>
      </w:pPr>
      <w:proofErr w:type="spellStart"/>
      <w:r w:rsidRPr="00EF4253">
        <w:t>Hypokalciémia</w:t>
      </w:r>
      <w:proofErr w:type="spellEnd"/>
      <w:r w:rsidRPr="00EF4253">
        <w:t xml:space="preserve"> (pozri časť 4.4).</w:t>
      </w:r>
    </w:p>
    <w:p w14:paraId="2E4A58FE" w14:textId="2D8CE221" w:rsidR="009328E4" w:rsidRPr="00EF4253" w:rsidRDefault="009328E4">
      <w:pPr>
        <w:pStyle w:val="Normlndoblokusodrkami"/>
      </w:pPr>
      <w:r w:rsidRPr="00EF4253">
        <w:t>Gravidita a</w:t>
      </w:r>
      <w:r w:rsidR="000A31A8" w:rsidRPr="00EF4253">
        <w:t> </w:t>
      </w:r>
      <w:r w:rsidRPr="00EF4253">
        <w:t>laktácia.</w:t>
      </w:r>
    </w:p>
    <w:p w14:paraId="7544D9DE" w14:textId="7E7DA409" w:rsidR="009328E4" w:rsidRPr="00EF4253" w:rsidRDefault="009328E4">
      <w:pPr>
        <w:pStyle w:val="Normlndoblokusodrkami"/>
      </w:pPr>
      <w:r w:rsidRPr="00EF4253">
        <w:t>Závažn</w:t>
      </w:r>
      <w:r w:rsidR="002B37F9" w:rsidRPr="00EF4253">
        <w:t>á</w:t>
      </w:r>
      <w:r w:rsidRPr="00EF4253">
        <w:t xml:space="preserve"> </w:t>
      </w:r>
      <w:r w:rsidR="002E71B8" w:rsidRPr="00EF4253">
        <w:t>po</w:t>
      </w:r>
      <w:r w:rsidR="002B37F9" w:rsidRPr="00EF4253">
        <w:t>rucha</w:t>
      </w:r>
      <w:r w:rsidR="002E71B8" w:rsidRPr="00EF4253">
        <w:t xml:space="preserve"> </w:t>
      </w:r>
      <w:r w:rsidRPr="00EF4253">
        <w:t>funkci</w:t>
      </w:r>
      <w:r w:rsidR="002E71B8" w:rsidRPr="00EF4253">
        <w:t>e</w:t>
      </w:r>
      <w:r w:rsidRPr="00EF4253">
        <w:t xml:space="preserve"> obličiek (</w:t>
      </w:r>
      <w:proofErr w:type="spellStart"/>
      <w:r w:rsidRPr="00EF4253">
        <w:t>klírens</w:t>
      </w:r>
      <w:proofErr w:type="spellEnd"/>
      <w:r w:rsidRPr="00EF4253">
        <w:t xml:space="preserve"> </w:t>
      </w:r>
      <w:proofErr w:type="spellStart"/>
      <w:r w:rsidRPr="00EF4253">
        <w:t>kreatinínu</w:t>
      </w:r>
      <w:proofErr w:type="spellEnd"/>
      <w:r w:rsidRPr="00EF4253">
        <w:t xml:space="preserve"> </w:t>
      </w:r>
      <w:r w:rsidRPr="00EF4253">
        <w:sym w:font="Symbol" w:char="F03C"/>
      </w:r>
      <w:r w:rsidR="000A31A8" w:rsidRPr="00EF4253">
        <w:t> </w:t>
      </w:r>
      <w:r w:rsidRPr="00EF4253">
        <w:t>30 ml/min).</w:t>
      </w:r>
    </w:p>
    <w:p w14:paraId="63FDDFBF" w14:textId="77777777" w:rsidR="0084711F" w:rsidRPr="00FC35F0" w:rsidRDefault="0084711F" w:rsidP="00FC35F0">
      <w:pPr>
        <w:pStyle w:val="Normlndobloku"/>
      </w:pPr>
    </w:p>
    <w:p w14:paraId="6D67126E" w14:textId="350AF6FD" w:rsidR="00513C0F" w:rsidRPr="00EF4253" w:rsidRDefault="00183E0E" w:rsidP="00FC35F0">
      <w:pPr>
        <w:pStyle w:val="Styl2"/>
        <w:spacing w:before="0" w:after="0"/>
        <w:rPr>
          <w:lang w:val="sk-SK"/>
        </w:rPr>
      </w:pPr>
      <w:r w:rsidRPr="00EF4253">
        <w:rPr>
          <w:lang w:val="sk-SK"/>
        </w:rPr>
        <w:t>Osobitné upozornenia a</w:t>
      </w:r>
      <w:r w:rsidR="000A31A8" w:rsidRPr="00EF4253">
        <w:rPr>
          <w:lang w:val="sk-SK"/>
        </w:rPr>
        <w:t> </w:t>
      </w:r>
      <w:r w:rsidRPr="00EF4253">
        <w:rPr>
          <w:lang w:val="sk-SK"/>
        </w:rPr>
        <w:t>opatrenia pri používaní</w:t>
      </w:r>
    </w:p>
    <w:p w14:paraId="7076B594" w14:textId="77777777" w:rsidR="0084711F" w:rsidRPr="00EF4253" w:rsidRDefault="0084711F" w:rsidP="00FC35F0">
      <w:pPr>
        <w:pStyle w:val="Normlndobloku"/>
        <w:spacing w:after="0"/>
      </w:pPr>
    </w:p>
    <w:p w14:paraId="263AFEAC" w14:textId="5C2A37E6" w:rsidR="005E3B5E" w:rsidRPr="00EF4253" w:rsidRDefault="005E3B5E" w:rsidP="00FC35F0">
      <w:pPr>
        <w:pStyle w:val="Normlndobloku"/>
        <w:spacing w:after="0"/>
      </w:pPr>
      <w:r w:rsidRPr="00EF4253">
        <w:t>Jedlo, nápoje (s</w:t>
      </w:r>
      <w:r w:rsidR="00C75E20" w:rsidRPr="00EF4253">
        <w:t> </w:t>
      </w:r>
      <w:r w:rsidRPr="00EF4253">
        <w:t>výnimkou čistej vody) a</w:t>
      </w:r>
      <w:r w:rsidR="00C75E20" w:rsidRPr="00EF4253">
        <w:t> </w:t>
      </w:r>
      <w:r w:rsidRPr="00EF4253">
        <w:t xml:space="preserve">lieky obsahujúce </w:t>
      </w:r>
      <w:proofErr w:type="spellStart"/>
      <w:r w:rsidRPr="00EF4253">
        <w:t>polyvalentné</w:t>
      </w:r>
      <w:proofErr w:type="spellEnd"/>
      <w:r w:rsidRPr="00EF4253">
        <w:t xml:space="preserve"> katióny (ako vápnik, horčík, železo a</w:t>
      </w:r>
      <w:r w:rsidR="00C75E20" w:rsidRPr="00EF4253">
        <w:t> </w:t>
      </w:r>
      <w:r w:rsidRPr="00EF4253">
        <w:t xml:space="preserve">hliník) interferujú s absorpciou </w:t>
      </w:r>
      <w:proofErr w:type="spellStart"/>
      <w:r w:rsidRPr="00EF4253">
        <w:t>bisfosfonátov</w:t>
      </w:r>
      <w:proofErr w:type="spellEnd"/>
      <w:r w:rsidRPr="00EF4253">
        <w:t xml:space="preserve"> a</w:t>
      </w:r>
      <w:r w:rsidR="00C75E20" w:rsidRPr="00EF4253">
        <w:t> </w:t>
      </w:r>
      <w:r w:rsidRPr="00EF4253">
        <w:t xml:space="preserve">nemajú sa užívať v tom istom čase ako </w:t>
      </w:r>
      <w:proofErr w:type="spellStart"/>
      <w:r w:rsidR="004C5192" w:rsidRPr="00EF4253">
        <w:t>nátriumrizedronát</w:t>
      </w:r>
      <w:proofErr w:type="spellEnd"/>
      <w:r w:rsidRPr="00EF4253">
        <w:t xml:space="preserve"> (pozri časť 4.5). Na dosiahnutie </w:t>
      </w:r>
      <w:r w:rsidR="006926B5" w:rsidRPr="00EF4253">
        <w:t xml:space="preserve">požadovanej účinnosti </w:t>
      </w:r>
      <w:r w:rsidRPr="00EF4253">
        <w:t xml:space="preserve">je nevyhnutné </w:t>
      </w:r>
      <w:r w:rsidR="006926B5" w:rsidRPr="00EF4253">
        <w:t xml:space="preserve">striktne </w:t>
      </w:r>
      <w:r w:rsidRPr="00EF4253">
        <w:t>dodržiavať odporúčania pre dávkovanie (pozri časť 4.2).</w:t>
      </w:r>
    </w:p>
    <w:p w14:paraId="075EEE48" w14:textId="77777777" w:rsidR="00365BD0" w:rsidRPr="00EF4253" w:rsidRDefault="00365BD0" w:rsidP="00FC35F0">
      <w:pPr>
        <w:pStyle w:val="Normlndobloku"/>
        <w:spacing w:after="0"/>
      </w:pPr>
    </w:p>
    <w:p w14:paraId="4048D7F0" w14:textId="77777777" w:rsidR="005E3B5E" w:rsidRPr="00EF4253" w:rsidRDefault="005E3B5E" w:rsidP="00FC35F0">
      <w:pPr>
        <w:pStyle w:val="Normlndobloku"/>
        <w:spacing w:after="0"/>
      </w:pPr>
      <w:r w:rsidRPr="00EF4253">
        <w:t xml:space="preserve">Účinnosť </w:t>
      </w:r>
      <w:proofErr w:type="spellStart"/>
      <w:r w:rsidRPr="00EF4253">
        <w:t>bisfosfonátov</w:t>
      </w:r>
      <w:proofErr w:type="spellEnd"/>
      <w:r w:rsidRPr="00EF4253">
        <w:t xml:space="preserve"> v liečbe </w:t>
      </w:r>
      <w:proofErr w:type="spellStart"/>
      <w:r w:rsidRPr="00EF4253">
        <w:t>osteoporózy</w:t>
      </w:r>
      <w:proofErr w:type="spellEnd"/>
      <w:r w:rsidRPr="00EF4253">
        <w:t xml:space="preserve"> súvisí s nízkou minerálnou hustotou kostí a/alebo s výskytom fraktúry.</w:t>
      </w:r>
    </w:p>
    <w:p w14:paraId="1F7FF773" w14:textId="5AAF4726" w:rsidR="001F0469" w:rsidRPr="00EF4253" w:rsidRDefault="005E3B5E" w:rsidP="00FC35F0">
      <w:pPr>
        <w:pStyle w:val="Normlndobloku"/>
        <w:spacing w:after="0"/>
      </w:pPr>
      <w:r w:rsidRPr="00EF4253">
        <w:t xml:space="preserve">Vysoký vek alebo samotné klinické rizikové faktory fraktúry nie sú dostatočnými dôvodmi na začatie liečby </w:t>
      </w:r>
      <w:proofErr w:type="spellStart"/>
      <w:r w:rsidRPr="00EF4253">
        <w:t>osteoporózy</w:t>
      </w:r>
      <w:proofErr w:type="spellEnd"/>
      <w:r w:rsidRPr="00EF4253">
        <w:t xml:space="preserve"> </w:t>
      </w:r>
      <w:proofErr w:type="spellStart"/>
      <w:r w:rsidRPr="00EF4253">
        <w:t>bisfosfonátmi</w:t>
      </w:r>
      <w:proofErr w:type="spellEnd"/>
      <w:r w:rsidRPr="00EF4253">
        <w:t>.</w:t>
      </w:r>
    </w:p>
    <w:p w14:paraId="633A4008" w14:textId="45F824D4" w:rsidR="005E3B5E" w:rsidRPr="00305E31" w:rsidRDefault="005E3B5E" w:rsidP="00FC35F0">
      <w:pPr>
        <w:pStyle w:val="Normlndobloku"/>
        <w:spacing w:after="0"/>
      </w:pPr>
      <w:r w:rsidRPr="00EF4253">
        <w:lastRenderedPageBreak/>
        <w:t>Dôkazy</w:t>
      </w:r>
      <w:r w:rsidR="001A3A39" w:rsidRPr="00EF4253">
        <w:t xml:space="preserve"> </w:t>
      </w:r>
      <w:r w:rsidRPr="00EF4253">
        <w:t xml:space="preserve">podporujúce účinnosť </w:t>
      </w:r>
      <w:proofErr w:type="spellStart"/>
      <w:r w:rsidRPr="00EF4253">
        <w:t>bisfosfonátov</w:t>
      </w:r>
      <w:proofErr w:type="spellEnd"/>
      <w:r w:rsidRPr="00EF4253">
        <w:t xml:space="preserve"> vrátane </w:t>
      </w:r>
      <w:proofErr w:type="spellStart"/>
      <w:r w:rsidR="004C5192" w:rsidRPr="00EF4253">
        <w:t>rizedronátu</w:t>
      </w:r>
      <w:proofErr w:type="spellEnd"/>
      <w:r w:rsidRPr="00EF4253">
        <w:t xml:space="preserve"> u veľmi starých pacientov (</w:t>
      </w:r>
      <w:r w:rsidRPr="00305E31">
        <w:sym w:font="Symbol" w:char="F03E"/>
      </w:r>
      <w:r w:rsidR="00C75E20" w:rsidRPr="00305E31">
        <w:t> </w:t>
      </w:r>
      <w:r w:rsidRPr="00305E31">
        <w:t>80</w:t>
      </w:r>
      <w:r w:rsidR="009744CE" w:rsidRPr="00305E31">
        <w:t> </w:t>
      </w:r>
      <w:r w:rsidRPr="00305E31">
        <w:t>rokov) sú obmedzené (pozri časť 5.1).</w:t>
      </w:r>
    </w:p>
    <w:p w14:paraId="1B4BE47B" w14:textId="77777777" w:rsidR="001F0469" w:rsidRPr="00EF4253" w:rsidRDefault="001F0469" w:rsidP="00FC35F0">
      <w:pPr>
        <w:pStyle w:val="Normlndobloku"/>
        <w:spacing w:after="0"/>
      </w:pPr>
    </w:p>
    <w:p w14:paraId="4CB76C4A" w14:textId="5BA9B361" w:rsidR="005E3B5E" w:rsidRPr="00EF4253" w:rsidRDefault="005E3B5E" w:rsidP="00FC35F0">
      <w:pPr>
        <w:pStyle w:val="Normlndobloku"/>
        <w:spacing w:after="0"/>
      </w:pPr>
      <w:proofErr w:type="spellStart"/>
      <w:r w:rsidRPr="00EF4253">
        <w:t>Bisfosfonáty</w:t>
      </w:r>
      <w:proofErr w:type="spellEnd"/>
      <w:r w:rsidRPr="00EF4253">
        <w:t xml:space="preserve"> sa spájajú s </w:t>
      </w:r>
      <w:proofErr w:type="spellStart"/>
      <w:r w:rsidRPr="00EF4253">
        <w:t>ezofagitídou</w:t>
      </w:r>
      <w:proofErr w:type="spellEnd"/>
      <w:r w:rsidRPr="00EF4253">
        <w:t xml:space="preserve">, gastritídou, </w:t>
      </w:r>
      <w:proofErr w:type="spellStart"/>
      <w:r w:rsidRPr="00EF4253">
        <w:t>ulceráciami</w:t>
      </w:r>
      <w:proofErr w:type="spellEnd"/>
      <w:r w:rsidRPr="00EF4253">
        <w:t xml:space="preserve"> </w:t>
      </w:r>
      <w:proofErr w:type="spellStart"/>
      <w:r w:rsidRPr="00EF4253">
        <w:t>ezofágu</w:t>
      </w:r>
      <w:proofErr w:type="spellEnd"/>
      <w:r w:rsidRPr="00EF4253">
        <w:t xml:space="preserve"> a </w:t>
      </w:r>
      <w:proofErr w:type="spellStart"/>
      <w:r w:rsidRPr="00EF4253">
        <w:t>gastroduodenálnymi</w:t>
      </w:r>
      <w:proofErr w:type="spellEnd"/>
      <w:r w:rsidRPr="00EF4253">
        <w:t xml:space="preserve"> </w:t>
      </w:r>
      <w:proofErr w:type="spellStart"/>
      <w:r w:rsidRPr="00EF4253">
        <w:t>ulceráciami</w:t>
      </w:r>
      <w:proofErr w:type="spellEnd"/>
      <w:r w:rsidRPr="00EF4253">
        <w:t xml:space="preserve">. Preto sa má </w:t>
      </w:r>
      <w:r w:rsidR="00C75E20" w:rsidRPr="00EF4253">
        <w:t xml:space="preserve">postupovať </w:t>
      </w:r>
      <w:r w:rsidRPr="00EF4253">
        <w:t>s opatrnosťou:</w:t>
      </w:r>
    </w:p>
    <w:p w14:paraId="33C2369D" w14:textId="3C1B5413" w:rsidR="0056576C" w:rsidRPr="00EF4253" w:rsidRDefault="0056576C">
      <w:pPr>
        <w:pStyle w:val="Normlndoblokusodrkami"/>
      </w:pPr>
      <w:r w:rsidRPr="00FC35F0">
        <w:t>u</w:t>
      </w:r>
      <w:r w:rsidR="00C75E20" w:rsidRPr="00FC35F0">
        <w:t> </w:t>
      </w:r>
      <w:r w:rsidRPr="00FC35F0">
        <w:t>pacientov s</w:t>
      </w:r>
      <w:r w:rsidR="00C75E20" w:rsidRPr="00FC35F0">
        <w:t> </w:t>
      </w:r>
      <w:r w:rsidRPr="00FC35F0">
        <w:t xml:space="preserve">anamnézou porúch </w:t>
      </w:r>
      <w:proofErr w:type="spellStart"/>
      <w:r w:rsidRPr="00FC35F0">
        <w:t>ezofágu</w:t>
      </w:r>
      <w:proofErr w:type="spellEnd"/>
      <w:r w:rsidRPr="00FC35F0">
        <w:t>, ktoré spomaľujú pasáž</w:t>
      </w:r>
      <w:r w:rsidR="001F0469" w:rsidRPr="00FC35F0">
        <w:t xml:space="preserve"> </w:t>
      </w:r>
      <w:proofErr w:type="spellStart"/>
      <w:r w:rsidR="001F0469" w:rsidRPr="00FC35F0">
        <w:t>ezofágom</w:t>
      </w:r>
      <w:proofErr w:type="spellEnd"/>
      <w:r w:rsidRPr="00FC35F0">
        <w:t xml:space="preserve"> alebo </w:t>
      </w:r>
      <w:r w:rsidR="001F0469" w:rsidRPr="00FC35F0">
        <w:t xml:space="preserve">jeho </w:t>
      </w:r>
      <w:r w:rsidRPr="00FC35F0">
        <w:t>vyprázdňovanie, napr.</w:t>
      </w:r>
      <w:r w:rsidR="00C75E20" w:rsidRPr="00FC35F0">
        <w:t> </w:t>
      </w:r>
      <w:r w:rsidRPr="00FC35F0">
        <w:t xml:space="preserve">zúženie alebo </w:t>
      </w:r>
      <w:proofErr w:type="spellStart"/>
      <w:r w:rsidRPr="00FC35F0">
        <w:t>achalázia</w:t>
      </w:r>
      <w:proofErr w:type="spellEnd"/>
    </w:p>
    <w:p w14:paraId="3CB5F5CF" w14:textId="2787FCC4" w:rsidR="0056576C" w:rsidRPr="00EF4253" w:rsidRDefault="0056576C">
      <w:pPr>
        <w:pStyle w:val="Normlndoblokusodrkami"/>
      </w:pPr>
      <w:r w:rsidRPr="00FC35F0">
        <w:t>u</w:t>
      </w:r>
      <w:r w:rsidR="00C75E20" w:rsidRPr="00FC35F0">
        <w:t> </w:t>
      </w:r>
      <w:r w:rsidRPr="00FC35F0">
        <w:t>pacientov, kt</w:t>
      </w:r>
      <w:r w:rsidR="004C5192" w:rsidRPr="00FC35F0">
        <w:t>orí nie sú schopní zostať v</w:t>
      </w:r>
      <w:r w:rsidR="005A4A61" w:rsidRPr="00FC35F0">
        <w:t>o</w:t>
      </w:r>
      <w:r w:rsidRPr="00FC35F0">
        <w:t xml:space="preserve"> vzpriamenej polohe aspoň 30</w:t>
      </w:r>
      <w:r w:rsidR="00C75E20" w:rsidRPr="00FC35F0">
        <w:t> </w:t>
      </w:r>
      <w:r w:rsidRPr="00FC35F0">
        <w:t>minút po užití tablety</w:t>
      </w:r>
    </w:p>
    <w:p w14:paraId="2BA3D8B2" w14:textId="2DA6CB75" w:rsidR="0056576C" w:rsidRPr="00EF4253" w:rsidRDefault="0056576C">
      <w:pPr>
        <w:pStyle w:val="Normlndoblokusodrkami"/>
      </w:pPr>
      <w:r w:rsidRPr="00FC35F0">
        <w:t xml:space="preserve">ak sa </w:t>
      </w:r>
      <w:proofErr w:type="spellStart"/>
      <w:r w:rsidRPr="00FC35F0">
        <w:t>rizedronát</w:t>
      </w:r>
      <w:proofErr w:type="spellEnd"/>
      <w:r w:rsidRPr="00FC35F0">
        <w:t xml:space="preserve"> podáva pacientom, ktorí majú aktívne problémy s </w:t>
      </w:r>
      <w:proofErr w:type="spellStart"/>
      <w:r w:rsidRPr="00FC35F0">
        <w:t>ezofágom</w:t>
      </w:r>
      <w:proofErr w:type="spellEnd"/>
      <w:r w:rsidRPr="00FC35F0">
        <w:t xml:space="preserve"> alebo horným </w:t>
      </w:r>
      <w:proofErr w:type="spellStart"/>
      <w:r w:rsidRPr="00FC35F0">
        <w:t>gastrointestinálnym</w:t>
      </w:r>
      <w:proofErr w:type="spellEnd"/>
      <w:r w:rsidRPr="00FC35F0">
        <w:t xml:space="preserve"> traktom, alebo takéto problémy mali v nedávnej minulosti</w:t>
      </w:r>
      <w:r w:rsidR="00B26564" w:rsidRPr="00FC35F0">
        <w:t xml:space="preserve"> (vrátane známeho </w:t>
      </w:r>
      <w:proofErr w:type="spellStart"/>
      <w:r w:rsidR="00B26564" w:rsidRPr="00FC35F0">
        <w:t>Barrettovho</w:t>
      </w:r>
      <w:proofErr w:type="spellEnd"/>
      <w:r w:rsidR="00B26564" w:rsidRPr="00FC35F0">
        <w:t xml:space="preserve"> </w:t>
      </w:r>
      <w:proofErr w:type="spellStart"/>
      <w:r w:rsidR="00B26564" w:rsidRPr="00FC35F0">
        <w:t>ezofágu</w:t>
      </w:r>
      <w:proofErr w:type="spellEnd"/>
      <w:r w:rsidR="00B26564" w:rsidRPr="00FC35F0">
        <w:t>)</w:t>
      </w:r>
      <w:r w:rsidRPr="00FC35F0">
        <w:t>.</w:t>
      </w:r>
    </w:p>
    <w:p w14:paraId="1520E8E7" w14:textId="77777777" w:rsidR="0084711F" w:rsidRPr="00EF4253" w:rsidRDefault="0084711F" w:rsidP="00FC35F0">
      <w:pPr>
        <w:pStyle w:val="Normlndobloku"/>
        <w:spacing w:after="0"/>
      </w:pPr>
    </w:p>
    <w:p w14:paraId="47BCFDFA" w14:textId="4767063A" w:rsidR="006B71C4" w:rsidRPr="00EF4253" w:rsidRDefault="0056576C" w:rsidP="00FC35F0">
      <w:pPr>
        <w:pStyle w:val="Normlndobloku"/>
        <w:spacing w:after="0"/>
      </w:pPr>
      <w:r w:rsidRPr="00EF4253">
        <w:t xml:space="preserve">Lekári majú takýmto pacientom zdôrazniť, aké je dôležité venovať pozornosť návodu na dávkovanie a ostražito sledovať akékoľvek </w:t>
      </w:r>
      <w:r w:rsidR="0049062B" w:rsidRPr="00EF4253">
        <w:t xml:space="preserve">prejavy </w:t>
      </w:r>
      <w:r w:rsidRPr="00EF4253">
        <w:t xml:space="preserve">a príznaky možnej reakcie </w:t>
      </w:r>
      <w:proofErr w:type="spellStart"/>
      <w:r w:rsidRPr="00EF4253">
        <w:t>ezofágu</w:t>
      </w:r>
      <w:proofErr w:type="spellEnd"/>
      <w:r w:rsidRPr="00EF4253">
        <w:t xml:space="preserve">. Pacienti musia byť informovaní, aby včas lekára upozornili v prípade, ak pocítia príznaky podráždenia </w:t>
      </w:r>
      <w:proofErr w:type="spellStart"/>
      <w:r w:rsidRPr="00EF4253">
        <w:t>ezofágu</w:t>
      </w:r>
      <w:proofErr w:type="spellEnd"/>
      <w:r w:rsidRPr="00EF4253">
        <w:t xml:space="preserve"> ako je </w:t>
      </w:r>
      <w:proofErr w:type="spellStart"/>
      <w:r w:rsidRPr="00EF4253">
        <w:t>dysfágia</w:t>
      </w:r>
      <w:proofErr w:type="spellEnd"/>
      <w:r w:rsidRPr="00EF4253">
        <w:t xml:space="preserve">, bolesť pri prehĺtaní, </w:t>
      </w:r>
      <w:proofErr w:type="spellStart"/>
      <w:r w:rsidRPr="00EF4253">
        <w:t>retrosternálna</w:t>
      </w:r>
      <w:proofErr w:type="spellEnd"/>
      <w:r w:rsidRPr="00EF4253">
        <w:t xml:space="preserve"> bolesť alebo pálenie záhy, ktorá sa zhoršila alebo ktorú predtým nemali</w:t>
      </w:r>
      <w:r w:rsidR="00B76EAD" w:rsidRPr="00EF4253">
        <w:t>.</w:t>
      </w:r>
    </w:p>
    <w:p w14:paraId="2A939C64" w14:textId="77777777" w:rsidR="0084711F" w:rsidRPr="00EF4253" w:rsidRDefault="0084711F" w:rsidP="00FC35F0">
      <w:pPr>
        <w:pStyle w:val="Normlndobloku"/>
        <w:spacing w:after="0"/>
      </w:pPr>
    </w:p>
    <w:p w14:paraId="38684D71" w14:textId="77777777" w:rsidR="0056576C" w:rsidRPr="00EF4253" w:rsidRDefault="0056576C" w:rsidP="00FC35F0">
      <w:pPr>
        <w:pStyle w:val="Normlndobloku"/>
        <w:spacing w:after="0"/>
      </w:pPr>
      <w:proofErr w:type="spellStart"/>
      <w:r w:rsidRPr="00EF4253">
        <w:t>Hypokalciémia</w:t>
      </w:r>
      <w:proofErr w:type="spellEnd"/>
      <w:r w:rsidRPr="00EF4253">
        <w:t xml:space="preserve"> sa má liečiť pred začiatkom liečby </w:t>
      </w:r>
      <w:r w:rsidR="00B26564" w:rsidRPr="00EF4253">
        <w:t xml:space="preserve">liekom </w:t>
      </w:r>
      <w:r w:rsidRPr="00EF4253">
        <w:t>MELENOR 35</w:t>
      </w:r>
      <w:r w:rsidR="00C75E20" w:rsidRPr="00EF4253">
        <w:t> </w:t>
      </w:r>
      <w:r w:rsidRPr="00EF4253">
        <w:t>mg. Iné poruchy metabolizmu kostí a</w:t>
      </w:r>
      <w:r w:rsidR="00C75E20" w:rsidRPr="00EF4253">
        <w:t> </w:t>
      </w:r>
      <w:r w:rsidRPr="00EF4253">
        <w:t>minerálov (t.j.</w:t>
      </w:r>
      <w:r w:rsidR="00C75E20" w:rsidRPr="00EF4253">
        <w:t> </w:t>
      </w:r>
      <w:proofErr w:type="spellStart"/>
      <w:r w:rsidRPr="00EF4253">
        <w:t>paratyroidná</w:t>
      </w:r>
      <w:proofErr w:type="spellEnd"/>
      <w:r w:rsidRPr="00EF4253">
        <w:t xml:space="preserve"> dysfunkcia, </w:t>
      </w:r>
      <w:proofErr w:type="spellStart"/>
      <w:r w:rsidRPr="00EF4253">
        <w:t>hypovitaminóza</w:t>
      </w:r>
      <w:proofErr w:type="spellEnd"/>
      <w:r w:rsidRPr="00EF4253">
        <w:t xml:space="preserve"> D) sa majú liečiť v čase začatia liečby </w:t>
      </w:r>
      <w:r w:rsidR="00B26564" w:rsidRPr="00EF4253">
        <w:t xml:space="preserve">liekom </w:t>
      </w:r>
      <w:r w:rsidRPr="00EF4253">
        <w:t>MELENOR 35</w:t>
      </w:r>
      <w:r w:rsidR="00C75E20" w:rsidRPr="00EF4253">
        <w:t> </w:t>
      </w:r>
      <w:r w:rsidRPr="00EF4253">
        <w:t>mg.</w:t>
      </w:r>
    </w:p>
    <w:p w14:paraId="7BE38430" w14:textId="77777777" w:rsidR="0084711F" w:rsidRPr="00EF4253" w:rsidRDefault="0084711F" w:rsidP="00FC35F0">
      <w:pPr>
        <w:pStyle w:val="Normlndobloku"/>
        <w:spacing w:after="0"/>
      </w:pPr>
    </w:p>
    <w:p w14:paraId="37D15422" w14:textId="2A12002F" w:rsidR="0049062B" w:rsidRPr="00EF4253" w:rsidRDefault="00941DFA" w:rsidP="00FC35F0">
      <w:pPr>
        <w:pStyle w:val="Normlndobloku"/>
        <w:spacing w:after="0"/>
      </w:pPr>
      <w:r w:rsidRPr="00EF4253">
        <w:t>U</w:t>
      </w:r>
      <w:r w:rsidR="00C75E20" w:rsidRPr="00EF4253">
        <w:t> </w:t>
      </w:r>
      <w:r w:rsidRPr="00EF4253">
        <w:t>pacientov s</w:t>
      </w:r>
      <w:r w:rsidR="00C75E20" w:rsidRPr="00EF4253">
        <w:t> </w:t>
      </w:r>
      <w:r w:rsidRPr="00EF4253">
        <w:t>karcinómom, ktorí boli v</w:t>
      </w:r>
      <w:r w:rsidR="00C75E20" w:rsidRPr="00EF4253">
        <w:t> </w:t>
      </w:r>
      <w:r w:rsidRPr="00EF4253">
        <w:t xml:space="preserve">liečebnom režime zahŕňajúcom primárne intravenózne podávané </w:t>
      </w:r>
      <w:proofErr w:type="spellStart"/>
      <w:r w:rsidRPr="00EF4253">
        <w:t>bisfosfonáty</w:t>
      </w:r>
      <w:proofErr w:type="spellEnd"/>
      <w:r w:rsidRPr="00EF4253">
        <w:t xml:space="preserve"> sa zaznamenala </w:t>
      </w:r>
      <w:proofErr w:type="spellStart"/>
      <w:r w:rsidRPr="00EF4253">
        <w:t>osteonekróza</w:t>
      </w:r>
      <w:proofErr w:type="spellEnd"/>
      <w:r w:rsidRPr="00EF4253">
        <w:t xml:space="preserve"> čeľuste, ktorá sa vo všeobecnosti spája s</w:t>
      </w:r>
      <w:r w:rsidR="00C75E20" w:rsidRPr="00EF4253">
        <w:t> </w:t>
      </w:r>
      <w:r w:rsidRPr="00EF4253">
        <w:t>extrakciou zuba a/alebo s</w:t>
      </w:r>
      <w:r w:rsidR="00C75E20" w:rsidRPr="00EF4253">
        <w:t> </w:t>
      </w:r>
      <w:r w:rsidRPr="00EF4253">
        <w:t xml:space="preserve">lokálnou infekciou (vrátane </w:t>
      </w:r>
      <w:proofErr w:type="spellStart"/>
      <w:r w:rsidRPr="00EF4253">
        <w:t>osteomyelitídy</w:t>
      </w:r>
      <w:proofErr w:type="spellEnd"/>
      <w:r w:rsidRPr="00EF4253">
        <w:t>). Veľa z</w:t>
      </w:r>
      <w:r w:rsidR="00C75E20" w:rsidRPr="00EF4253">
        <w:t> </w:t>
      </w:r>
      <w:r w:rsidRPr="00EF4253">
        <w:t>týchto pacientov dostávalo taktiež chemoterapiu a</w:t>
      </w:r>
      <w:r w:rsidR="00C75E20" w:rsidRPr="00EF4253">
        <w:t> </w:t>
      </w:r>
      <w:r w:rsidRPr="00EF4253">
        <w:t xml:space="preserve">bolo liečených </w:t>
      </w:r>
      <w:proofErr w:type="spellStart"/>
      <w:r w:rsidRPr="00EF4253">
        <w:t>kortiko</w:t>
      </w:r>
      <w:r w:rsidR="0049062B" w:rsidRPr="00EF4253">
        <w:t>stero</w:t>
      </w:r>
      <w:r w:rsidRPr="00EF4253">
        <w:t>idmi</w:t>
      </w:r>
      <w:proofErr w:type="spellEnd"/>
      <w:r w:rsidRPr="00EF4253">
        <w:t xml:space="preserve">. </w:t>
      </w:r>
      <w:proofErr w:type="spellStart"/>
      <w:r w:rsidRPr="00EF4253">
        <w:t>Osteonekróza</w:t>
      </w:r>
      <w:proofErr w:type="spellEnd"/>
      <w:r w:rsidRPr="00EF4253">
        <w:t xml:space="preserve"> čeľuste sa taktiež zaznamenala u</w:t>
      </w:r>
      <w:r w:rsidR="00C75E20" w:rsidRPr="00EF4253">
        <w:t> </w:t>
      </w:r>
      <w:r w:rsidRPr="00EF4253">
        <w:t>pacientov s</w:t>
      </w:r>
      <w:r w:rsidR="009744CE" w:rsidRPr="00EF4253">
        <w:t> </w:t>
      </w:r>
      <w:proofErr w:type="spellStart"/>
      <w:r w:rsidRPr="00EF4253">
        <w:t>osteoporózou</w:t>
      </w:r>
      <w:proofErr w:type="spellEnd"/>
      <w:r w:rsidRPr="00EF4253">
        <w:t xml:space="preserve">, ktorí užívali </w:t>
      </w:r>
      <w:proofErr w:type="spellStart"/>
      <w:r w:rsidRPr="00EF4253">
        <w:t>bisfosfonáty</w:t>
      </w:r>
      <w:proofErr w:type="spellEnd"/>
      <w:r w:rsidRPr="00EF4253">
        <w:t xml:space="preserve"> perorálne.</w:t>
      </w:r>
    </w:p>
    <w:p w14:paraId="74957237" w14:textId="77777777" w:rsidR="0049062B" w:rsidRPr="00EF4253" w:rsidRDefault="0049062B" w:rsidP="00FC35F0">
      <w:pPr>
        <w:pStyle w:val="Normlndobloku"/>
        <w:spacing w:after="0"/>
      </w:pPr>
    </w:p>
    <w:p w14:paraId="146FB7ED" w14:textId="4A7C9AE9" w:rsidR="00941DFA" w:rsidRPr="00EF4253" w:rsidRDefault="00941DFA" w:rsidP="00FC35F0">
      <w:pPr>
        <w:pStyle w:val="Normlndobloku"/>
        <w:spacing w:after="0"/>
      </w:pPr>
      <w:r w:rsidRPr="00EF4253">
        <w:t xml:space="preserve">Pred liečbou </w:t>
      </w:r>
      <w:proofErr w:type="spellStart"/>
      <w:r w:rsidRPr="00EF4253">
        <w:t>bisfosfonátmi</w:t>
      </w:r>
      <w:proofErr w:type="spellEnd"/>
      <w:r w:rsidRPr="00EF4253">
        <w:t xml:space="preserve"> u</w:t>
      </w:r>
      <w:r w:rsidR="00C75E20" w:rsidRPr="00EF4253">
        <w:t> </w:t>
      </w:r>
      <w:r w:rsidRPr="00EF4253">
        <w:t>pacientov so súbežnými rizikovými faktormi (napr.</w:t>
      </w:r>
      <w:r w:rsidR="00C75E20" w:rsidRPr="00EF4253">
        <w:t> </w:t>
      </w:r>
      <w:r w:rsidRPr="00EF4253">
        <w:t xml:space="preserve">karcinóm, chemoterapia, rádioterapia, </w:t>
      </w:r>
      <w:proofErr w:type="spellStart"/>
      <w:r w:rsidRPr="00EF4253">
        <w:t>kortikosteroidy</w:t>
      </w:r>
      <w:proofErr w:type="spellEnd"/>
      <w:r w:rsidRPr="00EF4253">
        <w:t>, zlá ústna hygiena) sa musí zvážiť zubné vyšetrenie s</w:t>
      </w:r>
      <w:r w:rsidR="00C75E20" w:rsidRPr="00EF4253">
        <w:t> </w:t>
      </w:r>
      <w:r w:rsidRPr="00EF4253">
        <w:t>príslušnou preventívnou stomatológiou.</w:t>
      </w:r>
    </w:p>
    <w:p w14:paraId="244BAE54" w14:textId="77777777" w:rsidR="0049062B" w:rsidRPr="00EF4253" w:rsidRDefault="0049062B" w:rsidP="00FC35F0">
      <w:pPr>
        <w:pStyle w:val="Normlndobloku"/>
        <w:spacing w:after="0"/>
      </w:pPr>
    </w:p>
    <w:p w14:paraId="1CEFCAB4" w14:textId="05CFC6BD" w:rsidR="00941DFA" w:rsidRPr="00EF4253" w:rsidRDefault="00941DFA" w:rsidP="00FC35F0">
      <w:pPr>
        <w:pStyle w:val="Normlndobloku"/>
        <w:spacing w:after="0"/>
      </w:pPr>
      <w:r w:rsidRPr="00EF4253">
        <w:t>Počas liečby sa títo pacienti, ak je to možné, musia vyhýbať invazívnym dentálnym zásahom. U</w:t>
      </w:r>
      <w:r w:rsidR="009744CE" w:rsidRPr="00EF4253">
        <w:t> </w:t>
      </w:r>
      <w:r w:rsidRPr="00EF4253">
        <w:t>pacientov, u</w:t>
      </w:r>
      <w:r w:rsidR="00C75E20" w:rsidRPr="00EF4253">
        <w:t> </w:t>
      </w:r>
      <w:r w:rsidRPr="00EF4253">
        <w:t xml:space="preserve">ktorých sa objaví </w:t>
      </w:r>
      <w:proofErr w:type="spellStart"/>
      <w:r w:rsidRPr="00EF4253">
        <w:t>osteonekróza</w:t>
      </w:r>
      <w:proofErr w:type="spellEnd"/>
      <w:r w:rsidRPr="00EF4253">
        <w:t xml:space="preserve"> čeľuste počas liečby </w:t>
      </w:r>
      <w:proofErr w:type="spellStart"/>
      <w:r w:rsidRPr="00EF4253">
        <w:t>bisfosfonátmi</w:t>
      </w:r>
      <w:proofErr w:type="spellEnd"/>
      <w:r w:rsidRPr="00EF4253">
        <w:t>, môže dentálny zákrok zhoršiť stav. Pokiaľ ide o</w:t>
      </w:r>
      <w:r w:rsidR="00C75E20" w:rsidRPr="00EF4253">
        <w:t> </w:t>
      </w:r>
      <w:r w:rsidRPr="00EF4253">
        <w:t>pacientov, kde sa vyžaduje dentálny zásah, nie sú k</w:t>
      </w:r>
      <w:r w:rsidR="00C75E20" w:rsidRPr="00EF4253">
        <w:t> </w:t>
      </w:r>
      <w:r w:rsidRPr="00EF4253">
        <w:t xml:space="preserve">dispozícii žiadne údaje </w:t>
      </w:r>
      <w:r w:rsidR="0049062B" w:rsidRPr="00EF4253">
        <w:t>naznačujúce</w:t>
      </w:r>
      <w:r w:rsidRPr="00EF4253">
        <w:t xml:space="preserve">, </w:t>
      </w:r>
      <w:r w:rsidR="0049062B" w:rsidRPr="00EF4253">
        <w:t xml:space="preserve">či </w:t>
      </w:r>
      <w:r w:rsidRPr="00EF4253">
        <w:t xml:space="preserve">prerušenie liečby </w:t>
      </w:r>
      <w:proofErr w:type="spellStart"/>
      <w:r w:rsidRPr="00EF4253">
        <w:t>bisfosfonátmi</w:t>
      </w:r>
      <w:proofErr w:type="spellEnd"/>
      <w:r w:rsidRPr="00EF4253">
        <w:t xml:space="preserve"> znižuje riziko </w:t>
      </w:r>
      <w:proofErr w:type="spellStart"/>
      <w:r w:rsidRPr="00EF4253">
        <w:t>osteonekrózy</w:t>
      </w:r>
      <w:proofErr w:type="spellEnd"/>
      <w:r w:rsidRPr="00EF4253">
        <w:t xml:space="preserve"> čeľuste.</w:t>
      </w:r>
    </w:p>
    <w:p w14:paraId="3C59D2AD" w14:textId="77777777" w:rsidR="00FD7742" w:rsidRPr="00EF4253" w:rsidRDefault="00FD7742" w:rsidP="00FC35F0">
      <w:pPr>
        <w:pStyle w:val="Normlndobloku"/>
        <w:spacing w:after="0"/>
      </w:pPr>
    </w:p>
    <w:p w14:paraId="3640196F" w14:textId="6CCABBBD" w:rsidR="00941DFA" w:rsidRPr="00EF4253" w:rsidRDefault="007C29E0" w:rsidP="00FC35F0">
      <w:pPr>
        <w:pStyle w:val="Normlndobloku"/>
        <w:spacing w:after="0"/>
      </w:pPr>
      <w:r w:rsidRPr="00EF4253">
        <w:t xml:space="preserve">Ošetrujúci lekár má </w:t>
      </w:r>
      <w:r w:rsidR="001E57EC" w:rsidRPr="00EF4253">
        <w:t>viesť liečb</w:t>
      </w:r>
      <w:r w:rsidR="00FD7742" w:rsidRPr="00EF4253">
        <w:t>u</w:t>
      </w:r>
      <w:r w:rsidRPr="00EF4253">
        <w:t xml:space="preserve"> na základe individuálneho posúdenia klinického stavu pacienta a</w:t>
      </w:r>
      <w:r w:rsidR="009744CE" w:rsidRPr="00EF4253">
        <w:t> </w:t>
      </w:r>
      <w:r w:rsidR="00941DFA" w:rsidRPr="00EF4253">
        <w:t xml:space="preserve">pomeru </w:t>
      </w:r>
      <w:r w:rsidR="00E32343" w:rsidRPr="00EF4253">
        <w:t>prínosu a</w:t>
      </w:r>
      <w:r w:rsidRPr="00EF4253">
        <w:t> </w:t>
      </w:r>
      <w:r w:rsidR="00E32343" w:rsidRPr="00EF4253">
        <w:t>rizika</w:t>
      </w:r>
      <w:r w:rsidRPr="00EF4253">
        <w:t xml:space="preserve"> liečby</w:t>
      </w:r>
      <w:r w:rsidR="00941DFA" w:rsidRPr="00EF4253">
        <w:t>.</w:t>
      </w:r>
    </w:p>
    <w:p w14:paraId="528E01A8" w14:textId="77777777" w:rsidR="0084711F" w:rsidRPr="00EF4253" w:rsidRDefault="0084711F" w:rsidP="00FC35F0">
      <w:pPr>
        <w:pStyle w:val="Normlndobloku"/>
        <w:spacing w:after="0"/>
      </w:pPr>
    </w:p>
    <w:p w14:paraId="541C7A16" w14:textId="5285918D" w:rsidR="00D52EC1" w:rsidRPr="00305E31" w:rsidRDefault="00365BD0" w:rsidP="00FC35F0">
      <w:pPr>
        <w:pStyle w:val="Normlndobloku"/>
        <w:spacing w:after="0"/>
      </w:pPr>
      <w:r w:rsidRPr="00EF4253">
        <w:t> Pri používaní</w:t>
      </w:r>
      <w:r w:rsidR="00D52EC1" w:rsidRPr="00EF4253">
        <w:t xml:space="preserve"> </w:t>
      </w:r>
      <w:proofErr w:type="spellStart"/>
      <w:r w:rsidR="00D52EC1" w:rsidRPr="00EF4253">
        <w:t>bisfosfonát</w:t>
      </w:r>
      <w:r w:rsidRPr="00EF4253">
        <w:t>ov</w:t>
      </w:r>
      <w:proofErr w:type="spellEnd"/>
      <w:r w:rsidR="00D52EC1" w:rsidRPr="00EF4253">
        <w:t xml:space="preserve">, bola hlásená </w:t>
      </w:r>
      <w:proofErr w:type="spellStart"/>
      <w:r w:rsidR="00D52EC1" w:rsidRPr="00EF4253">
        <w:t>osteonekróza</w:t>
      </w:r>
      <w:proofErr w:type="spellEnd"/>
      <w:r w:rsidR="00D52EC1" w:rsidRPr="00EF4253">
        <w:t xml:space="preserve"> vonkajšieho zvukovodu, najmä </w:t>
      </w:r>
      <w:r w:rsidRPr="00EF4253">
        <w:t>v súvislosti s</w:t>
      </w:r>
      <w:r w:rsidR="00D52EC1" w:rsidRPr="00EF4253">
        <w:t xml:space="preserve"> dlhodobo</w:t>
      </w:r>
      <w:r w:rsidRPr="00EF4253">
        <w:t>u</w:t>
      </w:r>
      <w:r w:rsidR="00D52EC1" w:rsidRPr="00EF4253">
        <w:t xml:space="preserve"> </w:t>
      </w:r>
      <w:r w:rsidRPr="00EF4253">
        <w:t>liečbou</w:t>
      </w:r>
      <w:r w:rsidR="00D52EC1" w:rsidRPr="00EF4253">
        <w:t xml:space="preserve">. </w:t>
      </w:r>
      <w:r w:rsidRPr="00EF4253">
        <w:t>K</w:t>
      </w:r>
      <w:r w:rsidR="00D52EC1" w:rsidRPr="00EF4253">
        <w:t xml:space="preserve"> možn</w:t>
      </w:r>
      <w:r w:rsidRPr="00EF4253">
        <w:t>ým</w:t>
      </w:r>
      <w:r w:rsidR="00D52EC1" w:rsidRPr="00EF4253">
        <w:t xml:space="preserve"> rizikov</w:t>
      </w:r>
      <w:r w:rsidRPr="00EF4253">
        <w:t>ým</w:t>
      </w:r>
      <w:r w:rsidR="00D52EC1" w:rsidRPr="00EF4253">
        <w:t xml:space="preserve"> faktor</w:t>
      </w:r>
      <w:r w:rsidRPr="00EF4253">
        <w:t>om</w:t>
      </w:r>
      <w:r w:rsidR="00D52EC1" w:rsidRPr="00EF4253">
        <w:t xml:space="preserve"> </w:t>
      </w:r>
      <w:proofErr w:type="spellStart"/>
      <w:r w:rsidR="00D52EC1" w:rsidRPr="00EF4253">
        <w:t>osteonekrózy</w:t>
      </w:r>
      <w:proofErr w:type="spellEnd"/>
      <w:r w:rsidR="00D52EC1" w:rsidRPr="00EF4253">
        <w:t xml:space="preserve"> vonkajšieho zvukovodu patrí používanie </w:t>
      </w:r>
      <w:proofErr w:type="spellStart"/>
      <w:r w:rsidR="00D52EC1" w:rsidRPr="00EF4253">
        <w:t>steroidov</w:t>
      </w:r>
      <w:proofErr w:type="spellEnd"/>
      <w:r w:rsidR="00D52EC1" w:rsidRPr="00EF4253">
        <w:t xml:space="preserve"> a chemoterapi</w:t>
      </w:r>
      <w:r w:rsidRPr="00EF4253">
        <w:t>a</w:t>
      </w:r>
      <w:r w:rsidR="00D52EC1" w:rsidRPr="00EF4253">
        <w:t xml:space="preserve"> a/alebo </w:t>
      </w:r>
      <w:r w:rsidRPr="00EF4253">
        <w:t>miestne</w:t>
      </w:r>
      <w:r w:rsidR="00D52EC1" w:rsidRPr="00EF4253">
        <w:t xml:space="preserve"> rizikové faktory ako </w:t>
      </w:r>
      <w:r w:rsidRPr="00EF4253">
        <w:t>je</w:t>
      </w:r>
      <w:r w:rsidR="00D52EC1" w:rsidRPr="00EF4253">
        <w:t xml:space="preserve"> infekcia alebo trauma. </w:t>
      </w:r>
      <w:r w:rsidRPr="00EF4253">
        <w:t>Možnosť</w:t>
      </w:r>
      <w:r w:rsidR="00D52EC1" w:rsidRPr="00EF4253">
        <w:t xml:space="preserve"> </w:t>
      </w:r>
      <w:proofErr w:type="spellStart"/>
      <w:r w:rsidR="00D52EC1" w:rsidRPr="00EF4253">
        <w:t>osteonekrózy</w:t>
      </w:r>
      <w:proofErr w:type="spellEnd"/>
      <w:r w:rsidR="00D52EC1" w:rsidRPr="00EF4253">
        <w:t xml:space="preserve"> vonkajšieho zvukovodu </w:t>
      </w:r>
      <w:r w:rsidRPr="00EF4253">
        <w:t>treba</w:t>
      </w:r>
      <w:r w:rsidR="00D52EC1" w:rsidRPr="00EF4253">
        <w:t xml:space="preserve"> zvážiť u pacientov </w:t>
      </w:r>
      <w:r w:rsidRPr="00EF4253">
        <w:t>užívajúcich</w:t>
      </w:r>
      <w:r w:rsidR="00D52EC1" w:rsidRPr="00EF4253">
        <w:t xml:space="preserve"> </w:t>
      </w:r>
      <w:proofErr w:type="spellStart"/>
      <w:r w:rsidR="00D52EC1" w:rsidRPr="00EF4253">
        <w:t>bisfosfonát</w:t>
      </w:r>
      <w:r w:rsidRPr="00EF4253">
        <w:t>y</w:t>
      </w:r>
      <w:proofErr w:type="spellEnd"/>
      <w:r w:rsidR="00D52EC1" w:rsidRPr="00EF4253">
        <w:t xml:space="preserve">, ktorí majú ušné symptómy vrátane chronických </w:t>
      </w:r>
      <w:r w:rsidRPr="00EF4253">
        <w:t xml:space="preserve">ušných </w:t>
      </w:r>
      <w:r w:rsidR="00D52EC1" w:rsidRPr="00EF4253">
        <w:t>infekcií.</w:t>
      </w:r>
    </w:p>
    <w:p w14:paraId="2CE2697E" w14:textId="77777777" w:rsidR="0084711F" w:rsidRPr="00EF4253" w:rsidRDefault="0084711F" w:rsidP="00FC35F0">
      <w:pPr>
        <w:pStyle w:val="Normlndobloku"/>
        <w:spacing w:after="0"/>
      </w:pPr>
    </w:p>
    <w:p w14:paraId="638471C3" w14:textId="77777777" w:rsidR="00D52EC1" w:rsidRPr="00EF4253" w:rsidRDefault="00D52EC1" w:rsidP="00FC35F0">
      <w:pPr>
        <w:pStyle w:val="Normlndobloku"/>
        <w:spacing w:after="0"/>
      </w:pPr>
      <w:r w:rsidRPr="00EF4253">
        <w:t>Atypické zlomeniny stehennej kosti</w:t>
      </w:r>
    </w:p>
    <w:p w14:paraId="6B0D2286" w14:textId="4D0B09E4" w:rsidR="00D52EC1" w:rsidRPr="00305E31" w:rsidRDefault="00D52EC1" w:rsidP="00FC35F0">
      <w:pPr>
        <w:pStyle w:val="Normlndobloku"/>
        <w:spacing w:after="0"/>
      </w:pPr>
      <w:r w:rsidRPr="00EF4253">
        <w:t xml:space="preserve">Pri liečbe </w:t>
      </w:r>
      <w:proofErr w:type="spellStart"/>
      <w:r w:rsidRPr="00EF4253">
        <w:t>bisfosfonátmi</w:t>
      </w:r>
      <w:proofErr w:type="spellEnd"/>
      <w:r w:rsidRPr="00EF4253">
        <w:t xml:space="preserve"> boli hlásené atypické </w:t>
      </w:r>
      <w:proofErr w:type="spellStart"/>
      <w:r w:rsidRPr="00EF4253">
        <w:t>subtrochanterické</w:t>
      </w:r>
      <w:proofErr w:type="spellEnd"/>
      <w:r w:rsidRPr="00EF4253">
        <w:t xml:space="preserve"> a </w:t>
      </w:r>
      <w:proofErr w:type="spellStart"/>
      <w:r w:rsidRPr="00EF4253">
        <w:t>diafyzárne</w:t>
      </w:r>
      <w:proofErr w:type="spellEnd"/>
      <w:r w:rsidRPr="00EF4253">
        <w:t xml:space="preserve"> zlomeniny stehennej kosti, predovšetkým u pacientov, ktorí sa dlhodobo liečili na </w:t>
      </w:r>
      <w:proofErr w:type="spellStart"/>
      <w:r w:rsidRPr="00EF4253">
        <w:t>osteoporózu</w:t>
      </w:r>
      <w:proofErr w:type="spellEnd"/>
      <w:r w:rsidRPr="00EF4253">
        <w:t xml:space="preserve">. Tieto priečne alebo krátke šikmé zlomeniny môžu vzniknúť kdekoľvek pozdĺž stehennej kosti, tesne pod malým </w:t>
      </w:r>
      <w:proofErr w:type="spellStart"/>
      <w:r w:rsidRPr="00EF4253">
        <w:t>trochanterom</w:t>
      </w:r>
      <w:proofErr w:type="spellEnd"/>
      <w:r w:rsidRPr="00EF4253">
        <w:t xml:space="preserve"> až </w:t>
      </w:r>
      <w:r w:rsidR="00A45F7C" w:rsidRPr="00EF4253">
        <w:t>tesne nad</w:t>
      </w:r>
      <w:r w:rsidRPr="00EF4253">
        <w:t xml:space="preserve"> </w:t>
      </w:r>
      <w:proofErr w:type="spellStart"/>
      <w:r w:rsidRPr="00EF4253">
        <w:t>suprakondylick</w:t>
      </w:r>
      <w:r w:rsidR="00A45F7C" w:rsidRPr="00EF4253">
        <w:t>ou</w:t>
      </w:r>
      <w:proofErr w:type="spellEnd"/>
      <w:r w:rsidRPr="00EF4253">
        <w:t xml:space="preserve"> časť</w:t>
      </w:r>
      <w:r w:rsidR="00A45F7C" w:rsidRPr="00EF4253">
        <w:t>ou</w:t>
      </w:r>
      <w:r w:rsidRPr="00EF4253">
        <w:t xml:space="preserve">. K týmto zlomeninám dochádza po minimálnej alebo žiadnej traume </w:t>
      </w:r>
      <w:r w:rsidRPr="00EF4253">
        <w:lastRenderedPageBreak/>
        <w:t xml:space="preserve">a u niektorých pacientov sa niekoľko týždňov až mesiacov pred vznikom úplnej zlomeniny stehennej kosti vyskytne bolesť v stehne alebo slabine, pri zobrazovacom vyšetrení často spojená s charakteristikami únavovej zlomeniny. Zlomeniny sú často bilaterálne, preto sa má u pacientov liečených </w:t>
      </w:r>
      <w:proofErr w:type="spellStart"/>
      <w:r w:rsidRPr="00EF4253">
        <w:t>bisfosfonátmi</w:t>
      </w:r>
      <w:proofErr w:type="spellEnd"/>
      <w:r w:rsidRPr="00EF4253">
        <w:t xml:space="preserve">, ktorí utrpeli zlomeninu stehennej kosti, vyšetriť aj </w:t>
      </w:r>
      <w:proofErr w:type="spellStart"/>
      <w:r w:rsidRPr="00EF4253">
        <w:t>kontralaterálna</w:t>
      </w:r>
      <w:proofErr w:type="spellEnd"/>
      <w:r w:rsidRPr="00EF4253">
        <w:t xml:space="preserve"> stehenná kosť. Hlásené bolo tiež nedostatočné hojenie týchto zlomenín. U pacientov s podozrením na atypickú zlomeninu stehennej kosti sa má na základe individuálneho zhodnotenia prínosu a rizika pre pacienta zvážiť prerušenie liečby </w:t>
      </w:r>
      <w:proofErr w:type="spellStart"/>
      <w:r w:rsidRPr="00EF4253">
        <w:t>bisfosfonátmi</w:t>
      </w:r>
      <w:proofErr w:type="spellEnd"/>
      <w:r w:rsidR="00FC35F0">
        <w:t xml:space="preserve"> až do ohodnotenia stavu pacienta</w:t>
      </w:r>
      <w:r w:rsidRPr="00305E31">
        <w:t xml:space="preserve">. </w:t>
      </w:r>
    </w:p>
    <w:p w14:paraId="71F262F7" w14:textId="77777777" w:rsidR="00D52EC1" w:rsidRPr="00EF4253" w:rsidRDefault="00D52EC1" w:rsidP="00FC35F0">
      <w:pPr>
        <w:pStyle w:val="Normlndobloku"/>
        <w:spacing w:after="0"/>
      </w:pPr>
      <w:r w:rsidRPr="00EF4253">
        <w:t xml:space="preserve">Počas liečby </w:t>
      </w:r>
      <w:proofErr w:type="spellStart"/>
      <w:r w:rsidRPr="00EF4253">
        <w:t>bisfosfonátmi</w:t>
      </w:r>
      <w:proofErr w:type="spellEnd"/>
      <w:r w:rsidRPr="00EF4253">
        <w:t xml:space="preserve"> treba pacientov poučiť, aby hlásili akúkoľvek bolesť v stehne, </w:t>
      </w:r>
      <w:proofErr w:type="spellStart"/>
      <w:r w:rsidRPr="00EF4253">
        <w:t>bedre</w:t>
      </w:r>
      <w:proofErr w:type="spellEnd"/>
      <w:r w:rsidRPr="00EF4253">
        <w:t xml:space="preserve"> alebo slabine a každého pacienta s takýmito príznakmi je potrebné vyšetriť na prítomnosť neúplnej zlomeniny stehennej kosti.</w:t>
      </w:r>
    </w:p>
    <w:p w14:paraId="04F5C9FD" w14:textId="77777777" w:rsidR="0084711F" w:rsidRPr="00EF4253" w:rsidRDefault="0084711F" w:rsidP="00FC35F0">
      <w:pPr>
        <w:pStyle w:val="Normlndobloku"/>
        <w:spacing w:after="0"/>
      </w:pPr>
    </w:p>
    <w:p w14:paraId="7ACB9A55" w14:textId="41A7E08E" w:rsidR="001A3A39" w:rsidRPr="00EF4253" w:rsidRDefault="00941DFA" w:rsidP="00FC35F0">
      <w:pPr>
        <w:pStyle w:val="Normlndobloku"/>
        <w:spacing w:after="0"/>
      </w:pPr>
      <w:r w:rsidRPr="00EF4253">
        <w:t xml:space="preserve">Tento liek obsahuje </w:t>
      </w:r>
      <w:proofErr w:type="spellStart"/>
      <w:r w:rsidR="00B676B0" w:rsidRPr="00EF4253">
        <w:t>monohydrát</w:t>
      </w:r>
      <w:proofErr w:type="spellEnd"/>
      <w:r w:rsidR="00B676B0" w:rsidRPr="00EF4253">
        <w:t xml:space="preserve"> laktózy</w:t>
      </w:r>
      <w:r w:rsidRPr="00EF4253">
        <w:t xml:space="preserve">. </w:t>
      </w:r>
      <w:r w:rsidR="00B549D2" w:rsidRPr="00EF4253">
        <w:t xml:space="preserve">Liek sa nemá podávať pacientom so zriedkavými dedičnými poruchami: intoleranciou </w:t>
      </w:r>
      <w:proofErr w:type="spellStart"/>
      <w:r w:rsidR="00B549D2" w:rsidRPr="00EF4253">
        <w:t>galaktózy</w:t>
      </w:r>
      <w:proofErr w:type="spellEnd"/>
      <w:r w:rsidR="00B549D2" w:rsidRPr="00EF4253">
        <w:t xml:space="preserve">, laponskou </w:t>
      </w:r>
      <w:proofErr w:type="spellStart"/>
      <w:r w:rsidR="00B549D2" w:rsidRPr="00EF4253">
        <w:t>deficienciou</w:t>
      </w:r>
      <w:proofErr w:type="spellEnd"/>
      <w:r w:rsidR="00B549D2" w:rsidRPr="00EF4253">
        <w:t xml:space="preserve"> </w:t>
      </w:r>
      <w:proofErr w:type="spellStart"/>
      <w:r w:rsidR="00B549D2" w:rsidRPr="00EF4253">
        <w:t>laktázy</w:t>
      </w:r>
      <w:proofErr w:type="spellEnd"/>
      <w:r w:rsidR="00B549D2" w:rsidRPr="00EF4253">
        <w:t xml:space="preserve"> alebo s</w:t>
      </w:r>
      <w:r w:rsidR="00C75E20" w:rsidRPr="00EF4253">
        <w:t> </w:t>
      </w:r>
      <w:r w:rsidR="00B549D2" w:rsidRPr="00EF4253">
        <w:t>poruchou absorpcie glukózy a</w:t>
      </w:r>
      <w:r w:rsidR="00C75E20" w:rsidRPr="00EF4253">
        <w:t> </w:t>
      </w:r>
      <w:proofErr w:type="spellStart"/>
      <w:r w:rsidR="00B549D2" w:rsidRPr="00EF4253">
        <w:t>galaktózy</w:t>
      </w:r>
      <w:proofErr w:type="spellEnd"/>
      <w:r w:rsidR="00B549D2" w:rsidRPr="00EF4253">
        <w:t>.</w:t>
      </w:r>
    </w:p>
    <w:p w14:paraId="64529FC3" w14:textId="77777777" w:rsidR="0084711F" w:rsidRPr="00EF4253" w:rsidRDefault="0084711F" w:rsidP="00FC35F0">
      <w:pPr>
        <w:pStyle w:val="Normlndobloku"/>
        <w:spacing w:after="0"/>
      </w:pPr>
    </w:p>
    <w:p w14:paraId="6FECB1C7" w14:textId="605E8552" w:rsidR="00513C0F" w:rsidRPr="00EF4253" w:rsidRDefault="00183E0E" w:rsidP="00FC35F0">
      <w:pPr>
        <w:pStyle w:val="Styl2"/>
        <w:spacing w:before="0" w:after="0"/>
        <w:rPr>
          <w:lang w:val="sk-SK"/>
        </w:rPr>
      </w:pPr>
      <w:r w:rsidRPr="00EF4253">
        <w:rPr>
          <w:lang w:val="sk-SK"/>
        </w:rPr>
        <w:t>Liekové a</w:t>
      </w:r>
      <w:r w:rsidR="00C75E20" w:rsidRPr="00EF4253">
        <w:rPr>
          <w:lang w:val="sk-SK"/>
        </w:rPr>
        <w:t> </w:t>
      </w:r>
      <w:r w:rsidRPr="00EF4253">
        <w:rPr>
          <w:lang w:val="sk-SK"/>
        </w:rPr>
        <w:t>iné interakcie</w:t>
      </w:r>
    </w:p>
    <w:p w14:paraId="50C7E62A" w14:textId="77777777" w:rsidR="0084711F" w:rsidRPr="00EF4253" w:rsidRDefault="0084711F" w:rsidP="00FC35F0">
      <w:pPr>
        <w:pStyle w:val="Normlndobloku"/>
        <w:spacing w:after="0"/>
      </w:pPr>
    </w:p>
    <w:p w14:paraId="666D05B8" w14:textId="485A92E0" w:rsidR="00C4407A" w:rsidRPr="00EF4253" w:rsidRDefault="00C4407A" w:rsidP="00FC35F0">
      <w:pPr>
        <w:pStyle w:val="Normlndobloku"/>
        <w:spacing w:after="0"/>
      </w:pPr>
      <w:r w:rsidRPr="00EF4253">
        <w:t>Neuskutočnili sa žiadne formálne interakčné štúdie, avšak počas klinického skúšania sa žiadne klinicky závažné interakcie s inými liekmi nezistili. V</w:t>
      </w:r>
      <w:r w:rsidR="004D1C68" w:rsidRPr="00EF4253">
        <w:t> </w:t>
      </w:r>
      <w:r w:rsidRPr="00EF4253">
        <w:t xml:space="preserve">III. fáze skúšania liečby </w:t>
      </w:r>
      <w:proofErr w:type="spellStart"/>
      <w:r w:rsidRPr="00EF4253">
        <w:t>osteoporózy</w:t>
      </w:r>
      <w:proofErr w:type="spellEnd"/>
      <w:r w:rsidRPr="00EF4253">
        <w:t xml:space="preserve"> </w:t>
      </w:r>
      <w:proofErr w:type="spellStart"/>
      <w:r w:rsidRPr="00EF4253">
        <w:t>nátriumrizedronátom</w:t>
      </w:r>
      <w:proofErr w:type="spellEnd"/>
      <w:r w:rsidRPr="00EF4253">
        <w:t xml:space="preserve"> podávaným denne, užívalo 33</w:t>
      </w:r>
      <w:r w:rsidR="004D1C68" w:rsidRPr="00EF4253">
        <w:t> </w:t>
      </w:r>
      <w:r w:rsidRPr="00EF4253">
        <w:t xml:space="preserve">% pacientov kyselinu </w:t>
      </w:r>
      <w:proofErr w:type="spellStart"/>
      <w:r w:rsidRPr="00EF4253">
        <w:t>acetylsalicylovú</w:t>
      </w:r>
      <w:proofErr w:type="spellEnd"/>
      <w:r w:rsidRPr="00EF4253">
        <w:t xml:space="preserve"> a</w:t>
      </w:r>
      <w:r w:rsidR="004D1C68" w:rsidRPr="00EF4253">
        <w:t> </w:t>
      </w:r>
      <w:r w:rsidRPr="00EF4253">
        <w:t>45</w:t>
      </w:r>
      <w:r w:rsidR="004D1C68" w:rsidRPr="00EF4253">
        <w:t> </w:t>
      </w:r>
      <w:r w:rsidRPr="00EF4253">
        <w:t xml:space="preserve">% NSAID. </w:t>
      </w:r>
      <w:r w:rsidR="00B62966" w:rsidRPr="00EF4253">
        <w:t>V</w:t>
      </w:r>
      <w:r w:rsidR="004D1C68" w:rsidRPr="00EF4253">
        <w:t> </w:t>
      </w:r>
      <w:r w:rsidR="00B62966" w:rsidRPr="00EF4253">
        <w:t xml:space="preserve">III. fáze skúšania liečby </w:t>
      </w:r>
      <w:proofErr w:type="spellStart"/>
      <w:r w:rsidR="00B62966" w:rsidRPr="00EF4253">
        <w:t>nátriumrizedronátom</w:t>
      </w:r>
      <w:proofErr w:type="spellEnd"/>
      <w:r w:rsidR="00B62966" w:rsidRPr="00EF4253">
        <w:t xml:space="preserve"> podávaným raz týždenne</w:t>
      </w:r>
      <w:r w:rsidR="002B7219" w:rsidRPr="00EF4253">
        <w:t xml:space="preserve"> u žien po </w:t>
      </w:r>
      <w:proofErr w:type="spellStart"/>
      <w:r w:rsidR="002B7219" w:rsidRPr="00EF4253">
        <w:t>menopauze</w:t>
      </w:r>
      <w:proofErr w:type="spellEnd"/>
      <w:r w:rsidR="00B62966" w:rsidRPr="00EF4253">
        <w:t>, užívalo 57</w:t>
      </w:r>
      <w:r w:rsidR="004D1C68" w:rsidRPr="00EF4253">
        <w:t> </w:t>
      </w:r>
      <w:r w:rsidR="00B62966" w:rsidRPr="00EF4253">
        <w:t xml:space="preserve">% pacientov kyselinu </w:t>
      </w:r>
      <w:proofErr w:type="spellStart"/>
      <w:r w:rsidR="00B62966" w:rsidRPr="00EF4253">
        <w:t>acetylsalicylovú</w:t>
      </w:r>
      <w:proofErr w:type="spellEnd"/>
      <w:r w:rsidR="00B62966" w:rsidRPr="00EF4253">
        <w:t xml:space="preserve"> a</w:t>
      </w:r>
      <w:r w:rsidR="004D1C68" w:rsidRPr="00EF4253">
        <w:t> </w:t>
      </w:r>
      <w:r w:rsidR="00B62966" w:rsidRPr="00EF4253">
        <w:t>40</w:t>
      </w:r>
      <w:r w:rsidR="004D1C68" w:rsidRPr="00EF4253">
        <w:t> </w:t>
      </w:r>
      <w:r w:rsidR="00B62966" w:rsidRPr="00EF4253">
        <w:t xml:space="preserve">% NSAID. </w:t>
      </w:r>
      <w:r w:rsidR="0017049A" w:rsidRPr="00EF4253">
        <w:t xml:space="preserve">U pacientov </w:t>
      </w:r>
      <w:r w:rsidR="00B62966" w:rsidRPr="00EF4253">
        <w:t xml:space="preserve">pravidelne </w:t>
      </w:r>
      <w:r w:rsidR="0017049A" w:rsidRPr="00EF4253">
        <w:t xml:space="preserve">užívajúcich kyselinu </w:t>
      </w:r>
      <w:proofErr w:type="spellStart"/>
      <w:r w:rsidR="0017049A" w:rsidRPr="00EF4253">
        <w:t>acetylsalicylovú</w:t>
      </w:r>
      <w:proofErr w:type="spellEnd"/>
      <w:r w:rsidR="0017049A" w:rsidRPr="00EF4253">
        <w:t xml:space="preserve"> alebo</w:t>
      </w:r>
      <w:r w:rsidR="001A3A39" w:rsidRPr="00EF4253">
        <w:t xml:space="preserve"> </w:t>
      </w:r>
      <w:r w:rsidR="0017049A" w:rsidRPr="00EF4253">
        <w:t xml:space="preserve">NSAID </w:t>
      </w:r>
      <w:r w:rsidR="00B62966" w:rsidRPr="00EF4253">
        <w:t>(</w:t>
      </w:r>
      <w:r w:rsidR="0017049A" w:rsidRPr="00EF4253">
        <w:t>3 a</w:t>
      </w:r>
      <w:r w:rsidR="002B7219" w:rsidRPr="00EF4253">
        <w:t>lebo</w:t>
      </w:r>
      <w:r w:rsidR="0017049A" w:rsidRPr="00EF4253">
        <w:t> viac dní v</w:t>
      </w:r>
      <w:r w:rsidR="00B62966" w:rsidRPr="00EF4253">
        <w:t> </w:t>
      </w:r>
      <w:r w:rsidR="0017049A" w:rsidRPr="00EF4253">
        <w:t>týždni</w:t>
      </w:r>
      <w:r w:rsidR="00B62966" w:rsidRPr="00EF4253">
        <w:t xml:space="preserve">) </w:t>
      </w:r>
      <w:r w:rsidR="0017049A" w:rsidRPr="00EF4253">
        <w:t xml:space="preserve">bol výskyt nežiaducich </w:t>
      </w:r>
      <w:r w:rsidR="002B7219" w:rsidRPr="00EF4253">
        <w:t xml:space="preserve">udalostí </w:t>
      </w:r>
      <w:r w:rsidR="0017049A" w:rsidRPr="00EF4253">
        <w:t xml:space="preserve">hornej časti </w:t>
      </w:r>
      <w:proofErr w:type="spellStart"/>
      <w:r w:rsidR="0017049A" w:rsidRPr="00EF4253">
        <w:t>gastrointestinálneho</w:t>
      </w:r>
      <w:proofErr w:type="spellEnd"/>
      <w:r w:rsidR="0017049A" w:rsidRPr="00EF4253">
        <w:t xml:space="preserve"> traktu</w:t>
      </w:r>
      <w:r w:rsidR="002B7219" w:rsidRPr="00EF4253">
        <w:t xml:space="preserve"> u </w:t>
      </w:r>
      <w:r w:rsidR="002B7219" w:rsidRPr="00305E31">
        <w:t>pacie</w:t>
      </w:r>
      <w:r w:rsidR="00305E31">
        <w:t>n</w:t>
      </w:r>
      <w:r w:rsidR="002B7219" w:rsidRPr="00305E31">
        <w:t xml:space="preserve">tov liečených </w:t>
      </w:r>
      <w:proofErr w:type="spellStart"/>
      <w:r w:rsidR="002B7219" w:rsidRPr="00305E31">
        <w:t>nátriumrizedron</w:t>
      </w:r>
      <w:r w:rsidR="002B7219" w:rsidRPr="00453536">
        <w:t>átom</w:t>
      </w:r>
      <w:proofErr w:type="spellEnd"/>
      <w:r w:rsidR="0017049A" w:rsidRPr="00EF4253">
        <w:t xml:space="preserve"> podobný ako u kontrolných pacientov.</w:t>
      </w:r>
    </w:p>
    <w:p w14:paraId="1FD5A96F" w14:textId="77777777" w:rsidR="0084711F" w:rsidRPr="00EF4253" w:rsidRDefault="0084711F" w:rsidP="00FC35F0">
      <w:pPr>
        <w:pStyle w:val="Normlndobloku"/>
        <w:spacing w:after="0"/>
      </w:pPr>
    </w:p>
    <w:p w14:paraId="7F81495E" w14:textId="77777777" w:rsidR="0017049A" w:rsidRPr="00EF4253" w:rsidRDefault="0017049A" w:rsidP="00FC35F0">
      <w:pPr>
        <w:pStyle w:val="Normlndobloku"/>
        <w:spacing w:after="0"/>
      </w:pPr>
      <w:r w:rsidRPr="00EF4253">
        <w:t xml:space="preserve">Podľa potreby sa môže </w:t>
      </w:r>
      <w:proofErr w:type="spellStart"/>
      <w:r w:rsidR="00F12256" w:rsidRPr="00EF4253">
        <w:t>nátriumrizedronát</w:t>
      </w:r>
      <w:proofErr w:type="spellEnd"/>
      <w:r w:rsidRPr="00EF4253">
        <w:t xml:space="preserve"> podávať súbežne so </w:t>
      </w:r>
      <w:proofErr w:type="spellStart"/>
      <w:r w:rsidRPr="00EF4253">
        <w:t>suplementáciou</w:t>
      </w:r>
      <w:proofErr w:type="spellEnd"/>
      <w:r w:rsidRPr="00EF4253">
        <w:t xml:space="preserve"> estrogénov</w:t>
      </w:r>
      <w:r w:rsidR="00790326" w:rsidRPr="00EF4253">
        <w:t xml:space="preserve"> (platí len pre ženy).</w:t>
      </w:r>
    </w:p>
    <w:p w14:paraId="62D1C86F" w14:textId="77777777" w:rsidR="0084711F" w:rsidRPr="00EF4253" w:rsidRDefault="0084711F" w:rsidP="00FC35F0">
      <w:pPr>
        <w:pStyle w:val="Normlndobloku"/>
        <w:spacing w:after="0"/>
      </w:pPr>
    </w:p>
    <w:p w14:paraId="1DE8A013" w14:textId="55C16A0D" w:rsidR="0017049A" w:rsidRPr="00EF4253" w:rsidRDefault="0017049A" w:rsidP="00FC35F0">
      <w:pPr>
        <w:pStyle w:val="Normlndobloku"/>
        <w:spacing w:after="0"/>
      </w:pPr>
      <w:r w:rsidRPr="00EF4253">
        <w:t>Sú</w:t>
      </w:r>
      <w:r w:rsidR="00790326" w:rsidRPr="00EF4253">
        <w:t>bež</w:t>
      </w:r>
      <w:r w:rsidRPr="00EF4253">
        <w:t xml:space="preserve">né užívanie liekov obsahujúcich </w:t>
      </w:r>
      <w:proofErr w:type="spellStart"/>
      <w:r w:rsidRPr="00EF4253">
        <w:t>polyvalentné</w:t>
      </w:r>
      <w:proofErr w:type="spellEnd"/>
      <w:r w:rsidRPr="00EF4253">
        <w:t xml:space="preserve"> katióny (napr.</w:t>
      </w:r>
      <w:r w:rsidR="004D1C68" w:rsidRPr="00EF4253">
        <w:t> </w:t>
      </w:r>
      <w:r w:rsidRPr="00EF4253">
        <w:t xml:space="preserve">kalcium, magnézium, železo a hliník) interferujú s absorpciou </w:t>
      </w:r>
      <w:proofErr w:type="spellStart"/>
      <w:r w:rsidR="00F12256" w:rsidRPr="00EF4253">
        <w:t>nátriumrizedronátu</w:t>
      </w:r>
      <w:proofErr w:type="spellEnd"/>
      <w:r w:rsidRPr="00EF4253">
        <w:t xml:space="preserve"> (pozri časť 4.4).</w:t>
      </w:r>
    </w:p>
    <w:p w14:paraId="2503449C" w14:textId="77777777" w:rsidR="0084711F" w:rsidRPr="00EF4253" w:rsidRDefault="0084711F" w:rsidP="00FC35F0">
      <w:pPr>
        <w:pStyle w:val="Normlndobloku"/>
        <w:spacing w:after="0"/>
      </w:pPr>
    </w:p>
    <w:p w14:paraId="0051B539" w14:textId="780E4F62" w:rsidR="0017049A" w:rsidRPr="00EF4253" w:rsidRDefault="00F12256" w:rsidP="00FC35F0">
      <w:pPr>
        <w:pStyle w:val="Normlndobloku"/>
        <w:spacing w:after="0"/>
      </w:pPr>
      <w:proofErr w:type="spellStart"/>
      <w:r w:rsidRPr="00EF4253">
        <w:t>Nátriumrizedronát</w:t>
      </w:r>
      <w:proofErr w:type="spellEnd"/>
      <w:r w:rsidR="0017049A" w:rsidRPr="00EF4253">
        <w:t xml:space="preserve"> sa systémovo nemetabolizuje, neindukuje enzýmy </w:t>
      </w:r>
      <w:proofErr w:type="spellStart"/>
      <w:r w:rsidR="0017049A" w:rsidRPr="00EF4253">
        <w:t>cytochrómu</w:t>
      </w:r>
      <w:proofErr w:type="spellEnd"/>
      <w:r w:rsidR="0017049A" w:rsidRPr="00EF4253">
        <w:t xml:space="preserve"> P450 a</w:t>
      </w:r>
      <w:r w:rsidR="004D1C68" w:rsidRPr="00EF4253">
        <w:t> </w:t>
      </w:r>
      <w:r w:rsidR="0017049A" w:rsidRPr="00EF4253">
        <w:t xml:space="preserve">má nízku </w:t>
      </w:r>
      <w:proofErr w:type="spellStart"/>
      <w:r w:rsidR="0017049A" w:rsidRPr="00EF4253">
        <w:t>väzbovosť</w:t>
      </w:r>
      <w:proofErr w:type="spellEnd"/>
      <w:r w:rsidR="0017049A" w:rsidRPr="00EF4253">
        <w:t xml:space="preserve"> na bielkoviny.</w:t>
      </w:r>
    </w:p>
    <w:p w14:paraId="096BD8EF" w14:textId="77777777" w:rsidR="0084711F" w:rsidRPr="00EF4253" w:rsidRDefault="0084711F" w:rsidP="00FC35F0">
      <w:pPr>
        <w:pStyle w:val="Normlndobloku"/>
        <w:spacing w:after="0"/>
      </w:pPr>
    </w:p>
    <w:p w14:paraId="59A207A6" w14:textId="58085A90" w:rsidR="00513C0F" w:rsidRPr="00EF4253" w:rsidRDefault="00475FFE" w:rsidP="00FC35F0">
      <w:pPr>
        <w:pStyle w:val="Styl2"/>
        <w:spacing w:before="0" w:after="0"/>
        <w:rPr>
          <w:lang w:val="sk-SK"/>
        </w:rPr>
      </w:pPr>
      <w:proofErr w:type="spellStart"/>
      <w:r w:rsidRPr="00EF4253">
        <w:rPr>
          <w:lang w:val="sk-SK"/>
        </w:rPr>
        <w:t>Fertilita</w:t>
      </w:r>
      <w:proofErr w:type="spellEnd"/>
      <w:r w:rsidRPr="00EF4253">
        <w:rPr>
          <w:lang w:val="sk-SK"/>
        </w:rPr>
        <w:t>, g</w:t>
      </w:r>
      <w:r w:rsidR="00183E0E" w:rsidRPr="00EF4253">
        <w:rPr>
          <w:lang w:val="sk-SK"/>
        </w:rPr>
        <w:t>ravidita a</w:t>
      </w:r>
      <w:r w:rsidR="004D1C68" w:rsidRPr="00EF4253">
        <w:rPr>
          <w:lang w:val="sk-SK"/>
        </w:rPr>
        <w:t> </w:t>
      </w:r>
      <w:r w:rsidR="00183E0E" w:rsidRPr="00EF4253">
        <w:rPr>
          <w:lang w:val="sk-SK"/>
        </w:rPr>
        <w:t>laktácia</w:t>
      </w:r>
    </w:p>
    <w:p w14:paraId="096E0E83" w14:textId="77777777" w:rsidR="0084711F" w:rsidRPr="00EF4253" w:rsidRDefault="0084711F" w:rsidP="00FC35F0">
      <w:pPr>
        <w:pStyle w:val="Normlndobloku"/>
        <w:spacing w:after="0"/>
      </w:pPr>
    </w:p>
    <w:p w14:paraId="380C5122" w14:textId="77777777" w:rsidR="006C4D98" w:rsidRPr="00EF4253" w:rsidRDefault="006C4D98" w:rsidP="00FC35F0">
      <w:pPr>
        <w:pStyle w:val="Normlndobloku"/>
        <w:spacing w:after="0"/>
      </w:pPr>
      <w:r w:rsidRPr="00EF4253">
        <w:t xml:space="preserve">Nie sú k dispozícii dostatočné údaje o použití </w:t>
      </w:r>
      <w:proofErr w:type="spellStart"/>
      <w:r w:rsidR="00F12256" w:rsidRPr="00EF4253">
        <w:t>nátriumrizedronátu</w:t>
      </w:r>
      <w:proofErr w:type="spellEnd"/>
      <w:r w:rsidRPr="00EF4253">
        <w:t xml:space="preserve"> u gravidných žien. Štúdie na zvieratách preukázali reprodukčnú toxicitu (pozri časť 5.3). Nie je známe potenciálne riziko </w:t>
      </w:r>
      <w:r w:rsidR="00446826" w:rsidRPr="00EF4253">
        <w:t>pre</w:t>
      </w:r>
      <w:r w:rsidRPr="00EF4253">
        <w:t xml:space="preserve"> ľudí.</w:t>
      </w:r>
      <w:r w:rsidR="00446826" w:rsidRPr="00EF4253">
        <w:t xml:space="preserve"> </w:t>
      </w:r>
      <w:r w:rsidRPr="00EF4253">
        <w:t xml:space="preserve">Štúdie na zvieratách preukázali, že malé množstvo </w:t>
      </w:r>
      <w:proofErr w:type="spellStart"/>
      <w:r w:rsidR="00F12256" w:rsidRPr="00EF4253">
        <w:t>nátriumrizedronátu</w:t>
      </w:r>
      <w:proofErr w:type="spellEnd"/>
      <w:r w:rsidRPr="00EF4253">
        <w:t xml:space="preserve"> prechádza do materského mlieka.</w:t>
      </w:r>
    </w:p>
    <w:p w14:paraId="47F1C59B" w14:textId="77777777" w:rsidR="00332D6B" w:rsidRPr="00EF4253" w:rsidRDefault="00332D6B" w:rsidP="00FC35F0">
      <w:pPr>
        <w:pStyle w:val="Normlndobloku"/>
        <w:spacing w:after="0"/>
      </w:pPr>
    </w:p>
    <w:p w14:paraId="4B9167CF" w14:textId="77777777" w:rsidR="006C4D98" w:rsidRPr="00EF4253" w:rsidRDefault="00F12256" w:rsidP="00FC35F0">
      <w:pPr>
        <w:pStyle w:val="Normlndobloku"/>
        <w:spacing w:after="0"/>
      </w:pPr>
      <w:proofErr w:type="spellStart"/>
      <w:r w:rsidRPr="00EF4253">
        <w:t>Nátriumrizedronát</w:t>
      </w:r>
      <w:proofErr w:type="spellEnd"/>
      <w:r w:rsidR="006C4D98" w:rsidRPr="00EF4253">
        <w:t xml:space="preserve"> sa počas gravidity ani počas dojčenia nesmie užívať.</w:t>
      </w:r>
    </w:p>
    <w:p w14:paraId="5E2F6837" w14:textId="77777777" w:rsidR="0084711F" w:rsidRPr="00EF4253" w:rsidRDefault="0084711F" w:rsidP="00FC35F0">
      <w:pPr>
        <w:pStyle w:val="Normlndobloku"/>
        <w:spacing w:after="0"/>
      </w:pPr>
    </w:p>
    <w:p w14:paraId="24483D9A" w14:textId="538718CF" w:rsidR="00513C0F" w:rsidRPr="00EF4253" w:rsidRDefault="00183E0E" w:rsidP="00FC35F0">
      <w:pPr>
        <w:pStyle w:val="Styl2"/>
        <w:spacing w:before="0" w:after="0"/>
        <w:rPr>
          <w:lang w:val="sk-SK"/>
        </w:rPr>
      </w:pPr>
      <w:r w:rsidRPr="00EF4253">
        <w:rPr>
          <w:lang w:val="sk-SK"/>
        </w:rPr>
        <w:t>Ovplyvnenie schopnosti viesť vozidlá a</w:t>
      </w:r>
      <w:r w:rsidR="004D1C68" w:rsidRPr="00EF4253">
        <w:rPr>
          <w:lang w:val="sk-SK"/>
        </w:rPr>
        <w:t> </w:t>
      </w:r>
      <w:r w:rsidRPr="00EF4253">
        <w:rPr>
          <w:lang w:val="sk-SK"/>
        </w:rPr>
        <w:t>obsluhovať stroje</w:t>
      </w:r>
    </w:p>
    <w:p w14:paraId="5BBE01C3" w14:textId="77777777" w:rsidR="0084711F" w:rsidRPr="00EF4253" w:rsidRDefault="0084711F" w:rsidP="00FC35F0">
      <w:pPr>
        <w:pStyle w:val="Normlndobloku"/>
        <w:spacing w:after="0"/>
      </w:pPr>
    </w:p>
    <w:p w14:paraId="027008C7" w14:textId="00CF9685" w:rsidR="0017049A" w:rsidRPr="00EF4253" w:rsidRDefault="0017049A" w:rsidP="00FC35F0">
      <w:pPr>
        <w:pStyle w:val="Normlndobloku"/>
        <w:spacing w:after="0"/>
      </w:pPr>
      <w:r w:rsidRPr="00EF4253">
        <w:t>Nepozoroval sa žiadny vplyv na schopnosť viesť vozidlá a</w:t>
      </w:r>
      <w:r w:rsidR="004D1C68" w:rsidRPr="00EF4253">
        <w:t> </w:t>
      </w:r>
      <w:r w:rsidRPr="00EF4253">
        <w:t>obsluhovať stroje.</w:t>
      </w:r>
    </w:p>
    <w:p w14:paraId="466EB33A" w14:textId="77777777" w:rsidR="0084711F" w:rsidRPr="00EF4253" w:rsidRDefault="0084711F" w:rsidP="00FC35F0">
      <w:pPr>
        <w:pStyle w:val="Normlndobloku"/>
        <w:spacing w:after="0"/>
      </w:pPr>
    </w:p>
    <w:p w14:paraId="1F0D66E1" w14:textId="77777777" w:rsidR="00513C0F" w:rsidRPr="00EF4253" w:rsidRDefault="00183E0E" w:rsidP="00FC35F0">
      <w:pPr>
        <w:pStyle w:val="Styl2"/>
        <w:spacing w:before="0" w:after="0"/>
        <w:rPr>
          <w:lang w:val="sk-SK"/>
        </w:rPr>
      </w:pPr>
      <w:r w:rsidRPr="00EF4253">
        <w:rPr>
          <w:lang w:val="sk-SK"/>
        </w:rPr>
        <w:t>Nežiaduce účinky</w:t>
      </w:r>
    </w:p>
    <w:p w14:paraId="23567261" w14:textId="77777777" w:rsidR="0084711F" w:rsidRPr="00EF4253" w:rsidRDefault="0084711F" w:rsidP="00FC35F0">
      <w:pPr>
        <w:pStyle w:val="Normlndobloku"/>
        <w:spacing w:after="0"/>
      </w:pPr>
    </w:p>
    <w:p w14:paraId="60307C23" w14:textId="6662D8D7" w:rsidR="00B62377" w:rsidRPr="00EF4253" w:rsidRDefault="00B62377" w:rsidP="00FC35F0">
      <w:pPr>
        <w:pStyle w:val="Normlndobloku"/>
        <w:spacing w:after="0"/>
      </w:pPr>
      <w:r w:rsidRPr="00EF4253">
        <w:t xml:space="preserve">Používanie </w:t>
      </w:r>
      <w:proofErr w:type="spellStart"/>
      <w:r w:rsidR="00FB4C4A" w:rsidRPr="00EF4253">
        <w:t>nátriumrizedronátu</w:t>
      </w:r>
      <w:proofErr w:type="spellEnd"/>
      <w:r w:rsidRPr="00EF4253">
        <w:t xml:space="preserve"> sa skúmalo v klinických </w:t>
      </w:r>
      <w:r w:rsidR="00332D6B" w:rsidRPr="00EF4253">
        <w:t xml:space="preserve">skúšaniach </w:t>
      </w:r>
      <w:r w:rsidRPr="00EF4253">
        <w:t xml:space="preserve">fázy III, do ktorých bolo zahrnutých viac ako 15 000 pacientov. Väčšina nežiaducich účinkov, ktoré sa pozorovali v klinických </w:t>
      </w:r>
      <w:r w:rsidR="00332D6B" w:rsidRPr="00EF4253">
        <w:t>skúšaniach</w:t>
      </w:r>
      <w:r w:rsidRPr="00EF4253">
        <w:t>, bola miernej až strednej závažnosti a obvykle si nevyžadovala ukončenie liečby.</w:t>
      </w:r>
    </w:p>
    <w:p w14:paraId="1FDE968F" w14:textId="77777777" w:rsidR="0084711F" w:rsidRPr="00EF4253" w:rsidRDefault="0084711F" w:rsidP="00FC35F0">
      <w:pPr>
        <w:pStyle w:val="Normlndobloku"/>
        <w:spacing w:after="0"/>
      </w:pPr>
    </w:p>
    <w:p w14:paraId="3F17369D" w14:textId="6B16E5F6" w:rsidR="00B62377" w:rsidRPr="00EF4253" w:rsidRDefault="00B62377" w:rsidP="00FC35F0">
      <w:pPr>
        <w:pStyle w:val="Normlndobloku"/>
        <w:spacing w:after="0"/>
      </w:pPr>
      <w:r w:rsidRPr="00EF4253">
        <w:t xml:space="preserve">Nežiaduce skúsenosti, ktoré boli hlásené v klinických </w:t>
      </w:r>
      <w:r w:rsidR="00332D6B" w:rsidRPr="00EF4253">
        <w:t xml:space="preserve">skúšaniach </w:t>
      </w:r>
      <w:r w:rsidRPr="00EF4253">
        <w:t xml:space="preserve">fázy III, kde boli zaradené ženy po </w:t>
      </w:r>
      <w:proofErr w:type="spellStart"/>
      <w:r w:rsidRPr="00EF4253">
        <w:t>menopauze</w:t>
      </w:r>
      <w:proofErr w:type="spellEnd"/>
      <w:r w:rsidRPr="00EF4253">
        <w:t xml:space="preserve"> s </w:t>
      </w:r>
      <w:proofErr w:type="spellStart"/>
      <w:r w:rsidRPr="00EF4253">
        <w:t>osteoporózou</w:t>
      </w:r>
      <w:proofErr w:type="spellEnd"/>
      <w:r w:rsidRPr="00EF4253">
        <w:t xml:space="preserve"> liečené po dobu 36 mesiacov </w:t>
      </w:r>
      <w:proofErr w:type="spellStart"/>
      <w:r w:rsidR="00FB4C4A" w:rsidRPr="00EF4253">
        <w:t>nátriumrizedronátom</w:t>
      </w:r>
      <w:proofErr w:type="spellEnd"/>
      <w:r w:rsidRPr="00EF4253">
        <w:t xml:space="preserve"> 5 mg/deň (n=5</w:t>
      </w:r>
      <w:r w:rsidR="004D1C68" w:rsidRPr="00EF4253">
        <w:t> </w:t>
      </w:r>
      <w:r w:rsidRPr="00EF4253">
        <w:t xml:space="preserve">020) alebo </w:t>
      </w:r>
      <w:proofErr w:type="spellStart"/>
      <w:r w:rsidRPr="00EF4253">
        <w:t>placebom</w:t>
      </w:r>
      <w:proofErr w:type="spellEnd"/>
      <w:r w:rsidRPr="00EF4253">
        <w:t xml:space="preserve"> (n=5</w:t>
      </w:r>
      <w:r w:rsidR="004D1C68" w:rsidRPr="00EF4253">
        <w:t> </w:t>
      </w:r>
      <w:r w:rsidRPr="00EF4253">
        <w:t>048), a ktoré sa hodnotili ako možno alebo pravdepodobne súvisiace s </w:t>
      </w:r>
      <w:proofErr w:type="spellStart"/>
      <w:r w:rsidR="00FB4C4A" w:rsidRPr="00EF4253">
        <w:t>nátriumrizedronátom</w:t>
      </w:r>
      <w:proofErr w:type="spellEnd"/>
      <w:r w:rsidRPr="00EF4253">
        <w:t>, sú uvedené nižšie a zaradené sú podľa týchto kritérií (v</w:t>
      </w:r>
      <w:r w:rsidR="004D1C68" w:rsidRPr="00EF4253">
        <w:t> </w:t>
      </w:r>
      <w:r w:rsidRPr="00EF4253">
        <w:t>zátvorkách je uvedený výskyt v porovnaní s </w:t>
      </w:r>
      <w:proofErr w:type="spellStart"/>
      <w:r w:rsidRPr="00EF4253">
        <w:t>placebom</w:t>
      </w:r>
      <w:proofErr w:type="spellEnd"/>
      <w:r w:rsidRPr="00EF4253">
        <w:t>): veľmi časté (≥1/10); časté (≥1/100;&lt;1/10); menej časté (≥1/1 000;&lt;1/100); zriedkavé (≥1/10 000;&lt;1/1000); veľmi zriedkavé (&lt;1/10 000).</w:t>
      </w:r>
    </w:p>
    <w:p w14:paraId="3942A14D" w14:textId="77777777" w:rsidR="0084711F" w:rsidRPr="00EF4253" w:rsidRDefault="0084711F" w:rsidP="00FC35F0">
      <w:pPr>
        <w:pStyle w:val="Normlndobloku"/>
        <w:spacing w:after="0"/>
      </w:pPr>
    </w:p>
    <w:p w14:paraId="7896EE16" w14:textId="6881049B" w:rsidR="00B62377" w:rsidRPr="00EF4253" w:rsidRDefault="00B62377" w:rsidP="00FC35F0">
      <w:pPr>
        <w:pStyle w:val="Styl30"/>
        <w:spacing w:after="0"/>
        <w:rPr>
          <w:lang w:val="sk-SK"/>
        </w:rPr>
      </w:pPr>
      <w:r w:rsidRPr="00EF4253">
        <w:rPr>
          <w:lang w:val="sk-SK"/>
        </w:rPr>
        <w:t>Poruchy nervového systému</w:t>
      </w:r>
    </w:p>
    <w:p w14:paraId="5138C604" w14:textId="77777777" w:rsidR="00B62377" w:rsidRPr="00EF4253" w:rsidRDefault="00B62377" w:rsidP="00FC35F0">
      <w:pPr>
        <w:pStyle w:val="Normlndobloku"/>
        <w:spacing w:after="0"/>
      </w:pPr>
      <w:r w:rsidRPr="00EF4253">
        <w:t>Časté: bolesť hlavy (1,8</w:t>
      </w:r>
      <w:r w:rsidR="004D1C68" w:rsidRPr="00EF4253">
        <w:t> </w:t>
      </w:r>
      <w:r w:rsidRPr="00EF4253">
        <w:t>% oproti 1,4</w:t>
      </w:r>
      <w:r w:rsidR="004D1C68" w:rsidRPr="00EF4253">
        <w:t> </w:t>
      </w:r>
      <w:r w:rsidRPr="00EF4253">
        <w:t>%)</w:t>
      </w:r>
    </w:p>
    <w:p w14:paraId="1262F874" w14:textId="77777777" w:rsidR="00FB5911" w:rsidRPr="00EF4253" w:rsidRDefault="00FB5911" w:rsidP="00FC35F0">
      <w:pPr>
        <w:pStyle w:val="Styl30"/>
        <w:spacing w:after="0"/>
        <w:rPr>
          <w:lang w:val="sk-SK"/>
        </w:rPr>
      </w:pPr>
    </w:p>
    <w:p w14:paraId="0A11633E" w14:textId="389A90FD" w:rsidR="00B62377" w:rsidRPr="00EF4253" w:rsidRDefault="00B62377" w:rsidP="00FC35F0">
      <w:pPr>
        <w:pStyle w:val="Styl30"/>
        <w:spacing w:after="0"/>
        <w:rPr>
          <w:lang w:val="sk-SK"/>
        </w:rPr>
      </w:pPr>
      <w:r w:rsidRPr="00EF4253">
        <w:rPr>
          <w:lang w:val="sk-SK"/>
        </w:rPr>
        <w:t>Poruchy oka</w:t>
      </w:r>
    </w:p>
    <w:p w14:paraId="5819088E" w14:textId="77777777" w:rsidR="00B62377" w:rsidRPr="00EF4253" w:rsidRDefault="00B62377" w:rsidP="00FC35F0">
      <w:pPr>
        <w:pStyle w:val="Normlndobloku"/>
        <w:spacing w:after="0"/>
      </w:pPr>
      <w:r w:rsidRPr="00EF4253">
        <w:t xml:space="preserve">Menej časté: </w:t>
      </w:r>
      <w:proofErr w:type="spellStart"/>
      <w:r w:rsidRPr="00EF4253">
        <w:t>iritída</w:t>
      </w:r>
      <w:proofErr w:type="spellEnd"/>
      <w:r w:rsidRPr="00EF4253">
        <w:t>*</w:t>
      </w:r>
    </w:p>
    <w:p w14:paraId="04858C45" w14:textId="77777777" w:rsidR="00FB5911" w:rsidRPr="00EF4253" w:rsidRDefault="00FB5911" w:rsidP="00FC35F0">
      <w:pPr>
        <w:pStyle w:val="Styl30"/>
        <w:spacing w:after="0"/>
        <w:rPr>
          <w:lang w:val="sk-SK"/>
        </w:rPr>
      </w:pPr>
    </w:p>
    <w:p w14:paraId="536A10EB" w14:textId="1CB91C38" w:rsidR="00B62377" w:rsidRPr="00EF4253" w:rsidRDefault="00B62377" w:rsidP="00FC35F0">
      <w:pPr>
        <w:pStyle w:val="Styl30"/>
        <w:spacing w:after="0"/>
        <w:rPr>
          <w:szCs w:val="22"/>
          <w:lang w:val="sk-SK"/>
        </w:rPr>
      </w:pPr>
      <w:r w:rsidRPr="00EF4253">
        <w:rPr>
          <w:lang w:val="sk-SK"/>
        </w:rPr>
        <w:t xml:space="preserve">Poruchy </w:t>
      </w:r>
      <w:proofErr w:type="spellStart"/>
      <w:r w:rsidRPr="00EF4253">
        <w:rPr>
          <w:lang w:val="sk-SK"/>
        </w:rPr>
        <w:t>gastrointestinálneho</w:t>
      </w:r>
      <w:proofErr w:type="spellEnd"/>
      <w:r w:rsidRPr="00EF4253">
        <w:rPr>
          <w:lang w:val="sk-SK"/>
        </w:rPr>
        <w:t xml:space="preserve"> traktu</w:t>
      </w:r>
    </w:p>
    <w:p w14:paraId="2717DF57" w14:textId="77777777" w:rsidR="00B62377" w:rsidRPr="00EF4253" w:rsidRDefault="00B62377" w:rsidP="00FC35F0">
      <w:pPr>
        <w:pStyle w:val="Normlndobloku"/>
        <w:spacing w:after="0"/>
      </w:pPr>
      <w:r w:rsidRPr="00EF4253">
        <w:t>Časté: zápcha (5,0</w:t>
      </w:r>
      <w:r w:rsidR="004D1C68" w:rsidRPr="00EF4253">
        <w:t xml:space="preserve"> </w:t>
      </w:r>
      <w:r w:rsidRPr="00EF4253">
        <w:t>% oproti 4,8</w:t>
      </w:r>
      <w:r w:rsidR="004D1C68" w:rsidRPr="00EF4253">
        <w:t> </w:t>
      </w:r>
      <w:r w:rsidRPr="00EF4253">
        <w:t xml:space="preserve">%), </w:t>
      </w:r>
      <w:proofErr w:type="spellStart"/>
      <w:r w:rsidRPr="00EF4253">
        <w:t>dyspepsia</w:t>
      </w:r>
      <w:proofErr w:type="spellEnd"/>
      <w:r w:rsidRPr="00EF4253">
        <w:t xml:space="preserve"> (4,5</w:t>
      </w:r>
      <w:r w:rsidR="004D1C68" w:rsidRPr="00EF4253">
        <w:t> </w:t>
      </w:r>
      <w:r w:rsidRPr="00EF4253">
        <w:t>% oproti 4,1</w:t>
      </w:r>
      <w:r w:rsidR="004D1C68" w:rsidRPr="00EF4253">
        <w:t> </w:t>
      </w:r>
      <w:r w:rsidRPr="00EF4253">
        <w:t xml:space="preserve">%), </w:t>
      </w:r>
      <w:proofErr w:type="spellStart"/>
      <w:r w:rsidRPr="00EF4253">
        <w:t>nauzea</w:t>
      </w:r>
      <w:proofErr w:type="spellEnd"/>
      <w:r w:rsidRPr="00EF4253">
        <w:t xml:space="preserve"> (4,3</w:t>
      </w:r>
      <w:r w:rsidR="004D1C68" w:rsidRPr="00EF4253">
        <w:t> </w:t>
      </w:r>
      <w:r w:rsidRPr="00EF4253">
        <w:t>% oproti 4,0</w:t>
      </w:r>
      <w:r w:rsidR="004D1C68" w:rsidRPr="00EF4253">
        <w:t> </w:t>
      </w:r>
      <w:r w:rsidRPr="00EF4253">
        <w:t xml:space="preserve">%), </w:t>
      </w:r>
      <w:proofErr w:type="spellStart"/>
      <w:r w:rsidRPr="00EF4253">
        <w:t>abdominálna</w:t>
      </w:r>
      <w:proofErr w:type="spellEnd"/>
      <w:r w:rsidRPr="00EF4253">
        <w:t xml:space="preserve"> bolesť (3,5</w:t>
      </w:r>
      <w:r w:rsidR="004D1C68" w:rsidRPr="00EF4253">
        <w:t> </w:t>
      </w:r>
      <w:r w:rsidRPr="00EF4253">
        <w:t>% oproti 3,3</w:t>
      </w:r>
      <w:r w:rsidR="004D1C68" w:rsidRPr="00EF4253">
        <w:t> </w:t>
      </w:r>
      <w:r w:rsidRPr="00EF4253">
        <w:t>%), hnačka (3,0</w:t>
      </w:r>
      <w:r w:rsidR="004D1C68" w:rsidRPr="00EF4253">
        <w:t> </w:t>
      </w:r>
      <w:r w:rsidRPr="00EF4253">
        <w:t>% oproti 2,7</w:t>
      </w:r>
      <w:r w:rsidR="004D1C68" w:rsidRPr="00EF4253">
        <w:t> </w:t>
      </w:r>
      <w:r w:rsidRPr="00EF4253">
        <w:t>%)</w:t>
      </w:r>
    </w:p>
    <w:p w14:paraId="59DFC985" w14:textId="047C4FD0" w:rsidR="00B62377" w:rsidRPr="00EF4253" w:rsidRDefault="00B62377" w:rsidP="00FC35F0">
      <w:pPr>
        <w:pStyle w:val="Normlndobloku"/>
        <w:spacing w:after="0"/>
        <w:rPr>
          <w:szCs w:val="22"/>
        </w:rPr>
      </w:pPr>
      <w:r w:rsidRPr="00EF4253">
        <w:rPr>
          <w:szCs w:val="22"/>
        </w:rPr>
        <w:t>Menej časté: gastritída (0,9</w:t>
      </w:r>
      <w:r w:rsidR="004D1C68" w:rsidRPr="00EF4253">
        <w:rPr>
          <w:szCs w:val="22"/>
        </w:rPr>
        <w:t> </w:t>
      </w:r>
      <w:r w:rsidRPr="00EF4253">
        <w:rPr>
          <w:szCs w:val="22"/>
        </w:rPr>
        <w:t>% oproti 0,7</w:t>
      </w:r>
      <w:r w:rsidR="004D1C68" w:rsidRPr="00EF4253">
        <w:rPr>
          <w:szCs w:val="22"/>
        </w:rPr>
        <w:t> </w:t>
      </w:r>
      <w:r w:rsidRPr="00EF4253">
        <w:rPr>
          <w:szCs w:val="22"/>
        </w:rPr>
        <w:t xml:space="preserve">%), </w:t>
      </w:r>
      <w:proofErr w:type="spellStart"/>
      <w:r w:rsidRPr="00EF4253">
        <w:rPr>
          <w:szCs w:val="22"/>
        </w:rPr>
        <w:t>ezofagitída</w:t>
      </w:r>
      <w:proofErr w:type="spellEnd"/>
      <w:r w:rsidRPr="00EF4253">
        <w:rPr>
          <w:szCs w:val="22"/>
        </w:rPr>
        <w:t xml:space="preserve"> (0,9</w:t>
      </w:r>
      <w:r w:rsidR="004D1C68" w:rsidRPr="00EF4253">
        <w:rPr>
          <w:szCs w:val="22"/>
        </w:rPr>
        <w:t> </w:t>
      </w:r>
      <w:r w:rsidRPr="00EF4253">
        <w:rPr>
          <w:szCs w:val="22"/>
        </w:rPr>
        <w:t>% oproti 0,9</w:t>
      </w:r>
      <w:r w:rsidR="004D1C68" w:rsidRPr="00EF4253">
        <w:rPr>
          <w:szCs w:val="22"/>
        </w:rPr>
        <w:t> </w:t>
      </w:r>
      <w:r w:rsidRPr="00EF4253">
        <w:rPr>
          <w:szCs w:val="22"/>
        </w:rPr>
        <w:t xml:space="preserve">%), </w:t>
      </w:r>
      <w:proofErr w:type="spellStart"/>
      <w:r w:rsidRPr="00EF4253">
        <w:rPr>
          <w:szCs w:val="22"/>
        </w:rPr>
        <w:t>dysfágia</w:t>
      </w:r>
      <w:proofErr w:type="spellEnd"/>
      <w:r w:rsidRPr="00EF4253">
        <w:rPr>
          <w:szCs w:val="22"/>
        </w:rPr>
        <w:t xml:space="preserve"> (0,4</w:t>
      </w:r>
      <w:r w:rsidR="004D1C68" w:rsidRPr="00EF4253">
        <w:rPr>
          <w:szCs w:val="22"/>
        </w:rPr>
        <w:t> </w:t>
      </w:r>
      <w:r w:rsidRPr="00EF4253">
        <w:rPr>
          <w:szCs w:val="22"/>
        </w:rPr>
        <w:t>% oproti 0,2</w:t>
      </w:r>
      <w:r w:rsidR="004D1C68" w:rsidRPr="00EF4253">
        <w:rPr>
          <w:szCs w:val="22"/>
        </w:rPr>
        <w:t> </w:t>
      </w:r>
      <w:r w:rsidRPr="00EF4253">
        <w:rPr>
          <w:szCs w:val="22"/>
        </w:rPr>
        <w:t xml:space="preserve">%), </w:t>
      </w:r>
      <w:proofErr w:type="spellStart"/>
      <w:r w:rsidRPr="00EF4253">
        <w:rPr>
          <w:szCs w:val="22"/>
        </w:rPr>
        <w:t>duodenitída</w:t>
      </w:r>
      <w:proofErr w:type="spellEnd"/>
      <w:r w:rsidRPr="00EF4253">
        <w:rPr>
          <w:szCs w:val="22"/>
        </w:rPr>
        <w:t xml:space="preserve"> (0,2</w:t>
      </w:r>
      <w:r w:rsidR="004D1C68" w:rsidRPr="00EF4253">
        <w:rPr>
          <w:szCs w:val="22"/>
        </w:rPr>
        <w:t> </w:t>
      </w:r>
      <w:r w:rsidRPr="00EF4253">
        <w:rPr>
          <w:szCs w:val="22"/>
        </w:rPr>
        <w:t>% oproti 0,1</w:t>
      </w:r>
      <w:r w:rsidR="004D1C68" w:rsidRPr="00EF4253">
        <w:rPr>
          <w:szCs w:val="22"/>
        </w:rPr>
        <w:t> </w:t>
      </w:r>
      <w:r w:rsidRPr="00EF4253">
        <w:rPr>
          <w:szCs w:val="22"/>
        </w:rPr>
        <w:t xml:space="preserve">%), </w:t>
      </w:r>
      <w:proofErr w:type="spellStart"/>
      <w:r w:rsidRPr="00EF4253">
        <w:rPr>
          <w:szCs w:val="22"/>
        </w:rPr>
        <w:t>ezof</w:t>
      </w:r>
      <w:r w:rsidR="009C4209" w:rsidRPr="00EF4253">
        <w:rPr>
          <w:szCs w:val="22"/>
        </w:rPr>
        <w:t>á</w:t>
      </w:r>
      <w:r w:rsidRPr="00EF4253">
        <w:rPr>
          <w:szCs w:val="22"/>
        </w:rPr>
        <w:t>gový</w:t>
      </w:r>
      <w:proofErr w:type="spellEnd"/>
      <w:r w:rsidRPr="00EF4253">
        <w:rPr>
          <w:szCs w:val="22"/>
        </w:rPr>
        <w:t xml:space="preserve"> vred (0,2</w:t>
      </w:r>
      <w:r w:rsidR="004D1C68" w:rsidRPr="00EF4253">
        <w:rPr>
          <w:szCs w:val="22"/>
        </w:rPr>
        <w:t> </w:t>
      </w:r>
      <w:r w:rsidRPr="00EF4253">
        <w:rPr>
          <w:szCs w:val="22"/>
        </w:rPr>
        <w:t>% oproti 0,2</w:t>
      </w:r>
      <w:r w:rsidR="004D1C68" w:rsidRPr="00EF4253">
        <w:rPr>
          <w:szCs w:val="22"/>
        </w:rPr>
        <w:t> </w:t>
      </w:r>
      <w:r w:rsidRPr="00EF4253">
        <w:rPr>
          <w:szCs w:val="22"/>
        </w:rPr>
        <w:t>%)</w:t>
      </w:r>
    </w:p>
    <w:p w14:paraId="7942E701" w14:textId="77777777" w:rsidR="00B62377" w:rsidRPr="00EF4253" w:rsidRDefault="00B62377" w:rsidP="00FC35F0">
      <w:pPr>
        <w:pStyle w:val="Normlndobloku"/>
        <w:spacing w:after="0"/>
      </w:pPr>
      <w:r w:rsidRPr="00EF4253">
        <w:t xml:space="preserve">Zriedkavé: </w:t>
      </w:r>
      <w:proofErr w:type="spellStart"/>
      <w:r w:rsidRPr="00EF4253">
        <w:t>glositída</w:t>
      </w:r>
      <w:proofErr w:type="spellEnd"/>
      <w:r w:rsidRPr="00EF4253">
        <w:t xml:space="preserve"> (&lt;</w:t>
      </w:r>
      <w:r w:rsidR="004D1C68" w:rsidRPr="00EF4253">
        <w:t> </w:t>
      </w:r>
      <w:r w:rsidRPr="00EF4253">
        <w:t>0,1</w:t>
      </w:r>
      <w:r w:rsidR="004D1C68" w:rsidRPr="00EF4253">
        <w:t> </w:t>
      </w:r>
      <w:r w:rsidRPr="00EF4253">
        <w:t>% oproti 0,1</w:t>
      </w:r>
      <w:r w:rsidR="004D1C68" w:rsidRPr="00EF4253">
        <w:t> </w:t>
      </w:r>
      <w:r w:rsidRPr="00EF4253">
        <w:t>%), zúženie pažeráka (&lt;</w:t>
      </w:r>
      <w:r w:rsidR="004D1C68" w:rsidRPr="00EF4253">
        <w:t> </w:t>
      </w:r>
      <w:r w:rsidRPr="00EF4253">
        <w:t>0,1</w:t>
      </w:r>
      <w:r w:rsidR="004D1C68" w:rsidRPr="00EF4253">
        <w:t> </w:t>
      </w:r>
      <w:r w:rsidRPr="00EF4253">
        <w:t>% oproti 0,0</w:t>
      </w:r>
      <w:r w:rsidR="004D1C68" w:rsidRPr="00EF4253">
        <w:t> </w:t>
      </w:r>
      <w:r w:rsidRPr="00EF4253">
        <w:t>%)</w:t>
      </w:r>
    </w:p>
    <w:p w14:paraId="185B602E" w14:textId="77777777" w:rsidR="00FB5911" w:rsidRPr="00EF4253" w:rsidRDefault="00FB5911" w:rsidP="00FC35F0">
      <w:pPr>
        <w:pStyle w:val="Styl30"/>
        <w:spacing w:after="0"/>
        <w:rPr>
          <w:lang w:val="sk-SK"/>
        </w:rPr>
      </w:pPr>
    </w:p>
    <w:p w14:paraId="16A4FC97" w14:textId="70DAC772" w:rsidR="00B62377" w:rsidRPr="00EF4253" w:rsidRDefault="00B62377" w:rsidP="00FC35F0">
      <w:pPr>
        <w:pStyle w:val="Styl30"/>
        <w:spacing w:after="0"/>
        <w:rPr>
          <w:lang w:val="sk-SK"/>
        </w:rPr>
      </w:pPr>
      <w:r w:rsidRPr="00EF4253">
        <w:rPr>
          <w:lang w:val="sk-SK"/>
        </w:rPr>
        <w:t xml:space="preserve">Poruchy </w:t>
      </w:r>
      <w:r w:rsidR="00332D6B" w:rsidRPr="00EF4253">
        <w:rPr>
          <w:lang w:val="sk-SK"/>
        </w:rPr>
        <w:t xml:space="preserve">kostrovej a  </w:t>
      </w:r>
      <w:r w:rsidRPr="00EF4253">
        <w:rPr>
          <w:lang w:val="sk-SK"/>
        </w:rPr>
        <w:t>svalov</w:t>
      </w:r>
      <w:r w:rsidR="00641E52" w:rsidRPr="00EF4253">
        <w:rPr>
          <w:lang w:val="sk-SK"/>
        </w:rPr>
        <w:t>ej</w:t>
      </w:r>
      <w:r w:rsidRPr="00EF4253">
        <w:rPr>
          <w:lang w:val="sk-SK"/>
        </w:rPr>
        <w:t xml:space="preserve">  s</w:t>
      </w:r>
      <w:r w:rsidR="00641E52" w:rsidRPr="00EF4253">
        <w:rPr>
          <w:lang w:val="sk-SK"/>
        </w:rPr>
        <w:t>úst</w:t>
      </w:r>
      <w:r w:rsidRPr="00EF4253">
        <w:rPr>
          <w:lang w:val="sk-SK"/>
        </w:rPr>
        <w:t>avy a</w:t>
      </w:r>
      <w:r w:rsidR="004D1C68" w:rsidRPr="00EF4253">
        <w:rPr>
          <w:lang w:val="sk-SK"/>
        </w:rPr>
        <w:t> </w:t>
      </w:r>
      <w:r w:rsidR="00641E52" w:rsidRPr="00EF4253">
        <w:rPr>
          <w:lang w:val="sk-SK"/>
        </w:rPr>
        <w:t>s</w:t>
      </w:r>
      <w:r w:rsidRPr="00EF4253">
        <w:rPr>
          <w:lang w:val="sk-SK"/>
        </w:rPr>
        <w:t>pojivové</w:t>
      </w:r>
      <w:r w:rsidR="00641E52" w:rsidRPr="00EF4253">
        <w:rPr>
          <w:lang w:val="sk-SK"/>
        </w:rPr>
        <w:t>ho</w:t>
      </w:r>
      <w:r w:rsidRPr="00EF4253">
        <w:rPr>
          <w:lang w:val="sk-SK"/>
        </w:rPr>
        <w:t xml:space="preserve"> </w:t>
      </w:r>
      <w:r w:rsidR="00641E52" w:rsidRPr="00EF4253">
        <w:rPr>
          <w:lang w:val="sk-SK"/>
        </w:rPr>
        <w:t>tkaniva</w:t>
      </w:r>
    </w:p>
    <w:p w14:paraId="527ADDA2" w14:textId="77777777" w:rsidR="00D27D55" w:rsidRPr="00EF4253" w:rsidRDefault="00B62377" w:rsidP="00FC35F0">
      <w:pPr>
        <w:pStyle w:val="Normlndobloku"/>
        <w:spacing w:after="0"/>
      </w:pPr>
      <w:r w:rsidRPr="00EF4253">
        <w:t xml:space="preserve">Časté: </w:t>
      </w:r>
      <w:proofErr w:type="spellStart"/>
      <w:r w:rsidR="00E8769F" w:rsidRPr="00EF4253">
        <w:t>muskuloskeletálna</w:t>
      </w:r>
      <w:proofErr w:type="spellEnd"/>
      <w:r w:rsidR="00E8769F" w:rsidRPr="00EF4253">
        <w:t xml:space="preserve"> bolesť</w:t>
      </w:r>
      <w:r w:rsidRPr="00EF4253">
        <w:t xml:space="preserve"> (2,1</w:t>
      </w:r>
      <w:r w:rsidR="004D1C68" w:rsidRPr="00EF4253">
        <w:t> </w:t>
      </w:r>
      <w:r w:rsidRPr="00EF4253">
        <w:t xml:space="preserve">% </w:t>
      </w:r>
      <w:proofErr w:type="spellStart"/>
      <w:r w:rsidRPr="00EF4253">
        <w:t>vs</w:t>
      </w:r>
      <w:proofErr w:type="spellEnd"/>
      <w:r w:rsidRPr="00EF4253">
        <w:t>. 1,9</w:t>
      </w:r>
      <w:r w:rsidR="004D1C68" w:rsidRPr="00EF4253">
        <w:t> </w:t>
      </w:r>
      <w:r w:rsidRPr="00EF4253">
        <w:t>%)</w:t>
      </w:r>
    </w:p>
    <w:p w14:paraId="72789E3C" w14:textId="77777777" w:rsidR="00FB5911" w:rsidRPr="00EF4253" w:rsidRDefault="00FB5911" w:rsidP="00FC35F0">
      <w:pPr>
        <w:pStyle w:val="Styl30"/>
        <w:spacing w:after="0"/>
        <w:rPr>
          <w:lang w:val="sk-SK"/>
        </w:rPr>
      </w:pPr>
    </w:p>
    <w:p w14:paraId="4E957335" w14:textId="77777777" w:rsidR="00B62377" w:rsidRPr="00EF4253" w:rsidRDefault="00064070" w:rsidP="00FC35F0">
      <w:pPr>
        <w:pStyle w:val="Styl30"/>
        <w:spacing w:after="0"/>
        <w:rPr>
          <w:lang w:val="sk-SK"/>
        </w:rPr>
      </w:pPr>
      <w:r w:rsidRPr="00EF4253">
        <w:rPr>
          <w:lang w:val="sk-SK"/>
        </w:rPr>
        <w:t>Laboratórne a funkčné vyšetrenia</w:t>
      </w:r>
    </w:p>
    <w:p w14:paraId="56718C8C" w14:textId="77777777" w:rsidR="00B62377" w:rsidRPr="00EF4253" w:rsidRDefault="00ED79E7" w:rsidP="00FC35F0">
      <w:pPr>
        <w:pStyle w:val="Normlndobloku"/>
        <w:spacing w:after="0"/>
      </w:pPr>
      <w:r w:rsidRPr="00EF4253">
        <w:t>Zriedkavé</w:t>
      </w:r>
      <w:r w:rsidR="00B62377" w:rsidRPr="00EF4253">
        <w:t>: abnormáln</w:t>
      </w:r>
      <w:r w:rsidR="00FB4C4A" w:rsidRPr="00EF4253">
        <w:t xml:space="preserve">e </w:t>
      </w:r>
      <w:r w:rsidR="001C01DE" w:rsidRPr="00EF4253">
        <w:t xml:space="preserve">výsledky </w:t>
      </w:r>
      <w:r w:rsidR="00B62377" w:rsidRPr="00EF4253">
        <w:t>test</w:t>
      </w:r>
      <w:r w:rsidR="001C01DE" w:rsidRPr="00EF4253">
        <w:t>ov funkcie pečene</w:t>
      </w:r>
      <w:r w:rsidR="00B62377" w:rsidRPr="00EF4253">
        <w:t xml:space="preserve"> *</w:t>
      </w:r>
    </w:p>
    <w:p w14:paraId="4977F804" w14:textId="77777777" w:rsidR="00C60A6E" w:rsidRPr="00EF4253" w:rsidRDefault="00C60A6E" w:rsidP="00FC35F0">
      <w:pPr>
        <w:pStyle w:val="Normlndobloku"/>
        <w:spacing w:after="0"/>
      </w:pPr>
    </w:p>
    <w:p w14:paraId="5D29BDF6" w14:textId="0B85D9DE" w:rsidR="00B62377" w:rsidRPr="00EF4253" w:rsidRDefault="00B62377" w:rsidP="00FC35F0">
      <w:pPr>
        <w:pStyle w:val="Normlndobloku"/>
        <w:spacing w:after="0"/>
      </w:pPr>
      <w:r w:rsidRPr="00EF4253">
        <w:t>* Ž</w:t>
      </w:r>
      <w:r w:rsidR="00FB4C4A" w:rsidRPr="00EF4253">
        <w:t>iadny relevantný</w:t>
      </w:r>
      <w:r w:rsidRPr="00EF4253">
        <w:t xml:space="preserve"> výskyt v</w:t>
      </w:r>
      <w:r w:rsidR="004D1C68" w:rsidRPr="00EF4253">
        <w:t> </w:t>
      </w:r>
      <w:r w:rsidR="00FB4C4A" w:rsidRPr="00EF4253">
        <w:t>štúdiách</w:t>
      </w:r>
      <w:r w:rsidRPr="00EF4253">
        <w:t xml:space="preserve"> </w:t>
      </w:r>
      <w:proofErr w:type="spellStart"/>
      <w:r w:rsidR="00487520" w:rsidRPr="00EF4253">
        <w:t>osteoporózy</w:t>
      </w:r>
      <w:proofErr w:type="spellEnd"/>
      <w:r w:rsidR="00487520" w:rsidRPr="00EF4253">
        <w:t xml:space="preserve"> fázy </w:t>
      </w:r>
      <w:r w:rsidRPr="00EF4253">
        <w:t>III.</w:t>
      </w:r>
      <w:r w:rsidR="00C60A6E" w:rsidRPr="00EF4253">
        <w:t>,</w:t>
      </w:r>
      <w:r w:rsidRPr="00EF4253">
        <w:t xml:space="preserve"> </w:t>
      </w:r>
      <w:r w:rsidR="00487520" w:rsidRPr="00EF4253">
        <w:t>frekvencia</w:t>
      </w:r>
      <w:r w:rsidRPr="00EF4253">
        <w:t xml:space="preserve"> </w:t>
      </w:r>
      <w:r w:rsidR="00E8769F" w:rsidRPr="00EF4253">
        <w:t>vychádza</w:t>
      </w:r>
      <w:r w:rsidR="0065246A" w:rsidRPr="00EF4253">
        <w:t xml:space="preserve"> z</w:t>
      </w:r>
      <w:r w:rsidR="004D1C68" w:rsidRPr="00EF4253">
        <w:t> </w:t>
      </w:r>
      <w:r w:rsidR="00FB4C4A" w:rsidRPr="00EF4253">
        <w:t>nežiaducich</w:t>
      </w:r>
      <w:r w:rsidRPr="00EF4253">
        <w:t xml:space="preserve"> </w:t>
      </w:r>
      <w:r w:rsidR="00C60A6E" w:rsidRPr="00EF4253">
        <w:t>udalostí</w:t>
      </w:r>
      <w:r w:rsidRPr="00EF4253">
        <w:t xml:space="preserve">, </w:t>
      </w:r>
      <w:r w:rsidR="00FB4C4A" w:rsidRPr="00EF4253">
        <w:t>laboratórnych výsledko</w:t>
      </w:r>
      <w:r w:rsidR="0065246A" w:rsidRPr="00EF4253">
        <w:t>v</w:t>
      </w:r>
      <w:r w:rsidRPr="00EF4253">
        <w:t xml:space="preserve"> a</w:t>
      </w:r>
      <w:r w:rsidR="004D1C68" w:rsidRPr="00EF4253">
        <w:t> </w:t>
      </w:r>
      <w:r w:rsidRPr="00EF4253">
        <w:t xml:space="preserve">opakovaných </w:t>
      </w:r>
      <w:r w:rsidR="00FB4C4A" w:rsidRPr="00EF4253">
        <w:t>nálezo</w:t>
      </w:r>
      <w:r w:rsidR="0065246A" w:rsidRPr="00EF4253">
        <w:t>v</w:t>
      </w:r>
      <w:r w:rsidR="00C60A6E" w:rsidRPr="00EF4253">
        <w:t xml:space="preserve"> (pri opakovanom nasadení lieku, </w:t>
      </w:r>
      <w:proofErr w:type="spellStart"/>
      <w:r w:rsidR="00C60A6E" w:rsidRPr="00EF4253">
        <w:t>rechallenge</w:t>
      </w:r>
      <w:proofErr w:type="spellEnd"/>
      <w:r w:rsidR="00C60A6E" w:rsidRPr="00EF4253">
        <w:t>)</w:t>
      </w:r>
      <w:r w:rsidR="0065246A" w:rsidRPr="00EF4253">
        <w:t xml:space="preserve"> z</w:t>
      </w:r>
      <w:r w:rsidR="00FB4C4A" w:rsidRPr="00EF4253">
        <w:t> predchádzajúcich</w:t>
      </w:r>
      <w:r w:rsidR="001A3A39" w:rsidRPr="00EF4253">
        <w:t xml:space="preserve"> </w:t>
      </w:r>
      <w:r w:rsidRPr="00EF4253">
        <w:t xml:space="preserve">klinických </w:t>
      </w:r>
      <w:r w:rsidR="00C60A6E" w:rsidRPr="00EF4253">
        <w:t>skúšaní</w:t>
      </w:r>
      <w:r w:rsidRPr="00EF4253">
        <w:t>.</w:t>
      </w:r>
    </w:p>
    <w:p w14:paraId="4C32C709" w14:textId="77777777" w:rsidR="0084711F" w:rsidRPr="00EF4253" w:rsidRDefault="0084711F" w:rsidP="00FC35F0">
      <w:pPr>
        <w:pStyle w:val="Normlndobloku"/>
        <w:spacing w:after="0"/>
      </w:pPr>
    </w:p>
    <w:p w14:paraId="25695DCF" w14:textId="5E0EADBC" w:rsidR="00647960" w:rsidRPr="00EF4253" w:rsidRDefault="00B62377" w:rsidP="00FC35F0">
      <w:pPr>
        <w:pStyle w:val="Normlndobloku"/>
        <w:spacing w:after="0"/>
      </w:pPr>
      <w:r w:rsidRPr="00EF4253">
        <w:t>V </w:t>
      </w:r>
      <w:r w:rsidR="006D0B4D" w:rsidRPr="00EF4253">
        <w:t>jedno</w:t>
      </w:r>
      <w:r w:rsidR="00E8769F" w:rsidRPr="00EF4253">
        <w:t>ro</w:t>
      </w:r>
      <w:r w:rsidR="006D0B4D" w:rsidRPr="00EF4253">
        <w:t>čnej</w:t>
      </w:r>
      <w:r w:rsidRPr="00EF4253">
        <w:t xml:space="preserve">, dvojito zaslepenej, </w:t>
      </w:r>
      <w:proofErr w:type="spellStart"/>
      <w:r w:rsidRPr="00EF4253">
        <w:t>mu</w:t>
      </w:r>
      <w:r w:rsidR="00305E31">
        <w:t>l</w:t>
      </w:r>
      <w:r w:rsidRPr="00305E31">
        <w:t>ticentrickej</w:t>
      </w:r>
      <w:proofErr w:type="spellEnd"/>
      <w:r w:rsidRPr="00305E31">
        <w:t xml:space="preserve"> štúdii, </w:t>
      </w:r>
      <w:r w:rsidR="001E3484" w:rsidRPr="00305E31">
        <w:t>po</w:t>
      </w:r>
      <w:r w:rsidRPr="00305E31">
        <w:t xml:space="preserve">rovnávajúcej </w:t>
      </w:r>
      <w:proofErr w:type="spellStart"/>
      <w:r w:rsidRPr="00305E31">
        <w:t>n</w:t>
      </w:r>
      <w:r w:rsidR="00FC35F0">
        <w:t>á</w:t>
      </w:r>
      <w:r w:rsidRPr="00305E31">
        <w:t>triumri</w:t>
      </w:r>
      <w:r w:rsidR="00305E31">
        <w:t>z</w:t>
      </w:r>
      <w:r w:rsidRPr="00305E31">
        <w:t>edronát</w:t>
      </w:r>
      <w:proofErr w:type="spellEnd"/>
      <w:r w:rsidRPr="00305E31">
        <w:t xml:space="preserve"> 5</w:t>
      </w:r>
      <w:r w:rsidR="004D1C68" w:rsidRPr="00305E31">
        <w:t> </w:t>
      </w:r>
      <w:r w:rsidRPr="00453536">
        <w:t>mg podávaný raz denne (n=480) a </w:t>
      </w:r>
      <w:proofErr w:type="spellStart"/>
      <w:r w:rsidRPr="00453536">
        <w:t>n</w:t>
      </w:r>
      <w:r w:rsidR="00FC35F0">
        <w:t>á</w:t>
      </w:r>
      <w:r w:rsidRPr="00453536">
        <w:t>triumri</w:t>
      </w:r>
      <w:r w:rsidR="00305E31">
        <w:t>z</w:t>
      </w:r>
      <w:r w:rsidRPr="00305E31">
        <w:t>edronát</w:t>
      </w:r>
      <w:proofErr w:type="spellEnd"/>
      <w:r w:rsidRPr="00305E31">
        <w:t xml:space="preserve"> 35</w:t>
      </w:r>
      <w:r w:rsidR="004D1C68" w:rsidRPr="00305E31">
        <w:t> </w:t>
      </w:r>
      <w:r w:rsidRPr="00453536">
        <w:t xml:space="preserve">mg podávaný raz týždenne (n=485) </w:t>
      </w:r>
      <w:r w:rsidR="00647960" w:rsidRPr="00EF4253">
        <w:t xml:space="preserve">ženám </w:t>
      </w:r>
      <w:r w:rsidR="001E3484" w:rsidRPr="00EF4253">
        <w:t xml:space="preserve">po </w:t>
      </w:r>
      <w:proofErr w:type="spellStart"/>
      <w:r w:rsidR="001E3484" w:rsidRPr="00EF4253">
        <w:t>menopauze</w:t>
      </w:r>
      <w:proofErr w:type="spellEnd"/>
      <w:r w:rsidR="001E3484" w:rsidRPr="00EF4253">
        <w:t xml:space="preserve"> </w:t>
      </w:r>
      <w:r w:rsidR="00647960" w:rsidRPr="00EF4253">
        <w:t>s </w:t>
      </w:r>
      <w:proofErr w:type="spellStart"/>
      <w:r w:rsidR="00647960" w:rsidRPr="00EF4253">
        <w:t>osteoporózou</w:t>
      </w:r>
      <w:proofErr w:type="spellEnd"/>
      <w:r w:rsidR="00647960" w:rsidRPr="00EF4253">
        <w:t xml:space="preserve">, </w:t>
      </w:r>
      <w:r w:rsidR="00C60A6E" w:rsidRPr="00EF4253">
        <w:t xml:space="preserve">boli </w:t>
      </w:r>
      <w:r w:rsidR="00647960" w:rsidRPr="00EF4253">
        <w:t xml:space="preserve">celková bezpečnosť a tolerančné profily </w:t>
      </w:r>
      <w:r w:rsidR="00C60A6E" w:rsidRPr="00EF4253">
        <w:t>podobné</w:t>
      </w:r>
      <w:r w:rsidR="00647960" w:rsidRPr="00EF4253">
        <w:t xml:space="preserve">. Boli hlásené </w:t>
      </w:r>
      <w:r w:rsidR="00E8769F" w:rsidRPr="00EF4253">
        <w:t>nasledujúce</w:t>
      </w:r>
      <w:r w:rsidR="00647960" w:rsidRPr="00EF4253">
        <w:t xml:space="preserve"> </w:t>
      </w:r>
      <w:r w:rsidR="00C60A6E" w:rsidRPr="00EF4253">
        <w:t xml:space="preserve">ďalšie </w:t>
      </w:r>
      <w:r w:rsidR="00E8769F" w:rsidRPr="00EF4253">
        <w:t>nežiaduce</w:t>
      </w:r>
      <w:r w:rsidR="00647960" w:rsidRPr="00EF4253">
        <w:t xml:space="preserve"> skúsenosti, ktoré sa podľa skúšajúcich dajú považovať za možno alebo </w:t>
      </w:r>
      <w:r w:rsidR="00E8769F" w:rsidRPr="00EF4253">
        <w:t>pravdepodobne</w:t>
      </w:r>
      <w:r w:rsidR="00647960" w:rsidRPr="00EF4253">
        <w:t xml:space="preserve"> súvisiace s liečivom (výskyt vyšší v skupine s</w:t>
      </w:r>
      <w:r w:rsidR="004D1C68" w:rsidRPr="00EF4253">
        <w:t> </w:t>
      </w:r>
      <w:proofErr w:type="spellStart"/>
      <w:r w:rsidR="00647960" w:rsidRPr="00EF4253">
        <w:t>rizedronátom</w:t>
      </w:r>
      <w:proofErr w:type="spellEnd"/>
      <w:r w:rsidR="00647960" w:rsidRPr="00EF4253">
        <w:t xml:space="preserve"> </w:t>
      </w:r>
      <w:r w:rsidR="001E3484" w:rsidRPr="00EF4253">
        <w:t>3</w:t>
      </w:r>
      <w:r w:rsidR="00647960" w:rsidRPr="00EF4253">
        <w:t>5</w:t>
      </w:r>
      <w:r w:rsidR="004D1C68" w:rsidRPr="00EF4253">
        <w:t> </w:t>
      </w:r>
      <w:r w:rsidR="00647960" w:rsidRPr="00EF4253">
        <w:t>mg ako v skupine s </w:t>
      </w:r>
      <w:proofErr w:type="spellStart"/>
      <w:r w:rsidR="00647960" w:rsidRPr="00EF4253">
        <w:t>nátriumrizedronátom</w:t>
      </w:r>
      <w:proofErr w:type="spellEnd"/>
      <w:r w:rsidR="00647960" w:rsidRPr="00EF4253">
        <w:t xml:space="preserve"> 5</w:t>
      </w:r>
      <w:r w:rsidR="009744CE" w:rsidRPr="00EF4253">
        <w:t> </w:t>
      </w:r>
      <w:r w:rsidR="00647960" w:rsidRPr="00EF4253">
        <w:t>mg)</w:t>
      </w:r>
      <w:r w:rsidR="001E3484" w:rsidRPr="00EF4253">
        <w:t>:</w:t>
      </w:r>
      <w:r w:rsidR="00647960" w:rsidRPr="00EF4253">
        <w:t xml:space="preserve"> </w:t>
      </w:r>
      <w:proofErr w:type="spellStart"/>
      <w:r w:rsidR="00647960" w:rsidRPr="00EF4253">
        <w:t>gastrointestinálne</w:t>
      </w:r>
      <w:proofErr w:type="spellEnd"/>
      <w:r w:rsidR="00647960" w:rsidRPr="00EF4253">
        <w:t xml:space="preserve"> poruchy (1,6</w:t>
      </w:r>
      <w:r w:rsidR="004D1C68" w:rsidRPr="00EF4253">
        <w:t> </w:t>
      </w:r>
      <w:r w:rsidR="00647960" w:rsidRPr="00EF4253">
        <w:t xml:space="preserve">% </w:t>
      </w:r>
      <w:proofErr w:type="spellStart"/>
      <w:r w:rsidR="00647960" w:rsidRPr="00EF4253">
        <w:t>vs</w:t>
      </w:r>
      <w:proofErr w:type="spellEnd"/>
      <w:r w:rsidR="00647960" w:rsidRPr="00EF4253">
        <w:t>. 1,0</w:t>
      </w:r>
      <w:r w:rsidR="004D1C68" w:rsidRPr="00EF4253">
        <w:t> </w:t>
      </w:r>
      <w:r w:rsidR="00647960" w:rsidRPr="00EF4253">
        <w:t>%) a</w:t>
      </w:r>
      <w:r w:rsidR="004D1C68" w:rsidRPr="00EF4253">
        <w:t> </w:t>
      </w:r>
      <w:r w:rsidR="00647960" w:rsidRPr="00EF4253">
        <w:t>boles</w:t>
      </w:r>
      <w:r w:rsidR="001E3484" w:rsidRPr="00EF4253">
        <w:t>ť</w:t>
      </w:r>
      <w:r w:rsidR="00647960" w:rsidRPr="00EF4253">
        <w:t xml:space="preserve"> (1,2</w:t>
      </w:r>
      <w:r w:rsidR="004D1C68" w:rsidRPr="00EF4253">
        <w:t> </w:t>
      </w:r>
      <w:r w:rsidR="00647960" w:rsidRPr="00EF4253">
        <w:t xml:space="preserve">% </w:t>
      </w:r>
      <w:proofErr w:type="spellStart"/>
      <w:r w:rsidR="00647960" w:rsidRPr="00EF4253">
        <w:t>vs</w:t>
      </w:r>
      <w:proofErr w:type="spellEnd"/>
      <w:r w:rsidR="00647960" w:rsidRPr="00EF4253">
        <w:t>. 0,8</w:t>
      </w:r>
      <w:r w:rsidR="004D1C68" w:rsidRPr="00EF4253">
        <w:t> </w:t>
      </w:r>
      <w:r w:rsidR="00647960" w:rsidRPr="00EF4253">
        <w:t>%).</w:t>
      </w:r>
    </w:p>
    <w:p w14:paraId="530A89B9" w14:textId="77777777" w:rsidR="0084711F" w:rsidRPr="00EF4253" w:rsidRDefault="0084711F" w:rsidP="00FC35F0">
      <w:pPr>
        <w:pStyle w:val="Normlndobloku"/>
        <w:spacing w:after="0"/>
      </w:pPr>
    </w:p>
    <w:p w14:paraId="5640A710" w14:textId="39F20C4A" w:rsidR="004159D4" w:rsidRPr="00EF4253" w:rsidRDefault="00FB4C4A" w:rsidP="00FC35F0">
      <w:pPr>
        <w:pStyle w:val="Normlndobloku"/>
        <w:spacing w:after="0"/>
      </w:pPr>
      <w:r w:rsidRPr="00EF4253">
        <w:t>V dvojročnej štúdii</w:t>
      </w:r>
      <w:r w:rsidR="00647960" w:rsidRPr="00EF4253">
        <w:t xml:space="preserve"> u mužov s </w:t>
      </w:r>
      <w:proofErr w:type="spellStart"/>
      <w:r w:rsidR="00647960" w:rsidRPr="00EF4253">
        <w:t>osteoporózou</w:t>
      </w:r>
      <w:proofErr w:type="spellEnd"/>
      <w:r w:rsidR="00647960" w:rsidRPr="00EF4253">
        <w:t xml:space="preserve"> </w:t>
      </w:r>
      <w:r w:rsidR="00C60A6E" w:rsidRPr="00EF4253">
        <w:t xml:space="preserve">boli </w:t>
      </w:r>
      <w:r w:rsidR="00647960" w:rsidRPr="00EF4253">
        <w:t>celková bezpečnosť a </w:t>
      </w:r>
      <w:r w:rsidRPr="00EF4253">
        <w:t>tolerančné</w:t>
      </w:r>
      <w:r w:rsidR="00647960" w:rsidRPr="00EF4253">
        <w:t xml:space="preserve"> </w:t>
      </w:r>
      <w:r w:rsidR="004159D4" w:rsidRPr="00EF4253">
        <w:t xml:space="preserve">profily </w:t>
      </w:r>
      <w:r w:rsidR="00B140D2" w:rsidRPr="00EF4253">
        <w:t>v</w:t>
      </w:r>
      <w:r w:rsidR="004D1C68" w:rsidRPr="00EF4253">
        <w:t> </w:t>
      </w:r>
      <w:r w:rsidRPr="00EF4253">
        <w:t>liečen</w:t>
      </w:r>
      <w:r w:rsidR="00B140D2" w:rsidRPr="00EF4253">
        <w:t>ej</w:t>
      </w:r>
      <w:r w:rsidR="004159D4" w:rsidRPr="00EF4253">
        <w:t xml:space="preserve"> skupin</w:t>
      </w:r>
      <w:r w:rsidR="00B140D2" w:rsidRPr="00EF4253">
        <w:t>e</w:t>
      </w:r>
      <w:r w:rsidR="004159D4" w:rsidRPr="00EF4253">
        <w:t xml:space="preserve"> a</w:t>
      </w:r>
      <w:r w:rsidR="00B140D2" w:rsidRPr="00EF4253">
        <w:t xml:space="preserve"> v skupine dostávajúcej </w:t>
      </w:r>
      <w:proofErr w:type="spellStart"/>
      <w:r w:rsidR="004159D4" w:rsidRPr="00EF4253">
        <w:t>placebo</w:t>
      </w:r>
      <w:proofErr w:type="spellEnd"/>
      <w:r w:rsidR="004159D4" w:rsidRPr="00EF4253">
        <w:t xml:space="preserve"> </w:t>
      </w:r>
      <w:r w:rsidR="00C60A6E" w:rsidRPr="00EF4253">
        <w:t>podobné</w:t>
      </w:r>
      <w:r w:rsidR="004159D4" w:rsidRPr="00EF4253">
        <w:t xml:space="preserve">. </w:t>
      </w:r>
      <w:r w:rsidRPr="00EF4253">
        <w:t>Nežiaduce</w:t>
      </w:r>
      <w:r w:rsidR="004159D4" w:rsidRPr="00EF4253">
        <w:t xml:space="preserve"> </w:t>
      </w:r>
      <w:r w:rsidR="00C60A6E" w:rsidRPr="00EF4253">
        <w:t xml:space="preserve">skúsenosti </w:t>
      </w:r>
      <w:r w:rsidR="004159D4" w:rsidRPr="00EF4253">
        <w:t>sa zhodovali s t</w:t>
      </w:r>
      <w:r w:rsidRPr="00EF4253">
        <w:t>ými</w:t>
      </w:r>
      <w:r w:rsidR="004159D4" w:rsidRPr="00EF4253">
        <w:t xml:space="preserve">, ktoré boli </w:t>
      </w:r>
      <w:r w:rsidR="003422DD" w:rsidRPr="00EF4253">
        <w:t xml:space="preserve">predtým </w:t>
      </w:r>
      <w:r w:rsidR="004159D4" w:rsidRPr="00EF4253">
        <w:t>pozorovan</w:t>
      </w:r>
      <w:r w:rsidRPr="00EF4253">
        <w:t>é</w:t>
      </w:r>
      <w:r w:rsidR="004159D4" w:rsidRPr="00EF4253">
        <w:t xml:space="preserve"> u žien.</w:t>
      </w:r>
    </w:p>
    <w:p w14:paraId="565255CC" w14:textId="77777777" w:rsidR="0084711F" w:rsidRPr="00EF4253" w:rsidRDefault="0084711F" w:rsidP="00FC35F0">
      <w:pPr>
        <w:pStyle w:val="Styl30"/>
        <w:spacing w:after="0"/>
        <w:rPr>
          <w:lang w:val="sk-SK"/>
        </w:rPr>
      </w:pPr>
    </w:p>
    <w:p w14:paraId="0955FAFD" w14:textId="15CE3366" w:rsidR="001A3A39" w:rsidRPr="00EF4253" w:rsidRDefault="00984153" w:rsidP="00FC35F0">
      <w:pPr>
        <w:pStyle w:val="Styl30"/>
        <w:spacing w:after="0"/>
        <w:rPr>
          <w:lang w:val="sk-SK"/>
        </w:rPr>
      </w:pPr>
      <w:r w:rsidRPr="00EF4253">
        <w:rPr>
          <w:lang w:val="sk-SK"/>
        </w:rPr>
        <w:t>Laboratórne nálezy</w:t>
      </w:r>
    </w:p>
    <w:p w14:paraId="428A7E26" w14:textId="7CDE5EAD" w:rsidR="00984153" w:rsidRPr="00EF4253" w:rsidRDefault="00BB6CF1" w:rsidP="00FC35F0">
      <w:pPr>
        <w:pStyle w:val="Normlndobloku"/>
        <w:spacing w:after="0"/>
      </w:pPr>
      <w:r w:rsidRPr="00EF4253">
        <w:t>U</w:t>
      </w:r>
      <w:r w:rsidR="004D1C68" w:rsidRPr="00EF4253">
        <w:t> </w:t>
      </w:r>
      <w:r w:rsidR="00984153" w:rsidRPr="00EF4253">
        <w:t xml:space="preserve">niektorých pacientov sa pozoroval skorý, prechodný, </w:t>
      </w:r>
      <w:proofErr w:type="spellStart"/>
      <w:r w:rsidR="00984153" w:rsidRPr="00EF4253">
        <w:t>asymptomatický</w:t>
      </w:r>
      <w:proofErr w:type="spellEnd"/>
      <w:r w:rsidR="00984153" w:rsidRPr="00EF4253">
        <w:t xml:space="preserve"> a</w:t>
      </w:r>
      <w:r w:rsidR="004D1C68" w:rsidRPr="00EF4253">
        <w:t> </w:t>
      </w:r>
      <w:r w:rsidR="00984153" w:rsidRPr="00EF4253">
        <w:t xml:space="preserve">mierny pokles </w:t>
      </w:r>
      <w:r w:rsidR="009C4209" w:rsidRPr="00EF4253">
        <w:t xml:space="preserve">hladiny </w:t>
      </w:r>
      <w:r w:rsidR="00984153" w:rsidRPr="00EF4253">
        <w:t>sérového vápnika a</w:t>
      </w:r>
      <w:r w:rsidR="004D1C68" w:rsidRPr="00EF4253">
        <w:t> </w:t>
      </w:r>
      <w:r w:rsidR="00984153" w:rsidRPr="00EF4253">
        <w:t>fosfátu.</w:t>
      </w:r>
    </w:p>
    <w:p w14:paraId="2FB259EA" w14:textId="77777777" w:rsidR="0084711F" w:rsidRPr="00EF4253" w:rsidRDefault="0084711F" w:rsidP="00FC35F0">
      <w:pPr>
        <w:pStyle w:val="Normlndobloku"/>
        <w:spacing w:after="0"/>
        <w:rPr>
          <w:b/>
        </w:rPr>
      </w:pPr>
    </w:p>
    <w:p w14:paraId="56164129" w14:textId="77777777" w:rsidR="00984153" w:rsidRPr="00FC35F0" w:rsidRDefault="00FB4C4A" w:rsidP="00FC35F0">
      <w:pPr>
        <w:pStyle w:val="Normlndobloku"/>
        <w:spacing w:after="0"/>
        <w:rPr>
          <w:b/>
        </w:rPr>
      </w:pPr>
      <w:r w:rsidRPr="00FC35F0">
        <w:rPr>
          <w:b/>
        </w:rPr>
        <w:t>Po uvedení lieku na trh sa dodatočne</w:t>
      </w:r>
      <w:r w:rsidR="00984153" w:rsidRPr="00FC35F0">
        <w:rPr>
          <w:b/>
        </w:rPr>
        <w:t xml:space="preserve"> zaznamenali nasledujúce nežiaduce účinky (neznáma frekvencia):</w:t>
      </w:r>
    </w:p>
    <w:p w14:paraId="59D599C2" w14:textId="77777777" w:rsidR="00FB5911" w:rsidRPr="00305E31" w:rsidRDefault="00FB5911" w:rsidP="00FC35F0">
      <w:pPr>
        <w:pStyle w:val="Styl30"/>
        <w:spacing w:after="0"/>
        <w:rPr>
          <w:lang w:val="sk-SK"/>
        </w:rPr>
      </w:pPr>
    </w:p>
    <w:p w14:paraId="2ECE9511" w14:textId="79E30602" w:rsidR="00B676B0" w:rsidRPr="00EF4253" w:rsidRDefault="00ED4ED2" w:rsidP="00FC35F0">
      <w:pPr>
        <w:pStyle w:val="Styl30"/>
        <w:spacing w:after="0"/>
        <w:rPr>
          <w:lang w:val="sk-SK"/>
        </w:rPr>
      </w:pPr>
      <w:r w:rsidRPr="00EF4253">
        <w:rPr>
          <w:lang w:val="sk-SK"/>
        </w:rPr>
        <w:t>Poruchy imunitného systému</w:t>
      </w:r>
    </w:p>
    <w:p w14:paraId="4639787B" w14:textId="77777777" w:rsidR="00B676B0" w:rsidRPr="00EF4253" w:rsidRDefault="00B676B0" w:rsidP="00FC35F0">
      <w:pPr>
        <w:pStyle w:val="Normlndobloku"/>
        <w:spacing w:after="0"/>
      </w:pPr>
      <w:proofErr w:type="spellStart"/>
      <w:r w:rsidRPr="00EF4253">
        <w:t>anafylaktická</w:t>
      </w:r>
      <w:proofErr w:type="spellEnd"/>
      <w:r w:rsidRPr="00EF4253">
        <w:t xml:space="preserve"> reakcia</w:t>
      </w:r>
    </w:p>
    <w:p w14:paraId="407168FD" w14:textId="77777777" w:rsidR="00FB5911" w:rsidRPr="00EF4253" w:rsidRDefault="00FB5911" w:rsidP="00FC35F0">
      <w:pPr>
        <w:pStyle w:val="Styl30"/>
        <w:spacing w:after="0"/>
        <w:rPr>
          <w:lang w:val="sk-SK"/>
        </w:rPr>
      </w:pPr>
    </w:p>
    <w:p w14:paraId="25CFCF37" w14:textId="77777777" w:rsidR="00984153" w:rsidRPr="00EF4253" w:rsidRDefault="00984153" w:rsidP="00FC35F0">
      <w:pPr>
        <w:pStyle w:val="Styl30"/>
        <w:spacing w:after="0"/>
        <w:rPr>
          <w:lang w:val="sk-SK"/>
        </w:rPr>
      </w:pPr>
      <w:r w:rsidRPr="00EF4253">
        <w:rPr>
          <w:lang w:val="sk-SK"/>
        </w:rPr>
        <w:t>Poruchy oka</w:t>
      </w:r>
    </w:p>
    <w:p w14:paraId="304D443A" w14:textId="77777777" w:rsidR="00984153" w:rsidRPr="00EF4253" w:rsidRDefault="00984153" w:rsidP="00FC35F0">
      <w:pPr>
        <w:pStyle w:val="Normlndobloku"/>
        <w:spacing w:after="0"/>
      </w:pPr>
      <w:proofErr w:type="spellStart"/>
      <w:r w:rsidRPr="00EF4253">
        <w:t>iritída</w:t>
      </w:r>
      <w:proofErr w:type="spellEnd"/>
      <w:r w:rsidRPr="00EF4253">
        <w:t xml:space="preserve">, </w:t>
      </w:r>
      <w:proofErr w:type="spellStart"/>
      <w:r w:rsidRPr="00EF4253">
        <w:t>uveitída</w:t>
      </w:r>
      <w:proofErr w:type="spellEnd"/>
    </w:p>
    <w:p w14:paraId="1F3F3758" w14:textId="1EA08956" w:rsidR="00984153" w:rsidRPr="00EF4253" w:rsidRDefault="00984153" w:rsidP="00FC35F0">
      <w:pPr>
        <w:pStyle w:val="Styl30"/>
        <w:spacing w:after="0"/>
        <w:rPr>
          <w:lang w:val="sk-SK"/>
        </w:rPr>
      </w:pPr>
      <w:r w:rsidRPr="00EF4253">
        <w:rPr>
          <w:lang w:val="sk-SK"/>
        </w:rPr>
        <w:t>Poruchy kože a podkožného tkaniva</w:t>
      </w:r>
    </w:p>
    <w:p w14:paraId="573AEF61" w14:textId="1771F3DC" w:rsidR="00984153" w:rsidRPr="00EF4253" w:rsidRDefault="00984153" w:rsidP="00FC35F0">
      <w:pPr>
        <w:pStyle w:val="Normlndobloku"/>
        <w:spacing w:after="0"/>
      </w:pPr>
      <w:proofErr w:type="spellStart"/>
      <w:r w:rsidRPr="00EF4253">
        <w:t>hypersenzitivita</w:t>
      </w:r>
      <w:proofErr w:type="spellEnd"/>
      <w:r w:rsidRPr="00EF4253">
        <w:t xml:space="preserve"> a kožné reakcie vrátane </w:t>
      </w:r>
      <w:proofErr w:type="spellStart"/>
      <w:r w:rsidRPr="00EF4253">
        <w:t>angioedému</w:t>
      </w:r>
      <w:proofErr w:type="spellEnd"/>
      <w:r w:rsidRPr="00EF4253">
        <w:t>, generalizovanej vyrážky, žihľavky a </w:t>
      </w:r>
      <w:proofErr w:type="spellStart"/>
      <w:r w:rsidRPr="00EF4253">
        <w:t>bulóznych</w:t>
      </w:r>
      <w:proofErr w:type="spellEnd"/>
      <w:r w:rsidRPr="00EF4253">
        <w:t xml:space="preserve"> kožných reakcií,</w:t>
      </w:r>
      <w:r w:rsidR="00E25655" w:rsidRPr="00EF4253">
        <w:t xml:space="preserve"> a </w:t>
      </w:r>
      <w:proofErr w:type="spellStart"/>
      <w:r w:rsidR="00E25655" w:rsidRPr="00EF4253">
        <w:t>leukocytoklastickej</w:t>
      </w:r>
      <w:proofErr w:type="spellEnd"/>
      <w:r w:rsidR="00E25655" w:rsidRPr="00EF4253">
        <w:t xml:space="preserve"> </w:t>
      </w:r>
      <w:proofErr w:type="spellStart"/>
      <w:r w:rsidR="00E25655" w:rsidRPr="00EF4253">
        <w:t>vaskulitídy</w:t>
      </w:r>
      <w:proofErr w:type="spellEnd"/>
      <w:r w:rsidR="00E25655" w:rsidRPr="00EF4253">
        <w:t>,</w:t>
      </w:r>
      <w:r w:rsidRPr="00EF4253">
        <w:t xml:space="preserve"> niekedy </w:t>
      </w:r>
      <w:r w:rsidR="00E25655" w:rsidRPr="00EF4253">
        <w:t xml:space="preserve">závažné </w:t>
      </w:r>
      <w:r w:rsidRPr="00EF4253">
        <w:t xml:space="preserve">vrátane jednotlivých hlásení výskytu </w:t>
      </w:r>
      <w:proofErr w:type="spellStart"/>
      <w:r w:rsidRPr="00EF4253">
        <w:t>Stevensovho-Johnsonovho</w:t>
      </w:r>
      <w:proofErr w:type="spellEnd"/>
      <w:r w:rsidR="009744CE" w:rsidRPr="00EF4253">
        <w:t xml:space="preserve"> </w:t>
      </w:r>
      <w:r w:rsidRPr="00EF4253">
        <w:t>syndrómu</w:t>
      </w:r>
      <w:r w:rsidR="00E25655" w:rsidRPr="00EF4253">
        <w:t xml:space="preserve"> a</w:t>
      </w:r>
      <w:r w:rsidRPr="00EF4253">
        <w:t xml:space="preserve"> toxickej </w:t>
      </w:r>
      <w:proofErr w:type="spellStart"/>
      <w:r w:rsidRPr="00EF4253">
        <w:t>epidermálnej</w:t>
      </w:r>
      <w:proofErr w:type="spellEnd"/>
      <w:r w:rsidRPr="00EF4253">
        <w:t xml:space="preserve"> </w:t>
      </w:r>
      <w:proofErr w:type="spellStart"/>
      <w:r w:rsidRPr="00EF4253">
        <w:t>nekrolýzy</w:t>
      </w:r>
      <w:proofErr w:type="spellEnd"/>
      <w:r w:rsidR="00F04E85" w:rsidRPr="00EF4253">
        <w:t xml:space="preserve">, </w:t>
      </w:r>
      <w:r w:rsidRPr="00EF4253">
        <w:t>vypadávanie vlasov.</w:t>
      </w:r>
    </w:p>
    <w:p w14:paraId="63B561AF" w14:textId="77777777" w:rsidR="00FB5911" w:rsidRPr="00EF4253" w:rsidRDefault="00FB5911" w:rsidP="00FC35F0">
      <w:pPr>
        <w:pStyle w:val="Styl30"/>
        <w:spacing w:after="0"/>
        <w:rPr>
          <w:lang w:val="sk-SK"/>
        </w:rPr>
      </w:pPr>
    </w:p>
    <w:p w14:paraId="0AFE2FDD" w14:textId="09A4F207" w:rsidR="00B676B0" w:rsidRPr="00FC35F0" w:rsidRDefault="004D1C68" w:rsidP="00FC35F0">
      <w:pPr>
        <w:pStyle w:val="Styl30"/>
        <w:spacing w:after="0"/>
        <w:rPr>
          <w:rStyle w:val="NormlndoblokuChar"/>
        </w:rPr>
      </w:pPr>
      <w:r w:rsidRPr="00EF4253">
        <w:rPr>
          <w:lang w:val="sk-SK"/>
        </w:rPr>
        <w:t>Poruchy kostrovej a svalovej sústavy a </w:t>
      </w:r>
      <w:r w:rsidR="00B676B0" w:rsidRPr="00EF4253">
        <w:rPr>
          <w:lang w:val="sk-SK"/>
        </w:rPr>
        <w:t>spojivového tkaniva</w:t>
      </w:r>
    </w:p>
    <w:p w14:paraId="547ED9AC" w14:textId="77777777" w:rsidR="00B676B0" w:rsidRPr="00305E31" w:rsidRDefault="00B676B0" w:rsidP="00FC35F0">
      <w:pPr>
        <w:pStyle w:val="Normlndobloku"/>
        <w:spacing w:after="0"/>
      </w:pPr>
      <w:proofErr w:type="spellStart"/>
      <w:r w:rsidRPr="00305E31">
        <w:t>osteonekróza</w:t>
      </w:r>
      <w:proofErr w:type="spellEnd"/>
      <w:r w:rsidRPr="00305E31">
        <w:t xml:space="preserve"> čeľuste</w:t>
      </w:r>
    </w:p>
    <w:p w14:paraId="217171A7" w14:textId="655A1694" w:rsidR="009C4209" w:rsidRPr="00EF4253" w:rsidRDefault="009C4209" w:rsidP="00FC35F0">
      <w:pPr>
        <w:pStyle w:val="Normlndobloku"/>
        <w:spacing w:after="0"/>
      </w:pPr>
      <w:r w:rsidRPr="00EF4253">
        <w:t xml:space="preserve">Veľmi zriedkavé: </w:t>
      </w:r>
      <w:proofErr w:type="spellStart"/>
      <w:r w:rsidRPr="00EF4253">
        <w:t>osteonekróza</w:t>
      </w:r>
      <w:proofErr w:type="spellEnd"/>
      <w:r w:rsidRPr="00EF4253">
        <w:t xml:space="preserve"> vonkajšieho zvukovodu (nežiaduc</w:t>
      </w:r>
      <w:r w:rsidR="00365BD0" w:rsidRPr="00EF4253">
        <w:t>a</w:t>
      </w:r>
      <w:r w:rsidRPr="00EF4253">
        <w:t xml:space="preserve"> </w:t>
      </w:r>
      <w:r w:rsidR="00365BD0" w:rsidRPr="00EF4253">
        <w:t>reakcia triedy</w:t>
      </w:r>
      <w:r w:rsidRPr="00EF4253">
        <w:t xml:space="preserve"> </w:t>
      </w:r>
      <w:proofErr w:type="spellStart"/>
      <w:r w:rsidRPr="00EF4253">
        <w:t>bisfosfonátov</w:t>
      </w:r>
      <w:proofErr w:type="spellEnd"/>
      <w:r w:rsidRPr="00EF4253">
        <w:t>)</w:t>
      </w:r>
    </w:p>
    <w:p w14:paraId="1821E92A" w14:textId="77777777" w:rsidR="00984153" w:rsidRPr="00FC35F0" w:rsidRDefault="00984153" w:rsidP="00FC35F0">
      <w:pPr>
        <w:pStyle w:val="Styl30"/>
        <w:spacing w:after="0"/>
        <w:rPr>
          <w:lang w:val="sk-SK"/>
        </w:rPr>
      </w:pPr>
    </w:p>
    <w:p w14:paraId="67FAAD66" w14:textId="4C210920" w:rsidR="00984153" w:rsidRPr="00EF4253" w:rsidRDefault="00984153" w:rsidP="00FC35F0">
      <w:pPr>
        <w:pStyle w:val="Styl30"/>
        <w:spacing w:after="0"/>
        <w:rPr>
          <w:lang w:val="sk-SK"/>
        </w:rPr>
      </w:pPr>
      <w:r w:rsidRPr="00305E31">
        <w:rPr>
          <w:lang w:val="sk-SK"/>
        </w:rPr>
        <w:t>Poruchy</w:t>
      </w:r>
      <w:r w:rsidR="001A3A39" w:rsidRPr="00305E31">
        <w:rPr>
          <w:lang w:val="sk-SK"/>
        </w:rPr>
        <w:t xml:space="preserve"> </w:t>
      </w:r>
      <w:r w:rsidRPr="00305E31">
        <w:rPr>
          <w:lang w:val="sk-SK"/>
        </w:rPr>
        <w:t>pečene a žlčových ciest</w:t>
      </w:r>
    </w:p>
    <w:p w14:paraId="16DB044A" w14:textId="77777777" w:rsidR="00984153" w:rsidRPr="00EF4253" w:rsidRDefault="00984153" w:rsidP="00FC35F0">
      <w:pPr>
        <w:pStyle w:val="Normlndobloku"/>
        <w:spacing w:after="0"/>
      </w:pPr>
      <w:r w:rsidRPr="00EF4253">
        <w:t>ťažké ochorenia pečene. Vo väčšine hlásených prípadov boli pacienti liečení aj inými liekmi, o ktorých je známe, že spôsobujú ochorenia pečene.</w:t>
      </w:r>
    </w:p>
    <w:p w14:paraId="68302193" w14:textId="77777777" w:rsidR="0084711F" w:rsidRPr="00EF4253" w:rsidRDefault="0084711F" w:rsidP="00FC35F0">
      <w:pPr>
        <w:pStyle w:val="Normlndobloku"/>
        <w:spacing w:after="0"/>
        <w:rPr>
          <w:b/>
        </w:rPr>
      </w:pPr>
    </w:p>
    <w:p w14:paraId="6B404360" w14:textId="2A67F6E7" w:rsidR="009C4209" w:rsidRPr="00EF4253" w:rsidRDefault="009C4209" w:rsidP="00FC35F0">
      <w:pPr>
        <w:pStyle w:val="Normlndobloku"/>
        <w:spacing w:after="0"/>
        <w:rPr>
          <w:b/>
        </w:rPr>
      </w:pPr>
      <w:r w:rsidRPr="00EF4253">
        <w:rPr>
          <w:b/>
        </w:rPr>
        <w:t>Po uvedení lieku na trh boli hlásené nasledujúce nežiaduce účinky</w:t>
      </w:r>
      <w:r w:rsidR="00252F18" w:rsidRPr="00EF4253">
        <w:rPr>
          <w:b/>
        </w:rPr>
        <w:t xml:space="preserve"> (frekvencia</w:t>
      </w:r>
      <w:r w:rsidR="00FB5911" w:rsidRPr="00EF4253">
        <w:rPr>
          <w:b/>
        </w:rPr>
        <w:t>:</w:t>
      </w:r>
      <w:r w:rsidR="007E618D" w:rsidRPr="00EF4253">
        <w:rPr>
          <w:b/>
        </w:rPr>
        <w:t xml:space="preserve"> </w:t>
      </w:r>
      <w:r w:rsidR="00FB5911" w:rsidRPr="00EF4253">
        <w:rPr>
          <w:b/>
        </w:rPr>
        <w:t>zriedkavé</w:t>
      </w:r>
      <w:r w:rsidR="00252F18" w:rsidRPr="00EF4253">
        <w:rPr>
          <w:b/>
        </w:rPr>
        <w:t>):</w:t>
      </w:r>
    </w:p>
    <w:p w14:paraId="1B65B86E" w14:textId="50F2C9A8" w:rsidR="009C4209" w:rsidRPr="00EF4253" w:rsidRDefault="00252F18" w:rsidP="00FC35F0">
      <w:pPr>
        <w:pStyle w:val="Normlndobloku"/>
        <w:spacing w:after="0"/>
      </w:pPr>
      <w:r w:rsidRPr="00EF4253">
        <w:t>A</w:t>
      </w:r>
      <w:r w:rsidR="009C4209" w:rsidRPr="00EF4253">
        <w:t xml:space="preserve">typické </w:t>
      </w:r>
      <w:proofErr w:type="spellStart"/>
      <w:r w:rsidR="009C4209" w:rsidRPr="00EF4253">
        <w:t>subtrochanterické</w:t>
      </w:r>
      <w:proofErr w:type="spellEnd"/>
      <w:r w:rsidR="009C4209" w:rsidRPr="00EF4253">
        <w:t xml:space="preserve"> a</w:t>
      </w:r>
      <w:r w:rsidR="00C12B5A" w:rsidRPr="00EF4253">
        <w:t xml:space="preserve"> </w:t>
      </w:r>
      <w:proofErr w:type="spellStart"/>
      <w:r w:rsidR="009C4209" w:rsidRPr="00EF4253">
        <w:t>diafyzárne</w:t>
      </w:r>
      <w:proofErr w:type="spellEnd"/>
      <w:r w:rsidR="009C4209" w:rsidRPr="00EF4253">
        <w:t xml:space="preserve"> zlomeniny stehennej kosti (nežiaduca reakcia </w:t>
      </w:r>
      <w:r w:rsidR="00C12B5A" w:rsidRPr="00EF4253">
        <w:t>triedy</w:t>
      </w:r>
      <w:r w:rsidR="009C4209" w:rsidRPr="00EF4253">
        <w:t xml:space="preserve"> </w:t>
      </w:r>
      <w:proofErr w:type="spellStart"/>
      <w:r w:rsidR="009C4209" w:rsidRPr="00EF4253">
        <w:t>bisfosfonát</w:t>
      </w:r>
      <w:r w:rsidR="00C12B5A" w:rsidRPr="00EF4253">
        <w:t>ov</w:t>
      </w:r>
      <w:proofErr w:type="spellEnd"/>
      <w:r w:rsidR="009C4209" w:rsidRPr="00EF4253">
        <w:t xml:space="preserve">). </w:t>
      </w:r>
    </w:p>
    <w:p w14:paraId="79E23541" w14:textId="77777777" w:rsidR="00FB5911" w:rsidRPr="00FC35F0" w:rsidRDefault="00FB5911" w:rsidP="00FC35F0">
      <w:pPr>
        <w:pStyle w:val="Styl30"/>
        <w:spacing w:after="0"/>
        <w:rPr>
          <w:lang w:val="sk-SK"/>
        </w:rPr>
      </w:pPr>
    </w:p>
    <w:p w14:paraId="286125DC" w14:textId="77777777" w:rsidR="00D27D55" w:rsidRPr="00FC35F0" w:rsidRDefault="00D27D55" w:rsidP="00FC35F0">
      <w:pPr>
        <w:pStyle w:val="Styl30"/>
        <w:spacing w:after="0"/>
        <w:rPr>
          <w:lang w:val="sk-SK"/>
        </w:rPr>
      </w:pPr>
      <w:r w:rsidRPr="00FC35F0">
        <w:rPr>
          <w:lang w:val="sk-SK"/>
        </w:rPr>
        <w:t>Hlásenie podozrení na nežiaduce reakcie</w:t>
      </w:r>
    </w:p>
    <w:p w14:paraId="31F630DB" w14:textId="77777777" w:rsidR="00D27D55" w:rsidRPr="00305E31" w:rsidRDefault="00D27D55" w:rsidP="00FC35F0">
      <w:pPr>
        <w:pStyle w:val="Normlndobloku"/>
        <w:spacing w:after="0"/>
      </w:pPr>
      <w:r w:rsidRPr="00305E31">
        <w:t>Hlásenie podozrení na nežiaduce reakcie po registrácii lieku je dôležité. Umožňuje priebežné monitorovanie pomeru prínosu a rizika lieku. Od zdravotníckych pracovníkov sa vyžaduje, aby hlásili akékoľvek podozrenia na ne</w:t>
      </w:r>
      <w:r w:rsidR="004D1C68" w:rsidRPr="00305E31">
        <w:t xml:space="preserve">žiaduce reakcie na </w:t>
      </w:r>
      <w:r w:rsidR="004D1C68" w:rsidRPr="00453536">
        <w:rPr>
          <w:highlight w:val="lightGray"/>
        </w:rPr>
        <w:t>národné centrum</w:t>
      </w:r>
      <w:r w:rsidR="004D1C68" w:rsidRPr="00EF4253">
        <w:rPr>
          <w:highlight w:val="lightGray"/>
        </w:rPr>
        <w:t xml:space="preserve"> hlásenia uvedené</w:t>
      </w:r>
      <w:r w:rsidRPr="00EF4253">
        <w:rPr>
          <w:highlight w:val="lightGray"/>
        </w:rPr>
        <w:t xml:space="preserve"> v </w:t>
      </w:r>
      <w:hyperlink r:id="rId8" w:history="1">
        <w:r w:rsidRPr="00305E31">
          <w:rPr>
            <w:rStyle w:val="Hypertextovprepojenie"/>
            <w:highlight w:val="lightGray"/>
          </w:rPr>
          <w:t>Prílohe V</w:t>
        </w:r>
      </w:hyperlink>
      <w:r w:rsidRPr="00305E31">
        <w:t>.</w:t>
      </w:r>
    </w:p>
    <w:p w14:paraId="1984EDC1" w14:textId="77777777" w:rsidR="0084711F" w:rsidRPr="00EF4253" w:rsidRDefault="0084711F" w:rsidP="00FC35F0">
      <w:pPr>
        <w:pStyle w:val="Normlndobloku"/>
        <w:spacing w:after="0"/>
      </w:pPr>
    </w:p>
    <w:p w14:paraId="4CBD036C" w14:textId="77777777" w:rsidR="00513C0F" w:rsidRPr="00EF4253" w:rsidRDefault="00183E0E" w:rsidP="00FC35F0">
      <w:pPr>
        <w:pStyle w:val="Styl2"/>
        <w:spacing w:before="0" w:after="0"/>
        <w:rPr>
          <w:lang w:val="sk-SK"/>
        </w:rPr>
      </w:pPr>
      <w:r w:rsidRPr="00EF4253">
        <w:rPr>
          <w:lang w:val="sk-SK"/>
        </w:rPr>
        <w:t>Predávkovanie</w:t>
      </w:r>
    </w:p>
    <w:p w14:paraId="1BA1C76D" w14:textId="77777777" w:rsidR="0084711F" w:rsidRPr="00EF4253" w:rsidRDefault="0084711F" w:rsidP="00FC35F0">
      <w:pPr>
        <w:pStyle w:val="Normlndobloku"/>
        <w:spacing w:after="0"/>
      </w:pPr>
    </w:p>
    <w:p w14:paraId="0A39131D" w14:textId="0D2F21FA" w:rsidR="00984153" w:rsidRPr="00EF4253" w:rsidRDefault="00984153" w:rsidP="00FC35F0">
      <w:pPr>
        <w:pStyle w:val="Normlndobloku"/>
        <w:spacing w:after="0"/>
      </w:pPr>
      <w:r w:rsidRPr="00EF4253">
        <w:t>O</w:t>
      </w:r>
      <w:r w:rsidR="00CA0B01" w:rsidRPr="00EF4253">
        <w:t> </w:t>
      </w:r>
      <w:r w:rsidRPr="00EF4253">
        <w:t xml:space="preserve">liečbe predávkovania </w:t>
      </w:r>
      <w:proofErr w:type="spellStart"/>
      <w:r w:rsidR="00FB4C4A" w:rsidRPr="00EF4253">
        <w:t>nátriumrizedronátom</w:t>
      </w:r>
      <w:proofErr w:type="spellEnd"/>
      <w:r w:rsidRPr="00EF4253">
        <w:t xml:space="preserve"> nie sú dostupné žiadne špecifické informácie.</w:t>
      </w:r>
    </w:p>
    <w:p w14:paraId="5BFD7A6E" w14:textId="77777777" w:rsidR="00C12B5A" w:rsidRPr="00EF4253" w:rsidRDefault="00C12B5A" w:rsidP="00FC35F0">
      <w:pPr>
        <w:pStyle w:val="Normlndobloku"/>
        <w:spacing w:after="0"/>
      </w:pPr>
    </w:p>
    <w:p w14:paraId="4A9F00F2" w14:textId="3D0ACFDB" w:rsidR="00984153" w:rsidRPr="00EF4253" w:rsidRDefault="00984153" w:rsidP="00FC35F0">
      <w:pPr>
        <w:pStyle w:val="Normlndobloku"/>
        <w:spacing w:after="0"/>
      </w:pPr>
      <w:r w:rsidRPr="00EF4253">
        <w:t xml:space="preserve">Po </w:t>
      </w:r>
      <w:r w:rsidR="00130D20" w:rsidRPr="00EF4253">
        <w:t xml:space="preserve">značnom </w:t>
      </w:r>
      <w:r w:rsidRPr="00EF4253">
        <w:t>predávkovaní možno očakávať pokles vápnika v</w:t>
      </w:r>
      <w:r w:rsidR="00825921" w:rsidRPr="00EF4253">
        <w:t> </w:t>
      </w:r>
      <w:r w:rsidRPr="00EF4253">
        <w:t>sére. U</w:t>
      </w:r>
      <w:r w:rsidR="00CA0B01" w:rsidRPr="00EF4253">
        <w:t> </w:t>
      </w:r>
      <w:r w:rsidRPr="00EF4253">
        <w:t xml:space="preserve">niektorých týchto pacientov sa taktiež môžu prejaviť </w:t>
      </w:r>
      <w:r w:rsidR="00C12B5A" w:rsidRPr="00EF4253">
        <w:t xml:space="preserve">prejavy </w:t>
      </w:r>
      <w:r w:rsidRPr="00EF4253">
        <w:t>a</w:t>
      </w:r>
      <w:r w:rsidR="00CA0B01" w:rsidRPr="00EF4253">
        <w:t> </w:t>
      </w:r>
      <w:r w:rsidRPr="00EF4253">
        <w:t xml:space="preserve">príznaky </w:t>
      </w:r>
      <w:proofErr w:type="spellStart"/>
      <w:r w:rsidRPr="00EF4253">
        <w:t>hypokalciémie</w:t>
      </w:r>
      <w:proofErr w:type="spellEnd"/>
      <w:r w:rsidRPr="00EF4253">
        <w:t>.</w:t>
      </w:r>
    </w:p>
    <w:p w14:paraId="103A3C98" w14:textId="77777777" w:rsidR="00C12B5A" w:rsidRPr="00EF4253" w:rsidRDefault="00C12B5A" w:rsidP="00FC35F0">
      <w:pPr>
        <w:pStyle w:val="Normlndobloku"/>
        <w:spacing w:after="0"/>
      </w:pPr>
    </w:p>
    <w:p w14:paraId="50F433B5" w14:textId="19063C04" w:rsidR="00984153" w:rsidRPr="00EF4253" w:rsidRDefault="00984153" w:rsidP="00FC35F0">
      <w:pPr>
        <w:pStyle w:val="Normlndobloku"/>
        <w:spacing w:after="0"/>
      </w:pPr>
      <w:r w:rsidRPr="00EF4253">
        <w:t xml:space="preserve">Na naviazanie </w:t>
      </w:r>
      <w:proofErr w:type="spellStart"/>
      <w:r w:rsidRPr="00EF4253">
        <w:t>rizedronátu</w:t>
      </w:r>
      <w:proofErr w:type="spellEnd"/>
      <w:r w:rsidRPr="00EF4253">
        <w:t xml:space="preserve"> a</w:t>
      </w:r>
      <w:r w:rsidR="00CA0B01" w:rsidRPr="00EF4253">
        <w:t> </w:t>
      </w:r>
      <w:r w:rsidRPr="00EF4253">
        <w:t xml:space="preserve">zníženie absorpcie </w:t>
      </w:r>
      <w:proofErr w:type="spellStart"/>
      <w:r w:rsidR="00FB4C4A" w:rsidRPr="00EF4253">
        <w:t>nátriumrizedronátu</w:t>
      </w:r>
      <w:proofErr w:type="spellEnd"/>
      <w:r w:rsidRPr="00EF4253">
        <w:t xml:space="preserve"> sa má podávať mlieko alebo </w:t>
      </w:r>
      <w:proofErr w:type="spellStart"/>
      <w:r w:rsidRPr="00EF4253">
        <w:t>antacidá</w:t>
      </w:r>
      <w:proofErr w:type="spellEnd"/>
      <w:r w:rsidRPr="00EF4253">
        <w:t xml:space="preserve"> obsahujúce horčík, vápnik alebo hliník. Pri </w:t>
      </w:r>
      <w:r w:rsidR="00130D20" w:rsidRPr="00EF4253">
        <w:t xml:space="preserve">značnom </w:t>
      </w:r>
      <w:r w:rsidRPr="00EF4253">
        <w:t xml:space="preserve">predávkovaní možno zvážiť výplach žalúdka na odstránenie neabsorbovaného </w:t>
      </w:r>
      <w:proofErr w:type="spellStart"/>
      <w:r w:rsidR="00FB4C4A" w:rsidRPr="00EF4253">
        <w:t>nátriumrizedronátu</w:t>
      </w:r>
      <w:proofErr w:type="spellEnd"/>
      <w:r w:rsidRPr="00EF4253">
        <w:t>.</w:t>
      </w:r>
    </w:p>
    <w:p w14:paraId="286C70EC" w14:textId="77777777" w:rsidR="0084711F" w:rsidRPr="00EF4253" w:rsidRDefault="0084711F" w:rsidP="00FC35F0">
      <w:pPr>
        <w:pStyle w:val="Normlndobloku"/>
        <w:spacing w:after="0"/>
      </w:pPr>
    </w:p>
    <w:p w14:paraId="025C7C5A" w14:textId="77777777" w:rsidR="0084711F" w:rsidRPr="00EF4253" w:rsidRDefault="0084711F" w:rsidP="00FC35F0">
      <w:pPr>
        <w:pStyle w:val="Normlndobloku"/>
        <w:spacing w:after="0"/>
      </w:pPr>
    </w:p>
    <w:p w14:paraId="437080E5" w14:textId="77777777" w:rsidR="00513C0F" w:rsidRPr="00EF4253" w:rsidRDefault="00183E0E" w:rsidP="00FC35F0">
      <w:pPr>
        <w:pStyle w:val="Styl1"/>
        <w:spacing w:before="0" w:after="0"/>
        <w:rPr>
          <w:lang w:val="sk-SK"/>
        </w:rPr>
      </w:pPr>
      <w:r w:rsidRPr="00EF4253">
        <w:rPr>
          <w:lang w:val="sk-SK"/>
        </w:rPr>
        <w:t>FARMAKOLOGICKÉ VLASTNOSTI</w:t>
      </w:r>
    </w:p>
    <w:p w14:paraId="6334DCC8" w14:textId="77777777" w:rsidR="0084711F" w:rsidRPr="00EF4253" w:rsidRDefault="0084711F" w:rsidP="00FC35F0">
      <w:pPr>
        <w:pStyle w:val="Styl1"/>
        <w:numPr>
          <w:ilvl w:val="0"/>
          <w:numId w:val="0"/>
        </w:numPr>
        <w:spacing w:before="0" w:after="0"/>
        <w:ind w:left="360"/>
        <w:rPr>
          <w:lang w:val="sk-SK"/>
        </w:rPr>
      </w:pPr>
    </w:p>
    <w:p w14:paraId="4E0D985F" w14:textId="77777777" w:rsidR="00513C0F" w:rsidRPr="00EF4253" w:rsidRDefault="00183E0E" w:rsidP="00FC35F0">
      <w:pPr>
        <w:pStyle w:val="Styl2"/>
        <w:spacing w:before="0" w:after="0"/>
        <w:rPr>
          <w:lang w:val="sk-SK"/>
        </w:rPr>
      </w:pPr>
      <w:proofErr w:type="spellStart"/>
      <w:r w:rsidRPr="00EF4253">
        <w:rPr>
          <w:lang w:val="sk-SK"/>
        </w:rPr>
        <w:t>Farmakodynamické</w:t>
      </w:r>
      <w:proofErr w:type="spellEnd"/>
      <w:r w:rsidRPr="00EF4253">
        <w:rPr>
          <w:lang w:val="sk-SK"/>
        </w:rPr>
        <w:t xml:space="preserve"> vlastnosti</w:t>
      </w:r>
    </w:p>
    <w:p w14:paraId="7E06D6B2" w14:textId="77777777" w:rsidR="0084711F" w:rsidRPr="00EF4253" w:rsidRDefault="0084711F" w:rsidP="00FC35F0">
      <w:pPr>
        <w:pStyle w:val="Normlndobloku"/>
        <w:spacing w:after="0"/>
      </w:pPr>
    </w:p>
    <w:p w14:paraId="7A9B63C7" w14:textId="1F393208" w:rsidR="00984153" w:rsidRPr="00EF4253" w:rsidRDefault="00984153" w:rsidP="00FC35F0">
      <w:pPr>
        <w:pStyle w:val="Normlndobloku"/>
        <w:spacing w:after="0"/>
      </w:pPr>
      <w:proofErr w:type="spellStart"/>
      <w:r w:rsidRPr="00EF4253">
        <w:t>Farmakoterapeutická</w:t>
      </w:r>
      <w:proofErr w:type="spellEnd"/>
      <w:r w:rsidRPr="00EF4253">
        <w:t xml:space="preserve"> skupina: </w:t>
      </w:r>
      <w:r w:rsidR="00C12B5A" w:rsidRPr="00EF4253">
        <w:t xml:space="preserve">Liečivá na liečbu ochorení kostí. </w:t>
      </w:r>
      <w:proofErr w:type="spellStart"/>
      <w:r w:rsidR="00825921" w:rsidRPr="00EF4253">
        <w:t>B</w:t>
      </w:r>
      <w:r w:rsidRPr="00EF4253">
        <w:t>isfosfonáty</w:t>
      </w:r>
      <w:proofErr w:type="spellEnd"/>
    </w:p>
    <w:p w14:paraId="364FBF62" w14:textId="704128CE" w:rsidR="00984153" w:rsidRPr="00EF4253" w:rsidRDefault="00984153" w:rsidP="00FC35F0">
      <w:pPr>
        <w:pStyle w:val="Normlndobloku"/>
        <w:spacing w:after="0"/>
      </w:pPr>
      <w:r w:rsidRPr="00EF4253">
        <w:t>ATC kód: M05BA07.</w:t>
      </w:r>
    </w:p>
    <w:p w14:paraId="67675609" w14:textId="77777777" w:rsidR="0084711F" w:rsidRPr="00EF4253" w:rsidRDefault="0084711F" w:rsidP="00FC35F0">
      <w:pPr>
        <w:pStyle w:val="Normlndobloku"/>
        <w:spacing w:after="0"/>
      </w:pPr>
    </w:p>
    <w:p w14:paraId="2C6DD045" w14:textId="45C8CC42" w:rsidR="00984153" w:rsidRPr="00EF4253" w:rsidRDefault="002F7115" w:rsidP="00FC35F0">
      <w:pPr>
        <w:pStyle w:val="Normlndobloku"/>
        <w:spacing w:after="0"/>
      </w:pPr>
      <w:proofErr w:type="spellStart"/>
      <w:r w:rsidRPr="00EF4253">
        <w:t>Nátriumrizedronát</w:t>
      </w:r>
      <w:proofErr w:type="spellEnd"/>
      <w:r w:rsidR="00984153" w:rsidRPr="00EF4253">
        <w:t xml:space="preserve"> je </w:t>
      </w:r>
      <w:proofErr w:type="spellStart"/>
      <w:r w:rsidR="00984153" w:rsidRPr="00EF4253">
        <w:t>pyridinylbisfosfonát</w:t>
      </w:r>
      <w:proofErr w:type="spellEnd"/>
      <w:r w:rsidR="00984153" w:rsidRPr="00EF4253">
        <w:t xml:space="preserve">, ktorý sa viaže na kostný </w:t>
      </w:r>
      <w:proofErr w:type="spellStart"/>
      <w:r w:rsidR="00984153" w:rsidRPr="00EF4253">
        <w:t>hydroxyapatit</w:t>
      </w:r>
      <w:proofErr w:type="spellEnd"/>
      <w:r w:rsidR="00984153" w:rsidRPr="00EF4253">
        <w:t xml:space="preserve"> a</w:t>
      </w:r>
      <w:r w:rsidR="00CA0B01" w:rsidRPr="00EF4253">
        <w:t> </w:t>
      </w:r>
      <w:proofErr w:type="spellStart"/>
      <w:r w:rsidR="00984153" w:rsidRPr="00EF4253">
        <w:t>inhibuje</w:t>
      </w:r>
      <w:proofErr w:type="spellEnd"/>
      <w:r w:rsidR="00984153" w:rsidRPr="00EF4253">
        <w:t xml:space="preserve"> </w:t>
      </w:r>
      <w:proofErr w:type="spellStart"/>
      <w:r w:rsidR="00984153" w:rsidRPr="00EF4253">
        <w:t>osteoklastickú</w:t>
      </w:r>
      <w:proofErr w:type="spellEnd"/>
      <w:r w:rsidR="00984153" w:rsidRPr="00EF4253">
        <w:t xml:space="preserve"> </w:t>
      </w:r>
      <w:proofErr w:type="spellStart"/>
      <w:r w:rsidR="00984153" w:rsidRPr="00EF4253">
        <w:t>resorpciu</w:t>
      </w:r>
      <w:proofErr w:type="spellEnd"/>
      <w:r w:rsidR="00984153" w:rsidRPr="00EF4253">
        <w:t xml:space="preserve"> kostí. </w:t>
      </w:r>
      <w:r w:rsidR="008F6C46" w:rsidRPr="00EF4253">
        <w:t xml:space="preserve">Odbúravanie kosti je redukované, zatiaľ čo aktivita </w:t>
      </w:r>
      <w:proofErr w:type="spellStart"/>
      <w:r w:rsidR="008F6C46" w:rsidRPr="00EF4253">
        <w:t>osteob</w:t>
      </w:r>
      <w:r w:rsidR="00305E31">
        <w:t>l</w:t>
      </w:r>
      <w:r w:rsidR="008F6C46" w:rsidRPr="00305E31">
        <w:t>astov</w:t>
      </w:r>
      <w:proofErr w:type="spellEnd"/>
      <w:r w:rsidR="008F6C46" w:rsidRPr="00305E31">
        <w:t xml:space="preserve"> a </w:t>
      </w:r>
      <w:proofErr w:type="spellStart"/>
      <w:r w:rsidR="008F6C46" w:rsidRPr="00305E31">
        <w:t>mineraliz</w:t>
      </w:r>
      <w:r w:rsidRPr="00EF4253">
        <w:t>á</w:t>
      </w:r>
      <w:r w:rsidR="008F6C46" w:rsidRPr="00EF4253">
        <w:t>cia</w:t>
      </w:r>
      <w:proofErr w:type="spellEnd"/>
      <w:r w:rsidR="008F6C46" w:rsidRPr="00EF4253">
        <w:t xml:space="preserve"> kosti je </w:t>
      </w:r>
      <w:r w:rsidR="00130D20" w:rsidRPr="00EF4253">
        <w:t>zachovaná</w:t>
      </w:r>
      <w:r w:rsidR="008F6C46" w:rsidRPr="00EF4253">
        <w:t>.</w:t>
      </w:r>
      <w:r w:rsidR="00984153" w:rsidRPr="00EF4253">
        <w:t xml:space="preserve"> </w:t>
      </w:r>
      <w:r w:rsidR="008F6C46" w:rsidRPr="00EF4253">
        <w:t>V predklinických štúdi</w:t>
      </w:r>
      <w:r w:rsidR="00474ACA" w:rsidRPr="00EF4253">
        <w:t>á</w:t>
      </w:r>
      <w:r w:rsidR="008F6C46" w:rsidRPr="00EF4253">
        <w:t xml:space="preserve">ch </w:t>
      </w:r>
      <w:proofErr w:type="spellStart"/>
      <w:r w:rsidR="004C4403" w:rsidRPr="00EF4253">
        <w:t>nátrium</w:t>
      </w:r>
      <w:r w:rsidR="008F6C46" w:rsidRPr="00EF4253">
        <w:t>r</w:t>
      </w:r>
      <w:r w:rsidR="0024644E" w:rsidRPr="00EF4253">
        <w:t>i</w:t>
      </w:r>
      <w:r w:rsidR="008F6C46" w:rsidRPr="00EF4253">
        <w:t>sedronát</w:t>
      </w:r>
      <w:proofErr w:type="spellEnd"/>
      <w:r w:rsidR="008F6C46" w:rsidRPr="00EF4253">
        <w:t xml:space="preserve"> preukázal silnú </w:t>
      </w:r>
      <w:proofErr w:type="spellStart"/>
      <w:r w:rsidR="008F6C46" w:rsidRPr="00EF4253">
        <w:t>antiosteoklastovú</w:t>
      </w:r>
      <w:proofErr w:type="spellEnd"/>
      <w:r w:rsidR="008F6C46" w:rsidRPr="00EF4253">
        <w:t xml:space="preserve"> a </w:t>
      </w:r>
      <w:proofErr w:type="spellStart"/>
      <w:r w:rsidR="008F6C46" w:rsidRPr="00EF4253">
        <w:t>antiresorpt</w:t>
      </w:r>
      <w:r w:rsidR="0024644E" w:rsidRPr="00EF4253">
        <w:t>í</w:t>
      </w:r>
      <w:r w:rsidR="008F6C46" w:rsidRPr="00EF4253">
        <w:t>vnu</w:t>
      </w:r>
      <w:proofErr w:type="spellEnd"/>
      <w:r w:rsidR="008F6C46" w:rsidRPr="00EF4253">
        <w:t xml:space="preserve"> aktivitu, a v závisl</w:t>
      </w:r>
      <w:r w:rsidR="00474ACA" w:rsidRPr="00EF4253">
        <w:t>osti na dávke zvyšoval kostnú h</w:t>
      </w:r>
      <w:r w:rsidR="008F6C46" w:rsidRPr="00EF4253">
        <w:t>motu a biomechanickú pevnosť skeletu.</w:t>
      </w:r>
      <w:r w:rsidR="00984153" w:rsidRPr="00EF4253">
        <w:t xml:space="preserve"> Počas </w:t>
      </w:r>
      <w:proofErr w:type="spellStart"/>
      <w:r w:rsidR="00130D20" w:rsidRPr="00EF4253">
        <w:t>farmakodynamických</w:t>
      </w:r>
      <w:proofErr w:type="spellEnd"/>
      <w:r w:rsidR="00130D20" w:rsidRPr="00EF4253">
        <w:t xml:space="preserve"> </w:t>
      </w:r>
      <w:r w:rsidR="00984153" w:rsidRPr="00EF4253">
        <w:t>a</w:t>
      </w:r>
      <w:r w:rsidR="00CA0B01" w:rsidRPr="00EF4253">
        <w:t> </w:t>
      </w:r>
      <w:r w:rsidR="00130D20" w:rsidRPr="00EF4253">
        <w:t xml:space="preserve">klinických štúdií </w:t>
      </w:r>
      <w:r w:rsidR="00984153" w:rsidRPr="00EF4253">
        <w:t xml:space="preserve">sa potvrdil účinok </w:t>
      </w:r>
      <w:proofErr w:type="spellStart"/>
      <w:r w:rsidR="00984153" w:rsidRPr="00EF4253">
        <w:t>nátriumrizedronátu</w:t>
      </w:r>
      <w:proofErr w:type="spellEnd"/>
      <w:r w:rsidR="00984153" w:rsidRPr="00EF4253">
        <w:t xml:space="preserve"> meraním biochemických </w:t>
      </w:r>
      <w:proofErr w:type="spellStart"/>
      <w:r w:rsidR="00984153" w:rsidRPr="00EF4253">
        <w:t>markerov</w:t>
      </w:r>
      <w:proofErr w:type="spellEnd"/>
      <w:r w:rsidR="00984153" w:rsidRPr="00EF4253">
        <w:t xml:space="preserve"> kostného obratu</w:t>
      </w:r>
      <w:r w:rsidR="0024644E" w:rsidRPr="00EF4253">
        <w:t>.</w:t>
      </w:r>
      <w:r w:rsidR="00E36137" w:rsidRPr="00EF4253">
        <w:t xml:space="preserve"> </w:t>
      </w:r>
      <w:r w:rsidR="0024644E" w:rsidRPr="00EF4253">
        <w:t>V</w:t>
      </w:r>
      <w:r w:rsidR="00CA0B01" w:rsidRPr="00EF4253">
        <w:t> </w:t>
      </w:r>
      <w:r w:rsidR="0024644E" w:rsidRPr="00EF4253">
        <w:t xml:space="preserve">štúdiách u žien po </w:t>
      </w:r>
      <w:proofErr w:type="spellStart"/>
      <w:r w:rsidR="0024644E" w:rsidRPr="00EF4253">
        <w:t>menopauze</w:t>
      </w:r>
      <w:proofErr w:type="spellEnd"/>
      <w:r w:rsidR="0024644E" w:rsidRPr="00EF4253">
        <w:t xml:space="preserve"> </w:t>
      </w:r>
      <w:r w:rsidR="00E36137" w:rsidRPr="00EF4253">
        <w:t>sa pozorovalo z</w:t>
      </w:r>
      <w:r w:rsidR="00474ACA" w:rsidRPr="00EF4253">
        <w:t xml:space="preserve">níženie hodnôt </w:t>
      </w:r>
      <w:r w:rsidR="00984153" w:rsidRPr="00EF4253">
        <w:t xml:space="preserve">biochemických </w:t>
      </w:r>
      <w:proofErr w:type="spellStart"/>
      <w:r w:rsidR="00984153" w:rsidRPr="00EF4253">
        <w:t>markerov</w:t>
      </w:r>
      <w:proofErr w:type="spellEnd"/>
      <w:r w:rsidR="00984153" w:rsidRPr="00EF4253">
        <w:t xml:space="preserve"> kostného </w:t>
      </w:r>
      <w:r w:rsidR="00474ACA" w:rsidRPr="00EF4253">
        <w:t xml:space="preserve">metabolizmu </w:t>
      </w:r>
      <w:r w:rsidR="00984153" w:rsidRPr="00EF4253">
        <w:t>v priebehu 1</w:t>
      </w:r>
      <w:r w:rsidR="008B68DB" w:rsidRPr="00EF4253">
        <w:t>.</w:t>
      </w:r>
      <w:r w:rsidR="00984153" w:rsidRPr="00EF4253">
        <w:t xml:space="preserve"> mesiaca </w:t>
      </w:r>
      <w:r w:rsidR="00984153" w:rsidRPr="00EF4253">
        <w:lastRenderedPageBreak/>
        <w:t>a</w:t>
      </w:r>
      <w:r w:rsidR="00CA0B01" w:rsidRPr="00EF4253">
        <w:t> </w:t>
      </w:r>
      <w:r w:rsidR="00474ACA" w:rsidRPr="00EF4253">
        <w:t>maxim</w:t>
      </w:r>
      <w:r w:rsidR="0019338B" w:rsidRPr="00EF4253">
        <w:t>álne</w:t>
      </w:r>
      <w:r w:rsidR="008B68DB" w:rsidRPr="00EF4253">
        <w:t xml:space="preserve"> </w:t>
      </w:r>
      <w:r w:rsidR="003E0B1B" w:rsidRPr="00EF4253">
        <w:t xml:space="preserve">zníženia hodnôt </w:t>
      </w:r>
      <w:r w:rsidR="0019338B" w:rsidRPr="00EF4253">
        <w:t xml:space="preserve">sa </w:t>
      </w:r>
      <w:r w:rsidR="00984153" w:rsidRPr="00EF4253">
        <w:t>dos</w:t>
      </w:r>
      <w:r w:rsidR="0019338B" w:rsidRPr="00EF4253">
        <w:t>ia</w:t>
      </w:r>
      <w:r w:rsidR="00984153" w:rsidRPr="00EF4253">
        <w:t xml:space="preserve">hli </w:t>
      </w:r>
      <w:r w:rsidR="0019338B" w:rsidRPr="00EF4253">
        <w:t>za</w:t>
      </w:r>
      <w:r w:rsidR="008B68DB" w:rsidRPr="00EF4253">
        <w:t> </w:t>
      </w:r>
      <w:r w:rsidR="00474ACA" w:rsidRPr="00EF4253">
        <w:t>3</w:t>
      </w:r>
      <w:r w:rsidR="008B68DB" w:rsidRPr="00EF4253">
        <w:t xml:space="preserve"> až </w:t>
      </w:r>
      <w:r w:rsidR="00474ACA" w:rsidRPr="00EF4253">
        <w:t>6 mesiac</w:t>
      </w:r>
      <w:r w:rsidR="0019338B" w:rsidRPr="00EF4253">
        <w:t>ov</w:t>
      </w:r>
      <w:r w:rsidR="00984153" w:rsidRPr="00EF4253">
        <w:t xml:space="preserve">. </w:t>
      </w:r>
      <w:r w:rsidR="00474ACA" w:rsidRPr="00EF4253">
        <w:t xml:space="preserve">Zníženie hodnôt </w:t>
      </w:r>
      <w:r w:rsidR="00984153" w:rsidRPr="00EF4253">
        <w:t xml:space="preserve">biochemických </w:t>
      </w:r>
      <w:proofErr w:type="spellStart"/>
      <w:r w:rsidR="00984153" w:rsidRPr="00EF4253">
        <w:t>markerov</w:t>
      </w:r>
      <w:proofErr w:type="spellEnd"/>
      <w:r w:rsidR="00984153" w:rsidRPr="00EF4253">
        <w:t xml:space="preserve"> kostného </w:t>
      </w:r>
      <w:r w:rsidR="004561F3" w:rsidRPr="00EF4253">
        <w:t>metabolizmu</w:t>
      </w:r>
      <w:r w:rsidR="00984153" w:rsidRPr="00EF4253">
        <w:t xml:space="preserve"> </w:t>
      </w:r>
      <w:r w:rsidR="004561F3" w:rsidRPr="00EF4253">
        <w:t xml:space="preserve">bolo </w:t>
      </w:r>
      <w:r w:rsidR="00D7701A" w:rsidRPr="00EF4253">
        <w:t>v</w:t>
      </w:r>
      <w:r w:rsidR="00CA0B01" w:rsidRPr="00EF4253">
        <w:t> </w:t>
      </w:r>
      <w:r w:rsidR="004561F3" w:rsidRPr="00EF4253">
        <w:t>12</w:t>
      </w:r>
      <w:r w:rsidR="00CA0B01" w:rsidRPr="00EF4253">
        <w:t>.</w:t>
      </w:r>
      <w:r w:rsidR="004561F3" w:rsidRPr="00EF4253">
        <w:t xml:space="preserve"> mesiac</w:t>
      </w:r>
      <w:r w:rsidR="00D7701A" w:rsidRPr="00EF4253">
        <w:t>i</w:t>
      </w:r>
      <w:r w:rsidR="00984153" w:rsidRPr="00EF4253">
        <w:t xml:space="preserve"> </w:t>
      </w:r>
      <w:r w:rsidR="004C4403" w:rsidRPr="00EF4253">
        <w:t xml:space="preserve">podobné </w:t>
      </w:r>
      <w:r w:rsidR="00D7701A" w:rsidRPr="00EF4253">
        <w:t xml:space="preserve">pri </w:t>
      </w:r>
      <w:proofErr w:type="spellStart"/>
      <w:r w:rsidR="00984153" w:rsidRPr="00EF4253">
        <w:t>nátriumrizedronát</w:t>
      </w:r>
      <w:r w:rsidR="00D7701A" w:rsidRPr="00EF4253">
        <w:t>e</w:t>
      </w:r>
      <w:proofErr w:type="spellEnd"/>
      <w:r w:rsidR="00984153" w:rsidRPr="00EF4253">
        <w:t xml:space="preserve"> </w:t>
      </w:r>
      <w:r w:rsidR="004561F3" w:rsidRPr="00EF4253">
        <w:t>3</w:t>
      </w:r>
      <w:r w:rsidR="00984153" w:rsidRPr="00EF4253">
        <w:t xml:space="preserve">5 mg </w:t>
      </w:r>
      <w:r w:rsidRPr="00EF4253">
        <w:t>podávan</w:t>
      </w:r>
      <w:r w:rsidR="00D7701A" w:rsidRPr="00EF4253">
        <w:t>om</w:t>
      </w:r>
      <w:r w:rsidRPr="00EF4253">
        <w:t xml:space="preserve"> raz týž</w:t>
      </w:r>
      <w:r w:rsidR="004561F3" w:rsidRPr="00EF4253">
        <w:t>denne a</w:t>
      </w:r>
      <w:r w:rsidR="00CA0B01" w:rsidRPr="00EF4253">
        <w:t> </w:t>
      </w:r>
      <w:proofErr w:type="spellStart"/>
      <w:r w:rsidR="00984153" w:rsidRPr="00EF4253">
        <w:t>nátrium</w:t>
      </w:r>
      <w:r w:rsidR="004561F3" w:rsidRPr="00EF4253">
        <w:t>rizedronát</w:t>
      </w:r>
      <w:r w:rsidR="00D7701A" w:rsidRPr="00EF4253">
        <w:t>e</w:t>
      </w:r>
      <w:proofErr w:type="spellEnd"/>
      <w:r w:rsidR="004561F3" w:rsidRPr="00EF4253">
        <w:t xml:space="preserve"> </w:t>
      </w:r>
      <w:r w:rsidR="00984153" w:rsidRPr="00EF4253">
        <w:t xml:space="preserve">5 mg </w:t>
      </w:r>
      <w:r w:rsidR="004561F3" w:rsidRPr="00EF4253">
        <w:t>podávan</w:t>
      </w:r>
      <w:r w:rsidR="00D7701A" w:rsidRPr="00EF4253">
        <w:t>om</w:t>
      </w:r>
      <w:r w:rsidR="004561F3" w:rsidRPr="00EF4253">
        <w:t xml:space="preserve"> raz denne.</w:t>
      </w:r>
    </w:p>
    <w:p w14:paraId="25334739" w14:textId="77777777" w:rsidR="00C12B5A" w:rsidRPr="00EF4253" w:rsidRDefault="00C12B5A" w:rsidP="00FC35F0">
      <w:pPr>
        <w:pStyle w:val="Normlndobloku"/>
        <w:spacing w:after="0"/>
      </w:pPr>
    </w:p>
    <w:p w14:paraId="0BDBAD5A" w14:textId="77777777" w:rsidR="004561F3" w:rsidRPr="00EF4253" w:rsidRDefault="004561F3" w:rsidP="00FC35F0">
      <w:pPr>
        <w:pStyle w:val="Normlndobloku"/>
        <w:spacing w:after="0"/>
      </w:pPr>
      <w:r w:rsidRPr="00EF4253">
        <w:t>V štúdiách u mužov s </w:t>
      </w:r>
      <w:proofErr w:type="spellStart"/>
      <w:r w:rsidRPr="00EF4253">
        <w:t>osteoporózou</w:t>
      </w:r>
      <w:proofErr w:type="spellEnd"/>
      <w:r w:rsidRPr="00EF4253">
        <w:t xml:space="preserve"> boli znížené hodnoty biochemických </w:t>
      </w:r>
      <w:proofErr w:type="spellStart"/>
      <w:r w:rsidRPr="00EF4253">
        <w:t>markerov</w:t>
      </w:r>
      <w:proofErr w:type="spellEnd"/>
      <w:r w:rsidRPr="00EF4253">
        <w:t xml:space="preserve"> kostného obratu pozorované najskôr za 3 mesiace a zostal</w:t>
      </w:r>
      <w:r w:rsidR="00FB2A61" w:rsidRPr="00EF4253">
        <w:t>i</w:t>
      </w:r>
      <w:r w:rsidRPr="00EF4253">
        <w:t xml:space="preserve"> pozorovateľné </w:t>
      </w:r>
      <w:r w:rsidR="008C3FF9" w:rsidRPr="00EF4253">
        <w:t xml:space="preserve">počas </w:t>
      </w:r>
      <w:r w:rsidRPr="00EF4253">
        <w:t>24 mesiacov.</w:t>
      </w:r>
    </w:p>
    <w:p w14:paraId="3B400B6E" w14:textId="77777777" w:rsidR="00C12B5A" w:rsidRPr="00EF4253" w:rsidRDefault="00C12B5A" w:rsidP="00FC35F0">
      <w:pPr>
        <w:pStyle w:val="Styl30"/>
        <w:spacing w:after="0"/>
        <w:rPr>
          <w:lang w:val="sk-SK"/>
        </w:rPr>
      </w:pPr>
    </w:p>
    <w:p w14:paraId="059617B6" w14:textId="4350E5BB" w:rsidR="00984153" w:rsidRPr="00EF4253" w:rsidRDefault="00984153" w:rsidP="00FC35F0">
      <w:pPr>
        <w:pStyle w:val="Styl30"/>
        <w:spacing w:after="0"/>
        <w:rPr>
          <w:lang w:val="sk-SK"/>
        </w:rPr>
      </w:pPr>
      <w:r w:rsidRPr="00EF4253">
        <w:rPr>
          <w:lang w:val="sk-SK"/>
        </w:rPr>
        <w:t xml:space="preserve">Liečba </w:t>
      </w:r>
      <w:proofErr w:type="spellStart"/>
      <w:r w:rsidRPr="00EF4253">
        <w:rPr>
          <w:lang w:val="sk-SK"/>
        </w:rPr>
        <w:t>postmenopauzálnej</w:t>
      </w:r>
      <w:proofErr w:type="spellEnd"/>
      <w:r w:rsidRPr="00EF4253">
        <w:rPr>
          <w:lang w:val="sk-SK"/>
        </w:rPr>
        <w:t xml:space="preserve"> </w:t>
      </w:r>
      <w:proofErr w:type="spellStart"/>
      <w:r w:rsidRPr="00EF4253">
        <w:rPr>
          <w:lang w:val="sk-SK"/>
        </w:rPr>
        <w:t>osteoporózy</w:t>
      </w:r>
      <w:proofErr w:type="spellEnd"/>
    </w:p>
    <w:p w14:paraId="6A185591" w14:textId="118A040A" w:rsidR="00984153" w:rsidRPr="00EF4253" w:rsidRDefault="00984153" w:rsidP="00FC35F0">
      <w:pPr>
        <w:pStyle w:val="Normlndobloku"/>
        <w:spacing w:after="0"/>
      </w:pPr>
      <w:r w:rsidRPr="00EF4253">
        <w:t>S </w:t>
      </w:r>
      <w:proofErr w:type="spellStart"/>
      <w:r w:rsidRPr="00EF4253">
        <w:t>osteoporózou</w:t>
      </w:r>
      <w:proofErr w:type="spellEnd"/>
      <w:r w:rsidRPr="00EF4253">
        <w:t xml:space="preserve"> po </w:t>
      </w:r>
      <w:proofErr w:type="spellStart"/>
      <w:r w:rsidRPr="00EF4253">
        <w:t>menopauze</w:t>
      </w:r>
      <w:proofErr w:type="spellEnd"/>
      <w:r w:rsidRPr="00EF4253">
        <w:t xml:space="preserve"> sa spája množstvo rizikových faktorov vrátane nízkej kostnej hmoty, nízkej kostnej minerálnej hustoty, skorej </w:t>
      </w:r>
      <w:proofErr w:type="spellStart"/>
      <w:r w:rsidRPr="00EF4253">
        <w:t>m</w:t>
      </w:r>
      <w:r w:rsidR="002F7115" w:rsidRPr="00EF4253">
        <w:t>enopauzy</w:t>
      </w:r>
      <w:proofErr w:type="spellEnd"/>
      <w:r w:rsidR="002F7115" w:rsidRPr="00EF4253">
        <w:t xml:space="preserve">, fajčenia v minulosti </w:t>
      </w:r>
      <w:r w:rsidRPr="00EF4253">
        <w:t>a</w:t>
      </w:r>
      <w:r w:rsidR="00CA0B01" w:rsidRPr="00EF4253">
        <w:t> </w:t>
      </w:r>
      <w:proofErr w:type="spellStart"/>
      <w:r w:rsidRPr="00EF4253">
        <w:t>osteoporózy</w:t>
      </w:r>
      <w:proofErr w:type="spellEnd"/>
      <w:r w:rsidRPr="00EF4253">
        <w:t xml:space="preserve"> v rodinnej anamnéze. Klinický následok </w:t>
      </w:r>
      <w:proofErr w:type="spellStart"/>
      <w:r w:rsidRPr="00EF4253">
        <w:t>osteoporózy</w:t>
      </w:r>
      <w:proofErr w:type="spellEnd"/>
      <w:r w:rsidRPr="00EF4253">
        <w:t xml:space="preserve"> je fraktúra. Riziko fraktúry sa zvyšuje s počtom rizikových faktorov.</w:t>
      </w:r>
    </w:p>
    <w:p w14:paraId="06FFF1BC" w14:textId="77777777" w:rsidR="00C12B5A" w:rsidRPr="00EF4253" w:rsidRDefault="00C12B5A" w:rsidP="00FC35F0">
      <w:pPr>
        <w:pStyle w:val="Normlndobloku"/>
        <w:spacing w:after="0"/>
      </w:pPr>
    </w:p>
    <w:p w14:paraId="42977B36" w14:textId="642AAAA0" w:rsidR="00E168AF" w:rsidRPr="00EF4253" w:rsidRDefault="00E168AF" w:rsidP="00FC35F0">
      <w:pPr>
        <w:pStyle w:val="Normlndobloku"/>
        <w:spacing w:after="0"/>
      </w:pPr>
      <w:r w:rsidRPr="00EF4253">
        <w:t>V </w:t>
      </w:r>
      <w:r w:rsidR="006D2742" w:rsidRPr="00EF4253">
        <w:t>jedno</w:t>
      </w:r>
      <w:r w:rsidRPr="00EF4253">
        <w:t xml:space="preserve">ročnej, dvojito zaslepenej, </w:t>
      </w:r>
      <w:proofErr w:type="spellStart"/>
      <w:r w:rsidRPr="00EF4253">
        <w:t>multicentrickej</w:t>
      </w:r>
      <w:proofErr w:type="spellEnd"/>
      <w:r w:rsidRPr="00EF4253">
        <w:t xml:space="preserve"> štúdii, do ktorej boli zaradené ženy po </w:t>
      </w:r>
      <w:proofErr w:type="spellStart"/>
      <w:r w:rsidRPr="00EF4253">
        <w:t>menopauze</w:t>
      </w:r>
      <w:proofErr w:type="spellEnd"/>
      <w:r w:rsidRPr="00EF4253">
        <w:t xml:space="preserve"> s </w:t>
      </w:r>
      <w:proofErr w:type="spellStart"/>
      <w:r w:rsidRPr="00EF4253">
        <w:t>osteoporózou</w:t>
      </w:r>
      <w:proofErr w:type="spellEnd"/>
      <w:r w:rsidRPr="00EF4253">
        <w:t xml:space="preserve"> sa zistilo, že </w:t>
      </w:r>
      <w:r w:rsidR="004561F3" w:rsidRPr="00EF4253">
        <w:t xml:space="preserve">účinok na </w:t>
      </w:r>
      <w:r w:rsidR="006D2742" w:rsidRPr="00EF4253">
        <w:t xml:space="preserve">priemerné </w:t>
      </w:r>
      <w:r w:rsidR="004561F3" w:rsidRPr="00EF4253">
        <w:t>zmeny hodnôt</w:t>
      </w:r>
      <w:r w:rsidR="001A3A39" w:rsidRPr="00EF4253">
        <w:t xml:space="preserve"> </w:t>
      </w:r>
      <w:r w:rsidR="004561F3" w:rsidRPr="00EF4253">
        <w:t xml:space="preserve">BMD </w:t>
      </w:r>
      <w:r w:rsidR="008A4C4C" w:rsidRPr="00EF4253">
        <w:t xml:space="preserve">lumbálnej </w:t>
      </w:r>
      <w:r w:rsidR="004561F3" w:rsidRPr="00EF4253">
        <w:t xml:space="preserve">oblasti </w:t>
      </w:r>
      <w:r w:rsidR="002F7115" w:rsidRPr="00EF4253">
        <w:t>chrbtic</w:t>
      </w:r>
      <w:r w:rsidR="008A4C4C" w:rsidRPr="00EF4253">
        <w:t>e</w:t>
      </w:r>
      <w:r w:rsidR="004561F3" w:rsidRPr="00EF4253">
        <w:t xml:space="preserve"> je </w:t>
      </w:r>
      <w:r w:rsidR="00D009F0" w:rsidRPr="00EF4253">
        <w:t xml:space="preserve">ekvivalentný </w:t>
      </w:r>
      <w:r w:rsidR="004561F3" w:rsidRPr="00EF4253">
        <w:t>pri užívaní</w:t>
      </w:r>
      <w:r w:rsidRPr="00EF4253">
        <w:t xml:space="preserve"> </w:t>
      </w:r>
      <w:proofErr w:type="spellStart"/>
      <w:r w:rsidRPr="00EF4253">
        <w:t>nátriumrizedronátu</w:t>
      </w:r>
      <w:proofErr w:type="spellEnd"/>
      <w:r w:rsidRPr="00EF4253">
        <w:t xml:space="preserve"> </w:t>
      </w:r>
      <w:r w:rsidR="002E466B" w:rsidRPr="00EF4253">
        <w:t>3</w:t>
      </w:r>
      <w:r w:rsidRPr="00EF4253">
        <w:t xml:space="preserve">5 mg </w:t>
      </w:r>
      <w:r w:rsidR="006D2742" w:rsidRPr="00EF4253">
        <w:t xml:space="preserve">podávanom </w:t>
      </w:r>
      <w:r w:rsidR="002E466B" w:rsidRPr="00EF4253">
        <w:t xml:space="preserve">raz týždenne </w:t>
      </w:r>
      <w:r w:rsidRPr="00EF4253">
        <w:t>(n=</w:t>
      </w:r>
      <w:r w:rsidR="002E466B" w:rsidRPr="00EF4253">
        <w:t>485</w:t>
      </w:r>
      <w:r w:rsidRPr="00EF4253">
        <w:t xml:space="preserve">) </w:t>
      </w:r>
      <w:r w:rsidR="002E466B" w:rsidRPr="00EF4253">
        <w:t>a</w:t>
      </w:r>
      <w:r w:rsidR="006D2742" w:rsidRPr="00EF4253">
        <w:t xml:space="preserve"> pri užívaní </w:t>
      </w:r>
      <w:proofErr w:type="spellStart"/>
      <w:r w:rsidRPr="00EF4253">
        <w:t>nátriumrizedronátu</w:t>
      </w:r>
      <w:proofErr w:type="spellEnd"/>
      <w:r w:rsidRPr="00EF4253">
        <w:t xml:space="preserve"> 5 mg</w:t>
      </w:r>
      <w:r w:rsidR="001A3A39" w:rsidRPr="00EF4253">
        <w:t xml:space="preserve"> </w:t>
      </w:r>
      <w:r w:rsidR="002E466B" w:rsidRPr="00EF4253">
        <w:t>podávan</w:t>
      </w:r>
      <w:r w:rsidR="006D2742" w:rsidRPr="00EF4253">
        <w:t>om raz</w:t>
      </w:r>
      <w:r w:rsidR="002E466B" w:rsidRPr="00EF4253">
        <w:t xml:space="preserve"> denne</w:t>
      </w:r>
      <w:r w:rsidR="008A4C4C" w:rsidRPr="00EF4253">
        <w:t xml:space="preserve"> </w:t>
      </w:r>
      <w:r w:rsidRPr="00EF4253">
        <w:t>(</w:t>
      </w:r>
      <w:r w:rsidR="002E466B" w:rsidRPr="00EF4253">
        <w:t>n</w:t>
      </w:r>
      <w:r w:rsidRPr="00EF4253">
        <w:t>=</w:t>
      </w:r>
      <w:r w:rsidR="002E466B" w:rsidRPr="00EF4253">
        <w:t>480</w:t>
      </w:r>
      <w:r w:rsidRPr="00EF4253">
        <w:t>).V</w:t>
      </w:r>
      <w:r w:rsidR="00CA0B01" w:rsidRPr="00EF4253">
        <w:t> </w:t>
      </w:r>
      <w:r w:rsidRPr="00EF4253">
        <w:t>klinick</w:t>
      </w:r>
      <w:r w:rsidR="002E466B" w:rsidRPr="00EF4253">
        <w:t xml:space="preserve">ých </w:t>
      </w:r>
      <w:r w:rsidR="00A938AA" w:rsidRPr="00EF4253">
        <w:t>štúdi</w:t>
      </w:r>
      <w:r w:rsidR="00A10BA2" w:rsidRPr="00EF4253">
        <w:t xml:space="preserve">ách </w:t>
      </w:r>
      <w:proofErr w:type="spellStart"/>
      <w:r w:rsidR="00D009F0" w:rsidRPr="00EF4253">
        <w:t>nátrium</w:t>
      </w:r>
      <w:r w:rsidR="00A10BA2" w:rsidRPr="00EF4253">
        <w:t>rizedronátu</w:t>
      </w:r>
      <w:proofErr w:type="spellEnd"/>
      <w:r w:rsidR="00A10BA2" w:rsidRPr="00EF4253">
        <w:t xml:space="preserve"> </w:t>
      </w:r>
      <w:r w:rsidR="00E8769F" w:rsidRPr="00EF4253">
        <w:t>podávaného</w:t>
      </w:r>
      <w:r w:rsidR="00A10BA2" w:rsidRPr="00EF4253">
        <w:t xml:space="preserve"> raz denne</w:t>
      </w:r>
      <w:r w:rsidRPr="00EF4253">
        <w:t xml:space="preserve"> </w:t>
      </w:r>
      <w:r w:rsidR="002E466B" w:rsidRPr="00EF4253">
        <w:t xml:space="preserve">bol </w:t>
      </w:r>
      <w:r w:rsidRPr="00EF4253">
        <w:t>sledova</w:t>
      </w:r>
      <w:r w:rsidR="002E466B" w:rsidRPr="00EF4253">
        <w:t>ný</w:t>
      </w:r>
      <w:r w:rsidRPr="00EF4253">
        <w:t xml:space="preserve"> účinok </w:t>
      </w:r>
      <w:r w:rsidR="002E466B" w:rsidRPr="00EF4253">
        <w:t xml:space="preserve">na riziko vzniku </w:t>
      </w:r>
      <w:r w:rsidR="00121FE9" w:rsidRPr="00EF4253">
        <w:t>bedrových a</w:t>
      </w:r>
      <w:r w:rsidR="00CA0B01" w:rsidRPr="00EF4253">
        <w:t> </w:t>
      </w:r>
      <w:proofErr w:type="spellStart"/>
      <w:r w:rsidR="00121FE9" w:rsidRPr="00EF4253">
        <w:t>vertebrálnych</w:t>
      </w:r>
      <w:proofErr w:type="spellEnd"/>
      <w:r w:rsidR="00121FE9" w:rsidRPr="00EF4253">
        <w:t xml:space="preserve"> </w:t>
      </w:r>
      <w:r w:rsidR="002E466B" w:rsidRPr="00EF4253">
        <w:t>fraktúr</w:t>
      </w:r>
      <w:r w:rsidR="00B02E75" w:rsidRPr="00EF4253">
        <w:t>.</w:t>
      </w:r>
      <w:r w:rsidR="002E466B" w:rsidRPr="00EF4253">
        <w:t xml:space="preserve"> </w:t>
      </w:r>
      <w:r w:rsidR="00A10BA2" w:rsidRPr="00EF4253">
        <w:t xml:space="preserve">Do týchto štúdií </w:t>
      </w:r>
      <w:r w:rsidR="002E466B" w:rsidRPr="00EF4253">
        <w:t>boli</w:t>
      </w:r>
      <w:r w:rsidR="00B02E75" w:rsidRPr="00EF4253">
        <w:t xml:space="preserve"> </w:t>
      </w:r>
      <w:r w:rsidR="00A10BA2" w:rsidRPr="00EF4253">
        <w:t>zahrnuté</w:t>
      </w:r>
      <w:r w:rsidR="00A10BA2" w:rsidRPr="00EF4253" w:rsidDel="00121FE9">
        <w:t xml:space="preserve"> </w:t>
      </w:r>
      <w:r w:rsidR="00B02E75" w:rsidRPr="00EF4253">
        <w:t xml:space="preserve">ženy </w:t>
      </w:r>
      <w:r w:rsidR="00D91D4F" w:rsidRPr="00EF4253">
        <w:t>s</w:t>
      </w:r>
      <w:r w:rsidR="00B02E75" w:rsidRPr="00EF4253">
        <w:t> </w:t>
      </w:r>
      <w:r w:rsidR="00E8769F" w:rsidRPr="00EF4253">
        <w:t>ranou</w:t>
      </w:r>
      <w:r w:rsidR="00B02E75" w:rsidRPr="00EF4253">
        <w:t xml:space="preserve"> </w:t>
      </w:r>
      <w:r w:rsidR="00BF5FAE" w:rsidRPr="00EF4253">
        <w:t>a</w:t>
      </w:r>
      <w:r w:rsidR="00B02E75" w:rsidRPr="00EF4253">
        <w:t> pokročil</w:t>
      </w:r>
      <w:r w:rsidR="00D91D4F" w:rsidRPr="00EF4253">
        <w:t>ou</w:t>
      </w:r>
      <w:r w:rsidR="00B02E75" w:rsidRPr="00EF4253">
        <w:t xml:space="preserve"> </w:t>
      </w:r>
      <w:proofErr w:type="spellStart"/>
      <w:r w:rsidR="00B02E75" w:rsidRPr="00EF4253">
        <w:t>menopauz</w:t>
      </w:r>
      <w:r w:rsidR="00D91D4F" w:rsidRPr="00EF4253">
        <w:t>ou</w:t>
      </w:r>
      <w:proofErr w:type="spellEnd"/>
      <w:r w:rsidR="00B02E75" w:rsidRPr="00EF4253">
        <w:t>, ktoré prekonali fraktúru</w:t>
      </w:r>
      <w:r w:rsidR="00A938AA" w:rsidRPr="00EF4253">
        <w:t xml:space="preserve"> pred zaradením do štúdie </w:t>
      </w:r>
      <w:r w:rsidR="00BF5FAE" w:rsidRPr="00EF4253">
        <w:t>a</w:t>
      </w:r>
      <w:r w:rsidR="00A938AA" w:rsidRPr="00EF4253">
        <w:t> ženy bez fraktúry</w:t>
      </w:r>
      <w:r w:rsidR="00BF5FAE" w:rsidRPr="00EF4253">
        <w:t xml:space="preserve"> pred zaradením do štúdie</w:t>
      </w:r>
      <w:r w:rsidR="00A938AA" w:rsidRPr="00EF4253">
        <w:t>. Boli hodnotené denné dávky 2,5</w:t>
      </w:r>
      <w:r w:rsidR="00CA0B01" w:rsidRPr="00EF4253">
        <w:t> </w:t>
      </w:r>
      <w:r w:rsidR="00A938AA" w:rsidRPr="00EF4253">
        <w:t>mg a</w:t>
      </w:r>
      <w:r w:rsidR="00CA0B01" w:rsidRPr="00EF4253">
        <w:t> </w:t>
      </w:r>
      <w:r w:rsidR="00A938AA" w:rsidRPr="00EF4253">
        <w:t>5</w:t>
      </w:r>
      <w:r w:rsidR="00CA0B01" w:rsidRPr="00EF4253">
        <w:t> </w:t>
      </w:r>
      <w:r w:rsidR="00A938AA" w:rsidRPr="00EF4253">
        <w:t>mg a všetky skupiny, vrátane kontr</w:t>
      </w:r>
      <w:r w:rsidR="00315149" w:rsidRPr="00EF4253">
        <w:t>o</w:t>
      </w:r>
      <w:r w:rsidR="00A938AA" w:rsidRPr="00EF4253">
        <w:t>ln</w:t>
      </w:r>
      <w:r w:rsidR="00315149" w:rsidRPr="00EF4253">
        <w:t>ý</w:t>
      </w:r>
      <w:r w:rsidR="00A938AA" w:rsidRPr="00EF4253">
        <w:t>ch</w:t>
      </w:r>
      <w:r w:rsidR="00315149" w:rsidRPr="00EF4253">
        <w:t xml:space="preserve"> skupín</w:t>
      </w:r>
      <w:r w:rsidR="00A938AA" w:rsidRPr="00EF4253">
        <w:t xml:space="preserve">, </w:t>
      </w:r>
      <w:r w:rsidR="00315149" w:rsidRPr="00EF4253">
        <w:t xml:space="preserve">dostávali </w:t>
      </w:r>
      <w:r w:rsidR="00A938AA" w:rsidRPr="00EF4253">
        <w:t>kalcium a vitamín D (v</w:t>
      </w:r>
      <w:r w:rsidR="00CA0B01" w:rsidRPr="00EF4253">
        <w:t> </w:t>
      </w:r>
      <w:r w:rsidR="00A938AA" w:rsidRPr="00EF4253">
        <w:t xml:space="preserve">prípade nízkych východiskových </w:t>
      </w:r>
      <w:r w:rsidR="00315149" w:rsidRPr="00EF4253">
        <w:t>koncentrácií</w:t>
      </w:r>
      <w:r w:rsidR="00A938AA" w:rsidRPr="00EF4253">
        <w:t xml:space="preserve">). </w:t>
      </w:r>
      <w:r w:rsidR="0016665E" w:rsidRPr="00EF4253">
        <w:t>Absolútne</w:t>
      </w:r>
      <w:r w:rsidR="00A938AA" w:rsidRPr="00EF4253">
        <w:t xml:space="preserve"> a relatívne riziko vzniku novej </w:t>
      </w:r>
      <w:proofErr w:type="spellStart"/>
      <w:r w:rsidR="00A938AA" w:rsidRPr="00EF4253">
        <w:t>vertebrálnej</w:t>
      </w:r>
      <w:proofErr w:type="spellEnd"/>
      <w:r w:rsidR="00A938AA" w:rsidRPr="00EF4253">
        <w:t xml:space="preserve"> </w:t>
      </w:r>
      <w:r w:rsidR="00F5417B" w:rsidRPr="00EF4253">
        <w:t xml:space="preserve">a bedrovej </w:t>
      </w:r>
      <w:r w:rsidR="00A938AA" w:rsidRPr="00EF4253">
        <w:t xml:space="preserve">fraktúry bolo </w:t>
      </w:r>
      <w:r w:rsidR="00D009F0" w:rsidRPr="00EF4253">
        <w:t xml:space="preserve">odhadnuté </w:t>
      </w:r>
      <w:r w:rsidR="00A938AA" w:rsidRPr="00EF4253">
        <w:t xml:space="preserve">použitím metódy zhodnotenia </w:t>
      </w:r>
      <w:r w:rsidR="00D91D4F" w:rsidRPr="00EF4253">
        <w:t>času</w:t>
      </w:r>
      <w:r w:rsidR="00A938AA" w:rsidRPr="00EF4253">
        <w:t xml:space="preserve"> do prvej </w:t>
      </w:r>
      <w:r w:rsidR="0016665E" w:rsidRPr="00EF4253">
        <w:t>udalosti</w:t>
      </w:r>
      <w:r w:rsidRPr="00EF4253">
        <w:t>.</w:t>
      </w:r>
    </w:p>
    <w:p w14:paraId="311B3D72" w14:textId="77777777" w:rsidR="0084711F" w:rsidRPr="00EF4253" w:rsidRDefault="0084711F" w:rsidP="00FC35F0">
      <w:pPr>
        <w:pStyle w:val="Normlndobloku"/>
        <w:spacing w:after="0"/>
      </w:pPr>
    </w:p>
    <w:p w14:paraId="485E90CC" w14:textId="0E5AC6E3" w:rsidR="00E168AF" w:rsidRPr="00EF4253" w:rsidRDefault="00E168AF">
      <w:pPr>
        <w:pStyle w:val="Normlndoblokusodrkami"/>
      </w:pPr>
      <w:r w:rsidRPr="00FC35F0">
        <w:rPr>
          <w:szCs w:val="22"/>
        </w:rPr>
        <w:t xml:space="preserve">Uskutočnili sa dve </w:t>
      </w:r>
      <w:proofErr w:type="spellStart"/>
      <w:r w:rsidRPr="00FC35F0">
        <w:rPr>
          <w:szCs w:val="22"/>
        </w:rPr>
        <w:t>placebom</w:t>
      </w:r>
      <w:proofErr w:type="spellEnd"/>
      <w:r w:rsidRPr="00FC35F0">
        <w:rPr>
          <w:szCs w:val="22"/>
        </w:rPr>
        <w:t xml:space="preserve"> kontrolované štúdie (n=3</w:t>
      </w:r>
      <w:r w:rsidR="00CA0B01" w:rsidRPr="00FC35F0">
        <w:rPr>
          <w:szCs w:val="22"/>
        </w:rPr>
        <w:t> </w:t>
      </w:r>
      <w:r w:rsidRPr="00FC35F0">
        <w:rPr>
          <w:szCs w:val="22"/>
        </w:rPr>
        <w:t xml:space="preserve">661) so ženami po </w:t>
      </w:r>
      <w:proofErr w:type="spellStart"/>
      <w:r w:rsidRPr="00FC35F0">
        <w:rPr>
          <w:szCs w:val="22"/>
        </w:rPr>
        <w:t>menopauze</w:t>
      </w:r>
      <w:proofErr w:type="spellEnd"/>
      <w:r w:rsidRPr="00FC35F0">
        <w:t xml:space="preserve"> s </w:t>
      </w:r>
      <w:proofErr w:type="spellStart"/>
      <w:r w:rsidRPr="00FC35F0">
        <w:t>vertebrálnou</w:t>
      </w:r>
      <w:proofErr w:type="spellEnd"/>
      <w:r w:rsidRPr="00FC35F0">
        <w:t xml:space="preserve"> fraktúrou na začiatku, ktoré boli mladšie ako 85 rokov. Denné dávky 5 mg </w:t>
      </w:r>
      <w:proofErr w:type="spellStart"/>
      <w:r w:rsidRPr="00FC35F0">
        <w:t>nátriumrizedronátu</w:t>
      </w:r>
      <w:proofErr w:type="spellEnd"/>
      <w:r w:rsidRPr="00FC35F0">
        <w:t xml:space="preserve"> podávané počas troch rokov zmenšili riziko nových </w:t>
      </w:r>
      <w:proofErr w:type="spellStart"/>
      <w:r w:rsidRPr="00FC35F0">
        <w:t>vertebrálnych</w:t>
      </w:r>
      <w:proofErr w:type="spellEnd"/>
      <w:r w:rsidRPr="00FC35F0">
        <w:t xml:space="preserve"> fraktúr v porovnaní s kontrolnou skupinou. U žien, ktoré mali najmenej dve alebo jednu </w:t>
      </w:r>
      <w:proofErr w:type="spellStart"/>
      <w:r w:rsidRPr="00FC35F0">
        <w:t>vertebrálnu</w:t>
      </w:r>
      <w:proofErr w:type="spellEnd"/>
      <w:r w:rsidRPr="00FC35F0">
        <w:t xml:space="preserve"> fraktúru sa znížilo relatívne riziko o</w:t>
      </w:r>
      <w:r w:rsidR="00CA0B01" w:rsidRPr="00FC35F0">
        <w:t> </w:t>
      </w:r>
      <w:r w:rsidRPr="00FC35F0">
        <w:t>49</w:t>
      </w:r>
      <w:r w:rsidR="00CA0B01" w:rsidRPr="00FC35F0">
        <w:t> </w:t>
      </w:r>
      <w:r w:rsidRPr="00FC35F0">
        <w:sym w:font="Symbol" w:char="F025"/>
      </w:r>
      <w:r w:rsidRPr="00FC35F0">
        <w:t xml:space="preserve"> alebo o</w:t>
      </w:r>
      <w:r w:rsidR="00CA0B01" w:rsidRPr="00FC35F0">
        <w:t> </w:t>
      </w:r>
      <w:r w:rsidRPr="00FC35F0">
        <w:t>41</w:t>
      </w:r>
      <w:r w:rsidR="00CA0B01" w:rsidRPr="00FC35F0">
        <w:t> </w:t>
      </w:r>
      <w:r w:rsidRPr="00FC35F0">
        <w:sym w:font="Symbol" w:char="F025"/>
      </w:r>
      <w:r w:rsidRPr="00FC35F0">
        <w:t xml:space="preserve"> </w:t>
      </w:r>
      <w:r w:rsidR="00FE007D" w:rsidRPr="00FC35F0">
        <w:t xml:space="preserve">v tomto poradí </w:t>
      </w:r>
      <w:r w:rsidRPr="00FC35F0">
        <w:t xml:space="preserve">(výskyt nových </w:t>
      </w:r>
      <w:proofErr w:type="spellStart"/>
      <w:r w:rsidRPr="00FC35F0">
        <w:t>vertebrálnych</w:t>
      </w:r>
      <w:proofErr w:type="spellEnd"/>
      <w:r w:rsidRPr="00FC35F0">
        <w:t xml:space="preserve"> fraktúr u žien liečených </w:t>
      </w:r>
      <w:proofErr w:type="spellStart"/>
      <w:r w:rsidR="00000724" w:rsidRPr="00FC35F0">
        <w:t>nátrium</w:t>
      </w:r>
      <w:r w:rsidRPr="00FC35F0">
        <w:t>rizedronátom</w:t>
      </w:r>
      <w:proofErr w:type="spellEnd"/>
      <w:r w:rsidRPr="00FC35F0">
        <w:t xml:space="preserve"> o 18,1</w:t>
      </w:r>
      <w:r w:rsidR="00CA0B01" w:rsidRPr="00FC35F0">
        <w:t> </w:t>
      </w:r>
      <w:r w:rsidRPr="00FC35F0">
        <w:sym w:font="Symbol" w:char="F025"/>
      </w:r>
      <w:r w:rsidRPr="00FC35F0">
        <w:t xml:space="preserve"> alebo 11,3</w:t>
      </w:r>
      <w:r w:rsidR="00CA0B01" w:rsidRPr="00FC35F0">
        <w:t> </w:t>
      </w:r>
      <w:r w:rsidRPr="00FC35F0">
        <w:sym w:font="Symbol" w:char="F025"/>
      </w:r>
      <w:r w:rsidRPr="00FC35F0">
        <w:t xml:space="preserve"> a</w:t>
      </w:r>
      <w:r w:rsidR="00CA0B01" w:rsidRPr="00FC35F0">
        <w:t> </w:t>
      </w:r>
      <w:r w:rsidRPr="00FC35F0">
        <w:t>u</w:t>
      </w:r>
      <w:r w:rsidR="00CA0B01" w:rsidRPr="00FC35F0">
        <w:t> </w:t>
      </w:r>
      <w:r w:rsidRPr="00FC35F0">
        <w:t xml:space="preserve">žien užívajúcich </w:t>
      </w:r>
      <w:proofErr w:type="spellStart"/>
      <w:r w:rsidRPr="00FC35F0">
        <w:t>placebo</w:t>
      </w:r>
      <w:proofErr w:type="spellEnd"/>
      <w:r w:rsidRPr="00FC35F0">
        <w:t xml:space="preserve"> o 29,0</w:t>
      </w:r>
      <w:r w:rsidR="00CA0B01" w:rsidRPr="00FC35F0">
        <w:t> </w:t>
      </w:r>
      <w:r w:rsidRPr="00FC35F0">
        <w:sym w:font="Symbol" w:char="F025"/>
      </w:r>
      <w:r w:rsidRPr="00FC35F0">
        <w:t xml:space="preserve"> alebo 16,3</w:t>
      </w:r>
      <w:r w:rsidR="00CA0B01" w:rsidRPr="00FC35F0">
        <w:t> </w:t>
      </w:r>
      <w:r w:rsidRPr="00FC35F0">
        <w:sym w:font="Symbol" w:char="F025"/>
      </w:r>
      <w:r w:rsidR="005D6CD7" w:rsidRPr="00FC35F0">
        <w:t>,</w:t>
      </w:r>
      <w:r w:rsidR="00FE007D" w:rsidRPr="00FC35F0">
        <w:t xml:space="preserve"> v tomto poradí</w:t>
      </w:r>
      <w:r w:rsidRPr="00FC35F0">
        <w:t>). Účinok liečby bol zreteľný koncom prvého roka liečby. Úžitok sa prejavil aj u</w:t>
      </w:r>
      <w:r w:rsidR="00CA0B01" w:rsidRPr="00FC35F0">
        <w:t> </w:t>
      </w:r>
      <w:r w:rsidRPr="00FC35F0">
        <w:t xml:space="preserve">žien s viacnásobnými zlomeninami na začiatku. 5 mg dávky </w:t>
      </w:r>
      <w:proofErr w:type="spellStart"/>
      <w:r w:rsidRPr="00FC35F0">
        <w:t>nátriumrizedronátu</w:t>
      </w:r>
      <w:proofErr w:type="spellEnd"/>
      <w:r w:rsidRPr="00FC35F0">
        <w:t xml:space="preserve"> denne taktiež obmedzili ročnú stratu výšky v porovnaní s kontrolnou skupinou.</w:t>
      </w:r>
    </w:p>
    <w:p w14:paraId="7D111375" w14:textId="77777777" w:rsidR="0084711F" w:rsidRPr="00FC35F0" w:rsidRDefault="0084711F" w:rsidP="00FC35F0">
      <w:pPr>
        <w:pStyle w:val="Normlndobloku"/>
      </w:pPr>
    </w:p>
    <w:p w14:paraId="7D657696" w14:textId="042280AF" w:rsidR="00E168AF" w:rsidRPr="00EF4253" w:rsidRDefault="00E168AF" w:rsidP="00FC35F0">
      <w:pPr>
        <w:pStyle w:val="Normlndobloku"/>
        <w:numPr>
          <w:ilvl w:val="0"/>
          <w:numId w:val="11"/>
        </w:numPr>
        <w:tabs>
          <w:tab w:val="clear" w:pos="6946"/>
        </w:tabs>
        <w:spacing w:after="0"/>
        <w:ind w:left="426"/>
      </w:pPr>
      <w:r w:rsidRPr="00EF4253">
        <w:rPr>
          <w:rFonts w:eastAsia="Calibri"/>
          <w:lang w:eastAsia="en-US"/>
        </w:rPr>
        <w:t>V</w:t>
      </w:r>
      <w:r w:rsidR="00CA0B01" w:rsidRPr="00EF4253">
        <w:rPr>
          <w:rFonts w:eastAsia="Calibri"/>
          <w:lang w:eastAsia="en-US"/>
        </w:rPr>
        <w:t> </w:t>
      </w:r>
      <w:r w:rsidRPr="00EF4253">
        <w:rPr>
          <w:rFonts w:eastAsia="Calibri"/>
          <w:lang w:eastAsia="en-US"/>
        </w:rPr>
        <w:t xml:space="preserve">ďalších dvoch </w:t>
      </w:r>
      <w:proofErr w:type="spellStart"/>
      <w:r w:rsidRPr="00EF4253">
        <w:rPr>
          <w:rFonts w:eastAsia="Calibri"/>
          <w:lang w:eastAsia="en-US"/>
        </w:rPr>
        <w:t>placebom</w:t>
      </w:r>
      <w:proofErr w:type="spellEnd"/>
      <w:r w:rsidRPr="00EF4253">
        <w:rPr>
          <w:rFonts w:eastAsia="Calibri"/>
          <w:lang w:eastAsia="en-US"/>
        </w:rPr>
        <w:t xml:space="preserve"> kontrolovaných štúdiách sa zúčastnili ženy po </w:t>
      </w:r>
      <w:proofErr w:type="spellStart"/>
      <w:r w:rsidRPr="00EF4253">
        <w:rPr>
          <w:rFonts w:eastAsia="Calibri"/>
          <w:lang w:eastAsia="en-US"/>
        </w:rPr>
        <w:t>menopauze</w:t>
      </w:r>
      <w:proofErr w:type="spellEnd"/>
      <w:r w:rsidRPr="00EF4253">
        <w:rPr>
          <w:rFonts w:eastAsia="Calibri"/>
          <w:lang w:eastAsia="en-US"/>
        </w:rPr>
        <w:t xml:space="preserve"> nad 70</w:t>
      </w:r>
      <w:r w:rsidR="009744CE" w:rsidRPr="00EF4253">
        <w:rPr>
          <w:rFonts w:eastAsia="Calibri"/>
          <w:lang w:eastAsia="en-US"/>
        </w:rPr>
        <w:t> </w:t>
      </w:r>
      <w:r w:rsidRPr="00EF4253">
        <w:rPr>
          <w:rFonts w:eastAsia="Calibri"/>
          <w:lang w:eastAsia="en-US"/>
        </w:rPr>
        <w:t>rokov s </w:t>
      </w:r>
      <w:proofErr w:type="spellStart"/>
      <w:r w:rsidRPr="00EF4253">
        <w:rPr>
          <w:rFonts w:eastAsia="Calibri"/>
          <w:lang w:eastAsia="en-US"/>
        </w:rPr>
        <w:t>vertebrálnou</w:t>
      </w:r>
      <w:proofErr w:type="spellEnd"/>
      <w:r w:rsidRPr="00EF4253">
        <w:rPr>
          <w:rFonts w:eastAsia="Calibri"/>
          <w:lang w:eastAsia="en-US"/>
        </w:rPr>
        <w:t xml:space="preserve"> fraktúrou alebo bez nej na začiatku</w:t>
      </w:r>
      <w:r w:rsidR="005866F1" w:rsidRPr="00EF4253">
        <w:rPr>
          <w:rFonts w:eastAsia="Calibri"/>
          <w:lang w:eastAsia="en-US"/>
        </w:rPr>
        <w:t xml:space="preserve"> štúdie</w:t>
      </w:r>
      <w:r w:rsidRPr="00EF4253">
        <w:rPr>
          <w:rFonts w:eastAsia="Calibri"/>
          <w:lang w:eastAsia="en-US"/>
        </w:rPr>
        <w:t xml:space="preserve">. </w:t>
      </w:r>
      <w:r w:rsidR="005F63AE" w:rsidRPr="00EF4253">
        <w:rPr>
          <w:rFonts w:eastAsia="Calibri"/>
          <w:lang w:eastAsia="en-US"/>
        </w:rPr>
        <w:t xml:space="preserve">Ženy </w:t>
      </w:r>
      <w:r w:rsidR="005866F1" w:rsidRPr="00EF4253">
        <w:rPr>
          <w:rFonts w:eastAsia="Calibri"/>
          <w:lang w:eastAsia="en-US"/>
        </w:rPr>
        <w:t xml:space="preserve">vo veku </w:t>
      </w:r>
      <w:r w:rsidRPr="00EF4253">
        <w:rPr>
          <w:rFonts w:eastAsia="Calibri"/>
          <w:lang w:eastAsia="en-US"/>
        </w:rPr>
        <w:t>70</w:t>
      </w:r>
      <w:r w:rsidR="00CA0B01" w:rsidRPr="00EF4253">
        <w:rPr>
          <w:rFonts w:eastAsia="Calibri"/>
          <w:lang w:eastAsia="en-US"/>
        </w:rPr>
        <w:t> </w:t>
      </w:r>
      <w:r w:rsidRPr="00EF4253">
        <w:rPr>
          <w:rFonts w:eastAsia="Calibri"/>
          <w:lang w:eastAsia="en-US"/>
        </w:rPr>
        <w:t>–</w:t>
      </w:r>
      <w:r w:rsidR="00CA0B01" w:rsidRPr="00EF4253">
        <w:rPr>
          <w:rFonts w:eastAsia="Calibri"/>
          <w:lang w:eastAsia="en-US"/>
        </w:rPr>
        <w:t> </w:t>
      </w:r>
      <w:r w:rsidRPr="00EF4253">
        <w:rPr>
          <w:rFonts w:eastAsia="Calibri"/>
          <w:lang w:eastAsia="en-US"/>
        </w:rPr>
        <w:t>79 r</w:t>
      </w:r>
      <w:r w:rsidR="005866F1" w:rsidRPr="00EF4253">
        <w:rPr>
          <w:rFonts w:eastAsia="Calibri"/>
          <w:lang w:eastAsia="en-US"/>
        </w:rPr>
        <w:t xml:space="preserve">okov boli zahrnuté v prípade, že hodnoty </w:t>
      </w:r>
      <w:r w:rsidR="00E8769F" w:rsidRPr="00EF4253">
        <w:rPr>
          <w:rFonts w:eastAsia="Calibri"/>
          <w:lang w:eastAsia="en-US"/>
        </w:rPr>
        <w:t>minerálnej</w:t>
      </w:r>
      <w:r w:rsidR="005866F1" w:rsidRPr="00EF4253">
        <w:rPr>
          <w:rFonts w:eastAsia="Calibri"/>
          <w:lang w:eastAsia="en-US"/>
        </w:rPr>
        <w:t xml:space="preserve"> </w:t>
      </w:r>
      <w:proofErr w:type="spellStart"/>
      <w:r w:rsidR="005866F1" w:rsidRPr="00EF4253">
        <w:rPr>
          <w:rFonts w:eastAsia="Calibri"/>
          <w:lang w:eastAsia="en-US"/>
        </w:rPr>
        <w:t>denzity</w:t>
      </w:r>
      <w:proofErr w:type="spellEnd"/>
      <w:r w:rsidR="005866F1" w:rsidRPr="00EF4253">
        <w:rPr>
          <w:rFonts w:eastAsia="Calibri"/>
          <w:lang w:eastAsia="en-US"/>
        </w:rPr>
        <w:t xml:space="preserve"> kosti (</w:t>
      </w:r>
      <w:r w:rsidR="00BF7FB3" w:rsidRPr="00EF4253">
        <w:rPr>
          <w:rFonts w:eastAsia="Calibri"/>
          <w:lang w:eastAsia="en-US"/>
        </w:rPr>
        <w:t>ď</w:t>
      </w:r>
      <w:r w:rsidR="005866F1" w:rsidRPr="00EF4253">
        <w:rPr>
          <w:rFonts w:eastAsia="Calibri"/>
          <w:lang w:eastAsia="en-US"/>
        </w:rPr>
        <w:t>alej BMD z </w:t>
      </w:r>
      <w:proofErr w:type="spellStart"/>
      <w:r w:rsidR="005866F1" w:rsidRPr="00EF4253">
        <w:rPr>
          <w:rFonts w:eastAsia="Calibri"/>
          <w:lang w:eastAsia="en-US"/>
        </w:rPr>
        <w:t>ang</w:t>
      </w:r>
      <w:proofErr w:type="spellEnd"/>
      <w:r w:rsidR="005866F1" w:rsidRPr="00EF4253">
        <w:rPr>
          <w:rFonts w:eastAsia="Calibri"/>
          <w:lang w:eastAsia="en-US"/>
        </w:rPr>
        <w:t xml:space="preserve">. bone </w:t>
      </w:r>
      <w:proofErr w:type="spellStart"/>
      <w:r w:rsidR="005866F1" w:rsidRPr="00EF4253">
        <w:rPr>
          <w:rFonts w:eastAsia="Calibri"/>
          <w:lang w:eastAsia="en-US"/>
        </w:rPr>
        <w:t>mineral</w:t>
      </w:r>
      <w:proofErr w:type="spellEnd"/>
      <w:r w:rsidR="005866F1" w:rsidRPr="00EF4253">
        <w:rPr>
          <w:rFonts w:eastAsia="Calibri"/>
          <w:lang w:eastAsia="en-US"/>
        </w:rPr>
        <w:t xml:space="preserve"> </w:t>
      </w:r>
      <w:proofErr w:type="spellStart"/>
      <w:r w:rsidR="005866F1" w:rsidRPr="00EF4253">
        <w:rPr>
          <w:rFonts w:eastAsia="Calibri"/>
          <w:lang w:eastAsia="en-US"/>
        </w:rPr>
        <w:t>density</w:t>
      </w:r>
      <w:proofErr w:type="spellEnd"/>
      <w:r w:rsidR="005866F1" w:rsidRPr="00EF4253">
        <w:rPr>
          <w:rFonts w:eastAsia="Calibri"/>
          <w:lang w:eastAsia="en-US"/>
        </w:rPr>
        <w:t xml:space="preserve">) vyjadrená pomocou </w:t>
      </w:r>
      <w:proofErr w:type="spellStart"/>
      <w:r w:rsidR="005866F1" w:rsidRPr="00EF4253">
        <w:rPr>
          <w:rFonts w:eastAsia="Calibri"/>
          <w:lang w:eastAsia="en-US"/>
        </w:rPr>
        <w:t>T-skóre</w:t>
      </w:r>
      <w:proofErr w:type="spellEnd"/>
      <w:r w:rsidR="005866F1" w:rsidRPr="00EF4253">
        <w:rPr>
          <w:rFonts w:eastAsia="Calibri"/>
          <w:lang w:eastAsia="en-US"/>
        </w:rPr>
        <w:t xml:space="preserve"> boli v oblasti </w:t>
      </w:r>
      <w:r w:rsidR="007B4589" w:rsidRPr="00EF4253">
        <w:rPr>
          <w:rFonts w:eastAsia="Calibri"/>
          <w:lang w:eastAsia="en-US"/>
        </w:rPr>
        <w:t xml:space="preserve">krčka </w:t>
      </w:r>
      <w:proofErr w:type="spellStart"/>
      <w:r w:rsidR="005866F1" w:rsidRPr="00EF4253">
        <w:rPr>
          <w:rFonts w:eastAsia="Calibri"/>
          <w:lang w:eastAsia="en-US"/>
        </w:rPr>
        <w:t>femuru</w:t>
      </w:r>
      <w:proofErr w:type="spellEnd"/>
      <w:r w:rsidR="005866F1" w:rsidRPr="00EF4253">
        <w:rPr>
          <w:rFonts w:eastAsia="Calibri"/>
          <w:lang w:eastAsia="en-US"/>
        </w:rPr>
        <w:t xml:space="preserve"> </w:t>
      </w:r>
      <w:r w:rsidRPr="00EF4253">
        <w:rPr>
          <w:rFonts w:eastAsia="Calibri"/>
          <w:lang w:eastAsia="en-US"/>
        </w:rPr>
        <w:sym w:font="Symbol" w:char="F03C"/>
      </w:r>
      <w:r w:rsidR="00CA0B01" w:rsidRPr="00EF4253">
        <w:rPr>
          <w:rFonts w:eastAsia="Calibri"/>
          <w:lang w:eastAsia="en-US"/>
        </w:rPr>
        <w:t> </w:t>
      </w:r>
      <w:r w:rsidRPr="00EF4253">
        <w:rPr>
          <w:rFonts w:eastAsia="Calibri"/>
          <w:lang w:eastAsia="en-US"/>
        </w:rPr>
        <w:t>-3 SD (rozpätie udané výrobcom; t.j</w:t>
      </w:r>
      <w:r w:rsidR="00CA0B01" w:rsidRPr="00EF4253">
        <w:rPr>
          <w:rFonts w:eastAsia="Calibri"/>
          <w:lang w:eastAsia="en-US"/>
        </w:rPr>
        <w:t>. </w:t>
      </w:r>
      <w:r w:rsidRPr="00EF4253">
        <w:rPr>
          <w:rFonts w:eastAsia="Calibri"/>
          <w:lang w:eastAsia="en-US"/>
        </w:rPr>
        <w:t>-2,5 SD použitím NHANES III) a</w:t>
      </w:r>
      <w:r w:rsidR="00CA0B01" w:rsidRPr="00EF4253">
        <w:rPr>
          <w:rFonts w:eastAsia="Calibri"/>
          <w:lang w:eastAsia="en-US"/>
        </w:rPr>
        <w:t> </w:t>
      </w:r>
      <w:r w:rsidR="005866F1" w:rsidRPr="00EF4253">
        <w:rPr>
          <w:rFonts w:eastAsia="Calibri"/>
          <w:lang w:eastAsia="en-US"/>
        </w:rPr>
        <w:t xml:space="preserve">ženy mali aspoň jeden </w:t>
      </w:r>
      <w:r w:rsidR="002F7115" w:rsidRPr="00EF4253">
        <w:rPr>
          <w:rFonts w:eastAsia="Calibri"/>
          <w:lang w:eastAsia="en-US"/>
        </w:rPr>
        <w:t>ď</w:t>
      </w:r>
      <w:r w:rsidR="005866F1" w:rsidRPr="00EF4253">
        <w:rPr>
          <w:rFonts w:eastAsia="Calibri"/>
          <w:lang w:eastAsia="en-US"/>
        </w:rPr>
        <w:t>alší rizikový faktor.</w:t>
      </w:r>
      <w:r w:rsidR="001A3A39" w:rsidRPr="00EF4253">
        <w:rPr>
          <w:rFonts w:eastAsia="Calibri"/>
          <w:lang w:eastAsia="en-US"/>
        </w:rPr>
        <w:t xml:space="preserve"> </w:t>
      </w:r>
      <w:r w:rsidRPr="00EF4253">
        <w:rPr>
          <w:rFonts w:eastAsia="Calibri"/>
          <w:lang w:eastAsia="en-US"/>
        </w:rPr>
        <w:t xml:space="preserve">Ženy </w:t>
      </w:r>
      <w:r w:rsidR="00560642" w:rsidRPr="00EF4253">
        <w:rPr>
          <w:rFonts w:eastAsia="Calibri"/>
          <w:lang w:eastAsia="en-US"/>
        </w:rPr>
        <w:t xml:space="preserve">staršie ako </w:t>
      </w:r>
      <w:r w:rsidRPr="00EF4253">
        <w:rPr>
          <w:rFonts w:eastAsia="Calibri"/>
          <w:lang w:eastAsia="en-US"/>
        </w:rPr>
        <w:t>80</w:t>
      </w:r>
      <w:r w:rsidR="009744CE" w:rsidRPr="00EF4253">
        <w:rPr>
          <w:rFonts w:eastAsia="Calibri"/>
          <w:lang w:eastAsia="en-US"/>
        </w:rPr>
        <w:t> </w:t>
      </w:r>
      <w:r w:rsidRPr="00EF4253">
        <w:rPr>
          <w:rFonts w:eastAsia="Calibri"/>
          <w:lang w:eastAsia="en-US"/>
        </w:rPr>
        <w:t xml:space="preserve">ročné </w:t>
      </w:r>
      <w:r w:rsidR="00D22FA2" w:rsidRPr="00EF4253">
        <w:rPr>
          <w:rFonts w:eastAsia="Calibri"/>
          <w:lang w:eastAsia="en-US"/>
        </w:rPr>
        <w:t xml:space="preserve">mohli byť </w:t>
      </w:r>
      <w:r w:rsidRPr="00EF4253">
        <w:rPr>
          <w:rFonts w:eastAsia="Calibri"/>
          <w:lang w:eastAsia="en-US"/>
        </w:rPr>
        <w:t xml:space="preserve">zaradené na základe najmenej jedného </w:t>
      </w:r>
      <w:proofErr w:type="spellStart"/>
      <w:r w:rsidRPr="00EF4253">
        <w:rPr>
          <w:rFonts w:eastAsia="Calibri"/>
          <w:lang w:eastAsia="en-US"/>
        </w:rPr>
        <w:t>neskeletárneho</w:t>
      </w:r>
      <w:proofErr w:type="spellEnd"/>
      <w:r w:rsidRPr="00EF4253">
        <w:rPr>
          <w:rFonts w:eastAsia="Calibri"/>
          <w:lang w:eastAsia="en-US"/>
        </w:rPr>
        <w:t xml:space="preserve"> rizikového faktora bedrovej fraktúry alebo na základe nízkej minerálnej kostnej hustoty v krčku stehnovej kosti. Štatisticky významná účinnosť </w:t>
      </w:r>
      <w:proofErr w:type="spellStart"/>
      <w:r w:rsidRPr="00EF4253">
        <w:rPr>
          <w:rFonts w:eastAsia="Calibri"/>
          <w:lang w:eastAsia="en-US"/>
        </w:rPr>
        <w:t>rizedronátu</w:t>
      </w:r>
      <w:proofErr w:type="spellEnd"/>
      <w:r w:rsidRPr="00EF4253">
        <w:rPr>
          <w:rFonts w:eastAsia="Calibri"/>
          <w:lang w:eastAsia="en-US"/>
        </w:rPr>
        <w:t xml:space="preserve"> v porovnaní s </w:t>
      </w:r>
      <w:proofErr w:type="spellStart"/>
      <w:r w:rsidRPr="00EF4253">
        <w:rPr>
          <w:rFonts w:eastAsia="Calibri"/>
          <w:lang w:eastAsia="en-US"/>
        </w:rPr>
        <w:t>placebom</w:t>
      </w:r>
      <w:proofErr w:type="spellEnd"/>
      <w:r w:rsidRPr="00EF4253">
        <w:rPr>
          <w:rFonts w:eastAsia="Calibri"/>
          <w:lang w:eastAsia="en-US"/>
        </w:rPr>
        <w:t xml:space="preserve"> sa dosiahla iba zlúčením obidvoch liečených skupín s</w:t>
      </w:r>
      <w:r w:rsidR="005B4AA6" w:rsidRPr="00EF4253">
        <w:rPr>
          <w:rFonts w:eastAsia="Calibri"/>
          <w:lang w:eastAsia="en-US"/>
        </w:rPr>
        <w:t xml:space="preserve"> </w:t>
      </w:r>
      <w:r w:rsidRPr="00EF4253">
        <w:rPr>
          <w:rFonts w:eastAsia="Calibri"/>
          <w:lang w:eastAsia="en-US"/>
        </w:rPr>
        <w:t>2,5 mg a</w:t>
      </w:r>
      <w:r w:rsidR="00CA0B01" w:rsidRPr="00EF4253">
        <w:rPr>
          <w:rFonts w:eastAsia="Calibri"/>
          <w:lang w:eastAsia="en-US"/>
        </w:rPr>
        <w:t> </w:t>
      </w:r>
      <w:r w:rsidRPr="00EF4253">
        <w:rPr>
          <w:rFonts w:eastAsia="Calibri"/>
          <w:lang w:eastAsia="en-US"/>
        </w:rPr>
        <w:t>5 mg.</w:t>
      </w:r>
      <w:r w:rsidR="00C12B5A" w:rsidRPr="00EF4253">
        <w:rPr>
          <w:rFonts w:eastAsia="Calibri"/>
          <w:lang w:eastAsia="en-US"/>
        </w:rPr>
        <w:t xml:space="preserve"> </w:t>
      </w:r>
      <w:r w:rsidRPr="00EF4253">
        <w:t xml:space="preserve">Nasledujúce výsledky sú založené iba </w:t>
      </w:r>
      <w:r w:rsidR="00430554" w:rsidRPr="00EF4253">
        <w:t xml:space="preserve">na </w:t>
      </w:r>
      <w:proofErr w:type="spellStart"/>
      <w:r w:rsidR="00560642" w:rsidRPr="00EF4253">
        <w:rPr>
          <w:i/>
          <w:iCs/>
          <w:lang w:eastAsia="sk-SK"/>
        </w:rPr>
        <w:t>aposteriori</w:t>
      </w:r>
      <w:proofErr w:type="spellEnd"/>
      <w:r w:rsidR="00560642" w:rsidRPr="00EF4253">
        <w:t xml:space="preserve"> </w:t>
      </w:r>
      <w:r w:rsidRPr="00EF4253">
        <w:t>analýz</w:t>
      </w:r>
      <w:r w:rsidR="00430554" w:rsidRPr="00EF4253">
        <w:t>e</w:t>
      </w:r>
      <w:r w:rsidR="00560642" w:rsidRPr="00EF4253">
        <w:t xml:space="preserve"> </w:t>
      </w:r>
      <w:r w:rsidRPr="00EF4253">
        <w:t xml:space="preserve">podskupín vytvorených na základe klinických skúseností a súčasnej definície </w:t>
      </w:r>
      <w:proofErr w:type="spellStart"/>
      <w:r w:rsidRPr="00EF4253">
        <w:t>osteoporózy</w:t>
      </w:r>
      <w:proofErr w:type="spellEnd"/>
      <w:r w:rsidRPr="00EF4253">
        <w:t>:</w:t>
      </w:r>
    </w:p>
    <w:p w14:paraId="767F9447" w14:textId="77777777" w:rsidR="0084711F" w:rsidRPr="00EF4253" w:rsidRDefault="0084711F" w:rsidP="00FC35F0">
      <w:pPr>
        <w:pStyle w:val="Normlndobloku"/>
        <w:spacing w:after="0"/>
      </w:pPr>
    </w:p>
    <w:p w14:paraId="38834B82" w14:textId="7458870D" w:rsidR="00E168AF" w:rsidRPr="00EF4253" w:rsidRDefault="00E168AF" w:rsidP="00FC35F0">
      <w:pPr>
        <w:pStyle w:val="Normlndoblokusodrkami"/>
        <w:numPr>
          <w:ilvl w:val="1"/>
          <w:numId w:val="10"/>
        </w:numPr>
      </w:pPr>
      <w:r w:rsidRPr="00EF4253">
        <w:t>v podskupine pacientov, ktorí mali v</w:t>
      </w:r>
      <w:r w:rsidR="00CA0B01" w:rsidRPr="00EF4253">
        <w:t> </w:t>
      </w:r>
      <w:r w:rsidRPr="00EF4253">
        <w:t xml:space="preserve">krčku stehnovej kosti BMD </w:t>
      </w:r>
      <w:proofErr w:type="spellStart"/>
      <w:r w:rsidRPr="00EF4253">
        <w:t>T-skóre</w:t>
      </w:r>
      <w:proofErr w:type="spellEnd"/>
      <w:r w:rsidRPr="00EF4253">
        <w:t xml:space="preserve"> </w:t>
      </w:r>
      <w:r w:rsidR="007B4589" w:rsidRPr="00FC35F0">
        <w:t>&lt;</w:t>
      </w:r>
      <w:r w:rsidR="00CA0B01" w:rsidRPr="00305E31">
        <w:t> </w:t>
      </w:r>
      <w:r w:rsidRPr="00305E31">
        <w:t>-</w:t>
      </w:r>
      <w:r w:rsidR="00D22FA2" w:rsidRPr="00EF4253">
        <w:t> </w:t>
      </w:r>
      <w:r w:rsidRPr="00EF4253">
        <w:t xml:space="preserve">2,5SD (NHANES III) a najmenej jednu </w:t>
      </w:r>
      <w:proofErr w:type="spellStart"/>
      <w:r w:rsidRPr="00EF4253">
        <w:t>vertebrálnu</w:t>
      </w:r>
      <w:proofErr w:type="spellEnd"/>
      <w:r w:rsidRPr="00EF4253">
        <w:t xml:space="preserve"> fraktúru na začiatku, sa</w:t>
      </w:r>
      <w:r w:rsidR="002F7115" w:rsidRPr="00EF4253">
        <w:t xml:space="preserve"> </w:t>
      </w:r>
      <w:r w:rsidRPr="00EF4253">
        <w:t xml:space="preserve">podávaním </w:t>
      </w:r>
      <w:proofErr w:type="spellStart"/>
      <w:r w:rsidRPr="00EF4253">
        <w:t>nátriumrizedronátu</w:t>
      </w:r>
      <w:proofErr w:type="spellEnd"/>
      <w:r w:rsidRPr="00EF4253">
        <w:t xml:space="preserve"> po dobu 3 rokov znížilo riziko bedrových fraktúr o</w:t>
      </w:r>
      <w:r w:rsidR="00CA0B01" w:rsidRPr="00EF4253">
        <w:t> </w:t>
      </w:r>
      <w:r w:rsidRPr="00EF4253">
        <w:t>46</w:t>
      </w:r>
      <w:r w:rsidR="00CA0B01" w:rsidRPr="00EF4253">
        <w:t> </w:t>
      </w:r>
      <w:r w:rsidRPr="00EF4253">
        <w:sym w:font="Symbol" w:char="F025"/>
      </w:r>
      <w:r w:rsidRPr="00EF4253">
        <w:t xml:space="preserve"> v porovnaní s kontrolnou skupinou (výskyt bedrových fraktúr v kombinovanej skupine s</w:t>
      </w:r>
      <w:r w:rsidR="00CA0B01" w:rsidRPr="00EF4253">
        <w:t> </w:t>
      </w:r>
      <w:r w:rsidRPr="00EF4253">
        <w:t xml:space="preserve">2,5 a 5 mg </w:t>
      </w:r>
      <w:proofErr w:type="spellStart"/>
      <w:r w:rsidRPr="00EF4253">
        <w:t>nátriumrizedronátu</w:t>
      </w:r>
      <w:proofErr w:type="spellEnd"/>
      <w:r w:rsidRPr="00EF4253">
        <w:t xml:space="preserve"> bol 3,8</w:t>
      </w:r>
      <w:r w:rsidR="00CA0B01" w:rsidRPr="00EF4253">
        <w:t> </w:t>
      </w:r>
      <w:r w:rsidRPr="00EF4253">
        <w:sym w:font="Symbol" w:char="F025"/>
      </w:r>
      <w:r w:rsidRPr="00EF4253">
        <w:t>, v</w:t>
      </w:r>
      <w:r w:rsidR="00CA0B01" w:rsidRPr="00EF4253">
        <w:t> </w:t>
      </w:r>
      <w:r w:rsidRPr="00EF4253">
        <w:t xml:space="preserve">skupine užívajúcej </w:t>
      </w:r>
      <w:proofErr w:type="spellStart"/>
      <w:r w:rsidRPr="00EF4253">
        <w:t>placebo</w:t>
      </w:r>
      <w:proofErr w:type="spellEnd"/>
      <w:r w:rsidRPr="00EF4253">
        <w:t xml:space="preserve"> 7,4</w:t>
      </w:r>
      <w:r w:rsidR="00CA0B01" w:rsidRPr="00EF4253">
        <w:t> </w:t>
      </w:r>
      <w:r w:rsidRPr="00EF4253">
        <w:sym w:font="Symbol" w:char="F025"/>
      </w:r>
      <w:r w:rsidRPr="00EF4253">
        <w:t>);</w:t>
      </w:r>
    </w:p>
    <w:p w14:paraId="17684C33" w14:textId="77777777" w:rsidR="0084711F" w:rsidRPr="00FC35F0" w:rsidRDefault="0084711F" w:rsidP="00FC35F0">
      <w:pPr>
        <w:pStyle w:val="Normlndobloku"/>
      </w:pPr>
    </w:p>
    <w:p w14:paraId="03D8ADC0" w14:textId="364EE847" w:rsidR="00E168AF" w:rsidRPr="00EF4253" w:rsidRDefault="00E168AF" w:rsidP="00FC35F0">
      <w:pPr>
        <w:pStyle w:val="Normlndobloku"/>
        <w:numPr>
          <w:ilvl w:val="1"/>
          <w:numId w:val="13"/>
        </w:numPr>
        <w:tabs>
          <w:tab w:val="clear" w:pos="6946"/>
        </w:tabs>
        <w:spacing w:after="0"/>
        <w:ind w:left="1843"/>
      </w:pPr>
      <w:r w:rsidRPr="00EF4253">
        <w:rPr>
          <w:rFonts w:eastAsia="Calibri"/>
          <w:lang w:eastAsia="en-US"/>
        </w:rPr>
        <w:t xml:space="preserve">výsledky naznačujú, že u veľmi starých žien </w:t>
      </w:r>
      <w:r w:rsidR="00852FD9" w:rsidRPr="00EF4253">
        <w:rPr>
          <w:rFonts w:eastAsia="Calibri"/>
          <w:lang w:eastAsia="en-US"/>
        </w:rPr>
        <w:t>(&gt; </w:t>
      </w:r>
      <w:r w:rsidRPr="00EF4253">
        <w:rPr>
          <w:rFonts w:eastAsia="Calibri"/>
          <w:lang w:eastAsia="en-US"/>
        </w:rPr>
        <w:t xml:space="preserve">80 rokov) môže byť táto ochrana </w:t>
      </w:r>
      <w:r w:rsidR="00852FD9" w:rsidRPr="00EF4253">
        <w:rPr>
          <w:rFonts w:eastAsia="Calibri"/>
          <w:lang w:eastAsia="en-US"/>
        </w:rPr>
        <w:t>limitovanejšia</w:t>
      </w:r>
      <w:r w:rsidRPr="00EF4253">
        <w:rPr>
          <w:rFonts w:eastAsia="Calibri"/>
          <w:lang w:eastAsia="en-US"/>
        </w:rPr>
        <w:t xml:space="preserve">. Je to pravdepodobne z dôvodu, že s narastajúcim vekom stúpa dôležitosť </w:t>
      </w:r>
      <w:proofErr w:type="spellStart"/>
      <w:r w:rsidRPr="00EF4253">
        <w:rPr>
          <w:rFonts w:eastAsia="Calibri"/>
          <w:lang w:eastAsia="en-US"/>
        </w:rPr>
        <w:t>neskeletá</w:t>
      </w:r>
      <w:r w:rsidR="001A3A39" w:rsidRPr="00EF4253">
        <w:rPr>
          <w:rFonts w:eastAsia="Calibri"/>
          <w:lang w:eastAsia="en-US"/>
        </w:rPr>
        <w:t>l</w:t>
      </w:r>
      <w:r w:rsidRPr="00EF4253">
        <w:rPr>
          <w:rFonts w:eastAsia="Calibri"/>
          <w:lang w:eastAsia="en-US"/>
        </w:rPr>
        <w:t>nych</w:t>
      </w:r>
      <w:proofErr w:type="spellEnd"/>
      <w:r w:rsidRPr="00EF4253">
        <w:rPr>
          <w:rFonts w:eastAsia="Calibri"/>
          <w:lang w:eastAsia="en-US"/>
        </w:rPr>
        <w:t xml:space="preserve"> faktorov vedúcich ku zlomenine </w:t>
      </w:r>
      <w:r w:rsidR="001A3A39" w:rsidRPr="00EF4253">
        <w:rPr>
          <w:rFonts w:eastAsia="Calibri"/>
          <w:lang w:eastAsia="en-US"/>
        </w:rPr>
        <w:t>bedier</w:t>
      </w:r>
      <w:r w:rsidR="00C12B5A" w:rsidRPr="00EF4253">
        <w:rPr>
          <w:rFonts w:eastAsia="Calibri"/>
          <w:lang w:eastAsia="en-US"/>
        </w:rPr>
        <w:t xml:space="preserve">. </w:t>
      </w:r>
      <w:r w:rsidRPr="00EF4253">
        <w:t>Údaje analyzované ako sekundárne ukazovatele v</w:t>
      </w:r>
      <w:r w:rsidR="00CA0B01" w:rsidRPr="00EF4253">
        <w:t> </w:t>
      </w:r>
      <w:r w:rsidRPr="00EF4253">
        <w:t xml:space="preserve">týchto štúdiách naznačujú pokles rizika nových </w:t>
      </w:r>
      <w:proofErr w:type="spellStart"/>
      <w:r w:rsidRPr="00EF4253">
        <w:t>vertebrálnych</w:t>
      </w:r>
      <w:proofErr w:type="spellEnd"/>
      <w:r w:rsidRPr="00EF4253">
        <w:t xml:space="preserve"> fraktúr u pacientov s nízkou hodnotou BMD v krčku stehnovej kosti</w:t>
      </w:r>
      <w:r w:rsidR="008272CF" w:rsidRPr="00EF4253">
        <w:t>,</w:t>
      </w:r>
      <w:r w:rsidR="002F7115" w:rsidRPr="00EF4253">
        <w:t xml:space="preserve"> </w:t>
      </w:r>
      <w:r w:rsidR="008272CF" w:rsidRPr="00EF4253">
        <w:t xml:space="preserve">ktoré pred zaradením do štúdie </w:t>
      </w:r>
      <w:r w:rsidR="00852FD9" w:rsidRPr="00EF4253">
        <w:t>ne</w:t>
      </w:r>
      <w:r w:rsidR="008272CF" w:rsidRPr="00EF4253">
        <w:t>prekonali</w:t>
      </w:r>
      <w:r w:rsidR="001A3A39" w:rsidRPr="00EF4253">
        <w:t xml:space="preserve"> </w:t>
      </w:r>
      <w:proofErr w:type="spellStart"/>
      <w:r w:rsidRPr="00EF4253">
        <w:t>vertebráln</w:t>
      </w:r>
      <w:r w:rsidR="008272CF" w:rsidRPr="00EF4253">
        <w:t>u</w:t>
      </w:r>
      <w:proofErr w:type="spellEnd"/>
      <w:r w:rsidRPr="00EF4253">
        <w:t xml:space="preserve"> fraktúr</w:t>
      </w:r>
      <w:r w:rsidR="008272CF" w:rsidRPr="00EF4253">
        <w:t>u</w:t>
      </w:r>
      <w:r w:rsidRPr="00EF4253">
        <w:t xml:space="preserve">, ako aj u pacientov </w:t>
      </w:r>
      <w:r w:rsidR="00852FD9" w:rsidRPr="00EF4253">
        <w:t xml:space="preserve">s prekonanou </w:t>
      </w:r>
      <w:proofErr w:type="spellStart"/>
      <w:r w:rsidR="00852FD9" w:rsidRPr="00EF4253">
        <w:t>vertebrálnou</w:t>
      </w:r>
      <w:proofErr w:type="spellEnd"/>
      <w:r w:rsidR="00852FD9" w:rsidRPr="00EF4253">
        <w:t xml:space="preserve"> fraktúrou alebo </w:t>
      </w:r>
      <w:r w:rsidR="008272CF" w:rsidRPr="00EF4253">
        <w:t>bez</w:t>
      </w:r>
      <w:r w:rsidR="00852FD9" w:rsidRPr="00EF4253">
        <w:t xml:space="preserve"> nej.</w:t>
      </w:r>
      <w:r w:rsidR="008272CF" w:rsidRPr="00EF4253">
        <w:t>.</w:t>
      </w:r>
    </w:p>
    <w:p w14:paraId="0DCB01A8" w14:textId="77777777" w:rsidR="0084711F" w:rsidRPr="00EF4253" w:rsidRDefault="0084711F" w:rsidP="00FC35F0">
      <w:pPr>
        <w:pStyle w:val="Normlndobloku"/>
        <w:spacing w:after="0"/>
      </w:pPr>
    </w:p>
    <w:p w14:paraId="2A8E4D48" w14:textId="4EC1DEC5" w:rsidR="00E168AF" w:rsidRPr="00EF4253" w:rsidRDefault="00E168AF">
      <w:pPr>
        <w:pStyle w:val="Normlndoblokusodrkami"/>
      </w:pPr>
      <w:r w:rsidRPr="00FC35F0">
        <w:t xml:space="preserve">Denné dávky 5 mg </w:t>
      </w:r>
      <w:proofErr w:type="spellStart"/>
      <w:r w:rsidRPr="00FC35F0">
        <w:t>nátriumrizedronátu</w:t>
      </w:r>
      <w:proofErr w:type="spellEnd"/>
      <w:r w:rsidRPr="00FC35F0">
        <w:t xml:space="preserve"> podávané počas troch rokov zvýšili minerálnu hustotu kostí (BMD) </w:t>
      </w:r>
      <w:r w:rsidR="00852FD9" w:rsidRPr="00FC35F0">
        <w:t xml:space="preserve">v porovnaní s kontrolnou skupinou </w:t>
      </w:r>
      <w:r w:rsidRPr="00FC35F0">
        <w:t xml:space="preserve">v oblasti lumbálnej chrbtice, krčku stehennej kosti, </w:t>
      </w:r>
      <w:proofErr w:type="spellStart"/>
      <w:r w:rsidRPr="00FC35F0">
        <w:t>trochanteru</w:t>
      </w:r>
      <w:proofErr w:type="spellEnd"/>
      <w:r w:rsidRPr="00FC35F0">
        <w:t xml:space="preserve"> a</w:t>
      </w:r>
      <w:r w:rsidR="009744CE" w:rsidRPr="00FC35F0">
        <w:t> </w:t>
      </w:r>
      <w:r w:rsidRPr="00FC35F0">
        <w:t>zápästia a udržiavali hustotu kostí v strednej časti vretennej kosti.</w:t>
      </w:r>
    </w:p>
    <w:p w14:paraId="0AB0B0FD" w14:textId="77777777" w:rsidR="0084711F" w:rsidRPr="00FC35F0" w:rsidRDefault="0084711F" w:rsidP="00FC35F0">
      <w:pPr>
        <w:pStyle w:val="Normlndobloku"/>
      </w:pPr>
    </w:p>
    <w:p w14:paraId="30379547" w14:textId="7E8BF91D" w:rsidR="00E168AF" w:rsidRPr="00EF4253" w:rsidRDefault="00E168AF">
      <w:pPr>
        <w:pStyle w:val="Normlndoblokusodrkami"/>
      </w:pPr>
      <w:r w:rsidRPr="00EF4253">
        <w:t>V</w:t>
      </w:r>
      <w:r w:rsidR="00CA0B01" w:rsidRPr="00EF4253">
        <w:t> </w:t>
      </w:r>
      <w:r w:rsidRPr="00EF4253">
        <w:t xml:space="preserve">jednoročnom sledovaní po ukončení trojročnej liečby dennou dávkou 5 mg </w:t>
      </w:r>
      <w:proofErr w:type="spellStart"/>
      <w:r w:rsidRPr="00EF4253">
        <w:t>rizedronátu</w:t>
      </w:r>
      <w:proofErr w:type="spellEnd"/>
      <w:r w:rsidRPr="00EF4253">
        <w:t xml:space="preserve"> sa pozorovala rýchla </w:t>
      </w:r>
      <w:proofErr w:type="spellStart"/>
      <w:r w:rsidRPr="00EF4253">
        <w:t>reverzibilita</w:t>
      </w:r>
      <w:proofErr w:type="spellEnd"/>
      <w:r w:rsidRPr="00EF4253">
        <w:t xml:space="preserve"> tlmivého účinku </w:t>
      </w:r>
      <w:proofErr w:type="spellStart"/>
      <w:r w:rsidRPr="00EF4253">
        <w:t>nátriumrizedronátu</w:t>
      </w:r>
      <w:proofErr w:type="spellEnd"/>
      <w:r w:rsidRPr="00EF4253">
        <w:t xml:space="preserve"> na rýchlosť kostného obratu.</w:t>
      </w:r>
    </w:p>
    <w:p w14:paraId="400B405B" w14:textId="77777777" w:rsidR="0084711F" w:rsidRPr="00FC35F0" w:rsidRDefault="0084711F" w:rsidP="00FC35F0">
      <w:pPr>
        <w:pStyle w:val="Normlndobloku"/>
      </w:pPr>
    </w:p>
    <w:p w14:paraId="5F66A1A1" w14:textId="0D06333D" w:rsidR="00E168AF" w:rsidRPr="00EF4253" w:rsidRDefault="00E168AF">
      <w:pPr>
        <w:pStyle w:val="Normlndoblokusodrkami"/>
      </w:pPr>
      <w:r w:rsidRPr="00EF4253">
        <w:t xml:space="preserve">Vzorky </w:t>
      </w:r>
      <w:proofErr w:type="spellStart"/>
      <w:r w:rsidRPr="00EF4253">
        <w:t>biopsie</w:t>
      </w:r>
      <w:proofErr w:type="spellEnd"/>
      <w:r w:rsidRPr="00EF4253">
        <w:t xml:space="preserve"> kostí žien po </w:t>
      </w:r>
      <w:proofErr w:type="spellStart"/>
      <w:r w:rsidRPr="00EF4253">
        <w:t>menopauze</w:t>
      </w:r>
      <w:proofErr w:type="spellEnd"/>
      <w:r w:rsidRPr="00EF4253">
        <w:t xml:space="preserve"> liečených dennými dávkami 5 mg </w:t>
      </w:r>
      <w:proofErr w:type="spellStart"/>
      <w:r w:rsidRPr="00EF4253">
        <w:t>rizedronátu</w:t>
      </w:r>
      <w:proofErr w:type="spellEnd"/>
      <w:r w:rsidRPr="00EF4253">
        <w:t xml:space="preserve"> počas dvoch až troch rokov preukázali očakávaný mierny pokles kostného obratu. Kosti tvorené počas liečby </w:t>
      </w:r>
      <w:proofErr w:type="spellStart"/>
      <w:r w:rsidRPr="00EF4253">
        <w:t>nátriumrizedronátom</w:t>
      </w:r>
      <w:proofErr w:type="spellEnd"/>
      <w:r w:rsidRPr="00EF4253">
        <w:t xml:space="preserve"> mali normálnu </w:t>
      </w:r>
      <w:proofErr w:type="spellStart"/>
      <w:r w:rsidRPr="00EF4253">
        <w:t>lamelárnu</w:t>
      </w:r>
      <w:proofErr w:type="spellEnd"/>
      <w:r w:rsidRPr="00EF4253">
        <w:t xml:space="preserve"> štruktúru a</w:t>
      </w:r>
      <w:r w:rsidR="00CA0B01" w:rsidRPr="00EF4253">
        <w:t> </w:t>
      </w:r>
      <w:proofErr w:type="spellStart"/>
      <w:r w:rsidRPr="00EF4253">
        <w:t>mineralizáciu</w:t>
      </w:r>
      <w:proofErr w:type="spellEnd"/>
      <w:r w:rsidRPr="00EF4253">
        <w:t xml:space="preserve">. </w:t>
      </w:r>
      <w:r w:rsidR="00201872" w:rsidRPr="00EF4253">
        <w:t>Tieto údaje spolu s z</w:t>
      </w:r>
      <w:r w:rsidRPr="00EF4253">
        <w:t>nížený</w:t>
      </w:r>
      <w:r w:rsidR="00201872" w:rsidRPr="00EF4253">
        <w:t>m</w:t>
      </w:r>
      <w:r w:rsidRPr="00EF4253">
        <w:t xml:space="preserve"> výskyt</w:t>
      </w:r>
      <w:r w:rsidR="00201872" w:rsidRPr="00EF4253">
        <w:t>om</w:t>
      </w:r>
      <w:r w:rsidRPr="00EF4253">
        <w:t xml:space="preserve"> fraktúr vo </w:t>
      </w:r>
      <w:proofErr w:type="spellStart"/>
      <w:r w:rsidRPr="00EF4253">
        <w:t>vertebrálnej</w:t>
      </w:r>
      <w:proofErr w:type="spellEnd"/>
      <w:r w:rsidRPr="00EF4253">
        <w:t xml:space="preserve"> oblasti súvisiacich s </w:t>
      </w:r>
      <w:proofErr w:type="spellStart"/>
      <w:r w:rsidRPr="00EF4253">
        <w:t>osteoporózou</w:t>
      </w:r>
      <w:proofErr w:type="spellEnd"/>
      <w:r w:rsidRPr="00EF4253">
        <w:t xml:space="preserve"> u žien </w:t>
      </w:r>
      <w:r w:rsidR="00201872" w:rsidRPr="00EF4253">
        <w:t>nenaznačujú žiadne</w:t>
      </w:r>
      <w:r w:rsidRPr="00EF4253">
        <w:t> škod</w:t>
      </w:r>
      <w:r w:rsidR="00201872" w:rsidRPr="00EF4253">
        <w:t>livé</w:t>
      </w:r>
      <w:r w:rsidRPr="00EF4253">
        <w:t xml:space="preserve"> </w:t>
      </w:r>
      <w:r w:rsidR="00201872" w:rsidRPr="00EF4253">
        <w:t xml:space="preserve">pôsobenie </w:t>
      </w:r>
      <w:r w:rsidRPr="00EF4253">
        <w:t>liečby na kvalitu kosti.</w:t>
      </w:r>
    </w:p>
    <w:p w14:paraId="378289CA" w14:textId="77777777" w:rsidR="0084711F" w:rsidRPr="00FC35F0" w:rsidRDefault="0084711F" w:rsidP="00FC35F0">
      <w:pPr>
        <w:pStyle w:val="Normlndobloku"/>
      </w:pPr>
    </w:p>
    <w:p w14:paraId="7F537959" w14:textId="0D1E5FE2" w:rsidR="00E168AF" w:rsidRPr="00EF4253" w:rsidRDefault="00E168AF" w:rsidP="00FC35F0">
      <w:pPr>
        <w:pStyle w:val="Normlndobloku"/>
        <w:spacing w:after="0"/>
      </w:pPr>
      <w:proofErr w:type="spellStart"/>
      <w:r w:rsidRPr="00EF4253">
        <w:t>Endoskopické</w:t>
      </w:r>
      <w:proofErr w:type="spellEnd"/>
      <w:r w:rsidRPr="00EF4253">
        <w:t xml:space="preserve"> nálezy u</w:t>
      </w:r>
      <w:r w:rsidR="00CA0B01" w:rsidRPr="00EF4253">
        <w:t> </w:t>
      </w:r>
      <w:r w:rsidR="00201872" w:rsidRPr="00EF4253">
        <w:t xml:space="preserve">množstva </w:t>
      </w:r>
      <w:r w:rsidRPr="00EF4253">
        <w:t>pacientov s</w:t>
      </w:r>
      <w:r w:rsidR="00201872" w:rsidRPr="00EF4253">
        <w:t xml:space="preserve"> viacerými stredne závažnými </w:t>
      </w:r>
      <w:r w:rsidRPr="00EF4253">
        <w:t xml:space="preserve">až závažnými </w:t>
      </w:r>
      <w:proofErr w:type="spellStart"/>
      <w:r w:rsidRPr="00EF4253">
        <w:t>gastrointestinálnymi</w:t>
      </w:r>
      <w:proofErr w:type="spellEnd"/>
      <w:r w:rsidRPr="00EF4253">
        <w:t xml:space="preserve"> ťažkosťami nepreukázali v skupine pacientov liečených </w:t>
      </w:r>
      <w:proofErr w:type="spellStart"/>
      <w:r w:rsidR="00F325C9" w:rsidRPr="00EF4253">
        <w:t>nátrium</w:t>
      </w:r>
      <w:r w:rsidRPr="00EF4253">
        <w:t>rizedronátom</w:t>
      </w:r>
      <w:proofErr w:type="spellEnd"/>
      <w:r w:rsidRPr="00EF4253">
        <w:t xml:space="preserve"> ani v skupine kontrolných pacientov žiadny výskyt </w:t>
      </w:r>
      <w:r w:rsidR="00A23F49" w:rsidRPr="00EF4253">
        <w:t xml:space="preserve">liečbou </w:t>
      </w:r>
      <w:r w:rsidRPr="00EF4253">
        <w:t xml:space="preserve">indukovaných žalúdkových, dvanástnikových alebo pažerákových vredov, hoci v skupine pacientov liečených </w:t>
      </w:r>
      <w:proofErr w:type="spellStart"/>
      <w:r w:rsidR="00F325C9" w:rsidRPr="00EF4253">
        <w:t>nátrium</w:t>
      </w:r>
      <w:r w:rsidRPr="00EF4253">
        <w:t>rizedronátom</w:t>
      </w:r>
      <w:proofErr w:type="spellEnd"/>
      <w:r w:rsidRPr="00EF4253">
        <w:t xml:space="preserve"> sa nezvyčajne pozoroval zápal dvanástnika.</w:t>
      </w:r>
    </w:p>
    <w:p w14:paraId="25ECE6D9" w14:textId="77777777" w:rsidR="0084711F" w:rsidRPr="00EF4253" w:rsidRDefault="0084711F" w:rsidP="00FC35F0">
      <w:pPr>
        <w:pStyle w:val="Normlndobloku"/>
        <w:spacing w:after="0"/>
      </w:pPr>
    </w:p>
    <w:p w14:paraId="40633FB2" w14:textId="615127C2" w:rsidR="008272CF" w:rsidRPr="00EF4253" w:rsidRDefault="008272CF" w:rsidP="00FC35F0">
      <w:pPr>
        <w:pStyle w:val="Styl30"/>
        <w:spacing w:after="0"/>
        <w:rPr>
          <w:lang w:val="sk-SK"/>
        </w:rPr>
      </w:pPr>
      <w:r w:rsidRPr="00EF4253">
        <w:rPr>
          <w:lang w:val="sk-SK"/>
        </w:rPr>
        <w:t xml:space="preserve">Liečba </w:t>
      </w:r>
      <w:proofErr w:type="spellStart"/>
      <w:r w:rsidRPr="00EF4253">
        <w:rPr>
          <w:lang w:val="sk-SK"/>
        </w:rPr>
        <w:t>osteoporózy</w:t>
      </w:r>
      <w:proofErr w:type="spellEnd"/>
      <w:r w:rsidRPr="00EF4253">
        <w:rPr>
          <w:lang w:val="sk-SK"/>
        </w:rPr>
        <w:t xml:space="preserve"> u</w:t>
      </w:r>
      <w:r w:rsidR="0084711F" w:rsidRPr="00EF4253">
        <w:rPr>
          <w:lang w:val="sk-SK"/>
        </w:rPr>
        <w:t> </w:t>
      </w:r>
      <w:r w:rsidRPr="00EF4253">
        <w:rPr>
          <w:lang w:val="sk-SK"/>
        </w:rPr>
        <w:t>mužov</w:t>
      </w:r>
    </w:p>
    <w:p w14:paraId="3A8F6CF3" w14:textId="3E37DB02" w:rsidR="008272CF" w:rsidRPr="00EF4253" w:rsidRDefault="002F7115" w:rsidP="00FC35F0">
      <w:pPr>
        <w:pStyle w:val="Normlndobloku"/>
        <w:spacing w:after="0"/>
      </w:pPr>
      <w:proofErr w:type="spellStart"/>
      <w:r w:rsidRPr="00EF4253">
        <w:t>Nátrium</w:t>
      </w:r>
      <w:r w:rsidR="008272CF" w:rsidRPr="00EF4253">
        <w:t>ri</w:t>
      </w:r>
      <w:r w:rsidR="001A3A39" w:rsidRPr="00EF4253">
        <w:t>z</w:t>
      </w:r>
      <w:r w:rsidR="008272CF" w:rsidRPr="00EF4253">
        <w:t>edronát</w:t>
      </w:r>
      <w:proofErr w:type="spellEnd"/>
      <w:r w:rsidR="008272CF" w:rsidRPr="00EF4253">
        <w:t xml:space="preserve"> 3</w:t>
      </w:r>
      <w:r w:rsidR="00864F52">
        <w:t>5</w:t>
      </w:r>
      <w:r w:rsidR="00340968" w:rsidRPr="00EF4253">
        <w:t> </w:t>
      </w:r>
      <w:r w:rsidR="008272CF" w:rsidRPr="00305E31">
        <w:t xml:space="preserve">mg podávaný raz týždenne </w:t>
      </w:r>
      <w:r w:rsidRPr="00305E31">
        <w:t>preukázal</w:t>
      </w:r>
      <w:r w:rsidR="008272CF" w:rsidRPr="00305E31">
        <w:t xml:space="preserve"> svoju účinnosť u mužov s </w:t>
      </w:r>
      <w:proofErr w:type="spellStart"/>
      <w:r w:rsidR="008272CF" w:rsidRPr="00305E31">
        <w:t>osteoporózou</w:t>
      </w:r>
      <w:proofErr w:type="spellEnd"/>
      <w:r w:rsidR="008272CF" w:rsidRPr="00305E31">
        <w:t xml:space="preserve"> (vo veku od 36 do 84 rokov) v dvojročnej, dvojito zaslepenej </w:t>
      </w:r>
      <w:proofErr w:type="spellStart"/>
      <w:r w:rsidR="008272CF" w:rsidRPr="00305E31">
        <w:t>placebom</w:t>
      </w:r>
      <w:proofErr w:type="spellEnd"/>
      <w:r w:rsidR="008272CF" w:rsidRPr="00305E31">
        <w:t xml:space="preserve"> kontrolovanej štúdii</w:t>
      </w:r>
      <w:r w:rsidR="001A3A39" w:rsidRPr="00EF4253">
        <w:t xml:space="preserve"> </w:t>
      </w:r>
      <w:r w:rsidR="00A61F83" w:rsidRPr="00EF4253">
        <w:t>na 284 pacientoch (</w:t>
      </w:r>
      <w:proofErr w:type="spellStart"/>
      <w:r w:rsidRPr="00EF4253">
        <w:t>nátriumrizedronát</w:t>
      </w:r>
      <w:proofErr w:type="spellEnd"/>
      <w:r w:rsidR="00A61F83" w:rsidRPr="00EF4253">
        <w:t xml:space="preserve"> 35</w:t>
      </w:r>
      <w:r w:rsidR="00CA0B01" w:rsidRPr="00EF4253">
        <w:t> </w:t>
      </w:r>
      <w:r w:rsidR="00A61F83" w:rsidRPr="00EF4253">
        <w:t>mg</w:t>
      </w:r>
      <w:r w:rsidR="001A3A39" w:rsidRPr="00EF4253">
        <w:t xml:space="preserve"> </w:t>
      </w:r>
      <w:r w:rsidR="00A61F83" w:rsidRPr="00EF4253">
        <w:t xml:space="preserve">n=191). </w:t>
      </w:r>
      <w:r w:rsidRPr="00EF4253">
        <w:t>Všetci</w:t>
      </w:r>
      <w:r w:rsidR="00A61F83" w:rsidRPr="00EF4253">
        <w:t xml:space="preserve"> pacienti </w:t>
      </w:r>
      <w:r w:rsidRPr="00EF4253">
        <w:t>dostávali</w:t>
      </w:r>
      <w:r w:rsidR="00A61F83" w:rsidRPr="00EF4253">
        <w:t xml:space="preserve"> </w:t>
      </w:r>
      <w:r w:rsidRPr="00EF4253">
        <w:t>okrem toho</w:t>
      </w:r>
      <w:r w:rsidR="00A61F83" w:rsidRPr="00EF4253">
        <w:t xml:space="preserve"> kalcium a vitamín D.</w:t>
      </w:r>
    </w:p>
    <w:p w14:paraId="57BF2A2A" w14:textId="77777777" w:rsidR="00130D20" w:rsidRPr="00EF4253" w:rsidRDefault="00130D20" w:rsidP="00FC35F0">
      <w:pPr>
        <w:pStyle w:val="Normlndobloku"/>
        <w:spacing w:after="0"/>
      </w:pPr>
    </w:p>
    <w:p w14:paraId="2B538596" w14:textId="47227666" w:rsidR="00A61F83" w:rsidRPr="00EF4253" w:rsidRDefault="00A61F83" w:rsidP="00FC35F0">
      <w:pPr>
        <w:pStyle w:val="Normlndobloku"/>
        <w:spacing w:after="0"/>
      </w:pPr>
      <w:r w:rsidRPr="00EF4253">
        <w:t xml:space="preserve">Zvýšenie BMD bolo zaznamenané za 6 mesiacov následne po iniciácii liečby </w:t>
      </w:r>
      <w:proofErr w:type="spellStart"/>
      <w:r w:rsidR="00DA3323" w:rsidRPr="00EF4253">
        <w:t>nátriumrizedronátom</w:t>
      </w:r>
      <w:proofErr w:type="spellEnd"/>
      <w:r w:rsidRPr="00EF4253">
        <w:t xml:space="preserve">. </w:t>
      </w:r>
      <w:proofErr w:type="spellStart"/>
      <w:r w:rsidR="002F7115" w:rsidRPr="00EF4253">
        <w:t>Nátriumrizedronát</w:t>
      </w:r>
      <w:proofErr w:type="spellEnd"/>
      <w:r w:rsidRPr="00EF4253">
        <w:t xml:space="preserve"> 35</w:t>
      </w:r>
      <w:r w:rsidR="00CA0B01" w:rsidRPr="00EF4253">
        <w:t> </w:t>
      </w:r>
      <w:r w:rsidRPr="00EF4253">
        <w:t>mg podávaný raz týždenne vyvolal priemerné zvýšenie BMD v </w:t>
      </w:r>
      <w:r w:rsidR="009C1104" w:rsidRPr="00EF4253">
        <w:t xml:space="preserve">lumbálnej časti </w:t>
      </w:r>
      <w:r w:rsidRPr="00EF4253">
        <w:t>chrbtic</w:t>
      </w:r>
      <w:r w:rsidR="009C1104" w:rsidRPr="00EF4253">
        <w:t>e</w:t>
      </w:r>
      <w:r w:rsidRPr="00EF4253">
        <w:t xml:space="preserve">, krčku stehennej kosti, </w:t>
      </w:r>
      <w:proofErr w:type="spellStart"/>
      <w:r w:rsidR="00420FFD" w:rsidRPr="00EF4253">
        <w:t>t</w:t>
      </w:r>
      <w:r w:rsidRPr="00EF4253">
        <w:t>rochanter</w:t>
      </w:r>
      <w:r w:rsidR="00420FFD" w:rsidRPr="00EF4253">
        <w:t>i</w:t>
      </w:r>
      <w:proofErr w:type="spellEnd"/>
      <w:r w:rsidRPr="00EF4253">
        <w:t xml:space="preserve"> a celkovo v</w:t>
      </w:r>
      <w:r w:rsidR="009C1104" w:rsidRPr="00EF4253">
        <w:t> </w:t>
      </w:r>
      <w:r w:rsidRPr="00EF4253">
        <w:t>bedr</w:t>
      </w:r>
      <w:r w:rsidR="009C1104" w:rsidRPr="00EF4253">
        <w:t>ovej časti</w:t>
      </w:r>
      <w:r w:rsidRPr="00EF4253">
        <w:t xml:space="preserve"> v porovnaní s </w:t>
      </w:r>
      <w:proofErr w:type="spellStart"/>
      <w:r w:rsidRPr="00EF4253">
        <w:t>placebom</w:t>
      </w:r>
      <w:proofErr w:type="spellEnd"/>
      <w:r w:rsidRPr="00EF4253">
        <w:t xml:space="preserve"> po 2 rokoch liečby. V tejto </w:t>
      </w:r>
      <w:r w:rsidR="00DA3323" w:rsidRPr="00EF4253">
        <w:t>štúdii</w:t>
      </w:r>
      <w:r w:rsidRPr="00EF4253">
        <w:t xml:space="preserve"> nebola </w:t>
      </w:r>
      <w:r w:rsidR="00DA3323" w:rsidRPr="00EF4253">
        <w:t>preukázaná</w:t>
      </w:r>
      <w:r w:rsidRPr="00EF4253">
        <w:t xml:space="preserve"> </w:t>
      </w:r>
      <w:r w:rsidR="00DA3323" w:rsidRPr="00EF4253">
        <w:t>účinnosť</w:t>
      </w:r>
      <w:r w:rsidRPr="00EF4253">
        <w:t xml:space="preserve"> z </w:t>
      </w:r>
      <w:r w:rsidR="00DA3323" w:rsidRPr="00EF4253">
        <w:t>hľadiska</w:t>
      </w:r>
      <w:r w:rsidRPr="00EF4253">
        <w:t xml:space="preserve"> </w:t>
      </w:r>
      <w:r w:rsidR="009C1104" w:rsidRPr="00EF4253">
        <w:t xml:space="preserve">nižšieho </w:t>
      </w:r>
      <w:r w:rsidRPr="00EF4253">
        <w:t>vzniku zlomenín.</w:t>
      </w:r>
    </w:p>
    <w:p w14:paraId="3E38A721" w14:textId="1025117E" w:rsidR="00A61F83" w:rsidRPr="00EF4253" w:rsidRDefault="00420FFD" w:rsidP="00FC35F0">
      <w:pPr>
        <w:pStyle w:val="Normlndobloku"/>
        <w:spacing w:after="0"/>
      </w:pPr>
      <w:r w:rsidRPr="00EF4253">
        <w:t xml:space="preserve">Účinok </w:t>
      </w:r>
      <w:proofErr w:type="spellStart"/>
      <w:r w:rsidRPr="00EF4253">
        <w:t>nátriumrizedronátu</w:t>
      </w:r>
      <w:proofErr w:type="spellEnd"/>
      <w:r w:rsidRPr="00EF4253">
        <w:t xml:space="preserve"> na kosti</w:t>
      </w:r>
      <w:r w:rsidR="00A61F83" w:rsidRPr="00EF4253">
        <w:t xml:space="preserve"> (zvýšenie BMD a zníženie BMT) je </w:t>
      </w:r>
      <w:r w:rsidR="002157EF" w:rsidRPr="00EF4253">
        <w:t xml:space="preserve">podobný </w:t>
      </w:r>
      <w:r w:rsidR="00A61F83" w:rsidRPr="00EF4253">
        <w:t>u mužov a u žien.</w:t>
      </w:r>
    </w:p>
    <w:p w14:paraId="0C60CBDB" w14:textId="77777777" w:rsidR="0084711F" w:rsidRPr="00EF4253" w:rsidRDefault="0084711F" w:rsidP="00FC35F0">
      <w:pPr>
        <w:pStyle w:val="Normlndobloku"/>
        <w:spacing w:after="0"/>
      </w:pPr>
    </w:p>
    <w:p w14:paraId="1E707C73" w14:textId="0CE0A9C9" w:rsidR="00A61F83" w:rsidRPr="00EF4253" w:rsidRDefault="00CA0B01" w:rsidP="00FC35F0">
      <w:pPr>
        <w:pStyle w:val="Normlndobloku"/>
        <w:spacing w:after="0"/>
      </w:pPr>
      <w:r w:rsidRPr="00EF4253">
        <w:rPr>
          <w:rStyle w:val="Styl3Char0"/>
          <w:lang w:val="sk-SK"/>
        </w:rPr>
        <w:t>Pediatrická populácia</w:t>
      </w:r>
    </w:p>
    <w:p w14:paraId="531F922D" w14:textId="77777777" w:rsidR="0084711F" w:rsidRPr="00EF4253" w:rsidRDefault="0084711F" w:rsidP="00FC35F0">
      <w:pPr>
        <w:pStyle w:val="Normlndobloku"/>
        <w:spacing w:after="0"/>
      </w:pPr>
    </w:p>
    <w:p w14:paraId="5C630AFD" w14:textId="039EB86D" w:rsidR="007A3DB7" w:rsidRPr="00305E31" w:rsidRDefault="00A61F83" w:rsidP="00FC35F0">
      <w:pPr>
        <w:pStyle w:val="Normlndobloku"/>
        <w:spacing w:after="0"/>
        <w:rPr>
          <w:szCs w:val="22"/>
        </w:rPr>
      </w:pPr>
      <w:r w:rsidRPr="00EF4253">
        <w:t>Bezpečnosť a</w:t>
      </w:r>
      <w:r w:rsidR="00CA0B01" w:rsidRPr="00EF4253">
        <w:t> </w:t>
      </w:r>
      <w:r w:rsidRPr="00EF4253">
        <w:t xml:space="preserve">účinnosť </w:t>
      </w:r>
      <w:proofErr w:type="spellStart"/>
      <w:r w:rsidR="00DA3323" w:rsidRPr="00EF4253">
        <w:t>rizedronátu</w:t>
      </w:r>
      <w:proofErr w:type="spellEnd"/>
      <w:r w:rsidRPr="00EF4253">
        <w:t xml:space="preserve"> </w:t>
      </w:r>
      <w:r w:rsidR="00825921" w:rsidRPr="00EF4253">
        <w:t xml:space="preserve">bola </w:t>
      </w:r>
      <w:r w:rsidR="002157EF" w:rsidRPr="00EF4253">
        <w:t xml:space="preserve">skúmaná </w:t>
      </w:r>
      <w:r w:rsidR="004C6411" w:rsidRPr="00EF4253">
        <w:t xml:space="preserve">v 3 ročnej </w:t>
      </w:r>
      <w:r w:rsidR="00825921" w:rsidRPr="00EF4253">
        <w:t>štúdii (v </w:t>
      </w:r>
      <w:proofErr w:type="spellStart"/>
      <w:r w:rsidR="00825921" w:rsidRPr="00EF4253">
        <w:t>randomizovanej</w:t>
      </w:r>
      <w:proofErr w:type="spellEnd"/>
      <w:r w:rsidR="00825921" w:rsidRPr="00EF4253">
        <w:t xml:space="preserve">, dvojito zaslepenej, </w:t>
      </w:r>
      <w:proofErr w:type="spellStart"/>
      <w:r w:rsidR="00825921" w:rsidRPr="00EF4253">
        <w:t>placebom</w:t>
      </w:r>
      <w:proofErr w:type="spellEnd"/>
      <w:r w:rsidR="00825921" w:rsidRPr="00EF4253">
        <w:t xml:space="preserve"> kontrolovanej, </w:t>
      </w:r>
      <w:proofErr w:type="spellStart"/>
      <w:r w:rsidR="00825921" w:rsidRPr="00EF4253">
        <w:t>multicentrickej</w:t>
      </w:r>
      <w:proofErr w:type="spellEnd"/>
      <w:r w:rsidR="00825921" w:rsidRPr="00EF4253">
        <w:t xml:space="preserve"> štúdii s paralelnými skupinami jednoročného trvania nasledovaného 2 rokmi otvorenej liečby)</w:t>
      </w:r>
      <w:r w:rsidR="007A3DB7" w:rsidRPr="00EF4253">
        <w:t xml:space="preserve"> u pediatrických pacientov</w:t>
      </w:r>
      <w:r w:rsidRPr="00EF4253">
        <w:t xml:space="preserve"> vo veku od 4 do menej ako 16 rokov</w:t>
      </w:r>
      <w:r w:rsidR="007A3DB7" w:rsidRPr="00EF4253">
        <w:t xml:space="preserve"> s miernou až stredne ťažkou </w:t>
      </w:r>
      <w:proofErr w:type="spellStart"/>
      <w:r w:rsidR="007A3DB7" w:rsidRPr="00FC35F0">
        <w:rPr>
          <w:i/>
        </w:rPr>
        <w:t>osteogenesis</w:t>
      </w:r>
      <w:proofErr w:type="spellEnd"/>
      <w:r w:rsidR="007A3DB7" w:rsidRPr="00FC35F0">
        <w:rPr>
          <w:i/>
        </w:rPr>
        <w:t xml:space="preserve"> </w:t>
      </w:r>
      <w:proofErr w:type="spellStart"/>
      <w:r w:rsidR="007A3DB7" w:rsidRPr="00FC35F0">
        <w:rPr>
          <w:i/>
        </w:rPr>
        <w:t>imperfecta</w:t>
      </w:r>
      <w:proofErr w:type="spellEnd"/>
      <w:r w:rsidRPr="00305E31">
        <w:t xml:space="preserve">. </w:t>
      </w:r>
      <w:r w:rsidR="007A3DB7" w:rsidRPr="00305E31">
        <w:t>V tejto štúdii pacienti s hmotnosťou vyššou než 30 kg užívali 5 </w:t>
      </w:r>
      <w:r w:rsidR="007A3DB7" w:rsidRPr="00EF4253">
        <w:t xml:space="preserve">mg </w:t>
      </w:r>
      <w:proofErr w:type="spellStart"/>
      <w:r w:rsidR="007A3DB7" w:rsidRPr="00EF4253">
        <w:t>rizedronátu</w:t>
      </w:r>
      <w:proofErr w:type="spellEnd"/>
      <w:r w:rsidR="007A3DB7" w:rsidRPr="00EF4253">
        <w:t xml:space="preserve"> denne.</w:t>
      </w:r>
      <w:r w:rsidR="00C0197D" w:rsidRPr="00EF4253">
        <w:t xml:space="preserve"> </w:t>
      </w:r>
      <w:r w:rsidRPr="00EF4253">
        <w:t xml:space="preserve">Po ukončení jednoročnej, </w:t>
      </w:r>
      <w:proofErr w:type="spellStart"/>
      <w:r w:rsidRPr="00EF4253">
        <w:t>randomizovanej</w:t>
      </w:r>
      <w:proofErr w:type="spellEnd"/>
      <w:r w:rsidRPr="00EF4253">
        <w:t xml:space="preserve">, dvojito zaslepenej </w:t>
      </w:r>
      <w:proofErr w:type="spellStart"/>
      <w:r w:rsidRPr="00EF4253">
        <w:t>placebom</w:t>
      </w:r>
      <w:proofErr w:type="spellEnd"/>
      <w:r w:rsidRPr="00EF4253">
        <w:t xml:space="preserve"> kontrolovanej fázy tejto štúdie sa preukázal štatisticky významný vzostup BMD v</w:t>
      </w:r>
      <w:r w:rsidR="00CA0B01" w:rsidRPr="00EF4253">
        <w:t> </w:t>
      </w:r>
      <w:r w:rsidRPr="00EF4253">
        <w:t>lumbálnej časti chrbtice v</w:t>
      </w:r>
      <w:r w:rsidR="00CA0B01" w:rsidRPr="00EF4253">
        <w:t> </w:t>
      </w:r>
      <w:r w:rsidRPr="00EF4253">
        <w:t>skupine s</w:t>
      </w:r>
      <w:r w:rsidR="00CA0B01" w:rsidRPr="00EF4253">
        <w:t> </w:t>
      </w:r>
      <w:proofErr w:type="spellStart"/>
      <w:r w:rsidRPr="00EF4253">
        <w:t>rizedronátom</w:t>
      </w:r>
      <w:proofErr w:type="spellEnd"/>
      <w:r w:rsidRPr="00EF4253">
        <w:t xml:space="preserve"> oproti skupine s</w:t>
      </w:r>
      <w:r w:rsidR="00F9256A" w:rsidRPr="00EF4253">
        <w:t> </w:t>
      </w:r>
      <w:proofErr w:type="spellStart"/>
      <w:r w:rsidRPr="00EF4253">
        <w:t>placebom</w:t>
      </w:r>
      <w:proofErr w:type="spellEnd"/>
      <w:r w:rsidR="00F9256A" w:rsidRPr="00EF4253">
        <w:t>;</w:t>
      </w:r>
      <w:r w:rsidRPr="00EF4253">
        <w:t xml:space="preserve"> avšak bol zistený zvýšený </w:t>
      </w:r>
      <w:r w:rsidR="007A3DB7" w:rsidRPr="00EF4253">
        <w:t>počet pacientov</w:t>
      </w:r>
      <w:r w:rsidRPr="00EF4253">
        <w:t xml:space="preserve"> aspoň </w:t>
      </w:r>
      <w:r w:rsidR="007A3DB7" w:rsidRPr="00EF4253">
        <w:t>s </w:t>
      </w:r>
      <w:r w:rsidRPr="00EF4253">
        <w:t>1 nov</w:t>
      </w:r>
      <w:r w:rsidR="007A3DB7" w:rsidRPr="00EF4253">
        <w:t>ou</w:t>
      </w:r>
      <w:r w:rsidRPr="00EF4253">
        <w:t xml:space="preserve"> </w:t>
      </w:r>
      <w:proofErr w:type="spellStart"/>
      <w:r w:rsidRPr="00EF4253">
        <w:t>morfometrick</w:t>
      </w:r>
      <w:r w:rsidR="007A3DB7" w:rsidRPr="00EF4253">
        <w:t>ou</w:t>
      </w:r>
      <w:proofErr w:type="spellEnd"/>
      <w:r w:rsidRPr="00EF4253">
        <w:t xml:space="preserve"> (identifikovan</w:t>
      </w:r>
      <w:r w:rsidR="007A3DB7" w:rsidRPr="00EF4253">
        <w:t>ou</w:t>
      </w:r>
      <w:r w:rsidRPr="00EF4253">
        <w:t xml:space="preserve"> RTG) </w:t>
      </w:r>
      <w:proofErr w:type="spellStart"/>
      <w:r w:rsidRPr="00EF4253">
        <w:t>vertebráln</w:t>
      </w:r>
      <w:r w:rsidR="007A3DB7" w:rsidRPr="00EF4253">
        <w:t>ou</w:t>
      </w:r>
      <w:proofErr w:type="spellEnd"/>
      <w:r w:rsidRPr="00EF4253">
        <w:t xml:space="preserve"> fraktúr</w:t>
      </w:r>
      <w:r w:rsidR="007A3DB7" w:rsidRPr="00EF4253">
        <w:t>ou</w:t>
      </w:r>
      <w:r w:rsidRPr="00EF4253">
        <w:t xml:space="preserve"> v</w:t>
      </w:r>
      <w:r w:rsidR="00CA0B01" w:rsidRPr="00EF4253">
        <w:t> </w:t>
      </w:r>
      <w:r w:rsidRPr="00EF4253">
        <w:t xml:space="preserve">skupine </w:t>
      </w:r>
      <w:r w:rsidRPr="00EF4253">
        <w:lastRenderedPageBreak/>
        <w:t>s</w:t>
      </w:r>
      <w:r w:rsidR="00CA0B01" w:rsidRPr="00EF4253">
        <w:t> </w:t>
      </w:r>
      <w:proofErr w:type="spellStart"/>
      <w:r w:rsidRPr="00EF4253">
        <w:t>riz</w:t>
      </w:r>
      <w:r w:rsidR="00CA0B01" w:rsidRPr="00EF4253">
        <w:t>ed</w:t>
      </w:r>
      <w:r w:rsidRPr="00EF4253">
        <w:t>ronátom</w:t>
      </w:r>
      <w:proofErr w:type="spellEnd"/>
      <w:r w:rsidRPr="00EF4253">
        <w:t xml:space="preserve"> oproti skupine s</w:t>
      </w:r>
      <w:r w:rsidR="00CA0B01" w:rsidRPr="00EF4253">
        <w:t> </w:t>
      </w:r>
      <w:proofErr w:type="spellStart"/>
      <w:r w:rsidRPr="00EF4253">
        <w:t>placebom</w:t>
      </w:r>
      <w:proofErr w:type="spellEnd"/>
      <w:r w:rsidRPr="00EF4253">
        <w:t xml:space="preserve">. </w:t>
      </w:r>
      <w:r w:rsidR="00F9256A" w:rsidRPr="00EF4253">
        <w:t>Počas jednoročnej dvojito zaslepenej periódy bolo percentuálne zastúpenie pacientov, u</w:t>
      </w:r>
      <w:r w:rsidR="00340968" w:rsidRPr="00EF4253">
        <w:t> </w:t>
      </w:r>
      <w:r w:rsidR="00F9256A" w:rsidRPr="00EF4253">
        <w:t>ktorých bola hlásená klinická fraktúra, 30,9</w:t>
      </w:r>
      <w:r w:rsidR="00340968" w:rsidRPr="00EF4253">
        <w:t> </w:t>
      </w:r>
      <w:r w:rsidR="00F9256A" w:rsidRPr="00EF4253">
        <w:t>% v</w:t>
      </w:r>
      <w:r w:rsidR="00340968" w:rsidRPr="00EF4253">
        <w:t> </w:t>
      </w:r>
      <w:r w:rsidR="00305E31">
        <w:t xml:space="preserve">skupine liečenej </w:t>
      </w:r>
      <w:proofErr w:type="spellStart"/>
      <w:r w:rsidR="00305E31">
        <w:t>riz</w:t>
      </w:r>
      <w:r w:rsidR="0067638F" w:rsidRPr="00305E31">
        <w:t>edronátom</w:t>
      </w:r>
      <w:proofErr w:type="spellEnd"/>
      <w:r w:rsidR="0067638F" w:rsidRPr="00305E31">
        <w:t xml:space="preserve"> a </w:t>
      </w:r>
      <w:r w:rsidR="00F9256A" w:rsidRPr="00305E31">
        <w:t>49,0</w:t>
      </w:r>
      <w:r w:rsidR="00340968" w:rsidRPr="00305E31">
        <w:t> </w:t>
      </w:r>
      <w:r w:rsidR="00F9256A" w:rsidRPr="00305E31">
        <w:t>% v</w:t>
      </w:r>
      <w:r w:rsidR="00340968" w:rsidRPr="00305E31">
        <w:t> </w:t>
      </w:r>
      <w:r w:rsidR="00F9256A" w:rsidRPr="00453536">
        <w:t xml:space="preserve">skupine užívajúcej </w:t>
      </w:r>
      <w:proofErr w:type="spellStart"/>
      <w:r w:rsidR="00F9256A" w:rsidRPr="00453536">
        <w:t>placebo</w:t>
      </w:r>
      <w:proofErr w:type="spellEnd"/>
      <w:r w:rsidR="00F9256A" w:rsidRPr="00453536">
        <w:t>.</w:t>
      </w:r>
      <w:r w:rsidR="00AF15EA" w:rsidRPr="00453536">
        <w:t xml:space="preserve"> </w:t>
      </w:r>
      <w:r w:rsidR="007A3DB7" w:rsidRPr="00EF4253">
        <w:rPr>
          <w:szCs w:val="22"/>
        </w:rPr>
        <w:t xml:space="preserve">Počas otvoreného obdobia, keď všetci pacienti užívali </w:t>
      </w:r>
      <w:proofErr w:type="spellStart"/>
      <w:r w:rsidR="007A3DB7" w:rsidRPr="00EF4253">
        <w:rPr>
          <w:szCs w:val="22"/>
        </w:rPr>
        <w:t>rizedronát</w:t>
      </w:r>
      <w:proofErr w:type="spellEnd"/>
      <w:r w:rsidR="007A3DB7" w:rsidRPr="00EF4253">
        <w:rPr>
          <w:szCs w:val="22"/>
        </w:rPr>
        <w:t xml:space="preserve"> (od 12. do 36. mesiaca), </w:t>
      </w:r>
      <w:r w:rsidR="002157EF" w:rsidRPr="00EF4253">
        <w:rPr>
          <w:szCs w:val="22"/>
        </w:rPr>
        <w:t xml:space="preserve">klinické zlomeniny </w:t>
      </w:r>
      <w:r w:rsidR="007A3DB7" w:rsidRPr="00EF4253">
        <w:rPr>
          <w:szCs w:val="22"/>
        </w:rPr>
        <w:t>bol</w:t>
      </w:r>
      <w:r w:rsidR="002157EF" w:rsidRPr="00EF4253">
        <w:rPr>
          <w:szCs w:val="22"/>
        </w:rPr>
        <w:t>i</w:t>
      </w:r>
      <w:r w:rsidR="007A3DB7" w:rsidRPr="00EF4253">
        <w:rPr>
          <w:szCs w:val="22"/>
        </w:rPr>
        <w:t xml:space="preserve"> hlásen</w:t>
      </w:r>
      <w:r w:rsidR="002157EF" w:rsidRPr="00EF4253">
        <w:rPr>
          <w:szCs w:val="22"/>
        </w:rPr>
        <w:t>é u</w:t>
      </w:r>
      <w:r w:rsidR="007A3DB7" w:rsidRPr="00EF4253">
        <w:rPr>
          <w:szCs w:val="22"/>
        </w:rPr>
        <w:t xml:space="preserve"> 65,3 % </w:t>
      </w:r>
      <w:r w:rsidR="002157EF" w:rsidRPr="00EF4253">
        <w:rPr>
          <w:szCs w:val="22"/>
        </w:rPr>
        <w:t xml:space="preserve"> </w:t>
      </w:r>
      <w:r w:rsidR="007A3DB7" w:rsidRPr="00EF4253">
        <w:rPr>
          <w:szCs w:val="22"/>
        </w:rPr>
        <w:t xml:space="preserve">pacientov na začiatku štúdie </w:t>
      </w:r>
      <w:r w:rsidR="002157EF" w:rsidRPr="00EF4253">
        <w:rPr>
          <w:szCs w:val="22"/>
        </w:rPr>
        <w:t> </w:t>
      </w:r>
      <w:proofErr w:type="spellStart"/>
      <w:r w:rsidR="007A3DB7" w:rsidRPr="00EF4253">
        <w:rPr>
          <w:szCs w:val="22"/>
        </w:rPr>
        <w:t>randomizovan</w:t>
      </w:r>
      <w:r w:rsidR="002157EF" w:rsidRPr="00EF4253">
        <w:rPr>
          <w:szCs w:val="22"/>
        </w:rPr>
        <w:t>ých</w:t>
      </w:r>
      <w:proofErr w:type="spellEnd"/>
      <w:r w:rsidR="002157EF" w:rsidRPr="00EF4253">
        <w:rPr>
          <w:szCs w:val="22"/>
        </w:rPr>
        <w:t xml:space="preserve"> do</w:t>
      </w:r>
      <w:r w:rsidR="007A3DB7" w:rsidRPr="00EF4253">
        <w:rPr>
          <w:szCs w:val="22"/>
        </w:rPr>
        <w:t xml:space="preserve"> skupin</w:t>
      </w:r>
      <w:r w:rsidR="002157EF" w:rsidRPr="00EF4253">
        <w:rPr>
          <w:szCs w:val="22"/>
        </w:rPr>
        <w:t>y</w:t>
      </w:r>
      <w:r w:rsidR="007A3DB7" w:rsidRPr="00EF4253">
        <w:rPr>
          <w:szCs w:val="22"/>
        </w:rPr>
        <w:t xml:space="preserve"> s </w:t>
      </w:r>
      <w:proofErr w:type="spellStart"/>
      <w:r w:rsidR="007A3DB7" w:rsidRPr="00EF4253">
        <w:rPr>
          <w:szCs w:val="22"/>
        </w:rPr>
        <w:t>placebom</w:t>
      </w:r>
      <w:proofErr w:type="spellEnd"/>
      <w:r w:rsidR="007A3DB7" w:rsidRPr="00EF4253">
        <w:rPr>
          <w:szCs w:val="22"/>
        </w:rPr>
        <w:t xml:space="preserve"> a</w:t>
      </w:r>
      <w:r w:rsidR="002157EF" w:rsidRPr="00EF4253">
        <w:rPr>
          <w:szCs w:val="22"/>
        </w:rPr>
        <w:t xml:space="preserve"> u </w:t>
      </w:r>
      <w:r w:rsidR="007A3DB7" w:rsidRPr="00EF4253">
        <w:rPr>
          <w:szCs w:val="22"/>
        </w:rPr>
        <w:t xml:space="preserve">52,9 % pacientov na začiatku štúdie </w:t>
      </w:r>
      <w:r w:rsidR="002157EF" w:rsidRPr="00EF4253">
        <w:rPr>
          <w:szCs w:val="22"/>
        </w:rPr>
        <w:t> </w:t>
      </w:r>
      <w:proofErr w:type="spellStart"/>
      <w:r w:rsidR="007A3DB7" w:rsidRPr="00EF4253">
        <w:rPr>
          <w:szCs w:val="22"/>
        </w:rPr>
        <w:t>randomizovan</w:t>
      </w:r>
      <w:r w:rsidR="002157EF" w:rsidRPr="00EF4253">
        <w:rPr>
          <w:szCs w:val="22"/>
        </w:rPr>
        <w:t>ých</w:t>
      </w:r>
      <w:proofErr w:type="spellEnd"/>
      <w:r w:rsidR="002157EF" w:rsidRPr="00EF4253">
        <w:rPr>
          <w:szCs w:val="22"/>
        </w:rPr>
        <w:t xml:space="preserve"> do</w:t>
      </w:r>
      <w:r w:rsidR="007A3DB7" w:rsidRPr="00EF4253">
        <w:rPr>
          <w:szCs w:val="22"/>
        </w:rPr>
        <w:t xml:space="preserve"> skupin</w:t>
      </w:r>
      <w:r w:rsidR="002157EF" w:rsidRPr="00EF4253">
        <w:rPr>
          <w:szCs w:val="22"/>
        </w:rPr>
        <w:t>y</w:t>
      </w:r>
      <w:r w:rsidR="00305E31">
        <w:rPr>
          <w:szCs w:val="22"/>
        </w:rPr>
        <w:t xml:space="preserve"> s </w:t>
      </w:r>
      <w:proofErr w:type="spellStart"/>
      <w:r w:rsidR="00305E31">
        <w:rPr>
          <w:szCs w:val="22"/>
        </w:rPr>
        <w:t>riz</w:t>
      </w:r>
      <w:r w:rsidR="007A3DB7" w:rsidRPr="00305E31">
        <w:rPr>
          <w:szCs w:val="22"/>
        </w:rPr>
        <w:t>edronátom</w:t>
      </w:r>
      <w:proofErr w:type="spellEnd"/>
      <w:r w:rsidR="007A3DB7" w:rsidRPr="00305E31">
        <w:rPr>
          <w:szCs w:val="22"/>
        </w:rPr>
        <w:t>.</w:t>
      </w:r>
    </w:p>
    <w:p w14:paraId="5EA96320" w14:textId="3C925816" w:rsidR="00A61F83" w:rsidRPr="00EF4253" w:rsidRDefault="00A61F83" w:rsidP="00FC35F0">
      <w:pPr>
        <w:pStyle w:val="Normlndobloku"/>
        <w:spacing w:after="0"/>
      </w:pPr>
      <w:r w:rsidRPr="00EF4253">
        <w:t xml:space="preserve">Celkovo výsledky štúdie nepodporujú používanie </w:t>
      </w:r>
      <w:proofErr w:type="spellStart"/>
      <w:r w:rsidRPr="00EF4253">
        <w:t>nátriumrizedronátu</w:t>
      </w:r>
      <w:proofErr w:type="spellEnd"/>
      <w:r w:rsidRPr="00EF4253">
        <w:t xml:space="preserve"> u</w:t>
      </w:r>
      <w:r w:rsidR="007A3DB7" w:rsidRPr="00EF4253">
        <w:t> pediatrických pacientov</w:t>
      </w:r>
      <w:r w:rsidRPr="00EF4253">
        <w:t xml:space="preserve"> s</w:t>
      </w:r>
      <w:r w:rsidR="007A3DB7" w:rsidRPr="00EF4253">
        <w:t xml:space="preserve"> miernou až stredne ťažkou </w:t>
      </w:r>
      <w:proofErr w:type="spellStart"/>
      <w:r w:rsidRPr="00EF4253">
        <w:t>osteogenézou</w:t>
      </w:r>
      <w:proofErr w:type="spellEnd"/>
      <w:r w:rsidRPr="00EF4253">
        <w:t xml:space="preserve"> </w:t>
      </w:r>
      <w:proofErr w:type="spellStart"/>
      <w:r w:rsidRPr="00EF4253">
        <w:t>imperfecta</w:t>
      </w:r>
      <w:proofErr w:type="spellEnd"/>
      <w:r w:rsidRPr="00EF4253">
        <w:t>.</w:t>
      </w:r>
    </w:p>
    <w:p w14:paraId="78794CCC" w14:textId="77777777" w:rsidR="0084711F" w:rsidRPr="00EF4253" w:rsidRDefault="0084711F" w:rsidP="00FC35F0">
      <w:pPr>
        <w:pStyle w:val="Normlndobloku"/>
        <w:spacing w:after="0"/>
      </w:pPr>
    </w:p>
    <w:p w14:paraId="234CACF3" w14:textId="77777777" w:rsidR="00CC060F" w:rsidRPr="00EF4253" w:rsidRDefault="00183E0E" w:rsidP="00FC35F0">
      <w:pPr>
        <w:pStyle w:val="Styl2"/>
        <w:spacing w:before="0" w:after="0"/>
        <w:rPr>
          <w:lang w:val="sk-SK"/>
        </w:rPr>
      </w:pPr>
      <w:proofErr w:type="spellStart"/>
      <w:r w:rsidRPr="00EF4253">
        <w:rPr>
          <w:lang w:val="sk-SK"/>
        </w:rPr>
        <w:t>Farmakokinetické</w:t>
      </w:r>
      <w:proofErr w:type="spellEnd"/>
      <w:r w:rsidRPr="00EF4253">
        <w:rPr>
          <w:lang w:val="sk-SK"/>
        </w:rPr>
        <w:t xml:space="preserve"> vlastnosti</w:t>
      </w:r>
    </w:p>
    <w:p w14:paraId="60842FCF" w14:textId="77777777" w:rsidR="0084711F" w:rsidRPr="00EF4253" w:rsidRDefault="0084711F" w:rsidP="00FC35F0">
      <w:pPr>
        <w:pStyle w:val="Normlndobloku"/>
        <w:spacing w:after="0"/>
        <w:rPr>
          <w:rStyle w:val="Styl3Char0"/>
          <w:b/>
          <w:bCs/>
          <w:lang w:val="sk-SK"/>
        </w:rPr>
      </w:pPr>
    </w:p>
    <w:p w14:paraId="4F93B673" w14:textId="554A2313" w:rsidR="004F2E5E" w:rsidRPr="00EF4253" w:rsidRDefault="00503280" w:rsidP="00FC35F0">
      <w:pPr>
        <w:pStyle w:val="Normlndobloku"/>
        <w:spacing w:after="0"/>
        <w:rPr>
          <w:rStyle w:val="Styl3Char0"/>
          <w:lang w:val="sk-SK"/>
        </w:rPr>
      </w:pPr>
      <w:r w:rsidRPr="00EF4253">
        <w:rPr>
          <w:rStyle w:val="Styl3Char0"/>
          <w:lang w:val="sk-SK"/>
        </w:rPr>
        <w:t>Absorpcia</w:t>
      </w:r>
    </w:p>
    <w:p w14:paraId="70CB4140" w14:textId="1BA28CDD" w:rsidR="00503280" w:rsidRPr="00EF4253" w:rsidRDefault="00DA3323" w:rsidP="00FC35F0">
      <w:pPr>
        <w:pStyle w:val="Normlndobloku"/>
        <w:spacing w:after="0"/>
      </w:pPr>
      <w:r w:rsidRPr="00EF4253">
        <w:t>P</w:t>
      </w:r>
      <w:r w:rsidR="00503280" w:rsidRPr="00EF4253">
        <w:t>o perorálnych dávkach je absorpcia pomerne rýchla (</w:t>
      </w:r>
      <w:proofErr w:type="spellStart"/>
      <w:r w:rsidR="00503280" w:rsidRPr="00EF4253">
        <w:t>t</w:t>
      </w:r>
      <w:r w:rsidR="00503280" w:rsidRPr="00EF4253">
        <w:rPr>
          <w:vertAlign w:val="subscript"/>
        </w:rPr>
        <w:t>max</w:t>
      </w:r>
      <w:proofErr w:type="spellEnd"/>
      <w:r w:rsidR="001A3A39" w:rsidRPr="00EF4253">
        <w:rPr>
          <w:vertAlign w:val="subscript"/>
        </w:rPr>
        <w:t xml:space="preserve"> </w:t>
      </w:r>
      <w:r w:rsidR="00503280" w:rsidRPr="00305E31">
        <w:sym w:font="Symbol" w:char="F020"/>
      </w:r>
      <w:r w:rsidR="00503280" w:rsidRPr="00305E31">
        <w:sym w:font="Symbol" w:char="F040"/>
      </w:r>
      <w:r w:rsidR="00503280" w:rsidRPr="00305E31">
        <w:t xml:space="preserve"> 1 hodina) a</w:t>
      </w:r>
      <w:r w:rsidR="00CA0B01" w:rsidRPr="00305E31">
        <w:t> </w:t>
      </w:r>
      <w:r w:rsidR="00503280" w:rsidRPr="00305E31">
        <w:t>nezávisí od dávky v skúmanom rozsahu (v</w:t>
      </w:r>
      <w:r w:rsidR="00CA0B01" w:rsidRPr="00EF4253">
        <w:t> </w:t>
      </w:r>
      <w:r w:rsidR="00503280" w:rsidRPr="00EF4253">
        <w:t>štúdii s jednou dávkou 2,5 až 30</w:t>
      </w:r>
      <w:r w:rsidR="00CA0B01" w:rsidRPr="00EF4253">
        <w:t> </w:t>
      </w:r>
      <w:r w:rsidR="00503280" w:rsidRPr="00EF4253">
        <w:t>mg; v štúdiách s viacerými dávkami 2,5 až 5 mg denne až do dávky 5</w:t>
      </w:r>
      <w:r w:rsidRPr="00EF4253">
        <w:t>0</w:t>
      </w:r>
      <w:r w:rsidR="00503280" w:rsidRPr="00EF4253">
        <w:t xml:space="preserve"> mg </w:t>
      </w:r>
      <w:r w:rsidRPr="00EF4253">
        <w:t>týždenne</w:t>
      </w:r>
      <w:r w:rsidR="00503280" w:rsidRPr="00EF4253">
        <w:t>). Priemerná perorálna biologická dostupnosť tablety je 0,63</w:t>
      </w:r>
      <w:r w:rsidR="00CA0B01" w:rsidRPr="00EF4253">
        <w:t> </w:t>
      </w:r>
      <w:r w:rsidR="00503280" w:rsidRPr="00EF4253">
        <w:t>% a</w:t>
      </w:r>
      <w:r w:rsidR="00CA0B01" w:rsidRPr="00EF4253">
        <w:t> </w:t>
      </w:r>
      <w:r w:rsidR="00503280" w:rsidRPr="00EF4253">
        <w:t xml:space="preserve">pri podaní </w:t>
      </w:r>
      <w:proofErr w:type="spellStart"/>
      <w:r w:rsidRPr="00EF4253">
        <w:t>nátriumrizedronátu</w:t>
      </w:r>
      <w:proofErr w:type="spellEnd"/>
      <w:r w:rsidR="00503280" w:rsidRPr="00EF4253">
        <w:t xml:space="preserve"> spolu s jedlom sa znižuje. Biologická dostupnosť u</w:t>
      </w:r>
      <w:r w:rsidR="00CA0B01" w:rsidRPr="00EF4253">
        <w:t> </w:t>
      </w:r>
      <w:r w:rsidR="00503280" w:rsidRPr="00EF4253">
        <w:t>mužov a</w:t>
      </w:r>
      <w:r w:rsidR="00CA0B01" w:rsidRPr="00EF4253">
        <w:t> </w:t>
      </w:r>
      <w:r w:rsidR="00503280" w:rsidRPr="00EF4253">
        <w:t>žien je podobná.</w:t>
      </w:r>
    </w:p>
    <w:p w14:paraId="4A2B0239" w14:textId="77777777" w:rsidR="0084711F" w:rsidRPr="00EF4253" w:rsidRDefault="0084711F" w:rsidP="00FC35F0">
      <w:pPr>
        <w:pStyle w:val="Normlndobloku"/>
        <w:spacing w:after="0"/>
        <w:rPr>
          <w:rStyle w:val="Styl3Char0"/>
          <w:lang w:val="sk-SK"/>
        </w:rPr>
      </w:pPr>
    </w:p>
    <w:p w14:paraId="40932E89" w14:textId="4602AEF6" w:rsidR="004F2E5E" w:rsidRPr="00EF4253" w:rsidRDefault="00503280" w:rsidP="00FC35F0">
      <w:pPr>
        <w:pStyle w:val="Normlndobloku"/>
        <w:spacing w:after="0"/>
        <w:rPr>
          <w:rStyle w:val="Styl3Char0"/>
          <w:lang w:val="sk-SK"/>
        </w:rPr>
      </w:pPr>
      <w:r w:rsidRPr="00EF4253">
        <w:rPr>
          <w:rStyle w:val="Styl3Char0"/>
          <w:lang w:val="sk-SK"/>
        </w:rPr>
        <w:t>Distribúcia</w:t>
      </w:r>
    </w:p>
    <w:p w14:paraId="696D0207" w14:textId="201B903B" w:rsidR="00503280" w:rsidRPr="00EF4253" w:rsidRDefault="00503280" w:rsidP="00FC35F0">
      <w:pPr>
        <w:pStyle w:val="Normlndobloku"/>
        <w:spacing w:after="0"/>
      </w:pPr>
      <w:r w:rsidRPr="00EF4253">
        <w:t>U</w:t>
      </w:r>
      <w:r w:rsidR="00CA0B01" w:rsidRPr="00EF4253">
        <w:t> </w:t>
      </w:r>
      <w:r w:rsidRPr="00EF4253">
        <w:t xml:space="preserve">ľudí je priemerný distribučný objem v rovnovážnom stave 6,3 l/kg. Väzba na bielkoviny </w:t>
      </w:r>
      <w:r w:rsidR="00E31B3F" w:rsidRPr="00EF4253">
        <w:t>v</w:t>
      </w:r>
      <w:r w:rsidR="009744CE" w:rsidRPr="00EF4253">
        <w:t> </w:t>
      </w:r>
      <w:r w:rsidRPr="00EF4253">
        <w:t>plazm</w:t>
      </w:r>
      <w:r w:rsidR="00E31B3F" w:rsidRPr="00EF4253">
        <w:t>e</w:t>
      </w:r>
      <w:r w:rsidRPr="00EF4253">
        <w:t xml:space="preserve"> je asi 24</w:t>
      </w:r>
      <w:r w:rsidR="00CA0B01" w:rsidRPr="00EF4253">
        <w:t> </w:t>
      </w:r>
      <w:r w:rsidRPr="00EF4253">
        <w:t>%.</w:t>
      </w:r>
    </w:p>
    <w:p w14:paraId="6F011F5E" w14:textId="77777777" w:rsidR="0084711F" w:rsidRPr="00EF4253" w:rsidRDefault="0084711F" w:rsidP="00FC35F0">
      <w:pPr>
        <w:pStyle w:val="Normlndobloku"/>
        <w:spacing w:after="0"/>
        <w:rPr>
          <w:rStyle w:val="Styl3Char0"/>
          <w:lang w:val="sk-SK"/>
        </w:rPr>
      </w:pPr>
    </w:p>
    <w:p w14:paraId="15F3B298" w14:textId="5C78FBBA" w:rsidR="004F2E5E" w:rsidRPr="00EF4253" w:rsidRDefault="004F2E5E" w:rsidP="00FC35F0">
      <w:pPr>
        <w:pStyle w:val="Normlndobloku"/>
        <w:spacing w:after="0"/>
        <w:rPr>
          <w:rStyle w:val="Styl3Char0"/>
          <w:lang w:val="sk-SK"/>
        </w:rPr>
      </w:pPr>
      <w:proofErr w:type="spellStart"/>
      <w:r w:rsidRPr="00EF4253">
        <w:rPr>
          <w:rStyle w:val="Styl3Char0"/>
          <w:lang w:val="sk-SK"/>
        </w:rPr>
        <w:t>Biotransformácia</w:t>
      </w:r>
      <w:proofErr w:type="spellEnd"/>
    </w:p>
    <w:p w14:paraId="411721D9" w14:textId="77777777" w:rsidR="00503280" w:rsidRPr="00EF4253" w:rsidRDefault="00503280" w:rsidP="00FC35F0">
      <w:pPr>
        <w:pStyle w:val="Normlndobloku"/>
        <w:spacing w:after="0"/>
      </w:pPr>
      <w:r w:rsidRPr="00EF4253">
        <w:t xml:space="preserve">Neexistuje žiadny dôkaz o systémovom metabolizme </w:t>
      </w:r>
      <w:proofErr w:type="spellStart"/>
      <w:r w:rsidR="00DA3323" w:rsidRPr="00EF4253">
        <w:t>nátriumrizedronátu</w:t>
      </w:r>
      <w:proofErr w:type="spellEnd"/>
      <w:r w:rsidRPr="00EF4253">
        <w:t>.</w:t>
      </w:r>
    </w:p>
    <w:p w14:paraId="191D511D" w14:textId="77777777" w:rsidR="0084711F" w:rsidRPr="00EF4253" w:rsidRDefault="0084711F" w:rsidP="00FC35F0">
      <w:pPr>
        <w:pStyle w:val="Styl30"/>
        <w:spacing w:after="0"/>
        <w:rPr>
          <w:rStyle w:val="Styl3Char0"/>
          <w:lang w:val="sk-SK"/>
        </w:rPr>
      </w:pPr>
    </w:p>
    <w:p w14:paraId="2F7A5740" w14:textId="285DF5AC" w:rsidR="004F2E5E" w:rsidRPr="00FC35F0" w:rsidRDefault="00ED4ED2" w:rsidP="00FC35F0">
      <w:pPr>
        <w:pStyle w:val="Styl30"/>
        <w:spacing w:after="0"/>
        <w:rPr>
          <w:lang w:val="sk-SK"/>
        </w:rPr>
      </w:pPr>
      <w:r w:rsidRPr="00FC35F0">
        <w:rPr>
          <w:lang w:val="sk-SK"/>
        </w:rPr>
        <w:t>Eliminácia</w:t>
      </w:r>
    </w:p>
    <w:p w14:paraId="03720ECA" w14:textId="0C5633BC" w:rsidR="00503280" w:rsidRPr="00EF4253" w:rsidRDefault="00503280" w:rsidP="00FC35F0">
      <w:pPr>
        <w:pStyle w:val="Normlndobloku"/>
        <w:spacing w:after="0"/>
      </w:pPr>
      <w:r w:rsidRPr="00305E31">
        <w:t>Približne polovica absorbovanej dávky sa vylúči močom v priebehu 24 hodín a</w:t>
      </w:r>
      <w:r w:rsidR="00CA0B01" w:rsidRPr="00305E31">
        <w:t> </w:t>
      </w:r>
      <w:r w:rsidRPr="00305E31">
        <w:t>85</w:t>
      </w:r>
      <w:r w:rsidR="00CA0B01" w:rsidRPr="00305E31">
        <w:t> </w:t>
      </w:r>
      <w:r w:rsidRPr="00305E31">
        <w:t xml:space="preserve">% intravenóznej dávky sa vylúči močom po 28 dňoch. Priemerný </w:t>
      </w:r>
      <w:proofErr w:type="spellStart"/>
      <w:r w:rsidRPr="00305E31">
        <w:t>renálny</w:t>
      </w:r>
      <w:proofErr w:type="spellEnd"/>
      <w:r w:rsidRPr="00305E31">
        <w:t xml:space="preserve"> </w:t>
      </w:r>
      <w:proofErr w:type="spellStart"/>
      <w:r w:rsidRPr="00305E31">
        <w:t>klírens</w:t>
      </w:r>
      <w:proofErr w:type="spellEnd"/>
      <w:r w:rsidRPr="00305E31">
        <w:t xml:space="preserve"> je 105 ml/min a</w:t>
      </w:r>
      <w:r w:rsidR="00CA0B01" w:rsidRPr="00EF4253">
        <w:t> </w:t>
      </w:r>
      <w:r w:rsidRPr="00EF4253">
        <w:t xml:space="preserve">celkový priemerný </w:t>
      </w:r>
      <w:proofErr w:type="spellStart"/>
      <w:r w:rsidRPr="00EF4253">
        <w:t>klírens</w:t>
      </w:r>
      <w:proofErr w:type="spellEnd"/>
      <w:r w:rsidRPr="00EF4253">
        <w:t xml:space="preserve"> je 122 ml/min, rozdiel pravdepodobne spôsobuje </w:t>
      </w:r>
      <w:r w:rsidR="00DA3323" w:rsidRPr="00EF4253">
        <w:t>adsorpcia</w:t>
      </w:r>
      <w:r w:rsidRPr="00EF4253">
        <w:t xml:space="preserve"> na kosti. </w:t>
      </w:r>
      <w:proofErr w:type="spellStart"/>
      <w:r w:rsidRPr="00EF4253">
        <w:t>Renálny</w:t>
      </w:r>
      <w:proofErr w:type="spellEnd"/>
      <w:r w:rsidRPr="00EF4253">
        <w:t xml:space="preserve"> </w:t>
      </w:r>
      <w:proofErr w:type="spellStart"/>
      <w:r w:rsidRPr="00EF4253">
        <w:t>klírens</w:t>
      </w:r>
      <w:proofErr w:type="spellEnd"/>
      <w:r w:rsidRPr="00EF4253">
        <w:t xml:space="preserve"> nezávisí od koncentrácie a</w:t>
      </w:r>
      <w:r w:rsidR="00CA0B01" w:rsidRPr="00EF4253">
        <w:t> </w:t>
      </w:r>
      <w:r w:rsidRPr="00EF4253">
        <w:t>medzi ním a</w:t>
      </w:r>
      <w:r w:rsidR="00CA0B01" w:rsidRPr="00EF4253">
        <w:t> </w:t>
      </w:r>
      <w:proofErr w:type="spellStart"/>
      <w:r w:rsidRPr="00EF4253">
        <w:t>klírensom</w:t>
      </w:r>
      <w:proofErr w:type="spellEnd"/>
      <w:r w:rsidRPr="00EF4253">
        <w:t xml:space="preserve"> </w:t>
      </w:r>
      <w:proofErr w:type="spellStart"/>
      <w:r w:rsidRPr="00EF4253">
        <w:t>kreatinínu</w:t>
      </w:r>
      <w:proofErr w:type="spellEnd"/>
      <w:r w:rsidRPr="00EF4253">
        <w:t xml:space="preserve"> existuje lineárny vzťah. Neabsorbovaný </w:t>
      </w:r>
      <w:proofErr w:type="spellStart"/>
      <w:r w:rsidR="00DA3323" w:rsidRPr="00EF4253">
        <w:t>nátrium-rizedronát</w:t>
      </w:r>
      <w:proofErr w:type="spellEnd"/>
      <w:r w:rsidRPr="00EF4253">
        <w:t xml:space="preserve"> sa bez zmeny vylúči v stolici. Po perorálnom podaní časový profil koncentrácie preukázal tri fázy eliminácie s terminálnym polčasom 480 hodín.</w:t>
      </w:r>
    </w:p>
    <w:p w14:paraId="14BD71AC" w14:textId="77777777" w:rsidR="0084711F" w:rsidRPr="00EF4253" w:rsidRDefault="0084711F" w:rsidP="00FC35F0">
      <w:pPr>
        <w:pStyle w:val="Styl30"/>
        <w:spacing w:after="0"/>
        <w:rPr>
          <w:lang w:val="sk-SK"/>
        </w:rPr>
      </w:pPr>
    </w:p>
    <w:p w14:paraId="49AE1B5F" w14:textId="77777777" w:rsidR="00503280" w:rsidRPr="00EF4253" w:rsidRDefault="00A672F9" w:rsidP="00FC35F0">
      <w:pPr>
        <w:pStyle w:val="Styl30"/>
        <w:spacing w:after="0"/>
        <w:rPr>
          <w:rStyle w:val="NormlndoblokuChar"/>
        </w:rPr>
      </w:pPr>
      <w:r w:rsidRPr="00EF4253">
        <w:rPr>
          <w:lang w:val="sk-SK"/>
        </w:rPr>
        <w:t xml:space="preserve">Osobitné </w:t>
      </w:r>
      <w:r w:rsidR="00503280" w:rsidRPr="00EF4253">
        <w:rPr>
          <w:lang w:val="sk-SK"/>
        </w:rPr>
        <w:t>skupiny pacientov</w:t>
      </w:r>
    </w:p>
    <w:p w14:paraId="42BE8670" w14:textId="77777777" w:rsidR="0084711F" w:rsidRPr="00EF4253" w:rsidRDefault="0084711F" w:rsidP="00FC35F0">
      <w:pPr>
        <w:pStyle w:val="Normlndobloku"/>
        <w:spacing w:after="0"/>
        <w:rPr>
          <w:rStyle w:val="Styl3Char0"/>
          <w:lang w:val="sk-SK"/>
        </w:rPr>
      </w:pPr>
    </w:p>
    <w:p w14:paraId="375CE9FF" w14:textId="77777777" w:rsidR="00503280" w:rsidRPr="00EF4253" w:rsidRDefault="00503280" w:rsidP="00FC35F0">
      <w:pPr>
        <w:pStyle w:val="Normlndobloku"/>
        <w:spacing w:after="0"/>
      </w:pPr>
      <w:r w:rsidRPr="00EF4253">
        <w:rPr>
          <w:rStyle w:val="Styl3Char0"/>
          <w:lang w:val="sk-SK"/>
        </w:rPr>
        <w:t xml:space="preserve">Starší pacienti: </w:t>
      </w:r>
      <w:r w:rsidRPr="00EF4253">
        <w:t>úprava dávok nie je potrebná.</w:t>
      </w:r>
    </w:p>
    <w:p w14:paraId="22383DF2" w14:textId="77777777" w:rsidR="0084711F" w:rsidRPr="00EF4253" w:rsidRDefault="0084711F" w:rsidP="00FC35F0">
      <w:pPr>
        <w:pStyle w:val="Normlndobloku"/>
        <w:spacing w:after="0"/>
        <w:rPr>
          <w:rStyle w:val="Styl3Char0"/>
          <w:lang w:val="sk-SK"/>
        </w:rPr>
      </w:pPr>
    </w:p>
    <w:p w14:paraId="0289B75A" w14:textId="6DB9E5D6" w:rsidR="00503280" w:rsidRPr="00EF4253" w:rsidRDefault="00503280" w:rsidP="00FC35F0">
      <w:pPr>
        <w:pStyle w:val="Normlndobloku"/>
        <w:spacing w:after="0"/>
      </w:pPr>
      <w:r w:rsidRPr="00EF4253">
        <w:rPr>
          <w:rStyle w:val="Styl3Char0"/>
          <w:lang w:val="sk-SK"/>
        </w:rPr>
        <w:t xml:space="preserve">Pacienti užívajúci kyselinu </w:t>
      </w:r>
      <w:proofErr w:type="spellStart"/>
      <w:r w:rsidRPr="00EF4253">
        <w:rPr>
          <w:rStyle w:val="Styl3Char0"/>
          <w:lang w:val="sk-SK"/>
        </w:rPr>
        <w:t>acetylsalicylovú</w:t>
      </w:r>
      <w:proofErr w:type="spellEnd"/>
      <w:r w:rsidRPr="00EF4253">
        <w:rPr>
          <w:rStyle w:val="Styl3Char0"/>
          <w:lang w:val="sk-SK"/>
        </w:rPr>
        <w:t>/NSAID:</w:t>
      </w:r>
      <w:r w:rsidRPr="00EF4253">
        <w:t xml:space="preserve"> medzi </w:t>
      </w:r>
      <w:r w:rsidR="00DA3323" w:rsidRPr="00EF4253">
        <w:t>pacientmi</w:t>
      </w:r>
      <w:r w:rsidRPr="00EF4253">
        <w:t xml:space="preserve">, ktorí pravidelne užívajú kyselinu </w:t>
      </w:r>
      <w:proofErr w:type="spellStart"/>
      <w:r w:rsidRPr="00EF4253">
        <w:t>acetylsalicylovú</w:t>
      </w:r>
      <w:proofErr w:type="spellEnd"/>
      <w:r w:rsidRPr="00EF4253">
        <w:t xml:space="preserve"> alebo NSAID (3 alebo viacej dní za týždeň), sa vyskytovali nežiaduce </w:t>
      </w:r>
      <w:r w:rsidR="00F559FD" w:rsidRPr="00EF4253">
        <w:t xml:space="preserve">udalosti </w:t>
      </w:r>
      <w:r w:rsidRPr="00EF4253">
        <w:t xml:space="preserve">v hornej časti </w:t>
      </w:r>
      <w:proofErr w:type="spellStart"/>
      <w:r w:rsidRPr="00EF4253">
        <w:t>gastrointestinálneho</w:t>
      </w:r>
      <w:proofErr w:type="spellEnd"/>
      <w:r w:rsidRPr="00EF4253">
        <w:t xml:space="preserve"> traktu u pacientov liečených </w:t>
      </w:r>
      <w:proofErr w:type="spellStart"/>
      <w:r w:rsidR="00DA3323" w:rsidRPr="00EF4253">
        <w:t>nátriumrizedronátom</w:t>
      </w:r>
      <w:proofErr w:type="spellEnd"/>
      <w:r w:rsidRPr="00EF4253">
        <w:t xml:space="preserve"> s podobnou frekvenciou ako u kontrolných pacientov.</w:t>
      </w:r>
    </w:p>
    <w:p w14:paraId="62AD3CC9" w14:textId="77777777" w:rsidR="0084711F" w:rsidRPr="00EF4253" w:rsidRDefault="0084711F" w:rsidP="00FC35F0">
      <w:pPr>
        <w:pStyle w:val="Normlndobloku"/>
        <w:spacing w:after="0"/>
      </w:pPr>
    </w:p>
    <w:p w14:paraId="784BB7C2" w14:textId="0FB33469" w:rsidR="00513C0F" w:rsidRPr="00EF4253" w:rsidRDefault="00183E0E" w:rsidP="00FC35F0">
      <w:pPr>
        <w:pStyle w:val="Styl2"/>
        <w:spacing w:before="0" w:after="0"/>
        <w:rPr>
          <w:lang w:val="sk-SK"/>
        </w:rPr>
      </w:pPr>
      <w:r w:rsidRPr="00EF4253">
        <w:rPr>
          <w:lang w:val="sk-SK"/>
        </w:rPr>
        <w:t>Predklinické údaje o</w:t>
      </w:r>
      <w:r w:rsidR="008A53FB" w:rsidRPr="00EF4253">
        <w:rPr>
          <w:lang w:val="sk-SK"/>
        </w:rPr>
        <w:t> </w:t>
      </w:r>
      <w:r w:rsidRPr="00EF4253">
        <w:rPr>
          <w:lang w:val="sk-SK"/>
        </w:rPr>
        <w:t>bezpečnosti</w:t>
      </w:r>
    </w:p>
    <w:p w14:paraId="2B01DCFD" w14:textId="77777777" w:rsidR="0084711F" w:rsidRPr="00EF4253" w:rsidRDefault="0084711F" w:rsidP="00FC35F0">
      <w:pPr>
        <w:pStyle w:val="Normlndobloku"/>
        <w:spacing w:after="0"/>
      </w:pPr>
    </w:p>
    <w:p w14:paraId="28F87516" w14:textId="16466EE3" w:rsidR="00130D20" w:rsidRPr="00EF4253" w:rsidRDefault="00D27CF1" w:rsidP="00FC35F0">
      <w:pPr>
        <w:pStyle w:val="Normlndobloku"/>
        <w:spacing w:after="0"/>
      </w:pPr>
      <w:r w:rsidRPr="00EF4253">
        <w:t>V štúdiách toxicity u</w:t>
      </w:r>
      <w:r w:rsidR="008A53FB" w:rsidRPr="00EF4253">
        <w:t> </w:t>
      </w:r>
      <w:r w:rsidR="00503280" w:rsidRPr="00EF4253">
        <w:t>potkanov a</w:t>
      </w:r>
      <w:r w:rsidRPr="00EF4253">
        <w:t xml:space="preserve"> u </w:t>
      </w:r>
      <w:r w:rsidR="00503280" w:rsidRPr="00EF4253">
        <w:t xml:space="preserve">psov sa </w:t>
      </w:r>
      <w:r w:rsidR="003E1C45" w:rsidRPr="00EF4253">
        <w:t>v</w:t>
      </w:r>
      <w:r w:rsidR="008A53FB" w:rsidRPr="00EF4253">
        <w:t> </w:t>
      </w:r>
      <w:r w:rsidR="003E1C45" w:rsidRPr="00EF4253">
        <w:t xml:space="preserve">závislosti od dávky </w:t>
      </w:r>
      <w:r w:rsidR="00F559FD" w:rsidRPr="00EF4253">
        <w:t xml:space="preserve">pozorovali </w:t>
      </w:r>
      <w:r w:rsidR="00503280" w:rsidRPr="00EF4253">
        <w:t xml:space="preserve">toxické účinky </w:t>
      </w:r>
      <w:proofErr w:type="spellStart"/>
      <w:r w:rsidR="00DA3323" w:rsidRPr="00EF4253">
        <w:t>nátriumrizedronátu</w:t>
      </w:r>
      <w:proofErr w:type="spellEnd"/>
      <w:r w:rsidR="001A3A39" w:rsidRPr="00EF4253">
        <w:t xml:space="preserve"> </w:t>
      </w:r>
      <w:r w:rsidR="00503280" w:rsidRPr="00EF4253">
        <w:t>na pečeň, najmä zvýšenie hladiny enzýmov s histologickými zmenami u</w:t>
      </w:r>
      <w:r w:rsidR="008A53FB" w:rsidRPr="00EF4253">
        <w:t> </w:t>
      </w:r>
      <w:r w:rsidR="00503280" w:rsidRPr="00EF4253">
        <w:t xml:space="preserve">potkanov. Klinický význam týchto pozorovaní nie je známy. </w:t>
      </w:r>
    </w:p>
    <w:p w14:paraId="393C73B7" w14:textId="210D9FBB" w:rsidR="00130D20" w:rsidRPr="00EF4253" w:rsidRDefault="00503280" w:rsidP="00FC35F0">
      <w:pPr>
        <w:pStyle w:val="Normlndobloku"/>
        <w:spacing w:after="0"/>
      </w:pPr>
      <w:proofErr w:type="spellStart"/>
      <w:r w:rsidRPr="00EF4253">
        <w:t>Testikulárna</w:t>
      </w:r>
      <w:proofErr w:type="spellEnd"/>
      <w:r w:rsidRPr="00EF4253">
        <w:t xml:space="preserve"> toxicita sa vyskytla u</w:t>
      </w:r>
      <w:r w:rsidR="008A53FB" w:rsidRPr="00EF4253">
        <w:t> </w:t>
      </w:r>
      <w:r w:rsidRPr="00EF4253">
        <w:t>potkanov a</w:t>
      </w:r>
      <w:r w:rsidR="008A53FB" w:rsidRPr="00EF4253">
        <w:t> </w:t>
      </w:r>
      <w:r w:rsidRPr="00EF4253">
        <w:t>psov pri expozíciách, ktoré sa považujú za vyššie ako terapeutická expozícia u ľudí. Výskyt podráždení horných dýchacích ciest závislých od dávky boli často hlásené u</w:t>
      </w:r>
      <w:r w:rsidR="008A53FB" w:rsidRPr="00EF4253">
        <w:t> </w:t>
      </w:r>
      <w:r w:rsidRPr="00EF4253">
        <w:t xml:space="preserve">hlodavcov. Podobné účinky boli pozorované aj </w:t>
      </w:r>
      <w:r w:rsidR="008B0D23" w:rsidRPr="00EF4253">
        <w:t>pri</w:t>
      </w:r>
      <w:r w:rsidRPr="00EF4253">
        <w:t xml:space="preserve"> ostatných </w:t>
      </w:r>
      <w:proofErr w:type="spellStart"/>
      <w:r w:rsidRPr="00EF4253">
        <w:t>bisfosfonátov</w:t>
      </w:r>
      <w:proofErr w:type="spellEnd"/>
      <w:r w:rsidRPr="00EF4253">
        <w:t xml:space="preserve">. Účinky na dolné dýchacie cesty boli tiež pozorované v dlhodobých </w:t>
      </w:r>
      <w:r w:rsidR="00DA3323" w:rsidRPr="00EF4253">
        <w:t>štúdiách</w:t>
      </w:r>
      <w:r w:rsidRPr="00EF4253">
        <w:t xml:space="preserve"> u</w:t>
      </w:r>
      <w:r w:rsidR="008A53FB" w:rsidRPr="00EF4253">
        <w:t> </w:t>
      </w:r>
      <w:r w:rsidRPr="00EF4253">
        <w:t xml:space="preserve">hlodavcov, ale klinický význam týchto nálezov nie je jasný. V štúdiách reprodukčnej toxicity sa zistili pri expozíciách blízkych klinickým </w:t>
      </w:r>
      <w:r w:rsidRPr="00EF4253">
        <w:lastRenderedPageBreak/>
        <w:t>expozíciám zmeny osifikácie hrudnej kosti a/alebo lebky plodu liečených potkanov a</w:t>
      </w:r>
      <w:r w:rsidR="008A53FB" w:rsidRPr="00EF4253">
        <w:t> </w:t>
      </w:r>
      <w:r w:rsidRPr="00EF4253">
        <w:t>u</w:t>
      </w:r>
      <w:r w:rsidR="008A53FB" w:rsidRPr="00EF4253">
        <w:t> </w:t>
      </w:r>
      <w:r w:rsidRPr="00EF4253">
        <w:t xml:space="preserve">gravidných samíc </w:t>
      </w:r>
      <w:proofErr w:type="spellStart"/>
      <w:r w:rsidRPr="00EF4253">
        <w:t>hypokalciémia</w:t>
      </w:r>
      <w:proofErr w:type="spellEnd"/>
      <w:r w:rsidRPr="00EF4253">
        <w:t xml:space="preserve"> a</w:t>
      </w:r>
      <w:r w:rsidR="008A53FB" w:rsidRPr="00EF4253">
        <w:t> </w:t>
      </w:r>
      <w:r w:rsidRPr="00EF4253">
        <w:t xml:space="preserve">mortalita pri pôrode. </w:t>
      </w:r>
    </w:p>
    <w:p w14:paraId="528CE82D" w14:textId="0DDEE7DB" w:rsidR="00130D20" w:rsidRPr="00EF4253" w:rsidRDefault="00503280" w:rsidP="00FC35F0">
      <w:pPr>
        <w:pStyle w:val="Normlndobloku"/>
        <w:spacing w:after="0"/>
      </w:pPr>
      <w:r w:rsidRPr="00EF4253">
        <w:t>Nie sú žiadne dôkazy o</w:t>
      </w:r>
      <w:r w:rsidR="008A53FB" w:rsidRPr="00EF4253">
        <w:t> </w:t>
      </w:r>
      <w:proofErr w:type="spellStart"/>
      <w:r w:rsidRPr="00EF4253">
        <w:t>teratogenéze</w:t>
      </w:r>
      <w:proofErr w:type="spellEnd"/>
      <w:r w:rsidRPr="00EF4253">
        <w:t xml:space="preserve"> pri 3,2 mg/kg/deň u</w:t>
      </w:r>
      <w:r w:rsidR="008A53FB" w:rsidRPr="00EF4253">
        <w:t> </w:t>
      </w:r>
      <w:r w:rsidRPr="00EF4253">
        <w:t>potkanov a 10 mg/kg/deň u</w:t>
      </w:r>
      <w:r w:rsidR="008A53FB" w:rsidRPr="00EF4253">
        <w:t> </w:t>
      </w:r>
      <w:r w:rsidRPr="00EF4253">
        <w:t xml:space="preserve">králikov, hoci údaje boli získané len z malého počtu králikov. </w:t>
      </w:r>
    </w:p>
    <w:p w14:paraId="0BD572EF" w14:textId="3B7168C4" w:rsidR="00503280" w:rsidRPr="00EF4253" w:rsidRDefault="00503280" w:rsidP="00FC35F0">
      <w:pPr>
        <w:pStyle w:val="Normlndobloku"/>
        <w:spacing w:after="0"/>
      </w:pPr>
      <w:r w:rsidRPr="00EF4253">
        <w:t xml:space="preserve">Testovaniu vyšších dávok </w:t>
      </w:r>
      <w:r w:rsidR="008B0D23" w:rsidRPr="00EF4253">
        <w:t xml:space="preserve">zabránila </w:t>
      </w:r>
      <w:r w:rsidRPr="00EF4253">
        <w:t xml:space="preserve">materská toxicita. Štúdie </w:t>
      </w:r>
      <w:proofErr w:type="spellStart"/>
      <w:r w:rsidRPr="00EF4253">
        <w:t>genotoxicity</w:t>
      </w:r>
      <w:proofErr w:type="spellEnd"/>
      <w:r w:rsidRPr="00EF4253">
        <w:t xml:space="preserve"> a</w:t>
      </w:r>
      <w:r w:rsidR="008A53FB" w:rsidRPr="00EF4253">
        <w:t> </w:t>
      </w:r>
      <w:r w:rsidRPr="00EF4253">
        <w:t>karcinogenity nepreukázali žiadne osobitné riziko pre ľudí.</w:t>
      </w:r>
    </w:p>
    <w:p w14:paraId="018793F4" w14:textId="77777777" w:rsidR="0084711F" w:rsidRPr="00EF4253" w:rsidRDefault="0084711F" w:rsidP="00FC35F0">
      <w:pPr>
        <w:pStyle w:val="Normlndobloku"/>
        <w:spacing w:after="0"/>
      </w:pPr>
    </w:p>
    <w:p w14:paraId="486D5177" w14:textId="77777777" w:rsidR="00130D20" w:rsidRPr="00EF4253" w:rsidRDefault="00130D20" w:rsidP="00FC35F0">
      <w:pPr>
        <w:pStyle w:val="Normlndobloku"/>
        <w:spacing w:after="0"/>
      </w:pPr>
    </w:p>
    <w:p w14:paraId="16A702FC" w14:textId="77777777" w:rsidR="00513C0F" w:rsidRPr="00EF4253" w:rsidRDefault="00183E0E" w:rsidP="00FC35F0">
      <w:pPr>
        <w:pStyle w:val="Styl1"/>
        <w:spacing w:before="0" w:after="0"/>
        <w:rPr>
          <w:lang w:val="sk-SK"/>
        </w:rPr>
      </w:pPr>
      <w:r w:rsidRPr="00EF4253">
        <w:rPr>
          <w:lang w:val="sk-SK"/>
        </w:rPr>
        <w:t>FARMACEUTICKÉ INFORMÁCIE</w:t>
      </w:r>
    </w:p>
    <w:p w14:paraId="792B8795" w14:textId="77777777" w:rsidR="0084711F" w:rsidRPr="00EF4253" w:rsidRDefault="0084711F" w:rsidP="00FC35F0">
      <w:pPr>
        <w:pStyle w:val="Styl1"/>
        <w:numPr>
          <w:ilvl w:val="0"/>
          <w:numId w:val="0"/>
        </w:numPr>
        <w:spacing w:before="0" w:after="0"/>
        <w:ind w:left="360"/>
        <w:rPr>
          <w:lang w:val="sk-SK"/>
        </w:rPr>
      </w:pPr>
    </w:p>
    <w:p w14:paraId="202A2DF4" w14:textId="77777777" w:rsidR="00513C0F" w:rsidRPr="00EF4253" w:rsidRDefault="00183E0E" w:rsidP="00FC35F0">
      <w:pPr>
        <w:pStyle w:val="Styl2"/>
        <w:spacing w:before="0" w:after="0"/>
        <w:rPr>
          <w:lang w:val="sk-SK"/>
        </w:rPr>
      </w:pPr>
      <w:r w:rsidRPr="00EF4253">
        <w:rPr>
          <w:lang w:val="sk-SK"/>
        </w:rPr>
        <w:t>Zoznam pomocných látok</w:t>
      </w:r>
    </w:p>
    <w:p w14:paraId="15FD5F09" w14:textId="77777777" w:rsidR="0084711F" w:rsidRPr="00EF4253" w:rsidRDefault="0084711F" w:rsidP="00FC35F0">
      <w:pPr>
        <w:pStyle w:val="Styl30"/>
        <w:spacing w:after="0"/>
        <w:rPr>
          <w:lang w:val="sk-SK"/>
        </w:rPr>
      </w:pPr>
    </w:p>
    <w:p w14:paraId="0D31AA28" w14:textId="77777777" w:rsidR="00513C0F" w:rsidRPr="00EF4253" w:rsidRDefault="00A61F83" w:rsidP="00FC35F0">
      <w:pPr>
        <w:pStyle w:val="Styl30"/>
        <w:spacing w:after="0"/>
        <w:rPr>
          <w:lang w:val="sk-SK"/>
        </w:rPr>
      </w:pPr>
      <w:r w:rsidRPr="00EF4253">
        <w:rPr>
          <w:lang w:val="sk-SK"/>
        </w:rPr>
        <w:t>Jadro tablety:</w:t>
      </w:r>
    </w:p>
    <w:p w14:paraId="45598311" w14:textId="77777777" w:rsidR="00A61F83" w:rsidRPr="00EF4253" w:rsidRDefault="00233445" w:rsidP="00FC35F0">
      <w:pPr>
        <w:pStyle w:val="Normlndobloku"/>
        <w:spacing w:after="0"/>
      </w:pPr>
      <w:proofErr w:type="spellStart"/>
      <w:r w:rsidRPr="00EF4253">
        <w:t>m</w:t>
      </w:r>
      <w:r w:rsidR="00A61F83" w:rsidRPr="00EF4253">
        <w:t>onohydrát</w:t>
      </w:r>
      <w:proofErr w:type="spellEnd"/>
      <w:r w:rsidR="00A61F83" w:rsidRPr="00EF4253">
        <w:t xml:space="preserve"> laktózy</w:t>
      </w:r>
    </w:p>
    <w:p w14:paraId="16060868" w14:textId="77777777" w:rsidR="00A61F83" w:rsidRPr="00EF4253" w:rsidRDefault="00A61F83" w:rsidP="00FC35F0">
      <w:pPr>
        <w:pStyle w:val="Normlndobloku"/>
        <w:spacing w:after="0"/>
      </w:pPr>
      <w:r w:rsidRPr="00EF4253">
        <w:t>mikrokryštalick</w:t>
      </w:r>
      <w:r w:rsidR="00DA3323" w:rsidRPr="00EF4253">
        <w:t>á</w:t>
      </w:r>
      <w:r w:rsidRPr="00EF4253">
        <w:t xml:space="preserve"> celulóza</w:t>
      </w:r>
    </w:p>
    <w:p w14:paraId="007D4079" w14:textId="77777777" w:rsidR="00A61F83" w:rsidRPr="00EF4253" w:rsidRDefault="00A61F83" w:rsidP="00FC35F0">
      <w:pPr>
        <w:pStyle w:val="Normlndobloku"/>
        <w:spacing w:after="0"/>
      </w:pPr>
      <w:proofErr w:type="spellStart"/>
      <w:r w:rsidRPr="00EF4253">
        <w:t>krosp</w:t>
      </w:r>
      <w:r w:rsidR="00C00516" w:rsidRPr="00EF4253">
        <w:t>o</w:t>
      </w:r>
      <w:r w:rsidRPr="00EF4253">
        <w:t>vidón</w:t>
      </w:r>
      <w:proofErr w:type="spellEnd"/>
    </w:p>
    <w:p w14:paraId="601F0865" w14:textId="77777777" w:rsidR="00A61F83" w:rsidRPr="00EF4253" w:rsidRDefault="00A61F83" w:rsidP="00FC35F0">
      <w:pPr>
        <w:pStyle w:val="Normlndobloku"/>
        <w:spacing w:after="0"/>
      </w:pPr>
      <w:proofErr w:type="spellStart"/>
      <w:r w:rsidRPr="00EF4253">
        <w:t>magn</w:t>
      </w:r>
      <w:r w:rsidR="00DA3323" w:rsidRPr="00EF4253">
        <w:t>é</w:t>
      </w:r>
      <w:r w:rsidRPr="00EF4253">
        <w:t>ziumstear</w:t>
      </w:r>
      <w:r w:rsidR="00233445" w:rsidRPr="00EF4253">
        <w:t>á</w:t>
      </w:r>
      <w:r w:rsidRPr="00EF4253">
        <w:t>t</w:t>
      </w:r>
      <w:proofErr w:type="spellEnd"/>
    </w:p>
    <w:p w14:paraId="34339225" w14:textId="77777777" w:rsidR="0084711F" w:rsidRPr="00EF4253" w:rsidRDefault="0084711F" w:rsidP="00FC35F0">
      <w:pPr>
        <w:pStyle w:val="Styl30"/>
        <w:spacing w:after="0"/>
        <w:rPr>
          <w:lang w:val="sk-SK"/>
        </w:rPr>
      </w:pPr>
    </w:p>
    <w:p w14:paraId="2191EB81" w14:textId="77777777" w:rsidR="00A61F83" w:rsidRPr="00EF4253" w:rsidRDefault="002C0263" w:rsidP="00FC35F0">
      <w:pPr>
        <w:pStyle w:val="Styl30"/>
        <w:spacing w:after="0"/>
        <w:rPr>
          <w:lang w:val="sk-SK"/>
        </w:rPr>
      </w:pPr>
      <w:r w:rsidRPr="00EF4253">
        <w:rPr>
          <w:lang w:val="sk-SK"/>
        </w:rPr>
        <w:t xml:space="preserve">Filmový obal </w:t>
      </w:r>
      <w:r w:rsidR="00A61F83" w:rsidRPr="00EF4253">
        <w:rPr>
          <w:lang w:val="sk-SK"/>
        </w:rPr>
        <w:t>tablety</w:t>
      </w:r>
    </w:p>
    <w:p w14:paraId="76046683" w14:textId="08CD077D" w:rsidR="00A61F83" w:rsidRPr="00EF4253" w:rsidRDefault="00A61F83" w:rsidP="00FC35F0">
      <w:pPr>
        <w:pStyle w:val="Normlndobloku"/>
        <w:spacing w:after="0"/>
      </w:pPr>
      <w:r w:rsidRPr="00EF4253">
        <w:t>žltý oxid železitý (E</w:t>
      </w:r>
      <w:r w:rsidR="00D27D55" w:rsidRPr="00EF4253">
        <w:t> </w:t>
      </w:r>
      <w:r w:rsidRPr="00EF4253">
        <w:t>172)</w:t>
      </w:r>
    </w:p>
    <w:p w14:paraId="21DDA7B4" w14:textId="3CA5098C" w:rsidR="00A61F83" w:rsidRPr="00EF4253" w:rsidRDefault="00A61F83" w:rsidP="00FC35F0">
      <w:pPr>
        <w:pStyle w:val="Normlndobloku"/>
        <w:spacing w:after="0"/>
      </w:pPr>
      <w:r w:rsidRPr="00EF4253">
        <w:t>červený oxid železitý (E</w:t>
      </w:r>
      <w:r w:rsidR="00D27D55" w:rsidRPr="00EF4253">
        <w:t> </w:t>
      </w:r>
      <w:r w:rsidRPr="00EF4253">
        <w:t>172)</w:t>
      </w:r>
    </w:p>
    <w:p w14:paraId="4F775E76" w14:textId="77777777" w:rsidR="00A61F83" w:rsidRPr="00EF4253" w:rsidRDefault="00A61F83" w:rsidP="00FC35F0">
      <w:pPr>
        <w:pStyle w:val="Normlndobloku"/>
        <w:spacing w:after="0"/>
      </w:pPr>
      <w:proofErr w:type="spellStart"/>
      <w:r w:rsidRPr="00EF4253">
        <w:t>hypromel</w:t>
      </w:r>
      <w:r w:rsidR="00DA3323" w:rsidRPr="00EF4253">
        <w:t>ó</w:t>
      </w:r>
      <w:r w:rsidRPr="00EF4253">
        <w:t>za</w:t>
      </w:r>
      <w:proofErr w:type="spellEnd"/>
    </w:p>
    <w:p w14:paraId="316FA5F1" w14:textId="77777777" w:rsidR="00A61F83" w:rsidRPr="00EF4253" w:rsidRDefault="00A61F83" w:rsidP="00FC35F0">
      <w:pPr>
        <w:pStyle w:val="Normlndobloku"/>
        <w:spacing w:after="0"/>
      </w:pPr>
      <w:proofErr w:type="spellStart"/>
      <w:r w:rsidRPr="00EF4253">
        <w:t>makrogol</w:t>
      </w:r>
      <w:proofErr w:type="spellEnd"/>
    </w:p>
    <w:p w14:paraId="233DD68F" w14:textId="77777777" w:rsidR="00A61F83" w:rsidRPr="00EF4253" w:rsidRDefault="00A61F83" w:rsidP="00FC35F0">
      <w:pPr>
        <w:pStyle w:val="Normlndobloku"/>
        <w:spacing w:after="0"/>
      </w:pPr>
      <w:proofErr w:type="spellStart"/>
      <w:r w:rsidRPr="00EF4253">
        <w:t>h</w:t>
      </w:r>
      <w:r w:rsidR="00DA3323" w:rsidRPr="00EF4253">
        <w:t>y</w:t>
      </w:r>
      <w:r w:rsidRPr="00EF4253">
        <w:t>droxypropylcelulóza</w:t>
      </w:r>
      <w:proofErr w:type="spellEnd"/>
    </w:p>
    <w:p w14:paraId="165CF4C8" w14:textId="77777777" w:rsidR="00A61F83" w:rsidRPr="00EF4253" w:rsidRDefault="00A61F83" w:rsidP="00FC35F0">
      <w:pPr>
        <w:pStyle w:val="Normlndobloku"/>
        <w:spacing w:after="0"/>
      </w:pPr>
      <w:r w:rsidRPr="00EF4253">
        <w:t>koloidný oxid kremičitý</w:t>
      </w:r>
      <w:r w:rsidR="002C0263" w:rsidRPr="00EF4253">
        <w:t xml:space="preserve"> bezvodý</w:t>
      </w:r>
    </w:p>
    <w:p w14:paraId="0727656A" w14:textId="226C101C" w:rsidR="00A61F83" w:rsidRPr="00EF4253" w:rsidRDefault="00A61F83" w:rsidP="00FC35F0">
      <w:pPr>
        <w:pStyle w:val="Normlndobloku"/>
        <w:spacing w:after="0"/>
      </w:pPr>
      <w:r w:rsidRPr="00EF4253">
        <w:t xml:space="preserve">oxid </w:t>
      </w:r>
      <w:proofErr w:type="spellStart"/>
      <w:r w:rsidRPr="00EF4253">
        <w:t>tit</w:t>
      </w:r>
      <w:r w:rsidR="00DA3323" w:rsidRPr="00EF4253">
        <w:t>a</w:t>
      </w:r>
      <w:r w:rsidRPr="00EF4253">
        <w:t>ničitý</w:t>
      </w:r>
      <w:proofErr w:type="spellEnd"/>
      <w:r w:rsidRPr="00EF4253">
        <w:t xml:space="preserve"> (E</w:t>
      </w:r>
      <w:r w:rsidR="00D27D55" w:rsidRPr="00EF4253">
        <w:t> </w:t>
      </w:r>
      <w:r w:rsidRPr="00EF4253">
        <w:t>171)</w:t>
      </w:r>
    </w:p>
    <w:p w14:paraId="397A5FEC" w14:textId="77777777" w:rsidR="0084711F" w:rsidRPr="00EF4253" w:rsidRDefault="0084711F" w:rsidP="00FC35F0">
      <w:pPr>
        <w:pStyle w:val="Normlndobloku"/>
        <w:spacing w:after="0"/>
      </w:pPr>
    </w:p>
    <w:p w14:paraId="0D6A554C" w14:textId="77777777" w:rsidR="00513C0F" w:rsidRPr="00EF4253" w:rsidRDefault="00183E0E" w:rsidP="00FC35F0">
      <w:pPr>
        <w:pStyle w:val="Styl2"/>
        <w:spacing w:before="0" w:after="0"/>
        <w:rPr>
          <w:lang w:val="sk-SK"/>
        </w:rPr>
      </w:pPr>
      <w:r w:rsidRPr="00EF4253">
        <w:rPr>
          <w:lang w:val="sk-SK"/>
        </w:rPr>
        <w:t>Inkompatibility</w:t>
      </w:r>
    </w:p>
    <w:p w14:paraId="26BEA957" w14:textId="77777777" w:rsidR="0084711F" w:rsidRPr="00EF4253" w:rsidRDefault="0084711F" w:rsidP="00FC35F0">
      <w:pPr>
        <w:pStyle w:val="Normlndobloku"/>
        <w:spacing w:after="0"/>
      </w:pPr>
    </w:p>
    <w:p w14:paraId="43570A85" w14:textId="77777777" w:rsidR="00513C0F" w:rsidRPr="00EF4253" w:rsidRDefault="00183E0E" w:rsidP="00FC35F0">
      <w:pPr>
        <w:pStyle w:val="Normlndobloku"/>
        <w:spacing w:after="0"/>
      </w:pPr>
      <w:r w:rsidRPr="00EF4253">
        <w:t>Neaplikovateľné.</w:t>
      </w:r>
    </w:p>
    <w:p w14:paraId="7B7348D1" w14:textId="77777777" w:rsidR="0084711F" w:rsidRPr="00EF4253" w:rsidRDefault="0084711F" w:rsidP="00FC35F0">
      <w:pPr>
        <w:pStyle w:val="Normlndobloku"/>
        <w:spacing w:after="0"/>
      </w:pPr>
    </w:p>
    <w:p w14:paraId="7D3B55D9" w14:textId="77777777" w:rsidR="00513C0F" w:rsidRPr="00EF4253" w:rsidRDefault="00183E0E" w:rsidP="00FC35F0">
      <w:pPr>
        <w:pStyle w:val="Styl2"/>
        <w:spacing w:before="0" w:after="0"/>
        <w:rPr>
          <w:lang w:val="sk-SK"/>
        </w:rPr>
      </w:pPr>
      <w:r w:rsidRPr="00EF4253">
        <w:rPr>
          <w:lang w:val="sk-SK"/>
        </w:rPr>
        <w:t>Čas použiteľnosti</w:t>
      </w:r>
    </w:p>
    <w:p w14:paraId="10BD6E71" w14:textId="77777777" w:rsidR="0084711F" w:rsidRPr="00EF4253" w:rsidRDefault="0084711F" w:rsidP="00FC35F0">
      <w:pPr>
        <w:pStyle w:val="Normlndobloku"/>
        <w:spacing w:after="0"/>
      </w:pPr>
    </w:p>
    <w:p w14:paraId="68595540" w14:textId="77777777" w:rsidR="00513C0F" w:rsidRPr="00EF4253" w:rsidRDefault="00CC060F" w:rsidP="00FC35F0">
      <w:pPr>
        <w:pStyle w:val="Normlndobloku"/>
        <w:spacing w:after="0"/>
      </w:pPr>
      <w:r w:rsidRPr="00EF4253">
        <w:t xml:space="preserve">2 </w:t>
      </w:r>
      <w:r w:rsidR="00183E0E" w:rsidRPr="00EF4253">
        <w:t>roky</w:t>
      </w:r>
    </w:p>
    <w:p w14:paraId="4E42A9E9" w14:textId="77777777" w:rsidR="0084711F" w:rsidRPr="00EF4253" w:rsidRDefault="0084711F" w:rsidP="00FC35F0">
      <w:pPr>
        <w:pStyle w:val="Normlndobloku"/>
        <w:spacing w:after="0"/>
      </w:pPr>
    </w:p>
    <w:p w14:paraId="462855FC" w14:textId="77777777" w:rsidR="00513C0F" w:rsidRPr="00EF4253" w:rsidRDefault="00183E0E" w:rsidP="00FC35F0">
      <w:pPr>
        <w:pStyle w:val="Styl2"/>
        <w:spacing w:before="0" w:after="0"/>
        <w:rPr>
          <w:lang w:val="sk-SK"/>
        </w:rPr>
      </w:pPr>
      <w:r w:rsidRPr="00EF4253">
        <w:rPr>
          <w:lang w:val="sk-SK"/>
        </w:rPr>
        <w:t>Špeciálne upozornenia na uchovávanie</w:t>
      </w:r>
    </w:p>
    <w:p w14:paraId="6E7D26B5" w14:textId="77777777" w:rsidR="0084711F" w:rsidRPr="00EF4253" w:rsidRDefault="0084711F" w:rsidP="00FC35F0">
      <w:pPr>
        <w:pStyle w:val="Normlndobloku"/>
        <w:spacing w:after="0"/>
      </w:pPr>
    </w:p>
    <w:p w14:paraId="1477874E" w14:textId="77777777" w:rsidR="001A3A39" w:rsidRPr="00EF4253" w:rsidRDefault="00977F57" w:rsidP="00FC35F0">
      <w:pPr>
        <w:pStyle w:val="Normlndobloku"/>
        <w:spacing w:after="0"/>
        <w:rPr>
          <w:noProof/>
        </w:rPr>
      </w:pPr>
      <w:r w:rsidRPr="00EF4253">
        <w:t>Tento</w:t>
      </w:r>
      <w:r w:rsidRPr="00EF4253">
        <w:rPr>
          <w:noProof/>
        </w:rPr>
        <w:t xml:space="preserve"> liek nevyžaduje žiadne zvláštne podmienky na uchovávanie</w:t>
      </w:r>
      <w:r w:rsidR="008A53FB" w:rsidRPr="00EF4253">
        <w:rPr>
          <w:noProof/>
        </w:rPr>
        <w:t>.</w:t>
      </w:r>
    </w:p>
    <w:p w14:paraId="5242F081" w14:textId="77777777" w:rsidR="0084711F" w:rsidRPr="00EF4253" w:rsidRDefault="0084711F" w:rsidP="00FC35F0">
      <w:pPr>
        <w:pStyle w:val="Normlndobloku"/>
        <w:spacing w:after="0"/>
      </w:pPr>
    </w:p>
    <w:p w14:paraId="488E7E3F" w14:textId="77777777" w:rsidR="00513C0F" w:rsidRPr="00EF4253" w:rsidRDefault="00183E0E" w:rsidP="00FC35F0">
      <w:pPr>
        <w:pStyle w:val="Styl2"/>
        <w:spacing w:before="0" w:after="0"/>
        <w:rPr>
          <w:lang w:val="sk-SK"/>
        </w:rPr>
      </w:pPr>
      <w:r w:rsidRPr="00EF4253">
        <w:rPr>
          <w:lang w:val="sk-SK"/>
        </w:rPr>
        <w:t>Druh obalu a obsah balenia</w:t>
      </w:r>
    </w:p>
    <w:p w14:paraId="6D115D5A" w14:textId="77777777" w:rsidR="0084711F" w:rsidRPr="00EF4253" w:rsidRDefault="0084711F" w:rsidP="00FC35F0">
      <w:pPr>
        <w:pStyle w:val="Normlndobloku"/>
        <w:spacing w:after="0"/>
      </w:pPr>
    </w:p>
    <w:p w14:paraId="1D8E1898" w14:textId="77777777" w:rsidR="00864404" w:rsidRPr="00EF4253" w:rsidRDefault="00A61F83" w:rsidP="00FC35F0">
      <w:pPr>
        <w:pStyle w:val="Normlndobloku"/>
        <w:spacing w:after="0"/>
      </w:pPr>
      <w:proofErr w:type="spellStart"/>
      <w:r w:rsidRPr="00EF4253">
        <w:t>OPA-Al-PVC</w:t>
      </w:r>
      <w:proofErr w:type="spellEnd"/>
      <w:r w:rsidRPr="00EF4253">
        <w:t>/</w:t>
      </w:r>
      <w:proofErr w:type="spellStart"/>
      <w:r w:rsidR="00E8769F" w:rsidRPr="00EF4253">
        <w:t>Al</w:t>
      </w:r>
      <w:proofErr w:type="spellEnd"/>
      <w:r w:rsidR="00E8769F" w:rsidRPr="00EF4253">
        <w:t xml:space="preserve"> </w:t>
      </w:r>
      <w:proofErr w:type="spellStart"/>
      <w:r w:rsidRPr="00EF4253">
        <w:t>blist</w:t>
      </w:r>
      <w:r w:rsidR="002C0263" w:rsidRPr="00EF4253">
        <w:t>re</w:t>
      </w:r>
      <w:proofErr w:type="spellEnd"/>
      <w:r w:rsidRPr="00EF4253">
        <w:t xml:space="preserve"> v </w:t>
      </w:r>
      <w:r w:rsidR="00DA3323" w:rsidRPr="00EF4253">
        <w:t>kartónovej</w:t>
      </w:r>
      <w:r w:rsidRPr="00EF4253">
        <w:t xml:space="preserve"> </w:t>
      </w:r>
      <w:r w:rsidR="00DA3323" w:rsidRPr="00EF4253">
        <w:t>škatuľke</w:t>
      </w:r>
      <w:r w:rsidR="002C0263" w:rsidRPr="00EF4253">
        <w:t xml:space="preserve"> po</w:t>
      </w:r>
      <w:r w:rsidRPr="00EF4253">
        <w:t xml:space="preserve"> 4 alebo 12 tablet</w:t>
      </w:r>
      <w:r w:rsidR="00A77C5F" w:rsidRPr="00EF4253">
        <w:t>ách.</w:t>
      </w:r>
    </w:p>
    <w:p w14:paraId="6F5253A9" w14:textId="26B2CA41" w:rsidR="00513C0F" w:rsidRPr="00EF4253" w:rsidRDefault="00513C0F" w:rsidP="00FC35F0">
      <w:pPr>
        <w:pStyle w:val="Normlndobloku"/>
        <w:spacing w:after="0"/>
      </w:pPr>
    </w:p>
    <w:p w14:paraId="44606F6F" w14:textId="3405EF6A" w:rsidR="00D27D55" w:rsidRPr="00EF4253" w:rsidRDefault="00D27D55" w:rsidP="00FC35F0">
      <w:pPr>
        <w:pStyle w:val="Normlndobloku"/>
        <w:spacing w:after="0"/>
      </w:pPr>
      <w:r w:rsidRPr="00EF4253">
        <w:t>Na trh nemusia byť uvedené všetky veľkosti balenia.</w:t>
      </w:r>
    </w:p>
    <w:p w14:paraId="4E373364" w14:textId="77777777" w:rsidR="0084711F" w:rsidRPr="00EF4253" w:rsidRDefault="0084711F" w:rsidP="00FC35F0">
      <w:pPr>
        <w:pStyle w:val="Normlndobloku"/>
        <w:spacing w:after="0"/>
      </w:pPr>
    </w:p>
    <w:p w14:paraId="429FC486" w14:textId="77777777" w:rsidR="00513C0F" w:rsidRPr="00EF4253" w:rsidRDefault="00183E0E" w:rsidP="00FC35F0">
      <w:pPr>
        <w:pStyle w:val="Styl2"/>
        <w:spacing w:before="0" w:after="0"/>
        <w:rPr>
          <w:lang w:val="sk-SK"/>
        </w:rPr>
      </w:pPr>
      <w:r w:rsidRPr="00EF4253">
        <w:rPr>
          <w:lang w:val="sk-SK"/>
        </w:rPr>
        <w:t>Špeciálne opatrenia na likvidáciu</w:t>
      </w:r>
    </w:p>
    <w:p w14:paraId="36BB5A2C" w14:textId="77777777" w:rsidR="0084711F" w:rsidRPr="00EF4253" w:rsidRDefault="0084711F" w:rsidP="00FC35F0">
      <w:pPr>
        <w:pStyle w:val="Normlndobloku"/>
        <w:spacing w:after="0"/>
      </w:pPr>
    </w:p>
    <w:p w14:paraId="0643224C" w14:textId="77777777" w:rsidR="00C50063" w:rsidRPr="00EF4253" w:rsidRDefault="0073078D" w:rsidP="00FC35F0">
      <w:pPr>
        <w:pStyle w:val="Normlndobloku"/>
        <w:spacing w:after="0"/>
      </w:pPr>
      <w:r w:rsidRPr="00EF4253">
        <w:t>Žiadne zvláštne požiadavky</w:t>
      </w:r>
    </w:p>
    <w:p w14:paraId="4C7F1177" w14:textId="77777777" w:rsidR="0084711F" w:rsidRPr="00EF4253" w:rsidRDefault="0084711F" w:rsidP="00FC35F0">
      <w:pPr>
        <w:pStyle w:val="Normlndobloku"/>
        <w:spacing w:after="0"/>
      </w:pPr>
    </w:p>
    <w:p w14:paraId="41CDE702" w14:textId="77777777" w:rsidR="0084711F" w:rsidRPr="00EF4253" w:rsidRDefault="0084711F" w:rsidP="00FC35F0">
      <w:pPr>
        <w:pStyle w:val="Normlndobloku"/>
        <w:spacing w:after="0"/>
      </w:pPr>
    </w:p>
    <w:p w14:paraId="58877A60" w14:textId="77777777" w:rsidR="00513C0F" w:rsidRPr="00EF4253" w:rsidRDefault="00183E0E" w:rsidP="00FC35F0">
      <w:pPr>
        <w:pStyle w:val="Styl1"/>
        <w:spacing w:before="0" w:after="0"/>
        <w:rPr>
          <w:lang w:val="sk-SK"/>
        </w:rPr>
      </w:pPr>
      <w:r w:rsidRPr="00EF4253">
        <w:rPr>
          <w:lang w:val="sk-SK"/>
        </w:rPr>
        <w:lastRenderedPageBreak/>
        <w:t>DRŽITEĽ ROZHODNUTIA O REGISTRÁCII</w:t>
      </w:r>
    </w:p>
    <w:p w14:paraId="0F7C558F" w14:textId="77777777" w:rsidR="0084711F" w:rsidRPr="00EF4253" w:rsidRDefault="0084711F" w:rsidP="00FC35F0">
      <w:pPr>
        <w:pStyle w:val="Normlndobloku"/>
        <w:spacing w:after="0"/>
      </w:pPr>
    </w:p>
    <w:p w14:paraId="606E9AA0" w14:textId="77777777" w:rsidR="00B8388E" w:rsidRPr="00EF4253" w:rsidRDefault="00B8388E" w:rsidP="00FC35F0">
      <w:pPr>
        <w:pStyle w:val="Normlndobloku"/>
        <w:spacing w:after="0"/>
      </w:pPr>
      <w:r w:rsidRPr="00EF4253">
        <w:t xml:space="preserve">MEDOCHEMIE </w:t>
      </w:r>
      <w:proofErr w:type="spellStart"/>
      <w:r w:rsidRPr="00EF4253">
        <w:t>Ltd</w:t>
      </w:r>
      <w:proofErr w:type="spellEnd"/>
      <w:r w:rsidRPr="00EF4253">
        <w:t xml:space="preserve">., </w:t>
      </w:r>
      <w:r w:rsidR="009161CA" w:rsidRPr="00EF4253">
        <w:t xml:space="preserve">1-10 </w:t>
      </w:r>
      <w:proofErr w:type="spellStart"/>
      <w:r w:rsidR="009161CA" w:rsidRPr="00EF4253">
        <w:t>Constantinoupoleos</w:t>
      </w:r>
      <w:proofErr w:type="spellEnd"/>
      <w:r w:rsidR="009161CA" w:rsidRPr="00EF4253">
        <w:t xml:space="preserve"> </w:t>
      </w:r>
      <w:proofErr w:type="spellStart"/>
      <w:r w:rsidR="00741A23" w:rsidRPr="00EF4253">
        <w:t>S</w:t>
      </w:r>
      <w:r w:rsidR="009161CA" w:rsidRPr="00EF4253">
        <w:t>treet</w:t>
      </w:r>
      <w:proofErr w:type="spellEnd"/>
      <w:r w:rsidR="009161CA" w:rsidRPr="00EF4253">
        <w:t xml:space="preserve">, 3011 </w:t>
      </w:r>
      <w:proofErr w:type="spellStart"/>
      <w:r w:rsidRPr="00EF4253">
        <w:t>Limassol</w:t>
      </w:r>
      <w:proofErr w:type="spellEnd"/>
      <w:r w:rsidRPr="00EF4253">
        <w:t>, Cyprus</w:t>
      </w:r>
    </w:p>
    <w:p w14:paraId="13241D55" w14:textId="77777777" w:rsidR="0084711F" w:rsidRPr="00EF4253" w:rsidRDefault="0084711F" w:rsidP="00FC35F0">
      <w:pPr>
        <w:pStyle w:val="Normlndobloku"/>
        <w:spacing w:after="0"/>
      </w:pPr>
    </w:p>
    <w:p w14:paraId="6B86050B" w14:textId="77777777" w:rsidR="0084711F" w:rsidRPr="00EF4253" w:rsidRDefault="0084711F" w:rsidP="00FC35F0">
      <w:pPr>
        <w:pStyle w:val="Normlndobloku"/>
        <w:spacing w:after="0"/>
      </w:pPr>
    </w:p>
    <w:p w14:paraId="0E2EDF98" w14:textId="77777777" w:rsidR="00513C0F" w:rsidRPr="00EF4253" w:rsidRDefault="00183E0E" w:rsidP="00FC35F0">
      <w:pPr>
        <w:pStyle w:val="Styl1"/>
        <w:spacing w:before="0" w:after="0"/>
        <w:rPr>
          <w:lang w:val="sk-SK"/>
        </w:rPr>
      </w:pPr>
      <w:r w:rsidRPr="00EF4253">
        <w:rPr>
          <w:lang w:val="sk-SK"/>
        </w:rPr>
        <w:t>REGISTRAČNÉ ČÍSL</w:t>
      </w:r>
      <w:r w:rsidR="00C8401C" w:rsidRPr="00EF4253">
        <w:rPr>
          <w:lang w:val="sk-SK"/>
        </w:rPr>
        <w:t>O</w:t>
      </w:r>
    </w:p>
    <w:p w14:paraId="2FEB0B6B" w14:textId="77777777" w:rsidR="0084711F" w:rsidRPr="00EF4253" w:rsidRDefault="0084711F" w:rsidP="00FC35F0">
      <w:pPr>
        <w:pStyle w:val="Normlndobloku"/>
        <w:spacing w:after="0"/>
        <w:jc w:val="left"/>
      </w:pPr>
    </w:p>
    <w:p w14:paraId="37447A2C" w14:textId="77777777" w:rsidR="00AB6380" w:rsidRPr="00EF4253" w:rsidRDefault="00AB6380" w:rsidP="00FC35F0">
      <w:pPr>
        <w:pStyle w:val="Normlndobloku"/>
        <w:spacing w:after="0"/>
        <w:jc w:val="left"/>
      </w:pPr>
      <w:r w:rsidRPr="00EF4253">
        <w:t>87/0772/11-S</w:t>
      </w:r>
    </w:p>
    <w:p w14:paraId="6721D1C0" w14:textId="77777777" w:rsidR="0084711F" w:rsidRPr="00EF4253" w:rsidRDefault="0084711F" w:rsidP="00FC35F0">
      <w:pPr>
        <w:pStyle w:val="Normlndobloku"/>
        <w:spacing w:after="0"/>
        <w:jc w:val="left"/>
      </w:pPr>
    </w:p>
    <w:p w14:paraId="17789057" w14:textId="77777777" w:rsidR="0084711F" w:rsidRPr="00EF4253" w:rsidRDefault="0084711F" w:rsidP="00FC35F0">
      <w:pPr>
        <w:pStyle w:val="Normlndobloku"/>
        <w:spacing w:after="0"/>
        <w:jc w:val="left"/>
      </w:pPr>
    </w:p>
    <w:p w14:paraId="590FCD6A" w14:textId="77777777" w:rsidR="00513C0F" w:rsidRPr="00EF4253" w:rsidRDefault="00183E0E" w:rsidP="00FC35F0">
      <w:pPr>
        <w:pStyle w:val="Styl1"/>
        <w:spacing w:before="0" w:after="0"/>
        <w:rPr>
          <w:lang w:val="sk-SK"/>
        </w:rPr>
      </w:pPr>
      <w:r w:rsidRPr="00EF4253">
        <w:rPr>
          <w:lang w:val="sk-SK"/>
        </w:rPr>
        <w:t>DÁTUM PRVEJ REGISTRÁCIE/ PREDĹŽENIA REGISTRÁCIE</w:t>
      </w:r>
    </w:p>
    <w:p w14:paraId="07460811" w14:textId="77777777" w:rsidR="0084711F" w:rsidRPr="00EF4253" w:rsidRDefault="0084711F" w:rsidP="00FC35F0">
      <w:pPr>
        <w:pStyle w:val="Normlndobloku"/>
        <w:tabs>
          <w:tab w:val="clear" w:pos="6946"/>
        </w:tabs>
        <w:spacing w:after="0"/>
      </w:pPr>
    </w:p>
    <w:p w14:paraId="4E4836C5" w14:textId="77777777" w:rsidR="00475FFE" w:rsidRPr="00EF4253" w:rsidRDefault="00475FFE" w:rsidP="00FC35F0">
      <w:pPr>
        <w:pStyle w:val="Normlndobloku"/>
        <w:tabs>
          <w:tab w:val="clear" w:pos="6946"/>
        </w:tabs>
        <w:spacing w:after="0"/>
      </w:pPr>
      <w:r w:rsidRPr="00EF4253">
        <w:t>Dátum prvej registrácie:</w:t>
      </w:r>
      <w:r w:rsidR="00AB6380" w:rsidRPr="00EF4253">
        <w:t xml:space="preserve"> 30. novembra 2011</w:t>
      </w:r>
    </w:p>
    <w:p w14:paraId="24B018F8" w14:textId="77777777" w:rsidR="0084711F" w:rsidRPr="00EF4253" w:rsidRDefault="0084711F" w:rsidP="00FC35F0">
      <w:pPr>
        <w:pStyle w:val="Normlndobloku"/>
        <w:tabs>
          <w:tab w:val="clear" w:pos="6946"/>
        </w:tabs>
        <w:spacing w:after="0"/>
      </w:pPr>
    </w:p>
    <w:p w14:paraId="436A068C" w14:textId="55D7BFB2" w:rsidR="00AB6380" w:rsidRPr="00EF4253" w:rsidRDefault="00AB6380" w:rsidP="00FC35F0">
      <w:pPr>
        <w:pStyle w:val="Normlndobloku"/>
        <w:tabs>
          <w:tab w:val="clear" w:pos="6946"/>
        </w:tabs>
        <w:spacing w:after="0"/>
      </w:pPr>
      <w:r w:rsidRPr="00EF4253">
        <w:t>Dátum posledného predĺženia registrácie:</w:t>
      </w:r>
      <w:r w:rsidR="000B029E" w:rsidRPr="00EF4253">
        <w:t xml:space="preserve"> </w:t>
      </w:r>
    </w:p>
    <w:p w14:paraId="12BA9CB1" w14:textId="77777777" w:rsidR="0084711F" w:rsidRPr="00EF4253" w:rsidRDefault="0084711F" w:rsidP="00FC35F0">
      <w:pPr>
        <w:pStyle w:val="Normlndobloku"/>
        <w:tabs>
          <w:tab w:val="clear" w:pos="6946"/>
        </w:tabs>
        <w:spacing w:after="0"/>
      </w:pPr>
    </w:p>
    <w:p w14:paraId="1C19E76D" w14:textId="77777777" w:rsidR="0084711F" w:rsidRPr="00EF4253" w:rsidRDefault="0084711F" w:rsidP="00FC35F0">
      <w:pPr>
        <w:pStyle w:val="Normlndobloku"/>
        <w:tabs>
          <w:tab w:val="clear" w:pos="6946"/>
        </w:tabs>
        <w:spacing w:after="0"/>
      </w:pPr>
    </w:p>
    <w:p w14:paraId="558A00AD" w14:textId="77777777" w:rsidR="00C8401C" w:rsidRPr="00EF4253" w:rsidRDefault="00183E0E" w:rsidP="00FC35F0">
      <w:pPr>
        <w:pStyle w:val="Styl1"/>
        <w:spacing w:before="0" w:after="0"/>
        <w:rPr>
          <w:lang w:val="sk-SK"/>
        </w:rPr>
      </w:pPr>
      <w:r w:rsidRPr="00EF4253">
        <w:rPr>
          <w:lang w:val="sk-SK"/>
        </w:rPr>
        <w:t>DÁTUM REVÍZIE TEXTU</w:t>
      </w:r>
    </w:p>
    <w:p w14:paraId="28D0121F" w14:textId="77777777" w:rsidR="0084711F" w:rsidRPr="00EF4253" w:rsidRDefault="0084711F" w:rsidP="00FC35F0">
      <w:pPr>
        <w:pStyle w:val="Normlndobloku"/>
        <w:spacing w:after="0"/>
      </w:pPr>
    </w:p>
    <w:p w14:paraId="2A48C231" w14:textId="2FCB7A50" w:rsidR="00513C0F" w:rsidRPr="00EF4253" w:rsidRDefault="00AA22AE" w:rsidP="00FC35F0">
      <w:pPr>
        <w:pStyle w:val="Normlndobloku"/>
        <w:spacing w:after="0"/>
      </w:pPr>
      <w:r>
        <w:t>01/2017</w:t>
      </w:r>
      <w:bookmarkStart w:id="0" w:name="_GoBack"/>
      <w:bookmarkEnd w:id="0"/>
    </w:p>
    <w:sectPr w:rsidR="00513C0F" w:rsidRPr="00EF4253" w:rsidSect="00ED47F3"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18" w:right="1418" w:bottom="1418" w:left="1418" w:header="709" w:footer="709" w:gutter="0"/>
      <w:cols w:space="708"/>
      <w:noEndnote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78DAA6" w15:done="0"/>
  <w15:commentEx w15:paraId="2445B653" w15:done="0"/>
  <w15:commentEx w15:paraId="33A94A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49823" w14:textId="77777777" w:rsidR="00AA22AE" w:rsidRDefault="00AA22AE" w:rsidP="00E72BD3">
      <w:r>
        <w:separator/>
      </w:r>
    </w:p>
  </w:endnote>
  <w:endnote w:type="continuationSeparator" w:id="0">
    <w:p w14:paraId="10995C42" w14:textId="77777777" w:rsidR="00AA22AE" w:rsidRDefault="00AA22AE" w:rsidP="00E72BD3">
      <w:r>
        <w:continuationSeparator/>
      </w:r>
    </w:p>
  </w:endnote>
  <w:endnote w:type="continuationNotice" w:id="1">
    <w:p w14:paraId="6B0FA1B8" w14:textId="77777777" w:rsidR="00AA22AE" w:rsidRDefault="00AA22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EA75E" w14:textId="77777777" w:rsidR="00AA22AE" w:rsidRDefault="00AA22AE" w:rsidP="00836DF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877ABA0" w14:textId="77777777" w:rsidR="00AA22AE" w:rsidRDefault="00AA22AE" w:rsidP="00C32E1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CDA40" w14:textId="31FE12A8" w:rsidR="00AA22AE" w:rsidRPr="00BA12C4" w:rsidRDefault="00AA22AE" w:rsidP="00BF6AC8">
    <w:pPr>
      <w:pStyle w:val="Pta"/>
      <w:jc w:val="center"/>
      <w:rPr>
        <w:sz w:val="22"/>
        <w:szCs w:val="22"/>
      </w:rPr>
    </w:pPr>
    <w:r w:rsidRPr="00BA12C4">
      <w:rPr>
        <w:sz w:val="22"/>
        <w:szCs w:val="22"/>
      </w:rPr>
      <w:fldChar w:fldCharType="begin"/>
    </w:r>
    <w:r w:rsidRPr="00BA12C4">
      <w:rPr>
        <w:sz w:val="22"/>
        <w:szCs w:val="22"/>
      </w:rPr>
      <w:instrText>PAGE</w:instrText>
    </w:r>
    <w:r w:rsidRPr="00BA12C4">
      <w:rPr>
        <w:sz w:val="22"/>
        <w:szCs w:val="22"/>
      </w:rPr>
      <w:fldChar w:fldCharType="separate"/>
    </w:r>
    <w:r w:rsidR="005871BD">
      <w:rPr>
        <w:noProof/>
        <w:sz w:val="22"/>
        <w:szCs w:val="22"/>
      </w:rPr>
      <w:t>11</w:t>
    </w:r>
    <w:r w:rsidRPr="00BA12C4">
      <w:rPr>
        <w:sz w:val="22"/>
        <w:szCs w:val="22"/>
      </w:rPr>
      <w:fldChar w:fldCharType="end"/>
    </w:r>
    <w:r w:rsidRPr="00BA12C4">
      <w:rPr>
        <w:sz w:val="22"/>
        <w:szCs w:val="22"/>
      </w:rPr>
      <w:t>/</w:t>
    </w:r>
    <w:r w:rsidRPr="00BA12C4">
      <w:rPr>
        <w:sz w:val="22"/>
        <w:szCs w:val="22"/>
      </w:rPr>
      <w:fldChar w:fldCharType="begin"/>
    </w:r>
    <w:r w:rsidRPr="00BA12C4">
      <w:rPr>
        <w:sz w:val="22"/>
        <w:szCs w:val="22"/>
      </w:rPr>
      <w:instrText>NUMPAGES</w:instrText>
    </w:r>
    <w:r w:rsidRPr="00BA12C4">
      <w:rPr>
        <w:sz w:val="22"/>
        <w:szCs w:val="22"/>
      </w:rPr>
      <w:fldChar w:fldCharType="separate"/>
    </w:r>
    <w:r w:rsidR="005871BD">
      <w:rPr>
        <w:noProof/>
        <w:sz w:val="22"/>
        <w:szCs w:val="22"/>
      </w:rPr>
      <w:t>11</w:t>
    </w:r>
    <w:r w:rsidRPr="00BA12C4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58BC0" w14:textId="24D54D34" w:rsidR="00AA22AE" w:rsidRPr="00BA12C4" w:rsidRDefault="00AA22AE" w:rsidP="00BF6AC8">
    <w:pPr>
      <w:pStyle w:val="Pta"/>
      <w:jc w:val="center"/>
      <w:rPr>
        <w:sz w:val="22"/>
        <w:szCs w:val="22"/>
      </w:rPr>
    </w:pPr>
    <w:r w:rsidRPr="00BA12C4">
      <w:rPr>
        <w:sz w:val="22"/>
        <w:szCs w:val="22"/>
      </w:rPr>
      <w:fldChar w:fldCharType="begin"/>
    </w:r>
    <w:r w:rsidRPr="00BA12C4">
      <w:rPr>
        <w:sz w:val="22"/>
        <w:szCs w:val="22"/>
      </w:rPr>
      <w:instrText>PAGE</w:instrText>
    </w:r>
    <w:r w:rsidRPr="00BA12C4">
      <w:rPr>
        <w:sz w:val="22"/>
        <w:szCs w:val="22"/>
      </w:rPr>
      <w:fldChar w:fldCharType="separate"/>
    </w:r>
    <w:r w:rsidR="005871BD">
      <w:rPr>
        <w:noProof/>
        <w:sz w:val="22"/>
        <w:szCs w:val="22"/>
      </w:rPr>
      <w:t>1</w:t>
    </w:r>
    <w:r w:rsidRPr="00BA12C4">
      <w:rPr>
        <w:sz w:val="22"/>
        <w:szCs w:val="22"/>
      </w:rPr>
      <w:fldChar w:fldCharType="end"/>
    </w:r>
    <w:r w:rsidRPr="00BA12C4">
      <w:rPr>
        <w:sz w:val="22"/>
        <w:szCs w:val="22"/>
      </w:rPr>
      <w:t>/</w:t>
    </w:r>
    <w:r w:rsidRPr="00BA12C4">
      <w:rPr>
        <w:sz w:val="22"/>
        <w:szCs w:val="22"/>
      </w:rPr>
      <w:fldChar w:fldCharType="begin"/>
    </w:r>
    <w:r w:rsidRPr="00BA12C4">
      <w:rPr>
        <w:sz w:val="22"/>
        <w:szCs w:val="22"/>
      </w:rPr>
      <w:instrText>NUMPAGES</w:instrText>
    </w:r>
    <w:r w:rsidRPr="00BA12C4">
      <w:rPr>
        <w:sz w:val="22"/>
        <w:szCs w:val="22"/>
      </w:rPr>
      <w:fldChar w:fldCharType="separate"/>
    </w:r>
    <w:r w:rsidR="005871BD">
      <w:rPr>
        <w:noProof/>
        <w:sz w:val="22"/>
        <w:szCs w:val="22"/>
      </w:rPr>
      <w:t>11</w:t>
    </w:r>
    <w:r w:rsidRPr="00BA12C4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60DC9" w14:textId="77777777" w:rsidR="00AA22AE" w:rsidRDefault="00AA22AE" w:rsidP="00E72BD3">
      <w:r>
        <w:separator/>
      </w:r>
    </w:p>
  </w:footnote>
  <w:footnote w:type="continuationSeparator" w:id="0">
    <w:p w14:paraId="41C11486" w14:textId="77777777" w:rsidR="00AA22AE" w:rsidRDefault="00AA22AE" w:rsidP="00E72BD3">
      <w:r>
        <w:continuationSeparator/>
      </w:r>
    </w:p>
  </w:footnote>
  <w:footnote w:type="continuationNotice" w:id="1">
    <w:p w14:paraId="4BC79177" w14:textId="77777777" w:rsidR="00AA22AE" w:rsidRDefault="00AA22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0662B" w14:textId="34FA3D78" w:rsidR="00AA22AE" w:rsidRDefault="00AA22AE" w:rsidP="00BF6AC8">
    <w:pPr>
      <w:outlineLvl w:val="0"/>
      <w:rPr>
        <w:noProof/>
        <w:sz w:val="20"/>
        <w:szCs w:val="20"/>
        <w:lang w:val="sk-SK" w:eastAsia="en-GB"/>
      </w:rPr>
    </w:pPr>
  </w:p>
  <w:p w14:paraId="378C4275" w14:textId="52DD4853" w:rsidR="00AA22AE" w:rsidRPr="00245FF1" w:rsidRDefault="00AA22AE" w:rsidP="00BF6AC8">
    <w:pPr>
      <w:outlineLvl w:val="0"/>
      <w:rPr>
        <w:noProof/>
        <w:sz w:val="18"/>
        <w:szCs w:val="18"/>
        <w:lang w:val="sk-SK" w:eastAsia="en-GB"/>
      </w:rPr>
    </w:pPr>
    <w:r>
      <w:rPr>
        <w:noProof/>
        <w:sz w:val="18"/>
        <w:szCs w:val="18"/>
        <w:lang w:val="sk-SK" w:eastAsia="en-GB"/>
      </w:rPr>
      <w:t>Príloha č. 1</w:t>
    </w:r>
    <w:r w:rsidRPr="00FC35F0">
      <w:rPr>
        <w:sz w:val="18"/>
        <w:lang w:val="sk-SK"/>
      </w:rPr>
      <w:t xml:space="preserve"> k </w:t>
    </w:r>
    <w:r>
      <w:rPr>
        <w:noProof/>
        <w:sz w:val="18"/>
        <w:szCs w:val="18"/>
        <w:lang w:val="sk-SK" w:eastAsia="en-GB"/>
      </w:rPr>
      <w:t>notifikácii</w:t>
    </w:r>
    <w:r w:rsidRPr="00FC35F0">
      <w:rPr>
        <w:sz w:val="18"/>
        <w:lang w:val="sk-SK"/>
      </w:rPr>
      <w:t xml:space="preserve"> o </w:t>
    </w:r>
    <w:r>
      <w:rPr>
        <w:noProof/>
        <w:sz w:val="18"/>
        <w:szCs w:val="18"/>
        <w:lang w:val="sk-SK" w:eastAsia="en-GB"/>
      </w:rPr>
      <w:t>zmene</w:t>
    </w:r>
    <w:r w:rsidRPr="00245FF1">
      <w:rPr>
        <w:noProof/>
        <w:sz w:val="18"/>
        <w:szCs w:val="18"/>
        <w:lang w:val="sk-SK" w:eastAsia="en-GB"/>
      </w:rPr>
      <w:t>, ev. č.: 2016/01085</w:t>
    </w:r>
    <w:r>
      <w:rPr>
        <w:noProof/>
        <w:sz w:val="18"/>
        <w:szCs w:val="18"/>
        <w:lang w:val="sk-SK" w:eastAsia="en-GB"/>
      </w:rPr>
      <w:t>-Z1B</w:t>
    </w:r>
  </w:p>
  <w:p w14:paraId="1ADE5D3F" w14:textId="1338967F" w:rsidR="00AA22AE" w:rsidRPr="00FC35F0" w:rsidRDefault="00AA22AE" w:rsidP="00311A4D">
    <w:pPr>
      <w:pStyle w:val="Hlavika"/>
      <w:rPr>
        <w:sz w:val="18"/>
        <w:szCs w:val="18"/>
        <w:lang w:val="sk-SK"/>
      </w:rPr>
    </w:pPr>
    <w:r w:rsidRPr="00311A4D">
      <w:rPr>
        <w:sz w:val="18"/>
        <w:szCs w:val="18"/>
      </w:rPr>
      <w:t xml:space="preserve">Schválený text k rozhodnutiu o predĺžení, ev. </w:t>
    </w:r>
    <w:r w:rsidRPr="00FC35F0">
      <w:rPr>
        <w:sz w:val="18"/>
      </w:rPr>
      <w:t xml:space="preserve">č.: </w:t>
    </w:r>
    <w:r w:rsidRPr="00311A4D">
      <w:rPr>
        <w:sz w:val="18"/>
        <w:szCs w:val="18"/>
      </w:rPr>
      <w:t>2016/01129-P</w:t>
    </w:r>
    <w:r>
      <w:rPr>
        <w:sz w:val="18"/>
        <w:szCs w:val="18"/>
        <w:lang w:val="sk-SK"/>
      </w:rPr>
      <w:t>RE</w:t>
    </w:r>
  </w:p>
  <w:p w14:paraId="5FABEC16" w14:textId="77777777" w:rsidR="00AA22AE" w:rsidRPr="00FC35F0" w:rsidRDefault="00AA22AE" w:rsidP="00BF6AC8">
    <w:pPr>
      <w:outlineLvl w:val="0"/>
      <w:rPr>
        <w:sz w:val="2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8AA"/>
    <w:multiLevelType w:val="multilevel"/>
    <w:tmpl w:val="7032B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41835D3"/>
    <w:multiLevelType w:val="hybridMultilevel"/>
    <w:tmpl w:val="4B7E8A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61B9B"/>
    <w:multiLevelType w:val="multilevel"/>
    <w:tmpl w:val="7FF8C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74C7DB5"/>
    <w:multiLevelType w:val="hybridMultilevel"/>
    <w:tmpl w:val="58A066A8"/>
    <w:lvl w:ilvl="0" w:tplc="9E50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E1706"/>
    <w:multiLevelType w:val="hybridMultilevel"/>
    <w:tmpl w:val="DB8C4AA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356760"/>
    <w:multiLevelType w:val="hybridMultilevel"/>
    <w:tmpl w:val="0FFEE5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64556"/>
    <w:multiLevelType w:val="multilevel"/>
    <w:tmpl w:val="227A0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52ED0"/>
    <w:multiLevelType w:val="multilevel"/>
    <w:tmpl w:val="74AE9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6AAD4AA7"/>
    <w:multiLevelType w:val="multilevel"/>
    <w:tmpl w:val="10B89FE6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BAE49E2"/>
    <w:multiLevelType w:val="hybridMultilevel"/>
    <w:tmpl w:val="98047122"/>
    <w:lvl w:ilvl="0" w:tplc="A13E6BCC">
      <w:start w:val="1"/>
      <w:numFmt w:val="bullet"/>
      <w:pStyle w:val="Normlndoblokusodrkami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0914592"/>
    <w:multiLevelType w:val="multilevel"/>
    <w:tmpl w:val="5C268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"/>
  </w:num>
  <w:num w:numId="12">
    <w:abstractNumId w:val="5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čolomanská, Petra">
    <w15:presenceInfo w15:providerId="None" w15:userId="Dočolomanská, Pet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NotTrackMove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E0E"/>
    <w:rsid w:val="00000724"/>
    <w:rsid w:val="00000B02"/>
    <w:rsid w:val="000134C7"/>
    <w:rsid w:val="000149CC"/>
    <w:rsid w:val="00044169"/>
    <w:rsid w:val="00044DD9"/>
    <w:rsid w:val="000478C7"/>
    <w:rsid w:val="0005254E"/>
    <w:rsid w:val="00064070"/>
    <w:rsid w:val="00067CFC"/>
    <w:rsid w:val="0007390F"/>
    <w:rsid w:val="000843EF"/>
    <w:rsid w:val="0008620F"/>
    <w:rsid w:val="000929E6"/>
    <w:rsid w:val="00094396"/>
    <w:rsid w:val="00094E69"/>
    <w:rsid w:val="000A31A8"/>
    <w:rsid w:val="000B029E"/>
    <w:rsid w:val="000C5AC0"/>
    <w:rsid w:val="000C755F"/>
    <w:rsid w:val="000D6C47"/>
    <w:rsid w:val="000E01C2"/>
    <w:rsid w:val="00103970"/>
    <w:rsid w:val="00106766"/>
    <w:rsid w:val="00117F11"/>
    <w:rsid w:val="00120690"/>
    <w:rsid w:val="00121FE9"/>
    <w:rsid w:val="00124225"/>
    <w:rsid w:val="00125784"/>
    <w:rsid w:val="00130D20"/>
    <w:rsid w:val="00160AAC"/>
    <w:rsid w:val="00161442"/>
    <w:rsid w:val="0016665E"/>
    <w:rsid w:val="0017049A"/>
    <w:rsid w:val="00173CCE"/>
    <w:rsid w:val="00176DE9"/>
    <w:rsid w:val="00182C2F"/>
    <w:rsid w:val="00183E0E"/>
    <w:rsid w:val="00190C88"/>
    <w:rsid w:val="0019338B"/>
    <w:rsid w:val="001A1CBE"/>
    <w:rsid w:val="001A2C34"/>
    <w:rsid w:val="001A3668"/>
    <w:rsid w:val="001A3A39"/>
    <w:rsid w:val="001A3FDC"/>
    <w:rsid w:val="001A69F9"/>
    <w:rsid w:val="001B1A33"/>
    <w:rsid w:val="001C01DE"/>
    <w:rsid w:val="001C4AED"/>
    <w:rsid w:val="001D1B96"/>
    <w:rsid w:val="001D7710"/>
    <w:rsid w:val="001E0B63"/>
    <w:rsid w:val="001E1FDE"/>
    <w:rsid w:val="001E3484"/>
    <w:rsid w:val="001E57EC"/>
    <w:rsid w:val="001E65EA"/>
    <w:rsid w:val="001F0469"/>
    <w:rsid w:val="00201872"/>
    <w:rsid w:val="00203EDC"/>
    <w:rsid w:val="002157EF"/>
    <w:rsid w:val="002224AE"/>
    <w:rsid w:val="00222D66"/>
    <w:rsid w:val="00233445"/>
    <w:rsid w:val="0024498A"/>
    <w:rsid w:val="00245FF1"/>
    <w:rsid w:val="0024644E"/>
    <w:rsid w:val="0024759D"/>
    <w:rsid w:val="00250840"/>
    <w:rsid w:val="00252F18"/>
    <w:rsid w:val="00254D69"/>
    <w:rsid w:val="002577DD"/>
    <w:rsid w:val="002605F7"/>
    <w:rsid w:val="00267958"/>
    <w:rsid w:val="00271F96"/>
    <w:rsid w:val="002744EB"/>
    <w:rsid w:val="00275851"/>
    <w:rsid w:val="00275AB0"/>
    <w:rsid w:val="00287E25"/>
    <w:rsid w:val="00295BC4"/>
    <w:rsid w:val="00296D11"/>
    <w:rsid w:val="002B1258"/>
    <w:rsid w:val="002B37F9"/>
    <w:rsid w:val="002B4828"/>
    <w:rsid w:val="002B7219"/>
    <w:rsid w:val="002C0263"/>
    <w:rsid w:val="002C13A4"/>
    <w:rsid w:val="002C2305"/>
    <w:rsid w:val="002D2D3F"/>
    <w:rsid w:val="002E096C"/>
    <w:rsid w:val="002E466B"/>
    <w:rsid w:val="002E4932"/>
    <w:rsid w:val="002E71B8"/>
    <w:rsid w:val="002F0930"/>
    <w:rsid w:val="002F0A24"/>
    <w:rsid w:val="002F0C7D"/>
    <w:rsid w:val="002F260D"/>
    <w:rsid w:val="002F2C85"/>
    <w:rsid w:val="002F61EC"/>
    <w:rsid w:val="002F7115"/>
    <w:rsid w:val="00304A5D"/>
    <w:rsid w:val="00305E31"/>
    <w:rsid w:val="00311A4D"/>
    <w:rsid w:val="003134B5"/>
    <w:rsid w:val="00315149"/>
    <w:rsid w:val="00320C15"/>
    <w:rsid w:val="00320EA6"/>
    <w:rsid w:val="00325AA7"/>
    <w:rsid w:val="00332D6B"/>
    <w:rsid w:val="00335E30"/>
    <w:rsid w:val="00340968"/>
    <w:rsid w:val="003422DD"/>
    <w:rsid w:val="003466FE"/>
    <w:rsid w:val="00351070"/>
    <w:rsid w:val="00354303"/>
    <w:rsid w:val="00354D2F"/>
    <w:rsid w:val="003614AA"/>
    <w:rsid w:val="00363F9F"/>
    <w:rsid w:val="00365BD0"/>
    <w:rsid w:val="00367804"/>
    <w:rsid w:val="0037756C"/>
    <w:rsid w:val="00384651"/>
    <w:rsid w:val="00386948"/>
    <w:rsid w:val="00397C1A"/>
    <w:rsid w:val="003A1534"/>
    <w:rsid w:val="003A7FA4"/>
    <w:rsid w:val="003B3E30"/>
    <w:rsid w:val="003B4788"/>
    <w:rsid w:val="003B4E8C"/>
    <w:rsid w:val="003C0191"/>
    <w:rsid w:val="003C34BD"/>
    <w:rsid w:val="003D2BE8"/>
    <w:rsid w:val="003D47D8"/>
    <w:rsid w:val="003E0B1B"/>
    <w:rsid w:val="003E1C45"/>
    <w:rsid w:val="003E54F4"/>
    <w:rsid w:val="00411A9F"/>
    <w:rsid w:val="004159D4"/>
    <w:rsid w:val="00420FFD"/>
    <w:rsid w:val="0042263B"/>
    <w:rsid w:val="00423044"/>
    <w:rsid w:val="00423425"/>
    <w:rsid w:val="004254BC"/>
    <w:rsid w:val="00430554"/>
    <w:rsid w:val="00430FCA"/>
    <w:rsid w:val="004358C6"/>
    <w:rsid w:val="00436432"/>
    <w:rsid w:val="004462F3"/>
    <w:rsid w:val="00446826"/>
    <w:rsid w:val="00453536"/>
    <w:rsid w:val="004561F3"/>
    <w:rsid w:val="0045623D"/>
    <w:rsid w:val="00456A06"/>
    <w:rsid w:val="004602FC"/>
    <w:rsid w:val="00473103"/>
    <w:rsid w:val="00474ACA"/>
    <w:rsid w:val="00475FFE"/>
    <w:rsid w:val="00487520"/>
    <w:rsid w:val="0049062B"/>
    <w:rsid w:val="0049094C"/>
    <w:rsid w:val="004916AE"/>
    <w:rsid w:val="00495769"/>
    <w:rsid w:val="004A591F"/>
    <w:rsid w:val="004A5BA9"/>
    <w:rsid w:val="004B5E8F"/>
    <w:rsid w:val="004B7DB2"/>
    <w:rsid w:val="004C4403"/>
    <w:rsid w:val="004C5192"/>
    <w:rsid w:val="004C6411"/>
    <w:rsid w:val="004D1C68"/>
    <w:rsid w:val="004D2336"/>
    <w:rsid w:val="004D7CE5"/>
    <w:rsid w:val="004E7191"/>
    <w:rsid w:val="004F1EF8"/>
    <w:rsid w:val="004F2E5E"/>
    <w:rsid w:val="004F40DD"/>
    <w:rsid w:val="004F6867"/>
    <w:rsid w:val="00502EFF"/>
    <w:rsid w:val="00503280"/>
    <w:rsid w:val="00511115"/>
    <w:rsid w:val="00513C0F"/>
    <w:rsid w:val="00515C93"/>
    <w:rsid w:val="00521552"/>
    <w:rsid w:val="00525F7C"/>
    <w:rsid w:val="00535F77"/>
    <w:rsid w:val="00540818"/>
    <w:rsid w:val="005458EA"/>
    <w:rsid w:val="00553995"/>
    <w:rsid w:val="00554F49"/>
    <w:rsid w:val="00560642"/>
    <w:rsid w:val="00560FEB"/>
    <w:rsid w:val="00562D61"/>
    <w:rsid w:val="0056576C"/>
    <w:rsid w:val="005673C0"/>
    <w:rsid w:val="0057001E"/>
    <w:rsid w:val="005729C1"/>
    <w:rsid w:val="005755C6"/>
    <w:rsid w:val="00580E3E"/>
    <w:rsid w:val="005866F1"/>
    <w:rsid w:val="005871BD"/>
    <w:rsid w:val="00591856"/>
    <w:rsid w:val="005A254F"/>
    <w:rsid w:val="005A4A61"/>
    <w:rsid w:val="005B4AA6"/>
    <w:rsid w:val="005B68E9"/>
    <w:rsid w:val="005C4184"/>
    <w:rsid w:val="005D21EF"/>
    <w:rsid w:val="005D6CD7"/>
    <w:rsid w:val="005E0C5C"/>
    <w:rsid w:val="005E3B5E"/>
    <w:rsid w:val="005F3A4E"/>
    <w:rsid w:val="005F4946"/>
    <w:rsid w:val="005F63AE"/>
    <w:rsid w:val="005F7042"/>
    <w:rsid w:val="00602625"/>
    <w:rsid w:val="006058E5"/>
    <w:rsid w:val="00615EF0"/>
    <w:rsid w:val="00630BE7"/>
    <w:rsid w:val="00634E6C"/>
    <w:rsid w:val="006403B9"/>
    <w:rsid w:val="00640FE3"/>
    <w:rsid w:val="00641875"/>
    <w:rsid w:val="00641BD5"/>
    <w:rsid w:val="00641E52"/>
    <w:rsid w:val="00647960"/>
    <w:rsid w:val="0065246A"/>
    <w:rsid w:val="00665353"/>
    <w:rsid w:val="0066595C"/>
    <w:rsid w:val="00667AAB"/>
    <w:rsid w:val="0067638F"/>
    <w:rsid w:val="006824A8"/>
    <w:rsid w:val="006863F4"/>
    <w:rsid w:val="006864A5"/>
    <w:rsid w:val="006926B5"/>
    <w:rsid w:val="006A0611"/>
    <w:rsid w:val="006A637F"/>
    <w:rsid w:val="006B2717"/>
    <w:rsid w:val="006B57F1"/>
    <w:rsid w:val="006B71C4"/>
    <w:rsid w:val="006C4D98"/>
    <w:rsid w:val="006C5736"/>
    <w:rsid w:val="006D0B4D"/>
    <w:rsid w:val="006D2742"/>
    <w:rsid w:val="006E1CA7"/>
    <w:rsid w:val="006E62B6"/>
    <w:rsid w:val="006F0A45"/>
    <w:rsid w:val="006F5F3A"/>
    <w:rsid w:val="00701DB1"/>
    <w:rsid w:val="007043D4"/>
    <w:rsid w:val="007201E7"/>
    <w:rsid w:val="00721E4D"/>
    <w:rsid w:val="0073078D"/>
    <w:rsid w:val="00732260"/>
    <w:rsid w:val="00735135"/>
    <w:rsid w:val="00741A23"/>
    <w:rsid w:val="00767BD0"/>
    <w:rsid w:val="00770E67"/>
    <w:rsid w:val="007714D5"/>
    <w:rsid w:val="00774C16"/>
    <w:rsid w:val="007760A4"/>
    <w:rsid w:val="0078210B"/>
    <w:rsid w:val="00790326"/>
    <w:rsid w:val="00794079"/>
    <w:rsid w:val="00797639"/>
    <w:rsid w:val="007A3DB7"/>
    <w:rsid w:val="007A7C0A"/>
    <w:rsid w:val="007B393D"/>
    <w:rsid w:val="007B4589"/>
    <w:rsid w:val="007B6EF2"/>
    <w:rsid w:val="007B7A20"/>
    <w:rsid w:val="007C29E0"/>
    <w:rsid w:val="007C4048"/>
    <w:rsid w:val="007C7201"/>
    <w:rsid w:val="007D214E"/>
    <w:rsid w:val="007D33DE"/>
    <w:rsid w:val="007E2027"/>
    <w:rsid w:val="007E618D"/>
    <w:rsid w:val="007F161A"/>
    <w:rsid w:val="007F2FF6"/>
    <w:rsid w:val="007F5BC9"/>
    <w:rsid w:val="00805E73"/>
    <w:rsid w:val="00813CEA"/>
    <w:rsid w:val="00816A06"/>
    <w:rsid w:val="00825921"/>
    <w:rsid w:val="008272CF"/>
    <w:rsid w:val="00827C3B"/>
    <w:rsid w:val="00835352"/>
    <w:rsid w:val="00836DF2"/>
    <w:rsid w:val="008378C0"/>
    <w:rsid w:val="00840DF5"/>
    <w:rsid w:val="008439BA"/>
    <w:rsid w:val="0084711F"/>
    <w:rsid w:val="008474B0"/>
    <w:rsid w:val="00852FD9"/>
    <w:rsid w:val="0086146C"/>
    <w:rsid w:val="00864404"/>
    <w:rsid w:val="00864F52"/>
    <w:rsid w:val="0086683D"/>
    <w:rsid w:val="008758AC"/>
    <w:rsid w:val="00880EBA"/>
    <w:rsid w:val="008A4BC2"/>
    <w:rsid w:val="008A4C4C"/>
    <w:rsid w:val="008A53FB"/>
    <w:rsid w:val="008B0D23"/>
    <w:rsid w:val="008B68DB"/>
    <w:rsid w:val="008C3FF9"/>
    <w:rsid w:val="008C551A"/>
    <w:rsid w:val="008F1252"/>
    <w:rsid w:val="008F6C46"/>
    <w:rsid w:val="00901588"/>
    <w:rsid w:val="00912848"/>
    <w:rsid w:val="009161CA"/>
    <w:rsid w:val="00920F44"/>
    <w:rsid w:val="009328E4"/>
    <w:rsid w:val="00932AB3"/>
    <w:rsid w:val="009333FE"/>
    <w:rsid w:val="00941DFA"/>
    <w:rsid w:val="00957A0F"/>
    <w:rsid w:val="00964B63"/>
    <w:rsid w:val="00965D6D"/>
    <w:rsid w:val="00966889"/>
    <w:rsid w:val="00972039"/>
    <w:rsid w:val="009744CE"/>
    <w:rsid w:val="00974F95"/>
    <w:rsid w:val="00977F57"/>
    <w:rsid w:val="00984153"/>
    <w:rsid w:val="00990AD5"/>
    <w:rsid w:val="00996C68"/>
    <w:rsid w:val="009A149C"/>
    <w:rsid w:val="009C1104"/>
    <w:rsid w:val="009C4209"/>
    <w:rsid w:val="009E2291"/>
    <w:rsid w:val="009F0E78"/>
    <w:rsid w:val="00A03D2B"/>
    <w:rsid w:val="00A10BA2"/>
    <w:rsid w:val="00A21932"/>
    <w:rsid w:val="00A23F49"/>
    <w:rsid w:val="00A259F9"/>
    <w:rsid w:val="00A27578"/>
    <w:rsid w:val="00A3768A"/>
    <w:rsid w:val="00A4347E"/>
    <w:rsid w:val="00A45F7C"/>
    <w:rsid w:val="00A51714"/>
    <w:rsid w:val="00A57EC3"/>
    <w:rsid w:val="00A61F83"/>
    <w:rsid w:val="00A629F3"/>
    <w:rsid w:val="00A62FD6"/>
    <w:rsid w:val="00A672F9"/>
    <w:rsid w:val="00A772BC"/>
    <w:rsid w:val="00A77C5F"/>
    <w:rsid w:val="00A8051C"/>
    <w:rsid w:val="00A938AA"/>
    <w:rsid w:val="00A9787E"/>
    <w:rsid w:val="00AA22AE"/>
    <w:rsid w:val="00AB6380"/>
    <w:rsid w:val="00AC71B2"/>
    <w:rsid w:val="00AD3392"/>
    <w:rsid w:val="00AD779A"/>
    <w:rsid w:val="00AE048C"/>
    <w:rsid w:val="00AE048E"/>
    <w:rsid w:val="00AE6990"/>
    <w:rsid w:val="00AE7B08"/>
    <w:rsid w:val="00AE7EEE"/>
    <w:rsid w:val="00AF15EA"/>
    <w:rsid w:val="00AF5617"/>
    <w:rsid w:val="00AF613F"/>
    <w:rsid w:val="00B02E75"/>
    <w:rsid w:val="00B05A52"/>
    <w:rsid w:val="00B12E2A"/>
    <w:rsid w:val="00B140D2"/>
    <w:rsid w:val="00B155D7"/>
    <w:rsid w:val="00B26564"/>
    <w:rsid w:val="00B41AAE"/>
    <w:rsid w:val="00B42194"/>
    <w:rsid w:val="00B5169E"/>
    <w:rsid w:val="00B54033"/>
    <w:rsid w:val="00B549D2"/>
    <w:rsid w:val="00B55464"/>
    <w:rsid w:val="00B554D1"/>
    <w:rsid w:val="00B55542"/>
    <w:rsid w:val="00B556D1"/>
    <w:rsid w:val="00B62377"/>
    <w:rsid w:val="00B62966"/>
    <w:rsid w:val="00B6380A"/>
    <w:rsid w:val="00B65560"/>
    <w:rsid w:val="00B676B0"/>
    <w:rsid w:val="00B715C5"/>
    <w:rsid w:val="00B73C71"/>
    <w:rsid w:val="00B76EAD"/>
    <w:rsid w:val="00B8388E"/>
    <w:rsid w:val="00BA12C4"/>
    <w:rsid w:val="00BA6FB1"/>
    <w:rsid w:val="00BB0C67"/>
    <w:rsid w:val="00BB0DF2"/>
    <w:rsid w:val="00BB4272"/>
    <w:rsid w:val="00BB6CF1"/>
    <w:rsid w:val="00BC0861"/>
    <w:rsid w:val="00BC792F"/>
    <w:rsid w:val="00BD0382"/>
    <w:rsid w:val="00BE708D"/>
    <w:rsid w:val="00BF5FAE"/>
    <w:rsid w:val="00BF638B"/>
    <w:rsid w:val="00BF682E"/>
    <w:rsid w:val="00BF6AC8"/>
    <w:rsid w:val="00BF7FB3"/>
    <w:rsid w:val="00C00516"/>
    <w:rsid w:val="00C0197D"/>
    <w:rsid w:val="00C0354B"/>
    <w:rsid w:val="00C12B5A"/>
    <w:rsid w:val="00C20BC8"/>
    <w:rsid w:val="00C32E16"/>
    <w:rsid w:val="00C3403A"/>
    <w:rsid w:val="00C360D4"/>
    <w:rsid w:val="00C4407A"/>
    <w:rsid w:val="00C50063"/>
    <w:rsid w:val="00C60A6E"/>
    <w:rsid w:val="00C60F67"/>
    <w:rsid w:val="00C61940"/>
    <w:rsid w:val="00C63AB6"/>
    <w:rsid w:val="00C67ABE"/>
    <w:rsid w:val="00C67BB1"/>
    <w:rsid w:val="00C759F6"/>
    <w:rsid w:val="00C75E20"/>
    <w:rsid w:val="00C760BA"/>
    <w:rsid w:val="00C8401C"/>
    <w:rsid w:val="00C87F08"/>
    <w:rsid w:val="00C91166"/>
    <w:rsid w:val="00CA0B01"/>
    <w:rsid w:val="00CA38E9"/>
    <w:rsid w:val="00CA69B7"/>
    <w:rsid w:val="00CC060F"/>
    <w:rsid w:val="00CC393A"/>
    <w:rsid w:val="00CD1340"/>
    <w:rsid w:val="00CD17F3"/>
    <w:rsid w:val="00CD329D"/>
    <w:rsid w:val="00CE471F"/>
    <w:rsid w:val="00D009F0"/>
    <w:rsid w:val="00D16399"/>
    <w:rsid w:val="00D22F79"/>
    <w:rsid w:val="00D22FA2"/>
    <w:rsid w:val="00D27CF1"/>
    <w:rsid w:val="00D27D55"/>
    <w:rsid w:val="00D326B4"/>
    <w:rsid w:val="00D35013"/>
    <w:rsid w:val="00D37F05"/>
    <w:rsid w:val="00D430CD"/>
    <w:rsid w:val="00D46318"/>
    <w:rsid w:val="00D501EE"/>
    <w:rsid w:val="00D52D22"/>
    <w:rsid w:val="00D52EC1"/>
    <w:rsid w:val="00D60838"/>
    <w:rsid w:val="00D6644F"/>
    <w:rsid w:val="00D76B4B"/>
    <w:rsid w:val="00D7701A"/>
    <w:rsid w:val="00D827E0"/>
    <w:rsid w:val="00D91D4F"/>
    <w:rsid w:val="00D95034"/>
    <w:rsid w:val="00D95284"/>
    <w:rsid w:val="00DA3323"/>
    <w:rsid w:val="00DB7278"/>
    <w:rsid w:val="00DC0BEC"/>
    <w:rsid w:val="00DC34AC"/>
    <w:rsid w:val="00DC6F5D"/>
    <w:rsid w:val="00DD05AA"/>
    <w:rsid w:val="00DD07BE"/>
    <w:rsid w:val="00DE34A3"/>
    <w:rsid w:val="00DE7D20"/>
    <w:rsid w:val="00DF2D3B"/>
    <w:rsid w:val="00E02AB5"/>
    <w:rsid w:val="00E04E90"/>
    <w:rsid w:val="00E06131"/>
    <w:rsid w:val="00E12E42"/>
    <w:rsid w:val="00E13DC7"/>
    <w:rsid w:val="00E14CBE"/>
    <w:rsid w:val="00E168AF"/>
    <w:rsid w:val="00E200BF"/>
    <w:rsid w:val="00E207A4"/>
    <w:rsid w:val="00E24144"/>
    <w:rsid w:val="00E25655"/>
    <w:rsid w:val="00E31B3F"/>
    <w:rsid w:val="00E32343"/>
    <w:rsid w:val="00E33EC0"/>
    <w:rsid w:val="00E36137"/>
    <w:rsid w:val="00E37F46"/>
    <w:rsid w:val="00E41682"/>
    <w:rsid w:val="00E4424A"/>
    <w:rsid w:val="00E541E6"/>
    <w:rsid w:val="00E72BD3"/>
    <w:rsid w:val="00E8769F"/>
    <w:rsid w:val="00EA5DD3"/>
    <w:rsid w:val="00EA6017"/>
    <w:rsid w:val="00EC5B37"/>
    <w:rsid w:val="00ED47F3"/>
    <w:rsid w:val="00ED4ED2"/>
    <w:rsid w:val="00ED79E7"/>
    <w:rsid w:val="00EE0871"/>
    <w:rsid w:val="00EE2EF3"/>
    <w:rsid w:val="00EF4253"/>
    <w:rsid w:val="00EF7B1F"/>
    <w:rsid w:val="00F04E85"/>
    <w:rsid w:val="00F12256"/>
    <w:rsid w:val="00F26AA6"/>
    <w:rsid w:val="00F325C9"/>
    <w:rsid w:val="00F52AB5"/>
    <w:rsid w:val="00F5417B"/>
    <w:rsid w:val="00F54E61"/>
    <w:rsid w:val="00F559FD"/>
    <w:rsid w:val="00F72BB4"/>
    <w:rsid w:val="00F7542B"/>
    <w:rsid w:val="00F85810"/>
    <w:rsid w:val="00F9256A"/>
    <w:rsid w:val="00F93F8C"/>
    <w:rsid w:val="00F9521D"/>
    <w:rsid w:val="00FB2A61"/>
    <w:rsid w:val="00FB4C4A"/>
    <w:rsid w:val="00FB5911"/>
    <w:rsid w:val="00FB5BF4"/>
    <w:rsid w:val="00FC35F0"/>
    <w:rsid w:val="00FC404D"/>
    <w:rsid w:val="00FC42C8"/>
    <w:rsid w:val="00FD7742"/>
    <w:rsid w:val="00FE007D"/>
    <w:rsid w:val="00FE1BF4"/>
    <w:rsid w:val="00FE3696"/>
    <w:rsid w:val="00FF424F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3D29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5E8F"/>
    <w:rPr>
      <w:sz w:val="24"/>
      <w:szCs w:val="24"/>
      <w:lang w:val="el-GR" w:eastAsia="el-GR"/>
    </w:rPr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984153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0"/>
    </w:rPr>
  </w:style>
  <w:style w:type="paragraph" w:customStyle="1" w:styleId="SPCnadpis">
    <w:name w:val="SPC nadpis"/>
    <w:basedOn w:val="Nadpis1"/>
    <w:rsid w:val="00794079"/>
    <w:pPr>
      <w:keepNext w:val="0"/>
      <w:spacing w:after="120"/>
      <w:ind w:left="357" w:hanging="357"/>
      <w:jc w:val="center"/>
    </w:pPr>
    <w:rPr>
      <w:rFonts w:ascii="Times New Roman" w:hAnsi="Times New Roman" w:cs="Times New Roman"/>
      <w:kern w:val="0"/>
      <w:sz w:val="22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rsid w:val="00A51714"/>
    <w:pPr>
      <w:tabs>
        <w:tab w:val="left" w:pos="6946"/>
      </w:tabs>
      <w:spacing w:after="120"/>
      <w:jc w:val="both"/>
    </w:pPr>
    <w:rPr>
      <w:sz w:val="22"/>
      <w:lang w:val="sk-SK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130D20"/>
    <w:pPr>
      <w:numPr>
        <w:numId w:val="10"/>
      </w:numPr>
      <w:tabs>
        <w:tab w:val="clear" w:pos="6946"/>
      </w:tabs>
      <w:suppressAutoHyphens/>
      <w:spacing w:after="0"/>
      <w:ind w:left="426"/>
    </w:pPr>
    <w:rPr>
      <w:rFonts w:eastAsia="Calibri"/>
      <w:lang w:eastAsia="en-US"/>
    </w:rPr>
  </w:style>
  <w:style w:type="paragraph" w:customStyle="1" w:styleId="Styl1">
    <w:name w:val="Styl1"/>
    <w:basedOn w:val="Normlny"/>
    <w:link w:val="Styl1Char"/>
    <w:autoRedefine/>
    <w:rsid w:val="00CE471F"/>
    <w:pPr>
      <w:keepNext/>
      <w:numPr>
        <w:numId w:val="2"/>
      </w:numPr>
      <w:spacing w:before="480" w:after="120"/>
    </w:pPr>
    <w:rPr>
      <w:b/>
      <w:bCs/>
      <w:caps/>
      <w:sz w:val="22"/>
      <w:lang w:val="cs-CZ" w:eastAsia="en-US"/>
    </w:rPr>
  </w:style>
  <w:style w:type="paragraph" w:customStyle="1" w:styleId="Styl2">
    <w:name w:val="Styl2"/>
    <w:basedOn w:val="Normlny"/>
    <w:autoRedefine/>
    <w:rsid w:val="00AE7EEE"/>
    <w:pPr>
      <w:keepNext/>
      <w:numPr>
        <w:ilvl w:val="1"/>
        <w:numId w:val="2"/>
      </w:numPr>
      <w:tabs>
        <w:tab w:val="clear" w:pos="360"/>
        <w:tab w:val="num" w:pos="720"/>
      </w:tabs>
      <w:spacing w:before="240" w:after="120"/>
      <w:ind w:left="454" w:hanging="454"/>
    </w:pPr>
    <w:rPr>
      <w:b/>
      <w:bCs/>
      <w:sz w:val="22"/>
      <w:szCs w:val="22"/>
      <w:lang w:val="cs-CZ" w:eastAsia="en-US"/>
    </w:rPr>
  </w:style>
  <w:style w:type="paragraph" w:customStyle="1" w:styleId="styl20">
    <w:name w:val="styl2"/>
    <w:basedOn w:val="Styl1"/>
    <w:link w:val="styl2Char"/>
    <w:rsid w:val="00AE048C"/>
    <w:pPr>
      <w:keepNext w:val="0"/>
      <w:numPr>
        <w:numId w:val="0"/>
      </w:numPr>
      <w:spacing w:before="0"/>
    </w:pPr>
    <w:rPr>
      <w:bCs w:val="0"/>
      <w:caps w:val="0"/>
      <w:lang w:val="sk-SK" w:eastAsia="sk-SK"/>
    </w:rPr>
  </w:style>
  <w:style w:type="character" w:styleId="slostrany">
    <w:name w:val="page number"/>
    <w:basedOn w:val="Predvolenpsmoodseku"/>
    <w:rsid w:val="00183E0E"/>
  </w:style>
  <w:style w:type="paragraph" w:customStyle="1" w:styleId="Default">
    <w:name w:val="Default"/>
    <w:rsid w:val="00183E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tleA">
    <w:name w:val="Title A"/>
    <w:basedOn w:val="Default"/>
    <w:next w:val="Default"/>
    <w:rsid w:val="00183E0E"/>
    <w:rPr>
      <w:color w:val="auto"/>
    </w:rPr>
  </w:style>
  <w:style w:type="paragraph" w:customStyle="1" w:styleId="Textvysvetlivky1">
    <w:name w:val="Text vysvetlivky1"/>
    <w:basedOn w:val="Default"/>
    <w:next w:val="Default"/>
    <w:rsid w:val="00183E0E"/>
    <w:rPr>
      <w:color w:val="auto"/>
    </w:rPr>
  </w:style>
  <w:style w:type="paragraph" w:styleId="Zarkazkladnhotextu">
    <w:name w:val="Body Text Indent"/>
    <w:basedOn w:val="Default"/>
    <w:next w:val="Default"/>
    <w:rsid w:val="00183E0E"/>
    <w:rPr>
      <w:color w:val="auto"/>
    </w:rPr>
  </w:style>
  <w:style w:type="paragraph" w:styleId="Zkladntext">
    <w:name w:val="Body Text"/>
    <w:basedOn w:val="Default"/>
    <w:next w:val="Default"/>
    <w:rsid w:val="00183E0E"/>
    <w:rPr>
      <w:color w:val="auto"/>
    </w:rPr>
  </w:style>
  <w:style w:type="paragraph" w:customStyle="1" w:styleId="Bullet">
    <w:name w:val="Bullet"/>
    <w:basedOn w:val="Default"/>
    <w:next w:val="Default"/>
    <w:rsid w:val="00183E0E"/>
    <w:rPr>
      <w:color w:val="auto"/>
    </w:rPr>
  </w:style>
  <w:style w:type="paragraph" w:styleId="Zkladntext3">
    <w:name w:val="Body Text 3"/>
    <w:basedOn w:val="Default"/>
    <w:next w:val="Default"/>
    <w:rsid w:val="00183E0E"/>
    <w:rPr>
      <w:color w:val="auto"/>
    </w:rPr>
  </w:style>
  <w:style w:type="paragraph" w:customStyle="1" w:styleId="Text">
    <w:name w:val="Text"/>
    <w:basedOn w:val="Default"/>
    <w:next w:val="Default"/>
    <w:rsid w:val="00183E0E"/>
    <w:rPr>
      <w:color w:val="auto"/>
    </w:rPr>
  </w:style>
  <w:style w:type="paragraph" w:customStyle="1" w:styleId="TitleB">
    <w:name w:val="Title B"/>
    <w:basedOn w:val="Default"/>
    <w:next w:val="Default"/>
    <w:rsid w:val="00183E0E"/>
    <w:rPr>
      <w:color w:val="auto"/>
    </w:rPr>
  </w:style>
  <w:style w:type="paragraph" w:customStyle="1" w:styleId="styl3">
    <w:name w:val="styl3"/>
    <w:basedOn w:val="styl20"/>
    <w:next w:val="Normlny"/>
    <w:link w:val="styl3Char"/>
    <w:rsid w:val="001A3668"/>
    <w:rPr>
      <w:b w:val="0"/>
      <w:u w:val="single"/>
    </w:rPr>
  </w:style>
  <w:style w:type="character" w:customStyle="1" w:styleId="NormlndoblokuChar">
    <w:name w:val="Normální do bloku Char"/>
    <w:link w:val="Normlndobloku"/>
    <w:rsid w:val="00A51714"/>
    <w:rPr>
      <w:sz w:val="22"/>
      <w:szCs w:val="24"/>
      <w:lang w:val="sk-SK"/>
    </w:rPr>
  </w:style>
  <w:style w:type="character" w:customStyle="1" w:styleId="Styl1Char">
    <w:name w:val="Styl1 Char"/>
    <w:link w:val="Styl1"/>
    <w:rsid w:val="00CE471F"/>
    <w:rPr>
      <w:b/>
      <w:bCs/>
      <w:caps/>
      <w:sz w:val="22"/>
      <w:szCs w:val="24"/>
      <w:lang w:val="cs-CZ" w:eastAsia="en-US"/>
    </w:rPr>
  </w:style>
  <w:style w:type="character" w:customStyle="1" w:styleId="styl2Char">
    <w:name w:val="styl2 Char"/>
    <w:link w:val="styl20"/>
    <w:rsid w:val="00502EFF"/>
    <w:rPr>
      <w:b/>
      <w:bCs/>
      <w:caps/>
      <w:sz w:val="22"/>
      <w:szCs w:val="24"/>
      <w:lang w:val="sk-SK" w:eastAsia="sk-SK" w:bidi="ar-SA"/>
    </w:rPr>
  </w:style>
  <w:style w:type="character" w:customStyle="1" w:styleId="styl3Char">
    <w:name w:val="styl3 Char"/>
    <w:link w:val="styl3"/>
    <w:rsid w:val="00502EFF"/>
    <w:rPr>
      <w:b/>
      <w:bCs/>
      <w:caps/>
      <w:sz w:val="22"/>
      <w:szCs w:val="24"/>
      <w:u w:val="single"/>
      <w:lang w:val="sk-SK" w:eastAsia="sk-SK" w:bidi="ar-SA"/>
    </w:rPr>
  </w:style>
  <w:style w:type="table" w:styleId="Mriekatabuky">
    <w:name w:val="Table Grid"/>
    <w:basedOn w:val="Normlnatabuka"/>
    <w:rsid w:val="00E72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ta">
    <w:name w:val="footer"/>
    <w:basedOn w:val="Normlny"/>
    <w:rsid w:val="00C32E16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C50063"/>
    <w:rPr>
      <w:sz w:val="16"/>
      <w:szCs w:val="16"/>
    </w:rPr>
  </w:style>
  <w:style w:type="paragraph" w:styleId="Textbubliny">
    <w:name w:val="Balloon Text"/>
    <w:basedOn w:val="Normlny"/>
    <w:semiHidden/>
    <w:rsid w:val="00C50063"/>
    <w:rPr>
      <w:rFonts w:ascii="Tahoma" w:hAnsi="Tahoma" w:cs="Tahoma"/>
      <w:sz w:val="16"/>
      <w:szCs w:val="16"/>
    </w:rPr>
  </w:style>
  <w:style w:type="paragraph" w:customStyle="1" w:styleId="Styl30">
    <w:name w:val="Styl3"/>
    <w:basedOn w:val="Normlndobloku"/>
    <w:link w:val="Styl3Char0"/>
    <w:rsid w:val="002F61EC"/>
    <w:rPr>
      <w:u w:val="single"/>
      <w:lang w:val="cs-CZ"/>
    </w:rPr>
  </w:style>
  <w:style w:type="paragraph" w:styleId="Hlavika">
    <w:name w:val="header"/>
    <w:basedOn w:val="Normlny"/>
    <w:link w:val="HlavikaChar"/>
    <w:rsid w:val="00BF6A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F6AC8"/>
    <w:rPr>
      <w:sz w:val="24"/>
      <w:szCs w:val="24"/>
      <w:lang w:val="el-GR" w:eastAsia="el-GR"/>
    </w:rPr>
  </w:style>
  <w:style w:type="paragraph" w:customStyle="1" w:styleId="NormlndoblokuTunDoleva">
    <w:name w:val="Normální do bloku + Tučné Doleva"/>
    <w:basedOn w:val="Normlndobloku"/>
    <w:rsid w:val="00BC792F"/>
    <w:pPr>
      <w:tabs>
        <w:tab w:val="clear" w:pos="6946"/>
      </w:tabs>
      <w:jc w:val="left"/>
    </w:pPr>
    <w:rPr>
      <w:b/>
      <w:bCs/>
      <w:szCs w:val="20"/>
      <w:lang w:eastAsia="sk-SK"/>
    </w:rPr>
  </w:style>
  <w:style w:type="paragraph" w:styleId="Zkladntext2">
    <w:name w:val="Body Text 2"/>
    <w:basedOn w:val="Normlny"/>
    <w:link w:val="Zkladntext2Char"/>
    <w:rsid w:val="005E3B5E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5E3B5E"/>
    <w:rPr>
      <w:sz w:val="24"/>
      <w:szCs w:val="24"/>
      <w:lang w:val="el-GR" w:eastAsia="el-GR"/>
    </w:rPr>
  </w:style>
  <w:style w:type="character" w:customStyle="1" w:styleId="Styl3Char0">
    <w:name w:val="Styl3 Char"/>
    <w:link w:val="Styl30"/>
    <w:rsid w:val="00B62377"/>
    <w:rPr>
      <w:sz w:val="22"/>
      <w:szCs w:val="24"/>
      <w:u w:val="single"/>
      <w:lang w:val="cs-CZ" w:eastAsia="cs-CZ"/>
    </w:rPr>
  </w:style>
  <w:style w:type="character" w:customStyle="1" w:styleId="Nadpis2Char">
    <w:name w:val="Nadpis 2 Char"/>
    <w:link w:val="Nadpis2"/>
    <w:semiHidden/>
    <w:rsid w:val="00984153"/>
    <w:rPr>
      <w:rFonts w:ascii="Cambria" w:eastAsia="SimSun" w:hAnsi="Cambria" w:cs="Times New Roman"/>
      <w:b/>
      <w:bCs/>
      <w:i/>
      <w:iCs/>
      <w:sz w:val="28"/>
      <w:szCs w:val="28"/>
      <w:lang w:val="el-GR" w:eastAsia="el-GR"/>
    </w:rPr>
  </w:style>
  <w:style w:type="paragraph" w:styleId="Oznaitext">
    <w:name w:val="Block Text"/>
    <w:basedOn w:val="Normlny"/>
    <w:rsid w:val="00E168AF"/>
    <w:pPr>
      <w:ind w:left="360" w:right="43"/>
      <w:jc w:val="both"/>
    </w:pPr>
    <w:rPr>
      <w:rFonts w:ascii="Arial" w:hAnsi="Arial" w:cs="Arial"/>
      <w:sz w:val="20"/>
      <w:szCs w:val="20"/>
      <w:lang w:val="sk-SK" w:eastAsia="sk-SK"/>
    </w:rPr>
  </w:style>
  <w:style w:type="character" w:styleId="Hypertextovprepojenie">
    <w:name w:val="Hyperlink"/>
    <w:rsid w:val="00D27D55"/>
    <w:rPr>
      <w:color w:val="0000FF"/>
      <w:u w:val="single"/>
    </w:rPr>
  </w:style>
  <w:style w:type="paragraph" w:customStyle="1" w:styleId="Odrky2">
    <w:name w:val="Odrážky 2"/>
    <w:basedOn w:val="Normlndoblokusodrkami"/>
    <w:autoRedefine/>
    <w:qFormat/>
    <w:rsid w:val="00D27D55"/>
    <w:pPr>
      <w:numPr>
        <w:numId w:val="8"/>
      </w:numPr>
    </w:pPr>
    <w:rPr>
      <w:rFonts w:ascii="TimesNewRoman" w:eastAsia="Times New Roman" w:hAnsi="TimesNewRoman"/>
      <w:noProof/>
      <w:lang w:val="x-none" w:eastAsia="el-GR"/>
    </w:rPr>
  </w:style>
  <w:style w:type="paragraph" w:styleId="Textkomentra">
    <w:name w:val="annotation text"/>
    <w:basedOn w:val="Normlny"/>
    <w:link w:val="TextkomentraChar"/>
    <w:rsid w:val="00365BD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65BD0"/>
    <w:rPr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rsid w:val="00365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365BD0"/>
    <w:rPr>
      <w:b/>
      <w:bCs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5E8F"/>
    <w:rPr>
      <w:sz w:val="24"/>
      <w:szCs w:val="24"/>
      <w:lang w:val="el-GR" w:eastAsia="el-GR"/>
    </w:rPr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984153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0"/>
    </w:rPr>
  </w:style>
  <w:style w:type="paragraph" w:customStyle="1" w:styleId="SPCnadpis">
    <w:name w:val="SPC nadpis"/>
    <w:basedOn w:val="Nadpis1"/>
    <w:rsid w:val="00794079"/>
    <w:pPr>
      <w:keepNext w:val="0"/>
      <w:spacing w:after="120"/>
      <w:ind w:left="357" w:hanging="357"/>
      <w:jc w:val="center"/>
    </w:pPr>
    <w:rPr>
      <w:rFonts w:ascii="Times New Roman" w:hAnsi="Times New Roman" w:cs="Times New Roman"/>
      <w:kern w:val="0"/>
      <w:sz w:val="22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rsid w:val="00A51714"/>
    <w:pPr>
      <w:tabs>
        <w:tab w:val="left" w:pos="6946"/>
      </w:tabs>
      <w:spacing w:after="120"/>
      <w:jc w:val="both"/>
    </w:pPr>
    <w:rPr>
      <w:sz w:val="22"/>
      <w:lang w:val="sk-SK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130D20"/>
    <w:pPr>
      <w:numPr>
        <w:numId w:val="10"/>
      </w:numPr>
      <w:tabs>
        <w:tab w:val="clear" w:pos="6946"/>
      </w:tabs>
      <w:suppressAutoHyphens/>
      <w:spacing w:after="0"/>
      <w:ind w:left="426"/>
    </w:pPr>
    <w:rPr>
      <w:rFonts w:eastAsia="Calibri"/>
      <w:lang w:eastAsia="en-US"/>
    </w:rPr>
  </w:style>
  <w:style w:type="paragraph" w:customStyle="1" w:styleId="Styl1">
    <w:name w:val="Styl1"/>
    <w:basedOn w:val="Normlny"/>
    <w:link w:val="Styl1Char"/>
    <w:autoRedefine/>
    <w:rsid w:val="00CE471F"/>
    <w:pPr>
      <w:keepNext/>
      <w:numPr>
        <w:numId w:val="2"/>
      </w:numPr>
      <w:spacing w:before="480" w:after="120"/>
    </w:pPr>
    <w:rPr>
      <w:b/>
      <w:bCs/>
      <w:caps/>
      <w:sz w:val="22"/>
      <w:lang w:val="cs-CZ" w:eastAsia="en-US"/>
    </w:rPr>
  </w:style>
  <w:style w:type="paragraph" w:customStyle="1" w:styleId="Styl2">
    <w:name w:val="Styl2"/>
    <w:basedOn w:val="Normlny"/>
    <w:autoRedefine/>
    <w:rsid w:val="00AE7EEE"/>
    <w:pPr>
      <w:keepNext/>
      <w:numPr>
        <w:ilvl w:val="1"/>
        <w:numId w:val="2"/>
      </w:numPr>
      <w:tabs>
        <w:tab w:val="clear" w:pos="360"/>
        <w:tab w:val="num" w:pos="720"/>
      </w:tabs>
      <w:spacing w:before="240" w:after="120"/>
      <w:ind w:left="454" w:hanging="454"/>
    </w:pPr>
    <w:rPr>
      <w:b/>
      <w:bCs/>
      <w:sz w:val="22"/>
      <w:szCs w:val="22"/>
      <w:lang w:val="cs-CZ" w:eastAsia="en-US"/>
    </w:rPr>
  </w:style>
  <w:style w:type="paragraph" w:customStyle="1" w:styleId="styl20">
    <w:name w:val="styl2"/>
    <w:basedOn w:val="Styl1"/>
    <w:link w:val="styl2Char"/>
    <w:rsid w:val="00AE048C"/>
    <w:pPr>
      <w:keepNext w:val="0"/>
      <w:numPr>
        <w:numId w:val="0"/>
      </w:numPr>
      <w:spacing w:before="0"/>
    </w:pPr>
    <w:rPr>
      <w:bCs w:val="0"/>
      <w:caps w:val="0"/>
      <w:lang w:val="sk-SK" w:eastAsia="sk-SK"/>
    </w:rPr>
  </w:style>
  <w:style w:type="character" w:styleId="slostrany">
    <w:name w:val="page number"/>
    <w:basedOn w:val="Predvolenpsmoodseku"/>
    <w:rsid w:val="00183E0E"/>
  </w:style>
  <w:style w:type="paragraph" w:customStyle="1" w:styleId="Default">
    <w:name w:val="Default"/>
    <w:rsid w:val="00183E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tleA">
    <w:name w:val="Title A"/>
    <w:basedOn w:val="Default"/>
    <w:next w:val="Default"/>
    <w:rsid w:val="00183E0E"/>
    <w:rPr>
      <w:color w:val="auto"/>
    </w:rPr>
  </w:style>
  <w:style w:type="paragraph" w:customStyle="1" w:styleId="Textvysvetlivky1">
    <w:name w:val="Text vysvetlivky1"/>
    <w:basedOn w:val="Default"/>
    <w:next w:val="Default"/>
    <w:rsid w:val="00183E0E"/>
    <w:rPr>
      <w:color w:val="auto"/>
    </w:rPr>
  </w:style>
  <w:style w:type="paragraph" w:styleId="Zarkazkladnhotextu">
    <w:name w:val="Body Text Indent"/>
    <w:basedOn w:val="Default"/>
    <w:next w:val="Default"/>
    <w:rsid w:val="00183E0E"/>
    <w:rPr>
      <w:color w:val="auto"/>
    </w:rPr>
  </w:style>
  <w:style w:type="paragraph" w:styleId="Zkladntext">
    <w:name w:val="Body Text"/>
    <w:basedOn w:val="Default"/>
    <w:next w:val="Default"/>
    <w:rsid w:val="00183E0E"/>
    <w:rPr>
      <w:color w:val="auto"/>
    </w:rPr>
  </w:style>
  <w:style w:type="paragraph" w:customStyle="1" w:styleId="Bullet">
    <w:name w:val="Bullet"/>
    <w:basedOn w:val="Default"/>
    <w:next w:val="Default"/>
    <w:rsid w:val="00183E0E"/>
    <w:rPr>
      <w:color w:val="auto"/>
    </w:rPr>
  </w:style>
  <w:style w:type="paragraph" w:styleId="Zkladntext3">
    <w:name w:val="Body Text 3"/>
    <w:basedOn w:val="Default"/>
    <w:next w:val="Default"/>
    <w:rsid w:val="00183E0E"/>
    <w:rPr>
      <w:color w:val="auto"/>
    </w:rPr>
  </w:style>
  <w:style w:type="paragraph" w:customStyle="1" w:styleId="Text">
    <w:name w:val="Text"/>
    <w:basedOn w:val="Default"/>
    <w:next w:val="Default"/>
    <w:rsid w:val="00183E0E"/>
    <w:rPr>
      <w:color w:val="auto"/>
    </w:rPr>
  </w:style>
  <w:style w:type="paragraph" w:customStyle="1" w:styleId="TitleB">
    <w:name w:val="Title B"/>
    <w:basedOn w:val="Default"/>
    <w:next w:val="Default"/>
    <w:rsid w:val="00183E0E"/>
    <w:rPr>
      <w:color w:val="auto"/>
    </w:rPr>
  </w:style>
  <w:style w:type="paragraph" w:customStyle="1" w:styleId="styl3">
    <w:name w:val="styl3"/>
    <w:basedOn w:val="styl20"/>
    <w:next w:val="Normlny"/>
    <w:link w:val="styl3Char"/>
    <w:rsid w:val="001A3668"/>
    <w:rPr>
      <w:b w:val="0"/>
      <w:u w:val="single"/>
    </w:rPr>
  </w:style>
  <w:style w:type="character" w:customStyle="1" w:styleId="NormlndoblokuChar">
    <w:name w:val="Normální do bloku Char"/>
    <w:link w:val="Normlndobloku"/>
    <w:rsid w:val="00A51714"/>
    <w:rPr>
      <w:sz w:val="22"/>
      <w:szCs w:val="24"/>
      <w:lang w:val="sk-SK"/>
    </w:rPr>
  </w:style>
  <w:style w:type="character" w:customStyle="1" w:styleId="Styl1Char">
    <w:name w:val="Styl1 Char"/>
    <w:link w:val="Styl1"/>
    <w:rsid w:val="00CE471F"/>
    <w:rPr>
      <w:b/>
      <w:bCs/>
      <w:caps/>
      <w:sz w:val="22"/>
      <w:szCs w:val="24"/>
      <w:lang w:val="cs-CZ" w:eastAsia="en-US"/>
    </w:rPr>
  </w:style>
  <w:style w:type="character" w:customStyle="1" w:styleId="styl2Char">
    <w:name w:val="styl2 Char"/>
    <w:link w:val="styl20"/>
    <w:rsid w:val="00502EFF"/>
    <w:rPr>
      <w:b/>
      <w:bCs/>
      <w:caps/>
      <w:sz w:val="22"/>
      <w:szCs w:val="24"/>
      <w:lang w:val="sk-SK" w:eastAsia="sk-SK" w:bidi="ar-SA"/>
    </w:rPr>
  </w:style>
  <w:style w:type="character" w:customStyle="1" w:styleId="styl3Char">
    <w:name w:val="styl3 Char"/>
    <w:link w:val="styl3"/>
    <w:rsid w:val="00502EFF"/>
    <w:rPr>
      <w:b/>
      <w:bCs/>
      <w:caps/>
      <w:sz w:val="22"/>
      <w:szCs w:val="24"/>
      <w:u w:val="single"/>
      <w:lang w:val="sk-SK" w:eastAsia="sk-SK" w:bidi="ar-SA"/>
    </w:rPr>
  </w:style>
  <w:style w:type="table" w:styleId="Mriekatabuky">
    <w:name w:val="Table Grid"/>
    <w:basedOn w:val="Normlnatabuka"/>
    <w:rsid w:val="00E72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ta">
    <w:name w:val="footer"/>
    <w:basedOn w:val="Normlny"/>
    <w:rsid w:val="00C32E16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C50063"/>
    <w:rPr>
      <w:sz w:val="16"/>
      <w:szCs w:val="16"/>
    </w:rPr>
  </w:style>
  <w:style w:type="paragraph" w:styleId="Textbubliny">
    <w:name w:val="Balloon Text"/>
    <w:basedOn w:val="Normlny"/>
    <w:semiHidden/>
    <w:rsid w:val="00C50063"/>
    <w:rPr>
      <w:rFonts w:ascii="Tahoma" w:hAnsi="Tahoma" w:cs="Tahoma"/>
      <w:sz w:val="16"/>
      <w:szCs w:val="16"/>
    </w:rPr>
  </w:style>
  <w:style w:type="paragraph" w:customStyle="1" w:styleId="Styl30">
    <w:name w:val="Styl3"/>
    <w:basedOn w:val="Normlndobloku"/>
    <w:link w:val="Styl3Char0"/>
    <w:rsid w:val="002F61EC"/>
    <w:rPr>
      <w:u w:val="single"/>
      <w:lang w:val="cs-CZ"/>
    </w:rPr>
  </w:style>
  <w:style w:type="paragraph" w:styleId="Hlavika">
    <w:name w:val="header"/>
    <w:basedOn w:val="Normlny"/>
    <w:link w:val="HlavikaChar"/>
    <w:rsid w:val="00BF6A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F6AC8"/>
    <w:rPr>
      <w:sz w:val="24"/>
      <w:szCs w:val="24"/>
      <w:lang w:val="el-GR" w:eastAsia="el-GR"/>
    </w:rPr>
  </w:style>
  <w:style w:type="paragraph" w:customStyle="1" w:styleId="NormlndoblokuTunDoleva">
    <w:name w:val="Normální do bloku + Tučné Doleva"/>
    <w:basedOn w:val="Normlndobloku"/>
    <w:rsid w:val="00BC792F"/>
    <w:pPr>
      <w:tabs>
        <w:tab w:val="clear" w:pos="6946"/>
      </w:tabs>
      <w:jc w:val="left"/>
    </w:pPr>
    <w:rPr>
      <w:b/>
      <w:bCs/>
      <w:szCs w:val="20"/>
      <w:lang w:eastAsia="sk-SK"/>
    </w:rPr>
  </w:style>
  <w:style w:type="paragraph" w:styleId="Zkladntext2">
    <w:name w:val="Body Text 2"/>
    <w:basedOn w:val="Normlny"/>
    <w:link w:val="Zkladntext2Char"/>
    <w:rsid w:val="005E3B5E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5E3B5E"/>
    <w:rPr>
      <w:sz w:val="24"/>
      <w:szCs w:val="24"/>
      <w:lang w:val="el-GR" w:eastAsia="el-GR"/>
    </w:rPr>
  </w:style>
  <w:style w:type="character" w:customStyle="1" w:styleId="Styl3Char0">
    <w:name w:val="Styl3 Char"/>
    <w:link w:val="Styl30"/>
    <w:rsid w:val="00B62377"/>
    <w:rPr>
      <w:sz w:val="22"/>
      <w:szCs w:val="24"/>
      <w:u w:val="single"/>
      <w:lang w:val="cs-CZ" w:eastAsia="cs-CZ"/>
    </w:rPr>
  </w:style>
  <w:style w:type="character" w:customStyle="1" w:styleId="Nadpis2Char">
    <w:name w:val="Nadpis 2 Char"/>
    <w:link w:val="Nadpis2"/>
    <w:semiHidden/>
    <w:rsid w:val="00984153"/>
    <w:rPr>
      <w:rFonts w:ascii="Cambria" w:eastAsia="SimSun" w:hAnsi="Cambria" w:cs="Times New Roman"/>
      <w:b/>
      <w:bCs/>
      <w:i/>
      <w:iCs/>
      <w:sz w:val="28"/>
      <w:szCs w:val="28"/>
      <w:lang w:val="el-GR" w:eastAsia="el-GR"/>
    </w:rPr>
  </w:style>
  <w:style w:type="paragraph" w:styleId="Oznaitext">
    <w:name w:val="Block Text"/>
    <w:basedOn w:val="Normlny"/>
    <w:rsid w:val="00E168AF"/>
    <w:pPr>
      <w:ind w:left="360" w:right="43"/>
      <w:jc w:val="both"/>
    </w:pPr>
    <w:rPr>
      <w:rFonts w:ascii="Arial" w:hAnsi="Arial" w:cs="Arial"/>
      <w:sz w:val="20"/>
      <w:szCs w:val="20"/>
      <w:lang w:val="sk-SK" w:eastAsia="sk-SK"/>
    </w:rPr>
  </w:style>
  <w:style w:type="character" w:styleId="Hypertextovprepojenie">
    <w:name w:val="Hyperlink"/>
    <w:rsid w:val="00D27D55"/>
    <w:rPr>
      <w:color w:val="0000FF"/>
      <w:u w:val="single"/>
    </w:rPr>
  </w:style>
  <w:style w:type="paragraph" w:customStyle="1" w:styleId="Odrky2">
    <w:name w:val="Odrážky 2"/>
    <w:basedOn w:val="Normlndoblokusodrkami"/>
    <w:autoRedefine/>
    <w:qFormat/>
    <w:rsid w:val="00D27D55"/>
    <w:pPr>
      <w:numPr>
        <w:numId w:val="8"/>
      </w:numPr>
    </w:pPr>
    <w:rPr>
      <w:rFonts w:ascii="TimesNewRoman" w:eastAsia="Times New Roman" w:hAnsi="TimesNewRoman"/>
      <w:noProof/>
      <w:lang w:val="x-none" w:eastAsia="el-GR"/>
    </w:rPr>
  </w:style>
  <w:style w:type="paragraph" w:styleId="Textkomentra">
    <w:name w:val="annotation text"/>
    <w:basedOn w:val="Normlny"/>
    <w:link w:val="TextkomentraChar"/>
    <w:rsid w:val="00365BD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65BD0"/>
    <w:rPr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rsid w:val="00365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365BD0"/>
    <w:rPr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9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3743</Words>
  <Characters>23537</Characters>
  <Application>Microsoft Office Word</Application>
  <DocSecurity>0</DocSecurity>
  <Lines>196</Lines>
  <Paragraphs>54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I</vt:lpstr>
      <vt:lpstr>PRÍLOHA I</vt:lpstr>
    </vt:vector>
  </TitlesOfParts>
  <Company>Medochemie, Ltd.</Company>
  <LinksUpToDate>false</LinksUpToDate>
  <CharactersWithSpaces>27226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I</dc:title>
  <dc:creator>katarinaj</dc:creator>
  <cp:lastModifiedBy>Dočolomanská, Petra</cp:lastModifiedBy>
  <cp:revision>4</cp:revision>
  <cp:lastPrinted>2017-01-13T10:12:00Z</cp:lastPrinted>
  <dcterms:created xsi:type="dcterms:W3CDTF">2016-12-21T15:02:00Z</dcterms:created>
  <dcterms:modified xsi:type="dcterms:W3CDTF">2017-01-13T10:12:00Z</dcterms:modified>
</cp:coreProperties>
</file>