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F2C" w:rsidRPr="0065458E" w:rsidRDefault="00777F2C" w:rsidP="00B15F20">
      <w:pPr>
        <w:pStyle w:val="Hlavika"/>
        <w:jc w:val="center"/>
        <w:outlineLvl w:val="0"/>
        <w:rPr>
          <w:rFonts w:ascii="Times New Roman" w:hAnsi="Times New Roman"/>
          <w:b/>
          <w:caps/>
          <w:noProof/>
          <w:sz w:val="22"/>
          <w:szCs w:val="22"/>
        </w:rPr>
      </w:pPr>
      <w:r w:rsidRPr="0065458E">
        <w:rPr>
          <w:rFonts w:ascii="Times New Roman" w:hAnsi="Times New Roman"/>
          <w:b/>
          <w:caps/>
          <w:noProof/>
          <w:sz w:val="22"/>
          <w:szCs w:val="22"/>
        </w:rPr>
        <w:t>Súhrn charakteristických vlastností lieku</w:t>
      </w:r>
    </w:p>
    <w:p w:rsidR="00777F2C" w:rsidRPr="0065458E" w:rsidRDefault="00777F2C" w:rsidP="00E90E60">
      <w:pPr>
        <w:pStyle w:val="Hlavika"/>
        <w:rPr>
          <w:rFonts w:ascii="Times New Roman" w:hAnsi="Times New Roman"/>
          <w:b/>
          <w:caps/>
          <w:noProof/>
          <w:sz w:val="22"/>
          <w:szCs w:val="22"/>
        </w:rPr>
      </w:pPr>
    </w:p>
    <w:p w:rsidR="00777F2C" w:rsidRPr="0065458E" w:rsidRDefault="00777F2C" w:rsidP="00E90E60">
      <w:pPr>
        <w:autoSpaceDE w:val="0"/>
        <w:autoSpaceDN w:val="0"/>
        <w:adjustRightInd w:val="0"/>
        <w:rPr>
          <w:b/>
          <w:bCs/>
          <w:noProof/>
          <w:sz w:val="22"/>
          <w:szCs w:val="22"/>
        </w:rPr>
      </w:pPr>
    </w:p>
    <w:p w:rsidR="00777F2C" w:rsidRPr="0065458E" w:rsidRDefault="00777F2C" w:rsidP="00E90E60">
      <w:pPr>
        <w:autoSpaceDE w:val="0"/>
        <w:autoSpaceDN w:val="0"/>
        <w:adjustRightInd w:val="0"/>
        <w:rPr>
          <w:b/>
          <w:bCs/>
          <w:noProof/>
          <w:sz w:val="22"/>
          <w:szCs w:val="22"/>
        </w:rPr>
      </w:pPr>
      <w:r w:rsidRPr="0065458E">
        <w:rPr>
          <w:b/>
          <w:bCs/>
          <w:noProof/>
          <w:sz w:val="22"/>
          <w:szCs w:val="22"/>
        </w:rPr>
        <w:t>1.</w:t>
      </w:r>
      <w:r w:rsidRPr="0065458E">
        <w:rPr>
          <w:b/>
          <w:bCs/>
          <w:noProof/>
          <w:sz w:val="22"/>
          <w:szCs w:val="22"/>
        </w:rPr>
        <w:tab/>
        <w:t>NÁZOV LIEKU</w:t>
      </w:r>
    </w:p>
    <w:p w:rsidR="00777F2C" w:rsidRPr="0065458E" w:rsidRDefault="00777F2C" w:rsidP="00E90E60">
      <w:pPr>
        <w:autoSpaceDE w:val="0"/>
        <w:autoSpaceDN w:val="0"/>
        <w:adjustRightInd w:val="0"/>
        <w:rPr>
          <w:b/>
          <w:noProof/>
          <w:sz w:val="22"/>
          <w:szCs w:val="22"/>
        </w:rPr>
      </w:pPr>
    </w:p>
    <w:p w:rsidR="00777F2C" w:rsidRDefault="00777F2C" w:rsidP="00E90E60">
      <w:pPr>
        <w:autoSpaceDE w:val="0"/>
        <w:autoSpaceDN w:val="0"/>
        <w:adjustRightInd w:val="0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Itoprid Xantis </w:t>
      </w:r>
      <w:r w:rsidRPr="0065458E">
        <w:rPr>
          <w:noProof/>
          <w:sz w:val="22"/>
          <w:szCs w:val="22"/>
        </w:rPr>
        <w:t>50 mg</w:t>
      </w:r>
    </w:p>
    <w:p w:rsidR="00777F2C" w:rsidRPr="0065458E" w:rsidRDefault="00777F2C" w:rsidP="00E90E60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65458E">
        <w:rPr>
          <w:noProof/>
          <w:sz w:val="22"/>
          <w:szCs w:val="22"/>
        </w:rPr>
        <w:t>tablety</w:t>
      </w:r>
    </w:p>
    <w:p w:rsidR="00777F2C" w:rsidRPr="0065458E" w:rsidRDefault="00777F2C" w:rsidP="00E90E60">
      <w:pPr>
        <w:autoSpaceDE w:val="0"/>
        <w:autoSpaceDN w:val="0"/>
        <w:adjustRightInd w:val="0"/>
        <w:rPr>
          <w:b/>
          <w:bCs/>
          <w:noProof/>
          <w:sz w:val="22"/>
          <w:szCs w:val="22"/>
        </w:rPr>
      </w:pPr>
    </w:p>
    <w:p w:rsidR="00777F2C" w:rsidRPr="0065458E" w:rsidRDefault="00777F2C" w:rsidP="00E90E60">
      <w:pPr>
        <w:autoSpaceDE w:val="0"/>
        <w:autoSpaceDN w:val="0"/>
        <w:adjustRightInd w:val="0"/>
        <w:rPr>
          <w:b/>
          <w:bCs/>
          <w:noProof/>
          <w:sz w:val="22"/>
          <w:szCs w:val="22"/>
        </w:rPr>
      </w:pPr>
    </w:p>
    <w:p w:rsidR="00777F2C" w:rsidRPr="0065458E" w:rsidRDefault="00777F2C" w:rsidP="00E90E60">
      <w:pPr>
        <w:autoSpaceDE w:val="0"/>
        <w:autoSpaceDN w:val="0"/>
        <w:adjustRightInd w:val="0"/>
        <w:rPr>
          <w:b/>
          <w:bCs/>
          <w:noProof/>
          <w:sz w:val="22"/>
          <w:szCs w:val="22"/>
        </w:rPr>
      </w:pPr>
      <w:r w:rsidRPr="0065458E">
        <w:rPr>
          <w:b/>
          <w:bCs/>
          <w:noProof/>
          <w:sz w:val="22"/>
          <w:szCs w:val="22"/>
        </w:rPr>
        <w:t>2.</w:t>
      </w:r>
      <w:r w:rsidRPr="0065458E">
        <w:rPr>
          <w:b/>
          <w:bCs/>
          <w:noProof/>
          <w:sz w:val="22"/>
          <w:szCs w:val="22"/>
        </w:rPr>
        <w:tab/>
        <w:t>KVALITATÍVNE A KVANTITATÍVNE ZLOŽENIE</w:t>
      </w:r>
    </w:p>
    <w:p w:rsidR="00777F2C" w:rsidRPr="0065458E" w:rsidRDefault="00777F2C" w:rsidP="00E90E60">
      <w:pPr>
        <w:autoSpaceDE w:val="0"/>
        <w:autoSpaceDN w:val="0"/>
        <w:adjustRightInd w:val="0"/>
        <w:rPr>
          <w:noProof/>
          <w:sz w:val="22"/>
          <w:szCs w:val="22"/>
        </w:rPr>
      </w:pPr>
    </w:p>
    <w:p w:rsidR="00777F2C" w:rsidRPr="0065458E" w:rsidRDefault="00777F2C" w:rsidP="00E90E60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65458E">
        <w:rPr>
          <w:noProof/>
          <w:sz w:val="22"/>
          <w:szCs w:val="22"/>
        </w:rPr>
        <w:t>Každá tableta obsahuje 50 mg itopridiumchloridu.</w:t>
      </w:r>
    </w:p>
    <w:p w:rsidR="00777F2C" w:rsidRPr="0065458E" w:rsidRDefault="00777F2C" w:rsidP="00E90E60">
      <w:pPr>
        <w:autoSpaceDE w:val="0"/>
        <w:autoSpaceDN w:val="0"/>
        <w:adjustRightInd w:val="0"/>
        <w:rPr>
          <w:noProof/>
          <w:sz w:val="22"/>
          <w:szCs w:val="22"/>
        </w:rPr>
      </w:pPr>
    </w:p>
    <w:p w:rsidR="00777F2C" w:rsidRPr="0065458E" w:rsidRDefault="00777F2C" w:rsidP="00E90E60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EB16FD">
        <w:rPr>
          <w:noProof/>
          <w:sz w:val="22"/>
          <w:szCs w:val="22"/>
          <w:u w:val="single"/>
        </w:rPr>
        <w:t>Pomocná látka so známym účinkom</w:t>
      </w:r>
      <w:r w:rsidRPr="0065458E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 xml:space="preserve">66,56 mg </w:t>
      </w:r>
      <w:r w:rsidRPr="0065458E">
        <w:rPr>
          <w:noProof/>
          <w:sz w:val="22"/>
          <w:szCs w:val="22"/>
        </w:rPr>
        <w:t>monohydrát</w:t>
      </w:r>
      <w:r>
        <w:rPr>
          <w:noProof/>
          <w:sz w:val="22"/>
          <w:szCs w:val="22"/>
        </w:rPr>
        <w:t>u</w:t>
      </w:r>
      <w:r w:rsidRPr="0065458E">
        <w:rPr>
          <w:noProof/>
          <w:sz w:val="22"/>
          <w:szCs w:val="22"/>
        </w:rPr>
        <w:t xml:space="preserve"> laktóz</w:t>
      </w:r>
      <w:r>
        <w:rPr>
          <w:noProof/>
          <w:sz w:val="22"/>
          <w:szCs w:val="22"/>
        </w:rPr>
        <w:t>y</w:t>
      </w:r>
    </w:p>
    <w:p w:rsidR="00777F2C" w:rsidRPr="0065458E" w:rsidRDefault="00777F2C" w:rsidP="00E90E60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65458E">
        <w:rPr>
          <w:noProof/>
          <w:sz w:val="22"/>
          <w:szCs w:val="22"/>
        </w:rPr>
        <w:t>Úplný zoznam pomocných látok, pozri časť 6.1.</w:t>
      </w:r>
    </w:p>
    <w:p w:rsidR="00777F2C" w:rsidRPr="0065458E" w:rsidRDefault="00777F2C" w:rsidP="00E90E60">
      <w:pPr>
        <w:autoSpaceDE w:val="0"/>
        <w:autoSpaceDN w:val="0"/>
        <w:adjustRightInd w:val="0"/>
        <w:rPr>
          <w:b/>
          <w:bCs/>
          <w:noProof/>
          <w:sz w:val="22"/>
          <w:szCs w:val="22"/>
        </w:rPr>
      </w:pPr>
    </w:p>
    <w:p w:rsidR="00777F2C" w:rsidRPr="0065458E" w:rsidRDefault="00777F2C" w:rsidP="00E90E60">
      <w:pPr>
        <w:autoSpaceDE w:val="0"/>
        <w:autoSpaceDN w:val="0"/>
        <w:adjustRightInd w:val="0"/>
        <w:rPr>
          <w:b/>
          <w:bCs/>
          <w:noProof/>
          <w:sz w:val="22"/>
          <w:szCs w:val="22"/>
        </w:rPr>
      </w:pPr>
    </w:p>
    <w:p w:rsidR="00777F2C" w:rsidRPr="0065458E" w:rsidRDefault="00777F2C" w:rsidP="00E90E60">
      <w:pPr>
        <w:autoSpaceDE w:val="0"/>
        <w:autoSpaceDN w:val="0"/>
        <w:adjustRightInd w:val="0"/>
        <w:rPr>
          <w:b/>
          <w:bCs/>
          <w:noProof/>
          <w:sz w:val="22"/>
          <w:szCs w:val="22"/>
        </w:rPr>
      </w:pPr>
      <w:r w:rsidRPr="0065458E">
        <w:rPr>
          <w:b/>
          <w:bCs/>
          <w:noProof/>
          <w:sz w:val="22"/>
          <w:szCs w:val="22"/>
        </w:rPr>
        <w:t>3.</w:t>
      </w:r>
      <w:r w:rsidRPr="0065458E">
        <w:rPr>
          <w:b/>
          <w:bCs/>
          <w:noProof/>
          <w:sz w:val="22"/>
          <w:szCs w:val="22"/>
        </w:rPr>
        <w:tab/>
        <w:t>LIEKOVÁ FORMA</w:t>
      </w:r>
    </w:p>
    <w:p w:rsidR="00777F2C" w:rsidRPr="0065458E" w:rsidRDefault="00777F2C" w:rsidP="00E90E60">
      <w:pPr>
        <w:autoSpaceDE w:val="0"/>
        <w:autoSpaceDN w:val="0"/>
        <w:adjustRightInd w:val="0"/>
        <w:rPr>
          <w:noProof/>
          <w:sz w:val="22"/>
          <w:szCs w:val="22"/>
        </w:rPr>
      </w:pPr>
    </w:p>
    <w:p w:rsidR="00777F2C" w:rsidRPr="0065458E" w:rsidRDefault="00777F2C" w:rsidP="00E90E60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65458E">
        <w:rPr>
          <w:noProof/>
          <w:sz w:val="22"/>
          <w:szCs w:val="22"/>
        </w:rPr>
        <w:t>tableta</w:t>
      </w:r>
    </w:p>
    <w:p w:rsidR="00777F2C" w:rsidRPr="0065458E" w:rsidRDefault="00777F2C" w:rsidP="00E90E60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65458E">
        <w:rPr>
          <w:noProof/>
          <w:sz w:val="22"/>
          <w:szCs w:val="22"/>
        </w:rPr>
        <w:t xml:space="preserve">Biela až takmer biela okrúhla </w:t>
      </w:r>
      <w:r>
        <w:rPr>
          <w:noProof/>
          <w:sz w:val="22"/>
          <w:szCs w:val="22"/>
        </w:rPr>
        <w:t>šošovkovitá</w:t>
      </w:r>
      <w:r w:rsidRPr="0065458E">
        <w:rPr>
          <w:noProof/>
          <w:sz w:val="22"/>
          <w:szCs w:val="22"/>
        </w:rPr>
        <w:t xml:space="preserve"> </w:t>
      </w:r>
      <w:r>
        <w:rPr>
          <w:noProof/>
          <w:sz w:val="22"/>
          <w:szCs w:val="22"/>
        </w:rPr>
        <w:t>ne</w:t>
      </w:r>
      <w:r w:rsidRPr="0065458E">
        <w:rPr>
          <w:noProof/>
          <w:sz w:val="22"/>
          <w:szCs w:val="22"/>
        </w:rPr>
        <w:t>obalená tableta s deliacou ryhou na jednej strane</w:t>
      </w:r>
      <w:r>
        <w:rPr>
          <w:noProof/>
          <w:sz w:val="22"/>
          <w:szCs w:val="22"/>
        </w:rPr>
        <w:t xml:space="preserve">, priemer </w:t>
      </w:r>
      <w:smartTag w:uri="urn:schemas-microsoft-com:office:smarttags" w:element="metricconverter">
        <w:smartTagPr>
          <w:attr w:name="ProductID" w:val="7 mm"/>
        </w:smartTagPr>
        <w:r>
          <w:rPr>
            <w:noProof/>
            <w:sz w:val="22"/>
            <w:szCs w:val="22"/>
          </w:rPr>
          <w:t>7 mm</w:t>
        </w:r>
      </w:smartTag>
      <w:r w:rsidRPr="0065458E">
        <w:rPr>
          <w:noProof/>
          <w:sz w:val="22"/>
          <w:szCs w:val="22"/>
        </w:rPr>
        <w:t>.</w:t>
      </w:r>
    </w:p>
    <w:p w:rsidR="00777F2C" w:rsidRPr="0065458E" w:rsidRDefault="00777F2C" w:rsidP="00E90E60">
      <w:pPr>
        <w:autoSpaceDE w:val="0"/>
        <w:autoSpaceDN w:val="0"/>
        <w:adjustRightInd w:val="0"/>
        <w:rPr>
          <w:bCs/>
          <w:noProof/>
          <w:sz w:val="22"/>
          <w:szCs w:val="22"/>
        </w:rPr>
      </w:pPr>
      <w:r w:rsidRPr="0065458E">
        <w:rPr>
          <w:bCs/>
          <w:noProof/>
          <w:sz w:val="22"/>
          <w:szCs w:val="22"/>
        </w:rPr>
        <w:t>Tableta sa môže rozdeliť na rovnaké dávky.</w:t>
      </w:r>
    </w:p>
    <w:p w:rsidR="00777F2C" w:rsidRPr="0065458E" w:rsidRDefault="00777F2C" w:rsidP="00E90E60">
      <w:pPr>
        <w:autoSpaceDE w:val="0"/>
        <w:autoSpaceDN w:val="0"/>
        <w:adjustRightInd w:val="0"/>
        <w:rPr>
          <w:b/>
          <w:bCs/>
          <w:noProof/>
          <w:sz w:val="22"/>
          <w:szCs w:val="22"/>
        </w:rPr>
      </w:pPr>
    </w:p>
    <w:p w:rsidR="00777F2C" w:rsidRPr="0065458E" w:rsidRDefault="00777F2C" w:rsidP="00E90E60">
      <w:pPr>
        <w:autoSpaceDE w:val="0"/>
        <w:autoSpaceDN w:val="0"/>
        <w:adjustRightInd w:val="0"/>
        <w:rPr>
          <w:b/>
          <w:bCs/>
          <w:noProof/>
          <w:sz w:val="22"/>
          <w:szCs w:val="22"/>
        </w:rPr>
      </w:pPr>
    </w:p>
    <w:p w:rsidR="00777F2C" w:rsidRPr="0065458E" w:rsidRDefault="00777F2C" w:rsidP="00E90E60">
      <w:pPr>
        <w:autoSpaceDE w:val="0"/>
        <w:autoSpaceDN w:val="0"/>
        <w:adjustRightInd w:val="0"/>
        <w:rPr>
          <w:b/>
          <w:bCs/>
          <w:noProof/>
          <w:sz w:val="22"/>
          <w:szCs w:val="22"/>
        </w:rPr>
      </w:pPr>
      <w:r w:rsidRPr="0065458E">
        <w:rPr>
          <w:b/>
          <w:bCs/>
          <w:noProof/>
          <w:sz w:val="22"/>
          <w:szCs w:val="22"/>
        </w:rPr>
        <w:t>4.</w:t>
      </w:r>
      <w:r w:rsidRPr="0065458E">
        <w:rPr>
          <w:b/>
          <w:bCs/>
          <w:noProof/>
          <w:sz w:val="22"/>
          <w:szCs w:val="22"/>
        </w:rPr>
        <w:tab/>
        <w:t>KLINICKÉ ÚDAJE</w:t>
      </w:r>
    </w:p>
    <w:p w:rsidR="00777F2C" w:rsidRPr="0065458E" w:rsidRDefault="00777F2C" w:rsidP="00E90E60">
      <w:pPr>
        <w:autoSpaceDE w:val="0"/>
        <w:autoSpaceDN w:val="0"/>
        <w:adjustRightInd w:val="0"/>
        <w:rPr>
          <w:b/>
          <w:bCs/>
          <w:noProof/>
          <w:sz w:val="22"/>
          <w:szCs w:val="22"/>
        </w:rPr>
      </w:pPr>
    </w:p>
    <w:p w:rsidR="00777F2C" w:rsidRPr="0065458E" w:rsidRDefault="00777F2C" w:rsidP="00E90E60">
      <w:pPr>
        <w:autoSpaceDE w:val="0"/>
        <w:autoSpaceDN w:val="0"/>
        <w:adjustRightInd w:val="0"/>
        <w:rPr>
          <w:b/>
          <w:bCs/>
          <w:noProof/>
          <w:sz w:val="22"/>
          <w:szCs w:val="22"/>
        </w:rPr>
      </w:pPr>
      <w:r w:rsidRPr="0065458E">
        <w:rPr>
          <w:b/>
          <w:bCs/>
          <w:noProof/>
          <w:sz w:val="22"/>
          <w:szCs w:val="22"/>
        </w:rPr>
        <w:t>4.1</w:t>
      </w:r>
      <w:r w:rsidRPr="0065458E">
        <w:rPr>
          <w:b/>
          <w:bCs/>
          <w:noProof/>
          <w:sz w:val="22"/>
          <w:szCs w:val="22"/>
        </w:rPr>
        <w:tab/>
        <w:t>Terapeutické indikácie</w:t>
      </w:r>
    </w:p>
    <w:p w:rsidR="00777F2C" w:rsidRPr="0065458E" w:rsidRDefault="00777F2C" w:rsidP="00E90E60">
      <w:pPr>
        <w:autoSpaceDE w:val="0"/>
        <w:autoSpaceDN w:val="0"/>
        <w:adjustRightInd w:val="0"/>
        <w:rPr>
          <w:noProof/>
          <w:sz w:val="22"/>
          <w:szCs w:val="22"/>
        </w:rPr>
      </w:pPr>
    </w:p>
    <w:p w:rsidR="00777F2C" w:rsidRPr="0065458E" w:rsidRDefault="00777F2C" w:rsidP="00E90E60">
      <w:pPr>
        <w:autoSpaceDE w:val="0"/>
        <w:autoSpaceDN w:val="0"/>
        <w:adjustRightInd w:val="0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Itoprid Xantis </w:t>
      </w:r>
      <w:r w:rsidRPr="0065458E">
        <w:rPr>
          <w:noProof/>
          <w:sz w:val="22"/>
          <w:szCs w:val="22"/>
        </w:rPr>
        <w:t>je určený na liečbu gastrointestinálnych príznakov pri funkčnej neulceróznej dyspepsii, ako je pocit nafúknutia, pocit plnosti žalúdka, bolesť v hornej časti brucha, anorexia, pyróza, nauzea a vracanie.</w:t>
      </w:r>
    </w:p>
    <w:p w:rsidR="00777F2C" w:rsidRPr="0065458E" w:rsidRDefault="00777F2C" w:rsidP="00E90E60">
      <w:pPr>
        <w:autoSpaceDE w:val="0"/>
        <w:autoSpaceDN w:val="0"/>
        <w:adjustRightInd w:val="0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Itoprid Xantis </w:t>
      </w:r>
      <w:r w:rsidRPr="0065458E">
        <w:rPr>
          <w:noProof/>
          <w:sz w:val="22"/>
          <w:szCs w:val="22"/>
        </w:rPr>
        <w:t>je indikovaný dospelým.</w:t>
      </w:r>
    </w:p>
    <w:p w:rsidR="00777F2C" w:rsidRPr="0065458E" w:rsidRDefault="00777F2C" w:rsidP="00E90E60">
      <w:pPr>
        <w:autoSpaceDE w:val="0"/>
        <w:autoSpaceDN w:val="0"/>
        <w:adjustRightInd w:val="0"/>
        <w:rPr>
          <w:b/>
          <w:bCs/>
          <w:noProof/>
          <w:sz w:val="22"/>
          <w:szCs w:val="22"/>
        </w:rPr>
      </w:pPr>
    </w:p>
    <w:p w:rsidR="00777F2C" w:rsidRPr="0065458E" w:rsidRDefault="00777F2C" w:rsidP="00E90E60">
      <w:pPr>
        <w:autoSpaceDE w:val="0"/>
        <w:autoSpaceDN w:val="0"/>
        <w:adjustRightInd w:val="0"/>
        <w:rPr>
          <w:b/>
          <w:bCs/>
          <w:noProof/>
          <w:sz w:val="22"/>
          <w:szCs w:val="22"/>
        </w:rPr>
      </w:pPr>
      <w:r w:rsidRPr="0065458E">
        <w:rPr>
          <w:b/>
          <w:bCs/>
          <w:noProof/>
          <w:sz w:val="22"/>
          <w:szCs w:val="22"/>
        </w:rPr>
        <w:t>4.2</w:t>
      </w:r>
      <w:r w:rsidRPr="0065458E">
        <w:rPr>
          <w:b/>
          <w:bCs/>
          <w:noProof/>
          <w:sz w:val="22"/>
          <w:szCs w:val="22"/>
        </w:rPr>
        <w:tab/>
        <w:t>Dávkovanie a spôsob podávania</w:t>
      </w:r>
    </w:p>
    <w:p w:rsidR="00777F2C" w:rsidRPr="0065458E" w:rsidRDefault="00777F2C" w:rsidP="00E90E60">
      <w:pPr>
        <w:autoSpaceDE w:val="0"/>
        <w:autoSpaceDN w:val="0"/>
        <w:adjustRightInd w:val="0"/>
        <w:rPr>
          <w:noProof/>
          <w:sz w:val="22"/>
          <w:szCs w:val="22"/>
        </w:rPr>
      </w:pPr>
    </w:p>
    <w:p w:rsidR="00777F2C" w:rsidRPr="0065458E" w:rsidRDefault="00777F2C" w:rsidP="00E90E60">
      <w:pPr>
        <w:autoSpaceDE w:val="0"/>
        <w:autoSpaceDN w:val="0"/>
        <w:adjustRightInd w:val="0"/>
        <w:rPr>
          <w:noProof/>
          <w:sz w:val="22"/>
          <w:szCs w:val="22"/>
          <w:u w:val="single"/>
        </w:rPr>
      </w:pPr>
      <w:r w:rsidRPr="0065458E">
        <w:rPr>
          <w:noProof/>
          <w:sz w:val="22"/>
          <w:szCs w:val="22"/>
          <w:u w:val="single"/>
        </w:rPr>
        <w:t xml:space="preserve">Dávkovanie </w:t>
      </w:r>
    </w:p>
    <w:p w:rsidR="00777F2C" w:rsidRPr="0065458E" w:rsidRDefault="00777F2C" w:rsidP="00B677BA">
      <w:pPr>
        <w:autoSpaceDE w:val="0"/>
        <w:autoSpaceDN w:val="0"/>
        <w:adjustRightInd w:val="0"/>
        <w:jc w:val="both"/>
        <w:rPr>
          <w:noProof/>
          <w:sz w:val="22"/>
          <w:szCs w:val="22"/>
        </w:rPr>
      </w:pPr>
      <w:r w:rsidRPr="0065458E">
        <w:rPr>
          <w:noProof/>
          <w:sz w:val="22"/>
          <w:szCs w:val="22"/>
        </w:rPr>
        <w:t>Obvyklá denná dávka pre dospelých je 150 mg itopridiumchloridu, to znamená jedna tableta 3-krát denne pred jedlom.</w:t>
      </w:r>
    </w:p>
    <w:p w:rsidR="00777F2C" w:rsidRPr="0065458E" w:rsidRDefault="00777F2C" w:rsidP="00B677BA">
      <w:pPr>
        <w:autoSpaceDE w:val="0"/>
        <w:autoSpaceDN w:val="0"/>
        <w:adjustRightInd w:val="0"/>
        <w:jc w:val="both"/>
        <w:rPr>
          <w:noProof/>
          <w:sz w:val="22"/>
          <w:szCs w:val="22"/>
        </w:rPr>
      </w:pPr>
      <w:r w:rsidRPr="0065458E">
        <w:rPr>
          <w:noProof/>
          <w:sz w:val="22"/>
          <w:szCs w:val="22"/>
        </w:rPr>
        <w:t>Táto dávka môže byť znížená podľa priebehu ochorenia (napr. na ½ tablety 3-krát denne).</w:t>
      </w:r>
    </w:p>
    <w:p w:rsidR="00777F2C" w:rsidRPr="0065458E" w:rsidRDefault="00777F2C" w:rsidP="00E90E60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65458E">
        <w:rPr>
          <w:noProof/>
          <w:sz w:val="22"/>
          <w:szCs w:val="22"/>
        </w:rPr>
        <w:t>Presné dávkovanie a dĺžka terapie závisí od klinického stavu pacienta.</w:t>
      </w:r>
    </w:p>
    <w:p w:rsidR="00777F2C" w:rsidRPr="0065458E" w:rsidRDefault="00777F2C" w:rsidP="00E90E60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65458E">
        <w:rPr>
          <w:noProof/>
          <w:sz w:val="22"/>
          <w:szCs w:val="22"/>
        </w:rPr>
        <w:t xml:space="preserve">V klinických štúdiách bol itopridiumchlorid podávaný </w:t>
      </w:r>
      <w:r>
        <w:rPr>
          <w:noProof/>
          <w:sz w:val="22"/>
          <w:szCs w:val="22"/>
        </w:rPr>
        <w:t>maximálne</w:t>
      </w:r>
      <w:r w:rsidRPr="0065458E">
        <w:rPr>
          <w:noProof/>
          <w:sz w:val="22"/>
          <w:szCs w:val="22"/>
        </w:rPr>
        <w:t xml:space="preserve"> 8 týždňov.</w:t>
      </w:r>
    </w:p>
    <w:p w:rsidR="00777F2C" w:rsidRPr="0065458E" w:rsidRDefault="00777F2C" w:rsidP="00E90E60">
      <w:pPr>
        <w:autoSpaceDE w:val="0"/>
        <w:autoSpaceDN w:val="0"/>
        <w:adjustRightInd w:val="0"/>
        <w:rPr>
          <w:noProof/>
          <w:color w:val="000080"/>
          <w:sz w:val="22"/>
          <w:szCs w:val="22"/>
        </w:rPr>
      </w:pPr>
    </w:p>
    <w:p w:rsidR="00777F2C" w:rsidRPr="0065458E" w:rsidRDefault="00777F2C" w:rsidP="00EB16FD">
      <w:pPr>
        <w:autoSpaceDE w:val="0"/>
        <w:autoSpaceDN w:val="0"/>
        <w:adjustRightInd w:val="0"/>
        <w:rPr>
          <w:i/>
          <w:noProof/>
          <w:sz w:val="22"/>
          <w:szCs w:val="22"/>
          <w:u w:val="single"/>
        </w:rPr>
      </w:pPr>
      <w:r w:rsidRPr="0065458E">
        <w:rPr>
          <w:i/>
          <w:noProof/>
          <w:sz w:val="22"/>
          <w:szCs w:val="22"/>
          <w:u w:val="single"/>
        </w:rPr>
        <w:t>Pediatrická populácia</w:t>
      </w:r>
    </w:p>
    <w:p w:rsidR="00777F2C" w:rsidRPr="0065458E" w:rsidRDefault="00777F2C" w:rsidP="00EB16FD">
      <w:pPr>
        <w:autoSpaceDE w:val="0"/>
        <w:autoSpaceDN w:val="0"/>
        <w:adjustRightInd w:val="0"/>
        <w:rPr>
          <w:noProof/>
          <w:sz w:val="22"/>
          <w:szCs w:val="22"/>
        </w:rPr>
      </w:pPr>
      <w:r>
        <w:rPr>
          <w:noProof/>
          <w:sz w:val="22"/>
          <w:szCs w:val="22"/>
        </w:rPr>
        <w:t>B</w:t>
      </w:r>
      <w:r w:rsidRPr="0065458E">
        <w:rPr>
          <w:noProof/>
          <w:sz w:val="22"/>
          <w:szCs w:val="22"/>
        </w:rPr>
        <w:t>ezpečnosť a úč</w:t>
      </w:r>
      <w:r>
        <w:rPr>
          <w:noProof/>
          <w:sz w:val="22"/>
          <w:szCs w:val="22"/>
        </w:rPr>
        <w:t>innosť nebola u detí stanovená</w:t>
      </w:r>
      <w:r w:rsidRPr="0065458E">
        <w:rPr>
          <w:noProof/>
          <w:sz w:val="22"/>
          <w:szCs w:val="22"/>
        </w:rPr>
        <w:t>.</w:t>
      </w:r>
    </w:p>
    <w:p w:rsidR="00777F2C" w:rsidRPr="0065458E" w:rsidRDefault="00777F2C" w:rsidP="00E90E60">
      <w:pPr>
        <w:autoSpaceDE w:val="0"/>
        <w:autoSpaceDN w:val="0"/>
        <w:adjustRightInd w:val="0"/>
        <w:rPr>
          <w:noProof/>
          <w:sz w:val="22"/>
          <w:szCs w:val="22"/>
          <w:u w:val="single"/>
        </w:rPr>
      </w:pPr>
    </w:p>
    <w:p w:rsidR="00777F2C" w:rsidRPr="0065458E" w:rsidRDefault="00777F2C" w:rsidP="00E90E60">
      <w:pPr>
        <w:autoSpaceDE w:val="0"/>
        <w:autoSpaceDN w:val="0"/>
        <w:adjustRightInd w:val="0"/>
        <w:rPr>
          <w:i/>
          <w:noProof/>
          <w:sz w:val="22"/>
          <w:szCs w:val="22"/>
          <w:u w:val="single"/>
        </w:rPr>
      </w:pPr>
      <w:r w:rsidRPr="0065458E">
        <w:rPr>
          <w:i/>
          <w:noProof/>
          <w:sz w:val="22"/>
          <w:szCs w:val="22"/>
          <w:u w:val="single"/>
        </w:rPr>
        <w:t>Pacienti s po</w:t>
      </w:r>
      <w:r>
        <w:rPr>
          <w:i/>
          <w:noProof/>
          <w:sz w:val="22"/>
          <w:szCs w:val="22"/>
          <w:u w:val="single"/>
        </w:rPr>
        <w:t>ruchou</w:t>
      </w:r>
      <w:r w:rsidRPr="0065458E">
        <w:rPr>
          <w:i/>
          <w:noProof/>
          <w:sz w:val="22"/>
          <w:szCs w:val="22"/>
          <w:u w:val="single"/>
        </w:rPr>
        <w:t xml:space="preserve"> funkcie obličiek alebo pečene</w:t>
      </w:r>
    </w:p>
    <w:p w:rsidR="00777F2C" w:rsidRPr="0065458E" w:rsidRDefault="00777F2C" w:rsidP="00E90E60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65458E">
        <w:rPr>
          <w:noProof/>
          <w:sz w:val="22"/>
          <w:szCs w:val="22"/>
        </w:rPr>
        <w:t>Itoprid je metabolizovaný v pečeni a primárna cesta vylučovania je prostredníctvom obličiek. Pacientov s po</w:t>
      </w:r>
      <w:r>
        <w:rPr>
          <w:noProof/>
          <w:sz w:val="22"/>
          <w:szCs w:val="22"/>
        </w:rPr>
        <w:t>ruchou funkcie</w:t>
      </w:r>
      <w:r w:rsidRPr="0065458E">
        <w:rPr>
          <w:noProof/>
          <w:sz w:val="22"/>
          <w:szCs w:val="22"/>
        </w:rPr>
        <w:t xml:space="preserve"> obličiek alebo pečene, ktorí liek užívajú, je treba pozorne sledovať a v prípade výskytu nežiaducich účinkov urobiť vhodné opatrenia, napríklad znížiť dávku alebo terapiu </w:t>
      </w:r>
      <w:r>
        <w:rPr>
          <w:noProof/>
          <w:sz w:val="22"/>
          <w:szCs w:val="22"/>
        </w:rPr>
        <w:t>ukončiť</w:t>
      </w:r>
      <w:r w:rsidRPr="0065458E">
        <w:rPr>
          <w:noProof/>
          <w:sz w:val="22"/>
          <w:szCs w:val="22"/>
        </w:rPr>
        <w:t>.</w:t>
      </w:r>
    </w:p>
    <w:p w:rsidR="00777F2C" w:rsidRPr="0065458E" w:rsidRDefault="00777F2C" w:rsidP="00E90E60">
      <w:pPr>
        <w:autoSpaceDE w:val="0"/>
        <w:autoSpaceDN w:val="0"/>
        <w:adjustRightInd w:val="0"/>
        <w:rPr>
          <w:noProof/>
          <w:sz w:val="22"/>
          <w:szCs w:val="22"/>
          <w:u w:val="single"/>
        </w:rPr>
      </w:pPr>
    </w:p>
    <w:p w:rsidR="00777F2C" w:rsidRPr="0065458E" w:rsidRDefault="00777F2C" w:rsidP="00817126">
      <w:pPr>
        <w:autoSpaceDE w:val="0"/>
        <w:autoSpaceDN w:val="0"/>
        <w:adjustRightInd w:val="0"/>
        <w:rPr>
          <w:i/>
          <w:noProof/>
          <w:sz w:val="22"/>
          <w:szCs w:val="22"/>
          <w:u w:val="single"/>
        </w:rPr>
      </w:pPr>
      <w:r w:rsidRPr="0065458E">
        <w:rPr>
          <w:i/>
          <w:noProof/>
          <w:sz w:val="22"/>
          <w:szCs w:val="22"/>
          <w:u w:val="single"/>
        </w:rPr>
        <w:t>Starší pacienti</w:t>
      </w:r>
    </w:p>
    <w:p w:rsidR="00777F2C" w:rsidRPr="0065458E" w:rsidRDefault="00777F2C" w:rsidP="00F17540">
      <w:pPr>
        <w:rPr>
          <w:rStyle w:val="longtext1"/>
          <w:noProof/>
          <w:sz w:val="22"/>
          <w:szCs w:val="22"/>
          <w:shd w:val="clear" w:color="auto" w:fill="FFFFFF"/>
        </w:rPr>
      </w:pPr>
      <w:r w:rsidRPr="0065458E">
        <w:rPr>
          <w:rStyle w:val="longtext1"/>
          <w:noProof/>
          <w:sz w:val="22"/>
          <w:szCs w:val="22"/>
          <w:shd w:val="clear" w:color="auto" w:fill="FFFFFF"/>
        </w:rPr>
        <w:t>V klinických štúdiách sa preukázalo, že výskyt nežiaducich účinkov u populácie vo veku 65 rokov a starších nebol vyšší ako u mladších pacientov.</w:t>
      </w:r>
      <w:r>
        <w:rPr>
          <w:rStyle w:val="longtext1"/>
          <w:noProof/>
          <w:sz w:val="22"/>
          <w:szCs w:val="22"/>
          <w:shd w:val="clear" w:color="auto" w:fill="FFFFFF"/>
        </w:rPr>
        <w:t xml:space="preserve"> Itoprid sa má podávať starším pacientom s primeranou </w:t>
      </w:r>
      <w:r>
        <w:rPr>
          <w:rStyle w:val="longtext1"/>
          <w:noProof/>
          <w:sz w:val="22"/>
          <w:szCs w:val="22"/>
          <w:shd w:val="clear" w:color="auto" w:fill="FFFFFF"/>
        </w:rPr>
        <w:lastRenderedPageBreak/>
        <w:t xml:space="preserve">opatrnosťou vzhľadom na zvýšený výskyt porúch hepatálnej alebo renálnej funkcie, iných ochorení alebo liečbu inými liekmi. </w:t>
      </w:r>
      <w:r w:rsidRPr="0065458E">
        <w:rPr>
          <w:rStyle w:val="longtext1"/>
          <w:noProof/>
          <w:sz w:val="22"/>
          <w:szCs w:val="22"/>
          <w:shd w:val="clear" w:color="auto" w:fill="FFFFFF"/>
        </w:rPr>
        <w:t>Starších pacientov užívajúcich tento liek je treba pozorne sledovať a v prípade výskytu nežiaducich reakcií urobiť vhodné opatrenia, ako napríklad znížiť dávku alebo terapiu prerušiť.</w:t>
      </w:r>
    </w:p>
    <w:p w:rsidR="00777F2C" w:rsidRPr="0065458E" w:rsidRDefault="00777F2C" w:rsidP="00627649">
      <w:pPr>
        <w:autoSpaceDE w:val="0"/>
        <w:autoSpaceDN w:val="0"/>
        <w:adjustRightInd w:val="0"/>
        <w:rPr>
          <w:noProof/>
          <w:sz w:val="22"/>
          <w:szCs w:val="22"/>
        </w:rPr>
      </w:pPr>
    </w:p>
    <w:p w:rsidR="00777F2C" w:rsidRPr="0065458E" w:rsidRDefault="00777F2C" w:rsidP="00627649">
      <w:pPr>
        <w:autoSpaceDE w:val="0"/>
        <w:autoSpaceDN w:val="0"/>
        <w:adjustRightInd w:val="0"/>
        <w:rPr>
          <w:noProof/>
          <w:sz w:val="22"/>
          <w:szCs w:val="22"/>
          <w:u w:val="single"/>
        </w:rPr>
      </w:pPr>
      <w:r w:rsidRPr="0065458E">
        <w:rPr>
          <w:noProof/>
          <w:sz w:val="22"/>
          <w:szCs w:val="22"/>
          <w:u w:val="single"/>
        </w:rPr>
        <w:t>Spôsob podávania</w:t>
      </w:r>
    </w:p>
    <w:p w:rsidR="00777F2C" w:rsidRPr="0065458E" w:rsidRDefault="00777F2C" w:rsidP="00627649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65458E">
        <w:rPr>
          <w:noProof/>
          <w:sz w:val="22"/>
          <w:szCs w:val="22"/>
        </w:rPr>
        <w:t xml:space="preserve">Tablety sa majú zapiť </w:t>
      </w:r>
      <w:r>
        <w:rPr>
          <w:noProof/>
          <w:sz w:val="22"/>
          <w:szCs w:val="22"/>
        </w:rPr>
        <w:t xml:space="preserve">dostatočným možstvom </w:t>
      </w:r>
      <w:r w:rsidRPr="0065458E">
        <w:rPr>
          <w:noProof/>
          <w:sz w:val="22"/>
          <w:szCs w:val="22"/>
        </w:rPr>
        <w:t>vod</w:t>
      </w:r>
      <w:r>
        <w:rPr>
          <w:noProof/>
          <w:sz w:val="22"/>
          <w:szCs w:val="22"/>
        </w:rPr>
        <w:t>y</w:t>
      </w:r>
      <w:r w:rsidRPr="0065458E">
        <w:rPr>
          <w:noProof/>
          <w:sz w:val="22"/>
          <w:szCs w:val="22"/>
        </w:rPr>
        <w:t>.</w:t>
      </w:r>
    </w:p>
    <w:p w:rsidR="00777F2C" w:rsidRPr="0065458E" w:rsidRDefault="00777F2C" w:rsidP="00E90E60">
      <w:pPr>
        <w:autoSpaceDE w:val="0"/>
        <w:autoSpaceDN w:val="0"/>
        <w:adjustRightInd w:val="0"/>
        <w:rPr>
          <w:b/>
          <w:bCs/>
          <w:noProof/>
          <w:sz w:val="22"/>
          <w:szCs w:val="22"/>
        </w:rPr>
      </w:pPr>
    </w:p>
    <w:p w:rsidR="00777F2C" w:rsidRPr="0065458E" w:rsidRDefault="00777F2C" w:rsidP="00E90E60">
      <w:pPr>
        <w:autoSpaceDE w:val="0"/>
        <w:autoSpaceDN w:val="0"/>
        <w:adjustRightInd w:val="0"/>
        <w:rPr>
          <w:b/>
          <w:bCs/>
          <w:noProof/>
          <w:sz w:val="22"/>
          <w:szCs w:val="22"/>
        </w:rPr>
      </w:pPr>
      <w:r w:rsidRPr="0065458E">
        <w:rPr>
          <w:b/>
          <w:bCs/>
          <w:noProof/>
          <w:sz w:val="22"/>
          <w:szCs w:val="22"/>
        </w:rPr>
        <w:t>4.3</w:t>
      </w:r>
      <w:r w:rsidRPr="0065458E">
        <w:rPr>
          <w:b/>
          <w:bCs/>
          <w:noProof/>
          <w:sz w:val="22"/>
          <w:szCs w:val="22"/>
        </w:rPr>
        <w:tab/>
        <w:t>Kontraindikácie</w:t>
      </w:r>
    </w:p>
    <w:p w:rsidR="00777F2C" w:rsidRPr="0065458E" w:rsidRDefault="00777F2C" w:rsidP="00E90E60">
      <w:pPr>
        <w:autoSpaceDE w:val="0"/>
        <w:autoSpaceDN w:val="0"/>
        <w:adjustRightInd w:val="0"/>
        <w:rPr>
          <w:noProof/>
          <w:sz w:val="22"/>
          <w:szCs w:val="22"/>
        </w:rPr>
      </w:pPr>
    </w:p>
    <w:p w:rsidR="00777F2C" w:rsidRPr="0065458E" w:rsidRDefault="00777F2C" w:rsidP="00E90E60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65458E">
        <w:rPr>
          <w:noProof/>
          <w:sz w:val="22"/>
          <w:szCs w:val="22"/>
        </w:rPr>
        <w:t xml:space="preserve">Precitlivenosť na </w:t>
      </w:r>
      <w:r>
        <w:rPr>
          <w:noProof/>
          <w:sz w:val="22"/>
          <w:szCs w:val="22"/>
        </w:rPr>
        <w:t>liečivo</w:t>
      </w:r>
      <w:r w:rsidRPr="0065458E">
        <w:rPr>
          <w:noProof/>
          <w:sz w:val="22"/>
          <w:szCs w:val="22"/>
        </w:rPr>
        <w:t xml:space="preserve"> alebo na ktorúkoľvek z pomocných látok uvedených v časti 6.1.</w:t>
      </w:r>
    </w:p>
    <w:p w:rsidR="00777F2C" w:rsidRPr="0065458E" w:rsidRDefault="00777F2C" w:rsidP="00E90E60">
      <w:pPr>
        <w:autoSpaceDE w:val="0"/>
        <w:autoSpaceDN w:val="0"/>
        <w:adjustRightInd w:val="0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Itoprid Xantis </w:t>
      </w:r>
      <w:r w:rsidRPr="0065458E">
        <w:rPr>
          <w:noProof/>
          <w:sz w:val="22"/>
          <w:szCs w:val="22"/>
        </w:rPr>
        <w:t xml:space="preserve">sa nesmie podávať pacientom, u ktorých môže byť </w:t>
      </w:r>
      <w:r w:rsidRPr="00034EE7">
        <w:rPr>
          <w:noProof/>
          <w:sz w:val="22"/>
          <w:szCs w:val="22"/>
        </w:rPr>
        <w:t>zvýšená gastrointestinálna motilita</w:t>
      </w:r>
      <w:r w:rsidRPr="0065458E">
        <w:rPr>
          <w:noProof/>
          <w:sz w:val="22"/>
          <w:szCs w:val="22"/>
        </w:rPr>
        <w:t xml:space="preserve"> škodliv</w:t>
      </w:r>
      <w:r>
        <w:rPr>
          <w:noProof/>
          <w:sz w:val="22"/>
          <w:szCs w:val="22"/>
        </w:rPr>
        <w:t>á</w:t>
      </w:r>
      <w:r w:rsidRPr="0065458E">
        <w:rPr>
          <w:noProof/>
          <w:sz w:val="22"/>
          <w:szCs w:val="22"/>
        </w:rPr>
        <w:t>, ako v prípade krvácania z tráviaceho traktu, mechanickej obštrukcie alebo perforácie.</w:t>
      </w:r>
    </w:p>
    <w:p w:rsidR="00777F2C" w:rsidRPr="0065458E" w:rsidRDefault="00777F2C" w:rsidP="00E90E60">
      <w:pPr>
        <w:autoSpaceDE w:val="0"/>
        <w:autoSpaceDN w:val="0"/>
        <w:adjustRightInd w:val="0"/>
        <w:rPr>
          <w:b/>
          <w:bCs/>
          <w:noProof/>
          <w:sz w:val="22"/>
          <w:szCs w:val="22"/>
        </w:rPr>
      </w:pPr>
    </w:p>
    <w:p w:rsidR="00777F2C" w:rsidRPr="0065458E" w:rsidRDefault="00777F2C" w:rsidP="00E90E60">
      <w:pPr>
        <w:autoSpaceDE w:val="0"/>
        <w:autoSpaceDN w:val="0"/>
        <w:adjustRightInd w:val="0"/>
        <w:rPr>
          <w:b/>
          <w:bCs/>
          <w:noProof/>
          <w:sz w:val="22"/>
          <w:szCs w:val="22"/>
        </w:rPr>
      </w:pPr>
      <w:r w:rsidRPr="0065458E">
        <w:rPr>
          <w:b/>
          <w:bCs/>
          <w:noProof/>
          <w:sz w:val="22"/>
          <w:szCs w:val="22"/>
        </w:rPr>
        <w:t>4.4</w:t>
      </w:r>
      <w:r w:rsidRPr="0065458E">
        <w:rPr>
          <w:b/>
          <w:bCs/>
          <w:noProof/>
          <w:sz w:val="22"/>
          <w:szCs w:val="22"/>
        </w:rPr>
        <w:tab/>
        <w:t>Osobitné upozornenia a opatrenia pri používaní</w:t>
      </w:r>
    </w:p>
    <w:p w:rsidR="00777F2C" w:rsidRPr="0065458E" w:rsidRDefault="00777F2C" w:rsidP="00E90E60">
      <w:pPr>
        <w:autoSpaceDE w:val="0"/>
        <w:autoSpaceDN w:val="0"/>
        <w:adjustRightInd w:val="0"/>
        <w:rPr>
          <w:noProof/>
          <w:sz w:val="22"/>
          <w:szCs w:val="22"/>
        </w:rPr>
      </w:pPr>
    </w:p>
    <w:p w:rsidR="00777F2C" w:rsidRPr="0065458E" w:rsidRDefault="00777F2C" w:rsidP="00E90E60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65458E">
        <w:rPr>
          <w:noProof/>
          <w:sz w:val="22"/>
          <w:szCs w:val="22"/>
        </w:rPr>
        <w:t>Itoprid zosilňuje účinok acetylcholínu a môže vyvolať nežiaduce chol</w:t>
      </w:r>
      <w:r>
        <w:rPr>
          <w:noProof/>
          <w:sz w:val="22"/>
          <w:szCs w:val="22"/>
        </w:rPr>
        <w:t>í</w:t>
      </w:r>
      <w:r w:rsidRPr="0065458E">
        <w:rPr>
          <w:noProof/>
          <w:sz w:val="22"/>
          <w:szCs w:val="22"/>
        </w:rPr>
        <w:t>nergné účinky.</w:t>
      </w:r>
    </w:p>
    <w:p w:rsidR="00777F2C" w:rsidRPr="0065458E" w:rsidRDefault="00777F2C" w:rsidP="00E90E60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65458E">
        <w:rPr>
          <w:noProof/>
          <w:sz w:val="22"/>
          <w:szCs w:val="22"/>
        </w:rPr>
        <w:t xml:space="preserve">Údaje o dlhodobom užívaní </w:t>
      </w:r>
      <w:r>
        <w:rPr>
          <w:noProof/>
          <w:sz w:val="22"/>
          <w:szCs w:val="22"/>
        </w:rPr>
        <w:t xml:space="preserve">itopridu </w:t>
      </w:r>
      <w:r w:rsidRPr="0065458E">
        <w:rPr>
          <w:noProof/>
          <w:sz w:val="22"/>
          <w:szCs w:val="22"/>
        </w:rPr>
        <w:t>nie sú dostupné.</w:t>
      </w:r>
    </w:p>
    <w:p w:rsidR="00777F2C" w:rsidRPr="0065458E" w:rsidRDefault="00777F2C" w:rsidP="00E90E60">
      <w:pPr>
        <w:autoSpaceDE w:val="0"/>
        <w:autoSpaceDN w:val="0"/>
        <w:adjustRightInd w:val="0"/>
        <w:rPr>
          <w:rStyle w:val="longtext1"/>
          <w:noProof/>
          <w:sz w:val="22"/>
          <w:szCs w:val="22"/>
          <w:shd w:val="clear" w:color="auto" w:fill="FFFFFF"/>
        </w:rPr>
      </w:pPr>
    </w:p>
    <w:p w:rsidR="00777F2C" w:rsidRPr="0065458E" w:rsidRDefault="00777F2C" w:rsidP="00E90E60">
      <w:pPr>
        <w:autoSpaceDE w:val="0"/>
        <w:autoSpaceDN w:val="0"/>
        <w:adjustRightInd w:val="0"/>
        <w:rPr>
          <w:noProof/>
          <w:sz w:val="22"/>
          <w:szCs w:val="22"/>
        </w:rPr>
      </w:pPr>
      <w:r>
        <w:rPr>
          <w:rStyle w:val="longtext1"/>
          <w:noProof/>
          <w:sz w:val="22"/>
          <w:szCs w:val="22"/>
          <w:u w:val="single"/>
          <w:shd w:val="clear" w:color="auto" w:fill="FFFFFF"/>
        </w:rPr>
        <w:t xml:space="preserve">Itoprid </w:t>
      </w:r>
      <w:r w:rsidRPr="00DC0153">
        <w:rPr>
          <w:noProof/>
          <w:sz w:val="22"/>
          <w:szCs w:val="22"/>
          <w:u w:val="single"/>
        </w:rPr>
        <w:t>Xantis</w:t>
      </w:r>
      <w:r>
        <w:rPr>
          <w:noProof/>
          <w:sz w:val="22"/>
          <w:szCs w:val="22"/>
        </w:rPr>
        <w:t xml:space="preserve"> </w:t>
      </w:r>
      <w:r w:rsidRPr="0065458E">
        <w:rPr>
          <w:rStyle w:val="longtext1"/>
          <w:noProof/>
          <w:sz w:val="22"/>
          <w:szCs w:val="22"/>
          <w:u w:val="single"/>
          <w:shd w:val="clear" w:color="auto" w:fill="FFFFFF"/>
        </w:rPr>
        <w:t>obsahuje monohydrát laktózy</w:t>
      </w:r>
      <w:r w:rsidRPr="0065458E">
        <w:rPr>
          <w:rStyle w:val="longtext1"/>
          <w:noProof/>
          <w:sz w:val="22"/>
          <w:szCs w:val="22"/>
          <w:shd w:val="clear" w:color="auto" w:fill="FFFFFF"/>
        </w:rPr>
        <w:t>.</w:t>
      </w:r>
      <w:r>
        <w:rPr>
          <w:rStyle w:val="longtext1"/>
          <w:noProof/>
          <w:sz w:val="22"/>
          <w:szCs w:val="22"/>
          <w:shd w:val="clear" w:color="auto" w:fill="FFFFFF"/>
        </w:rPr>
        <w:t xml:space="preserve"> </w:t>
      </w:r>
      <w:r w:rsidRPr="0065458E">
        <w:rPr>
          <w:noProof/>
          <w:sz w:val="22"/>
          <w:szCs w:val="22"/>
        </w:rPr>
        <w:t>Pacienti so zriedkavými dedičnými problémami galaktózovej intolerancie, deficitom laktázy alebo glukózo-galaktózovej malabsorpcie nesmú užívať tento liek.</w:t>
      </w:r>
    </w:p>
    <w:p w:rsidR="00777F2C" w:rsidRPr="0065458E" w:rsidRDefault="00777F2C" w:rsidP="00E90E60">
      <w:pPr>
        <w:autoSpaceDE w:val="0"/>
        <w:autoSpaceDN w:val="0"/>
        <w:adjustRightInd w:val="0"/>
        <w:rPr>
          <w:noProof/>
          <w:sz w:val="22"/>
          <w:szCs w:val="22"/>
        </w:rPr>
      </w:pPr>
    </w:p>
    <w:p w:rsidR="00777F2C" w:rsidRPr="0065458E" w:rsidRDefault="00777F2C" w:rsidP="00E90E60">
      <w:pPr>
        <w:autoSpaceDE w:val="0"/>
        <w:autoSpaceDN w:val="0"/>
        <w:adjustRightInd w:val="0"/>
        <w:rPr>
          <w:b/>
          <w:bCs/>
          <w:noProof/>
          <w:sz w:val="22"/>
          <w:szCs w:val="22"/>
        </w:rPr>
      </w:pPr>
      <w:r w:rsidRPr="0065458E">
        <w:rPr>
          <w:b/>
          <w:bCs/>
          <w:noProof/>
          <w:sz w:val="22"/>
          <w:szCs w:val="22"/>
        </w:rPr>
        <w:t>4.5</w:t>
      </w:r>
      <w:r w:rsidRPr="0065458E">
        <w:rPr>
          <w:b/>
          <w:bCs/>
          <w:noProof/>
          <w:sz w:val="22"/>
          <w:szCs w:val="22"/>
        </w:rPr>
        <w:tab/>
        <w:t>Liekové a iné interakcie</w:t>
      </w:r>
      <w:r w:rsidRPr="0065458E">
        <w:rPr>
          <w:noProof/>
          <w:sz w:val="22"/>
          <w:szCs w:val="22"/>
        </w:rPr>
        <w:br/>
      </w:r>
    </w:p>
    <w:p w:rsidR="00777F2C" w:rsidRPr="0065458E" w:rsidRDefault="00777F2C" w:rsidP="00F17540">
      <w:pPr>
        <w:tabs>
          <w:tab w:val="left" w:pos="0"/>
        </w:tabs>
        <w:rPr>
          <w:noProof/>
          <w:sz w:val="22"/>
          <w:szCs w:val="22"/>
        </w:rPr>
      </w:pPr>
      <w:r w:rsidRPr="0065458E">
        <w:rPr>
          <w:noProof/>
          <w:sz w:val="22"/>
          <w:szCs w:val="22"/>
        </w:rPr>
        <w:t>Interakcie na úrovni cytochrómu P 450 sa nepredpokladajú, pretože itoprid je metabolizovaný predovšetkým pomocou flavínmonooxygenázy.</w:t>
      </w:r>
    </w:p>
    <w:p w:rsidR="00777F2C" w:rsidRDefault="00777F2C" w:rsidP="00EB16FD">
      <w:pPr>
        <w:autoSpaceDE w:val="0"/>
        <w:autoSpaceDN w:val="0"/>
        <w:adjustRightInd w:val="0"/>
        <w:rPr>
          <w:noProof/>
          <w:sz w:val="22"/>
          <w:szCs w:val="22"/>
        </w:rPr>
      </w:pPr>
    </w:p>
    <w:p w:rsidR="00777F2C" w:rsidRPr="0065458E" w:rsidRDefault="00777F2C" w:rsidP="00EB16FD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65458E">
        <w:rPr>
          <w:noProof/>
          <w:sz w:val="22"/>
          <w:szCs w:val="22"/>
        </w:rPr>
        <w:t>Nezistili sa interakcie pri súbežnom podávaní itopridu s warfarínom, diazepamom, diklofenakom, tiklopidínom, nifedipínom, nikardipínom.</w:t>
      </w:r>
    </w:p>
    <w:p w:rsidR="00777F2C" w:rsidRPr="0065458E" w:rsidRDefault="00777F2C" w:rsidP="00F17540">
      <w:pPr>
        <w:tabs>
          <w:tab w:val="left" w:pos="0"/>
        </w:tabs>
        <w:rPr>
          <w:noProof/>
          <w:sz w:val="22"/>
          <w:szCs w:val="22"/>
        </w:rPr>
      </w:pPr>
    </w:p>
    <w:p w:rsidR="00777F2C" w:rsidRPr="0065458E" w:rsidRDefault="00777F2C" w:rsidP="00F17540">
      <w:pPr>
        <w:tabs>
          <w:tab w:val="left" w:pos="0"/>
        </w:tabs>
        <w:rPr>
          <w:noProof/>
          <w:sz w:val="22"/>
          <w:szCs w:val="22"/>
        </w:rPr>
      </w:pPr>
      <w:r w:rsidRPr="0065458E">
        <w:rPr>
          <w:noProof/>
          <w:sz w:val="22"/>
          <w:szCs w:val="22"/>
        </w:rPr>
        <w:t>Itoprid má gastrokinetický účinok, čo môže ovplyvniť absorpciu súbežne podávaných perorálnych liekov. Osobitná pozornosť sa má venovať liekom s úzkym terapeutickým indexom, liekom s predĺženým uvoľňovaním alebo gastrorezistentným liekovým formám.</w:t>
      </w:r>
    </w:p>
    <w:p w:rsidR="00777F2C" w:rsidRPr="0065458E" w:rsidRDefault="00777F2C" w:rsidP="00F17540">
      <w:pPr>
        <w:tabs>
          <w:tab w:val="left" w:pos="0"/>
        </w:tabs>
        <w:rPr>
          <w:noProof/>
          <w:sz w:val="22"/>
          <w:szCs w:val="22"/>
        </w:rPr>
      </w:pPr>
    </w:p>
    <w:p w:rsidR="00777F2C" w:rsidRPr="0065458E" w:rsidRDefault="00777F2C" w:rsidP="00F17540">
      <w:pPr>
        <w:tabs>
          <w:tab w:val="left" w:pos="0"/>
        </w:tabs>
        <w:rPr>
          <w:noProof/>
          <w:sz w:val="22"/>
          <w:szCs w:val="22"/>
        </w:rPr>
      </w:pPr>
      <w:r w:rsidRPr="0065458E">
        <w:rPr>
          <w:noProof/>
          <w:sz w:val="22"/>
          <w:szCs w:val="22"/>
        </w:rPr>
        <w:t>Anticholinergné látky môžu znižovať účinok itopridu.</w:t>
      </w:r>
    </w:p>
    <w:p w:rsidR="00777F2C" w:rsidRPr="0065458E" w:rsidRDefault="00777F2C" w:rsidP="00F17540">
      <w:pPr>
        <w:tabs>
          <w:tab w:val="left" w:pos="0"/>
        </w:tabs>
        <w:rPr>
          <w:noProof/>
          <w:sz w:val="22"/>
          <w:szCs w:val="22"/>
        </w:rPr>
      </w:pPr>
      <w:r w:rsidRPr="0065458E">
        <w:rPr>
          <w:noProof/>
          <w:sz w:val="22"/>
          <w:szCs w:val="22"/>
        </w:rPr>
        <w:t>Látky, ako napr. cimetidín, ranitidín, tepronón a cetraxát neovplyvňujú prokinetickú aktivitu itopridu.</w:t>
      </w:r>
    </w:p>
    <w:p w:rsidR="00777F2C" w:rsidRPr="0065458E" w:rsidRDefault="00777F2C" w:rsidP="00E90E60">
      <w:pPr>
        <w:autoSpaceDE w:val="0"/>
        <w:autoSpaceDN w:val="0"/>
        <w:adjustRightInd w:val="0"/>
        <w:rPr>
          <w:b/>
          <w:bCs/>
          <w:noProof/>
          <w:sz w:val="22"/>
          <w:szCs w:val="22"/>
        </w:rPr>
      </w:pPr>
    </w:p>
    <w:p w:rsidR="00777F2C" w:rsidRPr="0065458E" w:rsidRDefault="00777F2C" w:rsidP="00E90E60">
      <w:pPr>
        <w:autoSpaceDE w:val="0"/>
        <w:autoSpaceDN w:val="0"/>
        <w:adjustRightInd w:val="0"/>
        <w:rPr>
          <w:b/>
          <w:bCs/>
          <w:noProof/>
          <w:sz w:val="22"/>
          <w:szCs w:val="22"/>
        </w:rPr>
      </w:pPr>
      <w:r w:rsidRPr="0065458E">
        <w:rPr>
          <w:b/>
          <w:bCs/>
          <w:noProof/>
          <w:sz w:val="22"/>
          <w:szCs w:val="22"/>
        </w:rPr>
        <w:t>4.6</w:t>
      </w:r>
      <w:r w:rsidRPr="0065458E">
        <w:rPr>
          <w:b/>
          <w:bCs/>
          <w:noProof/>
          <w:sz w:val="22"/>
          <w:szCs w:val="22"/>
        </w:rPr>
        <w:tab/>
        <w:t>Fertilita, gravidita a laktácia</w:t>
      </w:r>
    </w:p>
    <w:p w:rsidR="00777F2C" w:rsidRPr="0065458E" w:rsidRDefault="00777F2C" w:rsidP="00E90E60">
      <w:pPr>
        <w:autoSpaceDE w:val="0"/>
        <w:autoSpaceDN w:val="0"/>
        <w:adjustRightInd w:val="0"/>
        <w:rPr>
          <w:noProof/>
          <w:sz w:val="22"/>
          <w:szCs w:val="22"/>
        </w:rPr>
      </w:pPr>
    </w:p>
    <w:p w:rsidR="00777F2C" w:rsidRPr="0065458E" w:rsidRDefault="00777F2C" w:rsidP="00746057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65458E">
        <w:rPr>
          <w:noProof/>
          <w:sz w:val="22"/>
          <w:szCs w:val="22"/>
          <w:u w:val="single"/>
        </w:rPr>
        <w:t>Gravidita</w:t>
      </w:r>
    </w:p>
    <w:p w:rsidR="00777F2C" w:rsidRPr="0065458E" w:rsidRDefault="00777F2C" w:rsidP="00746057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65458E">
        <w:rPr>
          <w:noProof/>
          <w:sz w:val="22"/>
          <w:szCs w:val="22"/>
        </w:rPr>
        <w:t xml:space="preserve">Bezpečnosť </w:t>
      </w:r>
      <w:r>
        <w:rPr>
          <w:noProof/>
          <w:sz w:val="22"/>
          <w:szCs w:val="22"/>
        </w:rPr>
        <w:t>itopridu</w:t>
      </w:r>
      <w:r w:rsidRPr="0065458E">
        <w:rPr>
          <w:noProof/>
          <w:sz w:val="22"/>
          <w:szCs w:val="22"/>
        </w:rPr>
        <w:t xml:space="preserve"> v tehotenstve nebola stanovená. Preto sa itoprid môže podávať tehotným pacientkám a ženám, u ktorých tehotenstvo nie je vylúčené, len vtedy, keď prínos liečby preváži možné riziko.</w:t>
      </w:r>
    </w:p>
    <w:p w:rsidR="00777F2C" w:rsidRPr="0065458E" w:rsidRDefault="00777F2C" w:rsidP="00746057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65458E">
        <w:rPr>
          <w:noProof/>
          <w:sz w:val="22"/>
          <w:szCs w:val="22"/>
        </w:rPr>
        <w:t>Nie sú známe žiadne účinky itoprid</w:t>
      </w:r>
      <w:r>
        <w:rPr>
          <w:noProof/>
          <w:sz w:val="22"/>
          <w:szCs w:val="22"/>
        </w:rPr>
        <w:t>u</w:t>
      </w:r>
      <w:r w:rsidRPr="0065458E">
        <w:rPr>
          <w:noProof/>
          <w:sz w:val="22"/>
          <w:szCs w:val="22"/>
        </w:rPr>
        <w:t xml:space="preserve"> na priebeh pôrodu.</w:t>
      </w:r>
    </w:p>
    <w:p w:rsidR="00777F2C" w:rsidRPr="0065458E" w:rsidRDefault="00777F2C" w:rsidP="00E90E60">
      <w:pPr>
        <w:autoSpaceDE w:val="0"/>
        <w:autoSpaceDN w:val="0"/>
        <w:adjustRightInd w:val="0"/>
        <w:rPr>
          <w:noProof/>
          <w:sz w:val="22"/>
          <w:szCs w:val="22"/>
        </w:rPr>
      </w:pPr>
    </w:p>
    <w:p w:rsidR="00777F2C" w:rsidRPr="0065458E" w:rsidRDefault="00777F2C" w:rsidP="00E90E60">
      <w:pPr>
        <w:autoSpaceDE w:val="0"/>
        <w:autoSpaceDN w:val="0"/>
        <w:adjustRightInd w:val="0"/>
        <w:rPr>
          <w:noProof/>
          <w:sz w:val="22"/>
          <w:szCs w:val="22"/>
          <w:u w:val="single"/>
        </w:rPr>
      </w:pPr>
      <w:r w:rsidRPr="0065458E">
        <w:rPr>
          <w:noProof/>
          <w:sz w:val="22"/>
          <w:szCs w:val="22"/>
          <w:u w:val="single"/>
        </w:rPr>
        <w:t>Dojčenie</w:t>
      </w:r>
    </w:p>
    <w:p w:rsidR="00777F2C" w:rsidRPr="0065458E" w:rsidRDefault="00777F2C" w:rsidP="00E90E60">
      <w:pPr>
        <w:autoSpaceDE w:val="0"/>
        <w:autoSpaceDN w:val="0"/>
        <w:adjustRightInd w:val="0"/>
        <w:rPr>
          <w:noProof/>
          <w:sz w:val="22"/>
          <w:szCs w:val="22"/>
        </w:rPr>
      </w:pPr>
      <w:r>
        <w:rPr>
          <w:noProof/>
          <w:sz w:val="22"/>
          <w:szCs w:val="22"/>
        </w:rPr>
        <w:t>I</w:t>
      </w:r>
      <w:r w:rsidRPr="0065458E">
        <w:rPr>
          <w:noProof/>
          <w:sz w:val="22"/>
          <w:szCs w:val="22"/>
        </w:rPr>
        <w:t xml:space="preserve">toprid sa vylučuje do mlieka </w:t>
      </w:r>
      <w:r>
        <w:rPr>
          <w:noProof/>
          <w:sz w:val="22"/>
          <w:szCs w:val="22"/>
        </w:rPr>
        <w:t>laktujúcich</w:t>
      </w:r>
      <w:r w:rsidRPr="0065458E">
        <w:rPr>
          <w:noProof/>
          <w:sz w:val="22"/>
          <w:szCs w:val="22"/>
        </w:rPr>
        <w:t xml:space="preserve"> potkanov.</w:t>
      </w:r>
      <w:r>
        <w:rPr>
          <w:noProof/>
          <w:sz w:val="22"/>
          <w:szCs w:val="22"/>
        </w:rPr>
        <w:t xml:space="preserve"> Vzhľadom na nedostatok skúseností s podávaním itopridu počas dojčenia u ľudí, má sa urobiť rozhodnutie, či ukončiť dojčenie alebo liečbu itopridom s ohľadom na prínos </w:t>
      </w:r>
      <w:r w:rsidRPr="0010027B">
        <w:rPr>
          <w:noProof/>
          <w:sz w:val="22"/>
          <w:szCs w:val="22"/>
        </w:rPr>
        <w:t>dojčenia pre dieťa alebo liečby pre matku.</w:t>
      </w:r>
    </w:p>
    <w:p w:rsidR="00777F2C" w:rsidRPr="0065458E" w:rsidRDefault="00777F2C" w:rsidP="00E90E60">
      <w:pPr>
        <w:autoSpaceDE w:val="0"/>
        <w:autoSpaceDN w:val="0"/>
        <w:adjustRightInd w:val="0"/>
        <w:rPr>
          <w:b/>
          <w:bCs/>
          <w:noProof/>
          <w:sz w:val="22"/>
          <w:szCs w:val="22"/>
        </w:rPr>
      </w:pPr>
    </w:p>
    <w:p w:rsidR="00777F2C" w:rsidRPr="0065458E" w:rsidRDefault="00777F2C" w:rsidP="00E90E60">
      <w:pPr>
        <w:autoSpaceDE w:val="0"/>
        <w:autoSpaceDN w:val="0"/>
        <w:adjustRightInd w:val="0"/>
        <w:rPr>
          <w:b/>
          <w:bCs/>
          <w:noProof/>
          <w:sz w:val="22"/>
          <w:szCs w:val="22"/>
        </w:rPr>
      </w:pPr>
      <w:r w:rsidRPr="0065458E">
        <w:rPr>
          <w:b/>
          <w:bCs/>
          <w:noProof/>
          <w:sz w:val="22"/>
          <w:szCs w:val="22"/>
        </w:rPr>
        <w:t>4.7</w:t>
      </w:r>
      <w:r w:rsidRPr="0065458E">
        <w:rPr>
          <w:b/>
          <w:bCs/>
          <w:noProof/>
          <w:sz w:val="22"/>
          <w:szCs w:val="22"/>
        </w:rPr>
        <w:tab/>
        <w:t>Ovplyvnenie schopnosti viesť vozidlá a obsluhovať stroje</w:t>
      </w:r>
    </w:p>
    <w:p w:rsidR="00777F2C" w:rsidRPr="0065458E" w:rsidRDefault="00777F2C" w:rsidP="00E90E60">
      <w:pPr>
        <w:autoSpaceDE w:val="0"/>
        <w:autoSpaceDN w:val="0"/>
        <w:adjustRightInd w:val="0"/>
        <w:rPr>
          <w:noProof/>
          <w:sz w:val="22"/>
          <w:szCs w:val="22"/>
        </w:rPr>
      </w:pPr>
    </w:p>
    <w:p w:rsidR="00777F2C" w:rsidRPr="0065458E" w:rsidRDefault="00777F2C" w:rsidP="00E90E60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65458E">
        <w:rPr>
          <w:noProof/>
          <w:sz w:val="22"/>
          <w:szCs w:val="22"/>
        </w:rPr>
        <w:t xml:space="preserve">Hoci sa nezistil vplyv lieku na schopnosť viesť vozidlá a obsluhovať stroje, napriek tomu nemožno vylúčiť zhoršenie schopnosti sústrediť pozornosť v dôsledku </w:t>
      </w:r>
      <w:r>
        <w:rPr>
          <w:noProof/>
          <w:sz w:val="22"/>
          <w:szCs w:val="22"/>
        </w:rPr>
        <w:t xml:space="preserve">veľmi </w:t>
      </w:r>
      <w:r w:rsidRPr="0065458E">
        <w:rPr>
          <w:noProof/>
          <w:sz w:val="22"/>
          <w:szCs w:val="22"/>
        </w:rPr>
        <w:t>zriedkavého výskytu závratov.</w:t>
      </w:r>
    </w:p>
    <w:p w:rsidR="00777F2C" w:rsidRPr="0065458E" w:rsidRDefault="00777F2C" w:rsidP="00E90E60">
      <w:pPr>
        <w:autoSpaceDE w:val="0"/>
        <w:autoSpaceDN w:val="0"/>
        <w:adjustRightInd w:val="0"/>
        <w:rPr>
          <w:b/>
          <w:bCs/>
          <w:noProof/>
          <w:sz w:val="22"/>
          <w:szCs w:val="22"/>
        </w:rPr>
      </w:pPr>
    </w:p>
    <w:p w:rsidR="00777F2C" w:rsidRPr="0065458E" w:rsidRDefault="00777F2C" w:rsidP="00E90E60">
      <w:pPr>
        <w:autoSpaceDE w:val="0"/>
        <w:autoSpaceDN w:val="0"/>
        <w:adjustRightInd w:val="0"/>
        <w:rPr>
          <w:b/>
          <w:bCs/>
          <w:noProof/>
          <w:sz w:val="22"/>
          <w:szCs w:val="22"/>
        </w:rPr>
      </w:pPr>
      <w:r w:rsidRPr="0065458E">
        <w:rPr>
          <w:b/>
          <w:bCs/>
          <w:noProof/>
          <w:sz w:val="22"/>
          <w:szCs w:val="22"/>
        </w:rPr>
        <w:t>4.8</w:t>
      </w:r>
      <w:r w:rsidRPr="0065458E">
        <w:rPr>
          <w:b/>
          <w:bCs/>
          <w:noProof/>
          <w:sz w:val="22"/>
          <w:szCs w:val="22"/>
        </w:rPr>
        <w:tab/>
        <w:t>Nežiaduce účinky</w:t>
      </w:r>
    </w:p>
    <w:p w:rsidR="00777F2C" w:rsidRPr="0065458E" w:rsidRDefault="00777F2C" w:rsidP="00E90E60">
      <w:pPr>
        <w:autoSpaceDE w:val="0"/>
        <w:autoSpaceDN w:val="0"/>
        <w:adjustRightInd w:val="0"/>
        <w:rPr>
          <w:noProof/>
          <w:sz w:val="22"/>
          <w:szCs w:val="22"/>
        </w:rPr>
      </w:pPr>
    </w:p>
    <w:p w:rsidR="00777F2C" w:rsidRPr="0065458E" w:rsidRDefault="00777F2C" w:rsidP="00E90E60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65458E">
        <w:rPr>
          <w:noProof/>
          <w:sz w:val="22"/>
          <w:szCs w:val="22"/>
        </w:rPr>
        <w:t>V nasledujúcej tabuľke sú zhrnuté nežiaduce reakcie itopridu rozdelené do skupín podľa terminológie MedDRA spolu s ich frekvenciou:</w:t>
      </w:r>
    </w:p>
    <w:p w:rsidR="00777F2C" w:rsidRPr="0065458E" w:rsidRDefault="00777F2C" w:rsidP="00E90E60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65458E">
        <w:rPr>
          <w:noProof/>
          <w:sz w:val="22"/>
          <w:szCs w:val="22"/>
        </w:rPr>
        <w:t>veľmi časté (≥ 1/10), časté (≥ 1/100 až &lt; 1/10), menej časté (≥ 1/1 000 až &lt; 1/100), zriedkavé</w:t>
      </w:r>
    </w:p>
    <w:p w:rsidR="00777F2C" w:rsidRDefault="00777F2C" w:rsidP="00E90E60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65458E">
        <w:rPr>
          <w:noProof/>
          <w:sz w:val="22"/>
          <w:szCs w:val="22"/>
        </w:rPr>
        <w:t>(≥ 1/10 000 až &lt; 1/1 000), veľmi zriedkavé (&lt; 1/10 000), neznáme (nie je možné stanoviť z dostupných údajov).</w:t>
      </w:r>
    </w:p>
    <w:p w:rsidR="00777F2C" w:rsidRDefault="00777F2C" w:rsidP="00E90E60">
      <w:pPr>
        <w:autoSpaceDE w:val="0"/>
        <w:autoSpaceDN w:val="0"/>
        <w:adjustRightInd w:val="0"/>
        <w:rPr>
          <w:noProof/>
          <w:sz w:val="22"/>
          <w:szCs w:val="22"/>
        </w:rPr>
      </w:pPr>
    </w:p>
    <w:p w:rsidR="00777F2C" w:rsidRPr="00BE108C" w:rsidRDefault="00777F2C" w:rsidP="00E90E60">
      <w:pPr>
        <w:autoSpaceDE w:val="0"/>
        <w:autoSpaceDN w:val="0"/>
        <w:adjustRightInd w:val="0"/>
        <w:rPr>
          <w:noProof/>
          <w:sz w:val="22"/>
          <w:szCs w:val="22"/>
          <w:u w:val="single"/>
        </w:rPr>
      </w:pPr>
      <w:r w:rsidRPr="00BE108C">
        <w:rPr>
          <w:noProof/>
          <w:sz w:val="22"/>
          <w:szCs w:val="22"/>
          <w:u w:val="single"/>
        </w:rPr>
        <w:t xml:space="preserve">Poruchy krvi a lymfatického </w:t>
      </w:r>
      <w:r>
        <w:rPr>
          <w:noProof/>
          <w:sz w:val="22"/>
          <w:szCs w:val="22"/>
          <w:u w:val="single"/>
        </w:rPr>
        <w:t>s</w:t>
      </w:r>
      <w:r w:rsidRPr="00BE108C">
        <w:rPr>
          <w:noProof/>
          <w:sz w:val="22"/>
          <w:szCs w:val="22"/>
          <w:u w:val="single"/>
        </w:rPr>
        <w:t>ystému</w:t>
      </w:r>
    </w:p>
    <w:p w:rsidR="00777F2C" w:rsidRDefault="00777F2C" w:rsidP="00E90E60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BE108C">
        <w:rPr>
          <w:i/>
          <w:noProof/>
          <w:sz w:val="22"/>
          <w:szCs w:val="22"/>
        </w:rPr>
        <w:t>menej časté</w:t>
      </w:r>
      <w:r>
        <w:rPr>
          <w:noProof/>
          <w:sz w:val="22"/>
          <w:szCs w:val="22"/>
        </w:rPr>
        <w:t>: leukopénia*</w:t>
      </w:r>
    </w:p>
    <w:p w:rsidR="00777F2C" w:rsidRDefault="00777F2C" w:rsidP="00E90E60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BE108C">
        <w:rPr>
          <w:i/>
          <w:noProof/>
          <w:sz w:val="22"/>
          <w:szCs w:val="22"/>
        </w:rPr>
        <w:t>neznáme</w:t>
      </w:r>
      <w:r>
        <w:rPr>
          <w:noProof/>
          <w:sz w:val="22"/>
          <w:szCs w:val="22"/>
        </w:rPr>
        <w:t>: trombocytopénia</w:t>
      </w:r>
    </w:p>
    <w:p w:rsidR="00777F2C" w:rsidRPr="0065458E" w:rsidRDefault="00777F2C" w:rsidP="00BE108C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w:t>*</w:t>
      </w:r>
      <w:r w:rsidRPr="00BE108C">
        <w:rPr>
          <w:noProof/>
          <w:sz w:val="22"/>
          <w:szCs w:val="22"/>
        </w:rPr>
        <w:t xml:space="preserve"> </w:t>
      </w:r>
      <w:r w:rsidRPr="0065458E">
        <w:rPr>
          <w:noProof/>
          <w:sz w:val="22"/>
          <w:szCs w:val="22"/>
        </w:rPr>
        <w:t>Osobitná pozornosť sa musí venovať pacientom počas hematologického vyšetrenia. V prípade výskytu neobvyklých príznakov je potrebné prerušiť liečbu.</w:t>
      </w:r>
    </w:p>
    <w:p w:rsidR="00777F2C" w:rsidRDefault="00777F2C" w:rsidP="00E90E60">
      <w:pPr>
        <w:autoSpaceDE w:val="0"/>
        <w:autoSpaceDN w:val="0"/>
        <w:adjustRightInd w:val="0"/>
        <w:rPr>
          <w:noProof/>
          <w:sz w:val="22"/>
          <w:szCs w:val="22"/>
        </w:rPr>
      </w:pPr>
    </w:p>
    <w:p w:rsidR="00777F2C" w:rsidRPr="00BE108C" w:rsidRDefault="00777F2C" w:rsidP="00E90E60">
      <w:pPr>
        <w:autoSpaceDE w:val="0"/>
        <w:autoSpaceDN w:val="0"/>
        <w:adjustRightInd w:val="0"/>
        <w:rPr>
          <w:noProof/>
          <w:sz w:val="22"/>
          <w:szCs w:val="22"/>
          <w:u w:val="single"/>
        </w:rPr>
      </w:pPr>
      <w:r w:rsidRPr="00BE108C">
        <w:rPr>
          <w:noProof/>
          <w:sz w:val="22"/>
          <w:szCs w:val="22"/>
          <w:u w:val="single"/>
        </w:rPr>
        <w:t>Poruchy endokrinného systému</w:t>
      </w:r>
    </w:p>
    <w:p w:rsidR="00777F2C" w:rsidRDefault="00777F2C" w:rsidP="00E90E60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BE108C">
        <w:rPr>
          <w:i/>
          <w:noProof/>
          <w:sz w:val="22"/>
          <w:szCs w:val="22"/>
        </w:rPr>
        <w:t>menej časté</w:t>
      </w:r>
      <w:r>
        <w:rPr>
          <w:noProof/>
          <w:sz w:val="22"/>
          <w:szCs w:val="22"/>
        </w:rPr>
        <w:t>: zvýšená hladina prolaktínu**</w:t>
      </w:r>
    </w:p>
    <w:p w:rsidR="00777F2C" w:rsidRDefault="00777F2C" w:rsidP="00E90E60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BE108C">
        <w:rPr>
          <w:i/>
          <w:noProof/>
          <w:sz w:val="22"/>
          <w:szCs w:val="22"/>
        </w:rPr>
        <w:t>neznáme</w:t>
      </w:r>
      <w:r>
        <w:rPr>
          <w:noProof/>
          <w:sz w:val="22"/>
          <w:szCs w:val="22"/>
        </w:rPr>
        <w:t>: gynekomastia</w:t>
      </w:r>
    </w:p>
    <w:p w:rsidR="00777F2C" w:rsidRDefault="00777F2C" w:rsidP="00E90E60">
      <w:pPr>
        <w:autoSpaceDE w:val="0"/>
        <w:autoSpaceDN w:val="0"/>
        <w:adjustRightInd w:val="0"/>
        <w:rPr>
          <w:noProof/>
          <w:sz w:val="22"/>
          <w:szCs w:val="22"/>
        </w:rPr>
      </w:pPr>
      <w:r>
        <w:rPr>
          <w:noProof/>
          <w:sz w:val="22"/>
          <w:szCs w:val="22"/>
        </w:rPr>
        <w:t>**</w:t>
      </w:r>
      <w:r w:rsidRPr="00BE108C">
        <w:rPr>
          <w:noProof/>
          <w:sz w:val="22"/>
          <w:szCs w:val="22"/>
        </w:rPr>
        <w:t xml:space="preserve"> </w:t>
      </w:r>
      <w:r w:rsidRPr="0065458E">
        <w:rPr>
          <w:noProof/>
          <w:sz w:val="22"/>
          <w:szCs w:val="22"/>
        </w:rPr>
        <w:t>Ak sa vyskytne napr. galaktorea alebo gynekomastia, je treba liečbu prerušiť alebo ukončiť</w:t>
      </w:r>
    </w:p>
    <w:p w:rsidR="00777F2C" w:rsidRDefault="00777F2C" w:rsidP="000F2D9C">
      <w:pPr>
        <w:autoSpaceDE w:val="0"/>
        <w:autoSpaceDN w:val="0"/>
        <w:adjustRightInd w:val="0"/>
        <w:rPr>
          <w:noProof/>
          <w:sz w:val="22"/>
          <w:szCs w:val="22"/>
          <w:u w:val="single"/>
        </w:rPr>
      </w:pPr>
    </w:p>
    <w:p w:rsidR="00777F2C" w:rsidRPr="00BE108C" w:rsidRDefault="00777F2C" w:rsidP="000F2D9C">
      <w:pPr>
        <w:autoSpaceDE w:val="0"/>
        <w:autoSpaceDN w:val="0"/>
        <w:adjustRightInd w:val="0"/>
        <w:rPr>
          <w:noProof/>
          <w:sz w:val="22"/>
          <w:szCs w:val="22"/>
          <w:u w:val="single"/>
        </w:rPr>
      </w:pPr>
      <w:r w:rsidRPr="00BE108C">
        <w:rPr>
          <w:noProof/>
          <w:sz w:val="22"/>
          <w:szCs w:val="22"/>
          <w:u w:val="single"/>
        </w:rPr>
        <w:t>Poruchy gastrointestinálneho traktu</w:t>
      </w:r>
    </w:p>
    <w:p w:rsidR="00777F2C" w:rsidRDefault="00777F2C" w:rsidP="000F2D9C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BE108C">
        <w:rPr>
          <w:i/>
          <w:noProof/>
          <w:sz w:val="22"/>
          <w:szCs w:val="22"/>
        </w:rPr>
        <w:t>menej časté</w:t>
      </w:r>
      <w:r>
        <w:rPr>
          <w:noProof/>
          <w:sz w:val="22"/>
          <w:szCs w:val="22"/>
        </w:rPr>
        <w:t>: hnačka, zápcha, bolesť brucha, zvýšená tvorba slín</w:t>
      </w:r>
    </w:p>
    <w:p w:rsidR="00777F2C" w:rsidRDefault="00777F2C" w:rsidP="000F2D9C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BE108C">
        <w:rPr>
          <w:i/>
          <w:noProof/>
          <w:sz w:val="22"/>
          <w:szCs w:val="22"/>
        </w:rPr>
        <w:t>neznáme</w:t>
      </w:r>
      <w:r>
        <w:rPr>
          <w:noProof/>
          <w:sz w:val="22"/>
          <w:szCs w:val="22"/>
        </w:rPr>
        <w:t>: nauzea</w:t>
      </w:r>
    </w:p>
    <w:p w:rsidR="00777F2C" w:rsidRDefault="00777F2C" w:rsidP="000F2D9C">
      <w:pPr>
        <w:autoSpaceDE w:val="0"/>
        <w:autoSpaceDN w:val="0"/>
        <w:adjustRightInd w:val="0"/>
        <w:rPr>
          <w:noProof/>
          <w:sz w:val="22"/>
          <w:szCs w:val="22"/>
        </w:rPr>
      </w:pPr>
    </w:p>
    <w:p w:rsidR="00777F2C" w:rsidRPr="00BE108C" w:rsidRDefault="00777F2C" w:rsidP="000F2D9C">
      <w:pPr>
        <w:autoSpaceDE w:val="0"/>
        <w:autoSpaceDN w:val="0"/>
        <w:adjustRightInd w:val="0"/>
        <w:rPr>
          <w:noProof/>
          <w:sz w:val="22"/>
          <w:szCs w:val="22"/>
          <w:u w:val="single"/>
        </w:rPr>
      </w:pPr>
      <w:r w:rsidRPr="00BE108C">
        <w:rPr>
          <w:noProof/>
          <w:sz w:val="22"/>
          <w:szCs w:val="22"/>
          <w:u w:val="single"/>
        </w:rPr>
        <w:t>Celkové poruchy a reakcie v mieste podania</w:t>
      </w:r>
    </w:p>
    <w:p w:rsidR="00777F2C" w:rsidRDefault="00777F2C" w:rsidP="000F2D9C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BE108C">
        <w:rPr>
          <w:i/>
          <w:noProof/>
          <w:sz w:val="22"/>
          <w:szCs w:val="22"/>
        </w:rPr>
        <w:t>menej časté</w:t>
      </w:r>
      <w:r>
        <w:rPr>
          <w:noProof/>
          <w:sz w:val="22"/>
          <w:szCs w:val="22"/>
        </w:rPr>
        <w:t>: únava</w:t>
      </w:r>
    </w:p>
    <w:p w:rsidR="00777F2C" w:rsidRDefault="00777F2C" w:rsidP="000F2D9C">
      <w:pPr>
        <w:autoSpaceDE w:val="0"/>
        <w:autoSpaceDN w:val="0"/>
        <w:adjustRightInd w:val="0"/>
        <w:rPr>
          <w:noProof/>
          <w:sz w:val="22"/>
          <w:szCs w:val="22"/>
        </w:rPr>
      </w:pPr>
    </w:p>
    <w:p w:rsidR="00777F2C" w:rsidRPr="00BE108C" w:rsidRDefault="00777F2C" w:rsidP="000F2D9C">
      <w:pPr>
        <w:autoSpaceDE w:val="0"/>
        <w:autoSpaceDN w:val="0"/>
        <w:adjustRightInd w:val="0"/>
        <w:rPr>
          <w:noProof/>
          <w:sz w:val="22"/>
          <w:szCs w:val="22"/>
          <w:u w:val="single"/>
        </w:rPr>
      </w:pPr>
      <w:r w:rsidRPr="00BE108C">
        <w:rPr>
          <w:noProof/>
          <w:sz w:val="22"/>
          <w:szCs w:val="22"/>
          <w:u w:val="single"/>
        </w:rPr>
        <w:t>Poruchy pečene a žlčových ciest</w:t>
      </w:r>
    </w:p>
    <w:p w:rsidR="00777F2C" w:rsidRDefault="00777F2C" w:rsidP="000F2D9C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BE108C">
        <w:rPr>
          <w:i/>
          <w:noProof/>
          <w:sz w:val="22"/>
          <w:szCs w:val="22"/>
        </w:rPr>
        <w:t>neznáme</w:t>
      </w:r>
      <w:r>
        <w:rPr>
          <w:noProof/>
          <w:sz w:val="22"/>
          <w:szCs w:val="22"/>
        </w:rPr>
        <w:t>: žltačka</w:t>
      </w:r>
    </w:p>
    <w:p w:rsidR="00777F2C" w:rsidRDefault="00777F2C" w:rsidP="000F2D9C">
      <w:pPr>
        <w:autoSpaceDE w:val="0"/>
        <w:autoSpaceDN w:val="0"/>
        <w:adjustRightInd w:val="0"/>
        <w:rPr>
          <w:noProof/>
          <w:sz w:val="22"/>
          <w:szCs w:val="22"/>
        </w:rPr>
      </w:pPr>
    </w:p>
    <w:p w:rsidR="00777F2C" w:rsidRPr="00BE108C" w:rsidRDefault="00777F2C" w:rsidP="000F2D9C">
      <w:pPr>
        <w:autoSpaceDE w:val="0"/>
        <w:autoSpaceDN w:val="0"/>
        <w:adjustRightInd w:val="0"/>
        <w:rPr>
          <w:noProof/>
          <w:sz w:val="22"/>
          <w:szCs w:val="22"/>
          <w:u w:val="single"/>
        </w:rPr>
      </w:pPr>
      <w:r w:rsidRPr="00BE108C">
        <w:rPr>
          <w:noProof/>
          <w:sz w:val="22"/>
          <w:szCs w:val="22"/>
          <w:u w:val="single"/>
        </w:rPr>
        <w:t>Poruchy imunitného systému</w:t>
      </w:r>
    </w:p>
    <w:p w:rsidR="00777F2C" w:rsidRDefault="00777F2C" w:rsidP="000F2D9C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BE108C">
        <w:rPr>
          <w:i/>
          <w:noProof/>
          <w:sz w:val="22"/>
          <w:szCs w:val="22"/>
        </w:rPr>
        <w:t>neznáme</w:t>
      </w:r>
      <w:r>
        <w:rPr>
          <w:noProof/>
          <w:sz w:val="22"/>
          <w:szCs w:val="22"/>
        </w:rPr>
        <w:t>: anafylaktoidná reakcia</w:t>
      </w:r>
    </w:p>
    <w:p w:rsidR="00777F2C" w:rsidRDefault="00777F2C" w:rsidP="00E90E60">
      <w:pPr>
        <w:autoSpaceDE w:val="0"/>
        <w:autoSpaceDN w:val="0"/>
        <w:adjustRightInd w:val="0"/>
        <w:rPr>
          <w:noProof/>
          <w:sz w:val="22"/>
          <w:szCs w:val="22"/>
        </w:rPr>
      </w:pPr>
    </w:p>
    <w:p w:rsidR="00777F2C" w:rsidRPr="00BE108C" w:rsidRDefault="00777F2C" w:rsidP="000F2D9C">
      <w:pPr>
        <w:autoSpaceDE w:val="0"/>
        <w:autoSpaceDN w:val="0"/>
        <w:adjustRightInd w:val="0"/>
        <w:rPr>
          <w:noProof/>
          <w:sz w:val="22"/>
          <w:szCs w:val="22"/>
          <w:u w:val="single"/>
        </w:rPr>
      </w:pPr>
      <w:r w:rsidRPr="00BE108C">
        <w:rPr>
          <w:noProof/>
          <w:sz w:val="22"/>
          <w:szCs w:val="22"/>
          <w:u w:val="single"/>
        </w:rPr>
        <w:t>Laboratórne a funkčné vyšetrenia</w:t>
      </w:r>
    </w:p>
    <w:p w:rsidR="00777F2C" w:rsidRPr="0065458E" w:rsidRDefault="00777F2C" w:rsidP="000F2D9C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BE108C">
        <w:rPr>
          <w:i/>
          <w:noProof/>
          <w:sz w:val="22"/>
          <w:szCs w:val="22"/>
        </w:rPr>
        <w:t>neznáme</w:t>
      </w:r>
      <w:r>
        <w:rPr>
          <w:noProof/>
          <w:sz w:val="22"/>
          <w:szCs w:val="22"/>
        </w:rPr>
        <w:t>: zvýšenie hladín AST, ALT, GGT, alkalickej fosfatázy alebo bilirubínu</w:t>
      </w:r>
    </w:p>
    <w:p w:rsidR="00777F2C" w:rsidRPr="0065458E" w:rsidRDefault="00777F2C" w:rsidP="000F2D9C">
      <w:pPr>
        <w:autoSpaceDE w:val="0"/>
        <w:autoSpaceDN w:val="0"/>
        <w:adjustRightInd w:val="0"/>
        <w:rPr>
          <w:noProof/>
          <w:sz w:val="22"/>
          <w:szCs w:val="22"/>
        </w:rPr>
      </w:pPr>
    </w:p>
    <w:p w:rsidR="00777F2C" w:rsidRPr="00BE108C" w:rsidRDefault="00777F2C" w:rsidP="000F2D9C">
      <w:pPr>
        <w:autoSpaceDE w:val="0"/>
        <w:autoSpaceDN w:val="0"/>
        <w:adjustRightInd w:val="0"/>
        <w:rPr>
          <w:noProof/>
          <w:sz w:val="22"/>
          <w:szCs w:val="22"/>
          <w:u w:val="single"/>
        </w:rPr>
      </w:pPr>
      <w:r w:rsidRPr="00BE108C">
        <w:rPr>
          <w:noProof/>
          <w:sz w:val="22"/>
          <w:szCs w:val="22"/>
          <w:u w:val="single"/>
        </w:rPr>
        <w:t>Poruchy kostrovej a svalovej sústavy a spojivového tkaniva</w:t>
      </w:r>
    </w:p>
    <w:p w:rsidR="00777F2C" w:rsidRDefault="00777F2C" w:rsidP="000F2D9C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BE108C">
        <w:rPr>
          <w:i/>
          <w:noProof/>
          <w:sz w:val="22"/>
          <w:szCs w:val="22"/>
        </w:rPr>
        <w:t>menej časté</w:t>
      </w:r>
      <w:r>
        <w:rPr>
          <w:noProof/>
          <w:sz w:val="22"/>
          <w:szCs w:val="22"/>
        </w:rPr>
        <w:t>: bolesť na hrudníku a bolesť chrbta</w:t>
      </w:r>
    </w:p>
    <w:p w:rsidR="00777F2C" w:rsidRDefault="00777F2C" w:rsidP="000F2D9C">
      <w:pPr>
        <w:autoSpaceDE w:val="0"/>
        <w:autoSpaceDN w:val="0"/>
        <w:adjustRightInd w:val="0"/>
        <w:rPr>
          <w:noProof/>
          <w:sz w:val="22"/>
          <w:szCs w:val="22"/>
        </w:rPr>
      </w:pPr>
    </w:p>
    <w:p w:rsidR="00777F2C" w:rsidRPr="00BE108C" w:rsidRDefault="00777F2C" w:rsidP="000F2D9C">
      <w:pPr>
        <w:autoSpaceDE w:val="0"/>
        <w:autoSpaceDN w:val="0"/>
        <w:adjustRightInd w:val="0"/>
        <w:rPr>
          <w:noProof/>
          <w:sz w:val="22"/>
          <w:szCs w:val="22"/>
          <w:u w:val="single"/>
        </w:rPr>
      </w:pPr>
      <w:r w:rsidRPr="00BE108C">
        <w:rPr>
          <w:noProof/>
          <w:sz w:val="22"/>
          <w:szCs w:val="22"/>
          <w:u w:val="single"/>
        </w:rPr>
        <w:t>Poruchy nervového systému</w:t>
      </w:r>
    </w:p>
    <w:p w:rsidR="00777F2C" w:rsidRDefault="00777F2C" w:rsidP="000F2D9C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BE108C">
        <w:rPr>
          <w:i/>
          <w:noProof/>
          <w:sz w:val="22"/>
          <w:szCs w:val="22"/>
        </w:rPr>
        <w:t>menej časté</w:t>
      </w:r>
      <w:r>
        <w:rPr>
          <w:noProof/>
          <w:sz w:val="22"/>
          <w:szCs w:val="22"/>
        </w:rPr>
        <w:t>: bolesť hlavy, poruchy spánku, závrat</w:t>
      </w:r>
    </w:p>
    <w:p w:rsidR="00777F2C" w:rsidRDefault="00777F2C" w:rsidP="000F2D9C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BE108C">
        <w:rPr>
          <w:i/>
          <w:noProof/>
          <w:sz w:val="22"/>
          <w:szCs w:val="22"/>
        </w:rPr>
        <w:t>neznáme</w:t>
      </w:r>
      <w:r>
        <w:rPr>
          <w:noProof/>
          <w:sz w:val="22"/>
          <w:szCs w:val="22"/>
        </w:rPr>
        <w:t>: tremor</w:t>
      </w:r>
    </w:p>
    <w:p w:rsidR="00777F2C" w:rsidRDefault="00777F2C" w:rsidP="000F2D9C">
      <w:pPr>
        <w:autoSpaceDE w:val="0"/>
        <w:autoSpaceDN w:val="0"/>
        <w:adjustRightInd w:val="0"/>
        <w:rPr>
          <w:noProof/>
          <w:sz w:val="22"/>
          <w:szCs w:val="22"/>
        </w:rPr>
      </w:pPr>
    </w:p>
    <w:p w:rsidR="00777F2C" w:rsidRPr="00BE108C" w:rsidRDefault="00777F2C" w:rsidP="00E90E60">
      <w:pPr>
        <w:autoSpaceDE w:val="0"/>
        <w:autoSpaceDN w:val="0"/>
        <w:adjustRightInd w:val="0"/>
        <w:rPr>
          <w:noProof/>
          <w:sz w:val="22"/>
          <w:szCs w:val="22"/>
          <w:u w:val="single"/>
        </w:rPr>
      </w:pPr>
      <w:r w:rsidRPr="00BE108C">
        <w:rPr>
          <w:noProof/>
          <w:sz w:val="22"/>
          <w:szCs w:val="22"/>
          <w:u w:val="single"/>
        </w:rPr>
        <w:t>Psycické poruchy</w:t>
      </w:r>
    </w:p>
    <w:p w:rsidR="00777F2C" w:rsidRDefault="00777F2C" w:rsidP="00E90E60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BE108C">
        <w:rPr>
          <w:i/>
          <w:noProof/>
          <w:sz w:val="22"/>
          <w:szCs w:val="22"/>
        </w:rPr>
        <w:t>menej časté</w:t>
      </w:r>
      <w:r>
        <w:rPr>
          <w:noProof/>
          <w:sz w:val="22"/>
          <w:szCs w:val="22"/>
        </w:rPr>
        <w:t>: podráždenosť</w:t>
      </w:r>
    </w:p>
    <w:p w:rsidR="00777F2C" w:rsidRDefault="00777F2C" w:rsidP="00E90E60">
      <w:pPr>
        <w:autoSpaceDE w:val="0"/>
        <w:autoSpaceDN w:val="0"/>
        <w:adjustRightInd w:val="0"/>
        <w:rPr>
          <w:noProof/>
          <w:sz w:val="22"/>
          <w:szCs w:val="22"/>
        </w:rPr>
      </w:pPr>
    </w:p>
    <w:p w:rsidR="00777F2C" w:rsidRPr="00BE108C" w:rsidRDefault="00777F2C" w:rsidP="000F2D9C">
      <w:pPr>
        <w:autoSpaceDE w:val="0"/>
        <w:autoSpaceDN w:val="0"/>
        <w:adjustRightInd w:val="0"/>
        <w:rPr>
          <w:noProof/>
          <w:sz w:val="22"/>
          <w:szCs w:val="22"/>
          <w:u w:val="single"/>
        </w:rPr>
      </w:pPr>
      <w:r w:rsidRPr="00BE108C">
        <w:rPr>
          <w:noProof/>
          <w:sz w:val="22"/>
          <w:szCs w:val="22"/>
          <w:u w:val="single"/>
        </w:rPr>
        <w:t>Poruchy obličiek a močových ciest</w:t>
      </w:r>
    </w:p>
    <w:p w:rsidR="00777F2C" w:rsidRDefault="00777F2C" w:rsidP="000F2D9C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BE108C">
        <w:rPr>
          <w:i/>
          <w:noProof/>
          <w:sz w:val="22"/>
          <w:szCs w:val="22"/>
        </w:rPr>
        <w:t>menej ča</w:t>
      </w:r>
      <w:r>
        <w:rPr>
          <w:i/>
          <w:noProof/>
          <w:sz w:val="22"/>
          <w:szCs w:val="22"/>
        </w:rPr>
        <w:t>s</w:t>
      </w:r>
      <w:r w:rsidRPr="00BE108C">
        <w:rPr>
          <w:i/>
          <w:noProof/>
          <w:sz w:val="22"/>
          <w:szCs w:val="22"/>
        </w:rPr>
        <w:t>té</w:t>
      </w:r>
      <w:r>
        <w:rPr>
          <w:noProof/>
          <w:sz w:val="22"/>
          <w:szCs w:val="22"/>
        </w:rPr>
        <w:t>: zvýšená hladina dusíka močoviny v krvi (BUN) a kreatínu</w:t>
      </w:r>
    </w:p>
    <w:p w:rsidR="00777F2C" w:rsidRDefault="00777F2C" w:rsidP="000F2D9C">
      <w:pPr>
        <w:autoSpaceDE w:val="0"/>
        <w:autoSpaceDN w:val="0"/>
        <w:adjustRightInd w:val="0"/>
        <w:rPr>
          <w:noProof/>
          <w:sz w:val="22"/>
          <w:szCs w:val="22"/>
        </w:rPr>
      </w:pPr>
    </w:p>
    <w:p w:rsidR="00777F2C" w:rsidRPr="00BE108C" w:rsidRDefault="00777F2C" w:rsidP="00E90E60">
      <w:pPr>
        <w:autoSpaceDE w:val="0"/>
        <w:autoSpaceDN w:val="0"/>
        <w:adjustRightInd w:val="0"/>
        <w:rPr>
          <w:noProof/>
          <w:sz w:val="22"/>
          <w:szCs w:val="22"/>
          <w:u w:val="single"/>
        </w:rPr>
      </w:pPr>
      <w:r>
        <w:rPr>
          <w:noProof/>
          <w:sz w:val="22"/>
          <w:szCs w:val="22"/>
          <w:u w:val="single"/>
        </w:rPr>
        <w:t>P</w:t>
      </w:r>
      <w:r w:rsidRPr="00BE108C">
        <w:rPr>
          <w:noProof/>
          <w:sz w:val="22"/>
          <w:szCs w:val="22"/>
          <w:u w:val="single"/>
        </w:rPr>
        <w:t>oruchy kože a podkožného tkaniva</w:t>
      </w:r>
    </w:p>
    <w:p w:rsidR="00777F2C" w:rsidRDefault="00777F2C" w:rsidP="00E90E60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BE108C">
        <w:rPr>
          <w:i/>
          <w:noProof/>
          <w:sz w:val="22"/>
          <w:szCs w:val="22"/>
        </w:rPr>
        <w:t>zriedkavé</w:t>
      </w:r>
      <w:r>
        <w:rPr>
          <w:noProof/>
          <w:sz w:val="22"/>
          <w:szCs w:val="22"/>
        </w:rPr>
        <w:t>: vyrážka, sčervenanie, svrbenie</w:t>
      </w:r>
    </w:p>
    <w:p w:rsidR="00777F2C" w:rsidRDefault="00777F2C" w:rsidP="00E90E60">
      <w:pPr>
        <w:autoSpaceDE w:val="0"/>
        <w:autoSpaceDN w:val="0"/>
        <w:adjustRightInd w:val="0"/>
        <w:rPr>
          <w:noProof/>
          <w:sz w:val="22"/>
          <w:szCs w:val="22"/>
        </w:rPr>
      </w:pPr>
    </w:p>
    <w:p w:rsidR="00777F2C" w:rsidRPr="0065458E" w:rsidRDefault="00777F2C" w:rsidP="002F79EB">
      <w:pPr>
        <w:suppressLineNumbers/>
        <w:adjustRightInd w:val="0"/>
        <w:rPr>
          <w:noProof/>
          <w:sz w:val="22"/>
          <w:szCs w:val="22"/>
          <w:u w:val="single"/>
        </w:rPr>
      </w:pPr>
      <w:r w:rsidRPr="0065458E">
        <w:rPr>
          <w:noProof/>
          <w:sz w:val="22"/>
          <w:szCs w:val="22"/>
          <w:u w:val="single"/>
        </w:rPr>
        <w:t>Hlásenie podozrení na nežiaduce reakcie</w:t>
      </w:r>
    </w:p>
    <w:p w:rsidR="00777F2C" w:rsidRPr="0065458E" w:rsidRDefault="00777F2C" w:rsidP="00F17540">
      <w:pPr>
        <w:rPr>
          <w:bCs/>
          <w:noProof/>
          <w:sz w:val="22"/>
          <w:szCs w:val="22"/>
        </w:rPr>
      </w:pPr>
      <w:r w:rsidRPr="0065458E">
        <w:rPr>
          <w:noProof/>
          <w:sz w:val="22"/>
          <w:szCs w:val="22"/>
        </w:rPr>
        <w:t xml:space="preserve">Hlásenie podozrení na nežiaduce reakcie po registrácii lieku je dôležité. Umožňuje priebežné monitorovanie pomeru prínosu a rizika lieku. Od zdravotníckych pracovníkov sa vyžaduje, aby hlásili </w:t>
      </w:r>
      <w:r w:rsidRPr="0065458E">
        <w:rPr>
          <w:noProof/>
          <w:sz w:val="22"/>
          <w:szCs w:val="22"/>
        </w:rPr>
        <w:lastRenderedPageBreak/>
        <w:t xml:space="preserve">akékoľvek podozrenia na nežiaduce reakcie prostredníctvom </w:t>
      </w:r>
      <w:r w:rsidRPr="00A270F4">
        <w:rPr>
          <w:noProof/>
          <w:sz w:val="22"/>
          <w:szCs w:val="22"/>
          <w:highlight w:val="lightGray"/>
        </w:rPr>
        <w:t>národného systému hlásenia uvedeného v </w:t>
      </w:r>
      <w:hyperlink r:id="rId8" w:history="1">
        <w:r w:rsidRPr="00A270F4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Pr="0065458E">
        <w:rPr>
          <w:noProof/>
          <w:sz w:val="22"/>
          <w:szCs w:val="22"/>
        </w:rPr>
        <w:t>.</w:t>
      </w:r>
    </w:p>
    <w:p w:rsidR="00777F2C" w:rsidRPr="0065458E" w:rsidRDefault="00777F2C" w:rsidP="00E90E60">
      <w:pPr>
        <w:autoSpaceDE w:val="0"/>
        <w:autoSpaceDN w:val="0"/>
        <w:adjustRightInd w:val="0"/>
        <w:rPr>
          <w:bCs/>
          <w:noProof/>
          <w:sz w:val="22"/>
          <w:szCs w:val="22"/>
        </w:rPr>
      </w:pPr>
    </w:p>
    <w:p w:rsidR="00777F2C" w:rsidRPr="0065458E" w:rsidRDefault="00777F2C" w:rsidP="00E90E60">
      <w:pPr>
        <w:autoSpaceDE w:val="0"/>
        <w:autoSpaceDN w:val="0"/>
        <w:adjustRightInd w:val="0"/>
        <w:rPr>
          <w:b/>
          <w:bCs/>
          <w:noProof/>
          <w:sz w:val="22"/>
          <w:szCs w:val="22"/>
        </w:rPr>
      </w:pPr>
      <w:r w:rsidRPr="0065458E">
        <w:rPr>
          <w:b/>
          <w:bCs/>
          <w:noProof/>
          <w:sz w:val="22"/>
          <w:szCs w:val="22"/>
        </w:rPr>
        <w:t>4.9</w:t>
      </w:r>
      <w:r w:rsidRPr="0065458E">
        <w:rPr>
          <w:b/>
          <w:bCs/>
          <w:noProof/>
          <w:sz w:val="22"/>
          <w:szCs w:val="22"/>
        </w:rPr>
        <w:tab/>
        <w:t>Predávkovanie</w:t>
      </w:r>
    </w:p>
    <w:p w:rsidR="00777F2C" w:rsidRPr="0065458E" w:rsidRDefault="00777F2C" w:rsidP="00E90E60">
      <w:pPr>
        <w:autoSpaceDE w:val="0"/>
        <w:autoSpaceDN w:val="0"/>
        <w:adjustRightInd w:val="0"/>
        <w:rPr>
          <w:noProof/>
          <w:sz w:val="22"/>
          <w:szCs w:val="22"/>
        </w:rPr>
      </w:pPr>
    </w:p>
    <w:p w:rsidR="00777F2C" w:rsidRPr="0065458E" w:rsidRDefault="00777F2C" w:rsidP="00E90E60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65458E">
        <w:rPr>
          <w:noProof/>
          <w:sz w:val="22"/>
          <w:szCs w:val="22"/>
        </w:rPr>
        <w:t>Doposiaľ neboli hlásené žiadne prípady predávkovania itoprid</w:t>
      </w:r>
      <w:r>
        <w:rPr>
          <w:noProof/>
          <w:sz w:val="22"/>
          <w:szCs w:val="22"/>
        </w:rPr>
        <w:t xml:space="preserve">om </w:t>
      </w:r>
      <w:r w:rsidRPr="0065458E">
        <w:rPr>
          <w:noProof/>
          <w:sz w:val="22"/>
          <w:szCs w:val="22"/>
        </w:rPr>
        <w:t>u ľudí. V prípade predávkovania sú potrebné štandardné opatrenia, ako je laváž žalúdka a symptomatická liečba.</w:t>
      </w:r>
    </w:p>
    <w:p w:rsidR="00777F2C" w:rsidRPr="0065458E" w:rsidRDefault="00777F2C" w:rsidP="00E90E60">
      <w:pPr>
        <w:autoSpaceDE w:val="0"/>
        <w:autoSpaceDN w:val="0"/>
        <w:adjustRightInd w:val="0"/>
        <w:rPr>
          <w:b/>
          <w:bCs/>
          <w:noProof/>
          <w:sz w:val="22"/>
          <w:szCs w:val="22"/>
        </w:rPr>
      </w:pPr>
    </w:p>
    <w:p w:rsidR="00777F2C" w:rsidRPr="0065458E" w:rsidRDefault="00777F2C" w:rsidP="00E90E60">
      <w:pPr>
        <w:autoSpaceDE w:val="0"/>
        <w:autoSpaceDN w:val="0"/>
        <w:adjustRightInd w:val="0"/>
        <w:rPr>
          <w:b/>
          <w:bCs/>
          <w:noProof/>
          <w:sz w:val="22"/>
          <w:szCs w:val="22"/>
        </w:rPr>
      </w:pPr>
    </w:p>
    <w:p w:rsidR="00777F2C" w:rsidRPr="0065458E" w:rsidRDefault="00777F2C" w:rsidP="00E90E60">
      <w:pPr>
        <w:autoSpaceDE w:val="0"/>
        <w:autoSpaceDN w:val="0"/>
        <w:adjustRightInd w:val="0"/>
        <w:rPr>
          <w:b/>
          <w:bCs/>
          <w:noProof/>
          <w:sz w:val="22"/>
          <w:szCs w:val="22"/>
        </w:rPr>
      </w:pPr>
      <w:r w:rsidRPr="0065458E">
        <w:rPr>
          <w:b/>
          <w:bCs/>
          <w:noProof/>
          <w:sz w:val="22"/>
          <w:szCs w:val="22"/>
        </w:rPr>
        <w:t>5.</w:t>
      </w:r>
      <w:r w:rsidRPr="0065458E">
        <w:rPr>
          <w:b/>
          <w:bCs/>
          <w:noProof/>
          <w:sz w:val="22"/>
          <w:szCs w:val="22"/>
        </w:rPr>
        <w:tab/>
        <w:t>FARMAKOLOGICKÉ VLASTNOSTI</w:t>
      </w:r>
    </w:p>
    <w:p w:rsidR="00777F2C" w:rsidRPr="0065458E" w:rsidRDefault="00777F2C" w:rsidP="00E90E60">
      <w:pPr>
        <w:autoSpaceDE w:val="0"/>
        <w:autoSpaceDN w:val="0"/>
        <w:adjustRightInd w:val="0"/>
        <w:rPr>
          <w:b/>
          <w:bCs/>
          <w:noProof/>
          <w:sz w:val="22"/>
          <w:szCs w:val="22"/>
        </w:rPr>
      </w:pPr>
    </w:p>
    <w:p w:rsidR="00777F2C" w:rsidRPr="0065458E" w:rsidRDefault="00777F2C" w:rsidP="00E90E60">
      <w:pPr>
        <w:autoSpaceDE w:val="0"/>
        <w:autoSpaceDN w:val="0"/>
        <w:adjustRightInd w:val="0"/>
        <w:rPr>
          <w:b/>
          <w:bCs/>
          <w:noProof/>
          <w:sz w:val="22"/>
          <w:szCs w:val="22"/>
        </w:rPr>
      </w:pPr>
      <w:r w:rsidRPr="0065458E">
        <w:rPr>
          <w:b/>
          <w:bCs/>
          <w:noProof/>
          <w:sz w:val="22"/>
          <w:szCs w:val="22"/>
        </w:rPr>
        <w:t>5.1</w:t>
      </w:r>
      <w:r w:rsidRPr="0065458E">
        <w:rPr>
          <w:b/>
          <w:bCs/>
          <w:noProof/>
          <w:sz w:val="22"/>
          <w:szCs w:val="22"/>
        </w:rPr>
        <w:tab/>
        <w:t>Farmakodynamické vlastnosti</w:t>
      </w:r>
    </w:p>
    <w:p w:rsidR="00777F2C" w:rsidRPr="0065458E" w:rsidRDefault="00777F2C" w:rsidP="00E90E60">
      <w:pPr>
        <w:autoSpaceDE w:val="0"/>
        <w:autoSpaceDN w:val="0"/>
        <w:adjustRightInd w:val="0"/>
        <w:rPr>
          <w:noProof/>
          <w:sz w:val="22"/>
          <w:szCs w:val="22"/>
        </w:rPr>
      </w:pPr>
    </w:p>
    <w:p w:rsidR="00777F2C" w:rsidRPr="0065458E" w:rsidRDefault="00777F2C" w:rsidP="00E90E60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65458E">
        <w:rPr>
          <w:noProof/>
          <w:sz w:val="22"/>
          <w:szCs w:val="22"/>
        </w:rPr>
        <w:t xml:space="preserve">Farmakoterapeutická skupina: </w:t>
      </w:r>
      <w:r>
        <w:rPr>
          <w:noProof/>
          <w:sz w:val="22"/>
          <w:szCs w:val="22"/>
        </w:rPr>
        <w:t xml:space="preserve">liečivá na funkčné gastrointestinálne poruchy, </w:t>
      </w:r>
      <w:r w:rsidRPr="0065458E">
        <w:rPr>
          <w:noProof/>
          <w:sz w:val="22"/>
          <w:szCs w:val="22"/>
        </w:rPr>
        <w:t>prokinetiká</w:t>
      </w:r>
    </w:p>
    <w:p w:rsidR="00777F2C" w:rsidRPr="0065458E" w:rsidRDefault="00777F2C" w:rsidP="00E90E60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65458E">
        <w:rPr>
          <w:noProof/>
          <w:sz w:val="22"/>
          <w:szCs w:val="22"/>
        </w:rPr>
        <w:t>ATC kód: A03FA07</w:t>
      </w:r>
    </w:p>
    <w:p w:rsidR="00777F2C" w:rsidRPr="0065458E" w:rsidRDefault="00777F2C" w:rsidP="00E90E60">
      <w:pPr>
        <w:autoSpaceDE w:val="0"/>
        <w:autoSpaceDN w:val="0"/>
        <w:adjustRightInd w:val="0"/>
        <w:rPr>
          <w:noProof/>
          <w:sz w:val="22"/>
          <w:szCs w:val="22"/>
        </w:rPr>
      </w:pPr>
    </w:p>
    <w:p w:rsidR="00777F2C" w:rsidRPr="0065458E" w:rsidRDefault="00777F2C" w:rsidP="002F79EB">
      <w:pPr>
        <w:autoSpaceDE w:val="0"/>
        <w:autoSpaceDN w:val="0"/>
        <w:adjustRightInd w:val="0"/>
        <w:rPr>
          <w:noProof/>
          <w:sz w:val="22"/>
          <w:szCs w:val="22"/>
          <w:u w:val="single"/>
        </w:rPr>
      </w:pPr>
      <w:r w:rsidRPr="0065458E">
        <w:rPr>
          <w:noProof/>
          <w:sz w:val="22"/>
          <w:szCs w:val="22"/>
          <w:u w:val="single"/>
        </w:rPr>
        <w:t>Mechanizmus účinku</w:t>
      </w:r>
    </w:p>
    <w:p w:rsidR="00777F2C" w:rsidRPr="0065458E" w:rsidRDefault="00777F2C" w:rsidP="00F17540">
      <w:pPr>
        <w:pStyle w:val="Default"/>
        <w:rPr>
          <w:rFonts w:ascii="Times New Roman" w:hAnsi="Times New Roman" w:cs="Times New Roman"/>
          <w:noProof/>
          <w:color w:val="auto"/>
          <w:sz w:val="22"/>
          <w:szCs w:val="22"/>
        </w:rPr>
      </w:pPr>
      <w:r w:rsidRPr="0065458E">
        <w:rPr>
          <w:rFonts w:ascii="Times New Roman" w:hAnsi="Times New Roman" w:cs="Times New Roman"/>
          <w:noProof/>
          <w:color w:val="auto"/>
          <w:sz w:val="22"/>
          <w:szCs w:val="22"/>
        </w:rPr>
        <w:t>Itoprid aktivuje gastrointestinálnu propulzívnu motilitu antagonistickým účinkom na dopamínové D</w:t>
      </w:r>
      <w:r w:rsidRPr="0065458E">
        <w:rPr>
          <w:rFonts w:ascii="Times New Roman" w:hAnsi="Times New Roman" w:cs="Times New Roman"/>
          <w:noProof/>
          <w:color w:val="auto"/>
          <w:sz w:val="22"/>
          <w:szCs w:val="22"/>
          <w:vertAlign w:val="subscript"/>
        </w:rPr>
        <w:t>2</w:t>
      </w:r>
      <w:r w:rsidRPr="0065458E">
        <w:rPr>
          <w:rFonts w:ascii="Times New Roman" w:hAnsi="Times New Roman" w:cs="Times New Roman"/>
          <w:noProof/>
          <w:color w:val="auto"/>
          <w:sz w:val="22"/>
          <w:szCs w:val="22"/>
        </w:rPr>
        <w:t>-receptory a inhibičným účinkom na acetylcholínesterázu. Itoprid aktivuje uvoľnenie acetylcholínu a inhibuje jeho degradáciu.</w:t>
      </w:r>
    </w:p>
    <w:p w:rsidR="00777F2C" w:rsidRPr="0065458E" w:rsidRDefault="00777F2C" w:rsidP="00F17540">
      <w:pPr>
        <w:pStyle w:val="Default"/>
        <w:rPr>
          <w:rFonts w:ascii="Times New Roman" w:hAnsi="Times New Roman" w:cs="Times New Roman"/>
          <w:noProof/>
          <w:color w:val="auto"/>
          <w:sz w:val="22"/>
          <w:szCs w:val="22"/>
        </w:rPr>
      </w:pPr>
    </w:p>
    <w:p w:rsidR="00777F2C" w:rsidRPr="0065458E" w:rsidRDefault="00777F2C" w:rsidP="00F17540">
      <w:pPr>
        <w:pStyle w:val="Default"/>
        <w:rPr>
          <w:rFonts w:ascii="Times New Roman" w:hAnsi="Times New Roman" w:cs="Times New Roman"/>
          <w:noProof/>
          <w:color w:val="auto"/>
          <w:sz w:val="22"/>
          <w:szCs w:val="22"/>
        </w:rPr>
      </w:pPr>
      <w:r w:rsidRPr="0065458E">
        <w:rPr>
          <w:rFonts w:ascii="Times New Roman" w:hAnsi="Times New Roman" w:cs="Times New Roman"/>
          <w:noProof/>
          <w:color w:val="auto"/>
          <w:sz w:val="22"/>
          <w:szCs w:val="22"/>
        </w:rPr>
        <w:t>Itoprid má aj antiemetický účinok, založený na interakcii s D</w:t>
      </w:r>
      <w:r w:rsidRPr="0065458E">
        <w:rPr>
          <w:rFonts w:ascii="Times New Roman" w:hAnsi="Times New Roman" w:cs="Times New Roman"/>
          <w:noProof/>
          <w:color w:val="auto"/>
          <w:sz w:val="22"/>
          <w:szCs w:val="22"/>
          <w:vertAlign w:val="subscript"/>
        </w:rPr>
        <w:t>2</w:t>
      </w:r>
      <w:r w:rsidRPr="0065458E">
        <w:rPr>
          <w:rFonts w:ascii="Times New Roman" w:hAnsi="Times New Roman" w:cs="Times New Roman"/>
          <w:noProof/>
          <w:color w:val="auto"/>
          <w:sz w:val="22"/>
          <w:szCs w:val="22"/>
        </w:rPr>
        <w:t>-receptormi nachádzajúcimi sa v chemoreceptorovej spúšťacej zóne. Tento účinok sa demonštroval od dávky závislou inhibíciou apomorfínom navodeného vracania u psov.</w:t>
      </w:r>
    </w:p>
    <w:p w:rsidR="00777F2C" w:rsidRPr="0065458E" w:rsidRDefault="00777F2C" w:rsidP="00F17540">
      <w:pPr>
        <w:pStyle w:val="Default"/>
        <w:rPr>
          <w:rFonts w:ascii="Times New Roman" w:hAnsi="Times New Roman" w:cs="Times New Roman"/>
          <w:noProof/>
          <w:color w:val="auto"/>
          <w:sz w:val="22"/>
          <w:szCs w:val="22"/>
        </w:rPr>
      </w:pPr>
    </w:p>
    <w:p w:rsidR="00777F2C" w:rsidRPr="0065458E" w:rsidRDefault="00777F2C" w:rsidP="00F17540">
      <w:pPr>
        <w:pStyle w:val="Default"/>
        <w:rPr>
          <w:rFonts w:ascii="Times New Roman" w:hAnsi="Times New Roman" w:cs="Times New Roman"/>
          <w:noProof/>
          <w:color w:val="auto"/>
          <w:sz w:val="22"/>
          <w:szCs w:val="22"/>
        </w:rPr>
      </w:pPr>
      <w:r w:rsidRPr="0065458E">
        <w:rPr>
          <w:rFonts w:ascii="Times New Roman" w:hAnsi="Times New Roman" w:cs="Times New Roman"/>
          <w:noProof/>
          <w:color w:val="auto"/>
          <w:sz w:val="22"/>
          <w:szCs w:val="22"/>
        </w:rPr>
        <w:t>Itoprid urýchľuje vyprázdňovanie žalúdka u ľudí.</w:t>
      </w:r>
    </w:p>
    <w:p w:rsidR="00777F2C" w:rsidRPr="0065458E" w:rsidRDefault="00777F2C" w:rsidP="002F79EB">
      <w:pPr>
        <w:pStyle w:val="Default"/>
        <w:rPr>
          <w:rFonts w:ascii="Times New Roman" w:hAnsi="Times New Roman" w:cs="Times New Roman"/>
          <w:noProof/>
          <w:color w:val="auto"/>
          <w:sz w:val="22"/>
          <w:szCs w:val="22"/>
        </w:rPr>
      </w:pPr>
      <w:r w:rsidRPr="0065458E">
        <w:rPr>
          <w:rFonts w:ascii="Times New Roman" w:hAnsi="Times New Roman" w:cs="Times New Roman"/>
          <w:noProof/>
          <w:color w:val="auto"/>
          <w:sz w:val="22"/>
          <w:szCs w:val="22"/>
        </w:rPr>
        <w:t xml:space="preserve">V jednodávkových štúdiách na psoch bolo dokázané, že </w:t>
      </w:r>
      <w:r>
        <w:rPr>
          <w:rFonts w:ascii="Times New Roman" w:hAnsi="Times New Roman" w:cs="Times New Roman"/>
          <w:noProof/>
          <w:color w:val="auto"/>
          <w:sz w:val="22"/>
          <w:szCs w:val="22"/>
        </w:rPr>
        <w:t>i</w:t>
      </w:r>
      <w:r w:rsidRPr="0065458E">
        <w:rPr>
          <w:rFonts w:ascii="Times New Roman" w:hAnsi="Times New Roman" w:cs="Times New Roman"/>
          <w:noProof/>
          <w:color w:val="auto"/>
          <w:sz w:val="22"/>
          <w:szCs w:val="22"/>
        </w:rPr>
        <w:t>toprid podporuje vyprázdňovanie žalúdka.</w:t>
      </w:r>
    </w:p>
    <w:p w:rsidR="00777F2C" w:rsidRPr="0065458E" w:rsidRDefault="00777F2C" w:rsidP="00F17540">
      <w:pPr>
        <w:pStyle w:val="Default"/>
        <w:rPr>
          <w:noProof/>
        </w:rPr>
      </w:pPr>
      <w:r w:rsidRPr="0065458E">
        <w:rPr>
          <w:rFonts w:ascii="Times New Roman" w:hAnsi="Times New Roman" w:cs="Times New Roman"/>
          <w:noProof/>
          <w:color w:val="auto"/>
          <w:sz w:val="22"/>
          <w:szCs w:val="22"/>
        </w:rPr>
        <w:t>Itoprid má vysoko špecifický účinok na hornú časť gastrointestinálneho traktu.</w:t>
      </w:r>
    </w:p>
    <w:p w:rsidR="00777F2C" w:rsidRPr="0065458E" w:rsidRDefault="00777F2C" w:rsidP="002F79EB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65458E">
        <w:rPr>
          <w:noProof/>
          <w:sz w:val="22"/>
          <w:szCs w:val="22"/>
        </w:rPr>
        <w:t>Itoprid neovplyvňuje sérové koncentrácie gastrínu.</w:t>
      </w:r>
    </w:p>
    <w:p w:rsidR="00777F2C" w:rsidRPr="0065458E" w:rsidRDefault="00777F2C" w:rsidP="00836005">
      <w:pPr>
        <w:autoSpaceDE w:val="0"/>
        <w:autoSpaceDN w:val="0"/>
        <w:adjustRightInd w:val="0"/>
        <w:rPr>
          <w:b/>
          <w:bCs/>
          <w:noProof/>
          <w:sz w:val="22"/>
          <w:szCs w:val="22"/>
        </w:rPr>
      </w:pPr>
    </w:p>
    <w:p w:rsidR="00777F2C" w:rsidRPr="0065458E" w:rsidRDefault="00777F2C" w:rsidP="00E90E60">
      <w:pPr>
        <w:autoSpaceDE w:val="0"/>
        <w:autoSpaceDN w:val="0"/>
        <w:adjustRightInd w:val="0"/>
        <w:rPr>
          <w:b/>
          <w:bCs/>
          <w:noProof/>
          <w:sz w:val="22"/>
          <w:szCs w:val="22"/>
        </w:rPr>
      </w:pPr>
      <w:r w:rsidRPr="0065458E">
        <w:rPr>
          <w:b/>
          <w:bCs/>
          <w:noProof/>
          <w:sz w:val="22"/>
          <w:szCs w:val="22"/>
        </w:rPr>
        <w:t>5.2</w:t>
      </w:r>
      <w:r w:rsidRPr="0065458E">
        <w:rPr>
          <w:b/>
          <w:bCs/>
          <w:noProof/>
          <w:sz w:val="22"/>
          <w:szCs w:val="22"/>
        </w:rPr>
        <w:tab/>
        <w:t>Farmakokinetické vlastnosti</w:t>
      </w:r>
    </w:p>
    <w:p w:rsidR="00777F2C" w:rsidRPr="0065458E" w:rsidRDefault="00777F2C" w:rsidP="00E90E60">
      <w:pPr>
        <w:autoSpaceDE w:val="0"/>
        <w:autoSpaceDN w:val="0"/>
        <w:adjustRightInd w:val="0"/>
        <w:rPr>
          <w:noProof/>
          <w:sz w:val="22"/>
          <w:szCs w:val="22"/>
        </w:rPr>
      </w:pPr>
    </w:p>
    <w:p w:rsidR="00777F2C" w:rsidRPr="0065458E" w:rsidRDefault="00777F2C" w:rsidP="00E90E60">
      <w:pPr>
        <w:autoSpaceDE w:val="0"/>
        <w:autoSpaceDN w:val="0"/>
        <w:adjustRightInd w:val="0"/>
        <w:rPr>
          <w:noProof/>
          <w:sz w:val="22"/>
          <w:szCs w:val="22"/>
          <w:u w:val="single"/>
        </w:rPr>
      </w:pPr>
      <w:r w:rsidRPr="0065458E">
        <w:rPr>
          <w:noProof/>
          <w:sz w:val="22"/>
          <w:szCs w:val="22"/>
          <w:u w:val="single"/>
        </w:rPr>
        <w:t>Absorpcia</w:t>
      </w:r>
    </w:p>
    <w:p w:rsidR="00777F2C" w:rsidRPr="0065458E" w:rsidRDefault="00777F2C" w:rsidP="00E90E60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65458E">
        <w:rPr>
          <w:noProof/>
          <w:sz w:val="22"/>
          <w:szCs w:val="22"/>
        </w:rPr>
        <w:t>Itoprid je rýchlo a takmer úplne absorbovaný v gastrointestinálnom trakte. Relatívna biologická dostupnosť asi 60 % je daná metabolizmom pri prvom prechode pečeňou (first-pass metabolizmus). Jedlo neovplyvňuje biologickú dostupnosť lieku. Maximálna plazmatická</w:t>
      </w:r>
      <w:r>
        <w:rPr>
          <w:noProof/>
          <w:sz w:val="22"/>
          <w:szCs w:val="22"/>
        </w:rPr>
        <w:t xml:space="preserve"> koncentrácia sa dosiahne 30 – </w:t>
      </w:r>
      <w:r w:rsidRPr="0065458E">
        <w:rPr>
          <w:noProof/>
          <w:sz w:val="22"/>
          <w:szCs w:val="22"/>
        </w:rPr>
        <w:t>5</w:t>
      </w:r>
      <w:r>
        <w:rPr>
          <w:noProof/>
          <w:sz w:val="22"/>
          <w:szCs w:val="22"/>
        </w:rPr>
        <w:t>0</w:t>
      </w:r>
      <w:r w:rsidRPr="0065458E">
        <w:rPr>
          <w:noProof/>
          <w:sz w:val="22"/>
          <w:szCs w:val="22"/>
        </w:rPr>
        <w:t xml:space="preserve"> minút po podaní 50 mg </w:t>
      </w:r>
      <w:r>
        <w:rPr>
          <w:noProof/>
          <w:sz w:val="22"/>
          <w:szCs w:val="22"/>
        </w:rPr>
        <w:t>i</w:t>
      </w:r>
      <w:r w:rsidRPr="0065458E">
        <w:rPr>
          <w:noProof/>
          <w:sz w:val="22"/>
          <w:szCs w:val="22"/>
        </w:rPr>
        <w:t>toprid</w:t>
      </w:r>
      <w:r>
        <w:rPr>
          <w:noProof/>
          <w:sz w:val="22"/>
          <w:szCs w:val="22"/>
        </w:rPr>
        <w:t>u</w:t>
      </w:r>
      <w:r w:rsidRPr="0065458E">
        <w:rPr>
          <w:noProof/>
          <w:sz w:val="22"/>
          <w:szCs w:val="22"/>
        </w:rPr>
        <w:t>.</w:t>
      </w:r>
    </w:p>
    <w:p w:rsidR="00777F2C" w:rsidRPr="0065458E" w:rsidRDefault="00777F2C" w:rsidP="00E90E60">
      <w:pPr>
        <w:autoSpaceDE w:val="0"/>
        <w:autoSpaceDN w:val="0"/>
        <w:adjustRightInd w:val="0"/>
        <w:rPr>
          <w:noProof/>
          <w:sz w:val="22"/>
          <w:szCs w:val="22"/>
        </w:rPr>
      </w:pPr>
    </w:p>
    <w:p w:rsidR="00777F2C" w:rsidRPr="0065458E" w:rsidRDefault="00777F2C" w:rsidP="00E90E60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65458E">
        <w:rPr>
          <w:noProof/>
          <w:sz w:val="22"/>
          <w:szCs w:val="22"/>
        </w:rPr>
        <w:t>Po opakovanom podaní dávok itoprid</w:t>
      </w:r>
      <w:r>
        <w:rPr>
          <w:noProof/>
          <w:sz w:val="22"/>
          <w:szCs w:val="22"/>
        </w:rPr>
        <w:t>u</w:t>
      </w:r>
      <w:r w:rsidRPr="0065458E">
        <w:rPr>
          <w:noProof/>
          <w:sz w:val="22"/>
          <w:szCs w:val="22"/>
        </w:rPr>
        <w:t xml:space="preserve"> v rozsahu 50 až 200 mg 3-krát denne počas 7 dní vykazoval </w:t>
      </w:r>
      <w:r>
        <w:rPr>
          <w:noProof/>
          <w:sz w:val="22"/>
          <w:szCs w:val="22"/>
        </w:rPr>
        <w:t>itoprid</w:t>
      </w:r>
      <w:r w:rsidRPr="0065458E">
        <w:rPr>
          <w:noProof/>
          <w:sz w:val="22"/>
          <w:szCs w:val="22"/>
        </w:rPr>
        <w:t xml:space="preserve"> a jeho metabolity lineárnu farmakokinetiku s minimálnou akumuláciou.</w:t>
      </w:r>
    </w:p>
    <w:p w:rsidR="00777F2C" w:rsidRPr="0065458E" w:rsidRDefault="00777F2C" w:rsidP="00E90E60">
      <w:pPr>
        <w:autoSpaceDE w:val="0"/>
        <w:autoSpaceDN w:val="0"/>
        <w:adjustRightInd w:val="0"/>
        <w:rPr>
          <w:noProof/>
          <w:sz w:val="22"/>
          <w:szCs w:val="22"/>
        </w:rPr>
      </w:pPr>
    </w:p>
    <w:p w:rsidR="00777F2C" w:rsidRPr="0065458E" w:rsidRDefault="00777F2C" w:rsidP="00E90E60">
      <w:pPr>
        <w:autoSpaceDE w:val="0"/>
        <w:autoSpaceDN w:val="0"/>
        <w:adjustRightInd w:val="0"/>
        <w:rPr>
          <w:noProof/>
          <w:sz w:val="22"/>
          <w:szCs w:val="22"/>
          <w:u w:val="single"/>
        </w:rPr>
      </w:pPr>
      <w:r w:rsidRPr="0065458E">
        <w:rPr>
          <w:noProof/>
          <w:sz w:val="22"/>
          <w:szCs w:val="22"/>
          <w:u w:val="single"/>
        </w:rPr>
        <w:t>Distribúcia</w:t>
      </w:r>
    </w:p>
    <w:p w:rsidR="00777F2C" w:rsidRPr="0065458E" w:rsidRDefault="00777F2C" w:rsidP="00E90E60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65458E">
        <w:rPr>
          <w:noProof/>
          <w:sz w:val="22"/>
          <w:szCs w:val="22"/>
        </w:rPr>
        <w:t>Približne 96 % itopri</w:t>
      </w:r>
      <w:r>
        <w:rPr>
          <w:noProof/>
          <w:sz w:val="22"/>
          <w:szCs w:val="22"/>
        </w:rPr>
        <w:t>d</w:t>
      </w:r>
      <w:r w:rsidRPr="0065458E">
        <w:rPr>
          <w:noProof/>
          <w:sz w:val="22"/>
          <w:szCs w:val="22"/>
        </w:rPr>
        <w:t>u sa viaže na plazmatické bielkoviny</w:t>
      </w:r>
      <w:r>
        <w:rPr>
          <w:noProof/>
          <w:sz w:val="22"/>
          <w:szCs w:val="22"/>
        </w:rPr>
        <w:t>, najmä albumín</w:t>
      </w:r>
      <w:r w:rsidRPr="0065458E">
        <w:rPr>
          <w:noProof/>
          <w:sz w:val="22"/>
          <w:szCs w:val="22"/>
        </w:rPr>
        <w:t>. Vo väzbe podiel α-1-kyslého glykoproteínu predstavuje menej ako 15 % väzby.</w:t>
      </w:r>
    </w:p>
    <w:p w:rsidR="00777F2C" w:rsidRPr="0065458E" w:rsidRDefault="00777F2C" w:rsidP="00E90E60">
      <w:pPr>
        <w:autoSpaceDE w:val="0"/>
        <w:autoSpaceDN w:val="0"/>
        <w:adjustRightInd w:val="0"/>
        <w:rPr>
          <w:noProof/>
          <w:sz w:val="22"/>
          <w:szCs w:val="22"/>
        </w:rPr>
      </w:pPr>
    </w:p>
    <w:p w:rsidR="00777F2C" w:rsidRPr="0065458E" w:rsidRDefault="00777F2C" w:rsidP="00E90E60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65458E">
        <w:rPr>
          <w:noProof/>
          <w:sz w:val="22"/>
          <w:szCs w:val="22"/>
        </w:rPr>
        <w:t xml:space="preserve">U potkanov sa </w:t>
      </w:r>
      <w:r>
        <w:rPr>
          <w:noProof/>
          <w:sz w:val="22"/>
          <w:szCs w:val="22"/>
        </w:rPr>
        <w:t>itoprid</w:t>
      </w:r>
      <w:r w:rsidRPr="0065458E">
        <w:rPr>
          <w:noProof/>
          <w:sz w:val="22"/>
          <w:szCs w:val="22"/>
        </w:rPr>
        <w:t xml:space="preserve"> distribuuje do tkanív v rozsiahlej miere</w:t>
      </w:r>
      <w:r>
        <w:rPr>
          <w:noProof/>
          <w:sz w:val="22"/>
          <w:szCs w:val="22"/>
        </w:rPr>
        <w:t xml:space="preserve"> </w:t>
      </w:r>
      <w:r w:rsidRPr="0065458E">
        <w:rPr>
          <w:noProof/>
          <w:sz w:val="22"/>
          <w:szCs w:val="22"/>
        </w:rPr>
        <w:t>(Vd</w:t>
      </w:r>
      <w:r w:rsidRPr="0065458E">
        <w:rPr>
          <w:noProof/>
          <w:sz w:val="22"/>
          <w:szCs w:val="22"/>
          <w:vertAlign w:val="subscript"/>
        </w:rPr>
        <w:t>ß</w:t>
      </w:r>
      <w:r w:rsidRPr="0065458E">
        <w:rPr>
          <w:noProof/>
          <w:sz w:val="22"/>
          <w:szCs w:val="22"/>
        </w:rPr>
        <w:t xml:space="preserve">= 6,1 l/kg) s výnimkou centrálneho nervového systému. Vysokú koncentráciu dosahuje v obličkách, tenkom čreve, pečeni, nadobličkách a v žalúdku. Väzba na proteíny u potkanov bola nižšia ako u ľudí (78 % oproti 96 %). Prechod do CNS bol minimálny. </w:t>
      </w:r>
      <w:r>
        <w:rPr>
          <w:noProof/>
          <w:sz w:val="22"/>
          <w:szCs w:val="22"/>
        </w:rPr>
        <w:t>Itoprid</w:t>
      </w:r>
      <w:r w:rsidRPr="0065458E">
        <w:rPr>
          <w:noProof/>
          <w:sz w:val="22"/>
          <w:szCs w:val="22"/>
        </w:rPr>
        <w:t xml:space="preserve"> prechádza do materského mlieka </w:t>
      </w:r>
      <w:r>
        <w:rPr>
          <w:noProof/>
          <w:sz w:val="22"/>
          <w:szCs w:val="22"/>
        </w:rPr>
        <w:t>laktujú</w:t>
      </w:r>
      <w:r w:rsidRPr="0065458E">
        <w:rPr>
          <w:noProof/>
          <w:sz w:val="22"/>
          <w:szCs w:val="22"/>
        </w:rPr>
        <w:t>cich potkanov.</w:t>
      </w:r>
    </w:p>
    <w:p w:rsidR="00777F2C" w:rsidRPr="0065458E" w:rsidRDefault="00777F2C" w:rsidP="00E90E60">
      <w:pPr>
        <w:autoSpaceDE w:val="0"/>
        <w:autoSpaceDN w:val="0"/>
        <w:adjustRightInd w:val="0"/>
        <w:rPr>
          <w:noProof/>
          <w:sz w:val="22"/>
          <w:szCs w:val="22"/>
        </w:rPr>
      </w:pPr>
    </w:p>
    <w:p w:rsidR="00777F2C" w:rsidRPr="0065458E" w:rsidRDefault="00777F2C" w:rsidP="00E90E60">
      <w:pPr>
        <w:autoSpaceDE w:val="0"/>
        <w:autoSpaceDN w:val="0"/>
        <w:adjustRightInd w:val="0"/>
        <w:rPr>
          <w:noProof/>
          <w:sz w:val="22"/>
          <w:szCs w:val="22"/>
          <w:u w:val="single"/>
        </w:rPr>
      </w:pPr>
      <w:r w:rsidRPr="0065458E">
        <w:rPr>
          <w:noProof/>
          <w:sz w:val="22"/>
          <w:szCs w:val="22"/>
          <w:u w:val="single"/>
        </w:rPr>
        <w:t>Biotransformácia</w:t>
      </w:r>
    </w:p>
    <w:p w:rsidR="00777F2C" w:rsidRPr="0065458E" w:rsidRDefault="00777F2C" w:rsidP="002E7F30">
      <w:pPr>
        <w:pStyle w:val="Default"/>
        <w:rPr>
          <w:rFonts w:ascii="Times New Roman" w:hAnsi="Times New Roman" w:cs="Times New Roman"/>
          <w:noProof/>
          <w:color w:val="auto"/>
          <w:sz w:val="22"/>
          <w:szCs w:val="22"/>
        </w:rPr>
      </w:pPr>
      <w:r w:rsidRPr="00BE108C">
        <w:rPr>
          <w:rFonts w:ascii="Times New Roman" w:hAnsi="Times New Roman" w:cs="Times New Roman"/>
          <w:noProof/>
          <w:sz w:val="22"/>
          <w:szCs w:val="22"/>
        </w:rPr>
        <w:t xml:space="preserve">Itoprid </w:t>
      </w:r>
      <w:r w:rsidRPr="0065458E">
        <w:rPr>
          <w:rFonts w:ascii="Times New Roman" w:hAnsi="Times New Roman" w:cs="Times New Roman"/>
          <w:noProof/>
          <w:sz w:val="22"/>
          <w:szCs w:val="22"/>
        </w:rPr>
        <w:t xml:space="preserve">sa u ľudí v rozsiahlej miere metabolizuje v pečeni. Identifikovali sa tri metabolity, </w:t>
      </w:r>
      <w:r w:rsidRPr="00BE108C">
        <w:rPr>
          <w:rFonts w:ascii="Times New Roman" w:hAnsi="Times New Roman" w:cs="Times New Roman"/>
          <w:noProof/>
          <w:sz w:val="22"/>
          <w:szCs w:val="22"/>
        </w:rPr>
        <w:t>z ktorých</w:t>
      </w:r>
      <w:r w:rsidRPr="0065458E">
        <w:rPr>
          <w:rFonts w:ascii="Times New Roman" w:hAnsi="Times New Roman" w:cs="Times New Roman"/>
          <w:noProof/>
          <w:color w:val="auto"/>
          <w:sz w:val="22"/>
          <w:szCs w:val="22"/>
        </w:rPr>
        <w:t xml:space="preserve"> </w:t>
      </w:r>
      <w:r w:rsidRPr="005E0CBF">
        <w:rPr>
          <w:rFonts w:ascii="Times New Roman" w:hAnsi="Times New Roman" w:cs="Times New Roman"/>
          <w:noProof/>
          <w:sz w:val="22"/>
          <w:szCs w:val="22"/>
        </w:rPr>
        <w:t>len jeden vykazuje slabú aktivitu bez farmakologického významu (približne 2 až 3 % účinku itopridu).</w:t>
      </w:r>
      <w:r w:rsidRPr="0065458E">
        <w:rPr>
          <w:rFonts w:ascii="Times New Roman" w:hAnsi="Times New Roman" w:cs="Times New Roman"/>
          <w:noProof/>
          <w:color w:val="auto"/>
          <w:sz w:val="22"/>
          <w:szCs w:val="22"/>
        </w:rPr>
        <w:t xml:space="preserve"> Primárnym metabolitom u ľudí je N-oxid, ktorý vzniká oxidáciou terciárnej amino-N-dimetylovej skupiny.</w:t>
      </w:r>
    </w:p>
    <w:p w:rsidR="00777F2C" w:rsidRPr="0065458E" w:rsidRDefault="00777F2C" w:rsidP="002E7F30">
      <w:pPr>
        <w:pStyle w:val="Default"/>
        <w:rPr>
          <w:rFonts w:ascii="Times New Roman" w:hAnsi="Times New Roman" w:cs="Times New Roman"/>
          <w:noProof/>
          <w:color w:val="auto"/>
          <w:sz w:val="22"/>
          <w:szCs w:val="22"/>
        </w:rPr>
      </w:pPr>
    </w:p>
    <w:p w:rsidR="00777F2C" w:rsidRPr="0065458E" w:rsidRDefault="00777F2C" w:rsidP="002E7F30">
      <w:pPr>
        <w:pStyle w:val="Default"/>
        <w:rPr>
          <w:rFonts w:ascii="Times New Roman" w:hAnsi="Times New Roman" w:cs="Times New Roman"/>
          <w:noProof/>
          <w:color w:val="auto"/>
          <w:sz w:val="22"/>
          <w:szCs w:val="22"/>
        </w:rPr>
      </w:pPr>
      <w:r w:rsidRPr="00BE108C">
        <w:rPr>
          <w:rFonts w:ascii="Times New Roman" w:hAnsi="Times New Roman" w:cs="Times New Roman"/>
          <w:noProof/>
          <w:sz w:val="22"/>
          <w:szCs w:val="22"/>
        </w:rPr>
        <w:t xml:space="preserve">Itoprid </w:t>
      </w:r>
      <w:r w:rsidRPr="0065458E">
        <w:rPr>
          <w:rFonts w:ascii="Times New Roman" w:hAnsi="Times New Roman" w:cs="Times New Roman"/>
          <w:noProof/>
          <w:color w:val="auto"/>
          <w:sz w:val="22"/>
          <w:szCs w:val="22"/>
        </w:rPr>
        <w:t xml:space="preserve">sa metabolizuje flavín monooxygenázou (FMO3). </w:t>
      </w:r>
      <w:r>
        <w:rPr>
          <w:rFonts w:ascii="Times New Roman" w:hAnsi="Times New Roman" w:cs="Times New Roman"/>
          <w:noProof/>
          <w:color w:val="auto"/>
          <w:sz w:val="22"/>
          <w:szCs w:val="22"/>
        </w:rPr>
        <w:t>M</w:t>
      </w:r>
      <w:r w:rsidRPr="0065458E">
        <w:rPr>
          <w:rFonts w:ascii="Times New Roman" w:hAnsi="Times New Roman" w:cs="Times New Roman"/>
          <w:noProof/>
          <w:color w:val="auto"/>
          <w:sz w:val="22"/>
          <w:szCs w:val="22"/>
        </w:rPr>
        <w:t xml:space="preserve">nožstvo a účinnosť ľudských izoenzýmov FMO môže mať súvislosť s genetickým polymorfizmom, čo môže viesť k zriedkavému autozomálne recesívnemu stavu, známemu ako trimetylaminúria (syndróm rybieho zápachu). Polčas </w:t>
      </w:r>
      <w:r w:rsidRPr="00BE108C">
        <w:rPr>
          <w:rFonts w:ascii="Times New Roman" w:hAnsi="Times New Roman" w:cs="Times New Roman"/>
          <w:noProof/>
          <w:sz w:val="22"/>
          <w:szCs w:val="22"/>
        </w:rPr>
        <w:t>itoprid</w:t>
      </w:r>
      <w:r>
        <w:rPr>
          <w:rFonts w:ascii="Times New Roman" w:hAnsi="Times New Roman" w:cs="Times New Roman"/>
          <w:noProof/>
          <w:sz w:val="22"/>
          <w:szCs w:val="22"/>
        </w:rPr>
        <w:t>u</w:t>
      </w:r>
      <w:r w:rsidRPr="00BE108C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Pr="0065458E">
        <w:rPr>
          <w:rFonts w:ascii="Times New Roman" w:hAnsi="Times New Roman" w:cs="Times New Roman"/>
          <w:noProof/>
          <w:color w:val="auto"/>
          <w:sz w:val="22"/>
          <w:szCs w:val="22"/>
        </w:rPr>
        <w:t>môže byť u pacientov s trimetylaminúriou dlhší.</w:t>
      </w:r>
    </w:p>
    <w:p w:rsidR="00777F2C" w:rsidRPr="0065458E" w:rsidRDefault="00777F2C" w:rsidP="002E7F30">
      <w:pPr>
        <w:pStyle w:val="Default"/>
        <w:rPr>
          <w:rFonts w:ascii="Times New Roman" w:hAnsi="Times New Roman" w:cs="Times New Roman"/>
          <w:noProof/>
          <w:color w:val="auto"/>
          <w:sz w:val="22"/>
          <w:szCs w:val="22"/>
        </w:rPr>
      </w:pPr>
    </w:p>
    <w:p w:rsidR="00777F2C" w:rsidRPr="0065458E" w:rsidRDefault="00777F2C" w:rsidP="002E7F30">
      <w:pPr>
        <w:pStyle w:val="Default"/>
        <w:rPr>
          <w:rFonts w:ascii="Times New Roman" w:hAnsi="Times New Roman" w:cs="Times New Roman"/>
          <w:noProof/>
          <w:color w:val="auto"/>
          <w:sz w:val="22"/>
          <w:szCs w:val="22"/>
        </w:rPr>
      </w:pPr>
      <w:r w:rsidRPr="0065458E">
        <w:rPr>
          <w:rFonts w:ascii="Times New Roman" w:hAnsi="Times New Roman" w:cs="Times New Roman"/>
          <w:noProof/>
          <w:color w:val="auto"/>
          <w:sz w:val="22"/>
          <w:szCs w:val="22"/>
        </w:rPr>
        <w:t xml:space="preserve">Farmakokinetické štúdie reakcií sprostredkovaných CYP </w:t>
      </w:r>
      <w:r w:rsidRPr="0065458E">
        <w:rPr>
          <w:rFonts w:ascii="Times New Roman" w:hAnsi="Times New Roman" w:cs="Times New Roman"/>
          <w:i/>
          <w:iCs/>
          <w:noProof/>
          <w:color w:val="auto"/>
          <w:sz w:val="22"/>
          <w:szCs w:val="22"/>
        </w:rPr>
        <w:t xml:space="preserve">in vivo </w:t>
      </w:r>
      <w:r w:rsidRPr="0065458E">
        <w:rPr>
          <w:rFonts w:ascii="Times New Roman" w:hAnsi="Times New Roman" w:cs="Times New Roman"/>
          <w:noProof/>
          <w:color w:val="auto"/>
          <w:sz w:val="22"/>
          <w:szCs w:val="22"/>
        </w:rPr>
        <w:t xml:space="preserve">nepreukázali inhibičný ani indukčný účinok </w:t>
      </w:r>
      <w:r w:rsidRPr="00BE108C">
        <w:rPr>
          <w:rFonts w:ascii="Times New Roman" w:hAnsi="Times New Roman" w:cs="Times New Roman"/>
          <w:noProof/>
          <w:sz w:val="22"/>
          <w:szCs w:val="22"/>
        </w:rPr>
        <w:t>itoprid</w:t>
      </w:r>
      <w:r>
        <w:rPr>
          <w:rFonts w:ascii="Times New Roman" w:hAnsi="Times New Roman" w:cs="Times New Roman"/>
          <w:noProof/>
          <w:sz w:val="22"/>
          <w:szCs w:val="22"/>
        </w:rPr>
        <w:t>u</w:t>
      </w:r>
      <w:r w:rsidRPr="00BE108C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Pr="0065458E">
        <w:rPr>
          <w:rFonts w:ascii="Times New Roman" w:hAnsi="Times New Roman" w:cs="Times New Roman"/>
          <w:noProof/>
          <w:color w:val="auto"/>
          <w:sz w:val="22"/>
          <w:szCs w:val="22"/>
        </w:rPr>
        <w:t>na CYP2C19 a CYP2E1. Podanie itopri</w:t>
      </w:r>
      <w:r>
        <w:rPr>
          <w:rFonts w:ascii="Times New Roman" w:hAnsi="Times New Roman" w:cs="Times New Roman"/>
          <w:noProof/>
          <w:color w:val="auto"/>
          <w:sz w:val="22"/>
          <w:szCs w:val="22"/>
        </w:rPr>
        <w:t>du</w:t>
      </w:r>
      <w:r w:rsidRPr="0065458E">
        <w:rPr>
          <w:rFonts w:ascii="Times New Roman" w:hAnsi="Times New Roman" w:cs="Times New Roman"/>
          <w:noProof/>
          <w:color w:val="auto"/>
          <w:sz w:val="22"/>
          <w:szCs w:val="22"/>
        </w:rPr>
        <w:t xml:space="preserve"> nemalo vplyv na obsah CYP ani aktivitu uridíndifosfátglukuronyltransferázy. </w:t>
      </w:r>
    </w:p>
    <w:p w:rsidR="00777F2C" w:rsidRPr="0065458E" w:rsidRDefault="00777F2C" w:rsidP="002E7F30">
      <w:pPr>
        <w:pStyle w:val="Default"/>
        <w:rPr>
          <w:rFonts w:ascii="Times New Roman" w:hAnsi="Times New Roman" w:cs="Times New Roman"/>
          <w:iCs/>
          <w:noProof/>
          <w:color w:val="auto"/>
          <w:sz w:val="22"/>
          <w:szCs w:val="22"/>
          <w:u w:val="single"/>
        </w:rPr>
      </w:pPr>
    </w:p>
    <w:p w:rsidR="00777F2C" w:rsidRPr="0065458E" w:rsidRDefault="00777F2C" w:rsidP="002E7F30">
      <w:pPr>
        <w:pStyle w:val="Default"/>
        <w:rPr>
          <w:rFonts w:ascii="Times New Roman" w:hAnsi="Times New Roman" w:cs="Times New Roman"/>
          <w:noProof/>
          <w:color w:val="auto"/>
          <w:sz w:val="22"/>
          <w:szCs w:val="22"/>
          <w:u w:val="single"/>
        </w:rPr>
      </w:pPr>
      <w:r w:rsidRPr="0065458E">
        <w:rPr>
          <w:rFonts w:ascii="Times New Roman" w:hAnsi="Times New Roman" w:cs="Times New Roman"/>
          <w:iCs/>
          <w:noProof/>
          <w:color w:val="auto"/>
          <w:sz w:val="22"/>
          <w:szCs w:val="22"/>
          <w:u w:val="single"/>
        </w:rPr>
        <w:t>Eliminácia</w:t>
      </w:r>
    </w:p>
    <w:p w:rsidR="00777F2C" w:rsidRPr="0065458E" w:rsidRDefault="00777F2C" w:rsidP="002E7F30">
      <w:pPr>
        <w:pStyle w:val="Default"/>
        <w:rPr>
          <w:rFonts w:ascii="Times New Roman" w:hAnsi="Times New Roman" w:cs="Times New Roman"/>
          <w:noProof/>
          <w:color w:val="auto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t>Itoprid</w:t>
      </w:r>
      <w:r w:rsidRPr="00BE108C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Pr="0065458E">
        <w:rPr>
          <w:rFonts w:ascii="Times New Roman" w:hAnsi="Times New Roman" w:cs="Times New Roman"/>
          <w:noProof/>
          <w:color w:val="auto"/>
          <w:sz w:val="22"/>
          <w:szCs w:val="22"/>
        </w:rPr>
        <w:t xml:space="preserve">a jeho metabolity sa primárne vylučujú do moču. Množstvo močom vylúčeného itopridu po jednorazovom perorálnom podaní liečebnej dávky zdravým jedincom je 3,7 % a jeho N-oxidu 75,4 %. </w:t>
      </w:r>
    </w:p>
    <w:p w:rsidR="00777F2C" w:rsidRPr="0065458E" w:rsidRDefault="00777F2C" w:rsidP="002E7F30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65458E">
        <w:rPr>
          <w:noProof/>
          <w:sz w:val="22"/>
          <w:szCs w:val="22"/>
        </w:rPr>
        <w:t>Polčas vylučovania itopridu je približne 6 hodín.</w:t>
      </w:r>
    </w:p>
    <w:p w:rsidR="00777F2C" w:rsidRPr="0065458E" w:rsidRDefault="00777F2C" w:rsidP="00E90E60">
      <w:pPr>
        <w:autoSpaceDE w:val="0"/>
        <w:autoSpaceDN w:val="0"/>
        <w:adjustRightInd w:val="0"/>
        <w:rPr>
          <w:b/>
          <w:bCs/>
          <w:noProof/>
          <w:sz w:val="22"/>
          <w:szCs w:val="22"/>
        </w:rPr>
      </w:pPr>
    </w:p>
    <w:p w:rsidR="00777F2C" w:rsidRPr="0065458E" w:rsidRDefault="00777F2C" w:rsidP="00E90E60">
      <w:pPr>
        <w:autoSpaceDE w:val="0"/>
        <w:autoSpaceDN w:val="0"/>
        <w:adjustRightInd w:val="0"/>
        <w:rPr>
          <w:b/>
          <w:bCs/>
          <w:noProof/>
          <w:sz w:val="22"/>
          <w:szCs w:val="22"/>
        </w:rPr>
      </w:pPr>
      <w:r w:rsidRPr="0065458E">
        <w:rPr>
          <w:b/>
          <w:bCs/>
          <w:noProof/>
          <w:sz w:val="22"/>
          <w:szCs w:val="22"/>
        </w:rPr>
        <w:t>5.3</w:t>
      </w:r>
      <w:r w:rsidRPr="0065458E">
        <w:rPr>
          <w:b/>
          <w:bCs/>
          <w:noProof/>
          <w:sz w:val="22"/>
          <w:szCs w:val="22"/>
        </w:rPr>
        <w:tab/>
        <w:t>Predklinické údaje o bezpečnosti</w:t>
      </w:r>
    </w:p>
    <w:p w:rsidR="00777F2C" w:rsidRPr="0065458E" w:rsidRDefault="00777F2C" w:rsidP="00910078">
      <w:pPr>
        <w:autoSpaceDE w:val="0"/>
        <w:autoSpaceDN w:val="0"/>
        <w:adjustRightInd w:val="0"/>
        <w:rPr>
          <w:noProof/>
          <w:sz w:val="22"/>
          <w:szCs w:val="22"/>
        </w:rPr>
      </w:pPr>
    </w:p>
    <w:p w:rsidR="00777F2C" w:rsidRPr="0065458E" w:rsidRDefault="00777F2C" w:rsidP="00F17540">
      <w:pPr>
        <w:pStyle w:val="Default"/>
        <w:rPr>
          <w:rFonts w:ascii="Times New Roman" w:hAnsi="Times New Roman" w:cs="Times New Roman"/>
          <w:noProof/>
          <w:color w:val="auto"/>
          <w:sz w:val="22"/>
          <w:szCs w:val="22"/>
        </w:rPr>
      </w:pPr>
      <w:r w:rsidRPr="0065458E">
        <w:rPr>
          <w:rFonts w:ascii="Times New Roman" w:hAnsi="Times New Roman" w:cs="Times New Roman"/>
          <w:noProof/>
          <w:color w:val="auto"/>
          <w:sz w:val="22"/>
          <w:szCs w:val="22"/>
        </w:rPr>
        <w:t>Predklinické štúdie bezpečnosti sa vykonali len s dávkami vysoko presahujúcimi liečebné dávky u človeka a zistené účinky majú malý význam pre použitie itopridu u ľudí. Okrem toho, ľudia sú menej náchylní na hormonálne účinky, ktoré sa zaznamenali u zvierat.</w:t>
      </w:r>
    </w:p>
    <w:p w:rsidR="00777F2C" w:rsidRDefault="00777F2C" w:rsidP="00F17540">
      <w:pPr>
        <w:pStyle w:val="Default"/>
        <w:rPr>
          <w:rFonts w:ascii="Times New Roman" w:hAnsi="Times New Roman" w:cs="Times New Roman"/>
          <w:noProof/>
          <w:color w:val="auto"/>
          <w:sz w:val="22"/>
          <w:szCs w:val="22"/>
        </w:rPr>
      </w:pPr>
    </w:p>
    <w:p w:rsidR="00777F2C" w:rsidRPr="0065458E" w:rsidRDefault="00777F2C" w:rsidP="005E0CBF">
      <w:pPr>
        <w:pStyle w:val="Default"/>
        <w:rPr>
          <w:rFonts w:ascii="Times New Roman" w:hAnsi="Times New Roman" w:cs="Times New Roman"/>
          <w:noProof/>
          <w:color w:val="auto"/>
          <w:sz w:val="22"/>
          <w:szCs w:val="22"/>
        </w:rPr>
      </w:pPr>
      <w:r w:rsidRPr="0065458E">
        <w:rPr>
          <w:rFonts w:ascii="Times New Roman" w:hAnsi="Times New Roman" w:cs="Times New Roman"/>
          <w:noProof/>
          <w:color w:val="auto"/>
          <w:sz w:val="22"/>
          <w:szCs w:val="22"/>
        </w:rPr>
        <w:t>Perorálne podaná jednorazová letálna dávka bola 2 000 mg/kg u myší a potkanov a približne 600 mg/kg u psov.</w:t>
      </w:r>
    </w:p>
    <w:p w:rsidR="00777F2C" w:rsidRPr="0065458E" w:rsidRDefault="00777F2C" w:rsidP="005E0CBF">
      <w:pPr>
        <w:pStyle w:val="Default"/>
        <w:rPr>
          <w:rFonts w:ascii="Times New Roman" w:hAnsi="Times New Roman" w:cs="Times New Roman"/>
          <w:noProof/>
          <w:color w:val="auto"/>
          <w:sz w:val="22"/>
          <w:szCs w:val="22"/>
        </w:rPr>
      </w:pPr>
    </w:p>
    <w:p w:rsidR="00777F2C" w:rsidRPr="0065458E" w:rsidRDefault="00777F2C" w:rsidP="00F17540">
      <w:pPr>
        <w:pStyle w:val="Default"/>
        <w:rPr>
          <w:rFonts w:ascii="Times New Roman" w:hAnsi="Times New Roman" w:cs="Times New Roman"/>
          <w:noProof/>
          <w:color w:val="auto"/>
          <w:sz w:val="22"/>
          <w:szCs w:val="22"/>
        </w:rPr>
      </w:pPr>
      <w:r w:rsidRPr="0065458E">
        <w:rPr>
          <w:rFonts w:ascii="Times New Roman" w:hAnsi="Times New Roman" w:cs="Times New Roman"/>
          <w:noProof/>
          <w:color w:val="auto"/>
          <w:sz w:val="22"/>
          <w:szCs w:val="22"/>
        </w:rPr>
        <w:t xml:space="preserve">Vysoké dávky itopridu (30 mg/kg/deň) vyvolali u potkanov hyperprolaktinémiu a sekundárnu reverzibilnú hyperpláziu </w:t>
      </w:r>
      <w:r>
        <w:rPr>
          <w:rFonts w:ascii="Times New Roman" w:hAnsi="Times New Roman" w:cs="Times New Roman"/>
          <w:noProof/>
          <w:color w:val="auto"/>
          <w:sz w:val="22"/>
          <w:szCs w:val="22"/>
        </w:rPr>
        <w:t xml:space="preserve">sliznice </w:t>
      </w:r>
      <w:r w:rsidRPr="0065458E">
        <w:rPr>
          <w:rFonts w:ascii="Times New Roman" w:hAnsi="Times New Roman" w:cs="Times New Roman"/>
          <w:noProof/>
          <w:color w:val="auto"/>
          <w:sz w:val="22"/>
          <w:szCs w:val="22"/>
        </w:rPr>
        <w:t xml:space="preserve">maternice, avšak tento jav nebol pozorovaný u psov (do dávky 100 mg/kg/deň) alebo </w:t>
      </w:r>
      <w:r>
        <w:rPr>
          <w:rFonts w:ascii="Times New Roman" w:hAnsi="Times New Roman" w:cs="Times New Roman"/>
          <w:noProof/>
          <w:color w:val="auto"/>
          <w:sz w:val="22"/>
          <w:szCs w:val="22"/>
        </w:rPr>
        <w:t>opíc</w:t>
      </w:r>
      <w:r w:rsidRPr="0065458E">
        <w:rPr>
          <w:rFonts w:ascii="Times New Roman" w:hAnsi="Times New Roman" w:cs="Times New Roman"/>
          <w:noProof/>
          <w:color w:val="auto"/>
          <w:sz w:val="22"/>
          <w:szCs w:val="22"/>
        </w:rPr>
        <w:t xml:space="preserve"> (do dávky 300 mg/kg/deň).</w:t>
      </w:r>
    </w:p>
    <w:p w:rsidR="00777F2C" w:rsidRPr="0065458E" w:rsidRDefault="00777F2C" w:rsidP="00F17540">
      <w:pPr>
        <w:pStyle w:val="Default"/>
        <w:rPr>
          <w:rFonts w:ascii="Times New Roman" w:hAnsi="Times New Roman" w:cs="Times New Roman"/>
          <w:noProof/>
          <w:color w:val="auto"/>
          <w:sz w:val="22"/>
          <w:szCs w:val="22"/>
        </w:rPr>
      </w:pPr>
    </w:p>
    <w:p w:rsidR="00777F2C" w:rsidRPr="0065458E" w:rsidRDefault="00777F2C" w:rsidP="00F17540">
      <w:pPr>
        <w:pStyle w:val="Default"/>
        <w:rPr>
          <w:rFonts w:ascii="Times New Roman" w:hAnsi="Times New Roman" w:cs="Times New Roman"/>
          <w:noProof/>
          <w:color w:val="auto"/>
          <w:sz w:val="22"/>
          <w:szCs w:val="22"/>
        </w:rPr>
      </w:pPr>
      <w:r w:rsidRPr="0065458E">
        <w:rPr>
          <w:rFonts w:ascii="Times New Roman" w:hAnsi="Times New Roman" w:cs="Times New Roman"/>
          <w:noProof/>
          <w:color w:val="auto"/>
          <w:sz w:val="22"/>
          <w:szCs w:val="22"/>
        </w:rPr>
        <w:t xml:space="preserve">V 3-mesačnej štúdii toxicity na psoch sa zistila atrofia prostaty po perorálnych dávkach itopridu 30 mg/kg/deň, avšak nie po perorálnom podávaní vyšších dávok (100 mg/kg/deň) potkanom alebo ešte vyšších dávok (300 mg/kg/deň) </w:t>
      </w:r>
      <w:r>
        <w:rPr>
          <w:rFonts w:ascii="Times New Roman" w:hAnsi="Times New Roman" w:cs="Times New Roman"/>
          <w:noProof/>
          <w:color w:val="auto"/>
          <w:sz w:val="22"/>
          <w:szCs w:val="22"/>
        </w:rPr>
        <w:t>opiciam</w:t>
      </w:r>
      <w:r w:rsidRPr="0065458E">
        <w:rPr>
          <w:rFonts w:ascii="Times New Roman" w:hAnsi="Times New Roman" w:cs="Times New Roman"/>
          <w:noProof/>
          <w:color w:val="auto"/>
          <w:sz w:val="22"/>
          <w:szCs w:val="22"/>
        </w:rPr>
        <w:t xml:space="preserve"> – tieto dávky boli podávané po dobu až 6 mesiacov.</w:t>
      </w:r>
    </w:p>
    <w:p w:rsidR="00777F2C" w:rsidRPr="0065458E" w:rsidRDefault="00777F2C" w:rsidP="00F17540">
      <w:pPr>
        <w:pStyle w:val="Default"/>
        <w:rPr>
          <w:rFonts w:ascii="Times New Roman" w:hAnsi="Times New Roman" w:cs="Times New Roman"/>
          <w:noProof/>
          <w:color w:val="auto"/>
          <w:sz w:val="22"/>
          <w:szCs w:val="22"/>
        </w:rPr>
      </w:pPr>
    </w:p>
    <w:p w:rsidR="00777F2C" w:rsidRPr="0065458E" w:rsidRDefault="00777F2C" w:rsidP="00F17540">
      <w:pPr>
        <w:pStyle w:val="Default"/>
        <w:rPr>
          <w:rFonts w:ascii="Times New Roman" w:hAnsi="Times New Roman" w:cs="Times New Roman"/>
          <w:noProof/>
          <w:color w:val="auto"/>
          <w:sz w:val="22"/>
          <w:szCs w:val="22"/>
        </w:rPr>
      </w:pPr>
      <w:r w:rsidRPr="0065458E">
        <w:rPr>
          <w:rFonts w:ascii="Times New Roman" w:hAnsi="Times New Roman" w:cs="Times New Roman"/>
          <w:noProof/>
          <w:color w:val="auto"/>
          <w:sz w:val="22"/>
          <w:szCs w:val="22"/>
        </w:rPr>
        <w:t>Dlhodobé štúdie karcinogénneho potenciálu itoprid</w:t>
      </w:r>
      <w:r>
        <w:rPr>
          <w:rFonts w:ascii="Times New Roman" w:hAnsi="Times New Roman" w:cs="Times New Roman"/>
          <w:noProof/>
          <w:color w:val="auto"/>
          <w:sz w:val="22"/>
          <w:szCs w:val="22"/>
        </w:rPr>
        <w:t>u</w:t>
      </w:r>
      <w:r w:rsidRPr="0065458E">
        <w:rPr>
          <w:rFonts w:ascii="Times New Roman" w:hAnsi="Times New Roman" w:cs="Times New Roman"/>
          <w:noProof/>
          <w:color w:val="auto"/>
          <w:sz w:val="22"/>
          <w:szCs w:val="22"/>
        </w:rPr>
        <w:t xml:space="preserve"> na zvieratách sa nevykonali.</w:t>
      </w:r>
    </w:p>
    <w:p w:rsidR="00777F2C" w:rsidRPr="0065458E" w:rsidRDefault="00777F2C" w:rsidP="00F17540">
      <w:pPr>
        <w:pStyle w:val="Default"/>
        <w:rPr>
          <w:rFonts w:ascii="Times New Roman" w:hAnsi="Times New Roman" w:cs="Times New Roman"/>
          <w:noProof/>
          <w:color w:val="auto"/>
          <w:sz w:val="22"/>
          <w:szCs w:val="22"/>
        </w:rPr>
      </w:pPr>
    </w:p>
    <w:p w:rsidR="00777F2C" w:rsidRPr="0065458E" w:rsidRDefault="00777F2C" w:rsidP="00F17540">
      <w:pPr>
        <w:pStyle w:val="Default"/>
        <w:rPr>
          <w:rFonts w:ascii="Times New Roman" w:hAnsi="Times New Roman" w:cs="Times New Roman"/>
          <w:noProof/>
          <w:color w:val="auto"/>
          <w:sz w:val="22"/>
          <w:szCs w:val="22"/>
        </w:rPr>
      </w:pPr>
      <w:r w:rsidRPr="0065458E">
        <w:rPr>
          <w:rFonts w:ascii="Times New Roman" w:hAnsi="Times New Roman" w:cs="Times New Roman"/>
          <w:noProof/>
          <w:color w:val="auto"/>
          <w:sz w:val="22"/>
          <w:szCs w:val="22"/>
        </w:rPr>
        <w:t xml:space="preserve">V sérii </w:t>
      </w:r>
      <w:r w:rsidRPr="0065458E">
        <w:rPr>
          <w:rFonts w:ascii="Times New Roman" w:hAnsi="Times New Roman" w:cs="Times New Roman"/>
          <w:i/>
          <w:iCs/>
          <w:noProof/>
          <w:color w:val="auto"/>
          <w:sz w:val="22"/>
          <w:szCs w:val="22"/>
        </w:rPr>
        <w:t xml:space="preserve">in vitro </w:t>
      </w:r>
      <w:r w:rsidRPr="0065458E">
        <w:rPr>
          <w:rFonts w:ascii="Times New Roman" w:hAnsi="Times New Roman" w:cs="Times New Roman"/>
          <w:noProof/>
          <w:color w:val="auto"/>
          <w:sz w:val="22"/>
          <w:szCs w:val="22"/>
        </w:rPr>
        <w:t xml:space="preserve">a </w:t>
      </w:r>
      <w:r w:rsidRPr="0065458E">
        <w:rPr>
          <w:rFonts w:ascii="Times New Roman" w:hAnsi="Times New Roman" w:cs="Times New Roman"/>
          <w:i/>
          <w:iCs/>
          <w:noProof/>
          <w:color w:val="auto"/>
          <w:sz w:val="22"/>
          <w:szCs w:val="22"/>
        </w:rPr>
        <w:t xml:space="preserve">in vivo </w:t>
      </w:r>
      <w:r w:rsidRPr="0065458E">
        <w:rPr>
          <w:rFonts w:ascii="Times New Roman" w:hAnsi="Times New Roman" w:cs="Times New Roman"/>
          <w:noProof/>
          <w:color w:val="auto"/>
          <w:sz w:val="22"/>
          <w:szCs w:val="22"/>
        </w:rPr>
        <w:t>skúšok sa nezistil klastogénny ani mutagénny účinok itoprid</w:t>
      </w:r>
      <w:r>
        <w:rPr>
          <w:rFonts w:ascii="Times New Roman" w:hAnsi="Times New Roman" w:cs="Times New Roman"/>
          <w:noProof/>
          <w:color w:val="auto"/>
          <w:sz w:val="22"/>
          <w:szCs w:val="22"/>
        </w:rPr>
        <w:t>u</w:t>
      </w:r>
      <w:r w:rsidRPr="0065458E">
        <w:rPr>
          <w:rFonts w:ascii="Times New Roman" w:hAnsi="Times New Roman" w:cs="Times New Roman"/>
          <w:noProof/>
          <w:color w:val="auto"/>
          <w:sz w:val="22"/>
          <w:szCs w:val="22"/>
        </w:rPr>
        <w:t>.</w:t>
      </w:r>
    </w:p>
    <w:p w:rsidR="00777F2C" w:rsidRPr="0065458E" w:rsidRDefault="00777F2C" w:rsidP="00F17540">
      <w:pPr>
        <w:pStyle w:val="Default"/>
        <w:rPr>
          <w:rFonts w:ascii="Times New Roman" w:hAnsi="Times New Roman" w:cs="Times New Roman"/>
          <w:noProof/>
          <w:color w:val="auto"/>
          <w:sz w:val="22"/>
          <w:szCs w:val="22"/>
        </w:rPr>
      </w:pPr>
    </w:p>
    <w:p w:rsidR="00777F2C" w:rsidRPr="0065458E" w:rsidRDefault="00777F2C" w:rsidP="00910078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65458E">
        <w:rPr>
          <w:noProof/>
          <w:sz w:val="22"/>
          <w:szCs w:val="22"/>
        </w:rPr>
        <w:t>V štúdiách fertility u</w:t>
      </w:r>
      <w:r>
        <w:rPr>
          <w:noProof/>
          <w:sz w:val="22"/>
          <w:szCs w:val="22"/>
        </w:rPr>
        <w:t> </w:t>
      </w:r>
      <w:r w:rsidRPr="0065458E">
        <w:rPr>
          <w:noProof/>
          <w:sz w:val="22"/>
          <w:szCs w:val="22"/>
        </w:rPr>
        <w:t>samíc</w:t>
      </w:r>
      <w:r>
        <w:rPr>
          <w:noProof/>
          <w:sz w:val="22"/>
          <w:szCs w:val="22"/>
        </w:rPr>
        <w:t xml:space="preserve"> potkanov</w:t>
      </w:r>
      <w:r w:rsidRPr="0065458E">
        <w:rPr>
          <w:noProof/>
          <w:sz w:val="22"/>
          <w:szCs w:val="22"/>
        </w:rPr>
        <w:t>, ktoré dostávali dávku 30 mg/kg/deň alebo vyššiu, sa zistila hyperprolaktinémia a sekundárn</w:t>
      </w:r>
      <w:r>
        <w:rPr>
          <w:noProof/>
          <w:sz w:val="22"/>
          <w:szCs w:val="22"/>
        </w:rPr>
        <w:t>e</w:t>
      </w:r>
      <w:r w:rsidRPr="0065458E">
        <w:rPr>
          <w:noProof/>
          <w:sz w:val="22"/>
          <w:szCs w:val="22"/>
        </w:rPr>
        <w:t xml:space="preserve"> predĺžen</w:t>
      </w:r>
      <w:r>
        <w:rPr>
          <w:noProof/>
          <w:sz w:val="22"/>
          <w:szCs w:val="22"/>
        </w:rPr>
        <w:t>ie</w:t>
      </w:r>
      <w:r w:rsidRPr="0065458E">
        <w:rPr>
          <w:noProof/>
          <w:sz w:val="22"/>
          <w:szCs w:val="22"/>
        </w:rPr>
        <w:t xml:space="preserve"> estr</w:t>
      </w:r>
      <w:r>
        <w:rPr>
          <w:noProof/>
          <w:sz w:val="22"/>
          <w:szCs w:val="22"/>
        </w:rPr>
        <w:t>álneho</w:t>
      </w:r>
      <w:r w:rsidRPr="0065458E">
        <w:rPr>
          <w:noProof/>
          <w:sz w:val="22"/>
          <w:szCs w:val="22"/>
        </w:rPr>
        <w:t xml:space="preserve"> cyklu. Pri dávkach 300 mg/kg/deň sa pozoroval aj predĺžený predkoitálny interval. Nezistil sa vedľajší účinok na kopuláciu alebo fertilitu.</w:t>
      </w:r>
    </w:p>
    <w:p w:rsidR="00777F2C" w:rsidRPr="0065458E" w:rsidRDefault="00777F2C" w:rsidP="00836005">
      <w:pPr>
        <w:autoSpaceDE w:val="0"/>
        <w:autoSpaceDN w:val="0"/>
        <w:adjustRightInd w:val="0"/>
        <w:rPr>
          <w:b/>
          <w:bCs/>
          <w:noProof/>
          <w:sz w:val="22"/>
          <w:szCs w:val="22"/>
        </w:rPr>
      </w:pPr>
    </w:p>
    <w:p w:rsidR="00777F2C" w:rsidRPr="0065458E" w:rsidRDefault="00777F2C" w:rsidP="00756206">
      <w:pPr>
        <w:autoSpaceDE w:val="0"/>
        <w:autoSpaceDN w:val="0"/>
        <w:adjustRightInd w:val="0"/>
        <w:rPr>
          <w:b/>
          <w:bCs/>
          <w:noProof/>
          <w:sz w:val="22"/>
          <w:szCs w:val="22"/>
        </w:rPr>
      </w:pPr>
    </w:p>
    <w:p w:rsidR="00777F2C" w:rsidRPr="0065458E" w:rsidRDefault="00777F2C" w:rsidP="00E90E60">
      <w:pPr>
        <w:autoSpaceDE w:val="0"/>
        <w:autoSpaceDN w:val="0"/>
        <w:adjustRightInd w:val="0"/>
        <w:rPr>
          <w:b/>
          <w:bCs/>
          <w:noProof/>
          <w:sz w:val="22"/>
          <w:szCs w:val="22"/>
        </w:rPr>
      </w:pPr>
      <w:r w:rsidRPr="0065458E">
        <w:rPr>
          <w:b/>
          <w:bCs/>
          <w:noProof/>
          <w:sz w:val="22"/>
          <w:szCs w:val="22"/>
        </w:rPr>
        <w:t>6.</w:t>
      </w:r>
      <w:r w:rsidRPr="0065458E">
        <w:rPr>
          <w:b/>
          <w:bCs/>
          <w:noProof/>
          <w:sz w:val="22"/>
          <w:szCs w:val="22"/>
        </w:rPr>
        <w:tab/>
        <w:t>FARMACEUTICKÉ INFORMÁCIE</w:t>
      </w:r>
    </w:p>
    <w:p w:rsidR="00777F2C" w:rsidRPr="0065458E" w:rsidRDefault="00777F2C" w:rsidP="00E90E60">
      <w:pPr>
        <w:autoSpaceDE w:val="0"/>
        <w:autoSpaceDN w:val="0"/>
        <w:adjustRightInd w:val="0"/>
        <w:rPr>
          <w:b/>
          <w:bCs/>
          <w:noProof/>
          <w:sz w:val="22"/>
          <w:szCs w:val="22"/>
        </w:rPr>
      </w:pPr>
    </w:p>
    <w:p w:rsidR="00777F2C" w:rsidRPr="0065458E" w:rsidRDefault="00777F2C" w:rsidP="00E90E60">
      <w:pPr>
        <w:autoSpaceDE w:val="0"/>
        <w:autoSpaceDN w:val="0"/>
        <w:adjustRightInd w:val="0"/>
        <w:rPr>
          <w:b/>
          <w:bCs/>
          <w:noProof/>
          <w:sz w:val="22"/>
          <w:szCs w:val="22"/>
        </w:rPr>
      </w:pPr>
      <w:r w:rsidRPr="0065458E">
        <w:rPr>
          <w:b/>
          <w:bCs/>
          <w:noProof/>
          <w:sz w:val="22"/>
          <w:szCs w:val="22"/>
        </w:rPr>
        <w:t>6.1</w:t>
      </w:r>
      <w:r w:rsidRPr="0065458E">
        <w:rPr>
          <w:b/>
          <w:bCs/>
          <w:noProof/>
          <w:sz w:val="22"/>
          <w:szCs w:val="22"/>
        </w:rPr>
        <w:tab/>
        <w:t>Zoznam pomocných látok</w:t>
      </w:r>
    </w:p>
    <w:p w:rsidR="00777F2C" w:rsidRPr="0065458E" w:rsidRDefault="00777F2C" w:rsidP="00E90E60">
      <w:pPr>
        <w:autoSpaceDE w:val="0"/>
        <w:autoSpaceDN w:val="0"/>
        <w:adjustRightInd w:val="0"/>
        <w:rPr>
          <w:noProof/>
          <w:sz w:val="22"/>
          <w:szCs w:val="22"/>
        </w:rPr>
      </w:pPr>
    </w:p>
    <w:p w:rsidR="00777F2C" w:rsidRPr="0065458E" w:rsidRDefault="00777F2C" w:rsidP="00E90E60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65458E">
        <w:rPr>
          <w:noProof/>
          <w:sz w:val="22"/>
          <w:szCs w:val="22"/>
        </w:rPr>
        <w:t>monohydrát laktózy</w:t>
      </w:r>
    </w:p>
    <w:p w:rsidR="00777F2C" w:rsidRPr="0065458E" w:rsidRDefault="00777F2C" w:rsidP="00E90E60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65458E">
        <w:rPr>
          <w:noProof/>
          <w:sz w:val="22"/>
          <w:szCs w:val="22"/>
        </w:rPr>
        <w:t>predželatinovaný škrob</w:t>
      </w:r>
    </w:p>
    <w:p w:rsidR="00777F2C" w:rsidRPr="0065458E" w:rsidRDefault="00777F2C" w:rsidP="00E90E60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65458E">
        <w:rPr>
          <w:noProof/>
          <w:sz w:val="22"/>
          <w:szCs w:val="22"/>
        </w:rPr>
        <w:t>sodná soľ kroskarme</w:t>
      </w:r>
      <w:r>
        <w:rPr>
          <w:noProof/>
          <w:sz w:val="22"/>
          <w:szCs w:val="22"/>
        </w:rPr>
        <w:t>l</w:t>
      </w:r>
      <w:r w:rsidRPr="0065458E">
        <w:rPr>
          <w:noProof/>
          <w:sz w:val="22"/>
          <w:szCs w:val="22"/>
        </w:rPr>
        <w:t>ózy</w:t>
      </w:r>
    </w:p>
    <w:p w:rsidR="00777F2C" w:rsidRPr="0065458E" w:rsidRDefault="00777F2C" w:rsidP="00E90E60">
      <w:pPr>
        <w:autoSpaceDE w:val="0"/>
        <w:autoSpaceDN w:val="0"/>
        <w:adjustRightInd w:val="0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koloidný </w:t>
      </w:r>
      <w:r w:rsidRPr="0065458E">
        <w:rPr>
          <w:noProof/>
          <w:sz w:val="22"/>
          <w:szCs w:val="22"/>
        </w:rPr>
        <w:t>oxid kremičitý</w:t>
      </w:r>
      <w:r>
        <w:rPr>
          <w:noProof/>
          <w:sz w:val="22"/>
          <w:szCs w:val="22"/>
        </w:rPr>
        <w:t xml:space="preserve"> </w:t>
      </w:r>
      <w:r w:rsidRPr="0065458E">
        <w:rPr>
          <w:noProof/>
          <w:sz w:val="22"/>
          <w:szCs w:val="22"/>
        </w:rPr>
        <w:t>bezvodý</w:t>
      </w:r>
    </w:p>
    <w:p w:rsidR="00777F2C" w:rsidRPr="0065458E" w:rsidRDefault="00777F2C" w:rsidP="00E90E60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65458E">
        <w:rPr>
          <w:noProof/>
          <w:sz w:val="22"/>
          <w:szCs w:val="22"/>
        </w:rPr>
        <w:t>magnéziumstearát</w:t>
      </w:r>
    </w:p>
    <w:p w:rsidR="00777F2C" w:rsidRPr="0065458E" w:rsidRDefault="00777F2C" w:rsidP="00E90E60">
      <w:pPr>
        <w:autoSpaceDE w:val="0"/>
        <w:autoSpaceDN w:val="0"/>
        <w:adjustRightInd w:val="0"/>
        <w:rPr>
          <w:b/>
          <w:bCs/>
          <w:noProof/>
          <w:sz w:val="22"/>
          <w:szCs w:val="22"/>
        </w:rPr>
      </w:pPr>
    </w:p>
    <w:p w:rsidR="00777F2C" w:rsidRPr="0065458E" w:rsidRDefault="00777F2C" w:rsidP="00E90E60">
      <w:pPr>
        <w:autoSpaceDE w:val="0"/>
        <w:autoSpaceDN w:val="0"/>
        <w:adjustRightInd w:val="0"/>
        <w:rPr>
          <w:b/>
          <w:bCs/>
          <w:noProof/>
          <w:sz w:val="22"/>
          <w:szCs w:val="22"/>
        </w:rPr>
      </w:pPr>
      <w:r w:rsidRPr="0065458E">
        <w:rPr>
          <w:b/>
          <w:bCs/>
          <w:noProof/>
          <w:sz w:val="22"/>
          <w:szCs w:val="22"/>
        </w:rPr>
        <w:t>6.2</w:t>
      </w:r>
      <w:r w:rsidRPr="0065458E">
        <w:rPr>
          <w:b/>
          <w:bCs/>
          <w:noProof/>
          <w:sz w:val="22"/>
          <w:szCs w:val="22"/>
        </w:rPr>
        <w:tab/>
        <w:t>Inkompatibility</w:t>
      </w:r>
    </w:p>
    <w:p w:rsidR="00777F2C" w:rsidRPr="0065458E" w:rsidRDefault="00777F2C" w:rsidP="00E90E60">
      <w:pPr>
        <w:autoSpaceDE w:val="0"/>
        <w:autoSpaceDN w:val="0"/>
        <w:adjustRightInd w:val="0"/>
        <w:rPr>
          <w:noProof/>
          <w:sz w:val="22"/>
          <w:szCs w:val="22"/>
        </w:rPr>
      </w:pPr>
    </w:p>
    <w:p w:rsidR="00777F2C" w:rsidRPr="0065458E" w:rsidRDefault="00777F2C" w:rsidP="00E90E60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65458E">
        <w:rPr>
          <w:noProof/>
          <w:sz w:val="22"/>
          <w:szCs w:val="22"/>
        </w:rPr>
        <w:t>Neaplikovateľné.</w:t>
      </w:r>
    </w:p>
    <w:p w:rsidR="00777F2C" w:rsidRPr="0065458E" w:rsidRDefault="00777F2C" w:rsidP="00E90E60">
      <w:pPr>
        <w:autoSpaceDE w:val="0"/>
        <w:autoSpaceDN w:val="0"/>
        <w:adjustRightInd w:val="0"/>
        <w:rPr>
          <w:b/>
          <w:bCs/>
          <w:noProof/>
          <w:sz w:val="22"/>
          <w:szCs w:val="22"/>
        </w:rPr>
      </w:pPr>
    </w:p>
    <w:p w:rsidR="00777F2C" w:rsidRPr="0065458E" w:rsidRDefault="00777F2C" w:rsidP="00E90E60">
      <w:pPr>
        <w:autoSpaceDE w:val="0"/>
        <w:autoSpaceDN w:val="0"/>
        <w:adjustRightInd w:val="0"/>
        <w:rPr>
          <w:b/>
          <w:bCs/>
          <w:noProof/>
          <w:sz w:val="22"/>
          <w:szCs w:val="22"/>
        </w:rPr>
      </w:pPr>
      <w:r w:rsidRPr="0065458E">
        <w:rPr>
          <w:b/>
          <w:bCs/>
          <w:noProof/>
          <w:sz w:val="22"/>
          <w:szCs w:val="22"/>
        </w:rPr>
        <w:lastRenderedPageBreak/>
        <w:t>6.3</w:t>
      </w:r>
      <w:r w:rsidRPr="0065458E">
        <w:rPr>
          <w:b/>
          <w:bCs/>
          <w:noProof/>
          <w:sz w:val="22"/>
          <w:szCs w:val="22"/>
        </w:rPr>
        <w:tab/>
        <w:t>Čas použiteľnosti</w:t>
      </w:r>
    </w:p>
    <w:p w:rsidR="00777F2C" w:rsidRPr="0065458E" w:rsidRDefault="00777F2C" w:rsidP="00E90E60">
      <w:pPr>
        <w:autoSpaceDE w:val="0"/>
        <w:autoSpaceDN w:val="0"/>
        <w:adjustRightInd w:val="0"/>
        <w:rPr>
          <w:noProof/>
          <w:sz w:val="22"/>
          <w:szCs w:val="22"/>
        </w:rPr>
      </w:pPr>
    </w:p>
    <w:p w:rsidR="00777F2C" w:rsidRPr="0065458E" w:rsidRDefault="00A86630" w:rsidP="00E90E60">
      <w:pPr>
        <w:autoSpaceDE w:val="0"/>
        <w:autoSpaceDN w:val="0"/>
        <w:adjustRightInd w:val="0"/>
        <w:rPr>
          <w:noProof/>
          <w:sz w:val="22"/>
          <w:szCs w:val="22"/>
        </w:rPr>
      </w:pPr>
      <w:r>
        <w:rPr>
          <w:noProof/>
          <w:sz w:val="22"/>
          <w:szCs w:val="22"/>
        </w:rPr>
        <w:t>2 roky</w:t>
      </w:r>
    </w:p>
    <w:p w:rsidR="00777F2C" w:rsidRPr="0065458E" w:rsidRDefault="00777F2C" w:rsidP="00E90E60">
      <w:pPr>
        <w:autoSpaceDE w:val="0"/>
        <w:autoSpaceDN w:val="0"/>
        <w:adjustRightInd w:val="0"/>
        <w:rPr>
          <w:b/>
          <w:bCs/>
          <w:noProof/>
          <w:sz w:val="22"/>
          <w:szCs w:val="22"/>
        </w:rPr>
      </w:pPr>
    </w:p>
    <w:p w:rsidR="00777F2C" w:rsidRPr="0065458E" w:rsidRDefault="00777F2C" w:rsidP="00E90E60">
      <w:pPr>
        <w:autoSpaceDE w:val="0"/>
        <w:autoSpaceDN w:val="0"/>
        <w:adjustRightInd w:val="0"/>
        <w:rPr>
          <w:b/>
          <w:bCs/>
          <w:noProof/>
          <w:sz w:val="22"/>
          <w:szCs w:val="22"/>
        </w:rPr>
      </w:pPr>
      <w:r w:rsidRPr="0065458E">
        <w:rPr>
          <w:b/>
          <w:bCs/>
          <w:noProof/>
          <w:sz w:val="22"/>
          <w:szCs w:val="22"/>
        </w:rPr>
        <w:t>6.4</w:t>
      </w:r>
      <w:r w:rsidRPr="0065458E">
        <w:rPr>
          <w:b/>
          <w:bCs/>
          <w:noProof/>
          <w:sz w:val="22"/>
          <w:szCs w:val="22"/>
        </w:rPr>
        <w:tab/>
        <w:t>Špeciálne upozornenia na uchovávanie</w:t>
      </w:r>
    </w:p>
    <w:p w:rsidR="00777F2C" w:rsidRPr="0065458E" w:rsidRDefault="00777F2C" w:rsidP="00E90E60">
      <w:pPr>
        <w:autoSpaceDE w:val="0"/>
        <w:autoSpaceDN w:val="0"/>
        <w:adjustRightInd w:val="0"/>
        <w:rPr>
          <w:bCs/>
          <w:noProof/>
          <w:sz w:val="22"/>
          <w:szCs w:val="22"/>
        </w:rPr>
      </w:pPr>
    </w:p>
    <w:p w:rsidR="00777F2C" w:rsidRPr="0065458E" w:rsidRDefault="00777F2C" w:rsidP="00E90E60">
      <w:pPr>
        <w:autoSpaceDE w:val="0"/>
        <w:autoSpaceDN w:val="0"/>
        <w:adjustRightInd w:val="0"/>
        <w:rPr>
          <w:bCs/>
          <w:noProof/>
          <w:sz w:val="22"/>
          <w:szCs w:val="22"/>
        </w:rPr>
      </w:pPr>
      <w:r>
        <w:rPr>
          <w:bCs/>
          <w:noProof/>
          <w:sz w:val="22"/>
          <w:szCs w:val="22"/>
        </w:rPr>
        <w:t>Uchovávajte pri teplote do 30°C, uchovávajte v originálnom balení na ochranu pred vlhkosťou.</w:t>
      </w:r>
    </w:p>
    <w:p w:rsidR="00777F2C" w:rsidRPr="0065458E" w:rsidRDefault="00777F2C" w:rsidP="00E90E60">
      <w:pPr>
        <w:autoSpaceDE w:val="0"/>
        <w:autoSpaceDN w:val="0"/>
        <w:adjustRightInd w:val="0"/>
        <w:rPr>
          <w:b/>
          <w:bCs/>
          <w:noProof/>
          <w:sz w:val="22"/>
          <w:szCs w:val="22"/>
        </w:rPr>
      </w:pPr>
    </w:p>
    <w:p w:rsidR="00777F2C" w:rsidRPr="0065458E" w:rsidRDefault="00777F2C" w:rsidP="00E90E60">
      <w:pPr>
        <w:autoSpaceDE w:val="0"/>
        <w:autoSpaceDN w:val="0"/>
        <w:adjustRightInd w:val="0"/>
        <w:rPr>
          <w:b/>
          <w:bCs/>
          <w:noProof/>
          <w:sz w:val="22"/>
          <w:szCs w:val="22"/>
        </w:rPr>
      </w:pPr>
      <w:r w:rsidRPr="0065458E">
        <w:rPr>
          <w:b/>
          <w:bCs/>
          <w:noProof/>
          <w:sz w:val="22"/>
          <w:szCs w:val="22"/>
        </w:rPr>
        <w:t>6.5</w:t>
      </w:r>
      <w:r w:rsidRPr="0065458E">
        <w:rPr>
          <w:b/>
          <w:bCs/>
          <w:noProof/>
          <w:sz w:val="22"/>
          <w:szCs w:val="22"/>
        </w:rPr>
        <w:tab/>
        <w:t>Druh obalu a obsah balenia</w:t>
      </w:r>
    </w:p>
    <w:p w:rsidR="00777F2C" w:rsidRPr="0065458E" w:rsidRDefault="00777F2C" w:rsidP="00E90E60">
      <w:pPr>
        <w:autoSpaceDE w:val="0"/>
        <w:autoSpaceDN w:val="0"/>
        <w:adjustRightInd w:val="0"/>
        <w:rPr>
          <w:noProof/>
          <w:sz w:val="22"/>
          <w:szCs w:val="22"/>
        </w:rPr>
      </w:pPr>
    </w:p>
    <w:p w:rsidR="00777F2C" w:rsidRPr="0065458E" w:rsidRDefault="00777F2C" w:rsidP="00E90E60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65458E">
        <w:rPr>
          <w:noProof/>
          <w:sz w:val="22"/>
          <w:szCs w:val="22"/>
        </w:rPr>
        <w:t>blister, transparentná PVC/PV</w:t>
      </w:r>
      <w:r>
        <w:rPr>
          <w:noProof/>
          <w:sz w:val="22"/>
          <w:szCs w:val="22"/>
        </w:rPr>
        <w:t>d</w:t>
      </w:r>
      <w:r w:rsidRPr="0065458E">
        <w:rPr>
          <w:noProof/>
          <w:sz w:val="22"/>
          <w:szCs w:val="22"/>
        </w:rPr>
        <w:t>C/A</w:t>
      </w:r>
      <w:r>
        <w:rPr>
          <w:noProof/>
          <w:sz w:val="22"/>
          <w:szCs w:val="22"/>
        </w:rPr>
        <w:t>LU</w:t>
      </w:r>
      <w:r w:rsidRPr="0065458E">
        <w:rPr>
          <w:noProof/>
          <w:sz w:val="22"/>
          <w:szCs w:val="22"/>
        </w:rPr>
        <w:t xml:space="preserve"> fólia</w:t>
      </w:r>
      <w:r>
        <w:rPr>
          <w:noProof/>
          <w:sz w:val="22"/>
          <w:szCs w:val="22"/>
        </w:rPr>
        <w:t>,</w:t>
      </w:r>
      <w:r w:rsidRPr="0065458E">
        <w:rPr>
          <w:noProof/>
          <w:sz w:val="22"/>
          <w:szCs w:val="22"/>
        </w:rPr>
        <w:t xml:space="preserve"> papierová škatuľka</w:t>
      </w:r>
      <w:r>
        <w:rPr>
          <w:noProof/>
          <w:sz w:val="22"/>
          <w:szCs w:val="22"/>
        </w:rPr>
        <w:t>, písomná informácia</w:t>
      </w:r>
      <w:r w:rsidRPr="0065458E">
        <w:rPr>
          <w:noProof/>
          <w:sz w:val="22"/>
          <w:szCs w:val="22"/>
        </w:rPr>
        <w:t xml:space="preserve"> pre používateľa</w:t>
      </w:r>
    </w:p>
    <w:p w:rsidR="00777F2C" w:rsidRPr="0065458E" w:rsidRDefault="00777F2C" w:rsidP="00E90E60">
      <w:pPr>
        <w:autoSpaceDE w:val="0"/>
        <w:autoSpaceDN w:val="0"/>
        <w:adjustRightInd w:val="0"/>
        <w:rPr>
          <w:noProof/>
          <w:sz w:val="22"/>
          <w:szCs w:val="22"/>
        </w:rPr>
      </w:pPr>
    </w:p>
    <w:p w:rsidR="00777F2C" w:rsidRPr="0065458E" w:rsidRDefault="00777F2C" w:rsidP="00525CBF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0F2D9C">
        <w:rPr>
          <w:noProof/>
          <w:sz w:val="22"/>
          <w:szCs w:val="22"/>
        </w:rPr>
        <w:t>Veľkosť balenia</w:t>
      </w:r>
      <w:r w:rsidRPr="0065458E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10, 20, 30,</w:t>
      </w:r>
      <w:r w:rsidRPr="0065458E">
        <w:rPr>
          <w:noProof/>
          <w:sz w:val="22"/>
          <w:szCs w:val="22"/>
        </w:rPr>
        <w:t>40</w:t>
      </w:r>
      <w:r>
        <w:rPr>
          <w:noProof/>
          <w:sz w:val="22"/>
          <w:szCs w:val="22"/>
        </w:rPr>
        <w:t xml:space="preserve">, 50, 60, 90, </w:t>
      </w:r>
      <w:r w:rsidRPr="0065458E">
        <w:rPr>
          <w:noProof/>
          <w:sz w:val="22"/>
          <w:szCs w:val="22"/>
        </w:rPr>
        <w:t>100 tabliet</w:t>
      </w:r>
    </w:p>
    <w:p w:rsidR="00777F2C" w:rsidRPr="0065458E" w:rsidRDefault="00777F2C" w:rsidP="00E90E60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65458E">
        <w:rPr>
          <w:noProof/>
          <w:sz w:val="22"/>
          <w:szCs w:val="22"/>
        </w:rPr>
        <w:t>Na trh nemusia byť uvedené všetky veľkosti balenia.</w:t>
      </w:r>
    </w:p>
    <w:p w:rsidR="00777F2C" w:rsidRPr="0065458E" w:rsidRDefault="00777F2C" w:rsidP="00E90E60">
      <w:pPr>
        <w:autoSpaceDE w:val="0"/>
        <w:autoSpaceDN w:val="0"/>
        <w:adjustRightInd w:val="0"/>
        <w:rPr>
          <w:b/>
          <w:bCs/>
          <w:noProof/>
          <w:sz w:val="22"/>
          <w:szCs w:val="22"/>
        </w:rPr>
      </w:pPr>
    </w:p>
    <w:p w:rsidR="00777F2C" w:rsidRPr="0065458E" w:rsidRDefault="00777F2C" w:rsidP="00E90E60">
      <w:pPr>
        <w:autoSpaceDE w:val="0"/>
        <w:autoSpaceDN w:val="0"/>
        <w:adjustRightInd w:val="0"/>
        <w:rPr>
          <w:b/>
          <w:bCs/>
          <w:noProof/>
          <w:sz w:val="22"/>
          <w:szCs w:val="22"/>
        </w:rPr>
      </w:pPr>
      <w:r w:rsidRPr="0065458E">
        <w:rPr>
          <w:b/>
          <w:bCs/>
          <w:noProof/>
          <w:sz w:val="22"/>
          <w:szCs w:val="22"/>
        </w:rPr>
        <w:t>6.6</w:t>
      </w:r>
      <w:r w:rsidRPr="0065458E">
        <w:rPr>
          <w:b/>
          <w:bCs/>
          <w:noProof/>
          <w:sz w:val="22"/>
          <w:szCs w:val="22"/>
        </w:rPr>
        <w:tab/>
        <w:t>Špeciálne opatrenia na likvidáciu a iné zaobchádzanie s liekom</w:t>
      </w:r>
    </w:p>
    <w:p w:rsidR="00777F2C" w:rsidRPr="0065458E" w:rsidRDefault="00777F2C" w:rsidP="00E90E60">
      <w:pPr>
        <w:autoSpaceDE w:val="0"/>
        <w:autoSpaceDN w:val="0"/>
        <w:adjustRightInd w:val="0"/>
        <w:rPr>
          <w:bCs/>
          <w:noProof/>
          <w:sz w:val="22"/>
          <w:szCs w:val="22"/>
        </w:rPr>
      </w:pPr>
    </w:p>
    <w:p w:rsidR="00777F2C" w:rsidRPr="000F2D9C" w:rsidRDefault="00777F2C" w:rsidP="005E0CBF">
      <w:pPr>
        <w:rPr>
          <w:sz w:val="22"/>
          <w:szCs w:val="22"/>
        </w:rPr>
      </w:pPr>
      <w:r w:rsidRPr="000F2D9C">
        <w:rPr>
          <w:sz w:val="22"/>
          <w:szCs w:val="22"/>
        </w:rPr>
        <w:t>Žiadne zvláštne požiadavky na likvidáciu.</w:t>
      </w:r>
    </w:p>
    <w:p w:rsidR="00777F2C" w:rsidRPr="0065458E" w:rsidRDefault="00777F2C" w:rsidP="00E90E60">
      <w:pPr>
        <w:autoSpaceDE w:val="0"/>
        <w:autoSpaceDN w:val="0"/>
        <w:adjustRightInd w:val="0"/>
        <w:rPr>
          <w:rStyle w:val="shorttext1"/>
          <w:noProof/>
          <w:sz w:val="22"/>
          <w:szCs w:val="22"/>
          <w:shd w:val="clear" w:color="auto" w:fill="EBEFF9"/>
        </w:rPr>
      </w:pPr>
    </w:p>
    <w:p w:rsidR="00777F2C" w:rsidRPr="00DC0153" w:rsidRDefault="00777F2C" w:rsidP="00E90E60">
      <w:pPr>
        <w:autoSpaceDE w:val="0"/>
        <w:autoSpaceDN w:val="0"/>
        <w:adjustRightInd w:val="0"/>
        <w:rPr>
          <w:bCs/>
          <w:noProof/>
          <w:sz w:val="22"/>
          <w:szCs w:val="22"/>
        </w:rPr>
      </w:pPr>
    </w:p>
    <w:p w:rsidR="00777F2C" w:rsidRPr="0065458E" w:rsidRDefault="00777F2C" w:rsidP="00E90E60">
      <w:pPr>
        <w:autoSpaceDE w:val="0"/>
        <w:autoSpaceDN w:val="0"/>
        <w:adjustRightInd w:val="0"/>
        <w:rPr>
          <w:b/>
          <w:bCs/>
          <w:noProof/>
          <w:sz w:val="22"/>
          <w:szCs w:val="22"/>
        </w:rPr>
      </w:pPr>
      <w:r w:rsidRPr="0065458E">
        <w:rPr>
          <w:b/>
          <w:bCs/>
          <w:noProof/>
          <w:sz w:val="22"/>
          <w:szCs w:val="22"/>
        </w:rPr>
        <w:t>7.</w:t>
      </w:r>
      <w:r w:rsidRPr="0065458E">
        <w:rPr>
          <w:b/>
          <w:bCs/>
          <w:noProof/>
          <w:sz w:val="22"/>
          <w:szCs w:val="22"/>
        </w:rPr>
        <w:tab/>
        <w:t>DRŽITEĽ ROZHODNUTIA O REGISTRÁCII</w:t>
      </w:r>
    </w:p>
    <w:p w:rsidR="00777F2C" w:rsidRPr="0065458E" w:rsidRDefault="00777F2C" w:rsidP="00E90E60">
      <w:pPr>
        <w:autoSpaceDE w:val="0"/>
        <w:autoSpaceDN w:val="0"/>
        <w:adjustRightInd w:val="0"/>
        <w:rPr>
          <w:bCs/>
          <w:noProof/>
          <w:sz w:val="22"/>
          <w:szCs w:val="22"/>
        </w:rPr>
      </w:pPr>
    </w:p>
    <w:p w:rsidR="00777F2C" w:rsidRPr="00D57837" w:rsidRDefault="00777F2C" w:rsidP="000F2511">
      <w:pPr>
        <w:rPr>
          <w:sz w:val="22"/>
          <w:szCs w:val="22"/>
        </w:rPr>
      </w:pPr>
      <w:r w:rsidRPr="00D57837">
        <w:rPr>
          <w:sz w:val="22"/>
          <w:szCs w:val="22"/>
        </w:rPr>
        <w:t>XANTIS PHARMA LIMITED</w:t>
      </w:r>
    </w:p>
    <w:p w:rsidR="00777F2C" w:rsidRPr="00D57837" w:rsidRDefault="00777F2C" w:rsidP="000F2511">
      <w:pPr>
        <w:rPr>
          <w:sz w:val="22"/>
          <w:szCs w:val="22"/>
        </w:rPr>
      </w:pPr>
      <w:proofErr w:type="spellStart"/>
      <w:r w:rsidRPr="00D57837">
        <w:rPr>
          <w:sz w:val="22"/>
          <w:szCs w:val="22"/>
        </w:rPr>
        <w:t>Lemesou</w:t>
      </w:r>
      <w:proofErr w:type="spellEnd"/>
      <w:r w:rsidRPr="00D57837">
        <w:rPr>
          <w:sz w:val="22"/>
          <w:szCs w:val="22"/>
        </w:rPr>
        <w:t xml:space="preserve"> 5, EUROSURE TOWER</w:t>
      </w:r>
    </w:p>
    <w:p w:rsidR="00777F2C" w:rsidRPr="00D57837" w:rsidRDefault="00777F2C" w:rsidP="000F2511">
      <w:pPr>
        <w:rPr>
          <w:sz w:val="22"/>
          <w:szCs w:val="22"/>
        </w:rPr>
      </w:pPr>
      <w:r w:rsidRPr="00D57837">
        <w:rPr>
          <w:sz w:val="22"/>
          <w:szCs w:val="22"/>
        </w:rPr>
        <w:t xml:space="preserve">1st </w:t>
      </w:r>
      <w:proofErr w:type="spellStart"/>
      <w:r w:rsidRPr="00D57837">
        <w:rPr>
          <w:sz w:val="22"/>
          <w:szCs w:val="22"/>
        </w:rPr>
        <w:t>floor</w:t>
      </w:r>
      <w:proofErr w:type="spellEnd"/>
      <w:r w:rsidRPr="00D57837">
        <w:rPr>
          <w:sz w:val="22"/>
          <w:szCs w:val="22"/>
        </w:rPr>
        <w:t xml:space="preserve">, </w:t>
      </w:r>
      <w:proofErr w:type="spellStart"/>
      <w:r w:rsidRPr="00D57837">
        <w:rPr>
          <w:sz w:val="22"/>
          <w:szCs w:val="22"/>
        </w:rPr>
        <w:t>Flat</w:t>
      </w:r>
      <w:proofErr w:type="spellEnd"/>
      <w:r w:rsidRPr="00D57837">
        <w:rPr>
          <w:sz w:val="22"/>
          <w:szCs w:val="22"/>
        </w:rPr>
        <w:t>/Office 101</w:t>
      </w:r>
    </w:p>
    <w:p w:rsidR="00777F2C" w:rsidRPr="00D57837" w:rsidRDefault="00777F2C" w:rsidP="000F2511">
      <w:pPr>
        <w:rPr>
          <w:sz w:val="22"/>
          <w:szCs w:val="22"/>
        </w:rPr>
      </w:pPr>
      <w:r w:rsidRPr="00D57837">
        <w:rPr>
          <w:sz w:val="22"/>
          <w:szCs w:val="22"/>
        </w:rPr>
        <w:t xml:space="preserve">2112, </w:t>
      </w:r>
      <w:proofErr w:type="spellStart"/>
      <w:r w:rsidRPr="00D57837">
        <w:rPr>
          <w:sz w:val="22"/>
          <w:szCs w:val="22"/>
        </w:rPr>
        <w:t>Nicosia</w:t>
      </w:r>
      <w:proofErr w:type="spellEnd"/>
      <w:r w:rsidRPr="00D57837">
        <w:rPr>
          <w:sz w:val="22"/>
          <w:szCs w:val="22"/>
        </w:rPr>
        <w:t>, Cyprus</w:t>
      </w:r>
    </w:p>
    <w:p w:rsidR="00777F2C" w:rsidRPr="0065458E" w:rsidRDefault="00777F2C" w:rsidP="00E90E60">
      <w:pPr>
        <w:autoSpaceDE w:val="0"/>
        <w:autoSpaceDN w:val="0"/>
        <w:adjustRightInd w:val="0"/>
        <w:rPr>
          <w:bCs/>
          <w:noProof/>
          <w:sz w:val="22"/>
          <w:szCs w:val="22"/>
        </w:rPr>
      </w:pPr>
    </w:p>
    <w:p w:rsidR="00777F2C" w:rsidRPr="00DC0153" w:rsidRDefault="00777F2C" w:rsidP="00E90E60">
      <w:pPr>
        <w:autoSpaceDE w:val="0"/>
        <w:autoSpaceDN w:val="0"/>
        <w:adjustRightInd w:val="0"/>
        <w:rPr>
          <w:bCs/>
          <w:noProof/>
          <w:sz w:val="22"/>
          <w:szCs w:val="22"/>
        </w:rPr>
      </w:pPr>
    </w:p>
    <w:p w:rsidR="00777F2C" w:rsidRPr="0065458E" w:rsidRDefault="00777F2C" w:rsidP="00E90E60">
      <w:pPr>
        <w:autoSpaceDE w:val="0"/>
        <w:autoSpaceDN w:val="0"/>
        <w:adjustRightInd w:val="0"/>
        <w:rPr>
          <w:b/>
          <w:bCs/>
          <w:noProof/>
          <w:sz w:val="22"/>
          <w:szCs w:val="22"/>
        </w:rPr>
      </w:pPr>
      <w:r w:rsidRPr="0065458E">
        <w:rPr>
          <w:b/>
          <w:bCs/>
          <w:noProof/>
          <w:sz w:val="22"/>
          <w:szCs w:val="22"/>
        </w:rPr>
        <w:t>8.</w:t>
      </w:r>
      <w:r w:rsidRPr="0065458E">
        <w:rPr>
          <w:b/>
          <w:bCs/>
          <w:noProof/>
          <w:sz w:val="22"/>
          <w:szCs w:val="22"/>
        </w:rPr>
        <w:tab/>
        <w:t>REGISTRAČNÉ ČÍSLO</w:t>
      </w:r>
    </w:p>
    <w:p w:rsidR="00777F2C" w:rsidRPr="0065458E" w:rsidRDefault="00777F2C" w:rsidP="00E90E60">
      <w:pPr>
        <w:autoSpaceDE w:val="0"/>
        <w:autoSpaceDN w:val="0"/>
        <w:adjustRightInd w:val="0"/>
        <w:rPr>
          <w:b/>
          <w:bCs/>
          <w:noProof/>
          <w:sz w:val="22"/>
          <w:szCs w:val="22"/>
        </w:rPr>
      </w:pPr>
    </w:p>
    <w:p w:rsidR="00777F2C" w:rsidRPr="00D95784" w:rsidRDefault="00777F2C" w:rsidP="00E90E60">
      <w:pPr>
        <w:autoSpaceDE w:val="0"/>
        <w:autoSpaceDN w:val="0"/>
        <w:adjustRightInd w:val="0"/>
        <w:rPr>
          <w:bCs/>
          <w:noProof/>
          <w:sz w:val="22"/>
          <w:szCs w:val="22"/>
        </w:rPr>
      </w:pPr>
      <w:r w:rsidRPr="00241EBE">
        <w:rPr>
          <w:bCs/>
          <w:noProof/>
          <w:sz w:val="22"/>
          <w:szCs w:val="22"/>
        </w:rPr>
        <w:t>49/0272/16-S</w:t>
      </w:r>
    </w:p>
    <w:p w:rsidR="00777F2C" w:rsidRPr="00DC0153" w:rsidRDefault="00777F2C" w:rsidP="00E90E60">
      <w:pPr>
        <w:autoSpaceDE w:val="0"/>
        <w:autoSpaceDN w:val="0"/>
        <w:adjustRightInd w:val="0"/>
        <w:rPr>
          <w:bCs/>
          <w:noProof/>
          <w:sz w:val="22"/>
          <w:szCs w:val="22"/>
        </w:rPr>
      </w:pPr>
    </w:p>
    <w:p w:rsidR="00777F2C" w:rsidRPr="00DC0153" w:rsidRDefault="00777F2C" w:rsidP="00E90E60">
      <w:pPr>
        <w:autoSpaceDE w:val="0"/>
        <w:autoSpaceDN w:val="0"/>
        <w:adjustRightInd w:val="0"/>
        <w:rPr>
          <w:bCs/>
          <w:noProof/>
          <w:sz w:val="22"/>
          <w:szCs w:val="22"/>
        </w:rPr>
      </w:pPr>
    </w:p>
    <w:p w:rsidR="00777F2C" w:rsidRPr="0065458E" w:rsidRDefault="00777F2C" w:rsidP="00E90E60">
      <w:pPr>
        <w:autoSpaceDE w:val="0"/>
        <w:autoSpaceDN w:val="0"/>
        <w:adjustRightInd w:val="0"/>
        <w:rPr>
          <w:b/>
          <w:bCs/>
          <w:noProof/>
          <w:sz w:val="22"/>
          <w:szCs w:val="22"/>
        </w:rPr>
      </w:pPr>
      <w:r w:rsidRPr="0065458E">
        <w:rPr>
          <w:b/>
          <w:bCs/>
          <w:noProof/>
          <w:sz w:val="22"/>
          <w:szCs w:val="22"/>
        </w:rPr>
        <w:t>9.</w:t>
      </w:r>
      <w:r w:rsidRPr="0065458E">
        <w:rPr>
          <w:b/>
          <w:bCs/>
          <w:noProof/>
          <w:sz w:val="22"/>
          <w:szCs w:val="22"/>
        </w:rPr>
        <w:tab/>
        <w:t>DÁTUM PRVEJ REGISTRÁCIE/PREDĹŽENIA REGISTRÁCIE</w:t>
      </w:r>
    </w:p>
    <w:p w:rsidR="00777F2C" w:rsidRPr="0065458E" w:rsidRDefault="00777F2C" w:rsidP="00E90E60">
      <w:pPr>
        <w:autoSpaceDE w:val="0"/>
        <w:autoSpaceDN w:val="0"/>
        <w:adjustRightInd w:val="0"/>
        <w:rPr>
          <w:noProof/>
          <w:sz w:val="22"/>
          <w:szCs w:val="22"/>
        </w:rPr>
      </w:pPr>
    </w:p>
    <w:p w:rsidR="00777F2C" w:rsidRPr="0065458E" w:rsidRDefault="00777F2C" w:rsidP="00E90E60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65458E">
        <w:rPr>
          <w:noProof/>
          <w:sz w:val="22"/>
          <w:szCs w:val="22"/>
        </w:rPr>
        <w:t>Dátum prvej registrácie:</w:t>
      </w:r>
      <w:r>
        <w:rPr>
          <w:noProof/>
          <w:sz w:val="22"/>
          <w:szCs w:val="22"/>
        </w:rPr>
        <w:t xml:space="preserve"> 19. mája 2016</w:t>
      </w:r>
    </w:p>
    <w:p w:rsidR="00777F2C" w:rsidRPr="0065458E" w:rsidRDefault="00777F2C" w:rsidP="00E90E60">
      <w:pPr>
        <w:autoSpaceDE w:val="0"/>
        <w:autoSpaceDN w:val="0"/>
        <w:adjustRightInd w:val="0"/>
        <w:rPr>
          <w:noProof/>
          <w:sz w:val="22"/>
          <w:szCs w:val="22"/>
        </w:rPr>
      </w:pPr>
    </w:p>
    <w:p w:rsidR="00777F2C" w:rsidRPr="0065458E" w:rsidRDefault="00777F2C" w:rsidP="00E90E60">
      <w:pPr>
        <w:autoSpaceDE w:val="0"/>
        <w:autoSpaceDN w:val="0"/>
        <w:adjustRightInd w:val="0"/>
        <w:rPr>
          <w:noProof/>
          <w:sz w:val="22"/>
          <w:szCs w:val="22"/>
        </w:rPr>
      </w:pPr>
    </w:p>
    <w:p w:rsidR="00777F2C" w:rsidRPr="0065458E" w:rsidRDefault="00777F2C" w:rsidP="00E90E60">
      <w:pPr>
        <w:autoSpaceDE w:val="0"/>
        <w:autoSpaceDN w:val="0"/>
        <w:adjustRightInd w:val="0"/>
        <w:rPr>
          <w:b/>
          <w:bCs/>
          <w:noProof/>
          <w:sz w:val="22"/>
          <w:szCs w:val="22"/>
        </w:rPr>
      </w:pPr>
      <w:r w:rsidRPr="0065458E">
        <w:rPr>
          <w:b/>
          <w:bCs/>
          <w:noProof/>
          <w:sz w:val="22"/>
          <w:szCs w:val="22"/>
        </w:rPr>
        <w:t>10.</w:t>
      </w:r>
      <w:r w:rsidRPr="0065458E">
        <w:rPr>
          <w:b/>
          <w:bCs/>
          <w:noProof/>
          <w:sz w:val="22"/>
          <w:szCs w:val="22"/>
        </w:rPr>
        <w:tab/>
        <w:t>DÁTUM REVÍZIE TEXTU</w:t>
      </w:r>
    </w:p>
    <w:p w:rsidR="00777F2C" w:rsidRPr="0065458E" w:rsidRDefault="00777F2C" w:rsidP="00E90E60">
      <w:pPr>
        <w:autoSpaceDE w:val="0"/>
        <w:autoSpaceDN w:val="0"/>
        <w:adjustRightInd w:val="0"/>
        <w:rPr>
          <w:b/>
          <w:bCs/>
          <w:noProof/>
          <w:sz w:val="22"/>
          <w:szCs w:val="22"/>
        </w:rPr>
      </w:pPr>
    </w:p>
    <w:p w:rsidR="00777F2C" w:rsidRPr="0065458E" w:rsidRDefault="000F16C3" w:rsidP="007A178B">
      <w:pPr>
        <w:rPr>
          <w:noProof/>
          <w:sz w:val="22"/>
          <w:szCs w:val="22"/>
        </w:rPr>
      </w:pPr>
      <w:r>
        <w:rPr>
          <w:bCs/>
          <w:noProof/>
          <w:sz w:val="22"/>
          <w:szCs w:val="22"/>
        </w:rPr>
        <w:t>02/2017</w:t>
      </w:r>
      <w:bookmarkStart w:id="0" w:name="_GoBack"/>
      <w:bookmarkEnd w:id="0"/>
    </w:p>
    <w:sectPr w:rsidR="00777F2C" w:rsidRPr="0065458E" w:rsidSect="00017B52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E99" w:rsidRDefault="00950E99">
      <w:r>
        <w:separator/>
      </w:r>
    </w:p>
  </w:endnote>
  <w:endnote w:type="continuationSeparator" w:id="0">
    <w:p w:rsidR="00950E99" w:rsidRDefault="00950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F2C" w:rsidRDefault="00777F2C" w:rsidP="00E90E60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777F2C" w:rsidRDefault="00777F2C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F2C" w:rsidRPr="00F17540" w:rsidRDefault="00777F2C" w:rsidP="00E90E60">
    <w:pPr>
      <w:pStyle w:val="Pta"/>
      <w:framePr w:wrap="around" w:vAnchor="text" w:hAnchor="margin" w:xAlign="center" w:y="1"/>
      <w:rPr>
        <w:rStyle w:val="slostrany"/>
        <w:sz w:val="18"/>
        <w:szCs w:val="18"/>
      </w:rPr>
    </w:pPr>
    <w:r w:rsidRPr="00F17540">
      <w:rPr>
        <w:rStyle w:val="slostrany"/>
        <w:sz w:val="18"/>
        <w:szCs w:val="18"/>
      </w:rPr>
      <w:fldChar w:fldCharType="begin"/>
    </w:r>
    <w:r w:rsidRPr="00F17540">
      <w:rPr>
        <w:rStyle w:val="slostrany"/>
        <w:sz w:val="18"/>
        <w:szCs w:val="18"/>
      </w:rPr>
      <w:instrText xml:space="preserve">PAGE  </w:instrText>
    </w:r>
    <w:r w:rsidRPr="00F17540">
      <w:rPr>
        <w:rStyle w:val="slostrany"/>
        <w:sz w:val="18"/>
        <w:szCs w:val="18"/>
      </w:rPr>
      <w:fldChar w:fldCharType="separate"/>
    </w:r>
    <w:r w:rsidR="0060571E">
      <w:rPr>
        <w:rStyle w:val="slostrany"/>
        <w:noProof/>
        <w:sz w:val="18"/>
        <w:szCs w:val="18"/>
      </w:rPr>
      <w:t>2</w:t>
    </w:r>
    <w:r w:rsidRPr="00F17540">
      <w:rPr>
        <w:rStyle w:val="slostrany"/>
        <w:sz w:val="18"/>
        <w:szCs w:val="18"/>
      </w:rPr>
      <w:fldChar w:fldCharType="end"/>
    </w:r>
  </w:p>
  <w:p w:rsidR="00777F2C" w:rsidRPr="004D7905" w:rsidRDefault="00777F2C" w:rsidP="00893F2F">
    <w:pPr>
      <w:pStyle w:val="Pta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F2C" w:rsidRDefault="00777F2C" w:rsidP="0060571E">
    <w:pPr>
      <w:pStyle w:val="Pta"/>
      <w:jc w:val="center"/>
    </w:pPr>
    <w:r w:rsidRPr="00D57837">
      <w:rPr>
        <w:sz w:val="18"/>
        <w:szCs w:val="18"/>
      </w:rPr>
      <w:fldChar w:fldCharType="begin"/>
    </w:r>
    <w:r w:rsidRPr="00D57837">
      <w:rPr>
        <w:sz w:val="18"/>
        <w:szCs w:val="18"/>
      </w:rPr>
      <w:instrText xml:space="preserve">PAGE   </w:instrText>
    </w:r>
    <w:r>
      <w:rPr>
        <w:sz w:val="18"/>
        <w:szCs w:val="18"/>
      </w:rPr>
      <w:instrText>\</w:instrText>
    </w:r>
    <w:r w:rsidRPr="00D57837">
      <w:rPr>
        <w:sz w:val="18"/>
        <w:szCs w:val="18"/>
      </w:rPr>
      <w:instrText>* MERGEFORMAT</w:instrText>
    </w:r>
    <w:r w:rsidRPr="00D57837">
      <w:rPr>
        <w:sz w:val="18"/>
        <w:szCs w:val="18"/>
      </w:rPr>
      <w:fldChar w:fldCharType="separate"/>
    </w:r>
    <w:r w:rsidR="0060571E">
      <w:rPr>
        <w:noProof/>
        <w:sz w:val="18"/>
        <w:szCs w:val="18"/>
      </w:rPr>
      <w:t>1</w:t>
    </w:r>
    <w:r w:rsidRPr="00D57837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E99" w:rsidRDefault="00950E99">
      <w:r>
        <w:separator/>
      </w:r>
    </w:p>
  </w:footnote>
  <w:footnote w:type="continuationSeparator" w:id="0">
    <w:p w:rsidR="00950E99" w:rsidRDefault="00950E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F2C" w:rsidRPr="00017B52" w:rsidRDefault="00777F2C" w:rsidP="00017B52">
    <w:pPr>
      <w:pStyle w:val="Hlavika"/>
      <w:rPr>
        <w:rFonts w:ascii="Times New Roman" w:hAnsi="Times New Roman"/>
        <w:sz w:val="18"/>
        <w:szCs w:val="18"/>
      </w:rPr>
    </w:pPr>
    <w:proofErr w:type="spellStart"/>
    <w:r>
      <w:rPr>
        <w:rFonts w:ascii="Times New Roman" w:hAnsi="Times New Roman"/>
        <w:sz w:val="18"/>
        <w:szCs w:val="18"/>
        <w:lang w:val="cs-CZ"/>
      </w:rPr>
      <w:t>Príloha</w:t>
    </w:r>
    <w:proofErr w:type="spellEnd"/>
    <w:r>
      <w:rPr>
        <w:rFonts w:ascii="Times New Roman" w:hAnsi="Times New Roman"/>
        <w:sz w:val="18"/>
        <w:szCs w:val="18"/>
        <w:lang w:val="cs-CZ"/>
      </w:rPr>
      <w:t xml:space="preserve"> </w:t>
    </w:r>
    <w:proofErr w:type="gramStart"/>
    <w:r>
      <w:rPr>
        <w:rFonts w:ascii="Times New Roman" w:hAnsi="Times New Roman"/>
        <w:sz w:val="18"/>
        <w:szCs w:val="18"/>
        <w:lang w:val="cs-CZ"/>
      </w:rPr>
      <w:t>č.</w:t>
    </w:r>
    <w:r w:rsidR="00A86630">
      <w:rPr>
        <w:rFonts w:ascii="Times New Roman" w:hAnsi="Times New Roman"/>
        <w:sz w:val="18"/>
        <w:szCs w:val="18"/>
        <w:lang w:val="cs-CZ"/>
      </w:rPr>
      <w:t xml:space="preserve">1 </w:t>
    </w:r>
    <w:r>
      <w:rPr>
        <w:rFonts w:ascii="Times New Roman" w:hAnsi="Times New Roman"/>
        <w:sz w:val="18"/>
        <w:szCs w:val="18"/>
        <w:lang w:val="cs-CZ"/>
      </w:rPr>
      <w:t>k </w:t>
    </w:r>
    <w:proofErr w:type="spellStart"/>
    <w:r>
      <w:rPr>
        <w:rFonts w:ascii="Times New Roman" w:hAnsi="Times New Roman"/>
        <w:sz w:val="18"/>
        <w:szCs w:val="18"/>
        <w:lang w:val="cs-CZ"/>
      </w:rPr>
      <w:t>notifikácii</w:t>
    </w:r>
    <w:proofErr w:type="spellEnd"/>
    <w:proofErr w:type="gramEnd"/>
    <w:r>
      <w:rPr>
        <w:rFonts w:ascii="Times New Roman" w:hAnsi="Times New Roman"/>
        <w:sz w:val="18"/>
        <w:szCs w:val="18"/>
        <w:lang w:val="cs-CZ"/>
      </w:rPr>
      <w:t xml:space="preserve"> o </w:t>
    </w:r>
    <w:proofErr w:type="spellStart"/>
    <w:r>
      <w:rPr>
        <w:rFonts w:ascii="Times New Roman" w:hAnsi="Times New Roman"/>
        <w:sz w:val="18"/>
        <w:szCs w:val="18"/>
        <w:lang w:val="cs-CZ"/>
      </w:rPr>
      <w:t>zmene</w:t>
    </w:r>
    <w:proofErr w:type="spellEnd"/>
    <w:r w:rsidRPr="00017B52">
      <w:rPr>
        <w:rFonts w:ascii="Times New Roman" w:hAnsi="Times New Roman"/>
        <w:sz w:val="18"/>
        <w:szCs w:val="18"/>
        <w:lang w:val="cs-CZ"/>
      </w:rPr>
      <w:t>, ev.</w:t>
    </w:r>
    <w:r>
      <w:rPr>
        <w:rFonts w:ascii="Times New Roman" w:hAnsi="Times New Roman"/>
        <w:sz w:val="18"/>
        <w:szCs w:val="18"/>
        <w:lang w:val="cs-CZ"/>
      </w:rPr>
      <w:t xml:space="preserve"> </w:t>
    </w:r>
    <w:r w:rsidRPr="00017B52">
      <w:rPr>
        <w:rFonts w:ascii="Times New Roman" w:hAnsi="Times New Roman"/>
        <w:sz w:val="18"/>
        <w:szCs w:val="18"/>
        <w:lang w:val="cs-CZ"/>
      </w:rPr>
      <w:t xml:space="preserve">č.: </w:t>
    </w:r>
    <w:r>
      <w:rPr>
        <w:rFonts w:ascii="Times New Roman" w:hAnsi="Times New Roman"/>
        <w:sz w:val="18"/>
        <w:szCs w:val="18"/>
        <w:lang w:val="cs-CZ"/>
      </w:rPr>
      <w:t>2016/</w:t>
    </w:r>
    <w:r w:rsidR="000F16C3">
      <w:rPr>
        <w:rFonts w:ascii="Times New Roman" w:hAnsi="Times New Roman"/>
        <w:sz w:val="18"/>
        <w:szCs w:val="18"/>
        <w:lang w:val="cs-CZ"/>
      </w:rPr>
      <w:t>06747-ZIB</w:t>
    </w:r>
  </w:p>
  <w:p w:rsidR="00777F2C" w:rsidRDefault="00777F2C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0655AD8"/>
    <w:multiLevelType w:val="hybridMultilevel"/>
    <w:tmpl w:val="B04CEE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3114C7"/>
    <w:multiLevelType w:val="hybridMultilevel"/>
    <w:tmpl w:val="AAF4D70C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D775CB"/>
    <w:multiLevelType w:val="hybridMultilevel"/>
    <w:tmpl w:val="1E7029F2"/>
    <w:lvl w:ilvl="0" w:tplc="26D40410"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">
    <w:nsid w:val="56D32207"/>
    <w:multiLevelType w:val="hybridMultilevel"/>
    <w:tmpl w:val="22D827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526B80"/>
    <w:multiLevelType w:val="hybridMultilevel"/>
    <w:tmpl w:val="8FAAD38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FFFFFFFF">
      <w:start w:val="1"/>
      <w:numFmt w:val="bullet"/>
      <w:lvlText w:val="-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8271EC"/>
    <w:multiLevelType w:val="hybridMultilevel"/>
    <w:tmpl w:val="93B87D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752F8B"/>
    <w:multiLevelType w:val="hybridMultilevel"/>
    <w:tmpl w:val="5D5AD9F0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E60"/>
    <w:rsid w:val="00003DF9"/>
    <w:rsid w:val="000059FA"/>
    <w:rsid w:val="00006506"/>
    <w:rsid w:val="000104CA"/>
    <w:rsid w:val="00017B52"/>
    <w:rsid w:val="00020B55"/>
    <w:rsid w:val="00026F74"/>
    <w:rsid w:val="00034EE7"/>
    <w:rsid w:val="00037259"/>
    <w:rsid w:val="0004470B"/>
    <w:rsid w:val="00052D8E"/>
    <w:rsid w:val="00061380"/>
    <w:rsid w:val="00061FBB"/>
    <w:rsid w:val="000627F8"/>
    <w:rsid w:val="00064906"/>
    <w:rsid w:val="000706A9"/>
    <w:rsid w:val="00080259"/>
    <w:rsid w:val="00081272"/>
    <w:rsid w:val="00086059"/>
    <w:rsid w:val="00086A64"/>
    <w:rsid w:val="00090983"/>
    <w:rsid w:val="00092A6C"/>
    <w:rsid w:val="000937B6"/>
    <w:rsid w:val="000A47A9"/>
    <w:rsid w:val="000B23E4"/>
    <w:rsid w:val="000B7BC0"/>
    <w:rsid w:val="000C1956"/>
    <w:rsid w:val="000C32D9"/>
    <w:rsid w:val="000D0088"/>
    <w:rsid w:val="000D076A"/>
    <w:rsid w:val="000D74FE"/>
    <w:rsid w:val="000F16C3"/>
    <w:rsid w:val="000F2511"/>
    <w:rsid w:val="000F2D9C"/>
    <w:rsid w:val="000F459B"/>
    <w:rsid w:val="000F5470"/>
    <w:rsid w:val="000F65A9"/>
    <w:rsid w:val="0010027B"/>
    <w:rsid w:val="0011463B"/>
    <w:rsid w:val="00114BE1"/>
    <w:rsid w:val="00144862"/>
    <w:rsid w:val="001572C2"/>
    <w:rsid w:val="001600DE"/>
    <w:rsid w:val="00161201"/>
    <w:rsid w:val="0016435C"/>
    <w:rsid w:val="001706A8"/>
    <w:rsid w:val="00175A34"/>
    <w:rsid w:val="00177F86"/>
    <w:rsid w:val="00192413"/>
    <w:rsid w:val="00195D69"/>
    <w:rsid w:val="001A3286"/>
    <w:rsid w:val="001A4E3B"/>
    <w:rsid w:val="001B0106"/>
    <w:rsid w:val="001B23FA"/>
    <w:rsid w:val="001B70EC"/>
    <w:rsid w:val="001B7D96"/>
    <w:rsid w:val="001C028C"/>
    <w:rsid w:val="001C5519"/>
    <w:rsid w:val="001D09F5"/>
    <w:rsid w:val="001D0E17"/>
    <w:rsid w:val="001D7456"/>
    <w:rsid w:val="001D7750"/>
    <w:rsid w:val="001E218F"/>
    <w:rsid w:val="001F25F1"/>
    <w:rsid w:val="002014A5"/>
    <w:rsid w:val="0020579C"/>
    <w:rsid w:val="00207056"/>
    <w:rsid w:val="00210056"/>
    <w:rsid w:val="00213AF6"/>
    <w:rsid w:val="00213F19"/>
    <w:rsid w:val="00220071"/>
    <w:rsid w:val="00220EC9"/>
    <w:rsid w:val="00232BF2"/>
    <w:rsid w:val="00236FB7"/>
    <w:rsid w:val="00240FB7"/>
    <w:rsid w:val="00241EBE"/>
    <w:rsid w:val="002431E5"/>
    <w:rsid w:val="002437A1"/>
    <w:rsid w:val="00245E0D"/>
    <w:rsid w:val="00246CEE"/>
    <w:rsid w:val="00251AD2"/>
    <w:rsid w:val="002543C3"/>
    <w:rsid w:val="002574FA"/>
    <w:rsid w:val="00262E9D"/>
    <w:rsid w:val="00264715"/>
    <w:rsid w:val="0026575C"/>
    <w:rsid w:val="00265CF1"/>
    <w:rsid w:val="0027785D"/>
    <w:rsid w:val="002831E0"/>
    <w:rsid w:val="0029068F"/>
    <w:rsid w:val="00291573"/>
    <w:rsid w:val="002A0A2B"/>
    <w:rsid w:val="002A46C2"/>
    <w:rsid w:val="002A6294"/>
    <w:rsid w:val="002A7C6B"/>
    <w:rsid w:val="002B036F"/>
    <w:rsid w:val="002B3C3D"/>
    <w:rsid w:val="002C63CE"/>
    <w:rsid w:val="002D2D16"/>
    <w:rsid w:val="002D3FE9"/>
    <w:rsid w:val="002D7050"/>
    <w:rsid w:val="002E2318"/>
    <w:rsid w:val="002E409C"/>
    <w:rsid w:val="002E6FA1"/>
    <w:rsid w:val="002E77A3"/>
    <w:rsid w:val="002E7F30"/>
    <w:rsid w:val="002F4885"/>
    <w:rsid w:val="002F79EB"/>
    <w:rsid w:val="00311560"/>
    <w:rsid w:val="0032053C"/>
    <w:rsid w:val="0032249D"/>
    <w:rsid w:val="00325A7F"/>
    <w:rsid w:val="00326949"/>
    <w:rsid w:val="00326D9C"/>
    <w:rsid w:val="00327184"/>
    <w:rsid w:val="003273C0"/>
    <w:rsid w:val="00330366"/>
    <w:rsid w:val="003515A8"/>
    <w:rsid w:val="003562BA"/>
    <w:rsid w:val="0037496B"/>
    <w:rsid w:val="00387768"/>
    <w:rsid w:val="00391F51"/>
    <w:rsid w:val="003A5F9A"/>
    <w:rsid w:val="003A6645"/>
    <w:rsid w:val="003B22ED"/>
    <w:rsid w:val="003B421B"/>
    <w:rsid w:val="003C0390"/>
    <w:rsid w:val="003E0306"/>
    <w:rsid w:val="003E6AE0"/>
    <w:rsid w:val="004023D9"/>
    <w:rsid w:val="004061D2"/>
    <w:rsid w:val="00411100"/>
    <w:rsid w:val="00417BF7"/>
    <w:rsid w:val="00424D85"/>
    <w:rsid w:val="00433FEA"/>
    <w:rsid w:val="00434695"/>
    <w:rsid w:val="004371D7"/>
    <w:rsid w:val="0044303E"/>
    <w:rsid w:val="00450553"/>
    <w:rsid w:val="004613C0"/>
    <w:rsid w:val="0046147B"/>
    <w:rsid w:val="0046423B"/>
    <w:rsid w:val="00464FCE"/>
    <w:rsid w:val="00466598"/>
    <w:rsid w:val="00466B27"/>
    <w:rsid w:val="00466CBC"/>
    <w:rsid w:val="00466DA2"/>
    <w:rsid w:val="004767F2"/>
    <w:rsid w:val="0047798D"/>
    <w:rsid w:val="0048515F"/>
    <w:rsid w:val="004908A8"/>
    <w:rsid w:val="00493EF7"/>
    <w:rsid w:val="004A2AE0"/>
    <w:rsid w:val="004A5286"/>
    <w:rsid w:val="004B2485"/>
    <w:rsid w:val="004B30C3"/>
    <w:rsid w:val="004B6548"/>
    <w:rsid w:val="004C052A"/>
    <w:rsid w:val="004C3D14"/>
    <w:rsid w:val="004D1389"/>
    <w:rsid w:val="004D37A3"/>
    <w:rsid w:val="004D4965"/>
    <w:rsid w:val="004D7451"/>
    <w:rsid w:val="004D7905"/>
    <w:rsid w:val="004E478B"/>
    <w:rsid w:val="004E4C1C"/>
    <w:rsid w:val="004E5CDC"/>
    <w:rsid w:val="004F2AAC"/>
    <w:rsid w:val="004F38B9"/>
    <w:rsid w:val="004F67D0"/>
    <w:rsid w:val="00501E15"/>
    <w:rsid w:val="00502441"/>
    <w:rsid w:val="00504442"/>
    <w:rsid w:val="005065B0"/>
    <w:rsid w:val="00510A3F"/>
    <w:rsid w:val="00515710"/>
    <w:rsid w:val="00521C8F"/>
    <w:rsid w:val="005253EF"/>
    <w:rsid w:val="00525CBF"/>
    <w:rsid w:val="00535F45"/>
    <w:rsid w:val="00542109"/>
    <w:rsid w:val="00547631"/>
    <w:rsid w:val="00547BD8"/>
    <w:rsid w:val="00550852"/>
    <w:rsid w:val="005567B0"/>
    <w:rsid w:val="005645A0"/>
    <w:rsid w:val="005715BA"/>
    <w:rsid w:val="005722D4"/>
    <w:rsid w:val="00573CD3"/>
    <w:rsid w:val="00580CE9"/>
    <w:rsid w:val="00591638"/>
    <w:rsid w:val="00591C71"/>
    <w:rsid w:val="00594CB3"/>
    <w:rsid w:val="00596F21"/>
    <w:rsid w:val="00597F99"/>
    <w:rsid w:val="005A23F9"/>
    <w:rsid w:val="005A43BA"/>
    <w:rsid w:val="005B3CEB"/>
    <w:rsid w:val="005C070E"/>
    <w:rsid w:val="005C1513"/>
    <w:rsid w:val="005C1845"/>
    <w:rsid w:val="005C5317"/>
    <w:rsid w:val="005C6A92"/>
    <w:rsid w:val="005C7B31"/>
    <w:rsid w:val="005D2CB4"/>
    <w:rsid w:val="005E0CBF"/>
    <w:rsid w:val="005E447D"/>
    <w:rsid w:val="005E4FC2"/>
    <w:rsid w:val="005F04E1"/>
    <w:rsid w:val="005F38D6"/>
    <w:rsid w:val="005F4F32"/>
    <w:rsid w:val="005F7EE8"/>
    <w:rsid w:val="00604329"/>
    <w:rsid w:val="00604B5F"/>
    <w:rsid w:val="0060571E"/>
    <w:rsid w:val="006058B5"/>
    <w:rsid w:val="00606A0D"/>
    <w:rsid w:val="006123B3"/>
    <w:rsid w:val="0061460B"/>
    <w:rsid w:val="00616459"/>
    <w:rsid w:val="0062162D"/>
    <w:rsid w:val="006220A3"/>
    <w:rsid w:val="00624068"/>
    <w:rsid w:val="006242E7"/>
    <w:rsid w:val="00626F7E"/>
    <w:rsid w:val="00627649"/>
    <w:rsid w:val="00627CB7"/>
    <w:rsid w:val="00636347"/>
    <w:rsid w:val="0063658B"/>
    <w:rsid w:val="006415DD"/>
    <w:rsid w:val="00645C73"/>
    <w:rsid w:val="00645D03"/>
    <w:rsid w:val="00650CE9"/>
    <w:rsid w:val="00651A75"/>
    <w:rsid w:val="006543AA"/>
    <w:rsid w:val="0065458E"/>
    <w:rsid w:val="00655EF9"/>
    <w:rsid w:val="00664878"/>
    <w:rsid w:val="006747B9"/>
    <w:rsid w:val="00675D3C"/>
    <w:rsid w:val="00682D47"/>
    <w:rsid w:val="00683B90"/>
    <w:rsid w:val="00686F8C"/>
    <w:rsid w:val="00690E11"/>
    <w:rsid w:val="0069137D"/>
    <w:rsid w:val="00697720"/>
    <w:rsid w:val="006A10BD"/>
    <w:rsid w:val="006A6FBD"/>
    <w:rsid w:val="006B0767"/>
    <w:rsid w:val="006B1680"/>
    <w:rsid w:val="006B2131"/>
    <w:rsid w:val="006C0E83"/>
    <w:rsid w:val="006C35CA"/>
    <w:rsid w:val="006C4F86"/>
    <w:rsid w:val="006D31BD"/>
    <w:rsid w:val="006D4B16"/>
    <w:rsid w:val="006D5BD6"/>
    <w:rsid w:val="006E54F9"/>
    <w:rsid w:val="006E6F31"/>
    <w:rsid w:val="006F2A00"/>
    <w:rsid w:val="00700719"/>
    <w:rsid w:val="00700F25"/>
    <w:rsid w:val="00710451"/>
    <w:rsid w:val="00710931"/>
    <w:rsid w:val="00711A83"/>
    <w:rsid w:val="007161CC"/>
    <w:rsid w:val="00723BCE"/>
    <w:rsid w:val="007245C3"/>
    <w:rsid w:val="0072538E"/>
    <w:rsid w:val="00727DC7"/>
    <w:rsid w:val="00730C97"/>
    <w:rsid w:val="00737755"/>
    <w:rsid w:val="00745498"/>
    <w:rsid w:val="00746057"/>
    <w:rsid w:val="007460AE"/>
    <w:rsid w:val="00746582"/>
    <w:rsid w:val="00747BCB"/>
    <w:rsid w:val="00753EF0"/>
    <w:rsid w:val="00756206"/>
    <w:rsid w:val="0076419F"/>
    <w:rsid w:val="007666CA"/>
    <w:rsid w:val="00773076"/>
    <w:rsid w:val="00777F2C"/>
    <w:rsid w:val="00784744"/>
    <w:rsid w:val="0079782E"/>
    <w:rsid w:val="007A178B"/>
    <w:rsid w:val="007B5591"/>
    <w:rsid w:val="007B6119"/>
    <w:rsid w:val="007B6521"/>
    <w:rsid w:val="007D0A9D"/>
    <w:rsid w:val="007D2EB8"/>
    <w:rsid w:val="007D2FC8"/>
    <w:rsid w:val="007E0F0F"/>
    <w:rsid w:val="007E0FE8"/>
    <w:rsid w:val="007E1C05"/>
    <w:rsid w:val="007E58FB"/>
    <w:rsid w:val="007F31F6"/>
    <w:rsid w:val="007F5FEA"/>
    <w:rsid w:val="007F6660"/>
    <w:rsid w:val="007F7E50"/>
    <w:rsid w:val="008048EF"/>
    <w:rsid w:val="00805953"/>
    <w:rsid w:val="00806FB0"/>
    <w:rsid w:val="0081346B"/>
    <w:rsid w:val="00815E2A"/>
    <w:rsid w:val="00817126"/>
    <w:rsid w:val="008235F9"/>
    <w:rsid w:val="00824045"/>
    <w:rsid w:val="008262DE"/>
    <w:rsid w:val="008357E0"/>
    <w:rsid w:val="00836005"/>
    <w:rsid w:val="008434F2"/>
    <w:rsid w:val="00845C28"/>
    <w:rsid w:val="008523B5"/>
    <w:rsid w:val="008537E1"/>
    <w:rsid w:val="00873A77"/>
    <w:rsid w:val="00885D16"/>
    <w:rsid w:val="00893F2F"/>
    <w:rsid w:val="0089647E"/>
    <w:rsid w:val="008A06B8"/>
    <w:rsid w:val="008B3DB8"/>
    <w:rsid w:val="008B7512"/>
    <w:rsid w:val="008C24D6"/>
    <w:rsid w:val="008C2D57"/>
    <w:rsid w:val="008E6213"/>
    <w:rsid w:val="008F1393"/>
    <w:rsid w:val="008F7BB9"/>
    <w:rsid w:val="00901FFC"/>
    <w:rsid w:val="0090249F"/>
    <w:rsid w:val="00902CB2"/>
    <w:rsid w:val="00910078"/>
    <w:rsid w:val="00931867"/>
    <w:rsid w:val="00934F39"/>
    <w:rsid w:val="009438C7"/>
    <w:rsid w:val="00944FB8"/>
    <w:rsid w:val="00945A03"/>
    <w:rsid w:val="00946758"/>
    <w:rsid w:val="00950E99"/>
    <w:rsid w:val="0095649B"/>
    <w:rsid w:val="00960BBB"/>
    <w:rsid w:val="00976ED8"/>
    <w:rsid w:val="009860EB"/>
    <w:rsid w:val="009A3999"/>
    <w:rsid w:val="009A4448"/>
    <w:rsid w:val="009B1F9D"/>
    <w:rsid w:val="009B3F7A"/>
    <w:rsid w:val="009B61C6"/>
    <w:rsid w:val="009C00F0"/>
    <w:rsid w:val="009D6914"/>
    <w:rsid w:val="009E6F54"/>
    <w:rsid w:val="009F4E22"/>
    <w:rsid w:val="009F695F"/>
    <w:rsid w:val="00A12995"/>
    <w:rsid w:val="00A12EFD"/>
    <w:rsid w:val="00A270F4"/>
    <w:rsid w:val="00A30388"/>
    <w:rsid w:val="00A320BA"/>
    <w:rsid w:val="00A464E4"/>
    <w:rsid w:val="00A536BD"/>
    <w:rsid w:val="00A55842"/>
    <w:rsid w:val="00A61BB0"/>
    <w:rsid w:val="00A67382"/>
    <w:rsid w:val="00A70AFD"/>
    <w:rsid w:val="00A77C96"/>
    <w:rsid w:val="00A86630"/>
    <w:rsid w:val="00A96311"/>
    <w:rsid w:val="00A971DB"/>
    <w:rsid w:val="00AA0A94"/>
    <w:rsid w:val="00AB0F54"/>
    <w:rsid w:val="00AB4CC7"/>
    <w:rsid w:val="00AB7AE5"/>
    <w:rsid w:val="00AC0CE6"/>
    <w:rsid w:val="00AC368D"/>
    <w:rsid w:val="00AC59ED"/>
    <w:rsid w:val="00AC7511"/>
    <w:rsid w:val="00AD0B99"/>
    <w:rsid w:val="00AD40F7"/>
    <w:rsid w:val="00AE4731"/>
    <w:rsid w:val="00AE7C2B"/>
    <w:rsid w:val="00AF28D3"/>
    <w:rsid w:val="00AF36ED"/>
    <w:rsid w:val="00AF5F8F"/>
    <w:rsid w:val="00AF700D"/>
    <w:rsid w:val="00B1079B"/>
    <w:rsid w:val="00B15F20"/>
    <w:rsid w:val="00B172C0"/>
    <w:rsid w:val="00B21DB9"/>
    <w:rsid w:val="00B243CD"/>
    <w:rsid w:val="00B24E69"/>
    <w:rsid w:val="00B2514F"/>
    <w:rsid w:val="00B305AF"/>
    <w:rsid w:val="00B31B53"/>
    <w:rsid w:val="00B512D2"/>
    <w:rsid w:val="00B546D8"/>
    <w:rsid w:val="00B57F59"/>
    <w:rsid w:val="00B6199D"/>
    <w:rsid w:val="00B677BA"/>
    <w:rsid w:val="00B70A3B"/>
    <w:rsid w:val="00B73DDB"/>
    <w:rsid w:val="00B86AC9"/>
    <w:rsid w:val="00B902F6"/>
    <w:rsid w:val="00B94C4F"/>
    <w:rsid w:val="00B94CA0"/>
    <w:rsid w:val="00B977E5"/>
    <w:rsid w:val="00BB005B"/>
    <w:rsid w:val="00BB3515"/>
    <w:rsid w:val="00BB3AE2"/>
    <w:rsid w:val="00BC1E2D"/>
    <w:rsid w:val="00BD0772"/>
    <w:rsid w:val="00BD640E"/>
    <w:rsid w:val="00BE108C"/>
    <w:rsid w:val="00BE446C"/>
    <w:rsid w:val="00BF61DC"/>
    <w:rsid w:val="00C01266"/>
    <w:rsid w:val="00C055F8"/>
    <w:rsid w:val="00C1202D"/>
    <w:rsid w:val="00C14400"/>
    <w:rsid w:val="00C16782"/>
    <w:rsid w:val="00C17CFC"/>
    <w:rsid w:val="00C218D3"/>
    <w:rsid w:val="00C30346"/>
    <w:rsid w:val="00C32E74"/>
    <w:rsid w:val="00C33EE9"/>
    <w:rsid w:val="00C37ED0"/>
    <w:rsid w:val="00C404FC"/>
    <w:rsid w:val="00C50907"/>
    <w:rsid w:val="00C515A7"/>
    <w:rsid w:val="00C5787D"/>
    <w:rsid w:val="00C62530"/>
    <w:rsid w:val="00C67512"/>
    <w:rsid w:val="00C712E2"/>
    <w:rsid w:val="00C71926"/>
    <w:rsid w:val="00C73F4D"/>
    <w:rsid w:val="00C74FDC"/>
    <w:rsid w:val="00C7537E"/>
    <w:rsid w:val="00C76705"/>
    <w:rsid w:val="00C778F3"/>
    <w:rsid w:val="00C8222F"/>
    <w:rsid w:val="00C832D0"/>
    <w:rsid w:val="00C84531"/>
    <w:rsid w:val="00C8519A"/>
    <w:rsid w:val="00C93285"/>
    <w:rsid w:val="00CB0221"/>
    <w:rsid w:val="00CB753A"/>
    <w:rsid w:val="00CC04FC"/>
    <w:rsid w:val="00CC4101"/>
    <w:rsid w:val="00CD19D5"/>
    <w:rsid w:val="00CD2523"/>
    <w:rsid w:val="00CD6472"/>
    <w:rsid w:val="00CD7255"/>
    <w:rsid w:val="00CE2C2D"/>
    <w:rsid w:val="00CE37E4"/>
    <w:rsid w:val="00CE412B"/>
    <w:rsid w:val="00CF7307"/>
    <w:rsid w:val="00D001AB"/>
    <w:rsid w:val="00D04714"/>
    <w:rsid w:val="00D1052C"/>
    <w:rsid w:val="00D11E27"/>
    <w:rsid w:val="00D1203A"/>
    <w:rsid w:val="00D212B5"/>
    <w:rsid w:val="00D47647"/>
    <w:rsid w:val="00D50C33"/>
    <w:rsid w:val="00D57837"/>
    <w:rsid w:val="00D63A89"/>
    <w:rsid w:val="00D64E51"/>
    <w:rsid w:val="00D71129"/>
    <w:rsid w:val="00D836C2"/>
    <w:rsid w:val="00D83797"/>
    <w:rsid w:val="00D8762F"/>
    <w:rsid w:val="00D904DF"/>
    <w:rsid w:val="00D95784"/>
    <w:rsid w:val="00DA5080"/>
    <w:rsid w:val="00DB0634"/>
    <w:rsid w:val="00DB4712"/>
    <w:rsid w:val="00DB6043"/>
    <w:rsid w:val="00DC0153"/>
    <w:rsid w:val="00DC1879"/>
    <w:rsid w:val="00DC18F8"/>
    <w:rsid w:val="00DC3A02"/>
    <w:rsid w:val="00DD6B65"/>
    <w:rsid w:val="00DD6C33"/>
    <w:rsid w:val="00DD7E43"/>
    <w:rsid w:val="00DE0630"/>
    <w:rsid w:val="00DE2BDE"/>
    <w:rsid w:val="00DE4620"/>
    <w:rsid w:val="00DF04D1"/>
    <w:rsid w:val="00DF1B18"/>
    <w:rsid w:val="00DF512E"/>
    <w:rsid w:val="00E009EA"/>
    <w:rsid w:val="00E00D03"/>
    <w:rsid w:val="00E02024"/>
    <w:rsid w:val="00E05E1E"/>
    <w:rsid w:val="00E05E96"/>
    <w:rsid w:val="00E07BCE"/>
    <w:rsid w:val="00E11D0C"/>
    <w:rsid w:val="00E133F2"/>
    <w:rsid w:val="00E20619"/>
    <w:rsid w:val="00E218D5"/>
    <w:rsid w:val="00E33C50"/>
    <w:rsid w:val="00E34364"/>
    <w:rsid w:val="00E37967"/>
    <w:rsid w:val="00E535E6"/>
    <w:rsid w:val="00E6389B"/>
    <w:rsid w:val="00E64D93"/>
    <w:rsid w:val="00E75D0D"/>
    <w:rsid w:val="00E76732"/>
    <w:rsid w:val="00E84393"/>
    <w:rsid w:val="00E86BF3"/>
    <w:rsid w:val="00E87A60"/>
    <w:rsid w:val="00E90E60"/>
    <w:rsid w:val="00E92A3A"/>
    <w:rsid w:val="00E95556"/>
    <w:rsid w:val="00E95619"/>
    <w:rsid w:val="00E959D3"/>
    <w:rsid w:val="00E963EE"/>
    <w:rsid w:val="00EA29F4"/>
    <w:rsid w:val="00EB16FD"/>
    <w:rsid w:val="00EB23BF"/>
    <w:rsid w:val="00EC0923"/>
    <w:rsid w:val="00EC2812"/>
    <w:rsid w:val="00EC2F79"/>
    <w:rsid w:val="00EC4103"/>
    <w:rsid w:val="00EE06BD"/>
    <w:rsid w:val="00EE4D4E"/>
    <w:rsid w:val="00EE52D6"/>
    <w:rsid w:val="00F00746"/>
    <w:rsid w:val="00F01755"/>
    <w:rsid w:val="00F17540"/>
    <w:rsid w:val="00F234B8"/>
    <w:rsid w:val="00F263C0"/>
    <w:rsid w:val="00F328EA"/>
    <w:rsid w:val="00F40A71"/>
    <w:rsid w:val="00F45F1D"/>
    <w:rsid w:val="00F53111"/>
    <w:rsid w:val="00F542F3"/>
    <w:rsid w:val="00F560AD"/>
    <w:rsid w:val="00F658F7"/>
    <w:rsid w:val="00F738BD"/>
    <w:rsid w:val="00F874A5"/>
    <w:rsid w:val="00F91748"/>
    <w:rsid w:val="00F97BC1"/>
    <w:rsid w:val="00FA41B4"/>
    <w:rsid w:val="00FB4145"/>
    <w:rsid w:val="00FC27C9"/>
    <w:rsid w:val="00FC2EDD"/>
    <w:rsid w:val="00FC5007"/>
    <w:rsid w:val="00FC7950"/>
    <w:rsid w:val="00FD2673"/>
    <w:rsid w:val="00FD2C7A"/>
    <w:rsid w:val="00FD5248"/>
    <w:rsid w:val="00FE183D"/>
    <w:rsid w:val="00FE58A5"/>
    <w:rsid w:val="00FF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90E60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C218D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9"/>
    <w:qFormat/>
    <w:rsid w:val="007A178B"/>
    <w:pPr>
      <w:keepNext/>
      <w:outlineLvl w:val="2"/>
    </w:pPr>
    <w:rPr>
      <w:rFonts w:ascii="Arial" w:hAnsi="Arial" w:cs="Arial"/>
      <w:b/>
      <w:caps/>
      <w:noProof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C218D3"/>
    <w:rPr>
      <w:rFonts w:ascii="Cambria" w:hAnsi="Cambria" w:cs="Times New Roman"/>
      <w:b/>
      <w:kern w:val="32"/>
      <w:sz w:val="32"/>
      <w:lang w:val="sk-SK" w:eastAsia="sk-SK"/>
    </w:rPr>
  </w:style>
  <w:style w:type="character" w:customStyle="1" w:styleId="Nadpis3Char">
    <w:name w:val="Nadpis 3 Char"/>
    <w:basedOn w:val="Predvolenpsmoodseku"/>
    <w:link w:val="Nadpis3"/>
    <w:uiPriority w:val="99"/>
    <w:semiHidden/>
    <w:locked/>
    <w:rsid w:val="00464FCE"/>
    <w:rPr>
      <w:rFonts w:ascii="Cambria" w:hAnsi="Cambria" w:cs="Times New Roman"/>
      <w:b/>
      <w:bCs/>
      <w:sz w:val="26"/>
      <w:szCs w:val="26"/>
    </w:rPr>
  </w:style>
  <w:style w:type="paragraph" w:styleId="Hlavika">
    <w:name w:val="header"/>
    <w:basedOn w:val="Normlny"/>
    <w:link w:val="HlavikaChar"/>
    <w:uiPriority w:val="99"/>
    <w:rsid w:val="00E90E60"/>
    <w:pPr>
      <w:tabs>
        <w:tab w:val="center" w:pos="4153"/>
        <w:tab w:val="right" w:pos="8306"/>
      </w:tabs>
    </w:pPr>
    <w:rPr>
      <w:rFonts w:ascii="Arial" w:hAnsi="Arial"/>
      <w:szCs w:val="20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6A6FBD"/>
    <w:rPr>
      <w:rFonts w:ascii="Arial" w:hAnsi="Arial" w:cs="Times New Roman"/>
      <w:sz w:val="24"/>
      <w:lang w:eastAsia="en-US"/>
    </w:rPr>
  </w:style>
  <w:style w:type="paragraph" w:styleId="Pta">
    <w:name w:val="footer"/>
    <w:basedOn w:val="Normlny"/>
    <w:link w:val="PtaChar"/>
    <w:uiPriority w:val="99"/>
    <w:rsid w:val="00E90E6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A270F4"/>
    <w:rPr>
      <w:rFonts w:cs="Times New Roman"/>
      <w:sz w:val="24"/>
    </w:rPr>
  </w:style>
  <w:style w:type="character" w:styleId="slostrany">
    <w:name w:val="page number"/>
    <w:basedOn w:val="Predvolenpsmoodseku"/>
    <w:uiPriority w:val="99"/>
    <w:rsid w:val="00E90E60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rsid w:val="00E02024"/>
    <w:rPr>
      <w:rFonts w:ascii="Arial" w:hAnsi="Arial" w:cs="Arial"/>
      <w:b/>
      <w:bCs/>
      <w:color w:val="000000"/>
      <w:szCs w:val="22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464FCE"/>
    <w:rPr>
      <w:rFonts w:cs="Times New Roman"/>
      <w:sz w:val="24"/>
      <w:szCs w:val="24"/>
    </w:rPr>
  </w:style>
  <w:style w:type="table" w:styleId="Mriekatabuky">
    <w:name w:val="Table Grid"/>
    <w:basedOn w:val="Normlnatabuka"/>
    <w:uiPriority w:val="99"/>
    <w:rsid w:val="00AD0B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ongtext1">
    <w:name w:val="long_text1"/>
    <w:uiPriority w:val="99"/>
    <w:rsid w:val="00FD2C7A"/>
    <w:rPr>
      <w:sz w:val="20"/>
    </w:rPr>
  </w:style>
  <w:style w:type="character" w:customStyle="1" w:styleId="mediumtext1">
    <w:name w:val="medium_text1"/>
    <w:uiPriority w:val="99"/>
    <w:rsid w:val="00AF28D3"/>
    <w:rPr>
      <w:sz w:val="24"/>
    </w:rPr>
  </w:style>
  <w:style w:type="paragraph" w:customStyle="1" w:styleId="Default">
    <w:name w:val="Default"/>
    <w:uiPriority w:val="99"/>
    <w:rsid w:val="00723BC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horttext1">
    <w:name w:val="short_text1"/>
    <w:uiPriority w:val="99"/>
    <w:rsid w:val="00D64E51"/>
    <w:rPr>
      <w:sz w:val="29"/>
    </w:rPr>
  </w:style>
  <w:style w:type="paragraph" w:styleId="Textbubliny">
    <w:name w:val="Balloon Text"/>
    <w:basedOn w:val="Normlny"/>
    <w:link w:val="TextbublinyChar"/>
    <w:uiPriority w:val="99"/>
    <w:rsid w:val="006A6FBD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6A6FBD"/>
    <w:rPr>
      <w:rFonts w:ascii="Tahoma" w:hAnsi="Tahoma" w:cs="Times New Roman"/>
      <w:sz w:val="16"/>
    </w:rPr>
  </w:style>
  <w:style w:type="character" w:styleId="Odkaznakomentr">
    <w:name w:val="annotation reference"/>
    <w:basedOn w:val="Predvolenpsmoodseku"/>
    <w:uiPriority w:val="99"/>
    <w:rsid w:val="0079782E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79782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79782E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79782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79782E"/>
    <w:rPr>
      <w:rFonts w:cs="Times New Roman"/>
      <w:b/>
    </w:rPr>
  </w:style>
  <w:style w:type="character" w:styleId="Hypertextovprepojenie">
    <w:name w:val="Hyperlink"/>
    <w:basedOn w:val="Predvolenpsmoodseku"/>
    <w:uiPriority w:val="99"/>
    <w:rsid w:val="002F79EB"/>
    <w:rPr>
      <w:rFonts w:ascii="Times New Roman" w:hAnsi="Times New Roman"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90E60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C218D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9"/>
    <w:qFormat/>
    <w:rsid w:val="007A178B"/>
    <w:pPr>
      <w:keepNext/>
      <w:outlineLvl w:val="2"/>
    </w:pPr>
    <w:rPr>
      <w:rFonts w:ascii="Arial" w:hAnsi="Arial" w:cs="Arial"/>
      <w:b/>
      <w:caps/>
      <w:noProof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C218D3"/>
    <w:rPr>
      <w:rFonts w:ascii="Cambria" w:hAnsi="Cambria" w:cs="Times New Roman"/>
      <w:b/>
      <w:kern w:val="32"/>
      <w:sz w:val="32"/>
      <w:lang w:val="sk-SK" w:eastAsia="sk-SK"/>
    </w:rPr>
  </w:style>
  <w:style w:type="character" w:customStyle="1" w:styleId="Nadpis3Char">
    <w:name w:val="Nadpis 3 Char"/>
    <w:basedOn w:val="Predvolenpsmoodseku"/>
    <w:link w:val="Nadpis3"/>
    <w:uiPriority w:val="99"/>
    <w:semiHidden/>
    <w:locked/>
    <w:rsid w:val="00464FCE"/>
    <w:rPr>
      <w:rFonts w:ascii="Cambria" w:hAnsi="Cambria" w:cs="Times New Roman"/>
      <w:b/>
      <w:bCs/>
      <w:sz w:val="26"/>
      <w:szCs w:val="26"/>
    </w:rPr>
  </w:style>
  <w:style w:type="paragraph" w:styleId="Hlavika">
    <w:name w:val="header"/>
    <w:basedOn w:val="Normlny"/>
    <w:link w:val="HlavikaChar"/>
    <w:uiPriority w:val="99"/>
    <w:rsid w:val="00E90E60"/>
    <w:pPr>
      <w:tabs>
        <w:tab w:val="center" w:pos="4153"/>
        <w:tab w:val="right" w:pos="8306"/>
      </w:tabs>
    </w:pPr>
    <w:rPr>
      <w:rFonts w:ascii="Arial" w:hAnsi="Arial"/>
      <w:szCs w:val="20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6A6FBD"/>
    <w:rPr>
      <w:rFonts w:ascii="Arial" w:hAnsi="Arial" w:cs="Times New Roman"/>
      <w:sz w:val="24"/>
      <w:lang w:eastAsia="en-US"/>
    </w:rPr>
  </w:style>
  <w:style w:type="paragraph" w:styleId="Pta">
    <w:name w:val="footer"/>
    <w:basedOn w:val="Normlny"/>
    <w:link w:val="PtaChar"/>
    <w:uiPriority w:val="99"/>
    <w:rsid w:val="00E90E6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A270F4"/>
    <w:rPr>
      <w:rFonts w:cs="Times New Roman"/>
      <w:sz w:val="24"/>
    </w:rPr>
  </w:style>
  <w:style w:type="character" w:styleId="slostrany">
    <w:name w:val="page number"/>
    <w:basedOn w:val="Predvolenpsmoodseku"/>
    <w:uiPriority w:val="99"/>
    <w:rsid w:val="00E90E60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rsid w:val="00E02024"/>
    <w:rPr>
      <w:rFonts w:ascii="Arial" w:hAnsi="Arial" w:cs="Arial"/>
      <w:b/>
      <w:bCs/>
      <w:color w:val="000000"/>
      <w:szCs w:val="22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464FCE"/>
    <w:rPr>
      <w:rFonts w:cs="Times New Roman"/>
      <w:sz w:val="24"/>
      <w:szCs w:val="24"/>
    </w:rPr>
  </w:style>
  <w:style w:type="table" w:styleId="Mriekatabuky">
    <w:name w:val="Table Grid"/>
    <w:basedOn w:val="Normlnatabuka"/>
    <w:uiPriority w:val="99"/>
    <w:rsid w:val="00AD0B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ongtext1">
    <w:name w:val="long_text1"/>
    <w:uiPriority w:val="99"/>
    <w:rsid w:val="00FD2C7A"/>
    <w:rPr>
      <w:sz w:val="20"/>
    </w:rPr>
  </w:style>
  <w:style w:type="character" w:customStyle="1" w:styleId="mediumtext1">
    <w:name w:val="medium_text1"/>
    <w:uiPriority w:val="99"/>
    <w:rsid w:val="00AF28D3"/>
    <w:rPr>
      <w:sz w:val="24"/>
    </w:rPr>
  </w:style>
  <w:style w:type="paragraph" w:customStyle="1" w:styleId="Default">
    <w:name w:val="Default"/>
    <w:uiPriority w:val="99"/>
    <w:rsid w:val="00723BC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horttext1">
    <w:name w:val="short_text1"/>
    <w:uiPriority w:val="99"/>
    <w:rsid w:val="00D64E51"/>
    <w:rPr>
      <w:sz w:val="29"/>
    </w:rPr>
  </w:style>
  <w:style w:type="paragraph" w:styleId="Textbubliny">
    <w:name w:val="Balloon Text"/>
    <w:basedOn w:val="Normlny"/>
    <w:link w:val="TextbublinyChar"/>
    <w:uiPriority w:val="99"/>
    <w:rsid w:val="006A6FBD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6A6FBD"/>
    <w:rPr>
      <w:rFonts w:ascii="Tahoma" w:hAnsi="Tahoma" w:cs="Times New Roman"/>
      <w:sz w:val="16"/>
    </w:rPr>
  </w:style>
  <w:style w:type="character" w:styleId="Odkaznakomentr">
    <w:name w:val="annotation reference"/>
    <w:basedOn w:val="Predvolenpsmoodseku"/>
    <w:uiPriority w:val="99"/>
    <w:rsid w:val="0079782E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79782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79782E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79782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79782E"/>
    <w:rPr>
      <w:rFonts w:cs="Times New Roman"/>
      <w:b/>
    </w:rPr>
  </w:style>
  <w:style w:type="character" w:styleId="Hypertextovprepojenie">
    <w:name w:val="Hyperlink"/>
    <w:basedOn w:val="Predvolenpsmoodseku"/>
    <w:uiPriority w:val="99"/>
    <w:rsid w:val="002F79EB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733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1825</Words>
  <Characters>10409</Characters>
  <Application>Microsoft Office Word</Application>
  <DocSecurity>0</DocSecurity>
  <Lines>86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Kinito 50 mg, SPC</vt:lpstr>
    </vt:vector>
  </TitlesOfParts>
  <Company>Zentiva</Company>
  <LinksUpToDate>false</LinksUpToDate>
  <CharactersWithSpaces>12210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Kinito 50 mg, SPC</dc:title>
  <dc:creator>Hranaiová</dc:creator>
  <cp:lastModifiedBy>marianna forgacova</cp:lastModifiedBy>
  <cp:revision>2</cp:revision>
  <cp:lastPrinted>2016-04-18T09:10:00Z</cp:lastPrinted>
  <dcterms:created xsi:type="dcterms:W3CDTF">2017-02-09T09:01:00Z</dcterms:created>
  <dcterms:modified xsi:type="dcterms:W3CDTF">2017-02-09T09:01:00Z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