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B4" w:rsidRPr="00AF4451" w:rsidRDefault="00ED3E50" w:rsidP="00A471D6">
      <w:pPr>
        <w:widowControl w:val="0"/>
        <w:ind w:left="0" w:firstLine="0"/>
        <w:jc w:val="both"/>
        <w:rPr>
          <w:sz w:val="18"/>
          <w:szCs w:val="18"/>
        </w:rPr>
      </w:pPr>
      <w:r w:rsidRPr="00AF4451">
        <w:rPr>
          <w:sz w:val="18"/>
          <w:szCs w:val="18"/>
        </w:rPr>
        <w:t>P</w:t>
      </w:r>
      <w:r w:rsidR="00710EB4" w:rsidRPr="00632DC1">
        <w:rPr>
          <w:sz w:val="18"/>
          <w:szCs w:val="18"/>
        </w:rPr>
        <w:t xml:space="preserve">ríloha č. </w:t>
      </w:r>
      <w:r w:rsidR="009534F7">
        <w:rPr>
          <w:sz w:val="18"/>
          <w:szCs w:val="18"/>
        </w:rPr>
        <w:t>2</w:t>
      </w:r>
      <w:r w:rsidR="009534F7" w:rsidRPr="00632DC1">
        <w:rPr>
          <w:sz w:val="18"/>
          <w:szCs w:val="18"/>
        </w:rPr>
        <w:t xml:space="preserve"> </w:t>
      </w:r>
      <w:r w:rsidR="00710EB4" w:rsidRPr="00632DC1">
        <w:rPr>
          <w:sz w:val="18"/>
          <w:szCs w:val="18"/>
        </w:rPr>
        <w:t>k notifikácii o zmene, ev.</w:t>
      </w:r>
      <w:r w:rsidR="00BE6C3C" w:rsidRPr="00AF4451">
        <w:rPr>
          <w:sz w:val="18"/>
          <w:szCs w:val="18"/>
        </w:rPr>
        <w:t xml:space="preserve"> </w:t>
      </w:r>
      <w:r w:rsidR="00710EB4" w:rsidRPr="00AF4451">
        <w:rPr>
          <w:sz w:val="18"/>
          <w:szCs w:val="18"/>
        </w:rPr>
        <w:t>č.:</w:t>
      </w:r>
      <w:r w:rsidR="00BE6C3C" w:rsidRPr="00AF4451">
        <w:rPr>
          <w:sz w:val="18"/>
          <w:szCs w:val="18"/>
        </w:rPr>
        <w:t xml:space="preserve"> </w:t>
      </w:r>
      <w:r w:rsidR="00365B54" w:rsidRPr="00365B54">
        <w:rPr>
          <w:sz w:val="18"/>
          <w:szCs w:val="18"/>
        </w:rPr>
        <w:t>2016/05780-Z1A</w:t>
      </w:r>
    </w:p>
    <w:p w:rsidR="009A64D4" w:rsidRDefault="009A64D4" w:rsidP="00A471D6">
      <w:pPr>
        <w:widowControl w:val="0"/>
        <w:ind w:left="0" w:firstLine="0"/>
        <w:jc w:val="both"/>
        <w:rPr>
          <w:sz w:val="18"/>
          <w:szCs w:val="18"/>
        </w:rPr>
      </w:pPr>
    </w:p>
    <w:p w:rsidR="00BE6C3C" w:rsidRDefault="00BE6C3C" w:rsidP="00A471D6">
      <w:pPr>
        <w:widowControl w:val="0"/>
        <w:ind w:left="0" w:firstLine="0"/>
        <w:jc w:val="center"/>
        <w:rPr>
          <w:b/>
          <w:szCs w:val="22"/>
        </w:rPr>
      </w:pPr>
    </w:p>
    <w:p w:rsidR="009A64D4" w:rsidRPr="009A64D4" w:rsidRDefault="009A64D4" w:rsidP="00A471D6">
      <w:pPr>
        <w:widowControl w:val="0"/>
        <w:ind w:left="0" w:firstLine="0"/>
        <w:jc w:val="center"/>
        <w:rPr>
          <w:b/>
          <w:szCs w:val="22"/>
        </w:rPr>
      </w:pPr>
      <w:r w:rsidRPr="009A64D4">
        <w:rPr>
          <w:b/>
          <w:szCs w:val="22"/>
        </w:rPr>
        <w:t>SÚHRN CHARAKTERISTICKÝCH VLASTNOSTÍ LIEKU</w:t>
      </w:r>
    </w:p>
    <w:p w:rsidR="009A64D4" w:rsidRPr="00FE4A18" w:rsidRDefault="009A64D4" w:rsidP="00A471D6">
      <w:pPr>
        <w:widowControl w:val="0"/>
        <w:ind w:left="0" w:firstLine="0"/>
        <w:jc w:val="both"/>
        <w:rPr>
          <w:szCs w:val="22"/>
        </w:rPr>
      </w:pPr>
    </w:p>
    <w:p w:rsidR="00B06E24" w:rsidRPr="00B13F68" w:rsidRDefault="00B06E24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:rsidR="00780926" w:rsidRDefault="00780926" w:rsidP="00A471D6">
      <w:pPr>
        <w:jc w:val="both"/>
        <w:rPr>
          <w:szCs w:val="22"/>
        </w:rPr>
      </w:pPr>
    </w:p>
    <w:p w:rsidR="00035E8C" w:rsidRDefault="00035E8C" w:rsidP="00A471D6">
      <w:pPr>
        <w:jc w:val="both"/>
        <w:rPr>
          <w:szCs w:val="22"/>
        </w:rPr>
      </w:pPr>
      <w:r w:rsidRPr="00035E8C">
        <w:rPr>
          <w:szCs w:val="22"/>
        </w:rPr>
        <w:t xml:space="preserve">CARDILAN </w:t>
      </w:r>
    </w:p>
    <w:p w:rsidR="00035E8C" w:rsidRPr="00035E8C" w:rsidRDefault="00035E8C" w:rsidP="00A471D6">
      <w:pPr>
        <w:jc w:val="both"/>
        <w:rPr>
          <w:iCs/>
        </w:rPr>
      </w:pPr>
      <w:r w:rsidRPr="00035E8C">
        <w:rPr>
          <w:iCs/>
        </w:rPr>
        <w:t xml:space="preserve">injekčný roztok </w:t>
      </w:r>
    </w:p>
    <w:p w:rsidR="00AC6808" w:rsidRPr="003021DE" w:rsidRDefault="00AC6808" w:rsidP="00A471D6">
      <w:pPr>
        <w:jc w:val="both"/>
        <w:rPr>
          <w:iCs/>
        </w:rPr>
      </w:pP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:rsidR="00780926" w:rsidRPr="00A75ECC" w:rsidRDefault="00780926" w:rsidP="00A471D6">
      <w:pPr>
        <w:ind w:left="0" w:firstLine="0"/>
        <w:jc w:val="both"/>
      </w:pPr>
    </w:p>
    <w:p w:rsidR="00035E8C" w:rsidRDefault="00035E8C" w:rsidP="00A471D6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u w:val="single"/>
          <w:lang w:eastAsia="en-US"/>
        </w:rPr>
      </w:pPr>
      <w:r w:rsidRPr="00035E8C">
        <w:rPr>
          <w:szCs w:val="20"/>
          <w:u w:val="single"/>
          <w:lang w:eastAsia="en-US"/>
        </w:rPr>
        <w:t xml:space="preserve">Liečivá: </w:t>
      </w:r>
    </w:p>
    <w:p w:rsidR="00035E8C" w:rsidRPr="00AF4451" w:rsidRDefault="00035E8C" w:rsidP="00A471D6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  <w:proofErr w:type="spellStart"/>
      <w:r w:rsidRPr="00AF4451">
        <w:rPr>
          <w:szCs w:val="20"/>
          <w:lang w:eastAsia="en-US"/>
        </w:rPr>
        <w:t>Hydrogenaspartát</w:t>
      </w:r>
      <w:proofErr w:type="spellEnd"/>
      <w:r w:rsidRPr="00AF4451">
        <w:rPr>
          <w:szCs w:val="20"/>
          <w:lang w:eastAsia="en-US"/>
        </w:rPr>
        <w:t xml:space="preserve">, draselná soľ, </w:t>
      </w:r>
      <w:proofErr w:type="spellStart"/>
      <w:r w:rsidRPr="00AF4451">
        <w:rPr>
          <w:szCs w:val="20"/>
          <w:lang w:eastAsia="en-US"/>
        </w:rPr>
        <w:t>hemihydrát</w:t>
      </w:r>
      <w:proofErr w:type="spellEnd"/>
      <w:r w:rsidRPr="00AF4451">
        <w:rPr>
          <w:szCs w:val="20"/>
          <w:lang w:eastAsia="en-US"/>
        </w:rPr>
        <w:t xml:space="preserve"> 500 mg v 10 ml, </w:t>
      </w:r>
    </w:p>
    <w:p w:rsidR="00035E8C" w:rsidRPr="00AF4451" w:rsidRDefault="00035E8C" w:rsidP="00A471D6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  <w:proofErr w:type="spellStart"/>
      <w:r w:rsidRPr="00AF4451">
        <w:rPr>
          <w:szCs w:val="20"/>
          <w:lang w:eastAsia="en-US"/>
        </w:rPr>
        <w:t>Hydrogenaspartát</w:t>
      </w:r>
      <w:proofErr w:type="spellEnd"/>
      <w:r w:rsidRPr="00AF4451">
        <w:rPr>
          <w:szCs w:val="20"/>
          <w:lang w:eastAsia="en-US"/>
        </w:rPr>
        <w:t xml:space="preserve">, </w:t>
      </w:r>
      <w:proofErr w:type="spellStart"/>
      <w:r w:rsidRPr="00AF4451">
        <w:rPr>
          <w:szCs w:val="20"/>
          <w:lang w:eastAsia="en-US"/>
        </w:rPr>
        <w:t>horečnatá</w:t>
      </w:r>
      <w:proofErr w:type="spellEnd"/>
      <w:r w:rsidRPr="00AF4451">
        <w:rPr>
          <w:szCs w:val="20"/>
          <w:lang w:eastAsia="en-US"/>
        </w:rPr>
        <w:t xml:space="preserve"> soľ, </w:t>
      </w:r>
      <w:proofErr w:type="spellStart"/>
      <w:r w:rsidRPr="00AF4451">
        <w:rPr>
          <w:szCs w:val="20"/>
          <w:lang w:eastAsia="en-US"/>
        </w:rPr>
        <w:t>tetrahydrát</w:t>
      </w:r>
      <w:proofErr w:type="spellEnd"/>
      <w:r w:rsidRPr="00AF4451">
        <w:rPr>
          <w:szCs w:val="20"/>
          <w:lang w:eastAsia="en-US"/>
        </w:rPr>
        <w:t xml:space="preserve"> 500 mg v 10 ml.</w:t>
      </w:r>
    </w:p>
    <w:p w:rsidR="00035E8C" w:rsidRPr="00AF4451" w:rsidRDefault="00035E8C" w:rsidP="00A471D6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</w:p>
    <w:p w:rsidR="00035E8C" w:rsidRPr="00AF4451" w:rsidRDefault="00CE2576" w:rsidP="00A471D6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  <w:r w:rsidRPr="00AF4451">
        <w:rPr>
          <w:szCs w:val="20"/>
          <w:lang w:eastAsia="en-US"/>
        </w:rPr>
        <w:t>Obsah draslíka v</w:t>
      </w:r>
      <w:r w:rsidR="00035E8C" w:rsidRPr="00AF4451">
        <w:rPr>
          <w:szCs w:val="20"/>
          <w:lang w:eastAsia="en-US"/>
        </w:rPr>
        <w:t xml:space="preserve"> 10 ml</w:t>
      </w:r>
      <w:r w:rsidRPr="00AF4451">
        <w:rPr>
          <w:szCs w:val="20"/>
          <w:lang w:eastAsia="en-US"/>
        </w:rPr>
        <w:t>:</w:t>
      </w:r>
      <w:r w:rsidR="00035E8C" w:rsidRPr="00AF4451">
        <w:rPr>
          <w:szCs w:val="20"/>
          <w:lang w:eastAsia="en-US"/>
        </w:rPr>
        <w:t xml:space="preserve"> 108,5 mg, to zodpovedá 2,77 mmol.</w:t>
      </w:r>
    </w:p>
    <w:p w:rsidR="00035E8C" w:rsidRPr="00AF4451" w:rsidRDefault="00035E8C" w:rsidP="00A471D6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  <w:r w:rsidRPr="00AF4451">
        <w:rPr>
          <w:szCs w:val="20"/>
          <w:lang w:eastAsia="en-US"/>
        </w:rPr>
        <w:t>Obsah h</w:t>
      </w:r>
      <w:r w:rsidR="00CE2576" w:rsidRPr="00AF4451">
        <w:rPr>
          <w:szCs w:val="20"/>
          <w:lang w:eastAsia="en-US"/>
        </w:rPr>
        <w:t>orčíka v</w:t>
      </w:r>
      <w:r w:rsidRPr="00AF4451">
        <w:rPr>
          <w:szCs w:val="20"/>
          <w:lang w:eastAsia="en-US"/>
        </w:rPr>
        <w:t xml:space="preserve"> 10 ml</w:t>
      </w:r>
      <w:r w:rsidR="00CE2576" w:rsidRPr="00AF4451">
        <w:rPr>
          <w:szCs w:val="20"/>
          <w:lang w:eastAsia="en-US"/>
        </w:rPr>
        <w:t>:</w:t>
      </w:r>
      <w:r w:rsidRPr="00AF4451">
        <w:rPr>
          <w:szCs w:val="20"/>
          <w:lang w:eastAsia="en-US"/>
        </w:rPr>
        <w:t xml:space="preserve"> 33,7 mg, to zodpovedá 1,39 mmol.</w:t>
      </w:r>
    </w:p>
    <w:p w:rsidR="00AC6808" w:rsidRPr="00AF4451" w:rsidRDefault="00AC6808" w:rsidP="00A471D6">
      <w:pPr>
        <w:tabs>
          <w:tab w:val="left" w:pos="567"/>
        </w:tabs>
        <w:spacing w:line="260" w:lineRule="exact"/>
        <w:ind w:left="0" w:firstLine="0"/>
        <w:jc w:val="both"/>
        <w:rPr>
          <w:szCs w:val="20"/>
          <w:lang w:eastAsia="en-US"/>
        </w:rPr>
      </w:pPr>
    </w:p>
    <w:p w:rsidR="00035E8C" w:rsidRPr="00035E8C" w:rsidRDefault="00035E8C" w:rsidP="00A471D6">
      <w:pPr>
        <w:jc w:val="both"/>
        <w:rPr>
          <w:szCs w:val="22"/>
        </w:rPr>
      </w:pPr>
      <w:r w:rsidRPr="00035E8C">
        <w:rPr>
          <w:szCs w:val="22"/>
        </w:rPr>
        <w:t>Úplný zoznam pomocných látok, pozri časť 6.1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:rsidR="00780926" w:rsidRPr="003021DE" w:rsidRDefault="00780926" w:rsidP="00A471D6">
      <w:pPr>
        <w:jc w:val="both"/>
      </w:pPr>
    </w:p>
    <w:p w:rsidR="00B310CF" w:rsidRPr="00B310CF" w:rsidRDefault="00B310CF" w:rsidP="00A471D6">
      <w:pPr>
        <w:jc w:val="both"/>
        <w:rPr>
          <w:iCs/>
        </w:rPr>
      </w:pPr>
      <w:r w:rsidRPr="00B310CF">
        <w:rPr>
          <w:iCs/>
        </w:rPr>
        <w:t>injekčný roztok</w:t>
      </w:r>
    </w:p>
    <w:p w:rsidR="00780926" w:rsidRPr="003021DE" w:rsidRDefault="00BE6C3C" w:rsidP="00A471D6">
      <w:pPr>
        <w:jc w:val="both"/>
      </w:pPr>
      <w:r>
        <w:rPr>
          <w:iCs/>
        </w:rPr>
        <w:t>Č</w:t>
      </w:r>
      <w:r w:rsidR="00CE2576" w:rsidRPr="00CE2576">
        <w:rPr>
          <w:iCs/>
        </w:rPr>
        <w:t xml:space="preserve">íry bezfarebný až slabo žlto zafarbený roztok, </w:t>
      </w:r>
      <w:r>
        <w:rPr>
          <w:iCs/>
        </w:rPr>
        <w:t xml:space="preserve">prakticky </w:t>
      </w:r>
      <w:r w:rsidR="00CE2576" w:rsidRPr="00CE2576">
        <w:rPr>
          <w:iCs/>
        </w:rPr>
        <w:t>bez častíc.</w:t>
      </w:r>
    </w:p>
    <w:p w:rsidR="00780926" w:rsidRDefault="00780926" w:rsidP="00A471D6">
      <w:pPr>
        <w:jc w:val="both"/>
        <w:rPr>
          <w:szCs w:val="22"/>
        </w:rPr>
      </w:pPr>
    </w:p>
    <w:p w:rsidR="005D1C39" w:rsidRPr="003021DE" w:rsidRDefault="005D1C39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:rsidR="00780926" w:rsidRPr="003021DE" w:rsidRDefault="00780926" w:rsidP="00A471D6">
      <w:pPr>
        <w:jc w:val="both"/>
        <w:rPr>
          <w:szCs w:val="22"/>
        </w:rPr>
      </w:pPr>
    </w:p>
    <w:p w:rsidR="00CE2576" w:rsidRDefault="00CE2576" w:rsidP="00A471D6">
      <w:pPr>
        <w:ind w:left="0" w:firstLine="0"/>
        <w:jc w:val="both"/>
        <w:rPr>
          <w:szCs w:val="22"/>
        </w:rPr>
      </w:pPr>
      <w:r w:rsidRPr="00CE2576">
        <w:rPr>
          <w:szCs w:val="22"/>
        </w:rPr>
        <w:t xml:space="preserve">CARDILAN sa používa v kombinácii s </w:t>
      </w:r>
      <w:proofErr w:type="spellStart"/>
      <w:r w:rsidRPr="00CE2576">
        <w:rPr>
          <w:szCs w:val="22"/>
        </w:rPr>
        <w:t>kardiotonikami</w:t>
      </w:r>
      <w:proofErr w:type="spellEnd"/>
      <w:r w:rsidRPr="00CE2576">
        <w:rPr>
          <w:szCs w:val="22"/>
        </w:rPr>
        <w:t xml:space="preserve"> pri chronických stavoch spojených s bunkovou </w:t>
      </w:r>
      <w:proofErr w:type="spellStart"/>
      <w:r w:rsidRPr="00CE2576">
        <w:rPr>
          <w:szCs w:val="22"/>
        </w:rPr>
        <w:t>depléciou</w:t>
      </w:r>
      <w:proofErr w:type="spellEnd"/>
      <w:r w:rsidRPr="00CE2576">
        <w:rPr>
          <w:szCs w:val="22"/>
        </w:rPr>
        <w:t xml:space="preserve"> iónov draslíka, horčíka a na prevenciu ich strát.</w:t>
      </w:r>
    </w:p>
    <w:p w:rsidR="00CE2576" w:rsidRPr="00CE2576" w:rsidRDefault="00CE2576" w:rsidP="00A471D6">
      <w:pPr>
        <w:ind w:left="0" w:firstLine="0"/>
        <w:jc w:val="both"/>
        <w:rPr>
          <w:szCs w:val="22"/>
        </w:rPr>
      </w:pPr>
    </w:p>
    <w:p w:rsidR="00CE2576" w:rsidRPr="00CE2576" w:rsidRDefault="00CE2576" w:rsidP="00A471D6">
      <w:pPr>
        <w:ind w:left="0" w:firstLine="0"/>
        <w:jc w:val="both"/>
        <w:rPr>
          <w:szCs w:val="22"/>
        </w:rPr>
      </w:pPr>
      <w:r w:rsidRPr="00CE2576">
        <w:rPr>
          <w:szCs w:val="22"/>
        </w:rPr>
        <w:t xml:space="preserve">Injekcie sa používajú pri </w:t>
      </w:r>
      <w:proofErr w:type="spellStart"/>
      <w:r w:rsidRPr="00CE2576">
        <w:rPr>
          <w:szCs w:val="22"/>
        </w:rPr>
        <w:t>myokardiálnej</w:t>
      </w:r>
      <w:proofErr w:type="spellEnd"/>
      <w:r w:rsidRPr="00CE2576">
        <w:rPr>
          <w:szCs w:val="22"/>
        </w:rPr>
        <w:t xml:space="preserve"> ischémii, infarkte myokardu, </w:t>
      </w:r>
      <w:proofErr w:type="spellStart"/>
      <w:r w:rsidRPr="00CE2576">
        <w:rPr>
          <w:szCs w:val="22"/>
        </w:rPr>
        <w:t>supraventrikulárnych</w:t>
      </w:r>
      <w:proofErr w:type="spellEnd"/>
      <w:r w:rsidRPr="00CE2576">
        <w:rPr>
          <w:szCs w:val="22"/>
        </w:rPr>
        <w:t xml:space="preserve"> a najmä komorových </w:t>
      </w:r>
      <w:proofErr w:type="spellStart"/>
      <w:r w:rsidRPr="00CE2576">
        <w:rPr>
          <w:szCs w:val="22"/>
        </w:rPr>
        <w:t>arytmiách</w:t>
      </w:r>
      <w:proofErr w:type="spellEnd"/>
      <w:r w:rsidRPr="00CE2576">
        <w:rPr>
          <w:szCs w:val="22"/>
        </w:rPr>
        <w:t xml:space="preserve"> (ako príprava na </w:t>
      </w:r>
      <w:proofErr w:type="spellStart"/>
      <w:r w:rsidRPr="00CE2576">
        <w:rPr>
          <w:szCs w:val="22"/>
        </w:rPr>
        <w:t>antidysrytmickú</w:t>
      </w:r>
      <w:proofErr w:type="spellEnd"/>
      <w:r w:rsidRPr="00CE2576">
        <w:rPr>
          <w:szCs w:val="22"/>
        </w:rPr>
        <w:t xml:space="preserve"> liečbu alebo elektrický výboj). Podávajú sa pri </w:t>
      </w:r>
      <w:proofErr w:type="spellStart"/>
      <w:r w:rsidRPr="00CE2576">
        <w:rPr>
          <w:szCs w:val="22"/>
        </w:rPr>
        <w:t>digitálisových</w:t>
      </w:r>
      <w:proofErr w:type="spellEnd"/>
      <w:r w:rsidRPr="00CE2576">
        <w:rPr>
          <w:szCs w:val="22"/>
        </w:rPr>
        <w:t xml:space="preserve"> </w:t>
      </w:r>
      <w:proofErr w:type="spellStart"/>
      <w:r w:rsidRPr="00CE2576">
        <w:rPr>
          <w:szCs w:val="22"/>
        </w:rPr>
        <w:t>dysrytmiách</w:t>
      </w:r>
      <w:proofErr w:type="spellEnd"/>
      <w:r w:rsidRPr="00CE2576">
        <w:rPr>
          <w:szCs w:val="22"/>
        </w:rPr>
        <w:t xml:space="preserve"> najmä pri ich predávkovaní.</w:t>
      </w:r>
    </w:p>
    <w:p w:rsidR="00780926" w:rsidRPr="00B13F68" w:rsidRDefault="00780926" w:rsidP="00A471D6">
      <w:pPr>
        <w:jc w:val="both"/>
        <w:rPr>
          <w:szCs w:val="22"/>
        </w:rPr>
      </w:pPr>
    </w:p>
    <w:p w:rsidR="00780926" w:rsidRPr="00B13F68" w:rsidRDefault="00780926" w:rsidP="00A471D6">
      <w:pPr>
        <w:jc w:val="both"/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:rsidR="00780926" w:rsidRPr="00B13F68" w:rsidRDefault="00780926" w:rsidP="00A471D6">
      <w:pPr>
        <w:jc w:val="both"/>
        <w:rPr>
          <w:szCs w:val="22"/>
        </w:rPr>
      </w:pPr>
    </w:p>
    <w:p w:rsidR="00E1698A" w:rsidRPr="00B13F68" w:rsidRDefault="00016090" w:rsidP="00A471D6">
      <w:pPr>
        <w:jc w:val="both"/>
        <w:rPr>
          <w:szCs w:val="22"/>
          <w:u w:val="single"/>
        </w:rPr>
      </w:pPr>
      <w:r w:rsidRPr="00016090">
        <w:rPr>
          <w:szCs w:val="22"/>
          <w:u w:val="single"/>
        </w:rPr>
        <w:t>Dávkovanie</w:t>
      </w:r>
    </w:p>
    <w:p w:rsidR="009A64D4" w:rsidRDefault="009A64D4" w:rsidP="00A471D6">
      <w:pPr>
        <w:jc w:val="both"/>
        <w:rPr>
          <w:szCs w:val="22"/>
        </w:rPr>
      </w:pPr>
    </w:p>
    <w:p w:rsidR="00B310CF" w:rsidRPr="00AF4451" w:rsidRDefault="00016090" w:rsidP="00A471D6">
      <w:pPr>
        <w:jc w:val="both"/>
        <w:rPr>
          <w:szCs w:val="22"/>
        </w:rPr>
      </w:pPr>
      <w:r w:rsidRPr="006E1424">
        <w:rPr>
          <w:i/>
          <w:szCs w:val="22"/>
        </w:rPr>
        <w:t>D</w:t>
      </w:r>
      <w:r w:rsidR="00B310CF" w:rsidRPr="006E1424">
        <w:rPr>
          <w:i/>
          <w:szCs w:val="22"/>
        </w:rPr>
        <w:t>ospel</w:t>
      </w:r>
      <w:r w:rsidRPr="006E1424">
        <w:rPr>
          <w:i/>
          <w:szCs w:val="22"/>
        </w:rPr>
        <w:t>í</w:t>
      </w:r>
    </w:p>
    <w:p w:rsidR="00CE2576" w:rsidRDefault="00CE2576" w:rsidP="00A471D6">
      <w:pPr>
        <w:ind w:left="0" w:firstLine="0"/>
        <w:jc w:val="both"/>
        <w:rPr>
          <w:szCs w:val="22"/>
        </w:rPr>
      </w:pPr>
      <w:r w:rsidRPr="00CE2576">
        <w:rPr>
          <w:szCs w:val="22"/>
        </w:rPr>
        <w:t xml:space="preserve">CARDILAN injekcie sa podávajú 1 - 2 ampuly po 10 ml 1 až 2 krát denne pomaly intravenózne, lepšie v </w:t>
      </w:r>
      <w:proofErr w:type="spellStart"/>
      <w:r w:rsidRPr="00CE2576">
        <w:rPr>
          <w:szCs w:val="22"/>
        </w:rPr>
        <w:t>mikroinfúzii</w:t>
      </w:r>
      <w:proofErr w:type="spellEnd"/>
      <w:r w:rsidRPr="00CE2576">
        <w:rPr>
          <w:szCs w:val="22"/>
        </w:rPr>
        <w:t xml:space="preserve"> v 100 ml 10 % roztoku glukózy alebo fyziologického roztoku. V naliehavých prípadoch možno podať 4 až 5 ampúl v 500 ml 10 % roztoku glukózy rýchlosťou 20 kvapiek za minútu.</w:t>
      </w:r>
    </w:p>
    <w:p w:rsidR="001776E7" w:rsidRDefault="001776E7" w:rsidP="00A471D6">
      <w:pPr>
        <w:ind w:left="0" w:firstLine="0"/>
        <w:jc w:val="both"/>
        <w:rPr>
          <w:szCs w:val="22"/>
        </w:rPr>
      </w:pPr>
    </w:p>
    <w:p w:rsidR="001776E7" w:rsidRPr="001776E7" w:rsidRDefault="001776E7" w:rsidP="00A471D6">
      <w:pPr>
        <w:ind w:left="0" w:firstLine="0"/>
        <w:jc w:val="both"/>
        <w:rPr>
          <w:b/>
          <w:i/>
          <w:szCs w:val="22"/>
        </w:rPr>
      </w:pPr>
      <w:r w:rsidRPr="001776E7">
        <w:rPr>
          <w:i/>
          <w:szCs w:val="22"/>
        </w:rPr>
        <w:t>Pediatrická populácia</w:t>
      </w:r>
    </w:p>
    <w:p w:rsidR="001776E7" w:rsidRPr="001776E7" w:rsidRDefault="001776E7" w:rsidP="00A471D6">
      <w:pPr>
        <w:ind w:left="0" w:firstLine="0"/>
        <w:jc w:val="both"/>
        <w:rPr>
          <w:szCs w:val="22"/>
        </w:rPr>
      </w:pPr>
      <w:r w:rsidRPr="001776E7">
        <w:rPr>
          <w:szCs w:val="22"/>
        </w:rPr>
        <w:t>Podávanie v pediatrii sa neodporúča.</w:t>
      </w:r>
    </w:p>
    <w:p w:rsidR="00B310CF" w:rsidRDefault="00B310CF" w:rsidP="00A471D6">
      <w:pPr>
        <w:jc w:val="both"/>
        <w:rPr>
          <w:szCs w:val="22"/>
        </w:rPr>
      </w:pPr>
    </w:p>
    <w:p w:rsidR="009A64D4" w:rsidRDefault="009A64D4" w:rsidP="00A471D6">
      <w:pPr>
        <w:jc w:val="both"/>
        <w:rPr>
          <w:szCs w:val="22"/>
          <w:u w:val="single"/>
        </w:rPr>
      </w:pPr>
      <w:r w:rsidRPr="009A64D4">
        <w:rPr>
          <w:szCs w:val="22"/>
          <w:u w:val="single"/>
        </w:rPr>
        <w:t>Spôsob podávania</w:t>
      </w:r>
    </w:p>
    <w:p w:rsidR="009A64D4" w:rsidRDefault="009A64D4" w:rsidP="00AF4451">
      <w:pPr>
        <w:ind w:left="0" w:firstLine="0"/>
        <w:jc w:val="both"/>
        <w:rPr>
          <w:szCs w:val="22"/>
        </w:rPr>
      </w:pPr>
      <w:r w:rsidRPr="009A64D4">
        <w:rPr>
          <w:szCs w:val="22"/>
        </w:rPr>
        <w:t>Liek je určený na</w:t>
      </w:r>
      <w:r w:rsidR="00CE2576">
        <w:rPr>
          <w:szCs w:val="22"/>
        </w:rPr>
        <w:t xml:space="preserve"> pomalú</w:t>
      </w:r>
      <w:r w:rsidRPr="009A64D4">
        <w:rPr>
          <w:szCs w:val="22"/>
        </w:rPr>
        <w:t xml:space="preserve"> intravenóznu aplikáciu.</w:t>
      </w:r>
      <w:r w:rsidR="00941642">
        <w:rPr>
          <w:szCs w:val="22"/>
        </w:rPr>
        <w:t xml:space="preserve"> </w:t>
      </w:r>
    </w:p>
    <w:p w:rsidR="00865727" w:rsidRDefault="00865727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lastRenderedPageBreak/>
        <w:t>4.3</w:t>
      </w:r>
      <w:r w:rsidRPr="003021DE">
        <w:rPr>
          <w:b/>
          <w:szCs w:val="22"/>
        </w:rPr>
        <w:tab/>
        <w:t>Kontraindikácie</w:t>
      </w:r>
    </w:p>
    <w:p w:rsidR="00016090" w:rsidRDefault="00016090" w:rsidP="00A471D6">
      <w:pPr>
        <w:ind w:left="0" w:firstLine="0"/>
        <w:jc w:val="both"/>
        <w:rPr>
          <w:szCs w:val="22"/>
        </w:rPr>
      </w:pPr>
    </w:p>
    <w:p w:rsidR="00016090" w:rsidRPr="00016090" w:rsidRDefault="00BE6C3C" w:rsidP="00AF4451">
      <w:pPr>
        <w:numPr>
          <w:ilvl w:val="0"/>
          <w:numId w:val="15"/>
        </w:numPr>
        <w:ind w:left="426" w:hanging="426"/>
        <w:jc w:val="both"/>
        <w:rPr>
          <w:szCs w:val="22"/>
        </w:rPr>
      </w:pPr>
      <w:r>
        <w:rPr>
          <w:szCs w:val="22"/>
        </w:rPr>
        <w:t>p</w:t>
      </w:r>
      <w:r w:rsidR="00016090" w:rsidRPr="00016090">
        <w:rPr>
          <w:szCs w:val="22"/>
        </w:rPr>
        <w:t xml:space="preserve">recitlivenosť na </w:t>
      </w:r>
      <w:r w:rsidR="007771EF">
        <w:rPr>
          <w:szCs w:val="22"/>
        </w:rPr>
        <w:t xml:space="preserve">liečivá </w:t>
      </w:r>
      <w:r w:rsidR="00016090" w:rsidRPr="00016090">
        <w:rPr>
          <w:szCs w:val="22"/>
        </w:rPr>
        <w:t xml:space="preserve">alebo na ktorúkoľvek z pomocných látok uvedených v časti 6.1. </w:t>
      </w:r>
    </w:p>
    <w:p w:rsidR="00C84DC5" w:rsidRDefault="00C84DC5" w:rsidP="00AF4451">
      <w:pPr>
        <w:numPr>
          <w:ilvl w:val="0"/>
          <w:numId w:val="14"/>
        </w:numPr>
        <w:ind w:left="426" w:hanging="426"/>
        <w:jc w:val="both"/>
        <w:rPr>
          <w:szCs w:val="22"/>
        </w:rPr>
      </w:pPr>
      <w:proofErr w:type="spellStart"/>
      <w:r w:rsidRPr="00C84DC5">
        <w:rPr>
          <w:szCs w:val="22"/>
        </w:rPr>
        <w:t>hyperkaliémi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>,</w:t>
      </w:r>
    </w:p>
    <w:p w:rsidR="00C84DC5" w:rsidRDefault="00C84DC5" w:rsidP="00AF4451">
      <w:pPr>
        <w:numPr>
          <w:ilvl w:val="0"/>
          <w:numId w:val="14"/>
        </w:numPr>
        <w:ind w:left="426" w:hanging="426"/>
        <w:jc w:val="both"/>
        <w:rPr>
          <w:szCs w:val="22"/>
        </w:rPr>
      </w:pPr>
      <w:proofErr w:type="spellStart"/>
      <w:r w:rsidRPr="00C84DC5">
        <w:rPr>
          <w:szCs w:val="22"/>
        </w:rPr>
        <w:t>hypermagneziémi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>,</w:t>
      </w:r>
    </w:p>
    <w:p w:rsidR="00C84DC5" w:rsidRDefault="00C84DC5" w:rsidP="00AF4451">
      <w:pPr>
        <w:numPr>
          <w:ilvl w:val="0"/>
          <w:numId w:val="14"/>
        </w:numPr>
        <w:ind w:left="426" w:hanging="426"/>
        <w:jc w:val="both"/>
        <w:rPr>
          <w:szCs w:val="22"/>
        </w:rPr>
      </w:pPr>
      <w:r w:rsidRPr="00C84DC5">
        <w:rPr>
          <w:szCs w:val="22"/>
        </w:rPr>
        <w:t>metabolick</w:t>
      </w:r>
      <w:r w:rsidR="00BE6C3C">
        <w:rPr>
          <w:szCs w:val="22"/>
        </w:rPr>
        <w:t>á</w:t>
      </w:r>
      <w:r w:rsidRPr="00C84DC5">
        <w:rPr>
          <w:szCs w:val="22"/>
        </w:rPr>
        <w:t xml:space="preserve"> </w:t>
      </w:r>
      <w:proofErr w:type="spellStart"/>
      <w:r w:rsidRPr="00C84DC5">
        <w:rPr>
          <w:szCs w:val="22"/>
        </w:rPr>
        <w:t>acidóz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>,</w:t>
      </w:r>
    </w:p>
    <w:p w:rsidR="00C84DC5" w:rsidRDefault="00C84DC5" w:rsidP="00AF4451">
      <w:pPr>
        <w:numPr>
          <w:ilvl w:val="0"/>
          <w:numId w:val="14"/>
        </w:numPr>
        <w:ind w:left="426" w:hanging="426"/>
        <w:jc w:val="both"/>
        <w:rPr>
          <w:szCs w:val="22"/>
        </w:rPr>
      </w:pPr>
      <w:r w:rsidRPr="00C84DC5">
        <w:rPr>
          <w:szCs w:val="22"/>
        </w:rPr>
        <w:t>akút</w:t>
      </w:r>
      <w:r w:rsidR="00BE6C3C">
        <w:rPr>
          <w:szCs w:val="22"/>
        </w:rPr>
        <w:t>na</w:t>
      </w:r>
      <w:r w:rsidRPr="00C84DC5">
        <w:rPr>
          <w:szCs w:val="22"/>
        </w:rPr>
        <w:t xml:space="preserve"> </w:t>
      </w:r>
      <w:proofErr w:type="spellStart"/>
      <w:r w:rsidRPr="00C84DC5">
        <w:rPr>
          <w:szCs w:val="22"/>
        </w:rPr>
        <w:t>renáln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 xml:space="preserve"> </w:t>
      </w:r>
      <w:proofErr w:type="spellStart"/>
      <w:r w:rsidRPr="00C84DC5">
        <w:rPr>
          <w:szCs w:val="22"/>
        </w:rPr>
        <w:t>insuficienci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 xml:space="preserve"> v </w:t>
      </w:r>
      <w:proofErr w:type="spellStart"/>
      <w:r w:rsidRPr="00C84DC5">
        <w:rPr>
          <w:szCs w:val="22"/>
        </w:rPr>
        <w:t>anurickej</w:t>
      </w:r>
      <w:proofErr w:type="spellEnd"/>
      <w:r w:rsidRPr="00C84DC5">
        <w:rPr>
          <w:szCs w:val="22"/>
        </w:rPr>
        <w:t xml:space="preserve"> fáze a chronick</w:t>
      </w:r>
      <w:r w:rsidR="00BE6C3C">
        <w:rPr>
          <w:szCs w:val="22"/>
        </w:rPr>
        <w:t>á</w:t>
      </w:r>
      <w:r w:rsidRPr="00C84DC5">
        <w:rPr>
          <w:szCs w:val="22"/>
        </w:rPr>
        <w:t xml:space="preserve"> </w:t>
      </w:r>
      <w:proofErr w:type="spellStart"/>
      <w:r w:rsidRPr="00C84DC5">
        <w:rPr>
          <w:szCs w:val="22"/>
        </w:rPr>
        <w:t>renáln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 xml:space="preserve"> </w:t>
      </w:r>
      <w:proofErr w:type="spellStart"/>
      <w:r w:rsidRPr="00C84DC5">
        <w:rPr>
          <w:szCs w:val="22"/>
        </w:rPr>
        <w:t>insuficienci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 xml:space="preserve"> v terminálnej </w:t>
      </w:r>
      <w:proofErr w:type="spellStart"/>
      <w:r w:rsidRPr="00C84DC5">
        <w:rPr>
          <w:szCs w:val="22"/>
        </w:rPr>
        <w:t>oligurickej</w:t>
      </w:r>
      <w:proofErr w:type="spellEnd"/>
      <w:r w:rsidRPr="00C84DC5">
        <w:rPr>
          <w:szCs w:val="22"/>
        </w:rPr>
        <w:t xml:space="preserve"> fáze, </w:t>
      </w:r>
    </w:p>
    <w:p w:rsidR="00C84DC5" w:rsidRDefault="00C84DC5" w:rsidP="00AF4451">
      <w:pPr>
        <w:numPr>
          <w:ilvl w:val="0"/>
          <w:numId w:val="14"/>
        </w:numPr>
        <w:ind w:left="426" w:hanging="426"/>
        <w:jc w:val="both"/>
        <w:rPr>
          <w:szCs w:val="22"/>
        </w:rPr>
      </w:pPr>
      <w:proofErr w:type="spellStart"/>
      <w:r w:rsidRPr="00C84DC5">
        <w:rPr>
          <w:szCs w:val="22"/>
        </w:rPr>
        <w:t>Addisonov</w:t>
      </w:r>
      <w:r w:rsidR="00BE6C3C">
        <w:rPr>
          <w:szCs w:val="22"/>
        </w:rPr>
        <w:t>a</w:t>
      </w:r>
      <w:proofErr w:type="spellEnd"/>
      <w:r w:rsidRPr="00C84DC5">
        <w:rPr>
          <w:szCs w:val="22"/>
        </w:rPr>
        <w:t xml:space="preserve"> chorob</w:t>
      </w:r>
      <w:r w:rsidR="00BE6C3C">
        <w:rPr>
          <w:szCs w:val="22"/>
        </w:rPr>
        <w:t>a</w:t>
      </w:r>
      <w:r>
        <w:rPr>
          <w:szCs w:val="22"/>
        </w:rPr>
        <w:t>,</w:t>
      </w:r>
    </w:p>
    <w:p w:rsidR="00C84DC5" w:rsidRPr="00C84DC5" w:rsidRDefault="00C84DC5" w:rsidP="00AF4451">
      <w:pPr>
        <w:numPr>
          <w:ilvl w:val="0"/>
          <w:numId w:val="14"/>
        </w:numPr>
        <w:ind w:left="426" w:hanging="426"/>
        <w:jc w:val="both"/>
        <w:rPr>
          <w:szCs w:val="22"/>
        </w:rPr>
      </w:pPr>
      <w:r w:rsidRPr="00C84DC5">
        <w:rPr>
          <w:szCs w:val="22"/>
        </w:rPr>
        <w:t>AV blokád</w:t>
      </w:r>
      <w:r w:rsidR="00BE6C3C">
        <w:rPr>
          <w:szCs w:val="22"/>
        </w:rPr>
        <w:t>a</w:t>
      </w:r>
      <w:r w:rsidRPr="00C84DC5">
        <w:rPr>
          <w:szCs w:val="22"/>
        </w:rPr>
        <w:t xml:space="preserve"> vyššieho stupňa.</w:t>
      </w:r>
    </w:p>
    <w:p w:rsidR="009507C6" w:rsidRPr="003021DE" w:rsidRDefault="009507C6" w:rsidP="00A471D6">
      <w:pPr>
        <w:jc w:val="both"/>
        <w:rPr>
          <w:szCs w:val="22"/>
        </w:rPr>
      </w:pPr>
    </w:p>
    <w:p w:rsidR="00780926" w:rsidRPr="00B13F68" w:rsidRDefault="00780926" w:rsidP="00A471D6">
      <w:pPr>
        <w:jc w:val="both"/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:rsidR="00E1698A" w:rsidRPr="00B13F68" w:rsidRDefault="00E1698A" w:rsidP="00A471D6">
      <w:pPr>
        <w:jc w:val="both"/>
        <w:rPr>
          <w:szCs w:val="22"/>
        </w:rPr>
      </w:pPr>
    </w:p>
    <w:p w:rsidR="00C84DC5" w:rsidRDefault="00C84DC5" w:rsidP="00A471D6">
      <w:pPr>
        <w:ind w:left="0" w:firstLine="0"/>
        <w:jc w:val="both"/>
        <w:rPr>
          <w:noProof/>
          <w:szCs w:val="22"/>
        </w:rPr>
      </w:pPr>
      <w:r w:rsidRPr="00AF4451">
        <w:rPr>
          <w:i/>
          <w:noProof/>
          <w:szCs w:val="22"/>
        </w:rPr>
        <w:t>Poruchy pečene a obličiek</w:t>
      </w:r>
      <w:r w:rsidRPr="00C84DC5">
        <w:rPr>
          <w:noProof/>
          <w:szCs w:val="22"/>
        </w:rPr>
        <w:t xml:space="preserve"> </w:t>
      </w:r>
    </w:p>
    <w:p w:rsidR="00C84DC5" w:rsidRDefault="00C84DC5" w:rsidP="00A471D6">
      <w:pPr>
        <w:ind w:left="0" w:firstLine="0"/>
        <w:jc w:val="both"/>
        <w:rPr>
          <w:noProof/>
          <w:szCs w:val="22"/>
        </w:rPr>
      </w:pPr>
      <w:r w:rsidRPr="00C84DC5">
        <w:rPr>
          <w:noProof/>
          <w:szCs w:val="22"/>
        </w:rPr>
        <w:t>Pri metabolickej acidóze a pri akútnej, resp. chronickej renálnej insuficiencii sa CARDILAN nepodáva.</w:t>
      </w:r>
    </w:p>
    <w:p w:rsidR="00C84DC5" w:rsidRPr="00C84DC5" w:rsidRDefault="00C84DC5" w:rsidP="00A471D6">
      <w:pPr>
        <w:ind w:left="0" w:firstLine="0"/>
        <w:jc w:val="both"/>
        <w:rPr>
          <w:noProof/>
          <w:szCs w:val="22"/>
        </w:rPr>
      </w:pPr>
    </w:p>
    <w:p w:rsidR="00C84DC5" w:rsidRPr="00C84DC5" w:rsidRDefault="00C84DC5" w:rsidP="00A471D6">
      <w:pPr>
        <w:ind w:left="0" w:firstLine="0"/>
        <w:jc w:val="both"/>
        <w:rPr>
          <w:noProof/>
          <w:szCs w:val="22"/>
        </w:rPr>
      </w:pPr>
      <w:r w:rsidRPr="00C84DC5">
        <w:rPr>
          <w:noProof/>
          <w:szCs w:val="22"/>
        </w:rPr>
        <w:t>Neodporúča sa jeho podávanie v kombinácii s látkami šetriacimi kálium, ako sú kálium šetriace diuretiká alebo samotné prípravky s káliom, pretože dochádza k potenciácii účinku kálium šetriacich látok. Súčasné podávanie týchto látok si vyžaduje častejšiu kontrolu hladiny kália.</w:t>
      </w:r>
    </w:p>
    <w:p w:rsidR="009A1658" w:rsidRPr="003021DE" w:rsidRDefault="009A1658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b/>
          <w:szCs w:val="22"/>
        </w:rPr>
      </w:pPr>
      <w:r w:rsidRPr="00C0577A">
        <w:rPr>
          <w:b/>
          <w:szCs w:val="22"/>
        </w:rPr>
        <w:t>4.5</w:t>
      </w:r>
      <w:r w:rsidRPr="00C0577A">
        <w:rPr>
          <w:b/>
          <w:szCs w:val="22"/>
        </w:rPr>
        <w:tab/>
        <w:t>Liekové a</w:t>
      </w:r>
      <w:r w:rsidR="00A236CF" w:rsidRPr="00C0577A">
        <w:rPr>
          <w:b/>
          <w:szCs w:val="22"/>
        </w:rPr>
        <w:t> </w:t>
      </w:r>
      <w:r w:rsidRPr="00C0577A">
        <w:rPr>
          <w:b/>
          <w:szCs w:val="22"/>
        </w:rPr>
        <w:t>iné interakcie</w:t>
      </w:r>
    </w:p>
    <w:p w:rsidR="00780926" w:rsidRPr="003021DE" w:rsidRDefault="00780926" w:rsidP="00A471D6">
      <w:pPr>
        <w:jc w:val="both"/>
        <w:rPr>
          <w:szCs w:val="22"/>
        </w:rPr>
      </w:pPr>
    </w:p>
    <w:p w:rsidR="00C84DC5" w:rsidRDefault="00E574FD" w:rsidP="00A471D6">
      <w:pPr>
        <w:ind w:left="0" w:firstLine="0"/>
        <w:jc w:val="both"/>
        <w:rPr>
          <w:noProof/>
        </w:rPr>
      </w:pPr>
      <w:r>
        <w:rPr>
          <w:noProof/>
        </w:rPr>
        <w:t>P</w:t>
      </w:r>
      <w:r w:rsidR="00C84DC5" w:rsidRPr="00C84DC5">
        <w:rPr>
          <w:noProof/>
        </w:rPr>
        <w:t>ri súčasnom podaní iných suplementárnych prípravkov, napr. prípravkov s káliom a</w:t>
      </w:r>
      <w:r>
        <w:rPr>
          <w:noProof/>
        </w:rPr>
        <w:t> </w:t>
      </w:r>
      <w:r w:rsidR="00C84DC5" w:rsidRPr="00C84DC5">
        <w:rPr>
          <w:noProof/>
        </w:rPr>
        <w:t>magnéziom</w:t>
      </w:r>
      <w:r>
        <w:rPr>
          <w:noProof/>
        </w:rPr>
        <w:t xml:space="preserve"> môže</w:t>
      </w:r>
      <w:r w:rsidR="00C84DC5" w:rsidRPr="00C84DC5">
        <w:rPr>
          <w:noProof/>
        </w:rPr>
        <w:t xml:space="preserve"> dochádza</w:t>
      </w:r>
      <w:r>
        <w:rPr>
          <w:noProof/>
        </w:rPr>
        <w:t>ť</w:t>
      </w:r>
      <w:r w:rsidR="00C84DC5" w:rsidRPr="00C84DC5">
        <w:rPr>
          <w:noProof/>
        </w:rPr>
        <w:t xml:space="preserve"> k aditívnemu efektu.</w:t>
      </w:r>
    </w:p>
    <w:p w:rsidR="00C84DC5" w:rsidRPr="00C84DC5" w:rsidRDefault="00C84DC5" w:rsidP="00A471D6">
      <w:pPr>
        <w:ind w:left="0" w:firstLine="0"/>
        <w:jc w:val="both"/>
        <w:rPr>
          <w:noProof/>
        </w:rPr>
      </w:pPr>
    </w:p>
    <w:p w:rsidR="00C84DC5" w:rsidRPr="00C84DC5" w:rsidRDefault="00C84DC5" w:rsidP="00A471D6">
      <w:pPr>
        <w:ind w:left="0" w:firstLine="0"/>
        <w:jc w:val="both"/>
        <w:rPr>
          <w:noProof/>
        </w:rPr>
      </w:pPr>
      <w:r w:rsidRPr="00C84DC5">
        <w:rPr>
          <w:noProof/>
        </w:rPr>
        <w:t>Interakcie s inými liekmi sa nepredpokladajú. Pri preeklampsii po podaní spolu so suxametóniom, resp. kurareformnými myorelaxanciami potenciuje neuromuskulárnu blokádu.</w:t>
      </w:r>
    </w:p>
    <w:p w:rsidR="00B310CF" w:rsidRPr="003021DE" w:rsidRDefault="00B310CF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:rsidR="00E1698A" w:rsidRPr="00B13F68" w:rsidRDefault="00E1698A" w:rsidP="00A471D6">
      <w:pPr>
        <w:jc w:val="both"/>
      </w:pPr>
    </w:p>
    <w:p w:rsidR="00B310CF" w:rsidRPr="00B310CF" w:rsidRDefault="00B310CF" w:rsidP="00A471D6">
      <w:pPr>
        <w:jc w:val="both"/>
        <w:rPr>
          <w:noProof/>
          <w:szCs w:val="22"/>
        </w:rPr>
      </w:pPr>
      <w:r w:rsidRPr="00B310CF">
        <w:rPr>
          <w:noProof/>
          <w:szCs w:val="22"/>
          <w:u w:val="single"/>
        </w:rPr>
        <w:t>Gravidita</w:t>
      </w:r>
    </w:p>
    <w:p w:rsidR="00B310CF" w:rsidRDefault="00C84DC5" w:rsidP="00A471D6">
      <w:pPr>
        <w:jc w:val="both"/>
        <w:rPr>
          <w:noProof/>
          <w:szCs w:val="22"/>
        </w:rPr>
      </w:pPr>
      <w:r w:rsidRPr="00C84DC5">
        <w:rPr>
          <w:noProof/>
          <w:szCs w:val="22"/>
        </w:rPr>
        <w:t>Platí rovnaké obmedzenie ako pri ostatných suplememtárnych prípravkoch kália a magnézia.</w:t>
      </w:r>
    </w:p>
    <w:p w:rsidR="00C84DC5" w:rsidRDefault="00C84DC5" w:rsidP="00A471D6">
      <w:pPr>
        <w:jc w:val="both"/>
        <w:rPr>
          <w:noProof/>
          <w:szCs w:val="22"/>
        </w:rPr>
      </w:pPr>
    </w:p>
    <w:p w:rsidR="002E18F4" w:rsidRDefault="007C4B36" w:rsidP="00A471D6">
      <w:pPr>
        <w:jc w:val="both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Dojčenie</w:t>
      </w:r>
    </w:p>
    <w:p w:rsidR="00CC11A4" w:rsidRDefault="00C84DC5" w:rsidP="00A471D6">
      <w:pPr>
        <w:ind w:left="0" w:firstLine="0"/>
        <w:jc w:val="both"/>
        <w:rPr>
          <w:noProof/>
          <w:szCs w:val="22"/>
        </w:rPr>
      </w:pPr>
      <w:r w:rsidRPr="00C84DC5">
        <w:rPr>
          <w:noProof/>
          <w:szCs w:val="22"/>
        </w:rPr>
        <w:t>Magnézium pri vysokých dávkach sa vo zvýšenej miere vylučuje do materského mlieka a môže vyvolať hnačky dojčaťa.</w:t>
      </w:r>
    </w:p>
    <w:p w:rsidR="00C84DC5" w:rsidRPr="003021DE" w:rsidRDefault="00C84DC5" w:rsidP="00A471D6">
      <w:pPr>
        <w:jc w:val="both"/>
        <w:rPr>
          <w:noProof/>
          <w:szCs w:val="22"/>
        </w:rPr>
      </w:pPr>
    </w:p>
    <w:p w:rsidR="009A64D4" w:rsidRPr="009A64D4" w:rsidRDefault="009A64D4" w:rsidP="00A471D6">
      <w:pPr>
        <w:jc w:val="both"/>
        <w:rPr>
          <w:szCs w:val="22"/>
        </w:rPr>
      </w:pPr>
      <w:proofErr w:type="spellStart"/>
      <w:r w:rsidRPr="009A64D4">
        <w:rPr>
          <w:szCs w:val="22"/>
          <w:u w:val="single"/>
        </w:rPr>
        <w:t>Fertilita</w:t>
      </w:r>
      <w:proofErr w:type="spellEnd"/>
    </w:p>
    <w:p w:rsidR="009A64D4" w:rsidRPr="009A64D4" w:rsidRDefault="009A64D4" w:rsidP="00A471D6">
      <w:pPr>
        <w:jc w:val="both"/>
        <w:rPr>
          <w:szCs w:val="22"/>
        </w:rPr>
      </w:pPr>
      <w:r w:rsidRPr="009A64D4">
        <w:rPr>
          <w:szCs w:val="22"/>
        </w:rPr>
        <w:t xml:space="preserve">Účinky na </w:t>
      </w:r>
      <w:proofErr w:type="spellStart"/>
      <w:r w:rsidRPr="009A64D4">
        <w:rPr>
          <w:szCs w:val="22"/>
        </w:rPr>
        <w:t>fertilitu</w:t>
      </w:r>
      <w:proofErr w:type="spellEnd"/>
      <w:r w:rsidRPr="009A64D4">
        <w:rPr>
          <w:szCs w:val="22"/>
        </w:rPr>
        <w:t xml:space="preserve"> nie sú známe.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:rsidR="00780926" w:rsidRPr="003021DE" w:rsidRDefault="00780926" w:rsidP="00A471D6">
      <w:pPr>
        <w:jc w:val="both"/>
        <w:rPr>
          <w:szCs w:val="22"/>
        </w:rPr>
      </w:pPr>
    </w:p>
    <w:p w:rsidR="00C84DC5" w:rsidRDefault="00C84DC5" w:rsidP="00A471D6">
      <w:pPr>
        <w:ind w:left="0" w:firstLine="0"/>
        <w:jc w:val="both"/>
        <w:rPr>
          <w:szCs w:val="22"/>
        </w:rPr>
      </w:pPr>
      <w:r w:rsidRPr="00C84DC5">
        <w:rPr>
          <w:szCs w:val="22"/>
        </w:rPr>
        <w:t xml:space="preserve">CARDILAN nebol špeciálne testovaný pre túto možnosť. Pri použití odporučených dávok ovplyvnenie pozornosti neprichádza do úvahy v kauzálnom vzťahu k mechanizmu účinku </w:t>
      </w:r>
      <w:proofErr w:type="spellStart"/>
      <w:r w:rsidRPr="00C84DC5">
        <w:rPr>
          <w:szCs w:val="22"/>
        </w:rPr>
        <w:t>káliumaspartátu</w:t>
      </w:r>
      <w:proofErr w:type="spellEnd"/>
      <w:r w:rsidRPr="00C84DC5">
        <w:rPr>
          <w:szCs w:val="22"/>
        </w:rPr>
        <w:t xml:space="preserve"> a </w:t>
      </w:r>
      <w:proofErr w:type="spellStart"/>
      <w:r w:rsidRPr="00C84DC5">
        <w:rPr>
          <w:szCs w:val="22"/>
        </w:rPr>
        <w:t>magnéziumaspartátu</w:t>
      </w:r>
      <w:proofErr w:type="spellEnd"/>
      <w:r w:rsidRPr="00C84DC5">
        <w:rPr>
          <w:szCs w:val="22"/>
        </w:rPr>
        <w:t>.</w:t>
      </w:r>
    </w:p>
    <w:p w:rsidR="001776E7" w:rsidRDefault="001776E7" w:rsidP="00A471D6">
      <w:pPr>
        <w:ind w:left="0" w:firstLine="0"/>
        <w:jc w:val="both"/>
        <w:rPr>
          <w:szCs w:val="22"/>
        </w:rPr>
      </w:pPr>
    </w:p>
    <w:p w:rsidR="001776E7" w:rsidRPr="00C84DC5" w:rsidRDefault="001776E7" w:rsidP="00A471D6">
      <w:pPr>
        <w:ind w:left="0" w:firstLine="0"/>
        <w:jc w:val="both"/>
        <w:rPr>
          <w:szCs w:val="22"/>
        </w:rPr>
      </w:pPr>
      <w:r>
        <w:rPr>
          <w:szCs w:val="22"/>
        </w:rPr>
        <w:t>CARDILAN</w:t>
      </w:r>
      <w:r w:rsidRPr="001776E7">
        <w:rPr>
          <w:szCs w:val="22"/>
        </w:rPr>
        <w:t xml:space="preserve"> nemá žiadny alebo má zanedbateľný vplyv na schopnosť viesť vozidlá a obsluhovať stroje.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:rsidR="00780926" w:rsidRDefault="00780926" w:rsidP="00A471D6">
      <w:pPr>
        <w:jc w:val="both"/>
      </w:pPr>
    </w:p>
    <w:p w:rsidR="00F35660" w:rsidRDefault="00042900" w:rsidP="00A471D6">
      <w:pPr>
        <w:numPr>
          <w:ilvl w:val="12"/>
          <w:numId w:val="0"/>
        </w:numPr>
        <w:ind w:right="-29"/>
        <w:jc w:val="both"/>
        <w:rPr>
          <w:szCs w:val="22"/>
        </w:rPr>
      </w:pPr>
      <w:r w:rsidRPr="002847FD">
        <w:rPr>
          <w:szCs w:val="22"/>
        </w:rPr>
        <w:t>Než</w:t>
      </w:r>
      <w:r>
        <w:rPr>
          <w:szCs w:val="22"/>
        </w:rPr>
        <w:t>ia</w:t>
      </w:r>
      <w:r w:rsidRPr="002847FD">
        <w:rPr>
          <w:szCs w:val="22"/>
        </w:rPr>
        <w:t>d</w:t>
      </w:r>
      <w:r>
        <w:rPr>
          <w:szCs w:val="22"/>
        </w:rPr>
        <w:t>u</w:t>
      </w:r>
      <w:r w:rsidRPr="002847FD">
        <w:rPr>
          <w:szCs w:val="22"/>
        </w:rPr>
        <w:t>c</w:t>
      </w:r>
      <w:r>
        <w:rPr>
          <w:szCs w:val="22"/>
        </w:rPr>
        <w:t>e</w:t>
      </w:r>
      <w:r w:rsidRPr="002847FD">
        <w:rPr>
          <w:szCs w:val="22"/>
        </w:rPr>
        <w:t xml:space="preserve"> účinky b</w:t>
      </w:r>
      <w:r>
        <w:rPr>
          <w:szCs w:val="22"/>
        </w:rPr>
        <w:t>o</w:t>
      </w:r>
      <w:r w:rsidRPr="002847FD">
        <w:rPr>
          <w:szCs w:val="22"/>
        </w:rPr>
        <w:t>l</w:t>
      </w:r>
      <w:r>
        <w:rPr>
          <w:szCs w:val="22"/>
        </w:rPr>
        <w:t>i</w:t>
      </w:r>
      <w:r w:rsidRPr="002847FD">
        <w:rPr>
          <w:szCs w:val="22"/>
        </w:rPr>
        <w:t xml:space="preserve"> rozd</w:t>
      </w:r>
      <w:r>
        <w:rPr>
          <w:szCs w:val="22"/>
        </w:rPr>
        <w:t>e</w:t>
      </w:r>
      <w:r w:rsidRPr="002847FD">
        <w:rPr>
          <w:szCs w:val="22"/>
        </w:rPr>
        <w:t>len</w:t>
      </w:r>
      <w:r>
        <w:rPr>
          <w:szCs w:val="22"/>
        </w:rPr>
        <w:t xml:space="preserve">é </w:t>
      </w:r>
      <w:r w:rsidRPr="002847FD">
        <w:rPr>
          <w:szCs w:val="22"/>
        </w:rPr>
        <w:t>pod</w:t>
      </w:r>
      <w:r>
        <w:rPr>
          <w:szCs w:val="22"/>
        </w:rPr>
        <w:t>ľa</w:t>
      </w:r>
      <w:r w:rsidRPr="002847FD">
        <w:rPr>
          <w:szCs w:val="22"/>
        </w:rPr>
        <w:t xml:space="preserve"> frekvenc</w:t>
      </w:r>
      <w:r>
        <w:rPr>
          <w:szCs w:val="22"/>
        </w:rPr>
        <w:t>i</w:t>
      </w:r>
      <w:r w:rsidRPr="002847FD">
        <w:rPr>
          <w:szCs w:val="22"/>
        </w:rPr>
        <w:t xml:space="preserve">e výskytu </w:t>
      </w:r>
      <w:r w:rsidRPr="001D1DE9">
        <w:rPr>
          <w:noProof/>
          <w:szCs w:val="22"/>
        </w:rPr>
        <w:t>do s</w:t>
      </w:r>
      <w:r>
        <w:rPr>
          <w:noProof/>
          <w:szCs w:val="22"/>
        </w:rPr>
        <w:t>kupín podľa terminológie MedDRA</w:t>
      </w:r>
      <w:r w:rsidRPr="002847FD">
        <w:rPr>
          <w:szCs w:val="22"/>
        </w:rPr>
        <w:t>: veľmi</w:t>
      </w:r>
      <w:r w:rsidRPr="002847FD">
        <w:rPr>
          <w:spacing w:val="37"/>
          <w:szCs w:val="22"/>
        </w:rPr>
        <w:t xml:space="preserve"> </w:t>
      </w:r>
      <w:r w:rsidRPr="002847FD">
        <w:rPr>
          <w:szCs w:val="22"/>
        </w:rPr>
        <w:t>časté (≥ 1/10); časté (</w:t>
      </w:r>
      <w:r w:rsidRPr="002847FD">
        <w:rPr>
          <w:rFonts w:ascii="Symbol" w:hAnsi="Symbol" w:cs="Symbol"/>
          <w:szCs w:val="22"/>
        </w:rPr>
        <w:t></w:t>
      </w:r>
      <w:r w:rsidRPr="002847FD">
        <w:rPr>
          <w:rFonts w:ascii="Symbol" w:hAnsi="Symbol" w:cs="Symbol"/>
          <w:szCs w:val="22"/>
        </w:rPr>
        <w:t></w:t>
      </w:r>
      <w:r w:rsidRPr="002847FD">
        <w:rPr>
          <w:szCs w:val="22"/>
        </w:rPr>
        <w:t xml:space="preserve">1/100 až </w:t>
      </w:r>
      <w:r w:rsidRPr="002847FD">
        <w:rPr>
          <w:rFonts w:ascii="Symbol" w:hAnsi="Symbol" w:cs="Symbol"/>
          <w:szCs w:val="22"/>
        </w:rPr>
        <w:t></w:t>
      </w:r>
      <w:r w:rsidRPr="002847FD">
        <w:rPr>
          <w:rFonts w:ascii="Symbol" w:hAnsi="Symbol" w:cs="Symbol"/>
          <w:szCs w:val="22"/>
        </w:rPr>
        <w:t></w:t>
      </w:r>
      <w:r w:rsidRPr="002847FD">
        <w:rPr>
          <w:szCs w:val="22"/>
        </w:rPr>
        <w:t>1/10); m</w:t>
      </w:r>
      <w:r>
        <w:rPr>
          <w:szCs w:val="22"/>
        </w:rPr>
        <w:t>e</w:t>
      </w:r>
      <w:r w:rsidRPr="002847FD">
        <w:rPr>
          <w:szCs w:val="22"/>
        </w:rPr>
        <w:t>n</w:t>
      </w:r>
      <w:r>
        <w:rPr>
          <w:szCs w:val="22"/>
        </w:rPr>
        <w:t>ej</w:t>
      </w:r>
      <w:r w:rsidRPr="002847FD">
        <w:rPr>
          <w:szCs w:val="22"/>
        </w:rPr>
        <w:t xml:space="preserve"> časté (</w:t>
      </w:r>
      <w:r w:rsidRPr="002847FD">
        <w:rPr>
          <w:rFonts w:ascii="Symbol" w:hAnsi="Symbol" w:cs="Symbol"/>
          <w:szCs w:val="22"/>
        </w:rPr>
        <w:t></w:t>
      </w:r>
      <w:r w:rsidRPr="002847FD">
        <w:rPr>
          <w:rFonts w:ascii="Symbol" w:hAnsi="Symbol" w:cs="Symbol"/>
          <w:szCs w:val="22"/>
        </w:rPr>
        <w:t></w:t>
      </w:r>
      <w:r w:rsidRPr="002847FD">
        <w:rPr>
          <w:szCs w:val="22"/>
        </w:rPr>
        <w:t>1/1</w:t>
      </w:r>
      <w:r w:rsidR="00ED3E50">
        <w:rPr>
          <w:szCs w:val="22"/>
        </w:rPr>
        <w:t> </w:t>
      </w:r>
      <w:r w:rsidRPr="002847FD">
        <w:rPr>
          <w:szCs w:val="22"/>
        </w:rPr>
        <w:t xml:space="preserve">000 až </w:t>
      </w:r>
      <w:r w:rsidRPr="002847FD">
        <w:rPr>
          <w:rFonts w:ascii="Symbol" w:hAnsi="Symbol" w:cs="Symbol"/>
          <w:szCs w:val="22"/>
        </w:rPr>
        <w:t></w:t>
      </w:r>
      <w:r w:rsidRPr="002847FD">
        <w:rPr>
          <w:rFonts w:ascii="Symbol" w:hAnsi="Symbol" w:cs="Symbol"/>
          <w:szCs w:val="22"/>
        </w:rPr>
        <w:t></w:t>
      </w:r>
      <w:r w:rsidRPr="002847FD">
        <w:rPr>
          <w:szCs w:val="22"/>
        </w:rPr>
        <w:t xml:space="preserve">1/100); </w:t>
      </w:r>
      <w:r>
        <w:rPr>
          <w:szCs w:val="22"/>
        </w:rPr>
        <w:t>zriedkavé</w:t>
      </w:r>
      <w:r w:rsidRPr="002847FD">
        <w:rPr>
          <w:szCs w:val="22"/>
        </w:rPr>
        <w:t xml:space="preserve"> (</w:t>
      </w:r>
      <w:r w:rsidRPr="002847FD">
        <w:rPr>
          <w:rFonts w:ascii="Symbol" w:hAnsi="Symbol" w:cs="Symbol"/>
          <w:szCs w:val="22"/>
        </w:rPr>
        <w:t></w:t>
      </w:r>
      <w:r w:rsidRPr="002847FD">
        <w:rPr>
          <w:rFonts w:ascii="Symbol" w:hAnsi="Symbol" w:cs="Symbol"/>
          <w:szCs w:val="22"/>
        </w:rPr>
        <w:t></w:t>
      </w:r>
      <w:r w:rsidRPr="002847FD">
        <w:rPr>
          <w:szCs w:val="22"/>
        </w:rPr>
        <w:t>1/10</w:t>
      </w:r>
      <w:r w:rsidR="00ED3E50">
        <w:rPr>
          <w:szCs w:val="22"/>
        </w:rPr>
        <w:t> </w:t>
      </w:r>
      <w:r w:rsidRPr="002847FD">
        <w:rPr>
          <w:szCs w:val="22"/>
        </w:rPr>
        <w:t xml:space="preserve">000 až </w:t>
      </w:r>
      <w:r w:rsidRPr="002847FD">
        <w:rPr>
          <w:rFonts w:ascii="Symbol" w:hAnsi="Symbol" w:cs="Symbol"/>
          <w:szCs w:val="22"/>
        </w:rPr>
        <w:t></w:t>
      </w:r>
      <w:r w:rsidRPr="002847FD">
        <w:rPr>
          <w:rFonts w:ascii="Symbol" w:hAnsi="Symbol" w:cs="Symbol"/>
          <w:szCs w:val="22"/>
        </w:rPr>
        <w:t></w:t>
      </w:r>
      <w:r w:rsidRPr="002847FD">
        <w:rPr>
          <w:szCs w:val="22"/>
        </w:rPr>
        <w:t>1/1</w:t>
      </w:r>
      <w:r w:rsidR="00ED3E50">
        <w:rPr>
          <w:szCs w:val="22"/>
        </w:rPr>
        <w:t> </w:t>
      </w:r>
      <w:r w:rsidRPr="002847FD">
        <w:rPr>
          <w:szCs w:val="22"/>
        </w:rPr>
        <w:t>000);</w:t>
      </w:r>
      <w:r w:rsidRPr="002847FD">
        <w:rPr>
          <w:spacing w:val="-29"/>
          <w:szCs w:val="22"/>
        </w:rPr>
        <w:t xml:space="preserve"> </w:t>
      </w:r>
      <w:r w:rsidRPr="002847FD">
        <w:rPr>
          <w:szCs w:val="22"/>
        </w:rPr>
        <w:t xml:space="preserve">veľmi </w:t>
      </w:r>
      <w:r>
        <w:rPr>
          <w:szCs w:val="22"/>
        </w:rPr>
        <w:t>zriedkavé</w:t>
      </w:r>
      <w:r w:rsidRPr="002847FD">
        <w:rPr>
          <w:szCs w:val="22"/>
        </w:rPr>
        <w:t xml:space="preserve"> (</w:t>
      </w:r>
      <w:r w:rsidRPr="002847FD">
        <w:rPr>
          <w:rFonts w:ascii="Symbol" w:hAnsi="Symbol" w:cs="Symbol"/>
          <w:szCs w:val="22"/>
        </w:rPr>
        <w:t></w:t>
      </w:r>
      <w:r w:rsidRPr="002847FD">
        <w:rPr>
          <w:rFonts w:ascii="Symbol" w:hAnsi="Symbol" w:cs="Symbol"/>
          <w:szCs w:val="22"/>
        </w:rPr>
        <w:t></w:t>
      </w:r>
      <w:r w:rsidRPr="002847FD">
        <w:rPr>
          <w:szCs w:val="22"/>
        </w:rPr>
        <w:t>1/10</w:t>
      </w:r>
      <w:r w:rsidR="00ED3E50">
        <w:rPr>
          <w:szCs w:val="22"/>
        </w:rPr>
        <w:t> </w:t>
      </w:r>
      <w:r w:rsidRPr="002847FD">
        <w:rPr>
          <w:szCs w:val="22"/>
        </w:rPr>
        <w:t xml:space="preserve">000), </w:t>
      </w:r>
      <w:r>
        <w:rPr>
          <w:szCs w:val="22"/>
        </w:rPr>
        <w:t>neznáme</w:t>
      </w:r>
      <w:r w:rsidRPr="002847FD">
        <w:rPr>
          <w:szCs w:val="22"/>
        </w:rPr>
        <w:t xml:space="preserve"> (z dostupných </w:t>
      </w:r>
      <w:r>
        <w:rPr>
          <w:szCs w:val="22"/>
        </w:rPr>
        <w:t>údajov</w:t>
      </w:r>
      <w:r w:rsidRPr="002847FD">
        <w:rPr>
          <w:szCs w:val="22"/>
        </w:rPr>
        <w:t>).</w:t>
      </w:r>
    </w:p>
    <w:p w:rsidR="00042900" w:rsidRDefault="00042900" w:rsidP="00A471D6">
      <w:pPr>
        <w:numPr>
          <w:ilvl w:val="12"/>
          <w:numId w:val="0"/>
        </w:numPr>
        <w:ind w:right="-29"/>
        <w:jc w:val="both"/>
        <w:rPr>
          <w:noProof/>
          <w:szCs w:val="22"/>
        </w:rPr>
      </w:pPr>
    </w:p>
    <w:p w:rsidR="00ED3E50" w:rsidRDefault="00ED3E50" w:rsidP="00A471D6">
      <w:pPr>
        <w:numPr>
          <w:ilvl w:val="12"/>
          <w:numId w:val="0"/>
        </w:numPr>
        <w:ind w:right="-29"/>
        <w:jc w:val="both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291"/>
      </w:tblGrid>
      <w:tr w:rsidR="00B5265B" w:rsidRPr="00BD26A4" w:rsidTr="00AF4451">
        <w:tc>
          <w:tcPr>
            <w:tcW w:w="3794" w:type="dxa"/>
            <w:shd w:val="clear" w:color="auto" w:fill="auto"/>
          </w:tcPr>
          <w:p w:rsidR="00B5265B" w:rsidRPr="00A4521B" w:rsidRDefault="00B5265B" w:rsidP="00810E4D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A4521B">
              <w:rPr>
                <w:b/>
                <w:noProof/>
                <w:szCs w:val="22"/>
              </w:rPr>
              <w:lastRenderedPageBreak/>
              <w:t>MedDRA triedy orgánových systémov</w:t>
            </w:r>
          </w:p>
        </w:tc>
        <w:tc>
          <w:tcPr>
            <w:tcW w:w="2126" w:type="dxa"/>
            <w:shd w:val="clear" w:color="auto" w:fill="auto"/>
          </w:tcPr>
          <w:p w:rsidR="00B5265B" w:rsidRPr="00A4521B" w:rsidRDefault="00B5265B" w:rsidP="00810E4D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A4521B">
              <w:rPr>
                <w:b/>
                <w:noProof/>
                <w:szCs w:val="22"/>
              </w:rPr>
              <w:t>Frekvencia výskytu</w:t>
            </w:r>
          </w:p>
        </w:tc>
        <w:tc>
          <w:tcPr>
            <w:tcW w:w="3291" w:type="dxa"/>
            <w:shd w:val="clear" w:color="auto" w:fill="auto"/>
          </w:tcPr>
          <w:p w:rsidR="00B5265B" w:rsidRPr="00A4521B" w:rsidRDefault="00B5265B" w:rsidP="00810E4D">
            <w:pPr>
              <w:numPr>
                <w:ilvl w:val="12"/>
                <w:numId w:val="0"/>
              </w:numPr>
              <w:ind w:right="-29"/>
              <w:rPr>
                <w:b/>
                <w:noProof/>
                <w:szCs w:val="22"/>
              </w:rPr>
            </w:pPr>
            <w:r w:rsidRPr="00A4521B">
              <w:rPr>
                <w:b/>
                <w:noProof/>
                <w:szCs w:val="22"/>
              </w:rPr>
              <w:t>Nežiad</w:t>
            </w:r>
            <w:r w:rsidR="00ED3E50">
              <w:rPr>
                <w:b/>
                <w:noProof/>
                <w:szCs w:val="22"/>
              </w:rPr>
              <w:t>u</w:t>
            </w:r>
            <w:r w:rsidRPr="00A4521B">
              <w:rPr>
                <w:b/>
                <w:noProof/>
                <w:szCs w:val="22"/>
              </w:rPr>
              <w:t>ci účinok</w:t>
            </w:r>
          </w:p>
        </w:tc>
      </w:tr>
      <w:tr w:rsidR="0011351A" w:rsidRPr="00BD26A4" w:rsidTr="00AF4451">
        <w:trPr>
          <w:trHeight w:val="408"/>
        </w:trPr>
        <w:tc>
          <w:tcPr>
            <w:tcW w:w="3794" w:type="dxa"/>
            <w:shd w:val="clear" w:color="auto" w:fill="auto"/>
            <w:vAlign w:val="center"/>
          </w:tcPr>
          <w:p w:rsidR="0011351A" w:rsidRPr="00BD26A4" w:rsidRDefault="00FB6B8B" w:rsidP="00810E4D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FB6B8B">
              <w:rPr>
                <w:noProof/>
                <w:szCs w:val="22"/>
              </w:rPr>
              <w:t>Poruchy gastrointestinálneho traktu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351A" w:rsidRPr="00AF4451" w:rsidRDefault="00D85AD9" w:rsidP="00810E4D">
            <w:r w:rsidRPr="00632DC1">
              <w:t>neznáme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D85AD9" w:rsidRPr="00AF4451" w:rsidRDefault="007D7641" w:rsidP="00810E4D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AF4451">
              <w:rPr>
                <w:noProof/>
                <w:szCs w:val="22"/>
              </w:rPr>
              <w:t>gastrointestinálny dyskomfort ako je tlak v nadbrušku, hnačky, nauzea</w:t>
            </w:r>
            <w:r w:rsidR="00956121" w:rsidRPr="00AF4451">
              <w:rPr>
                <w:noProof/>
                <w:szCs w:val="22"/>
              </w:rPr>
              <w:t xml:space="preserve"> (</w:t>
            </w:r>
            <w:r w:rsidR="00E45B21" w:rsidRPr="00632DC1">
              <w:rPr>
                <w:noProof/>
                <w:szCs w:val="22"/>
              </w:rPr>
              <w:t xml:space="preserve">pozorovaný </w:t>
            </w:r>
            <w:r w:rsidR="00956121" w:rsidRPr="00AF4451">
              <w:rPr>
                <w:noProof/>
                <w:szCs w:val="22"/>
              </w:rPr>
              <w:t>počas klinických kontrolovaných štúdií II. a III. fázy)</w:t>
            </w:r>
          </w:p>
        </w:tc>
      </w:tr>
      <w:tr w:rsidR="0011351A" w:rsidRPr="00BD26A4" w:rsidTr="00AF4451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:rsidR="00F5017E" w:rsidRPr="00BD26A4" w:rsidRDefault="007D7641" w:rsidP="00810E4D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7D7641">
              <w:rPr>
                <w:noProof/>
                <w:szCs w:val="22"/>
              </w:rPr>
              <w:t>Poruchy metabolizmu a výživy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351A" w:rsidRPr="00AF4451" w:rsidRDefault="00D85AD9" w:rsidP="00810E4D">
            <w:r w:rsidRPr="00632DC1">
              <w:t>neznáme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6F5823" w:rsidRPr="00AF4451" w:rsidRDefault="007D7641" w:rsidP="00810E4D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AF4451">
              <w:rPr>
                <w:noProof/>
                <w:szCs w:val="22"/>
              </w:rPr>
              <w:t>hyperkaliémia a hypermagneziémia pri rýchlej aplikácií</w:t>
            </w:r>
          </w:p>
        </w:tc>
      </w:tr>
      <w:tr w:rsidR="00D85AD9" w:rsidRPr="00BD26A4" w:rsidTr="009378D3">
        <w:trPr>
          <w:trHeight w:val="427"/>
        </w:trPr>
        <w:tc>
          <w:tcPr>
            <w:tcW w:w="3794" w:type="dxa"/>
            <w:shd w:val="clear" w:color="auto" w:fill="auto"/>
            <w:vAlign w:val="center"/>
          </w:tcPr>
          <w:p w:rsidR="00D85AD9" w:rsidRPr="00BD26A4" w:rsidRDefault="007D7641" w:rsidP="00810E4D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7D7641">
              <w:rPr>
                <w:noProof/>
                <w:szCs w:val="22"/>
              </w:rPr>
              <w:t>Poruchy obličiek a močových ciest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5AD9" w:rsidRPr="00AF4451" w:rsidRDefault="00BD7845" w:rsidP="00810E4D">
            <w:r w:rsidRPr="00632DC1">
              <w:t>neznáme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D85AD9" w:rsidRPr="00AF4451" w:rsidRDefault="007D7641" w:rsidP="004E50E2">
            <w:pPr>
              <w:numPr>
                <w:ilvl w:val="12"/>
                <w:numId w:val="0"/>
              </w:numPr>
              <w:ind w:right="-29"/>
              <w:rPr>
                <w:noProof/>
                <w:szCs w:val="22"/>
              </w:rPr>
            </w:pPr>
            <w:r w:rsidRPr="00AF4451">
              <w:rPr>
                <w:noProof/>
                <w:szCs w:val="22"/>
              </w:rPr>
              <w:t xml:space="preserve">poškodenie obličiek </w:t>
            </w:r>
            <w:r w:rsidR="004E50E2" w:rsidRPr="00632DC1">
              <w:rPr>
                <w:noProof/>
                <w:szCs w:val="22"/>
              </w:rPr>
              <w:t>(pri dlhodobom podávaní vysokých dávok)</w:t>
            </w:r>
          </w:p>
        </w:tc>
      </w:tr>
    </w:tbl>
    <w:p w:rsidR="00780926" w:rsidRDefault="00780926" w:rsidP="00A471D6">
      <w:pPr>
        <w:jc w:val="both"/>
        <w:rPr>
          <w:szCs w:val="22"/>
        </w:rPr>
      </w:pPr>
    </w:p>
    <w:p w:rsidR="009A64D4" w:rsidRPr="009A64D4" w:rsidRDefault="009A64D4" w:rsidP="00A471D6">
      <w:pPr>
        <w:jc w:val="both"/>
        <w:rPr>
          <w:szCs w:val="22"/>
          <w:u w:val="single"/>
        </w:rPr>
      </w:pPr>
      <w:r w:rsidRPr="009A64D4">
        <w:rPr>
          <w:szCs w:val="22"/>
          <w:u w:val="single"/>
        </w:rPr>
        <w:t>Hlásenie podozrení na nežiaduce reakcie</w:t>
      </w:r>
    </w:p>
    <w:p w:rsidR="009A64D4" w:rsidRPr="009A64D4" w:rsidRDefault="009A64D4" w:rsidP="00A471D6">
      <w:pPr>
        <w:ind w:left="0" w:firstLine="0"/>
        <w:jc w:val="both"/>
        <w:rPr>
          <w:szCs w:val="22"/>
        </w:rPr>
      </w:pPr>
      <w:r w:rsidRPr="009A64D4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32DC1">
        <w:rPr>
          <w:szCs w:val="22"/>
        </w:rPr>
        <w:t>na</w:t>
      </w:r>
      <w:r w:rsidRPr="009A64D4">
        <w:rPr>
          <w:szCs w:val="22"/>
        </w:rPr>
        <w:t xml:space="preserve"> </w:t>
      </w:r>
      <w:r w:rsidRPr="00A4521B">
        <w:rPr>
          <w:szCs w:val="22"/>
          <w:highlight w:val="lightGray"/>
        </w:rPr>
        <w:t xml:space="preserve">národné </w:t>
      </w:r>
      <w:r w:rsidR="00632DC1">
        <w:rPr>
          <w:szCs w:val="22"/>
          <w:highlight w:val="lightGray"/>
        </w:rPr>
        <w:t>centrum</w:t>
      </w:r>
      <w:r w:rsidR="002625B0">
        <w:rPr>
          <w:szCs w:val="22"/>
          <w:highlight w:val="lightGray"/>
        </w:rPr>
        <w:t xml:space="preserve"> hlásenia uvedené</w:t>
      </w:r>
      <w:r w:rsidRPr="00A4521B">
        <w:rPr>
          <w:szCs w:val="22"/>
          <w:highlight w:val="lightGray"/>
        </w:rPr>
        <w:t xml:space="preserve"> v </w:t>
      </w:r>
      <w:hyperlink r:id="rId9" w:history="1">
        <w:r w:rsidR="003D134E" w:rsidRPr="003D134E">
          <w:rPr>
            <w:color w:val="0000FF"/>
            <w:szCs w:val="22"/>
            <w:highlight w:val="lightGray"/>
            <w:u w:val="single"/>
            <w:lang w:eastAsia="en-US"/>
          </w:rPr>
          <w:t>P</w:t>
        </w:r>
        <w:r w:rsidR="003D134E" w:rsidRPr="003D134E">
          <w:rPr>
            <w:color w:val="0000FF"/>
            <w:szCs w:val="20"/>
            <w:highlight w:val="lightGray"/>
            <w:u w:val="single"/>
            <w:lang w:eastAsia="en-US"/>
          </w:rPr>
          <w:t>rílohe</w:t>
        </w:r>
        <w:r w:rsidR="003D134E" w:rsidRPr="003D134E">
          <w:rPr>
            <w:color w:val="0000FF"/>
            <w:szCs w:val="22"/>
            <w:highlight w:val="lightGray"/>
            <w:u w:val="single"/>
            <w:lang w:eastAsia="en-US"/>
          </w:rPr>
          <w:t xml:space="preserve"> V</w:t>
        </w:r>
      </w:hyperlink>
      <w:r w:rsidRPr="00A4521B">
        <w:rPr>
          <w:szCs w:val="22"/>
          <w:highlight w:val="lightGray"/>
        </w:rPr>
        <w:t>.</w:t>
      </w:r>
      <w:r w:rsidR="003D134E">
        <w:rPr>
          <w:szCs w:val="22"/>
        </w:rPr>
        <w:t xml:space="preserve"> </w:t>
      </w:r>
    </w:p>
    <w:p w:rsidR="00FA423D" w:rsidRDefault="00FA423D" w:rsidP="00A471D6">
      <w:pPr>
        <w:jc w:val="both"/>
        <w:rPr>
          <w:rFonts w:eastAsia="Calibri"/>
          <w:szCs w:val="22"/>
          <w:lang w:eastAsia="zh-CN"/>
        </w:rPr>
      </w:pPr>
    </w:p>
    <w:p w:rsidR="00780926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:rsidR="00ED3E50" w:rsidRDefault="00ED3E50" w:rsidP="00AF4451">
      <w:pPr>
        <w:ind w:left="0" w:firstLine="0"/>
        <w:rPr>
          <w:szCs w:val="22"/>
        </w:rPr>
      </w:pPr>
    </w:p>
    <w:p w:rsidR="007D7641" w:rsidRPr="007D7641" w:rsidRDefault="007D7641" w:rsidP="00AF4451">
      <w:pPr>
        <w:ind w:left="0" w:firstLine="0"/>
        <w:rPr>
          <w:szCs w:val="22"/>
        </w:rPr>
      </w:pPr>
      <w:r w:rsidRPr="007D7641">
        <w:rPr>
          <w:szCs w:val="22"/>
        </w:rPr>
        <w:t xml:space="preserve">Prejavuje sa </w:t>
      </w:r>
      <w:proofErr w:type="spellStart"/>
      <w:r w:rsidRPr="007D7641">
        <w:rPr>
          <w:szCs w:val="22"/>
        </w:rPr>
        <w:t>hyperkaliémiou</w:t>
      </w:r>
      <w:proofErr w:type="spellEnd"/>
      <w:r w:rsidRPr="007D7641">
        <w:rPr>
          <w:szCs w:val="22"/>
        </w:rPr>
        <w:t xml:space="preserve"> a </w:t>
      </w:r>
      <w:proofErr w:type="spellStart"/>
      <w:r w:rsidRPr="007D7641">
        <w:rPr>
          <w:szCs w:val="22"/>
        </w:rPr>
        <w:t>hypermagneziémiou</w:t>
      </w:r>
      <w:proofErr w:type="spellEnd"/>
      <w:r w:rsidRPr="007D7641">
        <w:rPr>
          <w:szCs w:val="22"/>
        </w:rPr>
        <w:t>. Zvlášť citliví sú pacienti s poruchami vnútorného prostredia, dehydratovaní pacienti, pacienti s poruchou činnosti obličiek a pacienti s</w:t>
      </w:r>
      <w:r w:rsidR="00ED3E50">
        <w:rPr>
          <w:szCs w:val="22"/>
        </w:rPr>
        <w:t> </w:t>
      </w:r>
      <w:r w:rsidRPr="007D7641">
        <w:rPr>
          <w:szCs w:val="22"/>
        </w:rPr>
        <w:t>kardiovaskulárnymi ochoreniami.</w:t>
      </w:r>
    </w:p>
    <w:p w:rsidR="00FB6B8B" w:rsidRPr="003021DE" w:rsidRDefault="00FB6B8B" w:rsidP="00A471D6">
      <w:pPr>
        <w:jc w:val="both"/>
        <w:rPr>
          <w:szCs w:val="22"/>
        </w:rPr>
      </w:pPr>
    </w:p>
    <w:p w:rsidR="00FB6B8B" w:rsidRPr="00632DC1" w:rsidRDefault="00C03879" w:rsidP="00A471D6">
      <w:pPr>
        <w:numPr>
          <w:ilvl w:val="12"/>
          <w:numId w:val="0"/>
        </w:numPr>
        <w:ind w:right="-29"/>
        <w:jc w:val="both"/>
        <w:rPr>
          <w:szCs w:val="22"/>
        </w:rPr>
      </w:pPr>
      <w:r w:rsidRPr="00AF4451">
        <w:rPr>
          <w:i/>
          <w:szCs w:val="22"/>
        </w:rPr>
        <w:t xml:space="preserve">Príznaky: </w:t>
      </w:r>
    </w:p>
    <w:p w:rsidR="007D7641" w:rsidRPr="007D7641" w:rsidRDefault="007D7641" w:rsidP="00AF4451">
      <w:pPr>
        <w:numPr>
          <w:ilvl w:val="0"/>
          <w:numId w:val="14"/>
        </w:numPr>
        <w:ind w:left="426" w:right="-29" w:hanging="426"/>
        <w:jc w:val="both"/>
        <w:rPr>
          <w:szCs w:val="22"/>
        </w:rPr>
      </w:pPr>
      <w:proofErr w:type="spellStart"/>
      <w:r w:rsidRPr="007D7641">
        <w:rPr>
          <w:szCs w:val="22"/>
          <w:u w:val="single"/>
        </w:rPr>
        <w:t>hyperkaliémie</w:t>
      </w:r>
      <w:proofErr w:type="spellEnd"/>
      <w:r w:rsidRPr="007D7641">
        <w:rPr>
          <w:szCs w:val="22"/>
          <w:u w:val="single"/>
        </w:rPr>
        <w:t>:</w:t>
      </w:r>
      <w:r w:rsidRPr="007D7641">
        <w:rPr>
          <w:szCs w:val="22"/>
        </w:rPr>
        <w:t xml:space="preserve"> </w:t>
      </w:r>
      <w:proofErr w:type="spellStart"/>
      <w:r w:rsidRPr="007D7641">
        <w:rPr>
          <w:szCs w:val="22"/>
        </w:rPr>
        <w:t>parestézie</w:t>
      </w:r>
      <w:proofErr w:type="spellEnd"/>
      <w:r w:rsidRPr="007D7641">
        <w:rPr>
          <w:szCs w:val="22"/>
        </w:rPr>
        <w:t xml:space="preserve"> v končatinách, svalová slabosť, bradykardia, zástava srdca alebo </w:t>
      </w:r>
      <w:proofErr w:type="spellStart"/>
      <w:r w:rsidRPr="007D7641">
        <w:rPr>
          <w:szCs w:val="22"/>
        </w:rPr>
        <w:t>fibrilácia</w:t>
      </w:r>
      <w:proofErr w:type="spellEnd"/>
      <w:r w:rsidRPr="007D7641">
        <w:rPr>
          <w:szCs w:val="22"/>
        </w:rPr>
        <w:t xml:space="preserve"> komôr v terminálnej fáze. Hodnota </w:t>
      </w:r>
      <w:proofErr w:type="spellStart"/>
      <w:r w:rsidRPr="007D7641">
        <w:rPr>
          <w:szCs w:val="22"/>
        </w:rPr>
        <w:t>kaliémie</w:t>
      </w:r>
      <w:proofErr w:type="spellEnd"/>
      <w:r w:rsidRPr="007D7641">
        <w:rPr>
          <w:szCs w:val="22"/>
        </w:rPr>
        <w:t xml:space="preserve"> je nad 5 mmol/l.</w:t>
      </w:r>
    </w:p>
    <w:p w:rsidR="007D7641" w:rsidRPr="007D7641" w:rsidRDefault="007D7641" w:rsidP="00AF4451">
      <w:pPr>
        <w:numPr>
          <w:ilvl w:val="12"/>
          <w:numId w:val="0"/>
        </w:numPr>
        <w:ind w:left="426" w:right="-29"/>
        <w:jc w:val="both"/>
        <w:rPr>
          <w:szCs w:val="22"/>
        </w:rPr>
      </w:pPr>
      <w:r w:rsidRPr="007D7641">
        <w:rPr>
          <w:szCs w:val="22"/>
        </w:rPr>
        <w:t xml:space="preserve">EKG príznaky sú: predĺženie PQ intervalu, rozšírenie QRS segmentu, vysoké </w:t>
      </w:r>
      <w:proofErr w:type="spellStart"/>
      <w:r w:rsidRPr="007D7641">
        <w:rPr>
          <w:szCs w:val="22"/>
        </w:rPr>
        <w:t>hrotnaté</w:t>
      </w:r>
      <w:proofErr w:type="spellEnd"/>
      <w:r w:rsidRPr="007D7641">
        <w:rPr>
          <w:szCs w:val="22"/>
        </w:rPr>
        <w:t xml:space="preserve"> T vlny.</w:t>
      </w:r>
    </w:p>
    <w:p w:rsidR="007D7641" w:rsidRPr="007D7641" w:rsidRDefault="007D7641" w:rsidP="00AF4451">
      <w:pPr>
        <w:numPr>
          <w:ilvl w:val="0"/>
          <w:numId w:val="14"/>
        </w:numPr>
        <w:ind w:left="426" w:right="-29" w:hanging="426"/>
        <w:jc w:val="both"/>
        <w:rPr>
          <w:szCs w:val="22"/>
        </w:rPr>
      </w:pPr>
      <w:proofErr w:type="spellStart"/>
      <w:r w:rsidRPr="007D7641">
        <w:rPr>
          <w:szCs w:val="22"/>
          <w:u w:val="single"/>
        </w:rPr>
        <w:t>hypermagneziémie</w:t>
      </w:r>
      <w:proofErr w:type="spellEnd"/>
      <w:r w:rsidRPr="007D7641">
        <w:rPr>
          <w:szCs w:val="22"/>
          <w:u w:val="single"/>
        </w:rPr>
        <w:t>:</w:t>
      </w:r>
      <w:r w:rsidRPr="007D7641">
        <w:rPr>
          <w:szCs w:val="22"/>
        </w:rPr>
        <w:t xml:space="preserve"> </w:t>
      </w:r>
      <w:proofErr w:type="spellStart"/>
      <w:r w:rsidRPr="007D7641">
        <w:rPr>
          <w:szCs w:val="22"/>
        </w:rPr>
        <w:t>nauzea</w:t>
      </w:r>
      <w:proofErr w:type="spellEnd"/>
      <w:r w:rsidRPr="007D7641">
        <w:rPr>
          <w:szCs w:val="22"/>
        </w:rPr>
        <w:t xml:space="preserve">, dávenie, dychová depresia, svalová slabosť, duševná otupenosť, zmätenosť, periférna </w:t>
      </w:r>
      <w:proofErr w:type="spellStart"/>
      <w:r w:rsidRPr="007D7641">
        <w:rPr>
          <w:szCs w:val="22"/>
        </w:rPr>
        <w:t>vazodilatácia</w:t>
      </w:r>
      <w:proofErr w:type="spellEnd"/>
      <w:r w:rsidRPr="007D7641">
        <w:rPr>
          <w:szCs w:val="22"/>
        </w:rPr>
        <w:t xml:space="preserve">, hypotenzia, srdcové </w:t>
      </w:r>
      <w:proofErr w:type="spellStart"/>
      <w:r w:rsidRPr="007D7641">
        <w:rPr>
          <w:szCs w:val="22"/>
        </w:rPr>
        <w:t>arytmie</w:t>
      </w:r>
      <w:proofErr w:type="spellEnd"/>
      <w:r w:rsidRPr="007D7641">
        <w:rPr>
          <w:szCs w:val="22"/>
        </w:rPr>
        <w:t xml:space="preserve"> až z</w:t>
      </w:r>
      <w:r w:rsidR="00ED3E50">
        <w:rPr>
          <w:szCs w:val="22"/>
        </w:rPr>
        <w:t>a</w:t>
      </w:r>
      <w:r w:rsidRPr="007D7641">
        <w:rPr>
          <w:szCs w:val="22"/>
        </w:rPr>
        <w:t>stav</w:t>
      </w:r>
      <w:r w:rsidR="00ED3E50">
        <w:rPr>
          <w:szCs w:val="22"/>
        </w:rPr>
        <w:t>enie</w:t>
      </w:r>
      <w:r w:rsidRPr="007D7641">
        <w:rPr>
          <w:szCs w:val="22"/>
        </w:rPr>
        <w:t xml:space="preserve"> srdca.</w:t>
      </w:r>
    </w:p>
    <w:p w:rsidR="007D7641" w:rsidRPr="007D7641" w:rsidRDefault="007D7641" w:rsidP="00AF4451">
      <w:pPr>
        <w:numPr>
          <w:ilvl w:val="12"/>
          <w:numId w:val="0"/>
        </w:numPr>
        <w:ind w:left="426" w:right="-29"/>
        <w:jc w:val="both"/>
        <w:rPr>
          <w:szCs w:val="22"/>
        </w:rPr>
      </w:pPr>
      <w:proofErr w:type="spellStart"/>
      <w:r w:rsidRPr="007D7641">
        <w:rPr>
          <w:szCs w:val="22"/>
        </w:rPr>
        <w:t>Magneziémia</w:t>
      </w:r>
      <w:proofErr w:type="spellEnd"/>
      <w:r w:rsidRPr="007D7641">
        <w:rPr>
          <w:szCs w:val="22"/>
        </w:rPr>
        <w:t xml:space="preserve"> je nad 2,5 mmol/l, v smrteľných prípadoch nad 8 mmol/l.</w:t>
      </w:r>
    </w:p>
    <w:p w:rsidR="007D7641" w:rsidRPr="007D7641" w:rsidRDefault="007D7641" w:rsidP="00AF4451">
      <w:pPr>
        <w:numPr>
          <w:ilvl w:val="12"/>
          <w:numId w:val="0"/>
        </w:numPr>
        <w:ind w:left="426" w:right="-29"/>
        <w:jc w:val="both"/>
        <w:rPr>
          <w:szCs w:val="22"/>
        </w:rPr>
      </w:pPr>
      <w:r w:rsidRPr="007D7641">
        <w:rPr>
          <w:szCs w:val="22"/>
        </w:rPr>
        <w:t>EKG príznaky sú: predĺženie AV prevodu, rozšírenie QRS komplexu a zvýšené T vlny.</w:t>
      </w:r>
    </w:p>
    <w:p w:rsidR="00FB6B8B" w:rsidRPr="00C03879" w:rsidRDefault="00FB6B8B" w:rsidP="00A471D6">
      <w:pPr>
        <w:numPr>
          <w:ilvl w:val="12"/>
          <w:numId w:val="0"/>
        </w:numPr>
        <w:ind w:right="-29"/>
        <w:jc w:val="both"/>
        <w:rPr>
          <w:szCs w:val="22"/>
        </w:rPr>
      </w:pPr>
    </w:p>
    <w:p w:rsidR="00FB6B8B" w:rsidRPr="00AF4451" w:rsidRDefault="00C03879" w:rsidP="00A471D6">
      <w:pPr>
        <w:numPr>
          <w:ilvl w:val="12"/>
          <w:numId w:val="0"/>
        </w:numPr>
        <w:ind w:right="-29"/>
        <w:jc w:val="both"/>
        <w:rPr>
          <w:i/>
          <w:szCs w:val="22"/>
        </w:rPr>
      </w:pPr>
      <w:r w:rsidRPr="00AF4451">
        <w:rPr>
          <w:i/>
          <w:szCs w:val="22"/>
        </w:rPr>
        <w:t xml:space="preserve">Liečba: </w:t>
      </w:r>
    </w:p>
    <w:p w:rsidR="007D7641" w:rsidRPr="007D7641" w:rsidRDefault="007D7641" w:rsidP="00A471D6">
      <w:pPr>
        <w:ind w:left="0" w:firstLine="0"/>
        <w:jc w:val="both"/>
        <w:rPr>
          <w:szCs w:val="22"/>
        </w:rPr>
      </w:pPr>
      <w:r>
        <w:rPr>
          <w:szCs w:val="22"/>
        </w:rPr>
        <w:t>P</w:t>
      </w:r>
      <w:r w:rsidRPr="007D7641">
        <w:rPr>
          <w:szCs w:val="22"/>
        </w:rPr>
        <w:t xml:space="preserve">restup draslíka do buniek podporujú </w:t>
      </w:r>
      <w:proofErr w:type="spellStart"/>
      <w:r w:rsidRPr="007D7641">
        <w:rPr>
          <w:szCs w:val="22"/>
        </w:rPr>
        <w:t>venózne</w:t>
      </w:r>
      <w:proofErr w:type="spellEnd"/>
      <w:r w:rsidRPr="007D7641">
        <w:rPr>
          <w:szCs w:val="22"/>
        </w:rPr>
        <w:t xml:space="preserve"> podané ióny vápnika vo forme </w:t>
      </w:r>
      <w:proofErr w:type="spellStart"/>
      <w:r w:rsidRPr="007D7641">
        <w:rPr>
          <w:szCs w:val="22"/>
        </w:rPr>
        <w:t>glukonátu</w:t>
      </w:r>
      <w:proofErr w:type="spellEnd"/>
      <w:r w:rsidRPr="007D7641">
        <w:rPr>
          <w:szCs w:val="22"/>
        </w:rPr>
        <w:t xml:space="preserve"> alebo chloridu (10 až 40 ml 10 % roztoku). Vápnik </w:t>
      </w:r>
      <w:proofErr w:type="spellStart"/>
      <w:r w:rsidRPr="007D7641">
        <w:rPr>
          <w:szCs w:val="22"/>
        </w:rPr>
        <w:t>antagonizuje</w:t>
      </w:r>
      <w:proofErr w:type="spellEnd"/>
      <w:r w:rsidRPr="007D7641">
        <w:rPr>
          <w:szCs w:val="22"/>
        </w:rPr>
        <w:t xml:space="preserve"> niektoré kardiovaskulárne účinky draslíka a tiež niektoré kardiovaskulárne a neurologické účinky iónov horčíka. Vylučovanie iónov draslíka zvyšujú </w:t>
      </w:r>
      <w:proofErr w:type="spellStart"/>
      <w:r w:rsidRPr="007D7641">
        <w:rPr>
          <w:szCs w:val="22"/>
        </w:rPr>
        <w:t>saluretiká</w:t>
      </w:r>
      <w:proofErr w:type="spellEnd"/>
      <w:r w:rsidRPr="007D7641">
        <w:rPr>
          <w:szCs w:val="22"/>
        </w:rPr>
        <w:t xml:space="preserve"> (</w:t>
      </w:r>
      <w:proofErr w:type="spellStart"/>
      <w:r w:rsidRPr="007D7641">
        <w:rPr>
          <w:szCs w:val="22"/>
        </w:rPr>
        <w:t>furosemid</w:t>
      </w:r>
      <w:proofErr w:type="spellEnd"/>
      <w:r w:rsidRPr="007D7641">
        <w:rPr>
          <w:szCs w:val="22"/>
        </w:rPr>
        <w:t xml:space="preserve">, </w:t>
      </w:r>
      <w:proofErr w:type="spellStart"/>
      <w:r w:rsidRPr="007D7641">
        <w:rPr>
          <w:szCs w:val="22"/>
        </w:rPr>
        <w:t>kys</w:t>
      </w:r>
      <w:proofErr w:type="spellEnd"/>
      <w:r w:rsidRPr="007D7641">
        <w:rPr>
          <w:szCs w:val="22"/>
        </w:rPr>
        <w:t xml:space="preserve">. </w:t>
      </w:r>
      <w:proofErr w:type="spellStart"/>
      <w:r w:rsidRPr="007D7641">
        <w:rPr>
          <w:szCs w:val="22"/>
        </w:rPr>
        <w:t>etakrynová</w:t>
      </w:r>
      <w:proofErr w:type="spellEnd"/>
      <w:r w:rsidRPr="007D7641">
        <w:rPr>
          <w:szCs w:val="22"/>
        </w:rPr>
        <w:t xml:space="preserve">). Pri zachovanej funkcii obličiek sa podporuje </w:t>
      </w:r>
      <w:proofErr w:type="spellStart"/>
      <w:r w:rsidRPr="007D7641">
        <w:rPr>
          <w:szCs w:val="22"/>
        </w:rPr>
        <w:t>diuréza</w:t>
      </w:r>
      <w:proofErr w:type="spellEnd"/>
      <w:r w:rsidRPr="007D7641">
        <w:rPr>
          <w:szCs w:val="22"/>
        </w:rPr>
        <w:t xml:space="preserve"> </w:t>
      </w:r>
      <w:proofErr w:type="spellStart"/>
      <w:r w:rsidRPr="007D7641">
        <w:rPr>
          <w:szCs w:val="22"/>
        </w:rPr>
        <w:t>izoosmolárnymi</w:t>
      </w:r>
      <w:proofErr w:type="spellEnd"/>
      <w:r w:rsidRPr="007D7641">
        <w:rPr>
          <w:szCs w:val="22"/>
        </w:rPr>
        <w:t xml:space="preserve"> roztokmi. Pri masívnom predávkovaní je možné vykonať hemodialýzu alebo </w:t>
      </w:r>
      <w:proofErr w:type="spellStart"/>
      <w:r w:rsidRPr="007D7641">
        <w:rPr>
          <w:szCs w:val="22"/>
        </w:rPr>
        <w:t>peritoneálnu</w:t>
      </w:r>
      <w:proofErr w:type="spellEnd"/>
      <w:r w:rsidRPr="007D7641">
        <w:rPr>
          <w:szCs w:val="22"/>
        </w:rPr>
        <w:t xml:space="preserve"> dialýzu.</w:t>
      </w:r>
    </w:p>
    <w:p w:rsidR="00780926" w:rsidRDefault="00780926" w:rsidP="00A471D6">
      <w:pPr>
        <w:jc w:val="both"/>
        <w:rPr>
          <w:szCs w:val="22"/>
        </w:rPr>
      </w:pPr>
    </w:p>
    <w:p w:rsidR="009A1658" w:rsidRPr="003021DE" w:rsidRDefault="009A1658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03708B">
        <w:rPr>
          <w:b/>
          <w:szCs w:val="22"/>
        </w:rPr>
        <w:t>5.</w:t>
      </w:r>
      <w:r w:rsidRPr="0003708B">
        <w:rPr>
          <w:b/>
          <w:szCs w:val="22"/>
        </w:rPr>
        <w:tab/>
        <w:t>FARMAKOLOGICKÉ VLASTNOSTI</w:t>
      </w:r>
    </w:p>
    <w:p w:rsidR="00780926" w:rsidRPr="003021DE" w:rsidRDefault="00780926" w:rsidP="00A471D6">
      <w:pPr>
        <w:jc w:val="both"/>
        <w:rPr>
          <w:bCs/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51FFF" w:rsidRPr="00751FFF" w:rsidRDefault="00780926" w:rsidP="00A471D6">
      <w:pPr>
        <w:jc w:val="both"/>
        <w:outlineLvl w:val="0"/>
        <w:rPr>
          <w:szCs w:val="22"/>
        </w:rPr>
      </w:pPr>
      <w:proofErr w:type="spellStart"/>
      <w:r w:rsidRPr="003021DE">
        <w:rPr>
          <w:szCs w:val="22"/>
        </w:rPr>
        <w:t>Farmakoterapeutická</w:t>
      </w:r>
      <w:proofErr w:type="spellEnd"/>
      <w:r w:rsidRPr="003021DE">
        <w:rPr>
          <w:szCs w:val="22"/>
        </w:rPr>
        <w:t xml:space="preserve"> skupina: </w:t>
      </w:r>
      <w:proofErr w:type="spellStart"/>
      <w:r w:rsidR="00751FFF" w:rsidRPr="00751FFF">
        <w:rPr>
          <w:szCs w:val="22"/>
        </w:rPr>
        <w:t>Kardiakum</w:t>
      </w:r>
      <w:proofErr w:type="spellEnd"/>
      <w:r w:rsidR="00751FFF">
        <w:rPr>
          <w:szCs w:val="22"/>
        </w:rPr>
        <w:t>.</w:t>
      </w:r>
    </w:p>
    <w:p w:rsidR="00751FFF" w:rsidRPr="00751FFF" w:rsidRDefault="00780926" w:rsidP="00A471D6">
      <w:pPr>
        <w:jc w:val="both"/>
        <w:outlineLvl w:val="0"/>
        <w:rPr>
          <w:szCs w:val="22"/>
        </w:rPr>
      </w:pPr>
      <w:r w:rsidRPr="003021DE">
        <w:rPr>
          <w:szCs w:val="22"/>
        </w:rPr>
        <w:t xml:space="preserve">ATC kód: </w:t>
      </w:r>
      <w:r w:rsidR="00751FFF" w:rsidRPr="00751FFF">
        <w:rPr>
          <w:szCs w:val="22"/>
        </w:rPr>
        <w:t>A12BA</w:t>
      </w:r>
    </w:p>
    <w:p w:rsidR="00A833E5" w:rsidRPr="00B13F68" w:rsidRDefault="00A833E5" w:rsidP="00A471D6">
      <w:pPr>
        <w:jc w:val="both"/>
        <w:outlineLvl w:val="0"/>
        <w:rPr>
          <w:szCs w:val="22"/>
        </w:rPr>
      </w:pPr>
    </w:p>
    <w:p w:rsidR="00EB5628" w:rsidRDefault="00B06E24" w:rsidP="00A471D6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B13F68">
        <w:rPr>
          <w:szCs w:val="22"/>
          <w:u w:val="single"/>
        </w:rPr>
        <w:t>Mechanizmus účinku</w:t>
      </w:r>
    </w:p>
    <w:p w:rsidR="00751FFF" w:rsidRDefault="00751FFF" w:rsidP="00A471D6">
      <w:pPr>
        <w:ind w:left="0" w:firstLine="0"/>
        <w:jc w:val="both"/>
        <w:rPr>
          <w:szCs w:val="22"/>
        </w:rPr>
      </w:pPr>
      <w:r w:rsidRPr="00751FFF">
        <w:rPr>
          <w:szCs w:val="22"/>
        </w:rPr>
        <w:t xml:space="preserve">CARDILAN je kompozitný dvojzložkový liek s obsahom organicky viazaného kália a magnézia. Draslík ako esenciálny, predovšetkým intracelulárne viazaný prvok, hrá kľúčovú úlohu v udržiavaní </w:t>
      </w:r>
      <w:proofErr w:type="spellStart"/>
      <w:r w:rsidRPr="00751FFF">
        <w:rPr>
          <w:szCs w:val="22"/>
        </w:rPr>
        <w:t>transmembránového</w:t>
      </w:r>
      <w:proofErr w:type="spellEnd"/>
      <w:r w:rsidRPr="00751FFF">
        <w:rPr>
          <w:szCs w:val="22"/>
        </w:rPr>
        <w:t xml:space="preserve"> potenciálu, čo je základom pre funkciu svalu, hlavne myokardu. Magnézium patrí rovnako medzi biogénne prvky. Má kľúčovú úlohu vo funkcii vitálne dôležitých enzymatických sústav, predovšetkým zúčastnených na </w:t>
      </w:r>
      <w:proofErr w:type="spellStart"/>
      <w:r w:rsidRPr="00751FFF">
        <w:rPr>
          <w:szCs w:val="22"/>
        </w:rPr>
        <w:t>neurotransmisii</w:t>
      </w:r>
      <w:proofErr w:type="spellEnd"/>
      <w:r w:rsidRPr="00751FFF">
        <w:rPr>
          <w:szCs w:val="22"/>
        </w:rPr>
        <w:t xml:space="preserve">, ako je </w:t>
      </w:r>
      <w:proofErr w:type="spellStart"/>
      <w:r w:rsidRPr="00751FFF">
        <w:rPr>
          <w:szCs w:val="22"/>
        </w:rPr>
        <w:t>ATP-áza</w:t>
      </w:r>
      <w:proofErr w:type="spellEnd"/>
      <w:r w:rsidRPr="00751FFF">
        <w:rPr>
          <w:szCs w:val="22"/>
        </w:rPr>
        <w:t xml:space="preserve">. Magnézium má inhibičný účinok na CNS, znižuje uvoľňovanie </w:t>
      </w:r>
      <w:proofErr w:type="spellStart"/>
      <w:r w:rsidRPr="00751FFF">
        <w:rPr>
          <w:szCs w:val="22"/>
        </w:rPr>
        <w:t>acetylcholínu</w:t>
      </w:r>
      <w:proofErr w:type="spellEnd"/>
      <w:r w:rsidRPr="00751FFF">
        <w:rPr>
          <w:szCs w:val="22"/>
        </w:rPr>
        <w:t xml:space="preserve"> zo zakončení. Predlžuje </w:t>
      </w:r>
      <w:proofErr w:type="spellStart"/>
      <w:r w:rsidRPr="00751FFF">
        <w:rPr>
          <w:szCs w:val="22"/>
        </w:rPr>
        <w:t>refraktérnu</w:t>
      </w:r>
      <w:proofErr w:type="spellEnd"/>
      <w:r w:rsidRPr="00751FFF">
        <w:rPr>
          <w:szCs w:val="22"/>
        </w:rPr>
        <w:t xml:space="preserve"> periódu myokardu, v konečnom dôsledku zvyšuje elektrickú stabilitu myokardu a má tak určitý </w:t>
      </w:r>
      <w:proofErr w:type="spellStart"/>
      <w:r w:rsidRPr="00751FFF">
        <w:rPr>
          <w:szCs w:val="22"/>
        </w:rPr>
        <w:lastRenderedPageBreak/>
        <w:t>kardioprotektívny</w:t>
      </w:r>
      <w:proofErr w:type="spellEnd"/>
      <w:r w:rsidRPr="00751FFF">
        <w:rPr>
          <w:szCs w:val="22"/>
        </w:rPr>
        <w:t xml:space="preserve"> účinok. V experimentálnych podmienkach počas ischémie myokardu sa dokázal potenciujúci efekt kálium a magnézium </w:t>
      </w:r>
      <w:proofErr w:type="spellStart"/>
      <w:r w:rsidRPr="00751FFF">
        <w:rPr>
          <w:szCs w:val="22"/>
        </w:rPr>
        <w:t>aspartátu</w:t>
      </w:r>
      <w:proofErr w:type="spellEnd"/>
      <w:r w:rsidRPr="00751FFF">
        <w:rPr>
          <w:szCs w:val="22"/>
        </w:rPr>
        <w:t xml:space="preserve"> na membránovú </w:t>
      </w:r>
      <w:proofErr w:type="spellStart"/>
      <w:r w:rsidRPr="00751FFF">
        <w:rPr>
          <w:szCs w:val="22"/>
        </w:rPr>
        <w:t>repolarizáciu</w:t>
      </w:r>
      <w:proofErr w:type="spellEnd"/>
      <w:r w:rsidRPr="00751FFF">
        <w:rPr>
          <w:szCs w:val="22"/>
        </w:rPr>
        <w:t xml:space="preserve"> a priaznivý efekt vo vývoji </w:t>
      </w:r>
      <w:proofErr w:type="spellStart"/>
      <w:r w:rsidRPr="00751FFF">
        <w:rPr>
          <w:szCs w:val="22"/>
        </w:rPr>
        <w:t>postinfarktovej</w:t>
      </w:r>
      <w:proofErr w:type="spellEnd"/>
      <w:r w:rsidRPr="00751FFF">
        <w:rPr>
          <w:szCs w:val="22"/>
        </w:rPr>
        <w:t xml:space="preserve"> fázy. Pravdepodobne na základe inhibície úniku kália z </w:t>
      </w:r>
      <w:proofErr w:type="spellStart"/>
      <w:r w:rsidRPr="00751FFF">
        <w:rPr>
          <w:szCs w:val="22"/>
        </w:rPr>
        <w:t>asfyktických</w:t>
      </w:r>
      <w:proofErr w:type="spellEnd"/>
      <w:r w:rsidRPr="00751FFF">
        <w:rPr>
          <w:szCs w:val="22"/>
        </w:rPr>
        <w:t xml:space="preserve"> buniek preventívne podanie kálium a magnézium </w:t>
      </w:r>
      <w:proofErr w:type="spellStart"/>
      <w:r w:rsidRPr="00751FFF">
        <w:rPr>
          <w:szCs w:val="22"/>
        </w:rPr>
        <w:t>aspartátu</w:t>
      </w:r>
      <w:proofErr w:type="spellEnd"/>
      <w:r w:rsidRPr="00751FFF">
        <w:rPr>
          <w:szCs w:val="22"/>
        </w:rPr>
        <w:t xml:space="preserve"> znižuje mortalitu </w:t>
      </w:r>
      <w:proofErr w:type="spellStart"/>
      <w:r w:rsidRPr="00751FFF">
        <w:rPr>
          <w:szCs w:val="22"/>
        </w:rPr>
        <w:t>hypoxii</w:t>
      </w:r>
      <w:proofErr w:type="spellEnd"/>
      <w:r w:rsidRPr="00751FFF">
        <w:rPr>
          <w:szCs w:val="22"/>
        </w:rPr>
        <w:t xml:space="preserve"> vystavených potkanov a zvyšuje prežívanie srdca </w:t>
      </w:r>
      <w:r w:rsidRPr="00751FFF">
        <w:rPr>
          <w:i/>
          <w:szCs w:val="22"/>
        </w:rPr>
        <w:t>in vitro</w:t>
      </w:r>
      <w:r w:rsidRPr="00751FFF">
        <w:rPr>
          <w:szCs w:val="22"/>
        </w:rPr>
        <w:t>.</w:t>
      </w:r>
    </w:p>
    <w:p w:rsidR="00751FFF" w:rsidRPr="00751FFF" w:rsidRDefault="00751FFF" w:rsidP="00A471D6">
      <w:pPr>
        <w:ind w:left="0" w:firstLine="0"/>
        <w:jc w:val="both"/>
        <w:rPr>
          <w:szCs w:val="22"/>
        </w:rPr>
      </w:pPr>
    </w:p>
    <w:p w:rsidR="00751FFF" w:rsidRDefault="00751FFF" w:rsidP="00A471D6">
      <w:pPr>
        <w:ind w:left="0" w:firstLine="0"/>
        <w:jc w:val="both"/>
        <w:rPr>
          <w:szCs w:val="22"/>
        </w:rPr>
      </w:pPr>
      <w:r w:rsidRPr="00751FFF">
        <w:rPr>
          <w:szCs w:val="22"/>
        </w:rPr>
        <w:t xml:space="preserve">V kontrolovaných klinických štúdiách sa preukázala dobrá znášanlivosť prípravku a očakávané výsledky v zvyšovaní tolerancie </w:t>
      </w:r>
      <w:proofErr w:type="spellStart"/>
      <w:r w:rsidRPr="00751FFF">
        <w:rPr>
          <w:szCs w:val="22"/>
        </w:rPr>
        <w:t>glykozidových</w:t>
      </w:r>
      <w:proofErr w:type="spellEnd"/>
      <w:r w:rsidRPr="00751FFF">
        <w:rPr>
          <w:szCs w:val="22"/>
        </w:rPr>
        <w:t xml:space="preserve"> </w:t>
      </w:r>
      <w:proofErr w:type="spellStart"/>
      <w:r w:rsidRPr="00751FFF">
        <w:rPr>
          <w:szCs w:val="22"/>
        </w:rPr>
        <w:t>kardiotoník</w:t>
      </w:r>
      <w:proofErr w:type="spellEnd"/>
      <w:r w:rsidRPr="00751FFF">
        <w:rPr>
          <w:szCs w:val="22"/>
        </w:rPr>
        <w:t xml:space="preserve"> v prevencii </w:t>
      </w:r>
      <w:proofErr w:type="spellStart"/>
      <w:r w:rsidRPr="00751FFF">
        <w:rPr>
          <w:szCs w:val="22"/>
        </w:rPr>
        <w:t>arytmií</w:t>
      </w:r>
      <w:proofErr w:type="spellEnd"/>
      <w:r w:rsidRPr="00751FFF">
        <w:rPr>
          <w:szCs w:val="22"/>
        </w:rPr>
        <w:t>.</w:t>
      </w:r>
    </w:p>
    <w:p w:rsidR="00751FFF" w:rsidRPr="00751FFF" w:rsidRDefault="00751FFF" w:rsidP="00A471D6">
      <w:pPr>
        <w:ind w:left="0" w:firstLine="0"/>
        <w:jc w:val="both"/>
        <w:rPr>
          <w:szCs w:val="22"/>
        </w:rPr>
      </w:pPr>
    </w:p>
    <w:p w:rsidR="00751FFF" w:rsidRPr="00751FFF" w:rsidRDefault="00751FFF" w:rsidP="00A471D6">
      <w:pPr>
        <w:ind w:left="0" w:firstLine="0"/>
        <w:jc w:val="both"/>
        <w:rPr>
          <w:szCs w:val="22"/>
        </w:rPr>
      </w:pPr>
      <w:r w:rsidRPr="00751FFF">
        <w:rPr>
          <w:szCs w:val="22"/>
        </w:rPr>
        <w:t xml:space="preserve">Podávanie analogických prípravkov magnézia sa osvedčilo v prevencii a komplexnej terapii </w:t>
      </w:r>
      <w:proofErr w:type="spellStart"/>
      <w:r w:rsidRPr="00751FFF">
        <w:rPr>
          <w:szCs w:val="22"/>
        </w:rPr>
        <w:t>arytmií</w:t>
      </w:r>
      <w:proofErr w:type="spellEnd"/>
      <w:r w:rsidRPr="00751FFF">
        <w:rPr>
          <w:szCs w:val="22"/>
        </w:rPr>
        <w:t xml:space="preserve">, pri </w:t>
      </w:r>
      <w:proofErr w:type="spellStart"/>
      <w:r w:rsidRPr="00751FFF">
        <w:rPr>
          <w:szCs w:val="22"/>
        </w:rPr>
        <w:t>myokardiálnej</w:t>
      </w:r>
      <w:proofErr w:type="spellEnd"/>
      <w:r w:rsidRPr="00751FFF">
        <w:rPr>
          <w:szCs w:val="22"/>
        </w:rPr>
        <w:t xml:space="preserve"> ischémii a po infarkte myokardu.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:rsidR="00E1698A" w:rsidRPr="003021DE" w:rsidRDefault="00E1698A" w:rsidP="00A471D6">
      <w:pPr>
        <w:jc w:val="both"/>
        <w:rPr>
          <w:szCs w:val="22"/>
        </w:rPr>
      </w:pPr>
    </w:p>
    <w:p w:rsidR="00FB6B8B" w:rsidRPr="00C03879" w:rsidRDefault="00FB6B8B" w:rsidP="00A471D6">
      <w:pPr>
        <w:widowControl w:val="0"/>
        <w:numPr>
          <w:ilvl w:val="12"/>
          <w:numId w:val="0"/>
        </w:numPr>
        <w:jc w:val="both"/>
        <w:rPr>
          <w:noProof/>
        </w:rPr>
      </w:pPr>
      <w:r>
        <w:rPr>
          <w:noProof/>
          <w:u w:val="single"/>
        </w:rPr>
        <w:t>Absor</w:t>
      </w:r>
      <w:r w:rsidR="005048E4">
        <w:rPr>
          <w:noProof/>
          <w:u w:val="single"/>
        </w:rPr>
        <w:t>p</w:t>
      </w:r>
      <w:r>
        <w:rPr>
          <w:noProof/>
          <w:u w:val="single"/>
        </w:rPr>
        <w:t>cia</w:t>
      </w:r>
      <w:r w:rsidR="00751FFF">
        <w:rPr>
          <w:noProof/>
          <w:u w:val="single"/>
        </w:rPr>
        <w:t xml:space="preserve"> a </w:t>
      </w:r>
      <w:r w:rsidR="005048E4">
        <w:rPr>
          <w:noProof/>
          <w:u w:val="single"/>
        </w:rPr>
        <w:t>d</w:t>
      </w:r>
      <w:r w:rsidRPr="00FB6B8B">
        <w:rPr>
          <w:noProof/>
          <w:u w:val="single"/>
        </w:rPr>
        <w:t>istribúcia</w:t>
      </w:r>
    </w:p>
    <w:p w:rsidR="00FB6B8B" w:rsidRDefault="00751FFF" w:rsidP="00A471D6">
      <w:pPr>
        <w:widowControl w:val="0"/>
        <w:numPr>
          <w:ilvl w:val="12"/>
          <w:numId w:val="0"/>
        </w:numPr>
        <w:jc w:val="both"/>
        <w:rPr>
          <w:noProof/>
        </w:rPr>
      </w:pPr>
      <w:r w:rsidRPr="00751FFF">
        <w:rPr>
          <w:noProof/>
        </w:rPr>
        <w:t>Farmakokinetika zmesi magnéziumaspartátu a káliumaspartátu po intravenóznom podaní zodpovedá kinetike oboch iónov. V prípade kália nie je známy špecifický mechanizmus kontroly absorpcie a distribúcie.</w:t>
      </w:r>
    </w:p>
    <w:p w:rsidR="00751FFF" w:rsidRDefault="00751FFF" w:rsidP="00A471D6">
      <w:pPr>
        <w:widowControl w:val="0"/>
        <w:numPr>
          <w:ilvl w:val="12"/>
          <w:numId w:val="0"/>
        </w:numPr>
        <w:jc w:val="both"/>
        <w:rPr>
          <w:noProof/>
        </w:rPr>
      </w:pPr>
    </w:p>
    <w:p w:rsidR="00FB6B8B" w:rsidRPr="00C03879" w:rsidRDefault="00FB6B8B" w:rsidP="00A471D6">
      <w:pPr>
        <w:widowControl w:val="0"/>
        <w:numPr>
          <w:ilvl w:val="12"/>
          <w:numId w:val="0"/>
        </w:numPr>
        <w:jc w:val="both"/>
        <w:rPr>
          <w:noProof/>
        </w:rPr>
      </w:pPr>
      <w:r w:rsidRPr="00FB6B8B">
        <w:rPr>
          <w:noProof/>
          <w:u w:val="single"/>
        </w:rPr>
        <w:t>Eliminácia</w:t>
      </w:r>
    </w:p>
    <w:p w:rsidR="00751FFF" w:rsidRPr="00751FFF" w:rsidRDefault="00751FFF" w:rsidP="00A471D6">
      <w:pPr>
        <w:widowControl w:val="0"/>
        <w:numPr>
          <w:ilvl w:val="12"/>
          <w:numId w:val="0"/>
        </w:numPr>
        <w:jc w:val="both"/>
        <w:rPr>
          <w:noProof/>
        </w:rPr>
      </w:pPr>
      <w:r w:rsidRPr="00751FFF">
        <w:rPr>
          <w:noProof/>
        </w:rPr>
        <w:t>Draslík sa vylučuje hlavne obličkou a 10 % sliznicou čreva. Vylučovanie sa výrazne redukuje pri renálnej insuficiencii, čo u týchto pacientov zvyšuje toxicitu solí kália.</w:t>
      </w:r>
    </w:p>
    <w:p w:rsidR="007B5877" w:rsidRDefault="007B5877" w:rsidP="00A471D6">
      <w:pPr>
        <w:widowControl w:val="0"/>
        <w:numPr>
          <w:ilvl w:val="12"/>
          <w:numId w:val="0"/>
        </w:numPr>
        <w:jc w:val="both"/>
        <w:rPr>
          <w:noProof/>
          <w:u w:val="single"/>
        </w:rPr>
      </w:pPr>
    </w:p>
    <w:p w:rsidR="00751FFF" w:rsidRPr="00751FFF" w:rsidRDefault="00751FFF" w:rsidP="00A471D6">
      <w:pPr>
        <w:widowControl w:val="0"/>
        <w:numPr>
          <w:ilvl w:val="12"/>
          <w:numId w:val="0"/>
        </w:numPr>
        <w:jc w:val="both"/>
        <w:rPr>
          <w:noProof/>
        </w:rPr>
      </w:pPr>
      <w:r w:rsidRPr="00751FFF">
        <w:rPr>
          <w:noProof/>
        </w:rPr>
        <w:t>Adrenalín a beta sympatikomimetiká cez beta efekt presunujú kálium do buniek, na základe toho môže vznikať plazmatická hypokaliémia. Inzulín zvyšuje intracelulárne vychytávanie kália bunkami, preto pri súčasnom podávaní inzulínu a suplementácie kália sú potrebné vyššie dávky.</w:t>
      </w:r>
    </w:p>
    <w:p w:rsidR="00751FFF" w:rsidRPr="00751FFF" w:rsidRDefault="00751FFF" w:rsidP="00A471D6">
      <w:pPr>
        <w:widowControl w:val="0"/>
        <w:numPr>
          <w:ilvl w:val="12"/>
          <w:numId w:val="0"/>
        </w:numPr>
        <w:jc w:val="both"/>
        <w:rPr>
          <w:noProof/>
        </w:rPr>
      </w:pPr>
      <w:r w:rsidRPr="00751FFF">
        <w:rPr>
          <w:noProof/>
        </w:rPr>
        <w:t xml:space="preserve">Kinetika magnézia vo fáze absorpcie je rôzna u jednotlivých solí s výnimkou sulfátu, chloridu a aspartátu, ktoré sa dobre absorbujú. Jedna tretina plazmatického magnézia je viazaná na proteín. Hlavným eliminačným orgánom je oblička, preto pri renálnej insuficiencii a súčasnej suplementácii magnézia hrozí zvýšené </w:t>
      </w:r>
      <w:r w:rsidR="001776E7">
        <w:rPr>
          <w:noProof/>
        </w:rPr>
        <w:t>nebezpečenstvo</w:t>
      </w:r>
      <w:r w:rsidR="001776E7" w:rsidRPr="00751FFF">
        <w:rPr>
          <w:noProof/>
        </w:rPr>
        <w:t xml:space="preserve"> </w:t>
      </w:r>
      <w:r w:rsidRPr="00751FFF">
        <w:rPr>
          <w:noProof/>
        </w:rPr>
        <w:t>akumulácie magnézia.</w:t>
      </w:r>
    </w:p>
    <w:p w:rsidR="00751FFF" w:rsidRPr="00B13F68" w:rsidRDefault="00751FFF" w:rsidP="00A471D6">
      <w:pPr>
        <w:widowControl w:val="0"/>
        <w:numPr>
          <w:ilvl w:val="12"/>
          <w:numId w:val="0"/>
        </w:numPr>
        <w:jc w:val="both"/>
        <w:rPr>
          <w:noProof/>
          <w:u w:val="single"/>
        </w:rPr>
      </w:pPr>
    </w:p>
    <w:p w:rsidR="00780926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FA099B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:rsidR="00FB6B8B" w:rsidRPr="003021DE" w:rsidRDefault="00FB6B8B" w:rsidP="00A471D6">
      <w:pPr>
        <w:jc w:val="both"/>
        <w:rPr>
          <w:szCs w:val="22"/>
        </w:rPr>
      </w:pPr>
    </w:p>
    <w:p w:rsidR="00751FFF" w:rsidRDefault="00751FFF" w:rsidP="00A471D6">
      <w:pPr>
        <w:ind w:left="0" w:firstLine="0"/>
        <w:jc w:val="both"/>
        <w:rPr>
          <w:szCs w:val="22"/>
        </w:rPr>
      </w:pPr>
      <w:r w:rsidRPr="00751FFF">
        <w:rPr>
          <w:szCs w:val="22"/>
        </w:rPr>
        <w:t>Základné údaje akútnej toxicity sa získavali v hodnotení LD</w:t>
      </w:r>
      <w:r w:rsidRPr="00AF4451">
        <w:rPr>
          <w:szCs w:val="22"/>
          <w:vertAlign w:val="subscript"/>
        </w:rPr>
        <w:t xml:space="preserve"> 50</w:t>
      </w:r>
      <w:r w:rsidRPr="00751FFF">
        <w:rPr>
          <w:szCs w:val="22"/>
        </w:rPr>
        <w:t xml:space="preserve"> po perorálnej aplikácii u potkanov a myší. Letalita nebola zistená do dávky 2 000 mg/kg hmotnosti, čo je limitom určenie akútnej toxicity. </w:t>
      </w:r>
      <w:proofErr w:type="spellStart"/>
      <w:r w:rsidRPr="00751FFF">
        <w:rPr>
          <w:szCs w:val="22"/>
        </w:rPr>
        <w:t>Parenterálne</w:t>
      </w:r>
      <w:proofErr w:type="spellEnd"/>
      <w:r w:rsidRPr="00751FFF">
        <w:rPr>
          <w:szCs w:val="22"/>
        </w:rPr>
        <w:t xml:space="preserve"> podanie nebolo testované. Testy na </w:t>
      </w:r>
      <w:proofErr w:type="spellStart"/>
      <w:r w:rsidRPr="00751FFF">
        <w:rPr>
          <w:szCs w:val="22"/>
        </w:rPr>
        <w:t>subchronickú</w:t>
      </w:r>
      <w:proofErr w:type="spellEnd"/>
      <w:r w:rsidRPr="00751FFF">
        <w:rPr>
          <w:szCs w:val="22"/>
        </w:rPr>
        <w:t xml:space="preserve"> a chronickú toxicitu neboli uskutočnené. U tohoto typu prípravkov kália a magnézia sa neočakávajú významné </w:t>
      </w:r>
      <w:proofErr w:type="spellStart"/>
      <w:r w:rsidRPr="00751FFF">
        <w:rPr>
          <w:szCs w:val="22"/>
        </w:rPr>
        <w:t>organotoxické</w:t>
      </w:r>
      <w:proofErr w:type="spellEnd"/>
      <w:r w:rsidRPr="00751FFF">
        <w:rPr>
          <w:szCs w:val="22"/>
        </w:rPr>
        <w:t xml:space="preserve"> účinky, ani ostatné nežiaduce účinku typu </w:t>
      </w:r>
      <w:proofErr w:type="spellStart"/>
      <w:r w:rsidRPr="00751FFF">
        <w:rPr>
          <w:szCs w:val="22"/>
        </w:rPr>
        <w:t>idiosynkratických</w:t>
      </w:r>
      <w:proofErr w:type="spellEnd"/>
      <w:r w:rsidRPr="00751FFF">
        <w:rPr>
          <w:szCs w:val="22"/>
        </w:rPr>
        <w:t xml:space="preserve"> reakcií. Zatiaľ nebola dokázaná mutagénna alebo karcinogénna aktivita zlúčenín kália alebo magnézia.</w:t>
      </w:r>
    </w:p>
    <w:p w:rsidR="00751FFF" w:rsidRPr="00751FFF" w:rsidRDefault="00751FFF" w:rsidP="00A471D6">
      <w:pPr>
        <w:ind w:left="0" w:firstLine="0"/>
        <w:jc w:val="both"/>
        <w:rPr>
          <w:szCs w:val="22"/>
        </w:rPr>
      </w:pPr>
    </w:p>
    <w:p w:rsidR="00751FFF" w:rsidRPr="00751FFF" w:rsidRDefault="00751FFF" w:rsidP="00A471D6">
      <w:pPr>
        <w:ind w:left="0" w:firstLine="0"/>
        <w:jc w:val="both"/>
        <w:rPr>
          <w:szCs w:val="22"/>
        </w:rPr>
      </w:pPr>
      <w:r w:rsidRPr="00751FFF">
        <w:rPr>
          <w:szCs w:val="22"/>
        </w:rPr>
        <w:t>K dispozícii sú výsledky klinických kontrolovaných štúdií s analogickými liekmi, kde sa preukázala dobrá tolerancia a predpokladaný efekt.</w:t>
      </w:r>
    </w:p>
    <w:p w:rsidR="00E1698A" w:rsidRDefault="00E1698A" w:rsidP="00A471D6">
      <w:pPr>
        <w:jc w:val="both"/>
        <w:rPr>
          <w:szCs w:val="22"/>
        </w:rPr>
      </w:pPr>
    </w:p>
    <w:p w:rsidR="007B5877" w:rsidRPr="003021DE" w:rsidRDefault="007B5877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:rsidR="00493D6A" w:rsidRDefault="00493D6A" w:rsidP="00A471D6">
      <w:pPr>
        <w:jc w:val="both"/>
        <w:rPr>
          <w:noProof/>
        </w:rPr>
      </w:pPr>
    </w:p>
    <w:p w:rsidR="00526B06" w:rsidRPr="00526B06" w:rsidRDefault="005048E4" w:rsidP="00A471D6">
      <w:pPr>
        <w:jc w:val="both"/>
        <w:rPr>
          <w:noProof/>
        </w:rPr>
      </w:pPr>
      <w:r>
        <w:rPr>
          <w:noProof/>
        </w:rPr>
        <w:t>v</w:t>
      </w:r>
      <w:r w:rsidR="00526B06" w:rsidRPr="00526B06">
        <w:rPr>
          <w:noProof/>
        </w:rPr>
        <w:t>oda na injekciu</w:t>
      </w:r>
    </w:p>
    <w:p w:rsidR="00D74F9F" w:rsidRDefault="00D74F9F" w:rsidP="00A471D6">
      <w:pPr>
        <w:jc w:val="both"/>
        <w:rPr>
          <w:noProof/>
        </w:rPr>
      </w:pPr>
    </w:p>
    <w:p w:rsidR="00780926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:rsidR="006863F9" w:rsidRPr="003021DE" w:rsidRDefault="006863F9" w:rsidP="00A471D6">
      <w:pPr>
        <w:jc w:val="both"/>
        <w:rPr>
          <w:szCs w:val="22"/>
        </w:rPr>
      </w:pPr>
    </w:p>
    <w:p w:rsidR="00751FFF" w:rsidRPr="00751FFF" w:rsidRDefault="001776E7" w:rsidP="00A471D6">
      <w:pPr>
        <w:jc w:val="both"/>
        <w:rPr>
          <w:szCs w:val="22"/>
        </w:rPr>
      </w:pPr>
      <w:r>
        <w:rPr>
          <w:szCs w:val="22"/>
        </w:rPr>
        <w:t>Neaplikovateľné</w:t>
      </w:r>
    </w:p>
    <w:p w:rsidR="00C03879" w:rsidRDefault="00C03879" w:rsidP="00A471D6">
      <w:pPr>
        <w:jc w:val="both"/>
        <w:rPr>
          <w:b/>
          <w:szCs w:val="22"/>
        </w:rPr>
      </w:pPr>
    </w:p>
    <w:p w:rsidR="00780926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:rsidR="006863F9" w:rsidRPr="003021DE" w:rsidRDefault="006863F9" w:rsidP="00A471D6">
      <w:pPr>
        <w:jc w:val="both"/>
        <w:rPr>
          <w:szCs w:val="22"/>
        </w:rPr>
      </w:pPr>
    </w:p>
    <w:p w:rsidR="00C03879" w:rsidRPr="00C03879" w:rsidRDefault="00751FFF" w:rsidP="00A471D6">
      <w:pPr>
        <w:ind w:left="540" w:hanging="540"/>
        <w:jc w:val="both"/>
        <w:rPr>
          <w:szCs w:val="22"/>
        </w:rPr>
      </w:pPr>
      <w:r>
        <w:rPr>
          <w:szCs w:val="22"/>
        </w:rPr>
        <w:t>3</w:t>
      </w:r>
      <w:r w:rsidR="00C03879" w:rsidRPr="00C03879">
        <w:rPr>
          <w:szCs w:val="22"/>
        </w:rPr>
        <w:t xml:space="preserve"> rok</w:t>
      </w:r>
      <w:r>
        <w:rPr>
          <w:szCs w:val="22"/>
        </w:rPr>
        <w:t>y</w:t>
      </w:r>
    </w:p>
    <w:p w:rsidR="00E03454" w:rsidRDefault="00E03454" w:rsidP="00A471D6">
      <w:pPr>
        <w:ind w:left="540" w:hanging="540"/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:rsidR="00780926" w:rsidRDefault="00780926" w:rsidP="00A471D6">
      <w:pPr>
        <w:jc w:val="both"/>
      </w:pPr>
    </w:p>
    <w:p w:rsidR="00B84B23" w:rsidRDefault="00B84B23" w:rsidP="00A471D6">
      <w:pPr>
        <w:jc w:val="both"/>
      </w:pPr>
      <w:r w:rsidRPr="00B84B23">
        <w:t>Uchovávajte pri teplote do 25</w:t>
      </w:r>
      <w:r w:rsidR="00112724">
        <w:t> </w:t>
      </w:r>
      <w:r w:rsidRPr="00B84B23">
        <w:t>°C.</w:t>
      </w:r>
    </w:p>
    <w:p w:rsidR="00780926" w:rsidRPr="003021DE" w:rsidRDefault="00780926" w:rsidP="00A471D6">
      <w:pPr>
        <w:jc w:val="both"/>
      </w:pPr>
    </w:p>
    <w:p w:rsidR="00780926" w:rsidRPr="003021DE" w:rsidRDefault="00780926" w:rsidP="00A471D6">
      <w:pPr>
        <w:jc w:val="both"/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:rsidR="00780926" w:rsidRPr="003021DE" w:rsidRDefault="00780926" w:rsidP="00A471D6">
      <w:pPr>
        <w:jc w:val="both"/>
        <w:rPr>
          <w:szCs w:val="22"/>
        </w:rPr>
      </w:pPr>
    </w:p>
    <w:p w:rsidR="00C03879" w:rsidRPr="00C03879" w:rsidRDefault="00C03879" w:rsidP="00A471D6">
      <w:pPr>
        <w:ind w:left="0" w:firstLine="0"/>
        <w:jc w:val="both"/>
        <w:rPr>
          <w:szCs w:val="22"/>
        </w:rPr>
      </w:pPr>
      <w:r w:rsidRPr="00C03879">
        <w:rPr>
          <w:szCs w:val="22"/>
        </w:rPr>
        <w:t>Ampula z bezfarebného skla s etiketou, výlisok z PVC, papierová škatuľka, písomná informácia pre používateľ</w:t>
      </w:r>
      <w:r w:rsidR="00FD3248">
        <w:rPr>
          <w:szCs w:val="22"/>
        </w:rPr>
        <w:t>a</w:t>
      </w:r>
      <w:r w:rsidRPr="00C03879">
        <w:rPr>
          <w:szCs w:val="22"/>
        </w:rPr>
        <w:t>.</w:t>
      </w:r>
    </w:p>
    <w:p w:rsidR="005048E4" w:rsidRDefault="005048E4" w:rsidP="00A471D6">
      <w:pPr>
        <w:jc w:val="both"/>
        <w:rPr>
          <w:szCs w:val="22"/>
        </w:rPr>
      </w:pPr>
    </w:p>
    <w:p w:rsidR="00EB5628" w:rsidRDefault="00E03454" w:rsidP="00A471D6">
      <w:pPr>
        <w:jc w:val="both"/>
        <w:rPr>
          <w:szCs w:val="22"/>
        </w:rPr>
      </w:pPr>
      <w:r w:rsidRPr="00E03454">
        <w:rPr>
          <w:szCs w:val="22"/>
        </w:rPr>
        <w:t xml:space="preserve">Veľkosť balenia: </w:t>
      </w:r>
    </w:p>
    <w:p w:rsidR="00B84B23" w:rsidRDefault="00751FFF" w:rsidP="00A471D6">
      <w:pPr>
        <w:jc w:val="both"/>
        <w:rPr>
          <w:szCs w:val="22"/>
        </w:rPr>
      </w:pPr>
      <w:r>
        <w:rPr>
          <w:szCs w:val="22"/>
        </w:rPr>
        <w:t>10</w:t>
      </w:r>
      <w:r w:rsidR="001776E7">
        <w:rPr>
          <w:szCs w:val="22"/>
        </w:rPr>
        <w:t xml:space="preserve"> sklenených</w:t>
      </w:r>
      <w:r w:rsidR="00C03879" w:rsidRPr="00C03879">
        <w:rPr>
          <w:szCs w:val="22"/>
        </w:rPr>
        <w:t xml:space="preserve"> ampúl po 10 ml</w:t>
      </w:r>
    </w:p>
    <w:p w:rsidR="00780926" w:rsidRPr="00A75ECC" w:rsidRDefault="00780926" w:rsidP="00A471D6">
      <w:pPr>
        <w:jc w:val="both"/>
      </w:pPr>
    </w:p>
    <w:p w:rsidR="00780926" w:rsidRPr="00B13F68" w:rsidRDefault="00780926" w:rsidP="00A471D6">
      <w:pPr>
        <w:jc w:val="both"/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="00E03454">
        <w:rPr>
          <w:b/>
          <w:bCs/>
          <w:noProof/>
        </w:rPr>
        <w:t>liekom</w:t>
      </w:r>
    </w:p>
    <w:p w:rsidR="00780926" w:rsidRDefault="00780926" w:rsidP="00A471D6">
      <w:pPr>
        <w:jc w:val="both"/>
        <w:rPr>
          <w:bCs/>
          <w:noProof/>
        </w:rPr>
      </w:pPr>
    </w:p>
    <w:p w:rsidR="00751FFF" w:rsidRPr="00751FFF" w:rsidRDefault="00751FFF" w:rsidP="00A471D6">
      <w:pPr>
        <w:ind w:left="0" w:firstLine="0"/>
        <w:jc w:val="both"/>
        <w:rPr>
          <w:bCs/>
          <w:noProof/>
        </w:rPr>
      </w:pPr>
      <w:r w:rsidRPr="00751FFF">
        <w:rPr>
          <w:bCs/>
          <w:noProof/>
        </w:rPr>
        <w:t>Žiadne zvláštne požiadavky.</w:t>
      </w:r>
    </w:p>
    <w:p w:rsidR="00B84B23" w:rsidRPr="00B84B23" w:rsidRDefault="00B84B23" w:rsidP="00A471D6">
      <w:pPr>
        <w:ind w:left="0" w:firstLine="0"/>
        <w:jc w:val="both"/>
        <w:rPr>
          <w:szCs w:val="22"/>
        </w:rPr>
      </w:pPr>
      <w:r w:rsidRPr="00B84B23">
        <w:rPr>
          <w:szCs w:val="22"/>
        </w:rPr>
        <w:t>Roztok použite bezprostredne po otvorení obalu.</w:t>
      </w:r>
    </w:p>
    <w:p w:rsidR="005048E4" w:rsidRDefault="005048E4" w:rsidP="00A471D6">
      <w:pPr>
        <w:ind w:left="0" w:firstLine="0"/>
        <w:jc w:val="both"/>
        <w:rPr>
          <w:szCs w:val="22"/>
        </w:rPr>
      </w:pPr>
    </w:p>
    <w:p w:rsidR="00B84B23" w:rsidRPr="00B84B23" w:rsidRDefault="00B84B23" w:rsidP="00A471D6">
      <w:pPr>
        <w:ind w:left="0" w:firstLine="0"/>
        <w:jc w:val="both"/>
        <w:rPr>
          <w:szCs w:val="22"/>
        </w:rPr>
      </w:pPr>
      <w:r w:rsidRPr="00B84B23">
        <w:rPr>
          <w:szCs w:val="22"/>
        </w:rPr>
        <w:t>Všetok nepoužitý liek alebo odpad vzniknutý z lieku sa má zlikvidovať v súlade s národnými požiadavkami.</w:t>
      </w:r>
    </w:p>
    <w:p w:rsidR="00E03454" w:rsidRPr="003021DE" w:rsidRDefault="00E03454" w:rsidP="00A471D6">
      <w:pPr>
        <w:ind w:left="0" w:firstLine="0"/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szCs w:val="22"/>
        </w:rPr>
      </w:pPr>
    </w:p>
    <w:p w:rsidR="00780926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</w:t>
      </w:r>
      <w:r w:rsidR="00EB5628">
        <w:rPr>
          <w:b/>
          <w:szCs w:val="22"/>
        </w:rPr>
        <w:t> </w:t>
      </w:r>
      <w:r w:rsidRPr="003021DE">
        <w:rPr>
          <w:b/>
          <w:szCs w:val="22"/>
        </w:rPr>
        <w:t>REGISTRÁCII</w:t>
      </w:r>
    </w:p>
    <w:p w:rsidR="00EB5628" w:rsidRPr="00B96137" w:rsidRDefault="00EB5628" w:rsidP="00A471D6">
      <w:pPr>
        <w:jc w:val="both"/>
        <w:rPr>
          <w:szCs w:val="22"/>
        </w:rPr>
      </w:pPr>
    </w:p>
    <w:p w:rsidR="005048E4" w:rsidRDefault="00F4164A" w:rsidP="00A471D6">
      <w:pPr>
        <w:jc w:val="both"/>
        <w:rPr>
          <w:bCs/>
        </w:rPr>
      </w:pPr>
      <w:r w:rsidRPr="00F4164A">
        <w:t>B</w:t>
      </w:r>
      <w:r w:rsidRPr="00F4164A">
        <w:rPr>
          <w:bCs/>
        </w:rPr>
        <w:t xml:space="preserve">B </w:t>
      </w:r>
      <w:proofErr w:type="spellStart"/>
      <w:r w:rsidRPr="00F4164A">
        <w:rPr>
          <w:bCs/>
        </w:rPr>
        <w:t>Pharma</w:t>
      </w:r>
      <w:proofErr w:type="spellEnd"/>
      <w:r w:rsidRPr="00F4164A">
        <w:rPr>
          <w:bCs/>
        </w:rPr>
        <w:t xml:space="preserve"> a.s.</w:t>
      </w:r>
    </w:p>
    <w:p w:rsidR="005048E4" w:rsidRDefault="003E0061" w:rsidP="00A471D6">
      <w:pPr>
        <w:jc w:val="both"/>
      </w:pPr>
      <w:proofErr w:type="spellStart"/>
      <w:r>
        <w:rPr>
          <w:bCs/>
        </w:rPr>
        <w:t>Durychova</w:t>
      </w:r>
      <w:proofErr w:type="spellEnd"/>
      <w:r>
        <w:rPr>
          <w:bCs/>
        </w:rPr>
        <w:t xml:space="preserve"> 101/66</w:t>
      </w:r>
    </w:p>
    <w:p w:rsidR="005048E4" w:rsidRDefault="003E0061" w:rsidP="00A471D6">
      <w:pPr>
        <w:jc w:val="both"/>
      </w:pPr>
      <w:r>
        <w:t xml:space="preserve">142 </w:t>
      </w:r>
      <w:r w:rsidR="00FA423D">
        <w:t>00 Praha 4</w:t>
      </w:r>
      <w:r w:rsidR="009534F7">
        <w:t xml:space="preserve"> - </w:t>
      </w:r>
      <w:proofErr w:type="spellStart"/>
      <w:r w:rsidR="009534F7">
        <w:t>Lhotka</w:t>
      </w:r>
      <w:proofErr w:type="spellEnd"/>
    </w:p>
    <w:p w:rsidR="00F4164A" w:rsidRPr="00F4164A" w:rsidRDefault="00FA423D" w:rsidP="00A471D6">
      <w:pPr>
        <w:jc w:val="both"/>
        <w:rPr>
          <w:u w:val="single"/>
        </w:rPr>
      </w:pPr>
      <w:r>
        <w:t>Č</w:t>
      </w:r>
      <w:r w:rsidR="00F4164A" w:rsidRPr="00F4164A">
        <w:t>eská republika</w:t>
      </w:r>
    </w:p>
    <w:p w:rsidR="00780926" w:rsidRPr="00B13F68" w:rsidRDefault="00780926" w:rsidP="00A471D6">
      <w:pPr>
        <w:jc w:val="both"/>
        <w:rPr>
          <w:szCs w:val="22"/>
        </w:rPr>
      </w:pPr>
    </w:p>
    <w:p w:rsidR="00780926" w:rsidRPr="00B13F68" w:rsidRDefault="00780926" w:rsidP="00A471D6">
      <w:pPr>
        <w:jc w:val="both"/>
        <w:rPr>
          <w:szCs w:val="22"/>
        </w:rPr>
      </w:pPr>
    </w:p>
    <w:p w:rsidR="00780926" w:rsidRDefault="00780926" w:rsidP="00A471D6">
      <w:pPr>
        <w:jc w:val="both"/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:rsidR="00EB5628" w:rsidRPr="00B96137" w:rsidRDefault="00EB5628" w:rsidP="00A471D6">
      <w:pPr>
        <w:jc w:val="both"/>
        <w:rPr>
          <w:szCs w:val="22"/>
        </w:rPr>
      </w:pPr>
    </w:p>
    <w:p w:rsidR="00780926" w:rsidRDefault="00751FFF" w:rsidP="00A471D6">
      <w:pPr>
        <w:jc w:val="both"/>
        <w:rPr>
          <w:szCs w:val="22"/>
        </w:rPr>
      </w:pPr>
      <w:r w:rsidRPr="00751FFF">
        <w:t>41/0798/92-S</w:t>
      </w:r>
    </w:p>
    <w:p w:rsidR="00FA423D" w:rsidRDefault="00FA423D" w:rsidP="00A471D6">
      <w:pPr>
        <w:jc w:val="both"/>
        <w:rPr>
          <w:szCs w:val="22"/>
        </w:rPr>
      </w:pPr>
    </w:p>
    <w:p w:rsidR="00B96137" w:rsidRPr="003021DE" w:rsidRDefault="00B96137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:rsidR="00780926" w:rsidRPr="003021DE" w:rsidRDefault="00780926" w:rsidP="00A471D6">
      <w:pPr>
        <w:jc w:val="both"/>
        <w:rPr>
          <w:szCs w:val="22"/>
        </w:rPr>
      </w:pPr>
    </w:p>
    <w:p w:rsidR="00751FFF" w:rsidRPr="00751FFF" w:rsidRDefault="00B84B23" w:rsidP="00A471D6">
      <w:pPr>
        <w:jc w:val="both"/>
        <w:rPr>
          <w:b/>
          <w:noProof/>
        </w:rPr>
      </w:pPr>
      <w:r w:rsidRPr="00B84B23">
        <w:rPr>
          <w:noProof/>
        </w:rPr>
        <w:t xml:space="preserve">Dátum prvej registrácie: </w:t>
      </w:r>
      <w:r w:rsidR="00751FFF" w:rsidRPr="00751FFF">
        <w:rPr>
          <w:noProof/>
        </w:rPr>
        <w:t xml:space="preserve">18.12.1992 </w:t>
      </w:r>
    </w:p>
    <w:p w:rsidR="00780926" w:rsidRPr="003021DE" w:rsidRDefault="00B84B23" w:rsidP="00A471D6">
      <w:pPr>
        <w:jc w:val="both"/>
        <w:rPr>
          <w:szCs w:val="22"/>
        </w:rPr>
      </w:pPr>
      <w:r w:rsidRPr="00B84B23">
        <w:rPr>
          <w:szCs w:val="22"/>
        </w:rPr>
        <w:t>Dátum posledného predĺženia registrácie:</w:t>
      </w:r>
      <w:r w:rsidR="005048E4">
        <w:rPr>
          <w:szCs w:val="22"/>
        </w:rPr>
        <w:t xml:space="preserve"> 6.6.2003</w:t>
      </w:r>
    </w:p>
    <w:p w:rsidR="00780926" w:rsidRDefault="00780926" w:rsidP="00A471D6">
      <w:pPr>
        <w:jc w:val="both"/>
        <w:rPr>
          <w:szCs w:val="22"/>
        </w:rPr>
      </w:pPr>
    </w:p>
    <w:p w:rsidR="00B96137" w:rsidRPr="003021DE" w:rsidRDefault="00B96137" w:rsidP="00A471D6">
      <w:pPr>
        <w:jc w:val="both"/>
        <w:rPr>
          <w:szCs w:val="22"/>
        </w:rPr>
      </w:pPr>
    </w:p>
    <w:p w:rsidR="00780926" w:rsidRPr="003021DE" w:rsidRDefault="00780926" w:rsidP="00A471D6">
      <w:pPr>
        <w:jc w:val="both"/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:rsidR="00C03879" w:rsidRDefault="00C03879" w:rsidP="00A471D6">
      <w:pPr>
        <w:jc w:val="both"/>
        <w:rPr>
          <w:szCs w:val="22"/>
        </w:rPr>
      </w:pPr>
    </w:p>
    <w:p w:rsidR="00780926" w:rsidRPr="00A4521B" w:rsidRDefault="00112724" w:rsidP="009534F7">
      <w:pPr>
        <w:ind w:left="0" w:firstLine="0"/>
        <w:jc w:val="both"/>
        <w:rPr>
          <w:szCs w:val="22"/>
        </w:rPr>
      </w:pPr>
      <w:r>
        <w:rPr>
          <w:szCs w:val="22"/>
        </w:rPr>
        <w:t>Február 2017</w:t>
      </w:r>
      <w:bookmarkStart w:id="0" w:name="_GoBack"/>
      <w:bookmarkEnd w:id="0"/>
    </w:p>
    <w:sectPr w:rsidR="00780926" w:rsidRPr="00A4521B" w:rsidSect="00F6288E"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14" w:rsidRDefault="00463014">
      <w:r>
        <w:separator/>
      </w:r>
    </w:p>
  </w:endnote>
  <w:endnote w:type="continuationSeparator" w:id="0">
    <w:p w:rsidR="00463014" w:rsidRDefault="0046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AF4451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AF4451">
      <w:rPr>
        <w:rStyle w:val="slostrany"/>
        <w:rFonts w:ascii="Times New Roman" w:hAnsi="Times New Roman"/>
        <w:sz w:val="18"/>
        <w:szCs w:val="18"/>
      </w:rPr>
      <w:fldChar w:fldCharType="begin"/>
    </w:r>
    <w:r w:rsidRPr="00AF445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F4451">
      <w:rPr>
        <w:rStyle w:val="slostrany"/>
        <w:rFonts w:ascii="Times New Roman" w:hAnsi="Times New Roman"/>
        <w:sz w:val="18"/>
        <w:szCs w:val="18"/>
      </w:rPr>
      <w:fldChar w:fldCharType="separate"/>
    </w:r>
    <w:r w:rsidR="009F7D7C">
      <w:rPr>
        <w:rStyle w:val="slostrany"/>
        <w:rFonts w:ascii="Times New Roman" w:hAnsi="Times New Roman"/>
        <w:noProof/>
        <w:sz w:val="18"/>
        <w:szCs w:val="18"/>
      </w:rPr>
      <w:t>5</w:t>
    </w:r>
    <w:r w:rsidRPr="00AF445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AF4451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AF4451">
      <w:rPr>
        <w:rStyle w:val="slostrany"/>
        <w:rFonts w:ascii="Times New Roman" w:hAnsi="Times New Roman"/>
        <w:sz w:val="18"/>
        <w:szCs w:val="18"/>
      </w:rPr>
      <w:fldChar w:fldCharType="begin"/>
    </w:r>
    <w:r w:rsidRPr="00AF445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F4451">
      <w:rPr>
        <w:rStyle w:val="slostrany"/>
        <w:rFonts w:ascii="Times New Roman" w:hAnsi="Times New Roman"/>
        <w:sz w:val="18"/>
        <w:szCs w:val="18"/>
      </w:rPr>
      <w:fldChar w:fldCharType="separate"/>
    </w:r>
    <w:r w:rsidR="00112724">
      <w:rPr>
        <w:rStyle w:val="slostrany"/>
        <w:rFonts w:ascii="Times New Roman" w:hAnsi="Times New Roman"/>
        <w:noProof/>
        <w:sz w:val="18"/>
        <w:szCs w:val="18"/>
      </w:rPr>
      <w:t>1</w:t>
    </w:r>
    <w:r w:rsidRPr="00AF445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14" w:rsidRDefault="00463014">
      <w:r>
        <w:separator/>
      </w:r>
    </w:p>
  </w:footnote>
  <w:footnote w:type="continuationSeparator" w:id="0">
    <w:p w:rsidR="00463014" w:rsidRDefault="0046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296625"/>
    <w:multiLevelType w:val="hybridMultilevel"/>
    <w:tmpl w:val="F120F63C"/>
    <w:lvl w:ilvl="0" w:tplc="AB2EA0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1B31957"/>
    <w:multiLevelType w:val="hybridMultilevel"/>
    <w:tmpl w:val="A552CEA8"/>
    <w:lvl w:ilvl="0" w:tplc="9A6460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6A55C5"/>
    <w:multiLevelType w:val="hybridMultilevel"/>
    <w:tmpl w:val="A7E0A824"/>
    <w:lvl w:ilvl="0" w:tplc="8A267B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4A8A6112"/>
    <w:multiLevelType w:val="hybridMultilevel"/>
    <w:tmpl w:val="B75CB4D6"/>
    <w:lvl w:ilvl="0" w:tplc="57B65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1"/>
  </w:num>
  <w:num w:numId="14">
    <w:abstractNumId w:val="6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48B5"/>
    <w:rsid w:val="00016090"/>
    <w:rsid w:val="0002503D"/>
    <w:rsid w:val="000274B5"/>
    <w:rsid w:val="00035E8C"/>
    <w:rsid w:val="0003708B"/>
    <w:rsid w:val="00040726"/>
    <w:rsid w:val="00041494"/>
    <w:rsid w:val="00042900"/>
    <w:rsid w:val="00056045"/>
    <w:rsid w:val="00061445"/>
    <w:rsid w:val="00067971"/>
    <w:rsid w:val="00074618"/>
    <w:rsid w:val="00077CF6"/>
    <w:rsid w:val="000866F4"/>
    <w:rsid w:val="00090230"/>
    <w:rsid w:val="00096CAA"/>
    <w:rsid w:val="000B13AD"/>
    <w:rsid w:val="000B37F6"/>
    <w:rsid w:val="000B6759"/>
    <w:rsid w:val="000D3B1B"/>
    <w:rsid w:val="000E2174"/>
    <w:rsid w:val="000E3D7D"/>
    <w:rsid w:val="000E7685"/>
    <w:rsid w:val="000F3F0F"/>
    <w:rsid w:val="001001CE"/>
    <w:rsid w:val="001114AF"/>
    <w:rsid w:val="00112724"/>
    <w:rsid w:val="0011351A"/>
    <w:rsid w:val="00120481"/>
    <w:rsid w:val="001334A2"/>
    <w:rsid w:val="00134A24"/>
    <w:rsid w:val="00135894"/>
    <w:rsid w:val="0013705F"/>
    <w:rsid w:val="00141412"/>
    <w:rsid w:val="00145CDB"/>
    <w:rsid w:val="0015367B"/>
    <w:rsid w:val="0015477D"/>
    <w:rsid w:val="001776E7"/>
    <w:rsid w:val="00177A4A"/>
    <w:rsid w:val="00181D35"/>
    <w:rsid w:val="00185CB1"/>
    <w:rsid w:val="00187ECC"/>
    <w:rsid w:val="001967D9"/>
    <w:rsid w:val="001A3218"/>
    <w:rsid w:val="001B08B2"/>
    <w:rsid w:val="001B1F8B"/>
    <w:rsid w:val="001B73FD"/>
    <w:rsid w:val="001C463D"/>
    <w:rsid w:val="001D1B4B"/>
    <w:rsid w:val="001D4230"/>
    <w:rsid w:val="001D6767"/>
    <w:rsid w:val="001F7CF0"/>
    <w:rsid w:val="002003FB"/>
    <w:rsid w:val="00205FC2"/>
    <w:rsid w:val="0021795A"/>
    <w:rsid w:val="00220A3F"/>
    <w:rsid w:val="002227EB"/>
    <w:rsid w:val="0022527A"/>
    <w:rsid w:val="00236144"/>
    <w:rsid w:val="00245AF5"/>
    <w:rsid w:val="0025422C"/>
    <w:rsid w:val="0025696C"/>
    <w:rsid w:val="002625B0"/>
    <w:rsid w:val="00270B82"/>
    <w:rsid w:val="00281C02"/>
    <w:rsid w:val="00282559"/>
    <w:rsid w:val="002A1D7C"/>
    <w:rsid w:val="002A24BE"/>
    <w:rsid w:val="002A46DA"/>
    <w:rsid w:val="002B4F03"/>
    <w:rsid w:val="002B7838"/>
    <w:rsid w:val="002C2454"/>
    <w:rsid w:val="002C428B"/>
    <w:rsid w:val="002C5553"/>
    <w:rsid w:val="002D4D25"/>
    <w:rsid w:val="002D5C3E"/>
    <w:rsid w:val="002D6730"/>
    <w:rsid w:val="002E18F4"/>
    <w:rsid w:val="002F1365"/>
    <w:rsid w:val="003015F6"/>
    <w:rsid w:val="003021DE"/>
    <w:rsid w:val="00302F2A"/>
    <w:rsid w:val="00306120"/>
    <w:rsid w:val="0031186C"/>
    <w:rsid w:val="00317C2F"/>
    <w:rsid w:val="00332DC3"/>
    <w:rsid w:val="00346633"/>
    <w:rsid w:val="00355729"/>
    <w:rsid w:val="00355F02"/>
    <w:rsid w:val="00365B54"/>
    <w:rsid w:val="0036722E"/>
    <w:rsid w:val="00374CAD"/>
    <w:rsid w:val="00382713"/>
    <w:rsid w:val="0038441E"/>
    <w:rsid w:val="003A706F"/>
    <w:rsid w:val="003B5F59"/>
    <w:rsid w:val="003C383B"/>
    <w:rsid w:val="003D134E"/>
    <w:rsid w:val="003D5EBE"/>
    <w:rsid w:val="003E0061"/>
    <w:rsid w:val="003F2753"/>
    <w:rsid w:val="00404DC7"/>
    <w:rsid w:val="00407FF7"/>
    <w:rsid w:val="0041172C"/>
    <w:rsid w:val="004210D4"/>
    <w:rsid w:val="0042356B"/>
    <w:rsid w:val="00444EB2"/>
    <w:rsid w:val="00447486"/>
    <w:rsid w:val="00457BB5"/>
    <w:rsid w:val="004605F8"/>
    <w:rsid w:val="00463014"/>
    <w:rsid w:val="004678B1"/>
    <w:rsid w:val="00486C3D"/>
    <w:rsid w:val="0048718C"/>
    <w:rsid w:val="00493D6A"/>
    <w:rsid w:val="004C0111"/>
    <w:rsid w:val="004D457B"/>
    <w:rsid w:val="004E50E2"/>
    <w:rsid w:val="005048E4"/>
    <w:rsid w:val="00510CCB"/>
    <w:rsid w:val="00511FF0"/>
    <w:rsid w:val="00522F35"/>
    <w:rsid w:val="00525C48"/>
    <w:rsid w:val="00526B06"/>
    <w:rsid w:val="00536B25"/>
    <w:rsid w:val="00537894"/>
    <w:rsid w:val="00541F48"/>
    <w:rsid w:val="0054623E"/>
    <w:rsid w:val="00550B8B"/>
    <w:rsid w:val="005529E6"/>
    <w:rsid w:val="005A130B"/>
    <w:rsid w:val="005B3AAD"/>
    <w:rsid w:val="005C01F5"/>
    <w:rsid w:val="005C7CCA"/>
    <w:rsid w:val="005D1C39"/>
    <w:rsid w:val="005D5EE6"/>
    <w:rsid w:val="005E4F97"/>
    <w:rsid w:val="005F56D6"/>
    <w:rsid w:val="00607357"/>
    <w:rsid w:val="00610BC7"/>
    <w:rsid w:val="006114F0"/>
    <w:rsid w:val="00626759"/>
    <w:rsid w:val="00632DC1"/>
    <w:rsid w:val="00635C39"/>
    <w:rsid w:val="00650EBD"/>
    <w:rsid w:val="00652AA1"/>
    <w:rsid w:val="0065431C"/>
    <w:rsid w:val="00664192"/>
    <w:rsid w:val="00666C47"/>
    <w:rsid w:val="00671E24"/>
    <w:rsid w:val="006863F9"/>
    <w:rsid w:val="006911DB"/>
    <w:rsid w:val="00693217"/>
    <w:rsid w:val="006A0574"/>
    <w:rsid w:val="006A513D"/>
    <w:rsid w:val="006A68C6"/>
    <w:rsid w:val="006B1053"/>
    <w:rsid w:val="006C3768"/>
    <w:rsid w:val="006E1424"/>
    <w:rsid w:val="006E41C1"/>
    <w:rsid w:val="006F5823"/>
    <w:rsid w:val="0071027A"/>
    <w:rsid w:val="00710EB4"/>
    <w:rsid w:val="00721821"/>
    <w:rsid w:val="00724E11"/>
    <w:rsid w:val="007262FE"/>
    <w:rsid w:val="007305A7"/>
    <w:rsid w:val="0073167B"/>
    <w:rsid w:val="00734C0D"/>
    <w:rsid w:val="00745933"/>
    <w:rsid w:val="00751BAC"/>
    <w:rsid w:val="00751FFF"/>
    <w:rsid w:val="00752FD9"/>
    <w:rsid w:val="007771EF"/>
    <w:rsid w:val="00777EB1"/>
    <w:rsid w:val="00780926"/>
    <w:rsid w:val="007824C5"/>
    <w:rsid w:val="00783152"/>
    <w:rsid w:val="0078730F"/>
    <w:rsid w:val="00787987"/>
    <w:rsid w:val="00791189"/>
    <w:rsid w:val="007A4C2E"/>
    <w:rsid w:val="007B5877"/>
    <w:rsid w:val="007B73BE"/>
    <w:rsid w:val="007C4B36"/>
    <w:rsid w:val="007D7641"/>
    <w:rsid w:val="007E0DF2"/>
    <w:rsid w:val="007E1F8F"/>
    <w:rsid w:val="007E5956"/>
    <w:rsid w:val="007F18C9"/>
    <w:rsid w:val="007F570D"/>
    <w:rsid w:val="00803841"/>
    <w:rsid w:val="00810E4D"/>
    <w:rsid w:val="0082743C"/>
    <w:rsid w:val="00837096"/>
    <w:rsid w:val="00844CEF"/>
    <w:rsid w:val="00851CA4"/>
    <w:rsid w:val="00852371"/>
    <w:rsid w:val="0085357F"/>
    <w:rsid w:val="00865727"/>
    <w:rsid w:val="00873520"/>
    <w:rsid w:val="00884AB9"/>
    <w:rsid w:val="008873CC"/>
    <w:rsid w:val="008A1CAE"/>
    <w:rsid w:val="008C1B51"/>
    <w:rsid w:val="008C6EA4"/>
    <w:rsid w:val="008D71D1"/>
    <w:rsid w:val="008E4CFA"/>
    <w:rsid w:val="008F5DAC"/>
    <w:rsid w:val="009034AD"/>
    <w:rsid w:val="009058FE"/>
    <w:rsid w:val="0091185E"/>
    <w:rsid w:val="0092787E"/>
    <w:rsid w:val="0093424C"/>
    <w:rsid w:val="009378D3"/>
    <w:rsid w:val="00941642"/>
    <w:rsid w:val="00944138"/>
    <w:rsid w:val="009507C6"/>
    <w:rsid w:val="0095258D"/>
    <w:rsid w:val="009534F7"/>
    <w:rsid w:val="00956121"/>
    <w:rsid w:val="00990742"/>
    <w:rsid w:val="009A1658"/>
    <w:rsid w:val="009A64D4"/>
    <w:rsid w:val="009B38C5"/>
    <w:rsid w:val="009B423F"/>
    <w:rsid w:val="009C221B"/>
    <w:rsid w:val="009C5E1E"/>
    <w:rsid w:val="009D773C"/>
    <w:rsid w:val="009F7D7C"/>
    <w:rsid w:val="00A0053E"/>
    <w:rsid w:val="00A10438"/>
    <w:rsid w:val="00A236CF"/>
    <w:rsid w:val="00A2444C"/>
    <w:rsid w:val="00A26512"/>
    <w:rsid w:val="00A31A9C"/>
    <w:rsid w:val="00A37C43"/>
    <w:rsid w:val="00A416B8"/>
    <w:rsid w:val="00A43F3E"/>
    <w:rsid w:val="00A4521B"/>
    <w:rsid w:val="00A471D6"/>
    <w:rsid w:val="00A71ECF"/>
    <w:rsid w:val="00A737B8"/>
    <w:rsid w:val="00A75ECC"/>
    <w:rsid w:val="00A80F9E"/>
    <w:rsid w:val="00A824EB"/>
    <w:rsid w:val="00A833E5"/>
    <w:rsid w:val="00A85CCE"/>
    <w:rsid w:val="00A904B5"/>
    <w:rsid w:val="00AC6808"/>
    <w:rsid w:val="00AE2DE6"/>
    <w:rsid w:val="00AE4D65"/>
    <w:rsid w:val="00AF0B31"/>
    <w:rsid w:val="00AF4451"/>
    <w:rsid w:val="00AF7819"/>
    <w:rsid w:val="00B03776"/>
    <w:rsid w:val="00B03ACC"/>
    <w:rsid w:val="00B04CE0"/>
    <w:rsid w:val="00B06E24"/>
    <w:rsid w:val="00B07509"/>
    <w:rsid w:val="00B07EB7"/>
    <w:rsid w:val="00B10A4C"/>
    <w:rsid w:val="00B1281C"/>
    <w:rsid w:val="00B13F68"/>
    <w:rsid w:val="00B310CF"/>
    <w:rsid w:val="00B323B9"/>
    <w:rsid w:val="00B36EA3"/>
    <w:rsid w:val="00B464C1"/>
    <w:rsid w:val="00B47B39"/>
    <w:rsid w:val="00B5265B"/>
    <w:rsid w:val="00B60944"/>
    <w:rsid w:val="00B65AE5"/>
    <w:rsid w:val="00B84B23"/>
    <w:rsid w:val="00B862A3"/>
    <w:rsid w:val="00B9520A"/>
    <w:rsid w:val="00B95A19"/>
    <w:rsid w:val="00B96137"/>
    <w:rsid w:val="00B96E4F"/>
    <w:rsid w:val="00B97E44"/>
    <w:rsid w:val="00BB6D67"/>
    <w:rsid w:val="00BC1BCC"/>
    <w:rsid w:val="00BC798A"/>
    <w:rsid w:val="00BD1AC2"/>
    <w:rsid w:val="00BD26A4"/>
    <w:rsid w:val="00BD7004"/>
    <w:rsid w:val="00BD7845"/>
    <w:rsid w:val="00BE1751"/>
    <w:rsid w:val="00BE24F8"/>
    <w:rsid w:val="00BE3E86"/>
    <w:rsid w:val="00BE6C3C"/>
    <w:rsid w:val="00BF0071"/>
    <w:rsid w:val="00BF6308"/>
    <w:rsid w:val="00C03879"/>
    <w:rsid w:val="00C0577A"/>
    <w:rsid w:val="00C26F80"/>
    <w:rsid w:val="00C3762E"/>
    <w:rsid w:val="00C40D11"/>
    <w:rsid w:val="00C41441"/>
    <w:rsid w:val="00C50A1C"/>
    <w:rsid w:val="00C543EC"/>
    <w:rsid w:val="00C544D3"/>
    <w:rsid w:val="00C55DBB"/>
    <w:rsid w:val="00C5613E"/>
    <w:rsid w:val="00C82AA0"/>
    <w:rsid w:val="00C84DC5"/>
    <w:rsid w:val="00C85B40"/>
    <w:rsid w:val="00CA34F6"/>
    <w:rsid w:val="00CB25B2"/>
    <w:rsid w:val="00CC11A4"/>
    <w:rsid w:val="00CC644C"/>
    <w:rsid w:val="00CD175A"/>
    <w:rsid w:val="00CE110B"/>
    <w:rsid w:val="00CE2576"/>
    <w:rsid w:val="00CF0244"/>
    <w:rsid w:val="00CF0342"/>
    <w:rsid w:val="00CF76C2"/>
    <w:rsid w:val="00D02A31"/>
    <w:rsid w:val="00D06B2B"/>
    <w:rsid w:val="00D10860"/>
    <w:rsid w:val="00D15C7A"/>
    <w:rsid w:val="00D326E1"/>
    <w:rsid w:val="00D33F2E"/>
    <w:rsid w:val="00D46C99"/>
    <w:rsid w:val="00D513D2"/>
    <w:rsid w:val="00D52196"/>
    <w:rsid w:val="00D60C7F"/>
    <w:rsid w:val="00D67CF2"/>
    <w:rsid w:val="00D67F89"/>
    <w:rsid w:val="00D71CEA"/>
    <w:rsid w:val="00D74931"/>
    <w:rsid w:val="00D74F9F"/>
    <w:rsid w:val="00D85AD9"/>
    <w:rsid w:val="00D92F55"/>
    <w:rsid w:val="00D9390F"/>
    <w:rsid w:val="00D96D7D"/>
    <w:rsid w:val="00D96F2E"/>
    <w:rsid w:val="00DA4090"/>
    <w:rsid w:val="00DA63C9"/>
    <w:rsid w:val="00DD0D25"/>
    <w:rsid w:val="00DD452B"/>
    <w:rsid w:val="00DF7B39"/>
    <w:rsid w:val="00E03454"/>
    <w:rsid w:val="00E1162D"/>
    <w:rsid w:val="00E13A3E"/>
    <w:rsid w:val="00E1698A"/>
    <w:rsid w:val="00E23A3A"/>
    <w:rsid w:val="00E41B3F"/>
    <w:rsid w:val="00E45B21"/>
    <w:rsid w:val="00E53CD7"/>
    <w:rsid w:val="00E574FD"/>
    <w:rsid w:val="00E877C8"/>
    <w:rsid w:val="00EA405A"/>
    <w:rsid w:val="00EB5628"/>
    <w:rsid w:val="00EC2CE9"/>
    <w:rsid w:val="00ED3E50"/>
    <w:rsid w:val="00ED7A80"/>
    <w:rsid w:val="00EE1F4B"/>
    <w:rsid w:val="00EE62D2"/>
    <w:rsid w:val="00EF7985"/>
    <w:rsid w:val="00F0050E"/>
    <w:rsid w:val="00F00D87"/>
    <w:rsid w:val="00F02F60"/>
    <w:rsid w:val="00F05B3A"/>
    <w:rsid w:val="00F06F4D"/>
    <w:rsid w:val="00F07529"/>
    <w:rsid w:val="00F11AE3"/>
    <w:rsid w:val="00F145AE"/>
    <w:rsid w:val="00F17440"/>
    <w:rsid w:val="00F30177"/>
    <w:rsid w:val="00F35660"/>
    <w:rsid w:val="00F4164A"/>
    <w:rsid w:val="00F44613"/>
    <w:rsid w:val="00F500E3"/>
    <w:rsid w:val="00F5017E"/>
    <w:rsid w:val="00F52A70"/>
    <w:rsid w:val="00F54EF0"/>
    <w:rsid w:val="00F55076"/>
    <w:rsid w:val="00F6288E"/>
    <w:rsid w:val="00F63DAD"/>
    <w:rsid w:val="00F81142"/>
    <w:rsid w:val="00F8384D"/>
    <w:rsid w:val="00F85EAC"/>
    <w:rsid w:val="00F9666C"/>
    <w:rsid w:val="00FA099B"/>
    <w:rsid w:val="00FA3FBD"/>
    <w:rsid w:val="00FA423D"/>
    <w:rsid w:val="00FB533E"/>
    <w:rsid w:val="00FB6B8B"/>
    <w:rsid w:val="00FC6918"/>
    <w:rsid w:val="00FD281B"/>
    <w:rsid w:val="00FD3248"/>
    <w:rsid w:val="00FE210D"/>
    <w:rsid w:val="00FE4A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Revzia">
    <w:name w:val="Revision"/>
    <w:hidden/>
    <w:uiPriority w:val="99"/>
    <w:semiHidden/>
    <w:rsid w:val="00AE2DE6"/>
    <w:rPr>
      <w:sz w:val="22"/>
      <w:szCs w:val="24"/>
    </w:rPr>
  </w:style>
  <w:style w:type="paragraph" w:styleId="Zkladntext2">
    <w:name w:val="Body Text 2"/>
    <w:basedOn w:val="Normlny"/>
    <w:link w:val="Zkladntext2Char"/>
    <w:rsid w:val="00B310CF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310CF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181D35"/>
  </w:style>
  <w:style w:type="table" w:styleId="Mriekatabuky">
    <w:name w:val="Table Grid"/>
    <w:basedOn w:val="Normlnatabuka"/>
    <w:rsid w:val="00B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7B587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B5877"/>
    <w:rPr>
      <w:sz w:val="22"/>
      <w:szCs w:val="24"/>
    </w:rPr>
  </w:style>
  <w:style w:type="paragraph" w:styleId="Revzia">
    <w:name w:val="Revision"/>
    <w:hidden/>
    <w:uiPriority w:val="99"/>
    <w:semiHidden/>
    <w:rsid w:val="00AE2DE6"/>
    <w:rPr>
      <w:sz w:val="22"/>
      <w:szCs w:val="24"/>
    </w:rPr>
  </w:style>
  <w:style w:type="paragraph" w:styleId="Zkladntext2">
    <w:name w:val="Body Text 2"/>
    <w:basedOn w:val="Normlny"/>
    <w:link w:val="Zkladntext2Char"/>
    <w:rsid w:val="00B310CF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310C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FF30-20FD-4694-B43F-25039CAE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10122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Dagmar Sarkar</dc:creator>
  <cp:keywords/>
  <dc:description/>
  <cp:lastModifiedBy>Grančaiová, Zuzana</cp:lastModifiedBy>
  <cp:revision>5</cp:revision>
  <cp:lastPrinted>2017-02-09T10:54:00Z</cp:lastPrinted>
  <dcterms:created xsi:type="dcterms:W3CDTF">2017-02-08T13:30:00Z</dcterms:created>
  <dcterms:modified xsi:type="dcterms:W3CDTF">2017-02-09T10:54:00Z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