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B0" w:rsidRPr="00953DA3" w:rsidRDefault="000751B0" w:rsidP="00953DA3">
      <w:pPr>
        <w:pStyle w:val="Nadpis1"/>
        <w:rPr>
          <w:szCs w:val="22"/>
        </w:rPr>
      </w:pPr>
      <w:r w:rsidRPr="00953DA3">
        <w:rPr>
          <w:szCs w:val="22"/>
        </w:rPr>
        <w:t>SÚHRN CHARAKTERISTICKÝCH VLASTNOSTÍ LIEKU</w:t>
      </w:r>
    </w:p>
    <w:p w:rsidR="000751B0" w:rsidRPr="00953DA3" w:rsidRDefault="000751B0" w:rsidP="00D80E4B">
      <w:pPr>
        <w:rPr>
          <w:sz w:val="22"/>
          <w:szCs w:val="22"/>
          <w:lang w:val="sk-SK"/>
        </w:rPr>
      </w:pPr>
    </w:p>
    <w:p w:rsidR="000751B0" w:rsidRPr="00953DA3" w:rsidRDefault="000751B0" w:rsidP="00D80E4B">
      <w:pPr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1. </w:t>
      </w:r>
      <w:r w:rsidRPr="00953DA3">
        <w:rPr>
          <w:b/>
          <w:sz w:val="22"/>
          <w:szCs w:val="22"/>
          <w:lang w:val="sk-SK"/>
        </w:rPr>
        <w:tab/>
        <w:t>NÁZOV LIEKU</w:t>
      </w:r>
    </w:p>
    <w:p w:rsidR="000751B0" w:rsidRPr="00953DA3" w:rsidRDefault="000751B0" w:rsidP="00D80E4B">
      <w:pPr>
        <w:ind w:right="-286" w:firstLine="708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2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prášok na injekčný/infúzny roztok alebo na roztok na </w:t>
      </w:r>
      <w:proofErr w:type="spellStart"/>
      <w:r w:rsidRPr="00953DA3">
        <w:rPr>
          <w:sz w:val="22"/>
          <w:szCs w:val="22"/>
          <w:lang w:val="sk-SK"/>
        </w:rPr>
        <w:t>intravezikálne</w:t>
      </w:r>
      <w:proofErr w:type="spellEnd"/>
      <w:r w:rsidRPr="00953DA3">
        <w:rPr>
          <w:sz w:val="22"/>
          <w:szCs w:val="22"/>
          <w:lang w:val="sk-SK"/>
        </w:rPr>
        <w:t xml:space="preserve"> použitie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bookmarkStart w:id="0" w:name="_GoBack"/>
      <w:bookmarkEnd w:id="0"/>
    </w:p>
    <w:p w:rsidR="000751B0" w:rsidRPr="00DC2614" w:rsidRDefault="000751B0" w:rsidP="00D80E4B">
      <w:pPr>
        <w:ind w:right="-286"/>
        <w:rPr>
          <w:sz w:val="22"/>
          <w:szCs w:val="22"/>
          <w:highlight w:val="lightGray"/>
          <w:lang w:val="sk-SK"/>
        </w:rPr>
      </w:pPr>
      <w:proofErr w:type="spellStart"/>
      <w:r w:rsidRPr="00DC2614">
        <w:rPr>
          <w:sz w:val="22"/>
          <w:szCs w:val="22"/>
          <w:highlight w:val="lightGray"/>
          <w:lang w:val="sk-SK"/>
        </w:rPr>
        <w:t>Mitomycín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DC2614">
        <w:rPr>
          <w:sz w:val="22"/>
          <w:szCs w:val="22"/>
          <w:highlight w:val="lightGray"/>
          <w:lang w:val="sk-SK"/>
        </w:rPr>
        <w:t>Accord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10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 xml:space="preserve">prášok na injekčný/infúzny roztok alebo na roztok na </w:t>
      </w:r>
      <w:proofErr w:type="spellStart"/>
      <w:r w:rsidRPr="00DC2614">
        <w:rPr>
          <w:sz w:val="22"/>
          <w:szCs w:val="22"/>
          <w:highlight w:val="lightGray"/>
          <w:lang w:val="sk-SK"/>
        </w:rPr>
        <w:t>intravezikálne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použitie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DC2614" w:rsidRDefault="000751B0" w:rsidP="00D80E4B">
      <w:pPr>
        <w:ind w:right="-286"/>
        <w:rPr>
          <w:sz w:val="22"/>
          <w:szCs w:val="22"/>
          <w:highlight w:val="lightGray"/>
          <w:lang w:val="sk-SK"/>
        </w:rPr>
      </w:pPr>
      <w:proofErr w:type="spellStart"/>
      <w:r w:rsidRPr="00DC2614">
        <w:rPr>
          <w:sz w:val="22"/>
          <w:szCs w:val="22"/>
          <w:highlight w:val="lightGray"/>
          <w:lang w:val="sk-SK"/>
        </w:rPr>
        <w:t>Mitomycín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DC2614">
        <w:rPr>
          <w:sz w:val="22"/>
          <w:szCs w:val="22"/>
          <w:highlight w:val="lightGray"/>
          <w:lang w:val="sk-SK"/>
        </w:rPr>
        <w:t>Accord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20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 xml:space="preserve">prášok na injekčný/infúzny roztok alebo na roztok na </w:t>
      </w:r>
      <w:proofErr w:type="spellStart"/>
      <w:r w:rsidRPr="00DC2614">
        <w:rPr>
          <w:sz w:val="22"/>
          <w:szCs w:val="22"/>
          <w:highlight w:val="lightGray"/>
          <w:lang w:val="sk-SK"/>
        </w:rPr>
        <w:t>intravezikálne</w:t>
      </w:r>
      <w:proofErr w:type="spellEnd"/>
      <w:r w:rsidRPr="00DC2614">
        <w:rPr>
          <w:sz w:val="22"/>
          <w:szCs w:val="22"/>
          <w:highlight w:val="lightGray"/>
          <w:lang w:val="sk-SK"/>
        </w:rPr>
        <w:t xml:space="preserve"> použitie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t xml:space="preserve">2. </w:t>
      </w:r>
      <w:r w:rsidRPr="0037350D">
        <w:rPr>
          <w:b/>
          <w:sz w:val="22"/>
          <w:szCs w:val="22"/>
          <w:lang w:val="sk-SK"/>
        </w:rPr>
        <w:tab/>
        <w:t>KVALITATÍVNE A KVANTITATÍVNE ZLOŽENIE</w:t>
      </w: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Jedna injekčná liekovka obsahuje 2</w:t>
      </w:r>
      <w:r w:rsidRPr="007D3E64">
        <w:rPr>
          <w:sz w:val="22"/>
          <w:szCs w:val="22"/>
          <w:lang w:val="sk-SK"/>
        </w:rPr>
        <w:t>,</w:t>
      </w:r>
      <w:r w:rsidRPr="00DC2614">
        <w:rPr>
          <w:sz w:val="22"/>
          <w:szCs w:val="22"/>
          <w:highlight w:val="lightGray"/>
          <w:lang w:val="sk-SK"/>
        </w:rPr>
        <w:t>10, 20</w:t>
      </w:r>
      <w:r w:rsidRPr="007C56BF">
        <w:rPr>
          <w:sz w:val="22"/>
          <w:szCs w:val="22"/>
          <w:lang w:val="sk-SK"/>
        </w:rPr>
        <w:t xml:space="preserve"> mg </w:t>
      </w:r>
      <w:proofErr w:type="spellStart"/>
      <w:r w:rsidRPr="007C56BF">
        <w:rPr>
          <w:sz w:val="22"/>
          <w:szCs w:val="22"/>
          <w:lang w:val="sk-SK"/>
        </w:rPr>
        <w:t>mitomycínu</w:t>
      </w:r>
      <w:proofErr w:type="spellEnd"/>
      <w:r w:rsidRPr="007C56BF">
        <w:rPr>
          <w:sz w:val="22"/>
          <w:szCs w:val="22"/>
          <w:lang w:val="sk-SK"/>
        </w:rPr>
        <w:t>.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Úplný zoznam pomocných látok, pozri časť 6.1.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3. </w:t>
      </w:r>
      <w:r w:rsidRPr="00953DA3">
        <w:rPr>
          <w:b/>
          <w:sz w:val="22"/>
          <w:szCs w:val="22"/>
          <w:lang w:val="sk-SK"/>
        </w:rPr>
        <w:tab/>
        <w:t xml:space="preserve">LIEKOVÁ FORMA </w:t>
      </w:r>
    </w:p>
    <w:p w:rsidR="000751B0" w:rsidRPr="00953DA3" w:rsidRDefault="000751B0" w:rsidP="00D80E4B">
      <w:pPr>
        <w:ind w:left="180" w:right="-286"/>
        <w:rPr>
          <w:sz w:val="22"/>
          <w:szCs w:val="22"/>
          <w:lang w:val="sk-SK"/>
        </w:rPr>
      </w:pPr>
    </w:p>
    <w:p w:rsidR="000751B0" w:rsidRPr="00EB243A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Prášok na injekčný/infúzny roztok alebo na </w:t>
      </w:r>
      <w:r>
        <w:rPr>
          <w:sz w:val="22"/>
          <w:szCs w:val="22"/>
          <w:lang w:val="sk-SK"/>
        </w:rPr>
        <w:t xml:space="preserve">roztok na </w:t>
      </w:r>
      <w:proofErr w:type="spellStart"/>
      <w:r w:rsidRPr="00EB243A">
        <w:rPr>
          <w:sz w:val="22"/>
          <w:szCs w:val="22"/>
          <w:lang w:val="sk-SK"/>
        </w:rPr>
        <w:t>intravezikálne</w:t>
      </w:r>
      <w:proofErr w:type="spellEnd"/>
      <w:r w:rsidRPr="00EB243A">
        <w:rPr>
          <w:sz w:val="22"/>
          <w:szCs w:val="22"/>
          <w:lang w:val="sk-SK"/>
        </w:rPr>
        <w:t xml:space="preserve"> použitie.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Modrofialová hmota alebo prášok.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 </w:t>
      </w:r>
      <w:r w:rsidRPr="00953DA3">
        <w:rPr>
          <w:b/>
          <w:sz w:val="22"/>
          <w:szCs w:val="22"/>
          <w:lang w:val="sk-SK"/>
        </w:rPr>
        <w:tab/>
        <w:t>KLINICKÉ ÚDAJE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4.1 </w:t>
      </w:r>
      <w:r w:rsidRPr="00953DA3">
        <w:rPr>
          <w:b/>
          <w:sz w:val="22"/>
          <w:szCs w:val="22"/>
          <w:lang w:val="sk-SK"/>
        </w:rPr>
        <w:tab/>
        <w:t>Terapeutické indikácie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sa používa pri paliatívnej </w:t>
      </w:r>
      <w:proofErr w:type="spellStart"/>
      <w:r w:rsidRPr="00953DA3">
        <w:rPr>
          <w:sz w:val="22"/>
          <w:szCs w:val="22"/>
          <w:lang w:val="sk-SK"/>
        </w:rPr>
        <w:t>protinádorovej</w:t>
      </w:r>
      <w:proofErr w:type="spellEnd"/>
      <w:r w:rsidRPr="00953DA3">
        <w:rPr>
          <w:sz w:val="22"/>
          <w:szCs w:val="22"/>
          <w:lang w:val="sk-SK"/>
        </w:rPr>
        <w:t xml:space="preserve"> liečbe.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sa podáva </w:t>
      </w:r>
      <w:r w:rsidRPr="00953DA3">
        <w:rPr>
          <w:b/>
          <w:sz w:val="22"/>
          <w:szCs w:val="22"/>
          <w:lang w:val="sk-SK"/>
        </w:rPr>
        <w:t xml:space="preserve">intravenózne </w:t>
      </w:r>
      <w:r w:rsidRPr="00953DA3">
        <w:rPr>
          <w:sz w:val="22"/>
          <w:szCs w:val="22"/>
          <w:lang w:val="sk-SK"/>
        </w:rPr>
        <w:t>v </w:t>
      </w:r>
      <w:proofErr w:type="spellStart"/>
      <w:r w:rsidRPr="00953DA3">
        <w:rPr>
          <w:sz w:val="22"/>
          <w:szCs w:val="22"/>
          <w:lang w:val="sk-SK"/>
        </w:rPr>
        <w:t>monochemoterapii</w:t>
      </w:r>
      <w:proofErr w:type="spellEnd"/>
      <w:r w:rsidRPr="00953DA3">
        <w:rPr>
          <w:sz w:val="22"/>
          <w:szCs w:val="22"/>
          <w:lang w:val="sk-SK"/>
        </w:rPr>
        <w:t xml:space="preserve"> alebo v kombinovanej </w:t>
      </w:r>
      <w:proofErr w:type="spellStart"/>
      <w:r w:rsidRPr="00953DA3">
        <w:rPr>
          <w:sz w:val="22"/>
          <w:szCs w:val="22"/>
          <w:lang w:val="sk-SK"/>
        </w:rPr>
        <w:t>cytostatickej</w:t>
      </w:r>
      <w:proofErr w:type="spellEnd"/>
      <w:r w:rsidRPr="00953DA3">
        <w:rPr>
          <w:sz w:val="22"/>
          <w:szCs w:val="22"/>
          <w:lang w:val="sk-SK"/>
        </w:rPr>
        <w:t xml:space="preserve"> chemoterapii pri: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ab/>
      </w:r>
    </w:p>
    <w:p w:rsidR="000751B0" w:rsidRPr="00015B5E" w:rsidRDefault="000751B0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pokročilom metastatickom karcinóme žalúdka</w:t>
      </w:r>
    </w:p>
    <w:p w:rsidR="000751B0" w:rsidRPr="00015B5E" w:rsidRDefault="000751B0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pokročilom a/alebo metastatickom karcinóme prsníka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sa ďalej podáva </w:t>
      </w:r>
      <w:r w:rsidRPr="00953DA3">
        <w:rPr>
          <w:b/>
          <w:sz w:val="22"/>
          <w:szCs w:val="22"/>
          <w:lang w:val="sk-SK"/>
        </w:rPr>
        <w:t xml:space="preserve">intravenózne </w:t>
      </w:r>
      <w:r w:rsidRPr="00953DA3">
        <w:rPr>
          <w:sz w:val="22"/>
          <w:szCs w:val="22"/>
          <w:lang w:val="sk-SK"/>
        </w:rPr>
        <w:t>v kombinovanej chemoterapii pri: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</w:p>
    <w:p w:rsidR="000751B0" w:rsidRPr="00BA36C6" w:rsidRDefault="000751B0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karcinóme</w:t>
      </w:r>
      <w:r w:rsidRPr="00BA36C6">
        <w:rPr>
          <w:sz w:val="22"/>
          <w:szCs w:val="22"/>
          <w:lang w:val="sk-SK"/>
        </w:rPr>
        <w:t xml:space="preserve"> pľúc nemalobunkového typu</w:t>
      </w:r>
    </w:p>
    <w:p w:rsidR="000751B0" w:rsidRPr="00276176" w:rsidRDefault="000751B0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 w:rsidRPr="00385FAE">
        <w:rPr>
          <w:sz w:val="22"/>
          <w:szCs w:val="22"/>
          <w:lang w:val="sk-SK"/>
        </w:rPr>
        <w:t>pokročilom karcinóme pankreasu</w:t>
      </w:r>
    </w:p>
    <w:p w:rsidR="000751B0" w:rsidRPr="00964535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b/>
          <w:sz w:val="22"/>
          <w:szCs w:val="22"/>
          <w:lang w:val="sk-SK"/>
        </w:rPr>
        <w:t>Intravezikálne</w:t>
      </w:r>
      <w:proofErr w:type="spellEnd"/>
      <w:r w:rsidRPr="00953DA3">
        <w:rPr>
          <w:sz w:val="22"/>
          <w:szCs w:val="22"/>
          <w:lang w:val="sk-SK"/>
        </w:rPr>
        <w:t xml:space="preserve"> podanie na prevenciu </w:t>
      </w:r>
      <w:proofErr w:type="spellStart"/>
      <w:r w:rsidRPr="00953DA3">
        <w:rPr>
          <w:sz w:val="22"/>
          <w:szCs w:val="22"/>
          <w:lang w:val="sk-SK"/>
        </w:rPr>
        <w:t>relapsu</w:t>
      </w:r>
      <w:proofErr w:type="spellEnd"/>
      <w:r w:rsidRPr="00953DA3">
        <w:rPr>
          <w:sz w:val="22"/>
          <w:szCs w:val="22"/>
          <w:lang w:val="sk-SK"/>
        </w:rPr>
        <w:t xml:space="preserve"> pri </w:t>
      </w:r>
      <w:proofErr w:type="spellStart"/>
      <w:r w:rsidRPr="00953DA3">
        <w:rPr>
          <w:sz w:val="22"/>
          <w:szCs w:val="22"/>
          <w:lang w:val="sk-SK"/>
        </w:rPr>
        <w:t>superficiálnom</w:t>
      </w:r>
      <w:proofErr w:type="spellEnd"/>
      <w:r w:rsidRPr="00953DA3">
        <w:rPr>
          <w:sz w:val="22"/>
          <w:szCs w:val="22"/>
          <w:lang w:val="sk-SK"/>
        </w:rPr>
        <w:t xml:space="preserve"> karcinóme močového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mechúra po </w:t>
      </w:r>
      <w:proofErr w:type="spellStart"/>
      <w:r w:rsidRPr="00953DA3">
        <w:rPr>
          <w:sz w:val="22"/>
          <w:szCs w:val="22"/>
          <w:lang w:val="sk-SK"/>
        </w:rPr>
        <w:t>transur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>trálnej</w:t>
      </w:r>
      <w:proofErr w:type="spellEnd"/>
      <w:r w:rsidRPr="00953DA3">
        <w:rPr>
          <w:sz w:val="22"/>
          <w:szCs w:val="22"/>
          <w:lang w:val="sk-SK"/>
        </w:rPr>
        <w:t xml:space="preserve"> resekcii.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64535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4.2 </w:t>
      </w:r>
      <w:r w:rsidRPr="00953DA3">
        <w:rPr>
          <w:b/>
          <w:sz w:val="22"/>
          <w:szCs w:val="22"/>
          <w:lang w:val="sk-SK"/>
        </w:rPr>
        <w:tab/>
        <w:t>Dávkovanie a spôsob pod</w:t>
      </w:r>
      <w:r>
        <w:rPr>
          <w:b/>
          <w:sz w:val="22"/>
          <w:szCs w:val="22"/>
          <w:lang w:val="sk-SK"/>
        </w:rPr>
        <w:t>áva</w:t>
      </w:r>
      <w:r w:rsidRPr="00964535">
        <w:rPr>
          <w:b/>
          <w:sz w:val="22"/>
          <w:szCs w:val="22"/>
          <w:lang w:val="sk-SK"/>
        </w:rPr>
        <w:t>nia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Dávkovanie</w:t>
      </w:r>
    </w:p>
    <w:p w:rsidR="000751B0" w:rsidRPr="00953DA3" w:rsidRDefault="000751B0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majú podávať len lekári, ktorí majú skúsenosti s touto liečbou, ak je tu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striktná indikácia a s kontinuálnym monitorovaním hematologických parametrov. Je </w:t>
      </w:r>
    </w:p>
    <w:p w:rsidR="000751B0" w:rsidRPr="001A4ABC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nevyhnutné, aby sa injekcia podala intravenózne. Ak sa liek podá</w:t>
      </w:r>
      <w:r>
        <w:rPr>
          <w:sz w:val="22"/>
          <w:szCs w:val="22"/>
          <w:lang w:val="sk-SK"/>
        </w:rPr>
        <w:t>va</w:t>
      </w:r>
      <w:r w:rsidRPr="008A6794">
        <w:rPr>
          <w:sz w:val="22"/>
          <w:szCs w:val="22"/>
          <w:lang w:val="sk-SK"/>
        </w:rPr>
        <w:t xml:space="preserve"> </w:t>
      </w:r>
      <w:proofErr w:type="spellStart"/>
      <w:r w:rsidRPr="008A6794">
        <w:rPr>
          <w:sz w:val="22"/>
          <w:szCs w:val="22"/>
          <w:lang w:val="sk-SK"/>
        </w:rPr>
        <w:t>perivazálne</w:t>
      </w:r>
      <w:proofErr w:type="spellEnd"/>
      <w:r w:rsidRPr="008A6794">
        <w:rPr>
          <w:sz w:val="22"/>
          <w:szCs w:val="22"/>
          <w:lang w:val="sk-SK"/>
        </w:rPr>
        <w:t xml:space="preserve">, v </w:t>
      </w:r>
      <w:r w:rsidRPr="001A4ABC">
        <w:rPr>
          <w:sz w:val="22"/>
          <w:szCs w:val="22"/>
          <w:lang w:val="sk-SK"/>
        </w:rPr>
        <w:t>postihnutej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oblasti vznikne rozsiahla </w:t>
      </w:r>
      <w:proofErr w:type="spellStart"/>
      <w:r w:rsidRPr="00953DA3">
        <w:rPr>
          <w:sz w:val="22"/>
          <w:szCs w:val="22"/>
          <w:lang w:val="sk-SK"/>
        </w:rPr>
        <w:t>nekróza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1A4ABC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>Ak nie je predpísané</w:t>
      </w:r>
      <w:r>
        <w:rPr>
          <w:sz w:val="22"/>
          <w:szCs w:val="22"/>
          <w:lang w:val="sk-SK"/>
        </w:rPr>
        <w:t xml:space="preserve"> inak</w:t>
      </w:r>
      <w:r w:rsidRPr="001A4ABC">
        <w:rPr>
          <w:sz w:val="22"/>
          <w:szCs w:val="22"/>
          <w:lang w:val="sk-SK"/>
        </w:rPr>
        <w:t xml:space="preserve">, </w:t>
      </w:r>
      <w:proofErr w:type="spellStart"/>
      <w:r w:rsidRPr="001A4ABC">
        <w:rPr>
          <w:sz w:val="22"/>
          <w:szCs w:val="22"/>
          <w:lang w:val="sk-SK"/>
        </w:rPr>
        <w:t>mitomycín</w:t>
      </w:r>
      <w:proofErr w:type="spellEnd"/>
      <w:r w:rsidRPr="001A4ABC">
        <w:rPr>
          <w:sz w:val="22"/>
          <w:szCs w:val="22"/>
          <w:lang w:val="sk-SK"/>
        </w:rPr>
        <w:t xml:space="preserve"> sa dávkuje nasledovne: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</w:p>
    <w:p w:rsidR="000751B0" w:rsidRPr="00D73F7F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Intravenózne pod</w:t>
      </w:r>
      <w:r>
        <w:rPr>
          <w:i/>
          <w:sz w:val="22"/>
          <w:szCs w:val="22"/>
          <w:lang w:val="sk-SK"/>
        </w:rPr>
        <w:t>áva</w:t>
      </w:r>
      <w:r w:rsidRPr="00D73F7F">
        <w:rPr>
          <w:i/>
          <w:sz w:val="22"/>
          <w:szCs w:val="22"/>
          <w:lang w:val="sk-SK"/>
        </w:rPr>
        <w:t>nie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</w:t>
      </w:r>
      <w:proofErr w:type="spellStart"/>
      <w:r w:rsidRPr="00953DA3">
        <w:rPr>
          <w:sz w:val="22"/>
          <w:szCs w:val="22"/>
          <w:lang w:val="sk-SK"/>
        </w:rPr>
        <w:t>cytostatickej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monochemoterapii</w:t>
      </w:r>
      <w:proofErr w:type="spellEnd"/>
      <w:r w:rsidRPr="00953DA3">
        <w:rPr>
          <w:sz w:val="22"/>
          <w:szCs w:val="22"/>
          <w:lang w:val="sk-SK"/>
        </w:rPr>
        <w:t xml:space="preserve"> sa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zvyčajne podáva intravenózne vo forme </w:t>
      </w:r>
      <w:proofErr w:type="spellStart"/>
      <w:r w:rsidRPr="00953DA3">
        <w:rPr>
          <w:sz w:val="22"/>
          <w:szCs w:val="22"/>
          <w:lang w:val="sk-SK"/>
        </w:rPr>
        <w:t>bolusovej</w:t>
      </w:r>
      <w:proofErr w:type="spellEnd"/>
      <w:r w:rsidRPr="00953DA3">
        <w:rPr>
          <w:sz w:val="22"/>
          <w:szCs w:val="22"/>
          <w:lang w:val="sk-SK"/>
        </w:rPr>
        <w:t xml:space="preserve"> injekcie. Odporúčané dávkovanie je 10 - 20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>telesného povrchu každých 6 – 8 týždňov, 8 - 12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>telesného povrchu každé 3 – 4 týždne alebo 5-10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 xml:space="preserve"> telesného povrchu každých 1 – 6 týždňov v závislosti od použitej terapeutickej schémy.</w:t>
      </w:r>
    </w:p>
    <w:p w:rsidR="000751B0" w:rsidRPr="00953DA3" w:rsidRDefault="000751B0" w:rsidP="00D80E4B">
      <w:pPr>
        <w:ind w:right="-286" w:firstLine="705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Dávka vyššia ako 20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 xml:space="preserve">prináša viac toxických manifestácii bez terapeutického </w:t>
      </w:r>
      <w:r>
        <w:rPr>
          <w:sz w:val="22"/>
          <w:szCs w:val="22"/>
          <w:lang w:val="sk-SK"/>
        </w:rPr>
        <w:t>prínos</w:t>
      </w:r>
      <w:r w:rsidRPr="00953DA3">
        <w:rPr>
          <w:sz w:val="22"/>
          <w:szCs w:val="22"/>
          <w:lang w:val="sk-SK"/>
        </w:rPr>
        <w:t>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Maximálna kumulatívna dávka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je 60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kombinovanej liečbe je dávkovanie značne nižšie. Z dôvodu rizika aditívnej </w:t>
      </w:r>
      <w:proofErr w:type="spellStart"/>
      <w:r w:rsidRPr="00953DA3">
        <w:rPr>
          <w:sz w:val="22"/>
          <w:szCs w:val="22"/>
          <w:lang w:val="sk-SK"/>
        </w:rPr>
        <w:t>myelotoxicity</w:t>
      </w:r>
      <w:proofErr w:type="spellEnd"/>
      <w:r w:rsidRPr="00953DA3">
        <w:rPr>
          <w:sz w:val="22"/>
          <w:szCs w:val="22"/>
          <w:lang w:val="sk-SK"/>
        </w:rPr>
        <w:t xml:space="preserve">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sa zavedené liečebné protokoly nemusia odchyľovať bez špecifickej príčiny.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D73F7F" w:rsidRDefault="000751B0" w:rsidP="00D80E4B">
      <w:pPr>
        <w:ind w:right="-286"/>
        <w:rPr>
          <w:i/>
          <w:sz w:val="22"/>
          <w:szCs w:val="22"/>
          <w:lang w:val="sk-SK"/>
        </w:rPr>
      </w:pPr>
      <w:proofErr w:type="spellStart"/>
      <w:r w:rsidRPr="00953DA3">
        <w:rPr>
          <w:i/>
          <w:sz w:val="22"/>
          <w:szCs w:val="22"/>
          <w:lang w:val="sk-SK"/>
        </w:rPr>
        <w:t>Intravezikálne</w:t>
      </w:r>
      <w:proofErr w:type="spellEnd"/>
      <w:r w:rsidRPr="00953DA3">
        <w:rPr>
          <w:i/>
          <w:sz w:val="22"/>
          <w:szCs w:val="22"/>
          <w:lang w:val="sk-SK"/>
        </w:rPr>
        <w:t xml:space="preserve"> pod</w:t>
      </w:r>
      <w:r>
        <w:rPr>
          <w:i/>
          <w:sz w:val="22"/>
          <w:szCs w:val="22"/>
          <w:lang w:val="sk-SK"/>
        </w:rPr>
        <w:t>áva</w:t>
      </w:r>
      <w:r w:rsidRPr="00D73F7F">
        <w:rPr>
          <w:i/>
          <w:sz w:val="22"/>
          <w:szCs w:val="22"/>
          <w:lang w:val="sk-SK"/>
        </w:rPr>
        <w:t>nie</w:t>
      </w:r>
    </w:p>
    <w:p w:rsidR="000751B0" w:rsidRPr="000C751D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</w:t>
      </w:r>
      <w:proofErr w:type="spellStart"/>
      <w:r w:rsidRPr="00953DA3">
        <w:rPr>
          <w:sz w:val="22"/>
          <w:szCs w:val="22"/>
          <w:lang w:val="sk-SK"/>
        </w:rPr>
        <w:t>intravezikálnej</w:t>
      </w:r>
      <w:proofErr w:type="spellEnd"/>
      <w:r w:rsidRPr="00953DA3">
        <w:rPr>
          <w:sz w:val="22"/>
          <w:szCs w:val="22"/>
          <w:lang w:val="sk-SK"/>
        </w:rPr>
        <w:t xml:space="preserve"> liečbe sa 20 – 40 mg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v 20 – 40 ml fosfátového </w:t>
      </w:r>
      <w:proofErr w:type="spellStart"/>
      <w:r w:rsidRPr="00953DA3">
        <w:rPr>
          <w:sz w:val="22"/>
          <w:szCs w:val="22"/>
          <w:lang w:val="sk-SK"/>
        </w:rPr>
        <w:t>pufru</w:t>
      </w:r>
      <w:proofErr w:type="spellEnd"/>
      <w:r w:rsidRPr="00953DA3">
        <w:rPr>
          <w:sz w:val="22"/>
          <w:szCs w:val="22"/>
          <w:lang w:val="sk-SK"/>
        </w:rPr>
        <w:t xml:space="preserve"> s pH 7,4 alebo v roztoku chloridu sodného (0</w:t>
      </w:r>
      <w:r>
        <w:rPr>
          <w:sz w:val="22"/>
          <w:szCs w:val="22"/>
          <w:lang w:val="sk-SK"/>
        </w:rPr>
        <w:t>,</w:t>
      </w:r>
      <w:r w:rsidRPr="00BC4DE0">
        <w:rPr>
          <w:sz w:val="22"/>
          <w:szCs w:val="22"/>
          <w:lang w:val="sk-SK"/>
        </w:rPr>
        <w:t>9</w:t>
      </w:r>
      <w:r>
        <w:rPr>
          <w:sz w:val="22"/>
          <w:szCs w:val="22"/>
          <w:lang w:val="sk-SK"/>
        </w:rPr>
        <w:t xml:space="preserve"> </w:t>
      </w:r>
      <w:r w:rsidRPr="006141E3">
        <w:rPr>
          <w:sz w:val="22"/>
          <w:szCs w:val="22"/>
          <w:lang w:val="sk-SK"/>
        </w:rPr>
        <w:t xml:space="preserve">%) </w:t>
      </w:r>
      <w:proofErr w:type="spellStart"/>
      <w:r w:rsidRPr="006141E3">
        <w:rPr>
          <w:sz w:val="22"/>
          <w:szCs w:val="22"/>
          <w:lang w:val="sk-SK"/>
        </w:rPr>
        <w:t>instiluje</w:t>
      </w:r>
      <w:proofErr w:type="spellEnd"/>
      <w:r w:rsidRPr="006141E3">
        <w:rPr>
          <w:sz w:val="22"/>
          <w:szCs w:val="22"/>
          <w:lang w:val="sk-SK"/>
        </w:rPr>
        <w:t xml:space="preserve"> týždenne do močového mechúra. Dĺžka liečby je 8 až 12 týždňov. Pri </w:t>
      </w:r>
      <w:proofErr w:type="spellStart"/>
      <w:r w:rsidRPr="006141E3">
        <w:rPr>
          <w:sz w:val="22"/>
          <w:szCs w:val="22"/>
          <w:lang w:val="sk-SK"/>
        </w:rPr>
        <w:t>in</w:t>
      </w:r>
      <w:r w:rsidRPr="00BC4DE0">
        <w:rPr>
          <w:sz w:val="22"/>
          <w:szCs w:val="22"/>
          <w:lang w:val="sk-SK"/>
        </w:rPr>
        <w:t>travezikálnom</w:t>
      </w:r>
      <w:proofErr w:type="spellEnd"/>
      <w:r w:rsidRPr="00BC4DE0">
        <w:rPr>
          <w:sz w:val="22"/>
          <w:szCs w:val="22"/>
          <w:lang w:val="sk-SK"/>
        </w:rPr>
        <w:t xml:space="preserve"> pod</w:t>
      </w:r>
      <w:r>
        <w:rPr>
          <w:sz w:val="22"/>
          <w:szCs w:val="22"/>
          <w:lang w:val="sk-SK"/>
        </w:rPr>
        <w:t>áva</w:t>
      </w:r>
      <w:r w:rsidRPr="00BC4DE0">
        <w:rPr>
          <w:sz w:val="22"/>
          <w:szCs w:val="22"/>
          <w:lang w:val="sk-SK"/>
        </w:rPr>
        <w:t>ní má</w:t>
      </w:r>
      <w:r w:rsidRPr="000C751D">
        <w:rPr>
          <w:sz w:val="22"/>
          <w:szCs w:val="22"/>
          <w:lang w:val="sk-SK"/>
        </w:rPr>
        <w:t xml:space="preserve"> byť pH moču vyššie ako 6. </w:t>
      </w:r>
    </w:p>
    <w:p w:rsidR="000751B0" w:rsidRPr="00F42F05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Alternatívne odporúčania na dávku pri prevencii </w:t>
      </w:r>
      <w:proofErr w:type="spellStart"/>
      <w:r w:rsidRPr="00953DA3">
        <w:rPr>
          <w:sz w:val="22"/>
          <w:szCs w:val="22"/>
          <w:lang w:val="sk-SK"/>
        </w:rPr>
        <w:t>rekurentného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superficiálneho</w:t>
      </w:r>
      <w:proofErr w:type="spellEnd"/>
      <w:r w:rsidRPr="00953DA3">
        <w:rPr>
          <w:sz w:val="22"/>
          <w:szCs w:val="22"/>
          <w:lang w:val="sk-SK"/>
        </w:rPr>
        <w:t xml:space="preserve"> tumoru močového mechúra je 4 – 10 mg (0,0</w:t>
      </w:r>
      <w:r w:rsidRPr="000C751D">
        <w:rPr>
          <w:sz w:val="22"/>
          <w:szCs w:val="22"/>
          <w:lang w:val="sk-SK"/>
        </w:rPr>
        <w:t>6</w:t>
      </w:r>
      <w:r>
        <w:rPr>
          <w:sz w:val="22"/>
          <w:szCs w:val="22"/>
          <w:lang w:val="sk-SK"/>
        </w:rPr>
        <w:t xml:space="preserve"> </w:t>
      </w:r>
      <w:r w:rsidRPr="000C751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0C751D">
        <w:rPr>
          <w:sz w:val="22"/>
          <w:szCs w:val="22"/>
          <w:lang w:val="sk-SK"/>
        </w:rPr>
        <w:t xml:space="preserve">0,15 mg/kg telesnej hmotnosti), ktoré sa </w:t>
      </w:r>
      <w:proofErr w:type="spellStart"/>
      <w:r w:rsidRPr="000C751D">
        <w:rPr>
          <w:sz w:val="22"/>
          <w:szCs w:val="22"/>
          <w:lang w:val="sk-SK"/>
        </w:rPr>
        <w:t>instiluje</w:t>
      </w:r>
      <w:proofErr w:type="spellEnd"/>
      <w:r w:rsidRPr="000C751D">
        <w:rPr>
          <w:sz w:val="22"/>
          <w:szCs w:val="22"/>
          <w:lang w:val="sk-SK"/>
        </w:rPr>
        <w:t xml:space="preserve"> do močového mechúra </w:t>
      </w:r>
      <w:proofErr w:type="spellStart"/>
      <w:r w:rsidRPr="000C751D">
        <w:rPr>
          <w:sz w:val="22"/>
          <w:szCs w:val="22"/>
          <w:lang w:val="sk-SK"/>
        </w:rPr>
        <w:t>uretrálnym</w:t>
      </w:r>
      <w:proofErr w:type="spellEnd"/>
      <w:r w:rsidRPr="000C751D">
        <w:rPr>
          <w:sz w:val="22"/>
          <w:szCs w:val="22"/>
          <w:lang w:val="sk-SK"/>
        </w:rPr>
        <w:t xml:space="preserve"> katétrom 1 alebo 3</w:t>
      </w:r>
      <w:r>
        <w:rPr>
          <w:sz w:val="22"/>
          <w:szCs w:val="22"/>
          <w:lang w:val="sk-SK"/>
        </w:rPr>
        <w:t>-</w:t>
      </w:r>
      <w:r w:rsidRPr="000C751D">
        <w:rPr>
          <w:sz w:val="22"/>
          <w:szCs w:val="22"/>
          <w:lang w:val="sk-SK"/>
        </w:rPr>
        <w:t xml:space="preserve">krát za týždeň. Roztok </w:t>
      </w:r>
      <w:r w:rsidRPr="00EA3CB0">
        <w:rPr>
          <w:sz w:val="22"/>
          <w:szCs w:val="22"/>
          <w:lang w:val="sk-SK"/>
        </w:rPr>
        <w:t>má</w:t>
      </w:r>
      <w:r w:rsidRPr="00417B5A">
        <w:rPr>
          <w:sz w:val="22"/>
          <w:szCs w:val="22"/>
          <w:lang w:val="sk-SK"/>
        </w:rPr>
        <w:t xml:space="preserve"> zostať v</w:t>
      </w:r>
      <w:r w:rsidRPr="00F03EC1">
        <w:rPr>
          <w:sz w:val="22"/>
          <w:szCs w:val="22"/>
          <w:lang w:val="sk-SK"/>
        </w:rPr>
        <w:t> </w:t>
      </w:r>
      <w:r w:rsidRPr="00F42F05">
        <w:rPr>
          <w:sz w:val="22"/>
          <w:szCs w:val="22"/>
          <w:lang w:val="sk-SK"/>
        </w:rPr>
        <w:t>močovom mechúr</w:t>
      </w:r>
      <w:r>
        <w:rPr>
          <w:sz w:val="22"/>
          <w:szCs w:val="22"/>
          <w:lang w:val="sk-SK"/>
        </w:rPr>
        <w:t>e</w:t>
      </w:r>
      <w:r w:rsidRPr="00F42F0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 dobu </w:t>
      </w:r>
      <w:r w:rsidRPr="00F42F05">
        <w:rPr>
          <w:sz w:val="22"/>
          <w:szCs w:val="22"/>
          <w:lang w:val="sk-SK"/>
        </w:rPr>
        <w:t>1 – 2 hod</w:t>
      </w:r>
      <w:r>
        <w:rPr>
          <w:sz w:val="22"/>
          <w:szCs w:val="22"/>
          <w:lang w:val="sk-SK"/>
        </w:rPr>
        <w:t>ín</w:t>
      </w:r>
      <w:r w:rsidRPr="00F42F05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F04277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 xml:space="preserve">Špeciálne </w:t>
      </w:r>
      <w:r>
        <w:rPr>
          <w:i/>
          <w:sz w:val="22"/>
          <w:szCs w:val="22"/>
          <w:lang w:val="sk-SK"/>
        </w:rPr>
        <w:t>skupiny pacientov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Dávku je potrebné znížiť u pacientov, ktorí podstúpili extenzívnu predchádzajúcu </w:t>
      </w:r>
      <w:proofErr w:type="spellStart"/>
      <w:r w:rsidRPr="00953DA3">
        <w:rPr>
          <w:sz w:val="22"/>
          <w:szCs w:val="22"/>
          <w:lang w:val="sk-SK"/>
        </w:rPr>
        <w:t>cytostatickú</w:t>
      </w:r>
      <w:proofErr w:type="spellEnd"/>
      <w:r w:rsidRPr="00953DA3">
        <w:rPr>
          <w:sz w:val="22"/>
          <w:szCs w:val="22"/>
          <w:lang w:val="sk-SK"/>
        </w:rPr>
        <w:t xml:space="preserve"> liečbu, pri </w:t>
      </w:r>
      <w:proofErr w:type="spellStart"/>
      <w:r w:rsidRPr="00953DA3">
        <w:rPr>
          <w:sz w:val="22"/>
          <w:szCs w:val="22"/>
          <w:lang w:val="sk-SK"/>
        </w:rPr>
        <w:t>myelosupresii</w:t>
      </w:r>
      <w:proofErr w:type="spellEnd"/>
      <w:r w:rsidRPr="00953DA3">
        <w:rPr>
          <w:sz w:val="22"/>
          <w:szCs w:val="22"/>
          <w:lang w:val="sk-SK"/>
        </w:rPr>
        <w:t xml:space="preserve"> alebo u starších pacientov.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Starší pacienti</w:t>
      </w:r>
    </w:p>
    <w:p w:rsidR="000751B0" w:rsidRPr="00FB18EB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K dispozícii sú nedostatočné údaje z klinických štúdii týkajúce sa použitia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u</w:t>
      </w:r>
      <w:r>
        <w:rPr>
          <w:sz w:val="22"/>
          <w:szCs w:val="22"/>
          <w:lang w:val="sk-SK"/>
        </w:rPr>
        <w:t> </w:t>
      </w:r>
      <w:r w:rsidRPr="00FB18EB">
        <w:rPr>
          <w:sz w:val="22"/>
          <w:szCs w:val="22"/>
          <w:lang w:val="sk-SK"/>
        </w:rPr>
        <w:t>pacientov</w:t>
      </w:r>
      <w:r>
        <w:rPr>
          <w:sz w:val="22"/>
          <w:szCs w:val="22"/>
          <w:lang w:val="sk-SK"/>
        </w:rPr>
        <w:t xml:space="preserve"> vo veku </w:t>
      </w:r>
      <w:r w:rsidRPr="00FB18EB">
        <w:rPr>
          <w:snapToGrid w:val="0"/>
          <w:sz w:val="22"/>
          <w:szCs w:val="22"/>
          <w:lang w:val="sk-SK"/>
        </w:rPr>
        <w:t>≥</w:t>
      </w:r>
      <w:r>
        <w:rPr>
          <w:snapToGrid w:val="0"/>
          <w:sz w:val="22"/>
          <w:szCs w:val="22"/>
          <w:lang w:val="sk-SK"/>
        </w:rPr>
        <w:t xml:space="preserve"> </w:t>
      </w:r>
      <w:r w:rsidRPr="00C46773">
        <w:rPr>
          <w:snapToGrid w:val="0"/>
          <w:sz w:val="22"/>
          <w:szCs w:val="22"/>
          <w:lang w:val="sk-SK"/>
        </w:rPr>
        <w:t>65 rokov.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napToGrid w:val="0"/>
          <w:sz w:val="22"/>
          <w:szCs w:val="22"/>
          <w:lang w:val="sk-SK"/>
        </w:rPr>
        <w:t>Liek sa nemá používať u pacientov s poruchou funkcie obličiek (pozri časť 4.3).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napToGrid w:val="0"/>
          <w:sz w:val="22"/>
          <w:szCs w:val="22"/>
          <w:lang w:val="sk-SK"/>
        </w:rPr>
        <w:t>Liek sa neodporúča u pacientov s poruchou funkcie pečene vzhľadom na nedostatok údajov týkajúcich sa účinnosti a bezpečnosti v tejto skupine pacientov.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953DA3">
      <w:pPr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Pediatrická populácia</w:t>
      </w:r>
    </w:p>
    <w:p w:rsidR="000751B0" w:rsidRPr="00711B4E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Bezpečnosť a účinnosť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u detí vo veku od 0 do 17 rokov </w:t>
      </w:r>
      <w:r>
        <w:rPr>
          <w:sz w:val="22"/>
          <w:szCs w:val="22"/>
          <w:lang w:val="sk-SK"/>
        </w:rPr>
        <w:t xml:space="preserve">neboli </w:t>
      </w:r>
      <w:r w:rsidRPr="00711B4E">
        <w:rPr>
          <w:sz w:val="22"/>
          <w:szCs w:val="22"/>
          <w:lang w:val="sk-SK"/>
        </w:rPr>
        <w:t>stanov</w:t>
      </w:r>
      <w:r>
        <w:rPr>
          <w:sz w:val="22"/>
          <w:szCs w:val="22"/>
          <w:lang w:val="sk-SK"/>
        </w:rPr>
        <w:t>ené</w:t>
      </w:r>
      <w:r w:rsidRPr="00711B4E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E43D1" w:rsidRDefault="000751B0" w:rsidP="00D80E4B">
      <w:pPr>
        <w:ind w:right="-286"/>
        <w:rPr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Spôsob pod</w:t>
      </w:r>
      <w:r>
        <w:rPr>
          <w:sz w:val="22"/>
          <w:szCs w:val="22"/>
          <w:u w:val="single"/>
          <w:lang w:val="sk-SK"/>
        </w:rPr>
        <w:t>áva</w:t>
      </w:r>
      <w:r w:rsidRPr="009E43D1">
        <w:rPr>
          <w:sz w:val="22"/>
          <w:szCs w:val="22"/>
          <w:u w:val="single"/>
          <w:lang w:val="sk-SK"/>
        </w:rPr>
        <w:t>nia</w:t>
      </w:r>
    </w:p>
    <w:p w:rsidR="000751B0" w:rsidRPr="00953DA3" w:rsidRDefault="000751B0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je určený na intravenóznu injekciu alebo infúziu alebo na </w:t>
      </w:r>
      <w:proofErr w:type="spellStart"/>
      <w:r w:rsidRPr="00953DA3">
        <w:rPr>
          <w:sz w:val="22"/>
          <w:szCs w:val="22"/>
          <w:lang w:val="sk-SK"/>
        </w:rPr>
        <w:t>intravezikálnu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instiláciu</w:t>
      </w:r>
      <w:proofErr w:type="spellEnd"/>
      <w:r w:rsidRPr="00953DA3">
        <w:rPr>
          <w:sz w:val="22"/>
          <w:szCs w:val="22"/>
          <w:lang w:val="sk-SK"/>
        </w:rPr>
        <w:t xml:space="preserve"> po riedení. Parciálne použitie je aplikovateľné.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Na prípravu rekonštituovaného roztoku, pozri časť 6.6.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2, </w:t>
      </w:r>
      <w:r w:rsidRPr="00DC2614">
        <w:rPr>
          <w:sz w:val="22"/>
          <w:szCs w:val="22"/>
          <w:highlight w:val="lightGray"/>
          <w:lang w:val="sk-SK"/>
        </w:rPr>
        <w:t>10, 20</w:t>
      </w:r>
      <w:r w:rsidRPr="00953DA3">
        <w:rPr>
          <w:sz w:val="22"/>
          <w:szCs w:val="22"/>
          <w:lang w:val="sk-SK"/>
        </w:rPr>
        <w:t xml:space="preserve"> mg, prášok na injekčný/infúzny roztok alebo na</w:t>
      </w:r>
      <w:r>
        <w:rPr>
          <w:sz w:val="22"/>
          <w:szCs w:val="22"/>
          <w:lang w:val="sk-SK"/>
        </w:rPr>
        <w:t xml:space="preserve"> roztok na</w:t>
      </w:r>
      <w:r w:rsidRPr="00021DD9">
        <w:rPr>
          <w:sz w:val="22"/>
          <w:szCs w:val="22"/>
          <w:lang w:val="sk-SK"/>
        </w:rPr>
        <w:t xml:space="preserve"> </w:t>
      </w:r>
      <w:proofErr w:type="spellStart"/>
      <w:r w:rsidRPr="00021DD9">
        <w:rPr>
          <w:sz w:val="22"/>
          <w:szCs w:val="22"/>
          <w:lang w:val="sk-SK"/>
        </w:rPr>
        <w:t>intravezikálne</w:t>
      </w:r>
      <w:proofErr w:type="spellEnd"/>
      <w:r w:rsidRPr="00021DD9">
        <w:rPr>
          <w:sz w:val="22"/>
          <w:szCs w:val="22"/>
          <w:lang w:val="sk-SK"/>
        </w:rPr>
        <w:t xml:space="preserve"> použitie sa </w:t>
      </w:r>
      <w:r w:rsidRPr="00C50A2B">
        <w:rPr>
          <w:sz w:val="22"/>
          <w:szCs w:val="22"/>
          <w:lang w:val="sk-SK"/>
        </w:rPr>
        <w:t>nesmie rekonštituovať vo vode bez ohľadu na spôsob pod</w:t>
      </w:r>
      <w:r>
        <w:rPr>
          <w:sz w:val="22"/>
          <w:szCs w:val="22"/>
          <w:lang w:val="sk-SK"/>
        </w:rPr>
        <w:t>áva</w:t>
      </w:r>
      <w:r w:rsidRPr="00C50A2B">
        <w:rPr>
          <w:sz w:val="22"/>
          <w:szCs w:val="22"/>
          <w:lang w:val="sk-SK"/>
        </w:rPr>
        <w:t>nia (</w:t>
      </w:r>
      <w:proofErr w:type="spellStart"/>
      <w:r w:rsidRPr="00C50A2B">
        <w:rPr>
          <w:sz w:val="22"/>
          <w:szCs w:val="22"/>
          <w:lang w:val="sk-SK"/>
        </w:rPr>
        <w:t>t.j</w:t>
      </w:r>
      <w:proofErr w:type="spellEnd"/>
      <w:r w:rsidRPr="00C50A2B">
        <w:rPr>
          <w:sz w:val="22"/>
          <w:szCs w:val="22"/>
          <w:lang w:val="sk-SK"/>
        </w:rPr>
        <w:t xml:space="preserve">. intravenózne alebo </w:t>
      </w:r>
      <w:proofErr w:type="spellStart"/>
      <w:r w:rsidRPr="00C50A2B">
        <w:rPr>
          <w:sz w:val="22"/>
          <w:szCs w:val="22"/>
          <w:lang w:val="sk-SK"/>
        </w:rPr>
        <w:t>intravezikálne</w:t>
      </w:r>
      <w:proofErr w:type="spellEnd"/>
      <w:r w:rsidRPr="00C50A2B">
        <w:rPr>
          <w:sz w:val="22"/>
          <w:szCs w:val="22"/>
          <w:lang w:val="sk-SK"/>
        </w:rPr>
        <w:t xml:space="preserve">). </w:t>
      </w:r>
    </w:p>
    <w:p w:rsidR="000751B0" w:rsidRPr="009853BD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adpis7"/>
        <w:spacing w:before="0" w:after="0"/>
        <w:rPr>
          <w:bCs/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Poznámky</w:t>
      </w:r>
    </w:p>
    <w:p w:rsidR="000751B0" w:rsidRPr="0037350D" w:rsidRDefault="000751B0" w:rsidP="00953DA3">
      <w:pPr>
        <w:tabs>
          <w:tab w:val="left" w:pos="284"/>
        </w:tabs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sa nesmie používať v zmiešaných injekciách.</w:t>
      </w:r>
    </w:p>
    <w:p w:rsidR="000751B0" w:rsidRPr="0037350D" w:rsidRDefault="000751B0" w:rsidP="0037350D">
      <w:pPr>
        <w:pStyle w:val="Zkladntext"/>
        <w:tabs>
          <w:tab w:val="left" w:pos="284"/>
        </w:tabs>
        <w:rPr>
          <w:szCs w:val="22"/>
        </w:rPr>
      </w:pPr>
      <w:r w:rsidRPr="00953DA3">
        <w:rPr>
          <w:szCs w:val="22"/>
        </w:rPr>
        <w:sym w:font="Symbol" w:char="F0B7"/>
      </w:r>
      <w:r w:rsidRPr="00953DA3">
        <w:rPr>
          <w:szCs w:val="22"/>
        </w:rPr>
        <w:tab/>
        <w:t>Ďalšie injekčné roztoky alebo infúzne roztoky sa musia podávať separátne.</w:t>
      </w:r>
      <w:r w:rsidRPr="0037350D">
        <w:rPr>
          <w:szCs w:val="22"/>
        </w:rPr>
        <w:t xml:space="preserve"> </w:t>
      </w:r>
    </w:p>
    <w:p w:rsidR="000751B0" w:rsidRPr="0037350D" w:rsidRDefault="000751B0" w:rsidP="0037350D">
      <w:pPr>
        <w:pStyle w:val="Zkladntext"/>
        <w:tabs>
          <w:tab w:val="left" w:pos="284"/>
        </w:tabs>
        <w:rPr>
          <w:szCs w:val="22"/>
          <w:lang w:val="fr-FR"/>
        </w:rPr>
      </w:pPr>
      <w:r w:rsidRPr="00953DA3">
        <w:rPr>
          <w:szCs w:val="22"/>
        </w:rPr>
        <w:sym w:font="Symbol" w:char="F0B7"/>
      </w:r>
      <w:r w:rsidRPr="00953DA3">
        <w:rPr>
          <w:szCs w:val="22"/>
        </w:rPr>
        <w:tab/>
      </w:r>
      <w:r w:rsidRPr="00953DA3">
        <w:rPr>
          <w:szCs w:val="22"/>
          <w:lang w:val="fr-FR"/>
        </w:rPr>
        <w:t>J</w:t>
      </w:r>
      <w:r w:rsidRPr="0037350D">
        <w:rPr>
          <w:szCs w:val="22"/>
          <w:lang w:val="fr-FR"/>
        </w:rPr>
        <w:t>e nevyhnutné, aby sa injekcia podávala intravenózne.</w:t>
      </w:r>
    </w:p>
    <w:p w:rsidR="000751B0" w:rsidRPr="0037350D" w:rsidRDefault="000751B0" w:rsidP="00D80E4B">
      <w:pPr>
        <w:ind w:right="-286" w:firstLine="679"/>
        <w:rPr>
          <w:b/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lastRenderedPageBreak/>
        <w:t>4.3</w:t>
      </w:r>
      <w:r w:rsidRPr="0037350D">
        <w:rPr>
          <w:b/>
          <w:sz w:val="22"/>
          <w:szCs w:val="22"/>
          <w:lang w:val="sk-SK"/>
        </w:rPr>
        <w:tab/>
        <w:t>Kontraindikácie</w:t>
      </w:r>
    </w:p>
    <w:p w:rsidR="000751B0" w:rsidRPr="00BD5276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 xml:space="preserve">Precitlivenosť na </w:t>
      </w:r>
      <w:r w:rsidRPr="0037350D">
        <w:rPr>
          <w:sz w:val="22"/>
          <w:szCs w:val="22"/>
          <w:lang w:val="sk-SK"/>
        </w:rPr>
        <w:t>liečivo alebo ktorúkoľvek z pomocných látok uvedených v časti 6.1.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204F32">
        <w:rPr>
          <w:sz w:val="22"/>
          <w:szCs w:val="22"/>
          <w:lang w:val="sk-SK"/>
        </w:rPr>
        <w:tab/>
      </w:r>
      <w:r w:rsidRPr="00953DA3">
        <w:rPr>
          <w:sz w:val="22"/>
          <w:szCs w:val="22"/>
          <w:lang w:val="sk-SK"/>
        </w:rPr>
        <w:t>Dojčenie (pozri časť 4.6)</w:t>
      </w: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D80E4B" w:rsidRDefault="000751B0" w:rsidP="00D80E4B">
      <w:pPr>
        <w:ind w:right="-286"/>
        <w:rPr>
          <w:i/>
          <w:sz w:val="22"/>
          <w:szCs w:val="22"/>
          <w:lang w:val="sk-SK"/>
        </w:rPr>
      </w:pPr>
      <w:r w:rsidRPr="00D80E4B">
        <w:rPr>
          <w:i/>
          <w:sz w:val="22"/>
          <w:szCs w:val="22"/>
          <w:lang w:val="sk-SK"/>
        </w:rPr>
        <w:t xml:space="preserve">Systémová </w:t>
      </w:r>
      <w:r>
        <w:rPr>
          <w:i/>
          <w:sz w:val="22"/>
          <w:szCs w:val="22"/>
          <w:lang w:val="sk-SK"/>
        </w:rPr>
        <w:t>liečba</w:t>
      </w:r>
    </w:p>
    <w:p w:rsidR="000751B0" w:rsidRPr="00983CB5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37350D">
        <w:rPr>
          <w:sz w:val="22"/>
          <w:szCs w:val="22"/>
          <w:lang w:val="sk-SK"/>
        </w:rPr>
        <w:t>Pancytopénia</w:t>
      </w:r>
      <w:proofErr w:type="spellEnd"/>
      <w:r w:rsidRPr="0037350D">
        <w:rPr>
          <w:sz w:val="22"/>
          <w:szCs w:val="22"/>
          <w:lang w:val="sk-SK"/>
        </w:rPr>
        <w:t xml:space="preserve"> alebo izolovaná </w:t>
      </w:r>
      <w:proofErr w:type="spellStart"/>
      <w:r w:rsidRPr="0037350D">
        <w:rPr>
          <w:sz w:val="22"/>
          <w:szCs w:val="22"/>
          <w:lang w:val="sk-SK"/>
        </w:rPr>
        <w:t>leukopénia</w:t>
      </w:r>
      <w:proofErr w:type="spellEnd"/>
      <w:r w:rsidRPr="0037350D">
        <w:rPr>
          <w:sz w:val="22"/>
          <w:szCs w:val="22"/>
          <w:lang w:val="sk-SK"/>
        </w:rPr>
        <w:t>/</w:t>
      </w:r>
      <w:proofErr w:type="spellStart"/>
      <w:r w:rsidRPr="0037350D">
        <w:rPr>
          <w:sz w:val="22"/>
          <w:szCs w:val="22"/>
          <w:lang w:val="sk-SK"/>
        </w:rPr>
        <w:t>trombocytopénia</w:t>
      </w:r>
      <w:proofErr w:type="spellEnd"/>
      <w:r w:rsidRPr="0037350D">
        <w:rPr>
          <w:sz w:val="22"/>
          <w:szCs w:val="22"/>
          <w:lang w:val="sk-SK"/>
        </w:rPr>
        <w:t xml:space="preserve">, </w:t>
      </w:r>
      <w:proofErr w:type="spellStart"/>
      <w:r w:rsidRPr="0037350D">
        <w:rPr>
          <w:sz w:val="22"/>
          <w:szCs w:val="22"/>
          <w:lang w:val="sk-SK"/>
        </w:rPr>
        <w:t>hemoragická</w:t>
      </w:r>
      <w:proofErr w:type="spellEnd"/>
      <w:r w:rsidRPr="0037350D">
        <w:rPr>
          <w:sz w:val="22"/>
          <w:szCs w:val="22"/>
          <w:lang w:val="sk-SK"/>
        </w:rPr>
        <w:t xml:space="preserve"> diatéza a akútne infekcie sú absolútnou kontraindikáciou.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 xml:space="preserve">Reštriktívne alebo </w:t>
      </w:r>
      <w:proofErr w:type="spellStart"/>
      <w:r w:rsidRPr="00015B5E">
        <w:rPr>
          <w:sz w:val="22"/>
          <w:szCs w:val="22"/>
          <w:lang w:val="sk-SK"/>
        </w:rPr>
        <w:t>obštruktívne</w:t>
      </w:r>
      <w:proofErr w:type="spellEnd"/>
      <w:r w:rsidRPr="00015B5E">
        <w:rPr>
          <w:sz w:val="22"/>
          <w:szCs w:val="22"/>
          <w:lang w:val="sk-SK"/>
        </w:rPr>
        <w:t xml:space="preserve"> poruchy </w:t>
      </w:r>
      <w:proofErr w:type="spellStart"/>
      <w:r w:rsidRPr="00015B5E">
        <w:rPr>
          <w:sz w:val="22"/>
          <w:szCs w:val="22"/>
          <w:lang w:val="sk-SK"/>
        </w:rPr>
        <w:t>pulmonár</w:t>
      </w:r>
      <w:r w:rsidRPr="007D43E7">
        <w:rPr>
          <w:sz w:val="22"/>
          <w:szCs w:val="22"/>
          <w:lang w:val="sk-SK"/>
        </w:rPr>
        <w:t>nej</w:t>
      </w:r>
      <w:proofErr w:type="spellEnd"/>
      <w:r w:rsidRPr="007D43E7">
        <w:rPr>
          <w:sz w:val="22"/>
          <w:szCs w:val="22"/>
          <w:lang w:val="sk-SK"/>
        </w:rPr>
        <w:t xml:space="preserve"> ventilácie, </w:t>
      </w:r>
      <w:proofErr w:type="spellStart"/>
      <w:r w:rsidRPr="007D43E7">
        <w:rPr>
          <w:sz w:val="22"/>
          <w:szCs w:val="22"/>
          <w:lang w:val="sk-SK"/>
        </w:rPr>
        <w:t>renálnej</w:t>
      </w:r>
      <w:proofErr w:type="spellEnd"/>
      <w:r w:rsidRPr="007D43E7">
        <w:rPr>
          <w:sz w:val="22"/>
          <w:szCs w:val="22"/>
          <w:lang w:val="sk-SK"/>
        </w:rPr>
        <w:t xml:space="preserve"> funkcie, funkcie pečene a/alebo celkový zlý zdravotný stav sú relatív</w:t>
      </w:r>
      <w:r w:rsidRPr="00953DA3">
        <w:rPr>
          <w:sz w:val="22"/>
          <w:szCs w:val="22"/>
          <w:lang w:val="sk-SK"/>
        </w:rPr>
        <w:t xml:space="preserve">ne kontraindikácie. Dočasná súvislosť s rádioterapiou alebo inou </w:t>
      </w:r>
      <w:proofErr w:type="spellStart"/>
      <w:r w:rsidRPr="00953DA3">
        <w:rPr>
          <w:sz w:val="22"/>
          <w:szCs w:val="22"/>
          <w:lang w:val="sk-SK"/>
        </w:rPr>
        <w:t>cytostatickou</w:t>
      </w:r>
      <w:proofErr w:type="spellEnd"/>
      <w:r w:rsidRPr="00953DA3">
        <w:rPr>
          <w:sz w:val="22"/>
          <w:szCs w:val="22"/>
          <w:lang w:val="sk-SK"/>
        </w:rPr>
        <w:t xml:space="preserve"> liečbou môže byť ďalšia kontraindikácia.</w:t>
      </w:r>
    </w:p>
    <w:p w:rsidR="000751B0" w:rsidRPr="00953DA3" w:rsidRDefault="000751B0" w:rsidP="00D80E4B">
      <w:pPr>
        <w:ind w:left="567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proofErr w:type="spellStart"/>
      <w:r w:rsidRPr="00953DA3">
        <w:rPr>
          <w:i/>
          <w:sz w:val="22"/>
          <w:szCs w:val="22"/>
          <w:lang w:val="sk-SK"/>
        </w:rPr>
        <w:t>Intravezikálna</w:t>
      </w:r>
      <w:proofErr w:type="spellEnd"/>
      <w:r w:rsidRPr="00953DA3">
        <w:rPr>
          <w:i/>
          <w:sz w:val="22"/>
          <w:szCs w:val="22"/>
          <w:lang w:val="sk-SK"/>
        </w:rPr>
        <w:t xml:space="preserve"> liečba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Perforácia steny močového mechúra je absolútna kontraindikácia.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Cystitída</w:t>
      </w:r>
      <w:proofErr w:type="spellEnd"/>
      <w:r w:rsidRPr="00953DA3">
        <w:rPr>
          <w:sz w:val="22"/>
          <w:szCs w:val="22"/>
          <w:lang w:val="sk-SK"/>
        </w:rPr>
        <w:t xml:space="preserve"> je relatívna kontraindikácia.</w:t>
      </w:r>
    </w:p>
    <w:p w:rsidR="000751B0" w:rsidRPr="00953DA3" w:rsidRDefault="000751B0" w:rsidP="00D80E4B">
      <w:pPr>
        <w:ind w:left="567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4.4 </w:t>
      </w:r>
      <w:r w:rsidRPr="00953DA3"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Vzhľadom na toxické účinky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na kostnú dreň sa ďalšie formy </w:t>
      </w:r>
      <w:proofErr w:type="spellStart"/>
      <w:r w:rsidRPr="00953DA3">
        <w:rPr>
          <w:sz w:val="22"/>
          <w:szCs w:val="22"/>
          <w:lang w:val="sk-SK"/>
        </w:rPr>
        <w:t>myelotoxickej</w:t>
      </w:r>
      <w:proofErr w:type="spellEnd"/>
      <w:r w:rsidRPr="00953DA3">
        <w:rPr>
          <w:sz w:val="22"/>
          <w:szCs w:val="22"/>
          <w:lang w:val="sk-SK"/>
        </w:rPr>
        <w:t xml:space="preserve"> terapie (najmä ďalšie </w:t>
      </w:r>
      <w:proofErr w:type="spellStart"/>
      <w:r w:rsidRPr="00953DA3">
        <w:rPr>
          <w:sz w:val="22"/>
          <w:szCs w:val="22"/>
          <w:lang w:val="sk-SK"/>
        </w:rPr>
        <w:t>cytostatiká</w:t>
      </w:r>
      <w:proofErr w:type="spellEnd"/>
      <w:r w:rsidRPr="00953DA3">
        <w:rPr>
          <w:sz w:val="22"/>
          <w:szCs w:val="22"/>
          <w:lang w:val="sk-SK"/>
        </w:rPr>
        <w:t xml:space="preserve">, ožarovanie) musia podávať s osobitnou opatrnosťou, aby sa minimalizovalo riziko aditívnej </w:t>
      </w:r>
      <w:proofErr w:type="spellStart"/>
      <w:r w:rsidRPr="00953DA3">
        <w:rPr>
          <w:sz w:val="22"/>
          <w:szCs w:val="22"/>
          <w:lang w:val="sk-SK"/>
        </w:rPr>
        <w:t>myelosupresie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4B747A" w:rsidRDefault="000751B0" w:rsidP="00D80E4B">
      <w:pPr>
        <w:rPr>
          <w:color w:val="000000"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Je nevyhnutné, aby sa injekcia podávala intravenózne. Ak sa liek podá </w:t>
      </w:r>
      <w:proofErr w:type="spellStart"/>
      <w:r w:rsidRPr="00953DA3">
        <w:rPr>
          <w:sz w:val="22"/>
          <w:szCs w:val="22"/>
          <w:lang w:val="sk-SK"/>
        </w:rPr>
        <w:t>perivazálne</w:t>
      </w:r>
      <w:proofErr w:type="spellEnd"/>
      <w:r w:rsidRPr="00953DA3">
        <w:rPr>
          <w:sz w:val="22"/>
          <w:szCs w:val="22"/>
          <w:lang w:val="sk-SK"/>
        </w:rPr>
        <w:t xml:space="preserve">, v postihnutej oblasti vznikne rozsiahla </w:t>
      </w:r>
      <w:proofErr w:type="spellStart"/>
      <w:r w:rsidRPr="00953DA3">
        <w:rPr>
          <w:sz w:val="22"/>
          <w:szCs w:val="22"/>
          <w:lang w:val="sk-SK"/>
        </w:rPr>
        <w:t>nekróza</w:t>
      </w:r>
      <w:proofErr w:type="spellEnd"/>
      <w:r w:rsidRPr="00953DA3">
        <w:rPr>
          <w:sz w:val="22"/>
          <w:szCs w:val="22"/>
          <w:lang w:val="sk-SK"/>
        </w:rPr>
        <w:t xml:space="preserve">. Aby sa predišlo </w:t>
      </w:r>
      <w:proofErr w:type="spellStart"/>
      <w:r w:rsidRPr="00953DA3">
        <w:rPr>
          <w:sz w:val="22"/>
          <w:szCs w:val="22"/>
          <w:lang w:val="sk-SK"/>
        </w:rPr>
        <w:t>nekróze</w:t>
      </w:r>
      <w:proofErr w:type="spellEnd"/>
      <w:r w:rsidRPr="00953DA3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je potrebné</w:t>
      </w:r>
      <w:r w:rsidRPr="004B747A">
        <w:rPr>
          <w:sz w:val="22"/>
          <w:szCs w:val="22"/>
          <w:lang w:val="sk-SK"/>
        </w:rPr>
        <w:t xml:space="preserve"> dodržať nasledovné odporúčania:</w:t>
      </w:r>
      <w:r w:rsidRPr="004B747A">
        <w:rPr>
          <w:color w:val="000000"/>
          <w:sz w:val="22"/>
          <w:szCs w:val="22"/>
          <w:lang w:val="sk-SK"/>
        </w:rPr>
        <w:t xml:space="preserve"> </w:t>
      </w:r>
    </w:p>
    <w:p w:rsidR="000751B0" w:rsidRPr="00953DA3" w:rsidRDefault="000751B0" w:rsidP="00D80E4B">
      <w:pPr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Vždy inj</w:t>
      </w:r>
      <w:r>
        <w:rPr>
          <w:sz w:val="22"/>
          <w:szCs w:val="22"/>
          <w:lang w:val="sk-SK"/>
        </w:rPr>
        <w:t>i</w:t>
      </w:r>
      <w:r w:rsidRPr="00953DA3">
        <w:rPr>
          <w:sz w:val="22"/>
          <w:szCs w:val="22"/>
          <w:lang w:val="sk-SK"/>
        </w:rPr>
        <w:t>kujte do veľkých ciev ramena.</w:t>
      </w:r>
    </w:p>
    <w:p w:rsidR="000751B0" w:rsidRPr="0037350D" w:rsidRDefault="000751B0" w:rsidP="00D80E4B">
      <w:pPr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Neinj</w:t>
      </w:r>
      <w:r>
        <w:rPr>
          <w:sz w:val="22"/>
          <w:szCs w:val="22"/>
          <w:lang w:val="sk-SK"/>
        </w:rPr>
        <w:t>i</w:t>
      </w:r>
      <w:r w:rsidRPr="00953DA3">
        <w:rPr>
          <w:sz w:val="22"/>
          <w:szCs w:val="22"/>
          <w:lang w:val="sk-SK"/>
        </w:rPr>
        <w:t>kujte priamo intravenózne, ale radšej do tuby dobre a bezpečne tečúcej infúzie.</w:t>
      </w:r>
    </w:p>
    <w:p w:rsidR="000751B0" w:rsidRPr="0037350D" w:rsidRDefault="000751B0" w:rsidP="00D80E4B">
      <w:pPr>
        <w:rPr>
          <w:color w:val="000000"/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 xml:space="preserve">Pred odstránením kanyly po centrálnom </w:t>
      </w:r>
      <w:proofErr w:type="spellStart"/>
      <w:r w:rsidRPr="00953DA3">
        <w:rPr>
          <w:sz w:val="22"/>
          <w:szCs w:val="22"/>
          <w:lang w:val="sk-SK"/>
        </w:rPr>
        <w:t>venóznom</w:t>
      </w:r>
      <w:proofErr w:type="spellEnd"/>
      <w:r w:rsidRPr="00953DA3">
        <w:rPr>
          <w:sz w:val="22"/>
          <w:szCs w:val="22"/>
          <w:lang w:val="sk-SK"/>
        </w:rPr>
        <w:t xml:space="preserve">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</w:t>
      </w:r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prepláchnite za použitia infúzie</w:t>
      </w:r>
      <w:r>
        <w:rPr>
          <w:sz w:val="22"/>
          <w:szCs w:val="22"/>
          <w:lang w:val="sk-SK"/>
        </w:rPr>
        <w:t xml:space="preserve"> niekoľko minút</w:t>
      </w:r>
      <w:r w:rsidRPr="00953DA3">
        <w:rPr>
          <w:sz w:val="22"/>
          <w:szCs w:val="22"/>
          <w:lang w:val="sk-SK"/>
        </w:rPr>
        <w:t xml:space="preserve">, aby sa uvoľnil akýkoľvek reziduálny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021DD9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color w:val="000000"/>
          <w:sz w:val="22"/>
          <w:szCs w:val="22"/>
          <w:lang w:val="sk-SK"/>
        </w:rPr>
        <w:t xml:space="preserve">Ak dôjde k </w:t>
      </w:r>
      <w:proofErr w:type="spellStart"/>
      <w:r w:rsidRPr="0037350D">
        <w:rPr>
          <w:color w:val="000000"/>
          <w:sz w:val="22"/>
          <w:szCs w:val="22"/>
          <w:lang w:val="sk-SK"/>
        </w:rPr>
        <w:t>extravazácii</w:t>
      </w:r>
      <w:proofErr w:type="spellEnd"/>
      <w:r w:rsidRPr="0037350D">
        <w:rPr>
          <w:color w:val="000000"/>
          <w:sz w:val="22"/>
          <w:szCs w:val="22"/>
          <w:lang w:val="sk-SK"/>
        </w:rPr>
        <w:t>, odporúča sa, aby sa miesto okamžite infiltrovalo 8,4</w:t>
      </w:r>
      <w:r>
        <w:rPr>
          <w:color w:val="000000"/>
          <w:sz w:val="22"/>
          <w:szCs w:val="22"/>
          <w:lang w:val="sk-SK"/>
        </w:rPr>
        <w:t xml:space="preserve"> </w:t>
      </w:r>
      <w:r w:rsidRPr="00983CB5">
        <w:rPr>
          <w:sz w:val="22"/>
          <w:szCs w:val="22"/>
          <w:lang w:val="sk-SK"/>
        </w:rPr>
        <w:t xml:space="preserve">% roztokom </w:t>
      </w:r>
      <w:proofErr w:type="spellStart"/>
      <w:r>
        <w:rPr>
          <w:sz w:val="22"/>
          <w:szCs w:val="22"/>
          <w:lang w:val="sk-SK"/>
        </w:rPr>
        <w:t>hydrogenuhličitanu</w:t>
      </w:r>
      <w:proofErr w:type="spellEnd"/>
      <w:r>
        <w:rPr>
          <w:sz w:val="22"/>
          <w:szCs w:val="22"/>
          <w:lang w:val="sk-SK"/>
        </w:rPr>
        <w:t xml:space="preserve"> sodného</w:t>
      </w:r>
      <w:r w:rsidRPr="00015B5E">
        <w:rPr>
          <w:sz w:val="22"/>
          <w:szCs w:val="22"/>
          <w:lang w:val="sk-SK"/>
        </w:rPr>
        <w:t xml:space="preserve"> s následným použitím injekcie </w:t>
      </w:r>
      <w:r>
        <w:rPr>
          <w:sz w:val="22"/>
          <w:szCs w:val="22"/>
          <w:lang w:val="sk-SK"/>
        </w:rPr>
        <w:t xml:space="preserve">v dávke </w:t>
      </w:r>
      <w:r w:rsidRPr="00015B5E">
        <w:rPr>
          <w:sz w:val="22"/>
          <w:szCs w:val="22"/>
          <w:lang w:val="sk-SK"/>
        </w:rPr>
        <w:t xml:space="preserve">4 mg </w:t>
      </w:r>
      <w:proofErr w:type="spellStart"/>
      <w:r w:rsidRPr="00015B5E">
        <w:rPr>
          <w:sz w:val="22"/>
          <w:szCs w:val="22"/>
          <w:lang w:val="sk-SK"/>
        </w:rPr>
        <w:t>dexametazónu</w:t>
      </w:r>
      <w:proofErr w:type="spellEnd"/>
      <w:r w:rsidRPr="00015B5E">
        <w:rPr>
          <w:sz w:val="22"/>
          <w:szCs w:val="22"/>
          <w:lang w:val="sk-SK"/>
        </w:rPr>
        <w:t>. Systémová injekcia v dávke 200 mg vitamínu B</w:t>
      </w:r>
      <w:r w:rsidRPr="00D80E4B">
        <w:rPr>
          <w:sz w:val="22"/>
          <w:szCs w:val="22"/>
          <w:vertAlign w:val="subscript"/>
          <w:lang w:val="sk-SK"/>
        </w:rPr>
        <w:t xml:space="preserve">6 </w:t>
      </w:r>
      <w:r w:rsidRPr="007D43E7">
        <w:rPr>
          <w:sz w:val="22"/>
          <w:szCs w:val="22"/>
          <w:lang w:val="sk-SK"/>
        </w:rPr>
        <w:t xml:space="preserve">môže mať význam pri podpore opätovného rastu tkanív, ktoré boli </w:t>
      </w:r>
      <w:r w:rsidRPr="00021DD9">
        <w:rPr>
          <w:sz w:val="22"/>
          <w:szCs w:val="22"/>
          <w:lang w:val="sk-SK"/>
        </w:rPr>
        <w:t>poškodené.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color w:val="000000"/>
          <w:sz w:val="22"/>
          <w:szCs w:val="22"/>
          <w:lang w:val="sk-SK"/>
        </w:rPr>
      </w:pPr>
      <w:r w:rsidRPr="00953DA3">
        <w:rPr>
          <w:color w:val="000000"/>
          <w:sz w:val="22"/>
          <w:szCs w:val="22"/>
          <w:lang w:val="sk-SK"/>
        </w:rPr>
        <w:t xml:space="preserve">Dlhodobá liečba môže vyústiť do kumulatívnej toxicity kostnej drene. Útlm kostnej drene sa môže manifestovať s oneskorením s najsilnejšou </w:t>
      </w:r>
      <w:proofErr w:type="spellStart"/>
      <w:r w:rsidRPr="00953DA3">
        <w:rPr>
          <w:color w:val="000000"/>
          <w:sz w:val="22"/>
          <w:szCs w:val="22"/>
          <w:lang w:val="sk-SK"/>
        </w:rPr>
        <w:t>expresiou</w:t>
      </w:r>
      <w:proofErr w:type="spellEnd"/>
      <w:r w:rsidRPr="00953DA3">
        <w:rPr>
          <w:color w:val="000000"/>
          <w:sz w:val="22"/>
          <w:szCs w:val="22"/>
          <w:lang w:val="sk-SK"/>
        </w:rPr>
        <w:t xml:space="preserve"> po 4 – 6 týždňoch s kumulatívnym účinkom po dlhodobom používaní, a preto sa často vyžaduje jednotlivá úprava dávky. Starší pacienti majú často znížené fyziologické funkcie, útlm kostnej drene, ktorý môže byť dlhotrvajúci, preto podávajte </w:t>
      </w:r>
      <w:proofErr w:type="spellStart"/>
      <w:r w:rsidRPr="00953DA3">
        <w:rPr>
          <w:color w:val="000000"/>
          <w:sz w:val="22"/>
          <w:szCs w:val="22"/>
          <w:lang w:val="sk-SK"/>
        </w:rPr>
        <w:t>mitomycín</w:t>
      </w:r>
      <w:proofErr w:type="spellEnd"/>
      <w:r w:rsidRPr="00953DA3">
        <w:rPr>
          <w:color w:val="000000"/>
          <w:sz w:val="22"/>
          <w:szCs w:val="22"/>
          <w:lang w:val="sk-SK"/>
        </w:rPr>
        <w:t xml:space="preserve"> s osobitnou opatrnosťou v tejto populácii za starostlivého sledovania stavu pacienta.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Osobitná opatrnosť sa vyžaduje, ak je možný výskyt infekčného ochorenia alebo jeho zhoršenie a tendencia ku krvácaniu.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621231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je mutagénna a potenciálne karcinogénna látka u ľudí. Je </w:t>
      </w:r>
      <w:r>
        <w:rPr>
          <w:sz w:val="22"/>
          <w:szCs w:val="22"/>
          <w:lang w:val="sk-SK"/>
        </w:rPr>
        <w:t>potreb</w:t>
      </w:r>
      <w:r w:rsidRPr="003D04E7">
        <w:rPr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 xml:space="preserve">sa </w:t>
      </w:r>
      <w:r w:rsidRPr="003D04E7">
        <w:rPr>
          <w:sz w:val="22"/>
          <w:szCs w:val="22"/>
          <w:lang w:val="sk-SK"/>
        </w:rPr>
        <w:t xml:space="preserve">vyhnúť kontaktu s </w:t>
      </w:r>
      <w:r>
        <w:rPr>
          <w:sz w:val="22"/>
          <w:szCs w:val="22"/>
          <w:lang w:val="sk-SK"/>
        </w:rPr>
        <w:t>kožou</w:t>
      </w:r>
      <w:r w:rsidRPr="003D04E7">
        <w:rPr>
          <w:sz w:val="22"/>
          <w:szCs w:val="22"/>
          <w:lang w:val="sk-SK"/>
        </w:rPr>
        <w:t xml:space="preserve"> a sliznicami.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40602F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 prípade výskytu </w:t>
      </w:r>
      <w:proofErr w:type="spellStart"/>
      <w:r w:rsidRPr="00953DA3">
        <w:rPr>
          <w:sz w:val="22"/>
          <w:szCs w:val="22"/>
          <w:lang w:val="sk-SK"/>
        </w:rPr>
        <w:t>pulmonárnych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príznak</w:t>
      </w:r>
      <w:r w:rsidRPr="0040602F">
        <w:rPr>
          <w:sz w:val="22"/>
          <w:szCs w:val="22"/>
          <w:lang w:val="sk-SK"/>
        </w:rPr>
        <w:t xml:space="preserve">ov, ktoré sa nedajú pripísať základnému ochoreniu, </w:t>
      </w:r>
      <w:r>
        <w:rPr>
          <w:sz w:val="22"/>
          <w:szCs w:val="22"/>
          <w:lang w:val="sk-SK"/>
        </w:rPr>
        <w:t>je potrebné</w:t>
      </w:r>
      <w:r w:rsidRPr="0040602F">
        <w:rPr>
          <w:sz w:val="22"/>
          <w:szCs w:val="22"/>
          <w:lang w:val="sk-SK"/>
        </w:rPr>
        <w:t xml:space="preserve"> liečbu okamžite ukončiť. </w:t>
      </w:r>
      <w:proofErr w:type="spellStart"/>
      <w:r w:rsidRPr="0040602F">
        <w:rPr>
          <w:sz w:val="22"/>
          <w:szCs w:val="22"/>
          <w:lang w:val="sk-SK"/>
        </w:rPr>
        <w:t>Pulmonárna</w:t>
      </w:r>
      <w:proofErr w:type="spellEnd"/>
      <w:r w:rsidRPr="0040602F">
        <w:rPr>
          <w:sz w:val="22"/>
          <w:szCs w:val="22"/>
          <w:lang w:val="sk-SK"/>
        </w:rPr>
        <w:t xml:space="preserve"> toxicita sa dá dobre liečiť </w:t>
      </w:r>
      <w:proofErr w:type="spellStart"/>
      <w:r w:rsidRPr="0040602F">
        <w:rPr>
          <w:sz w:val="22"/>
          <w:szCs w:val="22"/>
          <w:lang w:val="sk-SK"/>
        </w:rPr>
        <w:t>steroidmi</w:t>
      </w:r>
      <w:proofErr w:type="spellEnd"/>
      <w:r w:rsidRPr="0040602F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Liečbu </w:t>
      </w:r>
      <w:r>
        <w:rPr>
          <w:sz w:val="22"/>
          <w:szCs w:val="22"/>
          <w:lang w:val="sk-SK"/>
        </w:rPr>
        <w:t>je potrebné</w:t>
      </w:r>
      <w:r w:rsidRPr="00F31921">
        <w:rPr>
          <w:sz w:val="22"/>
          <w:szCs w:val="22"/>
          <w:lang w:val="sk-SK"/>
        </w:rPr>
        <w:t xml:space="preserve"> tiež ihneď ukončiť, ak sú </w:t>
      </w:r>
      <w:r>
        <w:rPr>
          <w:sz w:val="22"/>
          <w:szCs w:val="22"/>
          <w:lang w:val="sk-SK"/>
        </w:rPr>
        <w:t>príznak</w:t>
      </w:r>
      <w:r w:rsidRPr="00F31921">
        <w:rPr>
          <w:sz w:val="22"/>
          <w:szCs w:val="22"/>
          <w:lang w:val="sk-SK"/>
        </w:rPr>
        <w:t xml:space="preserve">y </w:t>
      </w:r>
      <w:proofErr w:type="spellStart"/>
      <w:r w:rsidRPr="00F31921">
        <w:rPr>
          <w:sz w:val="22"/>
          <w:szCs w:val="22"/>
          <w:lang w:val="sk-SK"/>
        </w:rPr>
        <w:t>hemolýzy</w:t>
      </w:r>
      <w:proofErr w:type="spellEnd"/>
      <w:r w:rsidRPr="00F31921">
        <w:rPr>
          <w:sz w:val="22"/>
          <w:szCs w:val="22"/>
          <w:lang w:val="sk-SK"/>
        </w:rPr>
        <w:t xml:space="preserve"> alebo indikácie pre </w:t>
      </w:r>
      <w:proofErr w:type="spellStart"/>
      <w:r w:rsidRPr="00F31921">
        <w:rPr>
          <w:sz w:val="22"/>
          <w:szCs w:val="22"/>
          <w:lang w:val="sk-SK"/>
        </w:rPr>
        <w:t>renálnu</w:t>
      </w:r>
      <w:proofErr w:type="spellEnd"/>
      <w:r w:rsidRPr="00F31921">
        <w:rPr>
          <w:sz w:val="22"/>
          <w:szCs w:val="22"/>
          <w:lang w:val="sk-SK"/>
        </w:rPr>
        <w:t xml:space="preserve"> dysfunkciu (</w:t>
      </w:r>
      <w:proofErr w:type="spellStart"/>
      <w:r w:rsidRPr="00F31921">
        <w:rPr>
          <w:sz w:val="22"/>
          <w:szCs w:val="22"/>
          <w:lang w:val="sk-SK"/>
        </w:rPr>
        <w:t>nefrotoxicita</w:t>
      </w:r>
      <w:proofErr w:type="spellEnd"/>
      <w:r w:rsidRPr="00F31921">
        <w:rPr>
          <w:sz w:val="22"/>
          <w:szCs w:val="22"/>
          <w:lang w:val="sk-SK"/>
        </w:rPr>
        <w:t>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dávkach &gt; 30 mg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>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 xml:space="preserve">telesného povrchu sa pozorovala </w:t>
      </w:r>
      <w:proofErr w:type="spellStart"/>
      <w:r w:rsidRPr="00953DA3">
        <w:rPr>
          <w:sz w:val="22"/>
          <w:szCs w:val="22"/>
          <w:lang w:val="sk-SK"/>
        </w:rPr>
        <w:t>mikroangiopatická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hemolytická</w:t>
      </w:r>
      <w:proofErr w:type="spellEnd"/>
      <w:r w:rsidRPr="00953DA3">
        <w:rPr>
          <w:sz w:val="22"/>
          <w:szCs w:val="22"/>
          <w:lang w:val="sk-SK"/>
        </w:rPr>
        <w:t xml:space="preserve"> anémia. Odporúča sa starostlivé sledovanie </w:t>
      </w:r>
      <w:proofErr w:type="spellStart"/>
      <w:r w:rsidRPr="00953DA3">
        <w:rPr>
          <w:sz w:val="22"/>
          <w:szCs w:val="22"/>
          <w:lang w:val="sk-SK"/>
        </w:rPr>
        <w:t>renálnej</w:t>
      </w:r>
      <w:proofErr w:type="spellEnd"/>
      <w:r w:rsidRPr="00953DA3">
        <w:rPr>
          <w:sz w:val="22"/>
          <w:szCs w:val="22"/>
          <w:lang w:val="sk-SK"/>
        </w:rPr>
        <w:t xml:space="preserve"> funkcie.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A25B65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 xml:space="preserve">Nové zistenia naznačujú, že môže byť vhodné klinické skúšanie zamerané na odstránenie imunitných komplexov, ktoré môžu hrať signifikantnú rolu pri nástupe </w:t>
      </w:r>
      <w:r>
        <w:rPr>
          <w:sz w:val="22"/>
          <w:szCs w:val="22"/>
          <w:lang w:val="sk-SK"/>
        </w:rPr>
        <w:t>príznak</w:t>
      </w:r>
      <w:r w:rsidRPr="00A25B65">
        <w:rPr>
          <w:sz w:val="22"/>
          <w:szCs w:val="22"/>
          <w:lang w:val="sk-SK"/>
        </w:rPr>
        <w:t xml:space="preserve">ov </w:t>
      </w:r>
      <w:r>
        <w:rPr>
          <w:sz w:val="22"/>
          <w:szCs w:val="22"/>
          <w:lang w:val="sk-SK"/>
        </w:rPr>
        <w:t>prostredníctvom</w:t>
      </w:r>
      <w:r w:rsidRPr="00A25B65">
        <w:rPr>
          <w:sz w:val="22"/>
          <w:szCs w:val="22"/>
          <w:lang w:val="sk-SK"/>
        </w:rPr>
        <w:t xml:space="preserve"> stafylokokov</w:t>
      </w:r>
      <w:r>
        <w:rPr>
          <w:sz w:val="22"/>
          <w:szCs w:val="22"/>
          <w:lang w:val="sk-SK"/>
        </w:rPr>
        <w:t>ého</w:t>
      </w:r>
      <w:r w:rsidRPr="00A25B65">
        <w:rPr>
          <w:sz w:val="22"/>
          <w:szCs w:val="22"/>
          <w:lang w:val="sk-SK"/>
        </w:rPr>
        <w:t xml:space="preserve"> proteín</w:t>
      </w:r>
      <w:r>
        <w:rPr>
          <w:sz w:val="22"/>
          <w:szCs w:val="22"/>
          <w:lang w:val="sk-SK"/>
        </w:rPr>
        <w:t>u</w:t>
      </w:r>
      <w:r w:rsidRPr="00A25B65">
        <w:rPr>
          <w:sz w:val="22"/>
          <w:szCs w:val="22"/>
          <w:lang w:val="sk-SK"/>
        </w:rPr>
        <w:t xml:space="preserve"> 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 h</w:t>
      </w:r>
      <w:r w:rsidRPr="00953DA3">
        <w:rPr>
          <w:sz w:val="22"/>
          <w:szCs w:val="22"/>
          <w:lang w:val="sk-SK"/>
        </w:rPr>
        <w:t>lás</w:t>
      </w:r>
      <w:r>
        <w:rPr>
          <w:sz w:val="22"/>
          <w:szCs w:val="22"/>
          <w:lang w:val="sk-SK"/>
        </w:rPr>
        <w:t>ený</w:t>
      </w:r>
      <w:r w:rsidRPr="00953DA3">
        <w:rPr>
          <w:sz w:val="22"/>
          <w:szCs w:val="22"/>
          <w:lang w:val="sk-SK"/>
        </w:rPr>
        <w:t xml:space="preserve"> výskyt akútnej leukémie (v niektorých prípadoch po </w:t>
      </w:r>
      <w:proofErr w:type="spellStart"/>
      <w:r w:rsidRPr="00953DA3">
        <w:rPr>
          <w:sz w:val="22"/>
          <w:szCs w:val="22"/>
          <w:lang w:val="sk-SK"/>
        </w:rPr>
        <w:t>preleukemickej</w:t>
      </w:r>
      <w:proofErr w:type="spellEnd"/>
      <w:r w:rsidRPr="00953DA3">
        <w:rPr>
          <w:sz w:val="22"/>
          <w:szCs w:val="22"/>
          <w:lang w:val="sk-SK"/>
        </w:rPr>
        <w:t xml:space="preserve"> fáze) a </w:t>
      </w:r>
      <w:proofErr w:type="spellStart"/>
      <w:r w:rsidRPr="00953DA3">
        <w:rPr>
          <w:sz w:val="22"/>
          <w:szCs w:val="22"/>
          <w:lang w:val="sk-SK"/>
        </w:rPr>
        <w:t>myelodysplastického</w:t>
      </w:r>
      <w:proofErr w:type="spellEnd"/>
      <w:r w:rsidRPr="00953DA3">
        <w:rPr>
          <w:sz w:val="22"/>
          <w:szCs w:val="22"/>
          <w:lang w:val="sk-SK"/>
        </w:rPr>
        <w:t xml:space="preserve"> syndrómu u pacientov liečených sú</w:t>
      </w:r>
      <w:r>
        <w:rPr>
          <w:sz w:val="22"/>
          <w:szCs w:val="22"/>
          <w:lang w:val="sk-SK"/>
        </w:rPr>
        <w:t>bežne s</w:t>
      </w:r>
      <w:r w:rsidRPr="00953DA3">
        <w:rPr>
          <w:sz w:val="22"/>
          <w:szCs w:val="22"/>
          <w:lang w:val="sk-SK"/>
        </w:rPr>
        <w:t xml:space="preserve"> inými </w:t>
      </w:r>
      <w:proofErr w:type="spellStart"/>
      <w:r w:rsidRPr="00953DA3">
        <w:rPr>
          <w:sz w:val="22"/>
          <w:szCs w:val="22"/>
          <w:lang w:val="sk-SK"/>
        </w:rPr>
        <w:t>antineoplastickými</w:t>
      </w:r>
      <w:proofErr w:type="spellEnd"/>
      <w:r w:rsidRPr="00953DA3">
        <w:rPr>
          <w:sz w:val="22"/>
          <w:szCs w:val="22"/>
          <w:lang w:val="sk-SK"/>
        </w:rPr>
        <w:t xml:space="preserve"> liečivami.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Ako počas liečby </w:t>
      </w:r>
      <w:proofErr w:type="spellStart"/>
      <w:r w:rsidRPr="00953DA3"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imunizácia</w:t>
      </w:r>
      <w:proofErr w:type="spellEnd"/>
      <w:r w:rsidRPr="00953DA3">
        <w:rPr>
          <w:sz w:val="22"/>
          <w:szCs w:val="22"/>
          <w:lang w:val="sk-SK"/>
        </w:rPr>
        <w:t xml:space="preserve"> živými vírusovými očkovac</w:t>
      </w:r>
      <w:r>
        <w:rPr>
          <w:sz w:val="22"/>
          <w:szCs w:val="22"/>
          <w:lang w:val="sk-SK"/>
        </w:rPr>
        <w:t>ími</w:t>
      </w:r>
      <w:r w:rsidRPr="00953DA3">
        <w:rPr>
          <w:sz w:val="22"/>
          <w:szCs w:val="22"/>
          <w:lang w:val="sk-SK"/>
        </w:rPr>
        <w:t xml:space="preserve"> látk</w:t>
      </w:r>
      <w:r>
        <w:rPr>
          <w:sz w:val="22"/>
          <w:szCs w:val="22"/>
          <w:lang w:val="sk-SK"/>
        </w:rPr>
        <w:t>ami</w:t>
      </w:r>
      <w:r w:rsidRPr="00953DA3">
        <w:rPr>
          <w:sz w:val="22"/>
          <w:szCs w:val="22"/>
          <w:lang w:val="sk-SK"/>
        </w:rPr>
        <w:t xml:space="preserve"> (napr. očkovanie proti žltej zimnici) zvyšuje riziko vzniku infekcie a ďalších nežiaducich účinkov ako je </w:t>
      </w:r>
      <w:proofErr w:type="spellStart"/>
      <w:r w:rsidRPr="00953DA3">
        <w:rPr>
          <w:sz w:val="22"/>
          <w:szCs w:val="22"/>
          <w:lang w:val="sk-SK"/>
        </w:rPr>
        <w:t>vaccinia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gangrenosa</w:t>
      </w:r>
      <w:proofErr w:type="spellEnd"/>
      <w:r w:rsidRPr="00953DA3">
        <w:rPr>
          <w:sz w:val="22"/>
          <w:szCs w:val="22"/>
          <w:lang w:val="sk-SK"/>
        </w:rPr>
        <w:t xml:space="preserve"> a generalizovaná </w:t>
      </w:r>
      <w:proofErr w:type="spellStart"/>
      <w:r w:rsidRPr="00953DA3">
        <w:rPr>
          <w:sz w:val="22"/>
          <w:szCs w:val="22"/>
          <w:lang w:val="sk-SK"/>
        </w:rPr>
        <w:t>vakcínia</w:t>
      </w:r>
      <w:proofErr w:type="spellEnd"/>
      <w:r w:rsidRPr="00953DA3">
        <w:rPr>
          <w:sz w:val="22"/>
          <w:szCs w:val="22"/>
          <w:lang w:val="sk-SK"/>
        </w:rPr>
        <w:t xml:space="preserve"> u pacientov so zníženou </w:t>
      </w:r>
      <w:proofErr w:type="spellStart"/>
      <w:r w:rsidRPr="00953DA3">
        <w:rPr>
          <w:sz w:val="22"/>
          <w:szCs w:val="22"/>
          <w:lang w:val="sk-SK"/>
        </w:rPr>
        <w:t>imunokompetenciou</w:t>
      </w:r>
      <w:proofErr w:type="spellEnd"/>
      <w:r w:rsidRPr="00953DA3">
        <w:rPr>
          <w:sz w:val="22"/>
          <w:szCs w:val="22"/>
          <w:lang w:val="sk-SK"/>
        </w:rPr>
        <w:t xml:space="preserve">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Preto živé očkovacie látky sa </w:t>
      </w:r>
      <w:r>
        <w:rPr>
          <w:sz w:val="22"/>
          <w:szCs w:val="22"/>
          <w:lang w:val="sk-SK"/>
        </w:rPr>
        <w:t xml:space="preserve">nesmú podávať </w:t>
      </w:r>
      <w:r w:rsidRPr="00953DA3">
        <w:rPr>
          <w:sz w:val="22"/>
          <w:szCs w:val="22"/>
          <w:lang w:val="sk-SK"/>
        </w:rPr>
        <w:t>počas liečby. Odporúča sa používať živé vírusové očkovacie látky s opatrnosťou po ukončení chemoterapie a očkovať nie skôr ako 3 mesiace po poslednej dávke chemoterapie (pozri časť 4.5).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Odporúčané kontroly a bezpečnostné opatrenia pri intravenóznom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Pred začiatkom liečby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proofErr w:type="spellStart"/>
      <w:r w:rsidRPr="00953DA3">
        <w:rPr>
          <w:sz w:val="22"/>
          <w:szCs w:val="22"/>
        </w:rPr>
        <w:t>Kompletný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krvný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obraz</w:t>
      </w:r>
      <w:proofErr w:type="spellEnd"/>
    </w:p>
    <w:p w:rsidR="000751B0" w:rsidRPr="00BD5276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pl-PL"/>
        </w:rPr>
      </w:pPr>
      <w:r w:rsidRPr="00BD5276">
        <w:rPr>
          <w:sz w:val="22"/>
          <w:szCs w:val="22"/>
          <w:lang w:val="pl-PL"/>
        </w:rPr>
        <w:t>Vyšetrenie pulmonárnej funkcie, ak je podozrenie na už existujúcu pľúcnu dysfunkciu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fr-FR"/>
        </w:rPr>
      </w:pPr>
      <w:r w:rsidRPr="00953DA3">
        <w:rPr>
          <w:sz w:val="22"/>
          <w:szCs w:val="22"/>
          <w:lang w:val="fr-FR"/>
        </w:rPr>
        <w:t>Vyšetrenie renálnej funkcie na vylúčenie renálnej insuficiencie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fr-FR"/>
        </w:rPr>
      </w:pPr>
      <w:r w:rsidRPr="00953DA3">
        <w:rPr>
          <w:sz w:val="22"/>
          <w:szCs w:val="22"/>
          <w:lang w:val="fr-FR"/>
        </w:rPr>
        <w:t>Vyšetrenie funkcie pečene na vylúčenie hepatálnej insuficiencie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Počas liečby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proofErr w:type="spellStart"/>
      <w:r w:rsidRPr="00953DA3">
        <w:rPr>
          <w:sz w:val="22"/>
          <w:szCs w:val="22"/>
        </w:rPr>
        <w:t>Pravidelné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sledovanie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krvného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obrazu</w:t>
      </w:r>
      <w:proofErr w:type="spellEnd"/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proofErr w:type="spellStart"/>
      <w:r w:rsidRPr="00953DA3">
        <w:rPr>
          <w:sz w:val="22"/>
          <w:szCs w:val="22"/>
        </w:rPr>
        <w:t>Starostlivé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sledovanie</w:t>
      </w:r>
      <w:proofErr w:type="spellEnd"/>
      <w:r w:rsidRPr="00953DA3">
        <w:rPr>
          <w:sz w:val="22"/>
          <w:szCs w:val="22"/>
        </w:rPr>
        <w:t xml:space="preserve"> </w:t>
      </w:r>
      <w:r w:rsidRPr="00953DA3">
        <w:rPr>
          <w:sz w:val="22"/>
          <w:szCs w:val="22"/>
          <w:lang w:val="fr-FR"/>
        </w:rPr>
        <w:t>renálnej funkcie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4.5 </w:t>
      </w:r>
      <w:r w:rsidRPr="00953DA3">
        <w:rPr>
          <w:b/>
          <w:sz w:val="22"/>
          <w:szCs w:val="22"/>
          <w:lang w:val="sk-SK"/>
        </w:rPr>
        <w:tab/>
        <w:t>Liekové a iné interakcie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použití ďalších liečebných postupov toxických pre kostnú dreň je možný výskyt </w:t>
      </w:r>
      <w:proofErr w:type="spellStart"/>
      <w:r w:rsidRPr="00953DA3">
        <w:rPr>
          <w:sz w:val="22"/>
          <w:szCs w:val="22"/>
          <w:lang w:val="sk-SK"/>
        </w:rPr>
        <w:t>myelotoxických</w:t>
      </w:r>
      <w:proofErr w:type="spellEnd"/>
      <w:r w:rsidRPr="00953DA3">
        <w:rPr>
          <w:sz w:val="22"/>
          <w:szCs w:val="22"/>
          <w:lang w:val="sk-SK"/>
        </w:rPr>
        <w:t xml:space="preserve"> interakcií (najmä iné </w:t>
      </w:r>
      <w:proofErr w:type="spellStart"/>
      <w:r w:rsidRPr="00953DA3">
        <w:rPr>
          <w:sz w:val="22"/>
          <w:szCs w:val="22"/>
          <w:lang w:val="sk-SK"/>
        </w:rPr>
        <w:t>cytostatiká</w:t>
      </w:r>
      <w:proofErr w:type="spellEnd"/>
      <w:r w:rsidRPr="00953DA3">
        <w:rPr>
          <w:sz w:val="22"/>
          <w:szCs w:val="22"/>
          <w:lang w:val="sk-SK"/>
        </w:rPr>
        <w:t>, ožarovanie).</w:t>
      </w:r>
    </w:p>
    <w:p w:rsidR="000751B0" w:rsidRPr="00953DA3" w:rsidRDefault="000751B0" w:rsidP="0037350D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37350D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Kombinácia s</w:t>
      </w:r>
      <w:r>
        <w:rPr>
          <w:sz w:val="22"/>
          <w:szCs w:val="22"/>
          <w:lang w:val="sk-SK"/>
        </w:rPr>
        <w:t> </w:t>
      </w:r>
      <w:proofErr w:type="spellStart"/>
      <w:r w:rsidRPr="00953DA3">
        <w:rPr>
          <w:sz w:val="22"/>
          <w:szCs w:val="22"/>
          <w:lang w:val="sk-SK"/>
        </w:rPr>
        <w:t>vinka</w:t>
      </w:r>
      <w:proofErr w:type="spellEnd"/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 xml:space="preserve">alkaloidmi alebo </w:t>
      </w:r>
      <w:proofErr w:type="spellStart"/>
      <w:r w:rsidRPr="00953DA3">
        <w:rPr>
          <w:sz w:val="22"/>
          <w:szCs w:val="22"/>
          <w:lang w:val="sk-SK"/>
        </w:rPr>
        <w:t>bleomycínom</w:t>
      </w:r>
      <w:proofErr w:type="spellEnd"/>
      <w:r w:rsidRPr="00953DA3">
        <w:rPr>
          <w:sz w:val="22"/>
          <w:szCs w:val="22"/>
          <w:lang w:val="sk-SK"/>
        </w:rPr>
        <w:t xml:space="preserve"> môže zosilniť </w:t>
      </w:r>
      <w:proofErr w:type="spellStart"/>
      <w:r w:rsidRPr="00953DA3">
        <w:rPr>
          <w:sz w:val="22"/>
          <w:szCs w:val="22"/>
          <w:lang w:val="sk-SK"/>
        </w:rPr>
        <w:t>pulmonárnu</w:t>
      </w:r>
      <w:proofErr w:type="spellEnd"/>
      <w:r w:rsidRPr="00953DA3">
        <w:rPr>
          <w:sz w:val="22"/>
          <w:szCs w:val="22"/>
          <w:lang w:val="sk-SK"/>
        </w:rPr>
        <w:t xml:space="preserve"> toxicitu. </w:t>
      </w:r>
      <w:r>
        <w:rPr>
          <w:sz w:val="22"/>
          <w:szCs w:val="22"/>
          <w:lang w:val="sk-SK"/>
        </w:rPr>
        <w:t>Bolo h</w:t>
      </w:r>
      <w:r w:rsidRPr="00953DA3">
        <w:rPr>
          <w:sz w:val="22"/>
          <w:szCs w:val="22"/>
          <w:lang w:val="sk-SK"/>
        </w:rPr>
        <w:t>lás</w:t>
      </w:r>
      <w:r>
        <w:rPr>
          <w:sz w:val="22"/>
          <w:szCs w:val="22"/>
          <w:lang w:val="sk-SK"/>
        </w:rPr>
        <w:t>ené</w:t>
      </w:r>
      <w:r w:rsidRPr="00953DA3">
        <w:rPr>
          <w:sz w:val="22"/>
          <w:szCs w:val="22"/>
          <w:lang w:val="sk-SK"/>
        </w:rPr>
        <w:t xml:space="preserve"> zvýšené riziko výskytu </w:t>
      </w:r>
      <w:proofErr w:type="spellStart"/>
      <w:r w:rsidRPr="00953DA3">
        <w:rPr>
          <w:sz w:val="22"/>
          <w:szCs w:val="22"/>
          <w:lang w:val="sk-SK"/>
        </w:rPr>
        <w:t>hemolyticko</w:t>
      </w:r>
      <w:proofErr w:type="spellEnd"/>
      <w:r w:rsidRPr="00953DA3">
        <w:rPr>
          <w:sz w:val="22"/>
          <w:szCs w:val="22"/>
          <w:lang w:val="sk-SK"/>
        </w:rPr>
        <w:t>-uremického syndrómu u pacientov dostávajúcich súbežn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a </w:t>
      </w:r>
      <w:proofErr w:type="spellStart"/>
      <w:r w:rsidRPr="00953DA3">
        <w:rPr>
          <w:sz w:val="22"/>
          <w:szCs w:val="22"/>
          <w:lang w:val="sk-SK"/>
        </w:rPr>
        <w:t>fluorouracil</w:t>
      </w:r>
      <w:proofErr w:type="spellEnd"/>
      <w:r w:rsidRPr="00953DA3">
        <w:rPr>
          <w:sz w:val="22"/>
          <w:szCs w:val="22"/>
          <w:lang w:val="sk-SK"/>
        </w:rPr>
        <w:t xml:space="preserve"> alebo </w:t>
      </w:r>
      <w:proofErr w:type="spellStart"/>
      <w:r w:rsidRPr="00953DA3">
        <w:rPr>
          <w:sz w:val="22"/>
          <w:szCs w:val="22"/>
          <w:lang w:val="sk-SK"/>
        </w:rPr>
        <w:t>tamoxifén</w:t>
      </w:r>
      <w:proofErr w:type="spellEnd"/>
      <w:r w:rsidRPr="00953DA3">
        <w:rPr>
          <w:sz w:val="22"/>
          <w:szCs w:val="22"/>
          <w:lang w:val="sk-SK"/>
        </w:rPr>
        <w:t xml:space="preserve">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 </w:t>
      </w:r>
      <w:proofErr w:type="spellStart"/>
      <w:r w:rsidRPr="00953DA3">
        <w:rPr>
          <w:sz w:val="22"/>
          <w:szCs w:val="22"/>
          <w:lang w:val="sk-SK"/>
        </w:rPr>
        <w:t>štúdiach</w:t>
      </w:r>
      <w:proofErr w:type="spellEnd"/>
      <w:r w:rsidRPr="00953DA3">
        <w:rPr>
          <w:sz w:val="22"/>
          <w:szCs w:val="22"/>
          <w:lang w:val="sk-SK"/>
        </w:rPr>
        <w:t xml:space="preserve"> na zvieratách spôsobil </w:t>
      </w:r>
      <w:proofErr w:type="spellStart"/>
      <w:r w:rsidRPr="00BD5276">
        <w:rPr>
          <w:sz w:val="22"/>
          <w:szCs w:val="22"/>
          <w:lang w:val="sk-SK"/>
        </w:rPr>
        <w:t>pyridoxíniumchlorid</w:t>
      </w:r>
      <w:proofErr w:type="spellEnd"/>
      <w:r w:rsidRPr="00BD5276">
        <w:rPr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(vitamín B</w:t>
      </w:r>
      <w:r w:rsidRPr="00953DA3">
        <w:rPr>
          <w:sz w:val="22"/>
          <w:szCs w:val="22"/>
          <w:vertAlign w:val="subscript"/>
          <w:lang w:val="sk-SK"/>
        </w:rPr>
        <w:t>6</w:t>
      </w:r>
      <w:r w:rsidRPr="00953DA3">
        <w:rPr>
          <w:sz w:val="22"/>
          <w:szCs w:val="22"/>
          <w:lang w:val="sk-SK"/>
        </w:rPr>
        <w:t xml:space="preserve">) stratu účinku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liečbe </w:t>
      </w:r>
      <w:proofErr w:type="spellStart"/>
      <w:r w:rsidRPr="00953DA3">
        <w:rPr>
          <w:sz w:val="22"/>
          <w:szCs w:val="22"/>
          <w:lang w:val="sk-SK"/>
        </w:rPr>
        <w:t>mitomycínom</w:t>
      </w:r>
      <w:proofErr w:type="spellEnd"/>
      <w:r w:rsidRPr="00953DA3">
        <w:rPr>
          <w:sz w:val="22"/>
          <w:szCs w:val="22"/>
          <w:lang w:val="sk-SK"/>
        </w:rPr>
        <w:t xml:space="preserve"> sa nemajú podávať injekcie so živými očkovacími látkami (pozri časť 4.4).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môže </w:t>
      </w:r>
      <w:proofErr w:type="spellStart"/>
      <w:r w:rsidRPr="00953DA3">
        <w:rPr>
          <w:sz w:val="22"/>
          <w:szCs w:val="22"/>
          <w:lang w:val="sk-SK"/>
        </w:rPr>
        <w:t>potencovať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kardiotoxicitu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adriamycínu</w:t>
      </w:r>
      <w:proofErr w:type="spellEnd"/>
      <w:r w:rsidRPr="00953DA3">
        <w:rPr>
          <w:sz w:val="22"/>
          <w:szCs w:val="22"/>
          <w:lang w:val="sk-SK"/>
        </w:rPr>
        <w:t xml:space="preserve"> (</w:t>
      </w:r>
      <w:proofErr w:type="spellStart"/>
      <w:r w:rsidRPr="00953DA3">
        <w:rPr>
          <w:sz w:val="22"/>
          <w:szCs w:val="22"/>
          <w:lang w:val="sk-SK"/>
        </w:rPr>
        <w:t>doxorubicínu</w:t>
      </w:r>
      <w:proofErr w:type="spellEnd"/>
      <w:r w:rsidRPr="00953DA3">
        <w:rPr>
          <w:sz w:val="22"/>
          <w:szCs w:val="22"/>
          <w:lang w:val="sk-SK"/>
        </w:rPr>
        <w:t>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4.6 </w:t>
      </w:r>
      <w:r w:rsidRPr="00953DA3">
        <w:rPr>
          <w:b/>
          <w:sz w:val="22"/>
          <w:szCs w:val="22"/>
          <w:lang w:val="sk-SK"/>
        </w:rPr>
        <w:tab/>
      </w:r>
      <w:proofErr w:type="spellStart"/>
      <w:r w:rsidRPr="00953DA3">
        <w:rPr>
          <w:b/>
          <w:sz w:val="22"/>
          <w:szCs w:val="22"/>
          <w:lang w:val="sk-SK"/>
        </w:rPr>
        <w:t>Fertilita</w:t>
      </w:r>
      <w:proofErr w:type="spellEnd"/>
      <w:r w:rsidRPr="00953DA3">
        <w:rPr>
          <w:b/>
          <w:sz w:val="22"/>
          <w:szCs w:val="22"/>
          <w:lang w:val="sk-SK"/>
        </w:rPr>
        <w:t>, gravidita a laktácia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Gravidita</w:t>
      </w: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</w:t>
      </w:r>
      <w:r w:rsidRPr="00953DA3">
        <w:rPr>
          <w:sz w:val="22"/>
          <w:szCs w:val="22"/>
          <w:lang w:val="sk-SK"/>
        </w:rPr>
        <w:t xml:space="preserve"> dispozícii žiadne údaje o použití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u gravidných žien. Štúdie na zvieratách preukázali reprodukčnú toxicitu (pozri časť 5.3).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má mutagénny, </w:t>
      </w:r>
      <w:proofErr w:type="spellStart"/>
      <w:r w:rsidRPr="00953DA3">
        <w:rPr>
          <w:sz w:val="22"/>
          <w:szCs w:val="22"/>
          <w:lang w:val="sk-SK"/>
        </w:rPr>
        <w:t>teratogénny</w:t>
      </w:r>
      <w:proofErr w:type="spellEnd"/>
      <w:r w:rsidRPr="00953DA3">
        <w:rPr>
          <w:sz w:val="22"/>
          <w:szCs w:val="22"/>
          <w:lang w:val="sk-SK"/>
        </w:rPr>
        <w:t xml:space="preserve"> a karcinogénny účinok, a preto môže poškodiť vývoj embrya.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sa nesmie používať počas gravidity. Pri vitálnej indikácii pri liečbe gravidnej pacientky je </w:t>
      </w:r>
      <w:r>
        <w:rPr>
          <w:sz w:val="22"/>
          <w:szCs w:val="22"/>
          <w:lang w:val="sk-SK"/>
        </w:rPr>
        <w:t>potreb</w:t>
      </w:r>
      <w:r w:rsidRPr="00953DA3">
        <w:rPr>
          <w:sz w:val="22"/>
          <w:szCs w:val="22"/>
          <w:lang w:val="sk-SK"/>
        </w:rPr>
        <w:t xml:space="preserve">ná konzultácia s lekárom </w:t>
      </w:r>
      <w:r>
        <w:rPr>
          <w:sz w:val="22"/>
          <w:szCs w:val="22"/>
          <w:lang w:val="sk-SK"/>
        </w:rPr>
        <w:t>vzhľadom na</w:t>
      </w:r>
      <w:r w:rsidRPr="00953DA3">
        <w:rPr>
          <w:sz w:val="22"/>
          <w:szCs w:val="22"/>
          <w:lang w:val="sk-SK"/>
        </w:rPr>
        <w:t xml:space="preserve"> rizik</w:t>
      </w:r>
      <w:r>
        <w:rPr>
          <w:sz w:val="22"/>
          <w:szCs w:val="22"/>
          <w:lang w:val="sk-SK"/>
        </w:rPr>
        <w:t>o</w:t>
      </w:r>
      <w:r w:rsidRPr="00953DA3">
        <w:rPr>
          <w:sz w:val="22"/>
          <w:szCs w:val="22"/>
          <w:lang w:val="sk-SK"/>
        </w:rPr>
        <w:t xml:space="preserve"> škodlivých účinkov u dieťaťa, ktoré súvisia s liečbou.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Dojčenie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Predpokladá sa</w:t>
      </w:r>
      <w:r w:rsidRPr="00953DA3">
        <w:rPr>
          <w:sz w:val="22"/>
          <w:szCs w:val="22"/>
          <w:lang w:val="sk-SK"/>
        </w:rPr>
        <w:t xml:space="preserve">, že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sa vylučuje do materského mlieka. Vzhľadom na jeho preukázané mutagénne, </w:t>
      </w:r>
      <w:proofErr w:type="spellStart"/>
      <w:r w:rsidRPr="00953DA3">
        <w:rPr>
          <w:sz w:val="22"/>
          <w:szCs w:val="22"/>
          <w:lang w:val="sk-SK"/>
        </w:rPr>
        <w:t>teratogénne</w:t>
      </w:r>
      <w:proofErr w:type="spellEnd"/>
      <w:r w:rsidRPr="00953DA3">
        <w:rPr>
          <w:sz w:val="22"/>
          <w:szCs w:val="22"/>
          <w:lang w:val="sk-SK"/>
        </w:rPr>
        <w:t xml:space="preserve"> a karcinogénne účinky sa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nesmie podávať počas dojčenia </w:t>
      </w:r>
      <w:r w:rsidRPr="00953DA3">
        <w:rPr>
          <w:b/>
          <w:sz w:val="22"/>
          <w:szCs w:val="22"/>
          <w:lang w:val="sk-SK"/>
        </w:rPr>
        <w:t>.</w:t>
      </w:r>
      <w:r w:rsidRPr="00953DA3">
        <w:rPr>
          <w:sz w:val="22"/>
          <w:szCs w:val="22"/>
          <w:lang w:val="sk-SK"/>
        </w:rPr>
        <w:t xml:space="preserve">Pred začatím liečby </w:t>
      </w:r>
      <w:proofErr w:type="spellStart"/>
      <w:r w:rsidRPr="00953DA3">
        <w:rPr>
          <w:sz w:val="22"/>
          <w:szCs w:val="22"/>
          <w:lang w:val="sk-SK"/>
        </w:rPr>
        <w:t>mitomycínom</w:t>
      </w:r>
      <w:proofErr w:type="spellEnd"/>
      <w:r w:rsidRPr="00953DA3">
        <w:rPr>
          <w:sz w:val="22"/>
          <w:szCs w:val="22"/>
          <w:lang w:val="sk-SK"/>
        </w:rPr>
        <w:t xml:space="preserve"> musí najprv pacientka dojčenie ukončiť.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proofErr w:type="spellStart"/>
      <w:r w:rsidRPr="00953DA3">
        <w:rPr>
          <w:b/>
          <w:sz w:val="22"/>
          <w:szCs w:val="22"/>
          <w:lang w:val="sk-SK"/>
        </w:rPr>
        <w:lastRenderedPageBreak/>
        <w:t>Fertilita</w:t>
      </w:r>
      <w:proofErr w:type="spellEnd"/>
      <w:r w:rsidRPr="00953DA3">
        <w:rPr>
          <w:b/>
          <w:sz w:val="22"/>
          <w:szCs w:val="22"/>
          <w:lang w:val="sk-SK"/>
        </w:rPr>
        <w:t>/antikoncepcia u mužov a žien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Pacientky v pohlavne zrelom veku majú užívať antikoncepciu počas a až do 6 mesiacov po ukončení chemoterapie alebo sa musia </w:t>
      </w:r>
      <w:r>
        <w:rPr>
          <w:sz w:val="22"/>
          <w:szCs w:val="22"/>
          <w:lang w:val="sk-SK"/>
        </w:rPr>
        <w:t>vyhnúť</w:t>
      </w:r>
      <w:r w:rsidRPr="00953DA3">
        <w:rPr>
          <w:sz w:val="22"/>
          <w:szCs w:val="22"/>
          <w:lang w:val="sk-SK"/>
        </w:rPr>
        <w:t xml:space="preserve"> pohlavného styku.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má škodlivý účinok na genetiku. Pacientom liečeným </w:t>
      </w:r>
      <w:proofErr w:type="spellStart"/>
      <w:r w:rsidRPr="00953DA3">
        <w:rPr>
          <w:sz w:val="22"/>
          <w:szCs w:val="22"/>
          <w:lang w:val="sk-SK"/>
        </w:rPr>
        <w:t>mitomycínom</w:t>
      </w:r>
      <w:proofErr w:type="spellEnd"/>
      <w:r w:rsidRPr="00953DA3">
        <w:rPr>
          <w:sz w:val="22"/>
          <w:szCs w:val="22"/>
          <w:lang w:val="sk-SK"/>
        </w:rPr>
        <w:t xml:space="preserve"> sa preto odporúča nepočať dieťa počas liečby a až do 6 mesiacov po liečbe a poradiť sa o možnosti konzervácii spermií pred začiatkom liečby vzhľadom na možnosť ireverzibilnej </w:t>
      </w:r>
      <w:proofErr w:type="spellStart"/>
      <w:r w:rsidRPr="00953DA3">
        <w:rPr>
          <w:sz w:val="22"/>
          <w:szCs w:val="22"/>
          <w:lang w:val="sk-SK"/>
        </w:rPr>
        <w:t>infertility</w:t>
      </w:r>
      <w:proofErr w:type="spellEnd"/>
      <w:r w:rsidRPr="00953DA3">
        <w:rPr>
          <w:sz w:val="22"/>
          <w:szCs w:val="22"/>
          <w:lang w:val="sk-SK"/>
        </w:rPr>
        <w:t xml:space="preserve"> spôsobenej liečbou </w:t>
      </w:r>
      <w:proofErr w:type="spellStart"/>
      <w:r w:rsidRPr="00953DA3">
        <w:rPr>
          <w:sz w:val="22"/>
          <w:szCs w:val="22"/>
          <w:lang w:val="sk-SK"/>
        </w:rPr>
        <w:t>mitomycínom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4.7 </w:t>
      </w:r>
      <w:r w:rsidRPr="00953DA3">
        <w:rPr>
          <w:b/>
          <w:sz w:val="22"/>
          <w:szCs w:val="22"/>
          <w:lang w:val="sk-SK"/>
        </w:rPr>
        <w:tab/>
        <w:t>Ovplyvnenie schopnosti viesť vozidlá a obsluhovať stroje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Aj napriek použitiu podľa pokynov</w:t>
      </w:r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takéto lieky </w:t>
      </w:r>
      <w:r>
        <w:rPr>
          <w:sz w:val="22"/>
          <w:szCs w:val="22"/>
          <w:lang w:val="sk-SK"/>
        </w:rPr>
        <w:t xml:space="preserve">spôsobujú </w:t>
      </w:r>
      <w:r w:rsidRPr="00953DA3">
        <w:rPr>
          <w:sz w:val="22"/>
          <w:szCs w:val="22"/>
          <w:lang w:val="sk-SK"/>
        </w:rPr>
        <w:t>nauzeu a vracanie, a preto znižujú reakčný čas do takej miery, že je narušená schopnosť viesť motorové vozidlo alebo obsluhovať stroje. Vo väčšej miere to platí pri použití s alkoholom.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4.8</w:t>
      </w:r>
      <w:r w:rsidRPr="00953DA3">
        <w:rPr>
          <w:b/>
          <w:sz w:val="22"/>
          <w:szCs w:val="22"/>
          <w:lang w:val="sk-SK"/>
        </w:rPr>
        <w:tab/>
        <w:t>Nežiaduce účinky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Nežiaduce účinky sú uvedené podľa triedy orgánových systémov a frekvencie. Frekvencie uvedené nižšie sú definované ako: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Veľmi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1/10),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1/100 až &lt; 1/10), menej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1/1000 až &lt; 1/100), zriedkavé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000 až &lt; 1/1000), veľmi zriedkavé (&lt; 1/10 000) alebo neznáme (z dostupných údajov).</w:t>
      </w:r>
    </w:p>
    <w:p w:rsidR="000751B0" w:rsidRPr="0037350D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37350D" w:rsidRDefault="000751B0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  <w:r w:rsidRPr="0037350D">
        <w:rPr>
          <w:b/>
          <w:sz w:val="22"/>
          <w:szCs w:val="22"/>
          <w:u w:val="single"/>
          <w:lang w:val="sk-SK"/>
        </w:rPr>
        <w:t>Možné nežiaduce účinky systémovej liečby</w:t>
      </w:r>
    </w:p>
    <w:p w:rsidR="000751B0" w:rsidRPr="00015B5E" w:rsidRDefault="000751B0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Najčastejšie ved</w:t>
      </w:r>
      <w:r w:rsidRPr="00021DD9">
        <w:rPr>
          <w:sz w:val="22"/>
          <w:szCs w:val="22"/>
          <w:lang w:val="sk-SK"/>
        </w:rPr>
        <w:t>ľajšie ú</w:t>
      </w:r>
      <w:r w:rsidRPr="004B747A">
        <w:rPr>
          <w:sz w:val="22"/>
          <w:szCs w:val="22"/>
          <w:lang w:val="sk-SK"/>
        </w:rPr>
        <w:t>č</w:t>
      </w:r>
      <w:r w:rsidRPr="00056632">
        <w:rPr>
          <w:sz w:val="22"/>
          <w:szCs w:val="22"/>
          <w:lang w:val="sk-SK"/>
        </w:rPr>
        <w:t>i</w:t>
      </w:r>
      <w:r w:rsidRPr="005212CB">
        <w:rPr>
          <w:sz w:val="22"/>
          <w:szCs w:val="22"/>
          <w:lang w:val="sk-SK"/>
        </w:rPr>
        <w:t xml:space="preserve">nky </w:t>
      </w:r>
      <w:proofErr w:type="spellStart"/>
      <w:r w:rsidRPr="005212CB">
        <w:rPr>
          <w:sz w:val="22"/>
          <w:szCs w:val="22"/>
          <w:lang w:val="sk-SK"/>
        </w:rPr>
        <w:t>mitomycínu</w:t>
      </w:r>
      <w:proofErr w:type="spellEnd"/>
      <w:r w:rsidRPr="005212CB">
        <w:rPr>
          <w:sz w:val="22"/>
          <w:szCs w:val="22"/>
          <w:lang w:val="sk-SK"/>
        </w:rPr>
        <w:t xml:space="preserve"> podávaného systémovo sú </w:t>
      </w:r>
      <w:proofErr w:type="spellStart"/>
      <w:r w:rsidRPr="005212CB">
        <w:rPr>
          <w:sz w:val="22"/>
          <w:szCs w:val="22"/>
          <w:lang w:val="sk-SK"/>
        </w:rPr>
        <w:t>gastrointestinálne</w:t>
      </w:r>
      <w:proofErr w:type="spellEnd"/>
      <w:r w:rsidRPr="005212C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príznak</w:t>
      </w:r>
      <w:r w:rsidRPr="005212CB">
        <w:rPr>
          <w:sz w:val="22"/>
          <w:szCs w:val="22"/>
          <w:lang w:val="sk-SK"/>
        </w:rPr>
        <w:t>y ako nauzea a</w:t>
      </w:r>
      <w:r w:rsidRPr="00953DA3">
        <w:rPr>
          <w:sz w:val="22"/>
          <w:szCs w:val="22"/>
          <w:lang w:val="sk-SK"/>
        </w:rPr>
        <w:t xml:space="preserve"> vracanie a útlm kostnej drene s </w:t>
      </w:r>
      <w:proofErr w:type="spellStart"/>
      <w:r w:rsidRPr="00953DA3">
        <w:rPr>
          <w:sz w:val="22"/>
          <w:szCs w:val="22"/>
          <w:lang w:val="sk-SK"/>
        </w:rPr>
        <w:t>leukopéniou</w:t>
      </w:r>
      <w:proofErr w:type="spellEnd"/>
      <w:r w:rsidRPr="00953DA3">
        <w:rPr>
          <w:sz w:val="22"/>
          <w:szCs w:val="22"/>
          <w:lang w:val="sk-SK"/>
        </w:rPr>
        <w:t xml:space="preserve"> a prevažne dominantnou </w:t>
      </w:r>
      <w:proofErr w:type="spellStart"/>
      <w:r w:rsidRPr="00953DA3">
        <w:rPr>
          <w:sz w:val="22"/>
          <w:szCs w:val="22"/>
          <w:lang w:val="sk-SK"/>
        </w:rPr>
        <w:t>trombocytopéniou</w:t>
      </w:r>
      <w:proofErr w:type="spellEnd"/>
      <w:r w:rsidRPr="00953DA3">
        <w:rPr>
          <w:sz w:val="22"/>
          <w:szCs w:val="22"/>
          <w:lang w:val="sk-SK"/>
        </w:rPr>
        <w:t xml:space="preserve">. Tento útlm kostnej drene sa vyskytuje </w:t>
      </w:r>
      <w:r>
        <w:rPr>
          <w:sz w:val="22"/>
          <w:szCs w:val="22"/>
          <w:lang w:val="sk-SK"/>
        </w:rPr>
        <w:t>u menej ako</w:t>
      </w:r>
      <w:r w:rsidRPr="00953DA3">
        <w:rPr>
          <w:sz w:val="22"/>
          <w:szCs w:val="22"/>
          <w:lang w:val="sk-SK"/>
        </w:rPr>
        <w:t xml:space="preserve"> 65 % pacientov.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menej ako</w:t>
      </w:r>
      <w:r w:rsidRPr="00953DA3">
        <w:rPr>
          <w:sz w:val="22"/>
          <w:szCs w:val="22"/>
          <w:lang w:val="sk-SK"/>
        </w:rPr>
        <w:t xml:space="preserve"> 10 % pacientov sa musí rátať so závažnou orgánovou toxicitou vo forme </w:t>
      </w:r>
      <w:proofErr w:type="spellStart"/>
      <w:r w:rsidRPr="00953DA3">
        <w:rPr>
          <w:sz w:val="22"/>
          <w:szCs w:val="22"/>
          <w:lang w:val="sk-SK"/>
        </w:rPr>
        <w:t>intersticiálnej</w:t>
      </w:r>
      <w:proofErr w:type="spellEnd"/>
      <w:r w:rsidRPr="00953DA3">
        <w:rPr>
          <w:sz w:val="22"/>
          <w:szCs w:val="22"/>
          <w:lang w:val="sk-SK"/>
        </w:rPr>
        <w:t xml:space="preserve"> pneumónie alebo </w:t>
      </w:r>
      <w:proofErr w:type="spellStart"/>
      <w:r w:rsidRPr="00953DA3">
        <w:rPr>
          <w:sz w:val="22"/>
          <w:szCs w:val="22"/>
          <w:lang w:val="sk-SK"/>
        </w:rPr>
        <w:t>nefrotoxicity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je potenciálne </w:t>
      </w:r>
      <w:proofErr w:type="spellStart"/>
      <w:r w:rsidRPr="00953DA3">
        <w:rPr>
          <w:sz w:val="22"/>
          <w:szCs w:val="22"/>
          <w:lang w:val="sk-SK"/>
        </w:rPr>
        <w:t>hepatotoxický</w:t>
      </w:r>
      <w:proofErr w:type="spellEnd"/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4115"/>
      </w:tblGrid>
      <w:tr w:rsidR="000751B0" w:rsidRPr="00953DA3" w:rsidTr="00566CF6">
        <w:tc>
          <w:tcPr>
            <w:tcW w:w="5031" w:type="dxa"/>
          </w:tcPr>
          <w:p w:rsidR="000751B0" w:rsidRPr="00BD5276" w:rsidRDefault="000751B0" w:rsidP="00D80E4B">
            <w:pPr>
              <w:rPr>
                <w:sz w:val="22"/>
                <w:szCs w:val="22"/>
                <w:lang w:val="sk-SK"/>
              </w:rPr>
            </w:pPr>
            <w:r w:rsidRPr="00953DA3"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179" w:type="dxa"/>
          </w:tcPr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časté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 xml:space="preserve">Útlm kostnej drene, 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proofErr w:type="spellStart"/>
            <w:r w:rsidRPr="00953DA3">
              <w:rPr>
                <w:szCs w:val="22"/>
              </w:rPr>
              <w:t>leukopénia</w:t>
            </w:r>
            <w:proofErr w:type="spellEnd"/>
            <w:r w:rsidRPr="00953DA3">
              <w:rPr>
                <w:szCs w:val="22"/>
              </w:rPr>
              <w:t xml:space="preserve">, </w:t>
            </w:r>
            <w:proofErr w:type="spellStart"/>
            <w:r w:rsidRPr="00953DA3">
              <w:rPr>
                <w:szCs w:val="22"/>
              </w:rPr>
              <w:t>trombocytopénia</w:t>
            </w:r>
            <w:proofErr w:type="spellEnd"/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Zriedkavé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 xml:space="preserve">Život ohrozujúce infekcie, sepsa, 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proofErr w:type="spellStart"/>
            <w:r w:rsidRPr="00953DA3">
              <w:rPr>
                <w:szCs w:val="22"/>
              </w:rPr>
              <w:t>hemolytická</w:t>
            </w:r>
            <w:proofErr w:type="spellEnd"/>
            <w:r w:rsidRPr="00953DA3">
              <w:rPr>
                <w:szCs w:val="22"/>
              </w:rPr>
              <w:t xml:space="preserve"> anémia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zriedkavé</w:t>
            </w:r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37350D">
              <w:rPr>
                <w:sz w:val="22"/>
                <w:szCs w:val="22"/>
              </w:rPr>
              <w:t>Závažná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alergická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reakcia</w:t>
            </w:r>
            <w:proofErr w:type="spellEnd"/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BD5276">
              <w:rPr>
                <w:bCs/>
                <w:sz w:val="22"/>
                <w:szCs w:val="22"/>
              </w:rPr>
              <w:t>Poruchy</w:t>
            </w:r>
            <w:proofErr w:type="spellEnd"/>
            <w:r w:rsidRPr="00BD527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5276">
              <w:rPr>
                <w:bCs/>
                <w:sz w:val="22"/>
                <w:szCs w:val="22"/>
              </w:rPr>
              <w:t>srdca</w:t>
            </w:r>
            <w:proofErr w:type="spellEnd"/>
            <w:r w:rsidRPr="00BD5276">
              <w:rPr>
                <w:bCs/>
                <w:sz w:val="22"/>
                <w:szCs w:val="22"/>
              </w:rPr>
              <w:t xml:space="preserve"> a </w:t>
            </w:r>
            <w:proofErr w:type="spellStart"/>
            <w:r w:rsidRPr="00BD5276">
              <w:rPr>
                <w:bCs/>
                <w:sz w:val="22"/>
                <w:szCs w:val="22"/>
              </w:rPr>
              <w:t>srdcovej</w:t>
            </w:r>
            <w:proofErr w:type="spellEnd"/>
            <w:r w:rsidRPr="00BD527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5276">
              <w:rPr>
                <w:bCs/>
                <w:sz w:val="22"/>
                <w:szCs w:val="22"/>
              </w:rPr>
              <w:t>činnosti</w:t>
            </w:r>
            <w:proofErr w:type="spellEnd"/>
          </w:p>
        </w:tc>
        <w:tc>
          <w:tcPr>
            <w:tcW w:w="4179" w:type="dxa"/>
          </w:tcPr>
          <w:p w:rsidR="000751B0" w:rsidRPr="0037350D" w:rsidRDefault="000751B0" w:rsidP="00D80E4B">
            <w:pPr>
              <w:rPr>
                <w:sz w:val="22"/>
                <w:szCs w:val="22"/>
                <w:u w:val="single"/>
              </w:rPr>
            </w:pPr>
            <w:proofErr w:type="spellStart"/>
            <w:r w:rsidRPr="00953DA3">
              <w:rPr>
                <w:sz w:val="22"/>
                <w:szCs w:val="22"/>
                <w:u w:val="single"/>
              </w:rPr>
              <w:t>Zriedkavé</w:t>
            </w:r>
            <w:proofErr w:type="spellEnd"/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37350D">
              <w:rPr>
                <w:sz w:val="22"/>
                <w:szCs w:val="22"/>
              </w:rPr>
              <w:t>Zlyhanie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srdca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po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predchádzajúcej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  <w:proofErr w:type="spellStart"/>
            <w:r w:rsidRPr="0037350D">
              <w:rPr>
                <w:sz w:val="22"/>
                <w:szCs w:val="22"/>
              </w:rPr>
              <w:t>liečbe</w:t>
            </w:r>
            <w:proofErr w:type="spellEnd"/>
            <w:r w:rsidRPr="0037350D">
              <w:rPr>
                <w:sz w:val="22"/>
                <w:szCs w:val="22"/>
              </w:rPr>
              <w:t xml:space="preserve"> </w:t>
            </w:r>
          </w:p>
          <w:p w:rsidR="000751B0" w:rsidRPr="00015B5E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37350D">
              <w:rPr>
                <w:sz w:val="22"/>
                <w:szCs w:val="22"/>
              </w:rPr>
              <w:t>ant</w:t>
            </w:r>
            <w:r w:rsidRPr="00015B5E">
              <w:rPr>
                <w:sz w:val="22"/>
                <w:szCs w:val="22"/>
              </w:rPr>
              <w:t>racyklínmi</w:t>
            </w:r>
            <w:proofErr w:type="spellEnd"/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0751B0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179" w:type="dxa"/>
          </w:tcPr>
          <w:p w:rsidR="000751B0" w:rsidRPr="0037350D" w:rsidRDefault="000751B0" w:rsidP="00D80E4B">
            <w:pPr>
              <w:rPr>
                <w:sz w:val="22"/>
                <w:szCs w:val="22"/>
                <w:u w:val="single"/>
              </w:rPr>
            </w:pPr>
            <w:proofErr w:type="spellStart"/>
            <w:r w:rsidRPr="00953DA3">
              <w:rPr>
                <w:sz w:val="22"/>
                <w:szCs w:val="22"/>
                <w:u w:val="single"/>
              </w:rPr>
              <w:t>Časté</w:t>
            </w:r>
            <w:proofErr w:type="spellEnd"/>
          </w:p>
          <w:p w:rsidR="000751B0" w:rsidRPr="00953DA3" w:rsidRDefault="000751B0" w:rsidP="00D80E4B">
            <w:pPr>
              <w:pStyle w:val="Nadpis4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7350D">
              <w:rPr>
                <w:b w:val="0"/>
                <w:bCs w:val="0"/>
                <w:sz w:val="22"/>
                <w:szCs w:val="22"/>
              </w:rPr>
              <w:t>Intersticiálna</w:t>
            </w:r>
            <w:proofErr w:type="spellEnd"/>
            <w:r w:rsidRPr="0037350D">
              <w:rPr>
                <w:b w:val="0"/>
                <w:bCs w:val="0"/>
                <w:sz w:val="22"/>
                <w:szCs w:val="22"/>
              </w:rPr>
              <w:t xml:space="preserve"> pneumó</w:t>
            </w:r>
            <w:r w:rsidRPr="00015B5E">
              <w:rPr>
                <w:b w:val="0"/>
                <w:bCs w:val="0"/>
                <w:sz w:val="22"/>
                <w:szCs w:val="22"/>
              </w:rPr>
              <w:t xml:space="preserve">nia, </w:t>
            </w:r>
            <w:proofErr w:type="spellStart"/>
            <w:r w:rsidRPr="00015B5E">
              <w:rPr>
                <w:b w:val="0"/>
                <w:bCs w:val="0"/>
                <w:sz w:val="22"/>
                <w:szCs w:val="22"/>
              </w:rPr>
              <w:t>dyspnoe</w:t>
            </w:r>
            <w:proofErr w:type="spellEnd"/>
            <w:r w:rsidRPr="00015B5E">
              <w:rPr>
                <w:b w:val="0"/>
                <w:bCs w:val="0"/>
                <w:sz w:val="22"/>
                <w:szCs w:val="22"/>
              </w:rPr>
              <w:t>, kašeľ</w:t>
            </w:r>
            <w:r w:rsidRPr="00021DD9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953DA3">
              <w:rPr>
                <w:b w:val="0"/>
                <w:bCs w:val="0"/>
                <w:sz w:val="22"/>
                <w:szCs w:val="22"/>
              </w:rPr>
              <w:t>dýchavičnosť</w:t>
            </w:r>
          </w:p>
          <w:p w:rsidR="000751B0" w:rsidRPr="00BD5276" w:rsidRDefault="000751B0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BD5276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0751B0" w:rsidRPr="00BD5276" w:rsidRDefault="000751B0" w:rsidP="00D80E4B">
            <w:pPr>
              <w:rPr>
                <w:rStyle w:val="Zvraznenie"/>
                <w:i w:val="0"/>
                <w:iCs/>
                <w:sz w:val="22"/>
                <w:szCs w:val="22"/>
                <w:lang w:val="sk-SK"/>
              </w:rPr>
            </w:pPr>
            <w:proofErr w:type="spellStart"/>
            <w:r w:rsidRPr="00BD5276">
              <w:rPr>
                <w:sz w:val="22"/>
                <w:szCs w:val="22"/>
                <w:lang w:val="sk-SK"/>
              </w:rPr>
              <w:t>Pulmonárna</w:t>
            </w:r>
            <w:proofErr w:type="spellEnd"/>
            <w:r w:rsidRPr="00BD5276">
              <w:rPr>
                <w:sz w:val="22"/>
                <w:szCs w:val="22"/>
                <w:lang w:val="sk-SK"/>
              </w:rPr>
              <w:t xml:space="preserve"> hypertenzia</w:t>
            </w:r>
            <w:r w:rsidRPr="00BD5276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5276">
              <w:rPr>
                <w:sz w:val="22"/>
                <w:szCs w:val="22"/>
                <w:lang w:val="sk-SK"/>
              </w:rPr>
              <w:t>pulmonárne</w:t>
            </w:r>
            <w:proofErr w:type="spellEnd"/>
            <w:r w:rsidRPr="00BD5276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D5276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>venookluzívne</w:t>
            </w:r>
            <w:proofErr w:type="spellEnd"/>
            <w:r w:rsidRPr="00BD5276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ochorenie (PVOD)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časté</w:t>
            </w:r>
          </w:p>
          <w:p w:rsidR="000751B0" w:rsidRPr="0037350D" w:rsidRDefault="000751B0" w:rsidP="00D80E4B">
            <w:pPr>
              <w:pStyle w:val="Nadpis5"/>
              <w:rPr>
                <w:b w:val="0"/>
                <w:sz w:val="22"/>
                <w:szCs w:val="22"/>
              </w:rPr>
            </w:pPr>
            <w:r w:rsidRPr="0037350D">
              <w:rPr>
                <w:b w:val="0"/>
                <w:sz w:val="22"/>
                <w:szCs w:val="22"/>
              </w:rPr>
              <w:lastRenderedPageBreak/>
              <w:t>Nauzea, vracanie</w:t>
            </w:r>
          </w:p>
          <w:p w:rsidR="000751B0" w:rsidRPr="00015B5E" w:rsidRDefault="000751B0" w:rsidP="00D80E4B">
            <w:pPr>
              <w:rPr>
                <w:sz w:val="22"/>
                <w:szCs w:val="22"/>
                <w:u w:val="single"/>
              </w:rPr>
            </w:pPr>
            <w:proofErr w:type="spellStart"/>
            <w:r w:rsidRPr="00015B5E">
              <w:rPr>
                <w:sz w:val="22"/>
                <w:szCs w:val="22"/>
                <w:u w:val="single"/>
              </w:rPr>
              <w:t>Menej</w:t>
            </w:r>
            <w:proofErr w:type="spellEnd"/>
            <w:r w:rsidRPr="00015B5E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015B5E">
              <w:rPr>
                <w:sz w:val="22"/>
                <w:szCs w:val="22"/>
                <w:u w:val="single"/>
              </w:rPr>
              <w:t>časté</w:t>
            </w:r>
            <w:proofErr w:type="spellEnd"/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Mukozitída</w:t>
            </w:r>
            <w:proofErr w:type="spellEnd"/>
            <w:r w:rsidRPr="00953DA3">
              <w:rPr>
                <w:sz w:val="22"/>
                <w:szCs w:val="22"/>
              </w:rPr>
              <w:t xml:space="preserve">, </w:t>
            </w:r>
            <w:proofErr w:type="spellStart"/>
            <w:r w:rsidRPr="00953DA3">
              <w:rPr>
                <w:sz w:val="22"/>
                <w:szCs w:val="22"/>
              </w:rPr>
              <w:t>stomatitída</w:t>
            </w:r>
            <w:proofErr w:type="spellEnd"/>
            <w:r w:rsidRPr="00953DA3">
              <w:rPr>
                <w:sz w:val="22"/>
                <w:szCs w:val="22"/>
              </w:rPr>
              <w:t xml:space="preserve">, </w:t>
            </w:r>
            <w:proofErr w:type="spellStart"/>
            <w:r w:rsidRPr="00953DA3">
              <w:rPr>
                <w:sz w:val="22"/>
                <w:szCs w:val="22"/>
              </w:rPr>
              <w:t>hnačka</w:t>
            </w:r>
            <w:proofErr w:type="spellEnd"/>
            <w:r w:rsidRPr="00953DA3">
              <w:rPr>
                <w:sz w:val="22"/>
                <w:szCs w:val="22"/>
              </w:rPr>
              <w:t>, anorexia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0751B0" w:rsidTr="00566CF6">
        <w:tc>
          <w:tcPr>
            <w:tcW w:w="5031" w:type="dxa"/>
          </w:tcPr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lastRenderedPageBreak/>
              <w:t>Poruchy pečene a žlčových ciest</w:t>
            </w:r>
          </w:p>
        </w:tc>
        <w:tc>
          <w:tcPr>
            <w:tcW w:w="4179" w:type="dxa"/>
          </w:tcPr>
          <w:p w:rsidR="000751B0" w:rsidRPr="00BD5276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BD5276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  <w:r w:rsidRPr="00BD5276">
              <w:rPr>
                <w:sz w:val="22"/>
                <w:szCs w:val="22"/>
                <w:lang w:val="pl-PL"/>
              </w:rPr>
              <w:t xml:space="preserve">Hepatálna dysfunkcia, zvýšené hladiny transamináz, žĺtačka, </w:t>
            </w:r>
            <w:r w:rsidRPr="00BD5276">
              <w:rPr>
                <w:rStyle w:val="Zvraznenie"/>
                <w:i w:val="0"/>
                <w:iCs/>
                <w:sz w:val="22"/>
                <w:szCs w:val="22"/>
                <w:lang w:val="pl-PL"/>
              </w:rPr>
              <w:t xml:space="preserve">venookluzívne ochorenie </w:t>
            </w:r>
            <w:r w:rsidRPr="00BD5276">
              <w:rPr>
                <w:sz w:val="22"/>
                <w:szCs w:val="22"/>
                <w:lang w:val="pl-PL"/>
              </w:rPr>
              <w:t>(VOD) pečene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79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Časté</w:t>
            </w:r>
          </w:p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 xml:space="preserve">Exantém, alergický kožný výsev, kontaktná dermatitída, </w:t>
            </w:r>
            <w:r>
              <w:rPr>
                <w:sz w:val="22"/>
                <w:szCs w:val="22"/>
                <w:lang w:val="pl-PL"/>
              </w:rPr>
              <w:t>palmárno-plantárna erytrodyzastézia (PPE)</w:t>
            </w: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</w:rPr>
            </w:pPr>
            <w:proofErr w:type="spellStart"/>
            <w:r w:rsidRPr="00953DA3">
              <w:rPr>
                <w:sz w:val="22"/>
                <w:szCs w:val="22"/>
                <w:u w:val="single"/>
              </w:rPr>
              <w:t>Menej</w:t>
            </w:r>
            <w:proofErr w:type="spellEnd"/>
            <w:r w:rsidRPr="00953DA3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953DA3">
              <w:rPr>
                <w:sz w:val="22"/>
                <w:szCs w:val="22"/>
                <w:u w:val="single"/>
              </w:rPr>
              <w:t>časté</w:t>
            </w:r>
            <w:proofErr w:type="spellEnd"/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Alopécia</w:t>
            </w:r>
            <w:proofErr w:type="spellEnd"/>
          </w:p>
          <w:p w:rsidR="000751B0" w:rsidRPr="00953DA3" w:rsidRDefault="000751B0" w:rsidP="00D80E4B">
            <w:pPr>
              <w:pStyle w:val="Zkladntext2"/>
              <w:ind w:right="0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Zriedkavé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Generalizovaný</w:t>
            </w:r>
            <w:proofErr w:type="spellEnd"/>
            <w:r w:rsidRPr="00953DA3">
              <w:rPr>
                <w:sz w:val="22"/>
                <w:szCs w:val="22"/>
              </w:rPr>
              <w:t xml:space="preserve"> </w:t>
            </w:r>
            <w:proofErr w:type="spellStart"/>
            <w:r w:rsidRPr="00953DA3">
              <w:rPr>
                <w:sz w:val="22"/>
                <w:szCs w:val="22"/>
              </w:rPr>
              <w:t>exantém</w:t>
            </w:r>
            <w:proofErr w:type="spellEnd"/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204F32" w:rsidTr="00566CF6"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obličiek a močových ciest</w:t>
            </w:r>
            <w:r w:rsidRPr="00204F32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179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 xml:space="preserve">Časté </w:t>
            </w:r>
          </w:p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iCs/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Renálna dysfunkcia, zvýšená hladina sérového kreatinínu, glomerulopatia, n</w:t>
            </w:r>
            <w:r w:rsidRPr="00204F32">
              <w:rPr>
                <w:iCs/>
                <w:sz w:val="22"/>
                <w:szCs w:val="22"/>
                <w:lang w:val="pl-PL"/>
              </w:rPr>
              <w:t xml:space="preserve">efrotoxicita </w:t>
            </w:r>
          </w:p>
          <w:p w:rsidR="000751B0" w:rsidRPr="00204F32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Hemolyticko-uremický syndróm (HUS) (často fatálny), mikroangiopaticko-hemolytická anémia (MAHA syndróm)</w:t>
            </w:r>
          </w:p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</w:p>
        </w:tc>
      </w:tr>
      <w:tr w:rsidR="000751B0" w:rsidRPr="00953DA3" w:rsidTr="00C86F10">
        <w:trPr>
          <w:trHeight w:val="2080"/>
        </w:trPr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highlight w:val="yellow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37350D">
              <w:rPr>
                <w:sz w:val="22"/>
                <w:szCs w:val="22"/>
                <w:u w:val="single"/>
                <w:lang w:val="fr-FR"/>
              </w:rPr>
              <w:t>Časté</w:t>
            </w:r>
          </w:p>
          <w:p w:rsidR="000751B0" w:rsidRPr="0037350D" w:rsidRDefault="000751B0" w:rsidP="00D80E4B">
            <w:pPr>
              <w:rPr>
                <w:sz w:val="22"/>
                <w:szCs w:val="22"/>
                <w:lang w:val="fr-FR"/>
              </w:rPr>
            </w:pPr>
            <w:r w:rsidRPr="0037350D">
              <w:rPr>
                <w:iCs/>
                <w:sz w:val="22"/>
                <w:szCs w:val="22"/>
                <w:lang w:val="fr-FR"/>
              </w:rPr>
              <w:t>Po extravazácii:</w:t>
            </w:r>
          </w:p>
          <w:p w:rsidR="000751B0" w:rsidRPr="004B747A" w:rsidRDefault="000751B0" w:rsidP="00D80E4B">
            <w:pPr>
              <w:rPr>
                <w:sz w:val="22"/>
                <w:szCs w:val="22"/>
                <w:lang w:val="fr-FR"/>
              </w:rPr>
            </w:pPr>
            <w:r w:rsidRPr="0037350D">
              <w:rPr>
                <w:sz w:val="22"/>
                <w:szCs w:val="22"/>
                <w:lang w:val="fr-FR"/>
              </w:rPr>
              <w:t>Celulitída, ne</w:t>
            </w:r>
            <w:r w:rsidRPr="00015B5E">
              <w:rPr>
                <w:sz w:val="22"/>
                <w:szCs w:val="22"/>
                <w:lang w:val="fr-FR"/>
              </w:rPr>
              <w:t>kr</w:t>
            </w:r>
            <w:r w:rsidRPr="00021DD9">
              <w:rPr>
                <w:sz w:val="22"/>
                <w:szCs w:val="22"/>
                <w:lang w:val="fr-FR"/>
              </w:rPr>
              <w:t>óza tkaniva</w:t>
            </w:r>
          </w:p>
          <w:p w:rsidR="000751B0" w:rsidRPr="00953DA3" w:rsidRDefault="000751B0" w:rsidP="00D80E4B">
            <w:pPr>
              <w:rPr>
                <w:sz w:val="22"/>
                <w:szCs w:val="22"/>
                <w:lang w:val="fr-FR"/>
              </w:rPr>
            </w:pP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fr-FR"/>
              </w:rPr>
            </w:pPr>
            <w:r w:rsidRPr="00953DA3">
              <w:rPr>
                <w:sz w:val="22"/>
                <w:szCs w:val="22"/>
                <w:u w:val="single"/>
                <w:lang w:val="fr-FR"/>
              </w:rPr>
              <w:t>Menej časté</w:t>
            </w: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953DA3">
              <w:rPr>
                <w:bCs/>
                <w:sz w:val="22"/>
                <w:szCs w:val="22"/>
                <w:lang w:val="fr-FR"/>
              </w:rPr>
              <w:t>Horúčka</w:t>
            </w:r>
          </w:p>
        </w:tc>
      </w:tr>
    </w:tbl>
    <w:p w:rsidR="000751B0" w:rsidRPr="00953DA3" w:rsidRDefault="000751B0" w:rsidP="00D80E4B">
      <w:pPr>
        <w:rPr>
          <w:sz w:val="22"/>
          <w:szCs w:val="22"/>
          <w:lang w:val="fr-FR"/>
        </w:rPr>
      </w:pPr>
    </w:p>
    <w:p w:rsidR="000751B0" w:rsidRPr="00204F32" w:rsidRDefault="000751B0" w:rsidP="00D80E4B">
      <w:pPr>
        <w:rPr>
          <w:b/>
          <w:bCs/>
          <w:sz w:val="22"/>
          <w:szCs w:val="22"/>
          <w:u w:val="single"/>
          <w:lang w:val="fr-FR"/>
        </w:rPr>
      </w:pPr>
      <w:r w:rsidRPr="00204F32">
        <w:rPr>
          <w:b/>
          <w:sz w:val="22"/>
          <w:szCs w:val="22"/>
          <w:u w:val="single"/>
          <w:lang w:val="fr-FR"/>
        </w:rPr>
        <w:t>Možné vedľajšie účinky po intravezikálnej liečbe</w:t>
      </w:r>
    </w:p>
    <w:p w:rsidR="000751B0" w:rsidRPr="0037350D" w:rsidRDefault="000751B0" w:rsidP="00D80E4B">
      <w:pPr>
        <w:pStyle w:val="Zkladntext2"/>
        <w:rPr>
          <w:szCs w:val="22"/>
        </w:rPr>
      </w:pPr>
    </w:p>
    <w:tbl>
      <w:tblPr>
        <w:tblpPr w:leftFromText="141" w:rightFromText="141" w:vertAnchor="text" w:horzAnchor="page" w:tblpX="1378" w:tblpY="39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63"/>
      </w:tblGrid>
      <w:tr w:rsidR="000751B0" w:rsidRPr="00953DA3" w:rsidTr="00D80E4B">
        <w:trPr>
          <w:trHeight w:val="1266"/>
        </w:trPr>
        <w:tc>
          <w:tcPr>
            <w:tcW w:w="5006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37350D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63" w:type="dxa"/>
          </w:tcPr>
          <w:p w:rsidR="000751B0" w:rsidRPr="00021DD9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015B5E">
              <w:rPr>
                <w:sz w:val="22"/>
                <w:szCs w:val="22"/>
                <w:u w:val="single"/>
                <w:lang w:val="fr-FR"/>
              </w:rPr>
              <w:t>Časté</w:t>
            </w:r>
            <w:r w:rsidRPr="00015B5E">
              <w:rPr>
                <w:sz w:val="22"/>
                <w:szCs w:val="22"/>
                <w:lang w:val="fr-FR"/>
              </w:rPr>
              <w:t xml:space="preserve"> </w:t>
            </w:r>
          </w:p>
          <w:p w:rsidR="000751B0" w:rsidRPr="00204F32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4B747A">
              <w:rPr>
                <w:sz w:val="22"/>
                <w:szCs w:val="22"/>
                <w:lang w:val="fr-FR"/>
              </w:rPr>
              <w:t>Pruritus,</w:t>
            </w:r>
            <w:r w:rsidRPr="00056632">
              <w:rPr>
                <w:sz w:val="22"/>
                <w:szCs w:val="22"/>
                <w:lang w:val="fr-FR"/>
              </w:rPr>
              <w:t xml:space="preserve"> alergický kožný výsev</w:t>
            </w:r>
            <w:r w:rsidRPr="005212CB">
              <w:rPr>
                <w:sz w:val="22"/>
                <w:szCs w:val="22"/>
                <w:lang w:val="fr-FR"/>
              </w:rPr>
              <w:t>, kontaktná dermatitída, palmárno</w:t>
            </w:r>
            <w:r>
              <w:rPr>
                <w:sz w:val="22"/>
                <w:szCs w:val="22"/>
                <w:lang w:val="fr-FR"/>
              </w:rPr>
              <w:t>-</w:t>
            </w:r>
            <w:r w:rsidRPr="005212CB">
              <w:rPr>
                <w:sz w:val="22"/>
                <w:szCs w:val="22"/>
                <w:lang w:val="fr-FR"/>
              </w:rPr>
              <w:t>plantárny erytém</w:t>
            </w:r>
            <w:r w:rsidRPr="00204F32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fr-FR"/>
              </w:rPr>
              <w:t>Generalizovaný exantém</w:t>
            </w:r>
            <w:r w:rsidRPr="00953DA3">
              <w:rPr>
                <w:sz w:val="22"/>
                <w:szCs w:val="22"/>
              </w:rPr>
              <w:t xml:space="preserve"> </w:t>
            </w:r>
          </w:p>
        </w:tc>
      </w:tr>
      <w:tr w:rsidR="000751B0" w:rsidRPr="00204F32" w:rsidTr="00C60DBC">
        <w:tc>
          <w:tcPr>
            <w:tcW w:w="5006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4163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Časté</w:t>
            </w:r>
            <w:r w:rsidRPr="00204F32">
              <w:rPr>
                <w:sz w:val="22"/>
                <w:szCs w:val="22"/>
                <w:lang w:val="pl-PL"/>
              </w:rPr>
              <w:t xml:space="preserve"> </w:t>
            </w:r>
          </w:p>
          <w:p w:rsidR="000751B0" w:rsidRPr="00204F32" w:rsidRDefault="000751B0" w:rsidP="00953DA3">
            <w:pPr>
              <w:pStyle w:val="Zarkazkladnhotextu3"/>
              <w:spacing w:after="0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Cystitída (aj hemoragická), dyzúria, noktúria, polakizúria, hematúria, lokálne podráždenie steny močového mechúra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</w:p>
          <w:p w:rsidR="000751B0" w:rsidRPr="00953DA3" w:rsidRDefault="000751B0" w:rsidP="00D80E4B">
            <w:pPr>
              <w:pStyle w:val="Zkladntext2"/>
              <w:ind w:right="0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zriedkavé</w:t>
            </w:r>
          </w:p>
          <w:p w:rsidR="000751B0" w:rsidRDefault="000751B0" w:rsidP="00D80E4B">
            <w:pPr>
              <w:rPr>
                <w:sz w:val="22"/>
                <w:szCs w:val="22"/>
                <w:lang w:val="sk-SK"/>
              </w:rPr>
            </w:pPr>
            <w:proofErr w:type="spellStart"/>
            <w:r w:rsidRPr="00953DA3">
              <w:rPr>
                <w:sz w:val="22"/>
                <w:szCs w:val="22"/>
                <w:lang w:val="sk-SK"/>
              </w:rPr>
              <w:t>Nekrotizujúca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>, alergická (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eozinofilická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)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stenóza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eferentného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 traktu močových ciest, zníženie kapacity močového mechúra, kalcifikácia steny  </w:t>
            </w:r>
            <w:r w:rsidRPr="00953DA3">
              <w:rPr>
                <w:sz w:val="22"/>
                <w:szCs w:val="22"/>
                <w:lang w:val="sk-SK"/>
              </w:rPr>
              <w:lastRenderedPageBreak/>
              <w:t xml:space="preserve">močového mechúra a </w:t>
            </w:r>
            <w:proofErr w:type="spellStart"/>
            <w:r w:rsidRPr="00953DA3">
              <w:rPr>
                <w:sz w:val="22"/>
                <w:szCs w:val="22"/>
                <w:lang w:val="sk-SK"/>
              </w:rPr>
              <w:t>fibróza</w:t>
            </w:r>
            <w:proofErr w:type="spellEnd"/>
            <w:r w:rsidRPr="00953DA3">
              <w:rPr>
                <w:sz w:val="22"/>
                <w:szCs w:val="22"/>
                <w:lang w:val="sk-SK"/>
              </w:rPr>
              <w:t xml:space="preserve"> steny </w:t>
            </w:r>
            <w:r>
              <w:rPr>
                <w:sz w:val="22"/>
                <w:szCs w:val="22"/>
                <w:lang w:val="sk-SK"/>
              </w:rPr>
              <w:t>močového mechúra</w:t>
            </w:r>
          </w:p>
          <w:p w:rsidR="000751B0" w:rsidRPr="00953DA3" w:rsidRDefault="000751B0" w:rsidP="00D80E4B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0751B0" w:rsidRPr="00953DA3" w:rsidRDefault="000751B0" w:rsidP="00D80E4B">
      <w:pPr>
        <w:pStyle w:val="Normlnywebov"/>
        <w:tabs>
          <w:tab w:val="num" w:pos="312"/>
          <w:tab w:val="left" w:pos="720"/>
          <w:tab w:val="left" w:pos="840"/>
          <w:tab w:val="num" w:pos="1950"/>
        </w:tabs>
        <w:spacing w:before="0" w:beforeAutospacing="0" w:after="0" w:afterAutospacing="0"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0751B0" w:rsidRPr="00953DA3" w:rsidRDefault="000751B0" w:rsidP="00953DA3">
      <w:pPr>
        <w:suppressLineNumbers/>
        <w:rPr>
          <w:sz w:val="22"/>
          <w:szCs w:val="22"/>
          <w:u w:val="single"/>
          <w:lang w:val="sk-SK"/>
        </w:rPr>
      </w:pPr>
      <w:r w:rsidRPr="00953DA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0751B0" w:rsidRPr="0037350D" w:rsidRDefault="000751B0" w:rsidP="0037350D">
      <w:pPr>
        <w:suppressLineNumbers/>
        <w:rPr>
          <w:noProof/>
          <w:sz w:val="22"/>
          <w:szCs w:val="22"/>
          <w:lang w:val="sk-SK"/>
        </w:rPr>
      </w:pPr>
    </w:p>
    <w:p w:rsidR="000751B0" w:rsidRPr="00204F32" w:rsidRDefault="000751B0" w:rsidP="002B11A9">
      <w:pPr>
        <w:suppressLineNumbers/>
        <w:rPr>
          <w:noProof/>
          <w:sz w:val="22"/>
          <w:szCs w:val="22"/>
          <w:lang w:val="sk-SK"/>
        </w:rPr>
      </w:pPr>
      <w:r w:rsidRPr="0037350D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37350D">
        <w:rPr>
          <w:sz w:val="22"/>
          <w:szCs w:val="22"/>
          <w:lang w:val="sk-SK"/>
        </w:rPr>
        <w:t xml:space="preserve"> </w:t>
      </w:r>
      <w:r w:rsidRPr="0037350D">
        <w:rPr>
          <w:noProof/>
          <w:sz w:val="22"/>
          <w:szCs w:val="22"/>
          <w:lang w:val="sk-SK"/>
        </w:rPr>
        <w:t>Umožňuje priebežné monitorovanie pomeru prínosu a rizika lieku.</w:t>
      </w:r>
      <w:r w:rsidRPr="00015B5E">
        <w:rPr>
          <w:sz w:val="22"/>
          <w:szCs w:val="22"/>
          <w:lang w:val="sk-SK"/>
        </w:rPr>
        <w:t xml:space="preserve"> Od </w:t>
      </w:r>
      <w:r w:rsidRPr="00015B5E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Pr="00DC2614">
        <w:rPr>
          <w:noProof/>
          <w:sz w:val="22"/>
          <w:szCs w:val="22"/>
          <w:highlight w:val="lightGray"/>
          <w:lang w:val="sk-SK"/>
        </w:rPr>
        <w:t>prostredníctvom národného systému hlásenia uvedeného v </w:t>
      </w:r>
      <w:hyperlink r:id="rId7" w:history="1">
        <w:r w:rsidRPr="00DC2614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204F32">
        <w:rPr>
          <w:noProof/>
          <w:sz w:val="22"/>
          <w:szCs w:val="22"/>
          <w:lang w:val="sk-SK"/>
        </w:rPr>
        <w:t>.</w:t>
      </w:r>
    </w:p>
    <w:p w:rsidR="000751B0" w:rsidRPr="0037350D" w:rsidRDefault="000751B0" w:rsidP="0037350D">
      <w:pPr>
        <w:suppressLineNumbers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t xml:space="preserve">4.9 </w:t>
      </w:r>
      <w:r w:rsidRPr="0037350D">
        <w:rPr>
          <w:b/>
          <w:sz w:val="22"/>
          <w:szCs w:val="22"/>
          <w:lang w:val="sk-SK"/>
        </w:rPr>
        <w:tab/>
        <w:t>Predávkovanie</w:t>
      </w: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 xml:space="preserve">Pri predávkovaní sa musí očakávať závažná </w:t>
      </w:r>
      <w:proofErr w:type="spellStart"/>
      <w:r w:rsidRPr="0037350D">
        <w:rPr>
          <w:sz w:val="22"/>
          <w:szCs w:val="22"/>
          <w:lang w:val="sk-SK"/>
        </w:rPr>
        <w:t>myelotoxicita</w:t>
      </w:r>
      <w:proofErr w:type="spellEnd"/>
      <w:r w:rsidRPr="0037350D">
        <w:rPr>
          <w:sz w:val="22"/>
          <w:szCs w:val="22"/>
          <w:lang w:val="sk-SK"/>
        </w:rPr>
        <w:t xml:space="preserve"> alebo dokonca </w:t>
      </w:r>
      <w:proofErr w:type="spellStart"/>
      <w:r w:rsidRPr="0037350D">
        <w:rPr>
          <w:sz w:val="22"/>
          <w:szCs w:val="22"/>
          <w:lang w:val="sk-SK"/>
        </w:rPr>
        <w:t>myeloftíza</w:t>
      </w:r>
      <w:proofErr w:type="spellEnd"/>
      <w:r w:rsidRPr="0037350D">
        <w:rPr>
          <w:sz w:val="22"/>
          <w:szCs w:val="22"/>
          <w:lang w:val="sk-SK"/>
        </w:rPr>
        <w:t xml:space="preserve"> s plným klinickým účinkom, ktorý sa môže vyskytnúť približne po 2 týždňoch.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Doba, po ktorej počet leukocytov klesne na najnižšiu hodnotu, môže trvať 4 týždne. Ak je podozrenie na predávkovanie, je preto tiež potrebný dlhodobý starostlivý hematologický monitoring.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Keďže nie sú k dispozícii účinné </w:t>
      </w:r>
      <w:proofErr w:type="spellStart"/>
      <w:r w:rsidRPr="00953DA3">
        <w:rPr>
          <w:sz w:val="22"/>
          <w:szCs w:val="22"/>
          <w:lang w:val="sk-SK"/>
        </w:rPr>
        <w:t>antidotá</w:t>
      </w:r>
      <w:proofErr w:type="spellEnd"/>
      <w:r w:rsidRPr="00953DA3">
        <w:rPr>
          <w:sz w:val="22"/>
          <w:szCs w:val="22"/>
          <w:lang w:val="sk-SK"/>
        </w:rPr>
        <w:t>, počas každého podávania sa vyžaduje najvyšší stupeň opatrnosti.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5. </w:t>
      </w:r>
      <w:r w:rsidRPr="00953DA3">
        <w:rPr>
          <w:b/>
          <w:sz w:val="22"/>
          <w:szCs w:val="22"/>
          <w:lang w:val="sk-SK"/>
        </w:rPr>
        <w:tab/>
        <w:t>FARMAKOLOGICKÉ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5.1</w:t>
      </w:r>
      <w:r w:rsidRPr="00953DA3">
        <w:rPr>
          <w:b/>
          <w:sz w:val="22"/>
          <w:szCs w:val="22"/>
          <w:lang w:val="sk-SK"/>
        </w:rPr>
        <w:tab/>
      </w:r>
      <w:proofErr w:type="spellStart"/>
      <w:r w:rsidRPr="00953DA3">
        <w:rPr>
          <w:b/>
          <w:sz w:val="22"/>
          <w:szCs w:val="22"/>
          <w:lang w:val="sk-SK"/>
        </w:rPr>
        <w:t>Farmakodynamické</w:t>
      </w:r>
      <w:proofErr w:type="spellEnd"/>
      <w:r w:rsidRPr="00953DA3">
        <w:rPr>
          <w:b/>
          <w:sz w:val="22"/>
          <w:szCs w:val="22"/>
          <w:lang w:val="sk-SK"/>
        </w:rPr>
        <w:t xml:space="preserve">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Farmakoterapeutická</w:t>
      </w:r>
      <w:proofErr w:type="spellEnd"/>
      <w:r w:rsidRPr="00953DA3">
        <w:rPr>
          <w:sz w:val="22"/>
          <w:szCs w:val="22"/>
          <w:lang w:val="sk-SK"/>
        </w:rPr>
        <w:t xml:space="preserve"> skupina: </w:t>
      </w:r>
      <w:proofErr w:type="spellStart"/>
      <w:r w:rsidRPr="00953DA3">
        <w:rPr>
          <w:sz w:val="22"/>
          <w:szCs w:val="22"/>
          <w:lang w:val="sk-SK"/>
        </w:rPr>
        <w:t>cytostatiká</w:t>
      </w:r>
      <w:proofErr w:type="spellEnd"/>
      <w:r w:rsidRPr="00953DA3">
        <w:rPr>
          <w:sz w:val="22"/>
          <w:szCs w:val="22"/>
          <w:lang w:val="sk-SK"/>
        </w:rPr>
        <w:t xml:space="preserve">, iné </w:t>
      </w:r>
      <w:proofErr w:type="spellStart"/>
      <w:r w:rsidRPr="00953DA3">
        <w:rPr>
          <w:sz w:val="22"/>
          <w:szCs w:val="22"/>
          <w:lang w:val="sk-SK"/>
        </w:rPr>
        <w:t>cytotoxické</w:t>
      </w:r>
      <w:proofErr w:type="spellEnd"/>
      <w:r w:rsidRPr="00953DA3">
        <w:rPr>
          <w:sz w:val="22"/>
          <w:szCs w:val="22"/>
          <w:lang w:val="sk-SK"/>
        </w:rPr>
        <w:t xml:space="preserve"> antibiotiká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ATC kód:  L01DC03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Antibiotikum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je </w:t>
      </w:r>
      <w:proofErr w:type="spellStart"/>
      <w:r w:rsidRPr="00953DA3">
        <w:rPr>
          <w:sz w:val="22"/>
          <w:szCs w:val="22"/>
          <w:lang w:val="sk-SK"/>
        </w:rPr>
        <w:t>cytostatický</w:t>
      </w:r>
      <w:proofErr w:type="spellEnd"/>
      <w:r w:rsidRPr="00953DA3">
        <w:rPr>
          <w:sz w:val="22"/>
          <w:szCs w:val="22"/>
          <w:lang w:val="sk-SK"/>
        </w:rPr>
        <w:t xml:space="preserve"> liek zo skupiny </w:t>
      </w:r>
      <w:proofErr w:type="spellStart"/>
      <w:r w:rsidRPr="00953DA3">
        <w:rPr>
          <w:sz w:val="22"/>
          <w:szCs w:val="22"/>
          <w:lang w:val="sk-SK"/>
        </w:rPr>
        <w:t>alkylačných</w:t>
      </w:r>
      <w:proofErr w:type="spellEnd"/>
      <w:r w:rsidRPr="00953DA3">
        <w:rPr>
          <w:sz w:val="22"/>
          <w:szCs w:val="22"/>
          <w:lang w:val="sk-SK"/>
        </w:rPr>
        <w:t xml:space="preserve"> látok.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je antibiotikum izolované zo </w:t>
      </w:r>
      <w:proofErr w:type="spellStart"/>
      <w:r w:rsidRPr="00D80E4B">
        <w:rPr>
          <w:i/>
          <w:sz w:val="22"/>
          <w:szCs w:val="22"/>
          <w:lang w:val="sk-SK"/>
        </w:rPr>
        <w:t>Streptomyces</w:t>
      </w:r>
      <w:proofErr w:type="spellEnd"/>
      <w:r w:rsidRPr="00D80E4B">
        <w:rPr>
          <w:i/>
          <w:sz w:val="22"/>
          <w:szCs w:val="22"/>
          <w:lang w:val="sk-SK"/>
        </w:rPr>
        <w:t xml:space="preserve"> </w:t>
      </w:r>
      <w:proofErr w:type="spellStart"/>
      <w:r w:rsidRPr="00D80E4B">
        <w:rPr>
          <w:i/>
          <w:sz w:val="22"/>
          <w:szCs w:val="22"/>
          <w:lang w:val="sk-SK"/>
        </w:rPr>
        <w:t>caespitosus</w:t>
      </w:r>
      <w:proofErr w:type="spellEnd"/>
      <w:r w:rsidRPr="00953DA3">
        <w:rPr>
          <w:sz w:val="22"/>
          <w:szCs w:val="22"/>
          <w:lang w:val="sk-SK"/>
        </w:rPr>
        <w:t xml:space="preserve"> s </w:t>
      </w:r>
      <w:proofErr w:type="spellStart"/>
      <w:r w:rsidRPr="00953DA3">
        <w:rPr>
          <w:sz w:val="22"/>
          <w:szCs w:val="22"/>
          <w:lang w:val="sk-SK"/>
        </w:rPr>
        <w:t>antineoplastickým</w:t>
      </w:r>
      <w:proofErr w:type="spellEnd"/>
      <w:r w:rsidRPr="00953DA3">
        <w:rPr>
          <w:sz w:val="22"/>
          <w:szCs w:val="22"/>
          <w:lang w:val="sk-SK"/>
        </w:rPr>
        <w:t xml:space="preserve"> účinkom. Tu je prítomný v </w:t>
      </w:r>
      <w:proofErr w:type="spellStart"/>
      <w:r w:rsidRPr="00953DA3">
        <w:rPr>
          <w:sz w:val="22"/>
          <w:szCs w:val="22"/>
          <w:lang w:val="sk-SK"/>
        </w:rPr>
        <w:t>inaktívnej</w:t>
      </w:r>
      <w:proofErr w:type="spellEnd"/>
      <w:r w:rsidRPr="00953DA3">
        <w:rPr>
          <w:sz w:val="22"/>
          <w:szCs w:val="22"/>
          <w:lang w:val="sk-SK"/>
        </w:rPr>
        <w:t xml:space="preserve"> forme. Aktivácia na </w:t>
      </w:r>
      <w:proofErr w:type="spellStart"/>
      <w:r w:rsidRPr="00953DA3">
        <w:rPr>
          <w:sz w:val="22"/>
          <w:szCs w:val="22"/>
          <w:lang w:val="sk-SK"/>
        </w:rPr>
        <w:t>trojfunkčnú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alkylačnú</w:t>
      </w:r>
      <w:proofErr w:type="spellEnd"/>
      <w:r w:rsidRPr="00953DA3">
        <w:rPr>
          <w:sz w:val="22"/>
          <w:szCs w:val="22"/>
          <w:lang w:val="sk-SK"/>
        </w:rPr>
        <w:t xml:space="preserve"> látku je rýchla, buď pri fyziologickom pH za prítomnosti NADPH v sére alebo intracelulárne v</w:t>
      </w:r>
      <w:r>
        <w:rPr>
          <w:sz w:val="22"/>
          <w:szCs w:val="22"/>
          <w:lang w:val="sk-SK"/>
        </w:rPr>
        <w:t> podstate vo</w:t>
      </w:r>
      <w:r w:rsidRPr="00953DA3">
        <w:rPr>
          <w:sz w:val="22"/>
          <w:szCs w:val="22"/>
          <w:lang w:val="sk-SK"/>
        </w:rPr>
        <w:t xml:space="preserve"> všetkých bunkách v tele s výnimkou mozgu, pretože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neprechádza </w:t>
      </w:r>
      <w:proofErr w:type="spellStart"/>
      <w:r w:rsidRPr="00953DA3">
        <w:rPr>
          <w:sz w:val="22"/>
          <w:szCs w:val="22"/>
          <w:lang w:val="sk-SK"/>
        </w:rPr>
        <w:t>hematoencefalickou</w:t>
      </w:r>
      <w:proofErr w:type="spellEnd"/>
      <w:r w:rsidRPr="00953DA3">
        <w:rPr>
          <w:sz w:val="22"/>
          <w:szCs w:val="22"/>
          <w:lang w:val="sk-SK"/>
        </w:rPr>
        <w:t xml:space="preserve"> bariérou. Všetky tri </w:t>
      </w:r>
      <w:proofErr w:type="spellStart"/>
      <w:r w:rsidRPr="00953DA3">
        <w:rPr>
          <w:sz w:val="22"/>
          <w:szCs w:val="22"/>
          <w:lang w:val="sk-SK"/>
        </w:rPr>
        <w:t>alkylačné</w:t>
      </w:r>
      <w:proofErr w:type="spellEnd"/>
      <w:r w:rsidRPr="00953DA3">
        <w:rPr>
          <w:sz w:val="22"/>
          <w:szCs w:val="22"/>
          <w:lang w:val="sk-SK"/>
        </w:rPr>
        <w:t xml:space="preserve"> radikály pozostávajú z </w:t>
      </w:r>
      <w:proofErr w:type="spellStart"/>
      <w:r w:rsidRPr="00953DA3">
        <w:rPr>
          <w:sz w:val="22"/>
          <w:szCs w:val="22"/>
          <w:lang w:val="sk-SK"/>
        </w:rPr>
        <w:t>chinónu</w:t>
      </w:r>
      <w:proofErr w:type="spellEnd"/>
      <w:r w:rsidRPr="00953DA3">
        <w:rPr>
          <w:sz w:val="22"/>
          <w:szCs w:val="22"/>
          <w:lang w:val="sk-SK"/>
        </w:rPr>
        <w:t xml:space="preserve">, </w:t>
      </w:r>
      <w:proofErr w:type="spellStart"/>
      <w:r w:rsidRPr="00953DA3">
        <w:rPr>
          <w:sz w:val="22"/>
          <w:szCs w:val="22"/>
          <w:lang w:val="sk-SK"/>
        </w:rPr>
        <w:t>aziridínu</w:t>
      </w:r>
      <w:proofErr w:type="spellEnd"/>
      <w:r w:rsidRPr="00953DA3">
        <w:rPr>
          <w:sz w:val="22"/>
          <w:szCs w:val="22"/>
          <w:lang w:val="sk-SK"/>
        </w:rPr>
        <w:t xml:space="preserve"> a </w:t>
      </w:r>
      <w:proofErr w:type="spellStart"/>
      <w:r w:rsidRPr="00953DA3">
        <w:rPr>
          <w:sz w:val="22"/>
          <w:szCs w:val="22"/>
          <w:lang w:val="sk-SK"/>
        </w:rPr>
        <w:t>uretánu</w:t>
      </w:r>
      <w:proofErr w:type="spellEnd"/>
      <w:r w:rsidRPr="00953DA3">
        <w:rPr>
          <w:sz w:val="22"/>
          <w:szCs w:val="22"/>
          <w:lang w:val="sk-SK"/>
        </w:rPr>
        <w:t xml:space="preserve">. Mechanizmus účinku je založený predovšetkým na </w:t>
      </w:r>
      <w:proofErr w:type="spellStart"/>
      <w:r w:rsidRPr="00953DA3">
        <w:rPr>
          <w:sz w:val="22"/>
          <w:szCs w:val="22"/>
          <w:lang w:val="sk-SK"/>
        </w:rPr>
        <w:t>alkylácii</w:t>
      </w:r>
      <w:proofErr w:type="spellEnd"/>
      <w:r w:rsidRPr="00953DA3">
        <w:rPr>
          <w:sz w:val="22"/>
          <w:szCs w:val="22"/>
          <w:lang w:val="sk-SK"/>
        </w:rPr>
        <w:t xml:space="preserve"> DNA (v menšej miere RNA) pri zodpovedajúcej inhibícii DNA syntézy. Stupeň poškodenia DNA koreluje s klinickým účinkom a je </w:t>
      </w:r>
      <w:r>
        <w:rPr>
          <w:sz w:val="22"/>
          <w:szCs w:val="22"/>
          <w:lang w:val="sk-SK"/>
        </w:rPr>
        <w:t>nižší</w:t>
      </w:r>
      <w:r w:rsidRPr="00953DA3">
        <w:rPr>
          <w:sz w:val="22"/>
          <w:szCs w:val="22"/>
          <w:lang w:val="sk-SK"/>
        </w:rPr>
        <w:t xml:space="preserve"> u rezistentných buniek ako u senzitívnych. Tak ako u ostatných </w:t>
      </w:r>
      <w:proofErr w:type="spellStart"/>
      <w:r w:rsidRPr="00953DA3">
        <w:rPr>
          <w:sz w:val="22"/>
          <w:szCs w:val="22"/>
          <w:lang w:val="sk-SK"/>
        </w:rPr>
        <w:t>alkylačných</w:t>
      </w:r>
      <w:proofErr w:type="spellEnd"/>
      <w:r w:rsidRPr="00953DA3">
        <w:rPr>
          <w:sz w:val="22"/>
          <w:szCs w:val="22"/>
          <w:lang w:val="sk-SK"/>
        </w:rPr>
        <w:t xml:space="preserve"> látok, </w:t>
      </w:r>
      <w:proofErr w:type="spellStart"/>
      <w:r w:rsidRPr="00953DA3">
        <w:rPr>
          <w:sz w:val="22"/>
          <w:szCs w:val="22"/>
          <w:lang w:val="sk-SK"/>
        </w:rPr>
        <w:t>proliferujúce</w:t>
      </w:r>
      <w:proofErr w:type="spellEnd"/>
      <w:r w:rsidRPr="00953DA3">
        <w:rPr>
          <w:sz w:val="22"/>
          <w:szCs w:val="22"/>
          <w:lang w:val="sk-SK"/>
        </w:rPr>
        <w:t xml:space="preserve"> bunky sú poškodené vo väčšej miere ako tie, ktoré sú v </w:t>
      </w:r>
      <w:proofErr w:type="spellStart"/>
      <w:r w:rsidRPr="00953DA3">
        <w:rPr>
          <w:sz w:val="22"/>
          <w:szCs w:val="22"/>
          <w:lang w:val="sk-SK"/>
        </w:rPr>
        <w:t>kľudovej</w:t>
      </w:r>
      <w:proofErr w:type="spellEnd"/>
      <w:r w:rsidRPr="00953DA3">
        <w:rPr>
          <w:sz w:val="22"/>
          <w:szCs w:val="22"/>
          <w:lang w:val="sk-SK"/>
        </w:rPr>
        <w:t xml:space="preserve"> fáze (GO) bunkového cyklu. Ďalej sa uvoľňujú voľné peroxidové radikály, najmä pri vyšších dávkach, čo zastavuje delenie DNA. Uvoľňovanie peroxidových radikálov súvisí s</w:t>
      </w:r>
      <w:r>
        <w:rPr>
          <w:sz w:val="22"/>
          <w:szCs w:val="22"/>
          <w:lang w:val="sk-SK"/>
        </w:rPr>
        <w:t> </w:t>
      </w:r>
      <w:r w:rsidRPr="00953DA3">
        <w:rPr>
          <w:sz w:val="22"/>
          <w:szCs w:val="22"/>
          <w:lang w:val="sk-SK"/>
        </w:rPr>
        <w:t>orgánovo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špecifickými vedľajšími účinkami.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5.2</w:t>
      </w:r>
      <w:r w:rsidRPr="00953DA3">
        <w:rPr>
          <w:b/>
          <w:sz w:val="22"/>
          <w:szCs w:val="22"/>
          <w:lang w:val="sk-SK"/>
        </w:rPr>
        <w:tab/>
      </w:r>
      <w:proofErr w:type="spellStart"/>
      <w:r w:rsidRPr="00953DA3">
        <w:rPr>
          <w:b/>
          <w:sz w:val="22"/>
          <w:szCs w:val="22"/>
          <w:lang w:val="sk-SK"/>
        </w:rPr>
        <w:t>Farmakokinetické</w:t>
      </w:r>
      <w:proofErr w:type="spellEnd"/>
      <w:r w:rsidRPr="00953DA3">
        <w:rPr>
          <w:b/>
          <w:sz w:val="22"/>
          <w:szCs w:val="22"/>
          <w:lang w:val="sk-SK"/>
        </w:rPr>
        <w:t xml:space="preserve">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Po intravenóznom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 10 - 20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sa namerali maximálne hladiny v plazme 0,4 – 3,2 µg/ml. Biologický polčas je krátky a je v rozsahu od 40 do 50 minút. </w:t>
      </w:r>
      <w:r>
        <w:rPr>
          <w:sz w:val="22"/>
          <w:szCs w:val="22"/>
          <w:lang w:val="sk-SK"/>
        </w:rPr>
        <w:t>Hladina v sére</w:t>
      </w:r>
      <w:r w:rsidRPr="00953DA3">
        <w:rPr>
          <w:sz w:val="22"/>
          <w:szCs w:val="22"/>
          <w:lang w:val="sk-SK"/>
        </w:rPr>
        <w:t xml:space="preserve"> klesá </w:t>
      </w:r>
      <w:proofErr w:type="spellStart"/>
      <w:r w:rsidRPr="00953DA3">
        <w:rPr>
          <w:sz w:val="22"/>
          <w:szCs w:val="22"/>
          <w:lang w:val="sk-SK"/>
        </w:rPr>
        <w:t>bi</w:t>
      </w:r>
      <w:r>
        <w:rPr>
          <w:sz w:val="22"/>
          <w:szCs w:val="22"/>
          <w:lang w:val="sk-SK"/>
        </w:rPr>
        <w:t>o</w:t>
      </w:r>
      <w:r w:rsidRPr="00953DA3">
        <w:rPr>
          <w:sz w:val="22"/>
          <w:szCs w:val="22"/>
          <w:lang w:val="sk-SK"/>
        </w:rPr>
        <w:t>exponenciálne</w:t>
      </w:r>
      <w:proofErr w:type="spellEnd"/>
      <w:r w:rsidRPr="00953DA3">
        <w:rPr>
          <w:sz w:val="22"/>
          <w:szCs w:val="22"/>
          <w:lang w:val="sk-SK"/>
        </w:rPr>
        <w:t>, najprv prudko počas prvých 45 minút, a potom pomalšie.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Po približne 3 hodinách sú hladiny v sére zvyčajne pod hranicou detekcie. Hlavné miesto metabolizmu a eliminácie je pečeň. V tejto súvislosti sa vysoké koncentrácie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  <w:r w:rsidRPr="00953DA3">
        <w:rPr>
          <w:sz w:val="22"/>
          <w:szCs w:val="22"/>
          <w:lang w:val="sk-SK"/>
        </w:rPr>
        <w:t xml:space="preserve"> našli aj v močovom mechúr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 xml:space="preserve">. </w:t>
      </w:r>
      <w:proofErr w:type="spellStart"/>
      <w:r w:rsidRPr="00953DA3">
        <w:rPr>
          <w:sz w:val="22"/>
          <w:szCs w:val="22"/>
          <w:lang w:val="sk-SK"/>
        </w:rPr>
        <w:t>Renálna</w:t>
      </w:r>
      <w:proofErr w:type="spellEnd"/>
      <w:r w:rsidRPr="00953DA3">
        <w:rPr>
          <w:sz w:val="22"/>
          <w:szCs w:val="22"/>
          <w:lang w:val="sk-SK"/>
        </w:rPr>
        <w:t xml:space="preserve"> exkrécia</w:t>
      </w:r>
      <w:r>
        <w:rPr>
          <w:sz w:val="22"/>
          <w:szCs w:val="22"/>
          <w:lang w:val="sk-SK"/>
        </w:rPr>
        <w:t xml:space="preserve"> zohráva</w:t>
      </w:r>
      <w:r w:rsidRPr="00953DA3">
        <w:rPr>
          <w:sz w:val="22"/>
          <w:szCs w:val="22"/>
          <w:lang w:val="sk-SK"/>
        </w:rPr>
        <w:t xml:space="preserve"> len malú úlohu s ohľadom na elimináciu.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tabs>
          <w:tab w:val="left" w:pos="8380"/>
        </w:tabs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 xml:space="preserve">Počas </w:t>
      </w:r>
      <w:proofErr w:type="spellStart"/>
      <w:r w:rsidRPr="00953DA3">
        <w:rPr>
          <w:sz w:val="22"/>
          <w:szCs w:val="22"/>
          <w:lang w:val="sk-SK"/>
        </w:rPr>
        <w:t>intravezikálnej</w:t>
      </w:r>
      <w:proofErr w:type="spellEnd"/>
      <w:r w:rsidRPr="00953DA3">
        <w:rPr>
          <w:sz w:val="22"/>
          <w:szCs w:val="22"/>
          <w:lang w:val="sk-SK"/>
        </w:rPr>
        <w:t xml:space="preserve"> liečby sa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absorbuje v </w:t>
      </w:r>
      <w:r>
        <w:rPr>
          <w:sz w:val="22"/>
          <w:szCs w:val="22"/>
          <w:lang w:val="sk-SK"/>
        </w:rPr>
        <w:t>zanedbateľných</w:t>
      </w:r>
      <w:r w:rsidRPr="00953DA3">
        <w:rPr>
          <w:sz w:val="22"/>
          <w:szCs w:val="22"/>
          <w:lang w:val="sk-SK"/>
        </w:rPr>
        <w:t xml:space="preserve"> množstvách. Systémový účinok však nemôže byť úplne vylúčený.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5.3 </w:t>
      </w:r>
      <w:r w:rsidRPr="00953DA3">
        <w:rPr>
          <w:b/>
          <w:sz w:val="22"/>
          <w:szCs w:val="22"/>
          <w:lang w:val="sk-SK"/>
        </w:rPr>
        <w:tab/>
        <w:t>Predklinické údaje o bezpečnosti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pStyle w:val="Zkladntext2"/>
        <w:rPr>
          <w:szCs w:val="22"/>
        </w:rPr>
      </w:pPr>
      <w:proofErr w:type="spellStart"/>
      <w:r w:rsidRPr="00953DA3">
        <w:rPr>
          <w:szCs w:val="22"/>
        </w:rPr>
        <w:t>Mitomycín</w:t>
      </w:r>
      <w:proofErr w:type="spellEnd"/>
      <w:r w:rsidRPr="00953DA3">
        <w:rPr>
          <w:szCs w:val="22"/>
        </w:rPr>
        <w:t xml:space="preserve"> je u zvierat toxický vo všetkých </w:t>
      </w:r>
      <w:proofErr w:type="spellStart"/>
      <w:r w:rsidRPr="00953DA3">
        <w:rPr>
          <w:szCs w:val="22"/>
        </w:rPr>
        <w:t>proliferujúcich</w:t>
      </w:r>
      <w:proofErr w:type="spellEnd"/>
      <w:r w:rsidRPr="00953DA3">
        <w:rPr>
          <w:szCs w:val="22"/>
        </w:rPr>
        <w:t xml:space="preserve"> tkanivách, najmä v bunkách kostnej drene a v sliznici tráviaceho traktu, čo má za následok inhibíciu </w:t>
      </w:r>
      <w:proofErr w:type="spellStart"/>
      <w:r w:rsidRPr="00953DA3">
        <w:rPr>
          <w:szCs w:val="22"/>
        </w:rPr>
        <w:t>spermiogenézy</w:t>
      </w:r>
      <w:proofErr w:type="spellEnd"/>
      <w:r w:rsidRPr="00953DA3">
        <w:rPr>
          <w:szCs w:val="22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má mutagénne, karcinogénne a </w:t>
      </w:r>
      <w:proofErr w:type="spellStart"/>
      <w:r w:rsidRPr="00953DA3">
        <w:rPr>
          <w:sz w:val="22"/>
          <w:szCs w:val="22"/>
          <w:lang w:val="sk-SK"/>
        </w:rPr>
        <w:t>teratogénne</w:t>
      </w:r>
      <w:proofErr w:type="spellEnd"/>
      <w:r w:rsidRPr="00953DA3">
        <w:rPr>
          <w:sz w:val="22"/>
          <w:szCs w:val="22"/>
          <w:lang w:val="sk-SK"/>
        </w:rPr>
        <w:t xml:space="preserve"> účinky, ktoré sa </w:t>
      </w:r>
      <w:r>
        <w:rPr>
          <w:sz w:val="22"/>
          <w:szCs w:val="22"/>
          <w:lang w:val="sk-SK"/>
        </w:rPr>
        <w:t>preukázali</w:t>
      </w:r>
      <w:r w:rsidRPr="00953DA3">
        <w:rPr>
          <w:sz w:val="22"/>
          <w:szCs w:val="22"/>
          <w:lang w:val="sk-SK"/>
        </w:rPr>
        <w:t xml:space="preserve"> na zodpovedajúcich experimentálnych systémoch.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i/>
          <w:sz w:val="22"/>
          <w:szCs w:val="22"/>
          <w:lang w:val="sk-SK"/>
        </w:rPr>
      </w:pPr>
      <w:r w:rsidRPr="00953DA3">
        <w:rPr>
          <w:b/>
          <w:i/>
          <w:sz w:val="22"/>
          <w:szCs w:val="22"/>
          <w:lang w:val="sk-SK"/>
        </w:rPr>
        <w:t>Lokálna tolerancia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</w:t>
      </w:r>
      <w:proofErr w:type="spellStart"/>
      <w:r w:rsidRPr="00953DA3">
        <w:rPr>
          <w:sz w:val="22"/>
          <w:szCs w:val="22"/>
          <w:lang w:val="sk-SK"/>
        </w:rPr>
        <w:t>paravenóznom</w:t>
      </w:r>
      <w:proofErr w:type="spellEnd"/>
      <w:r w:rsidRPr="00953DA3">
        <w:rPr>
          <w:sz w:val="22"/>
          <w:szCs w:val="22"/>
          <w:lang w:val="sk-SK"/>
        </w:rPr>
        <w:t xml:space="preserve"> podaní alebo </w:t>
      </w:r>
      <w:r>
        <w:rPr>
          <w:sz w:val="22"/>
          <w:szCs w:val="22"/>
          <w:lang w:val="sk-SK"/>
        </w:rPr>
        <w:t>úniku</w:t>
      </w:r>
      <w:r w:rsidRPr="00953DA3">
        <w:rPr>
          <w:sz w:val="22"/>
          <w:szCs w:val="22"/>
          <w:lang w:val="sk-SK"/>
        </w:rPr>
        <w:t xml:space="preserve"> z krvnej cievy do okolitého tkaniva spôsobuje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závažnú </w:t>
      </w:r>
      <w:proofErr w:type="spellStart"/>
      <w:r w:rsidRPr="00953DA3">
        <w:rPr>
          <w:sz w:val="22"/>
          <w:szCs w:val="22"/>
          <w:lang w:val="sk-SK"/>
        </w:rPr>
        <w:t>nekrózu</w:t>
      </w:r>
      <w:proofErr w:type="spellEnd"/>
      <w:r w:rsidRPr="00953DA3">
        <w:rPr>
          <w:sz w:val="22"/>
          <w:szCs w:val="22"/>
          <w:lang w:val="sk-SK"/>
        </w:rPr>
        <w:t xml:space="preserve">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</w:t>
      </w:r>
      <w:r w:rsidRPr="00953DA3">
        <w:rPr>
          <w:b/>
          <w:sz w:val="22"/>
          <w:szCs w:val="22"/>
          <w:lang w:val="sk-SK"/>
        </w:rPr>
        <w:tab/>
        <w:t xml:space="preserve">FARMACEUTICKÉ INFORMÁCIE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6.1 </w:t>
      </w:r>
      <w:r w:rsidRPr="00953DA3">
        <w:rPr>
          <w:b/>
          <w:sz w:val="22"/>
          <w:szCs w:val="22"/>
          <w:lang w:val="sk-SK"/>
        </w:rPr>
        <w:tab/>
        <w:t xml:space="preserve">Zoznam pomocných látok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Manitol</w:t>
      </w:r>
      <w:proofErr w:type="spellEnd"/>
      <w:r>
        <w:rPr>
          <w:sz w:val="22"/>
          <w:szCs w:val="22"/>
          <w:lang w:val="sk-SK"/>
        </w:rPr>
        <w:t xml:space="preserve"> E421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6.2</w:t>
      </w:r>
      <w:r w:rsidRPr="00953DA3">
        <w:rPr>
          <w:b/>
          <w:sz w:val="22"/>
          <w:szCs w:val="22"/>
          <w:lang w:val="sk-SK"/>
        </w:rPr>
        <w:tab/>
        <w:t>Inkompatibility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sa nesmie miešať s iným liekmi, okrem tých, ktoré sú uvedené v časti 6.6.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6.3</w:t>
      </w:r>
      <w:r w:rsidRPr="00953DA3">
        <w:rPr>
          <w:b/>
          <w:sz w:val="22"/>
          <w:szCs w:val="22"/>
          <w:lang w:val="sk-SK"/>
        </w:rPr>
        <w:tab/>
        <w:t>Čas použiteľnosti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Neotvorená</w:t>
      </w:r>
      <w:r>
        <w:rPr>
          <w:sz w:val="22"/>
          <w:szCs w:val="22"/>
          <w:lang w:val="sk-SK"/>
        </w:rPr>
        <w:t xml:space="preserve"> injekčná</w:t>
      </w:r>
      <w:r w:rsidRPr="00953DA3">
        <w:rPr>
          <w:sz w:val="22"/>
          <w:szCs w:val="22"/>
          <w:lang w:val="sk-SK"/>
        </w:rPr>
        <w:t xml:space="preserve"> liekovka: 2 roky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Rekonštituovaný liek sa má použiť ihneď.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Obsah </w:t>
      </w:r>
      <w:r>
        <w:rPr>
          <w:sz w:val="22"/>
          <w:szCs w:val="22"/>
          <w:lang w:val="sk-SK"/>
        </w:rPr>
        <w:t xml:space="preserve">injekčných </w:t>
      </w:r>
      <w:r w:rsidRPr="00953DA3">
        <w:rPr>
          <w:sz w:val="22"/>
          <w:szCs w:val="22"/>
          <w:lang w:val="sk-SK"/>
        </w:rPr>
        <w:t xml:space="preserve">liekoviek je určený len na jednorazové použitie. Nespotrebované roztoky sa musia zlikvidovať.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6.4</w:t>
      </w:r>
      <w:r w:rsidRPr="00953DA3">
        <w:rPr>
          <w:b/>
          <w:sz w:val="22"/>
          <w:szCs w:val="22"/>
          <w:lang w:val="sk-SK"/>
        </w:rPr>
        <w:tab/>
        <w:t>Špeciálne upozornenia na uchovávanie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Podmienky na uchovávanie lieku, pozri časť 6.3.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6.5</w:t>
      </w:r>
      <w:r w:rsidRPr="00953DA3">
        <w:rPr>
          <w:b/>
          <w:sz w:val="22"/>
          <w:szCs w:val="22"/>
          <w:lang w:val="sk-SK"/>
        </w:rPr>
        <w:tab/>
        <w:t>Druh obalu a obsah balenia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dodáva</w:t>
      </w:r>
      <w:r w:rsidRPr="00953DA3">
        <w:rPr>
          <w:sz w:val="22"/>
          <w:szCs w:val="22"/>
          <w:lang w:val="sk-SK"/>
        </w:rPr>
        <w:t xml:space="preserve"> v </w:t>
      </w:r>
      <w:r>
        <w:rPr>
          <w:sz w:val="22"/>
          <w:szCs w:val="22"/>
          <w:lang w:val="sk-SK"/>
        </w:rPr>
        <w:t>sklenenej</w:t>
      </w:r>
      <w:r w:rsidRPr="00953DA3">
        <w:rPr>
          <w:sz w:val="22"/>
          <w:szCs w:val="22"/>
          <w:lang w:val="sk-SK"/>
        </w:rPr>
        <w:t xml:space="preserve"> injekčnej liekovke typu I</w:t>
      </w:r>
      <w:r>
        <w:rPr>
          <w:sz w:val="22"/>
          <w:szCs w:val="22"/>
          <w:lang w:val="sk-SK"/>
        </w:rPr>
        <w:t>, jantárovej farby</w:t>
      </w:r>
      <w:r w:rsidRPr="00953DA3">
        <w:rPr>
          <w:sz w:val="22"/>
          <w:szCs w:val="22"/>
          <w:lang w:val="sk-SK"/>
        </w:rPr>
        <w:t xml:space="preserve"> s </w:t>
      </w:r>
      <w:proofErr w:type="spellStart"/>
      <w:r w:rsidRPr="00953DA3">
        <w:rPr>
          <w:sz w:val="22"/>
          <w:szCs w:val="22"/>
          <w:lang w:val="sk-SK"/>
        </w:rPr>
        <w:t>brómbutylovovou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gum</w:t>
      </w:r>
      <w:r>
        <w:rPr>
          <w:sz w:val="22"/>
          <w:szCs w:val="22"/>
          <w:lang w:val="sk-SK"/>
        </w:rPr>
        <w:t>ovou</w:t>
      </w:r>
      <w:r w:rsidRPr="00953DA3">
        <w:rPr>
          <w:sz w:val="22"/>
          <w:szCs w:val="22"/>
          <w:lang w:val="sk-SK"/>
        </w:rPr>
        <w:t xml:space="preserve"> zátkou a hliníkovým </w:t>
      </w:r>
      <w:r>
        <w:rPr>
          <w:sz w:val="22"/>
          <w:szCs w:val="22"/>
          <w:lang w:val="sk-SK"/>
        </w:rPr>
        <w:t>uzáverom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Injekčné liekovky s</w:t>
      </w:r>
      <w:r>
        <w:rPr>
          <w:sz w:val="22"/>
          <w:szCs w:val="22"/>
          <w:lang w:val="sk-SK"/>
        </w:rPr>
        <w:t xml:space="preserve"> obsahom</w:t>
      </w:r>
      <w:r w:rsidRPr="00953DA3">
        <w:rPr>
          <w:sz w:val="22"/>
          <w:szCs w:val="22"/>
          <w:lang w:val="sk-SK"/>
        </w:rPr>
        <w:t xml:space="preserve"> 10 mg a 20 mg sú balené v krabičkách </w:t>
      </w:r>
      <w:r>
        <w:rPr>
          <w:sz w:val="22"/>
          <w:szCs w:val="22"/>
          <w:lang w:val="sk-SK"/>
        </w:rPr>
        <w:t>po</w:t>
      </w:r>
      <w:r w:rsidRPr="00953DA3">
        <w:rPr>
          <w:sz w:val="22"/>
          <w:szCs w:val="22"/>
          <w:lang w:val="sk-SK"/>
        </w:rPr>
        <w:t xml:space="preserve"> 1 alebo 5 injekčných liekov</w:t>
      </w:r>
      <w:r>
        <w:rPr>
          <w:sz w:val="22"/>
          <w:szCs w:val="22"/>
          <w:lang w:val="sk-SK"/>
        </w:rPr>
        <w:t>kách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2 mg injekčné liekovky sú balené v krabičkách </w:t>
      </w:r>
      <w:r>
        <w:rPr>
          <w:sz w:val="22"/>
          <w:szCs w:val="22"/>
          <w:lang w:val="sk-SK"/>
        </w:rPr>
        <w:t>po</w:t>
      </w:r>
      <w:r w:rsidRPr="00953DA3">
        <w:rPr>
          <w:sz w:val="22"/>
          <w:szCs w:val="22"/>
          <w:lang w:val="sk-SK"/>
        </w:rPr>
        <w:t xml:space="preserve"> 1, 5 alebo 10 injekčných liekov</w:t>
      </w:r>
      <w:r>
        <w:rPr>
          <w:sz w:val="22"/>
          <w:szCs w:val="22"/>
          <w:lang w:val="sk-SK"/>
        </w:rPr>
        <w:t>kách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 xml:space="preserve">a trh nemusia byť uvedené </w:t>
      </w:r>
      <w:r w:rsidRPr="00953DA3">
        <w:rPr>
          <w:sz w:val="22"/>
          <w:szCs w:val="22"/>
          <w:lang w:val="sk-SK"/>
        </w:rPr>
        <w:t>všetky veľkosti balenia.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6.6</w:t>
      </w:r>
      <w:r w:rsidRPr="00953DA3">
        <w:rPr>
          <w:b/>
          <w:sz w:val="22"/>
          <w:szCs w:val="22"/>
          <w:lang w:val="sk-SK"/>
        </w:rPr>
        <w:tab/>
        <w:t xml:space="preserve">Špeciálne opatrenia na likvidáciu a iné zaobchádzanie s liekom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Intravenózne použitie: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2, </w:t>
      </w:r>
      <w:r w:rsidRPr="00DC2614">
        <w:rPr>
          <w:sz w:val="22"/>
          <w:szCs w:val="22"/>
          <w:highlight w:val="darkGray"/>
          <w:lang w:val="sk-SK"/>
        </w:rPr>
        <w:t>10, 20 mg</w:t>
      </w:r>
      <w:r w:rsidRPr="00953DA3">
        <w:rPr>
          <w:sz w:val="22"/>
          <w:szCs w:val="22"/>
          <w:lang w:val="sk-SK"/>
        </w:rPr>
        <w:t xml:space="preserve"> prášok na injekčný/infúzny roztok alebo na</w:t>
      </w:r>
      <w:r>
        <w:rPr>
          <w:sz w:val="22"/>
          <w:szCs w:val="22"/>
          <w:lang w:val="sk-SK"/>
        </w:rPr>
        <w:t xml:space="preserve"> roztok na</w:t>
      </w:r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intravezikálne</w:t>
      </w:r>
      <w:proofErr w:type="spellEnd"/>
      <w:r w:rsidRPr="00953DA3">
        <w:rPr>
          <w:sz w:val="22"/>
          <w:szCs w:val="22"/>
          <w:lang w:val="sk-SK"/>
        </w:rPr>
        <w:t xml:space="preserve"> použitie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sa nesmie rekonštituovať vo vode.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Obsah </w:t>
      </w:r>
      <w:r>
        <w:rPr>
          <w:sz w:val="22"/>
          <w:szCs w:val="22"/>
          <w:lang w:val="sk-SK"/>
        </w:rPr>
        <w:t xml:space="preserve">injekčnej </w:t>
      </w:r>
      <w:r w:rsidRPr="00953DA3">
        <w:rPr>
          <w:sz w:val="22"/>
          <w:szCs w:val="22"/>
          <w:lang w:val="sk-SK"/>
        </w:rPr>
        <w:t>liekovky sa má rozpustiť vo fyziologickom roztoku alebo v</w:t>
      </w:r>
      <w:r>
        <w:rPr>
          <w:sz w:val="22"/>
          <w:szCs w:val="22"/>
          <w:lang w:val="sk-SK"/>
        </w:rPr>
        <w:t> </w:t>
      </w:r>
      <w:r w:rsidRPr="00953DA3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 xml:space="preserve">% roztoku glukózy </w:t>
      </w:r>
      <w:r>
        <w:rPr>
          <w:sz w:val="22"/>
          <w:szCs w:val="22"/>
          <w:lang w:val="sk-SK"/>
        </w:rPr>
        <w:t>v pomere</w:t>
      </w:r>
      <w:r w:rsidRPr="00953DA3">
        <w:rPr>
          <w:sz w:val="22"/>
          <w:szCs w:val="22"/>
          <w:lang w:val="sk-SK"/>
        </w:rPr>
        <w:t>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2 ml pri 2 mg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 xml:space="preserve">10 ml pri 10 mg </w:t>
      </w:r>
      <w:proofErr w:type="spellStart"/>
      <w:r w:rsidRPr="00DC2614">
        <w:rPr>
          <w:sz w:val="22"/>
          <w:szCs w:val="22"/>
          <w:highlight w:val="lightGray"/>
          <w:lang w:val="sk-SK"/>
        </w:rPr>
        <w:t>mitomycínu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 xml:space="preserve">20 ml pri 20 mg </w:t>
      </w:r>
      <w:proofErr w:type="spellStart"/>
      <w:r w:rsidRPr="00DC2614">
        <w:rPr>
          <w:sz w:val="22"/>
          <w:szCs w:val="22"/>
          <w:highlight w:val="lightGray"/>
          <w:lang w:val="sk-SK"/>
        </w:rPr>
        <w:t>mitomycínu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0751B0" w:rsidRPr="00953DA3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Rekonštitúcia</w:t>
            </w:r>
            <w:proofErr w:type="spellEnd"/>
            <w:r w:rsidRPr="00953DA3">
              <w:rPr>
                <w:sz w:val="22"/>
                <w:szCs w:val="22"/>
              </w:rPr>
              <w:t>/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Riedidlo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Koncentrácia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Rozsah</w:t>
            </w:r>
            <w:proofErr w:type="spellEnd"/>
            <w:r w:rsidRPr="00953DA3">
              <w:rPr>
                <w:sz w:val="22"/>
                <w:szCs w:val="22"/>
              </w:rPr>
              <w:t xml:space="preserve"> pH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Osmolalita</w:t>
            </w:r>
            <w:proofErr w:type="spellEnd"/>
            <w:r w:rsidRPr="00953DA3">
              <w:rPr>
                <w:sz w:val="22"/>
                <w:szCs w:val="22"/>
              </w:rPr>
              <w:t xml:space="preserve"> 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Fyziologický</w:t>
            </w:r>
            <w:proofErr w:type="spellEnd"/>
          </w:p>
          <w:p w:rsidR="000751B0" w:rsidRPr="00D80E4B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roztok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37350D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>mg/ml, (</w:t>
            </w:r>
            <w:proofErr w:type="spellStart"/>
            <w:r w:rsidRPr="00953DA3">
              <w:rPr>
                <w:sz w:val="22"/>
                <w:szCs w:val="22"/>
              </w:rPr>
              <w:t>r</w:t>
            </w:r>
            <w:r w:rsidRPr="0037350D">
              <w:rPr>
                <w:sz w:val="22"/>
                <w:szCs w:val="22"/>
              </w:rPr>
              <w:t>ekonštitúcia</w:t>
            </w:r>
            <w:proofErr w:type="spellEnd"/>
            <w:r w:rsidRPr="0037350D">
              <w:rPr>
                <w:sz w:val="22"/>
                <w:szCs w:val="22"/>
              </w:rPr>
              <w:t>)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0,1 mg/ml (</w:t>
            </w:r>
            <w:proofErr w:type="spellStart"/>
            <w:r w:rsidRPr="0037350D">
              <w:rPr>
                <w:sz w:val="22"/>
                <w:szCs w:val="22"/>
              </w:rPr>
              <w:t>riedenie</w:t>
            </w:r>
            <w:proofErr w:type="spellEnd"/>
            <w:r w:rsidRPr="0037350D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4,5 –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Približne</w:t>
            </w:r>
            <w:proofErr w:type="spellEnd"/>
            <w:r w:rsidRPr="00953DA3">
              <w:rPr>
                <w:sz w:val="22"/>
                <w:szCs w:val="22"/>
              </w:rPr>
              <w:t xml:space="preserve"> 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 xml:space="preserve">290 </w:t>
            </w:r>
            <w:proofErr w:type="spellStart"/>
            <w:r w:rsidRPr="00953DA3">
              <w:rPr>
                <w:sz w:val="22"/>
                <w:szCs w:val="22"/>
              </w:rPr>
              <w:t>mOsm</w:t>
            </w:r>
            <w:proofErr w:type="spellEnd"/>
            <w:r w:rsidRPr="00953DA3">
              <w:rPr>
                <w:sz w:val="22"/>
                <w:szCs w:val="22"/>
              </w:rPr>
              <w:t>/k</w:t>
            </w:r>
            <w:r w:rsidRPr="0037350D">
              <w:rPr>
                <w:sz w:val="22"/>
                <w:szCs w:val="22"/>
              </w:rPr>
              <w:t>g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 xml:space="preserve">% </w:t>
            </w:r>
            <w:proofErr w:type="spellStart"/>
            <w:r w:rsidRPr="00953DA3">
              <w:rPr>
                <w:sz w:val="22"/>
                <w:szCs w:val="22"/>
              </w:rPr>
              <w:t>roztok</w:t>
            </w:r>
            <w:proofErr w:type="spellEnd"/>
            <w:r w:rsidRPr="00953DA3">
              <w:rPr>
                <w:sz w:val="22"/>
                <w:szCs w:val="22"/>
              </w:rPr>
              <w:t xml:space="preserve"> </w:t>
            </w:r>
            <w:proofErr w:type="spellStart"/>
            <w:r w:rsidRPr="00953DA3">
              <w:rPr>
                <w:sz w:val="22"/>
                <w:szCs w:val="22"/>
              </w:rPr>
              <w:t>glukózy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37350D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>mg/ml, (</w:t>
            </w:r>
            <w:proofErr w:type="spellStart"/>
            <w:r w:rsidRPr="00953DA3">
              <w:rPr>
                <w:sz w:val="22"/>
                <w:szCs w:val="22"/>
              </w:rPr>
              <w:t>r</w:t>
            </w:r>
            <w:r w:rsidRPr="0037350D">
              <w:rPr>
                <w:sz w:val="22"/>
                <w:szCs w:val="22"/>
              </w:rPr>
              <w:t>ekonštitúcia</w:t>
            </w:r>
            <w:proofErr w:type="spellEnd"/>
            <w:r w:rsidRPr="0037350D">
              <w:rPr>
                <w:sz w:val="22"/>
                <w:szCs w:val="22"/>
              </w:rPr>
              <w:t>)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0,1 mg/ml</w:t>
            </w:r>
            <w:r w:rsidRPr="00015B5E">
              <w:rPr>
                <w:sz w:val="22"/>
                <w:szCs w:val="22"/>
              </w:rPr>
              <w:t xml:space="preserve"> (</w:t>
            </w:r>
            <w:proofErr w:type="spellStart"/>
            <w:r w:rsidRPr="00015B5E">
              <w:rPr>
                <w:sz w:val="22"/>
                <w:szCs w:val="22"/>
              </w:rPr>
              <w:t>riedenie</w:t>
            </w:r>
            <w:proofErr w:type="spellEnd"/>
            <w:r w:rsidRPr="00021DD9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3,5 – 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Približne</w:t>
            </w:r>
            <w:proofErr w:type="spellEnd"/>
            <w:r w:rsidRPr="00953DA3">
              <w:rPr>
                <w:sz w:val="22"/>
                <w:szCs w:val="22"/>
              </w:rPr>
              <w:t xml:space="preserve"> 1100 </w:t>
            </w:r>
            <w:proofErr w:type="spellStart"/>
            <w:r w:rsidRPr="00953DA3">
              <w:rPr>
                <w:sz w:val="22"/>
                <w:szCs w:val="22"/>
              </w:rPr>
              <w:t>mOsm</w:t>
            </w:r>
            <w:proofErr w:type="spellEnd"/>
            <w:r w:rsidRPr="00953DA3">
              <w:rPr>
                <w:sz w:val="22"/>
                <w:szCs w:val="22"/>
              </w:rPr>
              <w:t>/</w:t>
            </w:r>
            <w:r w:rsidRPr="0037350D">
              <w:rPr>
                <w:sz w:val="22"/>
                <w:szCs w:val="22"/>
              </w:rPr>
              <w:t>kg</w:t>
            </w:r>
          </w:p>
        </w:tc>
      </w:tr>
    </w:tbl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Intravezikálne</w:t>
      </w:r>
      <w:proofErr w:type="spellEnd"/>
      <w:r w:rsidRPr="00953DA3">
        <w:rPr>
          <w:sz w:val="22"/>
          <w:szCs w:val="22"/>
          <w:lang w:val="sk-SK"/>
        </w:rPr>
        <w:t xml:space="preserve"> použitie: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37350D">
        <w:rPr>
          <w:sz w:val="22"/>
          <w:szCs w:val="22"/>
          <w:lang w:val="sk-SK"/>
        </w:rPr>
        <w:t>Mitomycín</w:t>
      </w:r>
      <w:proofErr w:type="spellEnd"/>
      <w:r w:rsidRPr="0037350D">
        <w:rPr>
          <w:sz w:val="22"/>
          <w:szCs w:val="22"/>
          <w:lang w:val="sk-SK"/>
        </w:rPr>
        <w:t xml:space="preserve"> </w:t>
      </w:r>
      <w:proofErr w:type="spellStart"/>
      <w:r w:rsidRPr="0037350D">
        <w:rPr>
          <w:sz w:val="22"/>
          <w:szCs w:val="22"/>
          <w:lang w:val="sk-SK"/>
        </w:rPr>
        <w:t>Accord</w:t>
      </w:r>
      <w:proofErr w:type="spellEnd"/>
      <w:r w:rsidRPr="0037350D">
        <w:rPr>
          <w:sz w:val="22"/>
          <w:szCs w:val="22"/>
          <w:lang w:val="sk-SK"/>
        </w:rPr>
        <w:t xml:space="preserve"> 2, </w:t>
      </w:r>
      <w:r w:rsidRPr="00DC2614">
        <w:rPr>
          <w:sz w:val="22"/>
          <w:szCs w:val="22"/>
          <w:highlight w:val="darkGray"/>
          <w:lang w:val="sk-SK"/>
        </w:rPr>
        <w:t>10, 20 mg</w:t>
      </w:r>
      <w:r w:rsidRPr="00015B5E">
        <w:rPr>
          <w:sz w:val="22"/>
          <w:szCs w:val="22"/>
          <w:lang w:val="sk-SK"/>
        </w:rPr>
        <w:t xml:space="preserve"> </w:t>
      </w:r>
      <w:r w:rsidRPr="00021DD9">
        <w:rPr>
          <w:sz w:val="22"/>
          <w:szCs w:val="22"/>
          <w:lang w:val="sk-SK"/>
        </w:rPr>
        <w:t xml:space="preserve">prášok na injekčný/infúzny roztok alebo na </w:t>
      </w:r>
      <w:r>
        <w:rPr>
          <w:sz w:val="22"/>
          <w:szCs w:val="22"/>
          <w:lang w:val="sk-SK"/>
        </w:rPr>
        <w:t xml:space="preserve">roztok na </w:t>
      </w:r>
      <w:proofErr w:type="spellStart"/>
      <w:r w:rsidRPr="00021DD9">
        <w:rPr>
          <w:sz w:val="22"/>
          <w:szCs w:val="22"/>
          <w:lang w:val="sk-SK"/>
        </w:rPr>
        <w:t>intravezikálne</w:t>
      </w:r>
      <w:proofErr w:type="spellEnd"/>
      <w:r w:rsidRPr="00021DD9">
        <w:rPr>
          <w:sz w:val="22"/>
          <w:szCs w:val="22"/>
          <w:lang w:val="sk-SK"/>
        </w:rPr>
        <w:t xml:space="preserve"> použitie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sa nesmie rekonštituovať vo vode.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Obsah</w:t>
      </w:r>
      <w:r>
        <w:rPr>
          <w:sz w:val="22"/>
          <w:szCs w:val="22"/>
          <w:lang w:val="sk-SK"/>
        </w:rPr>
        <w:t xml:space="preserve"> injekčnej</w:t>
      </w:r>
      <w:r w:rsidRPr="00953DA3">
        <w:rPr>
          <w:sz w:val="22"/>
          <w:szCs w:val="22"/>
          <w:lang w:val="sk-SK"/>
        </w:rPr>
        <w:t xml:space="preserve"> liekovky sa má rozpustiť vo fyziologickom roztoku alebo fosfátovom </w:t>
      </w:r>
      <w:proofErr w:type="spellStart"/>
      <w:r w:rsidRPr="00953DA3">
        <w:rPr>
          <w:sz w:val="22"/>
          <w:szCs w:val="22"/>
          <w:lang w:val="sk-SK"/>
        </w:rPr>
        <w:t>pufri</w:t>
      </w:r>
      <w:proofErr w:type="spellEnd"/>
      <w:r w:rsidRPr="00953DA3">
        <w:rPr>
          <w:sz w:val="22"/>
          <w:szCs w:val="22"/>
          <w:lang w:val="sk-SK"/>
        </w:rPr>
        <w:t xml:space="preserve"> s pH 7,4 v pomere::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2 ml pri 2 mg </w:t>
      </w:r>
      <w:proofErr w:type="spellStart"/>
      <w:r w:rsidRPr="00953DA3">
        <w:rPr>
          <w:sz w:val="22"/>
          <w:szCs w:val="22"/>
          <w:lang w:val="sk-SK"/>
        </w:rPr>
        <w:t>mitomycínu</w:t>
      </w:r>
      <w:proofErr w:type="spellEnd"/>
    </w:p>
    <w:p w:rsidR="000751B0" w:rsidRPr="00DC2614" w:rsidRDefault="000751B0" w:rsidP="00D80E4B">
      <w:pPr>
        <w:ind w:right="-286"/>
        <w:rPr>
          <w:sz w:val="22"/>
          <w:szCs w:val="22"/>
          <w:highlight w:val="darkGray"/>
          <w:lang w:val="sk-SK"/>
        </w:rPr>
      </w:pPr>
      <w:r w:rsidRPr="00DC2614">
        <w:rPr>
          <w:sz w:val="22"/>
          <w:szCs w:val="22"/>
          <w:highlight w:val="darkGray"/>
          <w:lang w:val="sk-SK"/>
        </w:rPr>
        <w:t xml:space="preserve">10 ml pri 10 mg </w:t>
      </w:r>
      <w:proofErr w:type="spellStart"/>
      <w:r w:rsidRPr="00DC2614">
        <w:rPr>
          <w:sz w:val="22"/>
          <w:szCs w:val="22"/>
          <w:highlight w:val="darkGray"/>
          <w:lang w:val="sk-SK"/>
        </w:rPr>
        <w:t>mitomycínu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darkGray"/>
          <w:lang w:val="sk-SK"/>
        </w:rPr>
        <w:t xml:space="preserve">20 ml pri 20 mg </w:t>
      </w:r>
      <w:proofErr w:type="spellStart"/>
      <w:r w:rsidRPr="00DC2614">
        <w:rPr>
          <w:sz w:val="22"/>
          <w:szCs w:val="22"/>
          <w:highlight w:val="darkGray"/>
          <w:lang w:val="sk-SK"/>
        </w:rPr>
        <w:t>mitomycínu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0751B0" w:rsidRPr="00953DA3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Rekonštitúcia</w:t>
            </w:r>
            <w:proofErr w:type="spellEnd"/>
            <w:r w:rsidRPr="00953DA3">
              <w:rPr>
                <w:sz w:val="22"/>
                <w:szCs w:val="22"/>
              </w:rPr>
              <w:t>/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Riedidlo</w:t>
            </w:r>
            <w:proofErr w:type="spellEnd"/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Koncentrácia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Rozsah</w:t>
            </w:r>
            <w:proofErr w:type="spellEnd"/>
            <w:r w:rsidRPr="00953DA3">
              <w:rPr>
                <w:sz w:val="22"/>
                <w:szCs w:val="22"/>
              </w:rPr>
              <w:t xml:space="preserve"> pH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Osmolalita</w:t>
            </w:r>
            <w:proofErr w:type="spellEnd"/>
            <w:r w:rsidRPr="00953DA3">
              <w:rPr>
                <w:sz w:val="22"/>
                <w:szCs w:val="22"/>
              </w:rPr>
              <w:t xml:space="preserve"> 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Fyziologický</w:t>
            </w:r>
            <w:proofErr w:type="spellEnd"/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roztok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 mg/ml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4,5 –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015B5E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Približne</w:t>
            </w:r>
            <w:proofErr w:type="spellEnd"/>
            <w:r w:rsidRPr="00953DA3">
              <w:rPr>
                <w:sz w:val="22"/>
                <w:szCs w:val="22"/>
              </w:rPr>
              <w:t xml:space="preserve"> 290 </w:t>
            </w:r>
            <w:proofErr w:type="spellStart"/>
            <w:r w:rsidRPr="00953DA3">
              <w:rPr>
                <w:sz w:val="22"/>
                <w:szCs w:val="22"/>
              </w:rPr>
              <w:t>mOsm</w:t>
            </w:r>
            <w:proofErr w:type="spellEnd"/>
            <w:r w:rsidRPr="00953DA3">
              <w:rPr>
                <w:sz w:val="22"/>
                <w:szCs w:val="22"/>
              </w:rPr>
              <w:t>/kg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Fosfátový</w:t>
            </w:r>
            <w:proofErr w:type="spellEnd"/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p</w:t>
            </w:r>
            <w:r w:rsidRPr="0037350D">
              <w:rPr>
                <w:sz w:val="22"/>
                <w:szCs w:val="22"/>
              </w:rPr>
              <w:t>uf</w:t>
            </w:r>
            <w:r>
              <w:rPr>
                <w:sz w:val="22"/>
                <w:szCs w:val="22"/>
              </w:rPr>
              <w:t>o</w:t>
            </w:r>
            <w:r w:rsidRPr="0037350D">
              <w:rPr>
                <w:sz w:val="22"/>
                <w:szCs w:val="22"/>
              </w:rPr>
              <w:t>r</w:t>
            </w:r>
            <w:proofErr w:type="spellEnd"/>
            <w:r w:rsidRPr="0037350D">
              <w:rPr>
                <w:sz w:val="22"/>
                <w:szCs w:val="22"/>
              </w:rPr>
              <w:t xml:space="preserve"> s pH 7,4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 mg/ml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D80E4B">
              <w:rPr>
                <w:sz w:val="22"/>
                <w:szCs w:val="22"/>
              </w:rPr>
              <w:t>6,0 – 8,5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015B5E">
            <w:pPr>
              <w:rPr>
                <w:sz w:val="22"/>
                <w:szCs w:val="22"/>
              </w:rPr>
            </w:pPr>
            <w:proofErr w:type="spellStart"/>
            <w:r w:rsidRPr="00953DA3">
              <w:rPr>
                <w:sz w:val="22"/>
                <w:szCs w:val="22"/>
              </w:rPr>
              <w:t>Približne</w:t>
            </w:r>
            <w:proofErr w:type="spellEnd"/>
            <w:r w:rsidRPr="00953DA3">
              <w:rPr>
                <w:sz w:val="22"/>
                <w:szCs w:val="22"/>
              </w:rPr>
              <w:t xml:space="preserve"> 185 </w:t>
            </w:r>
            <w:proofErr w:type="spellStart"/>
            <w:r w:rsidRPr="00953DA3">
              <w:rPr>
                <w:sz w:val="22"/>
                <w:szCs w:val="22"/>
              </w:rPr>
              <w:t>mOsm</w:t>
            </w:r>
            <w:proofErr w:type="spellEnd"/>
            <w:r w:rsidRPr="00953DA3">
              <w:rPr>
                <w:sz w:val="22"/>
                <w:szCs w:val="22"/>
              </w:rPr>
              <w:t>/kg</w:t>
            </w:r>
          </w:p>
        </w:tc>
      </w:tr>
    </w:tbl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Gravidný zdravotnícky personál nesmie manipulovať a/alebo podávať liek. </w:t>
      </w: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r w:rsidRPr="0037350D">
        <w:rPr>
          <w:sz w:val="22"/>
          <w:szCs w:val="22"/>
          <w:lang w:val="sk-SK"/>
        </w:rPr>
        <w:t>nesmie prísť do kontaktu s </w:t>
      </w:r>
      <w:r>
        <w:rPr>
          <w:sz w:val="22"/>
          <w:szCs w:val="22"/>
          <w:lang w:val="sk-SK"/>
        </w:rPr>
        <w:t>kožou</w:t>
      </w:r>
      <w:r w:rsidRPr="0037350D">
        <w:rPr>
          <w:sz w:val="22"/>
          <w:szCs w:val="22"/>
          <w:lang w:val="sk-SK"/>
        </w:rPr>
        <w:t xml:space="preserve">. Ak príde do kontaktu, miesto </w:t>
      </w:r>
      <w:r>
        <w:rPr>
          <w:sz w:val="22"/>
          <w:szCs w:val="22"/>
          <w:lang w:val="sk-SK"/>
        </w:rPr>
        <w:t>je potrebné</w:t>
      </w:r>
      <w:r w:rsidRPr="0037350D">
        <w:rPr>
          <w:sz w:val="22"/>
          <w:szCs w:val="22"/>
          <w:lang w:val="sk-SK"/>
        </w:rPr>
        <w:t xml:space="preserve"> prepláchnuť niekoľkokrát 8,4</w:t>
      </w:r>
      <w:r>
        <w:rPr>
          <w:sz w:val="22"/>
          <w:szCs w:val="22"/>
          <w:lang w:val="sk-SK"/>
        </w:rPr>
        <w:t xml:space="preserve"> </w:t>
      </w:r>
      <w:r w:rsidRPr="0037350D">
        <w:rPr>
          <w:sz w:val="22"/>
          <w:szCs w:val="22"/>
          <w:lang w:val="sk-SK"/>
        </w:rPr>
        <w:t xml:space="preserve">% roztokom </w:t>
      </w:r>
      <w:proofErr w:type="spellStart"/>
      <w:r>
        <w:rPr>
          <w:sz w:val="22"/>
          <w:szCs w:val="22"/>
          <w:lang w:val="sk-SK"/>
        </w:rPr>
        <w:t>hydrogenuhličitanu</w:t>
      </w:r>
      <w:proofErr w:type="spellEnd"/>
      <w:r>
        <w:rPr>
          <w:sz w:val="22"/>
          <w:szCs w:val="22"/>
          <w:lang w:val="sk-SK"/>
        </w:rPr>
        <w:t xml:space="preserve"> sodného</w:t>
      </w:r>
      <w:r w:rsidRPr="00015B5E">
        <w:rPr>
          <w:sz w:val="22"/>
          <w:szCs w:val="22"/>
          <w:lang w:val="sk-SK"/>
        </w:rPr>
        <w:t xml:space="preserve"> </w:t>
      </w:r>
      <w:r w:rsidRPr="0037350D">
        <w:rPr>
          <w:sz w:val="22"/>
          <w:szCs w:val="22"/>
          <w:lang w:val="sk-SK"/>
        </w:rPr>
        <w:t>s následným použitím mydla a vody. Krémy na ruky a</w:t>
      </w:r>
      <w:r w:rsidRPr="00015B5E">
        <w:rPr>
          <w:sz w:val="22"/>
          <w:szCs w:val="22"/>
          <w:lang w:val="sk-SK"/>
        </w:rPr>
        <w:t xml:space="preserve"> zmäkčovadlá sa nemajú používať, pretože napomáhajú </w:t>
      </w:r>
      <w:proofErr w:type="spellStart"/>
      <w:r w:rsidRPr="00015B5E">
        <w:rPr>
          <w:sz w:val="22"/>
          <w:szCs w:val="22"/>
          <w:lang w:val="sk-SK"/>
        </w:rPr>
        <w:t>penetrácii</w:t>
      </w:r>
      <w:proofErr w:type="spellEnd"/>
      <w:r w:rsidRPr="00015B5E">
        <w:rPr>
          <w:sz w:val="22"/>
          <w:szCs w:val="22"/>
          <w:lang w:val="sk-SK"/>
        </w:rPr>
        <w:t xml:space="preserve"> liečiva do </w:t>
      </w:r>
      <w:proofErr w:type="spellStart"/>
      <w:r w:rsidRPr="00015B5E">
        <w:rPr>
          <w:sz w:val="22"/>
          <w:szCs w:val="22"/>
          <w:lang w:val="sk-SK"/>
        </w:rPr>
        <w:t>epidermálneho</w:t>
      </w:r>
      <w:proofErr w:type="spellEnd"/>
      <w:r w:rsidRPr="00015B5E">
        <w:rPr>
          <w:sz w:val="22"/>
          <w:szCs w:val="22"/>
          <w:lang w:val="sk-SK"/>
        </w:rPr>
        <w:t xml:space="preserve"> tkaniva.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 prípade kontaktu s očami, </w:t>
      </w:r>
      <w:r>
        <w:rPr>
          <w:sz w:val="22"/>
          <w:szCs w:val="22"/>
          <w:lang w:val="sk-SK"/>
        </w:rPr>
        <w:t>je potrebné ich</w:t>
      </w:r>
      <w:r w:rsidRPr="00953DA3">
        <w:rPr>
          <w:sz w:val="22"/>
          <w:szCs w:val="22"/>
          <w:lang w:val="sk-SK"/>
        </w:rPr>
        <w:t xml:space="preserve"> prepláchnuť niekoľkokrát fyziologickým roztokom. Potom </w:t>
      </w:r>
      <w:r>
        <w:rPr>
          <w:sz w:val="22"/>
          <w:szCs w:val="22"/>
          <w:lang w:val="sk-SK"/>
        </w:rPr>
        <w:t xml:space="preserve">je potrebné ich </w:t>
      </w:r>
      <w:r w:rsidRPr="00953DA3">
        <w:rPr>
          <w:sz w:val="22"/>
          <w:szCs w:val="22"/>
          <w:lang w:val="sk-SK"/>
        </w:rPr>
        <w:t xml:space="preserve">pozorovať niekoľko dní, </w:t>
      </w:r>
      <w:r>
        <w:rPr>
          <w:sz w:val="22"/>
          <w:szCs w:val="22"/>
          <w:lang w:val="sk-SK"/>
        </w:rPr>
        <w:t xml:space="preserve">aby </w:t>
      </w:r>
      <w:r w:rsidRPr="00953DA3">
        <w:rPr>
          <w:sz w:val="22"/>
          <w:szCs w:val="22"/>
          <w:lang w:val="sk-SK"/>
        </w:rPr>
        <w:t xml:space="preserve">nedošlo k poškodeniu rohovky. Ak je to nevyhnutné, </w:t>
      </w:r>
      <w:r>
        <w:rPr>
          <w:sz w:val="22"/>
          <w:szCs w:val="22"/>
          <w:lang w:val="sk-SK"/>
        </w:rPr>
        <w:t>je potrebné</w:t>
      </w:r>
      <w:r w:rsidRPr="00953DA3">
        <w:rPr>
          <w:sz w:val="22"/>
          <w:szCs w:val="22"/>
          <w:lang w:val="sk-SK"/>
        </w:rPr>
        <w:t xml:space="preserve"> začať s vhodnou liečbou.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Rekonštituovaný roztok má priehľadnú modro</w:t>
      </w:r>
      <w:r>
        <w:rPr>
          <w:sz w:val="22"/>
          <w:szCs w:val="22"/>
          <w:lang w:val="sk-SK"/>
        </w:rPr>
        <w:t>-</w:t>
      </w:r>
      <w:r w:rsidRPr="00953DA3">
        <w:rPr>
          <w:sz w:val="22"/>
          <w:szCs w:val="22"/>
          <w:lang w:val="sk-SK"/>
        </w:rPr>
        <w:t>fialovú farbu bez obsahu viditeľných častíc.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953DA3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 xml:space="preserve">sa </w:t>
      </w:r>
      <w:r w:rsidRPr="00953DA3">
        <w:rPr>
          <w:sz w:val="22"/>
          <w:szCs w:val="22"/>
          <w:lang w:val="sk-SK"/>
        </w:rPr>
        <w:t>má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zlikvidova</w:t>
      </w:r>
      <w:r>
        <w:rPr>
          <w:sz w:val="22"/>
          <w:szCs w:val="22"/>
          <w:lang w:val="sk-SK"/>
        </w:rPr>
        <w:t>ť</w:t>
      </w:r>
      <w:r w:rsidRPr="00953DA3">
        <w:rPr>
          <w:sz w:val="22"/>
          <w:szCs w:val="22"/>
          <w:lang w:val="sk-SK"/>
        </w:rPr>
        <w:t xml:space="preserve"> v súlade s národnými požiadavkami. </w:t>
      </w: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Odpadový materiál sa musí zlikvidovať v súlade so štandardnými nemocničnými postupmi vzťahujúcimi sa na </w:t>
      </w:r>
      <w:proofErr w:type="spellStart"/>
      <w:r>
        <w:rPr>
          <w:sz w:val="22"/>
          <w:szCs w:val="22"/>
          <w:lang w:val="sk-SK"/>
        </w:rPr>
        <w:t>cytotoxické</w:t>
      </w:r>
      <w:proofErr w:type="spellEnd"/>
      <w:r>
        <w:rPr>
          <w:sz w:val="22"/>
          <w:szCs w:val="22"/>
          <w:lang w:val="sk-SK"/>
        </w:rPr>
        <w:t xml:space="preserve"> látky s príslušným ohľadom na platné právne predpisy týkajúce sa nakladania s nebezpečným odpadom.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7. </w:t>
      </w:r>
      <w:r w:rsidRPr="00953DA3">
        <w:rPr>
          <w:b/>
          <w:sz w:val="22"/>
          <w:szCs w:val="22"/>
          <w:lang w:val="sk-SK"/>
        </w:rPr>
        <w:tab/>
        <w:t xml:space="preserve">DRŽITEĽ ROZHODNUTIA O REGISTRÁCII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204F32" w:rsidRDefault="000751B0" w:rsidP="00953DA3">
      <w:pPr>
        <w:pStyle w:val="Hlavika"/>
        <w:rPr>
          <w:sz w:val="22"/>
          <w:szCs w:val="22"/>
          <w:lang w:val="it-IT"/>
        </w:rPr>
      </w:pPr>
      <w:r w:rsidRPr="00204F32">
        <w:rPr>
          <w:sz w:val="22"/>
          <w:szCs w:val="22"/>
          <w:lang w:val="it-IT"/>
        </w:rPr>
        <w:t>Accord Healthcare Limited</w:t>
      </w:r>
    </w:p>
    <w:p w:rsidR="000751B0" w:rsidRPr="00953DA3" w:rsidRDefault="000751B0" w:rsidP="0037350D">
      <w:pPr>
        <w:pStyle w:val="Hlavika"/>
        <w:rPr>
          <w:sz w:val="22"/>
          <w:szCs w:val="22"/>
        </w:rPr>
      </w:pPr>
      <w:r w:rsidRPr="00953DA3">
        <w:rPr>
          <w:sz w:val="22"/>
          <w:szCs w:val="22"/>
        </w:rPr>
        <w:t>Sage House, 319 Pinner Road, North Harrow</w:t>
      </w:r>
    </w:p>
    <w:p w:rsidR="000751B0" w:rsidRPr="00953DA3" w:rsidRDefault="000751B0" w:rsidP="0037350D">
      <w:pPr>
        <w:pStyle w:val="Hlavika"/>
        <w:rPr>
          <w:sz w:val="22"/>
          <w:szCs w:val="22"/>
        </w:rPr>
      </w:pPr>
      <w:r w:rsidRPr="00953DA3">
        <w:rPr>
          <w:sz w:val="22"/>
          <w:szCs w:val="22"/>
        </w:rPr>
        <w:t xml:space="preserve">HA1 4HF, Middlesex </w:t>
      </w:r>
    </w:p>
    <w:p w:rsidR="000751B0" w:rsidRPr="00953DA3" w:rsidRDefault="000751B0" w:rsidP="0037350D">
      <w:pPr>
        <w:tabs>
          <w:tab w:val="left" w:pos="567"/>
        </w:tabs>
        <w:rPr>
          <w:sz w:val="22"/>
          <w:szCs w:val="22"/>
        </w:rPr>
      </w:pPr>
      <w:proofErr w:type="spellStart"/>
      <w:r w:rsidRPr="00953DA3">
        <w:rPr>
          <w:sz w:val="22"/>
          <w:szCs w:val="22"/>
        </w:rPr>
        <w:t>Veľká</w:t>
      </w:r>
      <w:proofErr w:type="spellEnd"/>
      <w:r w:rsidRPr="00953DA3">
        <w:rPr>
          <w:sz w:val="22"/>
          <w:szCs w:val="22"/>
        </w:rPr>
        <w:t xml:space="preserve"> </w:t>
      </w:r>
      <w:proofErr w:type="spellStart"/>
      <w:r w:rsidRPr="00953DA3">
        <w:rPr>
          <w:sz w:val="22"/>
          <w:szCs w:val="22"/>
        </w:rPr>
        <w:t>Británia</w:t>
      </w:r>
      <w:proofErr w:type="spellEnd"/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8. </w:t>
      </w:r>
      <w:r w:rsidRPr="00953DA3">
        <w:rPr>
          <w:b/>
          <w:sz w:val="22"/>
          <w:szCs w:val="22"/>
          <w:lang w:val="sk-SK"/>
        </w:rPr>
        <w:tab/>
        <w:t>REGISTRAČNÉ ČÍSLA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2 mg:</w:t>
      </w:r>
      <w:r w:rsidRPr="00204F32">
        <w:rPr>
          <w:lang w:val="it-IT"/>
        </w:rPr>
        <w:t xml:space="preserve"> </w:t>
      </w:r>
      <w:r w:rsidRPr="00C14E86">
        <w:rPr>
          <w:sz w:val="22"/>
          <w:szCs w:val="22"/>
          <w:lang w:val="sk-SK"/>
        </w:rPr>
        <w:t>44/0081/16-S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10 mg:</w:t>
      </w:r>
      <w:r w:rsidRPr="00C14E86">
        <w:t xml:space="preserve"> </w:t>
      </w:r>
      <w:r w:rsidRPr="00C14E86">
        <w:rPr>
          <w:sz w:val="22"/>
          <w:szCs w:val="22"/>
          <w:lang w:val="sk-SK"/>
        </w:rPr>
        <w:t>44/0082/16-S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proofErr w:type="spellStart"/>
      <w:r w:rsidRPr="00953DA3">
        <w:rPr>
          <w:sz w:val="22"/>
          <w:szCs w:val="22"/>
          <w:lang w:val="sk-SK"/>
        </w:rPr>
        <w:t>Mitomycín</w:t>
      </w:r>
      <w:proofErr w:type="spellEnd"/>
      <w:r w:rsidRPr="00953DA3">
        <w:rPr>
          <w:sz w:val="22"/>
          <w:szCs w:val="22"/>
          <w:lang w:val="sk-SK"/>
        </w:rPr>
        <w:t xml:space="preserve"> </w:t>
      </w:r>
      <w:proofErr w:type="spellStart"/>
      <w:r w:rsidRPr="00953DA3">
        <w:rPr>
          <w:sz w:val="22"/>
          <w:szCs w:val="22"/>
          <w:lang w:val="sk-SK"/>
        </w:rPr>
        <w:t>Accord</w:t>
      </w:r>
      <w:proofErr w:type="spellEnd"/>
      <w:r w:rsidRPr="00953DA3">
        <w:rPr>
          <w:sz w:val="22"/>
          <w:szCs w:val="22"/>
          <w:lang w:val="sk-SK"/>
        </w:rPr>
        <w:t xml:space="preserve"> 20 mg:</w:t>
      </w:r>
      <w:r w:rsidRPr="00C14E86">
        <w:t xml:space="preserve"> </w:t>
      </w:r>
      <w:r w:rsidRPr="00C14E86">
        <w:rPr>
          <w:sz w:val="22"/>
          <w:szCs w:val="22"/>
          <w:lang w:val="sk-SK"/>
        </w:rPr>
        <w:t>44/0083/16-S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9. </w:t>
      </w:r>
      <w:r w:rsidRPr="00953DA3">
        <w:rPr>
          <w:b/>
          <w:sz w:val="22"/>
          <w:szCs w:val="22"/>
          <w:lang w:val="sk-SK"/>
        </w:rPr>
        <w:tab/>
        <w:t xml:space="preserve">DÁTUM </w:t>
      </w:r>
      <w:r>
        <w:rPr>
          <w:b/>
          <w:sz w:val="22"/>
          <w:szCs w:val="22"/>
          <w:lang w:val="sk-SK"/>
        </w:rPr>
        <w:t xml:space="preserve">PRVEJ </w:t>
      </w:r>
      <w:r w:rsidRPr="00953DA3">
        <w:rPr>
          <w:b/>
          <w:sz w:val="22"/>
          <w:szCs w:val="22"/>
          <w:lang w:val="sk-SK"/>
        </w:rPr>
        <w:t>REGISTRÁCIE</w:t>
      </w:r>
      <w:r>
        <w:rPr>
          <w:b/>
          <w:sz w:val="22"/>
          <w:szCs w:val="22"/>
          <w:lang w:val="sk-SK"/>
        </w:rPr>
        <w:t>/PREDĹŽENIA REGISTRÁCIE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22.02.2016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10. </w:t>
      </w:r>
      <w:r w:rsidRPr="00953DA3">
        <w:rPr>
          <w:b/>
          <w:sz w:val="22"/>
          <w:szCs w:val="22"/>
          <w:lang w:val="sk-SK"/>
        </w:rPr>
        <w:tab/>
        <w:t>DÁTUM REVÍZIE TEXTU</w:t>
      </w:r>
    </w:p>
    <w:p w:rsidR="000751B0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D80E4B" w:rsidRDefault="00552F0A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02/2017</w:t>
      </w:r>
    </w:p>
    <w:sectPr w:rsidR="000751B0" w:rsidRPr="00D80E4B" w:rsidSect="00D80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7D" w:rsidRDefault="0067587D">
      <w:r>
        <w:separator/>
      </w:r>
    </w:p>
  </w:endnote>
  <w:endnote w:type="continuationSeparator" w:id="0">
    <w:p w:rsidR="0067587D" w:rsidRDefault="0067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Default="000751B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51B0" w:rsidRDefault="000751B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Pr="00D80E4B" w:rsidRDefault="000751B0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BD5276" w:rsidRPr="00BD5276">
      <w:rPr>
        <w:noProof/>
        <w:sz w:val="18"/>
        <w:szCs w:val="18"/>
        <w:lang w:val="sk-SK"/>
      </w:rPr>
      <w:t>10</w:t>
    </w:r>
    <w:r w:rsidRPr="00D80E4B">
      <w:rPr>
        <w:sz w:val="18"/>
        <w:szCs w:val="18"/>
      </w:rPr>
      <w:fldChar w:fldCharType="end"/>
    </w:r>
  </w:p>
  <w:p w:rsidR="000751B0" w:rsidRDefault="000751B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Pr="00D80E4B" w:rsidRDefault="000751B0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BD5276" w:rsidRPr="00BD5276">
      <w:rPr>
        <w:noProof/>
        <w:sz w:val="18"/>
        <w:szCs w:val="18"/>
        <w:lang w:val="sk-SK"/>
      </w:rPr>
      <w:t>1</w:t>
    </w:r>
    <w:r w:rsidRPr="00D80E4B">
      <w:rPr>
        <w:sz w:val="18"/>
        <w:szCs w:val="18"/>
      </w:rPr>
      <w:fldChar w:fldCharType="end"/>
    </w:r>
  </w:p>
  <w:p w:rsidR="000751B0" w:rsidRDefault="000751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7D" w:rsidRDefault="0067587D">
      <w:r>
        <w:separator/>
      </w:r>
    </w:p>
  </w:footnote>
  <w:footnote w:type="continuationSeparator" w:id="0">
    <w:p w:rsidR="0067587D" w:rsidRDefault="00675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0A" w:rsidRDefault="00552F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0A" w:rsidRDefault="00552F0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Default="00552F0A">
    <w:pPr>
      <w:pStyle w:val="Hlavika"/>
    </w:pPr>
    <w:r>
      <w:rPr>
        <w:sz w:val="18"/>
        <w:szCs w:val="18"/>
        <w:lang w:val="sk-SK"/>
      </w:rPr>
      <w:t xml:space="preserve">Príloha č.1 k notifikácii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2017/00253-ZIB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5F9"/>
    <w:multiLevelType w:val="hybridMultilevel"/>
    <w:tmpl w:val="4CFCBF92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F9"/>
    <w:multiLevelType w:val="hybridMultilevel"/>
    <w:tmpl w:val="9E048584"/>
    <w:lvl w:ilvl="0" w:tplc="709EF424">
      <w:start w:val="1"/>
      <w:numFmt w:val="bullet"/>
      <w:lvlText w:val=""/>
      <w:lvlJc w:val="left"/>
      <w:pPr>
        <w:ind w:left="1039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4E013DC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E72F06"/>
    <w:multiLevelType w:val="hybridMultilevel"/>
    <w:tmpl w:val="34669C3A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6A4BF4"/>
    <w:multiLevelType w:val="hybridMultilevel"/>
    <w:tmpl w:val="6C8A43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E693BC6"/>
    <w:multiLevelType w:val="hybridMultilevel"/>
    <w:tmpl w:val="90A0E7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1FE0"/>
    <w:multiLevelType w:val="hybridMultilevel"/>
    <w:tmpl w:val="89AC3454"/>
    <w:lvl w:ilvl="0" w:tplc="F4F61D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D2C6D"/>
    <w:multiLevelType w:val="hybridMultilevel"/>
    <w:tmpl w:val="BFBC1BB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D"/>
    <w:rsid w:val="00002B22"/>
    <w:rsid w:val="00007F64"/>
    <w:rsid w:val="00015B5E"/>
    <w:rsid w:val="00017951"/>
    <w:rsid w:val="00021DD9"/>
    <w:rsid w:val="000371BF"/>
    <w:rsid w:val="000453AE"/>
    <w:rsid w:val="00056632"/>
    <w:rsid w:val="000630C3"/>
    <w:rsid w:val="0006663B"/>
    <w:rsid w:val="00070FC2"/>
    <w:rsid w:val="000751B0"/>
    <w:rsid w:val="0008679B"/>
    <w:rsid w:val="000879D9"/>
    <w:rsid w:val="00091212"/>
    <w:rsid w:val="000934E1"/>
    <w:rsid w:val="00094F26"/>
    <w:rsid w:val="000A2BB8"/>
    <w:rsid w:val="000A4108"/>
    <w:rsid w:val="000A6998"/>
    <w:rsid w:val="000B2C2F"/>
    <w:rsid w:val="000B78B0"/>
    <w:rsid w:val="000C751D"/>
    <w:rsid w:val="000D253B"/>
    <w:rsid w:val="000D3924"/>
    <w:rsid w:val="000D6455"/>
    <w:rsid w:val="000E4BAE"/>
    <w:rsid w:val="000F0EC7"/>
    <w:rsid w:val="000F2A6F"/>
    <w:rsid w:val="000F4A5B"/>
    <w:rsid w:val="001001DA"/>
    <w:rsid w:val="0010465F"/>
    <w:rsid w:val="00121BBC"/>
    <w:rsid w:val="00125926"/>
    <w:rsid w:val="001304B5"/>
    <w:rsid w:val="00145415"/>
    <w:rsid w:val="00153C80"/>
    <w:rsid w:val="00156AA8"/>
    <w:rsid w:val="0016158A"/>
    <w:rsid w:val="00176AC9"/>
    <w:rsid w:val="00180828"/>
    <w:rsid w:val="001820B8"/>
    <w:rsid w:val="00182D3A"/>
    <w:rsid w:val="00184EC2"/>
    <w:rsid w:val="001903D5"/>
    <w:rsid w:val="001907D3"/>
    <w:rsid w:val="00191FEF"/>
    <w:rsid w:val="001A3C69"/>
    <w:rsid w:val="001A4ABC"/>
    <w:rsid w:val="001D4B1B"/>
    <w:rsid w:val="001E1177"/>
    <w:rsid w:val="001E6545"/>
    <w:rsid w:val="00200E74"/>
    <w:rsid w:val="00202C03"/>
    <w:rsid w:val="00204F32"/>
    <w:rsid w:val="00205437"/>
    <w:rsid w:val="00206495"/>
    <w:rsid w:val="00206802"/>
    <w:rsid w:val="00206C25"/>
    <w:rsid w:val="0022121F"/>
    <w:rsid w:val="002359EF"/>
    <w:rsid w:val="002434BB"/>
    <w:rsid w:val="00243D12"/>
    <w:rsid w:val="00244B38"/>
    <w:rsid w:val="002558A1"/>
    <w:rsid w:val="0026152A"/>
    <w:rsid w:val="002636A1"/>
    <w:rsid w:val="002677A5"/>
    <w:rsid w:val="00276176"/>
    <w:rsid w:val="00281060"/>
    <w:rsid w:val="002817C1"/>
    <w:rsid w:val="00290712"/>
    <w:rsid w:val="002A1219"/>
    <w:rsid w:val="002A26BC"/>
    <w:rsid w:val="002B09F4"/>
    <w:rsid w:val="002B11A9"/>
    <w:rsid w:val="002B31EF"/>
    <w:rsid w:val="002B5A12"/>
    <w:rsid w:val="002B77C7"/>
    <w:rsid w:val="002C38A5"/>
    <w:rsid w:val="002F57F9"/>
    <w:rsid w:val="0030124F"/>
    <w:rsid w:val="00305A92"/>
    <w:rsid w:val="00306132"/>
    <w:rsid w:val="00306FCF"/>
    <w:rsid w:val="00310652"/>
    <w:rsid w:val="00315620"/>
    <w:rsid w:val="00320C04"/>
    <w:rsid w:val="003218A4"/>
    <w:rsid w:val="0033006C"/>
    <w:rsid w:val="00332338"/>
    <w:rsid w:val="00332BF6"/>
    <w:rsid w:val="00334A08"/>
    <w:rsid w:val="003367B5"/>
    <w:rsid w:val="003403AC"/>
    <w:rsid w:val="00350426"/>
    <w:rsid w:val="00362F15"/>
    <w:rsid w:val="00367909"/>
    <w:rsid w:val="003716D3"/>
    <w:rsid w:val="0037350D"/>
    <w:rsid w:val="003772FF"/>
    <w:rsid w:val="00383E2F"/>
    <w:rsid w:val="00383EA9"/>
    <w:rsid w:val="00385FAE"/>
    <w:rsid w:val="003879E4"/>
    <w:rsid w:val="00390ECA"/>
    <w:rsid w:val="00392170"/>
    <w:rsid w:val="00397139"/>
    <w:rsid w:val="003B016E"/>
    <w:rsid w:val="003B289D"/>
    <w:rsid w:val="003C25E0"/>
    <w:rsid w:val="003C3C89"/>
    <w:rsid w:val="003D04E7"/>
    <w:rsid w:val="003D30AB"/>
    <w:rsid w:val="003D7882"/>
    <w:rsid w:val="003D7D9D"/>
    <w:rsid w:val="003F530C"/>
    <w:rsid w:val="00405084"/>
    <w:rsid w:val="0040602F"/>
    <w:rsid w:val="00417B5A"/>
    <w:rsid w:val="00420CE9"/>
    <w:rsid w:val="00425FA8"/>
    <w:rsid w:val="004326D9"/>
    <w:rsid w:val="00436310"/>
    <w:rsid w:val="00440390"/>
    <w:rsid w:val="004427FF"/>
    <w:rsid w:val="00443A88"/>
    <w:rsid w:val="00444BD3"/>
    <w:rsid w:val="00446DF2"/>
    <w:rsid w:val="00456A5C"/>
    <w:rsid w:val="004626FC"/>
    <w:rsid w:val="004729F6"/>
    <w:rsid w:val="00484A7D"/>
    <w:rsid w:val="004862B7"/>
    <w:rsid w:val="004A3055"/>
    <w:rsid w:val="004B533C"/>
    <w:rsid w:val="004B747A"/>
    <w:rsid w:val="004C3515"/>
    <w:rsid w:val="004E305A"/>
    <w:rsid w:val="004E4E8A"/>
    <w:rsid w:val="004F0F7F"/>
    <w:rsid w:val="004F76C4"/>
    <w:rsid w:val="005014E0"/>
    <w:rsid w:val="00502DD1"/>
    <w:rsid w:val="005212CB"/>
    <w:rsid w:val="00534495"/>
    <w:rsid w:val="00534B58"/>
    <w:rsid w:val="00552F0A"/>
    <w:rsid w:val="00561420"/>
    <w:rsid w:val="0056607D"/>
    <w:rsid w:val="00566CF6"/>
    <w:rsid w:val="00567E2F"/>
    <w:rsid w:val="0058236C"/>
    <w:rsid w:val="00584F50"/>
    <w:rsid w:val="00592218"/>
    <w:rsid w:val="00595091"/>
    <w:rsid w:val="00596885"/>
    <w:rsid w:val="005B2961"/>
    <w:rsid w:val="005B2CF7"/>
    <w:rsid w:val="005C3C21"/>
    <w:rsid w:val="005C3F32"/>
    <w:rsid w:val="005C6FF3"/>
    <w:rsid w:val="005D2C7E"/>
    <w:rsid w:val="005E056A"/>
    <w:rsid w:val="005E6656"/>
    <w:rsid w:val="005E7A60"/>
    <w:rsid w:val="005F30B6"/>
    <w:rsid w:val="00601DF8"/>
    <w:rsid w:val="00601EC8"/>
    <w:rsid w:val="0060446F"/>
    <w:rsid w:val="006141E3"/>
    <w:rsid w:val="00614239"/>
    <w:rsid w:val="00621231"/>
    <w:rsid w:val="00627662"/>
    <w:rsid w:val="00634094"/>
    <w:rsid w:val="00643F16"/>
    <w:rsid w:val="00645DC4"/>
    <w:rsid w:val="00650871"/>
    <w:rsid w:val="006516DE"/>
    <w:rsid w:val="00653263"/>
    <w:rsid w:val="00661A34"/>
    <w:rsid w:val="00672E2F"/>
    <w:rsid w:val="0067587D"/>
    <w:rsid w:val="00677760"/>
    <w:rsid w:val="0068703E"/>
    <w:rsid w:val="00690155"/>
    <w:rsid w:val="00692C91"/>
    <w:rsid w:val="0069344F"/>
    <w:rsid w:val="006B7F90"/>
    <w:rsid w:val="006C29BA"/>
    <w:rsid w:val="006D32A6"/>
    <w:rsid w:val="006E7E27"/>
    <w:rsid w:val="006F17B4"/>
    <w:rsid w:val="00701072"/>
    <w:rsid w:val="00711B4E"/>
    <w:rsid w:val="007138FC"/>
    <w:rsid w:val="0071654F"/>
    <w:rsid w:val="00720F14"/>
    <w:rsid w:val="007222E2"/>
    <w:rsid w:val="0072582C"/>
    <w:rsid w:val="00736278"/>
    <w:rsid w:val="00737321"/>
    <w:rsid w:val="007441D4"/>
    <w:rsid w:val="00745CF6"/>
    <w:rsid w:val="00754BD0"/>
    <w:rsid w:val="00773ED9"/>
    <w:rsid w:val="00773F5E"/>
    <w:rsid w:val="00776E14"/>
    <w:rsid w:val="007773DC"/>
    <w:rsid w:val="007A64F2"/>
    <w:rsid w:val="007C3AB9"/>
    <w:rsid w:val="007C5131"/>
    <w:rsid w:val="007C51BF"/>
    <w:rsid w:val="007C56BF"/>
    <w:rsid w:val="007D0A5B"/>
    <w:rsid w:val="007D1971"/>
    <w:rsid w:val="007D3E64"/>
    <w:rsid w:val="007D43E7"/>
    <w:rsid w:val="007E0726"/>
    <w:rsid w:val="007E39C2"/>
    <w:rsid w:val="007E4C98"/>
    <w:rsid w:val="007F1D7B"/>
    <w:rsid w:val="007F25C9"/>
    <w:rsid w:val="007F7314"/>
    <w:rsid w:val="008002C9"/>
    <w:rsid w:val="00801910"/>
    <w:rsid w:val="008127D4"/>
    <w:rsid w:val="008179EC"/>
    <w:rsid w:val="00820C6E"/>
    <w:rsid w:val="008371C8"/>
    <w:rsid w:val="0084235F"/>
    <w:rsid w:val="00842FFD"/>
    <w:rsid w:val="00845C08"/>
    <w:rsid w:val="0085565F"/>
    <w:rsid w:val="008734DE"/>
    <w:rsid w:val="008833A2"/>
    <w:rsid w:val="00883C89"/>
    <w:rsid w:val="00883FA5"/>
    <w:rsid w:val="00886D85"/>
    <w:rsid w:val="0088776D"/>
    <w:rsid w:val="00887B08"/>
    <w:rsid w:val="00895E7F"/>
    <w:rsid w:val="00896D90"/>
    <w:rsid w:val="008A6794"/>
    <w:rsid w:val="008C19B9"/>
    <w:rsid w:val="008C5EA6"/>
    <w:rsid w:val="008D26BF"/>
    <w:rsid w:val="008D625D"/>
    <w:rsid w:val="008E2416"/>
    <w:rsid w:val="008F1CCB"/>
    <w:rsid w:val="008F4384"/>
    <w:rsid w:val="008F71B6"/>
    <w:rsid w:val="00907DB9"/>
    <w:rsid w:val="00922423"/>
    <w:rsid w:val="00923F6F"/>
    <w:rsid w:val="0094016A"/>
    <w:rsid w:val="00953C15"/>
    <w:rsid w:val="00953DA3"/>
    <w:rsid w:val="00963052"/>
    <w:rsid w:val="00964535"/>
    <w:rsid w:val="00966C90"/>
    <w:rsid w:val="00966F90"/>
    <w:rsid w:val="009768F8"/>
    <w:rsid w:val="00981180"/>
    <w:rsid w:val="00983CB5"/>
    <w:rsid w:val="009853BD"/>
    <w:rsid w:val="00995AC3"/>
    <w:rsid w:val="009A0697"/>
    <w:rsid w:val="009A66DC"/>
    <w:rsid w:val="009B48A3"/>
    <w:rsid w:val="009B6E6E"/>
    <w:rsid w:val="009C053D"/>
    <w:rsid w:val="009D4478"/>
    <w:rsid w:val="009E0007"/>
    <w:rsid w:val="009E43D1"/>
    <w:rsid w:val="009E6F16"/>
    <w:rsid w:val="009F0BCD"/>
    <w:rsid w:val="009F227A"/>
    <w:rsid w:val="009F3408"/>
    <w:rsid w:val="009F5ADF"/>
    <w:rsid w:val="009F6B40"/>
    <w:rsid w:val="009F6C75"/>
    <w:rsid w:val="009F7FAC"/>
    <w:rsid w:val="00A00BE7"/>
    <w:rsid w:val="00A21B92"/>
    <w:rsid w:val="00A23050"/>
    <w:rsid w:val="00A239E5"/>
    <w:rsid w:val="00A25B65"/>
    <w:rsid w:val="00A312AF"/>
    <w:rsid w:val="00A354BF"/>
    <w:rsid w:val="00A41236"/>
    <w:rsid w:val="00A4407A"/>
    <w:rsid w:val="00A5064F"/>
    <w:rsid w:val="00A73998"/>
    <w:rsid w:val="00A809C6"/>
    <w:rsid w:val="00A82EA5"/>
    <w:rsid w:val="00A83EF8"/>
    <w:rsid w:val="00A8701D"/>
    <w:rsid w:val="00A87D4C"/>
    <w:rsid w:val="00A91206"/>
    <w:rsid w:val="00A97A2C"/>
    <w:rsid w:val="00AA0A4F"/>
    <w:rsid w:val="00AA7192"/>
    <w:rsid w:val="00AA7AC2"/>
    <w:rsid w:val="00AB4175"/>
    <w:rsid w:val="00AC2B10"/>
    <w:rsid w:val="00AC71B5"/>
    <w:rsid w:val="00AD3CF3"/>
    <w:rsid w:val="00AE2592"/>
    <w:rsid w:val="00AE76A3"/>
    <w:rsid w:val="00B001E1"/>
    <w:rsid w:val="00B011DA"/>
    <w:rsid w:val="00B02B94"/>
    <w:rsid w:val="00B15BB4"/>
    <w:rsid w:val="00B20DDC"/>
    <w:rsid w:val="00B3570B"/>
    <w:rsid w:val="00B42227"/>
    <w:rsid w:val="00B431E5"/>
    <w:rsid w:val="00B43973"/>
    <w:rsid w:val="00B45235"/>
    <w:rsid w:val="00B46150"/>
    <w:rsid w:val="00B65069"/>
    <w:rsid w:val="00B87F80"/>
    <w:rsid w:val="00B94796"/>
    <w:rsid w:val="00BA36C6"/>
    <w:rsid w:val="00BB3D13"/>
    <w:rsid w:val="00BB5A0A"/>
    <w:rsid w:val="00BC4DE0"/>
    <w:rsid w:val="00BD07CE"/>
    <w:rsid w:val="00BD1515"/>
    <w:rsid w:val="00BD5276"/>
    <w:rsid w:val="00BE212F"/>
    <w:rsid w:val="00BE3C9C"/>
    <w:rsid w:val="00BE4FDE"/>
    <w:rsid w:val="00BE5109"/>
    <w:rsid w:val="00C0225B"/>
    <w:rsid w:val="00C146BE"/>
    <w:rsid w:val="00C14E86"/>
    <w:rsid w:val="00C167FA"/>
    <w:rsid w:val="00C304E9"/>
    <w:rsid w:val="00C44209"/>
    <w:rsid w:val="00C46773"/>
    <w:rsid w:val="00C50A2B"/>
    <w:rsid w:val="00C60DBC"/>
    <w:rsid w:val="00C621DC"/>
    <w:rsid w:val="00C654B1"/>
    <w:rsid w:val="00C705C8"/>
    <w:rsid w:val="00C72E83"/>
    <w:rsid w:val="00C73EDF"/>
    <w:rsid w:val="00C748E8"/>
    <w:rsid w:val="00C758A9"/>
    <w:rsid w:val="00C75A65"/>
    <w:rsid w:val="00C83B2A"/>
    <w:rsid w:val="00C86F10"/>
    <w:rsid w:val="00C91CE8"/>
    <w:rsid w:val="00C93F0F"/>
    <w:rsid w:val="00C95AF6"/>
    <w:rsid w:val="00CB101E"/>
    <w:rsid w:val="00CB3E8E"/>
    <w:rsid w:val="00CC0D52"/>
    <w:rsid w:val="00CD5D27"/>
    <w:rsid w:val="00CD7837"/>
    <w:rsid w:val="00CF398A"/>
    <w:rsid w:val="00CF5C85"/>
    <w:rsid w:val="00D13933"/>
    <w:rsid w:val="00D30888"/>
    <w:rsid w:val="00D37549"/>
    <w:rsid w:val="00D50A6E"/>
    <w:rsid w:val="00D52FE0"/>
    <w:rsid w:val="00D612BE"/>
    <w:rsid w:val="00D6476C"/>
    <w:rsid w:val="00D66F6A"/>
    <w:rsid w:val="00D72C43"/>
    <w:rsid w:val="00D73F7F"/>
    <w:rsid w:val="00D74261"/>
    <w:rsid w:val="00D77449"/>
    <w:rsid w:val="00D80E4B"/>
    <w:rsid w:val="00D83D60"/>
    <w:rsid w:val="00D91CE4"/>
    <w:rsid w:val="00DA0A16"/>
    <w:rsid w:val="00DA53CC"/>
    <w:rsid w:val="00DB431F"/>
    <w:rsid w:val="00DB490D"/>
    <w:rsid w:val="00DB6EFD"/>
    <w:rsid w:val="00DC2614"/>
    <w:rsid w:val="00DE256B"/>
    <w:rsid w:val="00DE5824"/>
    <w:rsid w:val="00DF13E0"/>
    <w:rsid w:val="00DF27B3"/>
    <w:rsid w:val="00E01514"/>
    <w:rsid w:val="00E11973"/>
    <w:rsid w:val="00E15F25"/>
    <w:rsid w:val="00E41D66"/>
    <w:rsid w:val="00E43D91"/>
    <w:rsid w:val="00E47ECF"/>
    <w:rsid w:val="00E52AA8"/>
    <w:rsid w:val="00E53BF3"/>
    <w:rsid w:val="00E60B01"/>
    <w:rsid w:val="00E85361"/>
    <w:rsid w:val="00EA3CB0"/>
    <w:rsid w:val="00EB243A"/>
    <w:rsid w:val="00EB7209"/>
    <w:rsid w:val="00ED3A43"/>
    <w:rsid w:val="00ED751B"/>
    <w:rsid w:val="00EE11DF"/>
    <w:rsid w:val="00EE1972"/>
    <w:rsid w:val="00EE1F12"/>
    <w:rsid w:val="00EF0639"/>
    <w:rsid w:val="00EF06DB"/>
    <w:rsid w:val="00EF1FB9"/>
    <w:rsid w:val="00EF4397"/>
    <w:rsid w:val="00F03690"/>
    <w:rsid w:val="00F03EC1"/>
    <w:rsid w:val="00F04277"/>
    <w:rsid w:val="00F04CE4"/>
    <w:rsid w:val="00F11FE6"/>
    <w:rsid w:val="00F22388"/>
    <w:rsid w:val="00F259EA"/>
    <w:rsid w:val="00F25C74"/>
    <w:rsid w:val="00F31921"/>
    <w:rsid w:val="00F401FC"/>
    <w:rsid w:val="00F42F05"/>
    <w:rsid w:val="00F43343"/>
    <w:rsid w:val="00F44667"/>
    <w:rsid w:val="00F4764E"/>
    <w:rsid w:val="00F5081D"/>
    <w:rsid w:val="00F55C0A"/>
    <w:rsid w:val="00F5672D"/>
    <w:rsid w:val="00F6012B"/>
    <w:rsid w:val="00F643F7"/>
    <w:rsid w:val="00F70C52"/>
    <w:rsid w:val="00F74443"/>
    <w:rsid w:val="00F74692"/>
    <w:rsid w:val="00F84AE7"/>
    <w:rsid w:val="00F85F98"/>
    <w:rsid w:val="00F92B7C"/>
    <w:rsid w:val="00F96B5E"/>
    <w:rsid w:val="00F975B3"/>
    <w:rsid w:val="00FA5A33"/>
    <w:rsid w:val="00FB13E9"/>
    <w:rsid w:val="00FB18EB"/>
    <w:rsid w:val="00FC3E09"/>
    <w:rsid w:val="00FC51AC"/>
    <w:rsid w:val="00FD2109"/>
    <w:rsid w:val="00FE2EE7"/>
    <w:rsid w:val="00FE3CD2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50BF9-4F2C-40E0-8EF0-BBAE555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B58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4B58"/>
    <w:pPr>
      <w:keepNext/>
      <w:jc w:val="center"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B58"/>
    <w:pPr>
      <w:keepNext/>
      <w:overflowPunct/>
      <w:autoSpaceDE/>
      <w:autoSpaceDN/>
      <w:adjustRightInd/>
      <w:textAlignment w:val="auto"/>
      <w:outlineLvl w:val="1"/>
    </w:pPr>
    <w:rPr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34B58"/>
    <w:pPr>
      <w:keepNext/>
      <w:ind w:right="-213"/>
      <w:outlineLvl w:val="2"/>
    </w:pPr>
    <w:rPr>
      <w:i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34B58"/>
    <w:pPr>
      <w:keepNext/>
      <w:outlineLvl w:val="3"/>
    </w:pPr>
    <w:rPr>
      <w:b/>
      <w:bCs/>
      <w:sz w:val="16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4B58"/>
    <w:pPr>
      <w:keepNext/>
      <w:outlineLvl w:val="4"/>
    </w:pPr>
    <w:rPr>
      <w:b/>
      <w:bCs/>
      <w:sz w:val="18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66C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B5A0A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A60DA"/>
    <w:rPr>
      <w:rFonts w:ascii="Cambria" w:eastAsia="Times New Roman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Nadpis2Char">
    <w:name w:val="Nadpis 2 Char"/>
    <w:link w:val="Nadpis2"/>
    <w:uiPriority w:val="9"/>
    <w:semiHidden/>
    <w:rsid w:val="00CA60DA"/>
    <w:rPr>
      <w:rFonts w:ascii="Cambria" w:eastAsia="Times New Roman" w:hAnsi="Cambria" w:cs="Times New Roman"/>
      <w:b/>
      <w:bCs/>
      <w:i/>
      <w:iCs/>
      <w:sz w:val="28"/>
      <w:szCs w:val="28"/>
      <w:lang w:val="en-GB" w:eastAsia="cs-CZ"/>
    </w:rPr>
  </w:style>
  <w:style w:type="character" w:customStyle="1" w:styleId="Nadpis3Char">
    <w:name w:val="Nadpis 3 Char"/>
    <w:link w:val="Nadpis3"/>
    <w:uiPriority w:val="9"/>
    <w:semiHidden/>
    <w:rsid w:val="00CA60DA"/>
    <w:rPr>
      <w:rFonts w:ascii="Cambria" w:eastAsia="Times New Roman" w:hAnsi="Cambria" w:cs="Times New Roman"/>
      <w:b/>
      <w:bCs/>
      <w:sz w:val="26"/>
      <w:szCs w:val="26"/>
      <w:lang w:val="en-GB" w:eastAsia="cs-CZ"/>
    </w:rPr>
  </w:style>
  <w:style w:type="character" w:customStyle="1" w:styleId="Nadpis4Char">
    <w:name w:val="Nadpis 4 Char"/>
    <w:link w:val="Nadpis4"/>
    <w:uiPriority w:val="9"/>
    <w:semiHidden/>
    <w:rsid w:val="00CA60DA"/>
    <w:rPr>
      <w:rFonts w:ascii="Calibri" w:eastAsia="Times New Roman" w:hAnsi="Calibri" w:cs="Times New Roman"/>
      <w:b/>
      <w:bCs/>
      <w:sz w:val="28"/>
      <w:szCs w:val="28"/>
      <w:lang w:val="en-GB" w:eastAsia="cs-CZ"/>
    </w:rPr>
  </w:style>
  <w:style w:type="character" w:customStyle="1" w:styleId="Nadpis5Char">
    <w:name w:val="Nadpis 5 Char"/>
    <w:link w:val="Nadpis5"/>
    <w:uiPriority w:val="9"/>
    <w:semiHidden/>
    <w:rsid w:val="00CA60DA"/>
    <w:rPr>
      <w:rFonts w:ascii="Calibri" w:eastAsia="Times New Roman" w:hAnsi="Calibri" w:cs="Times New Roman"/>
      <w:b/>
      <w:bCs/>
      <w:i/>
      <w:iCs/>
      <w:sz w:val="26"/>
      <w:szCs w:val="26"/>
      <w:lang w:val="en-GB" w:eastAsia="cs-CZ"/>
    </w:rPr>
  </w:style>
  <w:style w:type="character" w:customStyle="1" w:styleId="Nadpis6Char">
    <w:name w:val="Nadpis 6 Char"/>
    <w:link w:val="Nadpis6"/>
    <w:uiPriority w:val="99"/>
    <w:semiHidden/>
    <w:locked/>
    <w:rsid w:val="00566CF6"/>
    <w:rPr>
      <w:rFonts w:ascii="Calibri" w:hAnsi="Calibri" w:cs="Times New Roman"/>
      <w:b/>
      <w:bCs/>
      <w:sz w:val="22"/>
      <w:szCs w:val="22"/>
      <w:lang w:val="en-GB" w:eastAsia="cs-CZ"/>
    </w:rPr>
  </w:style>
  <w:style w:type="character" w:customStyle="1" w:styleId="Nadpis7Char">
    <w:name w:val="Nadpis 7 Char"/>
    <w:link w:val="Nadpis7"/>
    <w:uiPriority w:val="99"/>
    <w:locked/>
    <w:rsid w:val="00BB5A0A"/>
    <w:rPr>
      <w:rFonts w:cs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534B5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7350D"/>
    <w:rPr>
      <w:rFonts w:cs="Times New Roman"/>
      <w:lang w:val="en-GB" w:eastAsia="cs-CZ"/>
    </w:rPr>
  </w:style>
  <w:style w:type="character" w:styleId="slostrany">
    <w:name w:val="page number"/>
    <w:uiPriority w:val="99"/>
    <w:semiHidden/>
    <w:rsid w:val="00534B5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34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60DA"/>
    <w:rPr>
      <w:sz w:val="0"/>
      <w:szCs w:val="0"/>
      <w:lang w:val="en-GB" w:eastAsia="cs-CZ"/>
    </w:rPr>
  </w:style>
  <w:style w:type="paragraph" w:styleId="Oznaitext">
    <w:name w:val="Block Text"/>
    <w:basedOn w:val="Normlny"/>
    <w:uiPriority w:val="99"/>
    <w:semiHidden/>
    <w:rsid w:val="00534B58"/>
    <w:pPr>
      <w:ind w:left="360" w:right="-33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534B58"/>
    <w:pPr>
      <w:ind w:right="72"/>
    </w:pPr>
    <w:rPr>
      <w:sz w:val="22"/>
      <w:lang w:val="sk-SK"/>
    </w:rPr>
  </w:style>
  <w:style w:type="character" w:customStyle="1" w:styleId="ZkladntextChar">
    <w:name w:val="Základný text Char"/>
    <w:link w:val="Zkladntext"/>
    <w:uiPriority w:val="99"/>
    <w:semiHidden/>
    <w:rsid w:val="00CA60DA"/>
    <w:rPr>
      <w:sz w:val="20"/>
      <w:szCs w:val="20"/>
      <w:lang w:val="en-GB"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534B58"/>
    <w:pPr>
      <w:ind w:right="70"/>
    </w:pPr>
    <w:rPr>
      <w:sz w:val="22"/>
      <w:lang w:val="sk-SK"/>
    </w:rPr>
  </w:style>
  <w:style w:type="character" w:customStyle="1" w:styleId="Zkladntext2Char">
    <w:name w:val="Základný text 2 Char"/>
    <w:link w:val="Zkladntext2"/>
    <w:uiPriority w:val="99"/>
    <w:semiHidden/>
    <w:rsid w:val="00CA60DA"/>
    <w:rPr>
      <w:sz w:val="20"/>
      <w:szCs w:val="20"/>
      <w:lang w:val="en-GB"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534B58"/>
    <w:pPr>
      <w:tabs>
        <w:tab w:val="left" w:pos="180"/>
      </w:tabs>
      <w:jc w:val="both"/>
    </w:pPr>
    <w:rPr>
      <w:sz w:val="22"/>
      <w:lang w:val="sk-SK"/>
    </w:rPr>
  </w:style>
  <w:style w:type="character" w:customStyle="1" w:styleId="Zkladntext3Char">
    <w:name w:val="Základný text 3 Char"/>
    <w:link w:val="Zkladntext3"/>
    <w:uiPriority w:val="99"/>
    <w:semiHidden/>
    <w:rsid w:val="00CA60DA"/>
    <w:rPr>
      <w:sz w:val="16"/>
      <w:szCs w:val="16"/>
      <w:lang w:val="en-GB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534B58"/>
    <w:pPr>
      <w:ind w:firstLine="708"/>
    </w:pPr>
    <w:rPr>
      <w:sz w:val="22"/>
      <w:lang w:val="sk-SK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CA60DA"/>
    <w:rPr>
      <w:sz w:val="20"/>
      <w:szCs w:val="20"/>
      <w:lang w:val="en-GB" w:eastAsia="cs-CZ"/>
    </w:rPr>
  </w:style>
  <w:style w:type="table" w:styleId="Mriekatabuky">
    <w:name w:val="Table Grid"/>
    <w:basedOn w:val="Normlnatabuka"/>
    <w:uiPriority w:val="99"/>
    <w:rsid w:val="0000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0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10652"/>
    <w:rPr>
      <w:rFonts w:cs="Times New Roman"/>
      <w:lang w:val="en-GB" w:eastAsia="cs-CZ"/>
    </w:rPr>
  </w:style>
  <w:style w:type="paragraph" w:styleId="Normlnywebov">
    <w:name w:val="Normal (Web)"/>
    <w:basedOn w:val="Normlny"/>
    <w:uiPriority w:val="99"/>
    <w:rsid w:val="00BB5A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66CF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566CF6"/>
    <w:rPr>
      <w:rFonts w:cs="Times New Roman"/>
      <w:lang w:val="en-GB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566CF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566CF6"/>
    <w:rPr>
      <w:rFonts w:cs="Times New Roman"/>
      <w:sz w:val="16"/>
      <w:szCs w:val="16"/>
      <w:lang w:val="en-GB" w:eastAsia="cs-CZ"/>
    </w:rPr>
  </w:style>
  <w:style w:type="character" w:styleId="Zvraznenie">
    <w:name w:val="Emphasis"/>
    <w:uiPriority w:val="99"/>
    <w:qFormat/>
    <w:rsid w:val="00566CF6"/>
    <w:rPr>
      <w:rFonts w:cs="Times New Roman"/>
      <w:i/>
    </w:rPr>
  </w:style>
  <w:style w:type="character" w:styleId="Hypertextovprepojenie">
    <w:name w:val="Hyperlink"/>
    <w:uiPriority w:val="99"/>
    <w:rsid w:val="0035042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015B5E"/>
    <w:pPr>
      <w:ind w:left="720"/>
      <w:contextualSpacing/>
    </w:pPr>
  </w:style>
  <w:style w:type="character" w:styleId="PouitHypertextovPrepojenie">
    <w:name w:val="FollowedHyperlink"/>
    <w:uiPriority w:val="99"/>
    <w:semiHidden/>
    <w:rsid w:val="002B11A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VLATNOSTÍ LIEKU</vt:lpstr>
    </vt:vector>
  </TitlesOfParts>
  <Company>Hewlett-Packard Company</Company>
  <LinksUpToDate>false</LinksUpToDate>
  <CharactersWithSpaces>20215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VLATNOSTÍ LIEKU</dc:title>
  <dc:subject/>
  <dc:creator>Regpharm</dc:creator>
  <cp:keywords/>
  <dc:description/>
  <cp:lastModifiedBy>Bolebruchová Monika</cp:lastModifiedBy>
  <cp:revision>2</cp:revision>
  <cp:lastPrinted>2017-02-16T06:58:00Z</cp:lastPrinted>
  <dcterms:created xsi:type="dcterms:W3CDTF">2017-02-16T06:59:00Z</dcterms:created>
  <dcterms:modified xsi:type="dcterms:W3CDTF">2017-02-16T06:59:00Z</dcterms:modified>
</cp:coreProperties>
</file>