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707D4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bookmarkStart w:id="0" w:name="_GoBack"/>
      <w:bookmarkEnd w:id="0"/>
    </w:p>
    <w:p w14:paraId="1F1438B1" w14:textId="77777777" w:rsidR="00534BE6" w:rsidRPr="00423EC4" w:rsidRDefault="00534BE6" w:rsidP="00404E87">
      <w:pPr>
        <w:spacing w:line="240" w:lineRule="atLeast"/>
        <w:ind w:right="-2"/>
        <w:jc w:val="center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Súhrn charakteristických vlastností lieku</w:t>
      </w:r>
    </w:p>
    <w:p w14:paraId="65CFAE9F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B6AFF2C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2CC2D08" w14:textId="77777777" w:rsidR="00534BE6" w:rsidRDefault="00534BE6" w:rsidP="00423EC4">
      <w:pPr>
        <w:pStyle w:val="Odsekzoznamu"/>
        <w:numPr>
          <w:ilvl w:val="0"/>
          <w:numId w:val="1"/>
        </w:numPr>
        <w:spacing w:line="240" w:lineRule="atLeast"/>
        <w:ind w:left="567" w:right="-2" w:hanging="567"/>
        <w:jc w:val="both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Názov lieku</w:t>
      </w:r>
    </w:p>
    <w:p w14:paraId="6DE82AB3" w14:textId="77777777" w:rsidR="00534BE6" w:rsidRPr="00423EC4" w:rsidRDefault="00534BE6" w:rsidP="00423EC4">
      <w:pPr>
        <w:spacing w:line="240" w:lineRule="atLeast"/>
        <w:ind w:right="-2"/>
        <w:jc w:val="both"/>
        <w:rPr>
          <w:caps/>
          <w:sz w:val="22"/>
          <w:szCs w:val="22"/>
        </w:rPr>
      </w:pPr>
    </w:p>
    <w:p w14:paraId="7EBB07F7" w14:textId="77777777" w:rsidR="00534BE6" w:rsidRPr="008657E5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  <w:r w:rsidRPr="008657E5">
        <w:rPr>
          <w:sz w:val="22"/>
          <w:szCs w:val="22"/>
        </w:rPr>
        <w:t>AGOLUTIN DEPOT</w:t>
      </w:r>
    </w:p>
    <w:p w14:paraId="682D981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382FE8CB" w14:textId="4E64F79B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4E5B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mg/ml </w:t>
      </w:r>
      <w:r w:rsidRPr="00423EC4">
        <w:rPr>
          <w:sz w:val="22"/>
          <w:szCs w:val="22"/>
        </w:rPr>
        <w:t>injekčná suspenzia</w:t>
      </w:r>
    </w:p>
    <w:p w14:paraId="2102900F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A5D60E5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B5B1C09" w14:textId="77777777" w:rsidR="00534BE6" w:rsidRPr="00423EC4" w:rsidRDefault="00534BE6" w:rsidP="00423EC4">
      <w:pPr>
        <w:pStyle w:val="Odsekzoznamu"/>
        <w:numPr>
          <w:ilvl w:val="0"/>
          <w:numId w:val="1"/>
        </w:numPr>
        <w:tabs>
          <w:tab w:val="left" w:pos="567"/>
        </w:tabs>
        <w:spacing w:line="240" w:lineRule="atLeast"/>
        <w:ind w:left="567" w:right="-2" w:hanging="567"/>
        <w:jc w:val="both"/>
        <w:rPr>
          <w:b/>
          <w:sz w:val="22"/>
          <w:szCs w:val="22"/>
        </w:rPr>
      </w:pPr>
      <w:r w:rsidRPr="00423EC4">
        <w:rPr>
          <w:b/>
          <w:caps/>
          <w:sz w:val="22"/>
          <w:szCs w:val="22"/>
        </w:rPr>
        <w:t>Kvalitatívne a kvantitatívne zloženie</w:t>
      </w:r>
    </w:p>
    <w:p w14:paraId="214F866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2E2C328" w14:textId="4D98A37A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25 mg v 1 ml mikrokryštalickej suspenzie</w:t>
      </w:r>
      <w:r>
        <w:rPr>
          <w:sz w:val="22"/>
          <w:szCs w:val="22"/>
        </w:rPr>
        <w:t>.</w:t>
      </w:r>
    </w:p>
    <w:p w14:paraId="5065847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1968B4A" w14:textId="77777777" w:rsidR="00534BE6" w:rsidRDefault="00534BE6" w:rsidP="006D7130">
      <w:pPr>
        <w:pStyle w:val="Odstavecblok"/>
        <w:suppressAutoHyphens/>
        <w:jc w:val="both"/>
        <w:rPr>
          <w:sz w:val="22"/>
          <w:szCs w:val="22"/>
        </w:rPr>
      </w:pPr>
      <w:r w:rsidRPr="008657E5">
        <w:rPr>
          <w:sz w:val="22"/>
          <w:szCs w:val="22"/>
          <w:u w:val="single"/>
        </w:rPr>
        <w:t>Pomocná látka so známym účinkom</w:t>
      </w:r>
      <w:r>
        <w:rPr>
          <w:sz w:val="22"/>
          <w:szCs w:val="22"/>
        </w:rPr>
        <w:t xml:space="preserve">: </w:t>
      </w:r>
      <w:proofErr w:type="spellStart"/>
      <w:r w:rsidRPr="00794AE7">
        <w:rPr>
          <w:sz w:val="22"/>
          <w:szCs w:val="22"/>
        </w:rPr>
        <w:t>sorbitol</w:t>
      </w:r>
      <w:proofErr w:type="spellEnd"/>
    </w:p>
    <w:p w14:paraId="676A751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A1BD490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14:paraId="18B6A24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317B80E4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A0C662B" w14:textId="77777777" w:rsidR="00534BE6" w:rsidRPr="009B371C" w:rsidRDefault="00534BE6" w:rsidP="009B371C">
      <w:pPr>
        <w:pStyle w:val="Odsekzoznamu"/>
        <w:numPr>
          <w:ilvl w:val="0"/>
          <w:numId w:val="1"/>
        </w:numPr>
        <w:tabs>
          <w:tab w:val="left" w:pos="567"/>
        </w:tabs>
        <w:spacing w:line="240" w:lineRule="atLeast"/>
        <w:ind w:left="567" w:right="-2" w:hanging="567"/>
        <w:jc w:val="both"/>
        <w:rPr>
          <w:b/>
          <w:sz w:val="22"/>
          <w:szCs w:val="22"/>
        </w:rPr>
      </w:pPr>
      <w:r w:rsidRPr="009B371C">
        <w:rPr>
          <w:b/>
          <w:caps/>
          <w:sz w:val="22"/>
          <w:szCs w:val="22"/>
        </w:rPr>
        <w:t>Lieková forma</w:t>
      </w:r>
    </w:p>
    <w:p w14:paraId="78B87A6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83D9CA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Injekčná suspenzia</w:t>
      </w:r>
      <w:r>
        <w:rPr>
          <w:sz w:val="22"/>
          <w:szCs w:val="22"/>
        </w:rPr>
        <w:t xml:space="preserve"> (SUS INJ)</w:t>
      </w:r>
      <w:r w:rsidRPr="00423EC4">
        <w:rPr>
          <w:sz w:val="22"/>
          <w:szCs w:val="22"/>
        </w:rPr>
        <w:t xml:space="preserve">. </w:t>
      </w:r>
    </w:p>
    <w:p w14:paraId="4EAEE89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71CC3DE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Mikrokryštalická vodná suspenzia po pretrepaní mliečnej farby.</w:t>
      </w:r>
    </w:p>
    <w:p w14:paraId="1592D02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3C490E7D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9BD9778" w14:textId="77777777" w:rsidR="00534BE6" w:rsidRPr="009B371C" w:rsidRDefault="00534BE6" w:rsidP="009B371C">
      <w:pPr>
        <w:pStyle w:val="Odsekzoznamu"/>
        <w:numPr>
          <w:ilvl w:val="0"/>
          <w:numId w:val="1"/>
        </w:numPr>
        <w:tabs>
          <w:tab w:val="left" w:pos="567"/>
        </w:tabs>
        <w:spacing w:line="240" w:lineRule="atLeast"/>
        <w:ind w:left="567" w:right="-2" w:hanging="567"/>
        <w:jc w:val="both"/>
        <w:rPr>
          <w:b/>
          <w:caps/>
          <w:sz w:val="22"/>
          <w:szCs w:val="22"/>
        </w:rPr>
      </w:pPr>
      <w:r w:rsidRPr="009B371C">
        <w:rPr>
          <w:b/>
          <w:caps/>
          <w:sz w:val="22"/>
          <w:szCs w:val="22"/>
        </w:rPr>
        <w:t>Klinické údaje</w:t>
      </w:r>
    </w:p>
    <w:p w14:paraId="5968AA10" w14:textId="77777777" w:rsidR="00534BE6" w:rsidRPr="009B371C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</w:p>
    <w:p w14:paraId="1F510EFE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Terapeutické indikácie</w:t>
      </w:r>
    </w:p>
    <w:p w14:paraId="03B8DE53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635C488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Nedostatočná produkcia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žltým telieskom vaječníka (chýba sekrečná transformácia </w:t>
      </w:r>
      <w:proofErr w:type="spellStart"/>
      <w:r w:rsidRPr="00423EC4">
        <w:rPr>
          <w:sz w:val="22"/>
          <w:szCs w:val="22"/>
        </w:rPr>
        <w:t>endometria</w:t>
      </w:r>
      <w:proofErr w:type="spellEnd"/>
      <w:r w:rsidRPr="00423EC4">
        <w:rPr>
          <w:sz w:val="22"/>
          <w:szCs w:val="22"/>
        </w:rPr>
        <w:t xml:space="preserve">). Hlavnou indikáciou sú </w:t>
      </w:r>
      <w:proofErr w:type="spellStart"/>
      <w:r w:rsidRPr="00423EC4">
        <w:rPr>
          <w:sz w:val="22"/>
          <w:szCs w:val="22"/>
        </w:rPr>
        <w:t>hypofunkčné</w:t>
      </w:r>
      <w:proofErr w:type="spellEnd"/>
      <w:r w:rsidRPr="00423EC4">
        <w:rPr>
          <w:sz w:val="22"/>
          <w:szCs w:val="22"/>
        </w:rPr>
        <w:t xml:space="preserve"> poruchy menštruačného cyklu alebo dysfunkčné maternicové krvácanie. Vyvolanie krvácania a rýchleho odlúčenia </w:t>
      </w:r>
      <w:proofErr w:type="spellStart"/>
      <w:r w:rsidRPr="00423EC4">
        <w:rPr>
          <w:sz w:val="22"/>
          <w:szCs w:val="22"/>
        </w:rPr>
        <w:t>endometria</w:t>
      </w:r>
      <w:proofErr w:type="spellEnd"/>
      <w:r w:rsidRPr="00423EC4">
        <w:rPr>
          <w:sz w:val="22"/>
          <w:szCs w:val="22"/>
        </w:rPr>
        <w:t xml:space="preserve"> pri nedostatočnej produkcii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žltým telieskom vaječníka (</w:t>
      </w:r>
      <w:proofErr w:type="spellStart"/>
      <w:r w:rsidRPr="00423EC4">
        <w:rPr>
          <w:sz w:val="22"/>
          <w:szCs w:val="22"/>
        </w:rPr>
        <w:t>anovuláciou</w:t>
      </w:r>
      <w:proofErr w:type="spellEnd"/>
      <w:r w:rsidRPr="00423EC4">
        <w:rPr>
          <w:sz w:val="22"/>
          <w:szCs w:val="22"/>
        </w:rPr>
        <w:t xml:space="preserve">). Podáva sa pri premenštruačnom syndróme a v profylaxii </w:t>
      </w:r>
      <w:proofErr w:type="spellStart"/>
      <w:r w:rsidRPr="00423EC4">
        <w:rPr>
          <w:sz w:val="22"/>
          <w:szCs w:val="22"/>
        </w:rPr>
        <w:t>postnatálnej</w:t>
      </w:r>
      <w:proofErr w:type="spellEnd"/>
      <w:r w:rsidRPr="00423EC4">
        <w:rPr>
          <w:sz w:val="22"/>
          <w:szCs w:val="22"/>
        </w:rPr>
        <w:t xml:space="preserve"> depresie. Používa sa tiež na udržanie gravidity v prípade habituálneho, resp. hroziaceho potratu, pri nedostatočnej produkcii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v gravidite.</w:t>
      </w:r>
    </w:p>
    <w:p w14:paraId="37C17FF5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55698B9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4.2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Dávkovanie a spôsob podávania</w:t>
      </w:r>
    </w:p>
    <w:p w14:paraId="362DA5F5" w14:textId="77777777" w:rsidR="00534BE6" w:rsidRDefault="00534BE6">
      <w:pPr>
        <w:tabs>
          <w:tab w:val="left" w:pos="8647"/>
        </w:tabs>
        <w:ind w:right="-2"/>
        <w:jc w:val="both"/>
        <w:rPr>
          <w:sz w:val="22"/>
          <w:szCs w:val="22"/>
        </w:rPr>
      </w:pPr>
    </w:p>
    <w:p w14:paraId="10447D0D" w14:textId="77777777" w:rsidR="00534BE6" w:rsidRPr="008657E5" w:rsidRDefault="00534BE6">
      <w:pPr>
        <w:tabs>
          <w:tab w:val="left" w:pos="8647"/>
        </w:tabs>
        <w:ind w:right="-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14:paraId="2E7E156B" w14:textId="77777777" w:rsidR="00534BE6" w:rsidRDefault="00534BE6">
      <w:pPr>
        <w:tabs>
          <w:tab w:val="left" w:pos="8647"/>
        </w:tabs>
        <w:ind w:right="-2"/>
        <w:jc w:val="both"/>
        <w:rPr>
          <w:sz w:val="22"/>
          <w:szCs w:val="22"/>
        </w:rPr>
      </w:pPr>
    </w:p>
    <w:p w14:paraId="36087E77" w14:textId="4C80E3E1" w:rsidR="00534BE6" w:rsidRPr="00423EC4" w:rsidRDefault="00534BE6">
      <w:pPr>
        <w:tabs>
          <w:tab w:val="left" w:pos="8647"/>
        </w:tabs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Pri sekundárnej </w:t>
      </w:r>
      <w:proofErr w:type="spellStart"/>
      <w:r w:rsidRPr="00423EC4">
        <w:rPr>
          <w:sz w:val="22"/>
          <w:szCs w:val="22"/>
        </w:rPr>
        <w:t>amenoree</w:t>
      </w:r>
      <w:proofErr w:type="spellEnd"/>
      <w:r w:rsidRPr="00423EC4">
        <w:rPr>
          <w:sz w:val="22"/>
          <w:szCs w:val="22"/>
        </w:rPr>
        <w:t xml:space="preserve"> je substitúcia samotného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účinná len pri dokázanej dostatočnej produkcii </w:t>
      </w:r>
      <w:proofErr w:type="spellStart"/>
      <w:r w:rsidRPr="00423EC4">
        <w:rPr>
          <w:sz w:val="22"/>
          <w:szCs w:val="22"/>
        </w:rPr>
        <w:t>ovariálnych</w:t>
      </w:r>
      <w:proofErr w:type="spellEnd"/>
      <w:r w:rsidRPr="00423EC4">
        <w:rPr>
          <w:sz w:val="22"/>
          <w:szCs w:val="22"/>
        </w:rPr>
        <w:t xml:space="preserve"> estrogénov, tzn. pri pozitívnom </w:t>
      </w:r>
      <w:proofErr w:type="spellStart"/>
      <w:r w:rsidRPr="00423EC4">
        <w:rPr>
          <w:sz w:val="22"/>
          <w:szCs w:val="22"/>
        </w:rPr>
        <w:t>progesterónovom</w:t>
      </w:r>
      <w:proofErr w:type="spellEnd"/>
      <w:r w:rsidRPr="00423EC4">
        <w:rPr>
          <w:sz w:val="22"/>
          <w:szCs w:val="22"/>
        </w:rPr>
        <w:t xml:space="preserve"> teste. Podáva sa rovnako ako pri </w:t>
      </w:r>
      <w:proofErr w:type="spellStart"/>
      <w:r w:rsidRPr="00423EC4">
        <w:rPr>
          <w:sz w:val="22"/>
          <w:szCs w:val="22"/>
        </w:rPr>
        <w:t>oligomenoree</w:t>
      </w:r>
      <w:proofErr w:type="spellEnd"/>
      <w:r w:rsidRPr="00423EC4">
        <w:rPr>
          <w:sz w:val="22"/>
          <w:szCs w:val="22"/>
        </w:rPr>
        <w:t xml:space="preserve"> alebo pri úplnom anovulačnom cykle 17. deň cyklu 50 - 100 mg A</w:t>
      </w:r>
      <w:r>
        <w:rPr>
          <w:sz w:val="22"/>
          <w:szCs w:val="22"/>
        </w:rPr>
        <w:t>GOLUTINU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>.</w:t>
      </w:r>
    </w:p>
    <w:p w14:paraId="7EE877D7" w14:textId="19FA1A09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Na zastavenie dysfunkčného maternicového krvácania sa podáva 100 mg A</w:t>
      </w:r>
      <w:r>
        <w:rPr>
          <w:sz w:val="22"/>
          <w:szCs w:val="22"/>
        </w:rPr>
        <w:t>GOLUTINU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vždy súčasne s 10 mg A</w:t>
      </w:r>
      <w:r>
        <w:rPr>
          <w:sz w:val="22"/>
          <w:szCs w:val="22"/>
        </w:rPr>
        <w:t>GOFOLLINU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>.</w:t>
      </w:r>
    </w:p>
    <w:p w14:paraId="374A606D" w14:textId="759F16ED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Na prevenciu recidívy dysfunkčného krvácania sa podáva najmenej počas troch až šiestich cyklov vždy 17. deň cyklu najprv 100 mg a neskôr 50 mg A</w:t>
      </w:r>
      <w:r>
        <w:rPr>
          <w:sz w:val="22"/>
          <w:szCs w:val="22"/>
        </w:rPr>
        <w:t>GOLUTINU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>.</w:t>
      </w:r>
    </w:p>
    <w:p w14:paraId="3B621009" w14:textId="4D466359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Pri liečbe </w:t>
      </w:r>
      <w:proofErr w:type="spellStart"/>
      <w:r w:rsidRPr="00423EC4">
        <w:rPr>
          <w:sz w:val="22"/>
          <w:szCs w:val="22"/>
        </w:rPr>
        <w:t>postmenopauzálnych</w:t>
      </w:r>
      <w:proofErr w:type="spellEnd"/>
      <w:r w:rsidRPr="00423EC4">
        <w:rPr>
          <w:sz w:val="22"/>
          <w:szCs w:val="22"/>
        </w:rPr>
        <w:t xml:space="preserve"> výpadových javov, ak žena nevhodne reaguje na </w:t>
      </w:r>
      <w:proofErr w:type="spellStart"/>
      <w:r w:rsidRPr="00423EC4">
        <w:rPr>
          <w:sz w:val="22"/>
          <w:szCs w:val="22"/>
        </w:rPr>
        <w:t>androgénnu</w:t>
      </w:r>
      <w:proofErr w:type="spellEnd"/>
      <w:r w:rsidRPr="00423EC4">
        <w:rPr>
          <w:sz w:val="22"/>
          <w:szCs w:val="22"/>
        </w:rPr>
        <w:t xml:space="preserve"> zložku F</w:t>
      </w:r>
      <w:r>
        <w:rPr>
          <w:sz w:val="22"/>
          <w:szCs w:val="22"/>
        </w:rPr>
        <w:t>OLIVIRINU</w:t>
      </w:r>
      <w:r w:rsidRPr="00423EC4">
        <w:rPr>
          <w:sz w:val="22"/>
          <w:szCs w:val="22"/>
        </w:rPr>
        <w:t>, je možné kombinovať 5 - 10 mg A</w:t>
      </w:r>
      <w:r>
        <w:rPr>
          <w:sz w:val="22"/>
          <w:szCs w:val="22"/>
        </w:rPr>
        <w:t>GOFOLLINU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s 50 - 100 mg A</w:t>
      </w:r>
      <w:r>
        <w:rPr>
          <w:sz w:val="22"/>
          <w:szCs w:val="22"/>
        </w:rPr>
        <w:t>GOLUTINU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. </w:t>
      </w:r>
    </w:p>
    <w:p w14:paraId="3C0E0C53" w14:textId="5861E586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A</w:t>
      </w:r>
      <w:r>
        <w:rPr>
          <w:sz w:val="22"/>
          <w:szCs w:val="22"/>
        </w:rPr>
        <w:t>GOLUTIN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je celkom nevhodný na </w:t>
      </w:r>
      <w:proofErr w:type="spellStart"/>
      <w:r w:rsidRPr="00423EC4">
        <w:rPr>
          <w:sz w:val="22"/>
          <w:szCs w:val="22"/>
        </w:rPr>
        <w:t>progesterónový</w:t>
      </w:r>
      <w:proofErr w:type="spellEnd"/>
      <w:r w:rsidRPr="00423EC4">
        <w:rPr>
          <w:sz w:val="22"/>
          <w:szCs w:val="22"/>
        </w:rPr>
        <w:t xml:space="preserve"> test, pretože je nebezpečenstvo falošného negatívneho výsledku.</w:t>
      </w:r>
    </w:p>
    <w:p w14:paraId="01FBAAF1" w14:textId="61C3072E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Pri hroziacom potrate je liečba </w:t>
      </w:r>
      <w:proofErr w:type="spellStart"/>
      <w:r w:rsidRPr="00423EC4">
        <w:rPr>
          <w:sz w:val="22"/>
          <w:szCs w:val="22"/>
        </w:rPr>
        <w:t>progesterónom</w:t>
      </w:r>
      <w:proofErr w:type="spellEnd"/>
      <w:r w:rsidRPr="00423EC4">
        <w:rPr>
          <w:sz w:val="22"/>
          <w:szCs w:val="22"/>
        </w:rPr>
        <w:t xml:space="preserve"> odôvodnená len vtedy, ak sa dokázala jeho znížená produkcia. Podáva sa 50 -100 mg A</w:t>
      </w:r>
      <w:r>
        <w:rPr>
          <w:sz w:val="22"/>
          <w:szCs w:val="22"/>
        </w:rPr>
        <w:t>GOLUTINU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2 - 3 krát týždenne (alebo i častejšie) do 14. </w:t>
      </w:r>
      <w:r w:rsidRPr="00423EC4">
        <w:rPr>
          <w:sz w:val="22"/>
          <w:szCs w:val="22"/>
        </w:rPr>
        <w:lastRenderedPageBreak/>
        <w:t xml:space="preserve">týždňa gravidity (alebo aj dlhšie), podľa výsledkov priameho či nepriameho sledovania hladiny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v organizme. Pri podozrení na zamĺknutý potrat je podávanie </w:t>
      </w:r>
      <w:proofErr w:type="spellStart"/>
      <w:r w:rsidRPr="00423EC4">
        <w:rPr>
          <w:sz w:val="22"/>
          <w:szCs w:val="22"/>
        </w:rPr>
        <w:t>gestagénov</w:t>
      </w:r>
      <w:proofErr w:type="spellEnd"/>
      <w:r w:rsidRPr="00423EC4">
        <w:rPr>
          <w:sz w:val="22"/>
          <w:szCs w:val="22"/>
        </w:rPr>
        <w:t xml:space="preserve"> nevhodné.</w:t>
      </w:r>
    </w:p>
    <w:p w14:paraId="2ED98A69" w14:textId="77777777" w:rsidR="00534BE6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Preventívna aplikácia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je oprávnená len vtedy, ak sa dokáže nedostatočná tvorba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(v gravidite, pri </w:t>
      </w:r>
      <w:proofErr w:type="spellStart"/>
      <w:r w:rsidRPr="00423EC4">
        <w:rPr>
          <w:sz w:val="22"/>
          <w:szCs w:val="22"/>
        </w:rPr>
        <w:t>luteálnej</w:t>
      </w:r>
      <w:proofErr w:type="spellEnd"/>
      <w:r w:rsidRPr="00423EC4">
        <w:rPr>
          <w:sz w:val="22"/>
          <w:szCs w:val="22"/>
        </w:rPr>
        <w:t xml:space="preserve"> </w:t>
      </w:r>
      <w:proofErr w:type="spellStart"/>
      <w:r w:rsidRPr="00423EC4">
        <w:rPr>
          <w:sz w:val="22"/>
          <w:szCs w:val="22"/>
        </w:rPr>
        <w:t>insuficiencii</w:t>
      </w:r>
      <w:proofErr w:type="spellEnd"/>
      <w:r w:rsidRPr="00423EC4">
        <w:rPr>
          <w:sz w:val="22"/>
          <w:szCs w:val="22"/>
        </w:rPr>
        <w:t xml:space="preserve">, po liečbe anovulačnej sterility </w:t>
      </w:r>
      <w:proofErr w:type="spellStart"/>
      <w:r w:rsidRPr="00423EC4">
        <w:rPr>
          <w:sz w:val="22"/>
          <w:szCs w:val="22"/>
        </w:rPr>
        <w:t>klomifénom</w:t>
      </w:r>
      <w:proofErr w:type="spellEnd"/>
      <w:r w:rsidRPr="00423EC4">
        <w:rPr>
          <w:sz w:val="22"/>
          <w:szCs w:val="22"/>
        </w:rPr>
        <w:t xml:space="preserve"> a pod.), i v tomto prípade je vhodné sledovať hladinu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>.</w:t>
      </w:r>
    </w:p>
    <w:p w14:paraId="6A9FB416" w14:textId="77777777" w:rsidR="00534BE6" w:rsidRDefault="00534BE6">
      <w:pPr>
        <w:ind w:right="-2"/>
        <w:jc w:val="both"/>
        <w:rPr>
          <w:sz w:val="22"/>
          <w:szCs w:val="22"/>
        </w:rPr>
      </w:pPr>
    </w:p>
    <w:p w14:paraId="0BCCADF3" w14:textId="77777777" w:rsidR="00534BE6" w:rsidRPr="008657E5" w:rsidRDefault="00534BE6">
      <w:pPr>
        <w:ind w:right="-2"/>
        <w:jc w:val="both"/>
        <w:rPr>
          <w:i/>
          <w:sz w:val="22"/>
          <w:szCs w:val="22"/>
        </w:rPr>
      </w:pPr>
      <w:r w:rsidRPr="008657E5">
        <w:rPr>
          <w:i/>
          <w:sz w:val="22"/>
          <w:szCs w:val="22"/>
        </w:rPr>
        <w:t>Pediatrická populácia</w:t>
      </w:r>
    </w:p>
    <w:p w14:paraId="463A03B7" w14:textId="77777777" w:rsidR="00534BE6" w:rsidRPr="00423EC4" w:rsidRDefault="00534BE6" w:rsidP="00582388">
      <w:pPr>
        <w:spacing w:line="240" w:lineRule="atLeast"/>
        <w:ind w:right="-2"/>
        <w:jc w:val="both"/>
        <w:rPr>
          <w:sz w:val="22"/>
          <w:szCs w:val="22"/>
        </w:rPr>
      </w:pPr>
      <w:r w:rsidRPr="00F577A0">
        <w:rPr>
          <w:sz w:val="22"/>
          <w:szCs w:val="22"/>
        </w:rPr>
        <w:t>Podávanie u novorodencov a v pediatrii neprichádza do úvahy.</w:t>
      </w:r>
    </w:p>
    <w:p w14:paraId="3AAD656A" w14:textId="77777777" w:rsidR="00534BE6" w:rsidRDefault="00534BE6">
      <w:pPr>
        <w:ind w:right="-2"/>
        <w:jc w:val="both"/>
        <w:rPr>
          <w:sz w:val="22"/>
          <w:szCs w:val="22"/>
        </w:rPr>
      </w:pPr>
    </w:p>
    <w:p w14:paraId="2918567F" w14:textId="77777777" w:rsidR="00534BE6" w:rsidRPr="008657E5" w:rsidRDefault="00534BE6">
      <w:pPr>
        <w:ind w:right="-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14:paraId="25BB0873" w14:textId="5BEF1CCB" w:rsidR="00534BE6" w:rsidRPr="00423EC4" w:rsidRDefault="00534BE6">
      <w:pPr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A</w:t>
      </w:r>
      <w:r>
        <w:rPr>
          <w:sz w:val="22"/>
          <w:szCs w:val="22"/>
        </w:rPr>
        <w:t>GOLUTIN</w:t>
      </w:r>
      <w:r w:rsidRPr="00423EC4">
        <w:rPr>
          <w:sz w:val="22"/>
          <w:szCs w:val="22"/>
        </w:rPr>
        <w:t xml:space="preserve"> 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sa podáva </w:t>
      </w:r>
      <w:proofErr w:type="spellStart"/>
      <w:r w:rsidRPr="00423EC4">
        <w:rPr>
          <w:sz w:val="22"/>
          <w:szCs w:val="22"/>
        </w:rPr>
        <w:t>intramuskulárne</w:t>
      </w:r>
      <w:proofErr w:type="spellEnd"/>
      <w:r w:rsidRPr="00423EC4">
        <w:rPr>
          <w:sz w:val="22"/>
          <w:szCs w:val="22"/>
        </w:rPr>
        <w:t>.</w:t>
      </w:r>
    </w:p>
    <w:p w14:paraId="133FF41B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784587F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4.3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Kontraindikácie</w:t>
      </w:r>
    </w:p>
    <w:p w14:paraId="4B43CBD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2EED5F0" w14:textId="7F306D9C" w:rsidR="00534BE6" w:rsidRPr="00FE2636" w:rsidRDefault="00534BE6" w:rsidP="00FE2636">
      <w:pPr>
        <w:jc w:val="both"/>
        <w:rPr>
          <w:sz w:val="22"/>
          <w:szCs w:val="22"/>
        </w:rPr>
      </w:pPr>
      <w:r w:rsidRPr="00FE2636">
        <w:rPr>
          <w:sz w:val="22"/>
          <w:szCs w:val="22"/>
        </w:rPr>
        <w:t xml:space="preserve">Precitlivenosť na </w:t>
      </w:r>
      <w:r>
        <w:rPr>
          <w:sz w:val="22"/>
          <w:szCs w:val="22"/>
        </w:rPr>
        <w:t xml:space="preserve">liečivo </w:t>
      </w:r>
      <w:r w:rsidRPr="00FE2636">
        <w:rPr>
          <w:sz w:val="22"/>
          <w:szCs w:val="22"/>
        </w:rPr>
        <w:t>alebo na ktorúkoľvek z pomocných látok uvedených v časti 6.1.</w:t>
      </w:r>
    </w:p>
    <w:p w14:paraId="1F9216D4" w14:textId="77777777" w:rsidR="00534BE6" w:rsidRPr="00FE2636" w:rsidRDefault="00534BE6" w:rsidP="00FE2636">
      <w:pPr>
        <w:jc w:val="both"/>
        <w:rPr>
          <w:sz w:val="22"/>
          <w:szCs w:val="22"/>
        </w:rPr>
      </w:pPr>
      <w:r w:rsidRPr="00FE2636">
        <w:rPr>
          <w:sz w:val="22"/>
          <w:szCs w:val="22"/>
        </w:rPr>
        <w:t>Nepoužívajte:</w:t>
      </w:r>
    </w:p>
    <w:p w14:paraId="4282972A" w14:textId="77777777" w:rsidR="00534BE6" w:rsidRDefault="00534BE6" w:rsidP="008657E5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r w:rsidRPr="00423EC4">
        <w:rPr>
          <w:sz w:val="22"/>
          <w:szCs w:val="22"/>
        </w:rPr>
        <w:t>maternicov</w:t>
      </w:r>
      <w:r>
        <w:rPr>
          <w:sz w:val="22"/>
          <w:szCs w:val="22"/>
        </w:rPr>
        <w:t>om</w:t>
      </w:r>
      <w:r w:rsidRPr="00423EC4">
        <w:rPr>
          <w:sz w:val="22"/>
          <w:szCs w:val="22"/>
        </w:rPr>
        <w:t xml:space="preserve"> krvácan</w:t>
      </w:r>
      <w:r>
        <w:rPr>
          <w:sz w:val="22"/>
          <w:szCs w:val="22"/>
        </w:rPr>
        <w:t>í</w:t>
      </w:r>
      <w:r w:rsidRPr="00423EC4">
        <w:rPr>
          <w:sz w:val="22"/>
          <w:szCs w:val="22"/>
        </w:rPr>
        <w:t xml:space="preserve"> pred vylúčením organickej príčiny</w:t>
      </w:r>
      <w:r>
        <w:rPr>
          <w:sz w:val="22"/>
          <w:szCs w:val="22"/>
        </w:rPr>
        <w:t>,</w:t>
      </w:r>
    </w:p>
    <w:p w14:paraId="26EDF010" w14:textId="77777777" w:rsidR="00534BE6" w:rsidRDefault="00534BE6" w:rsidP="008657E5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r w:rsidRPr="00423EC4">
        <w:rPr>
          <w:sz w:val="22"/>
          <w:szCs w:val="22"/>
        </w:rPr>
        <w:t>dysfunkčn</w:t>
      </w:r>
      <w:r>
        <w:rPr>
          <w:sz w:val="22"/>
          <w:szCs w:val="22"/>
        </w:rPr>
        <w:t>om</w:t>
      </w:r>
      <w:r w:rsidRPr="00423EC4">
        <w:rPr>
          <w:sz w:val="22"/>
          <w:szCs w:val="22"/>
        </w:rPr>
        <w:t xml:space="preserve"> maternicov</w:t>
      </w:r>
      <w:r>
        <w:rPr>
          <w:sz w:val="22"/>
          <w:szCs w:val="22"/>
        </w:rPr>
        <w:t>om</w:t>
      </w:r>
      <w:r w:rsidRPr="00423EC4">
        <w:rPr>
          <w:sz w:val="22"/>
          <w:szCs w:val="22"/>
        </w:rPr>
        <w:t xml:space="preserve"> krvácan</w:t>
      </w:r>
      <w:r>
        <w:rPr>
          <w:sz w:val="22"/>
          <w:szCs w:val="22"/>
        </w:rPr>
        <w:t>í</w:t>
      </w:r>
      <w:r w:rsidRPr="00423EC4">
        <w:rPr>
          <w:sz w:val="22"/>
          <w:szCs w:val="22"/>
        </w:rPr>
        <w:t xml:space="preserve"> bez súčasnej aplikácie estrogénov</w:t>
      </w:r>
      <w:r>
        <w:rPr>
          <w:sz w:val="22"/>
          <w:szCs w:val="22"/>
        </w:rPr>
        <w:t>,</w:t>
      </w:r>
    </w:p>
    <w:p w14:paraId="111F6C6F" w14:textId="77777777" w:rsidR="00534BE6" w:rsidRDefault="00534BE6" w:rsidP="008657E5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pri l</w:t>
      </w:r>
      <w:r w:rsidRPr="00423EC4">
        <w:rPr>
          <w:sz w:val="22"/>
          <w:szCs w:val="22"/>
        </w:rPr>
        <w:t>aktáci</w:t>
      </w:r>
      <w:r>
        <w:rPr>
          <w:sz w:val="22"/>
          <w:szCs w:val="22"/>
        </w:rPr>
        <w:t>í,</w:t>
      </w:r>
    </w:p>
    <w:p w14:paraId="7D8F90E6" w14:textId="77777777" w:rsidR="00534BE6" w:rsidRDefault="00534BE6" w:rsidP="008657E5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r w:rsidRPr="00423EC4">
        <w:rPr>
          <w:sz w:val="22"/>
          <w:szCs w:val="22"/>
        </w:rPr>
        <w:t xml:space="preserve">tromboflebitíde, </w:t>
      </w:r>
      <w:proofErr w:type="spellStart"/>
      <w:r w:rsidRPr="00423EC4">
        <w:rPr>
          <w:sz w:val="22"/>
          <w:szCs w:val="22"/>
        </w:rPr>
        <w:t>tromboembolickej</w:t>
      </w:r>
      <w:proofErr w:type="spellEnd"/>
      <w:r w:rsidRPr="00423EC4">
        <w:rPr>
          <w:sz w:val="22"/>
          <w:szCs w:val="22"/>
        </w:rPr>
        <w:t xml:space="preserve"> chorobe</w:t>
      </w:r>
      <w:r>
        <w:rPr>
          <w:sz w:val="22"/>
          <w:szCs w:val="22"/>
        </w:rPr>
        <w:t>,</w:t>
      </w:r>
    </w:p>
    <w:p w14:paraId="07B6B8B3" w14:textId="77777777" w:rsidR="00534BE6" w:rsidRDefault="00534BE6" w:rsidP="008657E5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pri</w:t>
      </w:r>
      <w:r w:rsidRPr="00423EC4">
        <w:rPr>
          <w:sz w:val="22"/>
          <w:szCs w:val="22"/>
        </w:rPr>
        <w:t xml:space="preserve"> pľúcnej embólii i v</w:t>
      </w:r>
      <w:r>
        <w:rPr>
          <w:sz w:val="22"/>
          <w:szCs w:val="22"/>
        </w:rPr>
        <w:t> </w:t>
      </w:r>
      <w:r w:rsidRPr="00423EC4">
        <w:rPr>
          <w:sz w:val="22"/>
          <w:szCs w:val="22"/>
        </w:rPr>
        <w:t>anamnéze</w:t>
      </w:r>
      <w:r>
        <w:rPr>
          <w:sz w:val="22"/>
          <w:szCs w:val="22"/>
        </w:rPr>
        <w:t>,</w:t>
      </w:r>
    </w:p>
    <w:p w14:paraId="07D8694C" w14:textId="77777777" w:rsidR="00534BE6" w:rsidRPr="00D25AEB" w:rsidRDefault="00534BE6" w:rsidP="00D25AEB">
      <w:pPr>
        <w:pStyle w:val="Odsekzoznamu"/>
        <w:numPr>
          <w:ilvl w:val="0"/>
          <w:numId w:val="2"/>
        </w:numPr>
        <w:spacing w:line="240" w:lineRule="atLeast"/>
        <w:ind w:right="-2"/>
        <w:jc w:val="both"/>
        <w:rPr>
          <w:sz w:val="22"/>
          <w:szCs w:val="22"/>
        </w:rPr>
      </w:pPr>
      <w:r w:rsidRPr="00D25AEB">
        <w:rPr>
          <w:sz w:val="22"/>
          <w:szCs w:val="22"/>
        </w:rPr>
        <w:t>pri akútnych a chronických ochoreniach pečene.</w:t>
      </w:r>
    </w:p>
    <w:p w14:paraId="144C39EA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9188225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4.4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 xml:space="preserve">Osobitné upozornenia a opatrenia pri používaní </w:t>
      </w:r>
    </w:p>
    <w:p w14:paraId="3C45D0F5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D6E293C" w14:textId="0D675F48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Relatívnou kontraindikáciou je podávanie </w:t>
      </w:r>
      <w:proofErr w:type="spellStart"/>
      <w:r w:rsidRPr="00423EC4">
        <w:rPr>
          <w:sz w:val="22"/>
          <w:szCs w:val="22"/>
        </w:rPr>
        <w:t>pacientk</w:t>
      </w:r>
      <w:r>
        <w:rPr>
          <w:sz w:val="22"/>
          <w:szCs w:val="22"/>
        </w:rPr>
        <w:t>á</w:t>
      </w:r>
      <w:r w:rsidRPr="00423EC4">
        <w:rPr>
          <w:sz w:val="22"/>
          <w:szCs w:val="22"/>
        </w:rPr>
        <w:t>m</w:t>
      </w:r>
      <w:proofErr w:type="spellEnd"/>
      <w:r w:rsidRPr="00423EC4">
        <w:rPr>
          <w:sz w:val="22"/>
          <w:szCs w:val="22"/>
        </w:rPr>
        <w:t xml:space="preserve"> s astmou, epilepsiou, ochorením srdca alebo s dysfunkciou obličiek pre možnosť zvýšenej </w:t>
      </w:r>
      <w:proofErr w:type="spellStart"/>
      <w:r w:rsidRPr="00423EC4">
        <w:rPr>
          <w:sz w:val="22"/>
          <w:szCs w:val="22"/>
        </w:rPr>
        <w:t>retencie</w:t>
      </w:r>
      <w:proofErr w:type="spellEnd"/>
      <w:r w:rsidRPr="00423EC4">
        <w:rPr>
          <w:sz w:val="22"/>
          <w:szCs w:val="22"/>
        </w:rPr>
        <w:t xml:space="preserve"> tekutín. Pri podávaní týmto </w:t>
      </w:r>
      <w:proofErr w:type="spellStart"/>
      <w:r w:rsidRPr="00423EC4">
        <w:rPr>
          <w:sz w:val="22"/>
          <w:szCs w:val="22"/>
        </w:rPr>
        <w:t>pacientk</w:t>
      </w:r>
      <w:r>
        <w:rPr>
          <w:sz w:val="22"/>
          <w:szCs w:val="22"/>
        </w:rPr>
        <w:t>á</w:t>
      </w:r>
      <w:r w:rsidRPr="00423EC4">
        <w:rPr>
          <w:sz w:val="22"/>
          <w:szCs w:val="22"/>
        </w:rPr>
        <w:t>m</w:t>
      </w:r>
      <w:proofErr w:type="spellEnd"/>
      <w:r w:rsidRPr="00423EC4">
        <w:rPr>
          <w:sz w:val="22"/>
          <w:szCs w:val="22"/>
        </w:rPr>
        <w:t xml:space="preserve"> je potrebná zvýšená opatrnosť.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zhoršuje pečeňové funkcie a pri akútnom alebo chronickom poškodení pečene je kontraindikovaný.</w:t>
      </w:r>
    </w:p>
    <w:p w14:paraId="6630C1A7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zvyšuje bazálnu plazmatickú hladinu inzulínu a pri dlhodobom podávaní môže znížiť toleranciu glukózy.</w:t>
      </w:r>
    </w:p>
    <w:p w14:paraId="77822238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V prípade veľmi vysokých dávok sa môže prejaviť hypnotický efekt, ktorý je závislý na dávke.</w:t>
      </w:r>
    </w:p>
    <w:p w14:paraId="5667B687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AGOLUTIN DEPOT obsahuje </w:t>
      </w:r>
      <w:proofErr w:type="spellStart"/>
      <w:r>
        <w:rPr>
          <w:sz w:val="22"/>
          <w:szCs w:val="22"/>
        </w:rPr>
        <w:t>sorbitol</w:t>
      </w:r>
      <w:proofErr w:type="spellEnd"/>
      <w:r>
        <w:rPr>
          <w:sz w:val="22"/>
          <w:szCs w:val="22"/>
        </w:rPr>
        <w:t>. Pacienti so zriedkavými dedičnými problémami intolerancie fruktózy nesmú používať tento liek.</w:t>
      </w:r>
    </w:p>
    <w:p w14:paraId="63D2405E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3FC427F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4.5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Liekové a iné interakcie</w:t>
      </w:r>
    </w:p>
    <w:p w14:paraId="4F8FCEA3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AF72E83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Nie sú popísané klinicky významné interakcie. Účinok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znižujú </w:t>
      </w:r>
      <w:proofErr w:type="spellStart"/>
      <w:r w:rsidRPr="00423EC4">
        <w:rPr>
          <w:sz w:val="22"/>
          <w:szCs w:val="22"/>
        </w:rPr>
        <w:t>antihistaminiká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fenobarbital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fenytoín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rifampicín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primidón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karbamazepín</w:t>
      </w:r>
      <w:proofErr w:type="spellEnd"/>
      <w:r w:rsidRPr="00423EC4">
        <w:rPr>
          <w:sz w:val="22"/>
          <w:szCs w:val="22"/>
        </w:rPr>
        <w:t xml:space="preserve">. Zvyšuje plazmatickú hladinu </w:t>
      </w:r>
      <w:proofErr w:type="spellStart"/>
      <w:r w:rsidRPr="00423EC4">
        <w:rPr>
          <w:sz w:val="22"/>
          <w:szCs w:val="22"/>
        </w:rPr>
        <w:t>cyklosporínu</w:t>
      </w:r>
      <w:proofErr w:type="spellEnd"/>
      <w:r w:rsidRPr="00423EC4">
        <w:rPr>
          <w:sz w:val="22"/>
          <w:szCs w:val="22"/>
        </w:rPr>
        <w:t xml:space="preserve"> inhibíciou jeho metabolizmu.</w:t>
      </w:r>
    </w:p>
    <w:p w14:paraId="57C035A0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Potenciálne užitočná interakcia môže vzniknúť pri podaní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, ak pred tým žena s </w:t>
      </w:r>
      <w:proofErr w:type="spellStart"/>
      <w:r w:rsidRPr="00423EC4">
        <w:rPr>
          <w:sz w:val="22"/>
          <w:szCs w:val="22"/>
        </w:rPr>
        <w:t>endometriózou</w:t>
      </w:r>
      <w:proofErr w:type="spellEnd"/>
      <w:r w:rsidRPr="00423EC4">
        <w:rPr>
          <w:sz w:val="22"/>
          <w:szCs w:val="22"/>
        </w:rPr>
        <w:t xml:space="preserve"> užívala syntetické </w:t>
      </w:r>
      <w:proofErr w:type="spellStart"/>
      <w:r w:rsidRPr="00423EC4">
        <w:rPr>
          <w:sz w:val="22"/>
          <w:szCs w:val="22"/>
        </w:rPr>
        <w:t>progestagény</w:t>
      </w:r>
      <w:proofErr w:type="spellEnd"/>
      <w:r w:rsidRPr="00423EC4">
        <w:rPr>
          <w:sz w:val="22"/>
          <w:szCs w:val="22"/>
        </w:rPr>
        <w:t xml:space="preserve"> napr. </w:t>
      </w:r>
      <w:proofErr w:type="spellStart"/>
      <w:r w:rsidRPr="00423EC4">
        <w:rPr>
          <w:sz w:val="22"/>
          <w:szCs w:val="22"/>
        </w:rPr>
        <w:t>noretisterón</w:t>
      </w:r>
      <w:proofErr w:type="spellEnd"/>
      <w:r w:rsidRPr="00423EC4">
        <w:rPr>
          <w:sz w:val="22"/>
          <w:szCs w:val="22"/>
        </w:rPr>
        <w:t xml:space="preserve">.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spôsobuje falošnú </w:t>
      </w:r>
      <w:proofErr w:type="spellStart"/>
      <w:r w:rsidRPr="00423EC4">
        <w:rPr>
          <w:sz w:val="22"/>
          <w:szCs w:val="22"/>
        </w:rPr>
        <w:t>negativitu</w:t>
      </w:r>
      <w:proofErr w:type="spellEnd"/>
      <w:r w:rsidRPr="00423EC4">
        <w:rPr>
          <w:sz w:val="22"/>
          <w:szCs w:val="22"/>
        </w:rPr>
        <w:t xml:space="preserve"> alebo zníženie hodnôt stanovenia jódu viazaného na bielkoviny a vychytávanie </w:t>
      </w:r>
      <w:proofErr w:type="spellStart"/>
      <w:r w:rsidRPr="00423EC4">
        <w:rPr>
          <w:sz w:val="22"/>
          <w:szCs w:val="22"/>
        </w:rPr>
        <w:t>radiojódu</w:t>
      </w:r>
      <w:proofErr w:type="spellEnd"/>
      <w:r w:rsidRPr="00423EC4">
        <w:rPr>
          <w:sz w:val="22"/>
          <w:szCs w:val="22"/>
        </w:rPr>
        <w:t xml:space="preserve"> štítnou žľazou.</w:t>
      </w:r>
    </w:p>
    <w:p w14:paraId="03D61365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6B2BC1E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4.6</w:t>
      </w:r>
      <w:r>
        <w:rPr>
          <w:b/>
          <w:sz w:val="22"/>
          <w:szCs w:val="22"/>
        </w:rPr>
        <w:tab/>
      </w:r>
      <w:proofErr w:type="spellStart"/>
      <w:r w:rsidRPr="00423EC4">
        <w:rPr>
          <w:b/>
          <w:sz w:val="22"/>
          <w:szCs w:val="22"/>
        </w:rPr>
        <w:t>Fertilita</w:t>
      </w:r>
      <w:proofErr w:type="spellEnd"/>
      <w:r w:rsidRPr="00423EC4">
        <w:rPr>
          <w:b/>
          <w:sz w:val="22"/>
          <w:szCs w:val="22"/>
        </w:rPr>
        <w:t>, gravidita a laktácia</w:t>
      </w:r>
    </w:p>
    <w:p w14:paraId="51E7AE1A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00F082B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14:paraId="287144A4" w14:textId="3A58C695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Gravidita nie je kontraindikáciou pre prirodzené a tzv. čisté syntetické </w:t>
      </w:r>
      <w:proofErr w:type="spellStart"/>
      <w:r w:rsidRPr="00423EC4">
        <w:rPr>
          <w:sz w:val="22"/>
          <w:szCs w:val="22"/>
        </w:rPr>
        <w:t>gestagény</w:t>
      </w:r>
      <w:proofErr w:type="spellEnd"/>
      <w:r w:rsidRPr="00423EC4">
        <w:rPr>
          <w:sz w:val="22"/>
          <w:szCs w:val="22"/>
        </w:rPr>
        <w:t xml:space="preserve"> (bez vedľajších </w:t>
      </w:r>
      <w:proofErr w:type="spellStart"/>
      <w:r w:rsidRPr="00423EC4">
        <w:rPr>
          <w:sz w:val="22"/>
          <w:szCs w:val="22"/>
        </w:rPr>
        <w:t>androgénových</w:t>
      </w:r>
      <w:proofErr w:type="spellEnd"/>
      <w:r w:rsidRPr="00423EC4">
        <w:rPr>
          <w:sz w:val="22"/>
          <w:szCs w:val="22"/>
        </w:rPr>
        <w:t xml:space="preserve"> a </w:t>
      </w:r>
      <w:proofErr w:type="spellStart"/>
      <w:r w:rsidRPr="00423EC4">
        <w:rPr>
          <w:sz w:val="22"/>
          <w:szCs w:val="22"/>
        </w:rPr>
        <w:t>estrogénových</w:t>
      </w:r>
      <w:proofErr w:type="spellEnd"/>
      <w:r w:rsidRPr="00423EC4">
        <w:rPr>
          <w:sz w:val="22"/>
          <w:szCs w:val="22"/>
        </w:rPr>
        <w:t xml:space="preserve"> účinkov) pokiaľ nejde o zamĺknutý potrat. Podávanie v gravidite je odôvodnené len v prípade preukázanej nedostatočnej sekrécie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, u habituálneho potratu profylakticky, u abortus </w:t>
      </w:r>
      <w:proofErr w:type="spellStart"/>
      <w:r w:rsidRPr="00423EC4">
        <w:rPr>
          <w:sz w:val="22"/>
          <w:szCs w:val="22"/>
        </w:rPr>
        <w:t>imminens</w:t>
      </w:r>
      <w:proofErr w:type="spellEnd"/>
      <w:r w:rsidRPr="00423EC4">
        <w:rPr>
          <w:sz w:val="22"/>
          <w:szCs w:val="22"/>
        </w:rPr>
        <w:t xml:space="preserve"> terapeuticky. Hrozí však </w:t>
      </w:r>
      <w:proofErr w:type="spellStart"/>
      <w:r w:rsidRPr="00423EC4">
        <w:rPr>
          <w:sz w:val="22"/>
          <w:szCs w:val="22"/>
        </w:rPr>
        <w:t>virilizácia</w:t>
      </w:r>
      <w:proofErr w:type="spellEnd"/>
      <w:r w:rsidRPr="00423EC4">
        <w:rPr>
          <w:sz w:val="22"/>
          <w:szCs w:val="22"/>
        </w:rPr>
        <w:t xml:space="preserve"> plodu a bol zaznamenaný zvýšený počet </w:t>
      </w:r>
      <w:proofErr w:type="spellStart"/>
      <w:r w:rsidRPr="00423EC4">
        <w:rPr>
          <w:sz w:val="22"/>
          <w:szCs w:val="22"/>
        </w:rPr>
        <w:t>ektopických</w:t>
      </w:r>
      <w:proofErr w:type="spellEnd"/>
      <w:r w:rsidRPr="00423EC4">
        <w:rPr>
          <w:sz w:val="22"/>
          <w:szCs w:val="22"/>
        </w:rPr>
        <w:t xml:space="preserve"> gravidít.</w:t>
      </w:r>
    </w:p>
    <w:p w14:paraId="1C63012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D2EEF49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14:paraId="57EE734C" w14:textId="7AC70928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Dojčenie</w:t>
      </w:r>
      <w:r w:rsidRPr="00423EC4">
        <w:rPr>
          <w:sz w:val="22"/>
          <w:szCs w:val="22"/>
        </w:rPr>
        <w:t xml:space="preserve"> je kontraindikáciou</w:t>
      </w:r>
      <w:r>
        <w:rPr>
          <w:sz w:val="22"/>
          <w:szCs w:val="22"/>
        </w:rPr>
        <w:t xml:space="preserve"> (pozri časť 4.3)</w:t>
      </w:r>
      <w:r w:rsidRPr="00423EC4">
        <w:rPr>
          <w:sz w:val="22"/>
          <w:szCs w:val="22"/>
        </w:rPr>
        <w:t>.</w:t>
      </w:r>
    </w:p>
    <w:p w14:paraId="71CA0C03" w14:textId="77777777" w:rsidR="00534BE6" w:rsidRPr="00EC75F0" w:rsidDel="00582388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54FB932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lastRenderedPageBreak/>
        <w:t>4.7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Ovplyvnenie schopnosti viesť vozidlá a obsluhovať stroje</w:t>
      </w:r>
    </w:p>
    <w:p w14:paraId="3E80AE46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BBBA71D" w14:textId="711EB410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Neboli vykonané špeciálne testy na dôkaz zníženia pozornosti. Nie je pravdepodobné, že v rozmedzí terapeutických dávok dôjde k ovplyvneniu </w:t>
      </w:r>
      <w:proofErr w:type="spellStart"/>
      <w:r w:rsidRPr="00423EC4">
        <w:rPr>
          <w:sz w:val="22"/>
          <w:szCs w:val="22"/>
        </w:rPr>
        <w:t>vigility</w:t>
      </w:r>
      <w:proofErr w:type="spellEnd"/>
      <w:r w:rsidRPr="00423EC4">
        <w:rPr>
          <w:sz w:val="22"/>
          <w:szCs w:val="22"/>
        </w:rPr>
        <w:t xml:space="preserve">. </w:t>
      </w:r>
    </w:p>
    <w:p w14:paraId="7906DEA5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7985B5A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4.8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Nežiaduce účinky</w:t>
      </w:r>
    </w:p>
    <w:p w14:paraId="6CF5613C" w14:textId="77777777" w:rsidR="00534BE6" w:rsidRPr="005924AC" w:rsidRDefault="00534BE6" w:rsidP="005924AC">
      <w:pPr>
        <w:jc w:val="both"/>
        <w:rPr>
          <w:sz w:val="22"/>
          <w:szCs w:val="22"/>
        </w:rPr>
      </w:pPr>
    </w:p>
    <w:p w14:paraId="3DDB5F0C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Akútne, život ohrozujúce nežiaduce účinky po podaní terapeutických dávok nie sú známe.</w:t>
      </w:r>
    </w:p>
    <w:p w14:paraId="23DA3736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Najčastejšie sú v dôsledku dlhodobého podávania nežiaduce účinky v oblasti GIT </w:t>
      </w:r>
      <w:proofErr w:type="spellStart"/>
      <w:r w:rsidRPr="00423EC4">
        <w:rPr>
          <w:sz w:val="22"/>
          <w:szCs w:val="22"/>
        </w:rPr>
        <w:t>nauzea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vomitus</w:t>
      </w:r>
      <w:proofErr w:type="spellEnd"/>
      <w:r w:rsidRPr="00423EC4">
        <w:rPr>
          <w:sz w:val="22"/>
          <w:szCs w:val="22"/>
        </w:rPr>
        <w:t xml:space="preserve">, prípadne </w:t>
      </w:r>
      <w:proofErr w:type="spellStart"/>
      <w:r w:rsidRPr="00423EC4">
        <w:rPr>
          <w:sz w:val="22"/>
          <w:szCs w:val="22"/>
        </w:rPr>
        <w:t>hyperpyrexia</w:t>
      </w:r>
      <w:proofErr w:type="spellEnd"/>
      <w:r w:rsidRPr="00423EC4">
        <w:rPr>
          <w:sz w:val="22"/>
          <w:szCs w:val="22"/>
        </w:rPr>
        <w:t xml:space="preserve">, zmeny telesnej hmotnosti, edém. V oblasti CNS sú to nervozita, kŕče, zmeny libida, poruchy spánku, sklon k depresiám, zriedka bolesti hlavy. Ďalej sa môžu objaviť </w:t>
      </w:r>
      <w:proofErr w:type="spellStart"/>
      <w:r w:rsidRPr="00423EC4">
        <w:rPr>
          <w:sz w:val="22"/>
          <w:szCs w:val="22"/>
        </w:rPr>
        <w:t>melazma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chloazma</w:t>
      </w:r>
      <w:proofErr w:type="spellEnd"/>
      <w:r w:rsidRPr="00423EC4">
        <w:rPr>
          <w:sz w:val="22"/>
          <w:szCs w:val="22"/>
        </w:rPr>
        <w:t xml:space="preserve">, len ojedinelo sa pozoruje napätie prsníkov, </w:t>
      </w:r>
      <w:proofErr w:type="spellStart"/>
      <w:r w:rsidRPr="00423EC4">
        <w:rPr>
          <w:sz w:val="22"/>
          <w:szCs w:val="22"/>
        </w:rPr>
        <w:t>urtikária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pruritus</w:t>
      </w:r>
      <w:proofErr w:type="spellEnd"/>
      <w:r w:rsidRPr="00423EC4">
        <w:rPr>
          <w:sz w:val="22"/>
          <w:szCs w:val="22"/>
        </w:rPr>
        <w:t xml:space="preserve"> </w:t>
      </w:r>
      <w:proofErr w:type="spellStart"/>
      <w:r w:rsidRPr="00423EC4">
        <w:rPr>
          <w:sz w:val="22"/>
          <w:szCs w:val="22"/>
        </w:rPr>
        <w:t>vulvae</w:t>
      </w:r>
      <w:proofErr w:type="spellEnd"/>
      <w:r w:rsidRPr="00423EC4">
        <w:rPr>
          <w:sz w:val="22"/>
          <w:szCs w:val="22"/>
        </w:rPr>
        <w:t xml:space="preserve">, </w:t>
      </w:r>
      <w:proofErr w:type="spellStart"/>
      <w:r w:rsidRPr="00423EC4">
        <w:rPr>
          <w:sz w:val="22"/>
          <w:szCs w:val="22"/>
        </w:rPr>
        <w:t>kandidóza</w:t>
      </w:r>
      <w:proofErr w:type="spellEnd"/>
      <w:r w:rsidRPr="00423EC4">
        <w:rPr>
          <w:sz w:val="22"/>
          <w:szCs w:val="22"/>
        </w:rPr>
        <w:t xml:space="preserve">, lokálne dráždenie. </w:t>
      </w:r>
    </w:p>
    <w:p w14:paraId="0584E305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605E678" w14:textId="77777777" w:rsidR="00534BE6" w:rsidRPr="00423EC4" w:rsidRDefault="00534BE6">
      <w:pPr>
        <w:pStyle w:val="Zkladntext"/>
        <w:jc w:val="both"/>
        <w:rPr>
          <w:rFonts w:ascii="Times New Roman" w:hAnsi="Times New Roman"/>
          <w:sz w:val="22"/>
          <w:szCs w:val="22"/>
          <w:u w:val="single"/>
        </w:rPr>
      </w:pPr>
      <w:r w:rsidRPr="00423EC4">
        <w:rPr>
          <w:rFonts w:ascii="Times New Roman" w:hAnsi="Times New Roman"/>
          <w:sz w:val="22"/>
          <w:szCs w:val="22"/>
          <w:u w:val="single"/>
        </w:rPr>
        <w:t>Hlásenie podozrení na nežiaduce reakcie</w:t>
      </w:r>
    </w:p>
    <w:p w14:paraId="3B677784" w14:textId="48A8FC20" w:rsidR="00534BE6" w:rsidRPr="00423EC4" w:rsidRDefault="00534BE6">
      <w:pPr>
        <w:pStyle w:val="Zkladntext"/>
        <w:jc w:val="both"/>
        <w:rPr>
          <w:rFonts w:ascii="Times New Roman" w:hAnsi="Times New Roman"/>
          <w:noProof/>
          <w:sz w:val="22"/>
          <w:szCs w:val="22"/>
        </w:rPr>
      </w:pPr>
      <w:r w:rsidRPr="00423EC4">
        <w:rPr>
          <w:rFonts w:ascii="Times New Roman" w:hAnsi="Times New Roman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>
        <w:rPr>
          <w:rFonts w:ascii="Times New Roman" w:hAnsi="Times New Roman"/>
          <w:noProof/>
          <w:sz w:val="22"/>
          <w:szCs w:val="22"/>
        </w:rPr>
        <w:t>na</w:t>
      </w:r>
      <w:r w:rsidRPr="00423EC4">
        <w:rPr>
          <w:rFonts w:ascii="Times New Roman" w:hAnsi="Times New Roman"/>
          <w:noProof/>
          <w:sz w:val="22"/>
          <w:szCs w:val="22"/>
        </w:rPr>
        <w:t xml:space="preserve"> </w:t>
      </w:r>
      <w:r w:rsidRPr="00F17B87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 v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F17B8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</w:t>
        </w:r>
        <w:bookmarkStart w:id="1" w:name="_Hlt358875946"/>
        <w:bookmarkStart w:id="2" w:name="_Hlt358875947"/>
        <w:r w:rsidRPr="00F17B8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l</w:t>
        </w:r>
        <w:bookmarkStart w:id="3" w:name="_Hlt359915017"/>
        <w:bookmarkStart w:id="4" w:name="_Hlt359915018"/>
        <w:bookmarkEnd w:id="1"/>
        <w:bookmarkEnd w:id="2"/>
        <w:r w:rsidRPr="00F17B8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o</w:t>
        </w:r>
        <w:bookmarkStart w:id="5" w:name="_Hlt359563227"/>
        <w:bookmarkStart w:id="6" w:name="_Hlt359563228"/>
        <w:bookmarkEnd w:id="3"/>
        <w:bookmarkEnd w:id="4"/>
        <w:r w:rsidRPr="00F17B8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h</w:t>
        </w:r>
        <w:bookmarkEnd w:id="5"/>
        <w:bookmarkEnd w:id="6"/>
        <w:r w:rsidRPr="00F17B87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e V</w:t>
        </w:r>
      </w:hyperlink>
      <w:r w:rsidRPr="00423EC4">
        <w:rPr>
          <w:rFonts w:ascii="Times New Roman" w:hAnsi="Times New Roman"/>
          <w:noProof/>
          <w:sz w:val="22"/>
          <w:szCs w:val="22"/>
        </w:rPr>
        <w:t>.</w:t>
      </w:r>
    </w:p>
    <w:p w14:paraId="0B60C857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AF26CBA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b/>
          <w:sz w:val="22"/>
          <w:szCs w:val="22"/>
        </w:rPr>
        <w:t>4.9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Predávkovanie</w:t>
      </w:r>
    </w:p>
    <w:p w14:paraId="6141DB1C" w14:textId="77777777" w:rsidR="00534BE6" w:rsidRDefault="00534BE6">
      <w:pPr>
        <w:pStyle w:val="Zkladntext"/>
        <w:ind w:right="-2"/>
        <w:jc w:val="both"/>
        <w:rPr>
          <w:rFonts w:ascii="Times New Roman" w:hAnsi="Times New Roman"/>
          <w:sz w:val="22"/>
          <w:szCs w:val="22"/>
        </w:rPr>
      </w:pPr>
    </w:p>
    <w:p w14:paraId="367F9C36" w14:textId="77777777" w:rsidR="00534BE6" w:rsidRPr="00423EC4" w:rsidRDefault="00534BE6">
      <w:pPr>
        <w:pStyle w:val="Zkladntext"/>
        <w:ind w:right="-2"/>
        <w:jc w:val="both"/>
        <w:rPr>
          <w:rFonts w:ascii="Times New Roman" w:hAnsi="Times New Roman"/>
          <w:sz w:val="22"/>
          <w:szCs w:val="22"/>
        </w:rPr>
      </w:pPr>
      <w:r w:rsidRPr="00423EC4">
        <w:rPr>
          <w:rFonts w:ascii="Times New Roman" w:hAnsi="Times New Roman"/>
          <w:sz w:val="22"/>
          <w:szCs w:val="22"/>
        </w:rPr>
        <w:t>Nie sú známe údaje o akútnej toxicite, pri podaní dávok okolo 100 mg sa dosahuje len 1/10 koncentrácie obvyklej v gravidite. U extrémne vysokých dávok sa vyskytuje spavosť, kŕče maternice.</w:t>
      </w:r>
    </w:p>
    <w:p w14:paraId="589891B1" w14:textId="77777777" w:rsidR="00534BE6" w:rsidRDefault="00534BE6">
      <w:pPr>
        <w:pStyle w:val="Zkladntext"/>
        <w:ind w:right="-2"/>
        <w:jc w:val="both"/>
        <w:rPr>
          <w:rFonts w:ascii="Times New Roman" w:hAnsi="Times New Roman"/>
          <w:sz w:val="22"/>
          <w:szCs w:val="22"/>
        </w:rPr>
      </w:pPr>
    </w:p>
    <w:p w14:paraId="701A177A" w14:textId="77777777" w:rsidR="00534BE6" w:rsidRPr="00423EC4" w:rsidRDefault="00534BE6">
      <w:pPr>
        <w:pStyle w:val="Zkladntext"/>
        <w:ind w:right="-2"/>
        <w:jc w:val="both"/>
        <w:rPr>
          <w:rFonts w:ascii="Times New Roman" w:hAnsi="Times New Roman"/>
          <w:sz w:val="22"/>
          <w:szCs w:val="22"/>
        </w:rPr>
      </w:pPr>
    </w:p>
    <w:p w14:paraId="34039DE7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caps/>
          <w:sz w:val="22"/>
          <w:szCs w:val="22"/>
        </w:rPr>
      </w:pPr>
      <w:r w:rsidRPr="00423EC4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Pr="00423EC4">
        <w:rPr>
          <w:b/>
          <w:caps/>
          <w:sz w:val="22"/>
          <w:szCs w:val="22"/>
        </w:rPr>
        <w:t>Farmakologické vlastnosti</w:t>
      </w:r>
    </w:p>
    <w:p w14:paraId="09CD870E" w14:textId="77777777" w:rsidR="00534BE6" w:rsidRPr="008657E5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</w:p>
    <w:p w14:paraId="2CC2D949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ab/>
      </w:r>
      <w:proofErr w:type="spellStart"/>
      <w:r w:rsidRPr="00423EC4">
        <w:rPr>
          <w:b/>
          <w:sz w:val="22"/>
          <w:szCs w:val="22"/>
        </w:rPr>
        <w:t>Farmakodynamické</w:t>
      </w:r>
      <w:proofErr w:type="spellEnd"/>
      <w:r w:rsidRPr="00423EC4">
        <w:rPr>
          <w:b/>
          <w:sz w:val="22"/>
          <w:szCs w:val="22"/>
        </w:rPr>
        <w:t xml:space="preserve"> vlastnosti</w:t>
      </w:r>
      <w:r w:rsidRPr="00423EC4">
        <w:rPr>
          <w:sz w:val="22"/>
          <w:szCs w:val="22"/>
        </w:rPr>
        <w:t>.</w:t>
      </w:r>
    </w:p>
    <w:p w14:paraId="4A169E0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0B8A06B" w14:textId="61FEB10E" w:rsidR="00534BE6" w:rsidRDefault="00534BE6" w:rsidP="008657E5">
      <w:pPr>
        <w:jc w:val="both"/>
        <w:rPr>
          <w:sz w:val="22"/>
          <w:szCs w:val="22"/>
        </w:rPr>
      </w:pPr>
      <w:proofErr w:type="spellStart"/>
      <w:r w:rsidRPr="00423EC4">
        <w:rPr>
          <w:sz w:val="22"/>
          <w:szCs w:val="22"/>
        </w:rPr>
        <w:t>Farmakoterapeutická</w:t>
      </w:r>
      <w:proofErr w:type="spellEnd"/>
      <w:r w:rsidRPr="00423EC4">
        <w:rPr>
          <w:sz w:val="22"/>
          <w:szCs w:val="22"/>
        </w:rPr>
        <w:t xml:space="preserve"> skupina: </w:t>
      </w:r>
      <w:r>
        <w:rPr>
          <w:sz w:val="22"/>
          <w:szCs w:val="22"/>
        </w:rPr>
        <w:t xml:space="preserve">pohlavné hormóny a modulátory genitálneho systému, </w:t>
      </w:r>
      <w:proofErr w:type="spellStart"/>
      <w:r>
        <w:rPr>
          <w:sz w:val="22"/>
          <w:szCs w:val="22"/>
        </w:rPr>
        <w:t>gestagény</w:t>
      </w:r>
      <w:proofErr w:type="spellEnd"/>
      <w:r w:rsidRPr="00423EC4">
        <w:rPr>
          <w:sz w:val="22"/>
          <w:szCs w:val="22"/>
        </w:rPr>
        <w:t xml:space="preserve">. </w:t>
      </w:r>
    </w:p>
    <w:p w14:paraId="25EF2614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ATC kód: G03DA04</w:t>
      </w:r>
    </w:p>
    <w:p w14:paraId="629494BF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91B482A" w14:textId="33C80F63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AGOLUTIN </w:t>
      </w:r>
      <w:r w:rsidRPr="00423EC4">
        <w:rPr>
          <w:sz w:val="22"/>
          <w:szCs w:val="22"/>
        </w:rPr>
        <w:t>D</w:t>
      </w:r>
      <w:r>
        <w:rPr>
          <w:sz w:val="22"/>
          <w:szCs w:val="22"/>
        </w:rPr>
        <w:t>EPOT</w:t>
      </w:r>
      <w:r w:rsidRPr="00423EC4">
        <w:rPr>
          <w:sz w:val="22"/>
          <w:szCs w:val="22"/>
        </w:rPr>
        <w:t xml:space="preserve"> je </w:t>
      </w:r>
      <w:proofErr w:type="spellStart"/>
      <w:r w:rsidRPr="00423EC4">
        <w:rPr>
          <w:sz w:val="22"/>
          <w:szCs w:val="22"/>
        </w:rPr>
        <w:t>monokomponentný</w:t>
      </w:r>
      <w:proofErr w:type="spellEnd"/>
      <w:r w:rsidRPr="00423EC4">
        <w:rPr>
          <w:sz w:val="22"/>
          <w:szCs w:val="22"/>
        </w:rPr>
        <w:t xml:space="preserve"> prípravok s obsahom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>, ktorý je prirodzeným hormónom s dôležitými fyziologickými funkciami.</w:t>
      </w:r>
    </w:p>
    <w:p w14:paraId="26AC58D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Je určený predovšetkým k substitúcii nedostatku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, produkovaného žltým telieskom </w:t>
      </w:r>
      <w:proofErr w:type="spellStart"/>
      <w:r w:rsidRPr="00423EC4">
        <w:rPr>
          <w:sz w:val="22"/>
          <w:szCs w:val="22"/>
        </w:rPr>
        <w:t>ovária</w:t>
      </w:r>
      <w:proofErr w:type="spellEnd"/>
      <w:r w:rsidRPr="00423EC4">
        <w:rPr>
          <w:sz w:val="22"/>
          <w:szCs w:val="22"/>
        </w:rPr>
        <w:t>.</w:t>
      </w:r>
    </w:p>
    <w:p w14:paraId="3CD9D573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BDE7B57" w14:textId="1A21FB1F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</w:t>
      </w:r>
      <w:r w:rsidRPr="00423EC4">
        <w:rPr>
          <w:sz w:val="22"/>
          <w:szCs w:val="22"/>
          <w:u w:val="single"/>
        </w:rPr>
        <w:t>armakodynami</w:t>
      </w:r>
      <w:r>
        <w:rPr>
          <w:sz w:val="22"/>
          <w:szCs w:val="22"/>
          <w:u w:val="single"/>
        </w:rPr>
        <w:t>cké</w:t>
      </w:r>
      <w:proofErr w:type="spellEnd"/>
      <w:r>
        <w:rPr>
          <w:sz w:val="22"/>
          <w:szCs w:val="22"/>
          <w:u w:val="single"/>
        </w:rPr>
        <w:t xml:space="preserve"> účinky</w:t>
      </w:r>
    </w:p>
    <w:p w14:paraId="712E74EC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V klinike sa ako prirodzený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používa pri substitúcii nedostatku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>.</w:t>
      </w:r>
    </w:p>
    <w:p w14:paraId="1E48640B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Väčšina dôkazov pre indikáciu použitia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má empirický charakter z mnohoročného používania hormonálneho prípravku vo viacerých liekových formách. Sú k dispozícii výsledky otvorených klinických štúdií a pre indikáciu premenštruačnej tenzie sú známe signifikantne lepšie výsledky po </w:t>
      </w:r>
      <w:proofErr w:type="spellStart"/>
      <w:r w:rsidRPr="00423EC4">
        <w:rPr>
          <w:sz w:val="22"/>
          <w:szCs w:val="22"/>
        </w:rPr>
        <w:t>progesteróne</w:t>
      </w:r>
      <w:proofErr w:type="spellEnd"/>
      <w:r w:rsidRPr="00423EC4">
        <w:rPr>
          <w:sz w:val="22"/>
          <w:szCs w:val="22"/>
        </w:rPr>
        <w:t xml:space="preserve"> oproti </w:t>
      </w:r>
      <w:proofErr w:type="spellStart"/>
      <w:r w:rsidRPr="00423EC4">
        <w:rPr>
          <w:sz w:val="22"/>
          <w:szCs w:val="22"/>
        </w:rPr>
        <w:t>placebu</w:t>
      </w:r>
      <w:proofErr w:type="spellEnd"/>
      <w:r w:rsidRPr="00423EC4">
        <w:rPr>
          <w:sz w:val="22"/>
          <w:szCs w:val="22"/>
        </w:rPr>
        <w:t xml:space="preserve">, získane v </w:t>
      </w:r>
      <w:proofErr w:type="spellStart"/>
      <w:r w:rsidRPr="00423EC4">
        <w:rPr>
          <w:sz w:val="22"/>
          <w:szCs w:val="22"/>
        </w:rPr>
        <w:t>randomizovanej</w:t>
      </w:r>
      <w:proofErr w:type="spellEnd"/>
      <w:r w:rsidRPr="00423EC4">
        <w:rPr>
          <w:sz w:val="22"/>
          <w:szCs w:val="22"/>
        </w:rPr>
        <w:t xml:space="preserve"> kontrolovanej štúdii za dvojito slepých podmienok.</w:t>
      </w:r>
    </w:p>
    <w:p w14:paraId="5A32B976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701B7EF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b/>
          <w:sz w:val="22"/>
          <w:szCs w:val="22"/>
        </w:rPr>
        <w:t>5.2</w:t>
      </w:r>
      <w:r>
        <w:rPr>
          <w:b/>
          <w:sz w:val="22"/>
          <w:szCs w:val="22"/>
        </w:rPr>
        <w:tab/>
      </w:r>
      <w:proofErr w:type="spellStart"/>
      <w:r w:rsidRPr="00423EC4">
        <w:rPr>
          <w:b/>
          <w:sz w:val="22"/>
          <w:szCs w:val="22"/>
        </w:rPr>
        <w:t>Farmakokinetické</w:t>
      </w:r>
      <w:proofErr w:type="spellEnd"/>
      <w:r w:rsidRPr="00423EC4">
        <w:rPr>
          <w:b/>
          <w:sz w:val="22"/>
          <w:szCs w:val="22"/>
        </w:rPr>
        <w:t xml:space="preserve"> vlastnosti</w:t>
      </w:r>
    </w:p>
    <w:p w14:paraId="47FA446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71E4767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r w:rsidRPr="008657E5">
        <w:rPr>
          <w:sz w:val="22"/>
          <w:szCs w:val="22"/>
          <w:u w:val="single"/>
        </w:rPr>
        <w:t>Absorpcia</w:t>
      </w:r>
    </w:p>
    <w:p w14:paraId="0FA63887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proofErr w:type="spellStart"/>
      <w:r w:rsidRPr="00423EC4">
        <w:rPr>
          <w:sz w:val="22"/>
          <w:szCs w:val="22"/>
        </w:rPr>
        <w:t>Intramuskulárna</w:t>
      </w:r>
      <w:proofErr w:type="spellEnd"/>
      <w:r w:rsidRPr="00423EC4">
        <w:rPr>
          <w:sz w:val="22"/>
          <w:szCs w:val="22"/>
        </w:rPr>
        <w:t xml:space="preserve"> injekcia 25 mg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 vytvára plazmatickú hladinu 20 až 40 nmol.l</w:t>
      </w:r>
      <w:r w:rsidRPr="00423EC4">
        <w:rPr>
          <w:sz w:val="22"/>
          <w:szCs w:val="22"/>
          <w:vertAlign w:val="superscript"/>
        </w:rPr>
        <w:t>-1</w:t>
      </w:r>
      <w:r w:rsidRPr="00423EC4">
        <w:rPr>
          <w:sz w:val="22"/>
          <w:szCs w:val="22"/>
        </w:rPr>
        <w:t>, čo zodpovedá plazmatickej hladine v </w:t>
      </w:r>
      <w:proofErr w:type="spellStart"/>
      <w:r w:rsidRPr="00423EC4">
        <w:rPr>
          <w:sz w:val="22"/>
          <w:szCs w:val="22"/>
        </w:rPr>
        <w:t>luteálnej</w:t>
      </w:r>
      <w:proofErr w:type="spellEnd"/>
      <w:r w:rsidRPr="00423EC4">
        <w:rPr>
          <w:sz w:val="22"/>
          <w:szCs w:val="22"/>
        </w:rPr>
        <w:t xml:space="preserve"> fáze. Dávky vyššie ako 50 mg vytvárajú hladiny blízke hladinám v gravidite. Plazmatický polčas je veľmi krátky, len niekoľko minút.</w:t>
      </w:r>
    </w:p>
    <w:p w14:paraId="76D33B0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08D61C7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r w:rsidRPr="008657E5">
        <w:rPr>
          <w:sz w:val="22"/>
          <w:szCs w:val="22"/>
          <w:u w:val="single"/>
        </w:rPr>
        <w:t>Distribúcia</w:t>
      </w:r>
    </w:p>
    <w:p w14:paraId="6AECD31A" w14:textId="24AB8890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Distribučný objem je okolo 17 až 19 l,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je vychytávaný tukom, z ktorého sa postupne uvoľňuje. Po </w:t>
      </w:r>
      <w:proofErr w:type="spellStart"/>
      <w:r w:rsidRPr="00423EC4">
        <w:rPr>
          <w:sz w:val="22"/>
          <w:szCs w:val="22"/>
        </w:rPr>
        <w:t>intramuskulárnom</w:t>
      </w:r>
      <w:proofErr w:type="spellEnd"/>
      <w:r w:rsidRPr="00423EC4">
        <w:rPr>
          <w:sz w:val="22"/>
          <w:szCs w:val="22"/>
        </w:rPr>
        <w:t xml:space="preserve"> podaní vodnej suspenzie (A</w:t>
      </w:r>
      <w:r>
        <w:rPr>
          <w:sz w:val="22"/>
          <w:szCs w:val="22"/>
        </w:rPr>
        <w:t>GOLUTIN DEPOT</w:t>
      </w:r>
      <w:r w:rsidRPr="00423EC4">
        <w:rPr>
          <w:sz w:val="22"/>
          <w:szCs w:val="22"/>
        </w:rPr>
        <w:t xml:space="preserve">) je účinok predĺžený. Cirkulujúci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je viazaný na plazmatický albumín resp. na </w:t>
      </w:r>
      <w:proofErr w:type="spellStart"/>
      <w:r w:rsidRPr="00423EC4">
        <w:rPr>
          <w:sz w:val="22"/>
          <w:szCs w:val="22"/>
        </w:rPr>
        <w:t>kortikosteroidy</w:t>
      </w:r>
      <w:proofErr w:type="spellEnd"/>
      <w:r w:rsidRPr="00423EC4">
        <w:rPr>
          <w:sz w:val="22"/>
          <w:szCs w:val="22"/>
        </w:rPr>
        <w:t>, viažuce globulín medzi 95 až 96 %. Koncentrácia v CSF dosahuje 10 % plazmatickej hladiny. Účinná látka prechádza placentárnou bariérou a do materského mlieka.</w:t>
      </w:r>
    </w:p>
    <w:p w14:paraId="1A6B750C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77616B7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proofErr w:type="spellStart"/>
      <w:r w:rsidRPr="008657E5">
        <w:rPr>
          <w:sz w:val="22"/>
          <w:szCs w:val="22"/>
          <w:u w:val="single"/>
        </w:rPr>
        <w:t>Biotransformácia</w:t>
      </w:r>
      <w:proofErr w:type="spellEnd"/>
    </w:p>
    <w:p w14:paraId="78523DA6" w14:textId="63A2CDE8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Metabolizuje sa predovšetkým v pečeni asi 65 %, tiež v obličkách, mozgu, maternici a koži. </w:t>
      </w:r>
      <w:proofErr w:type="spellStart"/>
      <w:r w:rsidRPr="00423EC4">
        <w:rPr>
          <w:sz w:val="22"/>
          <w:szCs w:val="22"/>
        </w:rPr>
        <w:t>Biotransformuje</w:t>
      </w:r>
      <w:proofErr w:type="spellEnd"/>
      <w:r w:rsidRPr="00423EC4">
        <w:rPr>
          <w:sz w:val="22"/>
          <w:szCs w:val="22"/>
        </w:rPr>
        <w:t xml:space="preserve"> sa na </w:t>
      </w:r>
      <w:proofErr w:type="spellStart"/>
      <w:r w:rsidRPr="00423EC4">
        <w:rPr>
          <w:sz w:val="22"/>
          <w:szCs w:val="22"/>
        </w:rPr>
        <w:t>pregnandiol</w:t>
      </w:r>
      <w:proofErr w:type="spellEnd"/>
      <w:r>
        <w:rPr>
          <w:sz w:val="22"/>
          <w:szCs w:val="22"/>
        </w:rPr>
        <w:t>.</w:t>
      </w:r>
    </w:p>
    <w:p w14:paraId="0613FAFA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78FEB10" w14:textId="77777777" w:rsidR="00534BE6" w:rsidRPr="008657E5" w:rsidRDefault="00534BE6">
      <w:pPr>
        <w:spacing w:line="240" w:lineRule="atLeast"/>
        <w:ind w:right="-2"/>
        <w:jc w:val="both"/>
        <w:rPr>
          <w:sz w:val="22"/>
          <w:szCs w:val="22"/>
          <w:u w:val="single"/>
        </w:rPr>
      </w:pPr>
      <w:r w:rsidRPr="008657E5">
        <w:rPr>
          <w:sz w:val="22"/>
          <w:szCs w:val="22"/>
          <w:u w:val="single"/>
        </w:rPr>
        <w:t>Eliminácia</w:t>
      </w:r>
    </w:p>
    <w:p w14:paraId="77399F06" w14:textId="70A0FC85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Pregnandiol</w:t>
      </w:r>
      <w:proofErr w:type="spellEnd"/>
      <w:r>
        <w:rPr>
          <w:sz w:val="22"/>
          <w:szCs w:val="22"/>
        </w:rPr>
        <w:t xml:space="preserve"> </w:t>
      </w:r>
      <w:r w:rsidRPr="00423EC4">
        <w:rPr>
          <w:sz w:val="22"/>
          <w:szCs w:val="22"/>
        </w:rPr>
        <w:t xml:space="preserve">sa vylučuje močom ako </w:t>
      </w:r>
      <w:proofErr w:type="spellStart"/>
      <w:r w:rsidRPr="00423EC4">
        <w:rPr>
          <w:sz w:val="22"/>
          <w:szCs w:val="22"/>
        </w:rPr>
        <w:t>glukuronát</w:t>
      </w:r>
      <w:proofErr w:type="spellEnd"/>
      <w:r w:rsidRPr="00423EC4">
        <w:rPr>
          <w:sz w:val="22"/>
          <w:szCs w:val="22"/>
        </w:rPr>
        <w:t xml:space="preserve">. Okolo 10 % je vylučovaných stolicou a významná je tiež </w:t>
      </w:r>
      <w:proofErr w:type="spellStart"/>
      <w:r w:rsidRPr="00423EC4">
        <w:rPr>
          <w:sz w:val="22"/>
          <w:szCs w:val="22"/>
        </w:rPr>
        <w:t>enterohepatálna</w:t>
      </w:r>
      <w:proofErr w:type="spellEnd"/>
      <w:r w:rsidRPr="00423EC4">
        <w:rPr>
          <w:sz w:val="22"/>
          <w:szCs w:val="22"/>
        </w:rPr>
        <w:t xml:space="preserve"> cirkulácia. </w:t>
      </w:r>
    </w:p>
    <w:p w14:paraId="78969DB1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52C7A86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Predklinické údaje o bezpečnosti</w:t>
      </w:r>
    </w:p>
    <w:p w14:paraId="56653DD2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50184A6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Nie sú k dispozícii údaje o akútnej toxicite, pretože po perorálnom resp. </w:t>
      </w:r>
      <w:proofErr w:type="spellStart"/>
      <w:r w:rsidRPr="00423EC4">
        <w:rPr>
          <w:sz w:val="22"/>
          <w:szCs w:val="22"/>
        </w:rPr>
        <w:t>intramuskulárnom</w:t>
      </w:r>
      <w:proofErr w:type="spellEnd"/>
      <w:r w:rsidRPr="00423EC4">
        <w:rPr>
          <w:sz w:val="22"/>
          <w:szCs w:val="22"/>
        </w:rPr>
        <w:t xml:space="preserve"> podaní nie je možné vzhľadom na </w:t>
      </w:r>
      <w:proofErr w:type="spellStart"/>
      <w:r w:rsidRPr="00423EC4">
        <w:rPr>
          <w:sz w:val="22"/>
          <w:szCs w:val="22"/>
        </w:rPr>
        <w:t>limitovanosti</w:t>
      </w:r>
      <w:proofErr w:type="spellEnd"/>
      <w:r w:rsidRPr="00423EC4">
        <w:rPr>
          <w:sz w:val="22"/>
          <w:szCs w:val="22"/>
        </w:rPr>
        <w:t xml:space="preserve"> aplikácie dosiahnuť toxickej hladiny. Dlhodobé podávanie v klinických podmienkach dostatočne substituuje testy chronickej toxicity v experimente.</w:t>
      </w:r>
    </w:p>
    <w:p w14:paraId="264A823D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3731EE7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27534FF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 xml:space="preserve">FARMACEUTICKÉ INFORMÁCIE </w:t>
      </w:r>
    </w:p>
    <w:p w14:paraId="257EF381" w14:textId="77777777" w:rsidR="00534BE6" w:rsidRPr="009B371C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2505FAD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Zoznam pomocných látok</w:t>
      </w:r>
    </w:p>
    <w:p w14:paraId="30733216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E553F59" w14:textId="77777777" w:rsidR="00534BE6" w:rsidRDefault="00534BE6" w:rsidP="0011264C">
      <w:pPr>
        <w:pStyle w:val="Odstavecblok"/>
        <w:suppressAutoHyphens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Pr="00857D2C">
        <w:rPr>
          <w:sz w:val="22"/>
          <w:szCs w:val="22"/>
        </w:rPr>
        <w:t>orbitol</w:t>
      </w:r>
      <w:proofErr w:type="spellEnd"/>
    </w:p>
    <w:p w14:paraId="376C0C81" w14:textId="77777777" w:rsidR="00534BE6" w:rsidRDefault="00534BE6" w:rsidP="0011264C">
      <w:pPr>
        <w:pStyle w:val="Odstavecblok"/>
        <w:suppressAutoHyphens/>
        <w:jc w:val="both"/>
        <w:rPr>
          <w:sz w:val="22"/>
          <w:szCs w:val="22"/>
        </w:rPr>
      </w:pPr>
      <w:r w:rsidRPr="00857D2C">
        <w:rPr>
          <w:sz w:val="22"/>
          <w:szCs w:val="22"/>
        </w:rPr>
        <w:t xml:space="preserve">sodná soľ </w:t>
      </w:r>
      <w:proofErr w:type="spellStart"/>
      <w:r w:rsidRPr="00857D2C">
        <w:rPr>
          <w:sz w:val="22"/>
          <w:szCs w:val="22"/>
        </w:rPr>
        <w:t>karmelózy</w:t>
      </w:r>
      <w:proofErr w:type="spellEnd"/>
    </w:p>
    <w:p w14:paraId="47287C2B" w14:textId="77777777" w:rsidR="00534BE6" w:rsidRDefault="00534BE6" w:rsidP="0011264C">
      <w:pPr>
        <w:pStyle w:val="Odstavecblok"/>
        <w:suppressAutoHyphens/>
        <w:jc w:val="both"/>
        <w:rPr>
          <w:sz w:val="22"/>
          <w:szCs w:val="22"/>
        </w:rPr>
      </w:pPr>
      <w:proofErr w:type="spellStart"/>
      <w:r w:rsidRPr="00857D2C">
        <w:rPr>
          <w:sz w:val="22"/>
          <w:szCs w:val="22"/>
        </w:rPr>
        <w:t>polysorbát</w:t>
      </w:r>
      <w:proofErr w:type="spellEnd"/>
      <w:r w:rsidRPr="00857D2C">
        <w:rPr>
          <w:sz w:val="22"/>
          <w:szCs w:val="22"/>
        </w:rPr>
        <w:t xml:space="preserve"> 80</w:t>
      </w:r>
    </w:p>
    <w:p w14:paraId="77304626" w14:textId="77777777" w:rsidR="00534BE6" w:rsidRDefault="00534BE6" w:rsidP="0011264C">
      <w:pPr>
        <w:pStyle w:val="Odstavecblok"/>
        <w:suppressAutoHyphens/>
        <w:jc w:val="both"/>
        <w:rPr>
          <w:sz w:val="22"/>
          <w:szCs w:val="22"/>
        </w:rPr>
      </w:pPr>
      <w:r w:rsidRPr="00857D2C">
        <w:rPr>
          <w:sz w:val="22"/>
          <w:szCs w:val="22"/>
        </w:rPr>
        <w:t>fenol</w:t>
      </w:r>
    </w:p>
    <w:p w14:paraId="1200196B" w14:textId="77777777" w:rsidR="00534BE6" w:rsidRDefault="00534BE6" w:rsidP="0011264C">
      <w:pPr>
        <w:pStyle w:val="Odstavecblok"/>
        <w:suppressAutoHyphens/>
        <w:jc w:val="both"/>
        <w:rPr>
          <w:sz w:val="22"/>
          <w:szCs w:val="22"/>
        </w:rPr>
      </w:pPr>
      <w:r w:rsidRPr="00857D2C">
        <w:rPr>
          <w:sz w:val="22"/>
          <w:szCs w:val="22"/>
        </w:rPr>
        <w:t>voda na injekciu</w:t>
      </w:r>
    </w:p>
    <w:p w14:paraId="12DBA1F1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EE043B1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Inkompatibility</w:t>
      </w:r>
    </w:p>
    <w:p w14:paraId="4C91861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5D0E676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Oxidujúce látky, alkálie a svetlo spôsobujú rozklad </w:t>
      </w:r>
      <w:proofErr w:type="spellStart"/>
      <w:r w:rsidRPr="00423EC4">
        <w:rPr>
          <w:sz w:val="22"/>
          <w:szCs w:val="22"/>
        </w:rPr>
        <w:t>progesterónu</w:t>
      </w:r>
      <w:proofErr w:type="spellEnd"/>
      <w:r w:rsidRPr="00423EC4">
        <w:rPr>
          <w:sz w:val="22"/>
          <w:szCs w:val="22"/>
        </w:rPr>
        <w:t xml:space="preserve">. </w:t>
      </w:r>
      <w:proofErr w:type="spellStart"/>
      <w:r w:rsidRPr="00423EC4">
        <w:rPr>
          <w:sz w:val="22"/>
          <w:szCs w:val="22"/>
        </w:rPr>
        <w:t>Progesterón</w:t>
      </w:r>
      <w:proofErr w:type="spellEnd"/>
      <w:r w:rsidRPr="00423EC4">
        <w:rPr>
          <w:sz w:val="22"/>
          <w:szCs w:val="22"/>
        </w:rPr>
        <w:t xml:space="preserve"> spôsobuje falošnú </w:t>
      </w:r>
      <w:proofErr w:type="spellStart"/>
      <w:r w:rsidRPr="00423EC4">
        <w:rPr>
          <w:sz w:val="22"/>
          <w:szCs w:val="22"/>
        </w:rPr>
        <w:t>negativitu</w:t>
      </w:r>
      <w:proofErr w:type="spellEnd"/>
      <w:r w:rsidRPr="00423EC4">
        <w:rPr>
          <w:sz w:val="22"/>
          <w:szCs w:val="22"/>
        </w:rPr>
        <w:t xml:space="preserve"> alebo zníženie hodnôt stanovenia jódu viazaného na bielkoviny a vychytávanie </w:t>
      </w:r>
      <w:proofErr w:type="spellStart"/>
      <w:r w:rsidRPr="00423EC4">
        <w:rPr>
          <w:sz w:val="22"/>
          <w:szCs w:val="22"/>
        </w:rPr>
        <w:t>radiojódu</w:t>
      </w:r>
      <w:proofErr w:type="spellEnd"/>
      <w:r w:rsidRPr="00423EC4">
        <w:rPr>
          <w:sz w:val="22"/>
          <w:szCs w:val="22"/>
        </w:rPr>
        <w:t xml:space="preserve"> štítnou žľazou.</w:t>
      </w:r>
    </w:p>
    <w:p w14:paraId="3A25FDC1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E84BA7D" w14:textId="77777777" w:rsidR="00534BE6" w:rsidRPr="00423EC4" w:rsidRDefault="00534BE6" w:rsidP="009B371C">
      <w:pPr>
        <w:tabs>
          <w:tab w:val="left" w:pos="567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Čas použiteľnosti</w:t>
      </w:r>
    </w:p>
    <w:p w14:paraId="24F34466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393C19E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3 roky</w:t>
      </w:r>
    </w:p>
    <w:p w14:paraId="76778597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24CDEB9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6.4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Špeciálne upozornenia na uchovávanie</w:t>
      </w:r>
    </w:p>
    <w:p w14:paraId="3A095C90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430D5BC" w14:textId="783B653C" w:rsidR="00534BE6" w:rsidRPr="00C10CFE" w:rsidRDefault="00534BE6" w:rsidP="009F6BF5">
      <w:pPr>
        <w:pStyle w:val="Odstavecblok"/>
        <w:suppressAutoHyphens/>
        <w:jc w:val="both"/>
        <w:rPr>
          <w:sz w:val="22"/>
          <w:szCs w:val="22"/>
        </w:rPr>
      </w:pPr>
      <w:r w:rsidRPr="00C10CFE">
        <w:rPr>
          <w:sz w:val="22"/>
          <w:szCs w:val="22"/>
        </w:rPr>
        <w:t xml:space="preserve">Uchovávajte pri teplote </w:t>
      </w:r>
      <w:r>
        <w:rPr>
          <w:sz w:val="22"/>
          <w:szCs w:val="22"/>
        </w:rPr>
        <w:t>do</w:t>
      </w:r>
      <w:r w:rsidRPr="00C10CFE">
        <w:rPr>
          <w:sz w:val="22"/>
          <w:szCs w:val="22"/>
        </w:rPr>
        <w:t xml:space="preserve"> 25 °C</w:t>
      </w:r>
      <w:r>
        <w:rPr>
          <w:sz w:val="22"/>
          <w:szCs w:val="22"/>
        </w:rPr>
        <w:t>. Uchovávajte v pôvodnom obale na ochranu</w:t>
      </w:r>
      <w:r w:rsidRPr="00C10CFE">
        <w:rPr>
          <w:sz w:val="22"/>
          <w:szCs w:val="22"/>
        </w:rPr>
        <w:t xml:space="preserve"> pred svetlom</w:t>
      </w:r>
      <w:r>
        <w:rPr>
          <w:sz w:val="22"/>
          <w:szCs w:val="22"/>
        </w:rPr>
        <w:t>. Neuchovávajte v</w:t>
      </w:r>
      <w:r w:rsidR="00453862">
        <w:rPr>
          <w:sz w:val="22"/>
          <w:szCs w:val="22"/>
        </w:rPr>
        <w:t xml:space="preserve"> </w:t>
      </w:r>
      <w:r>
        <w:rPr>
          <w:sz w:val="22"/>
          <w:szCs w:val="22"/>
        </w:rPr>
        <w:t>chladničke alebo mrazničke</w:t>
      </w:r>
      <w:r w:rsidRPr="00C10CF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D1D38F2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Ampulky uchovávať v stojacej polohe. </w:t>
      </w:r>
    </w:p>
    <w:p w14:paraId="451E7A66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3D4A76C4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6.5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>Druh obalu a obsah balenia</w:t>
      </w:r>
    </w:p>
    <w:p w14:paraId="6CBB23A1" w14:textId="77777777" w:rsidR="00534BE6" w:rsidRDefault="00534BE6">
      <w:pPr>
        <w:tabs>
          <w:tab w:val="left" w:pos="0"/>
        </w:tabs>
        <w:ind w:right="-2"/>
        <w:jc w:val="both"/>
        <w:rPr>
          <w:sz w:val="22"/>
          <w:szCs w:val="22"/>
        </w:rPr>
      </w:pPr>
    </w:p>
    <w:p w14:paraId="6252BCF0" w14:textId="41EBDFA3" w:rsidR="00534BE6" w:rsidRPr="00423EC4" w:rsidRDefault="00534BE6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1.) 2 ml </w:t>
      </w:r>
      <w:proofErr w:type="spellStart"/>
      <w:r w:rsidRPr="00423EC4">
        <w:rPr>
          <w:sz w:val="22"/>
          <w:szCs w:val="22"/>
        </w:rPr>
        <w:t>neodlamovacie</w:t>
      </w:r>
      <w:proofErr w:type="spellEnd"/>
      <w:r w:rsidRPr="00423EC4">
        <w:rPr>
          <w:sz w:val="22"/>
          <w:szCs w:val="22"/>
        </w:rPr>
        <w:t xml:space="preserve"> ampulky s nalepeným štítkom, pilník, plastová vanička, písomná informácia pre používateľ</w:t>
      </w:r>
      <w:r>
        <w:rPr>
          <w:sz w:val="22"/>
          <w:szCs w:val="22"/>
        </w:rPr>
        <w:t>ku</w:t>
      </w:r>
      <w:r w:rsidRPr="00423EC4">
        <w:rPr>
          <w:sz w:val="22"/>
          <w:szCs w:val="22"/>
        </w:rPr>
        <w:t xml:space="preserve">, papierová škatuľka. </w:t>
      </w:r>
    </w:p>
    <w:p w14:paraId="1B27414B" w14:textId="10EF378D" w:rsidR="00534BE6" w:rsidRPr="00423EC4" w:rsidRDefault="00534BE6">
      <w:pPr>
        <w:tabs>
          <w:tab w:val="left" w:pos="0"/>
        </w:tabs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2.) 2 ml </w:t>
      </w:r>
      <w:proofErr w:type="spellStart"/>
      <w:r w:rsidRPr="00423EC4">
        <w:rPr>
          <w:sz w:val="22"/>
          <w:szCs w:val="22"/>
        </w:rPr>
        <w:t>odlamovacie</w:t>
      </w:r>
      <w:proofErr w:type="spellEnd"/>
      <w:r w:rsidRPr="00423EC4">
        <w:rPr>
          <w:sz w:val="22"/>
          <w:szCs w:val="22"/>
        </w:rPr>
        <w:t xml:space="preserve"> ampulky s nalepeným štítkom, plastová vanička, písomná informácia pre používateľ</w:t>
      </w:r>
      <w:r>
        <w:rPr>
          <w:sz w:val="22"/>
          <w:szCs w:val="22"/>
        </w:rPr>
        <w:t>ku</w:t>
      </w:r>
      <w:r w:rsidRPr="00423EC4">
        <w:rPr>
          <w:sz w:val="22"/>
          <w:szCs w:val="22"/>
        </w:rPr>
        <w:t xml:space="preserve">, papierová škatuľka. </w:t>
      </w:r>
    </w:p>
    <w:p w14:paraId="4C00A89F" w14:textId="77777777" w:rsidR="00534BE6" w:rsidRPr="00423EC4" w:rsidRDefault="00534BE6">
      <w:pPr>
        <w:tabs>
          <w:tab w:val="left" w:pos="0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Veľkosť balenia: 1 ampulka po 2 ml</w:t>
      </w:r>
    </w:p>
    <w:p w14:paraId="5051B573" w14:textId="77777777" w:rsidR="00534BE6" w:rsidRDefault="00534BE6">
      <w:pPr>
        <w:tabs>
          <w:tab w:val="left" w:pos="0"/>
        </w:tabs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ab/>
      </w:r>
      <w:r w:rsidRPr="00423EC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</w:t>
      </w:r>
      <w:r w:rsidRPr="00423EC4">
        <w:rPr>
          <w:sz w:val="22"/>
          <w:szCs w:val="22"/>
        </w:rPr>
        <w:t>5 ampuliek po 2 ml</w:t>
      </w:r>
    </w:p>
    <w:p w14:paraId="69AAE6E0" w14:textId="77777777" w:rsidR="00534BE6" w:rsidRPr="00423EC4" w:rsidRDefault="00534BE6">
      <w:pPr>
        <w:tabs>
          <w:tab w:val="left" w:pos="0"/>
        </w:tabs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Na trhu nemusia byť uvedené všetky veľkosti balenia.</w:t>
      </w:r>
    </w:p>
    <w:p w14:paraId="5C680101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1CFB7734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sz w:val="22"/>
          <w:szCs w:val="22"/>
        </w:rPr>
      </w:pPr>
      <w:r w:rsidRPr="00423EC4">
        <w:rPr>
          <w:b/>
          <w:sz w:val="22"/>
          <w:szCs w:val="22"/>
        </w:rPr>
        <w:t>6.6</w:t>
      </w:r>
      <w:r>
        <w:rPr>
          <w:b/>
          <w:sz w:val="22"/>
          <w:szCs w:val="22"/>
        </w:rPr>
        <w:tab/>
      </w:r>
      <w:r w:rsidRPr="00423EC4">
        <w:rPr>
          <w:b/>
          <w:sz w:val="22"/>
          <w:szCs w:val="22"/>
        </w:rPr>
        <w:t xml:space="preserve">Špeciálne opatrenia na likvidáciu a iné zaobchádzanie s liekom </w:t>
      </w:r>
    </w:p>
    <w:p w14:paraId="323DA6C3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023363FB" w14:textId="77777777" w:rsidR="00534BE6" w:rsidRDefault="00534BE6" w:rsidP="002823EC">
      <w:pPr>
        <w:pStyle w:val="Odstavecblok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Všetok nepoužitý liek alebo odpad vzniknutý z lieku sa má zlikvidovať v súlade s národnými požiadavkami. </w:t>
      </w:r>
    </w:p>
    <w:p w14:paraId="088F3F32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A781EAE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D3DEEE9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7.</w:t>
      </w:r>
      <w:r>
        <w:rPr>
          <w:b/>
          <w:caps/>
          <w:sz w:val="22"/>
          <w:szCs w:val="22"/>
        </w:rPr>
        <w:tab/>
      </w:r>
      <w:r w:rsidRPr="00423EC4">
        <w:rPr>
          <w:b/>
          <w:caps/>
          <w:sz w:val="22"/>
          <w:szCs w:val="22"/>
        </w:rPr>
        <w:t xml:space="preserve">Držiteľ rozhodnutia o registrácii </w:t>
      </w:r>
    </w:p>
    <w:p w14:paraId="7C035F58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86DB92B" w14:textId="6F56552B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 xml:space="preserve">BB </w:t>
      </w:r>
      <w:proofErr w:type="spellStart"/>
      <w:r w:rsidRPr="00423EC4">
        <w:rPr>
          <w:sz w:val="22"/>
          <w:szCs w:val="22"/>
        </w:rPr>
        <w:t>Pharma</w:t>
      </w:r>
      <w:proofErr w:type="spellEnd"/>
      <w:r w:rsidRPr="00423EC4">
        <w:rPr>
          <w:sz w:val="22"/>
          <w:szCs w:val="22"/>
        </w:rPr>
        <w:t xml:space="preserve"> a.s.</w:t>
      </w:r>
    </w:p>
    <w:p w14:paraId="14656663" w14:textId="5E0E3839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Durychova</w:t>
      </w:r>
      <w:proofErr w:type="spellEnd"/>
      <w:r>
        <w:rPr>
          <w:sz w:val="22"/>
          <w:szCs w:val="22"/>
        </w:rPr>
        <w:t xml:space="preserve"> 101/66</w:t>
      </w:r>
    </w:p>
    <w:p w14:paraId="1115AD8C" w14:textId="723F79BD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14</w:t>
      </w:r>
      <w:r>
        <w:rPr>
          <w:sz w:val="22"/>
          <w:szCs w:val="22"/>
        </w:rPr>
        <w:t>2</w:t>
      </w:r>
      <w:r w:rsidRPr="00423EC4">
        <w:rPr>
          <w:sz w:val="22"/>
          <w:szCs w:val="22"/>
        </w:rPr>
        <w:t xml:space="preserve"> 00 Praha 4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Lhotka</w:t>
      </w:r>
      <w:proofErr w:type="spellEnd"/>
    </w:p>
    <w:p w14:paraId="07AF9593" w14:textId="082E29F8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 w:rsidRPr="00423EC4">
        <w:rPr>
          <w:sz w:val="22"/>
          <w:szCs w:val="22"/>
        </w:rPr>
        <w:t>Česká republika</w:t>
      </w:r>
    </w:p>
    <w:p w14:paraId="7609E757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74FCE49F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24DB96E2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8.</w:t>
      </w:r>
      <w:r>
        <w:rPr>
          <w:b/>
          <w:caps/>
          <w:sz w:val="22"/>
          <w:szCs w:val="22"/>
        </w:rPr>
        <w:tab/>
      </w:r>
      <w:r w:rsidRPr="00423EC4">
        <w:rPr>
          <w:b/>
          <w:caps/>
          <w:sz w:val="22"/>
          <w:szCs w:val="22"/>
        </w:rPr>
        <w:t>Registračné číslo</w:t>
      </w:r>
    </w:p>
    <w:p w14:paraId="17381DF7" w14:textId="77777777" w:rsidR="00534BE6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</w:p>
    <w:p w14:paraId="5EE2599B" w14:textId="77777777" w:rsidR="00534BE6" w:rsidRPr="00423EC4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  <w:r w:rsidRPr="00423EC4">
        <w:rPr>
          <w:caps/>
          <w:sz w:val="22"/>
          <w:szCs w:val="22"/>
        </w:rPr>
        <w:t>56/0463/69–S</w:t>
      </w:r>
    </w:p>
    <w:p w14:paraId="2C947716" w14:textId="77777777" w:rsidR="00534BE6" w:rsidRPr="00423EC4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</w:p>
    <w:p w14:paraId="56A9506C" w14:textId="77777777" w:rsidR="00534BE6" w:rsidRPr="00271B02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</w:p>
    <w:p w14:paraId="387F1960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9.</w:t>
      </w:r>
      <w:r>
        <w:rPr>
          <w:b/>
          <w:caps/>
          <w:sz w:val="22"/>
          <w:szCs w:val="22"/>
        </w:rPr>
        <w:tab/>
      </w:r>
      <w:r w:rsidRPr="00423EC4">
        <w:rPr>
          <w:b/>
          <w:sz w:val="22"/>
          <w:szCs w:val="22"/>
        </w:rPr>
        <w:t>D</w:t>
      </w:r>
      <w:r w:rsidRPr="00423EC4">
        <w:rPr>
          <w:b/>
          <w:caps/>
          <w:sz w:val="22"/>
          <w:szCs w:val="22"/>
        </w:rPr>
        <w:t>átum PRVEJ registrácie / predĹženia registrácie</w:t>
      </w:r>
    </w:p>
    <w:p w14:paraId="7EFD3F0E" w14:textId="77777777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5468EB5B" w14:textId="6E0CCE8E" w:rsidR="00534BE6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Pr="00423EC4">
        <w:rPr>
          <w:sz w:val="22"/>
          <w:szCs w:val="22"/>
        </w:rPr>
        <w:t>30.</w:t>
      </w:r>
      <w:r>
        <w:rPr>
          <w:sz w:val="22"/>
          <w:szCs w:val="22"/>
        </w:rPr>
        <w:t xml:space="preserve"> december </w:t>
      </w:r>
      <w:r w:rsidRPr="00423EC4">
        <w:rPr>
          <w:sz w:val="22"/>
          <w:szCs w:val="22"/>
        </w:rPr>
        <w:t>1969</w:t>
      </w:r>
    </w:p>
    <w:p w14:paraId="5819D1DB" w14:textId="7D40A242" w:rsidR="00534BE6" w:rsidRPr="00423EC4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  <w:r>
        <w:rPr>
          <w:sz w:val="22"/>
          <w:szCs w:val="22"/>
        </w:rPr>
        <w:t>Dátum posledného predĺženia registrácie: 16</w:t>
      </w:r>
      <w:r w:rsidRPr="00423EC4">
        <w:rPr>
          <w:sz w:val="22"/>
          <w:szCs w:val="22"/>
        </w:rPr>
        <w:t>.</w:t>
      </w:r>
      <w:r>
        <w:rPr>
          <w:sz w:val="22"/>
          <w:szCs w:val="22"/>
        </w:rPr>
        <w:t xml:space="preserve"> február </w:t>
      </w:r>
      <w:r w:rsidRPr="00423EC4">
        <w:rPr>
          <w:sz w:val="22"/>
          <w:szCs w:val="22"/>
        </w:rPr>
        <w:t xml:space="preserve">2007 </w:t>
      </w:r>
    </w:p>
    <w:p w14:paraId="7194A98E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6F39951C" w14:textId="77777777" w:rsidR="00534BE6" w:rsidRPr="00271B02" w:rsidRDefault="00534BE6">
      <w:pPr>
        <w:spacing w:line="240" w:lineRule="atLeast"/>
        <w:ind w:right="-2"/>
        <w:jc w:val="both"/>
        <w:rPr>
          <w:caps/>
          <w:sz w:val="22"/>
          <w:szCs w:val="22"/>
        </w:rPr>
      </w:pPr>
    </w:p>
    <w:p w14:paraId="0F1A3C00" w14:textId="77777777" w:rsidR="00534BE6" w:rsidRPr="00423EC4" w:rsidRDefault="00534BE6" w:rsidP="00271B02">
      <w:pPr>
        <w:tabs>
          <w:tab w:val="left" w:pos="567"/>
        </w:tabs>
        <w:spacing w:line="240" w:lineRule="atLeast"/>
        <w:ind w:right="-2"/>
        <w:jc w:val="both"/>
        <w:rPr>
          <w:b/>
          <w:caps/>
          <w:sz w:val="22"/>
          <w:szCs w:val="22"/>
        </w:rPr>
      </w:pPr>
      <w:r w:rsidRPr="00423EC4">
        <w:rPr>
          <w:b/>
          <w:caps/>
          <w:sz w:val="22"/>
          <w:szCs w:val="22"/>
        </w:rPr>
        <w:t>10.</w:t>
      </w:r>
      <w:r>
        <w:rPr>
          <w:b/>
          <w:caps/>
          <w:sz w:val="22"/>
          <w:szCs w:val="22"/>
        </w:rPr>
        <w:tab/>
      </w:r>
      <w:r w:rsidRPr="00423EC4">
        <w:rPr>
          <w:b/>
          <w:caps/>
          <w:sz w:val="22"/>
          <w:szCs w:val="22"/>
        </w:rPr>
        <w:t>Dátum revízie textu</w:t>
      </w:r>
    </w:p>
    <w:p w14:paraId="7C7C83F8" w14:textId="77777777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</w:p>
    <w:p w14:paraId="4FDFB53B" w14:textId="4439EC2E" w:rsidR="00534BE6" w:rsidRPr="00423EC4" w:rsidRDefault="00534BE6">
      <w:pPr>
        <w:spacing w:line="240" w:lineRule="atLeast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4E5B67">
        <w:rPr>
          <w:sz w:val="22"/>
          <w:szCs w:val="22"/>
        </w:rPr>
        <w:t>2</w:t>
      </w:r>
      <w:r>
        <w:rPr>
          <w:sz w:val="22"/>
          <w:szCs w:val="22"/>
        </w:rPr>
        <w:t>/2017</w:t>
      </w:r>
    </w:p>
    <w:sectPr w:rsidR="00534BE6" w:rsidRPr="00423EC4" w:rsidSect="008657E5"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8" w:footer="708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A994E5" w15:done="0"/>
  <w15:commentEx w15:paraId="5FC1C538" w15:done="0"/>
  <w15:commentEx w15:paraId="27B7DFBE" w15:done="0"/>
  <w15:commentEx w15:paraId="540F53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0318D" w14:textId="77777777" w:rsidR="00F17B87" w:rsidRDefault="00F17B87">
      <w:r>
        <w:separator/>
      </w:r>
    </w:p>
  </w:endnote>
  <w:endnote w:type="continuationSeparator" w:id="0">
    <w:p w14:paraId="129D3682" w14:textId="77777777" w:rsidR="00F17B87" w:rsidRDefault="00F1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D722F" w14:textId="77777777" w:rsidR="00534BE6" w:rsidRPr="008657E5" w:rsidRDefault="00534BE6">
    <w:pPr>
      <w:pStyle w:val="Pta"/>
      <w:framePr w:wrap="auto" w:vAnchor="text" w:hAnchor="margin" w:xAlign="center" w:y="1"/>
      <w:rPr>
        <w:rStyle w:val="slostrany"/>
        <w:sz w:val="18"/>
        <w:szCs w:val="18"/>
      </w:rPr>
    </w:pPr>
    <w:r w:rsidRPr="00453862">
      <w:rPr>
        <w:rStyle w:val="slostrany"/>
        <w:sz w:val="18"/>
        <w:szCs w:val="18"/>
      </w:rPr>
      <w:fldChar w:fldCharType="begin"/>
    </w:r>
    <w:r w:rsidRPr="008657E5">
      <w:rPr>
        <w:rStyle w:val="slostrany"/>
        <w:sz w:val="18"/>
        <w:szCs w:val="18"/>
      </w:rPr>
      <w:instrText xml:space="preserve">PAGE  </w:instrText>
    </w:r>
    <w:r w:rsidRPr="00453862">
      <w:rPr>
        <w:rStyle w:val="slostrany"/>
        <w:sz w:val="18"/>
        <w:szCs w:val="18"/>
      </w:rPr>
      <w:fldChar w:fldCharType="separate"/>
    </w:r>
    <w:r w:rsidR="0026577D">
      <w:rPr>
        <w:rStyle w:val="slostrany"/>
        <w:noProof/>
        <w:sz w:val="18"/>
        <w:szCs w:val="18"/>
      </w:rPr>
      <w:t>2</w:t>
    </w:r>
    <w:r w:rsidRPr="00453862">
      <w:rPr>
        <w:rStyle w:val="slostrany"/>
        <w:sz w:val="18"/>
        <w:szCs w:val="18"/>
      </w:rPr>
      <w:fldChar w:fldCharType="end"/>
    </w:r>
  </w:p>
  <w:p w14:paraId="1E9249AC" w14:textId="77777777" w:rsidR="00534BE6" w:rsidRDefault="00534B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4044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3576DA2" w14:textId="73854664" w:rsidR="00F31455" w:rsidRPr="00F31455" w:rsidRDefault="00F31455">
        <w:pPr>
          <w:pStyle w:val="Pta"/>
          <w:jc w:val="center"/>
          <w:rPr>
            <w:sz w:val="18"/>
            <w:szCs w:val="18"/>
          </w:rPr>
        </w:pPr>
        <w:r w:rsidRPr="00F31455">
          <w:rPr>
            <w:sz w:val="18"/>
            <w:szCs w:val="18"/>
          </w:rPr>
          <w:fldChar w:fldCharType="begin"/>
        </w:r>
        <w:r w:rsidRPr="00F31455">
          <w:rPr>
            <w:sz w:val="18"/>
            <w:szCs w:val="18"/>
          </w:rPr>
          <w:instrText>PAGE   \* MERGEFORMAT</w:instrText>
        </w:r>
        <w:r w:rsidRPr="00F31455">
          <w:rPr>
            <w:sz w:val="18"/>
            <w:szCs w:val="18"/>
          </w:rPr>
          <w:fldChar w:fldCharType="separate"/>
        </w:r>
        <w:r w:rsidR="0026577D">
          <w:rPr>
            <w:noProof/>
            <w:sz w:val="18"/>
            <w:szCs w:val="18"/>
          </w:rPr>
          <w:t>1</w:t>
        </w:r>
        <w:r w:rsidRPr="00F31455">
          <w:rPr>
            <w:sz w:val="18"/>
            <w:szCs w:val="18"/>
          </w:rPr>
          <w:fldChar w:fldCharType="end"/>
        </w:r>
      </w:p>
    </w:sdtContent>
  </w:sdt>
  <w:p w14:paraId="7BD55D11" w14:textId="77777777" w:rsidR="00F31455" w:rsidRDefault="00F314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7D669" w14:textId="77777777" w:rsidR="00F17B87" w:rsidRDefault="00F17B87">
      <w:r>
        <w:separator/>
      </w:r>
    </w:p>
  </w:footnote>
  <w:footnote w:type="continuationSeparator" w:id="0">
    <w:p w14:paraId="1BB09C26" w14:textId="77777777" w:rsidR="00F17B87" w:rsidRDefault="00F17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989BA" w14:textId="1AEEC4E2" w:rsidR="004E5B67" w:rsidRPr="00423EC4" w:rsidRDefault="004E5B67" w:rsidP="004E5B67">
    <w:pPr>
      <w:suppressAutoHyphens/>
      <w:jc w:val="both"/>
      <w:rPr>
        <w:iCs/>
        <w:sz w:val="18"/>
        <w:szCs w:val="18"/>
        <w:u w:val="single"/>
      </w:rPr>
    </w:pPr>
    <w:r w:rsidRPr="00423EC4">
      <w:rPr>
        <w:sz w:val="18"/>
        <w:szCs w:val="18"/>
      </w:rPr>
      <w:t xml:space="preserve">Príloha č. </w:t>
    </w:r>
    <w:r w:rsidR="0026577D">
      <w:rPr>
        <w:sz w:val="18"/>
        <w:szCs w:val="18"/>
      </w:rPr>
      <w:t>1</w:t>
    </w:r>
    <w:r w:rsidRPr="00423EC4">
      <w:rPr>
        <w:sz w:val="18"/>
        <w:szCs w:val="18"/>
      </w:rPr>
      <w:t xml:space="preserve"> k notifikácii o zmene, ev. č.: </w:t>
    </w:r>
    <w:r w:rsidRPr="009F151E">
      <w:rPr>
        <w:sz w:val="18"/>
        <w:szCs w:val="18"/>
      </w:rPr>
      <w:t>2016/03341-Z1B</w:t>
    </w:r>
  </w:p>
  <w:p w14:paraId="66857CD5" w14:textId="5503C3DA" w:rsidR="004E5B67" w:rsidRPr="00423EC4" w:rsidRDefault="004E5B67" w:rsidP="004E5B67">
    <w:pPr>
      <w:spacing w:line="240" w:lineRule="atLeast"/>
      <w:ind w:right="-2"/>
      <w:jc w:val="both"/>
      <w:rPr>
        <w:sz w:val="22"/>
        <w:szCs w:val="22"/>
      </w:rPr>
    </w:pPr>
    <w:r w:rsidRPr="00423EC4">
      <w:rPr>
        <w:sz w:val="18"/>
        <w:szCs w:val="18"/>
      </w:rPr>
      <w:t xml:space="preserve">Príloha č. </w:t>
    </w:r>
    <w:r w:rsidR="0026577D">
      <w:rPr>
        <w:sz w:val="18"/>
        <w:szCs w:val="18"/>
      </w:rPr>
      <w:t>2</w:t>
    </w:r>
    <w:r w:rsidRPr="00423EC4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Pr="00E57878">
      <w:rPr>
        <w:sz w:val="18"/>
        <w:szCs w:val="18"/>
      </w:rPr>
      <w:t>2016/05771-Z1A</w:t>
    </w:r>
  </w:p>
  <w:p w14:paraId="02039938" w14:textId="77777777" w:rsidR="004E5B67" w:rsidRDefault="004E5B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D5E"/>
    <w:multiLevelType w:val="hybridMultilevel"/>
    <w:tmpl w:val="278A5E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DD7B26"/>
    <w:multiLevelType w:val="hybridMultilevel"/>
    <w:tmpl w:val="F9F4A788"/>
    <w:lvl w:ilvl="0" w:tplc="0ECAD8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9152B"/>
    <w:multiLevelType w:val="hybridMultilevel"/>
    <w:tmpl w:val="F61AFE12"/>
    <w:lvl w:ilvl="0" w:tplc="5942A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87"/>
    <w:rsid w:val="00042A87"/>
    <w:rsid w:val="00081C28"/>
    <w:rsid w:val="000C6672"/>
    <w:rsid w:val="000F7E87"/>
    <w:rsid w:val="0011264C"/>
    <w:rsid w:val="0014512E"/>
    <w:rsid w:val="00163A98"/>
    <w:rsid w:val="00217CAA"/>
    <w:rsid w:val="0026577D"/>
    <w:rsid w:val="00267669"/>
    <w:rsid w:val="00271B02"/>
    <w:rsid w:val="002809C7"/>
    <w:rsid w:val="002823EC"/>
    <w:rsid w:val="00301619"/>
    <w:rsid w:val="0033473D"/>
    <w:rsid w:val="00336AEF"/>
    <w:rsid w:val="00352310"/>
    <w:rsid w:val="00352F8F"/>
    <w:rsid w:val="00373383"/>
    <w:rsid w:val="003759A6"/>
    <w:rsid w:val="003A1BA0"/>
    <w:rsid w:val="003B6A07"/>
    <w:rsid w:val="003C4F4F"/>
    <w:rsid w:val="00404E87"/>
    <w:rsid w:val="00423EC4"/>
    <w:rsid w:val="00431FBF"/>
    <w:rsid w:val="00453862"/>
    <w:rsid w:val="004E5B67"/>
    <w:rsid w:val="004F76F5"/>
    <w:rsid w:val="00532E20"/>
    <w:rsid w:val="00533964"/>
    <w:rsid w:val="00534BE6"/>
    <w:rsid w:val="0055064E"/>
    <w:rsid w:val="00580896"/>
    <w:rsid w:val="00582388"/>
    <w:rsid w:val="00587C34"/>
    <w:rsid w:val="005924AC"/>
    <w:rsid w:val="005D0FE2"/>
    <w:rsid w:val="005D7011"/>
    <w:rsid w:val="005F305E"/>
    <w:rsid w:val="006C34A0"/>
    <w:rsid w:val="006D7130"/>
    <w:rsid w:val="00715EFE"/>
    <w:rsid w:val="00724AB9"/>
    <w:rsid w:val="00724C1B"/>
    <w:rsid w:val="00787FAA"/>
    <w:rsid w:val="00794AE7"/>
    <w:rsid w:val="007E3467"/>
    <w:rsid w:val="007F539F"/>
    <w:rsid w:val="00827F0B"/>
    <w:rsid w:val="00842583"/>
    <w:rsid w:val="00854643"/>
    <w:rsid w:val="00857D2C"/>
    <w:rsid w:val="008643AF"/>
    <w:rsid w:val="008657E5"/>
    <w:rsid w:val="008B1DC5"/>
    <w:rsid w:val="008C029B"/>
    <w:rsid w:val="008C152A"/>
    <w:rsid w:val="008F527A"/>
    <w:rsid w:val="009A788B"/>
    <w:rsid w:val="009B371C"/>
    <w:rsid w:val="009B5667"/>
    <w:rsid w:val="009E79A0"/>
    <w:rsid w:val="009F151E"/>
    <w:rsid w:val="009F6BF5"/>
    <w:rsid w:val="00A447AF"/>
    <w:rsid w:val="00A6057C"/>
    <w:rsid w:val="00AB06E0"/>
    <w:rsid w:val="00B2229B"/>
    <w:rsid w:val="00B34A19"/>
    <w:rsid w:val="00B82965"/>
    <w:rsid w:val="00BB2EA9"/>
    <w:rsid w:val="00C0659C"/>
    <w:rsid w:val="00C10CFE"/>
    <w:rsid w:val="00C450F6"/>
    <w:rsid w:val="00D25AEB"/>
    <w:rsid w:val="00D4004B"/>
    <w:rsid w:val="00D54278"/>
    <w:rsid w:val="00D75A3E"/>
    <w:rsid w:val="00D8150E"/>
    <w:rsid w:val="00DA7984"/>
    <w:rsid w:val="00DE5DE0"/>
    <w:rsid w:val="00DF654A"/>
    <w:rsid w:val="00E57878"/>
    <w:rsid w:val="00E81108"/>
    <w:rsid w:val="00EC49CB"/>
    <w:rsid w:val="00EC75F0"/>
    <w:rsid w:val="00F17B87"/>
    <w:rsid w:val="00F31455"/>
    <w:rsid w:val="00F577A0"/>
    <w:rsid w:val="00F6740F"/>
    <w:rsid w:val="00F700FC"/>
    <w:rsid w:val="00F81354"/>
    <w:rsid w:val="00F94497"/>
    <w:rsid w:val="00FD677F"/>
    <w:rsid w:val="00FE263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ED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FE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link w:val="Nadpis1Char"/>
    <w:uiPriority w:val="99"/>
    <w:qFormat/>
    <w:rsid w:val="005D0FE2"/>
    <w:pPr>
      <w:keepNext/>
      <w:spacing w:line="240" w:lineRule="atLeast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D0FE2"/>
    <w:pPr>
      <w:keepNext/>
      <w:spacing w:line="240" w:lineRule="atLeast"/>
      <w:outlineLvl w:val="1"/>
    </w:pPr>
    <w:rPr>
      <w:rFonts w:ascii="Arial" w:hAnsi="Arial"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5D0FE2"/>
    <w:pPr>
      <w:spacing w:line="240" w:lineRule="atLeast"/>
    </w:pPr>
    <w:rPr>
      <w:rFonts w:ascii="Arial" w:hAnsi="Arial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D0FE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character" w:styleId="slostrany">
    <w:name w:val="page number"/>
    <w:uiPriority w:val="99"/>
    <w:semiHidden/>
    <w:rsid w:val="005D0FE2"/>
    <w:rPr>
      <w:rFonts w:cs="Times New Roman"/>
    </w:rPr>
  </w:style>
  <w:style w:type="paragraph" w:customStyle="1" w:styleId="truktradokumentu1">
    <w:name w:val="Štruktúra dokumentu1"/>
    <w:basedOn w:val="Normlny"/>
    <w:uiPriority w:val="99"/>
    <w:rsid w:val="005D0FE2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2">
    <w:name w:val="Text bubliny2"/>
    <w:basedOn w:val="Normlny"/>
    <w:uiPriority w:val="99"/>
    <w:rsid w:val="005D0FE2"/>
    <w:rPr>
      <w:rFonts w:ascii="Tahoma" w:hAnsi="Tahoma"/>
      <w:sz w:val="16"/>
    </w:rPr>
  </w:style>
  <w:style w:type="character" w:customStyle="1" w:styleId="Hypertextovprepojenie1">
    <w:name w:val="Hypertextové prepojenie1"/>
    <w:uiPriority w:val="99"/>
    <w:rsid w:val="005D0FE2"/>
    <w:rPr>
      <w:color w:val="0000FF"/>
      <w:u w:val="single"/>
    </w:rPr>
  </w:style>
  <w:style w:type="paragraph" w:customStyle="1" w:styleId="Textbubliny3">
    <w:name w:val="Text bubliny3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4">
    <w:name w:val="Text bubliny4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5">
    <w:name w:val="Text bubliny5"/>
    <w:basedOn w:val="Normlny"/>
    <w:uiPriority w:val="99"/>
    <w:rsid w:val="005D0FE2"/>
    <w:rPr>
      <w:rFonts w:ascii="Tahoma" w:hAnsi="Tahoma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04E8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4E87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99"/>
    <w:qFormat/>
    <w:rsid w:val="00423EC4"/>
    <w:pPr>
      <w:ind w:left="720"/>
      <w:contextualSpacing/>
    </w:pPr>
  </w:style>
  <w:style w:type="paragraph" w:customStyle="1" w:styleId="Odstavecblok">
    <w:name w:val="Odstavec blok"/>
    <w:basedOn w:val="Normlny"/>
    <w:uiPriority w:val="99"/>
    <w:rsid w:val="003A1BA0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F7E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F7E87"/>
    <w:rPr>
      <w:rFonts w:cs="Times New Roman"/>
    </w:rPr>
  </w:style>
  <w:style w:type="character" w:styleId="Hypertextovprepojenie">
    <w:name w:val="Hyperlink"/>
    <w:uiPriority w:val="99"/>
    <w:rsid w:val="00EC49CB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F700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700FC"/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700F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0FE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link w:val="Nadpis1Char"/>
    <w:uiPriority w:val="99"/>
    <w:qFormat/>
    <w:rsid w:val="005D0FE2"/>
    <w:pPr>
      <w:keepNext/>
      <w:spacing w:line="240" w:lineRule="atLeast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D0FE2"/>
    <w:pPr>
      <w:keepNext/>
      <w:spacing w:line="240" w:lineRule="atLeast"/>
      <w:outlineLvl w:val="1"/>
    </w:pPr>
    <w:rPr>
      <w:rFonts w:ascii="Arial" w:hAnsi="Arial"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5D0FE2"/>
    <w:pPr>
      <w:spacing w:line="240" w:lineRule="atLeast"/>
    </w:pPr>
    <w:rPr>
      <w:rFonts w:ascii="Arial" w:hAnsi="Arial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D0FE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character" w:styleId="slostrany">
    <w:name w:val="page number"/>
    <w:uiPriority w:val="99"/>
    <w:semiHidden/>
    <w:rsid w:val="005D0FE2"/>
    <w:rPr>
      <w:rFonts w:cs="Times New Roman"/>
    </w:rPr>
  </w:style>
  <w:style w:type="paragraph" w:customStyle="1" w:styleId="truktradokumentu1">
    <w:name w:val="Štruktúra dokumentu1"/>
    <w:basedOn w:val="Normlny"/>
    <w:uiPriority w:val="99"/>
    <w:rsid w:val="005D0FE2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2">
    <w:name w:val="Text bubliny2"/>
    <w:basedOn w:val="Normlny"/>
    <w:uiPriority w:val="99"/>
    <w:rsid w:val="005D0FE2"/>
    <w:rPr>
      <w:rFonts w:ascii="Tahoma" w:hAnsi="Tahoma"/>
      <w:sz w:val="16"/>
    </w:rPr>
  </w:style>
  <w:style w:type="character" w:customStyle="1" w:styleId="Hypertextovprepojenie1">
    <w:name w:val="Hypertextové prepojenie1"/>
    <w:uiPriority w:val="99"/>
    <w:rsid w:val="005D0FE2"/>
    <w:rPr>
      <w:color w:val="0000FF"/>
      <w:u w:val="single"/>
    </w:rPr>
  </w:style>
  <w:style w:type="paragraph" w:customStyle="1" w:styleId="Textbubliny3">
    <w:name w:val="Text bubliny3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4">
    <w:name w:val="Text bubliny4"/>
    <w:basedOn w:val="Normlny"/>
    <w:uiPriority w:val="99"/>
    <w:rsid w:val="005D0FE2"/>
    <w:rPr>
      <w:rFonts w:ascii="Tahoma" w:hAnsi="Tahoma"/>
      <w:sz w:val="16"/>
    </w:rPr>
  </w:style>
  <w:style w:type="paragraph" w:customStyle="1" w:styleId="Textbubliny5">
    <w:name w:val="Text bubliny5"/>
    <w:basedOn w:val="Normlny"/>
    <w:uiPriority w:val="99"/>
    <w:rsid w:val="005D0FE2"/>
    <w:rPr>
      <w:rFonts w:ascii="Tahoma" w:hAnsi="Tahoma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404E8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4E87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99"/>
    <w:qFormat/>
    <w:rsid w:val="00423EC4"/>
    <w:pPr>
      <w:ind w:left="720"/>
      <w:contextualSpacing/>
    </w:pPr>
  </w:style>
  <w:style w:type="paragraph" w:customStyle="1" w:styleId="Odstavecblok">
    <w:name w:val="Odstavec blok"/>
    <w:basedOn w:val="Normlny"/>
    <w:uiPriority w:val="99"/>
    <w:rsid w:val="003A1BA0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F7E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F7E87"/>
    <w:rPr>
      <w:rFonts w:cs="Times New Roman"/>
    </w:rPr>
  </w:style>
  <w:style w:type="character" w:styleId="Hypertextovprepojenie">
    <w:name w:val="Hyperlink"/>
    <w:uiPriority w:val="99"/>
    <w:rsid w:val="00EC49CB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F700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700FC"/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700F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ED77-AEB1-4474-AEE4-AB49136E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1311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1. Súhrn údajov o prípravku</vt:lpstr>
    </vt:vector>
  </TitlesOfParts>
  <Company>VVZ, Biotika a.s.</Company>
  <LinksUpToDate>false</LinksUpToDate>
  <CharactersWithSpaces>10074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Súhrn údajov o prípravku</dc:title>
  <dc:creator>Spravca</dc:creator>
  <cp:lastModifiedBy>Miroslava Slahúčková</cp:lastModifiedBy>
  <cp:revision>5</cp:revision>
  <cp:lastPrinted>2004-02-11T12:00:00Z</cp:lastPrinted>
  <dcterms:created xsi:type="dcterms:W3CDTF">2017-02-01T10:35:00Z</dcterms:created>
  <dcterms:modified xsi:type="dcterms:W3CDTF">2017-02-20T07:37:00Z</dcterms:modified>
</cp:coreProperties>
</file>