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2C5AA" w14:textId="77777777" w:rsidR="007837C0" w:rsidRPr="00070B87" w:rsidRDefault="0024336E" w:rsidP="008B5A25">
      <w:pPr>
        <w:pStyle w:val="SPCaPILhlavika"/>
        <w:spacing w:before="0" w:after="0"/>
        <w:rPr>
          <w:szCs w:val="22"/>
          <w:lang w:val="sk-SK"/>
        </w:rPr>
      </w:pPr>
      <w:r w:rsidRPr="00070B87">
        <w:rPr>
          <w:szCs w:val="22"/>
          <w:lang w:val="sk-SK"/>
        </w:rPr>
        <w:t>SÚHRN CHARAKTERISTICKÝCH VLASTNOSTÍ LIEKU</w:t>
      </w:r>
    </w:p>
    <w:p w14:paraId="2E35D47D" w14:textId="77777777" w:rsidR="000D12A1" w:rsidRPr="00070B87" w:rsidRDefault="000D12A1" w:rsidP="008B5A25">
      <w:pPr>
        <w:pStyle w:val="SPCaPILhlavika"/>
        <w:spacing w:before="0" w:after="0"/>
        <w:jc w:val="left"/>
        <w:rPr>
          <w:szCs w:val="22"/>
          <w:lang w:val="sk-SK"/>
        </w:rPr>
      </w:pPr>
    </w:p>
    <w:p w14:paraId="62258F0F" w14:textId="77777777" w:rsidR="000D12A1" w:rsidRPr="00070B87" w:rsidRDefault="000D12A1" w:rsidP="008B5A25">
      <w:pPr>
        <w:pStyle w:val="SPCaPILhlavika"/>
        <w:spacing w:before="0" w:after="0"/>
        <w:jc w:val="left"/>
        <w:rPr>
          <w:szCs w:val="22"/>
          <w:lang w:val="sk-SK"/>
        </w:rPr>
      </w:pPr>
    </w:p>
    <w:p w14:paraId="55EE0F82" w14:textId="77777777" w:rsidR="0024336E" w:rsidRPr="00070B87" w:rsidRDefault="0024336E" w:rsidP="008B5A25">
      <w:pPr>
        <w:pStyle w:val="Styl1"/>
        <w:numPr>
          <w:ilvl w:val="0"/>
          <w:numId w:val="1"/>
        </w:numPr>
        <w:spacing w:before="0" w:after="0"/>
        <w:rPr>
          <w:szCs w:val="22"/>
          <w:lang w:val="sk-SK"/>
        </w:rPr>
      </w:pPr>
      <w:r w:rsidRPr="00070B87">
        <w:rPr>
          <w:szCs w:val="22"/>
          <w:lang w:val="sk-SK"/>
        </w:rPr>
        <w:t>NÁZOV LIEKU</w:t>
      </w:r>
    </w:p>
    <w:p w14:paraId="28D5DEFF" w14:textId="77777777" w:rsidR="000D12A1" w:rsidRPr="00070B87" w:rsidRDefault="000D12A1" w:rsidP="008B5A25">
      <w:pPr>
        <w:pStyle w:val="Styl1"/>
        <w:numPr>
          <w:ilvl w:val="0"/>
          <w:numId w:val="0"/>
        </w:numPr>
        <w:spacing w:before="0" w:after="0"/>
        <w:ind w:left="360"/>
        <w:rPr>
          <w:szCs w:val="22"/>
          <w:lang w:val="sk-SK"/>
        </w:rPr>
      </w:pPr>
    </w:p>
    <w:p w14:paraId="2FD89E46" w14:textId="77777777" w:rsidR="0024336E" w:rsidRPr="00070B87" w:rsidRDefault="0024336E" w:rsidP="008B5A25">
      <w:pPr>
        <w:pStyle w:val="Normlndobloku"/>
        <w:rPr>
          <w:sz w:val="22"/>
          <w:szCs w:val="22"/>
        </w:rPr>
      </w:pPr>
      <w:r w:rsidRPr="00070B87">
        <w:rPr>
          <w:sz w:val="22"/>
          <w:szCs w:val="22"/>
        </w:rPr>
        <w:t>ONYCHOMED 250 mg</w:t>
      </w:r>
    </w:p>
    <w:p w14:paraId="243CC1C4" w14:textId="77777777" w:rsidR="000D12A1" w:rsidRPr="00070B87" w:rsidRDefault="000D12A1" w:rsidP="008B5A25">
      <w:pPr>
        <w:pStyle w:val="Normlndobloku"/>
        <w:rPr>
          <w:sz w:val="22"/>
          <w:szCs w:val="22"/>
        </w:rPr>
      </w:pPr>
    </w:p>
    <w:p w14:paraId="49E249FA" w14:textId="04998FA8" w:rsidR="0024336E" w:rsidRPr="00070B87" w:rsidRDefault="000D12A1" w:rsidP="008B5A25">
      <w:pPr>
        <w:pStyle w:val="Normlndobloku"/>
        <w:rPr>
          <w:sz w:val="22"/>
          <w:szCs w:val="22"/>
        </w:rPr>
      </w:pPr>
      <w:r w:rsidRPr="00070B87">
        <w:rPr>
          <w:sz w:val="22"/>
          <w:szCs w:val="22"/>
        </w:rPr>
        <w:t>t</w:t>
      </w:r>
      <w:r w:rsidR="0024336E" w:rsidRPr="00070B87">
        <w:rPr>
          <w:sz w:val="22"/>
          <w:szCs w:val="22"/>
        </w:rPr>
        <w:t>ablety</w:t>
      </w:r>
    </w:p>
    <w:p w14:paraId="093CEA7E" w14:textId="77777777" w:rsidR="000D12A1" w:rsidRPr="00070B87" w:rsidRDefault="000D12A1" w:rsidP="008B5A25">
      <w:pPr>
        <w:pStyle w:val="Normlndobloku"/>
        <w:rPr>
          <w:sz w:val="22"/>
          <w:szCs w:val="22"/>
        </w:rPr>
      </w:pPr>
    </w:p>
    <w:p w14:paraId="00FCA21E" w14:textId="77777777" w:rsidR="000D12A1" w:rsidRPr="00070B87" w:rsidRDefault="000D12A1" w:rsidP="008B5A25">
      <w:pPr>
        <w:pStyle w:val="Normlndobloku"/>
        <w:rPr>
          <w:sz w:val="22"/>
          <w:szCs w:val="22"/>
        </w:rPr>
      </w:pPr>
    </w:p>
    <w:p w14:paraId="76E4112B" w14:textId="77777777" w:rsidR="0024336E" w:rsidRPr="00070B87" w:rsidRDefault="0024336E" w:rsidP="008B5A25">
      <w:pPr>
        <w:pStyle w:val="Styl1"/>
        <w:numPr>
          <w:ilvl w:val="0"/>
          <w:numId w:val="1"/>
        </w:numPr>
        <w:spacing w:before="0" w:after="0"/>
        <w:rPr>
          <w:szCs w:val="22"/>
          <w:lang w:val="sk-SK"/>
        </w:rPr>
      </w:pPr>
      <w:r w:rsidRPr="00070B87">
        <w:rPr>
          <w:szCs w:val="22"/>
          <w:lang w:val="sk-SK"/>
        </w:rPr>
        <w:t>KVALITATÍVNE a KVANTITATÍVNE ZLOŽENIE</w:t>
      </w:r>
    </w:p>
    <w:p w14:paraId="26738846" w14:textId="77777777" w:rsidR="000D12A1" w:rsidRPr="00070B87" w:rsidRDefault="000D12A1" w:rsidP="008B5A25">
      <w:pPr>
        <w:pStyle w:val="Styl1"/>
        <w:numPr>
          <w:ilvl w:val="0"/>
          <w:numId w:val="0"/>
        </w:numPr>
        <w:spacing w:before="0" w:after="0"/>
        <w:ind w:left="360"/>
        <w:rPr>
          <w:szCs w:val="22"/>
          <w:lang w:val="sk-SK"/>
        </w:rPr>
      </w:pPr>
    </w:p>
    <w:p w14:paraId="393FA8CA" w14:textId="1228D6CF" w:rsidR="0024336E" w:rsidRPr="00070B87" w:rsidRDefault="0024336E" w:rsidP="008B5A25">
      <w:pPr>
        <w:pStyle w:val="Normlndobloku"/>
        <w:rPr>
          <w:sz w:val="22"/>
          <w:szCs w:val="22"/>
        </w:rPr>
      </w:pPr>
      <w:r w:rsidRPr="00070B87">
        <w:rPr>
          <w:sz w:val="22"/>
          <w:szCs w:val="22"/>
        </w:rPr>
        <w:t>Jedna</w:t>
      </w:r>
      <w:r w:rsidR="00EF4012" w:rsidRPr="00070B87">
        <w:rPr>
          <w:sz w:val="22"/>
          <w:szCs w:val="22"/>
        </w:rPr>
        <w:t xml:space="preserve"> tableta obsahuje 281,25 mg terbinafíniumchloridu, čo zodpovedá 250 mg terbinafínu.</w:t>
      </w:r>
    </w:p>
    <w:p w14:paraId="5A3B3289" w14:textId="77777777" w:rsidR="0024336E" w:rsidRPr="00070B87" w:rsidRDefault="00EF4012" w:rsidP="008B5A25">
      <w:pPr>
        <w:pStyle w:val="Normlndobloku"/>
        <w:rPr>
          <w:sz w:val="22"/>
          <w:szCs w:val="22"/>
        </w:rPr>
      </w:pPr>
      <w:r w:rsidRPr="00070B87">
        <w:rPr>
          <w:sz w:val="22"/>
          <w:szCs w:val="22"/>
        </w:rPr>
        <w:t>Úplný zoznam pomocných látok, pozri časť 6.1.</w:t>
      </w:r>
    </w:p>
    <w:p w14:paraId="2C0E93DA" w14:textId="77777777" w:rsidR="000D12A1" w:rsidRPr="00070B87" w:rsidRDefault="000D12A1" w:rsidP="008B5A25">
      <w:pPr>
        <w:pStyle w:val="Normlndobloku"/>
        <w:rPr>
          <w:sz w:val="22"/>
          <w:szCs w:val="22"/>
        </w:rPr>
      </w:pPr>
    </w:p>
    <w:p w14:paraId="464AE31E" w14:textId="77777777" w:rsidR="000D12A1" w:rsidRPr="00070B87" w:rsidRDefault="000D12A1" w:rsidP="008B5A25">
      <w:pPr>
        <w:pStyle w:val="Normlndobloku"/>
        <w:rPr>
          <w:sz w:val="22"/>
          <w:szCs w:val="22"/>
        </w:rPr>
      </w:pPr>
    </w:p>
    <w:p w14:paraId="41F7D655" w14:textId="77777777" w:rsidR="0024336E" w:rsidRPr="00070B87" w:rsidRDefault="0024336E" w:rsidP="008B5A25">
      <w:pPr>
        <w:pStyle w:val="Styl1"/>
        <w:numPr>
          <w:ilvl w:val="0"/>
          <w:numId w:val="1"/>
        </w:numPr>
        <w:spacing w:before="0" w:after="0"/>
        <w:rPr>
          <w:szCs w:val="22"/>
          <w:lang w:val="sk-SK"/>
        </w:rPr>
      </w:pPr>
      <w:r w:rsidRPr="00070B87">
        <w:rPr>
          <w:szCs w:val="22"/>
          <w:lang w:val="sk-SK"/>
        </w:rPr>
        <w:t>LIEKOVÁ FORMA</w:t>
      </w:r>
    </w:p>
    <w:p w14:paraId="5BE64BF3" w14:textId="77777777" w:rsidR="000D12A1" w:rsidRPr="00070B87" w:rsidRDefault="000D12A1" w:rsidP="008B5A25">
      <w:pPr>
        <w:pStyle w:val="Styl1"/>
        <w:numPr>
          <w:ilvl w:val="0"/>
          <w:numId w:val="0"/>
        </w:numPr>
        <w:spacing w:before="0" w:after="0"/>
        <w:ind w:left="360"/>
        <w:rPr>
          <w:szCs w:val="22"/>
          <w:lang w:val="sk-SK"/>
        </w:rPr>
      </w:pPr>
    </w:p>
    <w:p w14:paraId="2CFC97A6" w14:textId="77777777" w:rsidR="0024336E" w:rsidRPr="00070B87" w:rsidRDefault="0024336E" w:rsidP="008B5A25">
      <w:pPr>
        <w:pStyle w:val="Normlndobloku"/>
        <w:rPr>
          <w:sz w:val="22"/>
          <w:szCs w:val="22"/>
        </w:rPr>
      </w:pPr>
      <w:r w:rsidRPr="00070B87">
        <w:rPr>
          <w:sz w:val="22"/>
          <w:szCs w:val="22"/>
        </w:rPr>
        <w:t>Tableta</w:t>
      </w:r>
    </w:p>
    <w:p w14:paraId="71528422" w14:textId="77777777" w:rsidR="0024336E" w:rsidRPr="00070B87" w:rsidRDefault="0024336E" w:rsidP="008B5A25">
      <w:pPr>
        <w:pStyle w:val="Normlndobloku"/>
        <w:rPr>
          <w:rFonts w:ascii="Calibri" w:hAnsi="Calibri"/>
          <w:sz w:val="22"/>
          <w:szCs w:val="22"/>
        </w:rPr>
      </w:pPr>
      <w:r w:rsidRPr="00070B87">
        <w:rPr>
          <w:sz w:val="22"/>
          <w:szCs w:val="22"/>
        </w:rPr>
        <w:t>Biela, okrúhla, plochá tableta s deliacou ryhou na jednej strane tablety s priemerom 10,5</w:t>
      </w:r>
      <w:r w:rsidRPr="00070B87">
        <w:rPr>
          <w:rFonts w:ascii="Calibri" w:hAnsi="Calibri"/>
          <w:sz w:val="22"/>
          <w:szCs w:val="22"/>
        </w:rPr>
        <w:t> </w:t>
      </w:r>
      <w:r w:rsidRPr="00070B87">
        <w:rPr>
          <w:sz w:val="22"/>
          <w:szCs w:val="22"/>
        </w:rPr>
        <w:t>mm</w:t>
      </w:r>
      <w:r w:rsidR="00F33E5D" w:rsidRPr="00070B87">
        <w:rPr>
          <w:sz w:val="22"/>
          <w:szCs w:val="22"/>
        </w:rPr>
        <w:t>.</w:t>
      </w:r>
    </w:p>
    <w:p w14:paraId="05A3FB79" w14:textId="77777777" w:rsidR="0024336E" w:rsidRPr="00070B87" w:rsidRDefault="0024336E" w:rsidP="008B5A25">
      <w:pPr>
        <w:pStyle w:val="Normlndobloku"/>
        <w:rPr>
          <w:sz w:val="22"/>
          <w:szCs w:val="22"/>
        </w:rPr>
      </w:pPr>
      <w:r w:rsidRPr="00070B87">
        <w:rPr>
          <w:sz w:val="22"/>
          <w:szCs w:val="22"/>
        </w:rPr>
        <w:t>Tableta sa môže rozdeliť na rovnaké dávky.</w:t>
      </w:r>
    </w:p>
    <w:p w14:paraId="7EF312D1" w14:textId="77777777" w:rsidR="000D12A1" w:rsidRPr="00070B87" w:rsidRDefault="000D12A1" w:rsidP="008B5A25">
      <w:pPr>
        <w:pStyle w:val="Normlndobloku"/>
        <w:rPr>
          <w:sz w:val="22"/>
          <w:szCs w:val="22"/>
        </w:rPr>
      </w:pPr>
    </w:p>
    <w:p w14:paraId="4E25CF2A" w14:textId="77777777" w:rsidR="000D12A1" w:rsidRPr="00070B87" w:rsidRDefault="000D12A1" w:rsidP="008B5A25">
      <w:pPr>
        <w:pStyle w:val="Normlndobloku"/>
        <w:rPr>
          <w:sz w:val="22"/>
          <w:szCs w:val="22"/>
        </w:rPr>
      </w:pPr>
    </w:p>
    <w:p w14:paraId="1B896630" w14:textId="77777777" w:rsidR="0024336E" w:rsidRPr="00070B87" w:rsidRDefault="0024336E" w:rsidP="008B5A25">
      <w:pPr>
        <w:pStyle w:val="Styl1"/>
        <w:numPr>
          <w:ilvl w:val="0"/>
          <w:numId w:val="1"/>
        </w:numPr>
        <w:spacing w:before="0" w:after="0"/>
        <w:rPr>
          <w:szCs w:val="22"/>
          <w:lang w:val="sk-SK"/>
        </w:rPr>
      </w:pPr>
      <w:r w:rsidRPr="00070B87">
        <w:rPr>
          <w:szCs w:val="22"/>
          <w:lang w:val="sk-SK"/>
        </w:rPr>
        <w:t>KLINICKÉ ÚDAJE</w:t>
      </w:r>
    </w:p>
    <w:p w14:paraId="0121F072" w14:textId="77777777" w:rsidR="000D12A1" w:rsidRPr="00070B87" w:rsidRDefault="000D12A1" w:rsidP="008B5A25">
      <w:pPr>
        <w:pStyle w:val="Styl1"/>
        <w:numPr>
          <w:ilvl w:val="0"/>
          <w:numId w:val="0"/>
        </w:numPr>
        <w:spacing w:before="0" w:after="0"/>
        <w:ind w:left="360"/>
        <w:rPr>
          <w:szCs w:val="22"/>
          <w:lang w:val="sk-SK"/>
        </w:rPr>
      </w:pPr>
    </w:p>
    <w:p w14:paraId="0E11F0F3"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Terapeutické indikácie</w:t>
      </w:r>
    </w:p>
    <w:p w14:paraId="61556235" w14:textId="77777777" w:rsidR="007837C0" w:rsidRPr="00070B87" w:rsidRDefault="007837C0" w:rsidP="008B5A25">
      <w:pPr>
        <w:pStyle w:val="Styl2"/>
        <w:numPr>
          <w:ilvl w:val="0"/>
          <w:numId w:val="0"/>
        </w:numPr>
        <w:spacing w:before="0" w:after="0"/>
        <w:ind w:left="680"/>
        <w:rPr>
          <w:szCs w:val="22"/>
          <w:lang w:val="sk-SK"/>
        </w:rPr>
      </w:pPr>
    </w:p>
    <w:p w14:paraId="23A57EFC" w14:textId="77777777" w:rsidR="0024336E" w:rsidRPr="00070B87" w:rsidRDefault="00EF4012" w:rsidP="008B5A25">
      <w:pPr>
        <w:pStyle w:val="Normlndobloku"/>
        <w:rPr>
          <w:sz w:val="22"/>
          <w:szCs w:val="22"/>
        </w:rPr>
      </w:pPr>
      <w:r w:rsidRPr="00070B87">
        <w:rPr>
          <w:sz w:val="22"/>
          <w:szCs w:val="22"/>
        </w:rPr>
        <w:t xml:space="preserve">Mykotické infekcie kože a nechtov vyvolané hubami rodu </w:t>
      </w:r>
      <w:r w:rsidR="0024336E" w:rsidRPr="00070B87">
        <w:rPr>
          <w:rStyle w:val="Bacil"/>
          <w:sz w:val="22"/>
          <w:szCs w:val="22"/>
        </w:rPr>
        <w:t>Trichophyton</w:t>
      </w:r>
      <w:r w:rsidRPr="00070B87">
        <w:rPr>
          <w:sz w:val="22"/>
          <w:szCs w:val="22"/>
        </w:rPr>
        <w:t xml:space="preserve"> (napr. </w:t>
      </w:r>
      <w:r w:rsidR="0024336E" w:rsidRPr="00070B87">
        <w:rPr>
          <w:rStyle w:val="Bacil"/>
          <w:sz w:val="22"/>
          <w:szCs w:val="22"/>
        </w:rPr>
        <w:t>T. rubrum</w:t>
      </w:r>
      <w:r w:rsidRPr="00070B87">
        <w:rPr>
          <w:sz w:val="22"/>
          <w:szCs w:val="22"/>
        </w:rPr>
        <w:t xml:space="preserve">, </w:t>
      </w:r>
      <w:r w:rsidR="0024336E" w:rsidRPr="00070B87">
        <w:rPr>
          <w:rStyle w:val="Bacil"/>
          <w:sz w:val="22"/>
          <w:szCs w:val="22"/>
        </w:rPr>
        <w:t>T. mentagrophytes</w:t>
      </w:r>
      <w:r w:rsidRPr="00070B87">
        <w:rPr>
          <w:sz w:val="22"/>
          <w:szCs w:val="22"/>
        </w:rPr>
        <w:t xml:space="preserve">, </w:t>
      </w:r>
      <w:r w:rsidR="0024336E" w:rsidRPr="00070B87">
        <w:rPr>
          <w:rStyle w:val="Bacil"/>
          <w:sz w:val="22"/>
          <w:szCs w:val="22"/>
        </w:rPr>
        <w:t>T. verrucosum</w:t>
      </w:r>
      <w:r w:rsidRPr="00070B87">
        <w:rPr>
          <w:sz w:val="22"/>
          <w:szCs w:val="22"/>
        </w:rPr>
        <w:t xml:space="preserve">, </w:t>
      </w:r>
      <w:r w:rsidR="0024336E" w:rsidRPr="00070B87">
        <w:rPr>
          <w:rStyle w:val="Bacil"/>
          <w:sz w:val="22"/>
          <w:szCs w:val="22"/>
        </w:rPr>
        <w:t>T. violaceum</w:t>
      </w:r>
      <w:r w:rsidRPr="00070B87">
        <w:rPr>
          <w:sz w:val="22"/>
          <w:szCs w:val="22"/>
        </w:rPr>
        <w:t xml:space="preserve">), </w:t>
      </w:r>
      <w:r w:rsidR="0024336E" w:rsidRPr="00070B87">
        <w:rPr>
          <w:rStyle w:val="Bacil"/>
          <w:sz w:val="22"/>
          <w:szCs w:val="22"/>
        </w:rPr>
        <w:t>Microsporum canis</w:t>
      </w:r>
      <w:r w:rsidRPr="00070B87">
        <w:rPr>
          <w:sz w:val="22"/>
          <w:szCs w:val="22"/>
        </w:rPr>
        <w:t xml:space="preserve"> a </w:t>
      </w:r>
      <w:r w:rsidR="0024336E" w:rsidRPr="00070B87">
        <w:rPr>
          <w:rStyle w:val="Bacil"/>
          <w:sz w:val="22"/>
          <w:szCs w:val="22"/>
        </w:rPr>
        <w:t>Epidermophyton floccosum</w:t>
      </w:r>
      <w:r w:rsidRPr="00070B87">
        <w:rPr>
          <w:sz w:val="22"/>
          <w:szCs w:val="22"/>
        </w:rPr>
        <w:t>.</w:t>
      </w:r>
    </w:p>
    <w:p w14:paraId="1F053EC0" w14:textId="77777777" w:rsidR="007837C0" w:rsidRPr="00070B87" w:rsidRDefault="00EF4012" w:rsidP="008B5A25">
      <w:pPr>
        <w:pStyle w:val="Normlndoblokusodrkami"/>
        <w:rPr>
          <w:sz w:val="22"/>
          <w:szCs w:val="22"/>
        </w:rPr>
      </w:pPr>
      <w:r w:rsidRPr="00070B87">
        <w:rPr>
          <w:sz w:val="22"/>
          <w:szCs w:val="22"/>
        </w:rPr>
        <w:t>Perorálny terbinafín je indikovaný pri liečbe tineí (</w:t>
      </w:r>
      <w:r w:rsidR="0024336E" w:rsidRPr="00070B87">
        <w:rPr>
          <w:rStyle w:val="Bacil"/>
          <w:noProof w:val="0"/>
          <w:sz w:val="22"/>
          <w:szCs w:val="22"/>
        </w:rPr>
        <w:t>tinea corporis</w:t>
      </w:r>
      <w:r w:rsidRPr="00070B87">
        <w:rPr>
          <w:sz w:val="22"/>
          <w:szCs w:val="22"/>
        </w:rPr>
        <w:t xml:space="preserve">, </w:t>
      </w:r>
      <w:r w:rsidR="0024336E" w:rsidRPr="00070B87">
        <w:rPr>
          <w:rStyle w:val="Bacil"/>
          <w:noProof w:val="0"/>
          <w:sz w:val="22"/>
          <w:szCs w:val="22"/>
        </w:rPr>
        <w:t>tinea cruris</w:t>
      </w:r>
      <w:r w:rsidRPr="00070B87">
        <w:rPr>
          <w:sz w:val="22"/>
          <w:szCs w:val="22"/>
        </w:rPr>
        <w:t xml:space="preserve"> a </w:t>
      </w:r>
      <w:r w:rsidR="0024336E" w:rsidRPr="00070B87">
        <w:rPr>
          <w:rStyle w:val="Bacil"/>
          <w:noProof w:val="0"/>
          <w:sz w:val="22"/>
          <w:szCs w:val="22"/>
        </w:rPr>
        <w:t>tinea pedis</w:t>
      </w:r>
      <w:r w:rsidRPr="00070B87">
        <w:rPr>
          <w:sz w:val="22"/>
          <w:szCs w:val="22"/>
        </w:rPr>
        <w:t>), kde sa perorálna liečba považuje za vhodnú vzhľadom na miesto, závažnosť a rozsah infekcie.</w:t>
      </w:r>
    </w:p>
    <w:p w14:paraId="2744FDE1" w14:textId="77777777" w:rsidR="007837C0" w:rsidRPr="00070B87" w:rsidRDefault="00EF4012" w:rsidP="008B5A25">
      <w:pPr>
        <w:pStyle w:val="Normlndoblokusodrkami"/>
        <w:rPr>
          <w:sz w:val="22"/>
          <w:szCs w:val="22"/>
        </w:rPr>
      </w:pPr>
      <w:r w:rsidRPr="00070B87">
        <w:rPr>
          <w:sz w:val="22"/>
          <w:szCs w:val="22"/>
        </w:rPr>
        <w:t>Perorálny terbinafín je indikovaný pri liečbe onychomykózy.</w:t>
      </w:r>
    </w:p>
    <w:p w14:paraId="1CCC6813" w14:textId="77777777" w:rsidR="00367B44" w:rsidRPr="00070B87" w:rsidRDefault="00367B44" w:rsidP="008B5A25">
      <w:pPr>
        <w:pStyle w:val="Normlndobloku"/>
        <w:rPr>
          <w:sz w:val="22"/>
          <w:szCs w:val="22"/>
        </w:rPr>
      </w:pPr>
    </w:p>
    <w:p w14:paraId="68C15161" w14:textId="77777777" w:rsidR="0024336E" w:rsidRPr="00070B87" w:rsidRDefault="00EF4012" w:rsidP="008B5A25">
      <w:pPr>
        <w:pStyle w:val="Normlndobloku"/>
        <w:rPr>
          <w:sz w:val="22"/>
          <w:szCs w:val="22"/>
        </w:rPr>
      </w:pPr>
      <w:r w:rsidRPr="00070B87">
        <w:rPr>
          <w:sz w:val="22"/>
          <w:szCs w:val="22"/>
        </w:rPr>
        <w:t>Je potrebné brať do úvahy lokálne usmernenia týkajúce sa rezistencie, vhodného používania a predpisovania antifungálnych látok.</w:t>
      </w:r>
    </w:p>
    <w:p w14:paraId="5B5BE415" w14:textId="77777777" w:rsidR="000D12A1" w:rsidRPr="00070B87" w:rsidRDefault="000D12A1" w:rsidP="008B5A25">
      <w:pPr>
        <w:pStyle w:val="Normlndobloku"/>
        <w:rPr>
          <w:sz w:val="22"/>
          <w:szCs w:val="22"/>
        </w:rPr>
      </w:pPr>
    </w:p>
    <w:p w14:paraId="6F49DE68"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Dávkovanie a spôsob podávania</w:t>
      </w:r>
    </w:p>
    <w:p w14:paraId="7FE62161" w14:textId="77777777" w:rsidR="0024336E" w:rsidRPr="00070B87" w:rsidRDefault="0024336E" w:rsidP="009B539E">
      <w:pPr>
        <w:pStyle w:val="Styl2"/>
        <w:numPr>
          <w:ilvl w:val="0"/>
          <w:numId w:val="0"/>
        </w:numPr>
        <w:spacing w:before="0" w:after="0"/>
        <w:rPr>
          <w:szCs w:val="22"/>
          <w:lang w:val="sk-SK"/>
        </w:rPr>
      </w:pPr>
    </w:p>
    <w:p w14:paraId="3A9B9221" w14:textId="77777777" w:rsidR="0024336E" w:rsidRPr="00070B87" w:rsidRDefault="0024336E" w:rsidP="009B539E">
      <w:pPr>
        <w:pStyle w:val="Styl2-2"/>
      </w:pPr>
      <w:r w:rsidRPr="00070B87">
        <w:t>Dávkovanie</w:t>
      </w:r>
    </w:p>
    <w:p w14:paraId="626CEF69" w14:textId="77777777" w:rsidR="008B0531" w:rsidRPr="00070B87" w:rsidRDefault="008B0531" w:rsidP="008B5A25">
      <w:pPr>
        <w:pStyle w:val="Styl3"/>
        <w:spacing w:after="0"/>
        <w:jc w:val="left"/>
        <w:rPr>
          <w:i/>
          <w:sz w:val="22"/>
          <w:szCs w:val="22"/>
          <w:u w:val="none"/>
          <w:lang w:val="sk-SK"/>
        </w:rPr>
      </w:pPr>
    </w:p>
    <w:p w14:paraId="08296D7C" w14:textId="77777777" w:rsidR="0024336E" w:rsidRPr="00070B87" w:rsidRDefault="0024336E" w:rsidP="008B5A25">
      <w:pPr>
        <w:pStyle w:val="Styl3"/>
        <w:spacing w:after="0"/>
        <w:jc w:val="left"/>
        <w:rPr>
          <w:i/>
          <w:sz w:val="22"/>
          <w:szCs w:val="22"/>
          <w:u w:val="none"/>
          <w:lang w:val="sk-SK"/>
        </w:rPr>
      </w:pPr>
      <w:r w:rsidRPr="00070B87">
        <w:rPr>
          <w:i/>
          <w:sz w:val="22"/>
          <w:szCs w:val="22"/>
          <w:u w:val="none"/>
          <w:lang w:val="sk-SK"/>
        </w:rPr>
        <w:t>Dospelí</w:t>
      </w:r>
    </w:p>
    <w:p w14:paraId="3859D576" w14:textId="77777777" w:rsidR="0024336E" w:rsidRPr="00070B87" w:rsidRDefault="0024336E" w:rsidP="008B5A25">
      <w:pPr>
        <w:pStyle w:val="Normlndobloku"/>
        <w:rPr>
          <w:sz w:val="22"/>
          <w:szCs w:val="22"/>
        </w:rPr>
      </w:pPr>
      <w:r w:rsidRPr="00070B87">
        <w:rPr>
          <w:sz w:val="22"/>
          <w:szCs w:val="22"/>
        </w:rPr>
        <w:t>250</w:t>
      </w:r>
      <w:r w:rsidRPr="00070B87">
        <w:rPr>
          <w:rFonts w:ascii="Calibri" w:hAnsi="Calibri"/>
          <w:sz w:val="22"/>
          <w:szCs w:val="22"/>
        </w:rPr>
        <w:t> </w:t>
      </w:r>
      <w:r w:rsidRPr="00070B87">
        <w:rPr>
          <w:sz w:val="22"/>
          <w:szCs w:val="22"/>
        </w:rPr>
        <w:t>mg raz denne.</w:t>
      </w:r>
    </w:p>
    <w:p w14:paraId="695ED82C" w14:textId="77777777" w:rsidR="0024336E" w:rsidRPr="00070B87" w:rsidRDefault="0024336E" w:rsidP="008B5A25">
      <w:pPr>
        <w:pStyle w:val="Normlndobloku"/>
        <w:rPr>
          <w:sz w:val="22"/>
          <w:szCs w:val="22"/>
        </w:rPr>
      </w:pPr>
      <w:r w:rsidRPr="00070B87">
        <w:rPr>
          <w:sz w:val="22"/>
          <w:szCs w:val="22"/>
        </w:rPr>
        <w:t>Trvanie liečby sa líši podľa indikácie a podľa závažnosti infekcie.</w:t>
      </w:r>
    </w:p>
    <w:p w14:paraId="7697F4AF" w14:textId="77777777" w:rsidR="00367B44" w:rsidRPr="00070B87" w:rsidRDefault="00367B44" w:rsidP="008B5A25">
      <w:pPr>
        <w:pStyle w:val="Normlndobloku"/>
        <w:rPr>
          <w:sz w:val="22"/>
          <w:szCs w:val="22"/>
        </w:rPr>
      </w:pPr>
    </w:p>
    <w:p w14:paraId="3E92E293" w14:textId="77777777" w:rsidR="0024336E" w:rsidRPr="00070B87" w:rsidRDefault="0024336E" w:rsidP="008B5A25">
      <w:pPr>
        <w:pStyle w:val="Styl4"/>
      </w:pPr>
      <w:r w:rsidRPr="00070B87">
        <w:t>Kožné infekcie</w:t>
      </w:r>
    </w:p>
    <w:p w14:paraId="240AE4C4" w14:textId="77777777" w:rsidR="0024336E" w:rsidRPr="00070B87" w:rsidRDefault="0024336E" w:rsidP="008B5A25">
      <w:pPr>
        <w:pStyle w:val="Normlndobloku"/>
        <w:rPr>
          <w:sz w:val="22"/>
          <w:szCs w:val="22"/>
        </w:rPr>
      </w:pPr>
      <w:r w:rsidRPr="00070B87">
        <w:rPr>
          <w:sz w:val="22"/>
          <w:szCs w:val="22"/>
        </w:rPr>
        <w:t>Pravdepodobné trvanie liečby:</w:t>
      </w:r>
    </w:p>
    <w:p w14:paraId="50F6F1FE" w14:textId="77777777" w:rsidR="0024336E" w:rsidRPr="00070B87" w:rsidRDefault="0024336E" w:rsidP="008B5A25">
      <w:pPr>
        <w:pStyle w:val="Normlndobloku"/>
        <w:rPr>
          <w:sz w:val="22"/>
          <w:szCs w:val="22"/>
        </w:rPr>
      </w:pPr>
      <w:r w:rsidRPr="00070B87">
        <w:rPr>
          <w:rStyle w:val="Bacil"/>
          <w:sz w:val="22"/>
          <w:szCs w:val="22"/>
        </w:rPr>
        <w:t>Tinea pedis</w:t>
      </w:r>
      <w:r w:rsidRPr="00070B87">
        <w:rPr>
          <w:sz w:val="22"/>
          <w:szCs w:val="22"/>
        </w:rPr>
        <w:t xml:space="preserve"> (interdigitálny, plantárny/mokasínový typ): 2 – 6 týždňov</w:t>
      </w:r>
    </w:p>
    <w:p w14:paraId="2CAE7F5B" w14:textId="77777777" w:rsidR="0024336E" w:rsidRPr="00070B87" w:rsidRDefault="0024336E" w:rsidP="008B5A25">
      <w:pPr>
        <w:pStyle w:val="Normlndobloku"/>
        <w:rPr>
          <w:sz w:val="22"/>
          <w:szCs w:val="22"/>
        </w:rPr>
      </w:pPr>
      <w:r w:rsidRPr="00070B87">
        <w:rPr>
          <w:rStyle w:val="Bacil"/>
          <w:sz w:val="22"/>
          <w:szCs w:val="22"/>
        </w:rPr>
        <w:t>Tinea corporis</w:t>
      </w:r>
      <w:r w:rsidRPr="00070B87">
        <w:rPr>
          <w:sz w:val="22"/>
          <w:szCs w:val="22"/>
        </w:rPr>
        <w:t>: 4 týždne</w:t>
      </w:r>
    </w:p>
    <w:p w14:paraId="3D5896FB" w14:textId="77777777" w:rsidR="0024336E" w:rsidRPr="00070B87" w:rsidRDefault="0024336E" w:rsidP="008B5A25">
      <w:pPr>
        <w:pStyle w:val="Normlndobloku"/>
        <w:rPr>
          <w:sz w:val="22"/>
          <w:szCs w:val="22"/>
        </w:rPr>
      </w:pPr>
      <w:r w:rsidRPr="00070B87">
        <w:rPr>
          <w:rStyle w:val="Bacil"/>
          <w:sz w:val="22"/>
          <w:szCs w:val="22"/>
        </w:rPr>
        <w:t>Tinea cruris</w:t>
      </w:r>
      <w:r w:rsidRPr="00070B87">
        <w:rPr>
          <w:sz w:val="22"/>
          <w:szCs w:val="22"/>
        </w:rPr>
        <w:t>: 2 – 4 týždne</w:t>
      </w:r>
    </w:p>
    <w:p w14:paraId="0AA4FB9F" w14:textId="77777777" w:rsidR="00367B44" w:rsidRPr="00070B87" w:rsidRDefault="00367B44" w:rsidP="008B5A25">
      <w:pPr>
        <w:pStyle w:val="Normlndobloku"/>
        <w:rPr>
          <w:sz w:val="22"/>
          <w:szCs w:val="22"/>
        </w:rPr>
      </w:pPr>
    </w:p>
    <w:p w14:paraId="4FECC2F6" w14:textId="77777777" w:rsidR="0024336E" w:rsidRPr="00070B87" w:rsidRDefault="0024336E" w:rsidP="008B5A25">
      <w:pPr>
        <w:pStyle w:val="Styl4"/>
      </w:pPr>
      <w:r w:rsidRPr="00070B87">
        <w:t>Onychomykóza</w:t>
      </w:r>
    </w:p>
    <w:p w14:paraId="2AA2AAF1" w14:textId="0821CB23" w:rsidR="0024336E" w:rsidRPr="00070B87" w:rsidRDefault="00120BD5" w:rsidP="008B5A25">
      <w:pPr>
        <w:pStyle w:val="Normlndobloku"/>
        <w:rPr>
          <w:sz w:val="22"/>
          <w:szCs w:val="22"/>
        </w:rPr>
      </w:pPr>
      <w:r w:rsidRPr="00070B87">
        <w:rPr>
          <w:sz w:val="22"/>
          <w:szCs w:val="22"/>
        </w:rPr>
        <w:t>U </w:t>
      </w:r>
      <w:r w:rsidR="00EF4012" w:rsidRPr="00070B87">
        <w:rPr>
          <w:sz w:val="22"/>
          <w:szCs w:val="22"/>
        </w:rPr>
        <w:t>väčšiny pacientov liečba trvá 6</w:t>
      </w:r>
      <w:r w:rsidR="00EF4012" w:rsidRPr="00070B87">
        <w:rPr>
          <w:rFonts w:ascii="Calibri" w:hAnsi="Calibri"/>
          <w:sz w:val="22"/>
          <w:szCs w:val="22"/>
        </w:rPr>
        <w:t> </w:t>
      </w:r>
      <w:r w:rsidR="00EF4012" w:rsidRPr="00070B87">
        <w:rPr>
          <w:sz w:val="22"/>
          <w:szCs w:val="22"/>
        </w:rPr>
        <w:t>týždňov až 3</w:t>
      </w:r>
      <w:r w:rsidR="00EF4012" w:rsidRPr="00070B87">
        <w:rPr>
          <w:rFonts w:ascii="Calibri" w:hAnsi="Calibri"/>
          <w:sz w:val="22"/>
          <w:szCs w:val="22"/>
        </w:rPr>
        <w:t> </w:t>
      </w:r>
      <w:r w:rsidR="00EF4012" w:rsidRPr="00070B87">
        <w:rPr>
          <w:sz w:val="22"/>
          <w:szCs w:val="22"/>
        </w:rPr>
        <w:t>mesiace. Liečba kratšia ako 3</w:t>
      </w:r>
      <w:r w:rsidR="00EF4012" w:rsidRPr="00070B87">
        <w:rPr>
          <w:rFonts w:ascii="Calibri" w:hAnsi="Calibri"/>
          <w:sz w:val="22"/>
          <w:szCs w:val="22"/>
        </w:rPr>
        <w:t> </w:t>
      </w:r>
      <w:r w:rsidR="00EF4012" w:rsidRPr="00070B87">
        <w:rPr>
          <w:sz w:val="22"/>
          <w:szCs w:val="22"/>
        </w:rPr>
        <w:t>mesiace sa predpokladá u pacientov s infekciou nechtov rúk, s infekciou nechtov nôh okrem infekcie palca a u pacientov v</w:t>
      </w:r>
      <w:r w:rsidR="00EF4012" w:rsidRPr="00070B87">
        <w:rPr>
          <w:rFonts w:ascii="Calibri" w:hAnsi="Calibri"/>
          <w:sz w:val="22"/>
          <w:szCs w:val="22"/>
        </w:rPr>
        <w:t> </w:t>
      </w:r>
      <w:r w:rsidR="00EF4012" w:rsidRPr="00070B87">
        <w:rPr>
          <w:sz w:val="22"/>
          <w:szCs w:val="22"/>
        </w:rPr>
        <w:t>mladom veku. Pri liečbe infekcií nechtov na palcoch nôh zvyčajne postačuje 3-mesačná liečba, hoci niektorí pacienti potrebujú liečbu 6-mesačnú a dlhšiu.</w:t>
      </w:r>
      <w:r w:rsidR="0024336E" w:rsidRPr="00070B87">
        <w:rPr>
          <w:sz w:val="22"/>
          <w:szCs w:val="22"/>
        </w:rPr>
        <w:t xml:space="preserve"> </w:t>
      </w:r>
      <w:r w:rsidR="00EF4012" w:rsidRPr="00070B87">
        <w:rPr>
          <w:sz w:val="22"/>
          <w:szCs w:val="22"/>
        </w:rPr>
        <w:t>Slabé vyrastanie nechta počas prvých týždňov liečby umožňuje identifikovať pacientov, u ktorých je nutná dlhšia liečba.</w:t>
      </w:r>
    </w:p>
    <w:p w14:paraId="3D849D38" w14:textId="137AB610" w:rsidR="0024336E" w:rsidRPr="00070B87" w:rsidRDefault="00EF4012" w:rsidP="008B5A25">
      <w:pPr>
        <w:pStyle w:val="Normlndobloku"/>
        <w:rPr>
          <w:sz w:val="22"/>
          <w:szCs w:val="22"/>
        </w:rPr>
      </w:pPr>
      <w:r w:rsidRPr="00070B87">
        <w:rPr>
          <w:sz w:val="22"/>
          <w:szCs w:val="22"/>
        </w:rPr>
        <w:t>Úplný ústup všetkých príznakov infekcie môže nastať až o</w:t>
      </w:r>
      <w:r w:rsidRPr="00070B87">
        <w:rPr>
          <w:rFonts w:ascii="Calibri" w:hAnsi="Calibri"/>
          <w:sz w:val="22"/>
          <w:szCs w:val="22"/>
        </w:rPr>
        <w:t> </w:t>
      </w:r>
      <w:r w:rsidRPr="00070B87">
        <w:rPr>
          <w:sz w:val="22"/>
          <w:szCs w:val="22"/>
        </w:rPr>
        <w:t>niekoľko týždňov po </w:t>
      </w:r>
      <w:r w:rsidR="0024336E" w:rsidRPr="00070B87">
        <w:rPr>
          <w:sz w:val="22"/>
          <w:szCs w:val="22"/>
        </w:rPr>
        <w:t>mykologickej liečbe</w:t>
      </w:r>
      <w:r w:rsidRPr="00070B87">
        <w:rPr>
          <w:sz w:val="22"/>
          <w:szCs w:val="22"/>
        </w:rPr>
        <w:t>.</w:t>
      </w:r>
    </w:p>
    <w:p w14:paraId="239033A1" w14:textId="77777777" w:rsidR="00367B44" w:rsidRPr="00070B87" w:rsidRDefault="00367B44" w:rsidP="008B5A25">
      <w:pPr>
        <w:pStyle w:val="Normlndobloku"/>
        <w:rPr>
          <w:sz w:val="22"/>
          <w:szCs w:val="22"/>
        </w:rPr>
      </w:pPr>
    </w:p>
    <w:p w14:paraId="6E19697F" w14:textId="77777777" w:rsidR="0024336E" w:rsidRPr="00070B87" w:rsidRDefault="0024336E" w:rsidP="008B5A25">
      <w:pPr>
        <w:pStyle w:val="Styl3"/>
        <w:spacing w:after="0"/>
        <w:jc w:val="left"/>
        <w:rPr>
          <w:i/>
          <w:sz w:val="22"/>
          <w:szCs w:val="22"/>
          <w:u w:val="none"/>
        </w:rPr>
      </w:pPr>
      <w:r w:rsidRPr="00070B87">
        <w:rPr>
          <w:i/>
          <w:sz w:val="22"/>
          <w:szCs w:val="22"/>
          <w:u w:val="none"/>
        </w:rPr>
        <w:t>Pediatrická populácia</w:t>
      </w:r>
    </w:p>
    <w:p w14:paraId="5FF12E50" w14:textId="77777777" w:rsidR="0092236C" w:rsidRPr="00070B87" w:rsidRDefault="0092236C" w:rsidP="008B5A25">
      <w:pPr>
        <w:pStyle w:val="Normlndobloku"/>
        <w:rPr>
          <w:sz w:val="22"/>
          <w:szCs w:val="22"/>
        </w:rPr>
      </w:pPr>
      <w:r w:rsidRPr="00070B87">
        <w:rPr>
          <w:sz w:val="22"/>
          <w:szCs w:val="22"/>
        </w:rPr>
        <w:t>Vzhľadom k obmedzeným údajom používania terbinafínu u detí sa jeho používanie v tejto populácii neodporúča.</w:t>
      </w:r>
    </w:p>
    <w:p w14:paraId="5926C1C3" w14:textId="77777777" w:rsidR="00CB4862" w:rsidRPr="00070B87" w:rsidRDefault="00CB4862" w:rsidP="008B5A25">
      <w:pPr>
        <w:pStyle w:val="Normlndobloku"/>
        <w:rPr>
          <w:sz w:val="22"/>
          <w:szCs w:val="22"/>
        </w:rPr>
      </w:pPr>
    </w:p>
    <w:p w14:paraId="3EE428F0" w14:textId="77777777" w:rsidR="0024336E" w:rsidRPr="00070B87" w:rsidRDefault="0024336E" w:rsidP="008B5A25">
      <w:pPr>
        <w:pStyle w:val="Styl3"/>
        <w:spacing w:after="0"/>
        <w:jc w:val="left"/>
        <w:rPr>
          <w:i/>
          <w:sz w:val="22"/>
          <w:szCs w:val="22"/>
          <w:u w:val="none"/>
        </w:rPr>
      </w:pPr>
      <w:r w:rsidRPr="00070B87">
        <w:rPr>
          <w:i/>
          <w:sz w:val="22"/>
          <w:szCs w:val="22"/>
          <w:u w:val="none"/>
        </w:rPr>
        <w:t>Starší pacienti</w:t>
      </w:r>
    </w:p>
    <w:p w14:paraId="52034385" w14:textId="15D89045" w:rsidR="00F23A5D" w:rsidRPr="00070B87" w:rsidRDefault="00F23A5D" w:rsidP="008B5A25">
      <w:pPr>
        <w:pStyle w:val="Normlndobloku"/>
        <w:rPr>
          <w:sz w:val="22"/>
          <w:szCs w:val="22"/>
        </w:rPr>
      </w:pPr>
      <w:r w:rsidRPr="00070B87">
        <w:rPr>
          <w:sz w:val="22"/>
          <w:szCs w:val="22"/>
        </w:rPr>
        <w:t xml:space="preserve">Nie sú dôkazy </w:t>
      </w:r>
      <w:r w:rsidR="005F1529" w:rsidRPr="00070B87">
        <w:rPr>
          <w:sz w:val="22"/>
          <w:szCs w:val="22"/>
        </w:rPr>
        <w:t>o</w:t>
      </w:r>
      <w:r w:rsidR="005F1529" w:rsidRPr="00070B87">
        <w:rPr>
          <w:rFonts w:ascii="Calibri" w:hAnsi="Calibri"/>
          <w:sz w:val="22"/>
          <w:szCs w:val="22"/>
        </w:rPr>
        <w:t> </w:t>
      </w:r>
      <w:r w:rsidRPr="00070B87">
        <w:rPr>
          <w:sz w:val="22"/>
          <w:szCs w:val="22"/>
        </w:rPr>
        <w:t>tom, že by podávanie starším pacientom vyžadovalo odlišné dávkovanie, alebo že by nežiaduce účinky boli iné než u mladších pacientov. U</w:t>
      </w:r>
      <w:r w:rsidR="005F1529" w:rsidRPr="00070B87">
        <w:rPr>
          <w:rFonts w:ascii="Calibri" w:hAnsi="Calibri"/>
          <w:sz w:val="22"/>
          <w:szCs w:val="22"/>
        </w:rPr>
        <w:t> </w:t>
      </w:r>
      <w:r w:rsidRPr="00070B87">
        <w:rPr>
          <w:sz w:val="22"/>
          <w:szCs w:val="22"/>
        </w:rPr>
        <w:t xml:space="preserve">tejto vekovej skupiny treba zvážiť možné poškodenie </w:t>
      </w:r>
      <w:r w:rsidR="00D849F6" w:rsidRPr="00070B87">
        <w:rPr>
          <w:sz w:val="22"/>
          <w:szCs w:val="22"/>
        </w:rPr>
        <w:t xml:space="preserve">funkcií </w:t>
      </w:r>
      <w:r w:rsidRPr="00070B87">
        <w:rPr>
          <w:sz w:val="22"/>
          <w:szCs w:val="22"/>
        </w:rPr>
        <w:t>peče</w:t>
      </w:r>
      <w:r w:rsidR="00D849F6" w:rsidRPr="00070B87">
        <w:rPr>
          <w:sz w:val="22"/>
          <w:szCs w:val="22"/>
        </w:rPr>
        <w:t>ne</w:t>
      </w:r>
      <w:r w:rsidRPr="00070B87">
        <w:rPr>
          <w:sz w:val="22"/>
          <w:szCs w:val="22"/>
        </w:rPr>
        <w:t xml:space="preserve"> alebo oblič</w:t>
      </w:r>
      <w:r w:rsidR="00D849F6" w:rsidRPr="00070B87">
        <w:rPr>
          <w:sz w:val="22"/>
          <w:szCs w:val="22"/>
        </w:rPr>
        <w:t>iek</w:t>
      </w:r>
      <w:r w:rsidRPr="00070B87">
        <w:rPr>
          <w:sz w:val="22"/>
          <w:szCs w:val="22"/>
        </w:rPr>
        <w:t xml:space="preserve"> (</w:t>
      </w:r>
      <w:r w:rsidR="00C679CE" w:rsidRPr="00070B87">
        <w:rPr>
          <w:sz w:val="22"/>
          <w:szCs w:val="22"/>
        </w:rPr>
        <w:t>p</w:t>
      </w:r>
      <w:r w:rsidRPr="00070B87">
        <w:rPr>
          <w:sz w:val="22"/>
          <w:szCs w:val="22"/>
        </w:rPr>
        <w:t>ozri časť 4.4).</w:t>
      </w:r>
    </w:p>
    <w:p w14:paraId="62423854" w14:textId="77777777" w:rsidR="00367B44" w:rsidRPr="00070B87" w:rsidRDefault="00367B44" w:rsidP="008B5A25">
      <w:pPr>
        <w:pStyle w:val="Normlndobloku"/>
        <w:rPr>
          <w:sz w:val="22"/>
          <w:szCs w:val="22"/>
        </w:rPr>
      </w:pPr>
    </w:p>
    <w:p w14:paraId="2177E7C0" w14:textId="77777777" w:rsidR="007837C0" w:rsidRPr="00070B87" w:rsidRDefault="00EF4012" w:rsidP="008B5A25">
      <w:pPr>
        <w:pStyle w:val="Styl3"/>
        <w:spacing w:after="0"/>
        <w:jc w:val="left"/>
        <w:rPr>
          <w:sz w:val="22"/>
          <w:szCs w:val="22"/>
          <w:lang w:val="sk-SK"/>
        </w:rPr>
      </w:pPr>
      <w:r w:rsidRPr="00070B87">
        <w:rPr>
          <w:sz w:val="22"/>
          <w:szCs w:val="22"/>
          <w:lang w:val="sk-SK"/>
        </w:rPr>
        <w:t>Ďalšie informácie pre osobitné skupiny pacientov</w:t>
      </w:r>
    </w:p>
    <w:p w14:paraId="1002868C" w14:textId="77777777" w:rsidR="00367B44" w:rsidRPr="00070B87" w:rsidRDefault="00367B44" w:rsidP="008B5A25">
      <w:pPr>
        <w:pStyle w:val="Styl3"/>
        <w:spacing w:after="0"/>
        <w:jc w:val="left"/>
        <w:rPr>
          <w:sz w:val="22"/>
          <w:szCs w:val="22"/>
          <w:lang w:val="sk-SK"/>
        </w:rPr>
      </w:pPr>
    </w:p>
    <w:p w14:paraId="4BF05B83" w14:textId="77777777" w:rsidR="007837C0" w:rsidRPr="00070B87" w:rsidRDefault="00EF4012" w:rsidP="008B5A25">
      <w:pPr>
        <w:pStyle w:val="Styl4"/>
      </w:pPr>
      <w:r w:rsidRPr="00070B87">
        <w:t>Poruchy funkcie pečene</w:t>
      </w:r>
    </w:p>
    <w:p w14:paraId="5EF38256" w14:textId="30235A65" w:rsidR="0024336E" w:rsidRPr="00070B87" w:rsidRDefault="00EF4012" w:rsidP="008B5A25">
      <w:pPr>
        <w:pStyle w:val="Normlndobloku"/>
        <w:rPr>
          <w:sz w:val="22"/>
          <w:szCs w:val="22"/>
        </w:rPr>
      </w:pPr>
      <w:r w:rsidRPr="00070B87">
        <w:rPr>
          <w:sz w:val="22"/>
          <w:szCs w:val="22"/>
        </w:rPr>
        <w:t>Tablety ONYCHOMED sa neodporúčajú u</w:t>
      </w:r>
      <w:r w:rsidRPr="00070B87">
        <w:rPr>
          <w:rFonts w:ascii="Calibri" w:hAnsi="Calibri"/>
          <w:sz w:val="22"/>
          <w:szCs w:val="22"/>
        </w:rPr>
        <w:t> </w:t>
      </w:r>
      <w:r w:rsidRPr="00070B87">
        <w:rPr>
          <w:sz w:val="22"/>
          <w:szCs w:val="22"/>
        </w:rPr>
        <w:t>pacientov s</w:t>
      </w:r>
      <w:r w:rsidR="0024336E" w:rsidRPr="00070B87">
        <w:rPr>
          <w:sz w:val="22"/>
          <w:szCs w:val="22"/>
        </w:rPr>
        <w:t> </w:t>
      </w:r>
      <w:r w:rsidRPr="00070B87">
        <w:rPr>
          <w:sz w:val="22"/>
          <w:szCs w:val="22"/>
        </w:rPr>
        <w:t>chronickým alebo aktívnym ochorením pečene (pozri časť 4.4).</w:t>
      </w:r>
    </w:p>
    <w:p w14:paraId="3EDBFD9A" w14:textId="77777777" w:rsidR="00367B44" w:rsidRPr="00070B87" w:rsidRDefault="00367B44" w:rsidP="008B5A25">
      <w:pPr>
        <w:pStyle w:val="Normlndobloku"/>
        <w:rPr>
          <w:sz w:val="22"/>
          <w:szCs w:val="22"/>
        </w:rPr>
      </w:pPr>
    </w:p>
    <w:p w14:paraId="189CC70D" w14:textId="77777777" w:rsidR="007837C0" w:rsidRPr="00070B87" w:rsidRDefault="00EF4012" w:rsidP="008B5A25">
      <w:pPr>
        <w:pStyle w:val="Styl4"/>
      </w:pPr>
      <w:r w:rsidRPr="00070B87">
        <w:t>Poruchy funkcie obličiek</w:t>
      </w:r>
    </w:p>
    <w:p w14:paraId="518D09D9" w14:textId="77777777" w:rsidR="0024336E" w:rsidRPr="00070B87" w:rsidRDefault="00EF4012" w:rsidP="008B5A25">
      <w:pPr>
        <w:pStyle w:val="Normlndobloku"/>
        <w:rPr>
          <w:sz w:val="22"/>
          <w:szCs w:val="22"/>
        </w:rPr>
      </w:pPr>
      <w:r w:rsidRPr="00070B87">
        <w:rPr>
          <w:sz w:val="22"/>
          <w:szCs w:val="22"/>
        </w:rPr>
        <w:t>Použitie perorálneho terbinafínu nebolo adekvátne skúmané u pacientov s poškodením obličiek, a preto sa u</w:t>
      </w:r>
      <w:r w:rsidRPr="00070B87">
        <w:rPr>
          <w:rFonts w:ascii="Calibri" w:hAnsi="Calibri"/>
          <w:sz w:val="22"/>
          <w:szCs w:val="22"/>
        </w:rPr>
        <w:t> </w:t>
      </w:r>
      <w:r w:rsidRPr="00070B87">
        <w:rPr>
          <w:sz w:val="22"/>
          <w:szCs w:val="22"/>
        </w:rPr>
        <w:t>nich neodporúča (pozri časť 4.4 a časť 5.2).</w:t>
      </w:r>
    </w:p>
    <w:p w14:paraId="7879DC4E" w14:textId="77777777" w:rsidR="0024336E" w:rsidRPr="00070B87" w:rsidRDefault="0024336E">
      <w:pPr>
        <w:pStyle w:val="Styl2-2"/>
      </w:pPr>
    </w:p>
    <w:p w14:paraId="760586BB" w14:textId="77777777" w:rsidR="0024336E" w:rsidRPr="00070B87" w:rsidRDefault="0024336E">
      <w:pPr>
        <w:pStyle w:val="Styl2-2"/>
      </w:pPr>
      <w:r w:rsidRPr="00070B87">
        <w:t>Spôsob podávania</w:t>
      </w:r>
    </w:p>
    <w:p w14:paraId="4D0EB170" w14:textId="0FADD6B3" w:rsidR="0024336E" w:rsidRPr="00070B87" w:rsidRDefault="0024336E" w:rsidP="008B5A25">
      <w:pPr>
        <w:pStyle w:val="Normlndobloku"/>
        <w:rPr>
          <w:sz w:val="22"/>
          <w:szCs w:val="22"/>
        </w:rPr>
      </w:pPr>
      <w:r w:rsidRPr="00070B87">
        <w:rPr>
          <w:sz w:val="22"/>
          <w:szCs w:val="22"/>
        </w:rPr>
        <w:t>Perorálne použitie. Tablety je potrebné zapiť vodou a užívať ich každý deň v rovnakom čase.</w:t>
      </w:r>
      <w:r w:rsidR="00EF4012" w:rsidRPr="00070B87">
        <w:rPr>
          <w:sz w:val="22"/>
          <w:szCs w:val="22"/>
        </w:rPr>
        <w:t xml:space="preserve"> Tablety môžu byť užívané s jedlom alebo bez jedla.</w:t>
      </w:r>
    </w:p>
    <w:p w14:paraId="47B9F91E" w14:textId="77777777" w:rsidR="000D12A1" w:rsidRPr="00070B87" w:rsidRDefault="000D12A1" w:rsidP="008B5A25">
      <w:pPr>
        <w:pStyle w:val="Normlndobloku"/>
        <w:rPr>
          <w:sz w:val="22"/>
          <w:szCs w:val="22"/>
        </w:rPr>
      </w:pPr>
    </w:p>
    <w:p w14:paraId="4496CF29" w14:textId="77777777" w:rsidR="0024336E" w:rsidRPr="00070B87" w:rsidRDefault="0024336E" w:rsidP="008B5A25">
      <w:pPr>
        <w:pStyle w:val="Styl2"/>
        <w:numPr>
          <w:ilvl w:val="1"/>
          <w:numId w:val="1"/>
        </w:numPr>
        <w:spacing w:before="0" w:after="0"/>
        <w:ind w:left="680" w:hanging="680"/>
        <w:rPr>
          <w:szCs w:val="22"/>
          <w:lang w:val="sk-SK"/>
        </w:rPr>
      </w:pPr>
      <w:r w:rsidRPr="00070B87">
        <w:rPr>
          <w:szCs w:val="22"/>
          <w:lang w:val="sk-SK"/>
        </w:rPr>
        <w:t>Kontraindikácie</w:t>
      </w:r>
    </w:p>
    <w:p w14:paraId="68963ADF" w14:textId="77777777" w:rsidR="0024336E" w:rsidRPr="00070B87" w:rsidRDefault="0024336E" w:rsidP="00864FB9">
      <w:pPr>
        <w:pStyle w:val="Styl2"/>
        <w:numPr>
          <w:ilvl w:val="0"/>
          <w:numId w:val="0"/>
        </w:numPr>
        <w:spacing w:before="0" w:after="0"/>
        <w:rPr>
          <w:szCs w:val="22"/>
          <w:lang w:val="sk-SK"/>
        </w:rPr>
      </w:pPr>
    </w:p>
    <w:p w14:paraId="665D7B30" w14:textId="77777777" w:rsidR="0024336E" w:rsidRPr="00070B87" w:rsidRDefault="0024336E" w:rsidP="008B5A25">
      <w:pPr>
        <w:pStyle w:val="Normlndobloku"/>
        <w:rPr>
          <w:sz w:val="22"/>
          <w:szCs w:val="22"/>
        </w:rPr>
      </w:pPr>
      <w:r w:rsidRPr="00070B87">
        <w:rPr>
          <w:sz w:val="22"/>
          <w:szCs w:val="22"/>
        </w:rPr>
        <w:t>Precitlivenosť na liečivo alebo ktorúkoľvek z pomocných látok uvedených v časti 6.1.</w:t>
      </w:r>
    </w:p>
    <w:p w14:paraId="2B4BDC25" w14:textId="77777777" w:rsidR="000D12A1" w:rsidRPr="00070B87" w:rsidRDefault="000D12A1" w:rsidP="008B5A25">
      <w:pPr>
        <w:pStyle w:val="Normlndobloku"/>
        <w:rPr>
          <w:sz w:val="22"/>
          <w:szCs w:val="22"/>
        </w:rPr>
      </w:pPr>
    </w:p>
    <w:p w14:paraId="18494D03"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Osobitné upozornenia a opatrenia pri používaní</w:t>
      </w:r>
    </w:p>
    <w:p w14:paraId="4F1C3033" w14:textId="77777777" w:rsidR="0024336E" w:rsidRPr="00070B87" w:rsidRDefault="0024336E" w:rsidP="00864FB9">
      <w:pPr>
        <w:pStyle w:val="Styl2"/>
        <w:numPr>
          <w:ilvl w:val="0"/>
          <w:numId w:val="0"/>
        </w:numPr>
        <w:spacing w:before="0" w:after="0"/>
        <w:rPr>
          <w:szCs w:val="22"/>
          <w:lang w:val="sk-SK"/>
        </w:rPr>
      </w:pPr>
    </w:p>
    <w:p w14:paraId="0771F2A4" w14:textId="3723B170" w:rsidR="0024336E" w:rsidRPr="00070B87" w:rsidRDefault="00290144" w:rsidP="008B5A25">
      <w:pPr>
        <w:pStyle w:val="Styl3"/>
        <w:spacing w:after="0"/>
        <w:jc w:val="left"/>
        <w:rPr>
          <w:sz w:val="22"/>
          <w:szCs w:val="22"/>
          <w:lang w:val="sk-SK"/>
        </w:rPr>
      </w:pPr>
      <w:r w:rsidRPr="00070B87">
        <w:rPr>
          <w:sz w:val="22"/>
          <w:szCs w:val="22"/>
          <w:lang w:val="sk-SK"/>
        </w:rPr>
        <w:t>F</w:t>
      </w:r>
      <w:r w:rsidR="0024336E" w:rsidRPr="00070B87">
        <w:rPr>
          <w:sz w:val="22"/>
          <w:szCs w:val="22"/>
          <w:lang w:val="sk-SK"/>
        </w:rPr>
        <w:t>unkci</w:t>
      </w:r>
      <w:r w:rsidRPr="00070B87">
        <w:rPr>
          <w:sz w:val="22"/>
          <w:szCs w:val="22"/>
          <w:lang w:val="sk-SK"/>
        </w:rPr>
        <w:t>a</w:t>
      </w:r>
      <w:r w:rsidR="00EF4012" w:rsidRPr="00070B87">
        <w:rPr>
          <w:sz w:val="22"/>
          <w:szCs w:val="22"/>
          <w:lang w:val="sk-SK"/>
        </w:rPr>
        <w:t xml:space="preserve"> pečene</w:t>
      </w:r>
    </w:p>
    <w:p w14:paraId="39763673" w14:textId="6F5AE70F" w:rsidR="0024336E" w:rsidRPr="00070B87" w:rsidRDefault="00EF4012" w:rsidP="008B5A25">
      <w:pPr>
        <w:pStyle w:val="Normlndobloku"/>
        <w:rPr>
          <w:sz w:val="22"/>
          <w:szCs w:val="22"/>
        </w:rPr>
      </w:pPr>
      <w:r w:rsidRPr="00070B87">
        <w:rPr>
          <w:sz w:val="22"/>
          <w:szCs w:val="22"/>
        </w:rPr>
        <w:t>Použitie tabliet ONYCHOMED sa neodporúča u</w:t>
      </w:r>
      <w:r w:rsidR="00120BD5" w:rsidRPr="00070B87">
        <w:rPr>
          <w:sz w:val="22"/>
          <w:szCs w:val="22"/>
        </w:rPr>
        <w:t> </w:t>
      </w:r>
      <w:r w:rsidRPr="00070B87">
        <w:rPr>
          <w:sz w:val="22"/>
          <w:szCs w:val="22"/>
        </w:rPr>
        <w:t>pacientov s chronickým alebo aktívnym ochorením pečene. Pred predpísaním tabliet s terbinafínom sa má vyhodnotiť už prítomné ochorenie pečene.</w:t>
      </w:r>
    </w:p>
    <w:p w14:paraId="0713AE73" w14:textId="77777777" w:rsidR="002F7FC0" w:rsidRPr="00070B87" w:rsidRDefault="002F7FC0" w:rsidP="008B5A25">
      <w:pPr>
        <w:pStyle w:val="Normlndobloku"/>
        <w:rPr>
          <w:sz w:val="22"/>
          <w:szCs w:val="22"/>
        </w:rPr>
      </w:pPr>
    </w:p>
    <w:p w14:paraId="19182EFF" w14:textId="12DEFE01" w:rsidR="0024336E" w:rsidRPr="00070B87" w:rsidRDefault="00EF4012" w:rsidP="008B5A25">
      <w:pPr>
        <w:pStyle w:val="Normlndobloku"/>
        <w:rPr>
          <w:sz w:val="22"/>
          <w:szCs w:val="22"/>
        </w:rPr>
      </w:pPr>
      <w:r w:rsidRPr="00070B87">
        <w:rPr>
          <w:sz w:val="22"/>
          <w:szCs w:val="22"/>
        </w:rPr>
        <w:t>Hepatotoxicita sa môže vyskytnúť u</w:t>
      </w:r>
      <w:r w:rsidR="0024336E" w:rsidRPr="00070B87">
        <w:rPr>
          <w:sz w:val="22"/>
          <w:szCs w:val="22"/>
        </w:rPr>
        <w:t> </w:t>
      </w:r>
      <w:r w:rsidRPr="00070B87">
        <w:rPr>
          <w:sz w:val="22"/>
          <w:szCs w:val="22"/>
        </w:rPr>
        <w:t>pacientov s už prítomným ochorením pečene alebo bez</w:t>
      </w:r>
      <w:r w:rsidR="008B5A25" w:rsidRPr="00070B87">
        <w:rPr>
          <w:sz w:val="22"/>
          <w:szCs w:val="22"/>
        </w:rPr>
        <w:t> </w:t>
      </w:r>
      <w:r w:rsidRPr="00070B87">
        <w:rPr>
          <w:sz w:val="22"/>
          <w:szCs w:val="22"/>
        </w:rPr>
        <w:t>neho.</w:t>
      </w:r>
      <w:r w:rsidR="0024336E" w:rsidRPr="00070B87">
        <w:rPr>
          <w:sz w:val="22"/>
          <w:szCs w:val="22"/>
        </w:rPr>
        <w:t xml:space="preserve"> Preto je odporúčané pravidelné sledovanie pečeňových testov (po 4 – 6 týždňoch liečby). ONYCHOMED má byť v prípade elevácie pečeňových testov okamžite vysadený.</w:t>
      </w:r>
    </w:p>
    <w:p w14:paraId="4FCFAF79" w14:textId="77777777" w:rsidR="0024336E" w:rsidRPr="00070B87" w:rsidRDefault="00EF4012" w:rsidP="008B5A25">
      <w:pPr>
        <w:pStyle w:val="Normlndobloku"/>
        <w:rPr>
          <w:sz w:val="22"/>
          <w:szCs w:val="22"/>
        </w:rPr>
      </w:pPr>
      <w:r w:rsidRPr="00070B87">
        <w:rPr>
          <w:sz w:val="22"/>
          <w:szCs w:val="22"/>
        </w:rPr>
        <w:t>U pacientov liečených perorálnym terbinafínom boli hlásené veľmi zriedkavé prípady závažného zlyhania pečene (niektoré sa skončili smrťou alebo si vyžiadali transplantáciu pečene). Vo väčšine prípadov zlyhania pečene mali pacienti vážne systémové základné ochorenie a príčinná súvislosť s užitím perorálneho terbinafínu bola neistá (pozri časť 4.8).</w:t>
      </w:r>
    </w:p>
    <w:p w14:paraId="6D8B8FB1" w14:textId="77777777" w:rsidR="002166F6" w:rsidRPr="00070B87" w:rsidRDefault="002166F6" w:rsidP="008B5A25">
      <w:pPr>
        <w:pStyle w:val="Normlndobloku"/>
        <w:rPr>
          <w:sz w:val="22"/>
          <w:szCs w:val="22"/>
        </w:rPr>
      </w:pPr>
    </w:p>
    <w:p w14:paraId="1E14783B" w14:textId="7D98861A" w:rsidR="0024336E" w:rsidRPr="00070B87" w:rsidRDefault="00EF4012" w:rsidP="008B5A25">
      <w:pPr>
        <w:pStyle w:val="Normlndobloku"/>
        <w:rPr>
          <w:sz w:val="22"/>
          <w:szCs w:val="22"/>
        </w:rPr>
      </w:pPr>
      <w:r w:rsidRPr="00070B87">
        <w:rPr>
          <w:sz w:val="22"/>
          <w:szCs w:val="22"/>
        </w:rPr>
        <w:t xml:space="preserve">Pacientov, ktorým sa predpíšu tablety ONYCHOMED, je potrebné upozorniť, aby lekárovi okamžite hlásili akékoľvek príznaky naznačujúce dysfunkciu pečene, ako sú pruritus, nevysvetliteľná, pretrvávajúca nauzea, </w:t>
      </w:r>
      <w:r w:rsidR="002F7FC0" w:rsidRPr="00070B87">
        <w:rPr>
          <w:sz w:val="22"/>
          <w:szCs w:val="22"/>
        </w:rPr>
        <w:t xml:space="preserve">znížená chuť do jedla, </w:t>
      </w:r>
      <w:r w:rsidRPr="00070B87">
        <w:rPr>
          <w:sz w:val="22"/>
          <w:szCs w:val="22"/>
        </w:rPr>
        <w:t>anorexia, žltačka, vracanie, únava, abdominálna bolesť alebo tmavý moč či svetlá stolica. Pacienti s takýmito prejavmi majú ukončiť užívanie perorálneho terbinafínu a okamžite sa má vyšetriť funkcia ich pečene.</w:t>
      </w:r>
    </w:p>
    <w:p w14:paraId="12553DE3" w14:textId="77777777" w:rsidR="00075345" w:rsidRPr="00070B87" w:rsidRDefault="00075345" w:rsidP="008B5A25">
      <w:pPr>
        <w:pStyle w:val="Styl3"/>
        <w:spacing w:after="0"/>
        <w:jc w:val="left"/>
        <w:rPr>
          <w:sz w:val="22"/>
          <w:szCs w:val="22"/>
          <w:lang w:val="sk-SK"/>
        </w:rPr>
      </w:pPr>
    </w:p>
    <w:p w14:paraId="6B33E7C2" w14:textId="77777777" w:rsidR="00075345" w:rsidRPr="00070B87" w:rsidRDefault="00075345" w:rsidP="008B5A25">
      <w:pPr>
        <w:pStyle w:val="Styl3"/>
        <w:spacing w:after="0"/>
        <w:jc w:val="left"/>
        <w:rPr>
          <w:sz w:val="22"/>
          <w:szCs w:val="22"/>
          <w:lang w:val="sk-SK"/>
        </w:rPr>
      </w:pPr>
      <w:r w:rsidRPr="00070B87">
        <w:rPr>
          <w:sz w:val="22"/>
          <w:szCs w:val="22"/>
          <w:lang w:val="sk-SK"/>
        </w:rPr>
        <w:t>Funkcia obličiek</w:t>
      </w:r>
    </w:p>
    <w:p w14:paraId="414EE374" w14:textId="77777777" w:rsidR="00075345" w:rsidRPr="00070B87" w:rsidRDefault="00075345" w:rsidP="008B5A25">
      <w:pPr>
        <w:pStyle w:val="Normlndobloku"/>
        <w:rPr>
          <w:sz w:val="22"/>
          <w:szCs w:val="22"/>
        </w:rPr>
      </w:pPr>
      <w:r w:rsidRPr="00070B87">
        <w:rPr>
          <w:sz w:val="22"/>
          <w:szCs w:val="22"/>
        </w:rPr>
        <w:t>U pacientov s poruchou renálnych funkcií (klírens kreatinínu nižší ako 50</w:t>
      </w:r>
      <w:r w:rsidRPr="00070B87">
        <w:rPr>
          <w:rFonts w:ascii="Calibri" w:hAnsi="Calibri"/>
          <w:sz w:val="22"/>
          <w:szCs w:val="22"/>
        </w:rPr>
        <w:t> </w:t>
      </w:r>
      <w:r w:rsidRPr="00070B87">
        <w:rPr>
          <w:sz w:val="22"/>
          <w:szCs w:val="22"/>
        </w:rPr>
        <w:t>ml/min alebo sérový kreatinín vyšší ako 300</w:t>
      </w:r>
      <w:r w:rsidRPr="00070B87">
        <w:rPr>
          <w:rFonts w:ascii="Calibri" w:hAnsi="Calibri"/>
          <w:sz w:val="22"/>
          <w:szCs w:val="22"/>
        </w:rPr>
        <w:t> </w:t>
      </w:r>
      <w:r w:rsidRPr="00070B87">
        <w:rPr>
          <w:sz w:val="22"/>
          <w:szCs w:val="22"/>
        </w:rPr>
        <w:t>μmol/l) nebolo používanie terbinafínu adekvátne skúmané, a preto sa jeho podávanie neodporúča (pozri časť 5.2).</w:t>
      </w:r>
    </w:p>
    <w:p w14:paraId="0A78BB3A" w14:textId="77777777" w:rsidR="00075345" w:rsidRPr="00070B87" w:rsidRDefault="00075345" w:rsidP="008B5A25">
      <w:pPr>
        <w:pStyle w:val="Styl3"/>
        <w:spacing w:after="0"/>
        <w:jc w:val="left"/>
        <w:rPr>
          <w:sz w:val="22"/>
          <w:szCs w:val="22"/>
          <w:lang w:val="sk-SK"/>
        </w:rPr>
      </w:pPr>
    </w:p>
    <w:p w14:paraId="54B34AA1" w14:textId="77777777" w:rsidR="0024336E" w:rsidRPr="00070B87" w:rsidRDefault="00EF4012" w:rsidP="008B5A25">
      <w:pPr>
        <w:pStyle w:val="Styl3"/>
        <w:spacing w:after="0"/>
        <w:jc w:val="left"/>
        <w:rPr>
          <w:sz w:val="22"/>
          <w:szCs w:val="22"/>
          <w:lang w:val="sk-SK"/>
        </w:rPr>
      </w:pPr>
      <w:r w:rsidRPr="00070B87">
        <w:rPr>
          <w:sz w:val="22"/>
          <w:szCs w:val="22"/>
          <w:lang w:val="sk-SK"/>
        </w:rPr>
        <w:t>Dermatologické účinky</w:t>
      </w:r>
    </w:p>
    <w:p w14:paraId="7D42E2EB" w14:textId="6BA42EE6" w:rsidR="0024336E" w:rsidRPr="00070B87" w:rsidRDefault="00EF4012" w:rsidP="008B5A25">
      <w:pPr>
        <w:pStyle w:val="Normlndobloku"/>
        <w:rPr>
          <w:sz w:val="22"/>
          <w:szCs w:val="22"/>
        </w:rPr>
      </w:pPr>
      <w:r w:rsidRPr="00070B87">
        <w:rPr>
          <w:sz w:val="22"/>
          <w:szCs w:val="22"/>
        </w:rPr>
        <w:t>Závažné kožné reakcie (napr. Stevensov-Johnsonov syndróm, toxická epidermálna nekrolýza) boli u pacientov užívajúcich perorálny terbinafín hlásené veľmi zriedkavo. Ak dôjde ku</w:t>
      </w:r>
      <w:r w:rsidR="008B5A25" w:rsidRPr="00070B87">
        <w:rPr>
          <w:sz w:val="22"/>
          <w:szCs w:val="22"/>
        </w:rPr>
        <w:t> </w:t>
      </w:r>
      <w:r w:rsidRPr="00070B87">
        <w:rPr>
          <w:sz w:val="22"/>
          <w:szCs w:val="22"/>
        </w:rPr>
        <w:t>vzniku progredujúcej vyrážky, liečba tabletami ONYCHOMED sa má prerušiť.</w:t>
      </w:r>
    </w:p>
    <w:p w14:paraId="0A0848CF" w14:textId="77777777" w:rsidR="0024336E" w:rsidRPr="00070B87" w:rsidRDefault="0024336E" w:rsidP="008B5A25">
      <w:pPr>
        <w:pStyle w:val="Normlndobloku"/>
        <w:rPr>
          <w:sz w:val="22"/>
          <w:szCs w:val="22"/>
        </w:rPr>
      </w:pPr>
      <w:r w:rsidRPr="00070B87">
        <w:rPr>
          <w:sz w:val="22"/>
          <w:szCs w:val="22"/>
        </w:rPr>
        <w:lastRenderedPageBreak/>
        <w:t>ONYCHOMED je potrebné užívať s</w:t>
      </w:r>
      <w:r w:rsidR="00C9059A" w:rsidRPr="00070B87">
        <w:rPr>
          <w:sz w:val="22"/>
          <w:szCs w:val="22"/>
        </w:rPr>
        <w:t> </w:t>
      </w:r>
      <w:r w:rsidR="00EF4012" w:rsidRPr="00070B87">
        <w:rPr>
          <w:sz w:val="22"/>
          <w:szCs w:val="22"/>
        </w:rPr>
        <w:t>opatrnosťou</w:t>
      </w:r>
      <w:r w:rsidR="00290144" w:rsidRPr="00070B87">
        <w:rPr>
          <w:sz w:val="22"/>
          <w:szCs w:val="22"/>
        </w:rPr>
        <w:t xml:space="preserve"> </w:t>
      </w:r>
      <w:r w:rsidRPr="00070B87">
        <w:rPr>
          <w:sz w:val="22"/>
          <w:szCs w:val="22"/>
        </w:rPr>
        <w:t>u pacientov s pre-existujúcou</w:t>
      </w:r>
      <w:r w:rsidR="00290144" w:rsidRPr="00070B87">
        <w:rPr>
          <w:sz w:val="22"/>
          <w:szCs w:val="22"/>
        </w:rPr>
        <w:t xml:space="preserve"> </w:t>
      </w:r>
      <w:r w:rsidRPr="00070B87">
        <w:rPr>
          <w:sz w:val="22"/>
          <w:szCs w:val="22"/>
        </w:rPr>
        <w:t>psoriázou, lebo</w:t>
      </w:r>
      <w:r w:rsidR="00EF4012" w:rsidRPr="00070B87">
        <w:rPr>
          <w:sz w:val="22"/>
          <w:szCs w:val="22"/>
        </w:rPr>
        <w:t xml:space="preserve"> boli hlásené </w:t>
      </w:r>
      <w:r w:rsidRPr="00070B87">
        <w:rPr>
          <w:sz w:val="22"/>
          <w:szCs w:val="22"/>
        </w:rPr>
        <w:t>veľmi zriedkavé prípady exacerbácie psoriázy.</w:t>
      </w:r>
    </w:p>
    <w:p w14:paraId="7ADDF55A" w14:textId="77777777" w:rsidR="002166F6" w:rsidRPr="00070B87" w:rsidRDefault="002166F6" w:rsidP="008B5A25">
      <w:pPr>
        <w:pStyle w:val="Normlndobloku"/>
        <w:rPr>
          <w:sz w:val="22"/>
          <w:szCs w:val="22"/>
        </w:rPr>
      </w:pPr>
    </w:p>
    <w:p w14:paraId="301A7AD4" w14:textId="77777777" w:rsidR="00075345" w:rsidRPr="00070B87" w:rsidRDefault="00075345" w:rsidP="008B5A25">
      <w:pPr>
        <w:pStyle w:val="Normlndobloku"/>
        <w:rPr>
          <w:sz w:val="22"/>
          <w:szCs w:val="22"/>
        </w:rPr>
      </w:pPr>
      <w:r w:rsidRPr="00070B87">
        <w:rPr>
          <w:sz w:val="22"/>
          <w:szCs w:val="22"/>
        </w:rPr>
        <w:t>ONYCHOMED má byť používaný s opatrnosťou u pacientov s lupus erythematosus. Boli hlásené veľmi zriedkavé prípady lupus erythematosus.</w:t>
      </w:r>
    </w:p>
    <w:p w14:paraId="02E6D7AF" w14:textId="77777777" w:rsidR="00075345" w:rsidRPr="00070B87" w:rsidRDefault="00075345" w:rsidP="008B5A25">
      <w:pPr>
        <w:pStyle w:val="Styl3"/>
        <w:spacing w:after="0"/>
        <w:jc w:val="left"/>
        <w:rPr>
          <w:sz w:val="22"/>
          <w:szCs w:val="22"/>
          <w:lang w:val="sk-SK"/>
        </w:rPr>
      </w:pPr>
    </w:p>
    <w:p w14:paraId="6CECFEAE" w14:textId="77777777" w:rsidR="0024336E" w:rsidRPr="00070B87" w:rsidRDefault="00EF4012" w:rsidP="008B5A25">
      <w:pPr>
        <w:pStyle w:val="Styl3"/>
        <w:spacing w:after="0"/>
        <w:jc w:val="left"/>
        <w:rPr>
          <w:sz w:val="22"/>
          <w:szCs w:val="22"/>
          <w:lang w:val="sk-SK"/>
        </w:rPr>
      </w:pPr>
      <w:r w:rsidRPr="00070B87">
        <w:rPr>
          <w:sz w:val="22"/>
          <w:szCs w:val="22"/>
          <w:lang w:val="sk-SK"/>
        </w:rPr>
        <w:t>Hematologické účinky</w:t>
      </w:r>
    </w:p>
    <w:p w14:paraId="5AF35C90" w14:textId="15512AD2" w:rsidR="0024336E" w:rsidRPr="00070B87" w:rsidRDefault="00EF4012" w:rsidP="008B5A25">
      <w:pPr>
        <w:pStyle w:val="Normlndobloku"/>
        <w:rPr>
          <w:sz w:val="22"/>
          <w:szCs w:val="22"/>
        </w:rPr>
      </w:pPr>
      <w:r w:rsidRPr="00070B87">
        <w:rPr>
          <w:sz w:val="22"/>
          <w:szCs w:val="22"/>
        </w:rPr>
        <w:t xml:space="preserve">U pacientov liečených perorálnym terbinafínom boli hlásené veľmi zriedkavé prípady krvných abnormalít (neutropénia, agranulocytóza, trombocytopénia, pancytopénia). Etiológia akýchkoľvek krvných abnormalít, ktoré sa vyskytujú u pacientov liečených perorálnym terbinafínom, sa má zhodnotiť a je potrebné zvážiť možnú zmenu liečebného režimu, vrátane ukončenia liečby </w:t>
      </w:r>
      <w:r w:rsidR="0024336E" w:rsidRPr="00070B87">
        <w:rPr>
          <w:sz w:val="22"/>
          <w:szCs w:val="22"/>
        </w:rPr>
        <w:t>ONYCHOMEDOM</w:t>
      </w:r>
      <w:r w:rsidRPr="00070B87">
        <w:rPr>
          <w:sz w:val="22"/>
          <w:szCs w:val="22"/>
        </w:rPr>
        <w:t>.</w:t>
      </w:r>
    </w:p>
    <w:p w14:paraId="4A04D47D" w14:textId="77777777" w:rsidR="0024336E" w:rsidRPr="00070B87" w:rsidRDefault="0024336E" w:rsidP="008B5A25">
      <w:pPr>
        <w:pStyle w:val="Normlndobloku"/>
        <w:rPr>
          <w:sz w:val="22"/>
          <w:szCs w:val="22"/>
        </w:rPr>
      </w:pPr>
    </w:p>
    <w:p w14:paraId="3658A65D"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Liekové a iné interakcie</w:t>
      </w:r>
    </w:p>
    <w:p w14:paraId="01F3074B" w14:textId="77777777" w:rsidR="0024336E" w:rsidRPr="00070B87" w:rsidRDefault="0024336E" w:rsidP="00864FB9">
      <w:pPr>
        <w:pStyle w:val="Styl2"/>
        <w:numPr>
          <w:ilvl w:val="0"/>
          <w:numId w:val="0"/>
        </w:numPr>
        <w:spacing w:before="0" w:after="0"/>
        <w:rPr>
          <w:szCs w:val="22"/>
          <w:lang w:val="sk-SK"/>
        </w:rPr>
      </w:pPr>
    </w:p>
    <w:p w14:paraId="636B82FD" w14:textId="77777777" w:rsidR="0024336E" w:rsidRPr="00070B87" w:rsidRDefault="0024336E">
      <w:pPr>
        <w:pStyle w:val="Styl2-2"/>
      </w:pPr>
      <w:r w:rsidRPr="00070B87">
        <w:t>Účinok iných liekov na terbinafín</w:t>
      </w:r>
    </w:p>
    <w:p w14:paraId="74457C86" w14:textId="77777777" w:rsidR="00367B44" w:rsidRPr="00070B87" w:rsidRDefault="00367B44" w:rsidP="008B5A25">
      <w:pPr>
        <w:pStyle w:val="Normlndobloku"/>
        <w:rPr>
          <w:sz w:val="22"/>
          <w:szCs w:val="22"/>
        </w:rPr>
      </w:pPr>
    </w:p>
    <w:p w14:paraId="28C70A2E" w14:textId="744356D8" w:rsidR="0024336E" w:rsidRPr="00070B87" w:rsidRDefault="00EF4012" w:rsidP="008B5A25">
      <w:pPr>
        <w:pStyle w:val="Normlndobloku"/>
        <w:rPr>
          <w:sz w:val="22"/>
          <w:szCs w:val="22"/>
        </w:rPr>
      </w:pPr>
      <w:r w:rsidRPr="00070B87">
        <w:rPr>
          <w:sz w:val="22"/>
          <w:szCs w:val="22"/>
        </w:rPr>
        <w:t>Plazmatický klírens terbinafínu môžu urýchliť lie</w:t>
      </w:r>
      <w:r w:rsidR="002F7FC0" w:rsidRPr="00070B87">
        <w:rPr>
          <w:sz w:val="22"/>
          <w:szCs w:val="22"/>
        </w:rPr>
        <w:t>čivá</w:t>
      </w:r>
      <w:r w:rsidRPr="00070B87">
        <w:rPr>
          <w:sz w:val="22"/>
          <w:szCs w:val="22"/>
        </w:rPr>
        <w:t>, ktoré indukujú metabolizmus a spomaliť</w:t>
      </w:r>
      <w:r w:rsidR="00175CD1" w:rsidRPr="00070B87">
        <w:rPr>
          <w:sz w:val="22"/>
          <w:szCs w:val="22"/>
        </w:rPr>
        <w:t xml:space="preserve"> ho môžu</w:t>
      </w:r>
      <w:r w:rsidRPr="00070B87">
        <w:rPr>
          <w:sz w:val="22"/>
          <w:szCs w:val="22"/>
        </w:rPr>
        <w:t xml:space="preserve"> lie</w:t>
      </w:r>
      <w:r w:rsidR="00175CD1" w:rsidRPr="00070B87">
        <w:rPr>
          <w:sz w:val="22"/>
          <w:szCs w:val="22"/>
        </w:rPr>
        <w:t>čivá</w:t>
      </w:r>
      <w:r w:rsidRPr="00070B87">
        <w:rPr>
          <w:sz w:val="22"/>
          <w:szCs w:val="22"/>
        </w:rPr>
        <w:t>, ktoré inhibujú cytochróm P450. V prípade sú</w:t>
      </w:r>
      <w:r w:rsidR="00175CD1" w:rsidRPr="00070B87">
        <w:rPr>
          <w:sz w:val="22"/>
          <w:szCs w:val="22"/>
        </w:rPr>
        <w:t>bežného</w:t>
      </w:r>
      <w:r w:rsidRPr="00070B87">
        <w:rPr>
          <w:sz w:val="22"/>
          <w:szCs w:val="22"/>
        </w:rPr>
        <w:t xml:space="preserve"> užívania takýchto lie</w:t>
      </w:r>
      <w:r w:rsidR="00175CD1" w:rsidRPr="00070B87">
        <w:rPr>
          <w:sz w:val="22"/>
          <w:szCs w:val="22"/>
        </w:rPr>
        <w:t>čiv</w:t>
      </w:r>
      <w:r w:rsidRPr="00070B87">
        <w:rPr>
          <w:sz w:val="22"/>
          <w:szCs w:val="22"/>
        </w:rPr>
        <w:t xml:space="preserve"> je potrebné upraviť dávkovanie ONYCHOMEDU.</w:t>
      </w:r>
    </w:p>
    <w:p w14:paraId="76DE56F5" w14:textId="77777777" w:rsidR="00367B44" w:rsidRPr="00070B87" w:rsidRDefault="00367B44" w:rsidP="008B5A25">
      <w:pPr>
        <w:pStyle w:val="Normlndobloku"/>
        <w:rPr>
          <w:sz w:val="22"/>
          <w:szCs w:val="22"/>
        </w:rPr>
      </w:pPr>
    </w:p>
    <w:p w14:paraId="4ABAE373" w14:textId="56678451" w:rsidR="0024336E" w:rsidRPr="00070B87" w:rsidRDefault="00EF4012" w:rsidP="008B5A25">
      <w:pPr>
        <w:pStyle w:val="Styl3"/>
        <w:spacing w:after="0"/>
        <w:jc w:val="left"/>
        <w:rPr>
          <w:sz w:val="22"/>
          <w:szCs w:val="22"/>
          <w:lang w:val="sk-SK"/>
        </w:rPr>
      </w:pPr>
      <w:r w:rsidRPr="00070B87">
        <w:rPr>
          <w:sz w:val="22"/>
          <w:szCs w:val="22"/>
          <w:lang w:val="sk-SK"/>
        </w:rPr>
        <w:t>Nasledujúce lie</w:t>
      </w:r>
      <w:r w:rsidR="00075345" w:rsidRPr="00070B87">
        <w:rPr>
          <w:sz w:val="22"/>
          <w:szCs w:val="22"/>
          <w:lang w:val="sk-SK"/>
        </w:rPr>
        <w:t>čivá</w:t>
      </w:r>
      <w:r w:rsidRPr="00070B87">
        <w:rPr>
          <w:sz w:val="22"/>
          <w:szCs w:val="22"/>
          <w:lang w:val="sk-SK"/>
        </w:rPr>
        <w:t xml:space="preserve"> môžu zosilniť účinok terbinafínu alebo zvýšiť jeho plazmatickú koncentráciu</w:t>
      </w:r>
      <w:r w:rsidR="0024336E" w:rsidRPr="00070B87">
        <w:rPr>
          <w:sz w:val="22"/>
          <w:szCs w:val="22"/>
          <w:lang w:val="sk-SK"/>
        </w:rPr>
        <w:t>:</w:t>
      </w:r>
    </w:p>
    <w:p w14:paraId="7EB482B9" w14:textId="6CCEDD32" w:rsidR="0024336E" w:rsidRPr="00070B87" w:rsidRDefault="0024336E" w:rsidP="008B5A25">
      <w:pPr>
        <w:pStyle w:val="Normlndobloku"/>
        <w:rPr>
          <w:sz w:val="22"/>
          <w:szCs w:val="22"/>
        </w:rPr>
      </w:pPr>
      <w:r w:rsidRPr="00070B87">
        <w:rPr>
          <w:sz w:val="22"/>
          <w:szCs w:val="22"/>
        </w:rPr>
        <w:t>Cimetidín zn</w:t>
      </w:r>
      <w:r w:rsidR="00175CD1" w:rsidRPr="00070B87">
        <w:rPr>
          <w:sz w:val="22"/>
          <w:szCs w:val="22"/>
        </w:rPr>
        <w:t>í</w:t>
      </w:r>
      <w:r w:rsidRPr="00070B87">
        <w:rPr>
          <w:sz w:val="22"/>
          <w:szCs w:val="22"/>
        </w:rPr>
        <w:t>ž</w:t>
      </w:r>
      <w:r w:rsidR="00175CD1" w:rsidRPr="00070B87">
        <w:rPr>
          <w:sz w:val="22"/>
          <w:szCs w:val="22"/>
        </w:rPr>
        <w:t>il</w:t>
      </w:r>
      <w:r w:rsidRPr="00070B87">
        <w:rPr>
          <w:sz w:val="22"/>
          <w:szCs w:val="22"/>
        </w:rPr>
        <w:t xml:space="preserve"> klírens terbinafínu o 33 %.</w:t>
      </w:r>
    </w:p>
    <w:p w14:paraId="6E07EC24" w14:textId="5708ACD7" w:rsidR="0024336E" w:rsidRPr="00070B87" w:rsidRDefault="0024336E" w:rsidP="008B5A25">
      <w:pPr>
        <w:pStyle w:val="Normlndobloku"/>
        <w:rPr>
          <w:sz w:val="22"/>
          <w:szCs w:val="22"/>
        </w:rPr>
      </w:pPr>
      <w:r w:rsidRPr="00070B87">
        <w:rPr>
          <w:sz w:val="22"/>
          <w:szCs w:val="22"/>
        </w:rPr>
        <w:t>Flukonazol zvýšil C</w:t>
      </w:r>
      <w:r w:rsidRPr="00070B87">
        <w:rPr>
          <w:sz w:val="22"/>
          <w:szCs w:val="22"/>
          <w:vertAlign w:val="subscript"/>
        </w:rPr>
        <w:t>max</w:t>
      </w:r>
      <w:r w:rsidRPr="00070B87">
        <w:rPr>
          <w:sz w:val="22"/>
          <w:szCs w:val="22"/>
        </w:rPr>
        <w:t xml:space="preserve"> a AUC terbinafínu o 52 % resp. 69 % vďaka inhibícii enzýmov CYP2C9 a CYP3A4. Podobné zvýšenie expozície sa môže vyskytnúť</w:t>
      </w:r>
      <w:r w:rsidR="00175CD1" w:rsidRPr="00070B87">
        <w:rPr>
          <w:sz w:val="22"/>
          <w:szCs w:val="22"/>
        </w:rPr>
        <w:t>,</w:t>
      </w:r>
      <w:r w:rsidRPr="00070B87">
        <w:rPr>
          <w:sz w:val="22"/>
          <w:szCs w:val="22"/>
        </w:rPr>
        <w:t xml:space="preserve"> ak sa spolu s terbinafínom podajú iné lie</w:t>
      </w:r>
      <w:r w:rsidR="00175CD1" w:rsidRPr="00070B87">
        <w:rPr>
          <w:sz w:val="22"/>
          <w:szCs w:val="22"/>
        </w:rPr>
        <w:t>čivá</w:t>
      </w:r>
      <w:r w:rsidRPr="00070B87">
        <w:rPr>
          <w:sz w:val="22"/>
          <w:szCs w:val="22"/>
        </w:rPr>
        <w:t xml:space="preserve"> inhibujúce CYP2C9 a CYP3A4, ako sú ketokonazol a amiodaron.</w:t>
      </w:r>
    </w:p>
    <w:p w14:paraId="40FB0183" w14:textId="77777777" w:rsidR="00367B44" w:rsidRPr="00070B87" w:rsidRDefault="00367B44" w:rsidP="008B5A25">
      <w:pPr>
        <w:pStyle w:val="Normlndobloku"/>
        <w:rPr>
          <w:sz w:val="22"/>
          <w:szCs w:val="22"/>
        </w:rPr>
      </w:pPr>
    </w:p>
    <w:p w14:paraId="7875CFBC" w14:textId="02DBA0AE" w:rsidR="0024336E" w:rsidRPr="00070B87" w:rsidRDefault="0024336E" w:rsidP="008B5A25">
      <w:pPr>
        <w:pStyle w:val="Styl3"/>
        <w:spacing w:after="0"/>
        <w:jc w:val="left"/>
        <w:rPr>
          <w:sz w:val="22"/>
          <w:szCs w:val="22"/>
        </w:rPr>
      </w:pPr>
      <w:r w:rsidRPr="00070B87">
        <w:rPr>
          <w:sz w:val="22"/>
          <w:szCs w:val="22"/>
          <w:lang w:val="sk-SK"/>
        </w:rPr>
        <w:t>Nasledujúce lie</w:t>
      </w:r>
      <w:r w:rsidR="009441B2" w:rsidRPr="00070B87">
        <w:rPr>
          <w:sz w:val="22"/>
          <w:szCs w:val="22"/>
          <w:lang w:val="sk-SK"/>
        </w:rPr>
        <w:t>čivá</w:t>
      </w:r>
      <w:r w:rsidRPr="00070B87">
        <w:rPr>
          <w:sz w:val="22"/>
          <w:szCs w:val="22"/>
          <w:lang w:val="sk-SK"/>
        </w:rPr>
        <w:t xml:space="preserve"> môžu zoslabiť účinok terbinafínu alebo znížiť jeho plazmatickú koncentráciu</w:t>
      </w:r>
      <w:r w:rsidR="00175CD1" w:rsidRPr="00070B87">
        <w:rPr>
          <w:sz w:val="22"/>
          <w:szCs w:val="22"/>
          <w:lang w:val="sk-SK"/>
        </w:rPr>
        <w:t>:</w:t>
      </w:r>
    </w:p>
    <w:p w14:paraId="5AAF54A2" w14:textId="3EAFEE41" w:rsidR="0024336E" w:rsidRPr="00070B87" w:rsidRDefault="00EF4012" w:rsidP="008B5A25">
      <w:pPr>
        <w:pStyle w:val="Normlndobloku"/>
        <w:rPr>
          <w:sz w:val="22"/>
          <w:szCs w:val="22"/>
        </w:rPr>
      </w:pPr>
      <w:r w:rsidRPr="00070B87">
        <w:rPr>
          <w:sz w:val="22"/>
          <w:szCs w:val="22"/>
        </w:rPr>
        <w:t>Rifampicín zv</w:t>
      </w:r>
      <w:r w:rsidR="00175CD1" w:rsidRPr="00070B87">
        <w:rPr>
          <w:sz w:val="22"/>
          <w:szCs w:val="22"/>
        </w:rPr>
        <w:t>ýšil</w:t>
      </w:r>
      <w:r w:rsidRPr="00070B87">
        <w:rPr>
          <w:sz w:val="22"/>
          <w:szCs w:val="22"/>
        </w:rPr>
        <w:t xml:space="preserve"> klírens terbinafínu o 100</w:t>
      </w:r>
      <w:r w:rsidRPr="00070B87">
        <w:rPr>
          <w:rFonts w:ascii="Calibri" w:hAnsi="Calibri"/>
          <w:sz w:val="22"/>
          <w:szCs w:val="22"/>
        </w:rPr>
        <w:t> </w:t>
      </w:r>
      <w:r w:rsidRPr="00070B87">
        <w:rPr>
          <w:sz w:val="22"/>
          <w:szCs w:val="22"/>
        </w:rPr>
        <w:t>%.</w:t>
      </w:r>
    </w:p>
    <w:p w14:paraId="134EB614" w14:textId="77777777" w:rsidR="007837C0" w:rsidRPr="00070B87" w:rsidRDefault="007837C0" w:rsidP="008B5A25">
      <w:pPr>
        <w:pStyle w:val="Styl3"/>
        <w:spacing w:after="0"/>
        <w:jc w:val="left"/>
        <w:rPr>
          <w:sz w:val="22"/>
          <w:szCs w:val="22"/>
          <w:lang w:val="sk-SK"/>
        </w:rPr>
      </w:pPr>
    </w:p>
    <w:p w14:paraId="4DABCDF8" w14:textId="77777777" w:rsidR="0024336E" w:rsidRPr="00070B87" w:rsidRDefault="0024336E">
      <w:pPr>
        <w:pStyle w:val="Styl2-2"/>
      </w:pPr>
      <w:r w:rsidRPr="00070B87">
        <w:t>Účinok terbinafínu na iné lieky</w:t>
      </w:r>
    </w:p>
    <w:p w14:paraId="102F27D0" w14:textId="484D06EE" w:rsidR="0024336E" w:rsidRPr="00070B87" w:rsidRDefault="0024336E" w:rsidP="008B5A25">
      <w:pPr>
        <w:pStyle w:val="Styl3"/>
        <w:spacing w:after="0"/>
        <w:jc w:val="left"/>
        <w:rPr>
          <w:sz w:val="22"/>
          <w:szCs w:val="22"/>
        </w:rPr>
      </w:pPr>
    </w:p>
    <w:p w14:paraId="1B14115E" w14:textId="20EC86C1" w:rsidR="007837C0" w:rsidRPr="00070B87" w:rsidRDefault="00EF4012" w:rsidP="008B5A25">
      <w:pPr>
        <w:pStyle w:val="Styl3"/>
        <w:spacing w:after="0"/>
        <w:jc w:val="left"/>
        <w:rPr>
          <w:sz w:val="22"/>
          <w:szCs w:val="22"/>
          <w:lang w:val="sk-SK"/>
        </w:rPr>
      </w:pPr>
      <w:r w:rsidRPr="00070B87">
        <w:rPr>
          <w:sz w:val="22"/>
          <w:szCs w:val="22"/>
          <w:lang w:val="sk-SK"/>
        </w:rPr>
        <w:t>Terbinafín môže zosilniť účinok nasledujúcich lie</w:t>
      </w:r>
      <w:r w:rsidR="006473D5" w:rsidRPr="00070B87">
        <w:rPr>
          <w:sz w:val="22"/>
          <w:szCs w:val="22"/>
          <w:lang w:val="sk-SK"/>
        </w:rPr>
        <w:t>čiv</w:t>
      </w:r>
      <w:r w:rsidRPr="00070B87">
        <w:rPr>
          <w:sz w:val="22"/>
          <w:szCs w:val="22"/>
          <w:lang w:val="sk-SK"/>
        </w:rPr>
        <w:t xml:space="preserve"> alebo zvýšiť ich plazmatickú koncentráciu:</w:t>
      </w:r>
    </w:p>
    <w:p w14:paraId="6BEB0528" w14:textId="1EAC8FE9" w:rsidR="0024336E" w:rsidRPr="00070B87" w:rsidRDefault="00EF4012" w:rsidP="008B5A25">
      <w:pPr>
        <w:pStyle w:val="Normlndobloku"/>
        <w:rPr>
          <w:sz w:val="22"/>
          <w:szCs w:val="22"/>
        </w:rPr>
      </w:pPr>
      <w:r w:rsidRPr="00070B87">
        <w:rPr>
          <w:sz w:val="22"/>
          <w:szCs w:val="22"/>
        </w:rPr>
        <w:t>Kofeín - terbinafín zn</w:t>
      </w:r>
      <w:r w:rsidR="00175CD1" w:rsidRPr="00070B87">
        <w:rPr>
          <w:sz w:val="22"/>
          <w:szCs w:val="22"/>
        </w:rPr>
        <w:t>ížil</w:t>
      </w:r>
      <w:r w:rsidRPr="00070B87">
        <w:rPr>
          <w:sz w:val="22"/>
          <w:szCs w:val="22"/>
        </w:rPr>
        <w:t xml:space="preserve"> klírens intravenózne podávaného kofeínu o </w:t>
      </w:r>
      <w:r w:rsidR="00175CD1" w:rsidRPr="00070B87">
        <w:rPr>
          <w:sz w:val="22"/>
          <w:szCs w:val="22"/>
        </w:rPr>
        <w:t>2</w:t>
      </w:r>
      <w:r w:rsidR="00B50F7B" w:rsidRPr="00070B87">
        <w:rPr>
          <w:sz w:val="22"/>
          <w:szCs w:val="22"/>
        </w:rPr>
        <w:t>1</w:t>
      </w:r>
      <w:r w:rsidRPr="00070B87">
        <w:rPr>
          <w:rFonts w:ascii="Calibri" w:hAnsi="Calibri"/>
          <w:sz w:val="22"/>
          <w:szCs w:val="22"/>
        </w:rPr>
        <w:t> </w:t>
      </w:r>
      <w:r w:rsidRPr="00070B87">
        <w:rPr>
          <w:sz w:val="22"/>
          <w:szCs w:val="22"/>
        </w:rPr>
        <w:t>%.</w:t>
      </w:r>
    </w:p>
    <w:p w14:paraId="3231D0B5" w14:textId="77777777" w:rsidR="00E41F4C" w:rsidRPr="00070B87" w:rsidRDefault="00E41F4C" w:rsidP="008B5A25">
      <w:pPr>
        <w:pStyle w:val="Normlndobloku"/>
        <w:rPr>
          <w:sz w:val="22"/>
          <w:szCs w:val="22"/>
        </w:rPr>
      </w:pPr>
    </w:p>
    <w:p w14:paraId="3C208F4A" w14:textId="45D929AB" w:rsidR="0024336E" w:rsidRPr="00070B87" w:rsidRDefault="00EF4012" w:rsidP="008B5A25">
      <w:pPr>
        <w:pStyle w:val="Normlndobloku"/>
        <w:rPr>
          <w:sz w:val="22"/>
          <w:szCs w:val="22"/>
        </w:rPr>
      </w:pPr>
      <w:r w:rsidRPr="00070B87">
        <w:rPr>
          <w:sz w:val="22"/>
          <w:szCs w:val="22"/>
        </w:rPr>
        <w:t xml:space="preserve">Látky metabolizované prevažne prostredníctvom CYP2D6 – štúdie </w:t>
      </w:r>
      <w:r w:rsidR="0024336E" w:rsidRPr="00070B87">
        <w:rPr>
          <w:rStyle w:val="Bacil"/>
          <w:sz w:val="22"/>
          <w:szCs w:val="22"/>
        </w:rPr>
        <w:t>in vitro</w:t>
      </w:r>
      <w:r w:rsidRPr="00070B87">
        <w:rPr>
          <w:sz w:val="22"/>
          <w:szCs w:val="22"/>
        </w:rPr>
        <w:t xml:space="preserve"> a </w:t>
      </w:r>
      <w:r w:rsidR="0024336E" w:rsidRPr="00070B87">
        <w:rPr>
          <w:rStyle w:val="Bacil"/>
          <w:sz w:val="22"/>
          <w:szCs w:val="22"/>
        </w:rPr>
        <w:t>in vivo</w:t>
      </w:r>
      <w:r w:rsidRPr="00070B87">
        <w:rPr>
          <w:sz w:val="22"/>
          <w:szCs w:val="22"/>
        </w:rPr>
        <w:t xml:space="preserve"> ukázali, že terbinafín inhibuje metabolizmus sprostredkovaný CYP2D6. Toto zistenie môže mať klinický význam pre pacientov prijímajúcich látky, ktoré sú metabolizované prevažne prostredníctvom CYP2D6, napr.</w:t>
      </w:r>
      <w:r w:rsidR="00717302" w:rsidRPr="00070B87">
        <w:rPr>
          <w:sz w:val="22"/>
          <w:szCs w:val="22"/>
        </w:rPr>
        <w:t> </w:t>
      </w:r>
      <w:r w:rsidRPr="00070B87">
        <w:rPr>
          <w:sz w:val="22"/>
          <w:szCs w:val="22"/>
        </w:rPr>
        <w:t xml:space="preserve"> určité lieky z nasledujúcich skupín: tricyklické antidepresíva (TCA), betablokátory, selektívne inhibítory spätného vychytávania s</w:t>
      </w:r>
      <w:r w:rsidR="00B464A2" w:rsidRPr="00070B87">
        <w:rPr>
          <w:sz w:val="22"/>
          <w:szCs w:val="22"/>
        </w:rPr>
        <w:t>é</w:t>
      </w:r>
      <w:r w:rsidRPr="00070B87">
        <w:rPr>
          <w:sz w:val="22"/>
          <w:szCs w:val="22"/>
        </w:rPr>
        <w:t>rotonínu (SSRI), antiarytmiká (vrátane triedy 1A, 1B a 1C) a inhibítory monoaminooxidázy (MAOI) typu B</w:t>
      </w:r>
      <w:r w:rsidR="0024336E" w:rsidRPr="00070B87">
        <w:rPr>
          <w:sz w:val="22"/>
          <w:szCs w:val="22"/>
        </w:rPr>
        <w:t xml:space="preserve">, najmä ak majú úzke terapeutické </w:t>
      </w:r>
      <w:r w:rsidR="00B464A2" w:rsidRPr="00070B87">
        <w:rPr>
          <w:sz w:val="22"/>
          <w:szCs w:val="22"/>
        </w:rPr>
        <w:t>rozmedzie</w:t>
      </w:r>
      <w:r w:rsidR="0024336E" w:rsidRPr="00070B87">
        <w:rPr>
          <w:sz w:val="22"/>
          <w:szCs w:val="22"/>
        </w:rPr>
        <w:t xml:space="preserve"> (pozri časť 4.4).</w:t>
      </w:r>
    </w:p>
    <w:p w14:paraId="4825D410" w14:textId="37205332" w:rsidR="0024336E" w:rsidRPr="00070B87" w:rsidRDefault="00EF4012" w:rsidP="008B5A25">
      <w:pPr>
        <w:pStyle w:val="Normlndobloku"/>
        <w:rPr>
          <w:sz w:val="22"/>
          <w:szCs w:val="22"/>
        </w:rPr>
      </w:pPr>
      <w:r w:rsidRPr="00070B87">
        <w:rPr>
          <w:sz w:val="22"/>
          <w:szCs w:val="22"/>
        </w:rPr>
        <w:t>Terbinafín zn</w:t>
      </w:r>
      <w:r w:rsidR="00175CD1" w:rsidRPr="00070B87">
        <w:rPr>
          <w:sz w:val="22"/>
          <w:szCs w:val="22"/>
        </w:rPr>
        <w:t>ížil</w:t>
      </w:r>
      <w:r w:rsidRPr="00070B87">
        <w:rPr>
          <w:sz w:val="22"/>
          <w:szCs w:val="22"/>
        </w:rPr>
        <w:t xml:space="preserve"> klírens dezipramínu o 82</w:t>
      </w:r>
      <w:r w:rsidRPr="00070B87">
        <w:rPr>
          <w:rFonts w:ascii="Calibri" w:hAnsi="Calibri"/>
          <w:sz w:val="22"/>
          <w:szCs w:val="22"/>
        </w:rPr>
        <w:t> </w:t>
      </w:r>
      <w:r w:rsidRPr="00070B87">
        <w:rPr>
          <w:sz w:val="22"/>
          <w:szCs w:val="22"/>
        </w:rPr>
        <w:t>%.</w:t>
      </w:r>
    </w:p>
    <w:p w14:paraId="6E453CE8" w14:textId="77777777" w:rsidR="00526B60" w:rsidRPr="00070B87" w:rsidRDefault="00526B60" w:rsidP="008B5A25">
      <w:pPr>
        <w:pStyle w:val="Normlndobloku"/>
        <w:rPr>
          <w:sz w:val="22"/>
          <w:szCs w:val="22"/>
        </w:rPr>
      </w:pPr>
    </w:p>
    <w:p w14:paraId="713E7AFA" w14:textId="54852874" w:rsidR="0024336E" w:rsidRPr="00070B87" w:rsidRDefault="00EF4012" w:rsidP="008B5A25">
      <w:pPr>
        <w:pStyle w:val="Normlndobloku"/>
        <w:rPr>
          <w:sz w:val="22"/>
          <w:szCs w:val="22"/>
        </w:rPr>
      </w:pPr>
      <w:r w:rsidRPr="00070B87">
        <w:rPr>
          <w:sz w:val="22"/>
          <w:szCs w:val="22"/>
        </w:rPr>
        <w:t>V štúdiách na zdravých dobrovoľníkoch charakterizovaných ako rýchli metabolizér</w:t>
      </w:r>
      <w:r w:rsidR="0055439A" w:rsidRPr="00070B87">
        <w:rPr>
          <w:sz w:val="22"/>
          <w:szCs w:val="22"/>
        </w:rPr>
        <w:t>y</w:t>
      </w:r>
      <w:r w:rsidRPr="00070B87">
        <w:rPr>
          <w:sz w:val="22"/>
          <w:szCs w:val="22"/>
        </w:rPr>
        <w:t xml:space="preserve"> dextrometorfánu (antitusická látka a CYP2D6 skúšobný substrát), terbinafín zvýšil </w:t>
      </w:r>
      <w:r w:rsidR="0055439A" w:rsidRPr="00070B87">
        <w:rPr>
          <w:sz w:val="22"/>
          <w:szCs w:val="22"/>
        </w:rPr>
        <w:t xml:space="preserve">metabolický pomer </w:t>
      </w:r>
      <w:r w:rsidRPr="00070B87">
        <w:rPr>
          <w:sz w:val="22"/>
          <w:szCs w:val="22"/>
        </w:rPr>
        <w:t>dextrometorfán</w:t>
      </w:r>
      <w:r w:rsidR="0024336E" w:rsidRPr="00070B87">
        <w:rPr>
          <w:sz w:val="22"/>
          <w:szCs w:val="22"/>
        </w:rPr>
        <w:t>/</w:t>
      </w:r>
      <w:r w:rsidRPr="00070B87">
        <w:rPr>
          <w:sz w:val="22"/>
          <w:szCs w:val="22"/>
        </w:rPr>
        <w:t>dextrof</w:t>
      </w:r>
      <w:r w:rsidR="0055439A" w:rsidRPr="00070B87">
        <w:rPr>
          <w:sz w:val="22"/>
          <w:szCs w:val="22"/>
        </w:rPr>
        <w:t>á</w:t>
      </w:r>
      <w:r w:rsidRPr="00070B87">
        <w:rPr>
          <w:sz w:val="22"/>
          <w:szCs w:val="22"/>
        </w:rPr>
        <w:t xml:space="preserve">n v moči 16 až 97-krát v priemere. </w:t>
      </w:r>
      <w:r w:rsidR="0024336E" w:rsidRPr="00070B87">
        <w:rPr>
          <w:sz w:val="22"/>
          <w:szCs w:val="22"/>
        </w:rPr>
        <w:t>Terbinafín tak</w:t>
      </w:r>
      <w:r w:rsidRPr="00070B87">
        <w:rPr>
          <w:sz w:val="22"/>
          <w:szCs w:val="22"/>
        </w:rPr>
        <w:t xml:space="preserve"> môže pre</w:t>
      </w:r>
      <w:r w:rsidR="0055439A" w:rsidRPr="00070B87">
        <w:rPr>
          <w:sz w:val="22"/>
          <w:szCs w:val="22"/>
        </w:rPr>
        <w:t>meniť</w:t>
      </w:r>
      <w:r w:rsidRPr="00070B87">
        <w:rPr>
          <w:sz w:val="22"/>
          <w:szCs w:val="22"/>
        </w:rPr>
        <w:t xml:space="preserve"> </w:t>
      </w:r>
      <w:r w:rsidR="0055439A" w:rsidRPr="00070B87">
        <w:rPr>
          <w:sz w:val="22"/>
          <w:szCs w:val="22"/>
        </w:rPr>
        <w:t>silných</w:t>
      </w:r>
      <w:r w:rsidRPr="00070B87">
        <w:rPr>
          <w:sz w:val="22"/>
          <w:szCs w:val="22"/>
        </w:rPr>
        <w:t xml:space="preserve"> CYP2D6 metabolizérov </w:t>
      </w:r>
      <w:r w:rsidR="0024336E" w:rsidRPr="00070B87">
        <w:rPr>
          <w:sz w:val="22"/>
          <w:szCs w:val="22"/>
        </w:rPr>
        <w:t>(genotyp) na slabý</w:t>
      </w:r>
      <w:r w:rsidR="004A68F6" w:rsidRPr="00070B87">
        <w:rPr>
          <w:sz w:val="22"/>
          <w:szCs w:val="22"/>
        </w:rPr>
        <w:t>ch</w:t>
      </w:r>
      <w:r w:rsidR="0024336E" w:rsidRPr="00070B87">
        <w:rPr>
          <w:sz w:val="22"/>
          <w:szCs w:val="22"/>
        </w:rPr>
        <w:t xml:space="preserve"> metabolizér</w:t>
      </w:r>
      <w:r w:rsidR="004A68F6" w:rsidRPr="00070B87">
        <w:rPr>
          <w:sz w:val="22"/>
          <w:szCs w:val="22"/>
        </w:rPr>
        <w:t>ov</w:t>
      </w:r>
      <w:r w:rsidR="0024336E" w:rsidRPr="00070B87">
        <w:rPr>
          <w:sz w:val="22"/>
          <w:szCs w:val="22"/>
        </w:rPr>
        <w:t xml:space="preserve"> (fenotyp).</w:t>
      </w:r>
    </w:p>
    <w:p w14:paraId="0500BBD7" w14:textId="77777777" w:rsidR="00367B44" w:rsidRPr="00070B87" w:rsidRDefault="00367B44" w:rsidP="008B5A25">
      <w:pPr>
        <w:pStyle w:val="Normlndobloku"/>
        <w:rPr>
          <w:sz w:val="22"/>
          <w:szCs w:val="22"/>
        </w:rPr>
      </w:pPr>
    </w:p>
    <w:p w14:paraId="2E7BB18E" w14:textId="57E536CC" w:rsidR="007837C0" w:rsidRPr="00070B87" w:rsidRDefault="00EF4012" w:rsidP="008B5A25">
      <w:pPr>
        <w:pStyle w:val="Styl3"/>
        <w:spacing w:after="0"/>
        <w:jc w:val="left"/>
        <w:rPr>
          <w:sz w:val="22"/>
          <w:szCs w:val="22"/>
          <w:lang w:val="sk-SK"/>
        </w:rPr>
      </w:pPr>
      <w:r w:rsidRPr="00070B87">
        <w:rPr>
          <w:sz w:val="22"/>
          <w:szCs w:val="22"/>
          <w:lang w:val="sk-SK"/>
        </w:rPr>
        <w:t>Terbinafín môže zoslabiť účinok nasledujúcich lie</w:t>
      </w:r>
      <w:r w:rsidR="006473D5" w:rsidRPr="00070B87">
        <w:rPr>
          <w:sz w:val="22"/>
          <w:szCs w:val="22"/>
          <w:lang w:val="sk-SK"/>
        </w:rPr>
        <w:t>čiv</w:t>
      </w:r>
      <w:r w:rsidRPr="00070B87">
        <w:rPr>
          <w:sz w:val="22"/>
          <w:szCs w:val="22"/>
          <w:lang w:val="sk-SK"/>
        </w:rPr>
        <w:t xml:space="preserve"> alebo znížiť ich plazmatickú koncentráciu:</w:t>
      </w:r>
    </w:p>
    <w:p w14:paraId="5A5762BC" w14:textId="0F740874" w:rsidR="0024336E" w:rsidRPr="00070B87" w:rsidRDefault="00EF4012" w:rsidP="008B5A25">
      <w:pPr>
        <w:pStyle w:val="Normlndobloku"/>
        <w:rPr>
          <w:sz w:val="22"/>
          <w:szCs w:val="22"/>
        </w:rPr>
      </w:pPr>
      <w:r w:rsidRPr="00070B87">
        <w:rPr>
          <w:sz w:val="22"/>
          <w:szCs w:val="22"/>
        </w:rPr>
        <w:t>Terbinafín zv</w:t>
      </w:r>
      <w:r w:rsidR="004A68F6" w:rsidRPr="00070B87">
        <w:rPr>
          <w:sz w:val="22"/>
          <w:szCs w:val="22"/>
        </w:rPr>
        <w:t>ýšil</w:t>
      </w:r>
      <w:r w:rsidRPr="00070B87">
        <w:rPr>
          <w:sz w:val="22"/>
          <w:szCs w:val="22"/>
        </w:rPr>
        <w:t xml:space="preserve"> klírens cyklosporínu o 15</w:t>
      </w:r>
      <w:r w:rsidRPr="00070B87">
        <w:rPr>
          <w:rFonts w:ascii="Calibri" w:hAnsi="Calibri"/>
          <w:sz w:val="22"/>
          <w:szCs w:val="22"/>
        </w:rPr>
        <w:t> </w:t>
      </w:r>
      <w:r w:rsidRPr="00070B87">
        <w:rPr>
          <w:sz w:val="22"/>
          <w:szCs w:val="22"/>
        </w:rPr>
        <w:t>%.</w:t>
      </w:r>
    </w:p>
    <w:p w14:paraId="6573B171" w14:textId="77777777" w:rsidR="00367B44" w:rsidRPr="00070B87" w:rsidRDefault="00367B44" w:rsidP="008B5A25">
      <w:pPr>
        <w:pStyle w:val="Normlndobloku"/>
        <w:rPr>
          <w:sz w:val="22"/>
          <w:szCs w:val="22"/>
        </w:rPr>
      </w:pPr>
    </w:p>
    <w:p w14:paraId="226B3284" w14:textId="31157DDB" w:rsidR="006473D5" w:rsidRPr="00070B87" w:rsidRDefault="006473D5" w:rsidP="008B5A25">
      <w:pPr>
        <w:pStyle w:val="Styl3"/>
        <w:spacing w:after="0"/>
        <w:jc w:val="left"/>
        <w:rPr>
          <w:sz w:val="22"/>
          <w:szCs w:val="22"/>
          <w:lang w:val="sk-SK"/>
        </w:rPr>
      </w:pPr>
      <w:r w:rsidRPr="00070B87">
        <w:rPr>
          <w:sz w:val="22"/>
          <w:szCs w:val="22"/>
          <w:lang w:val="sk-SK"/>
        </w:rPr>
        <w:t>Informácie o iných lie</w:t>
      </w:r>
      <w:r w:rsidR="004A68F6" w:rsidRPr="00070B87">
        <w:rPr>
          <w:sz w:val="22"/>
          <w:szCs w:val="22"/>
          <w:lang w:val="sk-SK"/>
        </w:rPr>
        <w:t>čivách</w:t>
      </w:r>
      <w:r w:rsidRPr="00070B87">
        <w:rPr>
          <w:sz w:val="22"/>
          <w:szCs w:val="22"/>
          <w:lang w:val="sk-SK"/>
        </w:rPr>
        <w:t xml:space="preserve"> súčasne používaných s ONYCHOMEDOM s</w:t>
      </w:r>
      <w:r w:rsidR="004A68F6" w:rsidRPr="00070B87">
        <w:rPr>
          <w:sz w:val="22"/>
          <w:szCs w:val="22"/>
          <w:lang w:val="sk-SK"/>
        </w:rPr>
        <w:t>o</w:t>
      </w:r>
      <w:r w:rsidRPr="00070B87">
        <w:rPr>
          <w:sz w:val="22"/>
          <w:szCs w:val="22"/>
          <w:lang w:val="sk-SK"/>
        </w:rPr>
        <w:t> žiadnou alebo len zanedbateľnou interakciou</w:t>
      </w:r>
    </w:p>
    <w:p w14:paraId="057DAC1A" w14:textId="50295F20" w:rsidR="006473D5" w:rsidRPr="00070B87" w:rsidRDefault="006473D5" w:rsidP="008B5A25">
      <w:pPr>
        <w:pStyle w:val="Styl3"/>
        <w:spacing w:after="0"/>
        <w:jc w:val="left"/>
        <w:rPr>
          <w:sz w:val="22"/>
          <w:szCs w:val="22"/>
          <w:lang w:val="sk-SK"/>
        </w:rPr>
      </w:pPr>
      <w:r w:rsidRPr="00070B87">
        <w:rPr>
          <w:sz w:val="22"/>
          <w:szCs w:val="22"/>
          <w:u w:val="none"/>
          <w:lang w:val="sk-SK"/>
        </w:rPr>
        <w:t xml:space="preserve">Štúdie </w:t>
      </w:r>
      <w:r w:rsidRPr="00070B87">
        <w:rPr>
          <w:rStyle w:val="Bacil"/>
          <w:sz w:val="22"/>
          <w:szCs w:val="22"/>
          <w:u w:val="none"/>
          <w:lang w:val="sk-SK"/>
        </w:rPr>
        <w:t>in vitro</w:t>
      </w:r>
      <w:r w:rsidRPr="00070B87">
        <w:rPr>
          <w:sz w:val="22"/>
          <w:szCs w:val="22"/>
          <w:u w:val="none"/>
          <w:lang w:val="sk-SK"/>
        </w:rPr>
        <w:t xml:space="preserve"> a u zdravých dobrovoľníkov ukázali, že terbinafín má bezvýznamný potenciál inhibovať alebo indukovať klírens väčšiny lie</w:t>
      </w:r>
      <w:r w:rsidR="004A68F6" w:rsidRPr="00070B87">
        <w:rPr>
          <w:sz w:val="22"/>
          <w:szCs w:val="22"/>
          <w:u w:val="none"/>
          <w:lang w:val="sk-SK"/>
        </w:rPr>
        <w:t>čiv</w:t>
      </w:r>
      <w:r w:rsidRPr="00070B87">
        <w:rPr>
          <w:sz w:val="22"/>
          <w:szCs w:val="22"/>
          <w:u w:val="none"/>
          <w:lang w:val="sk-SK"/>
        </w:rPr>
        <w:t xml:space="preserve">, ktoré sú metabolizované prostredníctvom iných </w:t>
      </w:r>
      <w:r w:rsidRPr="00070B87">
        <w:rPr>
          <w:sz w:val="22"/>
          <w:szCs w:val="22"/>
          <w:u w:val="none"/>
          <w:lang w:val="sk-SK"/>
        </w:rPr>
        <w:lastRenderedPageBreak/>
        <w:t>enzýmov cytochrómu P450 (napr</w:t>
      </w:r>
      <w:r w:rsidR="008B5A25" w:rsidRPr="00070B87">
        <w:rPr>
          <w:sz w:val="22"/>
          <w:szCs w:val="22"/>
          <w:u w:val="none"/>
          <w:lang w:val="sk-SK"/>
        </w:rPr>
        <w:t>.</w:t>
      </w:r>
      <w:r w:rsidRPr="00070B87">
        <w:rPr>
          <w:sz w:val="22"/>
          <w:szCs w:val="22"/>
          <w:u w:val="none"/>
          <w:lang w:val="sk-SK"/>
        </w:rPr>
        <w:t>  tolbutamid, terfenadín, triazolam, perorálne kontraceptíva) s výnimkou tých, ktoré sú metabolizované prostredníctvom CYP2D6 (pozri nižšie).</w:t>
      </w:r>
    </w:p>
    <w:p w14:paraId="4140131F" w14:textId="77777777" w:rsidR="00367B44" w:rsidRPr="00070B87" w:rsidRDefault="00367B44" w:rsidP="008B5A25">
      <w:pPr>
        <w:pStyle w:val="Normlndobloku"/>
        <w:rPr>
          <w:sz w:val="22"/>
          <w:szCs w:val="22"/>
        </w:rPr>
      </w:pPr>
    </w:p>
    <w:p w14:paraId="522A7682" w14:textId="77777777" w:rsidR="006473D5" w:rsidRPr="00070B87" w:rsidRDefault="006473D5" w:rsidP="008B5A25">
      <w:pPr>
        <w:pStyle w:val="Normlndobloku"/>
        <w:rPr>
          <w:sz w:val="22"/>
          <w:szCs w:val="22"/>
        </w:rPr>
      </w:pPr>
      <w:r w:rsidRPr="00070B87">
        <w:rPr>
          <w:sz w:val="22"/>
          <w:szCs w:val="22"/>
        </w:rPr>
        <w:t>Terbinafín neovplyvňuje klírens antipyrínu alebo digoxínu.</w:t>
      </w:r>
    </w:p>
    <w:p w14:paraId="421148CC" w14:textId="77777777" w:rsidR="00367B44" w:rsidRPr="00070B87" w:rsidRDefault="00367B44" w:rsidP="008B5A25">
      <w:pPr>
        <w:pStyle w:val="Normlndobloku"/>
        <w:rPr>
          <w:sz w:val="22"/>
          <w:szCs w:val="22"/>
        </w:rPr>
      </w:pPr>
    </w:p>
    <w:p w14:paraId="2C227F58" w14:textId="77777777" w:rsidR="006473D5" w:rsidRPr="00070B87" w:rsidRDefault="006473D5" w:rsidP="008B5A25">
      <w:pPr>
        <w:pStyle w:val="Normlndobloku"/>
        <w:rPr>
          <w:sz w:val="22"/>
          <w:szCs w:val="22"/>
        </w:rPr>
      </w:pPr>
      <w:r w:rsidRPr="00070B87">
        <w:rPr>
          <w:sz w:val="22"/>
          <w:szCs w:val="22"/>
        </w:rPr>
        <w:t>Nebol zaznamenaný žiadny vplyv terbinafínu na farmakokinetiku flukonazolu. Ďalej sa nezaznamenali žiadne klinicky významné interakcie medzi terbinafínom a potenciálne súbežne podávaným kotrimoxazolom (trimetoprim a sulfametoxazol), zidovudínom alebo teofylínom.</w:t>
      </w:r>
    </w:p>
    <w:p w14:paraId="427C2684" w14:textId="77777777" w:rsidR="00367B44" w:rsidRPr="00070B87" w:rsidRDefault="00367B44" w:rsidP="008B5A25">
      <w:pPr>
        <w:pStyle w:val="Normlndobloku"/>
        <w:rPr>
          <w:sz w:val="22"/>
          <w:szCs w:val="22"/>
        </w:rPr>
      </w:pPr>
    </w:p>
    <w:p w14:paraId="2FDE5DBC" w14:textId="1F8ACEBC" w:rsidR="006473D5" w:rsidRPr="00070B87" w:rsidRDefault="006473D5" w:rsidP="008B5A25">
      <w:pPr>
        <w:pStyle w:val="Normlndobloku"/>
        <w:rPr>
          <w:sz w:val="22"/>
          <w:szCs w:val="22"/>
        </w:rPr>
      </w:pPr>
      <w:r w:rsidRPr="00070B87">
        <w:rPr>
          <w:sz w:val="22"/>
          <w:szCs w:val="22"/>
        </w:rPr>
        <w:t>U pacientok, ktoré súčasne s terbinafínom užívali perorálne kontraceptíva, boli hlásené prípady porúch menštruačného cyklu (intermenštruačné krvácanie a nepravidelný cyklus), avšak výskyt týchto porúch zostáva v rozsahu ako u paciento</w:t>
      </w:r>
      <w:r w:rsidR="004A68F6" w:rsidRPr="00070B87">
        <w:rPr>
          <w:sz w:val="22"/>
          <w:szCs w:val="22"/>
        </w:rPr>
        <w:t>k</w:t>
      </w:r>
      <w:r w:rsidRPr="00070B87">
        <w:rPr>
          <w:sz w:val="22"/>
          <w:szCs w:val="22"/>
        </w:rPr>
        <w:t xml:space="preserve"> užívajúcich hormonálnu antikoncepciu samotnú.</w:t>
      </w:r>
    </w:p>
    <w:p w14:paraId="00BECF97" w14:textId="77777777" w:rsidR="006473D5" w:rsidRPr="00070B87" w:rsidRDefault="006473D5" w:rsidP="008B5A25">
      <w:pPr>
        <w:pStyle w:val="Normlndobloku"/>
        <w:rPr>
          <w:sz w:val="22"/>
          <w:szCs w:val="22"/>
        </w:rPr>
      </w:pPr>
    </w:p>
    <w:p w14:paraId="332E829D" w14:textId="2B29BE17" w:rsidR="0024336E" w:rsidRPr="00070B87" w:rsidRDefault="00EF4012" w:rsidP="008B5A25">
      <w:pPr>
        <w:pStyle w:val="Normlndobloku"/>
        <w:rPr>
          <w:sz w:val="22"/>
          <w:szCs w:val="22"/>
        </w:rPr>
      </w:pPr>
      <w:r w:rsidRPr="00070B87">
        <w:rPr>
          <w:sz w:val="22"/>
          <w:szCs w:val="22"/>
        </w:rPr>
        <w:t xml:space="preserve">U pacientov </w:t>
      </w:r>
      <w:r w:rsidR="004A68F6" w:rsidRPr="00070B87">
        <w:rPr>
          <w:sz w:val="22"/>
          <w:szCs w:val="22"/>
        </w:rPr>
        <w:t>užívajúcich</w:t>
      </w:r>
      <w:r w:rsidRPr="00070B87">
        <w:rPr>
          <w:sz w:val="22"/>
          <w:szCs w:val="22"/>
        </w:rPr>
        <w:t xml:space="preserve"> terbinafín súčasne s warfarínom boli hlásené zriedkavé prípady zmien INR a/alebo protrombínového času.</w:t>
      </w:r>
    </w:p>
    <w:p w14:paraId="1A5581B4" w14:textId="77777777" w:rsidR="000D12A1" w:rsidRPr="00070B87" w:rsidRDefault="000D12A1" w:rsidP="008B5A25">
      <w:pPr>
        <w:pStyle w:val="Normlndobloku"/>
        <w:rPr>
          <w:sz w:val="22"/>
          <w:szCs w:val="22"/>
        </w:rPr>
      </w:pPr>
    </w:p>
    <w:p w14:paraId="5D5D8C00" w14:textId="77777777" w:rsidR="0024336E" w:rsidRPr="00070B87" w:rsidRDefault="0024336E" w:rsidP="008B5A25">
      <w:pPr>
        <w:pStyle w:val="Styl2"/>
        <w:numPr>
          <w:ilvl w:val="1"/>
          <w:numId w:val="1"/>
        </w:numPr>
        <w:spacing w:before="0" w:after="0"/>
        <w:ind w:left="680" w:hanging="680"/>
        <w:rPr>
          <w:szCs w:val="22"/>
          <w:lang w:val="sk-SK"/>
        </w:rPr>
      </w:pPr>
      <w:r w:rsidRPr="00070B87">
        <w:rPr>
          <w:szCs w:val="22"/>
          <w:lang w:val="sk-SK"/>
        </w:rPr>
        <w:t>Fertilita, gravidita a laktácia</w:t>
      </w:r>
    </w:p>
    <w:p w14:paraId="68D0C7A2" w14:textId="77777777" w:rsidR="0024336E" w:rsidRPr="00070B87" w:rsidRDefault="0024336E" w:rsidP="00864FB9">
      <w:pPr>
        <w:pStyle w:val="Styl2"/>
        <w:numPr>
          <w:ilvl w:val="0"/>
          <w:numId w:val="0"/>
        </w:numPr>
        <w:spacing w:before="0" w:after="0"/>
        <w:rPr>
          <w:szCs w:val="22"/>
          <w:lang w:val="sk-SK"/>
        </w:rPr>
      </w:pPr>
    </w:p>
    <w:p w14:paraId="2C877C1A" w14:textId="77777777" w:rsidR="0024336E" w:rsidRPr="00070B87" w:rsidRDefault="0024336E" w:rsidP="008B5A25">
      <w:pPr>
        <w:pStyle w:val="Styl3"/>
        <w:spacing w:after="0"/>
        <w:jc w:val="left"/>
        <w:rPr>
          <w:b/>
          <w:sz w:val="22"/>
          <w:szCs w:val="22"/>
          <w:lang w:val="sk-SK"/>
        </w:rPr>
      </w:pPr>
      <w:r w:rsidRPr="00070B87">
        <w:rPr>
          <w:sz w:val="22"/>
          <w:szCs w:val="22"/>
          <w:lang w:val="sk-SK"/>
        </w:rPr>
        <w:t>Gravidita</w:t>
      </w:r>
    </w:p>
    <w:p w14:paraId="64B0BAA6" w14:textId="3101C14E" w:rsidR="0024336E" w:rsidRPr="00070B87" w:rsidRDefault="0024336E" w:rsidP="008B5A25">
      <w:pPr>
        <w:pStyle w:val="Normlndobloku"/>
        <w:rPr>
          <w:sz w:val="22"/>
          <w:szCs w:val="22"/>
        </w:rPr>
      </w:pPr>
      <w:r w:rsidRPr="00070B87">
        <w:rPr>
          <w:sz w:val="22"/>
          <w:szCs w:val="22"/>
        </w:rPr>
        <w:t>Štúdie f</w:t>
      </w:r>
      <w:r w:rsidR="004A68F6" w:rsidRPr="00070B87">
        <w:rPr>
          <w:sz w:val="22"/>
          <w:szCs w:val="22"/>
        </w:rPr>
        <w:t>e</w:t>
      </w:r>
      <w:r w:rsidRPr="00070B87">
        <w:rPr>
          <w:sz w:val="22"/>
          <w:szCs w:val="22"/>
        </w:rPr>
        <w:t>tálnej toxicity u zvierat nenaznačujú žiadne nežiaduce účinky. Pretože klinické skúsenosti s gravidnými ženami užívajúcimi terbinafín sú veľmi obmedzené, terbinafín sa nemá používať v</w:t>
      </w:r>
      <w:r w:rsidR="00F33E5D" w:rsidRPr="00070B87">
        <w:rPr>
          <w:sz w:val="22"/>
          <w:szCs w:val="22"/>
        </w:rPr>
        <w:t> </w:t>
      </w:r>
      <w:r w:rsidR="00EF4012" w:rsidRPr="00070B87">
        <w:rPr>
          <w:sz w:val="22"/>
          <w:szCs w:val="22"/>
        </w:rPr>
        <w:t xml:space="preserve">gravidite, pokiaľ prínos liečby </w:t>
      </w:r>
      <w:r w:rsidRPr="00070B87">
        <w:rPr>
          <w:sz w:val="22"/>
          <w:szCs w:val="22"/>
        </w:rPr>
        <w:t xml:space="preserve">pre matku </w:t>
      </w:r>
      <w:r w:rsidR="00EF4012" w:rsidRPr="00070B87">
        <w:rPr>
          <w:sz w:val="22"/>
          <w:szCs w:val="22"/>
        </w:rPr>
        <w:t>nie je väčší ako možné riziko</w:t>
      </w:r>
      <w:r w:rsidRPr="00070B87">
        <w:rPr>
          <w:sz w:val="22"/>
          <w:szCs w:val="22"/>
        </w:rPr>
        <w:t xml:space="preserve"> pre plod</w:t>
      </w:r>
      <w:r w:rsidR="00EF4012" w:rsidRPr="00070B87">
        <w:rPr>
          <w:sz w:val="22"/>
          <w:szCs w:val="22"/>
        </w:rPr>
        <w:t>.</w:t>
      </w:r>
    </w:p>
    <w:p w14:paraId="6AF55DE6" w14:textId="77777777" w:rsidR="000D12A1" w:rsidRPr="00070B87" w:rsidRDefault="000D12A1" w:rsidP="008B5A25">
      <w:pPr>
        <w:pStyle w:val="Normlndobloku"/>
        <w:rPr>
          <w:sz w:val="22"/>
          <w:szCs w:val="22"/>
        </w:rPr>
      </w:pPr>
    </w:p>
    <w:p w14:paraId="096FAF17" w14:textId="77777777" w:rsidR="0024336E" w:rsidRPr="00070B87" w:rsidRDefault="0024336E" w:rsidP="008B5A25">
      <w:pPr>
        <w:pStyle w:val="Styl3"/>
        <w:spacing w:after="0"/>
        <w:jc w:val="left"/>
        <w:rPr>
          <w:sz w:val="22"/>
          <w:szCs w:val="22"/>
          <w:lang w:val="sk-SK"/>
        </w:rPr>
      </w:pPr>
      <w:r w:rsidRPr="00070B87">
        <w:rPr>
          <w:sz w:val="22"/>
          <w:szCs w:val="22"/>
          <w:lang w:val="sk-SK"/>
        </w:rPr>
        <w:t>Dojčenie</w:t>
      </w:r>
    </w:p>
    <w:p w14:paraId="1C9CC040" w14:textId="4BB94F20" w:rsidR="0024336E" w:rsidRPr="00070B87" w:rsidRDefault="00EF4012" w:rsidP="008B5A25">
      <w:pPr>
        <w:pStyle w:val="Normlndobloku"/>
        <w:rPr>
          <w:sz w:val="22"/>
          <w:szCs w:val="22"/>
        </w:rPr>
      </w:pPr>
      <w:r w:rsidRPr="00070B87">
        <w:rPr>
          <w:sz w:val="22"/>
          <w:szCs w:val="22"/>
        </w:rPr>
        <w:t>Terbinafín prechádza do materského mlieka, preto matky nemajú</w:t>
      </w:r>
      <w:r w:rsidR="00365401" w:rsidRPr="00070B87">
        <w:rPr>
          <w:sz w:val="22"/>
          <w:szCs w:val="22"/>
        </w:rPr>
        <w:t xml:space="preserve"> užívať</w:t>
      </w:r>
      <w:r w:rsidRPr="00070B87">
        <w:rPr>
          <w:sz w:val="22"/>
          <w:szCs w:val="22"/>
        </w:rPr>
        <w:t xml:space="preserve"> terbinafín počas dojčenia.</w:t>
      </w:r>
    </w:p>
    <w:p w14:paraId="4488283F" w14:textId="77777777" w:rsidR="000D12A1" w:rsidRPr="00070B87" w:rsidRDefault="000D12A1" w:rsidP="008B5A25">
      <w:pPr>
        <w:pStyle w:val="Normlndobloku"/>
        <w:rPr>
          <w:sz w:val="22"/>
          <w:szCs w:val="22"/>
        </w:rPr>
      </w:pPr>
    </w:p>
    <w:p w14:paraId="367CE04A" w14:textId="77777777" w:rsidR="007837C0" w:rsidRPr="00070B87" w:rsidRDefault="00EF4012" w:rsidP="008B5A25">
      <w:pPr>
        <w:pStyle w:val="Styl3"/>
        <w:spacing w:after="0"/>
        <w:jc w:val="left"/>
        <w:rPr>
          <w:sz w:val="22"/>
          <w:szCs w:val="22"/>
          <w:lang w:val="sk-SK"/>
        </w:rPr>
      </w:pPr>
      <w:r w:rsidRPr="00070B87">
        <w:rPr>
          <w:sz w:val="22"/>
          <w:szCs w:val="22"/>
          <w:lang w:val="sk-SK"/>
        </w:rPr>
        <w:t>Fertilita</w:t>
      </w:r>
    </w:p>
    <w:p w14:paraId="6FB543D5" w14:textId="77777777" w:rsidR="007837C0" w:rsidRPr="00070B87" w:rsidRDefault="0024336E" w:rsidP="008B5A25">
      <w:pPr>
        <w:pStyle w:val="Normlndobloku"/>
        <w:rPr>
          <w:sz w:val="22"/>
          <w:szCs w:val="22"/>
        </w:rPr>
      </w:pPr>
      <w:r w:rsidRPr="00070B87">
        <w:rPr>
          <w:sz w:val="22"/>
          <w:szCs w:val="22"/>
        </w:rPr>
        <w:t xml:space="preserve">Štúdie fetálnej toxicity a fertility na zvieratách nenaznačujú </w:t>
      </w:r>
      <w:r w:rsidR="00365401" w:rsidRPr="00070B87">
        <w:rPr>
          <w:sz w:val="22"/>
          <w:szCs w:val="22"/>
        </w:rPr>
        <w:t xml:space="preserve">žiadne </w:t>
      </w:r>
      <w:r w:rsidRPr="00070B87">
        <w:rPr>
          <w:sz w:val="22"/>
          <w:szCs w:val="22"/>
        </w:rPr>
        <w:t>nežiaduce účinky.</w:t>
      </w:r>
    </w:p>
    <w:p w14:paraId="17F83120" w14:textId="77777777" w:rsidR="000D12A1" w:rsidRPr="00070B87" w:rsidRDefault="000D12A1" w:rsidP="008B5A25">
      <w:pPr>
        <w:pStyle w:val="Normlndobloku"/>
        <w:rPr>
          <w:sz w:val="22"/>
          <w:szCs w:val="22"/>
        </w:rPr>
      </w:pPr>
    </w:p>
    <w:p w14:paraId="27815E16"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Ovplyvnenie schopnosti viesť vozidlá a obsluhovať stroje</w:t>
      </w:r>
    </w:p>
    <w:p w14:paraId="29033415" w14:textId="77777777" w:rsidR="0024336E" w:rsidRPr="00070B87" w:rsidRDefault="0024336E" w:rsidP="00864FB9">
      <w:pPr>
        <w:pStyle w:val="Styl2"/>
        <w:numPr>
          <w:ilvl w:val="0"/>
          <w:numId w:val="0"/>
        </w:numPr>
        <w:spacing w:before="0" w:after="0"/>
        <w:rPr>
          <w:szCs w:val="22"/>
          <w:lang w:val="sk-SK"/>
        </w:rPr>
      </w:pPr>
    </w:p>
    <w:p w14:paraId="7AF1C50B" w14:textId="77777777" w:rsidR="0024336E" w:rsidRPr="00070B87" w:rsidRDefault="00EF4012" w:rsidP="008B5A25">
      <w:pPr>
        <w:pStyle w:val="Normlndobloku"/>
        <w:rPr>
          <w:sz w:val="22"/>
          <w:szCs w:val="22"/>
        </w:rPr>
      </w:pPr>
      <w:r w:rsidRPr="00070B87">
        <w:rPr>
          <w:sz w:val="22"/>
          <w:szCs w:val="22"/>
        </w:rPr>
        <w:t>Neuskutočnili sa žiadne štúdie o účinkoch liečby perorálnym terbinafínom na schopnosť viesť vozidlá a obsluhovať stroje. Pacienti, ktorí pociťujú ako nežiaduci účinok závrat, sa majú vyhýbať vedeniu vozidiel alebo obsluhe strojov.</w:t>
      </w:r>
    </w:p>
    <w:p w14:paraId="282138C6" w14:textId="77777777" w:rsidR="000D12A1" w:rsidRPr="00070B87" w:rsidRDefault="000D12A1" w:rsidP="008B5A25">
      <w:pPr>
        <w:pStyle w:val="Normlndobloku"/>
        <w:rPr>
          <w:sz w:val="22"/>
          <w:szCs w:val="22"/>
        </w:rPr>
      </w:pPr>
    </w:p>
    <w:p w14:paraId="1D8BCE7C"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Nežiaduce účinky</w:t>
      </w:r>
    </w:p>
    <w:p w14:paraId="177D3AA0" w14:textId="77777777" w:rsidR="0024336E" w:rsidRPr="00070B87" w:rsidRDefault="0024336E" w:rsidP="00864FB9">
      <w:pPr>
        <w:pStyle w:val="Styl2"/>
        <w:numPr>
          <w:ilvl w:val="0"/>
          <w:numId w:val="0"/>
        </w:numPr>
        <w:spacing w:before="0" w:after="0"/>
        <w:rPr>
          <w:szCs w:val="22"/>
          <w:lang w:val="sk-SK"/>
        </w:rPr>
      </w:pPr>
    </w:p>
    <w:p w14:paraId="3A3EBBDB" w14:textId="456178A6" w:rsidR="0024336E" w:rsidRPr="00070B87" w:rsidRDefault="00EF4012" w:rsidP="008B5A25">
      <w:pPr>
        <w:pStyle w:val="Normlndobloku"/>
        <w:rPr>
          <w:sz w:val="22"/>
          <w:szCs w:val="22"/>
        </w:rPr>
      </w:pPr>
      <w:r w:rsidRPr="00070B87">
        <w:rPr>
          <w:sz w:val="22"/>
          <w:szCs w:val="22"/>
        </w:rPr>
        <w:t xml:space="preserve">Nežiaduce účinky sú väčšinou mierne až stredne </w:t>
      </w:r>
      <w:r w:rsidR="00966A8A" w:rsidRPr="00070B87">
        <w:rPr>
          <w:sz w:val="22"/>
          <w:szCs w:val="22"/>
        </w:rPr>
        <w:t>závažné</w:t>
      </w:r>
      <w:r w:rsidRPr="00070B87">
        <w:rPr>
          <w:sz w:val="22"/>
          <w:szCs w:val="22"/>
        </w:rPr>
        <w:t xml:space="preserve"> a prechodné. V klinických štúdiách a počas postmarketingového sledovania sa zaznamenali nasledujúce nežiaduce účinky.</w:t>
      </w:r>
    </w:p>
    <w:p w14:paraId="13B98F16" w14:textId="08DE22FA" w:rsidR="0024336E" w:rsidRPr="00070B87" w:rsidRDefault="00EF4012" w:rsidP="008B5A25">
      <w:pPr>
        <w:pStyle w:val="Normlndobloku"/>
        <w:rPr>
          <w:sz w:val="22"/>
          <w:szCs w:val="22"/>
        </w:rPr>
      </w:pPr>
      <w:r w:rsidRPr="00070B87">
        <w:rPr>
          <w:sz w:val="22"/>
          <w:szCs w:val="22"/>
        </w:rPr>
        <w:t>Nežiaduce účinky sú usporiadané podľa frekvencie výskytu podľa nasledujúcej konvencie: veľmi časté (≥1/10), časté (≥1/100 až &lt;1/10), menej časté (≥1/1</w:t>
      </w:r>
      <w:r w:rsidR="00966A8A" w:rsidRPr="00070B87">
        <w:rPr>
          <w:sz w:val="22"/>
          <w:szCs w:val="22"/>
        </w:rPr>
        <w:t> </w:t>
      </w:r>
      <w:r w:rsidRPr="00070B87">
        <w:rPr>
          <w:sz w:val="22"/>
          <w:szCs w:val="22"/>
        </w:rPr>
        <w:t>000 až &lt;1/100), zriedkavé (≥1/10 000 až &lt;1/1</w:t>
      </w:r>
      <w:r w:rsidR="00966A8A" w:rsidRPr="00070B87">
        <w:rPr>
          <w:sz w:val="22"/>
          <w:szCs w:val="22"/>
        </w:rPr>
        <w:t> </w:t>
      </w:r>
      <w:r w:rsidRPr="00070B87">
        <w:rPr>
          <w:sz w:val="22"/>
          <w:szCs w:val="22"/>
        </w:rPr>
        <w:t>000), veľmi zriedkavé (&lt;1/10 000</w:t>
      </w:r>
      <w:r w:rsidR="0024336E" w:rsidRPr="00070B87">
        <w:rPr>
          <w:sz w:val="22"/>
          <w:szCs w:val="22"/>
        </w:rPr>
        <w:t>), neznáme (z dostupných údajov</w:t>
      </w:r>
      <w:r w:rsidRPr="00070B87">
        <w:rPr>
          <w:sz w:val="22"/>
          <w:szCs w:val="22"/>
        </w:rPr>
        <w:t>) zahŕňajúce jednotlivé prípady.</w:t>
      </w:r>
    </w:p>
    <w:p w14:paraId="50B30041" w14:textId="77777777" w:rsidR="00365401" w:rsidRPr="00070B87" w:rsidRDefault="00365401" w:rsidP="008B5A25">
      <w:pPr>
        <w:pStyle w:val="Normlndobloku"/>
        <w:rPr>
          <w:sz w:val="22"/>
          <w:szCs w:val="22"/>
        </w:rPr>
      </w:pPr>
    </w:p>
    <w:tbl>
      <w:tblPr>
        <w:tblW w:w="4750"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534"/>
        <w:gridCol w:w="5226"/>
      </w:tblGrid>
      <w:tr w:rsidR="0024336E" w:rsidRPr="00070B87" w14:paraId="517BA0F9"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7E1D9F77" w14:textId="77777777" w:rsidR="007837C0" w:rsidRPr="00070B87" w:rsidRDefault="00EF4012" w:rsidP="008B5A25">
            <w:pPr>
              <w:pStyle w:val="Styl3"/>
              <w:spacing w:after="0"/>
              <w:jc w:val="left"/>
              <w:rPr>
                <w:sz w:val="22"/>
                <w:szCs w:val="22"/>
              </w:rPr>
            </w:pPr>
            <w:r w:rsidRPr="00070B87">
              <w:rPr>
                <w:sz w:val="22"/>
                <w:szCs w:val="22"/>
                <w:lang w:val="sk-SK" w:eastAsia="en-US"/>
              </w:rPr>
              <w:t>Poruchy krvi a lymfatického systému</w:t>
            </w:r>
          </w:p>
        </w:tc>
      </w:tr>
      <w:tr w:rsidR="0024336E" w:rsidRPr="00070B87" w14:paraId="1F563A79" w14:textId="77777777" w:rsidTr="008B5A25">
        <w:trPr>
          <w:tblCellSpacing w:w="0" w:type="dxa"/>
        </w:trPr>
        <w:tc>
          <w:tcPr>
            <w:tcW w:w="3534" w:type="dxa"/>
            <w:tcBorders>
              <w:top w:val="single" w:sz="4" w:space="0" w:color="auto"/>
              <w:bottom w:val="single" w:sz="4" w:space="0" w:color="auto"/>
            </w:tcBorders>
          </w:tcPr>
          <w:p w14:paraId="0EDB5D55" w14:textId="77777777" w:rsidR="0024336E" w:rsidRPr="00070B87" w:rsidRDefault="00EF4012" w:rsidP="008B5A25">
            <w:pPr>
              <w:pStyle w:val="Normlndobloku"/>
              <w:rPr>
                <w:sz w:val="22"/>
                <w:szCs w:val="22"/>
              </w:rPr>
            </w:pPr>
            <w:r w:rsidRPr="00070B87">
              <w:rPr>
                <w:sz w:val="22"/>
                <w:szCs w:val="22"/>
              </w:rPr>
              <w:t>Veľmi zriedkavé</w:t>
            </w:r>
          </w:p>
          <w:p w14:paraId="10983670" w14:textId="4CF0996D" w:rsidR="0024336E" w:rsidRPr="00070B87" w:rsidRDefault="0024336E" w:rsidP="008B5A25">
            <w:pPr>
              <w:pStyle w:val="Normlndobloku"/>
              <w:rPr>
                <w:sz w:val="22"/>
                <w:szCs w:val="22"/>
              </w:rPr>
            </w:pPr>
          </w:p>
        </w:tc>
        <w:tc>
          <w:tcPr>
            <w:tcW w:w="5226" w:type="dxa"/>
            <w:tcBorders>
              <w:top w:val="single" w:sz="4" w:space="0" w:color="auto"/>
              <w:bottom w:val="single" w:sz="4" w:space="0" w:color="auto"/>
            </w:tcBorders>
          </w:tcPr>
          <w:p w14:paraId="3A6D0EC6" w14:textId="453AC4D0" w:rsidR="0024336E" w:rsidRPr="00070B87" w:rsidRDefault="00EF4012" w:rsidP="008B5A25">
            <w:pPr>
              <w:pStyle w:val="Normlndobloku"/>
              <w:rPr>
                <w:sz w:val="22"/>
                <w:szCs w:val="22"/>
              </w:rPr>
            </w:pPr>
            <w:r w:rsidRPr="00070B87">
              <w:rPr>
                <w:sz w:val="22"/>
                <w:szCs w:val="22"/>
              </w:rPr>
              <w:t>Neutropénia, agranulocytóza, trombocytopénia</w:t>
            </w:r>
          </w:p>
          <w:p w14:paraId="04DCA297" w14:textId="7A9D2DB6" w:rsidR="0024336E" w:rsidRPr="00070B87" w:rsidRDefault="0024336E" w:rsidP="008B5A25">
            <w:pPr>
              <w:pStyle w:val="Normlndobloku"/>
              <w:rPr>
                <w:sz w:val="22"/>
                <w:szCs w:val="22"/>
              </w:rPr>
            </w:pPr>
          </w:p>
        </w:tc>
      </w:tr>
      <w:tr w:rsidR="0024336E" w:rsidRPr="00070B87" w14:paraId="09684C1D" w14:textId="77777777" w:rsidTr="007837C0">
        <w:trPr>
          <w:tblCellSpacing w:w="0" w:type="dxa"/>
        </w:trPr>
        <w:tc>
          <w:tcPr>
            <w:tcW w:w="3534" w:type="dxa"/>
            <w:tcBorders>
              <w:top w:val="single" w:sz="4" w:space="0" w:color="auto"/>
              <w:bottom w:val="single" w:sz="4" w:space="0" w:color="auto"/>
            </w:tcBorders>
          </w:tcPr>
          <w:p w14:paraId="4A0DEF9A"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13ADB0E7" w14:textId="77777777" w:rsidR="0024336E" w:rsidRPr="00070B87" w:rsidRDefault="0024336E" w:rsidP="008B5A25">
            <w:pPr>
              <w:pStyle w:val="Normlndobloku"/>
              <w:rPr>
                <w:sz w:val="22"/>
                <w:szCs w:val="22"/>
              </w:rPr>
            </w:pPr>
            <w:r w:rsidRPr="00070B87">
              <w:rPr>
                <w:sz w:val="22"/>
                <w:szCs w:val="22"/>
              </w:rPr>
              <w:t>Anémia, pancytopénia</w:t>
            </w:r>
          </w:p>
        </w:tc>
      </w:tr>
      <w:tr w:rsidR="0024336E" w:rsidRPr="00070B87" w14:paraId="0DA79C8B"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013C9EE0" w14:textId="77777777" w:rsidR="007837C0" w:rsidRPr="00070B87" w:rsidRDefault="00EF4012" w:rsidP="008B5A25">
            <w:pPr>
              <w:pStyle w:val="Styl3"/>
              <w:spacing w:after="0"/>
              <w:jc w:val="left"/>
              <w:rPr>
                <w:sz w:val="22"/>
                <w:szCs w:val="22"/>
              </w:rPr>
            </w:pPr>
            <w:r w:rsidRPr="00070B87">
              <w:rPr>
                <w:sz w:val="22"/>
                <w:szCs w:val="22"/>
                <w:lang w:val="sk-SK" w:eastAsia="en-US"/>
              </w:rPr>
              <w:t>Poruchy imunitného systému</w:t>
            </w:r>
          </w:p>
        </w:tc>
      </w:tr>
      <w:tr w:rsidR="0024336E" w:rsidRPr="00070B87" w14:paraId="2D654751" w14:textId="77777777" w:rsidTr="008B5A25">
        <w:trPr>
          <w:tblCellSpacing w:w="0" w:type="dxa"/>
        </w:trPr>
        <w:tc>
          <w:tcPr>
            <w:tcW w:w="3534" w:type="dxa"/>
            <w:tcBorders>
              <w:top w:val="single" w:sz="4" w:space="0" w:color="auto"/>
              <w:bottom w:val="single" w:sz="4" w:space="0" w:color="auto"/>
            </w:tcBorders>
          </w:tcPr>
          <w:p w14:paraId="722D3791" w14:textId="77777777"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14:paraId="4BB9AE6C" w14:textId="7AEF8A43" w:rsidR="0024336E" w:rsidRPr="00070B87" w:rsidRDefault="00EF4012" w:rsidP="008B5A25">
            <w:pPr>
              <w:pStyle w:val="Normlndobloku"/>
              <w:rPr>
                <w:sz w:val="22"/>
                <w:szCs w:val="22"/>
              </w:rPr>
            </w:pPr>
            <w:r w:rsidRPr="00070B87">
              <w:rPr>
                <w:sz w:val="22"/>
                <w:szCs w:val="22"/>
              </w:rPr>
              <w:t>Anafylaktoidná reakcia (vrátane angioedému), kožný a systémový lupus erythematosus</w:t>
            </w:r>
          </w:p>
        </w:tc>
      </w:tr>
      <w:tr w:rsidR="0024336E" w:rsidRPr="00070B87" w14:paraId="1DE1C547" w14:textId="77777777" w:rsidTr="007837C0">
        <w:trPr>
          <w:tblCellSpacing w:w="0" w:type="dxa"/>
        </w:trPr>
        <w:tc>
          <w:tcPr>
            <w:tcW w:w="3534" w:type="dxa"/>
            <w:tcBorders>
              <w:top w:val="single" w:sz="4" w:space="0" w:color="auto"/>
              <w:bottom w:val="single" w:sz="4" w:space="0" w:color="auto"/>
            </w:tcBorders>
          </w:tcPr>
          <w:p w14:paraId="216DBF5A"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0A5299C5" w14:textId="77777777" w:rsidR="0024336E" w:rsidRPr="00070B87" w:rsidRDefault="0024336E" w:rsidP="008B5A25">
            <w:pPr>
              <w:pStyle w:val="Normlndobloku"/>
              <w:rPr>
                <w:sz w:val="22"/>
                <w:szCs w:val="22"/>
              </w:rPr>
            </w:pPr>
            <w:r w:rsidRPr="00070B87">
              <w:rPr>
                <w:sz w:val="22"/>
                <w:szCs w:val="22"/>
              </w:rPr>
              <w:t>Anafylaktická reakcia, reakcia podobná sérovej chorobe</w:t>
            </w:r>
          </w:p>
        </w:tc>
      </w:tr>
      <w:tr w:rsidR="0024336E" w:rsidRPr="00070B87" w14:paraId="0C440D4E" w14:textId="77777777" w:rsidTr="007837C0">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7959FCCC" w14:textId="77777777" w:rsidR="0024336E" w:rsidRPr="00070B87" w:rsidRDefault="0024336E" w:rsidP="00864FB9">
            <w:pPr>
              <w:pStyle w:val="Styl3"/>
              <w:spacing w:after="0"/>
              <w:jc w:val="left"/>
              <w:rPr>
                <w:sz w:val="22"/>
                <w:szCs w:val="22"/>
                <w:lang w:val="sk-SK" w:eastAsia="en-US"/>
              </w:rPr>
            </w:pPr>
            <w:r w:rsidRPr="00070B87">
              <w:rPr>
                <w:sz w:val="22"/>
                <w:szCs w:val="22"/>
                <w:lang w:val="sk-SK" w:eastAsia="en-US"/>
              </w:rPr>
              <w:t>Poruchy metabolizmu a výživy</w:t>
            </w:r>
          </w:p>
        </w:tc>
      </w:tr>
      <w:tr w:rsidR="0024336E" w:rsidRPr="00070B87" w14:paraId="1A753523" w14:textId="77777777" w:rsidTr="007837C0">
        <w:trPr>
          <w:tblCellSpacing w:w="0" w:type="dxa"/>
        </w:trPr>
        <w:tc>
          <w:tcPr>
            <w:tcW w:w="3534" w:type="dxa"/>
            <w:tcBorders>
              <w:top w:val="single" w:sz="4" w:space="0" w:color="auto"/>
              <w:bottom w:val="single" w:sz="4" w:space="0" w:color="auto"/>
            </w:tcBorders>
          </w:tcPr>
          <w:p w14:paraId="29BF3218" w14:textId="77777777" w:rsidR="0024336E" w:rsidRPr="00070B87" w:rsidRDefault="0024336E"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14:paraId="26F18482" w14:textId="77777777" w:rsidR="0024336E" w:rsidRPr="00070B87" w:rsidRDefault="0024336E" w:rsidP="008B5A25">
            <w:pPr>
              <w:pStyle w:val="Normlndobloku"/>
              <w:rPr>
                <w:sz w:val="22"/>
                <w:szCs w:val="22"/>
              </w:rPr>
            </w:pPr>
            <w:r w:rsidRPr="00070B87">
              <w:rPr>
                <w:sz w:val="22"/>
                <w:szCs w:val="22"/>
              </w:rPr>
              <w:t>Znížená chuť do jedla</w:t>
            </w:r>
          </w:p>
        </w:tc>
      </w:tr>
      <w:tr w:rsidR="0024336E" w:rsidRPr="00070B87" w14:paraId="7661714D"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1D844540" w14:textId="77777777" w:rsidR="007837C0" w:rsidRPr="00070B87" w:rsidRDefault="00EF4012" w:rsidP="008B5A25">
            <w:pPr>
              <w:pStyle w:val="Styl3"/>
              <w:spacing w:after="0"/>
              <w:jc w:val="left"/>
              <w:rPr>
                <w:sz w:val="22"/>
                <w:szCs w:val="22"/>
              </w:rPr>
            </w:pPr>
            <w:r w:rsidRPr="00070B87">
              <w:rPr>
                <w:sz w:val="22"/>
                <w:szCs w:val="22"/>
                <w:lang w:val="sk-SK" w:eastAsia="en-US"/>
              </w:rPr>
              <w:t>Psychické poruchy</w:t>
            </w:r>
          </w:p>
        </w:tc>
      </w:tr>
      <w:tr w:rsidR="0024336E" w:rsidRPr="00070B87" w14:paraId="3DEB505F" w14:textId="77777777" w:rsidTr="008B5A25">
        <w:trPr>
          <w:tblCellSpacing w:w="0" w:type="dxa"/>
        </w:trPr>
        <w:tc>
          <w:tcPr>
            <w:tcW w:w="3534" w:type="dxa"/>
            <w:tcBorders>
              <w:top w:val="single" w:sz="4" w:space="0" w:color="auto"/>
              <w:bottom w:val="single" w:sz="4" w:space="0" w:color="auto"/>
            </w:tcBorders>
          </w:tcPr>
          <w:p w14:paraId="13449B00" w14:textId="529822F3"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49FB0493" w14:textId="57B512E0" w:rsidR="0024336E" w:rsidRPr="00070B87" w:rsidRDefault="0024336E" w:rsidP="008B5A25">
            <w:pPr>
              <w:pStyle w:val="Normlndobloku"/>
              <w:rPr>
                <w:sz w:val="22"/>
                <w:szCs w:val="22"/>
              </w:rPr>
            </w:pPr>
            <w:r w:rsidRPr="00070B87">
              <w:rPr>
                <w:sz w:val="22"/>
                <w:szCs w:val="22"/>
              </w:rPr>
              <w:t>Úzkosť a</w:t>
            </w:r>
            <w:r w:rsidR="00717302" w:rsidRPr="00070B87">
              <w:rPr>
                <w:sz w:val="22"/>
                <w:szCs w:val="22"/>
              </w:rPr>
              <w:t> </w:t>
            </w:r>
            <w:r w:rsidRPr="00070B87">
              <w:rPr>
                <w:sz w:val="22"/>
                <w:szCs w:val="22"/>
              </w:rPr>
              <w:t>depresívne symptómy sekundárne k poruche chuti</w:t>
            </w:r>
          </w:p>
        </w:tc>
      </w:tr>
      <w:tr w:rsidR="0024336E" w:rsidRPr="00070B87" w14:paraId="00EA5DAA"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0777259B" w14:textId="77777777" w:rsidR="007837C0" w:rsidRPr="00070B87" w:rsidRDefault="00EF4012" w:rsidP="008B5A25">
            <w:pPr>
              <w:pStyle w:val="Styl3"/>
              <w:spacing w:after="0"/>
              <w:jc w:val="left"/>
              <w:rPr>
                <w:sz w:val="22"/>
                <w:szCs w:val="22"/>
              </w:rPr>
            </w:pPr>
            <w:r w:rsidRPr="00070B87">
              <w:rPr>
                <w:sz w:val="22"/>
                <w:szCs w:val="22"/>
                <w:lang w:val="sk-SK" w:eastAsia="en-US"/>
              </w:rPr>
              <w:t>Poruchy nervového systému</w:t>
            </w:r>
          </w:p>
        </w:tc>
      </w:tr>
      <w:tr w:rsidR="0024336E" w:rsidRPr="00070B87" w14:paraId="4F0075F3" w14:textId="77777777" w:rsidTr="008B5A25">
        <w:trPr>
          <w:tblCellSpacing w:w="0" w:type="dxa"/>
        </w:trPr>
        <w:tc>
          <w:tcPr>
            <w:tcW w:w="3534" w:type="dxa"/>
            <w:tcBorders>
              <w:top w:val="single" w:sz="4" w:space="0" w:color="auto"/>
              <w:bottom w:val="single" w:sz="4" w:space="0" w:color="auto"/>
            </w:tcBorders>
          </w:tcPr>
          <w:p w14:paraId="3A17F8A2" w14:textId="77777777" w:rsidR="0024336E" w:rsidRPr="00070B87" w:rsidRDefault="00EF4012" w:rsidP="008B5A25">
            <w:pPr>
              <w:pStyle w:val="Normlndobloku"/>
              <w:rPr>
                <w:sz w:val="22"/>
                <w:szCs w:val="22"/>
              </w:rPr>
            </w:pPr>
            <w:r w:rsidRPr="00070B87">
              <w:rPr>
                <w:sz w:val="22"/>
                <w:szCs w:val="22"/>
              </w:rPr>
              <w:t>Časté</w:t>
            </w:r>
          </w:p>
        </w:tc>
        <w:tc>
          <w:tcPr>
            <w:tcW w:w="5226" w:type="dxa"/>
            <w:tcBorders>
              <w:top w:val="single" w:sz="4" w:space="0" w:color="auto"/>
              <w:bottom w:val="single" w:sz="4" w:space="0" w:color="auto"/>
            </w:tcBorders>
          </w:tcPr>
          <w:p w14:paraId="44AA2955" w14:textId="77777777" w:rsidR="0024336E" w:rsidRPr="00070B87" w:rsidRDefault="00EF4012" w:rsidP="008B5A25">
            <w:pPr>
              <w:pStyle w:val="Normlndobloku"/>
              <w:rPr>
                <w:sz w:val="22"/>
                <w:szCs w:val="22"/>
              </w:rPr>
            </w:pPr>
            <w:r w:rsidRPr="00070B87">
              <w:rPr>
                <w:sz w:val="22"/>
                <w:szCs w:val="22"/>
              </w:rPr>
              <w:t>Bolesť hlavy</w:t>
            </w:r>
          </w:p>
        </w:tc>
      </w:tr>
      <w:tr w:rsidR="0024336E" w:rsidRPr="00070B87" w14:paraId="5C8B4694" w14:textId="77777777" w:rsidTr="008B5A25">
        <w:trPr>
          <w:tblCellSpacing w:w="0" w:type="dxa"/>
        </w:trPr>
        <w:tc>
          <w:tcPr>
            <w:tcW w:w="3534" w:type="dxa"/>
            <w:tcBorders>
              <w:top w:val="single" w:sz="4" w:space="0" w:color="auto"/>
              <w:bottom w:val="single" w:sz="4" w:space="0" w:color="auto"/>
            </w:tcBorders>
          </w:tcPr>
          <w:p w14:paraId="5FB9BD79" w14:textId="77777777" w:rsidR="0024336E" w:rsidRPr="00070B87" w:rsidRDefault="00EF4012" w:rsidP="008B5A25">
            <w:pPr>
              <w:pStyle w:val="Normlndobloku"/>
              <w:rPr>
                <w:sz w:val="22"/>
                <w:szCs w:val="22"/>
              </w:rPr>
            </w:pPr>
            <w:r w:rsidRPr="00070B87">
              <w:rPr>
                <w:sz w:val="22"/>
                <w:szCs w:val="22"/>
              </w:rPr>
              <w:t>Menej časté</w:t>
            </w:r>
          </w:p>
        </w:tc>
        <w:tc>
          <w:tcPr>
            <w:tcW w:w="5226" w:type="dxa"/>
            <w:tcBorders>
              <w:top w:val="single" w:sz="4" w:space="0" w:color="auto"/>
              <w:bottom w:val="single" w:sz="4" w:space="0" w:color="auto"/>
            </w:tcBorders>
          </w:tcPr>
          <w:p w14:paraId="73A6AEC2" w14:textId="5A3D3A26" w:rsidR="0024336E" w:rsidRPr="00070B87" w:rsidRDefault="00EF4012" w:rsidP="008B5A25">
            <w:pPr>
              <w:pStyle w:val="Normlndobloku"/>
              <w:rPr>
                <w:sz w:val="22"/>
                <w:szCs w:val="22"/>
              </w:rPr>
            </w:pPr>
            <w:r w:rsidRPr="00070B87">
              <w:rPr>
                <w:sz w:val="22"/>
                <w:szCs w:val="22"/>
              </w:rPr>
              <w:t xml:space="preserve">Poruchy vnímania chuti vrátane straty chuti, ktorá zvyčajne vymizne po vysadení lieku. Boli hlásené </w:t>
            </w:r>
            <w:r w:rsidR="00A65BE8" w:rsidRPr="00070B87">
              <w:rPr>
                <w:sz w:val="22"/>
                <w:szCs w:val="22"/>
              </w:rPr>
              <w:t>ojedinelé</w:t>
            </w:r>
            <w:r w:rsidRPr="00070B87">
              <w:rPr>
                <w:sz w:val="22"/>
                <w:szCs w:val="22"/>
              </w:rPr>
              <w:t xml:space="preserve"> prípady prolongovaných porúch vnímania chuti, niekedy vedúce k zníženiu príjmu potravy a výraznému úbytku telesnej hmotnosti.</w:t>
            </w:r>
          </w:p>
        </w:tc>
      </w:tr>
      <w:tr w:rsidR="0024336E" w:rsidRPr="00070B87" w14:paraId="17053B37" w14:textId="77777777" w:rsidTr="008B5A25">
        <w:trPr>
          <w:tblCellSpacing w:w="0" w:type="dxa"/>
        </w:trPr>
        <w:tc>
          <w:tcPr>
            <w:tcW w:w="3534" w:type="dxa"/>
            <w:tcBorders>
              <w:top w:val="single" w:sz="4" w:space="0" w:color="auto"/>
              <w:bottom w:val="single" w:sz="4" w:space="0" w:color="auto"/>
            </w:tcBorders>
          </w:tcPr>
          <w:p w14:paraId="661F9094" w14:textId="77777777" w:rsidR="003F342D" w:rsidRPr="00070B87" w:rsidRDefault="00864FB9"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14:paraId="63FA5E6C" w14:textId="28D25B73" w:rsidR="0024336E" w:rsidRPr="00070B87" w:rsidRDefault="00EF4012" w:rsidP="001D514E">
            <w:pPr>
              <w:pStyle w:val="Normlndobloku"/>
              <w:rPr>
                <w:sz w:val="22"/>
                <w:szCs w:val="22"/>
              </w:rPr>
            </w:pPr>
            <w:r w:rsidRPr="00070B87">
              <w:rPr>
                <w:sz w:val="22"/>
                <w:szCs w:val="22"/>
              </w:rPr>
              <w:t>Parestézia, hypoestézia</w:t>
            </w:r>
            <w:r w:rsidR="0024336E" w:rsidRPr="00070B87">
              <w:rPr>
                <w:sz w:val="22"/>
                <w:szCs w:val="22"/>
              </w:rPr>
              <w:t>, závrat</w:t>
            </w:r>
            <w:r w:rsidR="005C7A2A" w:rsidRPr="00070B87">
              <w:rPr>
                <w:sz w:val="22"/>
                <w:szCs w:val="22"/>
              </w:rPr>
              <w:t xml:space="preserve"> </w:t>
            </w:r>
          </w:p>
        </w:tc>
      </w:tr>
      <w:tr w:rsidR="00864FB9" w:rsidRPr="00070B87" w14:paraId="1D01BFD2" w14:textId="77777777" w:rsidTr="007837C0">
        <w:trPr>
          <w:tblCellSpacing w:w="0" w:type="dxa"/>
        </w:trPr>
        <w:tc>
          <w:tcPr>
            <w:tcW w:w="3534" w:type="dxa"/>
            <w:tcBorders>
              <w:top w:val="single" w:sz="4" w:space="0" w:color="auto"/>
              <w:bottom w:val="single" w:sz="4" w:space="0" w:color="auto"/>
            </w:tcBorders>
          </w:tcPr>
          <w:p w14:paraId="3EBD68A0" w14:textId="77777777" w:rsidR="00864FB9" w:rsidRPr="00070B87" w:rsidRDefault="00864FB9"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03638C15" w14:textId="77777777" w:rsidR="00864FB9" w:rsidRPr="00070B87" w:rsidRDefault="00864FB9" w:rsidP="008B5A25">
            <w:pPr>
              <w:pStyle w:val="Normlndobloku"/>
              <w:rPr>
                <w:sz w:val="22"/>
                <w:szCs w:val="22"/>
              </w:rPr>
            </w:pPr>
            <w:r w:rsidRPr="00070B87">
              <w:rPr>
                <w:sz w:val="22"/>
                <w:szCs w:val="22"/>
              </w:rPr>
              <w:t>Strata čuchu vrátane trvalej anosmie, hyposmie</w:t>
            </w:r>
          </w:p>
        </w:tc>
      </w:tr>
      <w:tr w:rsidR="0024336E" w:rsidRPr="00070B87" w14:paraId="1E5AD471"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6728ABFC" w14:textId="79ECA908" w:rsidR="007837C0" w:rsidRPr="00070B87" w:rsidRDefault="00EF4012" w:rsidP="008B5A25">
            <w:pPr>
              <w:pStyle w:val="Styl3"/>
              <w:spacing w:after="0"/>
              <w:jc w:val="left"/>
              <w:rPr>
                <w:sz w:val="22"/>
                <w:szCs w:val="22"/>
              </w:rPr>
            </w:pPr>
            <w:r w:rsidRPr="00070B87">
              <w:rPr>
                <w:sz w:val="22"/>
                <w:szCs w:val="22"/>
                <w:lang w:val="sk-SK" w:eastAsia="en-US"/>
              </w:rPr>
              <w:t>Poruchy ucha a</w:t>
            </w:r>
            <w:r w:rsidR="00E2497D" w:rsidRPr="00070B87">
              <w:rPr>
                <w:sz w:val="22"/>
                <w:szCs w:val="22"/>
                <w:lang w:val="sk-SK" w:eastAsia="en-US"/>
              </w:rPr>
              <w:t> </w:t>
            </w:r>
            <w:r w:rsidRPr="00070B87">
              <w:rPr>
                <w:sz w:val="22"/>
                <w:szCs w:val="22"/>
                <w:lang w:val="sk-SK" w:eastAsia="en-US"/>
              </w:rPr>
              <w:t>labyrintu</w:t>
            </w:r>
          </w:p>
        </w:tc>
      </w:tr>
      <w:tr w:rsidR="0024336E" w:rsidRPr="00070B87" w14:paraId="5D69D29F" w14:textId="77777777" w:rsidTr="008B5A25">
        <w:trPr>
          <w:tblCellSpacing w:w="0" w:type="dxa"/>
        </w:trPr>
        <w:tc>
          <w:tcPr>
            <w:tcW w:w="3534" w:type="dxa"/>
            <w:tcBorders>
              <w:top w:val="single" w:sz="4" w:space="0" w:color="auto"/>
              <w:bottom w:val="single" w:sz="4" w:space="0" w:color="auto"/>
            </w:tcBorders>
          </w:tcPr>
          <w:p w14:paraId="1D94AA20" w14:textId="77777777"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14:paraId="6B4F5481" w14:textId="071D80F6" w:rsidR="0024336E" w:rsidRPr="00070B87" w:rsidRDefault="0024336E" w:rsidP="008B5A25">
            <w:pPr>
              <w:pStyle w:val="Normlndobloku"/>
              <w:rPr>
                <w:sz w:val="22"/>
                <w:szCs w:val="22"/>
              </w:rPr>
            </w:pPr>
            <w:r w:rsidRPr="00070B87">
              <w:rPr>
                <w:sz w:val="22"/>
                <w:szCs w:val="22"/>
              </w:rPr>
              <w:t>Vertigo</w:t>
            </w:r>
          </w:p>
        </w:tc>
      </w:tr>
      <w:tr w:rsidR="0024336E" w:rsidRPr="00070B87" w14:paraId="627A3962" w14:textId="77777777" w:rsidTr="007837C0">
        <w:trPr>
          <w:tblCellSpacing w:w="0" w:type="dxa"/>
        </w:trPr>
        <w:tc>
          <w:tcPr>
            <w:tcW w:w="3534" w:type="dxa"/>
            <w:tcBorders>
              <w:top w:val="single" w:sz="4" w:space="0" w:color="auto"/>
              <w:bottom w:val="single" w:sz="4" w:space="0" w:color="auto"/>
            </w:tcBorders>
          </w:tcPr>
          <w:p w14:paraId="3FC1FE0B"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103BD580" w14:textId="77777777" w:rsidR="0024336E" w:rsidRPr="00070B87" w:rsidRDefault="0024336E" w:rsidP="008B5A25">
            <w:pPr>
              <w:pStyle w:val="Normlndobloku"/>
              <w:rPr>
                <w:sz w:val="22"/>
                <w:szCs w:val="22"/>
              </w:rPr>
            </w:pPr>
            <w:r w:rsidRPr="00070B87">
              <w:rPr>
                <w:sz w:val="22"/>
                <w:szCs w:val="22"/>
              </w:rPr>
              <w:t>Hypoakúzia, poruchy sluchu, tinitus</w:t>
            </w:r>
          </w:p>
        </w:tc>
      </w:tr>
      <w:tr w:rsidR="0024336E" w:rsidRPr="00070B87" w14:paraId="2296C329" w14:textId="77777777" w:rsidTr="007837C0">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05F8530D" w14:textId="77777777" w:rsidR="0024336E" w:rsidRPr="00070B87" w:rsidRDefault="0024336E" w:rsidP="00864FB9">
            <w:pPr>
              <w:pStyle w:val="Styl3"/>
              <w:spacing w:after="0"/>
              <w:jc w:val="left"/>
              <w:rPr>
                <w:sz w:val="22"/>
                <w:szCs w:val="22"/>
                <w:lang w:val="sk-SK" w:eastAsia="en-US"/>
              </w:rPr>
            </w:pPr>
            <w:r w:rsidRPr="00070B87">
              <w:rPr>
                <w:sz w:val="22"/>
                <w:szCs w:val="22"/>
                <w:lang w:val="sk-SK" w:eastAsia="en-US"/>
              </w:rPr>
              <w:t>Poruchy ciev</w:t>
            </w:r>
          </w:p>
        </w:tc>
      </w:tr>
      <w:tr w:rsidR="0024336E" w:rsidRPr="00070B87" w14:paraId="1E861A6E" w14:textId="77777777" w:rsidTr="007837C0">
        <w:trPr>
          <w:tblCellSpacing w:w="0" w:type="dxa"/>
        </w:trPr>
        <w:tc>
          <w:tcPr>
            <w:tcW w:w="3534" w:type="dxa"/>
            <w:tcBorders>
              <w:top w:val="single" w:sz="4" w:space="0" w:color="auto"/>
              <w:bottom w:val="single" w:sz="4" w:space="0" w:color="auto"/>
            </w:tcBorders>
          </w:tcPr>
          <w:p w14:paraId="0CC9C088"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32EBE392" w14:textId="77777777" w:rsidR="0024336E" w:rsidRPr="00070B87" w:rsidRDefault="0024336E" w:rsidP="008B5A25">
            <w:pPr>
              <w:pStyle w:val="Normlndobloku"/>
              <w:rPr>
                <w:sz w:val="22"/>
                <w:szCs w:val="22"/>
              </w:rPr>
            </w:pPr>
            <w:r w:rsidRPr="00070B87">
              <w:rPr>
                <w:sz w:val="22"/>
                <w:szCs w:val="22"/>
              </w:rPr>
              <w:t>Vaskulitída</w:t>
            </w:r>
          </w:p>
        </w:tc>
      </w:tr>
      <w:tr w:rsidR="0024336E" w:rsidRPr="00070B87" w14:paraId="27CC5BC2"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19B09EE4" w14:textId="77777777" w:rsidR="007837C0" w:rsidRPr="00070B87" w:rsidRDefault="00EF4012" w:rsidP="008B5A25">
            <w:pPr>
              <w:pStyle w:val="Styl3"/>
              <w:spacing w:after="0"/>
              <w:jc w:val="left"/>
              <w:rPr>
                <w:sz w:val="22"/>
                <w:szCs w:val="22"/>
              </w:rPr>
            </w:pPr>
            <w:r w:rsidRPr="00070B87">
              <w:rPr>
                <w:sz w:val="22"/>
                <w:szCs w:val="22"/>
                <w:lang w:val="sk-SK" w:eastAsia="en-US"/>
              </w:rPr>
              <w:t>Poruchy gastrointestinálneho traktu</w:t>
            </w:r>
          </w:p>
        </w:tc>
      </w:tr>
      <w:tr w:rsidR="0024336E" w:rsidRPr="00070B87" w14:paraId="2F1F9097" w14:textId="77777777" w:rsidTr="008B5A25">
        <w:trPr>
          <w:tblCellSpacing w:w="0" w:type="dxa"/>
        </w:trPr>
        <w:tc>
          <w:tcPr>
            <w:tcW w:w="3534" w:type="dxa"/>
            <w:tcBorders>
              <w:top w:val="single" w:sz="4" w:space="0" w:color="auto"/>
              <w:bottom w:val="single" w:sz="4" w:space="0" w:color="auto"/>
            </w:tcBorders>
          </w:tcPr>
          <w:p w14:paraId="65E8ED87" w14:textId="77777777"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14:paraId="33ED3BE5" w14:textId="291B1946" w:rsidR="0024336E" w:rsidRPr="00070B87" w:rsidRDefault="00EF4012" w:rsidP="008B5A25">
            <w:pPr>
              <w:pStyle w:val="Normlndobloku"/>
              <w:rPr>
                <w:sz w:val="22"/>
                <w:szCs w:val="22"/>
              </w:rPr>
            </w:pPr>
            <w:r w:rsidRPr="00070B87">
              <w:rPr>
                <w:sz w:val="22"/>
                <w:szCs w:val="22"/>
              </w:rPr>
              <w:t>Gastrointestinálne symptómy (pocit plnosti, strata chuti do jedla, dyspepsia, nauzea, abdominálna bolesť, diarea</w:t>
            </w:r>
            <w:r w:rsidR="0024336E" w:rsidRPr="00070B87">
              <w:rPr>
                <w:sz w:val="22"/>
                <w:szCs w:val="22"/>
              </w:rPr>
              <w:t>)</w:t>
            </w:r>
          </w:p>
        </w:tc>
      </w:tr>
      <w:tr w:rsidR="0024336E" w:rsidRPr="00070B87" w14:paraId="272A0436" w14:textId="77777777" w:rsidTr="007837C0">
        <w:trPr>
          <w:tblCellSpacing w:w="0" w:type="dxa"/>
        </w:trPr>
        <w:tc>
          <w:tcPr>
            <w:tcW w:w="3534" w:type="dxa"/>
            <w:tcBorders>
              <w:top w:val="single" w:sz="4" w:space="0" w:color="auto"/>
              <w:bottom w:val="single" w:sz="4" w:space="0" w:color="auto"/>
            </w:tcBorders>
          </w:tcPr>
          <w:p w14:paraId="68FAC6DF"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77AC46EE" w14:textId="77777777" w:rsidR="0024336E" w:rsidRPr="00070B87" w:rsidRDefault="0024336E" w:rsidP="008B5A25">
            <w:pPr>
              <w:pStyle w:val="Normlndobloku"/>
              <w:rPr>
                <w:sz w:val="22"/>
                <w:szCs w:val="22"/>
              </w:rPr>
            </w:pPr>
            <w:r w:rsidRPr="00070B87">
              <w:rPr>
                <w:sz w:val="22"/>
                <w:szCs w:val="22"/>
              </w:rPr>
              <w:t>Pankreat</w:t>
            </w:r>
            <w:r w:rsidR="00A65BE8" w:rsidRPr="00070B87">
              <w:rPr>
                <w:sz w:val="22"/>
                <w:szCs w:val="22"/>
              </w:rPr>
              <w:t>it</w:t>
            </w:r>
            <w:r w:rsidRPr="00070B87">
              <w:rPr>
                <w:sz w:val="22"/>
                <w:szCs w:val="22"/>
              </w:rPr>
              <w:t>ída</w:t>
            </w:r>
          </w:p>
        </w:tc>
      </w:tr>
      <w:tr w:rsidR="0024336E" w:rsidRPr="00070B87" w14:paraId="49DC3FF1"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11F046E3" w14:textId="77777777" w:rsidR="007837C0" w:rsidRPr="00070B87" w:rsidRDefault="00EF4012" w:rsidP="008B5A25">
            <w:pPr>
              <w:pStyle w:val="Styl3"/>
              <w:spacing w:after="0"/>
              <w:jc w:val="left"/>
              <w:rPr>
                <w:sz w:val="22"/>
                <w:szCs w:val="22"/>
              </w:rPr>
            </w:pPr>
            <w:r w:rsidRPr="00070B87">
              <w:rPr>
                <w:sz w:val="22"/>
                <w:szCs w:val="22"/>
                <w:lang w:val="sk-SK" w:eastAsia="en-US"/>
              </w:rPr>
              <w:t>Poruchy pečene a žlčových ciest</w:t>
            </w:r>
          </w:p>
        </w:tc>
      </w:tr>
      <w:tr w:rsidR="0024336E" w:rsidRPr="00070B87" w14:paraId="4F31F7AB" w14:textId="77777777" w:rsidTr="008B5A25">
        <w:trPr>
          <w:tblCellSpacing w:w="0" w:type="dxa"/>
        </w:trPr>
        <w:tc>
          <w:tcPr>
            <w:tcW w:w="3534" w:type="dxa"/>
            <w:tcBorders>
              <w:top w:val="single" w:sz="4" w:space="0" w:color="auto"/>
              <w:bottom w:val="single" w:sz="4" w:space="0" w:color="auto"/>
            </w:tcBorders>
          </w:tcPr>
          <w:p w14:paraId="218DD359" w14:textId="77777777" w:rsidR="0024336E" w:rsidRPr="00070B87" w:rsidRDefault="00EF4012"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14:paraId="58F1CC28" w14:textId="58514393" w:rsidR="0024336E" w:rsidRPr="00070B87" w:rsidRDefault="00EF4012" w:rsidP="008B5A25">
            <w:pPr>
              <w:pStyle w:val="Normlndobloku"/>
              <w:rPr>
                <w:sz w:val="22"/>
                <w:szCs w:val="22"/>
              </w:rPr>
            </w:pPr>
            <w:r w:rsidRPr="00070B87">
              <w:rPr>
                <w:sz w:val="22"/>
                <w:szCs w:val="22"/>
              </w:rPr>
              <w:t xml:space="preserve">Prípady závažnej hepatálnej dysfunkcie, vrátane </w:t>
            </w:r>
            <w:r w:rsidR="0024336E" w:rsidRPr="00070B87">
              <w:rPr>
                <w:sz w:val="22"/>
                <w:szCs w:val="22"/>
              </w:rPr>
              <w:t xml:space="preserve">zlyhania pečene, </w:t>
            </w:r>
            <w:r w:rsidR="00A65BE8" w:rsidRPr="00070B87">
              <w:rPr>
                <w:sz w:val="22"/>
                <w:szCs w:val="22"/>
              </w:rPr>
              <w:t>zvýšenie</w:t>
            </w:r>
            <w:r w:rsidR="0024336E" w:rsidRPr="00070B87">
              <w:rPr>
                <w:sz w:val="22"/>
                <w:szCs w:val="22"/>
              </w:rPr>
              <w:t xml:space="preserve"> pečeňových enzýmov, </w:t>
            </w:r>
            <w:r w:rsidRPr="00070B87">
              <w:rPr>
                <w:sz w:val="22"/>
                <w:szCs w:val="22"/>
              </w:rPr>
              <w:t xml:space="preserve">žltačky, cholestázy a hepatitídy. Ak dôjde k vzniku hepatálnej dysfunkcie, liečba </w:t>
            </w:r>
            <w:r w:rsidR="0024336E" w:rsidRPr="00070B87">
              <w:rPr>
                <w:sz w:val="22"/>
                <w:szCs w:val="22"/>
              </w:rPr>
              <w:t>ONYCHOMEDOM</w:t>
            </w:r>
            <w:r w:rsidRPr="00070B87">
              <w:rPr>
                <w:sz w:val="22"/>
                <w:szCs w:val="22"/>
              </w:rPr>
              <w:t xml:space="preserve"> sa má prerušiť (pozri tiež časť 4.4). Boli hlásené veľmi zriedkavé prípady závažného zlyhania pečene (niektoré sa skončili smrťou alebo si vyžiadali transplantáciu pečene). Vo väčšine prípadov zlyhania pečene mali pacienti vážne systémové základné ochorenie a príčinná súvislosť s užitím terbinafínu bola neistá.</w:t>
            </w:r>
          </w:p>
        </w:tc>
      </w:tr>
      <w:tr w:rsidR="0024336E" w:rsidRPr="00070B87" w14:paraId="0772C1A8"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4AF72C7E" w14:textId="77777777" w:rsidR="007837C0" w:rsidRPr="00070B87" w:rsidRDefault="00EF4012" w:rsidP="008B5A25">
            <w:pPr>
              <w:pStyle w:val="Styl3"/>
              <w:spacing w:after="0"/>
              <w:jc w:val="left"/>
              <w:rPr>
                <w:sz w:val="22"/>
                <w:szCs w:val="22"/>
              </w:rPr>
            </w:pPr>
            <w:r w:rsidRPr="00070B87">
              <w:rPr>
                <w:sz w:val="22"/>
                <w:szCs w:val="22"/>
                <w:lang w:val="sk-SK" w:eastAsia="en-US"/>
              </w:rPr>
              <w:t>Poruchy kože a podkožného tkaniva</w:t>
            </w:r>
          </w:p>
        </w:tc>
      </w:tr>
      <w:tr w:rsidR="0024336E" w:rsidRPr="00070B87" w14:paraId="073674D7" w14:textId="77777777" w:rsidTr="008B5A25">
        <w:trPr>
          <w:tblCellSpacing w:w="0" w:type="dxa"/>
        </w:trPr>
        <w:tc>
          <w:tcPr>
            <w:tcW w:w="3534" w:type="dxa"/>
            <w:tcBorders>
              <w:top w:val="single" w:sz="4" w:space="0" w:color="auto"/>
              <w:bottom w:val="single" w:sz="4" w:space="0" w:color="auto"/>
            </w:tcBorders>
          </w:tcPr>
          <w:p w14:paraId="587C0260" w14:textId="77777777"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14:paraId="28740D7E" w14:textId="409A3911" w:rsidR="0024336E" w:rsidRPr="00070B87" w:rsidRDefault="00EF4012" w:rsidP="008B5A25">
            <w:pPr>
              <w:pStyle w:val="Normlndobloku"/>
              <w:rPr>
                <w:sz w:val="22"/>
                <w:szCs w:val="22"/>
              </w:rPr>
            </w:pPr>
            <w:r w:rsidRPr="00070B87">
              <w:rPr>
                <w:sz w:val="22"/>
                <w:szCs w:val="22"/>
              </w:rPr>
              <w:t>Menej závažné formy kožných reakcií (vyrážka, urtikária</w:t>
            </w:r>
            <w:r w:rsidR="0024336E" w:rsidRPr="00070B87">
              <w:rPr>
                <w:sz w:val="22"/>
                <w:szCs w:val="22"/>
              </w:rPr>
              <w:t>)</w:t>
            </w:r>
          </w:p>
        </w:tc>
      </w:tr>
      <w:tr w:rsidR="0024336E" w:rsidRPr="00070B87" w14:paraId="41B33C0B" w14:textId="77777777" w:rsidTr="008B5A25">
        <w:trPr>
          <w:tblCellSpacing w:w="0" w:type="dxa"/>
        </w:trPr>
        <w:tc>
          <w:tcPr>
            <w:tcW w:w="3534" w:type="dxa"/>
            <w:tcBorders>
              <w:top w:val="single" w:sz="4" w:space="0" w:color="auto"/>
              <w:bottom w:val="single" w:sz="4" w:space="0" w:color="auto"/>
            </w:tcBorders>
          </w:tcPr>
          <w:p w14:paraId="4F2D1C52" w14:textId="77777777" w:rsidR="0024336E" w:rsidRPr="00070B87" w:rsidRDefault="00EF4012" w:rsidP="008B5A25">
            <w:pPr>
              <w:pStyle w:val="Normlndobloku"/>
              <w:rPr>
                <w:sz w:val="22"/>
                <w:szCs w:val="22"/>
              </w:rPr>
            </w:pPr>
            <w:r w:rsidRPr="00070B87">
              <w:rPr>
                <w:sz w:val="22"/>
                <w:szCs w:val="22"/>
              </w:rPr>
              <w:t>Veľmi zriedkavé</w:t>
            </w:r>
          </w:p>
        </w:tc>
        <w:tc>
          <w:tcPr>
            <w:tcW w:w="5226" w:type="dxa"/>
            <w:tcBorders>
              <w:top w:val="single" w:sz="4" w:space="0" w:color="auto"/>
              <w:bottom w:val="single" w:sz="4" w:space="0" w:color="auto"/>
            </w:tcBorders>
          </w:tcPr>
          <w:p w14:paraId="10A442D2" w14:textId="53B9085A" w:rsidR="0024336E" w:rsidRPr="00070B87" w:rsidRDefault="00EF4012" w:rsidP="008B5A25">
            <w:pPr>
              <w:pStyle w:val="Normlndobloku"/>
              <w:rPr>
                <w:sz w:val="22"/>
                <w:szCs w:val="22"/>
              </w:rPr>
            </w:pPr>
            <w:r w:rsidRPr="00070B87">
              <w:rPr>
                <w:sz w:val="22"/>
                <w:szCs w:val="22"/>
              </w:rPr>
              <w:t>Závažné kožné reakcie (napr.</w:t>
            </w:r>
            <w:r w:rsidR="00717302" w:rsidRPr="00070B87">
              <w:rPr>
                <w:sz w:val="22"/>
                <w:szCs w:val="22"/>
              </w:rPr>
              <w:t> </w:t>
            </w:r>
            <w:r w:rsidR="008D512E" w:rsidRPr="00070B87">
              <w:rPr>
                <w:sz w:val="22"/>
                <w:szCs w:val="22"/>
              </w:rPr>
              <w:t xml:space="preserve">multiformný erytém, </w:t>
            </w:r>
            <w:r w:rsidRPr="00070B87">
              <w:rPr>
                <w:sz w:val="22"/>
                <w:szCs w:val="22"/>
              </w:rPr>
              <w:t>Stevensov-Johnsonov syndróm, toxická epidermálna nekrolýza</w:t>
            </w:r>
            <w:r w:rsidR="0024336E" w:rsidRPr="00070B87">
              <w:rPr>
                <w:sz w:val="22"/>
                <w:szCs w:val="22"/>
              </w:rPr>
              <w:t>)</w:t>
            </w:r>
          </w:p>
          <w:p w14:paraId="08A41B47" w14:textId="7C82370A" w:rsidR="0024336E" w:rsidRPr="00070B87" w:rsidRDefault="0024336E" w:rsidP="008B5A25">
            <w:pPr>
              <w:pStyle w:val="Normlndobloku"/>
              <w:rPr>
                <w:sz w:val="22"/>
                <w:szCs w:val="22"/>
              </w:rPr>
            </w:pPr>
            <w:r w:rsidRPr="00070B87">
              <w:rPr>
                <w:sz w:val="22"/>
                <w:szCs w:val="22"/>
              </w:rPr>
              <w:t>Fotosenzitivita (napr.</w:t>
            </w:r>
            <w:r w:rsidR="00717302" w:rsidRPr="00070B87">
              <w:rPr>
                <w:sz w:val="22"/>
                <w:szCs w:val="22"/>
              </w:rPr>
              <w:t> </w:t>
            </w:r>
            <w:r w:rsidRPr="00070B87">
              <w:rPr>
                <w:sz w:val="22"/>
                <w:szCs w:val="22"/>
              </w:rPr>
              <w:t>fotodermatóza, fotosenzitívna alergická reakcia a polymorfná svetelná erupcia)</w:t>
            </w:r>
          </w:p>
          <w:p w14:paraId="1AB733FC" w14:textId="77777777" w:rsidR="0024336E" w:rsidRPr="00070B87" w:rsidRDefault="0024336E" w:rsidP="008B5A25">
            <w:pPr>
              <w:pStyle w:val="Normlndobloku"/>
              <w:rPr>
                <w:sz w:val="22"/>
                <w:szCs w:val="22"/>
              </w:rPr>
            </w:pPr>
            <w:r w:rsidRPr="00070B87">
              <w:rPr>
                <w:sz w:val="22"/>
                <w:szCs w:val="22"/>
              </w:rPr>
              <w:t>Alopécia</w:t>
            </w:r>
          </w:p>
          <w:p w14:paraId="0151FF13" w14:textId="01F86E87" w:rsidR="0024336E" w:rsidRPr="00070B87" w:rsidRDefault="00EF4012" w:rsidP="008B5A25">
            <w:pPr>
              <w:pStyle w:val="Normlndobloku"/>
              <w:rPr>
                <w:sz w:val="22"/>
                <w:szCs w:val="22"/>
              </w:rPr>
            </w:pPr>
            <w:r w:rsidRPr="00070B87">
              <w:rPr>
                <w:sz w:val="22"/>
                <w:szCs w:val="22"/>
              </w:rPr>
              <w:t>Ak dôjd</w:t>
            </w:r>
            <w:r w:rsidR="008D512E" w:rsidRPr="00070B87">
              <w:rPr>
                <w:sz w:val="22"/>
                <w:szCs w:val="22"/>
              </w:rPr>
              <w:t>e</w:t>
            </w:r>
            <w:r w:rsidRPr="00070B87">
              <w:rPr>
                <w:sz w:val="22"/>
                <w:szCs w:val="22"/>
              </w:rPr>
              <w:t xml:space="preserve"> k vzniku progredujúcej vyrážky, liečbu </w:t>
            </w:r>
            <w:r w:rsidR="0024336E" w:rsidRPr="00070B87">
              <w:rPr>
                <w:sz w:val="22"/>
                <w:szCs w:val="22"/>
              </w:rPr>
              <w:t>ONYCHOMEDOM</w:t>
            </w:r>
            <w:r w:rsidRPr="00070B87">
              <w:rPr>
                <w:sz w:val="22"/>
                <w:szCs w:val="22"/>
              </w:rPr>
              <w:t xml:space="preserve"> treba prerušiť</w:t>
            </w:r>
            <w:r w:rsidR="0024336E" w:rsidRPr="00070B87">
              <w:rPr>
                <w:sz w:val="22"/>
                <w:szCs w:val="22"/>
              </w:rPr>
              <w:t>.</w:t>
            </w:r>
          </w:p>
        </w:tc>
      </w:tr>
      <w:tr w:rsidR="0024336E" w:rsidRPr="00070B87" w14:paraId="58917A85" w14:textId="77777777" w:rsidTr="008B5A25">
        <w:trPr>
          <w:tblCellSpacing w:w="0" w:type="dxa"/>
        </w:trPr>
        <w:tc>
          <w:tcPr>
            <w:tcW w:w="3534" w:type="dxa"/>
            <w:tcBorders>
              <w:top w:val="single" w:sz="4" w:space="0" w:color="auto"/>
              <w:bottom w:val="single" w:sz="4" w:space="0" w:color="auto"/>
            </w:tcBorders>
          </w:tcPr>
          <w:p w14:paraId="1413380F" w14:textId="77777777" w:rsidR="0024336E" w:rsidRPr="00070B87" w:rsidRDefault="00EF4012"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405A5005" w14:textId="77777777" w:rsidR="0024336E" w:rsidRPr="00070B87" w:rsidRDefault="00EF4012" w:rsidP="008B5A25">
            <w:pPr>
              <w:pStyle w:val="Normlndobloku"/>
              <w:rPr>
                <w:sz w:val="22"/>
                <w:szCs w:val="22"/>
              </w:rPr>
            </w:pPr>
            <w:r w:rsidRPr="00070B87">
              <w:rPr>
                <w:sz w:val="22"/>
                <w:szCs w:val="22"/>
              </w:rPr>
              <w:t>Vyrážka podobná psoriáze alebo exacerbácia psoriázy.</w:t>
            </w:r>
          </w:p>
          <w:p w14:paraId="63BCAEF9" w14:textId="612B2E6E" w:rsidR="0024336E" w:rsidRPr="00070B87" w:rsidRDefault="00EF4012" w:rsidP="008B5A25">
            <w:pPr>
              <w:pStyle w:val="Normlndobloku"/>
              <w:rPr>
                <w:sz w:val="22"/>
                <w:szCs w:val="22"/>
              </w:rPr>
            </w:pPr>
            <w:r w:rsidRPr="00070B87">
              <w:rPr>
                <w:sz w:val="22"/>
                <w:szCs w:val="22"/>
              </w:rPr>
              <w:t>Závažné kožné reakcie (napr.</w:t>
            </w:r>
            <w:r w:rsidR="00717302" w:rsidRPr="00070B87">
              <w:rPr>
                <w:sz w:val="22"/>
                <w:szCs w:val="22"/>
              </w:rPr>
              <w:t> </w:t>
            </w:r>
            <w:r w:rsidRPr="00070B87">
              <w:rPr>
                <w:sz w:val="22"/>
                <w:szCs w:val="22"/>
              </w:rPr>
              <w:t>akútny generalizovaný pustulózny exantém</w:t>
            </w:r>
            <w:r w:rsidR="0024336E" w:rsidRPr="00070B87">
              <w:rPr>
                <w:sz w:val="22"/>
                <w:szCs w:val="22"/>
              </w:rPr>
              <w:t xml:space="preserve"> (AGEP)).</w:t>
            </w:r>
          </w:p>
        </w:tc>
      </w:tr>
      <w:tr w:rsidR="0024336E" w:rsidRPr="00070B87" w14:paraId="4D0A0A47"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60162804" w14:textId="77777777" w:rsidR="007837C0" w:rsidRPr="00070B87" w:rsidRDefault="00EF4012" w:rsidP="008B5A25">
            <w:pPr>
              <w:pStyle w:val="Styl3"/>
              <w:spacing w:after="0"/>
              <w:jc w:val="left"/>
              <w:rPr>
                <w:sz w:val="22"/>
                <w:szCs w:val="22"/>
              </w:rPr>
            </w:pPr>
            <w:r w:rsidRPr="00070B87">
              <w:rPr>
                <w:sz w:val="22"/>
                <w:szCs w:val="22"/>
                <w:lang w:val="sk-SK" w:eastAsia="en-US"/>
              </w:rPr>
              <w:t>Poruchy kostrovej a svalovej sústavy a spojivového tkaniva</w:t>
            </w:r>
          </w:p>
        </w:tc>
      </w:tr>
      <w:tr w:rsidR="0024336E" w:rsidRPr="00070B87" w14:paraId="5A21649E" w14:textId="77777777" w:rsidTr="008B5A25">
        <w:trPr>
          <w:tblCellSpacing w:w="0" w:type="dxa"/>
        </w:trPr>
        <w:tc>
          <w:tcPr>
            <w:tcW w:w="3534" w:type="dxa"/>
            <w:tcBorders>
              <w:top w:val="single" w:sz="4" w:space="0" w:color="auto"/>
              <w:bottom w:val="single" w:sz="4" w:space="0" w:color="auto"/>
            </w:tcBorders>
          </w:tcPr>
          <w:p w14:paraId="1539240E" w14:textId="77777777" w:rsidR="0024336E" w:rsidRPr="00070B87" w:rsidRDefault="00EF4012" w:rsidP="008B5A25">
            <w:pPr>
              <w:pStyle w:val="Normlndobloku"/>
              <w:rPr>
                <w:sz w:val="22"/>
                <w:szCs w:val="22"/>
              </w:rPr>
            </w:pPr>
            <w:r w:rsidRPr="00070B87">
              <w:rPr>
                <w:sz w:val="22"/>
                <w:szCs w:val="22"/>
              </w:rPr>
              <w:t>Veľmi časté</w:t>
            </w:r>
          </w:p>
        </w:tc>
        <w:tc>
          <w:tcPr>
            <w:tcW w:w="5226" w:type="dxa"/>
            <w:tcBorders>
              <w:top w:val="single" w:sz="4" w:space="0" w:color="auto"/>
              <w:bottom w:val="single" w:sz="4" w:space="0" w:color="auto"/>
            </w:tcBorders>
          </w:tcPr>
          <w:p w14:paraId="4C28F3E5" w14:textId="77777777" w:rsidR="0024336E" w:rsidRPr="00070B87" w:rsidRDefault="00EF4012" w:rsidP="008B5A25">
            <w:pPr>
              <w:pStyle w:val="Normlndobloku"/>
              <w:rPr>
                <w:sz w:val="22"/>
                <w:szCs w:val="22"/>
              </w:rPr>
            </w:pPr>
            <w:r w:rsidRPr="00070B87">
              <w:rPr>
                <w:sz w:val="22"/>
                <w:szCs w:val="22"/>
              </w:rPr>
              <w:t>Muskuloskeletálne reakcie (artralgia, myalgia). </w:t>
            </w:r>
          </w:p>
        </w:tc>
      </w:tr>
      <w:tr w:rsidR="0024336E" w:rsidRPr="00070B87" w14:paraId="4826A176" w14:textId="77777777" w:rsidTr="007837C0">
        <w:trPr>
          <w:tblCellSpacing w:w="0" w:type="dxa"/>
        </w:trPr>
        <w:tc>
          <w:tcPr>
            <w:tcW w:w="3534" w:type="dxa"/>
            <w:tcBorders>
              <w:top w:val="single" w:sz="4" w:space="0" w:color="auto"/>
              <w:bottom w:val="single" w:sz="4" w:space="0" w:color="auto"/>
            </w:tcBorders>
          </w:tcPr>
          <w:p w14:paraId="4E1DE5BA"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6C02F2B9" w14:textId="77777777" w:rsidR="0024336E" w:rsidRPr="00070B87" w:rsidRDefault="0024336E" w:rsidP="008B5A25">
            <w:pPr>
              <w:pStyle w:val="Normlndobloku"/>
              <w:rPr>
                <w:sz w:val="22"/>
                <w:szCs w:val="22"/>
              </w:rPr>
            </w:pPr>
            <w:r w:rsidRPr="00070B87">
              <w:rPr>
                <w:sz w:val="22"/>
                <w:szCs w:val="22"/>
              </w:rPr>
              <w:t>Rabdomyolýza</w:t>
            </w:r>
          </w:p>
        </w:tc>
      </w:tr>
      <w:tr w:rsidR="0024336E" w:rsidRPr="00070B87" w14:paraId="48027E07" w14:textId="77777777" w:rsidTr="008B5A25">
        <w:trPr>
          <w:tblCellSpacing w:w="0" w:type="dxa"/>
        </w:trPr>
        <w:tc>
          <w:tcPr>
            <w:tcW w:w="8760" w:type="dxa"/>
            <w:gridSpan w:val="2"/>
            <w:tcBorders>
              <w:top w:val="single" w:sz="4" w:space="0" w:color="auto"/>
              <w:left w:val="single" w:sz="6" w:space="0" w:color="auto"/>
              <w:bottom w:val="single" w:sz="4" w:space="0" w:color="auto"/>
              <w:right w:val="single" w:sz="6" w:space="0" w:color="auto"/>
            </w:tcBorders>
          </w:tcPr>
          <w:p w14:paraId="0D0D0842" w14:textId="77777777" w:rsidR="007837C0" w:rsidRPr="00070B87" w:rsidRDefault="00EF4012" w:rsidP="008B5A25">
            <w:pPr>
              <w:pStyle w:val="Styl3"/>
              <w:spacing w:after="0"/>
              <w:jc w:val="left"/>
              <w:rPr>
                <w:sz w:val="22"/>
                <w:szCs w:val="22"/>
              </w:rPr>
            </w:pPr>
            <w:r w:rsidRPr="00070B87">
              <w:rPr>
                <w:sz w:val="22"/>
                <w:szCs w:val="22"/>
                <w:lang w:val="sk-SK" w:eastAsia="en-US"/>
              </w:rPr>
              <w:t>Celkové poruchy a reakcie v mieste podania</w:t>
            </w:r>
          </w:p>
        </w:tc>
      </w:tr>
      <w:tr w:rsidR="0024336E" w:rsidRPr="00070B87" w14:paraId="6FBE6503" w14:textId="77777777" w:rsidTr="008B5A25">
        <w:trPr>
          <w:trHeight w:val="17"/>
          <w:tblCellSpacing w:w="0" w:type="dxa"/>
        </w:trPr>
        <w:tc>
          <w:tcPr>
            <w:tcW w:w="3534" w:type="dxa"/>
            <w:tcBorders>
              <w:top w:val="single" w:sz="4" w:space="0" w:color="auto"/>
              <w:bottom w:val="single" w:sz="4" w:space="0" w:color="auto"/>
            </w:tcBorders>
          </w:tcPr>
          <w:p w14:paraId="22A9B946" w14:textId="77777777" w:rsidR="0024336E" w:rsidRPr="00070B87" w:rsidRDefault="00EF4012" w:rsidP="008B5A25">
            <w:pPr>
              <w:pStyle w:val="Normlndobloku"/>
              <w:rPr>
                <w:sz w:val="22"/>
                <w:szCs w:val="22"/>
              </w:rPr>
            </w:pPr>
            <w:r w:rsidRPr="00070B87">
              <w:rPr>
                <w:sz w:val="22"/>
                <w:szCs w:val="22"/>
              </w:rPr>
              <w:t>Zriedkavé</w:t>
            </w:r>
          </w:p>
        </w:tc>
        <w:tc>
          <w:tcPr>
            <w:tcW w:w="5226" w:type="dxa"/>
            <w:tcBorders>
              <w:top w:val="single" w:sz="4" w:space="0" w:color="auto"/>
              <w:bottom w:val="single" w:sz="4" w:space="0" w:color="auto"/>
            </w:tcBorders>
          </w:tcPr>
          <w:p w14:paraId="64356707" w14:textId="77777777" w:rsidR="0024336E" w:rsidRPr="00070B87" w:rsidRDefault="002A4465" w:rsidP="008B5A25">
            <w:pPr>
              <w:pStyle w:val="Normlndobloku"/>
              <w:rPr>
                <w:sz w:val="22"/>
                <w:szCs w:val="22"/>
                <w:highlight w:val="yellow"/>
              </w:rPr>
            </w:pPr>
            <w:r w:rsidRPr="00070B87">
              <w:rPr>
                <w:sz w:val="22"/>
                <w:szCs w:val="22"/>
              </w:rPr>
              <w:t>Nepokoj</w:t>
            </w:r>
          </w:p>
        </w:tc>
      </w:tr>
      <w:tr w:rsidR="0024336E" w:rsidRPr="00070B87" w14:paraId="43527841" w14:textId="77777777" w:rsidTr="008B5A25">
        <w:trPr>
          <w:tblCellSpacing w:w="0" w:type="dxa"/>
        </w:trPr>
        <w:tc>
          <w:tcPr>
            <w:tcW w:w="3534" w:type="dxa"/>
            <w:tcBorders>
              <w:top w:val="single" w:sz="4" w:space="0" w:color="auto"/>
              <w:bottom w:val="single" w:sz="4" w:space="0" w:color="auto"/>
            </w:tcBorders>
          </w:tcPr>
          <w:p w14:paraId="76360C63" w14:textId="77777777" w:rsidR="0024336E" w:rsidRPr="00070B87" w:rsidRDefault="00EF4012"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12862C2D" w14:textId="77777777" w:rsidR="0024336E" w:rsidRPr="00070B87" w:rsidRDefault="00EF4012" w:rsidP="008B5A25">
            <w:pPr>
              <w:pStyle w:val="Normlndobloku"/>
              <w:rPr>
                <w:sz w:val="22"/>
                <w:szCs w:val="22"/>
              </w:rPr>
            </w:pPr>
            <w:r w:rsidRPr="00070B87">
              <w:rPr>
                <w:sz w:val="22"/>
                <w:szCs w:val="22"/>
              </w:rPr>
              <w:t>Únava</w:t>
            </w:r>
          </w:p>
          <w:p w14:paraId="405977B7" w14:textId="77777777" w:rsidR="0024336E" w:rsidRPr="00070B87" w:rsidRDefault="0024336E" w:rsidP="008B5A25">
            <w:pPr>
              <w:pStyle w:val="Normlndobloku"/>
              <w:rPr>
                <w:sz w:val="22"/>
                <w:szCs w:val="22"/>
              </w:rPr>
            </w:pPr>
            <w:r w:rsidRPr="00070B87">
              <w:rPr>
                <w:sz w:val="22"/>
                <w:szCs w:val="22"/>
              </w:rPr>
              <w:t>Príznaky podobné chrípke, horúčka</w:t>
            </w:r>
          </w:p>
        </w:tc>
      </w:tr>
      <w:tr w:rsidR="0024336E" w:rsidRPr="00070B87" w14:paraId="11FB937D" w14:textId="77777777" w:rsidTr="007837C0">
        <w:trPr>
          <w:tblCellSpacing w:w="0" w:type="dxa"/>
        </w:trPr>
        <w:tc>
          <w:tcPr>
            <w:tcW w:w="8760" w:type="dxa"/>
            <w:gridSpan w:val="2"/>
            <w:tcBorders>
              <w:top w:val="single" w:sz="4" w:space="0" w:color="auto"/>
              <w:bottom w:val="single" w:sz="4" w:space="0" w:color="auto"/>
            </w:tcBorders>
          </w:tcPr>
          <w:p w14:paraId="4DDC281C" w14:textId="77777777" w:rsidR="0024336E" w:rsidRPr="00070B87" w:rsidRDefault="0024336E" w:rsidP="00864FB9">
            <w:pPr>
              <w:pStyle w:val="Styl3"/>
              <w:spacing w:after="0"/>
              <w:jc w:val="left"/>
              <w:rPr>
                <w:sz w:val="22"/>
                <w:szCs w:val="22"/>
                <w:lang w:val="sk-SK" w:eastAsia="en-US"/>
              </w:rPr>
            </w:pPr>
            <w:r w:rsidRPr="00070B87">
              <w:rPr>
                <w:sz w:val="22"/>
                <w:szCs w:val="22"/>
                <w:lang w:val="sk-SK" w:eastAsia="en-US"/>
              </w:rPr>
              <w:t>Laboratórne a funkčné vyšetrenia</w:t>
            </w:r>
          </w:p>
        </w:tc>
      </w:tr>
      <w:tr w:rsidR="0024336E" w:rsidRPr="00070B87" w14:paraId="471C4664" w14:textId="77777777" w:rsidTr="007837C0">
        <w:trPr>
          <w:tblCellSpacing w:w="0" w:type="dxa"/>
        </w:trPr>
        <w:tc>
          <w:tcPr>
            <w:tcW w:w="3534" w:type="dxa"/>
            <w:tcBorders>
              <w:top w:val="single" w:sz="4" w:space="0" w:color="auto"/>
              <w:bottom w:val="single" w:sz="4" w:space="0" w:color="auto"/>
            </w:tcBorders>
          </w:tcPr>
          <w:p w14:paraId="7B55E9AA" w14:textId="77777777" w:rsidR="0024336E" w:rsidRPr="00070B87" w:rsidRDefault="0024336E" w:rsidP="008B5A25">
            <w:pPr>
              <w:pStyle w:val="Normlndobloku"/>
              <w:rPr>
                <w:sz w:val="22"/>
                <w:szCs w:val="22"/>
              </w:rPr>
            </w:pPr>
            <w:r w:rsidRPr="00070B87">
              <w:rPr>
                <w:sz w:val="22"/>
                <w:szCs w:val="22"/>
              </w:rPr>
              <w:t>Neznáme</w:t>
            </w:r>
          </w:p>
        </w:tc>
        <w:tc>
          <w:tcPr>
            <w:tcW w:w="5226" w:type="dxa"/>
            <w:tcBorders>
              <w:top w:val="single" w:sz="4" w:space="0" w:color="auto"/>
              <w:bottom w:val="single" w:sz="4" w:space="0" w:color="auto"/>
            </w:tcBorders>
          </w:tcPr>
          <w:p w14:paraId="29F214FF" w14:textId="50A10A9A" w:rsidR="0024336E" w:rsidRPr="00070B87" w:rsidRDefault="0024336E" w:rsidP="008B5A25">
            <w:pPr>
              <w:pStyle w:val="Normlndobloku"/>
              <w:rPr>
                <w:sz w:val="22"/>
                <w:szCs w:val="22"/>
              </w:rPr>
            </w:pPr>
            <w:r w:rsidRPr="00070B87">
              <w:rPr>
                <w:sz w:val="22"/>
                <w:szCs w:val="22"/>
              </w:rPr>
              <w:t>Zvýšená hladina kreatínfosfokinázy v</w:t>
            </w:r>
            <w:r w:rsidR="00717302" w:rsidRPr="00070B87">
              <w:rPr>
                <w:sz w:val="22"/>
                <w:szCs w:val="22"/>
              </w:rPr>
              <w:t> </w:t>
            </w:r>
            <w:r w:rsidRPr="00070B87">
              <w:rPr>
                <w:sz w:val="22"/>
                <w:szCs w:val="22"/>
              </w:rPr>
              <w:t xml:space="preserve">krvi </w:t>
            </w:r>
          </w:p>
        </w:tc>
      </w:tr>
    </w:tbl>
    <w:p w14:paraId="22C5364F" w14:textId="77777777" w:rsidR="0024336E" w:rsidRPr="00070B87" w:rsidRDefault="0024336E">
      <w:pPr>
        <w:pStyle w:val="Zkladntext"/>
        <w:spacing w:after="0"/>
        <w:rPr>
          <w:sz w:val="22"/>
          <w:u w:val="single"/>
          <w:lang w:val="sk-SK"/>
        </w:rPr>
      </w:pPr>
    </w:p>
    <w:p w14:paraId="02C12F39" w14:textId="77777777" w:rsidR="007837C0" w:rsidRPr="00070B87" w:rsidRDefault="0024336E" w:rsidP="008B5A25">
      <w:pPr>
        <w:pStyle w:val="Styl3"/>
        <w:spacing w:after="0"/>
        <w:jc w:val="left"/>
        <w:rPr>
          <w:sz w:val="22"/>
          <w:szCs w:val="22"/>
          <w:lang w:val="sk-SK"/>
        </w:rPr>
      </w:pPr>
      <w:r w:rsidRPr="00070B87">
        <w:rPr>
          <w:sz w:val="22"/>
          <w:szCs w:val="22"/>
          <w:lang w:val="sk-SK"/>
        </w:rPr>
        <w:t>Hlásenie podozrení na nežiaduce reakcie</w:t>
      </w:r>
    </w:p>
    <w:p w14:paraId="483D4BDD" w14:textId="6DA0F628" w:rsidR="0024336E" w:rsidRPr="00070B87" w:rsidRDefault="00EF4012" w:rsidP="008B5A25">
      <w:pPr>
        <w:pStyle w:val="Normlndobloku"/>
        <w:rPr>
          <w:sz w:val="22"/>
          <w:szCs w:val="22"/>
        </w:rPr>
      </w:pPr>
      <w:r w:rsidRPr="00070B87">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17302" w:rsidRPr="00070B87">
        <w:rPr>
          <w:sz w:val="22"/>
          <w:szCs w:val="22"/>
        </w:rPr>
        <w:t xml:space="preserve"> </w:t>
      </w:r>
      <w:r w:rsidR="00BD3730" w:rsidRPr="00070B87">
        <w:rPr>
          <w:sz w:val="22"/>
          <w:szCs w:val="22"/>
        </w:rPr>
        <w:t>na</w:t>
      </w:r>
      <w:r w:rsidR="0024336E" w:rsidRPr="00070B87">
        <w:rPr>
          <w:sz w:val="22"/>
          <w:szCs w:val="22"/>
        </w:rPr>
        <w:t xml:space="preserve"> </w:t>
      </w:r>
      <w:r w:rsidR="0024336E" w:rsidRPr="00070B87">
        <w:rPr>
          <w:sz w:val="22"/>
          <w:szCs w:val="22"/>
          <w:highlight w:val="lightGray"/>
        </w:rPr>
        <w:t xml:space="preserve">národné </w:t>
      </w:r>
      <w:r w:rsidR="00BD3730" w:rsidRPr="00070B87">
        <w:rPr>
          <w:sz w:val="22"/>
          <w:szCs w:val="22"/>
          <w:highlight w:val="lightGray"/>
        </w:rPr>
        <w:t>centrum</w:t>
      </w:r>
      <w:r w:rsidRPr="00070B87">
        <w:rPr>
          <w:sz w:val="22"/>
          <w:szCs w:val="22"/>
          <w:highlight w:val="lightGray"/>
        </w:rPr>
        <w:t xml:space="preserve"> hlásenia </w:t>
      </w:r>
      <w:r w:rsidR="0024336E" w:rsidRPr="00070B87">
        <w:rPr>
          <w:sz w:val="22"/>
          <w:szCs w:val="22"/>
          <w:highlight w:val="lightGray"/>
        </w:rPr>
        <w:t>uvedené</w:t>
      </w:r>
      <w:r w:rsidRPr="00070B87">
        <w:rPr>
          <w:sz w:val="22"/>
          <w:szCs w:val="22"/>
          <w:highlight w:val="lightGray"/>
        </w:rPr>
        <w:t xml:space="preserve"> v </w:t>
      </w:r>
      <w:hyperlink r:id="rId8" w:history="1">
        <w:r w:rsidRPr="00070B87">
          <w:rPr>
            <w:rStyle w:val="Hypertextovprepojenie"/>
            <w:sz w:val="22"/>
            <w:szCs w:val="22"/>
            <w:highlight w:val="lightGray"/>
          </w:rPr>
          <w:t>Prílohe V</w:t>
        </w:r>
      </w:hyperlink>
      <w:r w:rsidRPr="00070B87">
        <w:rPr>
          <w:sz w:val="22"/>
          <w:szCs w:val="22"/>
        </w:rPr>
        <w:t>.</w:t>
      </w:r>
    </w:p>
    <w:p w14:paraId="729432EE" w14:textId="77777777" w:rsidR="000D12A1" w:rsidRPr="00070B87" w:rsidRDefault="000D12A1" w:rsidP="008B5A25">
      <w:pPr>
        <w:pStyle w:val="Normlndobloku"/>
        <w:rPr>
          <w:sz w:val="22"/>
          <w:szCs w:val="22"/>
        </w:rPr>
      </w:pPr>
    </w:p>
    <w:p w14:paraId="3A72B68B" w14:textId="77777777" w:rsidR="007837C0" w:rsidRPr="00070B87" w:rsidRDefault="0024336E" w:rsidP="008B5A25">
      <w:pPr>
        <w:pStyle w:val="Styl2"/>
        <w:numPr>
          <w:ilvl w:val="1"/>
          <w:numId w:val="1"/>
        </w:numPr>
        <w:spacing w:before="0" w:after="0"/>
        <w:ind w:left="680" w:hanging="680"/>
        <w:rPr>
          <w:szCs w:val="22"/>
          <w:lang w:val="sk-SK"/>
        </w:rPr>
      </w:pPr>
      <w:r w:rsidRPr="00070B87">
        <w:rPr>
          <w:szCs w:val="22"/>
          <w:lang w:val="sk-SK"/>
        </w:rPr>
        <w:t>Predávkovanie</w:t>
      </w:r>
    </w:p>
    <w:p w14:paraId="5DD1C37E" w14:textId="77777777" w:rsidR="0024336E" w:rsidRPr="00070B87" w:rsidRDefault="0024336E" w:rsidP="00864FB9">
      <w:pPr>
        <w:pStyle w:val="Styl2"/>
        <w:numPr>
          <w:ilvl w:val="0"/>
          <w:numId w:val="0"/>
        </w:numPr>
        <w:spacing w:before="0" w:after="0"/>
        <w:rPr>
          <w:szCs w:val="22"/>
          <w:lang w:val="sk-SK"/>
        </w:rPr>
      </w:pPr>
    </w:p>
    <w:p w14:paraId="5345A02C" w14:textId="77777777" w:rsidR="0024336E" w:rsidRPr="00070B87" w:rsidRDefault="00EF4012" w:rsidP="008B5A25">
      <w:pPr>
        <w:pStyle w:val="Normlndobloku"/>
        <w:rPr>
          <w:sz w:val="22"/>
          <w:szCs w:val="22"/>
        </w:rPr>
      </w:pPr>
      <w:r w:rsidRPr="00070B87">
        <w:rPr>
          <w:sz w:val="22"/>
          <w:szCs w:val="22"/>
        </w:rPr>
        <w:t>Bolo hlásených niekoľko prípadov predávkovania (pri dávke až do 5</w:t>
      </w:r>
      <w:r w:rsidRPr="00070B87">
        <w:rPr>
          <w:rFonts w:ascii="Calibri" w:hAnsi="Calibri"/>
          <w:sz w:val="22"/>
          <w:szCs w:val="22"/>
        </w:rPr>
        <w:t> </w:t>
      </w:r>
      <w:r w:rsidRPr="00070B87">
        <w:rPr>
          <w:sz w:val="22"/>
          <w:szCs w:val="22"/>
        </w:rPr>
        <w:t>g), ktoré vyvolalo bolesť hlavy, nauzeu, epigastrickú bolesť a závrat.</w:t>
      </w:r>
    </w:p>
    <w:p w14:paraId="311EAB4D" w14:textId="77777777" w:rsidR="00367B44" w:rsidRPr="00070B87" w:rsidRDefault="00367B44" w:rsidP="008B5A25">
      <w:pPr>
        <w:pStyle w:val="Normlndobloku"/>
        <w:rPr>
          <w:sz w:val="22"/>
          <w:szCs w:val="22"/>
        </w:rPr>
      </w:pPr>
    </w:p>
    <w:p w14:paraId="009E715C" w14:textId="77777777" w:rsidR="0024336E" w:rsidRPr="00070B87" w:rsidRDefault="00EF4012" w:rsidP="008B5A25">
      <w:pPr>
        <w:pStyle w:val="Normlndobloku"/>
        <w:rPr>
          <w:sz w:val="22"/>
          <w:szCs w:val="22"/>
        </w:rPr>
      </w:pPr>
      <w:r w:rsidRPr="00070B87">
        <w:rPr>
          <w:sz w:val="22"/>
          <w:szCs w:val="22"/>
        </w:rPr>
        <w:t>Odporúčaná liečba predávkovania pozostáva z eliminácie liečiva</w:t>
      </w:r>
      <w:r w:rsidR="00365401" w:rsidRPr="00070B87">
        <w:rPr>
          <w:sz w:val="22"/>
          <w:szCs w:val="22"/>
        </w:rPr>
        <w:t>,</w:t>
      </w:r>
      <w:r w:rsidRPr="00070B87">
        <w:rPr>
          <w:sz w:val="22"/>
          <w:szCs w:val="22"/>
        </w:rPr>
        <w:t xml:space="preserve"> predovšetkým podávaním aktívneho uhlia a poskytnutím symptomatickej podpornej terapie, ak je to potrebné.</w:t>
      </w:r>
    </w:p>
    <w:p w14:paraId="596F755E" w14:textId="77777777" w:rsidR="000D12A1" w:rsidRPr="00070B87" w:rsidRDefault="000D12A1" w:rsidP="008B5A25">
      <w:pPr>
        <w:pStyle w:val="Normlndobloku"/>
        <w:rPr>
          <w:sz w:val="22"/>
          <w:szCs w:val="22"/>
        </w:rPr>
      </w:pPr>
    </w:p>
    <w:p w14:paraId="23F671AA" w14:textId="77777777" w:rsidR="000D12A1" w:rsidRPr="00070B87" w:rsidRDefault="000D12A1" w:rsidP="008B5A25">
      <w:pPr>
        <w:pStyle w:val="Normlndobloku"/>
        <w:rPr>
          <w:sz w:val="22"/>
          <w:szCs w:val="22"/>
        </w:rPr>
      </w:pPr>
    </w:p>
    <w:p w14:paraId="407355E2" w14:textId="77777777" w:rsidR="0024336E" w:rsidRPr="00070B87" w:rsidRDefault="0024336E" w:rsidP="008B5A25">
      <w:pPr>
        <w:pStyle w:val="Styl1"/>
        <w:numPr>
          <w:ilvl w:val="0"/>
          <w:numId w:val="1"/>
        </w:numPr>
        <w:spacing w:before="0" w:after="0"/>
        <w:rPr>
          <w:szCs w:val="22"/>
          <w:lang w:val="sk-SK"/>
        </w:rPr>
      </w:pPr>
      <w:r w:rsidRPr="00070B87">
        <w:rPr>
          <w:szCs w:val="22"/>
          <w:lang w:val="sk-SK"/>
        </w:rPr>
        <w:t>FARMAKOLOGICKÉ VLASTNOSTI</w:t>
      </w:r>
    </w:p>
    <w:p w14:paraId="23B291C0" w14:textId="77777777" w:rsidR="000D12A1" w:rsidRPr="00070B87" w:rsidRDefault="000D12A1" w:rsidP="008B5A25">
      <w:pPr>
        <w:pStyle w:val="Styl1"/>
        <w:numPr>
          <w:ilvl w:val="0"/>
          <w:numId w:val="0"/>
        </w:numPr>
        <w:spacing w:before="0" w:after="0"/>
        <w:ind w:left="360"/>
        <w:rPr>
          <w:szCs w:val="22"/>
          <w:lang w:val="sk-SK"/>
        </w:rPr>
      </w:pPr>
    </w:p>
    <w:p w14:paraId="148E33A4"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Farmakodynamické vlastnosti</w:t>
      </w:r>
    </w:p>
    <w:p w14:paraId="2E5FD998" w14:textId="77777777" w:rsidR="0024336E" w:rsidRPr="00070B87" w:rsidRDefault="0024336E" w:rsidP="00864FB9">
      <w:pPr>
        <w:pStyle w:val="Styl2"/>
        <w:numPr>
          <w:ilvl w:val="0"/>
          <w:numId w:val="0"/>
        </w:numPr>
        <w:spacing w:before="0" w:after="0"/>
        <w:rPr>
          <w:szCs w:val="22"/>
          <w:lang w:val="sk-SK"/>
        </w:rPr>
      </w:pPr>
    </w:p>
    <w:p w14:paraId="2E2B6CD8" w14:textId="53103F49" w:rsidR="0024336E" w:rsidRPr="00070B87" w:rsidRDefault="00EF4012" w:rsidP="008B5A25">
      <w:pPr>
        <w:pStyle w:val="Normlndobloku"/>
        <w:rPr>
          <w:sz w:val="22"/>
          <w:szCs w:val="22"/>
        </w:rPr>
      </w:pPr>
      <w:r w:rsidRPr="00070B87">
        <w:rPr>
          <w:sz w:val="22"/>
          <w:szCs w:val="22"/>
        </w:rPr>
        <w:t xml:space="preserve">Farmakoterapeutická skupina: Antimykotiká </w:t>
      </w:r>
      <w:r w:rsidR="007837C0" w:rsidRPr="00070B87">
        <w:rPr>
          <w:sz w:val="22"/>
          <w:szCs w:val="22"/>
        </w:rPr>
        <w:t xml:space="preserve">na dermatologické použitie, Antimykotiká </w:t>
      </w:r>
      <w:r w:rsidRPr="00070B87">
        <w:rPr>
          <w:sz w:val="22"/>
          <w:szCs w:val="22"/>
        </w:rPr>
        <w:t>na systémové použitie, ATC kód: D01BA02</w:t>
      </w:r>
    </w:p>
    <w:p w14:paraId="52FB5F07" w14:textId="77777777" w:rsidR="00367B44" w:rsidRPr="00070B87" w:rsidRDefault="00367B44" w:rsidP="008B5A25">
      <w:pPr>
        <w:pStyle w:val="Normlndobloku"/>
        <w:rPr>
          <w:sz w:val="22"/>
          <w:szCs w:val="22"/>
        </w:rPr>
      </w:pPr>
    </w:p>
    <w:p w14:paraId="1079711A" w14:textId="3158BCF2" w:rsidR="0024336E" w:rsidRPr="00070B87" w:rsidRDefault="00EF4012" w:rsidP="008B5A25">
      <w:pPr>
        <w:pStyle w:val="Normlndobloku"/>
        <w:rPr>
          <w:sz w:val="22"/>
          <w:szCs w:val="22"/>
        </w:rPr>
      </w:pPr>
      <w:r w:rsidRPr="00070B87">
        <w:rPr>
          <w:sz w:val="22"/>
          <w:szCs w:val="22"/>
        </w:rPr>
        <w:t>Terbinafín je alylamín so širokým spektrom antifungálnej účinnosti. V nízkych koncentráciách má terbinafín fungicídny účinok proti dermatofytom, plesniam a dimorfným hubám. Jeho účinok na</w:t>
      </w:r>
      <w:r w:rsidR="00F33E5D" w:rsidRPr="00070B87">
        <w:rPr>
          <w:sz w:val="22"/>
          <w:szCs w:val="22"/>
        </w:rPr>
        <w:t> </w:t>
      </w:r>
      <w:r w:rsidRPr="00070B87">
        <w:rPr>
          <w:sz w:val="22"/>
          <w:szCs w:val="22"/>
        </w:rPr>
        <w:t>kvasinky je fungicídny alebo fungistatický, v závislosti od ich druhu.</w:t>
      </w:r>
    </w:p>
    <w:p w14:paraId="1DF4B8F5" w14:textId="77777777" w:rsidR="00367B44" w:rsidRPr="00070B87" w:rsidRDefault="00367B44" w:rsidP="008B5A25">
      <w:pPr>
        <w:pStyle w:val="Normlndobloku"/>
        <w:rPr>
          <w:sz w:val="22"/>
          <w:szCs w:val="22"/>
        </w:rPr>
      </w:pPr>
    </w:p>
    <w:p w14:paraId="50683F8F" w14:textId="494B9F5E" w:rsidR="0024336E" w:rsidRPr="00070B87" w:rsidRDefault="00EF4012" w:rsidP="008B5A25">
      <w:pPr>
        <w:pStyle w:val="Normlndobloku"/>
        <w:rPr>
          <w:sz w:val="22"/>
          <w:szCs w:val="22"/>
        </w:rPr>
      </w:pPr>
      <w:r w:rsidRPr="00070B87">
        <w:rPr>
          <w:sz w:val="22"/>
          <w:szCs w:val="22"/>
        </w:rPr>
        <w:t>Terbinafín špecifickým spôsobom narúša v hubách biosyntézu sterolov vo včasnom štádiu. To vedie k</w:t>
      </w:r>
      <w:r w:rsidR="00F33E5D" w:rsidRPr="00070B87">
        <w:rPr>
          <w:sz w:val="22"/>
          <w:szCs w:val="22"/>
        </w:rPr>
        <w:t> </w:t>
      </w:r>
      <w:r w:rsidRPr="00070B87">
        <w:rPr>
          <w:sz w:val="22"/>
          <w:szCs w:val="22"/>
        </w:rPr>
        <w:t>nedostatku ergosterolu a hromadeniu skvalénu v bunkách, čo má za následok uhynutie hubových buniek. Účinok terbinafínu je založený na inhibícii skvalénepoxidázy v bunkovej stene húb. Enzým skvalénepoxidáza nesúvisí so systémom cytochrómu P450.</w:t>
      </w:r>
    </w:p>
    <w:p w14:paraId="4A5B1F66" w14:textId="77777777" w:rsidR="00367B44" w:rsidRPr="00070B87" w:rsidRDefault="00367B44" w:rsidP="008B5A25">
      <w:pPr>
        <w:pStyle w:val="Normlndobloku"/>
        <w:rPr>
          <w:sz w:val="22"/>
          <w:szCs w:val="22"/>
        </w:rPr>
      </w:pPr>
    </w:p>
    <w:p w14:paraId="6AE76818" w14:textId="0DD6A4CD" w:rsidR="0024336E" w:rsidRPr="00070B87" w:rsidRDefault="00EF4012" w:rsidP="008B5A25">
      <w:pPr>
        <w:pStyle w:val="Normlndobloku"/>
        <w:rPr>
          <w:sz w:val="22"/>
          <w:szCs w:val="22"/>
        </w:rPr>
      </w:pPr>
      <w:r w:rsidRPr="00070B87">
        <w:rPr>
          <w:sz w:val="22"/>
          <w:szCs w:val="22"/>
        </w:rPr>
        <w:t xml:space="preserve">Perorálne podávaný terbinafín </w:t>
      </w:r>
      <w:r w:rsidR="0024336E" w:rsidRPr="00070B87">
        <w:rPr>
          <w:sz w:val="22"/>
          <w:szCs w:val="22"/>
        </w:rPr>
        <w:t>sa koncentruje v koži v hladinách potrebných pre fungicídnu činnosť</w:t>
      </w:r>
      <w:r w:rsidRPr="00070B87">
        <w:rPr>
          <w:sz w:val="22"/>
          <w:szCs w:val="22"/>
        </w:rPr>
        <w:t>.</w:t>
      </w:r>
    </w:p>
    <w:p w14:paraId="4A9142BA" w14:textId="77777777" w:rsidR="000D12A1" w:rsidRPr="00070B87" w:rsidRDefault="000D12A1" w:rsidP="008B5A25">
      <w:pPr>
        <w:pStyle w:val="Normlndobloku"/>
        <w:rPr>
          <w:sz w:val="22"/>
          <w:szCs w:val="22"/>
        </w:rPr>
      </w:pPr>
    </w:p>
    <w:p w14:paraId="09C3303D" w14:textId="77777777"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Farmakokinetické vlastnosti</w:t>
      </w:r>
    </w:p>
    <w:p w14:paraId="201E3E7F" w14:textId="77777777" w:rsidR="0024336E" w:rsidRPr="00070B87" w:rsidRDefault="0024336E" w:rsidP="00864FB9">
      <w:pPr>
        <w:pStyle w:val="Styl2"/>
        <w:numPr>
          <w:ilvl w:val="0"/>
          <w:numId w:val="0"/>
        </w:numPr>
        <w:spacing w:before="0" w:after="0"/>
        <w:rPr>
          <w:szCs w:val="22"/>
          <w:lang w:val="sk-SK"/>
        </w:rPr>
      </w:pPr>
    </w:p>
    <w:p w14:paraId="435059AA" w14:textId="77777777" w:rsidR="007837C0" w:rsidRPr="00070B87" w:rsidRDefault="0024336E" w:rsidP="008B5A25">
      <w:pPr>
        <w:pStyle w:val="Styl3"/>
        <w:spacing w:after="0"/>
        <w:jc w:val="left"/>
        <w:rPr>
          <w:sz w:val="22"/>
          <w:szCs w:val="22"/>
          <w:lang w:val="sk-SK"/>
        </w:rPr>
      </w:pPr>
      <w:r w:rsidRPr="00070B87">
        <w:rPr>
          <w:sz w:val="22"/>
          <w:szCs w:val="22"/>
          <w:lang w:val="sk-SK"/>
        </w:rPr>
        <w:t>Abso</w:t>
      </w:r>
      <w:r w:rsidRPr="00070B87">
        <w:rPr>
          <w:rStyle w:val="Styl3Char"/>
          <w:sz w:val="22"/>
          <w:szCs w:val="22"/>
          <w:lang w:val="sk-SK"/>
        </w:rPr>
        <w:t>r</w:t>
      </w:r>
      <w:r w:rsidRPr="00070B87">
        <w:rPr>
          <w:sz w:val="22"/>
          <w:szCs w:val="22"/>
          <w:lang w:val="sk-SK"/>
        </w:rPr>
        <w:t>pcia</w:t>
      </w:r>
    </w:p>
    <w:p w14:paraId="7C8CAC31" w14:textId="2D7BE487" w:rsidR="0024336E" w:rsidRPr="00070B87" w:rsidRDefault="00EF4012" w:rsidP="008B5A25">
      <w:pPr>
        <w:pStyle w:val="Normlndobloku"/>
        <w:rPr>
          <w:sz w:val="22"/>
          <w:szCs w:val="22"/>
        </w:rPr>
      </w:pPr>
      <w:r w:rsidRPr="00070B87">
        <w:rPr>
          <w:sz w:val="22"/>
          <w:szCs w:val="22"/>
        </w:rPr>
        <w:t>Po perorálnom podaní je terbinafín dobre absorbovaný (&gt;</w:t>
      </w:r>
      <w:r w:rsidR="00365401" w:rsidRPr="00070B87">
        <w:rPr>
          <w:sz w:val="22"/>
          <w:szCs w:val="22"/>
        </w:rPr>
        <w:t> </w:t>
      </w:r>
      <w:r w:rsidRPr="00070B87">
        <w:rPr>
          <w:sz w:val="22"/>
          <w:szCs w:val="22"/>
        </w:rPr>
        <w:t>70 %) a absolútna biodostupnosť terbinafínu ako výsledok prvého priechodu pečeňou (first-pass metabolism) je cca 50 %. Jednotlivá perorálna dávka 250 mg terbinafínu poskytovala</w:t>
      </w:r>
      <w:r w:rsidR="00853685">
        <w:rPr>
          <w:sz w:val="22"/>
          <w:szCs w:val="22"/>
        </w:rPr>
        <w:t xml:space="preserve"> priemernú </w:t>
      </w:r>
      <w:r w:rsidRPr="00070B87">
        <w:rPr>
          <w:sz w:val="22"/>
          <w:szCs w:val="22"/>
        </w:rPr>
        <w:t xml:space="preserve"> </w:t>
      </w:r>
      <w:r w:rsidR="00853685">
        <w:rPr>
          <w:sz w:val="22"/>
          <w:szCs w:val="22"/>
        </w:rPr>
        <w:t xml:space="preserve">maximálnu plazmatickú koncentráciu </w:t>
      </w:r>
      <w:r w:rsidRPr="00070B87">
        <w:rPr>
          <w:sz w:val="22"/>
          <w:szCs w:val="22"/>
        </w:rPr>
        <w:t xml:space="preserve">1,30 μg/ml v priebehu 1,5 hodiny po podaní. V ustálenom stave v porovnaní s jednotlivou </w:t>
      </w:r>
      <w:r w:rsidRPr="00853685">
        <w:rPr>
          <w:sz w:val="22"/>
          <w:szCs w:val="22"/>
        </w:rPr>
        <w:t xml:space="preserve">dávkou je </w:t>
      </w:r>
      <w:r w:rsidR="00853685" w:rsidRPr="00853685">
        <w:rPr>
          <w:sz w:val="22"/>
          <w:szCs w:val="22"/>
        </w:rPr>
        <w:t>maximálna</w:t>
      </w:r>
      <w:r w:rsidRPr="00853685">
        <w:rPr>
          <w:sz w:val="22"/>
          <w:szCs w:val="22"/>
        </w:rPr>
        <w:t xml:space="preserve"> koncentrácia terbinafínu priemerne o 25 % vyššia a plazmatická AUC sa zvýšila o faktor</w:t>
      </w:r>
      <w:r w:rsidRPr="00070B87">
        <w:rPr>
          <w:sz w:val="22"/>
          <w:szCs w:val="22"/>
        </w:rPr>
        <w:t xml:space="preserve"> 2,3. Zo zvýšenia plazmatickej AUC je možné vypočítať efektívny polčas cca 30 hodín. Biodostupnosť terbinafínu je mierne ovplyvnená jedlom (zvýšenie AUC o menej ako 20 %), čo nie je dosť na to, aby sa požadovalo nastavenie dávky.</w:t>
      </w:r>
    </w:p>
    <w:p w14:paraId="3BB6C10C" w14:textId="77777777" w:rsidR="00367B44" w:rsidRPr="00070B87" w:rsidRDefault="00367B44" w:rsidP="008B5A25">
      <w:pPr>
        <w:pStyle w:val="Normlndobloku"/>
        <w:rPr>
          <w:sz w:val="22"/>
          <w:szCs w:val="22"/>
        </w:rPr>
      </w:pPr>
    </w:p>
    <w:p w14:paraId="6D18BCE7" w14:textId="77777777" w:rsidR="0024336E" w:rsidRPr="00070B87" w:rsidRDefault="0024336E" w:rsidP="008B5A25">
      <w:pPr>
        <w:pStyle w:val="Styl3"/>
        <w:spacing w:after="0"/>
        <w:jc w:val="left"/>
        <w:rPr>
          <w:sz w:val="22"/>
          <w:szCs w:val="22"/>
          <w:lang w:val="sk-SK"/>
        </w:rPr>
      </w:pPr>
      <w:r w:rsidRPr="00070B87">
        <w:rPr>
          <w:sz w:val="22"/>
          <w:szCs w:val="22"/>
          <w:lang w:val="sk-SK"/>
        </w:rPr>
        <w:t>Distribúcia</w:t>
      </w:r>
    </w:p>
    <w:p w14:paraId="6913D80F" w14:textId="77777777" w:rsidR="0024336E" w:rsidRPr="00070B87" w:rsidRDefault="00EF4012" w:rsidP="008B5A25">
      <w:pPr>
        <w:pStyle w:val="Normlndobloku"/>
        <w:rPr>
          <w:sz w:val="22"/>
          <w:szCs w:val="22"/>
        </w:rPr>
      </w:pPr>
      <w:r w:rsidRPr="00070B87">
        <w:rPr>
          <w:sz w:val="22"/>
          <w:szCs w:val="22"/>
        </w:rPr>
        <w:t xml:space="preserve">Terbinafín sa intenzívne viaže na plazmatické proteíny. Rýchlo prechádza cez kožu a koncentruje sa v lipofilnom </w:t>
      </w:r>
      <w:r w:rsidR="0024336E" w:rsidRPr="00070B87">
        <w:rPr>
          <w:rStyle w:val="Bacil"/>
          <w:sz w:val="22"/>
          <w:szCs w:val="22"/>
        </w:rPr>
        <w:t>stratum corneum</w:t>
      </w:r>
      <w:r w:rsidRPr="00070B87">
        <w:rPr>
          <w:sz w:val="22"/>
          <w:szCs w:val="22"/>
        </w:rPr>
        <w:t>. Terbinafín sa tiež vylučuje do kožného mazu a dosahuje sa vysoká koncentrácia vo vlasovom folikule, vlasoch a miestach kože bohatých na vlasové folikule. Sú dôkazy, že sa terbinafín distribuuje aj do nechtov v priebehu prvých niekoľko týždňov po začatí liečby.</w:t>
      </w:r>
    </w:p>
    <w:p w14:paraId="3954B840" w14:textId="77777777" w:rsidR="00367B44" w:rsidRPr="00070B87" w:rsidRDefault="00367B44" w:rsidP="008B5A25">
      <w:pPr>
        <w:pStyle w:val="Normlndobloku"/>
        <w:rPr>
          <w:sz w:val="22"/>
          <w:szCs w:val="22"/>
        </w:rPr>
      </w:pPr>
    </w:p>
    <w:p w14:paraId="022D524F" w14:textId="77777777" w:rsidR="0024336E" w:rsidRPr="00070B87" w:rsidRDefault="0024336E" w:rsidP="008B5A25">
      <w:pPr>
        <w:pStyle w:val="Styl3"/>
        <w:spacing w:after="0"/>
        <w:jc w:val="left"/>
        <w:rPr>
          <w:sz w:val="22"/>
          <w:szCs w:val="22"/>
          <w:lang w:val="sk-SK"/>
        </w:rPr>
      </w:pPr>
      <w:r w:rsidRPr="00070B87">
        <w:rPr>
          <w:sz w:val="22"/>
          <w:szCs w:val="22"/>
          <w:lang w:val="sk-SK"/>
        </w:rPr>
        <w:t>Biotransformácia</w:t>
      </w:r>
    </w:p>
    <w:p w14:paraId="1FBB591F" w14:textId="77777777" w:rsidR="00367B44" w:rsidRPr="00070B87" w:rsidRDefault="00EF4012" w:rsidP="008B5A25">
      <w:pPr>
        <w:pStyle w:val="Normlndobloku"/>
        <w:rPr>
          <w:sz w:val="22"/>
          <w:szCs w:val="22"/>
        </w:rPr>
      </w:pPr>
      <w:r w:rsidRPr="00070B87">
        <w:rPr>
          <w:sz w:val="22"/>
          <w:szCs w:val="22"/>
        </w:rPr>
        <w:t>Terbinafín je rýchlo a intenzívne metabolizovaný najmenej siedmimi CYP izoenzýmami, s najväčším podielom CYP2C9, CYP1A2, CYP3A4, CYP2C8 a CYP2C19.</w:t>
      </w:r>
    </w:p>
    <w:p w14:paraId="7156CB7C" w14:textId="1B6B6ADA" w:rsidR="0024336E" w:rsidRPr="00070B87" w:rsidRDefault="00EF4012" w:rsidP="008B5A25">
      <w:pPr>
        <w:pStyle w:val="Normlndobloku"/>
        <w:rPr>
          <w:sz w:val="22"/>
          <w:szCs w:val="22"/>
        </w:rPr>
      </w:pPr>
      <w:r w:rsidRPr="00070B87">
        <w:rPr>
          <w:sz w:val="22"/>
          <w:szCs w:val="22"/>
        </w:rPr>
        <w:t xml:space="preserve"> </w:t>
      </w:r>
    </w:p>
    <w:p w14:paraId="29C940FF" w14:textId="77777777" w:rsidR="0024336E" w:rsidRPr="00070B87" w:rsidRDefault="0024336E" w:rsidP="008B5A25">
      <w:pPr>
        <w:pStyle w:val="Styl3"/>
        <w:spacing w:after="0"/>
        <w:jc w:val="left"/>
        <w:rPr>
          <w:sz w:val="22"/>
          <w:szCs w:val="22"/>
          <w:lang w:val="sk-SK"/>
        </w:rPr>
      </w:pPr>
      <w:r w:rsidRPr="00070B87">
        <w:rPr>
          <w:sz w:val="22"/>
          <w:szCs w:val="22"/>
          <w:lang w:val="sk-SK"/>
        </w:rPr>
        <w:t>Eliminácia</w:t>
      </w:r>
    </w:p>
    <w:p w14:paraId="28CF2E4F" w14:textId="77777777" w:rsidR="0024336E" w:rsidRPr="00070B87" w:rsidRDefault="00EF4012" w:rsidP="008B5A25">
      <w:pPr>
        <w:pStyle w:val="Normlndobloku"/>
        <w:rPr>
          <w:sz w:val="22"/>
          <w:szCs w:val="22"/>
        </w:rPr>
      </w:pPr>
      <w:r w:rsidRPr="00070B87">
        <w:rPr>
          <w:sz w:val="22"/>
          <w:szCs w:val="22"/>
        </w:rPr>
        <w:t>Biotransformácia poskytuje metabolity bez antifungálnej aktivity, ktoré sa vylučujú zväčša močom.</w:t>
      </w:r>
    </w:p>
    <w:p w14:paraId="2F3064F7" w14:textId="77777777" w:rsidR="00367B44" w:rsidRPr="00070B87" w:rsidRDefault="00367B44" w:rsidP="008B5A25">
      <w:pPr>
        <w:pStyle w:val="Normlndobloku"/>
        <w:rPr>
          <w:sz w:val="22"/>
          <w:szCs w:val="22"/>
        </w:rPr>
      </w:pPr>
    </w:p>
    <w:p w14:paraId="6E9E3085" w14:textId="77777777" w:rsidR="0024336E" w:rsidRPr="00070B87" w:rsidRDefault="0024336E" w:rsidP="008B5A25">
      <w:pPr>
        <w:pStyle w:val="Styl3"/>
        <w:spacing w:after="0"/>
        <w:jc w:val="left"/>
        <w:rPr>
          <w:sz w:val="22"/>
          <w:szCs w:val="22"/>
          <w:lang w:val="sk-SK"/>
        </w:rPr>
      </w:pPr>
      <w:r w:rsidRPr="00070B87">
        <w:rPr>
          <w:sz w:val="22"/>
          <w:szCs w:val="22"/>
          <w:lang w:val="sk-SK"/>
        </w:rPr>
        <w:t>Špeciálne skupiny pacientov</w:t>
      </w:r>
    </w:p>
    <w:p w14:paraId="45B84185" w14:textId="69FB76EB" w:rsidR="0024336E" w:rsidRPr="00070B87" w:rsidRDefault="00EF4012" w:rsidP="008B5A25">
      <w:pPr>
        <w:pStyle w:val="Normlndobloku"/>
        <w:rPr>
          <w:sz w:val="22"/>
          <w:szCs w:val="22"/>
        </w:rPr>
      </w:pPr>
      <w:r w:rsidRPr="00070B87">
        <w:rPr>
          <w:sz w:val="22"/>
          <w:szCs w:val="22"/>
        </w:rPr>
        <w:t>Neboli pozorované žiadne na veku závislé klinicky relevantné zmeny farmakokinetiky, iba rýchlosť eliminácie môže byť znížená u pacientov s</w:t>
      </w:r>
      <w:r w:rsidR="00717302" w:rsidRPr="00070B87">
        <w:rPr>
          <w:sz w:val="22"/>
          <w:szCs w:val="22"/>
        </w:rPr>
        <w:t> </w:t>
      </w:r>
      <w:r w:rsidR="0024336E" w:rsidRPr="00070B87">
        <w:rPr>
          <w:sz w:val="22"/>
          <w:szCs w:val="22"/>
        </w:rPr>
        <w:t>poruchou funkcie</w:t>
      </w:r>
      <w:r w:rsidRPr="00070B87">
        <w:rPr>
          <w:sz w:val="22"/>
          <w:szCs w:val="22"/>
        </w:rPr>
        <w:t xml:space="preserve"> obličiek alebo pečene, čo vedie k vyšším hladinám terbinafínu v krvi.</w:t>
      </w:r>
    </w:p>
    <w:p w14:paraId="48B6780A" w14:textId="77777777" w:rsidR="00367B44" w:rsidRPr="00070B87" w:rsidRDefault="00367B44" w:rsidP="008B5A25">
      <w:pPr>
        <w:pStyle w:val="Normlndobloku"/>
        <w:rPr>
          <w:sz w:val="22"/>
          <w:szCs w:val="22"/>
        </w:rPr>
      </w:pPr>
    </w:p>
    <w:p w14:paraId="1B27E09E" w14:textId="16BD2865" w:rsidR="0024336E" w:rsidRPr="00070B87" w:rsidRDefault="00EF4012" w:rsidP="008B5A25">
      <w:pPr>
        <w:pStyle w:val="Normlndobloku"/>
        <w:rPr>
          <w:sz w:val="22"/>
          <w:szCs w:val="22"/>
        </w:rPr>
      </w:pPr>
      <w:r w:rsidRPr="00070B87">
        <w:rPr>
          <w:sz w:val="22"/>
          <w:szCs w:val="22"/>
        </w:rPr>
        <w:t>Farmakokinetické štúdie po jednej dávke u pacientov s</w:t>
      </w:r>
      <w:r w:rsidR="00717302" w:rsidRPr="00070B87">
        <w:rPr>
          <w:sz w:val="22"/>
          <w:szCs w:val="22"/>
        </w:rPr>
        <w:t> </w:t>
      </w:r>
      <w:r w:rsidR="0024336E" w:rsidRPr="00070B87">
        <w:rPr>
          <w:sz w:val="22"/>
          <w:szCs w:val="22"/>
        </w:rPr>
        <w:t>poruchou funkcie</w:t>
      </w:r>
      <w:r w:rsidRPr="00070B87">
        <w:rPr>
          <w:sz w:val="22"/>
          <w:szCs w:val="22"/>
        </w:rPr>
        <w:t xml:space="preserve"> obličiek (</w:t>
      </w:r>
      <w:r w:rsidR="0037704E" w:rsidRPr="00070B87">
        <w:rPr>
          <w:sz w:val="22"/>
          <w:szCs w:val="22"/>
        </w:rPr>
        <w:t>klírens kreatinínu</w:t>
      </w:r>
      <w:r w:rsidRPr="00070B87">
        <w:rPr>
          <w:sz w:val="22"/>
          <w:szCs w:val="22"/>
        </w:rPr>
        <w:t xml:space="preserve"> &lt;</w:t>
      </w:r>
      <w:r w:rsidR="0037704E" w:rsidRPr="00070B87">
        <w:rPr>
          <w:sz w:val="22"/>
          <w:szCs w:val="22"/>
        </w:rPr>
        <w:t> </w:t>
      </w:r>
      <w:r w:rsidRPr="00070B87">
        <w:rPr>
          <w:sz w:val="22"/>
          <w:szCs w:val="22"/>
        </w:rPr>
        <w:t xml:space="preserve">50 ml/min) alebo s preexistujúcim </w:t>
      </w:r>
      <w:r w:rsidR="0024336E" w:rsidRPr="00070B87">
        <w:rPr>
          <w:sz w:val="22"/>
          <w:szCs w:val="22"/>
        </w:rPr>
        <w:t>ochorením</w:t>
      </w:r>
      <w:r w:rsidRPr="00070B87">
        <w:rPr>
          <w:sz w:val="22"/>
          <w:szCs w:val="22"/>
        </w:rPr>
        <w:t xml:space="preserve"> pečene preukázali znížen</w:t>
      </w:r>
      <w:r w:rsidR="0037704E" w:rsidRPr="00070B87">
        <w:rPr>
          <w:sz w:val="22"/>
          <w:szCs w:val="22"/>
        </w:rPr>
        <w:t>ý</w:t>
      </w:r>
      <w:r w:rsidRPr="00070B87">
        <w:rPr>
          <w:sz w:val="22"/>
          <w:szCs w:val="22"/>
        </w:rPr>
        <w:t xml:space="preserve"> </w:t>
      </w:r>
      <w:r w:rsidR="0037704E" w:rsidRPr="00070B87">
        <w:rPr>
          <w:sz w:val="22"/>
          <w:szCs w:val="22"/>
        </w:rPr>
        <w:t>klírens</w:t>
      </w:r>
      <w:r w:rsidRPr="00070B87">
        <w:rPr>
          <w:sz w:val="22"/>
          <w:szCs w:val="22"/>
        </w:rPr>
        <w:t xml:space="preserve"> terbinafínu o približne 50 %.</w:t>
      </w:r>
    </w:p>
    <w:p w14:paraId="63E0BDBA" w14:textId="77777777" w:rsidR="000D12A1" w:rsidRPr="00070B87" w:rsidRDefault="000D12A1" w:rsidP="008B5A25">
      <w:pPr>
        <w:pStyle w:val="Normlndobloku"/>
        <w:rPr>
          <w:sz w:val="22"/>
          <w:szCs w:val="22"/>
        </w:rPr>
      </w:pPr>
    </w:p>
    <w:p w14:paraId="3FDB687B" w14:textId="77777777"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Predklinické údaje o bezpečnosti</w:t>
      </w:r>
    </w:p>
    <w:p w14:paraId="5F43FD57" w14:textId="77777777" w:rsidR="0024336E" w:rsidRPr="00070B87" w:rsidRDefault="0024336E" w:rsidP="00864FB9">
      <w:pPr>
        <w:pStyle w:val="Styl2"/>
        <w:numPr>
          <w:ilvl w:val="0"/>
          <w:numId w:val="0"/>
        </w:numPr>
        <w:spacing w:before="0" w:after="0"/>
        <w:rPr>
          <w:szCs w:val="22"/>
          <w:lang w:val="sk-SK"/>
        </w:rPr>
      </w:pPr>
    </w:p>
    <w:p w14:paraId="4E5AD775" w14:textId="77777777" w:rsidR="0024336E" w:rsidRPr="00070B87" w:rsidRDefault="00EF4012" w:rsidP="008B5A25">
      <w:pPr>
        <w:pStyle w:val="Normlndobloku"/>
        <w:rPr>
          <w:sz w:val="22"/>
          <w:szCs w:val="22"/>
        </w:rPr>
      </w:pPr>
      <w:r w:rsidRPr="00070B87">
        <w:rPr>
          <w:sz w:val="22"/>
          <w:szCs w:val="22"/>
        </w:rPr>
        <w:t>V dlhodobých štúdiách (do 1</w:t>
      </w:r>
      <w:r w:rsidRPr="00070B87">
        <w:rPr>
          <w:rFonts w:ascii="Calibri" w:hAnsi="Calibri"/>
          <w:sz w:val="22"/>
          <w:szCs w:val="22"/>
        </w:rPr>
        <w:t> </w:t>
      </w:r>
      <w:r w:rsidRPr="00070B87">
        <w:rPr>
          <w:sz w:val="22"/>
          <w:szCs w:val="22"/>
        </w:rPr>
        <w:t>roka) na potkanoch a psoch sa nepozorovali výrazné toxické účinky ani u jedného druhu pri perorálnych dávkach až približne 100</w:t>
      </w:r>
      <w:r w:rsidRPr="00070B87">
        <w:rPr>
          <w:rFonts w:ascii="Calibri" w:hAnsi="Calibri"/>
          <w:sz w:val="22"/>
          <w:szCs w:val="22"/>
        </w:rPr>
        <w:t> </w:t>
      </w:r>
      <w:r w:rsidRPr="00070B87">
        <w:rPr>
          <w:sz w:val="22"/>
          <w:szCs w:val="22"/>
        </w:rPr>
        <w:t>mg/kg denne. Pri vysokých perorálnych dávkach sa zistilo, že potenciálnymi cieľovými orgánmi sú pečeň a možno aj obličky.</w:t>
      </w:r>
    </w:p>
    <w:p w14:paraId="0E089014" w14:textId="77777777" w:rsidR="00367B44" w:rsidRPr="00070B87" w:rsidRDefault="00367B44" w:rsidP="008B5A25">
      <w:pPr>
        <w:pStyle w:val="Normlndobloku"/>
        <w:rPr>
          <w:sz w:val="22"/>
          <w:szCs w:val="22"/>
        </w:rPr>
      </w:pPr>
    </w:p>
    <w:p w14:paraId="798C0A4E" w14:textId="7B9D2EDB" w:rsidR="0024336E" w:rsidRPr="00070B87" w:rsidRDefault="00EF4012" w:rsidP="008B5A25">
      <w:pPr>
        <w:pStyle w:val="Normlndobloku"/>
        <w:rPr>
          <w:sz w:val="22"/>
          <w:szCs w:val="22"/>
        </w:rPr>
      </w:pPr>
      <w:r w:rsidRPr="00070B87">
        <w:rPr>
          <w:sz w:val="22"/>
          <w:szCs w:val="22"/>
        </w:rPr>
        <w:t>Pri výskume karcinogenity trvajúcom 2</w:t>
      </w:r>
      <w:r w:rsidRPr="00070B87">
        <w:rPr>
          <w:rFonts w:ascii="Calibri" w:hAnsi="Calibri"/>
          <w:sz w:val="22"/>
          <w:szCs w:val="22"/>
        </w:rPr>
        <w:t> </w:t>
      </w:r>
      <w:r w:rsidRPr="00070B87">
        <w:rPr>
          <w:sz w:val="22"/>
          <w:szCs w:val="22"/>
        </w:rPr>
        <w:t>roky sa nezaznamenali pri perorálnom podávaní myšiam žiadne neoplastické alebo iné abnormálne nálezy, ktoré by sa dali pripísať podávaniu liečiva v dávkach až 130</w:t>
      </w:r>
      <w:r w:rsidRPr="00070B87">
        <w:rPr>
          <w:rFonts w:ascii="Calibri" w:hAnsi="Calibri"/>
          <w:sz w:val="22"/>
          <w:szCs w:val="22"/>
        </w:rPr>
        <w:t> </w:t>
      </w:r>
      <w:r w:rsidRPr="00070B87">
        <w:rPr>
          <w:sz w:val="22"/>
          <w:szCs w:val="22"/>
        </w:rPr>
        <w:t>(samce) a 156</w:t>
      </w:r>
      <w:r w:rsidRPr="00070B87">
        <w:rPr>
          <w:rFonts w:ascii="Calibri" w:hAnsi="Calibri"/>
          <w:sz w:val="22"/>
          <w:szCs w:val="22"/>
        </w:rPr>
        <w:t> </w:t>
      </w:r>
      <w:r w:rsidRPr="00070B87">
        <w:rPr>
          <w:sz w:val="22"/>
          <w:szCs w:val="22"/>
        </w:rPr>
        <w:t xml:space="preserve">(samice) mg/kg denne. Pri výskume karcinogenity trvajúcom 2 roky </w:t>
      </w:r>
      <w:r w:rsidRPr="00853685">
        <w:rPr>
          <w:sz w:val="22"/>
          <w:szCs w:val="22"/>
        </w:rPr>
        <w:t>sa pri perorálnom podávaní potkanom pozoroval zvýšený výskyt nádorov pečene u samcov pri</w:t>
      </w:r>
      <w:r w:rsidR="00F33E5D" w:rsidRPr="00853685">
        <w:rPr>
          <w:sz w:val="22"/>
          <w:szCs w:val="22"/>
        </w:rPr>
        <w:t> </w:t>
      </w:r>
      <w:r w:rsidRPr="00853685">
        <w:rPr>
          <w:sz w:val="22"/>
          <w:szCs w:val="22"/>
        </w:rPr>
        <w:t xml:space="preserve">najvyššej </w:t>
      </w:r>
      <w:r w:rsidR="009A0D38" w:rsidRPr="00853685">
        <w:rPr>
          <w:sz w:val="22"/>
          <w:szCs w:val="22"/>
        </w:rPr>
        <w:t>dávke</w:t>
      </w:r>
      <w:r w:rsidRPr="00853685">
        <w:rPr>
          <w:sz w:val="22"/>
          <w:szCs w:val="22"/>
        </w:rPr>
        <w:t xml:space="preserve"> 69</w:t>
      </w:r>
      <w:r w:rsidRPr="00853685">
        <w:rPr>
          <w:rFonts w:ascii="Calibri" w:hAnsi="Calibri"/>
          <w:sz w:val="22"/>
          <w:szCs w:val="22"/>
        </w:rPr>
        <w:t> </w:t>
      </w:r>
      <w:r w:rsidRPr="00853685">
        <w:rPr>
          <w:sz w:val="22"/>
          <w:szCs w:val="22"/>
        </w:rPr>
        <w:t>mg/kg denne. Ukázalo sa, že zmeny, ktoré možno súvisia s proliferáciou peroxizómov, sú druhovo</w:t>
      </w:r>
      <w:r w:rsidRPr="00070B87">
        <w:rPr>
          <w:sz w:val="22"/>
          <w:szCs w:val="22"/>
        </w:rPr>
        <w:t xml:space="preserve"> špecifické, pretože sa nezistili pri výskume karcinogenity na myšiach, psoch alebo opiciach.</w:t>
      </w:r>
    </w:p>
    <w:p w14:paraId="0C7457A3" w14:textId="77777777" w:rsidR="00367B44" w:rsidRPr="00070B87" w:rsidRDefault="00367B44" w:rsidP="008B5A25">
      <w:pPr>
        <w:pStyle w:val="Normlndobloku"/>
        <w:rPr>
          <w:sz w:val="22"/>
          <w:szCs w:val="22"/>
        </w:rPr>
      </w:pPr>
    </w:p>
    <w:p w14:paraId="6652C115" w14:textId="77777777" w:rsidR="0024336E" w:rsidRPr="00070B87" w:rsidRDefault="00EF4012" w:rsidP="008B5A25">
      <w:pPr>
        <w:pStyle w:val="Normlndobloku"/>
        <w:rPr>
          <w:sz w:val="22"/>
          <w:szCs w:val="22"/>
        </w:rPr>
      </w:pPr>
      <w:r w:rsidRPr="00070B87">
        <w:rPr>
          <w:sz w:val="22"/>
          <w:szCs w:val="22"/>
        </w:rPr>
        <w:t>Počas skúmania vysokých dávok podávaných opiciam sa pri vyšších dávkach (hladina bez toxických príznakov 50</w:t>
      </w:r>
      <w:r w:rsidRPr="00070B87">
        <w:rPr>
          <w:rFonts w:ascii="Calibri" w:hAnsi="Calibri"/>
          <w:sz w:val="22"/>
          <w:szCs w:val="22"/>
        </w:rPr>
        <w:t> </w:t>
      </w:r>
      <w:r w:rsidRPr="00070B87">
        <w:rPr>
          <w:sz w:val="22"/>
          <w:szCs w:val="22"/>
        </w:rPr>
        <w:t>mg/kg) pozorovali refrakčné nepravidelnosti v sietnici. Tieto nepravidelnosti sa dávali do súvislosti s prítomnosťou metabolitu terbinafínu v očnom tkanive a vymizli po vysadení liečiva. Nespájali sa s histologickými zmenami.</w:t>
      </w:r>
    </w:p>
    <w:p w14:paraId="0FC63DAA" w14:textId="77777777" w:rsidR="00367B44" w:rsidRPr="00070B87" w:rsidRDefault="00367B44" w:rsidP="008B5A25">
      <w:pPr>
        <w:pStyle w:val="Normlndobloku"/>
        <w:rPr>
          <w:sz w:val="22"/>
          <w:szCs w:val="22"/>
        </w:rPr>
      </w:pPr>
    </w:p>
    <w:p w14:paraId="43385FF9" w14:textId="77777777" w:rsidR="0024336E" w:rsidRPr="00070B87" w:rsidRDefault="00EF4012" w:rsidP="008B5A25">
      <w:pPr>
        <w:pStyle w:val="Normlndobloku"/>
        <w:rPr>
          <w:sz w:val="22"/>
          <w:szCs w:val="22"/>
        </w:rPr>
      </w:pPr>
      <w:r w:rsidRPr="00070B87">
        <w:rPr>
          <w:sz w:val="22"/>
          <w:szCs w:val="22"/>
        </w:rPr>
        <w:t>Štandardn</w:t>
      </w:r>
      <w:r w:rsidR="0024336E" w:rsidRPr="00070B87">
        <w:rPr>
          <w:sz w:val="22"/>
          <w:szCs w:val="22"/>
        </w:rPr>
        <w:t>ou</w:t>
      </w:r>
      <w:r w:rsidRPr="00070B87">
        <w:rPr>
          <w:sz w:val="22"/>
          <w:szCs w:val="22"/>
        </w:rPr>
        <w:t xml:space="preserve"> </w:t>
      </w:r>
      <w:r w:rsidR="0024336E" w:rsidRPr="00070B87">
        <w:rPr>
          <w:sz w:val="22"/>
          <w:szCs w:val="22"/>
        </w:rPr>
        <w:t>sériou</w:t>
      </w:r>
      <w:r w:rsidRPr="00070B87">
        <w:rPr>
          <w:sz w:val="22"/>
          <w:szCs w:val="22"/>
        </w:rPr>
        <w:t xml:space="preserve"> testov genotoxicity </w:t>
      </w:r>
      <w:r w:rsidR="0024336E" w:rsidRPr="00070B87">
        <w:rPr>
          <w:rStyle w:val="Bacil"/>
          <w:sz w:val="22"/>
          <w:szCs w:val="22"/>
        </w:rPr>
        <w:t>in vitro</w:t>
      </w:r>
      <w:r w:rsidRPr="00070B87">
        <w:rPr>
          <w:sz w:val="22"/>
          <w:szCs w:val="22"/>
        </w:rPr>
        <w:t xml:space="preserve"> a </w:t>
      </w:r>
      <w:r w:rsidR="0024336E" w:rsidRPr="00070B87">
        <w:rPr>
          <w:rStyle w:val="Bacil"/>
          <w:sz w:val="22"/>
          <w:szCs w:val="22"/>
        </w:rPr>
        <w:t>in vivo</w:t>
      </w:r>
      <w:r w:rsidRPr="00070B87">
        <w:rPr>
          <w:sz w:val="22"/>
          <w:szCs w:val="22"/>
        </w:rPr>
        <w:t xml:space="preserve"> </w:t>
      </w:r>
      <w:r w:rsidR="0024336E" w:rsidRPr="00070B87">
        <w:rPr>
          <w:sz w:val="22"/>
          <w:szCs w:val="22"/>
        </w:rPr>
        <w:t xml:space="preserve">sa nedokázal </w:t>
      </w:r>
      <w:r w:rsidRPr="00070B87">
        <w:rPr>
          <w:sz w:val="22"/>
          <w:szCs w:val="22"/>
        </w:rPr>
        <w:t>mutagénn</w:t>
      </w:r>
      <w:r w:rsidR="0024336E" w:rsidRPr="00070B87">
        <w:rPr>
          <w:sz w:val="22"/>
          <w:szCs w:val="22"/>
        </w:rPr>
        <w:t>y</w:t>
      </w:r>
      <w:r w:rsidRPr="00070B87">
        <w:rPr>
          <w:sz w:val="22"/>
          <w:szCs w:val="22"/>
        </w:rPr>
        <w:t xml:space="preserve"> alebo klastogénn</w:t>
      </w:r>
      <w:r w:rsidR="0024336E" w:rsidRPr="00070B87">
        <w:rPr>
          <w:sz w:val="22"/>
          <w:szCs w:val="22"/>
        </w:rPr>
        <w:t>y</w:t>
      </w:r>
      <w:r w:rsidRPr="00070B87">
        <w:rPr>
          <w:sz w:val="22"/>
          <w:szCs w:val="22"/>
        </w:rPr>
        <w:t xml:space="preserve"> potenciál.</w:t>
      </w:r>
    </w:p>
    <w:p w14:paraId="64C6BCA8" w14:textId="77777777" w:rsidR="00367B44" w:rsidRPr="00070B87" w:rsidRDefault="00367B44" w:rsidP="008B5A25">
      <w:pPr>
        <w:pStyle w:val="Normlndobloku"/>
        <w:rPr>
          <w:sz w:val="22"/>
          <w:szCs w:val="22"/>
        </w:rPr>
      </w:pPr>
    </w:p>
    <w:p w14:paraId="374053C5" w14:textId="77777777" w:rsidR="0024336E" w:rsidRPr="00070B87" w:rsidRDefault="00EF4012" w:rsidP="008B5A25">
      <w:pPr>
        <w:pStyle w:val="Normlndobloku"/>
        <w:rPr>
          <w:sz w:val="22"/>
          <w:szCs w:val="22"/>
        </w:rPr>
      </w:pPr>
      <w:r w:rsidRPr="00070B87">
        <w:rPr>
          <w:sz w:val="22"/>
          <w:szCs w:val="22"/>
        </w:rPr>
        <w:t>Pri skúmaní na potkanoch a králikoch sa nepozorovali nežiaduce účinky na fertilitu alebo iné reprodukčné parametre.</w:t>
      </w:r>
    </w:p>
    <w:p w14:paraId="39DA8522" w14:textId="77777777" w:rsidR="000D12A1" w:rsidRPr="00070B87" w:rsidRDefault="000D12A1" w:rsidP="008B5A25">
      <w:pPr>
        <w:pStyle w:val="Normlndobloku"/>
        <w:rPr>
          <w:sz w:val="22"/>
          <w:szCs w:val="22"/>
        </w:rPr>
      </w:pPr>
    </w:p>
    <w:p w14:paraId="0F3237A8" w14:textId="77777777" w:rsidR="000D12A1" w:rsidRPr="00070B87" w:rsidRDefault="000D12A1" w:rsidP="008B5A25">
      <w:pPr>
        <w:pStyle w:val="Normlndobloku"/>
        <w:rPr>
          <w:sz w:val="22"/>
          <w:szCs w:val="22"/>
        </w:rPr>
      </w:pPr>
    </w:p>
    <w:p w14:paraId="148DD464" w14:textId="77777777" w:rsidR="0024336E" w:rsidRPr="00070B87" w:rsidRDefault="0024336E" w:rsidP="008B5A25">
      <w:pPr>
        <w:pStyle w:val="Styl1"/>
        <w:numPr>
          <w:ilvl w:val="0"/>
          <w:numId w:val="1"/>
        </w:numPr>
        <w:spacing w:before="0" w:after="0"/>
        <w:rPr>
          <w:szCs w:val="22"/>
          <w:lang w:val="sk-SK"/>
        </w:rPr>
      </w:pPr>
      <w:r w:rsidRPr="00070B87">
        <w:rPr>
          <w:szCs w:val="22"/>
          <w:lang w:val="sk-SK"/>
        </w:rPr>
        <w:t>FARMACEUTICKÉ INFORMÁCIE</w:t>
      </w:r>
    </w:p>
    <w:p w14:paraId="2019C830" w14:textId="77777777" w:rsidR="000D12A1" w:rsidRPr="00070B87" w:rsidRDefault="000D12A1" w:rsidP="008B5A25">
      <w:pPr>
        <w:pStyle w:val="Styl1"/>
        <w:numPr>
          <w:ilvl w:val="0"/>
          <w:numId w:val="0"/>
        </w:numPr>
        <w:spacing w:before="0" w:after="0"/>
        <w:ind w:left="360"/>
        <w:rPr>
          <w:szCs w:val="22"/>
          <w:lang w:val="sk-SK"/>
        </w:rPr>
      </w:pPr>
    </w:p>
    <w:p w14:paraId="18219455"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Zoznam pomocných látok</w:t>
      </w:r>
    </w:p>
    <w:p w14:paraId="5B4451E0" w14:textId="77777777" w:rsidR="0024336E" w:rsidRPr="00070B87" w:rsidRDefault="0024336E" w:rsidP="00864FB9">
      <w:pPr>
        <w:pStyle w:val="Styl2"/>
        <w:numPr>
          <w:ilvl w:val="0"/>
          <w:numId w:val="0"/>
        </w:numPr>
        <w:spacing w:before="0" w:after="0"/>
        <w:rPr>
          <w:szCs w:val="22"/>
          <w:lang w:val="sk-SK"/>
        </w:rPr>
      </w:pPr>
    </w:p>
    <w:p w14:paraId="6705E5C6" w14:textId="6E681025" w:rsidR="0024336E" w:rsidRPr="00070B87" w:rsidRDefault="00302E79" w:rsidP="008B5A25">
      <w:pPr>
        <w:pStyle w:val="Normlndobloku"/>
        <w:rPr>
          <w:sz w:val="22"/>
          <w:szCs w:val="22"/>
        </w:rPr>
      </w:pPr>
      <w:r w:rsidRPr="00070B87">
        <w:rPr>
          <w:sz w:val="22"/>
          <w:szCs w:val="22"/>
          <w:lang w:eastAsia="ja-JP"/>
        </w:rPr>
        <w:t>S</w:t>
      </w:r>
      <w:r w:rsidR="002323C7" w:rsidRPr="00070B87">
        <w:rPr>
          <w:sz w:val="22"/>
          <w:szCs w:val="22"/>
          <w:lang w:eastAsia="ja-JP"/>
        </w:rPr>
        <w:t>odná</w:t>
      </w:r>
      <w:r w:rsidR="0024336E" w:rsidRPr="00070B87">
        <w:rPr>
          <w:sz w:val="22"/>
          <w:szCs w:val="22"/>
        </w:rPr>
        <w:t xml:space="preserve"> soľ karboxymetylškrobu</w:t>
      </w:r>
    </w:p>
    <w:p w14:paraId="684CD03E" w14:textId="29404F82" w:rsidR="002323C7" w:rsidRPr="00070B87" w:rsidRDefault="00302E79" w:rsidP="008B5A25">
      <w:pPr>
        <w:pStyle w:val="Normlndobloku"/>
        <w:rPr>
          <w:sz w:val="22"/>
          <w:szCs w:val="22"/>
        </w:rPr>
      </w:pPr>
      <w:r w:rsidRPr="00070B87">
        <w:rPr>
          <w:sz w:val="22"/>
          <w:szCs w:val="22"/>
        </w:rPr>
        <w:t>H</w:t>
      </w:r>
      <w:r w:rsidR="002323C7" w:rsidRPr="00070B87">
        <w:rPr>
          <w:sz w:val="22"/>
          <w:szCs w:val="22"/>
        </w:rPr>
        <w:t>ydroxypropylmetylcelulóza</w:t>
      </w:r>
    </w:p>
    <w:p w14:paraId="65DDC944" w14:textId="2336EFA4" w:rsidR="0024336E" w:rsidRPr="00070B87" w:rsidRDefault="00302E79" w:rsidP="008B5A25">
      <w:pPr>
        <w:pStyle w:val="Normlndobloku"/>
        <w:rPr>
          <w:sz w:val="22"/>
          <w:szCs w:val="22"/>
        </w:rPr>
      </w:pPr>
      <w:r w:rsidRPr="00070B87">
        <w:rPr>
          <w:sz w:val="22"/>
          <w:szCs w:val="22"/>
        </w:rPr>
        <w:t xml:space="preserve">Mikrokryštalická </w:t>
      </w:r>
      <w:r w:rsidR="0024336E" w:rsidRPr="00070B87">
        <w:rPr>
          <w:sz w:val="22"/>
          <w:szCs w:val="22"/>
        </w:rPr>
        <w:t>celulóza</w:t>
      </w:r>
    </w:p>
    <w:p w14:paraId="087F2161" w14:textId="0D943003" w:rsidR="0024336E" w:rsidRPr="00070B87" w:rsidRDefault="00302E79" w:rsidP="008B5A25">
      <w:pPr>
        <w:pStyle w:val="Normlndobloku"/>
        <w:rPr>
          <w:sz w:val="22"/>
          <w:szCs w:val="22"/>
        </w:rPr>
      </w:pPr>
      <w:r w:rsidRPr="00070B87">
        <w:rPr>
          <w:rFonts w:eastAsia="MS Mincho"/>
          <w:sz w:val="22"/>
          <w:szCs w:val="22"/>
          <w:lang w:eastAsia="ja-JP"/>
        </w:rPr>
        <w:t>K</w:t>
      </w:r>
      <w:r w:rsidR="002323C7" w:rsidRPr="00070B87">
        <w:rPr>
          <w:sz w:val="22"/>
          <w:szCs w:val="22"/>
        </w:rPr>
        <w:t>oloidný</w:t>
      </w:r>
      <w:r w:rsidR="0024336E" w:rsidRPr="00070B87">
        <w:rPr>
          <w:sz w:val="22"/>
          <w:szCs w:val="22"/>
        </w:rPr>
        <w:t xml:space="preserve"> oxid kremičitý</w:t>
      </w:r>
    </w:p>
    <w:p w14:paraId="10303A64" w14:textId="090296DE" w:rsidR="00302E79" w:rsidRPr="00070B87" w:rsidRDefault="00302E79" w:rsidP="008B5A25">
      <w:pPr>
        <w:pStyle w:val="Normlndobloku"/>
        <w:rPr>
          <w:sz w:val="22"/>
          <w:szCs w:val="22"/>
        </w:rPr>
      </w:pPr>
      <w:r w:rsidRPr="00070B87">
        <w:rPr>
          <w:sz w:val="22"/>
          <w:szCs w:val="22"/>
        </w:rPr>
        <w:t>M</w:t>
      </w:r>
      <w:r w:rsidR="002323C7" w:rsidRPr="00070B87">
        <w:rPr>
          <w:sz w:val="22"/>
          <w:szCs w:val="22"/>
        </w:rPr>
        <w:t>agnéziumstearát</w:t>
      </w:r>
    </w:p>
    <w:p w14:paraId="253CD1FE" w14:textId="77777777" w:rsidR="000D12A1" w:rsidRPr="00070B87" w:rsidRDefault="000D12A1" w:rsidP="008B5A25">
      <w:pPr>
        <w:pStyle w:val="Normlndobloku"/>
        <w:rPr>
          <w:sz w:val="22"/>
          <w:szCs w:val="22"/>
        </w:rPr>
      </w:pPr>
    </w:p>
    <w:p w14:paraId="2950B193" w14:textId="77777777"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Inkompatibility</w:t>
      </w:r>
    </w:p>
    <w:p w14:paraId="17B92601" w14:textId="77777777" w:rsidR="0024336E" w:rsidRPr="00070B87" w:rsidRDefault="0024336E" w:rsidP="00864FB9">
      <w:pPr>
        <w:pStyle w:val="Styl2"/>
        <w:numPr>
          <w:ilvl w:val="0"/>
          <w:numId w:val="0"/>
        </w:numPr>
        <w:spacing w:before="0" w:after="0"/>
        <w:rPr>
          <w:szCs w:val="22"/>
          <w:lang w:val="sk-SK"/>
        </w:rPr>
      </w:pPr>
    </w:p>
    <w:p w14:paraId="34F3A06C" w14:textId="77777777" w:rsidR="0024336E" w:rsidRPr="00070B87" w:rsidRDefault="00EF4012" w:rsidP="008B5A25">
      <w:pPr>
        <w:pStyle w:val="Normlndobloku"/>
        <w:rPr>
          <w:sz w:val="22"/>
          <w:szCs w:val="22"/>
        </w:rPr>
      </w:pPr>
      <w:r w:rsidRPr="00070B87">
        <w:rPr>
          <w:sz w:val="22"/>
          <w:szCs w:val="22"/>
        </w:rPr>
        <w:t>Neaplikovateľné.</w:t>
      </w:r>
    </w:p>
    <w:p w14:paraId="015E2196" w14:textId="77777777" w:rsidR="000D12A1" w:rsidRPr="00070B87" w:rsidRDefault="000D12A1" w:rsidP="008B5A25">
      <w:pPr>
        <w:pStyle w:val="Normlndobloku"/>
        <w:rPr>
          <w:sz w:val="22"/>
          <w:szCs w:val="22"/>
        </w:rPr>
      </w:pPr>
    </w:p>
    <w:p w14:paraId="133B1C83"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Čas použiteľnosti</w:t>
      </w:r>
    </w:p>
    <w:p w14:paraId="5DC176BA" w14:textId="77777777" w:rsidR="0024336E" w:rsidRPr="00070B87" w:rsidRDefault="0024336E" w:rsidP="00864FB9">
      <w:pPr>
        <w:pStyle w:val="Styl2"/>
        <w:numPr>
          <w:ilvl w:val="0"/>
          <w:numId w:val="0"/>
        </w:numPr>
        <w:spacing w:before="0" w:after="0"/>
        <w:rPr>
          <w:szCs w:val="22"/>
          <w:lang w:val="sk-SK"/>
        </w:rPr>
      </w:pPr>
    </w:p>
    <w:p w14:paraId="61F49832" w14:textId="77777777" w:rsidR="0024336E" w:rsidRPr="00070B87" w:rsidRDefault="0024336E" w:rsidP="008B5A25">
      <w:pPr>
        <w:pStyle w:val="Normlndobloku"/>
        <w:rPr>
          <w:sz w:val="22"/>
          <w:szCs w:val="22"/>
        </w:rPr>
      </w:pPr>
      <w:r w:rsidRPr="00070B87">
        <w:rPr>
          <w:sz w:val="22"/>
          <w:szCs w:val="22"/>
        </w:rPr>
        <w:t>3 roky</w:t>
      </w:r>
    </w:p>
    <w:p w14:paraId="7F7F976B" w14:textId="77777777" w:rsidR="000D12A1" w:rsidRPr="00070B87" w:rsidRDefault="000D12A1" w:rsidP="008B5A25">
      <w:pPr>
        <w:pStyle w:val="Normlndobloku"/>
        <w:rPr>
          <w:sz w:val="22"/>
          <w:szCs w:val="22"/>
        </w:rPr>
      </w:pPr>
    </w:p>
    <w:p w14:paraId="5CE0DB3B" w14:textId="77777777" w:rsidR="007837C0" w:rsidRPr="00070B87" w:rsidRDefault="0024336E" w:rsidP="008B5A25">
      <w:pPr>
        <w:pStyle w:val="Styl2"/>
        <w:numPr>
          <w:ilvl w:val="1"/>
          <w:numId w:val="1"/>
        </w:numPr>
        <w:spacing w:before="0" w:after="0"/>
        <w:ind w:left="0" w:firstLine="0"/>
        <w:rPr>
          <w:szCs w:val="22"/>
          <w:lang w:val="sk-SK"/>
        </w:rPr>
      </w:pPr>
      <w:r w:rsidRPr="00070B87">
        <w:rPr>
          <w:szCs w:val="22"/>
          <w:lang w:val="sk-SK"/>
        </w:rPr>
        <w:t>Špeciálne upozornenia na uchovávanie</w:t>
      </w:r>
    </w:p>
    <w:p w14:paraId="39474DE9" w14:textId="77777777" w:rsidR="0024336E" w:rsidRPr="00070B87" w:rsidRDefault="0024336E" w:rsidP="00864FB9">
      <w:pPr>
        <w:pStyle w:val="Styl2"/>
        <w:numPr>
          <w:ilvl w:val="0"/>
          <w:numId w:val="0"/>
        </w:numPr>
        <w:spacing w:before="0" w:after="0"/>
        <w:rPr>
          <w:szCs w:val="22"/>
          <w:lang w:val="sk-SK"/>
        </w:rPr>
      </w:pPr>
    </w:p>
    <w:p w14:paraId="7F84B790" w14:textId="77777777" w:rsidR="0024336E" w:rsidRPr="00070B87" w:rsidRDefault="00EF4012" w:rsidP="008B5A25">
      <w:pPr>
        <w:pStyle w:val="Normlndobloku"/>
        <w:rPr>
          <w:sz w:val="22"/>
          <w:szCs w:val="22"/>
        </w:rPr>
      </w:pPr>
      <w:r w:rsidRPr="00070B87">
        <w:rPr>
          <w:sz w:val="22"/>
          <w:szCs w:val="22"/>
        </w:rPr>
        <w:t xml:space="preserve">Tento liek nevyžaduje žiadne zvláštne teplotné podmienky na uchovávanie. </w:t>
      </w:r>
    </w:p>
    <w:p w14:paraId="2182F9F0" w14:textId="77777777" w:rsidR="0024336E" w:rsidRPr="00070B87" w:rsidRDefault="00EF4012" w:rsidP="008B5A25">
      <w:pPr>
        <w:pStyle w:val="Normlndobloku"/>
        <w:rPr>
          <w:sz w:val="22"/>
          <w:szCs w:val="22"/>
        </w:rPr>
      </w:pPr>
      <w:r w:rsidRPr="00070B87">
        <w:rPr>
          <w:sz w:val="22"/>
          <w:szCs w:val="22"/>
        </w:rPr>
        <w:t>Uchovávajte v pôvodnom obale na ochranu pred svetlom.</w:t>
      </w:r>
    </w:p>
    <w:p w14:paraId="38BB31F2" w14:textId="77777777" w:rsidR="000D12A1" w:rsidRPr="00070B87" w:rsidRDefault="000D12A1" w:rsidP="008B5A25">
      <w:pPr>
        <w:pStyle w:val="Normlndobloku"/>
        <w:rPr>
          <w:sz w:val="22"/>
          <w:szCs w:val="22"/>
        </w:rPr>
      </w:pPr>
    </w:p>
    <w:p w14:paraId="0077EEE1"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Druh obalu a obsah balenia</w:t>
      </w:r>
    </w:p>
    <w:p w14:paraId="1413D8AD" w14:textId="77777777" w:rsidR="0024336E" w:rsidRPr="00070B87" w:rsidRDefault="0024336E" w:rsidP="00864FB9">
      <w:pPr>
        <w:pStyle w:val="Styl2"/>
        <w:numPr>
          <w:ilvl w:val="0"/>
          <w:numId w:val="0"/>
        </w:numPr>
        <w:spacing w:before="0" w:after="0"/>
        <w:rPr>
          <w:szCs w:val="22"/>
          <w:lang w:val="sk-SK"/>
        </w:rPr>
      </w:pPr>
    </w:p>
    <w:p w14:paraId="586C1B65" w14:textId="77777777" w:rsidR="0024336E" w:rsidRPr="00070B87" w:rsidRDefault="0024336E" w:rsidP="008B5A25">
      <w:pPr>
        <w:pStyle w:val="Normlndobloku"/>
        <w:rPr>
          <w:sz w:val="22"/>
          <w:szCs w:val="22"/>
        </w:rPr>
      </w:pPr>
      <w:r w:rsidRPr="00070B87">
        <w:rPr>
          <w:sz w:val="22"/>
          <w:szCs w:val="22"/>
        </w:rPr>
        <w:t>PVC alebo PVDC-Al blister</w:t>
      </w:r>
    </w:p>
    <w:p w14:paraId="4663E006" w14:textId="77777777" w:rsidR="0024336E" w:rsidRPr="00070B87" w:rsidRDefault="0024336E" w:rsidP="008B5A25">
      <w:pPr>
        <w:pStyle w:val="Normlndobloku"/>
        <w:rPr>
          <w:sz w:val="22"/>
          <w:szCs w:val="22"/>
        </w:rPr>
      </w:pPr>
      <w:r w:rsidRPr="00070B87">
        <w:rPr>
          <w:sz w:val="22"/>
          <w:szCs w:val="22"/>
        </w:rPr>
        <w:t>Veľkosť balenia: 10, 14, 28 a 56 tabliet</w:t>
      </w:r>
    </w:p>
    <w:p w14:paraId="00961EC0" w14:textId="77777777" w:rsidR="0024336E" w:rsidRPr="00070B87" w:rsidRDefault="0024336E" w:rsidP="008B5A25">
      <w:pPr>
        <w:pStyle w:val="Normlndobloku"/>
        <w:rPr>
          <w:sz w:val="22"/>
          <w:szCs w:val="22"/>
        </w:rPr>
      </w:pPr>
      <w:r w:rsidRPr="00070B87">
        <w:rPr>
          <w:sz w:val="22"/>
          <w:szCs w:val="22"/>
        </w:rPr>
        <w:t>Na trh nemusia byť uvedené všetky veľkosti balenia.</w:t>
      </w:r>
    </w:p>
    <w:p w14:paraId="1A2653B0" w14:textId="77777777" w:rsidR="000D12A1" w:rsidRPr="00070B87" w:rsidRDefault="000D12A1" w:rsidP="008B5A25">
      <w:pPr>
        <w:pStyle w:val="Normlndobloku"/>
        <w:rPr>
          <w:sz w:val="22"/>
          <w:szCs w:val="22"/>
        </w:rPr>
      </w:pPr>
    </w:p>
    <w:p w14:paraId="4B6559A9" w14:textId="77777777" w:rsidR="0024336E" w:rsidRPr="00070B87" w:rsidRDefault="0024336E" w:rsidP="008B5A25">
      <w:pPr>
        <w:pStyle w:val="Styl2"/>
        <w:numPr>
          <w:ilvl w:val="1"/>
          <w:numId w:val="1"/>
        </w:numPr>
        <w:spacing w:before="0" w:after="0"/>
        <w:ind w:left="0" w:firstLine="0"/>
        <w:rPr>
          <w:szCs w:val="22"/>
          <w:lang w:val="sk-SK"/>
        </w:rPr>
      </w:pPr>
      <w:r w:rsidRPr="00070B87">
        <w:rPr>
          <w:szCs w:val="22"/>
          <w:lang w:val="sk-SK"/>
        </w:rPr>
        <w:t>Špeciálne opatrenia na likvidáciu</w:t>
      </w:r>
    </w:p>
    <w:p w14:paraId="0A2D7BC2" w14:textId="77777777" w:rsidR="0024336E" w:rsidRPr="00070B87" w:rsidRDefault="0024336E" w:rsidP="00864FB9">
      <w:pPr>
        <w:pStyle w:val="Styl2"/>
        <w:numPr>
          <w:ilvl w:val="0"/>
          <w:numId w:val="0"/>
        </w:numPr>
        <w:spacing w:before="0" w:after="0"/>
        <w:rPr>
          <w:szCs w:val="22"/>
          <w:lang w:val="sk-SK"/>
        </w:rPr>
      </w:pPr>
    </w:p>
    <w:p w14:paraId="0DF164B2" w14:textId="77777777" w:rsidR="0024336E" w:rsidRPr="00070B87" w:rsidRDefault="0024336E" w:rsidP="008B5A25">
      <w:pPr>
        <w:pStyle w:val="Normlndobloku"/>
        <w:rPr>
          <w:sz w:val="22"/>
          <w:szCs w:val="22"/>
        </w:rPr>
      </w:pPr>
      <w:r w:rsidRPr="00070B87">
        <w:rPr>
          <w:sz w:val="22"/>
          <w:szCs w:val="22"/>
        </w:rPr>
        <w:t>Žiadne zvláštne požiadavky.</w:t>
      </w:r>
    </w:p>
    <w:p w14:paraId="00B0C261" w14:textId="77777777" w:rsidR="000D12A1" w:rsidRPr="00070B87" w:rsidRDefault="000D12A1" w:rsidP="008B5A25">
      <w:pPr>
        <w:pStyle w:val="Normlndobloku"/>
        <w:rPr>
          <w:sz w:val="22"/>
          <w:szCs w:val="22"/>
        </w:rPr>
      </w:pPr>
    </w:p>
    <w:p w14:paraId="181DC22E" w14:textId="77777777" w:rsidR="000D12A1" w:rsidRPr="00070B87" w:rsidRDefault="000D12A1" w:rsidP="008B5A25">
      <w:pPr>
        <w:pStyle w:val="Normlndobloku"/>
        <w:rPr>
          <w:sz w:val="22"/>
          <w:szCs w:val="22"/>
        </w:rPr>
      </w:pPr>
    </w:p>
    <w:p w14:paraId="48AF285E" w14:textId="436289D5" w:rsidR="0024336E" w:rsidRPr="00070B87" w:rsidRDefault="0024336E" w:rsidP="008B5A25">
      <w:pPr>
        <w:pStyle w:val="Styl1"/>
        <w:numPr>
          <w:ilvl w:val="0"/>
          <w:numId w:val="1"/>
        </w:numPr>
        <w:spacing w:before="0" w:after="0"/>
        <w:rPr>
          <w:szCs w:val="22"/>
          <w:lang w:val="sk-SK"/>
        </w:rPr>
      </w:pPr>
      <w:r w:rsidRPr="00070B87">
        <w:rPr>
          <w:szCs w:val="22"/>
          <w:lang w:val="sk-SK"/>
        </w:rPr>
        <w:t>DRŽITEĽ ROZHODNUTIA O</w:t>
      </w:r>
      <w:r w:rsidR="000D12A1" w:rsidRPr="00070B87">
        <w:rPr>
          <w:szCs w:val="22"/>
          <w:lang w:val="sk-SK"/>
        </w:rPr>
        <w:t> </w:t>
      </w:r>
      <w:r w:rsidRPr="00070B87">
        <w:rPr>
          <w:szCs w:val="22"/>
          <w:lang w:val="sk-SK"/>
        </w:rPr>
        <w:t>REGISTRÁCII</w:t>
      </w:r>
    </w:p>
    <w:p w14:paraId="02AC7256" w14:textId="77777777" w:rsidR="000D12A1" w:rsidRPr="00070B87" w:rsidRDefault="000D12A1" w:rsidP="008B5A25">
      <w:pPr>
        <w:pStyle w:val="Styl1"/>
        <w:numPr>
          <w:ilvl w:val="0"/>
          <w:numId w:val="0"/>
        </w:numPr>
        <w:spacing w:before="0" w:after="0"/>
        <w:ind w:left="360"/>
        <w:rPr>
          <w:szCs w:val="22"/>
          <w:lang w:val="sk-SK"/>
        </w:rPr>
      </w:pPr>
    </w:p>
    <w:p w14:paraId="2CAAF04F" w14:textId="77777777" w:rsidR="0024336E" w:rsidRPr="00070B87" w:rsidRDefault="0024336E" w:rsidP="008B5A25">
      <w:pPr>
        <w:pStyle w:val="Normlndobloku"/>
        <w:rPr>
          <w:sz w:val="22"/>
          <w:szCs w:val="22"/>
        </w:rPr>
      </w:pPr>
      <w:r w:rsidRPr="00070B87">
        <w:rPr>
          <w:sz w:val="22"/>
          <w:szCs w:val="22"/>
        </w:rPr>
        <w:t>MEDOPHARM, s.r.o., Lehárova 1808/11, 143 00 Praha</w:t>
      </w:r>
      <w:r w:rsidR="009B539E" w:rsidRPr="00070B87">
        <w:rPr>
          <w:sz w:val="22"/>
          <w:szCs w:val="22"/>
        </w:rPr>
        <w:t xml:space="preserve"> 4 </w:t>
      </w:r>
      <w:r w:rsidRPr="00070B87">
        <w:rPr>
          <w:sz w:val="22"/>
          <w:szCs w:val="22"/>
        </w:rPr>
        <w:t>, Česká republika</w:t>
      </w:r>
    </w:p>
    <w:p w14:paraId="34D1E0D7" w14:textId="77777777" w:rsidR="000D12A1" w:rsidRPr="00070B87" w:rsidRDefault="000D12A1" w:rsidP="008B5A25">
      <w:pPr>
        <w:pStyle w:val="Normlndobloku"/>
        <w:rPr>
          <w:sz w:val="22"/>
          <w:szCs w:val="22"/>
        </w:rPr>
      </w:pPr>
    </w:p>
    <w:p w14:paraId="72AB764A" w14:textId="77777777" w:rsidR="000D12A1" w:rsidRPr="00070B87" w:rsidRDefault="000D12A1" w:rsidP="008B5A25">
      <w:pPr>
        <w:pStyle w:val="Normlndobloku"/>
        <w:rPr>
          <w:sz w:val="22"/>
          <w:szCs w:val="22"/>
        </w:rPr>
      </w:pPr>
    </w:p>
    <w:p w14:paraId="36E5DB16" w14:textId="77777777" w:rsidR="0024336E" w:rsidRPr="00070B87" w:rsidRDefault="0024336E" w:rsidP="008B5A25">
      <w:pPr>
        <w:pStyle w:val="Styl1"/>
        <w:numPr>
          <w:ilvl w:val="0"/>
          <w:numId w:val="1"/>
        </w:numPr>
        <w:spacing w:before="0" w:after="0"/>
        <w:rPr>
          <w:szCs w:val="22"/>
          <w:lang w:val="sk-SK"/>
        </w:rPr>
      </w:pPr>
      <w:r w:rsidRPr="00070B87">
        <w:rPr>
          <w:szCs w:val="22"/>
          <w:lang w:val="sk-SK"/>
        </w:rPr>
        <w:t>REGISTRAČNÉ ČÍSLO</w:t>
      </w:r>
    </w:p>
    <w:p w14:paraId="2B12AB8B" w14:textId="77777777" w:rsidR="000D12A1" w:rsidRPr="00070B87" w:rsidRDefault="000D12A1" w:rsidP="008B5A25">
      <w:pPr>
        <w:pStyle w:val="Styl1"/>
        <w:numPr>
          <w:ilvl w:val="0"/>
          <w:numId w:val="0"/>
        </w:numPr>
        <w:spacing w:before="0" w:after="0"/>
        <w:ind w:left="360"/>
        <w:rPr>
          <w:szCs w:val="22"/>
          <w:lang w:val="sk-SK"/>
        </w:rPr>
      </w:pPr>
    </w:p>
    <w:p w14:paraId="064BB117" w14:textId="647AE0F1" w:rsidR="0024336E" w:rsidRPr="00070B87" w:rsidRDefault="001B7C9F" w:rsidP="008B5A25">
      <w:pPr>
        <w:pStyle w:val="Normlndobloku"/>
        <w:rPr>
          <w:sz w:val="22"/>
          <w:szCs w:val="22"/>
        </w:rPr>
      </w:pPr>
      <w:r w:rsidRPr="00070B87">
        <w:rPr>
          <w:sz w:val="22"/>
          <w:szCs w:val="22"/>
        </w:rPr>
        <w:t>26/0028/17-S</w:t>
      </w:r>
    </w:p>
    <w:p w14:paraId="20D57EAC" w14:textId="77777777" w:rsidR="000D12A1" w:rsidRPr="00070B87" w:rsidRDefault="000D12A1" w:rsidP="008B5A25">
      <w:pPr>
        <w:pStyle w:val="Normlndobloku"/>
        <w:rPr>
          <w:sz w:val="22"/>
          <w:szCs w:val="22"/>
        </w:rPr>
      </w:pPr>
    </w:p>
    <w:p w14:paraId="3969529E" w14:textId="77777777" w:rsidR="000D12A1" w:rsidRPr="00070B87" w:rsidRDefault="000D12A1" w:rsidP="008B5A25">
      <w:pPr>
        <w:pStyle w:val="Normlndobloku"/>
        <w:rPr>
          <w:sz w:val="22"/>
          <w:szCs w:val="22"/>
        </w:rPr>
      </w:pPr>
    </w:p>
    <w:p w14:paraId="189351D7" w14:textId="77777777" w:rsidR="0024336E" w:rsidRPr="00070B87" w:rsidRDefault="0024336E" w:rsidP="008B5A25">
      <w:pPr>
        <w:pStyle w:val="Styl1"/>
        <w:numPr>
          <w:ilvl w:val="0"/>
          <w:numId w:val="1"/>
        </w:numPr>
        <w:spacing w:before="0" w:after="0"/>
        <w:rPr>
          <w:szCs w:val="22"/>
          <w:lang w:val="sk-SK"/>
        </w:rPr>
      </w:pPr>
      <w:r w:rsidRPr="00070B87">
        <w:rPr>
          <w:szCs w:val="22"/>
          <w:lang w:val="sk-SK"/>
        </w:rPr>
        <w:t>DÁTUM PRVEJ REGISTRÁCIE/PREDĹŽENIA REGISTRÁCIE</w:t>
      </w:r>
    </w:p>
    <w:p w14:paraId="66B761CC" w14:textId="77777777" w:rsidR="000D12A1" w:rsidRPr="00070B87" w:rsidRDefault="000D12A1" w:rsidP="008B5A25">
      <w:pPr>
        <w:pStyle w:val="Styl1"/>
        <w:numPr>
          <w:ilvl w:val="0"/>
          <w:numId w:val="0"/>
        </w:numPr>
        <w:spacing w:before="0" w:after="0"/>
        <w:ind w:left="360"/>
        <w:rPr>
          <w:szCs w:val="22"/>
          <w:lang w:val="sk-SK"/>
        </w:rPr>
      </w:pPr>
    </w:p>
    <w:p w14:paraId="242FADE5" w14:textId="77777777" w:rsidR="0024336E" w:rsidRPr="00070B87" w:rsidRDefault="0024336E" w:rsidP="008B5A25">
      <w:pPr>
        <w:pStyle w:val="Normlndobloku"/>
        <w:rPr>
          <w:sz w:val="22"/>
          <w:szCs w:val="22"/>
        </w:rPr>
      </w:pPr>
      <w:r w:rsidRPr="00070B87">
        <w:rPr>
          <w:sz w:val="22"/>
          <w:szCs w:val="22"/>
        </w:rPr>
        <w:t>Dátum prvej registrácie:</w:t>
      </w:r>
    </w:p>
    <w:p w14:paraId="542EFB6A" w14:textId="77777777" w:rsidR="000D12A1" w:rsidRPr="00070B87" w:rsidRDefault="00864FB9" w:rsidP="008B5A25">
      <w:pPr>
        <w:pStyle w:val="Normlndobloku"/>
        <w:rPr>
          <w:sz w:val="22"/>
          <w:szCs w:val="22"/>
        </w:rPr>
      </w:pPr>
      <w:r w:rsidRPr="00070B87">
        <w:rPr>
          <w:sz w:val="22"/>
          <w:szCs w:val="22"/>
        </w:rPr>
        <w:t>Dátum posledného predĺženia registrácie:</w:t>
      </w:r>
    </w:p>
    <w:p w14:paraId="296FE774" w14:textId="77777777" w:rsidR="000D12A1" w:rsidRPr="00070B87" w:rsidRDefault="000D12A1" w:rsidP="008B5A25">
      <w:pPr>
        <w:pStyle w:val="Normlndobloku"/>
        <w:rPr>
          <w:sz w:val="22"/>
          <w:szCs w:val="22"/>
        </w:rPr>
      </w:pPr>
    </w:p>
    <w:p w14:paraId="760C47BF" w14:textId="77777777" w:rsidR="008B5A25" w:rsidRPr="00070B87" w:rsidRDefault="008B5A25" w:rsidP="008B5A25">
      <w:pPr>
        <w:pStyle w:val="Normlndobloku"/>
        <w:rPr>
          <w:sz w:val="22"/>
          <w:szCs w:val="22"/>
        </w:rPr>
      </w:pPr>
    </w:p>
    <w:p w14:paraId="450F0DBB" w14:textId="77777777" w:rsidR="0024336E" w:rsidRPr="00070B87" w:rsidRDefault="0024336E" w:rsidP="008B5A25">
      <w:pPr>
        <w:pStyle w:val="Styl1"/>
        <w:numPr>
          <w:ilvl w:val="0"/>
          <w:numId w:val="1"/>
        </w:numPr>
        <w:spacing w:before="0" w:after="0"/>
        <w:rPr>
          <w:szCs w:val="22"/>
          <w:lang w:val="sk-SK"/>
        </w:rPr>
      </w:pPr>
      <w:r w:rsidRPr="00070B87">
        <w:rPr>
          <w:szCs w:val="22"/>
          <w:lang w:val="sk-SK"/>
        </w:rPr>
        <w:t>DÁTUM REVÍZIE TEXTU</w:t>
      </w:r>
    </w:p>
    <w:p w14:paraId="6D8E8870" w14:textId="77777777" w:rsidR="000D12A1" w:rsidRPr="00070B87" w:rsidRDefault="000D12A1" w:rsidP="008B5A25">
      <w:pPr>
        <w:pStyle w:val="Styl1"/>
        <w:numPr>
          <w:ilvl w:val="0"/>
          <w:numId w:val="0"/>
        </w:numPr>
        <w:spacing w:before="0" w:after="0"/>
        <w:ind w:left="360"/>
        <w:rPr>
          <w:szCs w:val="22"/>
          <w:lang w:val="sk-SK"/>
        </w:rPr>
      </w:pPr>
    </w:p>
    <w:p w14:paraId="101511CC" w14:textId="544A138E" w:rsidR="007837C0" w:rsidRPr="00070B87" w:rsidRDefault="007F10ED" w:rsidP="008B5A25">
      <w:pPr>
        <w:pStyle w:val="Normlndobloku"/>
        <w:rPr>
          <w:sz w:val="22"/>
          <w:szCs w:val="22"/>
        </w:rPr>
      </w:pPr>
      <w:r>
        <w:rPr>
          <w:sz w:val="22"/>
          <w:szCs w:val="22"/>
        </w:rPr>
        <w:t>Február 2017</w:t>
      </w:r>
      <w:bookmarkStart w:id="0" w:name="_GoBack"/>
      <w:bookmarkEnd w:id="0"/>
    </w:p>
    <w:p w14:paraId="1358822C" w14:textId="77777777" w:rsidR="007837C0" w:rsidRPr="00070B87" w:rsidRDefault="007837C0" w:rsidP="008B5A25">
      <w:pPr>
        <w:spacing w:after="0"/>
        <w:rPr>
          <w:lang w:val="sk-SK"/>
        </w:rPr>
      </w:pPr>
    </w:p>
    <w:p w14:paraId="45869B44" w14:textId="77777777" w:rsidR="007837C0" w:rsidRPr="00070B87" w:rsidRDefault="007837C0" w:rsidP="008B5A25">
      <w:pPr>
        <w:spacing w:after="0"/>
      </w:pPr>
    </w:p>
    <w:sectPr w:rsidR="007837C0" w:rsidRPr="00070B87" w:rsidSect="000D12A1">
      <w:footerReference w:type="default" r:id="rId9"/>
      <w:headerReference w:type="first" r:id="rId10"/>
      <w:footerReference w:type="first" r:id="rId11"/>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7C55" w14:textId="77777777" w:rsidR="00F375F9" w:rsidRDefault="00F375F9" w:rsidP="008B5A25">
      <w:pPr>
        <w:spacing w:after="0" w:line="240" w:lineRule="auto"/>
      </w:pPr>
      <w:r>
        <w:separator/>
      </w:r>
    </w:p>
  </w:endnote>
  <w:endnote w:type="continuationSeparator" w:id="0">
    <w:p w14:paraId="4992CB56" w14:textId="77777777" w:rsidR="00F375F9" w:rsidRDefault="00F375F9" w:rsidP="008B5A25">
      <w:pPr>
        <w:spacing w:after="0" w:line="240" w:lineRule="auto"/>
      </w:pPr>
      <w:r>
        <w:continuationSeparator/>
      </w:r>
    </w:p>
  </w:endnote>
  <w:endnote w:type="continuationNotice" w:id="1">
    <w:p w14:paraId="5D6D10C0" w14:textId="77777777" w:rsidR="00F375F9" w:rsidRDefault="00F37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57FB5" w14:textId="77777777" w:rsidR="007837C0" w:rsidRPr="000D12A1" w:rsidRDefault="007837C0" w:rsidP="000406ED">
    <w:pPr>
      <w:pStyle w:val="Pta"/>
      <w:jc w:val="center"/>
      <w:rPr>
        <w:sz w:val="18"/>
        <w:szCs w:val="18"/>
        <w:lang w:val="sk-SK"/>
      </w:rPr>
    </w:pPr>
    <w:r w:rsidRPr="000D12A1">
      <w:rPr>
        <w:rStyle w:val="slostrany"/>
        <w:sz w:val="18"/>
        <w:szCs w:val="18"/>
      </w:rPr>
      <w:fldChar w:fldCharType="begin"/>
    </w:r>
    <w:r w:rsidRPr="008B5A25">
      <w:rPr>
        <w:rStyle w:val="slostrany"/>
        <w:sz w:val="18"/>
        <w:szCs w:val="18"/>
      </w:rPr>
      <w:instrText xml:space="preserve"> PAGE </w:instrText>
    </w:r>
    <w:r w:rsidRPr="000D12A1">
      <w:rPr>
        <w:rStyle w:val="slostrany"/>
        <w:sz w:val="18"/>
        <w:szCs w:val="18"/>
      </w:rPr>
      <w:fldChar w:fldCharType="separate"/>
    </w:r>
    <w:r w:rsidR="007F10ED">
      <w:rPr>
        <w:rStyle w:val="slostrany"/>
        <w:noProof/>
        <w:sz w:val="18"/>
        <w:szCs w:val="18"/>
      </w:rPr>
      <w:t>8</w:t>
    </w:r>
    <w:r w:rsidRPr="000D12A1">
      <w:rPr>
        <w:rStyle w:val="slostrany"/>
        <w:sz w:val="18"/>
        <w:szCs w:val="18"/>
      </w:rPr>
      <w:fldChar w:fldCharType="end"/>
    </w:r>
    <w:r w:rsidRPr="000D12A1">
      <w:rPr>
        <w:rStyle w:val="slostrany"/>
        <w:sz w:val="18"/>
        <w:szCs w:val="18"/>
      </w:rPr>
      <w:t>/</w:t>
    </w:r>
    <w:r w:rsidRPr="000D12A1">
      <w:rPr>
        <w:rStyle w:val="slostrany"/>
        <w:sz w:val="18"/>
        <w:szCs w:val="18"/>
      </w:rPr>
      <w:fldChar w:fldCharType="begin"/>
    </w:r>
    <w:r w:rsidRPr="008B5A25">
      <w:rPr>
        <w:rStyle w:val="slostrany"/>
        <w:sz w:val="18"/>
        <w:szCs w:val="18"/>
      </w:rPr>
      <w:instrText xml:space="preserve"> NUMPAGES </w:instrText>
    </w:r>
    <w:r w:rsidRPr="000D12A1">
      <w:rPr>
        <w:rStyle w:val="slostrany"/>
        <w:sz w:val="18"/>
        <w:szCs w:val="18"/>
      </w:rPr>
      <w:fldChar w:fldCharType="separate"/>
    </w:r>
    <w:r w:rsidR="007F10ED">
      <w:rPr>
        <w:rStyle w:val="slostrany"/>
        <w:noProof/>
        <w:sz w:val="18"/>
        <w:szCs w:val="18"/>
      </w:rPr>
      <w:t>8</w:t>
    </w:r>
    <w:r w:rsidRPr="000D12A1">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3474" w14:textId="77777777" w:rsidR="007837C0" w:rsidRPr="000D12A1" w:rsidRDefault="007837C0" w:rsidP="000406ED">
    <w:pPr>
      <w:jc w:val="center"/>
      <w:rPr>
        <w:sz w:val="18"/>
        <w:szCs w:val="18"/>
      </w:rPr>
    </w:pPr>
    <w:r w:rsidRPr="000D12A1">
      <w:rPr>
        <w:rStyle w:val="slostrany"/>
        <w:sz w:val="18"/>
        <w:szCs w:val="18"/>
      </w:rPr>
      <w:fldChar w:fldCharType="begin"/>
    </w:r>
    <w:r w:rsidRPr="008B5A25">
      <w:rPr>
        <w:rStyle w:val="slostrany"/>
        <w:sz w:val="18"/>
        <w:szCs w:val="18"/>
      </w:rPr>
      <w:instrText xml:space="preserve"> PAGE </w:instrText>
    </w:r>
    <w:r w:rsidRPr="000D12A1">
      <w:rPr>
        <w:rStyle w:val="slostrany"/>
        <w:sz w:val="18"/>
        <w:szCs w:val="18"/>
      </w:rPr>
      <w:fldChar w:fldCharType="separate"/>
    </w:r>
    <w:r w:rsidR="007F10ED">
      <w:rPr>
        <w:rStyle w:val="slostrany"/>
        <w:noProof/>
        <w:sz w:val="18"/>
        <w:szCs w:val="18"/>
      </w:rPr>
      <w:t>1</w:t>
    </w:r>
    <w:r w:rsidRPr="000D12A1">
      <w:rPr>
        <w:rStyle w:val="slostrany"/>
        <w:sz w:val="18"/>
        <w:szCs w:val="18"/>
      </w:rPr>
      <w:fldChar w:fldCharType="end"/>
    </w:r>
    <w:r w:rsidRPr="000D12A1">
      <w:rPr>
        <w:rStyle w:val="slostrany"/>
        <w:sz w:val="18"/>
        <w:szCs w:val="18"/>
      </w:rPr>
      <w:t>/</w:t>
    </w:r>
    <w:r w:rsidRPr="000D12A1">
      <w:rPr>
        <w:rStyle w:val="slostrany"/>
        <w:sz w:val="18"/>
        <w:szCs w:val="18"/>
      </w:rPr>
      <w:fldChar w:fldCharType="begin"/>
    </w:r>
    <w:r w:rsidRPr="008B5A25">
      <w:rPr>
        <w:rStyle w:val="slostrany"/>
        <w:sz w:val="18"/>
        <w:szCs w:val="18"/>
      </w:rPr>
      <w:instrText xml:space="preserve"> NUMPAGES </w:instrText>
    </w:r>
    <w:r w:rsidRPr="000D12A1">
      <w:rPr>
        <w:rStyle w:val="slostrany"/>
        <w:sz w:val="18"/>
        <w:szCs w:val="18"/>
      </w:rPr>
      <w:fldChar w:fldCharType="separate"/>
    </w:r>
    <w:r w:rsidR="007F10ED">
      <w:rPr>
        <w:rStyle w:val="slostrany"/>
        <w:noProof/>
        <w:sz w:val="18"/>
        <w:szCs w:val="18"/>
      </w:rPr>
      <w:t>8</w:t>
    </w:r>
    <w:r w:rsidRPr="000D12A1">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6A5A" w14:textId="77777777" w:rsidR="00F375F9" w:rsidRDefault="00F375F9" w:rsidP="008B5A25">
      <w:pPr>
        <w:spacing w:after="0" w:line="240" w:lineRule="auto"/>
      </w:pPr>
      <w:r>
        <w:separator/>
      </w:r>
    </w:p>
  </w:footnote>
  <w:footnote w:type="continuationSeparator" w:id="0">
    <w:p w14:paraId="107CD7A7" w14:textId="77777777" w:rsidR="00F375F9" w:rsidRDefault="00F375F9" w:rsidP="008B5A25">
      <w:pPr>
        <w:spacing w:after="0" w:line="240" w:lineRule="auto"/>
      </w:pPr>
      <w:r>
        <w:continuationSeparator/>
      </w:r>
    </w:p>
  </w:footnote>
  <w:footnote w:type="continuationNotice" w:id="1">
    <w:p w14:paraId="17F7748C" w14:textId="77777777" w:rsidR="00F375F9" w:rsidRDefault="00F375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67A3" w14:textId="07F2ED27" w:rsidR="007837C0" w:rsidRPr="008B5A25" w:rsidRDefault="007837C0" w:rsidP="008B5A25">
    <w:pPr>
      <w:pStyle w:val="Normlndobloku"/>
    </w:pPr>
    <w:r w:rsidRPr="008B5A25">
      <w:t>Schválený text k rozhodnutiu o registrácii lieku , ev.č.: 2012/07154-REG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55E2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F215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481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5419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5EC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D88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45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D0A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3ED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00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52F3B"/>
    <w:multiLevelType w:val="hybridMultilevel"/>
    <w:tmpl w:val="01B83B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49135C"/>
    <w:multiLevelType w:val="hybridMultilevel"/>
    <w:tmpl w:val="E44A7B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D0E5E"/>
    <w:multiLevelType w:val="multilevel"/>
    <w:tmpl w:val="C310D8C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584D40F8"/>
    <w:multiLevelType w:val="hybridMultilevel"/>
    <w:tmpl w:val="7C52FA42"/>
    <w:lvl w:ilvl="0" w:tplc="041B000F">
      <w:start w:val="1"/>
      <w:numFmt w:val="decimal"/>
      <w:lvlText w:val="%1."/>
      <w:lvlJc w:val="left"/>
      <w:pPr>
        <w:tabs>
          <w:tab w:val="num" w:pos="720"/>
        </w:tabs>
        <w:ind w:left="720" w:hanging="360"/>
      </w:pPr>
    </w:lvl>
    <w:lvl w:ilvl="1" w:tplc="AEFCA3E4">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F6F37C8"/>
    <w:multiLevelType w:val="hybridMultilevel"/>
    <w:tmpl w:val="7C52FA42"/>
    <w:lvl w:ilvl="0" w:tplc="041B000F">
      <w:start w:val="1"/>
      <w:numFmt w:val="decimal"/>
      <w:lvlText w:val="%1."/>
      <w:lvlJc w:val="left"/>
      <w:pPr>
        <w:tabs>
          <w:tab w:val="num" w:pos="720"/>
        </w:tabs>
        <w:ind w:left="720" w:hanging="360"/>
      </w:p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3"/>
  </w:num>
  <w:num w:numId="2">
    <w:abstractNumId w:val="23"/>
  </w:num>
  <w:num w:numId="3">
    <w:abstractNumId w:val="13"/>
  </w:num>
  <w:num w:numId="4">
    <w:abstractNumId w:val="22"/>
  </w:num>
  <w:num w:numId="5">
    <w:abstractNumId w:val="21"/>
  </w:num>
  <w:num w:numId="6">
    <w:abstractNumId w:val="26"/>
  </w:num>
  <w:num w:numId="7">
    <w:abstractNumId w:val="11"/>
  </w:num>
  <w:num w:numId="8">
    <w:abstractNumId w:val="19"/>
  </w:num>
  <w:num w:numId="9">
    <w:abstractNumId w:val="16"/>
  </w:num>
  <w:num w:numId="10">
    <w:abstractNumId w:val="18"/>
  </w:num>
  <w:num w:numId="11">
    <w:abstractNumId w:val="17"/>
  </w:num>
  <w:num w:numId="12">
    <w:abstractNumId w:val="25"/>
  </w:num>
  <w:num w:numId="13">
    <w:abstractNumId w:val="2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4">
    <w:abstractNumId w:val="15"/>
  </w:num>
  <w:num w:numId="15">
    <w:abstractNumId w:val="20"/>
  </w:num>
  <w:num w:numId="16">
    <w:abstractNumId w:val="14"/>
  </w:num>
  <w:num w:numId="17">
    <w:abstractNumId w:val="2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B"/>
    <w:rsid w:val="00005AA5"/>
    <w:rsid w:val="00007B94"/>
    <w:rsid w:val="0002105A"/>
    <w:rsid w:val="000377A5"/>
    <w:rsid w:val="000406ED"/>
    <w:rsid w:val="00042CEC"/>
    <w:rsid w:val="0004620C"/>
    <w:rsid w:val="0005384B"/>
    <w:rsid w:val="000611FE"/>
    <w:rsid w:val="0006239F"/>
    <w:rsid w:val="00070B87"/>
    <w:rsid w:val="00075345"/>
    <w:rsid w:val="000865F8"/>
    <w:rsid w:val="00093C4A"/>
    <w:rsid w:val="000B2DDA"/>
    <w:rsid w:val="000B45E5"/>
    <w:rsid w:val="000C01E3"/>
    <w:rsid w:val="000C1675"/>
    <w:rsid w:val="000C1B06"/>
    <w:rsid w:val="000D12A1"/>
    <w:rsid w:val="000D7EDF"/>
    <w:rsid w:val="000E1A0C"/>
    <w:rsid w:val="000F5456"/>
    <w:rsid w:val="00117C52"/>
    <w:rsid w:val="00120BD5"/>
    <w:rsid w:val="00130D03"/>
    <w:rsid w:val="00136F2E"/>
    <w:rsid w:val="001401A9"/>
    <w:rsid w:val="00143E13"/>
    <w:rsid w:val="001623C7"/>
    <w:rsid w:val="00171E67"/>
    <w:rsid w:val="00174646"/>
    <w:rsid w:val="00175CD1"/>
    <w:rsid w:val="00196CD6"/>
    <w:rsid w:val="001A2B2A"/>
    <w:rsid w:val="001B35CF"/>
    <w:rsid w:val="001B7C9F"/>
    <w:rsid w:val="001C00D2"/>
    <w:rsid w:val="001D514E"/>
    <w:rsid w:val="00203915"/>
    <w:rsid w:val="002166F6"/>
    <w:rsid w:val="002323C7"/>
    <w:rsid w:val="00234A94"/>
    <w:rsid w:val="002352F6"/>
    <w:rsid w:val="0024336E"/>
    <w:rsid w:val="00244403"/>
    <w:rsid w:val="0025003C"/>
    <w:rsid w:val="002577C8"/>
    <w:rsid w:val="002829F6"/>
    <w:rsid w:val="00290144"/>
    <w:rsid w:val="00291793"/>
    <w:rsid w:val="00293F53"/>
    <w:rsid w:val="00296829"/>
    <w:rsid w:val="002A4465"/>
    <w:rsid w:val="002C25FA"/>
    <w:rsid w:val="002C2DFA"/>
    <w:rsid w:val="002C443E"/>
    <w:rsid w:val="002F13C2"/>
    <w:rsid w:val="002F7FC0"/>
    <w:rsid w:val="003015C0"/>
    <w:rsid w:val="00302E79"/>
    <w:rsid w:val="00307536"/>
    <w:rsid w:val="003223DF"/>
    <w:rsid w:val="00325177"/>
    <w:rsid w:val="00332160"/>
    <w:rsid w:val="003354DC"/>
    <w:rsid w:val="00342111"/>
    <w:rsid w:val="00347631"/>
    <w:rsid w:val="00347E0F"/>
    <w:rsid w:val="00350C8C"/>
    <w:rsid w:val="003552FA"/>
    <w:rsid w:val="00360AFC"/>
    <w:rsid w:val="00365401"/>
    <w:rsid w:val="00365A2F"/>
    <w:rsid w:val="00367B44"/>
    <w:rsid w:val="0037704E"/>
    <w:rsid w:val="0037776B"/>
    <w:rsid w:val="00380665"/>
    <w:rsid w:val="00380FE0"/>
    <w:rsid w:val="003824E3"/>
    <w:rsid w:val="00392AE9"/>
    <w:rsid w:val="00397F47"/>
    <w:rsid w:val="003A50F5"/>
    <w:rsid w:val="003B0DD7"/>
    <w:rsid w:val="003B3D70"/>
    <w:rsid w:val="003C1917"/>
    <w:rsid w:val="003C258C"/>
    <w:rsid w:val="003C7B6C"/>
    <w:rsid w:val="003C7D7C"/>
    <w:rsid w:val="003D33A1"/>
    <w:rsid w:val="003F342D"/>
    <w:rsid w:val="003F4D51"/>
    <w:rsid w:val="004063F1"/>
    <w:rsid w:val="004223D7"/>
    <w:rsid w:val="004352A9"/>
    <w:rsid w:val="0044684F"/>
    <w:rsid w:val="00450656"/>
    <w:rsid w:val="00451F18"/>
    <w:rsid w:val="00453AFF"/>
    <w:rsid w:val="00455ED7"/>
    <w:rsid w:val="00467D96"/>
    <w:rsid w:val="00476D0C"/>
    <w:rsid w:val="0049041A"/>
    <w:rsid w:val="00496240"/>
    <w:rsid w:val="004A68F6"/>
    <w:rsid w:val="004B3395"/>
    <w:rsid w:val="004C0B64"/>
    <w:rsid w:val="004D3B42"/>
    <w:rsid w:val="004E078A"/>
    <w:rsid w:val="004F174C"/>
    <w:rsid w:val="00504747"/>
    <w:rsid w:val="00511F2D"/>
    <w:rsid w:val="00526B60"/>
    <w:rsid w:val="0053570C"/>
    <w:rsid w:val="00552154"/>
    <w:rsid w:val="0055439A"/>
    <w:rsid w:val="00571329"/>
    <w:rsid w:val="005B292C"/>
    <w:rsid w:val="005C18A6"/>
    <w:rsid w:val="005C4B01"/>
    <w:rsid w:val="005C7A2A"/>
    <w:rsid w:val="005D192E"/>
    <w:rsid w:val="005D39F4"/>
    <w:rsid w:val="005E064C"/>
    <w:rsid w:val="005E2D3C"/>
    <w:rsid w:val="005E4A87"/>
    <w:rsid w:val="005F1529"/>
    <w:rsid w:val="0060013A"/>
    <w:rsid w:val="00604D64"/>
    <w:rsid w:val="0063267B"/>
    <w:rsid w:val="006338BB"/>
    <w:rsid w:val="006426B7"/>
    <w:rsid w:val="006453D4"/>
    <w:rsid w:val="006473D5"/>
    <w:rsid w:val="0064777C"/>
    <w:rsid w:val="00656608"/>
    <w:rsid w:val="0066226B"/>
    <w:rsid w:val="00666B46"/>
    <w:rsid w:val="006703E4"/>
    <w:rsid w:val="0069200E"/>
    <w:rsid w:val="00696FA4"/>
    <w:rsid w:val="006A5F2F"/>
    <w:rsid w:val="006B293C"/>
    <w:rsid w:val="006C0F0F"/>
    <w:rsid w:val="006D354F"/>
    <w:rsid w:val="006D57F6"/>
    <w:rsid w:val="006E001A"/>
    <w:rsid w:val="006E302C"/>
    <w:rsid w:val="006F1380"/>
    <w:rsid w:val="006F7CE2"/>
    <w:rsid w:val="00706188"/>
    <w:rsid w:val="00716243"/>
    <w:rsid w:val="00717302"/>
    <w:rsid w:val="00724078"/>
    <w:rsid w:val="007321D6"/>
    <w:rsid w:val="00751C2E"/>
    <w:rsid w:val="0077393A"/>
    <w:rsid w:val="007837C0"/>
    <w:rsid w:val="00785A65"/>
    <w:rsid w:val="007A7DB2"/>
    <w:rsid w:val="007E140A"/>
    <w:rsid w:val="007F10ED"/>
    <w:rsid w:val="007F2A91"/>
    <w:rsid w:val="007F460B"/>
    <w:rsid w:val="007F7004"/>
    <w:rsid w:val="00813728"/>
    <w:rsid w:val="008238AC"/>
    <w:rsid w:val="00836AB1"/>
    <w:rsid w:val="0084442B"/>
    <w:rsid w:val="00853685"/>
    <w:rsid w:val="00864FB9"/>
    <w:rsid w:val="00881441"/>
    <w:rsid w:val="00887B7D"/>
    <w:rsid w:val="0089184E"/>
    <w:rsid w:val="00897A9A"/>
    <w:rsid w:val="008B0531"/>
    <w:rsid w:val="008B1F88"/>
    <w:rsid w:val="008B5A25"/>
    <w:rsid w:val="008C0D59"/>
    <w:rsid w:val="008C246B"/>
    <w:rsid w:val="008D081C"/>
    <w:rsid w:val="008D512E"/>
    <w:rsid w:val="008F611E"/>
    <w:rsid w:val="00911598"/>
    <w:rsid w:val="009170B9"/>
    <w:rsid w:val="0092236C"/>
    <w:rsid w:val="00940F36"/>
    <w:rsid w:val="00943E36"/>
    <w:rsid w:val="009441B2"/>
    <w:rsid w:val="00947B07"/>
    <w:rsid w:val="00950641"/>
    <w:rsid w:val="00957E6B"/>
    <w:rsid w:val="00966A8A"/>
    <w:rsid w:val="009718AD"/>
    <w:rsid w:val="00980F8E"/>
    <w:rsid w:val="00982768"/>
    <w:rsid w:val="00992D8F"/>
    <w:rsid w:val="009A0D38"/>
    <w:rsid w:val="009B539E"/>
    <w:rsid w:val="009D6DEF"/>
    <w:rsid w:val="009D70DD"/>
    <w:rsid w:val="009E2CA1"/>
    <w:rsid w:val="009E3738"/>
    <w:rsid w:val="009E4DEF"/>
    <w:rsid w:val="009E4F10"/>
    <w:rsid w:val="00A44ADB"/>
    <w:rsid w:val="00A46BE4"/>
    <w:rsid w:val="00A477A2"/>
    <w:rsid w:val="00A524FD"/>
    <w:rsid w:val="00A60216"/>
    <w:rsid w:val="00A619A9"/>
    <w:rsid w:val="00A62C03"/>
    <w:rsid w:val="00A65BDB"/>
    <w:rsid w:val="00A65BE8"/>
    <w:rsid w:val="00A70E5E"/>
    <w:rsid w:val="00A731FB"/>
    <w:rsid w:val="00A87C99"/>
    <w:rsid w:val="00A9035A"/>
    <w:rsid w:val="00AA08D9"/>
    <w:rsid w:val="00AA575E"/>
    <w:rsid w:val="00AA6E0E"/>
    <w:rsid w:val="00AC11B2"/>
    <w:rsid w:val="00AC6384"/>
    <w:rsid w:val="00AD5AC3"/>
    <w:rsid w:val="00AD6802"/>
    <w:rsid w:val="00AD7F08"/>
    <w:rsid w:val="00B12AF1"/>
    <w:rsid w:val="00B464A2"/>
    <w:rsid w:val="00B50F7B"/>
    <w:rsid w:val="00B54156"/>
    <w:rsid w:val="00B95BED"/>
    <w:rsid w:val="00BD3730"/>
    <w:rsid w:val="00BF076C"/>
    <w:rsid w:val="00BF0AD5"/>
    <w:rsid w:val="00C00DEA"/>
    <w:rsid w:val="00C24CC8"/>
    <w:rsid w:val="00C46C22"/>
    <w:rsid w:val="00C53D1D"/>
    <w:rsid w:val="00C679CE"/>
    <w:rsid w:val="00C74E70"/>
    <w:rsid w:val="00C8086A"/>
    <w:rsid w:val="00C84B43"/>
    <w:rsid w:val="00C9059A"/>
    <w:rsid w:val="00C92D4B"/>
    <w:rsid w:val="00CA1B82"/>
    <w:rsid w:val="00CB4862"/>
    <w:rsid w:val="00CC04CD"/>
    <w:rsid w:val="00CC1036"/>
    <w:rsid w:val="00CE2170"/>
    <w:rsid w:val="00D06FA2"/>
    <w:rsid w:val="00D46143"/>
    <w:rsid w:val="00D4762E"/>
    <w:rsid w:val="00D539E7"/>
    <w:rsid w:val="00D6362D"/>
    <w:rsid w:val="00D72DBC"/>
    <w:rsid w:val="00D755D6"/>
    <w:rsid w:val="00D802A2"/>
    <w:rsid w:val="00D81164"/>
    <w:rsid w:val="00D849F6"/>
    <w:rsid w:val="00D86956"/>
    <w:rsid w:val="00D93916"/>
    <w:rsid w:val="00DA2CB2"/>
    <w:rsid w:val="00DA5C53"/>
    <w:rsid w:val="00DB72EA"/>
    <w:rsid w:val="00DC2B89"/>
    <w:rsid w:val="00DC5188"/>
    <w:rsid w:val="00DD2B85"/>
    <w:rsid w:val="00DD4E80"/>
    <w:rsid w:val="00DD7E67"/>
    <w:rsid w:val="00DE3372"/>
    <w:rsid w:val="00DF5A6A"/>
    <w:rsid w:val="00E2497D"/>
    <w:rsid w:val="00E40793"/>
    <w:rsid w:val="00E41F4C"/>
    <w:rsid w:val="00E4354A"/>
    <w:rsid w:val="00E45CE0"/>
    <w:rsid w:val="00E5460D"/>
    <w:rsid w:val="00E72DE8"/>
    <w:rsid w:val="00E91568"/>
    <w:rsid w:val="00E91D3B"/>
    <w:rsid w:val="00E93AF6"/>
    <w:rsid w:val="00EB31FF"/>
    <w:rsid w:val="00EC1269"/>
    <w:rsid w:val="00EC21D1"/>
    <w:rsid w:val="00EC6454"/>
    <w:rsid w:val="00EE48AD"/>
    <w:rsid w:val="00EF4012"/>
    <w:rsid w:val="00EF7EB3"/>
    <w:rsid w:val="00F10095"/>
    <w:rsid w:val="00F1488E"/>
    <w:rsid w:val="00F14DBB"/>
    <w:rsid w:val="00F21051"/>
    <w:rsid w:val="00F23A5D"/>
    <w:rsid w:val="00F33E5D"/>
    <w:rsid w:val="00F375F9"/>
    <w:rsid w:val="00F73D2C"/>
    <w:rsid w:val="00F80CF1"/>
    <w:rsid w:val="00FA2960"/>
    <w:rsid w:val="00FD7435"/>
    <w:rsid w:val="00FE1E97"/>
    <w:rsid w:val="00FF34DD"/>
    <w:rsid w:val="00FF3B88"/>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93FC"/>
  <w15:docId w15:val="{D930CBE7-75EA-4BAB-B8E9-C53FF41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336E"/>
    <w:pPr>
      <w:spacing w:after="200" w:line="276" w:lineRule="auto"/>
    </w:pPr>
    <w:rPr>
      <w:rFonts w:ascii="Times New Roman" w:hAnsi="Times New Roman"/>
      <w:sz w:val="22"/>
      <w:szCs w:val="22"/>
      <w:lang w:val="cs-CZ" w:eastAsia="en-US"/>
    </w:rPr>
  </w:style>
  <w:style w:type="paragraph" w:styleId="Nadpis1">
    <w:name w:val="heading 1"/>
    <w:basedOn w:val="Normlny"/>
    <w:next w:val="Normlny"/>
    <w:link w:val="Nadpis1Char"/>
    <w:qFormat/>
    <w:rsid w:val="00120BD5"/>
    <w:pPr>
      <w:keepNext/>
      <w:outlineLvl w:val="0"/>
    </w:pPr>
    <w:rPr>
      <w:b/>
      <w:sz w:val="24"/>
    </w:rPr>
  </w:style>
  <w:style w:type="paragraph" w:styleId="Nadpis2">
    <w:name w:val="heading 2"/>
    <w:basedOn w:val="Normlny"/>
    <w:next w:val="Normlny"/>
    <w:link w:val="Nadpis2Char"/>
    <w:qFormat/>
    <w:rsid w:val="00120BD5"/>
    <w:pPr>
      <w:keepNext/>
      <w:spacing w:before="240" w:after="60"/>
      <w:outlineLvl w:val="1"/>
    </w:pPr>
    <w:rPr>
      <w:rFonts w:ascii="Arial" w:hAnsi="Arial"/>
      <w:b/>
      <w:i/>
      <w:sz w:val="24"/>
    </w:rPr>
  </w:style>
  <w:style w:type="paragraph" w:styleId="Nadpis3">
    <w:name w:val="heading 3"/>
    <w:basedOn w:val="Normlny"/>
    <w:next w:val="Normlny"/>
    <w:link w:val="Nadpis3Char"/>
    <w:qFormat/>
    <w:rsid w:val="00120BD5"/>
    <w:pPr>
      <w:keepNext/>
      <w:outlineLvl w:val="2"/>
    </w:pPr>
    <w:rPr>
      <w:rFonts w:ascii="Arial" w:hAnsi="Arial" w:cs="Arial"/>
      <w:b/>
      <w:bCs/>
    </w:rPr>
  </w:style>
  <w:style w:type="paragraph" w:styleId="Nadpis4">
    <w:name w:val="heading 4"/>
    <w:basedOn w:val="Normlny"/>
    <w:next w:val="Normlny"/>
    <w:link w:val="Nadpis4Char"/>
    <w:qFormat/>
    <w:rsid w:val="00120BD5"/>
    <w:pPr>
      <w:keepNext/>
      <w:jc w:val="both"/>
      <w:outlineLvl w:val="3"/>
    </w:pPr>
    <w:rPr>
      <w:rFonts w:ascii="Arial" w:hAnsi="Arial" w:cs="Arial"/>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120BD5"/>
    <w:pPr>
      <w:keepNext/>
      <w:numPr>
        <w:numId w:val="2"/>
      </w:numPr>
      <w:spacing w:before="360" w:after="120" w:line="240" w:lineRule="auto"/>
    </w:pPr>
    <w:rPr>
      <w:rFonts w:eastAsia="Times New Roman"/>
      <w:b/>
      <w:bCs/>
      <w:caps/>
      <w:szCs w:val="24"/>
    </w:rPr>
  </w:style>
  <w:style w:type="paragraph" w:customStyle="1" w:styleId="Styl2">
    <w:name w:val="Styl2"/>
    <w:basedOn w:val="Normlny"/>
    <w:autoRedefine/>
    <w:rsid w:val="00120BD5"/>
    <w:pPr>
      <w:keepNext/>
      <w:numPr>
        <w:ilvl w:val="1"/>
        <w:numId w:val="2"/>
      </w:numPr>
      <w:spacing w:before="120" w:after="120" w:line="240" w:lineRule="auto"/>
    </w:pPr>
    <w:rPr>
      <w:rFonts w:eastAsia="Times New Roman"/>
      <w:b/>
      <w:bCs/>
      <w:szCs w:val="20"/>
    </w:rPr>
  </w:style>
  <w:style w:type="paragraph" w:customStyle="1" w:styleId="Styl2-2">
    <w:name w:val="Styl2-2"/>
    <w:basedOn w:val="Styl2"/>
    <w:next w:val="Normlny"/>
    <w:autoRedefine/>
    <w:qFormat/>
    <w:rsid w:val="00367B44"/>
    <w:pPr>
      <w:numPr>
        <w:ilvl w:val="0"/>
        <w:numId w:val="0"/>
      </w:numPr>
      <w:spacing w:before="0" w:after="0"/>
    </w:pPr>
    <w:rPr>
      <w:b w:val="0"/>
      <w:szCs w:val="22"/>
      <w:u w:val="single"/>
      <w:lang w:val="sk-SK"/>
    </w:rPr>
  </w:style>
  <w:style w:type="paragraph" w:customStyle="1" w:styleId="Styl3">
    <w:name w:val="Styl3"/>
    <w:basedOn w:val="Normlny"/>
    <w:link w:val="Styl3Char"/>
    <w:rsid w:val="00120BD5"/>
    <w:pPr>
      <w:tabs>
        <w:tab w:val="left" w:pos="6946"/>
      </w:tabs>
      <w:spacing w:after="120" w:line="240" w:lineRule="auto"/>
      <w:jc w:val="both"/>
    </w:pPr>
    <w:rPr>
      <w:sz w:val="20"/>
      <w:szCs w:val="24"/>
      <w:u w:val="single"/>
      <w:lang w:val="x-none" w:eastAsia="x-none"/>
    </w:rPr>
  </w:style>
  <w:style w:type="character" w:customStyle="1" w:styleId="Styl3Char">
    <w:name w:val="Styl3 Char"/>
    <w:link w:val="Styl3"/>
    <w:rsid w:val="00DB72EA"/>
    <w:rPr>
      <w:rFonts w:ascii="Times New Roman" w:hAnsi="Times New Roman"/>
      <w:szCs w:val="24"/>
      <w:u w:val="single"/>
      <w:lang w:val="x-none" w:eastAsia="x-non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8B5A25"/>
    <w:pPr>
      <w:suppressAutoHyphens/>
      <w:spacing w:after="0" w:line="240" w:lineRule="auto"/>
    </w:pPr>
    <w:rPr>
      <w:sz w:val="18"/>
      <w:szCs w:val="18"/>
      <w:lang w:val="sk-SK" w:eastAsia="x-none"/>
    </w:rPr>
  </w:style>
  <w:style w:type="character" w:customStyle="1" w:styleId="NormlndoblokuChar">
    <w:name w:val="Normální do bloku Char"/>
    <w:link w:val="Normlndobloku"/>
    <w:rsid w:val="008B5A25"/>
    <w:rPr>
      <w:rFonts w:ascii="Times New Roman" w:hAnsi="Times New Roman"/>
      <w:sz w:val="18"/>
      <w:szCs w:val="18"/>
      <w:lang w:eastAsia="x-none"/>
    </w:rPr>
  </w:style>
  <w:style w:type="paragraph" w:customStyle="1" w:styleId="Normlndoblokusodrkami">
    <w:name w:val="Normální do bloku s odrážkami"/>
    <w:basedOn w:val="Normlndobloku"/>
    <w:next w:val="Normlndobloku"/>
    <w:autoRedefine/>
    <w:qFormat/>
    <w:rsid w:val="00120BD5"/>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120BD5"/>
    <w:pPr>
      <w:spacing w:before="240" w:after="120" w:line="240" w:lineRule="auto"/>
      <w:jc w:val="center"/>
    </w:pPr>
    <w:rPr>
      <w:rFonts w:eastAsia="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hAnsi="TimesNewRoman" w:cs="TimesNewRoman"/>
      <w:szCs w:val="20"/>
    </w:rPr>
  </w:style>
  <w:style w:type="paragraph" w:styleId="Zkladntext">
    <w:name w:val="Body Text"/>
    <w:basedOn w:val="Normlny"/>
    <w:link w:val="ZkladntextChar"/>
    <w:semiHidden/>
    <w:rsid w:val="0024336E"/>
    <w:rPr>
      <w:rFonts w:ascii="Calibri" w:hAnsi="Calibri"/>
      <w:sz w:val="24"/>
      <w:lang w:val="x-none"/>
    </w:rPr>
  </w:style>
  <w:style w:type="character" w:customStyle="1" w:styleId="ZkladntextChar">
    <w:name w:val="Základný text Char"/>
    <w:link w:val="Zkladntext"/>
    <w:semiHidden/>
    <w:rsid w:val="0024336E"/>
    <w:rPr>
      <w:rFonts w:ascii="Calibri" w:eastAsia="Calibri" w:hAnsi="Calibri" w:cs="Times New Roman"/>
      <w:sz w:val="24"/>
      <w:lang w:val="x-none"/>
    </w:rPr>
  </w:style>
  <w:style w:type="paragraph" w:styleId="Pta">
    <w:name w:val="footer"/>
    <w:basedOn w:val="Normlny"/>
    <w:link w:val="PtaChar"/>
    <w:semiHidden/>
    <w:rsid w:val="0024336E"/>
    <w:pPr>
      <w:tabs>
        <w:tab w:val="center" w:pos="4536"/>
        <w:tab w:val="right" w:pos="9072"/>
      </w:tabs>
    </w:pPr>
  </w:style>
  <w:style w:type="character" w:customStyle="1" w:styleId="PtaChar">
    <w:name w:val="Päta Char"/>
    <w:link w:val="Pta"/>
    <w:semiHidden/>
    <w:rsid w:val="0024336E"/>
    <w:rPr>
      <w:rFonts w:ascii="Times New Roman" w:eastAsia="Calibri" w:hAnsi="Times New Roman" w:cs="Times New Roman"/>
    </w:rPr>
  </w:style>
  <w:style w:type="character" w:styleId="slostrany">
    <w:name w:val="page number"/>
    <w:basedOn w:val="Predvolenpsmoodseku"/>
    <w:rsid w:val="0024336E"/>
  </w:style>
  <w:style w:type="character" w:styleId="Hypertextovprepojenie">
    <w:name w:val="Hyperlink"/>
    <w:semiHidden/>
    <w:unhideWhenUsed/>
    <w:rsid w:val="0024336E"/>
    <w:rPr>
      <w:color w:val="0000FF"/>
      <w:u w:val="single"/>
    </w:rPr>
  </w:style>
  <w:style w:type="paragraph" w:customStyle="1" w:styleId="Styl4">
    <w:name w:val="Styl4"/>
    <w:basedOn w:val="Normlndobloku"/>
    <w:autoRedefine/>
    <w:qFormat/>
    <w:rsid w:val="008B0531"/>
    <w:rPr>
      <w:rFonts w:ascii="TimesNewRoman" w:hAnsi="TimesNewRoman"/>
      <w:i/>
      <w:sz w:val="22"/>
      <w:szCs w:val="22"/>
    </w:rPr>
  </w:style>
  <w:style w:type="paragraph" w:styleId="Textbubliny">
    <w:name w:val="Balloon Text"/>
    <w:basedOn w:val="Normlny"/>
    <w:link w:val="TextbublinyChar"/>
    <w:uiPriority w:val="99"/>
    <w:semiHidden/>
    <w:unhideWhenUsed/>
    <w:rsid w:val="00120BD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5460D"/>
    <w:rPr>
      <w:rFonts w:ascii="Tahoma" w:hAnsi="Tahoma" w:cs="Tahoma"/>
      <w:sz w:val="16"/>
      <w:szCs w:val="16"/>
      <w:lang w:val="cs-CZ" w:eastAsia="en-US"/>
    </w:rPr>
  </w:style>
  <w:style w:type="character" w:customStyle="1" w:styleId="Nadpis1Char">
    <w:name w:val="Nadpis 1 Char"/>
    <w:link w:val="Nadpis1"/>
    <w:rsid w:val="00120BD5"/>
    <w:rPr>
      <w:rFonts w:ascii="Times New Roman" w:eastAsia="Calibri" w:hAnsi="Times New Roman" w:cs="Times New Roman"/>
      <w:b/>
      <w:sz w:val="24"/>
    </w:rPr>
  </w:style>
  <w:style w:type="character" w:customStyle="1" w:styleId="Nadpis2Char">
    <w:name w:val="Nadpis 2 Char"/>
    <w:link w:val="Nadpis2"/>
    <w:rsid w:val="00120BD5"/>
    <w:rPr>
      <w:rFonts w:ascii="Arial" w:eastAsia="Calibri" w:hAnsi="Arial" w:cs="Times New Roman"/>
      <w:b/>
      <w:i/>
      <w:sz w:val="24"/>
    </w:rPr>
  </w:style>
  <w:style w:type="character" w:customStyle="1" w:styleId="Nadpis3Char">
    <w:name w:val="Nadpis 3 Char"/>
    <w:link w:val="Nadpis3"/>
    <w:rsid w:val="00120BD5"/>
    <w:rPr>
      <w:rFonts w:ascii="Arial" w:eastAsia="Calibri" w:hAnsi="Arial" w:cs="Arial"/>
      <w:b/>
      <w:bCs/>
    </w:rPr>
  </w:style>
  <w:style w:type="character" w:customStyle="1" w:styleId="Nadpis4Char">
    <w:name w:val="Nadpis 4 Char"/>
    <w:link w:val="Nadpis4"/>
    <w:rsid w:val="00120BD5"/>
    <w:rPr>
      <w:rFonts w:ascii="Arial" w:eastAsia="Calibri" w:hAnsi="Arial" w:cs="Arial"/>
      <w:b/>
      <w:bCs/>
      <w:lang w:val="sk-SK"/>
    </w:rPr>
  </w:style>
  <w:style w:type="paragraph" w:styleId="Zkladntext2">
    <w:name w:val="Body Text 2"/>
    <w:basedOn w:val="Normlny"/>
    <w:link w:val="Zkladntext2Char"/>
    <w:semiHidden/>
    <w:rsid w:val="00120BD5"/>
    <w:pPr>
      <w:jc w:val="both"/>
    </w:pPr>
    <w:rPr>
      <w:sz w:val="24"/>
    </w:rPr>
  </w:style>
  <w:style w:type="character" w:customStyle="1" w:styleId="Zkladntext2Char">
    <w:name w:val="Základný text 2 Char"/>
    <w:link w:val="Zkladntext2"/>
    <w:semiHidden/>
    <w:rsid w:val="00120BD5"/>
    <w:rPr>
      <w:rFonts w:ascii="Times New Roman" w:eastAsia="Calibri" w:hAnsi="Times New Roman" w:cs="Times New Roman"/>
      <w:sz w:val="24"/>
    </w:rPr>
  </w:style>
  <w:style w:type="paragraph" w:styleId="Hlavika">
    <w:name w:val="header"/>
    <w:basedOn w:val="Normlny"/>
    <w:link w:val="HlavikaChar"/>
    <w:uiPriority w:val="99"/>
    <w:rsid w:val="00120BD5"/>
    <w:pPr>
      <w:tabs>
        <w:tab w:val="center" w:pos="4536"/>
        <w:tab w:val="right" w:pos="9072"/>
      </w:tabs>
    </w:pPr>
    <w:rPr>
      <w:rFonts w:ascii="Calibri" w:hAnsi="Calibri"/>
    </w:rPr>
  </w:style>
  <w:style w:type="character" w:customStyle="1" w:styleId="HlavikaChar">
    <w:name w:val="Hlavička Char"/>
    <w:link w:val="Hlavika"/>
    <w:uiPriority w:val="99"/>
    <w:rsid w:val="00120BD5"/>
    <w:rPr>
      <w:rFonts w:ascii="Calibri" w:eastAsia="Calibri" w:hAnsi="Calibri" w:cs="Times New Roman"/>
    </w:rPr>
  </w:style>
  <w:style w:type="paragraph" w:styleId="Zkladntext3">
    <w:name w:val="Body Text 3"/>
    <w:basedOn w:val="Normlny"/>
    <w:link w:val="Zkladntext3Char"/>
    <w:semiHidden/>
    <w:rsid w:val="00120BD5"/>
    <w:pPr>
      <w:jc w:val="both"/>
    </w:pPr>
    <w:rPr>
      <w:rFonts w:ascii="Arial" w:hAnsi="Arial" w:cs="Arial"/>
      <w:lang w:val="sk-SK"/>
    </w:rPr>
  </w:style>
  <w:style w:type="character" w:customStyle="1" w:styleId="Zkladntext3Char">
    <w:name w:val="Základný text 3 Char"/>
    <w:link w:val="Zkladntext3"/>
    <w:semiHidden/>
    <w:rsid w:val="00120BD5"/>
    <w:rPr>
      <w:rFonts w:ascii="Arial" w:eastAsia="Calibri" w:hAnsi="Arial" w:cs="Arial"/>
      <w:lang w:val="sk-SK"/>
    </w:rPr>
  </w:style>
  <w:style w:type="character" w:styleId="Odkaznakomentr">
    <w:name w:val="annotation reference"/>
    <w:semiHidden/>
    <w:rsid w:val="00120BD5"/>
    <w:rPr>
      <w:sz w:val="16"/>
      <w:szCs w:val="16"/>
    </w:rPr>
  </w:style>
  <w:style w:type="paragraph" w:styleId="Textkomentra">
    <w:name w:val="annotation text"/>
    <w:basedOn w:val="Normlny"/>
    <w:link w:val="TextkomentraChar"/>
    <w:semiHidden/>
    <w:rsid w:val="00120BD5"/>
    <w:rPr>
      <w:rFonts w:ascii="Calibri" w:hAnsi="Calibri"/>
      <w:lang w:val="x-none"/>
    </w:rPr>
  </w:style>
  <w:style w:type="character" w:customStyle="1" w:styleId="TextkomentraChar">
    <w:name w:val="Text komentára Char"/>
    <w:link w:val="Textkomentra"/>
    <w:semiHidden/>
    <w:rsid w:val="00120BD5"/>
    <w:rPr>
      <w:rFonts w:ascii="Calibri" w:eastAsia="Calibri" w:hAnsi="Calibri" w:cs="Times New Roman"/>
      <w:lang w:val="x-none"/>
    </w:rPr>
  </w:style>
  <w:style w:type="character" w:customStyle="1" w:styleId="NormlndoblokuCharChar">
    <w:name w:val="Normální do bloku Char Char"/>
    <w:rsid w:val="00120BD5"/>
    <w:rPr>
      <w:rFonts w:ascii="TimesNewRoman" w:hAnsi="TimesNewRoman" w:cs="TimesNewRoman"/>
      <w:sz w:val="22"/>
      <w:szCs w:val="24"/>
      <w:lang w:eastAsia="cs-CZ"/>
    </w:rPr>
  </w:style>
  <w:style w:type="paragraph" w:styleId="truktradokumentu">
    <w:name w:val="Document Map"/>
    <w:basedOn w:val="Normlny"/>
    <w:link w:val="truktradokumentuChar"/>
    <w:semiHidden/>
    <w:rsid w:val="00120BD5"/>
    <w:pPr>
      <w:shd w:val="clear" w:color="auto" w:fill="000080"/>
    </w:pPr>
    <w:rPr>
      <w:rFonts w:ascii="Tahoma" w:hAnsi="Tahoma" w:cs="Tahoma"/>
      <w:sz w:val="20"/>
      <w:szCs w:val="20"/>
    </w:rPr>
  </w:style>
  <w:style w:type="character" w:customStyle="1" w:styleId="truktradokumentuChar">
    <w:name w:val="Štruktúra dokumentu Char"/>
    <w:link w:val="truktradokumentu"/>
    <w:semiHidden/>
    <w:rsid w:val="00120BD5"/>
    <w:rPr>
      <w:rFonts w:ascii="Tahoma" w:eastAsia="Calibri" w:hAnsi="Tahoma" w:cs="Tahoma"/>
      <w:sz w:val="20"/>
      <w:szCs w:val="20"/>
      <w:shd w:val="clear" w:color="auto" w:fill="000080"/>
    </w:rPr>
  </w:style>
  <w:style w:type="paragraph" w:customStyle="1" w:styleId="Styl40">
    <w:name w:val="Styl 4"/>
    <w:basedOn w:val="Styl3"/>
    <w:rsid w:val="00120BD5"/>
    <w:pPr>
      <w:spacing w:after="0"/>
      <w:jc w:val="left"/>
    </w:pPr>
    <w:rPr>
      <w:rFonts w:ascii="TimesNewRoman" w:hAnsi="TimesNewRoman"/>
      <w:i/>
      <w:iCs/>
    </w:rPr>
  </w:style>
  <w:style w:type="character" w:customStyle="1" w:styleId="WW-DefaultParagraphFont">
    <w:name w:val="WW-Default Paragraph Font"/>
    <w:rsid w:val="00120BD5"/>
  </w:style>
  <w:style w:type="paragraph" w:styleId="Predmetkomentra">
    <w:name w:val="annotation subject"/>
    <w:basedOn w:val="Textkomentra"/>
    <w:next w:val="Textkomentra"/>
    <w:link w:val="PredmetkomentraChar"/>
    <w:uiPriority w:val="99"/>
    <w:semiHidden/>
    <w:unhideWhenUsed/>
    <w:rsid w:val="00120BD5"/>
    <w:rPr>
      <w:b/>
      <w:bCs/>
      <w:sz w:val="20"/>
      <w:szCs w:val="20"/>
    </w:rPr>
  </w:style>
  <w:style w:type="character" w:customStyle="1" w:styleId="PredmetkomentraChar">
    <w:name w:val="Predmet komentára Char"/>
    <w:link w:val="Predmetkomentra"/>
    <w:uiPriority w:val="99"/>
    <w:semiHidden/>
    <w:rsid w:val="00120BD5"/>
    <w:rPr>
      <w:rFonts w:ascii="Calibri" w:eastAsia="Calibri" w:hAnsi="Calibri" w:cs="Times New Roman"/>
      <w:b/>
      <w:bCs/>
      <w:sz w:val="20"/>
      <w:szCs w:val="20"/>
      <w:lang w:val="x-none"/>
    </w:rPr>
  </w:style>
  <w:style w:type="paragraph" w:styleId="Revzia">
    <w:name w:val="Revision"/>
    <w:hidden/>
    <w:uiPriority w:val="99"/>
    <w:semiHidden/>
    <w:rsid w:val="00120BD5"/>
    <w:rPr>
      <w:rFonts w:ascii="Times New Roman" w:hAnsi="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1FDD-D1BC-4597-A95B-9F2D0206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2779</Words>
  <Characters>15843</Characters>
  <Application>Microsoft Office Word</Application>
  <DocSecurity>0</DocSecurity>
  <Lines>132</Lines>
  <Paragraphs>37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Medochemie, Ltd.</Company>
  <LinksUpToDate>false</LinksUpToDate>
  <CharactersWithSpaces>18585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IM</cp:lastModifiedBy>
  <cp:revision>4</cp:revision>
  <cp:lastPrinted>2016-06-27T12:49:00Z</cp:lastPrinted>
  <dcterms:created xsi:type="dcterms:W3CDTF">2017-02-21T12:45:00Z</dcterms:created>
  <dcterms:modified xsi:type="dcterms:W3CDTF">2017-02-21T13:32:00Z</dcterms:modified>
</cp:coreProperties>
</file>