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62" w:rsidRPr="007C3CD6" w:rsidRDefault="009D7662" w:rsidP="00AE50B8">
      <w:pPr>
        <w:jc w:val="left"/>
        <w:rPr>
          <w:b/>
          <w:bCs/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SÚHRN CHARAKTERISTICKÝCH VLASTNOSTÍ LIEKU</w:t>
      </w:r>
    </w:p>
    <w:p w:rsidR="008047F8" w:rsidRDefault="008047F8" w:rsidP="00AE50B8">
      <w:pPr>
        <w:jc w:val="left"/>
        <w:rPr>
          <w:b/>
          <w:bCs/>
          <w:sz w:val="22"/>
          <w:szCs w:val="22"/>
          <w:lang w:val="sk-SK"/>
        </w:rPr>
      </w:pPr>
    </w:p>
    <w:p w:rsidR="00761700" w:rsidRPr="007C3CD6" w:rsidRDefault="00761700" w:rsidP="00AE50B8">
      <w:pPr>
        <w:jc w:val="left"/>
        <w:rPr>
          <w:b/>
          <w:bCs/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0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NÁZOV LIEKU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03368A" w:rsidP="00AE50B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3F2E7B" w:rsidRPr="007C3CD6">
        <w:rPr>
          <w:sz w:val="22"/>
          <w:szCs w:val="22"/>
          <w:lang w:val="sk-SK"/>
        </w:rPr>
        <w:t xml:space="preserve">1 mg/ml + 20 mg/ml </w:t>
      </w:r>
      <w:proofErr w:type="spellStart"/>
      <w:r w:rsidR="00AC50EC">
        <w:rPr>
          <w:sz w:val="22"/>
          <w:szCs w:val="22"/>
          <w:lang w:val="sk-SK"/>
        </w:rPr>
        <w:t>D</w:t>
      </w:r>
      <w:r w:rsidR="003F2E7B" w:rsidRPr="007C3CD6">
        <w:rPr>
          <w:sz w:val="22"/>
          <w:szCs w:val="22"/>
          <w:lang w:val="sk-SK"/>
        </w:rPr>
        <w:t>ermálna</w:t>
      </w:r>
      <w:proofErr w:type="spellEnd"/>
      <w:r w:rsidR="003F2E7B" w:rsidRPr="007C3CD6">
        <w:rPr>
          <w:sz w:val="22"/>
          <w:szCs w:val="22"/>
          <w:lang w:val="sk-SK"/>
        </w:rPr>
        <w:t xml:space="preserve"> roztoková </w:t>
      </w:r>
      <w:proofErr w:type="spellStart"/>
      <w:r w:rsidR="003F2E7B" w:rsidRPr="007C3CD6">
        <w:rPr>
          <w:sz w:val="22"/>
          <w:szCs w:val="22"/>
          <w:lang w:val="sk-SK"/>
        </w:rPr>
        <w:t>aerodisperzia</w:t>
      </w:r>
      <w:proofErr w:type="spellEnd"/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445B30" w:rsidRPr="007C3CD6" w:rsidRDefault="00445B30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0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KVALITATÍVNE A KVANTITATÍVNE ZLOŽENIE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1 ml roztoku obsahuje:</w:t>
      </w:r>
    </w:p>
    <w:p w:rsidR="009D7662" w:rsidRPr="007C3CD6" w:rsidRDefault="00D11BA7" w:rsidP="00AE50B8">
      <w:pPr>
        <w:jc w:val="left"/>
        <w:rPr>
          <w:sz w:val="22"/>
          <w:szCs w:val="22"/>
          <w:lang w:val="sk-SK"/>
        </w:rPr>
      </w:pPr>
      <w:r w:rsidRPr="00D11BA7">
        <w:rPr>
          <w:sz w:val="22"/>
          <w:szCs w:val="22"/>
          <w:lang w:val="sk-SK"/>
        </w:rPr>
        <w:t>oktenidíniumdichlorid</w:t>
      </w:r>
      <w:r w:rsidR="009D7662" w:rsidRPr="007C3CD6">
        <w:rPr>
          <w:sz w:val="22"/>
          <w:szCs w:val="22"/>
          <w:lang w:val="sk-SK"/>
        </w:rPr>
        <w:tab/>
      </w:r>
      <w:r w:rsidR="009D7662" w:rsidRPr="007C3CD6">
        <w:rPr>
          <w:sz w:val="22"/>
          <w:szCs w:val="22"/>
          <w:lang w:val="sk-SK"/>
        </w:rPr>
        <w:tab/>
      </w:r>
      <w:r w:rsidR="00A54811">
        <w:rPr>
          <w:sz w:val="22"/>
          <w:szCs w:val="22"/>
          <w:lang w:val="sk-SK"/>
        </w:rPr>
        <w:tab/>
      </w:r>
      <w:r w:rsidR="009D7662" w:rsidRPr="007C3CD6">
        <w:rPr>
          <w:sz w:val="22"/>
          <w:szCs w:val="22"/>
          <w:lang w:val="sk-SK"/>
        </w:rPr>
        <w:t>1 mg</w:t>
      </w:r>
    </w:p>
    <w:p w:rsidR="009D7662" w:rsidRPr="007C3CD6" w:rsidRDefault="00AC50EC" w:rsidP="00AE50B8">
      <w:pPr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</w:t>
      </w:r>
      <w:r w:rsidR="009D7662" w:rsidRPr="007C3CD6">
        <w:rPr>
          <w:sz w:val="22"/>
          <w:szCs w:val="22"/>
          <w:lang w:val="sk-SK"/>
        </w:rPr>
        <w:t>enoxyetanol</w:t>
      </w:r>
      <w:proofErr w:type="spellEnd"/>
      <w:r w:rsidR="009D7662" w:rsidRPr="007C3CD6">
        <w:rPr>
          <w:sz w:val="22"/>
          <w:szCs w:val="22"/>
          <w:lang w:val="sk-SK"/>
        </w:rPr>
        <w:tab/>
      </w:r>
      <w:r w:rsidR="009D7662" w:rsidRPr="007C3CD6">
        <w:rPr>
          <w:sz w:val="22"/>
          <w:szCs w:val="22"/>
          <w:lang w:val="sk-SK"/>
        </w:rPr>
        <w:tab/>
      </w:r>
      <w:r w:rsidR="009D7662" w:rsidRPr="007C3CD6">
        <w:rPr>
          <w:sz w:val="22"/>
          <w:szCs w:val="22"/>
          <w:lang w:val="sk-SK"/>
        </w:rPr>
        <w:tab/>
      </w:r>
      <w:r w:rsidR="00E83F85" w:rsidRPr="007C3CD6">
        <w:rPr>
          <w:sz w:val="22"/>
          <w:szCs w:val="22"/>
          <w:lang w:val="sk-SK"/>
        </w:rPr>
        <w:tab/>
      </w:r>
      <w:r w:rsidR="009D7662" w:rsidRPr="007C3CD6">
        <w:rPr>
          <w:sz w:val="22"/>
          <w:szCs w:val="22"/>
          <w:lang w:val="sk-SK"/>
        </w:rPr>
        <w:t>20 mg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Úplný zoznam pomocných látok, pozri časť 6.1.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445B30" w:rsidRPr="007C3CD6" w:rsidRDefault="00445B30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0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LIEKOVÁ FORMA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Dermálna roztoková aerodisperzia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Číry, bezfarebný roztok takmer bez vône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445B30" w:rsidRPr="007C3CD6" w:rsidRDefault="00445B30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0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KLINICKÉ ÚDAJE</w:t>
      </w:r>
    </w:p>
    <w:p w:rsidR="009D7662" w:rsidRPr="007C3CD6" w:rsidRDefault="009D7662" w:rsidP="00AE50B8">
      <w:pPr>
        <w:jc w:val="left"/>
        <w:rPr>
          <w:b/>
          <w:bCs/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spacing w:after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Terapeutické indikácie</w:t>
      </w:r>
    </w:p>
    <w:p w:rsidR="00F6691F" w:rsidRPr="007C3CD6" w:rsidRDefault="0003368A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F6691F" w:rsidRPr="007C3CD6">
        <w:rPr>
          <w:sz w:val="22"/>
          <w:szCs w:val="22"/>
          <w:lang w:val="sk-SK"/>
        </w:rPr>
        <w:t>je indikovaný na opakované, krátkodobé, antiseptické ošetrenie slizníc a priľahlých tkanív pred diagnostickými zákrokmi v anogenitálnej oblasti vrátane vagíny, vulvy a žaluďa ako aj pred katetrizáciou močového me</w:t>
      </w:r>
      <w:r w:rsidR="00E83F85" w:rsidRPr="007C3CD6">
        <w:rPr>
          <w:sz w:val="22"/>
          <w:szCs w:val="22"/>
          <w:lang w:val="sk-SK"/>
        </w:rPr>
        <w:t>chúra.</w:t>
      </w:r>
    </w:p>
    <w:p w:rsidR="00F6691F" w:rsidRPr="007C3CD6" w:rsidRDefault="0003368A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F6691F" w:rsidRPr="007C3CD6">
        <w:rPr>
          <w:sz w:val="22"/>
          <w:szCs w:val="22"/>
          <w:lang w:val="sk-SK"/>
        </w:rPr>
        <w:t xml:space="preserve">je tiež indikovaný na antiseptické ošetrenie malých povrchových rán a dezinfekciu kože pred nechirurgickými zákrokmi. </w:t>
      </w:r>
    </w:p>
    <w:p w:rsidR="009D7662" w:rsidRPr="007C3CD6" w:rsidRDefault="0003368A" w:rsidP="00AE50B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F6691F" w:rsidRPr="007C3CD6">
        <w:rPr>
          <w:sz w:val="22"/>
          <w:szCs w:val="22"/>
          <w:lang w:val="sk-SK"/>
        </w:rPr>
        <w:t>sa môže používať u pacientov všetkých vekových skupín.</w:t>
      </w:r>
    </w:p>
    <w:p w:rsidR="005A5CC3" w:rsidRPr="007C3CD6" w:rsidRDefault="005A5CC3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spacing w:after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Dávkovanie a spôsob podávania</w:t>
      </w:r>
    </w:p>
    <w:p w:rsidR="00CB6099" w:rsidRPr="007C3CD6" w:rsidRDefault="00CB6099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Roztok je určený na dermálne použitie.</w:t>
      </w:r>
    </w:p>
    <w:p w:rsidR="00FA1475" w:rsidRPr="007C3CD6" w:rsidRDefault="0003368A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1C7134" w:rsidRPr="007C3CD6">
        <w:rPr>
          <w:sz w:val="22"/>
          <w:szCs w:val="22"/>
          <w:lang w:val="sk-SK"/>
        </w:rPr>
        <w:t xml:space="preserve">sa má aplikovať na oblasť určenú na ošetrenie, až kým sa nedosiahne úplné </w:t>
      </w:r>
      <w:r w:rsidR="00516EB5">
        <w:rPr>
          <w:sz w:val="22"/>
          <w:szCs w:val="22"/>
          <w:lang w:val="sk-SK"/>
        </w:rPr>
        <w:t>n</w:t>
      </w:r>
      <w:r w:rsidR="00516EB5" w:rsidRPr="007C3CD6">
        <w:rPr>
          <w:sz w:val="22"/>
          <w:szCs w:val="22"/>
          <w:lang w:val="sk-SK"/>
        </w:rPr>
        <w:t>avlhčenie</w:t>
      </w:r>
      <w:r w:rsidR="001C7134" w:rsidRPr="007C3CD6">
        <w:rPr>
          <w:sz w:val="22"/>
          <w:szCs w:val="22"/>
          <w:lang w:val="sk-SK"/>
        </w:rPr>
        <w:t>. Po aplikácii a pred ďalšími zákrokmi, ak</w:t>
      </w:r>
      <w:r w:rsidR="002143CB">
        <w:rPr>
          <w:sz w:val="22"/>
          <w:szCs w:val="22"/>
          <w:lang w:val="sk-SK"/>
        </w:rPr>
        <w:t>o je</w:t>
      </w:r>
      <w:r w:rsidR="001C7134" w:rsidRPr="007C3CD6">
        <w:rPr>
          <w:sz w:val="22"/>
          <w:szCs w:val="22"/>
          <w:lang w:val="sk-SK"/>
        </w:rPr>
        <w:t xml:space="preserve"> napr. priloženie obväzu, sa musí dodržať doba expozície aspoň 1 až 2 minúty.</w:t>
      </w:r>
    </w:p>
    <w:p w:rsidR="009D7662" w:rsidRPr="007C3CD6" w:rsidRDefault="009D7662" w:rsidP="00AE50B8">
      <w:pPr>
        <w:spacing w:before="120"/>
        <w:ind w:left="12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Na dosiahnutie želaného účinku sa musia tieto pokyny starostlivo dodržiavať.</w:t>
      </w:r>
    </w:p>
    <w:p w:rsidR="009D7662" w:rsidRPr="007C3CD6" w:rsidRDefault="009D7662" w:rsidP="00AE50B8">
      <w:pPr>
        <w:spacing w:before="120"/>
        <w:ind w:left="12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Doteraz existuje iba skúsenosť </w:t>
      </w:r>
      <w:r w:rsidR="00C224D3">
        <w:rPr>
          <w:sz w:val="22"/>
          <w:szCs w:val="22"/>
          <w:lang w:val="sk-SK"/>
        </w:rPr>
        <w:t xml:space="preserve">z </w:t>
      </w:r>
      <w:r w:rsidRPr="007C3CD6">
        <w:rPr>
          <w:sz w:val="22"/>
          <w:szCs w:val="22"/>
          <w:lang w:val="sk-SK"/>
        </w:rPr>
        <w:t xml:space="preserve">nepretržitého používania, </w:t>
      </w:r>
      <w:r w:rsidR="00C224D3">
        <w:rPr>
          <w:sz w:val="22"/>
          <w:szCs w:val="22"/>
          <w:lang w:val="sk-SK"/>
        </w:rPr>
        <w:t>ktoré netrvalo</w:t>
      </w:r>
      <w:r w:rsidRPr="007C3CD6">
        <w:rPr>
          <w:sz w:val="22"/>
          <w:szCs w:val="22"/>
          <w:lang w:val="sk-SK"/>
        </w:rPr>
        <w:t xml:space="preserve"> dlhšie ako 14 dní, preto sa má </w:t>
      </w:r>
      <w:r w:rsidR="0003368A"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Pr="007C3CD6">
        <w:rPr>
          <w:sz w:val="22"/>
          <w:szCs w:val="22"/>
          <w:lang w:val="sk-SK"/>
        </w:rPr>
        <w:t>používať počas ošetrenia</w:t>
      </w:r>
      <w:r w:rsidR="00303151">
        <w:rPr>
          <w:sz w:val="22"/>
          <w:szCs w:val="22"/>
          <w:lang w:val="sk-SK"/>
        </w:rPr>
        <w:t xml:space="preserve"> </w:t>
      </w:r>
      <w:r w:rsidR="00303151" w:rsidRPr="007C3CD6">
        <w:rPr>
          <w:sz w:val="22"/>
          <w:szCs w:val="22"/>
          <w:lang w:val="sk-SK"/>
        </w:rPr>
        <w:t>iba v obmedzenom čase</w:t>
      </w:r>
      <w:r w:rsidRPr="007C3CD6">
        <w:rPr>
          <w:sz w:val="22"/>
          <w:szCs w:val="22"/>
          <w:lang w:val="sk-SK"/>
        </w:rPr>
        <w:t>.</w:t>
      </w:r>
    </w:p>
    <w:p w:rsidR="00FA1475" w:rsidRPr="007C3CD6" w:rsidRDefault="00FA1475" w:rsidP="00AE50B8">
      <w:pPr>
        <w:spacing w:before="120"/>
        <w:ind w:left="12"/>
        <w:jc w:val="left"/>
        <w:rPr>
          <w:i/>
          <w:sz w:val="22"/>
          <w:szCs w:val="22"/>
          <w:lang w:val="sk-SK"/>
        </w:rPr>
      </w:pPr>
      <w:r w:rsidRPr="007C3CD6">
        <w:rPr>
          <w:i/>
          <w:sz w:val="22"/>
          <w:szCs w:val="22"/>
          <w:lang w:val="sk-SK"/>
        </w:rPr>
        <w:t>Pediatrická populácia</w:t>
      </w:r>
    </w:p>
    <w:p w:rsidR="008E244B" w:rsidRPr="007C3CD6" w:rsidRDefault="00FA1475" w:rsidP="00AE50B8">
      <w:pPr>
        <w:ind w:left="1"/>
        <w:jc w:val="left"/>
        <w:rPr>
          <w:color w:val="000000"/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Dávkov</w:t>
      </w:r>
      <w:r w:rsidR="00E83F85" w:rsidRPr="007C3CD6">
        <w:rPr>
          <w:sz w:val="22"/>
          <w:szCs w:val="22"/>
          <w:lang w:val="sk-SK"/>
        </w:rPr>
        <w:t xml:space="preserve">anie </w:t>
      </w:r>
      <w:r w:rsidR="00D11BA7" w:rsidRPr="00D11BA7">
        <w:rPr>
          <w:sz w:val="22"/>
          <w:szCs w:val="22"/>
          <w:lang w:val="sk-SK"/>
        </w:rPr>
        <w:t>octenisept</w:t>
      </w:r>
      <w:r w:rsidRPr="007C3CD6">
        <w:rPr>
          <w:sz w:val="22"/>
          <w:szCs w:val="22"/>
          <w:lang w:val="sk-SK"/>
        </w:rPr>
        <w:t xml:space="preserve"> je rovnaké u dospelých a</w:t>
      </w:r>
      <w:r w:rsidR="003D1DEC">
        <w:rPr>
          <w:sz w:val="22"/>
          <w:szCs w:val="22"/>
          <w:lang w:val="sk-SK"/>
        </w:rPr>
        <w:t xml:space="preserve"> </w:t>
      </w:r>
      <w:r w:rsidRPr="007C3CD6">
        <w:rPr>
          <w:sz w:val="22"/>
          <w:szCs w:val="22"/>
          <w:lang w:val="sk-SK"/>
        </w:rPr>
        <w:t xml:space="preserve">detí. 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spacing w:after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Kontraindikácie</w:t>
      </w:r>
    </w:p>
    <w:p w:rsidR="009D7662" w:rsidRPr="007C3CD6" w:rsidRDefault="0003368A" w:rsidP="00AE50B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1C7134" w:rsidRPr="007C3CD6">
        <w:rPr>
          <w:sz w:val="22"/>
          <w:szCs w:val="22"/>
          <w:lang w:val="sk-SK"/>
        </w:rPr>
        <w:t>sa nesmie používať v prípade precitlivenosti na liečivá alebo na ktorúkoľvek z pomocných látok uvedených v časti 6.1.</w:t>
      </w:r>
    </w:p>
    <w:p w:rsidR="009D7662" w:rsidRPr="007C3CD6" w:rsidRDefault="0003368A" w:rsidP="00AE50B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1C7134" w:rsidRPr="007C3CD6">
        <w:rPr>
          <w:sz w:val="22"/>
          <w:szCs w:val="22"/>
          <w:lang w:val="sk-SK"/>
        </w:rPr>
        <w:t>sa nesmie používať na vyplachovanie brušnej dutiny (napr. pri chirurgickom zákroku) alebo močového mechúra, ani na tympanickej membráne.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Osobitné upozornenia a opatrenia pri používaní</w:t>
      </w:r>
    </w:p>
    <w:p w:rsidR="000F3FC3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Treba sa vyhnúť preniknutiu </w:t>
      </w:r>
      <w:r w:rsidR="00D11BA7" w:rsidRPr="00D11BA7">
        <w:rPr>
          <w:sz w:val="22"/>
          <w:szCs w:val="22"/>
          <w:lang w:val="sk-SK"/>
        </w:rPr>
        <w:t>octenisept</w:t>
      </w:r>
      <w:r w:rsidRPr="007C3CD6">
        <w:rPr>
          <w:sz w:val="22"/>
          <w:szCs w:val="22"/>
          <w:lang w:val="sk-SK"/>
        </w:rPr>
        <w:t xml:space="preserve"> do krvného obehu, napr. náhodn</w:t>
      </w:r>
      <w:r w:rsidR="00212F23">
        <w:rPr>
          <w:sz w:val="22"/>
          <w:szCs w:val="22"/>
          <w:lang w:val="sk-SK"/>
        </w:rPr>
        <w:t>ým</w:t>
      </w:r>
      <w:r w:rsidRPr="007C3CD6">
        <w:rPr>
          <w:sz w:val="22"/>
          <w:szCs w:val="22"/>
          <w:lang w:val="sk-SK"/>
        </w:rPr>
        <w:t xml:space="preserve"> </w:t>
      </w:r>
      <w:r w:rsidR="00212F23">
        <w:rPr>
          <w:sz w:val="22"/>
          <w:szCs w:val="22"/>
          <w:lang w:val="sk-SK"/>
        </w:rPr>
        <w:t>injikovaním</w:t>
      </w:r>
      <w:r w:rsidRPr="007C3CD6">
        <w:rPr>
          <w:sz w:val="22"/>
          <w:szCs w:val="22"/>
          <w:lang w:val="sk-SK"/>
        </w:rPr>
        <w:t>.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</w:p>
    <w:p w:rsidR="000F3FC3" w:rsidRPr="007C3CD6" w:rsidRDefault="00FA1475" w:rsidP="00AE5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22"/>
          <w:szCs w:val="22"/>
          <w:lang w:val="sk-SK"/>
        </w:rPr>
      </w:pPr>
      <w:r w:rsidRPr="007C3CD6">
        <w:rPr>
          <w:b/>
          <w:sz w:val="22"/>
          <w:szCs w:val="22"/>
          <w:lang w:val="sk-SK"/>
        </w:rPr>
        <w:t>Liek sa nesmie injikovať ani aplikovať na tkanivá tlakom, aby sa zabránilo možnému poškodeniu tkaniva.</w:t>
      </w:r>
    </w:p>
    <w:p w:rsidR="00035286" w:rsidRPr="007C3CD6" w:rsidRDefault="00035286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Liekové a iné interakcie</w:t>
      </w:r>
    </w:p>
    <w:p w:rsidR="009D7662" w:rsidRPr="007C3CD6" w:rsidRDefault="0003368A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9D7662" w:rsidRPr="007C3CD6">
        <w:rPr>
          <w:sz w:val="22"/>
          <w:szCs w:val="22"/>
          <w:lang w:val="sk-SK"/>
        </w:rPr>
        <w:t>sa nemá používať súbežne s PVP antiseptickými prípravkami na báze jódu na priľahlé oblasti kože, pretože v hraničiacich oblastiach sa môže vyskytnúť silné hnedé až fialové zafarbenie.</w:t>
      </w:r>
    </w:p>
    <w:p w:rsidR="009273C8" w:rsidRPr="007C3CD6" w:rsidRDefault="00CD6583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Inkompatibilita lieku pri súbežnom použití s aniónovými povrchovými prípravkami (mydlo, saponát, atď.) môže znížiť alebo anulovať jeho účinok.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CD6583" w:rsidP="00AE50B8">
      <w:pPr>
        <w:numPr>
          <w:ilvl w:val="1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Fertilita, gravidita a laktácia</w:t>
      </w:r>
    </w:p>
    <w:p w:rsidR="00E97CFE" w:rsidRPr="007C3CD6" w:rsidRDefault="00E97CFE" w:rsidP="00AE50B8">
      <w:pPr>
        <w:spacing w:before="120"/>
        <w:jc w:val="left"/>
        <w:rPr>
          <w:bCs/>
          <w:i/>
          <w:sz w:val="22"/>
          <w:szCs w:val="22"/>
          <w:lang w:val="sk-SK"/>
        </w:rPr>
      </w:pPr>
      <w:r w:rsidRPr="007C3CD6">
        <w:rPr>
          <w:bCs/>
          <w:i/>
          <w:sz w:val="22"/>
          <w:szCs w:val="22"/>
          <w:lang w:val="sk-SK"/>
        </w:rPr>
        <w:t>Gravidita</w:t>
      </w:r>
    </w:p>
    <w:p w:rsidR="00FA1475" w:rsidRPr="007C3CD6" w:rsidRDefault="00E97CFE" w:rsidP="00AE50B8">
      <w:pPr>
        <w:spacing w:before="120"/>
        <w:jc w:val="left"/>
        <w:rPr>
          <w:bCs/>
          <w:iCs/>
          <w:sz w:val="22"/>
          <w:szCs w:val="22"/>
          <w:lang w:val="sk-SK"/>
        </w:rPr>
      </w:pPr>
      <w:r w:rsidRPr="007C3CD6">
        <w:rPr>
          <w:bCs/>
          <w:iCs/>
          <w:sz w:val="22"/>
          <w:szCs w:val="22"/>
          <w:lang w:val="sk-SK"/>
        </w:rPr>
        <w:t>K dispozícii je malé množstvo údajov (medzi 300</w:t>
      </w:r>
      <w:r w:rsidRPr="007C3CD6">
        <w:rPr>
          <w:bCs/>
          <w:iCs/>
          <w:sz w:val="22"/>
          <w:szCs w:val="22"/>
          <w:lang w:val="sk-SK"/>
        </w:rPr>
        <w:noBreakHyphen/>
        <w:t xml:space="preserve">1 000 ukončených gravidít, gestačné obdobie ≥ 12 týždňov) ohľadne používania kombinácií </w:t>
      </w:r>
      <w:r w:rsidR="00D11BA7" w:rsidRPr="00D11BA7">
        <w:rPr>
          <w:bCs/>
          <w:iCs/>
          <w:sz w:val="22"/>
          <w:szCs w:val="22"/>
          <w:lang w:val="sk-SK"/>
        </w:rPr>
        <w:t xml:space="preserve">oktenidíniumdichlorid </w:t>
      </w:r>
      <w:r w:rsidRPr="007C3CD6">
        <w:rPr>
          <w:bCs/>
          <w:iCs/>
          <w:sz w:val="22"/>
          <w:szCs w:val="22"/>
          <w:lang w:val="sk-SK"/>
        </w:rPr>
        <w:t xml:space="preserve">/fenoxyetanolu u gravidných žien. Neboli hlásené žiadne nežiaduce </w:t>
      </w:r>
      <w:r w:rsidR="009C348F">
        <w:rPr>
          <w:bCs/>
          <w:iCs/>
          <w:sz w:val="22"/>
          <w:szCs w:val="22"/>
          <w:lang w:val="sk-SK"/>
        </w:rPr>
        <w:t>udalosti</w:t>
      </w:r>
      <w:r w:rsidR="009C348F" w:rsidRPr="007C3CD6">
        <w:rPr>
          <w:bCs/>
          <w:iCs/>
          <w:sz w:val="22"/>
          <w:szCs w:val="22"/>
          <w:lang w:val="sk-SK"/>
        </w:rPr>
        <w:t xml:space="preserve"> </w:t>
      </w:r>
      <w:r w:rsidRPr="007C3CD6">
        <w:rPr>
          <w:bCs/>
          <w:iCs/>
          <w:sz w:val="22"/>
          <w:szCs w:val="22"/>
          <w:lang w:val="sk-SK"/>
        </w:rPr>
        <w:t>počas pôrodu a po pôrode. Štúdie na zvieratách s </w:t>
      </w:r>
      <w:r w:rsidR="00D11BA7" w:rsidRPr="00D11BA7">
        <w:rPr>
          <w:bCs/>
          <w:iCs/>
          <w:sz w:val="22"/>
          <w:szCs w:val="22"/>
          <w:lang w:val="sk-SK"/>
        </w:rPr>
        <w:t>oktenidíniumdichlorid</w:t>
      </w:r>
      <w:r w:rsidRPr="007C3CD6">
        <w:rPr>
          <w:bCs/>
          <w:iCs/>
          <w:sz w:val="22"/>
          <w:szCs w:val="22"/>
          <w:lang w:val="sk-SK"/>
        </w:rPr>
        <w:t>om nepreukázali účinky z hľadiska reprodukčnej toxicity (pozri časť 5.3). Štúdie na zvieratách s dermálnou aplikáciou 2</w:t>
      </w:r>
      <w:r w:rsidRPr="007C3CD6">
        <w:rPr>
          <w:bCs/>
          <w:iCs/>
          <w:sz w:val="22"/>
          <w:szCs w:val="22"/>
          <w:lang w:val="sk-SK"/>
        </w:rPr>
        <w:noBreakHyphen/>
        <w:t>fenoxyetanolu nepreukázali účinky z hľadiska reprodukčnej toxicity (pozri časť 5.3).</w:t>
      </w:r>
    </w:p>
    <w:p w:rsidR="009D7662" w:rsidRPr="007C3CD6" w:rsidRDefault="00FA1475" w:rsidP="00AE50B8">
      <w:pPr>
        <w:spacing w:before="120"/>
        <w:ind w:left="11"/>
        <w:jc w:val="left"/>
        <w:rPr>
          <w:sz w:val="22"/>
          <w:szCs w:val="22"/>
          <w:lang w:val="sk-SK"/>
        </w:rPr>
      </w:pPr>
      <w:r w:rsidRPr="007C3CD6">
        <w:rPr>
          <w:bCs/>
          <w:iCs/>
          <w:sz w:val="22"/>
          <w:szCs w:val="22"/>
          <w:lang w:val="sk-SK"/>
        </w:rPr>
        <w:t xml:space="preserve">O použití </w:t>
      </w:r>
      <w:r w:rsidR="00D11BA7">
        <w:rPr>
          <w:bCs/>
          <w:iCs/>
          <w:sz w:val="22"/>
          <w:szCs w:val="22"/>
          <w:lang w:val="sk-SK"/>
        </w:rPr>
        <w:t>octenisept</w:t>
      </w:r>
      <w:r w:rsidR="003F4BDE">
        <w:rPr>
          <w:bCs/>
          <w:iCs/>
          <w:sz w:val="22"/>
          <w:szCs w:val="22"/>
          <w:lang w:val="sk-SK"/>
        </w:rPr>
        <w:t>u</w:t>
      </w:r>
      <w:r w:rsidRPr="007C3CD6">
        <w:rPr>
          <w:bCs/>
          <w:iCs/>
          <w:sz w:val="22"/>
          <w:szCs w:val="22"/>
          <w:lang w:val="sk-SK"/>
        </w:rPr>
        <w:t xml:space="preserve"> počas gravidity sa má uvažovať, iba ak je to nevyhnutné.</w:t>
      </w:r>
    </w:p>
    <w:p w:rsidR="00E97CFE" w:rsidRPr="007C3CD6" w:rsidRDefault="00B22932" w:rsidP="00AE50B8">
      <w:pPr>
        <w:spacing w:before="120"/>
        <w:ind w:left="11"/>
        <w:jc w:val="left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Dojčenie</w:t>
      </w:r>
    </w:p>
    <w:p w:rsidR="009D7662" w:rsidRPr="007C3CD6" w:rsidRDefault="009D7662" w:rsidP="00AE50B8">
      <w:pPr>
        <w:spacing w:before="120"/>
        <w:ind w:left="11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Nie sú k dispozícii dostačujúce experimentálne zvieracie ani klinické údaje ohľadne použitia </w:t>
      </w:r>
      <w:r w:rsidR="00D11BA7">
        <w:rPr>
          <w:sz w:val="22"/>
          <w:szCs w:val="22"/>
          <w:lang w:val="sk-SK"/>
        </w:rPr>
        <w:t>octenisept</w:t>
      </w:r>
      <w:r w:rsidR="003F4BDE">
        <w:rPr>
          <w:sz w:val="22"/>
          <w:szCs w:val="22"/>
          <w:lang w:val="sk-SK"/>
        </w:rPr>
        <w:t>u</w:t>
      </w:r>
      <w:r w:rsidRPr="007C3CD6">
        <w:rPr>
          <w:sz w:val="22"/>
          <w:szCs w:val="22"/>
          <w:lang w:val="sk-SK"/>
        </w:rPr>
        <w:t xml:space="preserve"> počas laktácie. Keďže sa </w:t>
      </w:r>
      <w:r w:rsidR="00D11BA7" w:rsidRPr="00D11BA7">
        <w:rPr>
          <w:sz w:val="22"/>
          <w:szCs w:val="22"/>
          <w:lang w:val="sk-SK"/>
        </w:rPr>
        <w:t>oktenidíniumdichlorid</w:t>
      </w:r>
      <w:r w:rsidRPr="007C3CD6">
        <w:rPr>
          <w:sz w:val="22"/>
          <w:szCs w:val="22"/>
          <w:lang w:val="sk-SK"/>
        </w:rPr>
        <w:t xml:space="preserve"> vstrebáva len vo veľmi malom množstve alebo vôbec, dá sa predpokladať, že sa nevylučuje do ľudského mlieka.</w:t>
      </w:r>
    </w:p>
    <w:p w:rsidR="009D7662" w:rsidRPr="007C3CD6" w:rsidRDefault="009D7662" w:rsidP="00AE50B8">
      <w:pPr>
        <w:spacing w:before="120"/>
        <w:ind w:left="11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Fenoxyetanol sa vstrebáva rýchlo a takmer úplne. Nie sú k dispozícii údaje ohľadne vylučovania fenoxyetanolu do ľudského mlieka. </w:t>
      </w:r>
      <w:r w:rsidRPr="007C3CD6">
        <w:rPr>
          <w:color w:val="000000"/>
          <w:sz w:val="22"/>
          <w:szCs w:val="22"/>
          <w:lang w:val="sk-SK"/>
        </w:rPr>
        <w:t xml:space="preserve">Ako preventívne opatrenie </w:t>
      </w:r>
      <w:r w:rsidRPr="007C3CD6">
        <w:rPr>
          <w:sz w:val="22"/>
          <w:szCs w:val="22"/>
          <w:lang w:val="sk-SK"/>
        </w:rPr>
        <w:t xml:space="preserve">sa </w:t>
      </w:r>
      <w:r w:rsidR="0003368A"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Pr="007C3CD6">
        <w:rPr>
          <w:sz w:val="22"/>
          <w:szCs w:val="22"/>
          <w:lang w:val="sk-SK"/>
        </w:rPr>
        <w:t xml:space="preserve">nemá aplikovať na oblasť prsníkov počas obdobia </w:t>
      </w:r>
      <w:r w:rsidR="003F4BDE">
        <w:rPr>
          <w:sz w:val="22"/>
          <w:szCs w:val="22"/>
          <w:lang w:val="sk-SK"/>
        </w:rPr>
        <w:t>dojč</w:t>
      </w:r>
      <w:r w:rsidRPr="007C3CD6">
        <w:rPr>
          <w:sz w:val="22"/>
          <w:szCs w:val="22"/>
          <w:lang w:val="sk-SK"/>
        </w:rPr>
        <w:t>enia.</w:t>
      </w:r>
    </w:p>
    <w:p w:rsidR="00E97CFE" w:rsidRPr="007C3CD6" w:rsidRDefault="00E97CFE" w:rsidP="00AE50B8">
      <w:pPr>
        <w:spacing w:before="120"/>
        <w:ind w:left="11"/>
        <w:jc w:val="left"/>
        <w:rPr>
          <w:i/>
          <w:iCs/>
          <w:sz w:val="22"/>
          <w:szCs w:val="22"/>
          <w:lang w:val="sk-SK"/>
        </w:rPr>
      </w:pPr>
      <w:r w:rsidRPr="007C3CD6">
        <w:rPr>
          <w:i/>
          <w:iCs/>
          <w:sz w:val="22"/>
          <w:szCs w:val="22"/>
          <w:lang w:val="sk-SK"/>
        </w:rPr>
        <w:t>Fertilita</w:t>
      </w:r>
    </w:p>
    <w:p w:rsidR="00620D55" w:rsidRPr="007C3CD6" w:rsidRDefault="00E97CFE" w:rsidP="00AE50B8">
      <w:pPr>
        <w:spacing w:before="120"/>
        <w:ind w:left="11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Nie sú k dispozícii údaje ohľadne účinku oktenidín</w:t>
      </w:r>
      <w:r w:rsidR="00A777A3">
        <w:rPr>
          <w:sz w:val="22"/>
          <w:szCs w:val="22"/>
          <w:lang w:val="sk-SK"/>
        </w:rPr>
        <w:t>i</w:t>
      </w:r>
      <w:r w:rsidRPr="007C3CD6">
        <w:rPr>
          <w:sz w:val="22"/>
          <w:szCs w:val="22"/>
          <w:lang w:val="sk-SK"/>
        </w:rPr>
        <w:t>u</w:t>
      </w:r>
      <w:r w:rsidR="00A777A3">
        <w:rPr>
          <w:sz w:val="22"/>
          <w:szCs w:val="22"/>
          <w:lang w:val="sk-SK"/>
        </w:rPr>
        <w:t>mdichloridu</w:t>
      </w:r>
      <w:r w:rsidRPr="007C3CD6">
        <w:rPr>
          <w:sz w:val="22"/>
          <w:szCs w:val="22"/>
          <w:lang w:val="sk-SK"/>
        </w:rPr>
        <w:t xml:space="preserve"> ani fenoxyetanolu na fertilitu u ľudí. Oktenidín</w:t>
      </w:r>
      <w:r w:rsidR="00A777A3">
        <w:rPr>
          <w:sz w:val="22"/>
          <w:szCs w:val="22"/>
          <w:lang w:val="sk-SK"/>
        </w:rPr>
        <w:t>iumdichlorid</w:t>
      </w:r>
      <w:r w:rsidRPr="007C3CD6">
        <w:rPr>
          <w:sz w:val="22"/>
          <w:szCs w:val="22"/>
          <w:lang w:val="sk-SK"/>
        </w:rPr>
        <w:t xml:space="preserve"> nemal žiadne účinky na fertilitu u potkanov ani králikov. Fenoxyetanol nemal žiadne účinky na fertilitu u myší. 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Ovplyvnenie schopnosti viesť vozidlá a obsluhovať stroje</w:t>
      </w:r>
    </w:p>
    <w:p w:rsidR="009D7662" w:rsidRDefault="0003368A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E97CFE" w:rsidRPr="007C3CD6">
        <w:rPr>
          <w:sz w:val="22"/>
          <w:szCs w:val="22"/>
          <w:lang w:val="sk-SK"/>
        </w:rPr>
        <w:t>nemá žiadny vplyv na schopnosť viesť vozidlá a obsluhovať stroje.</w:t>
      </w:r>
    </w:p>
    <w:p w:rsidR="00A41B1E" w:rsidRPr="007C3CD6" w:rsidRDefault="00A41B1E" w:rsidP="00AE50B8">
      <w:pPr>
        <w:spacing w:before="120"/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Nežiaduce účinky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highlight w:val="yellow"/>
          <w:lang w:val="sk-SK"/>
        </w:rPr>
      </w:pPr>
      <w:r w:rsidRPr="007C3CD6">
        <w:rPr>
          <w:sz w:val="22"/>
          <w:szCs w:val="22"/>
          <w:lang w:val="sk-SK"/>
        </w:rPr>
        <w:t>Vyhodnotenie nežiaducich účinkov sa zakladá na nasledujúcich mierach výskytu:</w:t>
      </w:r>
    </w:p>
    <w:p w:rsidR="009D7662" w:rsidRPr="007C3CD6" w:rsidRDefault="009D7662" w:rsidP="00AE50B8">
      <w:pPr>
        <w:jc w:val="left"/>
        <w:rPr>
          <w:sz w:val="22"/>
          <w:szCs w:val="22"/>
          <w:highlight w:val="yellow"/>
          <w:lang w:val="sk-SK"/>
        </w:rPr>
      </w:pPr>
    </w:p>
    <w:p w:rsidR="009D7662" w:rsidRPr="007C3CD6" w:rsidRDefault="009D7662" w:rsidP="00AE50B8">
      <w:pPr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Veľmi časté (≥ 1/10)</w:t>
      </w:r>
    </w:p>
    <w:p w:rsidR="009D7662" w:rsidRPr="007C3CD6" w:rsidRDefault="009D7662" w:rsidP="00AE50B8">
      <w:pPr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Časté (≥ 1/100 až &lt; 1/10)</w:t>
      </w:r>
    </w:p>
    <w:p w:rsidR="009D7662" w:rsidRPr="007C3CD6" w:rsidRDefault="009D7662" w:rsidP="00AE50B8">
      <w:pPr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Menej časté (≥ 1/1 000 až &lt; 1/100)</w:t>
      </w:r>
    </w:p>
    <w:p w:rsidR="009D7662" w:rsidRPr="007C3CD6" w:rsidRDefault="009D7662" w:rsidP="00AE50B8">
      <w:pPr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Zriedkavé (≥ 1/10 000 až &lt; 1/1 000)</w:t>
      </w:r>
    </w:p>
    <w:p w:rsidR="009D7662" w:rsidRPr="007C3CD6" w:rsidRDefault="009D7662" w:rsidP="00AE50B8">
      <w:pPr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Veľmi zriedkavé (&lt; 1/10 000)</w:t>
      </w:r>
    </w:p>
    <w:p w:rsidR="009D7662" w:rsidRPr="007C3CD6" w:rsidRDefault="009D7662" w:rsidP="00AE50B8">
      <w:pPr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Neznáme (z dostupných údajov)</w:t>
      </w:r>
    </w:p>
    <w:p w:rsidR="009D7662" w:rsidRPr="007C3CD6" w:rsidRDefault="009D7662" w:rsidP="00AE50B8">
      <w:pPr>
        <w:pStyle w:val="Hlavika"/>
        <w:tabs>
          <w:tab w:val="clear" w:pos="4536"/>
          <w:tab w:val="clear" w:pos="9072"/>
        </w:tabs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pStyle w:val="Nadpis9"/>
        <w:jc w:val="left"/>
        <w:rPr>
          <w:rFonts w:cs="Times New Roman"/>
          <w:i w:val="0"/>
          <w:iCs w:val="0"/>
          <w:sz w:val="22"/>
          <w:u w:val="single"/>
          <w:lang w:val="sk-SK"/>
        </w:rPr>
      </w:pPr>
      <w:r w:rsidRPr="007C3CD6">
        <w:rPr>
          <w:rFonts w:cs="Times New Roman"/>
          <w:i w:val="0"/>
          <w:iCs w:val="0"/>
          <w:sz w:val="22"/>
          <w:u w:val="single"/>
          <w:lang w:val="sk-SK"/>
        </w:rPr>
        <w:t xml:space="preserve">Celkové poruchy a reakcie v mieste podania </w:t>
      </w:r>
    </w:p>
    <w:p w:rsidR="009D7662" w:rsidRDefault="009D7662" w:rsidP="00AE50B8">
      <w:pPr>
        <w:spacing w:before="120"/>
        <w:ind w:left="1690" w:hanging="1701"/>
        <w:jc w:val="left"/>
        <w:rPr>
          <w:sz w:val="22"/>
          <w:szCs w:val="22"/>
          <w:lang w:val="sk-SK"/>
        </w:rPr>
      </w:pPr>
      <w:r w:rsidRPr="007C3CD6">
        <w:rPr>
          <w:b/>
          <w:i/>
          <w:sz w:val="22"/>
          <w:szCs w:val="22"/>
          <w:u w:val="single"/>
          <w:lang w:val="sk-SK"/>
        </w:rPr>
        <w:t>Zriedkavé:</w:t>
      </w:r>
      <w:r w:rsidRPr="007C3CD6">
        <w:rPr>
          <w:sz w:val="22"/>
          <w:szCs w:val="22"/>
          <w:lang w:val="sk-SK"/>
        </w:rPr>
        <w:tab/>
        <w:t>pálenie, sčervenanie, svrbenie a pocit tepla v mieste podania</w:t>
      </w:r>
    </w:p>
    <w:p w:rsidR="006873C7" w:rsidRPr="007C3CD6" w:rsidRDefault="00FA1475" w:rsidP="00AE50B8">
      <w:pPr>
        <w:spacing w:before="120"/>
        <w:ind w:left="1690" w:hanging="1701"/>
        <w:jc w:val="left"/>
        <w:rPr>
          <w:sz w:val="22"/>
          <w:szCs w:val="22"/>
          <w:lang w:val="sk-SK"/>
        </w:rPr>
      </w:pPr>
      <w:r w:rsidRPr="007C3CD6">
        <w:rPr>
          <w:b/>
          <w:i/>
          <w:sz w:val="22"/>
          <w:szCs w:val="22"/>
          <w:u w:val="single"/>
          <w:lang w:val="sk-SK"/>
        </w:rPr>
        <w:t>Veľmi zriedkavé:</w:t>
      </w:r>
      <w:r w:rsidRPr="007C3CD6">
        <w:rPr>
          <w:sz w:val="22"/>
          <w:szCs w:val="22"/>
          <w:lang w:val="sk-SK"/>
        </w:rPr>
        <w:tab/>
        <w:t>alergická reakcia pri kontakte, napr. dočasné sčervenanie v mieste podania</w:t>
      </w:r>
      <w:r w:rsidR="006873C7">
        <w:rPr>
          <w:sz w:val="22"/>
          <w:szCs w:val="22"/>
          <w:lang w:val="sk-SK"/>
        </w:rPr>
        <w:br/>
      </w:r>
    </w:p>
    <w:p w:rsidR="00FA1475" w:rsidRPr="007C3CD6" w:rsidRDefault="00FA1475" w:rsidP="00AE50B8">
      <w:pPr>
        <w:spacing w:before="120"/>
        <w:jc w:val="left"/>
        <w:rPr>
          <w:sz w:val="22"/>
          <w:szCs w:val="22"/>
          <w:u w:val="single"/>
          <w:lang w:val="sk-SK"/>
        </w:rPr>
      </w:pPr>
      <w:r w:rsidRPr="007C3CD6">
        <w:rPr>
          <w:sz w:val="22"/>
          <w:szCs w:val="22"/>
          <w:u w:val="single"/>
          <w:lang w:val="sk-SK"/>
        </w:rPr>
        <w:t>Pediatrická populácia</w:t>
      </w:r>
    </w:p>
    <w:p w:rsidR="00FA1475" w:rsidRPr="007C3CD6" w:rsidRDefault="00FA1475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lastRenderedPageBreak/>
        <w:t>Frekvencia, typ a závažnosť nežiaducich reakcií u detí je rovnaká ako u dospelých.</w:t>
      </w:r>
    </w:p>
    <w:p w:rsidR="001975D4" w:rsidRPr="007C3CD6" w:rsidRDefault="001975D4" w:rsidP="00AE50B8">
      <w:pPr>
        <w:tabs>
          <w:tab w:val="left" w:pos="567"/>
        </w:tabs>
        <w:autoSpaceDE w:val="0"/>
        <w:autoSpaceDN w:val="0"/>
        <w:adjustRightInd w:val="0"/>
        <w:spacing w:line="260" w:lineRule="exact"/>
        <w:jc w:val="left"/>
        <w:rPr>
          <w:sz w:val="22"/>
          <w:szCs w:val="22"/>
          <w:u w:val="single"/>
          <w:lang w:val="sk-SK" w:eastAsia="zh-CN"/>
        </w:rPr>
      </w:pPr>
    </w:p>
    <w:p w:rsidR="00F0469D" w:rsidRPr="00F0469D" w:rsidRDefault="00F0469D" w:rsidP="00F0469D">
      <w:pPr>
        <w:suppressLineNumbers/>
        <w:autoSpaceDE w:val="0"/>
        <w:autoSpaceDN w:val="0"/>
        <w:adjustRightInd w:val="0"/>
        <w:ind w:left="567" w:hanging="567"/>
        <w:jc w:val="left"/>
        <w:rPr>
          <w:sz w:val="22"/>
          <w:szCs w:val="22"/>
          <w:u w:val="single"/>
          <w:lang w:val="sk-SK" w:eastAsia="sk-SK"/>
        </w:rPr>
      </w:pPr>
      <w:r w:rsidRPr="00F0469D">
        <w:rPr>
          <w:noProof/>
          <w:sz w:val="22"/>
          <w:szCs w:val="22"/>
          <w:u w:val="single"/>
          <w:lang w:val="sk-SK" w:eastAsia="sk-SK"/>
        </w:rPr>
        <w:t>Hlásenie podozrení na nežiaduce reakcie</w:t>
      </w:r>
    </w:p>
    <w:p w:rsidR="00F0469D" w:rsidRDefault="00F0469D" w:rsidP="00AE50B8">
      <w:pPr>
        <w:jc w:val="left"/>
        <w:rPr>
          <w:sz w:val="22"/>
          <w:szCs w:val="22"/>
          <w:u w:val="single"/>
          <w:lang w:val="sk-SK"/>
        </w:rPr>
      </w:pPr>
      <w:r w:rsidRPr="00F0469D">
        <w:rPr>
          <w:noProof/>
          <w:sz w:val="22"/>
          <w:szCs w:val="22"/>
          <w:lang w:val="sk-SK" w:eastAsia="sk-SK"/>
        </w:rPr>
        <w:t>Hlásenie podozrení na nežiaduce reakcie po registrácii lieku je dôležité.</w:t>
      </w:r>
      <w:r w:rsidRPr="00F0469D">
        <w:rPr>
          <w:sz w:val="22"/>
          <w:szCs w:val="22"/>
          <w:lang w:val="sk-SK" w:eastAsia="sk-SK"/>
        </w:rPr>
        <w:t xml:space="preserve"> </w:t>
      </w:r>
      <w:r w:rsidRPr="00F0469D">
        <w:rPr>
          <w:noProof/>
          <w:sz w:val="22"/>
          <w:szCs w:val="22"/>
          <w:lang w:val="sk-SK" w:eastAsia="sk-SK"/>
        </w:rPr>
        <w:t>Umožňuje priebežné monitorovanie pomeru prínosu a rizika lieku.</w:t>
      </w:r>
      <w:r w:rsidRPr="00F0469D">
        <w:rPr>
          <w:sz w:val="22"/>
          <w:szCs w:val="22"/>
          <w:lang w:val="sk-SK" w:eastAsia="sk-SK"/>
        </w:rPr>
        <w:t xml:space="preserve"> Od </w:t>
      </w:r>
      <w:r w:rsidRPr="00F0469D">
        <w:rPr>
          <w:noProof/>
          <w:sz w:val="22"/>
          <w:szCs w:val="22"/>
          <w:lang w:val="sk-SK" w:eastAsia="sk-SK"/>
        </w:rPr>
        <w:t xml:space="preserve">zdravotníckych pracovníkov sa vyžaduje, aby hlásili akékoľvek podozrenia na nežiaduce reakcie </w:t>
      </w:r>
      <w:r w:rsidR="00960097">
        <w:rPr>
          <w:noProof/>
          <w:sz w:val="22"/>
          <w:szCs w:val="22"/>
          <w:lang w:val="sk-SK" w:eastAsia="sk-SK"/>
        </w:rPr>
        <w:t xml:space="preserve">na </w:t>
      </w:r>
      <w:r w:rsidRPr="00F0469D">
        <w:rPr>
          <w:noProof/>
          <w:sz w:val="22"/>
          <w:szCs w:val="22"/>
          <w:highlight w:val="lightGray"/>
          <w:lang w:val="sk-SK" w:eastAsia="sk-SK"/>
        </w:rPr>
        <w:t xml:space="preserve">národné </w:t>
      </w:r>
      <w:r w:rsidR="00960097">
        <w:rPr>
          <w:noProof/>
          <w:sz w:val="22"/>
          <w:szCs w:val="22"/>
          <w:highlight w:val="lightGray"/>
          <w:lang w:val="sk-SK" w:eastAsia="sk-SK"/>
        </w:rPr>
        <w:t>centrum</w:t>
      </w:r>
      <w:r w:rsidRPr="00F0469D">
        <w:rPr>
          <w:noProof/>
          <w:sz w:val="22"/>
          <w:szCs w:val="22"/>
          <w:highlight w:val="lightGray"/>
          <w:lang w:val="sk-SK" w:eastAsia="sk-SK"/>
        </w:rPr>
        <w:t xml:space="preserve"> hlásenia uvedené v </w:t>
      </w:r>
      <w:hyperlink r:id="rId8" w:history="1">
        <w:r w:rsidRPr="00F0469D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Pr="00F0469D">
        <w:rPr>
          <w:noProof/>
          <w:sz w:val="22"/>
          <w:szCs w:val="22"/>
          <w:lang w:val="sk-SK" w:eastAsia="sk-SK"/>
        </w:rPr>
        <w:t>.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Predávkovanie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Nie sú známe prípady predávkovania. Predávkovanie pri povrchovo aplikovaných prípravkoch je však veľmi nepravdepodobné. V prípade lokálneho predávkovania sa môžu postihnuté oblasti opláchnuť veľkým množstvom Ringerovho roztoku.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Náhodné perorálne požitie </w:t>
      </w:r>
      <w:r w:rsidR="00D11BA7">
        <w:rPr>
          <w:sz w:val="22"/>
          <w:szCs w:val="22"/>
          <w:lang w:val="sk-SK"/>
        </w:rPr>
        <w:t>octenisept</w:t>
      </w:r>
      <w:r w:rsidRPr="007C3CD6">
        <w:rPr>
          <w:sz w:val="22"/>
          <w:szCs w:val="22"/>
          <w:lang w:val="sk-SK"/>
        </w:rPr>
        <w:t xml:space="preserve"> sa nepovažuje za nebezpečné, pretože akútna toxicita </w:t>
      </w:r>
      <w:r w:rsidR="00D11BA7" w:rsidRPr="00D11BA7">
        <w:rPr>
          <w:sz w:val="22"/>
          <w:szCs w:val="22"/>
          <w:lang w:val="sk-SK"/>
        </w:rPr>
        <w:t>oktenidíniumdichlorid</w:t>
      </w:r>
      <w:r w:rsidR="00960097">
        <w:rPr>
          <w:sz w:val="22"/>
          <w:szCs w:val="22"/>
          <w:lang w:val="sk-SK"/>
        </w:rPr>
        <w:t>u</w:t>
      </w:r>
      <w:r w:rsidR="00D11BA7" w:rsidRPr="00D11BA7">
        <w:rPr>
          <w:sz w:val="22"/>
          <w:szCs w:val="22"/>
          <w:lang w:val="sk-SK"/>
        </w:rPr>
        <w:t xml:space="preserve"> </w:t>
      </w:r>
      <w:r w:rsidRPr="007C3CD6">
        <w:rPr>
          <w:sz w:val="22"/>
          <w:szCs w:val="22"/>
          <w:lang w:val="sk-SK"/>
        </w:rPr>
        <w:t>a 2</w:t>
      </w:r>
      <w:r w:rsidRPr="007C3CD6">
        <w:rPr>
          <w:sz w:val="22"/>
          <w:szCs w:val="22"/>
          <w:lang w:val="sk-SK"/>
        </w:rPr>
        <w:noBreakHyphen/>
        <w:t xml:space="preserve">fenoxyetanolu požitých </w:t>
      </w:r>
      <w:r w:rsidR="00E83F85" w:rsidRPr="007C3CD6">
        <w:rPr>
          <w:sz w:val="22"/>
          <w:szCs w:val="22"/>
          <w:lang w:val="sk-SK"/>
        </w:rPr>
        <w:t>perorálnou</w:t>
      </w:r>
      <w:r w:rsidRPr="007C3CD6">
        <w:rPr>
          <w:sz w:val="22"/>
          <w:szCs w:val="22"/>
          <w:lang w:val="sk-SK"/>
        </w:rPr>
        <w:t xml:space="preserve"> cestou je nízka (časť 5.3). V prípade perorál</w:t>
      </w:r>
      <w:r w:rsidR="00D11BA7">
        <w:rPr>
          <w:sz w:val="22"/>
          <w:szCs w:val="22"/>
          <w:lang w:val="sk-SK"/>
        </w:rPr>
        <w:t>neho požitia väčšieho množstva octenisept</w:t>
      </w:r>
      <w:r w:rsidR="00960097">
        <w:rPr>
          <w:sz w:val="22"/>
          <w:szCs w:val="22"/>
          <w:lang w:val="sk-SK"/>
        </w:rPr>
        <w:t>u</w:t>
      </w:r>
      <w:r w:rsidRPr="007C3CD6">
        <w:rPr>
          <w:sz w:val="22"/>
          <w:szCs w:val="22"/>
          <w:lang w:val="sk-SK"/>
        </w:rPr>
        <w:t xml:space="preserve"> sa však nedá vylúčiť podráždenie sliznice gastrointestinálneho traktu.</w:t>
      </w:r>
    </w:p>
    <w:p w:rsidR="009D7662" w:rsidRPr="007C3CD6" w:rsidRDefault="00E715D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Akútna toxicita </w:t>
      </w:r>
      <w:r w:rsidR="00D11BA7" w:rsidRPr="00D11BA7">
        <w:rPr>
          <w:sz w:val="22"/>
          <w:szCs w:val="22"/>
          <w:lang w:val="sk-SK"/>
        </w:rPr>
        <w:t>oktenidíniumdichlorid</w:t>
      </w:r>
      <w:r w:rsidR="00960097">
        <w:rPr>
          <w:sz w:val="22"/>
          <w:szCs w:val="22"/>
          <w:lang w:val="sk-SK"/>
        </w:rPr>
        <w:t>u</w:t>
      </w:r>
      <w:r w:rsidRPr="007C3CD6">
        <w:rPr>
          <w:sz w:val="22"/>
          <w:szCs w:val="22"/>
          <w:lang w:val="sk-SK"/>
        </w:rPr>
        <w:t xml:space="preserve"> a 2</w:t>
      </w:r>
      <w:r w:rsidRPr="007C3CD6">
        <w:rPr>
          <w:sz w:val="22"/>
          <w:szCs w:val="22"/>
          <w:lang w:val="sk-SK"/>
        </w:rPr>
        <w:noBreakHyphen/>
        <w:t>fenoxyetanolu podaných intravenóznou cestou je nízka (časť 5.3).</w:t>
      </w:r>
      <w:r w:rsidRPr="007C3CD6">
        <w:rPr>
          <w:snapToGrid w:val="0"/>
          <w:sz w:val="22"/>
          <w:szCs w:val="22"/>
          <w:lang w:val="sk-SK"/>
        </w:rPr>
        <w:t xml:space="preserve"> S ohľadom na nízke </w:t>
      </w:r>
      <w:r w:rsidR="00E83F85" w:rsidRPr="007C3CD6">
        <w:rPr>
          <w:snapToGrid w:val="0"/>
          <w:sz w:val="22"/>
          <w:szCs w:val="22"/>
          <w:lang w:val="sk-SK"/>
        </w:rPr>
        <w:t>koncentrácie</w:t>
      </w:r>
      <w:r w:rsidRPr="007C3CD6">
        <w:rPr>
          <w:snapToGrid w:val="0"/>
          <w:sz w:val="22"/>
          <w:szCs w:val="22"/>
          <w:lang w:val="sk-SK"/>
        </w:rPr>
        <w:t xml:space="preserve"> liečiv sa zdá byť intoxikácia veľmi nepravdepodobnou. </w:t>
      </w:r>
      <w:r w:rsidRPr="007C3CD6">
        <w:rPr>
          <w:sz w:val="22"/>
          <w:szCs w:val="22"/>
          <w:lang w:val="sk-SK"/>
        </w:rPr>
        <w:t xml:space="preserve">Treba sa však vyhnúť preniknutiu </w:t>
      </w:r>
      <w:r w:rsidR="00D11BA7">
        <w:rPr>
          <w:sz w:val="22"/>
          <w:szCs w:val="22"/>
          <w:lang w:val="sk-SK"/>
        </w:rPr>
        <w:t>octenisept</w:t>
      </w:r>
      <w:r w:rsidR="00960097">
        <w:rPr>
          <w:sz w:val="22"/>
          <w:szCs w:val="22"/>
          <w:lang w:val="sk-SK"/>
        </w:rPr>
        <w:t>u</w:t>
      </w:r>
      <w:r w:rsidR="00D11BA7">
        <w:rPr>
          <w:sz w:val="22"/>
          <w:szCs w:val="22"/>
          <w:lang w:val="sk-SK"/>
        </w:rPr>
        <w:t xml:space="preserve"> </w:t>
      </w:r>
      <w:r w:rsidRPr="007C3CD6">
        <w:rPr>
          <w:sz w:val="22"/>
          <w:szCs w:val="22"/>
          <w:lang w:val="sk-SK"/>
        </w:rPr>
        <w:t xml:space="preserve">do krvného obehu, napr. pri náhodnej injekcii. 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445B30" w:rsidRPr="007C3CD6" w:rsidRDefault="00445B30" w:rsidP="00AE50B8">
      <w:pPr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0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FARMAKOLOGICKÉ VLASTNOSTI</w:t>
      </w:r>
    </w:p>
    <w:p w:rsidR="009D7662" w:rsidRPr="007C3CD6" w:rsidRDefault="009D7662" w:rsidP="00AE50B8">
      <w:pPr>
        <w:jc w:val="left"/>
        <w:rPr>
          <w:b/>
          <w:bCs/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1"/>
        </w:numPr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Farmakodynamické vlastnosti</w:t>
      </w:r>
    </w:p>
    <w:p w:rsidR="00E9094E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Farmakoter</w:t>
      </w:r>
      <w:r w:rsidR="004B2232" w:rsidRPr="007C3CD6">
        <w:rPr>
          <w:sz w:val="22"/>
          <w:szCs w:val="22"/>
          <w:lang w:val="sk-SK"/>
        </w:rPr>
        <w:t>apeutická skupina: Antiseptiká</w:t>
      </w:r>
      <w:r w:rsidRPr="007C3CD6">
        <w:rPr>
          <w:sz w:val="22"/>
          <w:szCs w:val="22"/>
          <w:lang w:val="sk-SK"/>
        </w:rPr>
        <w:t xml:space="preserve"> dezinficienciá / Liečivá s kvartérnym dusíkom / oktenidín, kombinácie</w:t>
      </w:r>
      <w:r w:rsidR="00E9094E">
        <w:rPr>
          <w:sz w:val="22"/>
          <w:szCs w:val="22"/>
          <w:lang w:val="sk-SK"/>
        </w:rPr>
        <w:t xml:space="preserve"> 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ATC kód:</w:t>
      </w:r>
      <w:r w:rsidR="00E9094E">
        <w:rPr>
          <w:sz w:val="22"/>
          <w:szCs w:val="22"/>
          <w:lang w:val="sk-SK"/>
        </w:rPr>
        <w:t xml:space="preserve"> </w:t>
      </w:r>
      <w:r w:rsidRPr="007C3CD6">
        <w:rPr>
          <w:sz w:val="22"/>
          <w:szCs w:val="22"/>
          <w:lang w:val="sk-SK"/>
        </w:rPr>
        <w:t>D08AJ57</w:t>
      </w:r>
    </w:p>
    <w:p w:rsidR="000474E6" w:rsidRPr="007C3CD6" w:rsidRDefault="000474E6" w:rsidP="00AE50B8">
      <w:pPr>
        <w:spacing w:before="120"/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u w:val="single"/>
          <w:lang w:val="sk-SK"/>
        </w:rPr>
        <w:t>Mechanizmus účinku</w:t>
      </w:r>
    </w:p>
    <w:p w:rsidR="009D7662" w:rsidRPr="007C3CD6" w:rsidRDefault="00D11BA7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D11BA7">
        <w:rPr>
          <w:sz w:val="22"/>
          <w:szCs w:val="22"/>
          <w:lang w:val="sk-SK"/>
        </w:rPr>
        <w:t xml:space="preserve">ktenidíniumdichlorid </w:t>
      </w:r>
      <w:r w:rsidR="009D7662" w:rsidRPr="007C3CD6">
        <w:rPr>
          <w:sz w:val="22"/>
          <w:szCs w:val="22"/>
          <w:lang w:val="sk-SK"/>
        </w:rPr>
        <w:t>je aktívna katiónová zlúčenina a dôsledkom jeho dvoch katiónových centier sú výrazné povrchovo aktívne vlastnosti. Reaguje s bunkovou stenou a zložkami membrán mikrobiálnych buniek, čím vedie k narušeniu bunkových funkcií.</w:t>
      </w:r>
    </w:p>
    <w:p w:rsidR="009D7662" w:rsidRPr="007C3CD6" w:rsidRDefault="009273C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Mechanizmus antimikrobiálneho účinku fenoxyetanolu sa zakladá medzi inými na zvýšenej priepustnosti bunkových membrán pre ióny draslíka.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u w:val="single"/>
          <w:lang w:val="sk-SK"/>
        </w:rPr>
        <w:t>Farmakodynamické vlastnosti</w:t>
      </w:r>
    </w:p>
    <w:p w:rsidR="00577774" w:rsidRPr="007C3CD6" w:rsidRDefault="0003368A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577774" w:rsidRPr="007C3CD6">
        <w:rPr>
          <w:sz w:val="22"/>
          <w:szCs w:val="22"/>
          <w:lang w:val="sk-SK"/>
        </w:rPr>
        <w:t xml:space="preserve">preukazuje nasledujúci rozsah účinnosti </w:t>
      </w:r>
      <w:r w:rsidR="00577774" w:rsidRPr="007C3CD6">
        <w:rPr>
          <w:i/>
          <w:iCs/>
          <w:sz w:val="22"/>
          <w:szCs w:val="22"/>
          <w:lang w:val="sk-SK"/>
        </w:rPr>
        <w:t>in vitro</w:t>
      </w:r>
      <w:r w:rsidR="00577774" w:rsidRPr="007C3CD6">
        <w:rPr>
          <w:sz w:val="22"/>
          <w:szCs w:val="22"/>
          <w:lang w:val="sk-SK"/>
        </w:rPr>
        <w:t>:</w:t>
      </w:r>
    </w:p>
    <w:p w:rsidR="00577774" w:rsidRPr="007C3CD6" w:rsidRDefault="00577774" w:rsidP="00AE50B8">
      <w:pPr>
        <w:numPr>
          <w:ilvl w:val="0"/>
          <w:numId w:val="19"/>
        </w:numPr>
        <w:spacing w:before="120"/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Grampozitívne a gramnegatívne baktérie</w:t>
      </w:r>
    </w:p>
    <w:p w:rsidR="00577774" w:rsidRPr="007C3CD6" w:rsidRDefault="00577774" w:rsidP="00AE50B8">
      <w:pPr>
        <w:numPr>
          <w:ilvl w:val="0"/>
          <w:numId w:val="19"/>
        </w:numPr>
        <w:spacing w:before="120"/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Kvasinky a plesne</w:t>
      </w:r>
    </w:p>
    <w:p w:rsidR="00697812" w:rsidRPr="007C3CD6" w:rsidRDefault="0003368A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94027E">
        <w:rPr>
          <w:sz w:val="22"/>
          <w:szCs w:val="22"/>
          <w:lang w:val="sk-SK"/>
        </w:rPr>
        <w:t xml:space="preserve"> </w:t>
      </w:r>
      <w:r w:rsidR="00697812" w:rsidRPr="007C3CD6">
        <w:rPr>
          <w:sz w:val="22"/>
          <w:szCs w:val="22"/>
          <w:lang w:val="sk-SK"/>
        </w:rPr>
        <w:t>spĺňa kritériá pre chemické dezinficienciá a antiseptické prípravky podľa Európskych štand</w:t>
      </w:r>
      <w:r w:rsidR="005C671C">
        <w:rPr>
          <w:sz w:val="22"/>
          <w:szCs w:val="22"/>
          <w:lang w:val="sk-SK"/>
        </w:rPr>
        <w:t>a</w:t>
      </w:r>
      <w:r w:rsidR="00697812" w:rsidRPr="007C3CD6">
        <w:rPr>
          <w:sz w:val="22"/>
          <w:szCs w:val="22"/>
          <w:lang w:val="sk-SK"/>
        </w:rPr>
        <w:t>rd</w:t>
      </w:r>
      <w:r w:rsidR="005C671C">
        <w:rPr>
          <w:sz w:val="22"/>
          <w:szCs w:val="22"/>
          <w:lang w:val="sk-SK"/>
        </w:rPr>
        <w:t>ov.</w:t>
      </w:r>
    </w:p>
    <w:p w:rsidR="00697812" w:rsidRPr="007C3CD6" w:rsidRDefault="00697812" w:rsidP="00AE50B8">
      <w:pPr>
        <w:pStyle w:val="Odsekzoznamu"/>
        <w:numPr>
          <w:ilvl w:val="0"/>
          <w:numId w:val="22"/>
        </w:numPr>
        <w:spacing w:before="120"/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EN 1040 – základná baktericídna aktivita (fáza 1)</w:t>
      </w:r>
    </w:p>
    <w:p w:rsidR="00697812" w:rsidRPr="007C3CD6" w:rsidRDefault="00697812" w:rsidP="00AE50B8">
      <w:pPr>
        <w:pStyle w:val="Odsekzoznamu"/>
        <w:numPr>
          <w:ilvl w:val="0"/>
          <w:numId w:val="22"/>
        </w:numPr>
        <w:spacing w:before="120"/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EN 1275 – základná fungicídna aktivita (fáza 1)</w:t>
      </w:r>
    </w:p>
    <w:p w:rsidR="00697812" w:rsidRPr="007C3CD6" w:rsidRDefault="00697812" w:rsidP="00AE50B8">
      <w:pPr>
        <w:pStyle w:val="Odsekzoznamu"/>
        <w:numPr>
          <w:ilvl w:val="0"/>
          <w:numId w:val="22"/>
        </w:numPr>
        <w:spacing w:before="120"/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EN 13727 - baktericídna aktivita (fáza 2/krok 1)</w:t>
      </w:r>
    </w:p>
    <w:p w:rsidR="00697812" w:rsidRPr="007C3CD6" w:rsidRDefault="00697812" w:rsidP="00AE50B8">
      <w:pPr>
        <w:pStyle w:val="Odsekzoznamu"/>
        <w:numPr>
          <w:ilvl w:val="0"/>
          <w:numId w:val="22"/>
        </w:numPr>
        <w:spacing w:before="120"/>
        <w:ind w:left="7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EN 13624 – fungicídna aktivita (fáza 2/krok 1)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Spektrá účinnosti </w:t>
      </w:r>
      <w:proofErr w:type="spellStart"/>
      <w:r w:rsidRPr="007C3CD6">
        <w:rPr>
          <w:sz w:val="22"/>
          <w:szCs w:val="22"/>
          <w:lang w:val="sk-SK"/>
        </w:rPr>
        <w:t>fenoxyetanolu</w:t>
      </w:r>
      <w:proofErr w:type="spellEnd"/>
      <w:r w:rsidRPr="007C3CD6">
        <w:rPr>
          <w:sz w:val="22"/>
          <w:szCs w:val="22"/>
          <w:lang w:val="sk-SK"/>
        </w:rPr>
        <w:t xml:space="preserve"> a </w:t>
      </w:r>
      <w:proofErr w:type="spellStart"/>
      <w:r w:rsidR="00D11BA7" w:rsidRPr="00D11BA7">
        <w:rPr>
          <w:sz w:val="22"/>
          <w:szCs w:val="22"/>
          <w:lang w:val="sk-SK"/>
        </w:rPr>
        <w:t>oktenidíniumdichlorid</w:t>
      </w:r>
      <w:r w:rsidRPr="007C3CD6">
        <w:rPr>
          <w:sz w:val="22"/>
          <w:szCs w:val="22"/>
          <w:lang w:val="sk-SK"/>
        </w:rPr>
        <w:t>u</w:t>
      </w:r>
      <w:proofErr w:type="spellEnd"/>
      <w:r w:rsidRPr="007C3CD6">
        <w:rPr>
          <w:sz w:val="22"/>
          <w:szCs w:val="22"/>
          <w:lang w:val="sk-SK"/>
        </w:rPr>
        <w:t xml:space="preserve"> sa v tomto ohľade doplňujú. Špecifická primárna rezistencia voči kombináciám </w:t>
      </w:r>
      <w:r w:rsidR="00D11BA7" w:rsidRPr="00D11BA7">
        <w:rPr>
          <w:sz w:val="22"/>
          <w:szCs w:val="22"/>
          <w:lang w:val="sk-SK"/>
        </w:rPr>
        <w:t>oktenidíniumdichlorid</w:t>
      </w:r>
      <w:r w:rsidRPr="007C3CD6">
        <w:rPr>
          <w:sz w:val="22"/>
          <w:szCs w:val="22"/>
          <w:lang w:val="sk-SK"/>
        </w:rPr>
        <w:t xml:space="preserve">u / fenoxyetanolu a vývin sekundárnej rezistencie v prípadoch predĺženého používania sa z dôvodu ich </w:t>
      </w:r>
      <w:r w:rsidR="00E83F85" w:rsidRPr="007C3CD6">
        <w:rPr>
          <w:sz w:val="22"/>
          <w:szCs w:val="22"/>
          <w:lang w:val="sk-SK"/>
        </w:rPr>
        <w:t>nešpecifickej</w:t>
      </w:r>
      <w:r w:rsidRPr="007C3CD6">
        <w:rPr>
          <w:sz w:val="22"/>
          <w:szCs w:val="22"/>
          <w:lang w:val="sk-SK"/>
        </w:rPr>
        <w:t xml:space="preserve"> účinnosti neočakáva.</w:t>
      </w:r>
    </w:p>
    <w:p w:rsidR="00F367F7" w:rsidRPr="007C3CD6" w:rsidRDefault="00F367F7" w:rsidP="00AE50B8">
      <w:pPr>
        <w:spacing w:after="120"/>
        <w:jc w:val="left"/>
        <w:rPr>
          <w:sz w:val="22"/>
          <w:szCs w:val="22"/>
          <w:lang w:val="sk-SK"/>
        </w:rPr>
      </w:pPr>
    </w:p>
    <w:p w:rsidR="001B34D2" w:rsidRPr="00AE50B8" w:rsidRDefault="00CE3A16" w:rsidP="00AE50B8">
      <w:pPr>
        <w:spacing w:after="120"/>
        <w:jc w:val="left"/>
        <w:rPr>
          <w:sz w:val="22"/>
          <w:szCs w:val="22"/>
          <w:lang w:val="sk-SK"/>
        </w:rPr>
      </w:pPr>
      <w:r w:rsidRPr="00AE50B8">
        <w:rPr>
          <w:sz w:val="22"/>
          <w:szCs w:val="22"/>
          <w:lang w:val="sk-SK"/>
        </w:rPr>
        <w:lastRenderedPageBreak/>
        <w:t xml:space="preserve">Tabuľka: mikrobiocídna </w:t>
      </w:r>
      <w:r w:rsidR="00E83F85" w:rsidRPr="00AE50B8">
        <w:rPr>
          <w:sz w:val="22"/>
          <w:szCs w:val="22"/>
          <w:lang w:val="sk-SK"/>
        </w:rPr>
        <w:t>účinnosť</w:t>
      </w:r>
      <w:r w:rsidRPr="00AE50B8">
        <w:rPr>
          <w:sz w:val="22"/>
          <w:szCs w:val="22"/>
          <w:lang w:val="sk-SK"/>
        </w:rPr>
        <w:t xml:space="preserve"> </w:t>
      </w:r>
      <w:r w:rsidRPr="00AE50B8">
        <w:rPr>
          <w:i/>
          <w:iCs/>
          <w:sz w:val="22"/>
          <w:szCs w:val="22"/>
          <w:lang w:val="sk-SK"/>
        </w:rPr>
        <w:t>in vitro</w:t>
      </w:r>
      <w:r w:rsidRPr="00AE50B8">
        <w:rPr>
          <w:sz w:val="22"/>
          <w:szCs w:val="22"/>
          <w:lang w:val="sk-SK"/>
        </w:rPr>
        <w:t xml:space="preserve"> voči vzorkovým mikróbom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2"/>
        <w:gridCol w:w="1452"/>
        <w:gridCol w:w="1439"/>
        <w:gridCol w:w="2043"/>
        <w:gridCol w:w="1479"/>
        <w:gridCol w:w="1462"/>
      </w:tblGrid>
      <w:tr w:rsidR="00AD2569" w:rsidRPr="007C3CD6" w:rsidTr="00697812">
        <w:tc>
          <w:tcPr>
            <w:tcW w:w="1622" w:type="dxa"/>
            <w:shd w:val="clear" w:color="auto" w:fill="auto"/>
          </w:tcPr>
          <w:p w:rsidR="00697812" w:rsidRPr="007C3CD6" w:rsidRDefault="00697812" w:rsidP="00AE50B8">
            <w:pPr>
              <w:spacing w:after="12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sz w:val="22"/>
                <w:szCs w:val="22"/>
                <w:lang w:val="sk-SK"/>
              </w:rPr>
              <w:t>Kmeň</w:t>
            </w:r>
          </w:p>
        </w:tc>
        <w:tc>
          <w:tcPr>
            <w:tcW w:w="1497" w:type="dxa"/>
            <w:shd w:val="clear" w:color="auto" w:fill="auto"/>
          </w:tcPr>
          <w:p w:rsidR="00697812" w:rsidRPr="007C3CD6" w:rsidRDefault="00697812" w:rsidP="00AE50B8">
            <w:pPr>
              <w:spacing w:after="12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sz w:val="22"/>
                <w:szCs w:val="22"/>
                <w:lang w:val="sk-SK"/>
              </w:rPr>
              <w:t>Kontaktná doba</w:t>
            </w:r>
          </w:p>
        </w:tc>
        <w:tc>
          <w:tcPr>
            <w:tcW w:w="1134" w:type="dxa"/>
          </w:tcPr>
          <w:p w:rsidR="00697812" w:rsidRPr="007C3CD6" w:rsidRDefault="00AD2569" w:rsidP="00AE50B8">
            <w:pPr>
              <w:spacing w:after="12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sz w:val="22"/>
                <w:szCs w:val="22"/>
                <w:lang w:val="sk-SK"/>
              </w:rPr>
              <w:t>Testovaná koncentrácia</w:t>
            </w:r>
          </w:p>
        </w:tc>
        <w:tc>
          <w:tcPr>
            <w:tcW w:w="2126" w:type="dxa"/>
            <w:shd w:val="clear" w:color="auto" w:fill="auto"/>
          </w:tcPr>
          <w:p w:rsidR="00697812" w:rsidRPr="007C3CD6" w:rsidRDefault="00697812" w:rsidP="00AE50B8">
            <w:pPr>
              <w:spacing w:after="12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sz w:val="22"/>
                <w:szCs w:val="22"/>
                <w:lang w:val="sk-SK"/>
              </w:rPr>
              <w:t>Podmienky</w:t>
            </w:r>
          </w:p>
        </w:tc>
        <w:tc>
          <w:tcPr>
            <w:tcW w:w="1559" w:type="dxa"/>
          </w:tcPr>
          <w:p w:rsidR="00697812" w:rsidRPr="007C3CD6" w:rsidRDefault="00697812" w:rsidP="00AE50B8">
            <w:pPr>
              <w:spacing w:after="12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sz w:val="22"/>
                <w:szCs w:val="22"/>
                <w:lang w:val="sk-SK"/>
              </w:rPr>
              <w:t>Výsledok</w:t>
            </w:r>
          </w:p>
        </w:tc>
        <w:tc>
          <w:tcPr>
            <w:tcW w:w="1559" w:type="dxa"/>
          </w:tcPr>
          <w:p w:rsidR="00697812" w:rsidRPr="007C3CD6" w:rsidRDefault="00697812" w:rsidP="00AE50B8">
            <w:pPr>
              <w:spacing w:after="12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sz w:val="22"/>
                <w:szCs w:val="22"/>
                <w:lang w:val="sk-SK"/>
              </w:rPr>
              <w:t>Kritériá EN</w:t>
            </w:r>
          </w:p>
        </w:tc>
      </w:tr>
      <w:tr w:rsidR="00AD2569" w:rsidRPr="007C3CD6" w:rsidTr="00195064">
        <w:tc>
          <w:tcPr>
            <w:tcW w:w="1622" w:type="dxa"/>
            <w:vMerge w:val="restart"/>
            <w:shd w:val="clear" w:color="auto" w:fill="auto"/>
            <w:vAlign w:val="center"/>
          </w:tcPr>
          <w:p w:rsidR="00195064" w:rsidRPr="007C3CD6" w:rsidRDefault="00195064" w:rsidP="009C348F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i/>
                <w:iCs/>
                <w:sz w:val="22"/>
                <w:szCs w:val="22"/>
                <w:lang w:val="sk-SK"/>
              </w:rPr>
              <w:t>Staphylococcus aureus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195064" w:rsidRPr="007C3CD6" w:rsidRDefault="00195064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0,5 min</w:t>
            </w:r>
          </w:p>
        </w:tc>
        <w:tc>
          <w:tcPr>
            <w:tcW w:w="1134" w:type="dxa"/>
            <w:vMerge w:val="restart"/>
            <w:vAlign w:val="center"/>
          </w:tcPr>
          <w:p w:rsidR="00195064" w:rsidRPr="007C3CD6" w:rsidRDefault="00AD7E4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90</w:t>
            </w:r>
            <w:r w:rsidR="00195064" w:rsidRPr="007C3CD6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5064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10</w:t>
            </w:r>
            <w:r w:rsidR="00195064" w:rsidRPr="007C3CD6">
              <w:rPr>
                <w:sz w:val="22"/>
                <w:szCs w:val="22"/>
                <w:lang w:val="sk-SK"/>
              </w:rPr>
              <w:t>% hovädzí albumín</w:t>
            </w:r>
          </w:p>
        </w:tc>
        <w:tc>
          <w:tcPr>
            <w:tcW w:w="1559" w:type="dxa"/>
            <w:vAlign w:val="center"/>
          </w:tcPr>
          <w:p w:rsidR="00195064" w:rsidRPr="007C3CD6" w:rsidRDefault="00195064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6,14 log zníženie</w:t>
            </w:r>
          </w:p>
        </w:tc>
        <w:tc>
          <w:tcPr>
            <w:tcW w:w="1559" w:type="dxa"/>
            <w:vMerge w:val="restart"/>
            <w:vAlign w:val="center"/>
          </w:tcPr>
          <w:p w:rsidR="00195064" w:rsidRPr="007C3CD6" w:rsidRDefault="00195064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EN 13727</w:t>
            </w:r>
          </w:p>
        </w:tc>
      </w:tr>
      <w:tr w:rsidR="00AD2569" w:rsidRPr="007C3CD6" w:rsidTr="00D91948">
        <w:tc>
          <w:tcPr>
            <w:tcW w:w="1622" w:type="dxa"/>
            <w:vMerge/>
            <w:shd w:val="clear" w:color="auto" w:fill="auto"/>
          </w:tcPr>
          <w:p w:rsidR="00195064" w:rsidRPr="007C3CD6" w:rsidRDefault="00195064" w:rsidP="008411BA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195064" w:rsidRPr="007C3CD6" w:rsidRDefault="00AD2569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0,5 min</w:t>
            </w:r>
          </w:p>
        </w:tc>
        <w:tc>
          <w:tcPr>
            <w:tcW w:w="1134" w:type="dxa"/>
            <w:vMerge/>
            <w:vAlign w:val="center"/>
          </w:tcPr>
          <w:p w:rsidR="00195064" w:rsidRPr="007C3CD6" w:rsidRDefault="00195064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5064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4,5</w:t>
            </w:r>
            <w:r w:rsidR="00195064" w:rsidRPr="007C3CD6">
              <w:rPr>
                <w:sz w:val="22"/>
                <w:szCs w:val="22"/>
                <w:lang w:val="sk-SK"/>
              </w:rPr>
              <w:t>% defibrinovaná ovčia krv, 4,5 % hovädzí albumín, 1 % mucín</w:t>
            </w:r>
          </w:p>
        </w:tc>
        <w:tc>
          <w:tcPr>
            <w:tcW w:w="1559" w:type="dxa"/>
            <w:vAlign w:val="center"/>
          </w:tcPr>
          <w:p w:rsidR="00195064" w:rsidRPr="007C3CD6" w:rsidRDefault="00AD2569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6,06 log zníženie</w:t>
            </w:r>
          </w:p>
        </w:tc>
        <w:tc>
          <w:tcPr>
            <w:tcW w:w="1559" w:type="dxa"/>
            <w:vMerge/>
            <w:vAlign w:val="center"/>
          </w:tcPr>
          <w:p w:rsidR="00195064" w:rsidRPr="007C3CD6" w:rsidRDefault="00195064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AD2569" w:rsidRPr="007C3CD6" w:rsidTr="00195064">
        <w:tc>
          <w:tcPr>
            <w:tcW w:w="1622" w:type="dxa"/>
            <w:vMerge w:val="restart"/>
            <w:shd w:val="clear" w:color="auto" w:fill="auto"/>
            <w:vAlign w:val="center"/>
          </w:tcPr>
          <w:p w:rsidR="00195064" w:rsidRPr="007C3CD6" w:rsidRDefault="00195064" w:rsidP="009C348F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i/>
                <w:iCs/>
                <w:sz w:val="22"/>
                <w:szCs w:val="22"/>
                <w:lang w:val="sk-SK"/>
              </w:rPr>
              <w:t>Enterococcus faecalis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195064" w:rsidRPr="007C3CD6" w:rsidRDefault="00195064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0,5 min</w:t>
            </w:r>
          </w:p>
        </w:tc>
        <w:tc>
          <w:tcPr>
            <w:tcW w:w="1134" w:type="dxa"/>
            <w:vMerge w:val="restart"/>
            <w:vAlign w:val="center"/>
          </w:tcPr>
          <w:p w:rsidR="00195064" w:rsidRPr="007C3CD6" w:rsidRDefault="00AD7E4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90</w:t>
            </w:r>
            <w:r w:rsidR="00195064" w:rsidRPr="007C3CD6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5064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10</w:t>
            </w:r>
            <w:r w:rsidR="00195064" w:rsidRPr="007C3CD6">
              <w:rPr>
                <w:sz w:val="22"/>
                <w:szCs w:val="22"/>
                <w:lang w:val="sk-SK"/>
              </w:rPr>
              <w:t>% hovädzí albumín</w:t>
            </w:r>
          </w:p>
        </w:tc>
        <w:tc>
          <w:tcPr>
            <w:tcW w:w="1559" w:type="dxa"/>
            <w:vAlign w:val="center"/>
          </w:tcPr>
          <w:p w:rsidR="00195064" w:rsidRPr="007C3CD6" w:rsidRDefault="00195064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6,51 log zníženie</w:t>
            </w:r>
          </w:p>
        </w:tc>
        <w:tc>
          <w:tcPr>
            <w:tcW w:w="1559" w:type="dxa"/>
            <w:vMerge w:val="restart"/>
            <w:vAlign w:val="center"/>
          </w:tcPr>
          <w:p w:rsidR="00195064" w:rsidRPr="007C3CD6" w:rsidRDefault="00195064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EN 13727</w:t>
            </w:r>
          </w:p>
        </w:tc>
      </w:tr>
      <w:tr w:rsidR="00AD2569" w:rsidRPr="007C3CD6" w:rsidTr="00195064">
        <w:tc>
          <w:tcPr>
            <w:tcW w:w="1622" w:type="dxa"/>
            <w:vMerge/>
            <w:shd w:val="clear" w:color="auto" w:fill="auto"/>
            <w:vAlign w:val="center"/>
          </w:tcPr>
          <w:p w:rsidR="00195064" w:rsidRPr="007C3CD6" w:rsidRDefault="00195064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195064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0,5 min</w:t>
            </w:r>
          </w:p>
        </w:tc>
        <w:tc>
          <w:tcPr>
            <w:tcW w:w="1134" w:type="dxa"/>
            <w:vMerge/>
            <w:vAlign w:val="center"/>
          </w:tcPr>
          <w:p w:rsidR="00195064" w:rsidRPr="007C3CD6" w:rsidRDefault="00195064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5064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4,5</w:t>
            </w:r>
            <w:r w:rsidR="00195064" w:rsidRPr="007C3CD6">
              <w:rPr>
                <w:sz w:val="22"/>
                <w:szCs w:val="22"/>
                <w:lang w:val="sk-SK"/>
              </w:rPr>
              <w:t xml:space="preserve">% defibrinovaná ovčia krv, 4,5 % hovädzí </w:t>
            </w:r>
            <w:r w:rsidRPr="007C3CD6">
              <w:rPr>
                <w:sz w:val="22"/>
                <w:szCs w:val="22"/>
                <w:lang w:val="sk-SK"/>
              </w:rPr>
              <w:t>albumín, 1</w:t>
            </w:r>
            <w:r w:rsidR="00195064" w:rsidRPr="007C3CD6">
              <w:rPr>
                <w:sz w:val="22"/>
                <w:szCs w:val="22"/>
                <w:lang w:val="sk-SK"/>
              </w:rPr>
              <w:t>% mucín</w:t>
            </w:r>
          </w:p>
        </w:tc>
        <w:tc>
          <w:tcPr>
            <w:tcW w:w="1559" w:type="dxa"/>
            <w:vAlign w:val="center"/>
          </w:tcPr>
          <w:p w:rsidR="00195064" w:rsidRPr="007C3CD6" w:rsidRDefault="00AD2569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6,68 log zníženie</w:t>
            </w:r>
          </w:p>
        </w:tc>
        <w:tc>
          <w:tcPr>
            <w:tcW w:w="1559" w:type="dxa"/>
            <w:vMerge/>
            <w:vAlign w:val="center"/>
          </w:tcPr>
          <w:p w:rsidR="00195064" w:rsidRPr="007C3CD6" w:rsidDel="00F1214A" w:rsidRDefault="00195064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AD2569" w:rsidRPr="007C3CD6" w:rsidTr="00AD2569">
        <w:tc>
          <w:tcPr>
            <w:tcW w:w="1622" w:type="dxa"/>
            <w:vMerge w:val="restart"/>
            <w:shd w:val="clear" w:color="auto" w:fill="auto"/>
            <w:vAlign w:val="center"/>
          </w:tcPr>
          <w:p w:rsidR="00195064" w:rsidRPr="007C3CD6" w:rsidRDefault="00195064" w:rsidP="009C348F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i/>
                <w:iCs/>
                <w:sz w:val="22"/>
                <w:szCs w:val="22"/>
                <w:lang w:val="sk-SK"/>
              </w:rPr>
              <w:t>Pseudomonas aeruginosa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195064" w:rsidRPr="007C3CD6" w:rsidRDefault="00195064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0,5 min</w:t>
            </w:r>
          </w:p>
        </w:tc>
        <w:tc>
          <w:tcPr>
            <w:tcW w:w="1134" w:type="dxa"/>
            <w:vMerge w:val="restart"/>
            <w:vAlign w:val="center"/>
          </w:tcPr>
          <w:p w:rsidR="00195064" w:rsidRPr="007C3CD6" w:rsidRDefault="00AD7E4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90</w:t>
            </w:r>
            <w:r w:rsidR="00195064" w:rsidRPr="007C3CD6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5064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10</w:t>
            </w:r>
            <w:r w:rsidR="00195064" w:rsidRPr="007C3CD6">
              <w:rPr>
                <w:sz w:val="22"/>
                <w:szCs w:val="22"/>
                <w:lang w:val="sk-SK"/>
              </w:rPr>
              <w:t>% hovädzí albumín</w:t>
            </w:r>
          </w:p>
        </w:tc>
        <w:tc>
          <w:tcPr>
            <w:tcW w:w="1559" w:type="dxa"/>
            <w:vAlign w:val="center"/>
          </w:tcPr>
          <w:p w:rsidR="00195064" w:rsidRPr="007C3CD6" w:rsidDel="00F1214A" w:rsidRDefault="00195064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6,85 log zníženie</w:t>
            </w:r>
          </w:p>
        </w:tc>
        <w:tc>
          <w:tcPr>
            <w:tcW w:w="1559" w:type="dxa"/>
            <w:vMerge w:val="restart"/>
            <w:vAlign w:val="center"/>
          </w:tcPr>
          <w:p w:rsidR="00195064" w:rsidRPr="007C3CD6" w:rsidDel="00F1214A" w:rsidRDefault="00AD2569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EN 13727</w:t>
            </w:r>
          </w:p>
        </w:tc>
      </w:tr>
      <w:tr w:rsidR="00AD2569" w:rsidRPr="007C3CD6" w:rsidTr="00AD2569">
        <w:tc>
          <w:tcPr>
            <w:tcW w:w="1622" w:type="dxa"/>
            <w:vMerge/>
            <w:shd w:val="clear" w:color="auto" w:fill="auto"/>
            <w:vAlign w:val="center"/>
          </w:tcPr>
          <w:p w:rsidR="00195064" w:rsidRPr="007C3CD6" w:rsidRDefault="00195064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195064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1,0 min</w:t>
            </w:r>
          </w:p>
        </w:tc>
        <w:tc>
          <w:tcPr>
            <w:tcW w:w="1134" w:type="dxa"/>
            <w:vMerge/>
          </w:tcPr>
          <w:p w:rsidR="00195064" w:rsidRPr="007C3CD6" w:rsidRDefault="00195064" w:rsidP="008411BA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shd w:val="clear" w:color="auto" w:fill="auto"/>
          </w:tcPr>
          <w:p w:rsidR="00195064" w:rsidRPr="007C3CD6" w:rsidRDefault="00AD7E48" w:rsidP="008411BA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4,5% defibrinovaná ovčia krv, 4,5% hovädzí albumín, 1</w:t>
            </w:r>
            <w:r w:rsidR="00195064" w:rsidRPr="007C3CD6">
              <w:rPr>
                <w:sz w:val="22"/>
                <w:szCs w:val="22"/>
                <w:lang w:val="sk-SK"/>
              </w:rPr>
              <w:t>% mucín</w:t>
            </w:r>
          </w:p>
        </w:tc>
        <w:tc>
          <w:tcPr>
            <w:tcW w:w="1559" w:type="dxa"/>
            <w:vAlign w:val="center"/>
          </w:tcPr>
          <w:p w:rsidR="00195064" w:rsidRPr="007C3CD6" w:rsidRDefault="00AD2569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6,13 log zníženie</w:t>
            </w:r>
          </w:p>
        </w:tc>
        <w:tc>
          <w:tcPr>
            <w:tcW w:w="1559" w:type="dxa"/>
            <w:vMerge/>
          </w:tcPr>
          <w:p w:rsidR="00195064" w:rsidRPr="007C3CD6" w:rsidRDefault="00195064" w:rsidP="008411BA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AD2569" w:rsidRPr="007C3CD6" w:rsidTr="00AD2569">
        <w:tc>
          <w:tcPr>
            <w:tcW w:w="1622" w:type="dxa"/>
            <w:vMerge w:val="restart"/>
            <w:shd w:val="clear" w:color="auto" w:fill="auto"/>
            <w:vAlign w:val="center"/>
          </w:tcPr>
          <w:p w:rsidR="00AD2569" w:rsidRPr="007C3CD6" w:rsidRDefault="00AD2569" w:rsidP="009C348F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i/>
                <w:iCs/>
                <w:sz w:val="22"/>
                <w:szCs w:val="22"/>
                <w:lang w:val="sk-SK"/>
              </w:rPr>
              <w:t>Escherichia coli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D2569" w:rsidRPr="007C3CD6" w:rsidRDefault="00AD2569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0,5 min</w:t>
            </w:r>
          </w:p>
        </w:tc>
        <w:tc>
          <w:tcPr>
            <w:tcW w:w="1134" w:type="dxa"/>
            <w:vMerge w:val="restart"/>
            <w:vAlign w:val="center"/>
          </w:tcPr>
          <w:p w:rsidR="00AD2569" w:rsidRPr="007C3CD6" w:rsidRDefault="00AD7E4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90</w:t>
            </w:r>
            <w:r w:rsidR="00AD2569" w:rsidRPr="007C3CD6">
              <w:rPr>
                <w:sz w:val="22"/>
                <w:szCs w:val="22"/>
                <w:lang w:val="sk-SK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AD2569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10</w:t>
            </w:r>
            <w:r w:rsidR="00AD2569" w:rsidRPr="007C3CD6">
              <w:rPr>
                <w:sz w:val="22"/>
                <w:szCs w:val="22"/>
                <w:lang w:val="sk-SK"/>
              </w:rPr>
              <w:t>% hovädzí albumín</w:t>
            </w:r>
          </w:p>
        </w:tc>
        <w:tc>
          <w:tcPr>
            <w:tcW w:w="1559" w:type="dxa"/>
            <w:vAlign w:val="center"/>
          </w:tcPr>
          <w:p w:rsidR="00AD2569" w:rsidRPr="007C3CD6" w:rsidRDefault="00AD2569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6,26 log zníženie</w:t>
            </w:r>
          </w:p>
        </w:tc>
        <w:tc>
          <w:tcPr>
            <w:tcW w:w="1559" w:type="dxa"/>
            <w:vMerge w:val="restart"/>
            <w:vAlign w:val="center"/>
          </w:tcPr>
          <w:p w:rsidR="00AD2569" w:rsidRPr="007C3CD6" w:rsidRDefault="00AD2569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EN 13727</w:t>
            </w:r>
          </w:p>
        </w:tc>
      </w:tr>
      <w:tr w:rsidR="00AD2569" w:rsidRPr="007C3CD6" w:rsidTr="00AD2569">
        <w:tc>
          <w:tcPr>
            <w:tcW w:w="1622" w:type="dxa"/>
            <w:vMerge/>
            <w:shd w:val="clear" w:color="auto" w:fill="auto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1,0 min</w:t>
            </w:r>
          </w:p>
        </w:tc>
        <w:tc>
          <w:tcPr>
            <w:tcW w:w="1134" w:type="dxa"/>
            <w:vMerge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shd w:val="clear" w:color="auto" w:fill="auto"/>
          </w:tcPr>
          <w:p w:rsidR="00AD2569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4,5% defibrinovaná ovčia krv, 4,5</w:t>
            </w:r>
            <w:r w:rsidR="00AD2569" w:rsidRPr="007C3CD6">
              <w:rPr>
                <w:sz w:val="22"/>
                <w:szCs w:val="22"/>
                <w:lang w:val="sk-SK"/>
              </w:rPr>
              <w:t>% hovädzí albumín, 1 % mucín</w:t>
            </w:r>
          </w:p>
        </w:tc>
        <w:tc>
          <w:tcPr>
            <w:tcW w:w="1559" w:type="dxa"/>
            <w:vAlign w:val="center"/>
          </w:tcPr>
          <w:p w:rsidR="00AD2569" w:rsidRPr="007C3CD6" w:rsidRDefault="00AD2569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5,63 log zníženie</w:t>
            </w:r>
          </w:p>
        </w:tc>
        <w:tc>
          <w:tcPr>
            <w:tcW w:w="1559" w:type="dxa"/>
            <w:vMerge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AD2569" w:rsidRPr="007C3CD6" w:rsidTr="00AD2569">
        <w:tc>
          <w:tcPr>
            <w:tcW w:w="1622" w:type="dxa"/>
            <w:vMerge w:val="restart"/>
            <w:shd w:val="clear" w:color="auto" w:fill="auto"/>
            <w:vAlign w:val="center"/>
          </w:tcPr>
          <w:p w:rsidR="00AD2569" w:rsidRPr="007C3CD6" w:rsidRDefault="00AD2569" w:rsidP="009C348F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i/>
                <w:iCs/>
                <w:sz w:val="22"/>
                <w:szCs w:val="22"/>
                <w:lang w:val="sk-SK"/>
              </w:rPr>
              <w:t>Candida albicans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D2569" w:rsidRPr="007C3CD6" w:rsidRDefault="00AD2569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10 min</w:t>
            </w:r>
          </w:p>
        </w:tc>
        <w:tc>
          <w:tcPr>
            <w:tcW w:w="1134" w:type="dxa"/>
            <w:vMerge w:val="restart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90 %</w:t>
            </w:r>
          </w:p>
        </w:tc>
        <w:tc>
          <w:tcPr>
            <w:tcW w:w="2126" w:type="dxa"/>
            <w:shd w:val="clear" w:color="auto" w:fill="auto"/>
          </w:tcPr>
          <w:p w:rsidR="00AD2569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10</w:t>
            </w:r>
            <w:r w:rsidR="00AD2569" w:rsidRPr="007C3CD6">
              <w:rPr>
                <w:sz w:val="22"/>
                <w:szCs w:val="22"/>
                <w:lang w:val="sk-SK"/>
              </w:rPr>
              <w:t>% hovädzí albumín</w:t>
            </w:r>
          </w:p>
        </w:tc>
        <w:tc>
          <w:tcPr>
            <w:tcW w:w="1559" w:type="dxa"/>
            <w:vAlign w:val="center"/>
          </w:tcPr>
          <w:p w:rsidR="00AD2569" w:rsidRPr="007C3CD6" w:rsidRDefault="00AD2569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5,95 log zníženie</w:t>
            </w:r>
          </w:p>
        </w:tc>
        <w:tc>
          <w:tcPr>
            <w:tcW w:w="1559" w:type="dxa"/>
            <w:vMerge w:val="restart"/>
            <w:vAlign w:val="center"/>
          </w:tcPr>
          <w:p w:rsidR="00AD2569" w:rsidRPr="007C3CD6" w:rsidRDefault="00AD2569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EN 13624</w:t>
            </w:r>
          </w:p>
        </w:tc>
      </w:tr>
      <w:tr w:rsidR="00AD2569" w:rsidRPr="007C3CD6" w:rsidTr="00AD2569">
        <w:tc>
          <w:tcPr>
            <w:tcW w:w="1622" w:type="dxa"/>
            <w:vMerge/>
            <w:shd w:val="clear" w:color="auto" w:fill="auto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10 min</w:t>
            </w:r>
          </w:p>
        </w:tc>
        <w:tc>
          <w:tcPr>
            <w:tcW w:w="1134" w:type="dxa"/>
            <w:vMerge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shd w:val="clear" w:color="auto" w:fill="auto"/>
          </w:tcPr>
          <w:p w:rsidR="00AD2569" w:rsidRPr="007C3CD6" w:rsidRDefault="00AD7E48" w:rsidP="00AE50B8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4,5</w:t>
            </w:r>
            <w:r w:rsidR="00AD2569" w:rsidRPr="007C3CD6">
              <w:rPr>
                <w:sz w:val="22"/>
                <w:szCs w:val="22"/>
                <w:lang w:val="sk-SK"/>
              </w:rPr>
              <w:t xml:space="preserve">% defibrinovaná ovčia </w:t>
            </w:r>
            <w:r w:rsidRPr="007C3CD6">
              <w:rPr>
                <w:sz w:val="22"/>
                <w:szCs w:val="22"/>
                <w:lang w:val="sk-SK"/>
              </w:rPr>
              <w:t>krv, 4,5% hovädzí albumín, 1</w:t>
            </w:r>
            <w:r w:rsidR="00AD2569" w:rsidRPr="007C3CD6">
              <w:rPr>
                <w:sz w:val="22"/>
                <w:szCs w:val="22"/>
                <w:lang w:val="sk-SK"/>
              </w:rPr>
              <w:t>% mucín</w:t>
            </w:r>
          </w:p>
        </w:tc>
        <w:tc>
          <w:tcPr>
            <w:tcW w:w="1559" w:type="dxa"/>
            <w:vAlign w:val="center"/>
          </w:tcPr>
          <w:p w:rsidR="00AD2569" w:rsidRPr="007C3CD6" w:rsidRDefault="00AD2569" w:rsidP="009C348F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5,39 log zníženie</w:t>
            </w:r>
          </w:p>
        </w:tc>
        <w:tc>
          <w:tcPr>
            <w:tcW w:w="1559" w:type="dxa"/>
            <w:vMerge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AD2569" w:rsidRPr="007C3CD6" w:rsidTr="00AD2569">
        <w:trPr>
          <w:trHeight w:val="1009"/>
        </w:trPr>
        <w:tc>
          <w:tcPr>
            <w:tcW w:w="1622" w:type="dxa"/>
            <w:shd w:val="clear" w:color="auto" w:fill="auto"/>
            <w:vAlign w:val="center"/>
          </w:tcPr>
          <w:p w:rsidR="00AD2569" w:rsidRPr="007C3CD6" w:rsidRDefault="00AD2569" w:rsidP="009C348F">
            <w:pPr>
              <w:spacing w:after="120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C3CD6">
              <w:rPr>
                <w:b/>
                <w:bCs/>
                <w:i/>
                <w:iCs/>
                <w:sz w:val="22"/>
                <w:szCs w:val="22"/>
                <w:lang w:val="sk-SK"/>
              </w:rPr>
              <w:t>Aspergillus brasiliensis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D2569" w:rsidRPr="007C3CD6" w:rsidRDefault="00AD2569" w:rsidP="009D4097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20 min</w:t>
            </w:r>
          </w:p>
        </w:tc>
        <w:tc>
          <w:tcPr>
            <w:tcW w:w="1134" w:type="dxa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80 %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neaplikovateľné</w:t>
            </w:r>
          </w:p>
        </w:tc>
        <w:tc>
          <w:tcPr>
            <w:tcW w:w="1559" w:type="dxa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4,8 log zníženie</w:t>
            </w:r>
          </w:p>
        </w:tc>
        <w:tc>
          <w:tcPr>
            <w:tcW w:w="1559" w:type="dxa"/>
            <w:vAlign w:val="center"/>
          </w:tcPr>
          <w:p w:rsidR="00AD2569" w:rsidRPr="007C3CD6" w:rsidRDefault="00AD2569">
            <w:pPr>
              <w:spacing w:after="120"/>
              <w:jc w:val="center"/>
              <w:rPr>
                <w:sz w:val="22"/>
                <w:szCs w:val="22"/>
                <w:lang w:val="sk-SK"/>
              </w:rPr>
            </w:pPr>
            <w:r w:rsidRPr="007C3CD6">
              <w:rPr>
                <w:sz w:val="22"/>
                <w:szCs w:val="22"/>
                <w:lang w:val="sk-SK"/>
              </w:rPr>
              <w:t>EN1275</w:t>
            </w:r>
          </w:p>
        </w:tc>
      </w:tr>
    </w:tbl>
    <w:p w:rsidR="009D7662" w:rsidRPr="007C3CD6" w:rsidRDefault="009D7662" w:rsidP="00AE50B8">
      <w:pPr>
        <w:spacing w:before="120"/>
        <w:ind w:left="709"/>
        <w:jc w:val="left"/>
        <w:rPr>
          <w:sz w:val="22"/>
          <w:szCs w:val="22"/>
          <w:lang w:val="sk-SK"/>
        </w:rPr>
      </w:pPr>
    </w:p>
    <w:p w:rsidR="00FA1475" w:rsidRPr="007C3CD6" w:rsidRDefault="00FA1475" w:rsidP="00AE50B8">
      <w:pPr>
        <w:spacing w:before="120"/>
        <w:ind w:hanging="11"/>
        <w:jc w:val="left"/>
        <w:rPr>
          <w:sz w:val="22"/>
          <w:szCs w:val="22"/>
          <w:u w:val="single"/>
          <w:lang w:val="sk-SK"/>
        </w:rPr>
      </w:pPr>
      <w:r w:rsidRPr="007C3CD6">
        <w:rPr>
          <w:sz w:val="22"/>
          <w:szCs w:val="22"/>
          <w:u w:val="single"/>
          <w:lang w:val="sk-SK"/>
        </w:rPr>
        <w:t>Pediatrická populácia</w:t>
      </w:r>
    </w:p>
    <w:p w:rsidR="00FA1475" w:rsidRPr="007C3CD6" w:rsidRDefault="00FA1475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Účinnosť a znášanlivosť kombinácie </w:t>
      </w:r>
      <w:proofErr w:type="spellStart"/>
      <w:r w:rsidR="00D11BA7" w:rsidRPr="00D11BA7">
        <w:rPr>
          <w:sz w:val="22"/>
          <w:szCs w:val="22"/>
          <w:lang w:val="sk-SK"/>
        </w:rPr>
        <w:t>oktenidíniumdichlorid</w:t>
      </w:r>
      <w:r w:rsidRPr="007C3CD6">
        <w:rPr>
          <w:sz w:val="22"/>
          <w:szCs w:val="22"/>
          <w:lang w:val="sk-SK"/>
        </w:rPr>
        <w:t>u</w:t>
      </w:r>
      <w:proofErr w:type="spellEnd"/>
      <w:r w:rsidRPr="007C3CD6">
        <w:rPr>
          <w:sz w:val="22"/>
          <w:szCs w:val="22"/>
          <w:lang w:val="sk-SK"/>
        </w:rPr>
        <w:t xml:space="preserve"> / </w:t>
      </w:r>
      <w:proofErr w:type="spellStart"/>
      <w:r w:rsidRPr="007C3CD6">
        <w:rPr>
          <w:sz w:val="22"/>
          <w:szCs w:val="22"/>
          <w:lang w:val="sk-SK"/>
        </w:rPr>
        <w:t>fenoxyetanolu</w:t>
      </w:r>
      <w:proofErr w:type="spellEnd"/>
      <w:r w:rsidRPr="007C3CD6">
        <w:rPr>
          <w:sz w:val="22"/>
          <w:szCs w:val="22"/>
          <w:lang w:val="sk-SK"/>
        </w:rPr>
        <w:t xml:space="preserve"> sa preukázala u 347 detí vo veku 6 dní až 12 rokov, ako aj u 73 predčasne narodených detí v gestačnom veku menej ako 36 týždňov.</w:t>
      </w:r>
    </w:p>
    <w:p w:rsidR="00FA1475" w:rsidRPr="007C3CD6" w:rsidRDefault="00FA1475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Ošetrenie odstrihnutej pupočnej šnúry kombináciou </w:t>
      </w:r>
      <w:proofErr w:type="spellStart"/>
      <w:r w:rsidR="00D11BA7" w:rsidRPr="00D11BA7">
        <w:rPr>
          <w:sz w:val="22"/>
          <w:szCs w:val="22"/>
          <w:lang w:val="sk-SK"/>
        </w:rPr>
        <w:t>oktenidíniumdichlorid</w:t>
      </w:r>
      <w:r w:rsidRPr="007C3CD6">
        <w:rPr>
          <w:sz w:val="22"/>
          <w:szCs w:val="22"/>
          <w:lang w:val="sk-SK"/>
        </w:rPr>
        <w:t>u</w:t>
      </w:r>
      <w:proofErr w:type="spellEnd"/>
      <w:r w:rsidRPr="007C3CD6">
        <w:rPr>
          <w:sz w:val="22"/>
          <w:szCs w:val="22"/>
          <w:lang w:val="sk-SK"/>
        </w:rPr>
        <w:t xml:space="preserve"> / </w:t>
      </w:r>
      <w:proofErr w:type="spellStart"/>
      <w:r w:rsidRPr="007C3CD6">
        <w:rPr>
          <w:sz w:val="22"/>
          <w:szCs w:val="22"/>
          <w:lang w:val="sk-SK"/>
        </w:rPr>
        <w:t>fenoxyetanolu</w:t>
      </w:r>
      <w:proofErr w:type="spellEnd"/>
      <w:r w:rsidRPr="007C3CD6">
        <w:rPr>
          <w:sz w:val="22"/>
          <w:szCs w:val="22"/>
          <w:lang w:val="sk-SK"/>
        </w:rPr>
        <w:t xml:space="preserve"> sa skúmalo u 1 725 novorodencov a preukázala sa dobrá znášanlivosť v tejto vekovej skupine.</w:t>
      </w:r>
    </w:p>
    <w:p w:rsidR="00D35174" w:rsidRPr="007C3CD6" w:rsidRDefault="00D35174" w:rsidP="009C348F">
      <w:pPr>
        <w:jc w:val="left"/>
        <w:rPr>
          <w:sz w:val="22"/>
          <w:szCs w:val="22"/>
          <w:lang w:val="sk-SK"/>
        </w:rPr>
      </w:pPr>
    </w:p>
    <w:p w:rsidR="009D7662" w:rsidRPr="008A7F98" w:rsidRDefault="009D7662" w:rsidP="008A7F98">
      <w:pPr>
        <w:numPr>
          <w:ilvl w:val="1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Farmakokinetické vlastnosti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u w:val="single"/>
          <w:lang w:val="sk-SK"/>
        </w:rPr>
        <w:t>Absorpcia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lastRenderedPageBreak/>
        <w:t xml:space="preserve">Perorálne podávaný </w:t>
      </w:r>
      <w:r w:rsidR="00D11BA7" w:rsidRPr="00D11BA7">
        <w:rPr>
          <w:sz w:val="22"/>
          <w:szCs w:val="22"/>
          <w:lang w:val="sk-SK"/>
        </w:rPr>
        <w:t>oktenidíniumdichlorid</w:t>
      </w:r>
      <w:r w:rsidRPr="007C3CD6">
        <w:rPr>
          <w:sz w:val="22"/>
          <w:szCs w:val="22"/>
          <w:lang w:val="sk-SK"/>
        </w:rPr>
        <w:t xml:space="preserve"> označený rádioaktívnym </w:t>
      </w:r>
      <w:r w:rsidRPr="007C3CD6">
        <w:rPr>
          <w:sz w:val="22"/>
          <w:szCs w:val="22"/>
          <w:vertAlign w:val="superscript"/>
          <w:lang w:val="sk-SK"/>
        </w:rPr>
        <w:t>14</w:t>
      </w:r>
      <w:r w:rsidRPr="007C3CD6">
        <w:rPr>
          <w:sz w:val="22"/>
          <w:szCs w:val="22"/>
          <w:lang w:val="sk-SK"/>
        </w:rPr>
        <w:t>C sa absorboval sliznicami gastrointestinálneho traktu myší, potkanov a psov iba vo veľmi malých množstvách (0</w:t>
      </w:r>
      <w:r w:rsidRPr="007C3CD6">
        <w:rPr>
          <w:sz w:val="22"/>
          <w:szCs w:val="22"/>
          <w:lang w:val="sk-SK"/>
        </w:rPr>
        <w:noBreakHyphen/>
      </w:r>
      <w:r w:rsidR="00AD7E48" w:rsidRPr="007C3CD6">
        <w:rPr>
          <w:sz w:val="22"/>
          <w:szCs w:val="22"/>
          <w:lang w:val="sk-SK"/>
        </w:rPr>
        <w:t>6</w:t>
      </w:r>
      <w:r w:rsidRPr="007C3CD6">
        <w:rPr>
          <w:sz w:val="22"/>
          <w:szCs w:val="22"/>
          <w:lang w:val="sk-SK"/>
        </w:rPr>
        <w:t>%). U myší sa počas 24</w:t>
      </w:r>
      <w:r w:rsidRPr="007C3CD6">
        <w:rPr>
          <w:sz w:val="22"/>
          <w:szCs w:val="22"/>
          <w:lang w:val="sk-SK"/>
        </w:rPr>
        <w:noBreakHyphen/>
        <w:t xml:space="preserve">hodinového kontaktného obdobia nezistila absorpcia povrchovo aplikovaných množstiev </w:t>
      </w:r>
      <w:r w:rsidR="00D11BA7" w:rsidRPr="00D11BA7">
        <w:rPr>
          <w:sz w:val="22"/>
          <w:szCs w:val="22"/>
          <w:lang w:val="sk-SK"/>
        </w:rPr>
        <w:t xml:space="preserve">oktenidíniumdichlorid </w:t>
      </w:r>
      <w:r w:rsidRPr="007C3CD6">
        <w:rPr>
          <w:sz w:val="22"/>
          <w:szCs w:val="22"/>
          <w:lang w:val="sk-SK"/>
        </w:rPr>
        <w:t>u pod okluzívnym obväzom.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Na základe </w:t>
      </w:r>
      <w:r w:rsidRPr="007C3CD6">
        <w:rPr>
          <w:i/>
          <w:iCs/>
          <w:sz w:val="22"/>
          <w:szCs w:val="22"/>
          <w:lang w:val="sk-SK"/>
        </w:rPr>
        <w:t>in vitro</w:t>
      </w:r>
      <w:r w:rsidRPr="007C3CD6">
        <w:rPr>
          <w:sz w:val="22"/>
          <w:szCs w:val="22"/>
          <w:lang w:val="sk-SK"/>
        </w:rPr>
        <w:t xml:space="preserve"> štúdií sa dá vylúčiť prechod </w:t>
      </w:r>
      <w:r w:rsidR="00D11BA7" w:rsidRPr="00D11BA7">
        <w:rPr>
          <w:sz w:val="22"/>
          <w:szCs w:val="22"/>
          <w:lang w:val="sk-SK"/>
        </w:rPr>
        <w:t xml:space="preserve">oktenidíniumdichlorid </w:t>
      </w:r>
      <w:r w:rsidRPr="007C3CD6">
        <w:rPr>
          <w:sz w:val="22"/>
          <w:szCs w:val="22"/>
          <w:lang w:val="sk-SK"/>
        </w:rPr>
        <w:t>u cez placentu.</w:t>
      </w:r>
    </w:p>
    <w:p w:rsidR="009D7662" w:rsidRPr="007C3CD6" w:rsidRDefault="00D11BA7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D11BA7">
        <w:rPr>
          <w:sz w:val="22"/>
          <w:szCs w:val="22"/>
          <w:lang w:val="sk-SK"/>
        </w:rPr>
        <w:t>ktenidíniumdichlorid</w:t>
      </w:r>
      <w:r w:rsidR="002A3915" w:rsidRPr="007C3CD6">
        <w:rPr>
          <w:sz w:val="22"/>
          <w:szCs w:val="22"/>
          <w:lang w:val="sk-SK"/>
        </w:rPr>
        <w:t xml:space="preserve"> sa neabsorboval cez sliznicu vagíny (u králikov) ani cez poranenia (u ľudí, potkanov).</w:t>
      </w:r>
    </w:p>
    <w:p w:rsidR="002A3915" w:rsidRPr="007C3CD6" w:rsidRDefault="002A3915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Perorálne podaný </w:t>
      </w:r>
      <w:r w:rsidRPr="007C3CD6">
        <w:rPr>
          <w:sz w:val="22"/>
          <w:szCs w:val="22"/>
          <w:vertAlign w:val="superscript"/>
          <w:lang w:val="sk-SK"/>
        </w:rPr>
        <w:t>14</w:t>
      </w:r>
      <w:r w:rsidRPr="007C3CD6">
        <w:rPr>
          <w:sz w:val="22"/>
          <w:szCs w:val="22"/>
          <w:lang w:val="sk-SK"/>
        </w:rPr>
        <w:t>C-fenoxyetanol sa absorbuje takmer úplne a vylučuje sa v moči vo forme kyseliny fenoxyoctovej.</w:t>
      </w:r>
    </w:p>
    <w:p w:rsidR="00FA1475" w:rsidRPr="007C3CD6" w:rsidRDefault="00FA1475" w:rsidP="00AE50B8">
      <w:pPr>
        <w:spacing w:before="120"/>
        <w:jc w:val="left"/>
        <w:rPr>
          <w:i/>
          <w:sz w:val="22"/>
          <w:szCs w:val="22"/>
          <w:lang w:val="sk-SK"/>
        </w:rPr>
      </w:pPr>
      <w:r w:rsidRPr="007C3CD6">
        <w:rPr>
          <w:i/>
          <w:sz w:val="22"/>
          <w:szCs w:val="22"/>
          <w:lang w:val="sk-SK"/>
        </w:rPr>
        <w:t>Pediatrická populácia</w:t>
      </w:r>
    </w:p>
    <w:p w:rsidR="00FA1475" w:rsidRPr="007C3CD6" w:rsidRDefault="00FA1475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Oxidatívny metabolizmus 2</w:t>
      </w:r>
      <w:r w:rsidRPr="007C3CD6">
        <w:rPr>
          <w:sz w:val="22"/>
          <w:szCs w:val="22"/>
          <w:lang w:val="sk-SK"/>
        </w:rPr>
        <w:noBreakHyphen/>
        <w:t>fenoxyetanolu sa skúmal u 4 novorodencov vo veku 1 týždňa až 11 mesiacov, ako aj u 24 predčasne narodených detí v gestačnom veku menej ako 36 týždňov. Ukázalo sa, že 2</w:t>
      </w:r>
      <w:r w:rsidRPr="007C3CD6">
        <w:rPr>
          <w:sz w:val="22"/>
          <w:szCs w:val="22"/>
          <w:lang w:val="sk-SK"/>
        </w:rPr>
        <w:noBreakHyphen/>
        <w:t>fenoxyetanol sa absorbuje kožou a úplne alebo takmer úplne metabolizuje oxidáciou na kyselinu fenoxyoctovú a vylučuje obličkami.</w:t>
      </w:r>
    </w:p>
    <w:p w:rsidR="000474E6" w:rsidRPr="007C3CD6" w:rsidRDefault="000474E6" w:rsidP="00AE50B8">
      <w:pPr>
        <w:spacing w:before="120"/>
        <w:jc w:val="left"/>
        <w:rPr>
          <w:sz w:val="22"/>
          <w:szCs w:val="22"/>
          <w:lang w:val="sk-SK"/>
        </w:rPr>
      </w:pPr>
    </w:p>
    <w:p w:rsidR="009D7662" w:rsidRPr="007C3CD6" w:rsidRDefault="009D7662" w:rsidP="008A7F98">
      <w:pPr>
        <w:numPr>
          <w:ilvl w:val="1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Predklinické údaje o bezpečnosti</w:t>
      </w:r>
    </w:p>
    <w:p w:rsidR="00F94928" w:rsidRPr="007C3CD6" w:rsidRDefault="00F9492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Predklinické údaje získané na základe štúdií toxicity po akútnom a opakovanom podávaní, ako aj štúdií reprodukčnej toxicity, genotoxicity a karcinogénneho potenciálu s oktenidínom neodhalili pri určených terapeutických dávkach žiadne osobitné riziko pre ľudí </w:t>
      </w:r>
    </w:p>
    <w:p w:rsidR="00F94928" w:rsidRPr="007C3CD6" w:rsidRDefault="00F9492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Predklinické údaje získané na základe štúdií toxicity po akútnom a opakovanom podávaní a genotoxicity s fenoxyetanolom neodhalili pri určených terapeutických dávkach žiadne osobitné riziko pre ľudí.</w:t>
      </w:r>
    </w:p>
    <w:p w:rsidR="00F94928" w:rsidRPr="007C3CD6" w:rsidRDefault="00F9492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Štúdia, v ktorej bol myšiam podávaný fenoxyetanol v krmive počas celého reprodukčného cyklu, odhalila zníženú telesnú hmotnosť mláďat po narodení a počas laktácie a zvýšenú úmrtnosť počas laktácie. Pretože tieto výsledky boli získané po perorálnom podávaní, nie je ich klinický význam jasný. V dermatologickej embryofetálnej štúdii s fenoxyetanolom u králikov sa nepreukázali žiadne nežiaduce účinky. </w:t>
      </w:r>
    </w:p>
    <w:p w:rsidR="00F94928" w:rsidRPr="007C3CD6" w:rsidRDefault="00F9492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Fenoxyetanol bol mierne dráždivý pre kožu králikov.</w:t>
      </w:r>
    </w:p>
    <w:p w:rsidR="00F94928" w:rsidRPr="007C3CD6" w:rsidRDefault="00F9492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 xml:space="preserve">S fenoxyetanolom sa nevykonali žiadne štúdie karcinogénneho potenciálu. </w:t>
      </w:r>
    </w:p>
    <w:p w:rsidR="00F94928" w:rsidRPr="007C3CD6" w:rsidRDefault="00F9492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Kombinácia oktenidín</w:t>
      </w:r>
      <w:r w:rsidR="00F66FFD">
        <w:rPr>
          <w:sz w:val="22"/>
          <w:szCs w:val="22"/>
          <w:lang w:val="sk-SK"/>
        </w:rPr>
        <w:t>i</w:t>
      </w:r>
      <w:r w:rsidRPr="007C3CD6">
        <w:rPr>
          <w:sz w:val="22"/>
          <w:szCs w:val="22"/>
          <w:lang w:val="sk-SK"/>
        </w:rPr>
        <w:t>u</w:t>
      </w:r>
      <w:r w:rsidR="00F66FFD">
        <w:rPr>
          <w:sz w:val="22"/>
          <w:szCs w:val="22"/>
          <w:lang w:val="sk-SK"/>
        </w:rPr>
        <w:t>mdichloridu</w:t>
      </w:r>
      <w:r w:rsidRPr="007C3CD6">
        <w:rPr>
          <w:sz w:val="22"/>
          <w:szCs w:val="22"/>
          <w:lang w:val="sk-SK"/>
        </w:rPr>
        <w:t xml:space="preserve"> a fenoxyetanolu bola mierne dráždivá pre oči králikov.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9D7662" w:rsidRPr="008A7F98" w:rsidRDefault="009D7662" w:rsidP="008A7F98">
      <w:pPr>
        <w:pStyle w:val="Odsekzoznamu"/>
        <w:numPr>
          <w:ilvl w:val="0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8A7F98">
        <w:rPr>
          <w:b/>
          <w:bCs/>
          <w:sz w:val="22"/>
          <w:szCs w:val="22"/>
          <w:lang w:val="sk-SK"/>
        </w:rPr>
        <w:t>FARMACEUTICKÉ INFORMÁCIE</w:t>
      </w:r>
    </w:p>
    <w:p w:rsidR="009D7662" w:rsidRPr="007C3CD6" w:rsidRDefault="009D7662" w:rsidP="00AE50B8">
      <w:pPr>
        <w:numPr>
          <w:ilvl w:val="1"/>
          <w:numId w:val="2"/>
        </w:numPr>
        <w:spacing w:before="120" w:after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Zoznam pomocných látok</w:t>
      </w:r>
    </w:p>
    <w:p w:rsidR="00EA7828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kokamidopropylbetaín</w:t>
      </w:r>
    </w:p>
    <w:p w:rsidR="00EA7828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glukonát sodný</w:t>
      </w:r>
    </w:p>
    <w:p w:rsidR="00EA7828" w:rsidRPr="007C3CD6" w:rsidRDefault="00AD7E4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glycerín 85</w:t>
      </w:r>
      <w:r w:rsidR="009D7662" w:rsidRPr="007C3CD6">
        <w:rPr>
          <w:sz w:val="22"/>
          <w:szCs w:val="22"/>
          <w:lang w:val="sk-SK"/>
        </w:rPr>
        <w:t>%</w:t>
      </w:r>
    </w:p>
    <w:p w:rsidR="00EA7828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chlorid sodný</w:t>
      </w:r>
    </w:p>
    <w:p w:rsidR="00EA7828" w:rsidRPr="007C3CD6" w:rsidRDefault="00AD7E4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roztok hydroxidu sodného (10</w:t>
      </w:r>
      <w:r w:rsidR="009D7662" w:rsidRPr="007C3CD6">
        <w:rPr>
          <w:sz w:val="22"/>
          <w:szCs w:val="22"/>
          <w:lang w:val="sk-SK"/>
        </w:rPr>
        <w:t>%)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čistená voda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2"/>
        </w:numPr>
        <w:spacing w:before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Inkompatibility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S aniónovými povrchovými prípravkami, napr. saponátmi a čistiacimi prípravkami, môže katión oktenidínu tvoriť nerozpustné zlúčeniny, čo môže znížiť alebo anulovať jeho účinok.</w:t>
      </w:r>
    </w:p>
    <w:p w:rsidR="0086227B" w:rsidRPr="007C3CD6" w:rsidRDefault="0086227B" w:rsidP="00AE50B8">
      <w:pPr>
        <w:spacing w:before="120"/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2"/>
        </w:numPr>
        <w:spacing w:before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lastRenderedPageBreak/>
        <w:t>Čas použiteľnosti</w:t>
      </w:r>
    </w:p>
    <w:p w:rsidR="009D7662" w:rsidRPr="007C3CD6" w:rsidRDefault="00AD7E48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250 </w:t>
      </w:r>
      <w:r w:rsidR="009D7662" w:rsidRPr="007C3CD6">
        <w:rPr>
          <w:sz w:val="22"/>
          <w:szCs w:val="22"/>
          <w:lang w:val="sk-SK"/>
        </w:rPr>
        <w:t>ml:</w:t>
      </w:r>
      <w:r w:rsidR="009D7662" w:rsidRPr="007C3CD6">
        <w:rPr>
          <w:sz w:val="22"/>
          <w:szCs w:val="22"/>
          <w:lang w:val="sk-SK"/>
        </w:rPr>
        <w:tab/>
        <w:t> 5 rokov</w:t>
      </w:r>
    </w:p>
    <w:p w:rsidR="009D7662" w:rsidRPr="007C3CD6" w:rsidRDefault="00AD7E48" w:rsidP="00AE50B8">
      <w:pPr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50 </w:t>
      </w:r>
      <w:r w:rsidR="009D7662" w:rsidRPr="007C3CD6">
        <w:rPr>
          <w:sz w:val="22"/>
          <w:szCs w:val="22"/>
          <w:lang w:val="sk-SK"/>
        </w:rPr>
        <w:t>ml:</w:t>
      </w:r>
      <w:r w:rsidR="009D7662" w:rsidRPr="007C3CD6">
        <w:rPr>
          <w:sz w:val="22"/>
          <w:szCs w:val="22"/>
          <w:lang w:val="sk-SK"/>
        </w:rPr>
        <w:tab/>
      </w:r>
      <w:r w:rsidR="00445B30" w:rsidRPr="007C3CD6">
        <w:rPr>
          <w:sz w:val="22"/>
          <w:szCs w:val="22"/>
          <w:lang w:val="sk-SK"/>
        </w:rPr>
        <w:t> </w:t>
      </w:r>
      <w:r w:rsidR="009D7662" w:rsidRPr="007C3CD6">
        <w:rPr>
          <w:sz w:val="22"/>
          <w:szCs w:val="22"/>
          <w:lang w:val="sk-SK"/>
        </w:rPr>
        <w:t>3 roky</w:t>
      </w:r>
    </w:p>
    <w:p w:rsidR="009D7662" w:rsidRPr="007C3CD6" w:rsidRDefault="00AD1244" w:rsidP="00AE50B8">
      <w:pPr>
        <w:spacing w:before="120"/>
        <w:ind w:firstLine="11"/>
        <w:jc w:val="left"/>
        <w:rPr>
          <w:sz w:val="22"/>
          <w:szCs w:val="22"/>
          <w:lang w:val="sk-SK"/>
        </w:rPr>
      </w:pPr>
      <w:r w:rsidRPr="007C3CD6">
        <w:rPr>
          <w:bCs/>
          <w:sz w:val="22"/>
          <w:szCs w:val="22"/>
          <w:lang w:val="sk-SK"/>
        </w:rPr>
        <w:t>Použite do 1 roka po prvom otvorení.</w:t>
      </w:r>
    </w:p>
    <w:p w:rsidR="009D7662" w:rsidRPr="007C3CD6" w:rsidRDefault="009D7662" w:rsidP="00AE50B8">
      <w:pPr>
        <w:spacing w:before="120"/>
        <w:ind w:firstLine="11"/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2"/>
        </w:numPr>
        <w:spacing w:before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>Špeciálne upozornenia na uchovávanie</w:t>
      </w:r>
    </w:p>
    <w:p w:rsidR="009D7662" w:rsidRPr="007C3CD6" w:rsidRDefault="009D7662" w:rsidP="00AE50B8">
      <w:pPr>
        <w:spacing w:before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Tento liek nevyžaduje žiadne zvláštne podmienky na uchovávanie.</w:t>
      </w:r>
    </w:p>
    <w:p w:rsidR="00D523B8" w:rsidRPr="007C3CD6" w:rsidRDefault="00D523B8" w:rsidP="00AE50B8">
      <w:pPr>
        <w:spacing w:before="120"/>
        <w:jc w:val="left"/>
        <w:rPr>
          <w:sz w:val="22"/>
          <w:szCs w:val="22"/>
          <w:lang w:val="sk-SK"/>
        </w:rPr>
      </w:pPr>
    </w:p>
    <w:p w:rsidR="009D7662" w:rsidRPr="007C3CD6" w:rsidRDefault="009D7662" w:rsidP="00AE50B8">
      <w:pPr>
        <w:numPr>
          <w:ilvl w:val="1"/>
          <w:numId w:val="2"/>
        </w:numPr>
        <w:spacing w:before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 xml:space="preserve">Druh obalu a obsah balenia </w:t>
      </w:r>
    </w:p>
    <w:p w:rsidR="002F2D88" w:rsidRPr="007C3CD6" w:rsidRDefault="002F2D88" w:rsidP="00AE50B8">
      <w:pPr>
        <w:spacing w:before="120" w:after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u w:val="single"/>
          <w:lang w:val="sk-SK"/>
        </w:rPr>
        <w:t>50</w:t>
      </w:r>
      <w:r w:rsidR="00AD7E48" w:rsidRPr="007C3CD6">
        <w:rPr>
          <w:sz w:val="22"/>
          <w:szCs w:val="22"/>
          <w:u w:val="single"/>
          <w:lang w:val="sk-SK"/>
        </w:rPr>
        <w:t> </w:t>
      </w:r>
      <w:r w:rsidRPr="007C3CD6">
        <w:rPr>
          <w:sz w:val="22"/>
          <w:szCs w:val="22"/>
          <w:u w:val="single"/>
          <w:lang w:val="sk-SK"/>
        </w:rPr>
        <w:t>ml:</w:t>
      </w:r>
      <w:r w:rsidRPr="007C3CD6">
        <w:rPr>
          <w:sz w:val="22"/>
          <w:szCs w:val="22"/>
          <w:lang w:val="sk-SK"/>
        </w:rPr>
        <w:t xml:space="preserve"> biela tvarovaná polyetylénová (vysokej hustoty) fľaša obsahujúca 50 ml lieku sa dodáva s bielou manuálnou sprejovou pumpou z polyetylénu (nízkej hustoty) a polypropylénu, zabezpečenou proti poškodeniu a je balená v kartónovej </w:t>
      </w:r>
      <w:r w:rsidR="00E83F85" w:rsidRPr="007C3CD6">
        <w:rPr>
          <w:sz w:val="22"/>
          <w:szCs w:val="22"/>
          <w:lang w:val="sk-SK"/>
        </w:rPr>
        <w:t>škatuli</w:t>
      </w:r>
      <w:r w:rsidRPr="007C3CD6">
        <w:rPr>
          <w:sz w:val="22"/>
          <w:szCs w:val="22"/>
          <w:lang w:val="sk-SK"/>
        </w:rPr>
        <w:t>.</w:t>
      </w:r>
    </w:p>
    <w:p w:rsidR="002F2D88" w:rsidRPr="007C3CD6" w:rsidRDefault="002F2D88" w:rsidP="00AE50B8">
      <w:pPr>
        <w:spacing w:before="120" w:after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u w:val="single"/>
          <w:lang w:val="sk-SK"/>
        </w:rPr>
        <w:t>250</w:t>
      </w:r>
      <w:r w:rsidR="00AD7E48" w:rsidRPr="007C3CD6">
        <w:rPr>
          <w:sz w:val="22"/>
          <w:szCs w:val="22"/>
          <w:u w:val="single"/>
          <w:lang w:val="sk-SK"/>
        </w:rPr>
        <w:t> </w:t>
      </w:r>
      <w:r w:rsidRPr="007C3CD6">
        <w:rPr>
          <w:sz w:val="22"/>
          <w:szCs w:val="22"/>
          <w:u w:val="single"/>
          <w:lang w:val="sk-SK"/>
        </w:rPr>
        <w:t>ml:</w:t>
      </w:r>
      <w:r w:rsidRPr="007C3CD6">
        <w:rPr>
          <w:sz w:val="22"/>
          <w:szCs w:val="22"/>
          <w:lang w:val="sk-SK"/>
        </w:rPr>
        <w:t xml:space="preserve"> biela okrúhla polyetylénová (vysokej hustoty) fľaša obsahujúca 250 ml lieku sa dodáva s bielou manuálnou sprejovou pumpou z polyetylénu (nízkej hustoty) a polypropylénu, zabezpečenou proti poškodeniu.</w:t>
      </w:r>
    </w:p>
    <w:p w:rsidR="009D7662" w:rsidRPr="007C3CD6" w:rsidRDefault="009D7662" w:rsidP="00AE50B8">
      <w:pPr>
        <w:spacing w:before="120" w:after="120"/>
        <w:jc w:val="left"/>
        <w:rPr>
          <w:sz w:val="22"/>
          <w:szCs w:val="22"/>
          <w:lang w:val="sk-SK"/>
        </w:rPr>
      </w:pPr>
      <w:r w:rsidRPr="007C3CD6">
        <w:rPr>
          <w:sz w:val="22"/>
          <w:szCs w:val="22"/>
          <w:lang w:val="sk-SK"/>
        </w:rPr>
        <w:t>Na trh nemusia byť uvedené všetky veľkosti balenia.</w:t>
      </w:r>
    </w:p>
    <w:p w:rsidR="009D7662" w:rsidRPr="007C3CD6" w:rsidRDefault="009D7662" w:rsidP="00AE50B8">
      <w:pPr>
        <w:spacing w:before="120"/>
        <w:ind w:firstLine="11"/>
        <w:jc w:val="left"/>
        <w:rPr>
          <w:sz w:val="22"/>
          <w:szCs w:val="22"/>
          <w:lang w:val="sk-SK"/>
        </w:rPr>
      </w:pPr>
    </w:p>
    <w:p w:rsidR="00E3788F" w:rsidRPr="00E3788F" w:rsidRDefault="00721D79" w:rsidP="00AE50B8">
      <w:pPr>
        <w:numPr>
          <w:ilvl w:val="1"/>
          <w:numId w:val="2"/>
        </w:numPr>
        <w:spacing w:before="120"/>
        <w:jc w:val="left"/>
        <w:rPr>
          <w:sz w:val="22"/>
          <w:szCs w:val="22"/>
          <w:lang w:val="sk-SK"/>
        </w:rPr>
      </w:pPr>
      <w:r w:rsidRPr="007C3CD6">
        <w:rPr>
          <w:b/>
          <w:bCs/>
          <w:sz w:val="22"/>
          <w:szCs w:val="22"/>
          <w:lang w:val="sk-SK"/>
        </w:rPr>
        <w:t xml:space="preserve">Špeciálne opatrenia na likvidáciu </w:t>
      </w:r>
    </w:p>
    <w:p w:rsidR="00445B30" w:rsidRPr="007C3CD6" w:rsidRDefault="00E3788F" w:rsidP="00AE50B8">
      <w:pPr>
        <w:spacing w:before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br/>
      </w:r>
      <w:r w:rsidR="009273C8" w:rsidRPr="007C3CD6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  <w:r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br/>
      </w:r>
    </w:p>
    <w:p w:rsidR="009D7662" w:rsidRPr="008A7F98" w:rsidRDefault="009D7662" w:rsidP="008A7F98">
      <w:pPr>
        <w:pStyle w:val="Odsekzoznamu"/>
        <w:numPr>
          <w:ilvl w:val="0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8A7F98">
        <w:rPr>
          <w:b/>
          <w:bCs/>
          <w:sz w:val="22"/>
          <w:szCs w:val="22"/>
          <w:lang w:val="sk-SK"/>
        </w:rPr>
        <w:t>DRŽITEĽ ROZHODNUTIA O REGISTRÁCII</w:t>
      </w:r>
    </w:p>
    <w:p w:rsidR="009D7662" w:rsidRPr="007C3CD6" w:rsidRDefault="009D7662" w:rsidP="00AE50B8">
      <w:pPr>
        <w:ind w:left="709"/>
        <w:jc w:val="left"/>
        <w:rPr>
          <w:sz w:val="22"/>
          <w:szCs w:val="22"/>
          <w:lang w:val="sk-SK"/>
        </w:rPr>
      </w:pPr>
    </w:p>
    <w:p w:rsidR="00340A76" w:rsidRDefault="00340A76" w:rsidP="00AE50B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Schülke &amp; Mayr GmbH</w:t>
      </w:r>
    </w:p>
    <w:p w:rsidR="00340A76" w:rsidRDefault="00340A76" w:rsidP="00AE50B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Robert-Koch-Str. 2</w:t>
      </w:r>
    </w:p>
    <w:p w:rsidR="0094027E" w:rsidRPr="0094027E" w:rsidRDefault="00340A76" w:rsidP="0094027E">
      <w:pPr>
        <w:jc w:val="left"/>
        <w:rPr>
          <w:sz w:val="22"/>
          <w:szCs w:val="22"/>
          <w:lang w:val="sk-SK"/>
        </w:rPr>
      </w:pPr>
      <w:r w:rsidRPr="00340A76">
        <w:rPr>
          <w:sz w:val="22"/>
          <w:szCs w:val="22"/>
          <w:lang w:val="sk-SK"/>
        </w:rPr>
        <w:t>D 22851 Norderstedt</w:t>
      </w:r>
    </w:p>
    <w:p w:rsidR="00C4692D" w:rsidRPr="007C3CD6" w:rsidRDefault="0094027E" w:rsidP="00AE50B8">
      <w:pPr>
        <w:jc w:val="left"/>
        <w:rPr>
          <w:sz w:val="22"/>
          <w:szCs w:val="22"/>
          <w:lang w:val="sk-SK"/>
        </w:rPr>
      </w:pPr>
      <w:r w:rsidRPr="0094027E">
        <w:rPr>
          <w:sz w:val="22"/>
          <w:szCs w:val="22"/>
          <w:lang w:val="sk-SK"/>
        </w:rPr>
        <w:t>Nemecko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445B30" w:rsidRPr="007C3CD6" w:rsidRDefault="00445B30" w:rsidP="00AE50B8">
      <w:pPr>
        <w:jc w:val="left"/>
        <w:rPr>
          <w:sz w:val="22"/>
          <w:szCs w:val="22"/>
          <w:lang w:val="sk-SK"/>
        </w:rPr>
      </w:pPr>
    </w:p>
    <w:p w:rsidR="009D7662" w:rsidRPr="008A7F98" w:rsidRDefault="009D7662" w:rsidP="008A7F98">
      <w:pPr>
        <w:pStyle w:val="Odsekzoznamu"/>
        <w:numPr>
          <w:ilvl w:val="0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8A7F98">
        <w:rPr>
          <w:b/>
          <w:bCs/>
          <w:sz w:val="22"/>
          <w:szCs w:val="22"/>
          <w:lang w:val="sk-SK"/>
        </w:rPr>
        <w:t>REGISTRAČNÉ ČÍSLO(ČÍSLA)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A821A5" w:rsidRPr="007C3CD6" w:rsidRDefault="004F6FB0" w:rsidP="00AE50B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Reg. č.:</w:t>
      </w:r>
      <w:r w:rsidR="004E5FCF" w:rsidRPr="00A023DA">
        <w:rPr>
          <w:sz w:val="22"/>
          <w:szCs w:val="22"/>
          <w:lang w:val="sk-SK"/>
        </w:rPr>
        <w:t>32/0049/16-S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445B30" w:rsidRPr="007C3CD6" w:rsidRDefault="00445B30" w:rsidP="00AE50B8">
      <w:pPr>
        <w:jc w:val="left"/>
        <w:rPr>
          <w:sz w:val="22"/>
          <w:szCs w:val="22"/>
          <w:lang w:val="sk-SK"/>
        </w:rPr>
      </w:pPr>
    </w:p>
    <w:p w:rsidR="009D7662" w:rsidRPr="008A7F98" w:rsidRDefault="009D7662" w:rsidP="008A7F98">
      <w:pPr>
        <w:pStyle w:val="Odsekzoznamu"/>
        <w:numPr>
          <w:ilvl w:val="0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8A7F98">
        <w:rPr>
          <w:b/>
          <w:bCs/>
          <w:sz w:val="22"/>
          <w:szCs w:val="22"/>
          <w:lang w:val="sk-SK"/>
        </w:rPr>
        <w:t>DÁTUM PRVEJ REGISTRÁCIE/PREDĹŽENIA REGISTRÁCIE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4E5FCF" w:rsidRPr="007C3CD6" w:rsidRDefault="004E5FCF" w:rsidP="004E5FCF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21. Apríla 2016</w:t>
      </w:r>
    </w:p>
    <w:p w:rsidR="00000000" w:rsidRDefault="00EF0EA4">
      <w:pPr>
        <w:ind w:left="709"/>
        <w:jc w:val="left"/>
        <w:rPr>
          <w:sz w:val="22"/>
          <w:szCs w:val="22"/>
          <w:lang w:val="sk-SK"/>
        </w:rPr>
      </w:pPr>
    </w:p>
    <w:p w:rsidR="009D7662" w:rsidRPr="008A7F98" w:rsidRDefault="009D7662" w:rsidP="008A7F98">
      <w:pPr>
        <w:pStyle w:val="Odsekzoznamu"/>
        <w:numPr>
          <w:ilvl w:val="0"/>
          <w:numId w:val="1"/>
        </w:numPr>
        <w:jc w:val="left"/>
        <w:rPr>
          <w:b/>
          <w:bCs/>
          <w:sz w:val="22"/>
          <w:szCs w:val="22"/>
          <w:lang w:val="sk-SK"/>
        </w:rPr>
      </w:pPr>
      <w:r w:rsidRPr="008A7F98">
        <w:rPr>
          <w:b/>
          <w:bCs/>
          <w:sz w:val="22"/>
          <w:szCs w:val="22"/>
          <w:lang w:val="sk-SK"/>
        </w:rPr>
        <w:t>DÁTUM REVÍZIE TEXTU</w:t>
      </w:r>
    </w:p>
    <w:p w:rsidR="009D7662" w:rsidRPr="007C3CD6" w:rsidRDefault="009D7662" w:rsidP="00AE50B8">
      <w:pPr>
        <w:jc w:val="left"/>
        <w:rPr>
          <w:sz w:val="22"/>
          <w:szCs w:val="22"/>
          <w:lang w:val="sk-SK"/>
        </w:rPr>
      </w:pPr>
    </w:p>
    <w:p w:rsidR="00C52F51" w:rsidRPr="007C3CD6" w:rsidRDefault="004E5FCF" w:rsidP="00AE50B8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Február 2017</w:t>
      </w:r>
    </w:p>
    <w:sectPr w:rsidR="00C52F51" w:rsidRPr="007C3CD6" w:rsidSect="00AE50B8"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EA4" w:rsidRDefault="00EF0EA4">
      <w:r>
        <w:separator/>
      </w:r>
    </w:p>
  </w:endnote>
  <w:endnote w:type="continuationSeparator" w:id="0">
    <w:p w:rsidR="00EF0EA4" w:rsidRDefault="00EF0EA4">
      <w:r>
        <w:continuationSeparator/>
      </w:r>
    </w:p>
  </w:endnote>
  <w:endnote w:type="continuationNotice" w:id="1">
    <w:p w:rsidR="00EF0EA4" w:rsidRDefault="00EF0EA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54" w:rsidRPr="00E27E60" w:rsidRDefault="00A4741F" w:rsidP="00E27E60">
    <w:pPr>
      <w:pStyle w:val="Pta"/>
      <w:jc w:val="center"/>
      <w:rPr>
        <w:rFonts w:ascii="Arial" w:hAnsi="Arial" w:cs="Arial"/>
        <w:sz w:val="18"/>
        <w:szCs w:val="18"/>
      </w:rPr>
    </w:pPr>
    <w:r w:rsidRPr="00A4741F">
      <w:fldChar w:fldCharType="begin"/>
    </w:r>
    <w:r w:rsidR="00E27E60" w:rsidRPr="00E27E60">
      <w:rPr>
        <w:rFonts w:ascii="Arial" w:hAnsi="Arial" w:cs="Arial"/>
        <w:sz w:val="18"/>
        <w:szCs w:val="18"/>
      </w:rPr>
      <w:instrText>PAGE   \* MERGEFORMAT</w:instrText>
    </w:r>
    <w:r w:rsidRPr="00E27E60">
      <w:rPr>
        <w:rFonts w:ascii="Arial" w:hAnsi="Arial" w:cs="Arial"/>
        <w:sz w:val="18"/>
        <w:szCs w:val="18"/>
      </w:rPr>
      <w:fldChar w:fldCharType="separate"/>
    </w:r>
    <w:r w:rsidR="00FE2479" w:rsidRPr="00FE2479">
      <w:rPr>
        <w:rFonts w:ascii="Arial" w:hAnsi="Arial" w:cs="Arial"/>
        <w:noProof/>
        <w:sz w:val="18"/>
        <w:szCs w:val="18"/>
        <w:lang w:val="de-DE"/>
      </w:rPr>
      <w:t>6</w:t>
    </w:r>
    <w:r w:rsidRPr="00E27E6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EA4" w:rsidRDefault="00EF0EA4">
      <w:r>
        <w:separator/>
      </w:r>
    </w:p>
  </w:footnote>
  <w:footnote w:type="continuationSeparator" w:id="0">
    <w:p w:rsidR="00EF0EA4" w:rsidRDefault="00EF0EA4">
      <w:r>
        <w:continuationSeparator/>
      </w:r>
    </w:p>
  </w:footnote>
  <w:footnote w:type="continuationNotice" w:id="1">
    <w:p w:rsidR="00EF0EA4" w:rsidRDefault="00EF0E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716" w:rsidRPr="006F0716" w:rsidRDefault="004E5FCF" w:rsidP="00AE50B8">
    <w:pPr>
      <w:pStyle w:val="Hlavika"/>
      <w:jc w:val="left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2016/05888-Z1B</w:t>
    </w:r>
  </w:p>
  <w:p w:rsidR="006F0716" w:rsidRPr="00AE50B8" w:rsidRDefault="006F0716" w:rsidP="00AE50B8">
    <w:pPr>
      <w:pStyle w:val="Hlavika"/>
      <w:jc w:val="lef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18A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970B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CCB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083E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345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A0B00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705CE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6B47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70C2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8C3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1E0132D2"/>
    <w:multiLevelType w:val="multilevel"/>
    <w:tmpl w:val="D104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1F5A7FC2"/>
    <w:multiLevelType w:val="hybridMultilevel"/>
    <w:tmpl w:val="34FC39FC"/>
    <w:lvl w:ilvl="0" w:tplc="040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82799"/>
    <w:multiLevelType w:val="hybridMultilevel"/>
    <w:tmpl w:val="8D8A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4228A"/>
    <w:multiLevelType w:val="multilevel"/>
    <w:tmpl w:val="8452E80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single"/>
      </w:rPr>
    </w:lvl>
  </w:abstractNum>
  <w:abstractNum w:abstractNumId="14">
    <w:nsid w:val="3E1B4CD8"/>
    <w:multiLevelType w:val="hybridMultilevel"/>
    <w:tmpl w:val="865E2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355FAF"/>
    <w:multiLevelType w:val="singleLevel"/>
    <w:tmpl w:val="F2D8D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6">
    <w:nsid w:val="555C750B"/>
    <w:multiLevelType w:val="hybridMultilevel"/>
    <w:tmpl w:val="E4AADBA6"/>
    <w:lvl w:ilvl="0" w:tplc="BC188124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C94705"/>
    <w:multiLevelType w:val="multilevel"/>
    <w:tmpl w:val="BCDE1E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6CC0A64"/>
    <w:multiLevelType w:val="multilevel"/>
    <w:tmpl w:val="838C03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609638D3"/>
    <w:multiLevelType w:val="multilevel"/>
    <w:tmpl w:val="0DA0017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672C5E7D"/>
    <w:multiLevelType w:val="hybridMultilevel"/>
    <w:tmpl w:val="5F000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43587"/>
    <w:multiLevelType w:val="multilevel"/>
    <w:tmpl w:val="589CEB9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6FE577D4"/>
    <w:multiLevelType w:val="hybridMultilevel"/>
    <w:tmpl w:val="60AE4B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512D5"/>
    <w:multiLevelType w:val="hybridMultilevel"/>
    <w:tmpl w:val="36EA1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19"/>
  </w:num>
  <w:num w:numId="17">
    <w:abstractNumId w:val="17"/>
  </w:num>
  <w:num w:numId="18">
    <w:abstractNumId w:val="16"/>
  </w:num>
  <w:num w:numId="19">
    <w:abstractNumId w:val="23"/>
  </w:num>
  <w:num w:numId="20">
    <w:abstractNumId w:val="11"/>
  </w:num>
  <w:num w:numId="21">
    <w:abstractNumId w:val="20"/>
  </w:num>
  <w:num w:numId="22">
    <w:abstractNumId w:val="14"/>
  </w:num>
  <w:num w:numId="23">
    <w:abstractNumId w:val="22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73C8"/>
    <w:rsid w:val="00004E03"/>
    <w:rsid w:val="0001029C"/>
    <w:rsid w:val="000266C8"/>
    <w:rsid w:val="0003368A"/>
    <w:rsid w:val="00035286"/>
    <w:rsid w:val="00042117"/>
    <w:rsid w:val="000474E6"/>
    <w:rsid w:val="00055112"/>
    <w:rsid w:val="00084FC8"/>
    <w:rsid w:val="00094C03"/>
    <w:rsid w:val="000A26FC"/>
    <w:rsid w:val="000B6C79"/>
    <w:rsid w:val="000D7B4E"/>
    <w:rsid w:val="000F0562"/>
    <w:rsid w:val="000F3FC3"/>
    <w:rsid w:val="00101FEA"/>
    <w:rsid w:val="0011016A"/>
    <w:rsid w:val="00113FB1"/>
    <w:rsid w:val="00125240"/>
    <w:rsid w:val="0016712C"/>
    <w:rsid w:val="001728B0"/>
    <w:rsid w:val="00174A46"/>
    <w:rsid w:val="00192F66"/>
    <w:rsid w:val="00195064"/>
    <w:rsid w:val="001975D4"/>
    <w:rsid w:val="001A41F9"/>
    <w:rsid w:val="001B34D2"/>
    <w:rsid w:val="001C7134"/>
    <w:rsid w:val="001D196C"/>
    <w:rsid w:val="001F763D"/>
    <w:rsid w:val="00204911"/>
    <w:rsid w:val="002073D6"/>
    <w:rsid w:val="00212F23"/>
    <w:rsid w:val="002143CB"/>
    <w:rsid w:val="00215D8E"/>
    <w:rsid w:val="00244934"/>
    <w:rsid w:val="00246098"/>
    <w:rsid w:val="00260D5B"/>
    <w:rsid w:val="00260E52"/>
    <w:rsid w:val="002623CD"/>
    <w:rsid w:val="00276E63"/>
    <w:rsid w:val="002A3915"/>
    <w:rsid w:val="002A60B1"/>
    <w:rsid w:val="002B156A"/>
    <w:rsid w:val="002C553E"/>
    <w:rsid w:val="002E0EAF"/>
    <w:rsid w:val="002E1D0C"/>
    <w:rsid w:val="002E2275"/>
    <w:rsid w:val="002F2D88"/>
    <w:rsid w:val="00303151"/>
    <w:rsid w:val="00303777"/>
    <w:rsid w:val="003345FC"/>
    <w:rsid w:val="003368B7"/>
    <w:rsid w:val="00336B08"/>
    <w:rsid w:val="00340A76"/>
    <w:rsid w:val="00340B42"/>
    <w:rsid w:val="00357B77"/>
    <w:rsid w:val="00362FD4"/>
    <w:rsid w:val="003861F4"/>
    <w:rsid w:val="003A3B32"/>
    <w:rsid w:val="003A6BBB"/>
    <w:rsid w:val="003B290B"/>
    <w:rsid w:val="003B7F87"/>
    <w:rsid w:val="003C6088"/>
    <w:rsid w:val="003D1DEC"/>
    <w:rsid w:val="003F2E7B"/>
    <w:rsid w:val="003F4BDE"/>
    <w:rsid w:val="003F764D"/>
    <w:rsid w:val="00401D9D"/>
    <w:rsid w:val="00403556"/>
    <w:rsid w:val="004152C9"/>
    <w:rsid w:val="00426D77"/>
    <w:rsid w:val="00433BBA"/>
    <w:rsid w:val="00436A5E"/>
    <w:rsid w:val="00445B30"/>
    <w:rsid w:val="00446D56"/>
    <w:rsid w:val="00473036"/>
    <w:rsid w:val="00474AB9"/>
    <w:rsid w:val="00497395"/>
    <w:rsid w:val="004A3B39"/>
    <w:rsid w:val="004B1D81"/>
    <w:rsid w:val="004B2232"/>
    <w:rsid w:val="004B2E48"/>
    <w:rsid w:val="004B4BA4"/>
    <w:rsid w:val="004D3381"/>
    <w:rsid w:val="004E5FCF"/>
    <w:rsid w:val="004F4771"/>
    <w:rsid w:val="004F6FB0"/>
    <w:rsid w:val="0050197C"/>
    <w:rsid w:val="005043ED"/>
    <w:rsid w:val="00514E95"/>
    <w:rsid w:val="00516EB5"/>
    <w:rsid w:val="00523369"/>
    <w:rsid w:val="00524A8B"/>
    <w:rsid w:val="0052709E"/>
    <w:rsid w:val="0054352F"/>
    <w:rsid w:val="00553A9E"/>
    <w:rsid w:val="0056593A"/>
    <w:rsid w:val="00577774"/>
    <w:rsid w:val="005A12A4"/>
    <w:rsid w:val="005A5CC3"/>
    <w:rsid w:val="005C0EE7"/>
    <w:rsid w:val="005C2951"/>
    <w:rsid w:val="005C671C"/>
    <w:rsid w:val="005D33AA"/>
    <w:rsid w:val="005E6138"/>
    <w:rsid w:val="005F1460"/>
    <w:rsid w:val="006050DA"/>
    <w:rsid w:val="006067E1"/>
    <w:rsid w:val="00617EEF"/>
    <w:rsid w:val="00620D55"/>
    <w:rsid w:val="00627F11"/>
    <w:rsid w:val="0063473A"/>
    <w:rsid w:val="00636B4D"/>
    <w:rsid w:val="00641A53"/>
    <w:rsid w:val="006552C8"/>
    <w:rsid w:val="00660A64"/>
    <w:rsid w:val="00660C15"/>
    <w:rsid w:val="006641FA"/>
    <w:rsid w:val="00665B11"/>
    <w:rsid w:val="006724DD"/>
    <w:rsid w:val="00673FDA"/>
    <w:rsid w:val="00680299"/>
    <w:rsid w:val="006873C7"/>
    <w:rsid w:val="00693914"/>
    <w:rsid w:val="00697812"/>
    <w:rsid w:val="006D6167"/>
    <w:rsid w:val="006D7A2D"/>
    <w:rsid w:val="006E15B0"/>
    <w:rsid w:val="006E31DF"/>
    <w:rsid w:val="006F0716"/>
    <w:rsid w:val="006F2C9A"/>
    <w:rsid w:val="006F3772"/>
    <w:rsid w:val="00713389"/>
    <w:rsid w:val="00717043"/>
    <w:rsid w:val="00721D79"/>
    <w:rsid w:val="007248D5"/>
    <w:rsid w:val="00731A14"/>
    <w:rsid w:val="007614D7"/>
    <w:rsid w:val="00761700"/>
    <w:rsid w:val="00783699"/>
    <w:rsid w:val="007900FF"/>
    <w:rsid w:val="00792FE4"/>
    <w:rsid w:val="0079664F"/>
    <w:rsid w:val="007B6412"/>
    <w:rsid w:val="007C3CD6"/>
    <w:rsid w:val="008047F8"/>
    <w:rsid w:val="00804F75"/>
    <w:rsid w:val="008264F7"/>
    <w:rsid w:val="00827990"/>
    <w:rsid w:val="008324F1"/>
    <w:rsid w:val="008411BA"/>
    <w:rsid w:val="0084321C"/>
    <w:rsid w:val="008449E2"/>
    <w:rsid w:val="00851674"/>
    <w:rsid w:val="0086227B"/>
    <w:rsid w:val="008724B7"/>
    <w:rsid w:val="00876862"/>
    <w:rsid w:val="00881690"/>
    <w:rsid w:val="008A1759"/>
    <w:rsid w:val="008A7F98"/>
    <w:rsid w:val="008C70F2"/>
    <w:rsid w:val="008E244B"/>
    <w:rsid w:val="008E365D"/>
    <w:rsid w:val="008E51EB"/>
    <w:rsid w:val="008E5D23"/>
    <w:rsid w:val="00906226"/>
    <w:rsid w:val="009163F5"/>
    <w:rsid w:val="009273C8"/>
    <w:rsid w:val="009337A6"/>
    <w:rsid w:val="00933B0A"/>
    <w:rsid w:val="0094027E"/>
    <w:rsid w:val="00960097"/>
    <w:rsid w:val="00960A36"/>
    <w:rsid w:val="0096710B"/>
    <w:rsid w:val="00970E54"/>
    <w:rsid w:val="00973E79"/>
    <w:rsid w:val="00985369"/>
    <w:rsid w:val="00987B64"/>
    <w:rsid w:val="009A17AE"/>
    <w:rsid w:val="009A49C9"/>
    <w:rsid w:val="009B665B"/>
    <w:rsid w:val="009B71CB"/>
    <w:rsid w:val="009C1929"/>
    <w:rsid w:val="009C30E0"/>
    <w:rsid w:val="009C348F"/>
    <w:rsid w:val="009C5050"/>
    <w:rsid w:val="009D373E"/>
    <w:rsid w:val="009D4097"/>
    <w:rsid w:val="009D7662"/>
    <w:rsid w:val="00A065B1"/>
    <w:rsid w:val="00A15D54"/>
    <w:rsid w:val="00A34913"/>
    <w:rsid w:val="00A373B4"/>
    <w:rsid w:val="00A41B1E"/>
    <w:rsid w:val="00A42751"/>
    <w:rsid w:val="00A4741F"/>
    <w:rsid w:val="00A54811"/>
    <w:rsid w:val="00A74467"/>
    <w:rsid w:val="00A777A3"/>
    <w:rsid w:val="00A821A5"/>
    <w:rsid w:val="00A84FD3"/>
    <w:rsid w:val="00A87A38"/>
    <w:rsid w:val="00A93992"/>
    <w:rsid w:val="00A9623E"/>
    <w:rsid w:val="00AC50EC"/>
    <w:rsid w:val="00AD1244"/>
    <w:rsid w:val="00AD2569"/>
    <w:rsid w:val="00AD4341"/>
    <w:rsid w:val="00AD7E48"/>
    <w:rsid w:val="00AE1404"/>
    <w:rsid w:val="00AE50B8"/>
    <w:rsid w:val="00B0204D"/>
    <w:rsid w:val="00B21204"/>
    <w:rsid w:val="00B22932"/>
    <w:rsid w:val="00B357F9"/>
    <w:rsid w:val="00B41025"/>
    <w:rsid w:val="00B66534"/>
    <w:rsid w:val="00B66D6F"/>
    <w:rsid w:val="00B8229F"/>
    <w:rsid w:val="00B8687A"/>
    <w:rsid w:val="00BB3802"/>
    <w:rsid w:val="00BC102D"/>
    <w:rsid w:val="00BD0286"/>
    <w:rsid w:val="00BD4794"/>
    <w:rsid w:val="00BD71BD"/>
    <w:rsid w:val="00BE7BCD"/>
    <w:rsid w:val="00BF7127"/>
    <w:rsid w:val="00C05A91"/>
    <w:rsid w:val="00C20583"/>
    <w:rsid w:val="00C21EC2"/>
    <w:rsid w:val="00C224D3"/>
    <w:rsid w:val="00C2484B"/>
    <w:rsid w:val="00C31ABA"/>
    <w:rsid w:val="00C34810"/>
    <w:rsid w:val="00C35C69"/>
    <w:rsid w:val="00C4069D"/>
    <w:rsid w:val="00C4692D"/>
    <w:rsid w:val="00C471D2"/>
    <w:rsid w:val="00C47A03"/>
    <w:rsid w:val="00C50E0A"/>
    <w:rsid w:val="00C52F51"/>
    <w:rsid w:val="00C72C70"/>
    <w:rsid w:val="00C7755A"/>
    <w:rsid w:val="00C83E0A"/>
    <w:rsid w:val="00C93905"/>
    <w:rsid w:val="00C9788E"/>
    <w:rsid w:val="00CB3953"/>
    <w:rsid w:val="00CB6099"/>
    <w:rsid w:val="00CB77F1"/>
    <w:rsid w:val="00CD5708"/>
    <w:rsid w:val="00CD6583"/>
    <w:rsid w:val="00CD7ACD"/>
    <w:rsid w:val="00CE1D17"/>
    <w:rsid w:val="00CE2ECF"/>
    <w:rsid w:val="00CE3A16"/>
    <w:rsid w:val="00CE48FC"/>
    <w:rsid w:val="00D05E3B"/>
    <w:rsid w:val="00D10604"/>
    <w:rsid w:val="00D11BA7"/>
    <w:rsid w:val="00D228B4"/>
    <w:rsid w:val="00D229A6"/>
    <w:rsid w:val="00D35174"/>
    <w:rsid w:val="00D523B8"/>
    <w:rsid w:val="00D54A73"/>
    <w:rsid w:val="00D62EAF"/>
    <w:rsid w:val="00D73934"/>
    <w:rsid w:val="00D81CF8"/>
    <w:rsid w:val="00D87375"/>
    <w:rsid w:val="00D92803"/>
    <w:rsid w:val="00D92A6F"/>
    <w:rsid w:val="00D93FA8"/>
    <w:rsid w:val="00DA780F"/>
    <w:rsid w:val="00DB6848"/>
    <w:rsid w:val="00DD3CB6"/>
    <w:rsid w:val="00DE0D01"/>
    <w:rsid w:val="00E13DAF"/>
    <w:rsid w:val="00E27E60"/>
    <w:rsid w:val="00E3311D"/>
    <w:rsid w:val="00E3788F"/>
    <w:rsid w:val="00E42DA6"/>
    <w:rsid w:val="00E4534C"/>
    <w:rsid w:val="00E46726"/>
    <w:rsid w:val="00E475D7"/>
    <w:rsid w:val="00E50769"/>
    <w:rsid w:val="00E52B6A"/>
    <w:rsid w:val="00E568E0"/>
    <w:rsid w:val="00E701B9"/>
    <w:rsid w:val="00E715D2"/>
    <w:rsid w:val="00E83F85"/>
    <w:rsid w:val="00E84BE4"/>
    <w:rsid w:val="00E9094E"/>
    <w:rsid w:val="00E90C7B"/>
    <w:rsid w:val="00E968D9"/>
    <w:rsid w:val="00E97CFE"/>
    <w:rsid w:val="00EA28B2"/>
    <w:rsid w:val="00EA3951"/>
    <w:rsid w:val="00EA7828"/>
    <w:rsid w:val="00EB0CC0"/>
    <w:rsid w:val="00EB56B0"/>
    <w:rsid w:val="00EE054F"/>
    <w:rsid w:val="00EF0EA4"/>
    <w:rsid w:val="00EF2AF8"/>
    <w:rsid w:val="00F021EA"/>
    <w:rsid w:val="00F0469D"/>
    <w:rsid w:val="00F11F26"/>
    <w:rsid w:val="00F1214A"/>
    <w:rsid w:val="00F12ED4"/>
    <w:rsid w:val="00F148B0"/>
    <w:rsid w:val="00F14C91"/>
    <w:rsid w:val="00F17DCD"/>
    <w:rsid w:val="00F34165"/>
    <w:rsid w:val="00F367F7"/>
    <w:rsid w:val="00F450F5"/>
    <w:rsid w:val="00F4716D"/>
    <w:rsid w:val="00F51248"/>
    <w:rsid w:val="00F6406F"/>
    <w:rsid w:val="00F6691F"/>
    <w:rsid w:val="00F66FFD"/>
    <w:rsid w:val="00F70D09"/>
    <w:rsid w:val="00F94928"/>
    <w:rsid w:val="00F9624F"/>
    <w:rsid w:val="00F969DD"/>
    <w:rsid w:val="00FA1475"/>
    <w:rsid w:val="00FC24B6"/>
    <w:rsid w:val="00FE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0E0A"/>
    <w:pPr>
      <w:jc w:val="both"/>
    </w:pPr>
    <w:rPr>
      <w:sz w:val="24"/>
      <w:szCs w:val="24"/>
    </w:rPr>
  </w:style>
  <w:style w:type="paragraph" w:styleId="Nadpis9">
    <w:name w:val="heading 9"/>
    <w:basedOn w:val="Normlny"/>
    <w:next w:val="Normlny"/>
    <w:qFormat/>
    <w:rsid w:val="00C50E0A"/>
    <w:pPr>
      <w:keepNext/>
      <w:outlineLvl w:val="8"/>
    </w:pPr>
    <w:rPr>
      <w:rFonts w:cs="Arial"/>
      <w:i/>
      <w:i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0E0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50E0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50E0A"/>
  </w:style>
  <w:style w:type="paragraph" w:styleId="Nzov">
    <w:name w:val="Title"/>
    <w:basedOn w:val="Normlny"/>
    <w:qFormat/>
    <w:rsid w:val="00C50E0A"/>
    <w:pPr>
      <w:jc w:val="center"/>
    </w:pPr>
    <w:rPr>
      <w:b/>
    </w:rPr>
  </w:style>
  <w:style w:type="paragraph" w:styleId="Zarkazkladnhotextu3">
    <w:name w:val="Body Text Indent 3"/>
    <w:basedOn w:val="Normlny"/>
    <w:rsid w:val="00C50E0A"/>
    <w:pPr>
      <w:ind w:left="1418" w:firstLine="10"/>
    </w:pPr>
  </w:style>
  <w:style w:type="paragraph" w:styleId="Zkladntext">
    <w:name w:val="Body Text"/>
    <w:basedOn w:val="Normlny"/>
    <w:rsid w:val="00C50E0A"/>
    <w:pPr>
      <w:spacing w:after="120"/>
    </w:pPr>
    <w:rPr>
      <w:color w:val="FF0000"/>
    </w:rPr>
  </w:style>
  <w:style w:type="paragraph" w:styleId="Zarkazkladnhotextu2">
    <w:name w:val="Body Text Indent 2"/>
    <w:basedOn w:val="Normlny"/>
    <w:rsid w:val="00C50E0A"/>
    <w:pPr>
      <w:ind w:left="378" w:hanging="28"/>
    </w:pPr>
  </w:style>
  <w:style w:type="paragraph" w:customStyle="1" w:styleId="Text">
    <w:name w:val="#Text"/>
    <w:basedOn w:val="Normlny"/>
    <w:rsid w:val="00C50E0A"/>
    <w:pPr>
      <w:jc w:val="left"/>
    </w:pPr>
    <w:rPr>
      <w:rFonts w:ascii="Arial" w:hAnsi="Arial" w:cs="Arial"/>
      <w:sz w:val="22"/>
      <w:szCs w:val="22"/>
    </w:rPr>
  </w:style>
  <w:style w:type="paragraph" w:customStyle="1" w:styleId="Text0">
    <w:name w:val="Text"/>
    <w:basedOn w:val="Normlny"/>
    <w:rsid w:val="00C50E0A"/>
    <w:pPr>
      <w:keepLines/>
      <w:tabs>
        <w:tab w:val="left" w:pos="284"/>
      </w:tabs>
      <w:spacing w:before="60" w:after="60" w:line="260" w:lineRule="atLeast"/>
      <w:jc w:val="left"/>
    </w:pPr>
    <w:rPr>
      <w:rFonts w:ascii="Arial" w:hAnsi="Arial"/>
      <w:sz w:val="22"/>
      <w:szCs w:val="20"/>
    </w:rPr>
  </w:style>
  <w:style w:type="paragraph" w:styleId="Textbubliny">
    <w:name w:val="Balloon Text"/>
    <w:basedOn w:val="Normlny"/>
    <w:semiHidden/>
    <w:rsid w:val="009273C8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2073D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07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073D6"/>
    <w:rPr>
      <w:b/>
      <w:bCs/>
    </w:rPr>
  </w:style>
  <w:style w:type="character" w:styleId="Hypertextovprepojenie">
    <w:name w:val="Hyperlink"/>
    <w:unhideWhenUsed/>
    <w:rsid w:val="00C47A03"/>
    <w:rPr>
      <w:color w:val="0000FF"/>
      <w:u w:val="single"/>
    </w:rPr>
  </w:style>
  <w:style w:type="character" w:customStyle="1" w:styleId="ftgrey1">
    <w:name w:val="ft_grey1"/>
    <w:rsid w:val="00C47A03"/>
    <w:rPr>
      <w:rFonts w:ascii="Arial" w:hAnsi="Arial" w:cs="Arial"/>
      <w:color w:val="464646"/>
      <w:sz w:val="18"/>
      <w:szCs w:val="18"/>
    </w:rPr>
  </w:style>
  <w:style w:type="character" w:customStyle="1" w:styleId="PtaChar">
    <w:name w:val="Päta Char"/>
    <w:link w:val="Pta"/>
    <w:uiPriority w:val="99"/>
    <w:rsid w:val="00E27E60"/>
    <w:rPr>
      <w:sz w:val="24"/>
      <w:szCs w:val="24"/>
    </w:rPr>
  </w:style>
  <w:style w:type="character" w:customStyle="1" w:styleId="Internetlink">
    <w:name w:val="Internetlink"/>
    <w:uiPriority w:val="99"/>
    <w:rsid w:val="001975D4"/>
    <w:rPr>
      <w:color w:val="0000FF"/>
      <w:u w:val="single"/>
    </w:rPr>
  </w:style>
  <w:style w:type="paragraph" w:customStyle="1" w:styleId="Default">
    <w:name w:val="Default"/>
    <w:basedOn w:val="Normlny"/>
    <w:rsid w:val="00CE3A16"/>
    <w:pPr>
      <w:widowControl w:val="0"/>
      <w:suppressAutoHyphens/>
      <w:autoSpaceDE w:val="0"/>
      <w:jc w:val="left"/>
    </w:pPr>
    <w:rPr>
      <w:color w:val="000000"/>
      <w:kern w:val="1"/>
    </w:rPr>
  </w:style>
  <w:style w:type="table" w:styleId="Mriekatabuky">
    <w:name w:val="Table Grid"/>
    <w:basedOn w:val="Normlnatabuka"/>
    <w:rsid w:val="001B3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komentraChar">
    <w:name w:val="Text komentára Char"/>
    <w:link w:val="Textkomentra"/>
    <w:rsid w:val="003861F4"/>
  </w:style>
  <w:style w:type="paragraph" w:styleId="Odsekzoznamu">
    <w:name w:val="List Paragraph"/>
    <w:basedOn w:val="Normlny"/>
    <w:uiPriority w:val="34"/>
    <w:qFormat/>
    <w:rsid w:val="00697812"/>
    <w:pPr>
      <w:ind w:left="720"/>
      <w:contextualSpacing/>
    </w:pPr>
  </w:style>
  <w:style w:type="character" w:customStyle="1" w:styleId="hps">
    <w:name w:val="hps"/>
    <w:basedOn w:val="Predvolenpsmoodseku"/>
    <w:rsid w:val="00C52F51"/>
  </w:style>
  <w:style w:type="character" w:customStyle="1" w:styleId="HlavikaChar">
    <w:name w:val="Hlavička Char"/>
    <w:basedOn w:val="Predvolenpsmoodseku"/>
    <w:link w:val="Hlavika"/>
    <w:uiPriority w:val="99"/>
    <w:rsid w:val="007C3CD6"/>
    <w:rPr>
      <w:sz w:val="24"/>
      <w:szCs w:val="24"/>
    </w:rPr>
  </w:style>
  <w:style w:type="character" w:styleId="Zvraznenie">
    <w:name w:val="Emphasis"/>
    <w:basedOn w:val="Predvolenpsmoodseku"/>
    <w:uiPriority w:val="20"/>
    <w:qFormat/>
    <w:rsid w:val="004152C9"/>
    <w:rPr>
      <w:i/>
      <w:iCs/>
    </w:rPr>
  </w:style>
  <w:style w:type="character" w:customStyle="1" w:styleId="apple-converted-space">
    <w:name w:val="apple-converted-space"/>
    <w:basedOn w:val="Predvolenpsmoodseku"/>
    <w:rsid w:val="00415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772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6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26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51218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2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5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7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6566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01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52CF-EAFF-4AB7-93F9-043E62AC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Schuelke / VitalAire</Company>
  <LinksUpToDate>false</LinksUpToDate>
  <CharactersWithSpaces>12108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med-translations</dc:creator>
  <cp:lastModifiedBy> Jana Repiščáková</cp:lastModifiedBy>
  <cp:revision>14</cp:revision>
  <cp:lastPrinted>2013-01-07T07:24:00Z</cp:lastPrinted>
  <dcterms:created xsi:type="dcterms:W3CDTF">2016-12-07T15:47:00Z</dcterms:created>
  <dcterms:modified xsi:type="dcterms:W3CDTF">2017-02-23T07:24:00Z</dcterms:modified>
</cp:coreProperties>
</file>