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BA2" w:rsidRPr="00C85386" w:rsidRDefault="00805BA2" w:rsidP="00805BA2">
      <w:pPr>
        <w:pStyle w:val="Nadpis1"/>
        <w:jc w:val="center"/>
        <w:rPr>
          <w:rFonts w:ascii="Times New Roman" w:hAnsi="Times New Roman"/>
          <w:sz w:val="22"/>
        </w:rPr>
      </w:pPr>
      <w:r w:rsidRPr="00C85386">
        <w:rPr>
          <w:rFonts w:ascii="Times New Roman" w:hAnsi="Times New Roman"/>
          <w:sz w:val="22"/>
        </w:rPr>
        <w:t>SÚHRN CHARAKTERISTICKÝCH VLASTNOSTÍ LIEKU</w:t>
      </w:r>
    </w:p>
    <w:p w:rsidR="00805BA2" w:rsidRPr="00C85386" w:rsidRDefault="00805BA2" w:rsidP="00805BA2"/>
    <w:p w:rsidR="00805BA2" w:rsidRPr="007F7374"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1.</w:t>
      </w:r>
      <w:r w:rsidRPr="00DE3AAE">
        <w:rPr>
          <w:rFonts w:ascii="Times New Roman" w:hAnsi="Times New Roman"/>
          <w:sz w:val="22"/>
        </w:rPr>
        <w:tab/>
        <w:t>NÁZOV LIEKU</w:t>
      </w:r>
    </w:p>
    <w:p w:rsidR="00805BA2" w:rsidRPr="00DE3AAE" w:rsidRDefault="00805BA2" w:rsidP="00805BA2"/>
    <w:p w:rsidR="00805BA2" w:rsidRDefault="00805BA2" w:rsidP="00805BA2">
      <w:proofErr w:type="spellStart"/>
      <w:r w:rsidRPr="00DE3AAE">
        <w:t>Optiray</w:t>
      </w:r>
      <w:proofErr w:type="spellEnd"/>
      <w:r w:rsidRPr="00DE3AAE">
        <w:t xml:space="preserve"> 240</w:t>
      </w:r>
    </w:p>
    <w:p w:rsidR="00805BA2" w:rsidRDefault="00805BA2" w:rsidP="00805BA2">
      <w:r>
        <w:t>i</w:t>
      </w:r>
      <w:r w:rsidRPr="00DE3AAE">
        <w:t>njekčný roztok</w:t>
      </w:r>
    </w:p>
    <w:p w:rsidR="00805BA2"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2.</w:t>
      </w:r>
      <w:r w:rsidRPr="00DE3AAE">
        <w:rPr>
          <w:rFonts w:ascii="Times New Roman" w:hAnsi="Times New Roman"/>
          <w:sz w:val="22"/>
        </w:rPr>
        <w:tab/>
        <w:t>KVALITATÍVNE A KVANTITATÍVNE ZLOŽENIE LIEKU</w:t>
      </w:r>
    </w:p>
    <w:p w:rsidR="00805BA2" w:rsidRPr="00DE3AAE" w:rsidRDefault="00805BA2" w:rsidP="00805BA2"/>
    <w:p w:rsidR="00805BA2" w:rsidRPr="00DE3AAE" w:rsidRDefault="00805BA2" w:rsidP="00805BA2">
      <w:proofErr w:type="spellStart"/>
      <w:r w:rsidRPr="00DE3AAE">
        <w:t>Ioversolum</w:t>
      </w:r>
      <w:proofErr w:type="spellEnd"/>
      <w:r w:rsidRPr="00DE3AAE">
        <w:t xml:space="preserve"> 509 mg/ml, čo zodpovedá 240 mg jódu v 1 ml.</w:t>
      </w:r>
    </w:p>
    <w:p w:rsidR="00805BA2" w:rsidRPr="00DE3AAE" w:rsidRDefault="00805BA2" w:rsidP="00805BA2">
      <w:r w:rsidRPr="00DE3AAE">
        <w:t>Úplný zoznam pomocných látok, pozri časť 6.1.</w:t>
      </w:r>
    </w:p>
    <w:p w:rsidR="00805BA2" w:rsidRPr="00DE3AAE"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3.</w:t>
      </w:r>
      <w:r w:rsidRPr="00DE3AAE">
        <w:rPr>
          <w:rFonts w:ascii="Times New Roman" w:hAnsi="Times New Roman"/>
          <w:sz w:val="22"/>
        </w:rPr>
        <w:tab/>
        <w:t>LIEKOVÁ FORMA</w:t>
      </w:r>
    </w:p>
    <w:p w:rsidR="00805BA2" w:rsidRPr="00DE3AAE" w:rsidRDefault="00805BA2" w:rsidP="00805BA2"/>
    <w:p w:rsidR="00805BA2" w:rsidRPr="00DE3AAE" w:rsidRDefault="00805BA2" w:rsidP="00805BA2">
      <w:r w:rsidRPr="00DE3AAE">
        <w:t>Injekčný roztok. Číry, bezfarebný až bledožltý roztok.</w:t>
      </w:r>
    </w:p>
    <w:p w:rsidR="00805BA2" w:rsidRPr="00DE3AAE"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4.</w:t>
      </w:r>
      <w:r w:rsidRPr="00DE3AAE">
        <w:rPr>
          <w:rFonts w:ascii="Times New Roman" w:hAnsi="Times New Roman"/>
          <w:sz w:val="22"/>
        </w:rPr>
        <w:tab/>
        <w:t>Klinické údaje</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4.1</w:t>
      </w:r>
      <w:r w:rsidRPr="00DE3AAE">
        <w:rPr>
          <w:rFonts w:ascii="Times New Roman" w:hAnsi="Times New Roman"/>
          <w:sz w:val="22"/>
        </w:rPr>
        <w:tab/>
        <w:t>Terapeutické indikácie</w:t>
      </w:r>
    </w:p>
    <w:p w:rsidR="00805BA2" w:rsidRPr="00DE3AAE" w:rsidRDefault="00805BA2" w:rsidP="00805BA2"/>
    <w:p w:rsidR="00805BA2" w:rsidRPr="00DE3AAE" w:rsidRDefault="00805BA2" w:rsidP="00805BA2">
      <w:r w:rsidRPr="00DE3AAE">
        <w:t>Tento liek je určený len na diagnostické použitie.</w:t>
      </w:r>
    </w:p>
    <w:p w:rsidR="00805BA2" w:rsidRPr="00DE3AAE" w:rsidRDefault="00805BA2" w:rsidP="00805BA2">
      <w:proofErr w:type="spellStart"/>
      <w:r w:rsidRPr="00DE3AAE">
        <w:t>Optiray</w:t>
      </w:r>
      <w:proofErr w:type="spellEnd"/>
      <w:r w:rsidRPr="00DE3AAE">
        <w:t> 240 je neiónová kontrastná látka, ktorá je indikovaná u dospelých na mozgovú, periférnu a </w:t>
      </w:r>
      <w:proofErr w:type="spellStart"/>
      <w:r w:rsidRPr="00DE3AAE">
        <w:t>viscerálnu</w:t>
      </w:r>
      <w:proofErr w:type="spellEnd"/>
      <w:r w:rsidRPr="00DE3AAE">
        <w:t xml:space="preserve"> </w:t>
      </w:r>
      <w:proofErr w:type="spellStart"/>
      <w:r w:rsidRPr="00DE3AAE">
        <w:t>angiografiu</w:t>
      </w:r>
      <w:proofErr w:type="spellEnd"/>
      <w:r w:rsidRPr="00DE3AAE">
        <w:t xml:space="preserve"> vrátane </w:t>
      </w:r>
      <w:proofErr w:type="spellStart"/>
      <w:r w:rsidRPr="00DE3AAE">
        <w:t>intraarteriálnej</w:t>
      </w:r>
      <w:proofErr w:type="spellEnd"/>
      <w:r w:rsidRPr="00DE3AAE">
        <w:t xml:space="preserve"> a intravenóznej digitálnej </w:t>
      </w:r>
      <w:proofErr w:type="spellStart"/>
      <w:r w:rsidRPr="00DE3AAE">
        <w:t>subtrakčnej</w:t>
      </w:r>
      <w:proofErr w:type="spellEnd"/>
      <w:r w:rsidRPr="00DE3AAE">
        <w:t xml:space="preserve"> </w:t>
      </w:r>
      <w:proofErr w:type="spellStart"/>
      <w:r w:rsidRPr="00DE3AAE">
        <w:t>angiografie</w:t>
      </w:r>
      <w:proofErr w:type="spellEnd"/>
      <w:r w:rsidRPr="00DE3AAE">
        <w:t xml:space="preserve"> (IA</w:t>
      </w:r>
      <w:r w:rsidRPr="00DE3AAE">
        <w:noBreakHyphen/>
        <w:t>DSA a IV</w:t>
      </w:r>
      <w:r w:rsidRPr="00DE3AAE">
        <w:noBreakHyphen/>
        <w:t xml:space="preserve">DSA), </w:t>
      </w:r>
      <w:proofErr w:type="spellStart"/>
      <w:r w:rsidRPr="00DE3AAE">
        <w:t>venografie</w:t>
      </w:r>
      <w:proofErr w:type="spellEnd"/>
      <w:r w:rsidRPr="00DE3AAE">
        <w:t xml:space="preserve">, intravenóznej </w:t>
      </w:r>
      <w:proofErr w:type="spellStart"/>
      <w:r w:rsidRPr="00DE3AAE">
        <w:t>urografie</w:t>
      </w:r>
      <w:proofErr w:type="spellEnd"/>
      <w:r w:rsidRPr="00DE3AAE">
        <w:t xml:space="preserve"> a kontrastnej počítačovej tomografie (CT) hlavy a tela.</w:t>
      </w:r>
    </w:p>
    <w:p w:rsidR="00805BA2" w:rsidRPr="00DE3AAE" w:rsidRDefault="00805BA2" w:rsidP="00805BA2"/>
    <w:p w:rsidR="00805BA2" w:rsidRPr="00DE3AAE" w:rsidRDefault="00805BA2" w:rsidP="00805BA2">
      <w:proofErr w:type="spellStart"/>
      <w:r>
        <w:t>Optiray</w:t>
      </w:r>
      <w:proofErr w:type="spellEnd"/>
      <w:r>
        <w:t xml:space="preserve"> 240 je indikovaný u dospelých na </w:t>
      </w:r>
      <w:proofErr w:type="spellStart"/>
      <w:r>
        <w:t>radikulografiu</w:t>
      </w:r>
      <w:proofErr w:type="spellEnd"/>
      <w:r>
        <w:t xml:space="preserve"> a </w:t>
      </w:r>
      <w:proofErr w:type="spellStart"/>
      <w:r>
        <w:t>myelografiu</w:t>
      </w:r>
      <w:proofErr w:type="spellEnd"/>
      <w:r>
        <w:t xml:space="preserve"> v rámci </w:t>
      </w:r>
      <w:r w:rsidRPr="00DE3AAE">
        <w:t>vyšetreni</w:t>
      </w:r>
      <w:r>
        <w:t xml:space="preserve">a </w:t>
      </w:r>
      <w:r w:rsidRPr="00DE3AAE">
        <w:t xml:space="preserve">lumbálnych, </w:t>
      </w:r>
      <w:proofErr w:type="spellStart"/>
      <w:r w:rsidRPr="00DE3AAE">
        <w:t>torakálnych</w:t>
      </w:r>
      <w:proofErr w:type="spellEnd"/>
      <w:r w:rsidRPr="00DE3AAE">
        <w:t xml:space="preserve"> a </w:t>
      </w:r>
      <w:proofErr w:type="spellStart"/>
      <w:r w:rsidRPr="00DE3AAE">
        <w:t>cervikálnych</w:t>
      </w:r>
      <w:proofErr w:type="spellEnd"/>
      <w:r w:rsidRPr="00DE3AAE">
        <w:t xml:space="preserve"> </w:t>
      </w:r>
      <w:proofErr w:type="spellStart"/>
      <w:r w:rsidRPr="00DE3AAE">
        <w:t>spinálnych</w:t>
      </w:r>
      <w:proofErr w:type="spellEnd"/>
      <w:r w:rsidRPr="00DE3AAE">
        <w:t xml:space="preserve"> kanálov</w:t>
      </w:r>
      <w:r>
        <w:t>.</w:t>
      </w:r>
      <w:r w:rsidRPr="00DE3AAE">
        <w:t xml:space="preserve"> </w:t>
      </w:r>
    </w:p>
    <w:p w:rsidR="00805BA2" w:rsidRDefault="00805BA2" w:rsidP="00805BA2">
      <w:pPr>
        <w:pStyle w:val="Nadpis2"/>
        <w:rPr>
          <w:rFonts w:ascii="Times New Roman" w:hAnsi="Times New Roman"/>
          <w:sz w:val="22"/>
        </w:rPr>
      </w:pPr>
    </w:p>
    <w:p w:rsidR="00805BA2" w:rsidRPr="00DE3AAE" w:rsidRDefault="00805BA2" w:rsidP="00805BA2">
      <w:pPr>
        <w:pStyle w:val="Nadpis2"/>
        <w:rPr>
          <w:rFonts w:ascii="Times New Roman" w:hAnsi="Times New Roman"/>
          <w:sz w:val="22"/>
        </w:rPr>
      </w:pPr>
      <w:r w:rsidRPr="00DE3AAE">
        <w:rPr>
          <w:rFonts w:ascii="Times New Roman" w:hAnsi="Times New Roman"/>
          <w:sz w:val="22"/>
        </w:rPr>
        <w:t>4.2</w:t>
      </w:r>
      <w:r w:rsidRPr="00DE3AAE">
        <w:rPr>
          <w:rFonts w:ascii="Times New Roman" w:hAnsi="Times New Roman"/>
          <w:sz w:val="22"/>
        </w:rPr>
        <w:tab/>
        <w:t>Dávkovanie a spôsob podávania</w:t>
      </w:r>
    </w:p>
    <w:p w:rsidR="00805BA2" w:rsidRDefault="00805BA2" w:rsidP="00805BA2"/>
    <w:p w:rsidR="00805BA2" w:rsidRPr="00DE3AAE" w:rsidRDefault="00805BA2" w:rsidP="00805BA2">
      <w:pPr>
        <w:rPr>
          <w:szCs w:val="22"/>
          <w:lang w:eastAsia="ar-SA"/>
        </w:rPr>
      </w:pPr>
      <w:r w:rsidRPr="00DE3AAE">
        <w:rPr>
          <w:szCs w:val="22"/>
        </w:rPr>
        <w:t>Dávkovanie závisí od veku, hmotnosti, minútového srdcového objemu a celkového stavu pacienta a ďalej od cievnej oblasti, ktorá sa vyšetruje. Dávkovanie tiež závisí od vyšetrovacieho postupu, prístrojového vybavenia a zvolenej koncentrácie jódu.</w:t>
      </w:r>
    </w:p>
    <w:p w:rsidR="00805BA2" w:rsidRPr="00DE3AAE" w:rsidRDefault="00805BA2" w:rsidP="00805BA2"/>
    <w:p w:rsidR="00805BA2" w:rsidRPr="00DE3AAE" w:rsidRDefault="00805BA2" w:rsidP="00805BA2">
      <w:pPr>
        <w:rPr>
          <w:b/>
        </w:rPr>
      </w:pPr>
      <w:proofErr w:type="spellStart"/>
      <w:r w:rsidRPr="00DE3AAE">
        <w:rPr>
          <w:b/>
        </w:rPr>
        <w:t>Intravaskulárne</w:t>
      </w:r>
      <w:proofErr w:type="spellEnd"/>
      <w:r w:rsidRPr="00DE3AAE">
        <w:rPr>
          <w:b/>
        </w:rPr>
        <w:t xml:space="preserve"> podávanie</w:t>
      </w:r>
    </w:p>
    <w:p w:rsidR="00805BA2" w:rsidRDefault="00805BA2" w:rsidP="00805BA2">
      <w:pPr>
        <w:rPr>
          <w:lang w:eastAsia="ar-SA"/>
        </w:rPr>
      </w:pPr>
      <w:r w:rsidRPr="00DE3AAE">
        <w:t xml:space="preserve">Pred </w:t>
      </w:r>
      <w:proofErr w:type="spellStart"/>
      <w:r w:rsidRPr="00DE3AAE">
        <w:t>intravaskulárnym</w:t>
      </w:r>
      <w:proofErr w:type="spellEnd"/>
      <w:r w:rsidRPr="00DE3AAE">
        <w:t xml:space="preserve"> podaním jódovaných kontrastných látok sa odporúča zohriať liek na telesnú teplotu. Tak ako u všetkých ostatných röntgenových kontrastných látok, aj v tomto prípade sa podáva najnižšia dávka postačujúca na adekvátnu vizualizáciu.</w:t>
      </w:r>
    </w:p>
    <w:p w:rsidR="00805BA2" w:rsidRPr="00DE3AAE" w:rsidRDefault="00805BA2" w:rsidP="00805BA2"/>
    <w:tbl>
      <w:tblPr>
        <w:tblW w:w="5000" w:type="pct"/>
        <w:tblCellMar>
          <w:left w:w="70" w:type="dxa"/>
          <w:right w:w="70" w:type="dxa"/>
        </w:tblCellMar>
        <w:tblLook w:val="0000" w:firstRow="0" w:lastRow="0" w:firstColumn="0" w:lastColumn="0" w:noHBand="0" w:noVBand="0"/>
      </w:tblPr>
      <w:tblGrid>
        <w:gridCol w:w="4979"/>
        <w:gridCol w:w="1579"/>
        <w:gridCol w:w="2652"/>
      </w:tblGrid>
      <w:tr w:rsidR="00805BA2" w:rsidRPr="00DE3AAE" w:rsidTr="00770D31">
        <w:trPr>
          <w:cantSplit/>
          <w:tblHeader/>
        </w:trPr>
        <w:tc>
          <w:tcPr>
            <w:tcW w:w="2703" w:type="pct"/>
          </w:tcPr>
          <w:p w:rsidR="00805BA2" w:rsidRPr="00DE3AAE" w:rsidRDefault="00805BA2" w:rsidP="00770D31">
            <w:pPr>
              <w:suppressAutoHyphens/>
              <w:snapToGrid w:val="0"/>
              <w:rPr>
                <w:b/>
                <w:bCs/>
                <w:szCs w:val="22"/>
                <w:lang w:eastAsia="ar-SA"/>
              </w:rPr>
            </w:pPr>
            <w:r w:rsidRPr="00DE3AAE">
              <w:rPr>
                <w:b/>
                <w:bCs/>
                <w:szCs w:val="22"/>
              </w:rPr>
              <w:t>Dospelí:</w:t>
            </w:r>
          </w:p>
        </w:tc>
        <w:tc>
          <w:tcPr>
            <w:tcW w:w="2297" w:type="pct"/>
            <w:gridSpan w:val="2"/>
          </w:tcPr>
          <w:p w:rsidR="00805BA2" w:rsidRPr="00DE3AAE" w:rsidRDefault="00805BA2" w:rsidP="00770D31">
            <w:pPr>
              <w:suppressAutoHyphens/>
              <w:snapToGrid w:val="0"/>
              <w:jc w:val="center"/>
              <w:rPr>
                <w:b/>
                <w:bCs/>
                <w:szCs w:val="22"/>
                <w:lang w:eastAsia="ar-SA"/>
              </w:rPr>
            </w:pPr>
            <w:r w:rsidRPr="00DE3AAE">
              <w:rPr>
                <w:b/>
                <w:bCs/>
                <w:szCs w:val="22"/>
              </w:rPr>
              <w:t>Odporúčaná schéma dávkovania:</w:t>
            </w:r>
          </w:p>
        </w:tc>
      </w:tr>
      <w:tr w:rsidR="00805BA2" w:rsidRPr="00DE3AAE" w:rsidTr="00770D31">
        <w:trPr>
          <w:cantSplit/>
          <w:tblHeader/>
        </w:trPr>
        <w:tc>
          <w:tcPr>
            <w:tcW w:w="2703" w:type="pct"/>
          </w:tcPr>
          <w:p w:rsidR="00805BA2" w:rsidRPr="00DE3AAE" w:rsidRDefault="00805BA2" w:rsidP="00770D31">
            <w:pPr>
              <w:suppressAutoHyphens/>
              <w:snapToGrid w:val="0"/>
              <w:rPr>
                <w:b/>
                <w:bCs/>
                <w:szCs w:val="22"/>
                <w:lang w:eastAsia="ar-SA"/>
              </w:rPr>
            </w:pPr>
            <w:r w:rsidRPr="00DE3AAE">
              <w:rPr>
                <w:b/>
                <w:bCs/>
                <w:szCs w:val="22"/>
              </w:rPr>
              <w:t>Postup</w:t>
            </w:r>
          </w:p>
        </w:tc>
        <w:tc>
          <w:tcPr>
            <w:tcW w:w="857" w:type="pct"/>
          </w:tcPr>
          <w:p w:rsidR="00805BA2" w:rsidRPr="00DE3AAE" w:rsidRDefault="00805BA2" w:rsidP="00770D31">
            <w:pPr>
              <w:suppressAutoHyphens/>
              <w:snapToGrid w:val="0"/>
              <w:jc w:val="center"/>
              <w:rPr>
                <w:b/>
                <w:bCs/>
                <w:szCs w:val="22"/>
                <w:lang w:eastAsia="ar-SA"/>
              </w:rPr>
            </w:pPr>
            <w:r w:rsidRPr="00DE3AAE">
              <w:rPr>
                <w:b/>
                <w:bCs/>
                <w:szCs w:val="22"/>
              </w:rPr>
              <w:t>Dávka</w:t>
            </w:r>
          </w:p>
        </w:tc>
        <w:tc>
          <w:tcPr>
            <w:tcW w:w="1439" w:type="pct"/>
          </w:tcPr>
          <w:p w:rsidR="00805BA2" w:rsidRPr="00DE3AAE" w:rsidRDefault="00805BA2" w:rsidP="00770D31">
            <w:pPr>
              <w:suppressAutoHyphens/>
              <w:snapToGrid w:val="0"/>
              <w:jc w:val="center"/>
              <w:rPr>
                <w:b/>
                <w:bCs/>
                <w:szCs w:val="22"/>
                <w:lang w:eastAsia="ar-SA"/>
              </w:rPr>
            </w:pPr>
            <w:r w:rsidRPr="00DE3AAE">
              <w:rPr>
                <w:b/>
                <w:bCs/>
                <w:szCs w:val="22"/>
              </w:rPr>
              <w:t>Maximálna celková dávka</w:t>
            </w:r>
          </w:p>
        </w:tc>
      </w:tr>
      <w:tr w:rsidR="00805BA2" w:rsidRPr="00DE3AAE" w:rsidTr="00770D31">
        <w:trPr>
          <w:cantSplit/>
        </w:trPr>
        <w:tc>
          <w:tcPr>
            <w:tcW w:w="2703" w:type="pct"/>
          </w:tcPr>
          <w:p w:rsidR="00805BA2" w:rsidRPr="00DE3AAE" w:rsidRDefault="00805BA2" w:rsidP="00770D31">
            <w:pPr>
              <w:suppressAutoHyphens/>
              <w:snapToGrid w:val="0"/>
              <w:rPr>
                <w:b/>
                <w:lang w:eastAsia="ar-SA"/>
              </w:rPr>
            </w:pP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Mozgová </w:t>
            </w:r>
            <w:proofErr w:type="spellStart"/>
            <w:r w:rsidRPr="00DE3AAE">
              <w:rPr>
                <w:szCs w:val="22"/>
              </w:rPr>
              <w:t>angiografia</w:t>
            </w:r>
            <w:proofErr w:type="spellEnd"/>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 </w:t>
            </w:r>
            <w:proofErr w:type="spellStart"/>
            <w:r w:rsidRPr="00DE3AAE">
              <w:rPr>
                <w:szCs w:val="22"/>
              </w:rPr>
              <w:t>Karotické</w:t>
            </w:r>
            <w:proofErr w:type="spellEnd"/>
            <w:r w:rsidRPr="00DE3AAE">
              <w:rPr>
                <w:szCs w:val="22"/>
              </w:rPr>
              <w:t xml:space="preserve"> alebo </w:t>
            </w:r>
            <w:proofErr w:type="spellStart"/>
            <w:r w:rsidRPr="00DE3AAE">
              <w:rPr>
                <w:szCs w:val="22"/>
              </w:rPr>
              <w:t>vertebrálne</w:t>
            </w:r>
            <w:proofErr w:type="spellEnd"/>
            <w:r w:rsidRPr="00DE3AAE">
              <w:rPr>
                <w:szCs w:val="22"/>
              </w:rPr>
              <w:t xml:space="preserve"> artérie</w:t>
            </w:r>
          </w:p>
        </w:tc>
        <w:tc>
          <w:tcPr>
            <w:tcW w:w="857" w:type="pct"/>
          </w:tcPr>
          <w:p w:rsidR="00805BA2" w:rsidRPr="00DE3AAE" w:rsidRDefault="00805BA2" w:rsidP="00770D31">
            <w:pPr>
              <w:suppressAutoHyphens/>
              <w:snapToGrid w:val="0"/>
              <w:jc w:val="center"/>
              <w:rPr>
                <w:szCs w:val="22"/>
                <w:lang w:eastAsia="ar-SA"/>
              </w:rPr>
            </w:pPr>
            <w:r w:rsidRPr="00DE3AAE">
              <w:rPr>
                <w:szCs w:val="22"/>
              </w:rPr>
              <w:t>2 </w:t>
            </w:r>
            <w:r w:rsidRPr="00DE3AAE">
              <w:rPr>
                <w:szCs w:val="22"/>
              </w:rPr>
              <w:noBreakHyphen/>
              <w:t> 12 ml</w:t>
            </w:r>
          </w:p>
        </w:tc>
        <w:tc>
          <w:tcPr>
            <w:tcW w:w="1439" w:type="pct"/>
          </w:tcPr>
          <w:p w:rsidR="00805BA2" w:rsidRPr="00DE3AAE" w:rsidRDefault="00805BA2" w:rsidP="00770D31">
            <w:pPr>
              <w:suppressAutoHyphens/>
              <w:snapToGrid w:val="0"/>
              <w:jc w:val="center"/>
              <w:rPr>
                <w:szCs w:val="22"/>
                <w:lang w:eastAsia="ar-SA"/>
              </w:rPr>
            </w:pPr>
            <w:r w:rsidRPr="00DE3AAE">
              <w:rPr>
                <w:szCs w:val="22"/>
              </w:rPr>
              <w:t>200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Oblúk aorty (</w:t>
            </w:r>
            <w:proofErr w:type="spellStart"/>
            <w:r w:rsidRPr="00DE3AAE">
              <w:rPr>
                <w:szCs w:val="22"/>
              </w:rPr>
              <w:t>angiografia</w:t>
            </w:r>
            <w:proofErr w:type="spellEnd"/>
            <w:r w:rsidRPr="00DE3AAE">
              <w:rPr>
                <w:szCs w:val="22"/>
              </w:rPr>
              <w:t xml:space="preserve"> štyroch tepien)</w:t>
            </w:r>
          </w:p>
        </w:tc>
        <w:tc>
          <w:tcPr>
            <w:tcW w:w="857" w:type="pct"/>
          </w:tcPr>
          <w:p w:rsidR="00805BA2" w:rsidRPr="00DE3AAE" w:rsidRDefault="00805BA2" w:rsidP="00770D31">
            <w:pPr>
              <w:suppressAutoHyphens/>
              <w:snapToGrid w:val="0"/>
              <w:jc w:val="center"/>
              <w:rPr>
                <w:szCs w:val="22"/>
                <w:lang w:eastAsia="ar-SA"/>
              </w:rPr>
            </w:pPr>
            <w:r w:rsidRPr="00DE3AAE">
              <w:rPr>
                <w:szCs w:val="22"/>
              </w:rPr>
              <w:t>20 </w:t>
            </w:r>
            <w:r w:rsidRPr="00DE3AAE">
              <w:rPr>
                <w:szCs w:val="22"/>
              </w:rPr>
              <w:noBreakHyphen/>
              <w:t> 50 ml</w:t>
            </w:r>
          </w:p>
        </w:tc>
        <w:tc>
          <w:tcPr>
            <w:tcW w:w="1439" w:type="pct"/>
          </w:tcPr>
          <w:p w:rsidR="00805BA2" w:rsidRPr="00DE3AAE" w:rsidRDefault="00805BA2" w:rsidP="00770D31">
            <w:pPr>
              <w:suppressAutoHyphens/>
              <w:snapToGrid w:val="0"/>
              <w:jc w:val="center"/>
              <w:rPr>
                <w:szCs w:val="22"/>
                <w:lang w:eastAsia="ar-SA"/>
              </w:rPr>
            </w:pPr>
            <w:r w:rsidRPr="00DE3AAE">
              <w:rPr>
                <w:szCs w:val="22"/>
              </w:rPr>
              <w:t>200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V prípade potreby možno jednotlivú dávku zopakovať.</w:t>
            </w: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lang w:eastAsia="ar-SA"/>
              </w:rPr>
            </w:pP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Periférna </w:t>
            </w:r>
            <w:proofErr w:type="spellStart"/>
            <w:r w:rsidRPr="00DE3AAE">
              <w:rPr>
                <w:szCs w:val="22"/>
              </w:rPr>
              <w:t>arteriografia</w:t>
            </w:r>
            <w:proofErr w:type="spellEnd"/>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Bifurkácia aorty</w:t>
            </w:r>
          </w:p>
        </w:tc>
        <w:tc>
          <w:tcPr>
            <w:tcW w:w="857" w:type="pct"/>
          </w:tcPr>
          <w:p w:rsidR="00805BA2" w:rsidRPr="00DE3AAE" w:rsidRDefault="00805BA2" w:rsidP="00770D31">
            <w:pPr>
              <w:suppressAutoHyphens/>
              <w:snapToGrid w:val="0"/>
              <w:jc w:val="center"/>
              <w:rPr>
                <w:szCs w:val="22"/>
                <w:lang w:eastAsia="ar-SA"/>
              </w:rPr>
            </w:pPr>
            <w:r w:rsidRPr="00DE3AAE">
              <w:rPr>
                <w:szCs w:val="22"/>
              </w:rPr>
              <w:t>20 </w:t>
            </w:r>
            <w:r w:rsidRPr="00DE3AAE">
              <w:rPr>
                <w:szCs w:val="22"/>
              </w:rPr>
              <w:noBreakHyphen/>
              <w:t> 90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 Spoločná </w:t>
            </w:r>
            <w:proofErr w:type="spellStart"/>
            <w:r w:rsidRPr="00DE3AAE">
              <w:rPr>
                <w:szCs w:val="22"/>
              </w:rPr>
              <w:t>iliakálna</w:t>
            </w:r>
            <w:proofErr w:type="spellEnd"/>
            <w:r w:rsidRPr="00DE3AAE">
              <w:rPr>
                <w:szCs w:val="22"/>
              </w:rPr>
              <w:t xml:space="preserve"> alebo </w:t>
            </w:r>
            <w:proofErr w:type="spellStart"/>
            <w:r w:rsidRPr="00DE3AAE">
              <w:rPr>
                <w:szCs w:val="22"/>
              </w:rPr>
              <w:t>femorálna</w:t>
            </w:r>
            <w:proofErr w:type="spellEnd"/>
            <w:r w:rsidRPr="00DE3AAE">
              <w:rPr>
                <w:szCs w:val="22"/>
              </w:rPr>
              <w:t xml:space="preserve"> artéria</w:t>
            </w:r>
          </w:p>
        </w:tc>
        <w:tc>
          <w:tcPr>
            <w:tcW w:w="857" w:type="pct"/>
          </w:tcPr>
          <w:p w:rsidR="00805BA2" w:rsidRPr="00DE3AAE" w:rsidRDefault="00805BA2" w:rsidP="00770D31">
            <w:pPr>
              <w:suppressAutoHyphens/>
              <w:snapToGrid w:val="0"/>
              <w:jc w:val="center"/>
              <w:rPr>
                <w:szCs w:val="22"/>
                <w:lang w:eastAsia="ar-SA"/>
              </w:rPr>
            </w:pPr>
            <w:r w:rsidRPr="00DE3AAE">
              <w:rPr>
                <w:szCs w:val="22"/>
              </w:rPr>
              <w:t>10 </w:t>
            </w:r>
            <w:r w:rsidRPr="00DE3AAE">
              <w:rPr>
                <w:szCs w:val="22"/>
              </w:rPr>
              <w:noBreakHyphen/>
              <w:t> 50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 </w:t>
            </w:r>
            <w:proofErr w:type="spellStart"/>
            <w:r w:rsidRPr="00DE3AAE">
              <w:rPr>
                <w:szCs w:val="22"/>
              </w:rPr>
              <w:t>Podklúčna</w:t>
            </w:r>
            <w:proofErr w:type="spellEnd"/>
            <w:r w:rsidRPr="00DE3AAE">
              <w:rPr>
                <w:szCs w:val="22"/>
              </w:rPr>
              <w:t>/brachiálna artéria</w:t>
            </w:r>
          </w:p>
        </w:tc>
        <w:tc>
          <w:tcPr>
            <w:tcW w:w="857" w:type="pct"/>
          </w:tcPr>
          <w:p w:rsidR="00805BA2" w:rsidRPr="00DE3AAE" w:rsidRDefault="00805BA2" w:rsidP="00770D31">
            <w:pPr>
              <w:suppressAutoHyphens/>
              <w:snapToGrid w:val="0"/>
              <w:jc w:val="center"/>
              <w:rPr>
                <w:szCs w:val="22"/>
                <w:lang w:eastAsia="ar-SA"/>
              </w:rPr>
            </w:pPr>
            <w:r w:rsidRPr="00DE3AAE">
              <w:rPr>
                <w:szCs w:val="22"/>
              </w:rPr>
              <w:t>15 </w:t>
            </w:r>
            <w:r w:rsidRPr="00DE3AAE">
              <w:rPr>
                <w:szCs w:val="22"/>
              </w:rPr>
              <w:noBreakHyphen/>
              <w:t> 30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lastRenderedPageBreak/>
              <w:t>V prípade potreby možno jednotlivú dávku zopakovať.</w:t>
            </w: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lang w:eastAsia="ar-SA"/>
              </w:rPr>
            </w:pP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proofErr w:type="spellStart"/>
            <w:r w:rsidRPr="00DE3AAE">
              <w:rPr>
                <w:szCs w:val="22"/>
              </w:rPr>
              <w:t>Viscerálna</w:t>
            </w:r>
            <w:proofErr w:type="spellEnd"/>
            <w:r w:rsidRPr="00DE3AAE">
              <w:rPr>
                <w:szCs w:val="22"/>
              </w:rPr>
              <w:t xml:space="preserve"> </w:t>
            </w:r>
            <w:proofErr w:type="spellStart"/>
            <w:r w:rsidRPr="00DE3AAE">
              <w:rPr>
                <w:szCs w:val="22"/>
              </w:rPr>
              <w:t>angiografia</w:t>
            </w:r>
            <w:proofErr w:type="spellEnd"/>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Brušná artéria</w:t>
            </w:r>
          </w:p>
        </w:tc>
        <w:tc>
          <w:tcPr>
            <w:tcW w:w="857" w:type="pct"/>
          </w:tcPr>
          <w:p w:rsidR="00805BA2" w:rsidRPr="00DE3AAE" w:rsidRDefault="00805BA2" w:rsidP="00770D31">
            <w:pPr>
              <w:suppressAutoHyphens/>
              <w:snapToGrid w:val="0"/>
              <w:jc w:val="center"/>
              <w:rPr>
                <w:szCs w:val="22"/>
                <w:lang w:eastAsia="ar-SA"/>
              </w:rPr>
            </w:pPr>
            <w:r w:rsidRPr="00DE3AAE">
              <w:rPr>
                <w:szCs w:val="22"/>
              </w:rPr>
              <w:t>12 </w:t>
            </w:r>
            <w:r w:rsidRPr="00DE3AAE">
              <w:rPr>
                <w:szCs w:val="22"/>
              </w:rPr>
              <w:noBreakHyphen/>
              <w:t> 60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 Horná </w:t>
            </w:r>
            <w:proofErr w:type="spellStart"/>
            <w:r w:rsidRPr="00DE3AAE">
              <w:rPr>
                <w:szCs w:val="22"/>
              </w:rPr>
              <w:t>mezenterická</w:t>
            </w:r>
            <w:proofErr w:type="spellEnd"/>
            <w:r w:rsidRPr="00DE3AAE">
              <w:rPr>
                <w:szCs w:val="22"/>
              </w:rPr>
              <w:t xml:space="preserve"> artéria</w:t>
            </w:r>
          </w:p>
        </w:tc>
        <w:tc>
          <w:tcPr>
            <w:tcW w:w="857" w:type="pct"/>
          </w:tcPr>
          <w:p w:rsidR="00805BA2" w:rsidRPr="00DE3AAE" w:rsidRDefault="00805BA2" w:rsidP="00770D31">
            <w:pPr>
              <w:suppressAutoHyphens/>
              <w:snapToGrid w:val="0"/>
              <w:jc w:val="center"/>
              <w:rPr>
                <w:szCs w:val="22"/>
                <w:lang w:eastAsia="ar-SA"/>
              </w:rPr>
            </w:pPr>
            <w:r w:rsidRPr="00DE3AAE">
              <w:rPr>
                <w:szCs w:val="22"/>
              </w:rPr>
              <w:t>15 </w:t>
            </w:r>
            <w:r w:rsidRPr="00DE3AAE">
              <w:rPr>
                <w:szCs w:val="22"/>
              </w:rPr>
              <w:noBreakHyphen/>
              <w:t> 60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 Dolná </w:t>
            </w:r>
            <w:proofErr w:type="spellStart"/>
            <w:r w:rsidRPr="00DE3AAE">
              <w:rPr>
                <w:szCs w:val="22"/>
              </w:rPr>
              <w:t>mezenterická</w:t>
            </w:r>
            <w:proofErr w:type="spellEnd"/>
            <w:r w:rsidRPr="00DE3AAE">
              <w:rPr>
                <w:szCs w:val="22"/>
              </w:rPr>
              <w:t xml:space="preserve"> artéria</w:t>
            </w:r>
          </w:p>
        </w:tc>
        <w:tc>
          <w:tcPr>
            <w:tcW w:w="857" w:type="pct"/>
          </w:tcPr>
          <w:p w:rsidR="00805BA2" w:rsidRPr="00DE3AAE" w:rsidRDefault="00805BA2" w:rsidP="00770D31">
            <w:pPr>
              <w:suppressAutoHyphens/>
              <w:snapToGrid w:val="0"/>
              <w:jc w:val="center"/>
              <w:rPr>
                <w:szCs w:val="22"/>
                <w:lang w:eastAsia="ar-SA"/>
              </w:rPr>
            </w:pPr>
            <w:r w:rsidRPr="00DE3AAE">
              <w:rPr>
                <w:szCs w:val="22"/>
              </w:rPr>
              <w:t>6 </w:t>
            </w:r>
            <w:r w:rsidRPr="00DE3AAE">
              <w:rPr>
                <w:szCs w:val="22"/>
              </w:rPr>
              <w:noBreakHyphen/>
              <w:t> 15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V prípade potreby možno jednotlivú dávku zopakovať.</w:t>
            </w: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lang w:eastAsia="ar-SA"/>
              </w:rPr>
            </w:pP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keepNext/>
              <w:suppressAutoHyphens/>
              <w:snapToGrid w:val="0"/>
              <w:rPr>
                <w:szCs w:val="22"/>
                <w:lang w:eastAsia="ar-SA"/>
              </w:rPr>
            </w:pPr>
            <w:proofErr w:type="spellStart"/>
            <w:r w:rsidRPr="00DE3AAE">
              <w:rPr>
                <w:szCs w:val="22"/>
              </w:rPr>
              <w:t>Renálna</w:t>
            </w:r>
            <w:proofErr w:type="spellEnd"/>
            <w:r w:rsidRPr="00DE3AAE">
              <w:rPr>
                <w:szCs w:val="22"/>
              </w:rPr>
              <w:t xml:space="preserve"> </w:t>
            </w:r>
            <w:proofErr w:type="spellStart"/>
            <w:r w:rsidRPr="00DE3AAE">
              <w:rPr>
                <w:szCs w:val="22"/>
              </w:rPr>
              <w:t>angiografia</w:t>
            </w:r>
            <w:proofErr w:type="spellEnd"/>
          </w:p>
        </w:tc>
        <w:tc>
          <w:tcPr>
            <w:tcW w:w="857" w:type="pct"/>
          </w:tcPr>
          <w:p w:rsidR="00805BA2" w:rsidRPr="00DE3AAE" w:rsidRDefault="00805BA2" w:rsidP="00770D31">
            <w:pPr>
              <w:keepNext/>
              <w:suppressAutoHyphens/>
              <w:snapToGrid w:val="0"/>
              <w:jc w:val="center"/>
              <w:rPr>
                <w:szCs w:val="22"/>
                <w:lang w:eastAsia="ar-SA"/>
              </w:rPr>
            </w:pPr>
            <w:r w:rsidRPr="00DE3AAE">
              <w:rPr>
                <w:szCs w:val="22"/>
              </w:rPr>
              <w:t>6 </w:t>
            </w:r>
            <w:r w:rsidRPr="00DE3AAE">
              <w:rPr>
                <w:szCs w:val="22"/>
              </w:rPr>
              <w:noBreakHyphen/>
              <w:t> 15 ml</w:t>
            </w:r>
          </w:p>
        </w:tc>
        <w:tc>
          <w:tcPr>
            <w:tcW w:w="1439" w:type="pct"/>
          </w:tcPr>
          <w:p w:rsidR="00805BA2" w:rsidRPr="00DE3AAE" w:rsidRDefault="00805BA2" w:rsidP="00770D31">
            <w:pPr>
              <w:keepNext/>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V prípade potreby možno jednotlivú dávku zopakovať.</w:t>
            </w: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lang w:eastAsia="ar-SA"/>
              </w:rPr>
            </w:pPr>
          </w:p>
        </w:tc>
        <w:tc>
          <w:tcPr>
            <w:tcW w:w="857" w:type="pct"/>
          </w:tcPr>
          <w:p w:rsidR="00805BA2" w:rsidRPr="00DE3AAE" w:rsidRDefault="00805BA2" w:rsidP="00770D31">
            <w:pPr>
              <w:suppressAutoHyphens/>
              <w:snapToGrid w:val="0"/>
              <w:jc w:val="center"/>
              <w:rPr>
                <w:lang w:eastAsia="ar-SA"/>
              </w:rPr>
            </w:pPr>
          </w:p>
        </w:tc>
        <w:tc>
          <w:tcPr>
            <w:tcW w:w="1439" w:type="pct"/>
          </w:tcPr>
          <w:p w:rsidR="00805BA2" w:rsidRPr="00DE3AAE" w:rsidRDefault="00805BA2" w:rsidP="00770D31">
            <w:pPr>
              <w:suppressAutoHyphens/>
              <w:snapToGrid w:val="0"/>
              <w:jc w:val="center"/>
              <w:rPr>
                <w:lang w:eastAsia="ar-SA"/>
              </w:rPr>
            </w:pP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IA</w:t>
            </w:r>
            <w:r w:rsidRPr="00DE3AAE">
              <w:rPr>
                <w:szCs w:val="22"/>
              </w:rPr>
              <w:noBreakHyphen/>
              <w:t>DSA</w:t>
            </w:r>
          </w:p>
          <w:p w:rsidR="00805BA2" w:rsidRPr="00DE3AAE" w:rsidRDefault="00805BA2" w:rsidP="00770D31">
            <w:pPr>
              <w:suppressAutoHyphens/>
              <w:rPr>
                <w:lang w:eastAsia="ar-SA"/>
              </w:rPr>
            </w:pPr>
            <w:r w:rsidRPr="00DE3AAE">
              <w:rPr>
                <w:szCs w:val="22"/>
              </w:rPr>
              <w:t>Jednotlivú dávku možno v prípade potreby zopakovať. Dávajte pozor na prietok v krvnej cieve, do ktorej sa aplikuje kontrastná látka.</w:t>
            </w:r>
          </w:p>
        </w:tc>
        <w:tc>
          <w:tcPr>
            <w:tcW w:w="857" w:type="pct"/>
          </w:tcPr>
          <w:p w:rsidR="00805BA2" w:rsidRPr="00DE3AAE" w:rsidRDefault="00805BA2" w:rsidP="00770D31">
            <w:pPr>
              <w:suppressAutoHyphens/>
              <w:snapToGrid w:val="0"/>
              <w:jc w:val="center"/>
              <w:rPr>
                <w:szCs w:val="22"/>
                <w:lang w:eastAsia="ar-SA"/>
              </w:rPr>
            </w:pPr>
            <w:r w:rsidRPr="00DE3AAE">
              <w:rPr>
                <w:szCs w:val="22"/>
              </w:rPr>
              <w:t>5 </w:t>
            </w:r>
            <w:r w:rsidRPr="00DE3AAE">
              <w:rPr>
                <w:szCs w:val="22"/>
              </w:rPr>
              <w:noBreakHyphen/>
              <w:t> 80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IV</w:t>
            </w:r>
            <w:r w:rsidRPr="00DE3AAE">
              <w:rPr>
                <w:szCs w:val="22"/>
              </w:rPr>
              <w:noBreakHyphen/>
              <w:t>DSA</w:t>
            </w:r>
          </w:p>
          <w:p w:rsidR="00805BA2" w:rsidRPr="00DE3AAE" w:rsidRDefault="00805BA2" w:rsidP="00770D31">
            <w:pPr>
              <w:suppressAutoHyphens/>
              <w:rPr>
                <w:szCs w:val="22"/>
                <w:lang w:eastAsia="ar-SA"/>
              </w:rPr>
            </w:pPr>
            <w:r w:rsidRPr="00DE3AAE">
              <w:rPr>
                <w:szCs w:val="22"/>
              </w:rPr>
              <w:t>Jednotlivú dávku možno v prípade potreby zopakovať. Rýchlosť aplikácie má byť pri periférnej intravenóznej injekcii 8 </w:t>
            </w:r>
            <w:r w:rsidRPr="00DE3AAE">
              <w:rPr>
                <w:szCs w:val="22"/>
              </w:rPr>
              <w:noBreakHyphen/>
              <w:t xml:space="preserve"> 12 ml/s a pri centrálnej </w:t>
            </w:r>
            <w:proofErr w:type="spellStart"/>
            <w:r w:rsidRPr="00DE3AAE">
              <w:rPr>
                <w:szCs w:val="22"/>
              </w:rPr>
              <w:t>venóznej</w:t>
            </w:r>
            <w:proofErr w:type="spellEnd"/>
            <w:r w:rsidRPr="00DE3AAE">
              <w:rPr>
                <w:szCs w:val="22"/>
              </w:rPr>
              <w:t>/</w:t>
            </w:r>
            <w:proofErr w:type="spellStart"/>
            <w:r w:rsidRPr="00DE3AAE">
              <w:rPr>
                <w:szCs w:val="22"/>
              </w:rPr>
              <w:t>preatriálnej</w:t>
            </w:r>
            <w:proofErr w:type="spellEnd"/>
            <w:r w:rsidRPr="00DE3AAE">
              <w:rPr>
                <w:szCs w:val="22"/>
              </w:rPr>
              <w:t xml:space="preserve"> injekcii 10 </w:t>
            </w:r>
            <w:r w:rsidRPr="00DE3AAE">
              <w:rPr>
                <w:szCs w:val="22"/>
              </w:rPr>
              <w:noBreakHyphen/>
              <w:t> 20 ml/s. Cieva sa môže v prípade potreby prepláchnuť 20 </w:t>
            </w:r>
            <w:r w:rsidRPr="00DE3AAE">
              <w:rPr>
                <w:szCs w:val="22"/>
              </w:rPr>
              <w:noBreakHyphen/>
              <w:t> 50 ml fyziologického roztoku.</w:t>
            </w:r>
          </w:p>
          <w:p w:rsidR="00805BA2" w:rsidRPr="00DE3AAE" w:rsidRDefault="00805BA2" w:rsidP="00770D31">
            <w:pPr>
              <w:suppressAutoHyphens/>
              <w:rPr>
                <w:lang w:eastAsia="ar-SA"/>
              </w:rPr>
            </w:pPr>
          </w:p>
        </w:tc>
        <w:tc>
          <w:tcPr>
            <w:tcW w:w="857" w:type="pct"/>
          </w:tcPr>
          <w:p w:rsidR="00805BA2" w:rsidRPr="00DE3AAE" w:rsidRDefault="00805BA2" w:rsidP="00770D31">
            <w:pPr>
              <w:suppressAutoHyphens/>
              <w:snapToGrid w:val="0"/>
              <w:jc w:val="center"/>
              <w:rPr>
                <w:szCs w:val="22"/>
                <w:lang w:eastAsia="ar-SA"/>
              </w:rPr>
            </w:pPr>
            <w:r w:rsidRPr="00DE3AAE">
              <w:rPr>
                <w:szCs w:val="22"/>
              </w:rPr>
              <w:t>30 </w:t>
            </w:r>
            <w:r w:rsidRPr="00DE3AAE">
              <w:rPr>
                <w:szCs w:val="22"/>
              </w:rPr>
              <w:noBreakHyphen/>
              <w:t> 50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proofErr w:type="spellStart"/>
            <w:r w:rsidRPr="00DE3AAE">
              <w:rPr>
                <w:szCs w:val="22"/>
              </w:rPr>
              <w:t>Venografia</w:t>
            </w:r>
            <w:proofErr w:type="spellEnd"/>
          </w:p>
          <w:p w:rsidR="00805BA2" w:rsidRPr="00DE3AAE" w:rsidRDefault="00805BA2" w:rsidP="00770D31">
            <w:pPr>
              <w:suppressAutoHyphens/>
              <w:rPr>
                <w:lang w:eastAsia="ar-SA"/>
              </w:rPr>
            </w:pPr>
            <w:r w:rsidRPr="00DE3AAE">
              <w:rPr>
                <w:szCs w:val="22"/>
              </w:rPr>
              <w:t>Obvyklá dávka pre končatinu je 50 </w:t>
            </w:r>
            <w:r w:rsidRPr="00DE3AAE">
              <w:rPr>
                <w:szCs w:val="22"/>
              </w:rPr>
              <w:noBreakHyphen/>
              <w:t xml:space="preserve"> 100 ml. V niektorých prípadoch je potrebné použiť vyššiu alebo nižšiu dávku. </w:t>
            </w:r>
            <w:proofErr w:type="spellStart"/>
            <w:r w:rsidRPr="00DE3AAE">
              <w:rPr>
                <w:szCs w:val="22"/>
              </w:rPr>
              <w:t>Venózny</w:t>
            </w:r>
            <w:proofErr w:type="spellEnd"/>
            <w:r w:rsidRPr="00DE3AAE">
              <w:rPr>
                <w:szCs w:val="22"/>
              </w:rPr>
              <w:t xml:space="preserve"> systém sa po vyšetrení prepláchne vhodným roztokom (napr. fyziologickým roztokom). Na odstránenie kontrastnej látky z končatín sú tiež vhodné masáže a umiestnenie končatín do zvýšenej polohy.</w:t>
            </w:r>
          </w:p>
        </w:tc>
        <w:tc>
          <w:tcPr>
            <w:tcW w:w="857" w:type="pct"/>
          </w:tcPr>
          <w:p w:rsidR="00805BA2" w:rsidRPr="00DE3AAE" w:rsidRDefault="00805BA2" w:rsidP="00770D31">
            <w:pPr>
              <w:suppressAutoHyphens/>
              <w:snapToGrid w:val="0"/>
              <w:jc w:val="center"/>
              <w:rPr>
                <w:szCs w:val="22"/>
                <w:lang w:eastAsia="ar-SA"/>
              </w:rPr>
            </w:pPr>
            <w:r w:rsidRPr="00DE3AAE">
              <w:rPr>
                <w:szCs w:val="22"/>
              </w:rPr>
              <w:t>50 </w:t>
            </w:r>
            <w:r w:rsidRPr="00DE3AAE">
              <w:rPr>
                <w:szCs w:val="22"/>
              </w:rPr>
              <w:noBreakHyphen/>
              <w:t> 100 ml</w:t>
            </w:r>
          </w:p>
        </w:tc>
        <w:tc>
          <w:tcPr>
            <w:tcW w:w="1439" w:type="pct"/>
          </w:tcPr>
          <w:p w:rsidR="00805BA2" w:rsidRPr="00DE3AAE" w:rsidRDefault="00805BA2" w:rsidP="00770D31">
            <w:pPr>
              <w:suppressAutoHyphens/>
              <w:snapToGrid w:val="0"/>
              <w:jc w:val="center"/>
              <w:rPr>
                <w:szCs w:val="22"/>
                <w:lang w:eastAsia="ar-SA"/>
              </w:rPr>
            </w:pPr>
            <w:r w:rsidRPr="00DE3AAE">
              <w:rPr>
                <w:szCs w:val="22"/>
              </w:rPr>
              <w:t>250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 xml:space="preserve">Intravenózna </w:t>
            </w:r>
            <w:proofErr w:type="spellStart"/>
            <w:r w:rsidRPr="00DE3AAE">
              <w:rPr>
                <w:szCs w:val="22"/>
              </w:rPr>
              <w:t>urografia</w:t>
            </w:r>
            <w:proofErr w:type="spellEnd"/>
          </w:p>
          <w:p w:rsidR="00805BA2" w:rsidRPr="00DE3AAE" w:rsidRDefault="00805BA2" w:rsidP="00770D31">
            <w:pPr>
              <w:suppressAutoHyphens/>
              <w:rPr>
                <w:lang w:eastAsia="ar-SA"/>
              </w:rPr>
            </w:pPr>
            <w:r w:rsidRPr="00DE3AAE">
              <w:rPr>
                <w:szCs w:val="22"/>
              </w:rPr>
              <w:t>Dávku možno zvýšiť na 2 </w:t>
            </w:r>
            <w:r w:rsidRPr="00DE3AAE">
              <w:rPr>
                <w:szCs w:val="22"/>
              </w:rPr>
              <w:noBreakHyphen/>
              <w:t> 2,6 ml/kg telesnej hmotnosti v prípadoch, kedy je možné predpokladať nedostatočnú vizualizáciu, napríklad u starších pacientov alebo u pacientov so zníženou funkciou obličiek. Z dôvodu získania vysokokvalitného diagnostického výsledku sa musí kontrastná látka podať čo najrýchlejšie.</w:t>
            </w:r>
          </w:p>
        </w:tc>
        <w:tc>
          <w:tcPr>
            <w:tcW w:w="857" w:type="pct"/>
          </w:tcPr>
          <w:p w:rsidR="00805BA2" w:rsidRPr="00DE3AAE" w:rsidRDefault="00805BA2" w:rsidP="00770D31">
            <w:pPr>
              <w:suppressAutoHyphens/>
              <w:snapToGrid w:val="0"/>
              <w:jc w:val="center"/>
              <w:rPr>
                <w:szCs w:val="22"/>
                <w:lang w:eastAsia="ar-SA"/>
              </w:rPr>
            </w:pPr>
            <w:r w:rsidRPr="00DE3AAE">
              <w:rPr>
                <w:szCs w:val="22"/>
              </w:rPr>
              <w:t>50 </w:t>
            </w:r>
            <w:r w:rsidRPr="00DE3AAE">
              <w:rPr>
                <w:szCs w:val="22"/>
              </w:rPr>
              <w:noBreakHyphen/>
              <w:t> 100 ml</w:t>
            </w:r>
          </w:p>
        </w:tc>
        <w:tc>
          <w:tcPr>
            <w:tcW w:w="1439" w:type="pct"/>
          </w:tcPr>
          <w:p w:rsidR="00805BA2" w:rsidRPr="00DE3AAE" w:rsidRDefault="00805BA2" w:rsidP="00770D31">
            <w:pPr>
              <w:suppressAutoHyphens/>
              <w:snapToGrid w:val="0"/>
              <w:jc w:val="center"/>
              <w:rPr>
                <w:szCs w:val="22"/>
                <w:lang w:eastAsia="ar-SA"/>
              </w:rPr>
            </w:pPr>
            <w:r w:rsidRPr="00DE3AAE">
              <w:rPr>
                <w:szCs w:val="22"/>
              </w:rPr>
              <w:t>150 ml</w:t>
            </w:r>
          </w:p>
        </w:tc>
      </w:tr>
      <w:tr w:rsidR="00805BA2" w:rsidRPr="00DE3AAE" w:rsidTr="00770D31">
        <w:trPr>
          <w:cantSplit/>
        </w:trPr>
        <w:tc>
          <w:tcPr>
            <w:tcW w:w="2703" w:type="pct"/>
          </w:tcPr>
          <w:p w:rsidR="00805BA2" w:rsidRPr="00DE3AAE" w:rsidRDefault="00805BA2" w:rsidP="00770D31">
            <w:pPr>
              <w:suppressAutoHyphens/>
              <w:snapToGrid w:val="0"/>
              <w:rPr>
                <w:lang w:eastAsia="ar-SA"/>
              </w:rPr>
            </w:pPr>
            <w:r w:rsidRPr="00DE3AAE">
              <w:rPr>
                <w:szCs w:val="22"/>
              </w:rPr>
              <w:t>Kontrastné CT vyšetrenie hlavy</w:t>
            </w:r>
          </w:p>
        </w:tc>
        <w:tc>
          <w:tcPr>
            <w:tcW w:w="857" w:type="pct"/>
          </w:tcPr>
          <w:p w:rsidR="00805BA2" w:rsidRPr="00DE3AAE" w:rsidRDefault="00805BA2" w:rsidP="00770D31">
            <w:pPr>
              <w:suppressAutoHyphens/>
              <w:snapToGrid w:val="0"/>
              <w:jc w:val="center"/>
              <w:rPr>
                <w:szCs w:val="22"/>
                <w:lang w:eastAsia="ar-SA"/>
              </w:rPr>
            </w:pPr>
            <w:r w:rsidRPr="00DE3AAE">
              <w:rPr>
                <w:szCs w:val="22"/>
              </w:rPr>
              <w:t>50 </w:t>
            </w:r>
            <w:r w:rsidRPr="00DE3AAE">
              <w:rPr>
                <w:szCs w:val="22"/>
              </w:rPr>
              <w:noBreakHyphen/>
              <w:t> 150 ml</w:t>
            </w:r>
          </w:p>
        </w:tc>
        <w:tc>
          <w:tcPr>
            <w:tcW w:w="1439" w:type="pct"/>
          </w:tcPr>
          <w:p w:rsidR="00805BA2" w:rsidRPr="00DE3AAE" w:rsidRDefault="00805BA2" w:rsidP="00770D31">
            <w:pPr>
              <w:suppressAutoHyphens/>
              <w:snapToGrid w:val="0"/>
              <w:jc w:val="center"/>
              <w:rPr>
                <w:szCs w:val="22"/>
                <w:lang w:eastAsia="ar-SA"/>
              </w:rPr>
            </w:pPr>
            <w:r w:rsidRPr="00DE3AAE">
              <w:rPr>
                <w:szCs w:val="22"/>
              </w:rPr>
              <w:t>150 ml</w:t>
            </w:r>
          </w:p>
        </w:tc>
      </w:tr>
      <w:tr w:rsidR="00805BA2" w:rsidRPr="00DE3AAE" w:rsidTr="00770D31">
        <w:trPr>
          <w:cantSplit/>
        </w:trPr>
        <w:tc>
          <w:tcPr>
            <w:tcW w:w="2703" w:type="pct"/>
          </w:tcPr>
          <w:p w:rsidR="00805BA2" w:rsidRPr="00DE3AAE" w:rsidRDefault="00805BA2" w:rsidP="00770D31">
            <w:pPr>
              <w:suppressAutoHyphens/>
              <w:snapToGrid w:val="0"/>
              <w:rPr>
                <w:szCs w:val="22"/>
                <w:lang w:eastAsia="ar-SA"/>
              </w:rPr>
            </w:pPr>
            <w:r w:rsidRPr="00DE3AAE">
              <w:rPr>
                <w:szCs w:val="22"/>
              </w:rPr>
              <w:t>Kontrastné CT vyšetrenie tela</w:t>
            </w:r>
          </w:p>
        </w:tc>
        <w:tc>
          <w:tcPr>
            <w:tcW w:w="857" w:type="pct"/>
          </w:tcPr>
          <w:p w:rsidR="00805BA2" w:rsidRPr="00DE3AAE" w:rsidRDefault="00805BA2" w:rsidP="00770D31">
            <w:pPr>
              <w:suppressAutoHyphens/>
              <w:snapToGrid w:val="0"/>
              <w:jc w:val="center"/>
              <w:rPr>
                <w:szCs w:val="22"/>
                <w:lang w:eastAsia="ar-SA"/>
              </w:rPr>
            </w:pPr>
            <w:r w:rsidRPr="00DE3AAE">
              <w:rPr>
                <w:szCs w:val="22"/>
              </w:rPr>
              <w:t>25 </w:t>
            </w:r>
            <w:r w:rsidRPr="00DE3AAE">
              <w:rPr>
                <w:szCs w:val="22"/>
              </w:rPr>
              <w:noBreakHyphen/>
              <w:t> 150 ml</w:t>
            </w:r>
          </w:p>
        </w:tc>
        <w:tc>
          <w:tcPr>
            <w:tcW w:w="1439" w:type="pct"/>
          </w:tcPr>
          <w:p w:rsidR="00805BA2" w:rsidRPr="00DE3AAE" w:rsidRDefault="00805BA2" w:rsidP="00770D31">
            <w:pPr>
              <w:suppressAutoHyphens/>
              <w:snapToGrid w:val="0"/>
              <w:jc w:val="center"/>
              <w:rPr>
                <w:szCs w:val="22"/>
                <w:lang w:eastAsia="ar-SA"/>
              </w:rPr>
            </w:pPr>
            <w:r w:rsidRPr="00DE3AAE">
              <w:rPr>
                <w:szCs w:val="22"/>
              </w:rPr>
              <w:t>150 ml</w:t>
            </w:r>
          </w:p>
        </w:tc>
      </w:tr>
    </w:tbl>
    <w:p w:rsidR="00805BA2" w:rsidRPr="00DE3AAE" w:rsidRDefault="00805BA2" w:rsidP="00805BA2"/>
    <w:p w:rsidR="00805BA2" w:rsidRPr="00DE3AAE" w:rsidRDefault="00805BA2" w:rsidP="00805BA2">
      <w:r w:rsidRPr="00DE3AAE">
        <w:t xml:space="preserve">U celotelového CT vyšetrenia závisí rýchlosť podania od vyšetrovaných orgánov. </w:t>
      </w:r>
      <w:proofErr w:type="spellStart"/>
      <w:r w:rsidRPr="00DE3AAE">
        <w:t>Optiray</w:t>
      </w:r>
      <w:proofErr w:type="spellEnd"/>
      <w:r w:rsidRPr="00DE3AAE">
        <w:t xml:space="preserve"> 240 možno podať ako </w:t>
      </w:r>
      <w:proofErr w:type="spellStart"/>
      <w:r w:rsidRPr="00DE3AAE">
        <w:t>bolusovú</w:t>
      </w:r>
      <w:proofErr w:type="spellEnd"/>
      <w:r w:rsidRPr="00DE3AAE">
        <w:t xml:space="preserve"> dávku, ako krátkodobú infúziu alebo ako kombináciu oboch postupov. Obvyklá dávka pre </w:t>
      </w:r>
      <w:proofErr w:type="spellStart"/>
      <w:r w:rsidRPr="00DE3AAE">
        <w:t>bolusovú</w:t>
      </w:r>
      <w:proofErr w:type="spellEnd"/>
      <w:r w:rsidRPr="00DE3AAE">
        <w:t xml:space="preserve"> injekciu je 25 </w:t>
      </w:r>
      <w:r w:rsidRPr="00DE3AAE">
        <w:noBreakHyphen/>
        <w:t> 75 ml. Obvyklá dávka pre krátkodobú infúziu je 50 </w:t>
      </w:r>
      <w:r w:rsidRPr="00DE3AAE">
        <w:noBreakHyphen/>
        <w:t> 150 ml.</w:t>
      </w:r>
    </w:p>
    <w:p w:rsidR="00805BA2" w:rsidRPr="00DE3AAE" w:rsidRDefault="00805BA2" w:rsidP="00805BA2">
      <w:pPr>
        <w:rPr>
          <w:szCs w:val="22"/>
          <w:lang w:eastAsia="ar-SA"/>
        </w:rPr>
      </w:pPr>
    </w:p>
    <w:p w:rsidR="00805BA2" w:rsidRPr="00DE3AAE" w:rsidRDefault="00805BA2" w:rsidP="00805BA2">
      <w:pPr>
        <w:rPr>
          <w:szCs w:val="22"/>
          <w:lang w:eastAsia="ar-SA"/>
        </w:rPr>
      </w:pPr>
    </w:p>
    <w:p w:rsidR="00805BA2" w:rsidRPr="00DE3AAE" w:rsidRDefault="00805BA2" w:rsidP="00805BA2">
      <w:pPr>
        <w:keepNext/>
        <w:rPr>
          <w:b/>
          <w:bCs/>
        </w:rPr>
      </w:pPr>
      <w:r w:rsidRPr="00DE3AAE">
        <w:rPr>
          <w:b/>
          <w:bCs/>
        </w:rPr>
        <w:t>Starší pacienti:</w:t>
      </w:r>
    </w:p>
    <w:p w:rsidR="00805BA2" w:rsidRPr="00DE3AAE" w:rsidRDefault="00805BA2" w:rsidP="00805BA2">
      <w:pPr>
        <w:rPr>
          <w:lang w:eastAsia="ar-SA"/>
        </w:rPr>
      </w:pPr>
      <w:r w:rsidRPr="00DE3AAE">
        <w:t>Dávkovanie ako pre dospelých. Pokiaľ možno očakávať horšiu vizualizáciu, možno zvýšiť dávku na maximálnu úroveň.</w:t>
      </w:r>
    </w:p>
    <w:p w:rsidR="00805BA2" w:rsidRPr="00DE3AAE" w:rsidRDefault="00805BA2" w:rsidP="00805BA2"/>
    <w:p w:rsidR="00805BA2" w:rsidRPr="00DE3AAE" w:rsidRDefault="00805BA2" w:rsidP="00805BA2">
      <w:pPr>
        <w:rPr>
          <w:b/>
          <w:bCs/>
        </w:rPr>
      </w:pPr>
      <w:r>
        <w:rPr>
          <w:b/>
          <w:bCs/>
        </w:rPr>
        <w:t>Pediatrická populácia</w:t>
      </w:r>
      <w:r w:rsidRPr="00DE3AAE">
        <w:rPr>
          <w:b/>
          <w:bCs/>
        </w:rPr>
        <w:t>:</w:t>
      </w:r>
    </w:p>
    <w:p w:rsidR="00805BA2" w:rsidRPr="00DE3AAE" w:rsidRDefault="00805BA2" w:rsidP="00805BA2">
      <w:pPr>
        <w:rPr>
          <w:lang w:eastAsia="ar-SA"/>
        </w:rPr>
      </w:pPr>
      <w:r w:rsidRPr="00DE3AAE">
        <w:lastRenderedPageBreak/>
        <w:t xml:space="preserve">Bezpečnosť a účinnosť látky </w:t>
      </w:r>
      <w:proofErr w:type="spellStart"/>
      <w:r w:rsidRPr="00DE3AAE">
        <w:t>Optiray</w:t>
      </w:r>
      <w:proofErr w:type="spellEnd"/>
      <w:r w:rsidRPr="00DE3AAE">
        <w:t xml:space="preserve"> 240 u detí nebola s istotou potvrdená. Tento liek sa preto nemá používať u detí vo veku do 18 rokov, pokiaľ nebudú k dispozícii ďalšie údaje. Pre mozgovú, periférnu a </w:t>
      </w:r>
      <w:proofErr w:type="spellStart"/>
      <w:r w:rsidRPr="00DE3AAE">
        <w:t>viscerálnu</w:t>
      </w:r>
      <w:proofErr w:type="spellEnd"/>
      <w:r w:rsidRPr="00DE3AAE">
        <w:t xml:space="preserve"> </w:t>
      </w:r>
      <w:proofErr w:type="spellStart"/>
      <w:r w:rsidRPr="00DE3AAE">
        <w:t>angiografiu</w:t>
      </w:r>
      <w:proofErr w:type="spellEnd"/>
      <w:r w:rsidRPr="00DE3AAE">
        <w:t xml:space="preserve"> a pre intravenóznu </w:t>
      </w:r>
      <w:proofErr w:type="spellStart"/>
      <w:r w:rsidRPr="00DE3AAE">
        <w:t>urografiu</w:t>
      </w:r>
      <w:proofErr w:type="spellEnd"/>
      <w:r w:rsidRPr="00DE3AAE">
        <w:t xml:space="preserve"> možno u detí použiť </w:t>
      </w:r>
      <w:proofErr w:type="spellStart"/>
      <w:r w:rsidRPr="00DE3AAE">
        <w:t>Optiray</w:t>
      </w:r>
      <w:proofErr w:type="spellEnd"/>
      <w:r w:rsidRPr="00DE3AAE">
        <w:t> 300.</w:t>
      </w:r>
    </w:p>
    <w:p w:rsidR="00805BA2" w:rsidRPr="00DE3AAE" w:rsidRDefault="00805BA2" w:rsidP="00805BA2">
      <w:pPr>
        <w:rPr>
          <w:lang w:eastAsia="ar-SA"/>
        </w:rPr>
      </w:pPr>
    </w:p>
    <w:p w:rsidR="00805BA2" w:rsidRPr="00DE3AAE" w:rsidRDefault="00805BA2" w:rsidP="00805BA2">
      <w:pPr>
        <w:rPr>
          <w:lang w:eastAsia="ar-SA"/>
        </w:rPr>
      </w:pPr>
    </w:p>
    <w:p w:rsidR="00805BA2" w:rsidRPr="00DE3AAE" w:rsidRDefault="00805BA2" w:rsidP="00805BA2">
      <w:pPr>
        <w:keepNext/>
        <w:rPr>
          <w:b/>
          <w:bCs/>
          <w:lang w:eastAsia="ar-SA"/>
        </w:rPr>
      </w:pPr>
      <w:proofErr w:type="spellStart"/>
      <w:r w:rsidRPr="00DE3AAE">
        <w:rPr>
          <w:b/>
          <w:bCs/>
        </w:rPr>
        <w:t>Subarachnoidálne</w:t>
      </w:r>
      <w:proofErr w:type="spellEnd"/>
      <w:r w:rsidRPr="00DE3AAE">
        <w:rPr>
          <w:b/>
          <w:bCs/>
        </w:rPr>
        <w:t xml:space="preserve"> podanie</w:t>
      </w:r>
    </w:p>
    <w:p w:rsidR="00805BA2" w:rsidRPr="00DE3AAE" w:rsidRDefault="00805BA2" w:rsidP="00805BA2">
      <w:pPr>
        <w:keepNext/>
      </w:pPr>
    </w:p>
    <w:tbl>
      <w:tblPr>
        <w:tblW w:w="5000" w:type="pct"/>
        <w:tblCellMar>
          <w:left w:w="70" w:type="dxa"/>
          <w:right w:w="70" w:type="dxa"/>
        </w:tblCellMar>
        <w:tblLook w:val="0000" w:firstRow="0" w:lastRow="0" w:firstColumn="0" w:lastColumn="0" w:noHBand="0" w:noVBand="0"/>
      </w:tblPr>
      <w:tblGrid>
        <w:gridCol w:w="4980"/>
        <w:gridCol w:w="1579"/>
        <w:gridCol w:w="2651"/>
      </w:tblGrid>
      <w:tr w:rsidR="00805BA2" w:rsidRPr="00DE3AAE" w:rsidTr="00770D31">
        <w:trPr>
          <w:tblHeader/>
        </w:trPr>
        <w:tc>
          <w:tcPr>
            <w:tcW w:w="2704"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rPr>
                <w:b/>
                <w:bCs/>
                <w:szCs w:val="22"/>
                <w:lang w:eastAsia="ar-SA"/>
              </w:rPr>
            </w:pPr>
            <w:r w:rsidRPr="00DE3AAE">
              <w:rPr>
                <w:b/>
                <w:bCs/>
                <w:szCs w:val="22"/>
              </w:rPr>
              <w:t>Dospelí:</w:t>
            </w:r>
          </w:p>
        </w:tc>
        <w:tc>
          <w:tcPr>
            <w:tcW w:w="2296" w:type="pct"/>
            <w:gridSpan w:val="2"/>
            <w:tcBorders>
              <w:top w:val="single" w:sz="4" w:space="0" w:color="000000"/>
              <w:left w:val="single" w:sz="4" w:space="0" w:color="000000"/>
              <w:bottom w:val="single" w:sz="4" w:space="0" w:color="000000"/>
              <w:right w:val="single" w:sz="4" w:space="0" w:color="000000"/>
            </w:tcBorders>
          </w:tcPr>
          <w:p w:rsidR="00805BA2" w:rsidRPr="00DE3AAE" w:rsidRDefault="00805BA2" w:rsidP="00770D31">
            <w:pPr>
              <w:keepNext/>
              <w:suppressAutoHyphens/>
              <w:snapToGrid w:val="0"/>
              <w:jc w:val="center"/>
              <w:rPr>
                <w:b/>
                <w:bCs/>
                <w:szCs w:val="22"/>
                <w:lang w:eastAsia="ar-SA"/>
              </w:rPr>
            </w:pPr>
            <w:r w:rsidRPr="00DE3AAE">
              <w:rPr>
                <w:b/>
                <w:bCs/>
                <w:szCs w:val="22"/>
              </w:rPr>
              <w:t>Odporúčaná schéma dávkovania:</w:t>
            </w:r>
          </w:p>
        </w:tc>
      </w:tr>
      <w:tr w:rsidR="00805BA2" w:rsidRPr="00DE3AAE" w:rsidTr="00770D31">
        <w:trPr>
          <w:tblHeader/>
        </w:trPr>
        <w:tc>
          <w:tcPr>
            <w:tcW w:w="2704"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rPr>
                <w:b/>
                <w:bCs/>
                <w:szCs w:val="22"/>
                <w:lang w:eastAsia="ar-SA"/>
              </w:rPr>
            </w:pPr>
            <w:r w:rsidRPr="00DE3AAE">
              <w:rPr>
                <w:b/>
                <w:bCs/>
                <w:szCs w:val="22"/>
              </w:rPr>
              <w:t>Postup</w:t>
            </w:r>
          </w:p>
        </w:tc>
        <w:tc>
          <w:tcPr>
            <w:tcW w:w="857"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jc w:val="center"/>
              <w:rPr>
                <w:b/>
                <w:bCs/>
                <w:szCs w:val="22"/>
                <w:lang w:eastAsia="ar-SA"/>
              </w:rPr>
            </w:pPr>
            <w:r w:rsidRPr="00DE3AAE">
              <w:rPr>
                <w:b/>
                <w:bCs/>
                <w:szCs w:val="22"/>
              </w:rPr>
              <w:t>Dávka</w:t>
            </w:r>
          </w:p>
        </w:tc>
        <w:tc>
          <w:tcPr>
            <w:tcW w:w="1439" w:type="pct"/>
            <w:tcBorders>
              <w:top w:val="single" w:sz="4" w:space="0" w:color="000000"/>
              <w:left w:val="single" w:sz="4" w:space="0" w:color="000000"/>
              <w:bottom w:val="single" w:sz="4" w:space="0" w:color="000000"/>
              <w:right w:val="single" w:sz="4" w:space="0" w:color="000000"/>
            </w:tcBorders>
          </w:tcPr>
          <w:p w:rsidR="00805BA2" w:rsidRPr="00DE3AAE" w:rsidRDefault="00805BA2" w:rsidP="00770D31">
            <w:pPr>
              <w:keepNext/>
              <w:suppressAutoHyphens/>
              <w:snapToGrid w:val="0"/>
              <w:jc w:val="center"/>
              <w:rPr>
                <w:b/>
                <w:bCs/>
                <w:szCs w:val="22"/>
                <w:lang w:eastAsia="ar-SA"/>
              </w:rPr>
            </w:pPr>
            <w:r w:rsidRPr="00DE3AAE">
              <w:rPr>
                <w:b/>
                <w:bCs/>
                <w:szCs w:val="22"/>
              </w:rPr>
              <w:t>Maximálna celková dávka</w:t>
            </w:r>
          </w:p>
        </w:tc>
      </w:tr>
      <w:tr w:rsidR="00805BA2" w:rsidRPr="00DE3AAE" w:rsidTr="00770D31">
        <w:tc>
          <w:tcPr>
            <w:tcW w:w="2704"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rPr>
                <w:szCs w:val="22"/>
                <w:lang w:eastAsia="ar-SA"/>
              </w:rPr>
            </w:pPr>
            <w:r w:rsidRPr="00DE3AAE">
              <w:rPr>
                <w:szCs w:val="22"/>
              </w:rPr>
              <w:t xml:space="preserve">Lumbálna </w:t>
            </w:r>
            <w:proofErr w:type="spellStart"/>
            <w:r w:rsidRPr="00DE3AAE">
              <w:rPr>
                <w:szCs w:val="22"/>
              </w:rPr>
              <w:t>myelografia</w:t>
            </w:r>
            <w:proofErr w:type="spellEnd"/>
          </w:p>
        </w:tc>
        <w:tc>
          <w:tcPr>
            <w:tcW w:w="857"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jc w:val="center"/>
              <w:rPr>
                <w:szCs w:val="22"/>
                <w:lang w:eastAsia="ar-SA"/>
              </w:rPr>
            </w:pPr>
            <w:r w:rsidRPr="00DE3AAE">
              <w:rPr>
                <w:szCs w:val="22"/>
              </w:rPr>
              <w:t>10 </w:t>
            </w:r>
            <w:r w:rsidRPr="00DE3AAE">
              <w:rPr>
                <w:szCs w:val="22"/>
              </w:rPr>
              <w:noBreakHyphen/>
              <w:t> 15 ml</w:t>
            </w:r>
          </w:p>
        </w:tc>
        <w:tc>
          <w:tcPr>
            <w:tcW w:w="1439" w:type="pct"/>
            <w:tcBorders>
              <w:top w:val="single" w:sz="4" w:space="0" w:color="000000"/>
              <w:left w:val="single" w:sz="4" w:space="0" w:color="000000"/>
              <w:bottom w:val="single" w:sz="4" w:space="0" w:color="000000"/>
              <w:right w:val="single" w:sz="4" w:space="0" w:color="000000"/>
            </w:tcBorders>
          </w:tcPr>
          <w:p w:rsidR="00805BA2" w:rsidRPr="00DE3AAE" w:rsidRDefault="00805BA2" w:rsidP="00770D31">
            <w:pPr>
              <w:keepNext/>
              <w:suppressAutoHyphens/>
              <w:snapToGrid w:val="0"/>
              <w:jc w:val="center"/>
              <w:rPr>
                <w:szCs w:val="22"/>
                <w:lang w:eastAsia="ar-SA"/>
              </w:rPr>
            </w:pPr>
            <w:r w:rsidRPr="00DE3AAE">
              <w:rPr>
                <w:szCs w:val="22"/>
              </w:rPr>
              <w:t>15 ml</w:t>
            </w:r>
          </w:p>
        </w:tc>
      </w:tr>
      <w:tr w:rsidR="00805BA2" w:rsidRPr="00DE3AAE" w:rsidTr="00770D31">
        <w:tc>
          <w:tcPr>
            <w:tcW w:w="2704"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rPr>
                <w:szCs w:val="22"/>
                <w:lang w:eastAsia="ar-SA"/>
              </w:rPr>
            </w:pPr>
            <w:proofErr w:type="spellStart"/>
            <w:r w:rsidRPr="00DE3AAE">
              <w:rPr>
                <w:szCs w:val="22"/>
              </w:rPr>
              <w:t>Torakálna</w:t>
            </w:r>
            <w:proofErr w:type="spellEnd"/>
            <w:r w:rsidRPr="00DE3AAE">
              <w:rPr>
                <w:szCs w:val="22"/>
              </w:rPr>
              <w:t xml:space="preserve"> </w:t>
            </w:r>
            <w:proofErr w:type="spellStart"/>
            <w:r w:rsidRPr="00DE3AAE">
              <w:rPr>
                <w:szCs w:val="22"/>
              </w:rPr>
              <w:t>myelografia</w:t>
            </w:r>
            <w:proofErr w:type="spellEnd"/>
          </w:p>
        </w:tc>
        <w:tc>
          <w:tcPr>
            <w:tcW w:w="857"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jc w:val="center"/>
              <w:rPr>
                <w:szCs w:val="22"/>
                <w:lang w:eastAsia="ar-SA"/>
              </w:rPr>
            </w:pPr>
            <w:r w:rsidRPr="00DE3AAE">
              <w:rPr>
                <w:szCs w:val="22"/>
              </w:rPr>
              <w:t>10 </w:t>
            </w:r>
            <w:r w:rsidRPr="00DE3AAE">
              <w:rPr>
                <w:szCs w:val="22"/>
              </w:rPr>
              <w:noBreakHyphen/>
              <w:t> 15 ml</w:t>
            </w:r>
          </w:p>
        </w:tc>
        <w:tc>
          <w:tcPr>
            <w:tcW w:w="1439" w:type="pct"/>
            <w:tcBorders>
              <w:top w:val="single" w:sz="4" w:space="0" w:color="000000"/>
              <w:left w:val="single" w:sz="4" w:space="0" w:color="000000"/>
              <w:bottom w:val="single" w:sz="4" w:space="0" w:color="000000"/>
              <w:right w:val="single" w:sz="4" w:space="0" w:color="000000"/>
            </w:tcBorders>
          </w:tcPr>
          <w:p w:rsidR="00805BA2" w:rsidRPr="00DE3AAE" w:rsidRDefault="00805BA2" w:rsidP="00770D31">
            <w:pPr>
              <w:keepNext/>
              <w:suppressAutoHyphens/>
              <w:snapToGrid w:val="0"/>
              <w:jc w:val="center"/>
              <w:rPr>
                <w:szCs w:val="22"/>
                <w:lang w:eastAsia="ar-SA"/>
              </w:rPr>
            </w:pPr>
            <w:r w:rsidRPr="00DE3AAE">
              <w:rPr>
                <w:szCs w:val="22"/>
              </w:rPr>
              <w:t>15 ml</w:t>
            </w:r>
          </w:p>
        </w:tc>
      </w:tr>
      <w:tr w:rsidR="00805BA2" w:rsidRPr="00DE3AAE" w:rsidTr="00770D31">
        <w:tc>
          <w:tcPr>
            <w:tcW w:w="2704"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rPr>
                <w:szCs w:val="22"/>
                <w:lang w:eastAsia="ar-SA"/>
              </w:rPr>
            </w:pPr>
            <w:proofErr w:type="spellStart"/>
            <w:r w:rsidRPr="00DE3AAE">
              <w:rPr>
                <w:szCs w:val="22"/>
              </w:rPr>
              <w:t>Radikulografia</w:t>
            </w:r>
            <w:proofErr w:type="spellEnd"/>
          </w:p>
        </w:tc>
        <w:tc>
          <w:tcPr>
            <w:tcW w:w="857" w:type="pct"/>
            <w:tcBorders>
              <w:top w:val="single" w:sz="4" w:space="0" w:color="000000"/>
              <w:left w:val="single" w:sz="4" w:space="0" w:color="000000"/>
              <w:bottom w:val="single" w:sz="4" w:space="0" w:color="000000"/>
            </w:tcBorders>
          </w:tcPr>
          <w:p w:rsidR="00805BA2" w:rsidRPr="00DE3AAE" w:rsidRDefault="00805BA2" w:rsidP="00770D31">
            <w:pPr>
              <w:keepNext/>
              <w:suppressAutoHyphens/>
              <w:snapToGrid w:val="0"/>
              <w:jc w:val="center"/>
              <w:rPr>
                <w:szCs w:val="22"/>
                <w:lang w:eastAsia="ar-SA"/>
              </w:rPr>
            </w:pPr>
            <w:r w:rsidRPr="00DE3AAE">
              <w:rPr>
                <w:szCs w:val="22"/>
              </w:rPr>
              <w:t>10 </w:t>
            </w:r>
            <w:r w:rsidRPr="00DE3AAE">
              <w:rPr>
                <w:szCs w:val="22"/>
              </w:rPr>
              <w:noBreakHyphen/>
              <w:t> 15 ml</w:t>
            </w:r>
          </w:p>
        </w:tc>
        <w:tc>
          <w:tcPr>
            <w:tcW w:w="1439" w:type="pct"/>
            <w:tcBorders>
              <w:top w:val="single" w:sz="4" w:space="0" w:color="000000"/>
              <w:left w:val="single" w:sz="4" w:space="0" w:color="000000"/>
              <w:bottom w:val="single" w:sz="4" w:space="0" w:color="000000"/>
              <w:right w:val="single" w:sz="4" w:space="0" w:color="000000"/>
            </w:tcBorders>
          </w:tcPr>
          <w:p w:rsidR="00805BA2" w:rsidRPr="00DE3AAE" w:rsidRDefault="00805BA2" w:rsidP="00770D31">
            <w:pPr>
              <w:keepNext/>
              <w:suppressAutoHyphens/>
              <w:snapToGrid w:val="0"/>
              <w:jc w:val="center"/>
              <w:rPr>
                <w:szCs w:val="22"/>
                <w:lang w:eastAsia="ar-SA"/>
              </w:rPr>
            </w:pPr>
            <w:r w:rsidRPr="00DE3AAE">
              <w:rPr>
                <w:szCs w:val="22"/>
              </w:rPr>
              <w:t>15 ml</w:t>
            </w:r>
          </w:p>
        </w:tc>
      </w:tr>
      <w:tr w:rsidR="00805BA2" w:rsidRPr="00DE3AAE" w:rsidTr="00770D31">
        <w:tc>
          <w:tcPr>
            <w:tcW w:w="2704" w:type="pct"/>
            <w:tcBorders>
              <w:top w:val="single" w:sz="4" w:space="0" w:color="000000"/>
              <w:left w:val="single" w:sz="4" w:space="0" w:color="000000"/>
              <w:bottom w:val="single" w:sz="4" w:space="0" w:color="000000"/>
            </w:tcBorders>
          </w:tcPr>
          <w:p w:rsidR="00805BA2" w:rsidRPr="00DE3AAE" w:rsidRDefault="00805BA2" w:rsidP="00770D31">
            <w:pPr>
              <w:suppressAutoHyphens/>
              <w:snapToGrid w:val="0"/>
              <w:rPr>
                <w:szCs w:val="22"/>
                <w:lang w:eastAsia="ar-SA"/>
              </w:rPr>
            </w:pPr>
            <w:proofErr w:type="spellStart"/>
            <w:r w:rsidRPr="00DE3AAE">
              <w:rPr>
                <w:szCs w:val="22"/>
              </w:rPr>
              <w:t>Cervikálna</w:t>
            </w:r>
            <w:proofErr w:type="spellEnd"/>
            <w:r w:rsidRPr="00DE3AAE">
              <w:rPr>
                <w:szCs w:val="22"/>
              </w:rPr>
              <w:t xml:space="preserve"> </w:t>
            </w:r>
            <w:proofErr w:type="spellStart"/>
            <w:r w:rsidRPr="00DE3AAE">
              <w:rPr>
                <w:szCs w:val="22"/>
              </w:rPr>
              <w:t>myelografia</w:t>
            </w:r>
            <w:proofErr w:type="spellEnd"/>
            <w:r w:rsidRPr="00DE3AAE">
              <w:rPr>
                <w:szCs w:val="22"/>
              </w:rPr>
              <w:t xml:space="preserve"> prostredníctvom </w:t>
            </w:r>
            <w:proofErr w:type="spellStart"/>
            <w:r w:rsidRPr="00DE3AAE">
              <w:rPr>
                <w:szCs w:val="22"/>
              </w:rPr>
              <w:t>laterálno-cervikálnej</w:t>
            </w:r>
            <w:proofErr w:type="spellEnd"/>
            <w:r w:rsidRPr="00DE3AAE">
              <w:rPr>
                <w:szCs w:val="22"/>
              </w:rPr>
              <w:t xml:space="preserve"> injekcie</w:t>
            </w:r>
          </w:p>
        </w:tc>
        <w:tc>
          <w:tcPr>
            <w:tcW w:w="857" w:type="pct"/>
            <w:tcBorders>
              <w:top w:val="single" w:sz="4" w:space="0" w:color="000000"/>
              <w:left w:val="single" w:sz="4" w:space="0" w:color="000000"/>
              <w:bottom w:val="single" w:sz="4" w:space="0" w:color="000000"/>
            </w:tcBorders>
          </w:tcPr>
          <w:p w:rsidR="00805BA2" w:rsidRPr="00DE3AAE" w:rsidRDefault="00805BA2" w:rsidP="00770D31">
            <w:pPr>
              <w:suppressAutoHyphens/>
              <w:snapToGrid w:val="0"/>
              <w:jc w:val="center"/>
              <w:rPr>
                <w:szCs w:val="22"/>
                <w:lang w:eastAsia="ar-SA"/>
              </w:rPr>
            </w:pPr>
            <w:r w:rsidRPr="00DE3AAE">
              <w:rPr>
                <w:szCs w:val="22"/>
              </w:rPr>
              <w:t>10 </w:t>
            </w:r>
            <w:r w:rsidRPr="00DE3AAE">
              <w:rPr>
                <w:szCs w:val="22"/>
              </w:rPr>
              <w:noBreakHyphen/>
              <w:t> 15 ml</w:t>
            </w:r>
          </w:p>
        </w:tc>
        <w:tc>
          <w:tcPr>
            <w:tcW w:w="1439" w:type="pct"/>
            <w:tcBorders>
              <w:top w:val="single" w:sz="4" w:space="0" w:color="000000"/>
              <w:left w:val="single" w:sz="4" w:space="0" w:color="000000"/>
              <w:bottom w:val="single" w:sz="4" w:space="0" w:color="000000"/>
              <w:right w:val="single" w:sz="4" w:space="0" w:color="000000"/>
            </w:tcBorders>
          </w:tcPr>
          <w:p w:rsidR="00805BA2" w:rsidRPr="00DE3AAE" w:rsidRDefault="00805BA2" w:rsidP="00770D31">
            <w:pPr>
              <w:suppressAutoHyphens/>
              <w:snapToGrid w:val="0"/>
              <w:jc w:val="center"/>
              <w:rPr>
                <w:szCs w:val="22"/>
                <w:lang w:eastAsia="ar-SA"/>
              </w:rPr>
            </w:pPr>
            <w:r w:rsidRPr="00DE3AAE">
              <w:rPr>
                <w:szCs w:val="22"/>
              </w:rPr>
              <w:t>15 ml</w:t>
            </w:r>
          </w:p>
        </w:tc>
      </w:tr>
    </w:tbl>
    <w:p w:rsidR="00805BA2" w:rsidRPr="00DE3AAE" w:rsidRDefault="00805BA2" w:rsidP="00805BA2">
      <w:pPr>
        <w:rPr>
          <w:lang w:eastAsia="ar-SA"/>
        </w:rPr>
      </w:pPr>
      <w:proofErr w:type="spellStart"/>
      <w:r w:rsidRPr="00DE3AAE">
        <w:t>Intratekálne</w:t>
      </w:r>
      <w:proofErr w:type="spellEnd"/>
      <w:r w:rsidRPr="00DE3AAE">
        <w:t xml:space="preserve"> sa nemá injektovať viac ako 3,6 g jódu (čo zodpovedá 15 ml </w:t>
      </w:r>
      <w:proofErr w:type="spellStart"/>
      <w:r w:rsidRPr="00DE3AAE">
        <w:t>Optiray</w:t>
      </w:r>
      <w:proofErr w:type="spellEnd"/>
      <w:r w:rsidRPr="00DE3AAE">
        <w:t> 240).</w:t>
      </w:r>
    </w:p>
    <w:p w:rsidR="00805BA2" w:rsidRPr="00DE3AAE" w:rsidRDefault="00805BA2" w:rsidP="00805BA2">
      <w:pPr>
        <w:rPr>
          <w:lang w:eastAsia="ar-SA"/>
        </w:rPr>
      </w:pPr>
    </w:p>
    <w:p w:rsidR="00805BA2" w:rsidRPr="00DE3AAE" w:rsidRDefault="00805BA2" w:rsidP="00805BA2">
      <w:pPr>
        <w:rPr>
          <w:szCs w:val="22"/>
          <w:lang w:eastAsia="ar-SA"/>
        </w:rPr>
      </w:pPr>
      <w:r w:rsidRPr="00DE3AAE">
        <w:rPr>
          <w:szCs w:val="22"/>
        </w:rPr>
        <w:t xml:space="preserve">Vyšetrenie prebieha zvyčajne bez </w:t>
      </w:r>
      <w:proofErr w:type="spellStart"/>
      <w:r w:rsidRPr="00DE3AAE">
        <w:rPr>
          <w:szCs w:val="22"/>
        </w:rPr>
        <w:t>premedikácie</w:t>
      </w:r>
      <w:proofErr w:type="spellEnd"/>
      <w:r w:rsidRPr="00DE3AAE">
        <w:rPr>
          <w:szCs w:val="22"/>
        </w:rPr>
        <w:t xml:space="preserve">. Analgetické sedatíva sa podávajú iba v prípade, ak si to vyžaduje stav pacienta. U pacientov s nestabilným krvným obehom a pacientov pripútaných na lôžko sa odporúča pred vyšetrením podať </w:t>
      </w:r>
      <w:proofErr w:type="spellStart"/>
      <w:r w:rsidRPr="00DE3AAE">
        <w:rPr>
          <w:szCs w:val="22"/>
        </w:rPr>
        <w:t>sympatomimetiká</w:t>
      </w:r>
      <w:proofErr w:type="spellEnd"/>
      <w:r w:rsidRPr="00DE3AAE">
        <w:rPr>
          <w:szCs w:val="22"/>
        </w:rPr>
        <w:t xml:space="preserve"> a/alebo zaviesť intravenóznu infúziu. Tým sa môže včas zvládnuť prípadný výskyt poruchy </w:t>
      </w:r>
      <w:proofErr w:type="spellStart"/>
      <w:r w:rsidRPr="00DE3AAE">
        <w:rPr>
          <w:szCs w:val="22"/>
        </w:rPr>
        <w:t>ortostatickej</w:t>
      </w:r>
      <w:proofErr w:type="spellEnd"/>
      <w:r w:rsidRPr="00DE3AAE">
        <w:rPr>
          <w:szCs w:val="22"/>
        </w:rPr>
        <w:t xml:space="preserve"> regulácie, najmä pri vstreknutí kontrastnej látky a pri </w:t>
      </w:r>
      <w:proofErr w:type="spellStart"/>
      <w:r w:rsidRPr="00DE3AAE">
        <w:rPr>
          <w:szCs w:val="22"/>
        </w:rPr>
        <w:t>myelografii</w:t>
      </w:r>
      <w:proofErr w:type="spellEnd"/>
      <w:r w:rsidRPr="00DE3AAE">
        <w:rPr>
          <w:szCs w:val="22"/>
        </w:rPr>
        <w:t xml:space="preserve"> v sede. Pacient musí byť dostatočne hydratovaný, avšak musí byť nalačno, aby sa zabránilo prípadnému vracaniu.</w:t>
      </w:r>
    </w:p>
    <w:p w:rsidR="00805BA2" w:rsidRPr="00DE3AAE" w:rsidRDefault="00805BA2" w:rsidP="00805BA2">
      <w:pPr>
        <w:rPr>
          <w:lang w:eastAsia="ar-SA"/>
        </w:rPr>
      </w:pPr>
    </w:p>
    <w:p w:rsidR="00805BA2" w:rsidRPr="00DE3AAE" w:rsidRDefault="00805BA2" w:rsidP="00805BA2">
      <w:pPr>
        <w:rPr>
          <w:lang w:eastAsia="ar-SA"/>
        </w:rPr>
      </w:pPr>
      <w:r w:rsidRPr="00DE3AAE">
        <w:t xml:space="preserve">Bezprostredné opakovanie </w:t>
      </w:r>
      <w:proofErr w:type="spellStart"/>
      <w:r w:rsidRPr="00DE3AAE">
        <w:t>myelografie</w:t>
      </w:r>
      <w:proofErr w:type="spellEnd"/>
      <w:r w:rsidRPr="00DE3AAE">
        <w:t xml:space="preserve"> (napr. pri technických chybách) sa nesmie uskutočniť z dôvodu rizika predávkovania. Ak je bezpodmienečne potrebné zopakovať vyšetrenie s </w:t>
      </w:r>
      <w:proofErr w:type="spellStart"/>
      <w:r w:rsidRPr="00DE3AAE">
        <w:t>intratekálnou</w:t>
      </w:r>
      <w:proofErr w:type="spellEnd"/>
      <w:r w:rsidRPr="00DE3AAE">
        <w:t xml:space="preserve"> aplikáciou kontrastnej látky, musí sa medzi jednotlivými injekciami dodržať dostatočný časový interval (najmenej 48 hodín, lepšie 5 až 7 dní), aby sa zabránilo akumulácii kontrastnej látky. Priama </w:t>
      </w:r>
      <w:proofErr w:type="spellStart"/>
      <w:r w:rsidRPr="00DE3AAE">
        <w:t>intracisternálna</w:t>
      </w:r>
      <w:proofErr w:type="spellEnd"/>
      <w:r w:rsidRPr="00DE3AAE">
        <w:t xml:space="preserve"> alebo </w:t>
      </w:r>
      <w:proofErr w:type="spellStart"/>
      <w:r w:rsidRPr="00DE3AAE">
        <w:t>intraventrikulárna</w:t>
      </w:r>
      <w:proofErr w:type="spellEnd"/>
      <w:r w:rsidRPr="00DE3AAE">
        <w:t xml:space="preserve"> injekcia sa neodporúča. Vniknutiu veľkého alebo koncentrovaného </w:t>
      </w:r>
      <w:proofErr w:type="spellStart"/>
      <w:r w:rsidRPr="00DE3AAE">
        <w:t>bolusu</w:t>
      </w:r>
      <w:proofErr w:type="spellEnd"/>
      <w:r w:rsidRPr="00DE3AAE">
        <w:t xml:space="preserve"> do </w:t>
      </w:r>
      <w:proofErr w:type="spellStart"/>
      <w:r w:rsidRPr="00DE3AAE">
        <w:t>intrakraniálneho</w:t>
      </w:r>
      <w:proofErr w:type="spellEnd"/>
      <w:r w:rsidRPr="00DE3AAE">
        <w:t xml:space="preserve"> priestoru s mozgovomiechovým mokom (zvyšuje sa riziko </w:t>
      </w:r>
      <w:proofErr w:type="spellStart"/>
      <w:r w:rsidRPr="00DE3AAE">
        <w:t>neurotoxickej</w:t>
      </w:r>
      <w:proofErr w:type="spellEnd"/>
      <w:r w:rsidRPr="00DE3AAE">
        <w:t xml:space="preserve"> reakcie) možno zabrániť starostlivým vykonávaním vyšetrovacích techník. Kontrastná látka by nemala rýchlo prúdiť v </w:t>
      </w:r>
      <w:proofErr w:type="spellStart"/>
      <w:r w:rsidRPr="00DE3AAE">
        <w:t>kraniálnom</w:t>
      </w:r>
      <w:proofErr w:type="spellEnd"/>
      <w:r w:rsidRPr="00DE3AAE">
        <w:t xml:space="preserve"> smere z dôvodu aktívnych pohybov pacienta. Ak prenikne väčšie množstvo kontrastnej látky do </w:t>
      </w:r>
      <w:proofErr w:type="spellStart"/>
      <w:r w:rsidRPr="00DE3AAE">
        <w:t>intrakraniálneho</w:t>
      </w:r>
      <w:proofErr w:type="spellEnd"/>
      <w:r w:rsidRPr="00DE3AAE">
        <w:t xml:space="preserve"> priestoru s mozgovomiechovým mokom, v prípade potreby sa má vykonať profylaktická </w:t>
      </w:r>
      <w:proofErr w:type="spellStart"/>
      <w:r w:rsidRPr="00DE3AAE">
        <w:t>antikonvulzívna</w:t>
      </w:r>
      <w:proofErr w:type="spellEnd"/>
      <w:r w:rsidRPr="00DE3AAE">
        <w:t xml:space="preserve"> terapia perorálnym podávaním </w:t>
      </w:r>
      <w:proofErr w:type="spellStart"/>
      <w:r w:rsidRPr="00DE3AAE">
        <w:t>diazepamu</w:t>
      </w:r>
      <w:proofErr w:type="spellEnd"/>
      <w:r w:rsidRPr="00DE3AAE">
        <w:t xml:space="preserve"> alebo </w:t>
      </w:r>
      <w:proofErr w:type="spellStart"/>
      <w:r w:rsidRPr="00DE3AAE">
        <w:t>barbirutátov</w:t>
      </w:r>
      <w:proofErr w:type="spellEnd"/>
      <w:r w:rsidRPr="00DE3AAE">
        <w:t xml:space="preserve"> po dobu 24 až 48 hodín.</w:t>
      </w:r>
    </w:p>
    <w:p w:rsidR="00805BA2" w:rsidRPr="00DE3AAE" w:rsidRDefault="00805BA2" w:rsidP="00805BA2">
      <w:pPr>
        <w:rPr>
          <w:lang w:eastAsia="ar-SA"/>
        </w:rPr>
      </w:pPr>
    </w:p>
    <w:p w:rsidR="00805BA2" w:rsidRPr="00DE3AAE" w:rsidRDefault="00805BA2" w:rsidP="00805BA2">
      <w:pPr>
        <w:rPr>
          <w:lang w:eastAsia="ar-SA"/>
        </w:rPr>
      </w:pPr>
      <w:r w:rsidRPr="00DE3AAE">
        <w:t>Počas aplikácie treba bezpodmienečne zabrániť nasledovným situáciám:</w:t>
      </w:r>
    </w:p>
    <w:p w:rsidR="00805BA2" w:rsidRPr="00DE3AAE" w:rsidRDefault="00805BA2" w:rsidP="00805BA2">
      <w:pPr>
        <w:pStyle w:val="Bullet1"/>
        <w:numPr>
          <w:ilvl w:val="0"/>
          <w:numId w:val="13"/>
        </w:numPr>
        <w:rPr>
          <w:lang w:eastAsia="ar-SA"/>
        </w:rPr>
      </w:pPr>
      <w:r w:rsidRPr="00DE3AAE">
        <w:t>odklon od odporúčanej techniky vyšetrenia a starostlivosti po vyšetrení</w:t>
      </w:r>
    </w:p>
    <w:p w:rsidR="00805BA2" w:rsidRPr="00DE3AAE" w:rsidRDefault="00805BA2" w:rsidP="00805BA2">
      <w:pPr>
        <w:pStyle w:val="Bullet1"/>
        <w:numPr>
          <w:ilvl w:val="0"/>
          <w:numId w:val="13"/>
        </w:numPr>
        <w:rPr>
          <w:lang w:eastAsia="ar-SA"/>
        </w:rPr>
      </w:pPr>
      <w:r w:rsidRPr="00DE3AAE">
        <w:t>predávkovanie</w:t>
      </w:r>
    </w:p>
    <w:p w:rsidR="00805BA2" w:rsidRPr="00DE3AAE" w:rsidRDefault="00805BA2" w:rsidP="00805BA2">
      <w:pPr>
        <w:pStyle w:val="Bullet1"/>
        <w:numPr>
          <w:ilvl w:val="0"/>
          <w:numId w:val="13"/>
        </w:numPr>
        <w:rPr>
          <w:lang w:eastAsia="ar-SA"/>
        </w:rPr>
      </w:pPr>
      <w:proofErr w:type="spellStart"/>
      <w:r w:rsidRPr="00DE3AAE">
        <w:t>intrakraniálne</w:t>
      </w:r>
      <w:proofErr w:type="spellEnd"/>
      <w:r w:rsidRPr="00DE3AAE">
        <w:t xml:space="preserve"> vniknutie väčšieho množstva kontrastnej látky</w:t>
      </w:r>
    </w:p>
    <w:p w:rsidR="00805BA2" w:rsidRPr="00DE3AAE" w:rsidRDefault="00805BA2" w:rsidP="00805BA2">
      <w:pPr>
        <w:pStyle w:val="Bullet1"/>
        <w:numPr>
          <w:ilvl w:val="0"/>
          <w:numId w:val="13"/>
        </w:numPr>
        <w:rPr>
          <w:lang w:eastAsia="ar-SA"/>
        </w:rPr>
      </w:pPr>
      <w:r w:rsidRPr="00DE3AAE">
        <w:t>nadmerný a aktívny pohyb alebo namáhanie pacienta</w:t>
      </w:r>
    </w:p>
    <w:p w:rsidR="00805BA2" w:rsidRPr="00DE3AAE" w:rsidRDefault="00805BA2" w:rsidP="00805BA2">
      <w:pPr>
        <w:pStyle w:val="Bullet1"/>
        <w:numPr>
          <w:ilvl w:val="0"/>
          <w:numId w:val="13"/>
        </w:numPr>
      </w:pPr>
      <w:r w:rsidRPr="00DE3AAE">
        <w:t>nízka poloha hlavy počas vyšetrenia a ležania na lôžku</w:t>
      </w:r>
    </w:p>
    <w:p w:rsidR="00805BA2" w:rsidRPr="00DE3AAE" w:rsidRDefault="00805BA2" w:rsidP="00805BA2"/>
    <w:p w:rsidR="00805BA2" w:rsidRPr="00DE3AAE" w:rsidRDefault="00805BA2" w:rsidP="00805BA2">
      <w:r w:rsidRPr="00DE3AAE">
        <w:t xml:space="preserve">Po </w:t>
      </w:r>
      <w:proofErr w:type="spellStart"/>
      <w:r w:rsidRPr="00DE3AAE">
        <w:t>myelografii</w:t>
      </w:r>
      <w:proofErr w:type="spellEnd"/>
      <w:r w:rsidRPr="00DE3AAE">
        <w:t xml:space="preserve"> je potrebné zabrániť sedeniu vo vzpriamenej polohe na niekoľko hodín, aby sa zabránilo strate mozgovomiechového moku po punkcii. Osvedčila sa poloha v </w:t>
      </w:r>
      <w:proofErr w:type="spellStart"/>
      <w:r w:rsidRPr="00DE3AAE">
        <w:t>polosede</w:t>
      </w:r>
      <w:proofErr w:type="spellEnd"/>
      <w:r w:rsidRPr="00DE3AAE">
        <w:t xml:space="preserve"> s nadvihnutou hornou časťou tela po dobu viac ako 6 hodín s následnou vodorovnou polohou a nadvihnutou hlavou. Po </w:t>
      </w:r>
      <w:proofErr w:type="spellStart"/>
      <w:r w:rsidRPr="00DE3AAE">
        <w:t>myelografii</w:t>
      </w:r>
      <w:proofErr w:type="spellEnd"/>
      <w:r w:rsidRPr="00DE3AAE">
        <w:t xml:space="preserve"> musí pacient zostať v kľude na lôžku po dobu 24 hodín. Tým sa zníži možnosť vzniku </w:t>
      </w:r>
      <w:proofErr w:type="spellStart"/>
      <w:r w:rsidRPr="00DE3AAE">
        <w:t>meningeálnych</w:t>
      </w:r>
      <w:proofErr w:type="spellEnd"/>
      <w:r w:rsidRPr="00DE3AAE">
        <w:t xml:space="preserve"> dráždivých príznakov po punkcii, ako je napríklad strata </w:t>
      </w:r>
      <w:proofErr w:type="spellStart"/>
      <w:r w:rsidRPr="00DE3AAE">
        <w:t>likvoru</w:t>
      </w:r>
      <w:proofErr w:type="spellEnd"/>
      <w:r w:rsidRPr="00DE3AAE">
        <w:t xml:space="preserve"> v dôsledku injekčnej punkcie. Po </w:t>
      </w:r>
      <w:proofErr w:type="spellStart"/>
      <w:r w:rsidRPr="00DE3AAE">
        <w:t>myelografii</w:t>
      </w:r>
      <w:proofErr w:type="spellEnd"/>
      <w:r w:rsidRPr="00DE3AAE">
        <w:t xml:space="preserve"> treba zabezpečiť dostatočný prísun tekutín.</w:t>
      </w:r>
    </w:p>
    <w:p w:rsidR="00805BA2" w:rsidRPr="00DE3AAE" w:rsidRDefault="00805BA2" w:rsidP="00805BA2">
      <w:pPr>
        <w:rPr>
          <w:lang w:eastAsia="ar-SA"/>
        </w:rPr>
      </w:pPr>
    </w:p>
    <w:p w:rsidR="00805BA2" w:rsidRPr="00DE3AAE" w:rsidRDefault="00805BA2" w:rsidP="00805BA2">
      <w:pPr>
        <w:rPr>
          <w:lang w:eastAsia="ar-SA"/>
        </w:rPr>
      </w:pPr>
      <w:r>
        <w:t>K</w:t>
      </w:r>
      <w:r w:rsidRPr="00DE3AAE">
        <w:t xml:space="preserve"> dispozícii </w:t>
      </w:r>
      <w:r>
        <w:t xml:space="preserve">má byť </w:t>
      </w:r>
      <w:r w:rsidRPr="00DE3AAE">
        <w:t>vhodné resuscitačné vybavenie.</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4.3</w:t>
      </w:r>
      <w:r w:rsidRPr="00DE3AAE">
        <w:rPr>
          <w:rFonts w:ascii="Times New Roman" w:hAnsi="Times New Roman"/>
          <w:sz w:val="22"/>
        </w:rPr>
        <w:tab/>
        <w:t>Kontraindikácie</w:t>
      </w:r>
    </w:p>
    <w:p w:rsidR="00805BA2" w:rsidRPr="00DE3AAE" w:rsidRDefault="00805BA2" w:rsidP="00805BA2">
      <w:pPr>
        <w:suppressAutoHyphens/>
        <w:rPr>
          <w:szCs w:val="22"/>
          <w:lang w:eastAsia="ar-SA"/>
        </w:rPr>
      </w:pPr>
    </w:p>
    <w:p w:rsidR="00805BA2" w:rsidRPr="00DE3AAE" w:rsidRDefault="00805BA2" w:rsidP="00805BA2">
      <w:pPr>
        <w:suppressAutoHyphens/>
        <w:rPr>
          <w:szCs w:val="22"/>
          <w:lang w:eastAsia="ar-SA"/>
        </w:rPr>
      </w:pPr>
      <w:r w:rsidRPr="00DE3AAE">
        <w:rPr>
          <w:szCs w:val="22"/>
        </w:rPr>
        <w:t xml:space="preserve">Známa precitlivenosť na jódované röntgenové kontrastné látky, liečivo alebo na ktorúkoľvek z pomocných látok uvedených v časti 6.1. Prejav </w:t>
      </w:r>
      <w:proofErr w:type="spellStart"/>
      <w:r w:rsidRPr="00DE3AAE">
        <w:rPr>
          <w:szCs w:val="22"/>
        </w:rPr>
        <w:t>hypertyreózy</w:t>
      </w:r>
      <w:proofErr w:type="spellEnd"/>
      <w:r w:rsidRPr="00DE3AAE">
        <w:rPr>
          <w:szCs w:val="22"/>
        </w:rPr>
        <w:t>.</w:t>
      </w:r>
    </w:p>
    <w:p w:rsidR="00805BA2" w:rsidRPr="00DE3AAE" w:rsidRDefault="00805BA2" w:rsidP="00805BA2">
      <w:pPr>
        <w:suppressAutoHyphens/>
        <w:rPr>
          <w:lang w:eastAsia="ar-SA"/>
        </w:rPr>
      </w:pPr>
    </w:p>
    <w:p w:rsidR="00805BA2" w:rsidRPr="00DE3AAE" w:rsidRDefault="00805BA2" w:rsidP="00805BA2">
      <w:pPr>
        <w:pStyle w:val="Nadpis2"/>
        <w:rPr>
          <w:rFonts w:ascii="Times New Roman" w:hAnsi="Times New Roman"/>
          <w:sz w:val="22"/>
        </w:rPr>
      </w:pPr>
      <w:r w:rsidRPr="00DE3AAE">
        <w:rPr>
          <w:rFonts w:ascii="Times New Roman" w:hAnsi="Times New Roman"/>
          <w:sz w:val="22"/>
        </w:rPr>
        <w:lastRenderedPageBreak/>
        <w:t>4.4</w:t>
      </w:r>
      <w:r w:rsidRPr="00DE3AAE">
        <w:rPr>
          <w:rFonts w:ascii="Times New Roman" w:hAnsi="Times New Roman"/>
          <w:sz w:val="22"/>
        </w:rPr>
        <w:tab/>
        <w:t>Osobitné upozornenia</w:t>
      </w:r>
    </w:p>
    <w:p w:rsidR="00805BA2" w:rsidRPr="00DE3AAE" w:rsidRDefault="00805BA2" w:rsidP="00805BA2">
      <w:pPr>
        <w:keepNext/>
      </w:pPr>
    </w:p>
    <w:p w:rsidR="00805BA2" w:rsidRPr="00DE3AAE" w:rsidRDefault="00805BA2" w:rsidP="00805BA2">
      <w:pPr>
        <w:rPr>
          <w:lang w:eastAsia="ar-SA"/>
        </w:rPr>
      </w:pPr>
      <w:r w:rsidRPr="00DE3AAE">
        <w:t xml:space="preserve">Vždy je potrebné mať na pamäti možné riziko vzniku závažných nežiaducich reakcií. Tak ako iné kontrastné látky, aj </w:t>
      </w:r>
      <w:proofErr w:type="spellStart"/>
      <w:r w:rsidRPr="00DE3AAE">
        <w:t>Optiray</w:t>
      </w:r>
      <w:proofErr w:type="spellEnd"/>
      <w:r w:rsidRPr="00DE3AAE">
        <w:t xml:space="preserve"> môže spôsobovať </w:t>
      </w:r>
      <w:proofErr w:type="spellStart"/>
      <w:r w:rsidRPr="00DE3AAE">
        <w:t>anafylaktické</w:t>
      </w:r>
      <w:proofErr w:type="spellEnd"/>
      <w:r w:rsidRPr="00DE3AAE">
        <w:t xml:space="preserve"> alebo </w:t>
      </w:r>
      <w:proofErr w:type="spellStart"/>
      <w:r w:rsidRPr="00DE3AAE">
        <w:t>anafylaktoidné</w:t>
      </w:r>
      <w:proofErr w:type="spellEnd"/>
      <w:r w:rsidRPr="00DE3AAE">
        <w:t xml:space="preserve"> reakcie alebo iné prejavy neznášanlivosti, napríklad nevoľnosť, vracanie, </w:t>
      </w:r>
      <w:r>
        <w:t>dýchavičnosť,</w:t>
      </w:r>
      <w:r w:rsidRPr="00DE3AAE">
        <w:t xml:space="preserve"> návaly tepla, žihľavku alebo pokles krvného tlaku. Vyšší výskyt týchto reakcií sa pozoroval u pacientov s už pozorovanou neznášanlivosťou jódovaných röntgenových kontrastných látok v anamnéze, prieduškovou astmou </w:t>
      </w:r>
      <w:r w:rsidRPr="002271F3">
        <w:t xml:space="preserve">alebo so známou alergiou alebo precitlivenosťou na iné látky. U týchto pacientov musia prínosy použitia látky </w:t>
      </w:r>
      <w:proofErr w:type="spellStart"/>
      <w:r w:rsidRPr="002271F3">
        <w:t>Optiray</w:t>
      </w:r>
      <w:proofErr w:type="spellEnd"/>
      <w:r w:rsidRPr="002271F3">
        <w:t xml:space="preserve"> jednoznačne prevážiť možné riziká. </w:t>
      </w:r>
      <w:r w:rsidR="00AB6912" w:rsidRPr="002271F3">
        <w:t>Závažné, život ohrozujúce, systémové alergické reakcie ako napríklad liekov</w:t>
      </w:r>
      <w:r w:rsidR="003917A2" w:rsidRPr="002271F3">
        <w:t>á</w:t>
      </w:r>
      <w:r w:rsidR="00AB6912" w:rsidRPr="002271F3">
        <w:t xml:space="preserve"> reakci</w:t>
      </w:r>
      <w:r w:rsidR="003917A2" w:rsidRPr="002271F3">
        <w:t>a</w:t>
      </w:r>
      <w:r w:rsidR="008D3D98" w:rsidRPr="002271F3">
        <w:t xml:space="preserve"> </w:t>
      </w:r>
      <w:r w:rsidR="00AB6912" w:rsidRPr="002271F3">
        <w:t xml:space="preserve">s </w:t>
      </w:r>
      <w:proofErr w:type="spellStart"/>
      <w:r w:rsidR="00AB6912" w:rsidRPr="002271F3">
        <w:t>eozinofíliou</w:t>
      </w:r>
      <w:proofErr w:type="spellEnd"/>
      <w:r w:rsidR="00AB6912" w:rsidRPr="002271F3">
        <w:t xml:space="preserve"> a systémovými príznakmi (DRESS), boli hlásené u pacientov po podaní </w:t>
      </w:r>
      <w:proofErr w:type="spellStart"/>
      <w:r w:rsidR="00AB6912" w:rsidRPr="002271F3">
        <w:t>Optiray</w:t>
      </w:r>
      <w:proofErr w:type="spellEnd"/>
      <w:r w:rsidR="00AB6912" w:rsidRPr="002271F3">
        <w:t xml:space="preserve">. Skoré alebo neskoré prejavy precitlivenosti, ako je horúčka alebo </w:t>
      </w:r>
      <w:proofErr w:type="spellStart"/>
      <w:r w:rsidR="00AB6912" w:rsidRPr="002271F3">
        <w:t>lymfadenopatia</w:t>
      </w:r>
      <w:proofErr w:type="spellEnd"/>
      <w:r w:rsidR="00AB6912" w:rsidRPr="002271F3">
        <w:t xml:space="preserve">, môžu byť prítomné aj bez prítomnosti vyrážky. Ak sú prítomné takéto prejavy alebo príznaky, pacient by mal byť okamžite vyšetrený. </w:t>
      </w:r>
      <w:r w:rsidRPr="002271F3">
        <w:t xml:space="preserve">Závažné reakcie nemožno vopred predvídať. U vysoko rizikových pacientov je najpresnejším spôsobom predvídania potenciálnych nežiaducich reakcií dôkladné vyhodnotenie doterajšej anamnézy. Výskyt </w:t>
      </w:r>
      <w:r w:rsidRPr="00DE3AAE">
        <w:t xml:space="preserve">alergie v anamnéze nie je kontraindikáciou, vyžaduje však zvýšenú opatrnosť. Vždy musí byť k dispozícii kompletné resuscitačné vybavenie a kompetentný personál. Odporúča sa zvážiť </w:t>
      </w:r>
      <w:proofErr w:type="spellStart"/>
      <w:r w:rsidRPr="00DE3AAE">
        <w:t>premedikáciu</w:t>
      </w:r>
      <w:proofErr w:type="spellEnd"/>
      <w:r w:rsidRPr="00DE3AAE">
        <w:t xml:space="preserve"> </w:t>
      </w:r>
      <w:proofErr w:type="spellStart"/>
      <w:r w:rsidRPr="00DE3AAE">
        <w:t>antihistamínom</w:t>
      </w:r>
      <w:proofErr w:type="spellEnd"/>
      <w:r w:rsidRPr="00DE3AAE">
        <w:t xml:space="preserve"> a </w:t>
      </w:r>
      <w:proofErr w:type="spellStart"/>
      <w:r w:rsidRPr="00DE3AAE">
        <w:t>kortikoidmi</w:t>
      </w:r>
      <w:proofErr w:type="spellEnd"/>
      <w:r w:rsidRPr="00DE3AAE">
        <w:t xml:space="preserve"> na zabránenie alebo zmiernenie alergických reakcií. Hlásenia ukazujú, že takáto </w:t>
      </w:r>
      <w:proofErr w:type="spellStart"/>
      <w:r w:rsidRPr="00DE3AAE">
        <w:t>premedikácia</w:t>
      </w:r>
      <w:proofErr w:type="spellEnd"/>
      <w:r w:rsidRPr="00DE3AAE">
        <w:t xml:space="preserve"> nezabraňuje nástupu závažných nežiaducich reakcií, ale môže znížiť ich mieru výskytu aj závažnosť.</w:t>
      </w:r>
    </w:p>
    <w:p w:rsidR="00805BA2" w:rsidRPr="00DE3AAE" w:rsidRDefault="00805BA2" w:rsidP="00805BA2">
      <w:pPr>
        <w:rPr>
          <w:lang w:eastAsia="ar-SA"/>
        </w:rPr>
      </w:pPr>
    </w:p>
    <w:p w:rsidR="00805BA2" w:rsidRPr="00DE3AAE" w:rsidRDefault="00805BA2" w:rsidP="00805BA2">
      <w:pPr>
        <w:rPr>
          <w:lang w:eastAsia="ar-SA"/>
        </w:rPr>
      </w:pPr>
      <w:r w:rsidRPr="00DE3AAE">
        <w:t xml:space="preserve">Diagnostické výkony, ktoré zahrňujú </w:t>
      </w:r>
      <w:proofErr w:type="spellStart"/>
      <w:r w:rsidRPr="00DE3AAE">
        <w:t>intravaskulárne</w:t>
      </w:r>
      <w:proofErr w:type="spellEnd"/>
      <w:r w:rsidRPr="00DE3AAE">
        <w:t xml:space="preserve"> podávanie jódovaných kontrastných látok, môžu byť vykonávané iba pod vedením lekára vyškoleného a skúseného v týchto špeciálnych výkonoch. Po podaní jódovaných kontrastných látok boli hlásené závažné alebo fatálne reakcie. Na ich liečbu musí byť okamžite k dispozícii úplné resuscitačné vybavenie a personál kompetentný v oblasti diagnostiky a liečby všetkých typov nežiaducich reakcií. Pacient musí byť pod prísnym dohľadom po dobu minimálne 15 minút od poslednej injekcie, pretože počas tejto doby</w:t>
      </w:r>
      <w:r w:rsidRPr="00DE3AAE">
        <w:rPr>
          <w:color w:val="FF0000"/>
        </w:rPr>
        <w:t xml:space="preserve"> </w:t>
      </w:r>
      <w:r w:rsidRPr="00DE3AAE">
        <w:t xml:space="preserve">dochádza ku vzniku väčšiny nežiaducich reakcií. Pacient má zostať v nemocnici jednu hodinu po podaní poslednej injekcie (nemusí to byť priamo na oddelení </w:t>
      </w:r>
      <w:proofErr w:type="spellStart"/>
      <w:r w:rsidRPr="00DE3AAE">
        <w:t>rádiodiagnostiky</w:t>
      </w:r>
      <w:proofErr w:type="spellEnd"/>
      <w:r w:rsidRPr="00DE3AAE">
        <w:t xml:space="preserve"> alebo kardiológie) a v prípade vzniku akýchkoľvek príznakov sa má ihneď vrátiť na oddelenie </w:t>
      </w:r>
      <w:proofErr w:type="spellStart"/>
      <w:r w:rsidRPr="00DE3AAE">
        <w:t>rádiodiagnostiky</w:t>
      </w:r>
      <w:proofErr w:type="spellEnd"/>
      <w:r w:rsidRPr="00DE3AAE">
        <w:t>.</w:t>
      </w:r>
    </w:p>
    <w:p w:rsidR="00805BA2" w:rsidRPr="00DE3AAE" w:rsidRDefault="00805BA2" w:rsidP="00805BA2">
      <w:pPr>
        <w:rPr>
          <w:lang w:eastAsia="ar-SA"/>
        </w:rPr>
      </w:pPr>
    </w:p>
    <w:p w:rsidR="00805BA2" w:rsidRPr="00DE3AAE" w:rsidRDefault="00805BA2" w:rsidP="00805BA2">
      <w:pPr>
        <w:rPr>
          <w:color w:val="000000"/>
          <w:lang w:eastAsia="ar-SA"/>
        </w:rPr>
      </w:pPr>
      <w:r w:rsidRPr="00DE3AAE">
        <w:rPr>
          <w:color w:val="000000"/>
        </w:rPr>
        <w:t xml:space="preserve">Pacienti so srdcovým zlyhaním sa majú po aplikácii kontrastnej látky niekoľko hodín sledovať, aby sa zistilo, či dochádza k spomaleniu rozvoja obehových komplikácii, ktoré môžu byť spôsobené prechodným zvýšením </w:t>
      </w:r>
      <w:proofErr w:type="spellStart"/>
      <w:r w:rsidRPr="00DE3AAE">
        <w:rPr>
          <w:color w:val="000000"/>
        </w:rPr>
        <w:t>osmotickej</w:t>
      </w:r>
      <w:proofErr w:type="spellEnd"/>
      <w:r w:rsidRPr="00DE3AAE">
        <w:rPr>
          <w:color w:val="000000"/>
        </w:rPr>
        <w:t xml:space="preserve"> záťaže v obehu. Pacientov treba tiež informovať, že do niekoľkých dní po podaní sa môžu rozvinúť alergické reakcie. V takom prípade sa treba ihneď poradiť s lekárom.</w:t>
      </w:r>
    </w:p>
    <w:p w:rsidR="00805BA2" w:rsidRPr="00DE3AAE" w:rsidRDefault="00805BA2" w:rsidP="00805BA2">
      <w:pPr>
        <w:rPr>
          <w:lang w:eastAsia="ar-SA"/>
        </w:rPr>
      </w:pPr>
    </w:p>
    <w:p w:rsidR="00805BA2" w:rsidRPr="00DE3AAE" w:rsidRDefault="00805BA2" w:rsidP="00805BA2">
      <w:r w:rsidRPr="00DE3AAE">
        <w:t xml:space="preserve">Zvýšená opatrnosť je potrebná u pacientov so zhoršenou funkciou obličiek, s kombinovaným ochorením pečene a obličiek, </w:t>
      </w:r>
      <w:proofErr w:type="spellStart"/>
      <w:r w:rsidRPr="00DE3AAE">
        <w:t>oligúriou</w:t>
      </w:r>
      <w:proofErr w:type="spellEnd"/>
      <w:r w:rsidRPr="00DE3AAE">
        <w:t xml:space="preserve"> alebo </w:t>
      </w:r>
      <w:proofErr w:type="spellStart"/>
      <w:r w:rsidRPr="00DE3AAE">
        <w:t>anúriou</w:t>
      </w:r>
      <w:proofErr w:type="spellEnd"/>
      <w:r w:rsidRPr="00DE3AAE">
        <w:t xml:space="preserve"> v spojení s diabetes </w:t>
      </w:r>
      <w:proofErr w:type="spellStart"/>
      <w:r w:rsidRPr="00DE3AAE">
        <w:t>mellitus</w:t>
      </w:r>
      <w:proofErr w:type="spellEnd"/>
      <w:r w:rsidRPr="00DE3AAE">
        <w:t xml:space="preserve">, </w:t>
      </w:r>
      <w:proofErr w:type="spellStart"/>
      <w:r w:rsidRPr="00DE3AAE">
        <w:t>homozygótnou</w:t>
      </w:r>
      <w:proofErr w:type="spellEnd"/>
      <w:r w:rsidRPr="00DE3AAE">
        <w:t xml:space="preserve"> </w:t>
      </w:r>
      <w:proofErr w:type="spellStart"/>
      <w:r w:rsidRPr="00DE3AAE">
        <w:t>kosáčikovitou</w:t>
      </w:r>
      <w:proofErr w:type="spellEnd"/>
      <w:r w:rsidRPr="00DE3AAE">
        <w:t xml:space="preserve"> anémiou alebo mnohopočetným </w:t>
      </w:r>
      <w:proofErr w:type="spellStart"/>
      <w:r w:rsidRPr="00DE3AAE">
        <w:t>myelómom</w:t>
      </w:r>
      <w:proofErr w:type="spellEnd"/>
      <w:r w:rsidRPr="00DE3AAE">
        <w:t xml:space="preserve"> alebo s inou </w:t>
      </w:r>
      <w:proofErr w:type="spellStart"/>
      <w:r w:rsidRPr="00DE3AAE">
        <w:t>paraproteinémiou</w:t>
      </w:r>
      <w:proofErr w:type="spellEnd"/>
      <w:r w:rsidRPr="00DE3AAE">
        <w:t xml:space="preserve">, najmä pri podávaní veľkých dávok. U týchto pacientov môže dôjsť k závažnému zhoršeniu funkcie obličiek vrátane akútneho zlyhania činnosti obličiek. Základným preventívnym opatrením, ktoré môže znížiť riziko poškodenia obličiek, je dostatočný prísun tekutín pred aplikáciou látky </w:t>
      </w:r>
      <w:proofErr w:type="spellStart"/>
      <w:r w:rsidRPr="00DE3AAE">
        <w:t>Optiray</w:t>
      </w:r>
      <w:proofErr w:type="spellEnd"/>
      <w:r w:rsidRPr="00DE3AAE">
        <w:t xml:space="preserve">. Dehydratácia pred aplikáciou je nebezpečná a môže prispieť k rozvoju akútneho zlyhania činnosti obličiek. </w:t>
      </w:r>
      <w:proofErr w:type="spellStart"/>
      <w:r w:rsidRPr="00DE3AAE">
        <w:t>Optiray</w:t>
      </w:r>
      <w:proofErr w:type="spellEnd"/>
      <w:r w:rsidRPr="00DE3AAE">
        <w:t xml:space="preserve"> možno odstrániť z krvi pomocou dialýzy; </w:t>
      </w:r>
      <w:proofErr w:type="spellStart"/>
      <w:r w:rsidRPr="00DE3AAE">
        <w:t>Optiray</w:t>
      </w:r>
      <w:proofErr w:type="spellEnd"/>
      <w:r w:rsidRPr="00DE3AAE">
        <w:t xml:space="preserve"> sa viaže na plazmatické proteíny iba v nízkej miere.</w:t>
      </w:r>
    </w:p>
    <w:p w:rsidR="00805BA2" w:rsidRPr="00DE3AAE" w:rsidRDefault="00805BA2" w:rsidP="00805BA2">
      <w:pPr>
        <w:rPr>
          <w:lang w:eastAsia="ar-SA"/>
        </w:rPr>
      </w:pPr>
    </w:p>
    <w:p w:rsidR="00805BA2" w:rsidRPr="00DE3AAE" w:rsidRDefault="00805BA2" w:rsidP="00805BA2">
      <w:pPr>
        <w:rPr>
          <w:lang w:eastAsia="ar-SA"/>
        </w:rPr>
      </w:pPr>
      <w:r w:rsidRPr="00DE3AAE">
        <w:t>U pacientov s </w:t>
      </w:r>
      <w:proofErr w:type="spellStart"/>
      <w:r w:rsidRPr="00DE3AAE">
        <w:t>homozygótnou</w:t>
      </w:r>
      <w:proofErr w:type="spellEnd"/>
      <w:r w:rsidRPr="00DE3AAE">
        <w:t xml:space="preserve"> </w:t>
      </w:r>
      <w:proofErr w:type="spellStart"/>
      <w:r w:rsidRPr="00DE3AAE">
        <w:t>kosáčikovitovou</w:t>
      </w:r>
      <w:proofErr w:type="spellEnd"/>
      <w:r w:rsidRPr="00DE3AAE">
        <w:t xml:space="preserve"> anémiou môžu </w:t>
      </w:r>
      <w:proofErr w:type="spellStart"/>
      <w:r w:rsidRPr="00DE3AAE">
        <w:t>hyperosmolárne</w:t>
      </w:r>
      <w:proofErr w:type="spellEnd"/>
      <w:r w:rsidRPr="00DE3AAE">
        <w:t xml:space="preserve"> lieky, ako sú napríklad kontrastné látky, ovplyvniť </w:t>
      </w:r>
      <w:proofErr w:type="spellStart"/>
      <w:r w:rsidRPr="00DE3AAE">
        <w:t>kosáčikovitosť</w:t>
      </w:r>
      <w:proofErr w:type="spellEnd"/>
      <w:r w:rsidRPr="00DE3AAE">
        <w:t xml:space="preserve"> červených krviniek. Preto je dôležité pred </w:t>
      </w:r>
      <w:proofErr w:type="spellStart"/>
      <w:r w:rsidRPr="00DE3AAE">
        <w:t>intraarteriálnou</w:t>
      </w:r>
      <w:proofErr w:type="spellEnd"/>
      <w:r w:rsidRPr="00DE3AAE">
        <w:t xml:space="preserve"> aplikáciou u pacientov s </w:t>
      </w:r>
      <w:proofErr w:type="spellStart"/>
      <w:r w:rsidRPr="00DE3AAE">
        <w:t>kosáčikovitovou</w:t>
      </w:r>
      <w:proofErr w:type="spellEnd"/>
      <w:r w:rsidRPr="00DE3AAE">
        <w:t xml:space="preserve"> anémiou dôkladne zvážiť potrebu podania týchto látok.</w:t>
      </w:r>
    </w:p>
    <w:p w:rsidR="00805BA2" w:rsidRPr="00DE3AAE" w:rsidRDefault="00805BA2" w:rsidP="00805BA2">
      <w:pPr>
        <w:rPr>
          <w:lang w:eastAsia="ar-SA"/>
        </w:rPr>
      </w:pPr>
    </w:p>
    <w:p w:rsidR="00805BA2" w:rsidRPr="00DE3AAE" w:rsidRDefault="00805BA2" w:rsidP="00805BA2">
      <w:pPr>
        <w:rPr>
          <w:lang w:eastAsia="ar-SA"/>
        </w:rPr>
      </w:pPr>
      <w:r w:rsidRPr="00DE3AAE">
        <w:t xml:space="preserve">Jódované kontrastné látky môžu byť nebezpečné aj u pacientov s </w:t>
      </w:r>
      <w:proofErr w:type="spellStart"/>
      <w:r w:rsidRPr="00DE3AAE">
        <w:t>hypertyreózou</w:t>
      </w:r>
      <w:proofErr w:type="spellEnd"/>
      <w:r w:rsidRPr="00DE3AAE">
        <w:t xml:space="preserve"> alebo s autonómnymi oblasťami štítnej žľazy. </w:t>
      </w:r>
    </w:p>
    <w:p w:rsidR="00805BA2" w:rsidRPr="00DE3AAE" w:rsidRDefault="00805BA2" w:rsidP="00805BA2">
      <w:pPr>
        <w:rPr>
          <w:lang w:eastAsia="ar-SA"/>
        </w:rPr>
      </w:pPr>
      <w:r w:rsidRPr="00DE3AAE">
        <w:t>U pacientov s </w:t>
      </w:r>
      <w:proofErr w:type="spellStart"/>
      <w:r w:rsidRPr="00DE3AAE">
        <w:t>feochromocytómom</w:t>
      </w:r>
      <w:proofErr w:type="spellEnd"/>
      <w:r w:rsidRPr="00DE3AAE">
        <w:t xml:space="preserve"> sa odporúča </w:t>
      </w:r>
      <w:proofErr w:type="spellStart"/>
      <w:r w:rsidRPr="00DE3AAE">
        <w:t>premedikácia</w:t>
      </w:r>
      <w:proofErr w:type="spellEnd"/>
      <w:r w:rsidRPr="00DE3AAE">
        <w:t xml:space="preserve"> α- a </w:t>
      </w:r>
      <w:proofErr w:type="spellStart"/>
      <w:r w:rsidRPr="00DE3AAE">
        <w:t>ß</w:t>
      </w:r>
      <w:r w:rsidRPr="00DE3AAE">
        <w:noBreakHyphen/>
        <w:t>blokátorom</w:t>
      </w:r>
      <w:proofErr w:type="spellEnd"/>
      <w:r w:rsidRPr="00DE3AAE">
        <w:t xml:space="preserve">, pretože </w:t>
      </w:r>
      <w:proofErr w:type="spellStart"/>
      <w:r w:rsidRPr="00DE3AAE">
        <w:t>intravaskulárne</w:t>
      </w:r>
      <w:proofErr w:type="spellEnd"/>
      <w:r w:rsidRPr="00DE3AAE">
        <w:t xml:space="preserve"> podanie kontrastnej látky môže vyvolať u týchto pacientov </w:t>
      </w:r>
      <w:proofErr w:type="spellStart"/>
      <w:r w:rsidRPr="00DE3AAE">
        <w:t>hypertenznú</w:t>
      </w:r>
      <w:proofErr w:type="spellEnd"/>
      <w:r w:rsidRPr="00DE3AAE">
        <w:t xml:space="preserve"> krízu.</w:t>
      </w:r>
    </w:p>
    <w:p w:rsidR="00805BA2" w:rsidRPr="00DE3AAE" w:rsidRDefault="00805BA2" w:rsidP="00805BA2">
      <w:pPr>
        <w:rPr>
          <w:lang w:eastAsia="ar-SA"/>
        </w:rPr>
      </w:pPr>
    </w:p>
    <w:p w:rsidR="00805BA2" w:rsidRPr="00DE3AAE" w:rsidRDefault="00805BA2" w:rsidP="00805BA2">
      <w:pPr>
        <w:rPr>
          <w:lang w:eastAsia="ar-SA"/>
        </w:rPr>
      </w:pPr>
      <w:r w:rsidRPr="00DE3AAE">
        <w:t xml:space="preserve">Po priamom podaní kontrastnej látky do mozgových alebo miechových tepien alebo pri </w:t>
      </w:r>
      <w:proofErr w:type="spellStart"/>
      <w:r w:rsidRPr="00DE3AAE">
        <w:t>angiokardiografii</w:t>
      </w:r>
      <w:proofErr w:type="spellEnd"/>
      <w:r w:rsidRPr="00DE3AAE">
        <w:t xml:space="preserve">, keď došlo k nežiaducemu naplneniu </w:t>
      </w:r>
      <w:proofErr w:type="spellStart"/>
      <w:r w:rsidRPr="00DE3AAE">
        <w:t>karotíd</w:t>
      </w:r>
      <w:proofErr w:type="spellEnd"/>
      <w:r w:rsidRPr="00DE3AAE">
        <w:t xml:space="preserve">, boli pozorované závažné neurologické </w:t>
      </w:r>
      <w:r w:rsidRPr="00DE3AAE">
        <w:lastRenderedPageBreak/>
        <w:t>poruchy. Príčina týchto porúch nebola doteraz bezpečne stanovená, pretože predchádzajúci stav pacienta a technika vyšetrenia sú sami o sebe rizikovými faktormi.</w:t>
      </w:r>
    </w:p>
    <w:p w:rsidR="00805BA2" w:rsidRPr="00DE3AAE" w:rsidRDefault="00805BA2" w:rsidP="00805BA2">
      <w:pPr>
        <w:rPr>
          <w:lang w:eastAsia="ar-SA"/>
        </w:rPr>
      </w:pPr>
    </w:p>
    <w:p w:rsidR="00805BA2" w:rsidRPr="00DE3AAE" w:rsidRDefault="00805BA2" w:rsidP="00805BA2">
      <w:pPr>
        <w:rPr>
          <w:lang w:eastAsia="ar-SA"/>
        </w:rPr>
      </w:pPr>
      <w:r w:rsidRPr="00DE3AAE">
        <w:t>U niektorých pacientov môže byť indikovaná celková anestézia. V týchto prípadoch býva vyšší výskyt nežiaducich reakcií, pravdepodobne skôr vplyvom poklesu krvného tlaku ako v dôsledku účinku anestézie.</w:t>
      </w:r>
    </w:p>
    <w:p w:rsidR="00805BA2" w:rsidRPr="00DE3AAE" w:rsidRDefault="00805BA2" w:rsidP="00805BA2">
      <w:pPr>
        <w:rPr>
          <w:lang w:eastAsia="ar-SA"/>
        </w:rPr>
      </w:pPr>
    </w:p>
    <w:p w:rsidR="00805BA2" w:rsidRPr="00DE3AAE" w:rsidRDefault="00805BA2" w:rsidP="00805BA2">
      <w:pPr>
        <w:rPr>
          <w:lang w:eastAsia="ar-SA"/>
        </w:rPr>
      </w:pPr>
      <w:r w:rsidRPr="00DE3AAE">
        <w:t xml:space="preserve">V prípade </w:t>
      </w:r>
      <w:proofErr w:type="spellStart"/>
      <w:r w:rsidRPr="00DE3AAE">
        <w:t>angiografických</w:t>
      </w:r>
      <w:proofErr w:type="spellEnd"/>
      <w:r w:rsidRPr="00DE3AAE">
        <w:t xml:space="preserve"> vyšetrení existuje pri manipulácii s katétrom a pri vstrekovaní kontrastnej látky riziko oddelenia sklerotického plátu, poškodenia alebo perforácie cievnej steny. Odporúča sa podať testovaciu dávku na potvrdenie správnej polohy katétra.</w:t>
      </w:r>
    </w:p>
    <w:p w:rsidR="00805BA2" w:rsidRPr="00DE3AAE" w:rsidRDefault="00805BA2" w:rsidP="00805BA2">
      <w:pPr>
        <w:rPr>
          <w:lang w:eastAsia="ar-SA"/>
        </w:rPr>
      </w:pPr>
    </w:p>
    <w:p w:rsidR="00805BA2" w:rsidRPr="00DE3AAE" w:rsidRDefault="00805BA2" w:rsidP="00805BA2">
      <w:pPr>
        <w:rPr>
          <w:lang w:eastAsia="ar-SA"/>
        </w:rPr>
      </w:pPr>
      <w:proofErr w:type="spellStart"/>
      <w:r w:rsidRPr="00DE3AAE">
        <w:t>Antikoagulačný</w:t>
      </w:r>
      <w:proofErr w:type="spellEnd"/>
      <w:r w:rsidRPr="00DE3AAE">
        <w:t xml:space="preserve"> efekt neiónových kontrastných látok sa už preukázal </w:t>
      </w:r>
      <w:r w:rsidRPr="00DE3AAE">
        <w:rPr>
          <w:i/>
        </w:rPr>
        <w:t>in vitro</w:t>
      </w:r>
      <w:r w:rsidRPr="00DE3AAE">
        <w:t xml:space="preserve"> a bol menej výrazný ako u iónových kontrastných látok s porovnateľnými koncentráciami. Pri predĺženom kontakte neiónových kontrastných látok a krvi dochádza v injekčnej striekačke ku zrážaniu krvi. Z tohto dôvodu sa odporúča podávať </w:t>
      </w:r>
      <w:proofErr w:type="spellStart"/>
      <w:r w:rsidRPr="00DE3AAE">
        <w:t>antikoagulanciá</w:t>
      </w:r>
      <w:proofErr w:type="spellEnd"/>
      <w:r w:rsidRPr="00DE3AAE">
        <w:t xml:space="preserve"> (napríklad </w:t>
      </w:r>
      <w:proofErr w:type="spellStart"/>
      <w:r w:rsidRPr="00DE3AAE">
        <w:t>heparín</w:t>
      </w:r>
      <w:proofErr w:type="spellEnd"/>
      <w:r w:rsidRPr="00DE3AAE">
        <w:t xml:space="preserve">). V prípade použitia látky </w:t>
      </w:r>
      <w:proofErr w:type="spellStart"/>
      <w:r w:rsidRPr="00DE3AAE">
        <w:t>Optiray</w:t>
      </w:r>
      <w:proofErr w:type="spellEnd"/>
      <w:r w:rsidRPr="00DE3AAE">
        <w:t xml:space="preserve"> bolo v </w:t>
      </w:r>
      <w:r w:rsidRPr="00DE3AAE">
        <w:rPr>
          <w:i/>
        </w:rPr>
        <w:t>in </w:t>
      </w:r>
      <w:proofErr w:type="spellStart"/>
      <w:r w:rsidRPr="00DE3AAE">
        <w:rPr>
          <w:i/>
        </w:rPr>
        <w:t>vitro</w:t>
      </w:r>
      <w:proofErr w:type="spellEnd"/>
      <w:r w:rsidRPr="00DE3AAE">
        <w:t xml:space="preserve"> štúdiách preukázané, že pridanie 2 až 5 IU </w:t>
      </w:r>
      <w:proofErr w:type="spellStart"/>
      <w:r w:rsidRPr="00DE3AAE">
        <w:t>heparínu</w:t>
      </w:r>
      <w:proofErr w:type="spellEnd"/>
      <w:r w:rsidRPr="00DE3AAE">
        <w:t xml:space="preserve"> do jedného ml má </w:t>
      </w:r>
      <w:proofErr w:type="spellStart"/>
      <w:r w:rsidRPr="00DE3AAE">
        <w:t>antikoagulačný</w:t>
      </w:r>
      <w:proofErr w:type="spellEnd"/>
      <w:r w:rsidRPr="00DE3AAE">
        <w:t xml:space="preserve"> účinok zodpovedajúci účinku vysoko </w:t>
      </w:r>
      <w:proofErr w:type="spellStart"/>
      <w:r w:rsidRPr="00DE3AAE">
        <w:t>osmolárnej</w:t>
      </w:r>
      <w:proofErr w:type="spellEnd"/>
      <w:r w:rsidRPr="00DE3AAE">
        <w:rPr>
          <w:color w:val="000000"/>
        </w:rPr>
        <w:t xml:space="preserve"> </w:t>
      </w:r>
      <w:r w:rsidRPr="00DE3AAE">
        <w:t>iónovej kontrastnej látky obsahujúcej 370 mg jódu/ml.</w:t>
      </w:r>
    </w:p>
    <w:p w:rsidR="00805BA2" w:rsidRPr="00DE3AAE" w:rsidRDefault="00805BA2" w:rsidP="00805BA2">
      <w:pPr>
        <w:rPr>
          <w:lang w:eastAsia="ar-SA"/>
        </w:rPr>
      </w:pPr>
    </w:p>
    <w:p w:rsidR="00805BA2" w:rsidRPr="00DE3AAE" w:rsidRDefault="00805BA2" w:rsidP="00805BA2">
      <w:pPr>
        <w:rPr>
          <w:color w:val="000000"/>
          <w:lang w:eastAsia="ar-SA"/>
        </w:rPr>
      </w:pPr>
      <w:r w:rsidRPr="00DE3AAE">
        <w:rPr>
          <w:color w:val="000000"/>
        </w:rPr>
        <w:t xml:space="preserve">Vo veľmi zriedkavých prípadoch boli počas </w:t>
      </w:r>
      <w:proofErr w:type="spellStart"/>
      <w:r w:rsidRPr="00DE3AAE">
        <w:rPr>
          <w:color w:val="000000"/>
        </w:rPr>
        <w:t>arteriografie</w:t>
      </w:r>
      <w:proofErr w:type="spellEnd"/>
      <w:r w:rsidRPr="00DE3AAE">
        <w:rPr>
          <w:color w:val="000000"/>
        </w:rPr>
        <w:t xml:space="preserve"> po podaní iónových a neiónových kontrastných látok pozorované fatálne </w:t>
      </w:r>
      <w:proofErr w:type="spellStart"/>
      <w:r w:rsidRPr="00DE3AAE">
        <w:rPr>
          <w:color w:val="000000"/>
        </w:rPr>
        <w:t>tromboembólie</w:t>
      </w:r>
      <w:proofErr w:type="spellEnd"/>
      <w:r w:rsidRPr="00DE3AAE">
        <w:rPr>
          <w:color w:val="000000"/>
        </w:rPr>
        <w:t xml:space="preserve"> vedúce k srdcovému infarktu alebo </w:t>
      </w:r>
      <w:r w:rsidR="002D0682">
        <w:rPr>
          <w:color w:val="000000"/>
        </w:rPr>
        <w:t>zastaveniu srdca</w:t>
      </w:r>
      <w:r w:rsidRPr="00DE3AAE">
        <w:rPr>
          <w:color w:val="000000"/>
        </w:rPr>
        <w:t xml:space="preserve">. Preto je potrebná precízna technika </w:t>
      </w:r>
      <w:proofErr w:type="spellStart"/>
      <w:r w:rsidRPr="00DE3AAE">
        <w:rPr>
          <w:color w:val="000000"/>
        </w:rPr>
        <w:t>intravaskulárneho</w:t>
      </w:r>
      <w:proofErr w:type="spellEnd"/>
      <w:r w:rsidRPr="00DE3AAE">
        <w:rPr>
          <w:color w:val="000000"/>
        </w:rPr>
        <w:t xml:space="preserve"> podania, najmä počas </w:t>
      </w:r>
      <w:proofErr w:type="spellStart"/>
      <w:r w:rsidRPr="00DE3AAE">
        <w:rPr>
          <w:color w:val="000000"/>
        </w:rPr>
        <w:t>angiografických</w:t>
      </w:r>
      <w:proofErr w:type="spellEnd"/>
      <w:r w:rsidRPr="00DE3AAE">
        <w:rPr>
          <w:color w:val="000000"/>
        </w:rPr>
        <w:t xml:space="preserve"> výkonov, aby sa minimalizovalo riziko vzniku </w:t>
      </w:r>
      <w:proofErr w:type="spellStart"/>
      <w:r w:rsidRPr="00DE3AAE">
        <w:rPr>
          <w:color w:val="000000"/>
        </w:rPr>
        <w:t>tromboembolických</w:t>
      </w:r>
      <w:proofErr w:type="spellEnd"/>
      <w:r w:rsidRPr="00DE3AAE">
        <w:rPr>
          <w:color w:val="000000"/>
        </w:rPr>
        <w:t xml:space="preserve"> udalostí. Ku vzniku </w:t>
      </w:r>
      <w:proofErr w:type="spellStart"/>
      <w:r w:rsidRPr="00DE3AAE">
        <w:rPr>
          <w:color w:val="000000"/>
        </w:rPr>
        <w:t>tromboembólie</w:t>
      </w:r>
      <w:proofErr w:type="spellEnd"/>
      <w:r w:rsidRPr="00DE3AAE">
        <w:rPr>
          <w:color w:val="000000"/>
        </w:rPr>
        <w:t xml:space="preserve"> môžu prispieť mnohé faktory, ako napríklad základné ochorenie pacienta, trvanie vyšetrenia, materiál katétra a injekčnej striekačky a súbežne podávané lieky. Z týchto dôvodov sa odporúčajú precízne </w:t>
      </w:r>
      <w:proofErr w:type="spellStart"/>
      <w:r w:rsidRPr="00DE3AAE">
        <w:rPr>
          <w:color w:val="000000"/>
        </w:rPr>
        <w:t>angiografické</w:t>
      </w:r>
      <w:proofErr w:type="spellEnd"/>
      <w:r w:rsidRPr="00DE3AAE">
        <w:rPr>
          <w:color w:val="000000"/>
        </w:rPr>
        <w:t xml:space="preserve"> techniky vrátane pozorného sledovania vodiaceho drôtu a manipulácie s katétrom, použitia rúrkových systémov a/alebo trojcestných zatváracích kohútikov, častého preplachovania katétrov </w:t>
      </w:r>
      <w:proofErr w:type="spellStart"/>
      <w:r w:rsidRPr="00DE3AAE">
        <w:rPr>
          <w:color w:val="000000"/>
        </w:rPr>
        <w:t>heparinizovanými</w:t>
      </w:r>
      <w:proofErr w:type="spellEnd"/>
      <w:r w:rsidRPr="00DE3AAE">
        <w:rPr>
          <w:color w:val="000000"/>
        </w:rPr>
        <w:t xml:space="preserve"> fyziologickými roztokmi a minimalizácie dĺžky zákroku. Bolo hlásené, že použitie plastových injekčných striekačiek namiesto sklenených znižuje, avšak neeliminuje pravdepodobnosť zrážania </w:t>
      </w:r>
      <w:r w:rsidRPr="00DE3AAE">
        <w:rPr>
          <w:i/>
          <w:color w:val="000000"/>
        </w:rPr>
        <w:t>in vitro</w:t>
      </w:r>
      <w:r w:rsidRPr="00DE3AAE">
        <w:rPr>
          <w:color w:val="000000"/>
        </w:rPr>
        <w:t>.</w:t>
      </w:r>
    </w:p>
    <w:p w:rsidR="00805BA2" w:rsidRPr="00DE3AAE" w:rsidRDefault="00805BA2" w:rsidP="00805BA2">
      <w:pPr>
        <w:rPr>
          <w:color w:val="000000"/>
          <w:lang w:eastAsia="ar-SA"/>
        </w:rPr>
      </w:pPr>
    </w:p>
    <w:p w:rsidR="00805BA2" w:rsidRPr="00DE3AAE" w:rsidRDefault="00805BA2" w:rsidP="00805BA2">
      <w:pPr>
        <w:rPr>
          <w:lang w:eastAsia="ar-SA"/>
        </w:rPr>
      </w:pPr>
      <w:r w:rsidRPr="00DE3AAE">
        <w:t>Osobitná opatrnosť je potrebná u pacientov s pokročilou aterosklerózou, závažnou hypertenziou, srdcovou dekompenzáciou, pri senilite, po prekonanej mozgovej trombóze alebo embólii a pri migréne. Kardiovaskulárne reakcie, ako napríklad bradykardia a pokles alebo zvýšenie krvného tlaku, sa môžu vyskytovať častejšie.</w:t>
      </w:r>
    </w:p>
    <w:p w:rsidR="00805BA2" w:rsidRPr="00DE3AAE" w:rsidRDefault="00805BA2" w:rsidP="00805BA2">
      <w:pPr>
        <w:rPr>
          <w:szCs w:val="22"/>
          <w:lang w:eastAsia="ar-SA"/>
        </w:rPr>
      </w:pPr>
    </w:p>
    <w:p w:rsidR="00805BA2" w:rsidRPr="00DE3AAE" w:rsidRDefault="00805BA2" w:rsidP="00805BA2">
      <w:pPr>
        <w:rPr>
          <w:szCs w:val="22"/>
          <w:lang w:eastAsia="ar-SA"/>
        </w:rPr>
      </w:pPr>
      <w:proofErr w:type="spellStart"/>
      <w:r w:rsidRPr="00DE3AAE">
        <w:rPr>
          <w:szCs w:val="22"/>
        </w:rPr>
        <w:t>Angiografické</w:t>
      </w:r>
      <w:proofErr w:type="spellEnd"/>
      <w:r w:rsidRPr="00DE3AAE">
        <w:rPr>
          <w:szCs w:val="22"/>
        </w:rPr>
        <w:t xml:space="preserve"> vyšetrenie má byť vylúčené u pacientov s </w:t>
      </w:r>
      <w:proofErr w:type="spellStart"/>
      <w:r w:rsidRPr="00DE3AAE">
        <w:rPr>
          <w:szCs w:val="22"/>
        </w:rPr>
        <w:t>homocystinúriou</w:t>
      </w:r>
      <w:proofErr w:type="spellEnd"/>
      <w:r w:rsidRPr="00DE3AAE">
        <w:rPr>
          <w:szCs w:val="22"/>
        </w:rPr>
        <w:t>. Dôvodom je vyššie riziko vzniku trombózy alebo embólie.</w:t>
      </w:r>
    </w:p>
    <w:p w:rsidR="00805BA2" w:rsidRPr="00DE3AAE" w:rsidRDefault="00805BA2" w:rsidP="00805BA2">
      <w:pPr>
        <w:rPr>
          <w:lang w:eastAsia="ar-SA"/>
        </w:rPr>
      </w:pPr>
    </w:p>
    <w:p w:rsidR="00805BA2" w:rsidRPr="00DE3AAE" w:rsidRDefault="00805BA2" w:rsidP="00805BA2">
      <w:proofErr w:type="spellStart"/>
      <w:r w:rsidRPr="00DE3AAE">
        <w:t>Optiray</w:t>
      </w:r>
      <w:proofErr w:type="spellEnd"/>
      <w:r w:rsidRPr="00DE3AAE">
        <w:rPr>
          <w:color w:val="FF0000"/>
        </w:rPr>
        <w:t xml:space="preserve"> </w:t>
      </w:r>
      <w:r w:rsidRPr="00DE3AAE">
        <w:t xml:space="preserve">sa má vždy podávať opatrne, aby sa zabránilo </w:t>
      </w:r>
      <w:proofErr w:type="spellStart"/>
      <w:r w:rsidRPr="00DE3AAE">
        <w:t>perivaskulárnej</w:t>
      </w:r>
      <w:proofErr w:type="spellEnd"/>
      <w:r w:rsidRPr="00DE3AAE">
        <w:t xml:space="preserve"> aplikácii. Významná </w:t>
      </w:r>
      <w:proofErr w:type="spellStart"/>
      <w:r w:rsidRPr="00DE3AAE">
        <w:t>extravazácia</w:t>
      </w:r>
      <w:proofErr w:type="spellEnd"/>
      <w:r w:rsidRPr="00DE3AAE">
        <w:t xml:space="preserve"> sa môže objaviť najmä pri podávaní tlakovým injektorom. Možno povedať, že je dobre znášaný bez významnejšieho poškodenia tkaniva, pričom vo väčšine prípadov postačuje konzervatívna liečba. Boli však hlásené aj ojedinelé prípady rozsiahlych poškodení tkanív (</w:t>
      </w:r>
      <w:proofErr w:type="spellStart"/>
      <w:r w:rsidRPr="00DE3AAE">
        <w:t>ulcerácia</w:t>
      </w:r>
      <w:proofErr w:type="spellEnd"/>
      <w:r w:rsidRPr="00DE3AAE">
        <w:t>) vyžadujúce chirurgické ošetrenie.</w:t>
      </w:r>
    </w:p>
    <w:p w:rsidR="00805BA2" w:rsidRPr="00DE3AAE" w:rsidRDefault="00805BA2" w:rsidP="00805BA2">
      <w:pPr>
        <w:rPr>
          <w:lang w:eastAsia="ar-SA"/>
        </w:rPr>
      </w:pPr>
    </w:p>
    <w:p w:rsidR="00805BA2" w:rsidRPr="00DE3AAE" w:rsidRDefault="00805BA2" w:rsidP="00805BA2">
      <w:pPr>
        <w:rPr>
          <w:szCs w:val="22"/>
          <w:lang w:eastAsia="ar-SA"/>
        </w:rPr>
      </w:pPr>
      <w:r w:rsidRPr="00DE3AAE">
        <w:rPr>
          <w:szCs w:val="22"/>
        </w:rPr>
        <w:t>Špeciálne upozornenia pri špeciálnych indikáciách:</w:t>
      </w:r>
    </w:p>
    <w:p w:rsidR="00805BA2" w:rsidRPr="00DE3AAE" w:rsidRDefault="00805BA2" w:rsidP="00805BA2">
      <w:pPr>
        <w:rPr>
          <w:szCs w:val="22"/>
          <w:lang w:eastAsia="ar-SA"/>
        </w:rPr>
      </w:pPr>
    </w:p>
    <w:p w:rsidR="00805BA2" w:rsidRPr="00DE3AAE" w:rsidRDefault="00805BA2" w:rsidP="00805BA2">
      <w:pPr>
        <w:rPr>
          <w:u w:val="single"/>
          <w:lang w:eastAsia="ar-SA"/>
        </w:rPr>
      </w:pPr>
      <w:proofErr w:type="spellStart"/>
      <w:r w:rsidRPr="00DE3AAE">
        <w:rPr>
          <w:u w:val="single"/>
        </w:rPr>
        <w:t>Venografia</w:t>
      </w:r>
      <w:proofErr w:type="spellEnd"/>
    </w:p>
    <w:p w:rsidR="00805BA2" w:rsidRPr="00DE3AAE" w:rsidRDefault="00805BA2" w:rsidP="00805BA2">
      <w:pPr>
        <w:suppressAutoHyphens/>
        <w:rPr>
          <w:szCs w:val="22"/>
          <w:lang w:eastAsia="ar-SA"/>
        </w:rPr>
      </w:pPr>
      <w:r w:rsidRPr="00DE3AAE">
        <w:rPr>
          <w:szCs w:val="22"/>
        </w:rPr>
        <w:t xml:space="preserve">U pacientov s podozrením na </w:t>
      </w:r>
      <w:proofErr w:type="spellStart"/>
      <w:r w:rsidRPr="00DE3AAE">
        <w:rPr>
          <w:szCs w:val="22"/>
        </w:rPr>
        <w:t>flebitídu</w:t>
      </w:r>
      <w:proofErr w:type="spellEnd"/>
      <w:r w:rsidRPr="00DE3AAE">
        <w:rPr>
          <w:szCs w:val="22"/>
        </w:rPr>
        <w:t xml:space="preserve">, so závažnou ischémiou, s lokálnou infekciou alebo kompletným cievnym uzáverom je potrebná zvýšená opatrnosť. Počas podávania injekcie odporúčame vykonávať röntgenovú </w:t>
      </w:r>
      <w:proofErr w:type="spellStart"/>
      <w:r w:rsidRPr="00DE3AAE">
        <w:rPr>
          <w:szCs w:val="22"/>
        </w:rPr>
        <w:t>fluoroskopiu</w:t>
      </w:r>
      <w:proofErr w:type="spellEnd"/>
      <w:r w:rsidRPr="00DE3AAE">
        <w:rPr>
          <w:szCs w:val="22"/>
        </w:rPr>
        <w:t xml:space="preserve">, aby sa zabránilo </w:t>
      </w:r>
      <w:proofErr w:type="spellStart"/>
      <w:r w:rsidRPr="00DE3AAE">
        <w:rPr>
          <w:szCs w:val="22"/>
        </w:rPr>
        <w:t>extravaskulárnemu</w:t>
      </w:r>
      <w:proofErr w:type="spellEnd"/>
      <w:r w:rsidRPr="00DE3AAE">
        <w:rPr>
          <w:szCs w:val="22"/>
        </w:rPr>
        <w:t xml:space="preserve"> podaniu lieku.</w:t>
      </w:r>
    </w:p>
    <w:p w:rsidR="00805BA2" w:rsidRPr="00DE3AAE" w:rsidRDefault="00805BA2" w:rsidP="00805BA2">
      <w:pPr>
        <w:rPr>
          <w:lang w:eastAsia="ar-SA"/>
        </w:rPr>
      </w:pPr>
    </w:p>
    <w:p w:rsidR="00805BA2" w:rsidRPr="00DE3AAE" w:rsidRDefault="00805BA2" w:rsidP="00805BA2">
      <w:pPr>
        <w:rPr>
          <w:u w:val="single"/>
          <w:lang w:eastAsia="ar-SA"/>
        </w:rPr>
      </w:pPr>
      <w:r w:rsidRPr="00DE3AAE">
        <w:rPr>
          <w:u w:val="single"/>
        </w:rPr>
        <w:t xml:space="preserve">Periférna </w:t>
      </w:r>
      <w:proofErr w:type="spellStart"/>
      <w:r w:rsidRPr="00DE3AAE">
        <w:rPr>
          <w:u w:val="single"/>
        </w:rPr>
        <w:t>angiografia</w:t>
      </w:r>
      <w:proofErr w:type="spellEnd"/>
    </w:p>
    <w:p w:rsidR="00805BA2" w:rsidRPr="00DE3AAE" w:rsidRDefault="00805BA2" w:rsidP="00805BA2">
      <w:pPr>
        <w:suppressAutoHyphens/>
        <w:rPr>
          <w:szCs w:val="22"/>
          <w:lang w:eastAsia="ar-SA"/>
        </w:rPr>
      </w:pPr>
      <w:r w:rsidRPr="00DE3AAE">
        <w:rPr>
          <w:szCs w:val="22"/>
        </w:rPr>
        <w:t>Musí byť viditeľná pulzácia tepien, do ktorých sa bude podávať röntgenová kontrastná látka. U pacientov s </w:t>
      </w:r>
      <w:proofErr w:type="spellStart"/>
      <w:r w:rsidRPr="00DE3AAE">
        <w:rPr>
          <w:szCs w:val="22"/>
        </w:rPr>
        <w:t>obliterujúcou</w:t>
      </w:r>
      <w:proofErr w:type="spellEnd"/>
      <w:r w:rsidRPr="00DE3AAE">
        <w:rPr>
          <w:szCs w:val="22"/>
        </w:rPr>
        <w:t xml:space="preserve"> </w:t>
      </w:r>
      <w:proofErr w:type="spellStart"/>
      <w:r w:rsidRPr="00DE3AAE">
        <w:rPr>
          <w:szCs w:val="22"/>
        </w:rPr>
        <w:t>tromboangiopatiou</w:t>
      </w:r>
      <w:proofErr w:type="spellEnd"/>
      <w:r w:rsidRPr="00DE3AAE">
        <w:rPr>
          <w:szCs w:val="22"/>
        </w:rPr>
        <w:t xml:space="preserve"> alebo </w:t>
      </w:r>
      <w:proofErr w:type="spellStart"/>
      <w:r w:rsidRPr="00DE3AAE">
        <w:rPr>
          <w:szCs w:val="22"/>
        </w:rPr>
        <w:t>ascedentnou</w:t>
      </w:r>
      <w:proofErr w:type="spellEnd"/>
      <w:r w:rsidRPr="00DE3AAE">
        <w:rPr>
          <w:szCs w:val="22"/>
        </w:rPr>
        <w:t xml:space="preserve"> infekciou alebo v kombinácii so závažnou ischémiou sa musí </w:t>
      </w:r>
      <w:proofErr w:type="spellStart"/>
      <w:r w:rsidRPr="00DE3AAE">
        <w:rPr>
          <w:szCs w:val="22"/>
        </w:rPr>
        <w:t>angiografické</w:t>
      </w:r>
      <w:proofErr w:type="spellEnd"/>
      <w:r w:rsidRPr="00DE3AAE">
        <w:rPr>
          <w:szCs w:val="22"/>
        </w:rPr>
        <w:t xml:space="preserve"> vyšetrenie prísne zvážiť a musí byť indikované, pričom je potrebná zvýšená opatrnosť.</w:t>
      </w:r>
    </w:p>
    <w:p w:rsidR="00805BA2" w:rsidRPr="00DE3AAE" w:rsidRDefault="00805BA2" w:rsidP="00805BA2">
      <w:pPr>
        <w:rPr>
          <w:lang w:eastAsia="ar-SA"/>
        </w:rPr>
      </w:pPr>
    </w:p>
    <w:p w:rsidR="00805BA2" w:rsidRPr="00DE3AAE" w:rsidRDefault="00805BA2" w:rsidP="00805BA2">
      <w:pPr>
        <w:keepNext/>
        <w:suppressAutoHyphens/>
        <w:rPr>
          <w:szCs w:val="22"/>
          <w:u w:val="single"/>
          <w:lang w:eastAsia="ar-SA"/>
        </w:rPr>
      </w:pPr>
      <w:proofErr w:type="spellStart"/>
      <w:r w:rsidRPr="00DE3AAE">
        <w:rPr>
          <w:szCs w:val="22"/>
          <w:u w:val="single"/>
        </w:rPr>
        <w:t>Myelografia</w:t>
      </w:r>
      <w:proofErr w:type="spellEnd"/>
    </w:p>
    <w:p w:rsidR="00805BA2" w:rsidRPr="00DE3AAE" w:rsidRDefault="00805BA2" w:rsidP="00805BA2">
      <w:pPr>
        <w:rPr>
          <w:lang w:eastAsia="ar-SA"/>
        </w:rPr>
      </w:pPr>
      <w:r w:rsidRPr="00DE3AAE">
        <w:t xml:space="preserve">Mimoriadne starostlivé zváženie indikácie </w:t>
      </w:r>
      <w:proofErr w:type="spellStart"/>
      <w:r w:rsidRPr="00DE3AAE">
        <w:t>myelografie</w:t>
      </w:r>
      <w:proofErr w:type="spellEnd"/>
      <w:r w:rsidRPr="00DE3AAE">
        <w:t xml:space="preserve"> sa vyžaduje u pacientov, u ktorých sa predpokladá znížený prah kŕčov, napríklad u epileptikov a alkoholikov, ako aj u pacientov, ktorí užívajú niektoré lieky, ako sú </w:t>
      </w:r>
      <w:proofErr w:type="spellStart"/>
      <w:r w:rsidRPr="00DE3AAE">
        <w:t>neuroleptiká</w:t>
      </w:r>
      <w:proofErr w:type="spellEnd"/>
      <w:r w:rsidRPr="00DE3AAE">
        <w:t xml:space="preserve"> a </w:t>
      </w:r>
      <w:proofErr w:type="spellStart"/>
      <w:r w:rsidRPr="00DE3AAE">
        <w:t>antidepresíva</w:t>
      </w:r>
      <w:proofErr w:type="spellEnd"/>
      <w:r w:rsidRPr="00DE3AAE">
        <w:t xml:space="preserve">, pretože v týchto prípadoch sa môžu zhoršiť základné neurologické poruchy. Ak je </w:t>
      </w:r>
      <w:proofErr w:type="spellStart"/>
      <w:r w:rsidRPr="00DE3AAE">
        <w:t>myelografia</w:t>
      </w:r>
      <w:proofErr w:type="spellEnd"/>
      <w:r w:rsidRPr="00DE3AAE">
        <w:t xml:space="preserve"> nevyhnutná, je nevyhnutné aj pozorovanie po vykonaní rádiologického vyšetrenia.</w:t>
      </w:r>
    </w:p>
    <w:p w:rsidR="00805BA2" w:rsidRPr="00DE3AAE" w:rsidRDefault="00805BA2" w:rsidP="00805BA2">
      <w:pPr>
        <w:rPr>
          <w:lang w:eastAsia="ar-SA"/>
        </w:rPr>
      </w:pPr>
    </w:p>
    <w:p w:rsidR="00805BA2" w:rsidRPr="00DE3AAE" w:rsidRDefault="00805BA2" w:rsidP="00805BA2">
      <w:pPr>
        <w:rPr>
          <w:lang w:eastAsia="ar-SA"/>
        </w:rPr>
      </w:pPr>
      <w:r w:rsidRPr="00DE3AAE">
        <w:t>- Pred vyšetrením</w:t>
      </w:r>
    </w:p>
    <w:p w:rsidR="00805BA2" w:rsidRPr="00DE3AAE" w:rsidRDefault="00805BA2" w:rsidP="00805BA2">
      <w:pPr>
        <w:rPr>
          <w:lang w:eastAsia="ar-SA"/>
        </w:rPr>
      </w:pPr>
      <w:r w:rsidRPr="00DE3AAE">
        <w:t xml:space="preserve">Pacient musí byť dobre hydratovaný a 2 hodiny pred vyšetrením sa musí postiť. </w:t>
      </w:r>
      <w:proofErr w:type="spellStart"/>
      <w:r w:rsidRPr="00DE3AAE">
        <w:t>Myelografia</w:t>
      </w:r>
      <w:proofErr w:type="spellEnd"/>
      <w:r w:rsidRPr="00DE3AAE">
        <w:t xml:space="preserve"> sa nemá vykonávať po dobu 8 dní po lumbálnej punkcii.</w:t>
      </w:r>
    </w:p>
    <w:p w:rsidR="00805BA2" w:rsidRPr="00DE3AAE" w:rsidRDefault="00805BA2" w:rsidP="00805BA2">
      <w:pPr>
        <w:rPr>
          <w:lang w:eastAsia="ar-SA"/>
        </w:rPr>
      </w:pPr>
    </w:p>
    <w:p w:rsidR="00805BA2" w:rsidRPr="00DE3AAE" w:rsidRDefault="00805BA2" w:rsidP="00805BA2">
      <w:pPr>
        <w:keepNext/>
        <w:rPr>
          <w:lang w:eastAsia="ar-SA"/>
        </w:rPr>
      </w:pPr>
      <w:r w:rsidRPr="00DE3AAE">
        <w:t>- Počas vyšetrení</w:t>
      </w:r>
    </w:p>
    <w:p w:rsidR="00805BA2" w:rsidRPr="00DE3AAE" w:rsidRDefault="00805BA2" w:rsidP="00805BA2">
      <w:pPr>
        <w:rPr>
          <w:lang w:eastAsia="ar-SA"/>
        </w:rPr>
      </w:pPr>
      <w:r w:rsidRPr="00DE3AAE">
        <w:t xml:space="preserve">Zvoľte najnižšiu dávku potrebnú na dosiahnutie dostatočného kontrastu. Pomaly, približne 30 sekúnd vstrekujte. Použite tenkú ihlu. Pacienta vopred upozornite, aby nevykonával náhle a aktívne pohyby. Hlava pacienta musí ležať vždy vyššie ako chrbtica. Treba zabrániť prieniku </w:t>
      </w:r>
      <w:proofErr w:type="spellStart"/>
      <w:r w:rsidRPr="00DE3AAE">
        <w:t>bolusu</w:t>
      </w:r>
      <w:proofErr w:type="spellEnd"/>
      <w:r w:rsidRPr="00DE3AAE">
        <w:t xml:space="preserve"> kontrastnej látky alebo väčšieho množstva kontrastnej látky do </w:t>
      </w:r>
      <w:proofErr w:type="spellStart"/>
      <w:r w:rsidRPr="00DE3AAE">
        <w:t>intrakraniálneho</w:t>
      </w:r>
      <w:proofErr w:type="spellEnd"/>
      <w:r w:rsidRPr="00DE3AAE">
        <w:t xml:space="preserve"> priestoru.</w:t>
      </w:r>
    </w:p>
    <w:p w:rsidR="00805BA2" w:rsidRPr="00DE3AAE" w:rsidRDefault="00805BA2" w:rsidP="00805BA2">
      <w:pPr>
        <w:rPr>
          <w:lang w:eastAsia="ar-SA"/>
        </w:rPr>
      </w:pPr>
    </w:p>
    <w:p w:rsidR="00805BA2" w:rsidRPr="00DE3AAE" w:rsidRDefault="00805BA2" w:rsidP="00805BA2">
      <w:pPr>
        <w:rPr>
          <w:lang w:eastAsia="ar-SA"/>
        </w:rPr>
      </w:pPr>
      <w:r w:rsidRPr="00DE3AAE">
        <w:t>- Po vyšetrení</w:t>
      </w:r>
    </w:p>
    <w:p w:rsidR="00805BA2" w:rsidRPr="00DE3AAE" w:rsidRDefault="00805BA2" w:rsidP="00805BA2">
      <w:r w:rsidRPr="00DE3AAE">
        <w:t xml:space="preserve">Premiestnite pacienta pomaly na lôžko s nadvihnutou hlavou, pričom pacient musí zostať úplne pasívny. Pacient musí 24 hodín ležať pod dohľadom v kľude na lôžku s nadvihnutou hlavou. Ak je to možné, podávajte pacientovi perorálne tekutiny. Nevoľnosť a vracanie po punkcii sa nemajú liečiť </w:t>
      </w:r>
      <w:proofErr w:type="spellStart"/>
      <w:r w:rsidRPr="00DE3AAE">
        <w:t>fenotiazínom</w:t>
      </w:r>
      <w:proofErr w:type="spellEnd"/>
      <w:r w:rsidRPr="00DE3AAE">
        <w:t>, ale náhradou objemu.</w:t>
      </w:r>
    </w:p>
    <w:p w:rsidR="00805BA2" w:rsidRPr="00DE3AAE" w:rsidRDefault="00805BA2" w:rsidP="00805BA2"/>
    <w:p w:rsidR="00805BA2" w:rsidRPr="00DE3AAE" w:rsidRDefault="00805BA2" w:rsidP="00805BA2">
      <w:pPr>
        <w:rPr>
          <w:lang w:eastAsia="ar-SA"/>
        </w:rPr>
      </w:pPr>
      <w:r w:rsidRPr="00DE3AAE">
        <w:t>- Liečba vedľajších účinkov</w:t>
      </w:r>
    </w:p>
    <w:p w:rsidR="00805BA2" w:rsidRPr="00DE3AAE" w:rsidRDefault="00805BA2" w:rsidP="00805BA2">
      <w:pPr>
        <w:rPr>
          <w:lang w:eastAsia="ar-SA"/>
        </w:rPr>
      </w:pPr>
      <w:r w:rsidRPr="00DE3AAE">
        <w:t xml:space="preserve">Nešpecifické vedľajšie účinky, ako bolesti hlavy, nevoľnosť, dráždenie na vracanie, vracanie a stuhnutie šije, ktoré vo všeobecnosti spočívajú v strate </w:t>
      </w:r>
      <w:proofErr w:type="spellStart"/>
      <w:r w:rsidRPr="00DE3AAE">
        <w:t>likvoru</w:t>
      </w:r>
      <w:proofErr w:type="spellEnd"/>
      <w:r w:rsidRPr="00DE3AAE">
        <w:t xml:space="preserve"> po punkcii, sa odstránia dostatočným perorálnym alebo </w:t>
      </w:r>
      <w:proofErr w:type="spellStart"/>
      <w:r w:rsidRPr="00DE3AAE">
        <w:t>parenterálnym</w:t>
      </w:r>
      <w:proofErr w:type="spellEnd"/>
      <w:r w:rsidRPr="00DE3AAE">
        <w:t xml:space="preserve"> prísunom tekutín. Uloženie pacienta na rovnú plochu s mierne nadvihnutou hlavou zlepšuje na základe skúseností ťažkosti po punkcii. Pri silnej bolesti hlavy sú vhodné analgetiká.</w:t>
      </w:r>
    </w:p>
    <w:p w:rsidR="00805BA2" w:rsidRPr="00DE3AAE" w:rsidRDefault="00805BA2" w:rsidP="00805BA2">
      <w:pPr>
        <w:rPr>
          <w:lang w:eastAsia="ar-SA"/>
        </w:rPr>
      </w:pPr>
    </w:p>
    <w:p w:rsidR="00805BA2" w:rsidRPr="00DE3AAE" w:rsidRDefault="00805BA2" w:rsidP="00805BA2">
      <w:pPr>
        <w:rPr>
          <w:lang w:eastAsia="ar-SA"/>
        </w:rPr>
      </w:pPr>
      <w:r w:rsidRPr="00DE3AAE">
        <w:t xml:space="preserve">Pri znížení krvného tlaku a poruche </w:t>
      </w:r>
      <w:proofErr w:type="spellStart"/>
      <w:r w:rsidRPr="00DE3AAE">
        <w:t>ortostatickej</w:t>
      </w:r>
      <w:proofErr w:type="spellEnd"/>
      <w:r w:rsidRPr="00DE3AAE">
        <w:t xml:space="preserve"> regulácie sa aplikujú </w:t>
      </w:r>
      <w:proofErr w:type="spellStart"/>
      <w:r w:rsidRPr="00DE3AAE">
        <w:t>sympatomimetiká</w:t>
      </w:r>
      <w:proofErr w:type="spellEnd"/>
      <w:r w:rsidRPr="00DE3AAE">
        <w:t xml:space="preserve"> a poprípade aj intravenózna infúzia.</w:t>
      </w:r>
    </w:p>
    <w:p w:rsidR="00805BA2" w:rsidRPr="00DE3AAE" w:rsidRDefault="00805BA2" w:rsidP="00805BA2">
      <w:pPr>
        <w:rPr>
          <w:lang w:eastAsia="ar-SA"/>
        </w:rPr>
      </w:pPr>
    </w:p>
    <w:p w:rsidR="00805BA2" w:rsidRPr="00DE3AAE" w:rsidRDefault="00805BA2" w:rsidP="00805BA2">
      <w:pPr>
        <w:rPr>
          <w:lang w:eastAsia="ar-SA"/>
        </w:rPr>
      </w:pPr>
      <w:r w:rsidRPr="00DE3AAE">
        <w:t xml:space="preserve">Pri poruchách spinálnych a cerebrálnych funkcií, ako sú napríklad </w:t>
      </w:r>
      <w:proofErr w:type="spellStart"/>
      <w:r w:rsidRPr="00DE3AAE">
        <w:t>myoklonus</w:t>
      </w:r>
      <w:proofErr w:type="spellEnd"/>
      <w:r w:rsidRPr="00DE3AAE">
        <w:t xml:space="preserve"> a vznik kŕčov, sa podáva 0,2 g </w:t>
      </w:r>
      <w:proofErr w:type="spellStart"/>
      <w:r w:rsidRPr="00DE3AAE">
        <w:t>fenobarbitálu</w:t>
      </w:r>
      <w:proofErr w:type="spellEnd"/>
      <w:r w:rsidRPr="00DE3AAE">
        <w:t xml:space="preserve"> </w:t>
      </w:r>
      <w:proofErr w:type="spellStart"/>
      <w:r w:rsidRPr="00DE3AAE">
        <w:t>i.m</w:t>
      </w:r>
      <w:proofErr w:type="spellEnd"/>
      <w:r w:rsidRPr="00DE3AAE">
        <w:t xml:space="preserve">. a v prípade potreby 10 mg </w:t>
      </w:r>
      <w:proofErr w:type="spellStart"/>
      <w:r w:rsidRPr="00DE3AAE">
        <w:t>diazepamu</w:t>
      </w:r>
      <w:proofErr w:type="spellEnd"/>
      <w:r w:rsidRPr="00DE3AAE">
        <w:t xml:space="preserve"> </w:t>
      </w:r>
      <w:proofErr w:type="spellStart"/>
      <w:r w:rsidRPr="00DE3AAE">
        <w:t>i.v</w:t>
      </w:r>
      <w:proofErr w:type="spellEnd"/>
      <w:r w:rsidRPr="00DE3AAE">
        <w:t>. kvôli jeho rýchlemu nástupu účinku.</w:t>
      </w:r>
    </w:p>
    <w:p w:rsidR="00805BA2" w:rsidRPr="00DE3AAE" w:rsidRDefault="00805BA2" w:rsidP="00805BA2">
      <w:pPr>
        <w:rPr>
          <w:lang w:eastAsia="ar-SA"/>
        </w:rPr>
      </w:pPr>
    </w:p>
    <w:p w:rsidR="00805BA2" w:rsidRPr="00DE3AAE" w:rsidRDefault="00805BA2" w:rsidP="00805BA2">
      <w:pPr>
        <w:rPr>
          <w:lang w:eastAsia="ar-SA"/>
        </w:rPr>
      </w:pPr>
      <w:r w:rsidRPr="00DE3AAE">
        <w:rPr>
          <w:szCs w:val="22"/>
        </w:rPr>
        <w:t xml:space="preserve">Pri </w:t>
      </w:r>
      <w:proofErr w:type="spellStart"/>
      <w:r w:rsidRPr="00DE3AAE">
        <w:rPr>
          <w:szCs w:val="22"/>
        </w:rPr>
        <w:t>psychoorganickom</w:t>
      </w:r>
      <w:proofErr w:type="spellEnd"/>
      <w:r w:rsidRPr="00DE3AAE">
        <w:rPr>
          <w:szCs w:val="22"/>
        </w:rPr>
        <w:t xml:space="preserve"> syndróme a značnom nepokoji a zmätenosti sa odporúča </w:t>
      </w:r>
      <w:proofErr w:type="spellStart"/>
      <w:r w:rsidRPr="00DE3AAE">
        <w:rPr>
          <w:szCs w:val="22"/>
        </w:rPr>
        <w:t>parenterálne</w:t>
      </w:r>
      <w:proofErr w:type="spellEnd"/>
      <w:r w:rsidRPr="00DE3AAE">
        <w:rPr>
          <w:szCs w:val="22"/>
        </w:rPr>
        <w:t xml:space="preserve"> podanie </w:t>
      </w:r>
      <w:proofErr w:type="spellStart"/>
      <w:r w:rsidRPr="00DE3AAE">
        <w:rPr>
          <w:szCs w:val="22"/>
        </w:rPr>
        <w:t>klometiazolu</w:t>
      </w:r>
      <w:proofErr w:type="spellEnd"/>
      <w:r w:rsidRPr="00DE3AAE">
        <w:rPr>
          <w:szCs w:val="22"/>
        </w:rPr>
        <w:t xml:space="preserve"> (napr. </w:t>
      </w:r>
      <w:proofErr w:type="spellStart"/>
      <w:r w:rsidRPr="00DE3AAE">
        <w:rPr>
          <w:szCs w:val="22"/>
        </w:rPr>
        <w:t>Distraneurin</w:t>
      </w:r>
      <w:proofErr w:type="spellEnd"/>
      <w:r w:rsidRPr="00DE3AAE">
        <w:rPr>
          <w:szCs w:val="22"/>
        </w:rPr>
        <w:t>) podľa dávkovania odporúčaného výrobcom.</w:t>
      </w:r>
    </w:p>
    <w:p w:rsidR="00805BA2" w:rsidRPr="00DE3AAE" w:rsidRDefault="00805BA2" w:rsidP="00805BA2">
      <w:pPr>
        <w:rPr>
          <w:lang w:eastAsia="ar-SA"/>
        </w:rPr>
      </w:pPr>
    </w:p>
    <w:p w:rsidR="00805BA2" w:rsidRPr="00DE3AAE" w:rsidRDefault="00805BA2" w:rsidP="00805BA2">
      <w:pPr>
        <w:rPr>
          <w:szCs w:val="22"/>
          <w:u w:val="single"/>
        </w:rPr>
      </w:pPr>
      <w:r w:rsidRPr="00DE3AAE">
        <w:rPr>
          <w:szCs w:val="22"/>
          <w:u w:val="single"/>
        </w:rPr>
        <w:t>Sodík</w:t>
      </w:r>
    </w:p>
    <w:p w:rsidR="00805BA2" w:rsidRPr="00DE3AAE" w:rsidRDefault="00805BA2" w:rsidP="00805BA2">
      <w:pPr>
        <w:rPr>
          <w:szCs w:val="22"/>
        </w:rPr>
      </w:pPr>
      <w:r w:rsidRPr="0045090B">
        <w:t>Tento liek obsahuje menej ako 1 mmol sodíka (23 mg) v dávke, t.j. v podstate zanedbateľné množstvo</w:t>
      </w:r>
      <w:r w:rsidRPr="00DE3AAE">
        <w:rPr>
          <w:szCs w:val="22"/>
        </w:rPr>
        <w:t xml:space="preserve"> sodíka.</w:t>
      </w:r>
    </w:p>
    <w:p w:rsidR="00805BA2" w:rsidRPr="00DE3AAE" w:rsidRDefault="00805BA2" w:rsidP="00805BA2">
      <w:pPr>
        <w:rPr>
          <w:lang w:eastAsia="ar-SA"/>
        </w:rPr>
      </w:pPr>
    </w:p>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4.5</w:t>
      </w:r>
      <w:r w:rsidRPr="00DE3AAE">
        <w:rPr>
          <w:rFonts w:ascii="Times New Roman" w:hAnsi="Times New Roman"/>
          <w:sz w:val="22"/>
        </w:rPr>
        <w:tab/>
        <w:t>Liekové a iné interakcie</w:t>
      </w:r>
    </w:p>
    <w:p w:rsidR="00805BA2" w:rsidRPr="00DE3AAE" w:rsidRDefault="00805BA2" w:rsidP="00805BA2"/>
    <w:p w:rsidR="00805BA2" w:rsidRPr="00DE3AAE" w:rsidRDefault="00805BA2" w:rsidP="00805BA2">
      <w:pPr>
        <w:rPr>
          <w:lang w:eastAsia="ar-SA"/>
        </w:rPr>
      </w:pPr>
      <w:r w:rsidRPr="00DE3AAE">
        <w:t>Po podaní jódovaných röntgenových kontrastných látok boli hlásené nasledujúce interakcie. Vo všeobecnosti sa považujú za sprievodné vlastnosti tejto skupiny kontrastných látok.</w:t>
      </w:r>
    </w:p>
    <w:p w:rsidR="00805BA2" w:rsidRPr="00DE3AAE" w:rsidRDefault="00805BA2" w:rsidP="00805BA2">
      <w:pPr>
        <w:rPr>
          <w:lang w:eastAsia="ar-SA"/>
        </w:rPr>
      </w:pPr>
    </w:p>
    <w:p w:rsidR="00805BA2" w:rsidRPr="00DE3AAE" w:rsidRDefault="00805BA2" w:rsidP="00805BA2">
      <w:pPr>
        <w:rPr>
          <w:lang w:eastAsia="ar-SA"/>
        </w:rPr>
      </w:pPr>
      <w:r w:rsidRPr="00DE3AAE">
        <w:t xml:space="preserve">U niektorých pacientov s ochorením pečene, ktorí podstúpili perorálnu </w:t>
      </w:r>
      <w:proofErr w:type="spellStart"/>
      <w:r w:rsidRPr="00DE3AAE">
        <w:t>cholecystografiu</w:t>
      </w:r>
      <w:proofErr w:type="spellEnd"/>
      <w:r w:rsidRPr="00DE3AAE">
        <w:t xml:space="preserve"> a následne im bola </w:t>
      </w:r>
      <w:proofErr w:type="spellStart"/>
      <w:r w:rsidRPr="00DE3AAE">
        <w:t>intravaskulárne</w:t>
      </w:r>
      <w:proofErr w:type="spellEnd"/>
      <w:r w:rsidRPr="00DE3AAE">
        <w:t xml:space="preserve"> injektovaná kontrastná látka, bola hlásená </w:t>
      </w:r>
      <w:proofErr w:type="spellStart"/>
      <w:r w:rsidRPr="00DE3AAE">
        <w:t>renálna</w:t>
      </w:r>
      <w:proofErr w:type="spellEnd"/>
      <w:r w:rsidRPr="00DE3AAE">
        <w:t xml:space="preserve"> toxicita. Preto u pacientov, ktorým bola v nedávnej dobe podaná </w:t>
      </w:r>
      <w:proofErr w:type="spellStart"/>
      <w:r w:rsidRPr="00DE3AAE">
        <w:t>cholecystografická</w:t>
      </w:r>
      <w:proofErr w:type="spellEnd"/>
      <w:r w:rsidRPr="00DE3AAE">
        <w:t xml:space="preserve"> kontrastná látka, treba odložiť </w:t>
      </w:r>
      <w:proofErr w:type="spellStart"/>
      <w:r w:rsidRPr="00DE3AAE">
        <w:t>intravaskulárne</w:t>
      </w:r>
      <w:proofErr w:type="spellEnd"/>
      <w:r w:rsidRPr="00DE3AAE">
        <w:t xml:space="preserve"> podanie kontrastnej látky.</w:t>
      </w:r>
    </w:p>
    <w:p w:rsidR="00805BA2" w:rsidRPr="00DE3AAE" w:rsidRDefault="00805BA2" w:rsidP="00805BA2">
      <w:pPr>
        <w:rPr>
          <w:lang w:eastAsia="ar-SA"/>
        </w:rPr>
      </w:pPr>
    </w:p>
    <w:p w:rsidR="00805BA2" w:rsidRPr="00DE3AAE" w:rsidRDefault="00805BA2" w:rsidP="00805BA2">
      <w:pPr>
        <w:rPr>
          <w:lang w:eastAsia="ar-SA"/>
        </w:rPr>
      </w:pPr>
      <w:r w:rsidRPr="00DE3AAE">
        <w:t xml:space="preserve">V literatúre sa uvádzajú prípady, keď u pacientov liečených </w:t>
      </w:r>
      <w:proofErr w:type="spellStart"/>
      <w:r w:rsidRPr="00DE3AAE">
        <w:t>interferónom</w:t>
      </w:r>
      <w:proofErr w:type="spellEnd"/>
      <w:r w:rsidRPr="00DE3AAE">
        <w:t xml:space="preserve"> alebo </w:t>
      </w:r>
      <w:proofErr w:type="spellStart"/>
      <w:r w:rsidRPr="00DE3AAE">
        <w:t>interleukínom</w:t>
      </w:r>
      <w:proofErr w:type="spellEnd"/>
      <w:r w:rsidRPr="00DE3AAE">
        <w:t xml:space="preserve"> môže dôjsť k vyššiemu výskytu nežiaducich účinkov, ktoré sú popísané v kapitole „Nežiaduce účinky“. </w:t>
      </w:r>
      <w:r w:rsidRPr="00DE3AAE">
        <w:lastRenderedPageBreak/>
        <w:t>Mechanizmus tohto účinku nebol zatiaľ dostatočne objasnený. Podľa literatúry bol pozorovaný zvýšený alebo oneskorený výskyt týchto reakcií približne 2 týždne po aplikácii interleukínu.</w:t>
      </w:r>
    </w:p>
    <w:p w:rsidR="00805BA2" w:rsidRPr="00DE3AAE" w:rsidRDefault="00805BA2" w:rsidP="00805BA2">
      <w:pPr>
        <w:rPr>
          <w:lang w:eastAsia="ar-SA"/>
        </w:rPr>
      </w:pPr>
    </w:p>
    <w:p w:rsidR="00805BA2" w:rsidRPr="00DE3AAE" w:rsidRDefault="00805BA2" w:rsidP="00805BA2">
      <w:pPr>
        <w:rPr>
          <w:lang w:eastAsia="ar-SA"/>
        </w:rPr>
      </w:pPr>
      <w:r w:rsidRPr="00DE3AAE">
        <w:t xml:space="preserve">Arteriálna aplikácia röntgenovej kontrastnej látky nesmie byť nikdy vykonaná po podaní </w:t>
      </w:r>
      <w:proofErr w:type="spellStart"/>
      <w:r w:rsidRPr="00DE3AAE">
        <w:t>vazopresív</w:t>
      </w:r>
      <w:proofErr w:type="spellEnd"/>
      <w:r w:rsidRPr="00DE3AAE">
        <w:t>, pretože tieto látky môžu výrazne zosilňovať neurologické príznaky.</w:t>
      </w:r>
    </w:p>
    <w:p w:rsidR="00805BA2" w:rsidRPr="00DE3AAE" w:rsidRDefault="00805BA2" w:rsidP="00805BA2">
      <w:pPr>
        <w:rPr>
          <w:lang w:eastAsia="ar-SA"/>
        </w:rPr>
      </w:pPr>
    </w:p>
    <w:p w:rsidR="00805BA2" w:rsidRPr="00DE3AAE" w:rsidRDefault="00805BA2" w:rsidP="00805BA2">
      <w:pPr>
        <w:rPr>
          <w:lang w:eastAsia="ar-SA"/>
        </w:rPr>
      </w:pPr>
      <w:r w:rsidRPr="00DE3AAE">
        <w:t xml:space="preserve">U pacientov, ktorí užívali metformín v dobe, keď bola v rámci röntgenového vyšetrenia </w:t>
      </w:r>
      <w:proofErr w:type="spellStart"/>
      <w:r w:rsidRPr="00DE3AAE">
        <w:t>parenterálne</w:t>
      </w:r>
      <w:proofErr w:type="spellEnd"/>
      <w:r w:rsidRPr="00DE3AAE">
        <w:t xml:space="preserve"> podaná jódovaná kontrastná látka, bolo hlásené akútne zlyhanie činnosti obličiek s </w:t>
      </w:r>
      <w:proofErr w:type="spellStart"/>
      <w:r w:rsidRPr="00DE3AAE">
        <w:t>laktátovou</w:t>
      </w:r>
      <w:proofErr w:type="spellEnd"/>
      <w:r w:rsidRPr="00DE3AAE">
        <w:t xml:space="preserve"> </w:t>
      </w:r>
      <w:proofErr w:type="spellStart"/>
      <w:r w:rsidRPr="00DE3AAE">
        <w:t>acidózou</w:t>
      </w:r>
      <w:proofErr w:type="spellEnd"/>
      <w:r w:rsidRPr="00DE3AAE">
        <w:t>. Preto je potrebné u diabetických pacientov, ktorí majú normálnu hladinu sérového kreatinínu, vysadiť metformín pred plánovaným vyšetrením a opäť pokračovať v liečbe 48 hodín po röntgenovom vyšetrení s podaním kontrastnej látky. V užívaní sa môže pokračovať iba v prípade, ak funkcia obličiek (sérový kreatinín) zostane na normálnej úrovni alebo sa vráti na východiskovú úroveň.</w:t>
      </w:r>
    </w:p>
    <w:p w:rsidR="00805BA2" w:rsidRPr="00DE3AAE" w:rsidRDefault="00805BA2" w:rsidP="00805BA2">
      <w:pPr>
        <w:rPr>
          <w:lang w:eastAsia="ar-SA"/>
        </w:rPr>
      </w:pPr>
    </w:p>
    <w:p w:rsidR="00805BA2" w:rsidRPr="00DE3AAE" w:rsidRDefault="00805BA2" w:rsidP="00805BA2">
      <w:pPr>
        <w:rPr>
          <w:lang w:eastAsia="ar-SA"/>
        </w:rPr>
      </w:pPr>
      <w:r w:rsidRPr="00DE3AAE">
        <w:t>Jódované röntgenové kontrastné látky môžu znižovať schopnosť štítnej žľazy absorbovať jód. Z tohto dôvodu výsledky vyšetrení PBI (</w:t>
      </w:r>
      <w:proofErr w:type="spellStart"/>
      <w:r w:rsidRPr="00DE3AAE">
        <w:rPr>
          <w:i/>
        </w:rPr>
        <w:t>protein-bound</w:t>
      </w:r>
      <w:proofErr w:type="spellEnd"/>
      <w:r w:rsidRPr="00DE3AAE">
        <w:rPr>
          <w:i/>
        </w:rPr>
        <w:t xml:space="preserve"> </w:t>
      </w:r>
      <w:proofErr w:type="spellStart"/>
      <w:r w:rsidRPr="00DE3AAE">
        <w:rPr>
          <w:i/>
        </w:rPr>
        <w:t>iodine</w:t>
      </w:r>
      <w:proofErr w:type="spellEnd"/>
      <w:r w:rsidRPr="00DE3AAE">
        <w:t xml:space="preserve">, jód naviazaný na proteíny) a štúdie absorpcie rádioaktívneho jódu, ktorá závisí od množstva jódu v tele, môžu byť nepresné až do 16 dní po podaní jódovanej röntgenovej kontrastnej látky. Podobne nie je ovplyvnené ani vyšetrenie funkcie štítnej žľazy, ktorá závisí od množstva jódu, t. j. absorpcie T3, voľného </w:t>
      </w:r>
      <w:proofErr w:type="spellStart"/>
      <w:r w:rsidRPr="00DE3AAE">
        <w:t>tyroxínu</w:t>
      </w:r>
      <w:proofErr w:type="spellEnd"/>
      <w:r w:rsidRPr="00DE3AAE">
        <w:t xml:space="preserve"> a celkového T4.</w:t>
      </w:r>
    </w:p>
    <w:p w:rsidR="00805BA2" w:rsidRPr="00DE3AAE" w:rsidRDefault="00805BA2" w:rsidP="00805BA2">
      <w:pPr>
        <w:rPr>
          <w:lang w:eastAsia="ar-SA"/>
        </w:rPr>
      </w:pPr>
    </w:p>
    <w:p w:rsidR="00805BA2" w:rsidRPr="00DE3AAE" w:rsidRDefault="00805BA2" w:rsidP="00805BA2">
      <w:pPr>
        <w:rPr>
          <w:lang w:eastAsia="ar-SA"/>
        </w:rPr>
      </w:pPr>
      <w:r w:rsidRPr="00DE3AAE">
        <w:t xml:space="preserve">Lieky znižujúce prah kŕčov, t. j. </w:t>
      </w:r>
      <w:proofErr w:type="spellStart"/>
      <w:r w:rsidRPr="00DE3AAE">
        <w:t>fenotiazíny</w:t>
      </w:r>
      <w:proofErr w:type="spellEnd"/>
      <w:r w:rsidRPr="00DE3AAE">
        <w:t xml:space="preserve">, </w:t>
      </w:r>
      <w:proofErr w:type="spellStart"/>
      <w:r w:rsidRPr="00DE3AAE">
        <w:t>tricyklické</w:t>
      </w:r>
      <w:proofErr w:type="spellEnd"/>
      <w:r w:rsidRPr="00DE3AAE">
        <w:t xml:space="preserve"> </w:t>
      </w:r>
      <w:proofErr w:type="spellStart"/>
      <w:r w:rsidRPr="00DE3AAE">
        <w:t>antidepresíva</w:t>
      </w:r>
      <w:proofErr w:type="spellEnd"/>
      <w:r w:rsidRPr="00DE3AAE">
        <w:t xml:space="preserve">, inhibítory MAO, analeptiká a </w:t>
      </w:r>
      <w:proofErr w:type="spellStart"/>
      <w:r w:rsidRPr="00DE3AAE">
        <w:t>neuroleptiká</w:t>
      </w:r>
      <w:proofErr w:type="spellEnd"/>
      <w:r w:rsidRPr="00DE3AAE">
        <w:t xml:space="preserve">, môžu vyvolať kŕče, a to najmä u pacientov s epilepsiou alebo ložiskovým poškodením mozgu. Ak je to možné z lekárskeho hľadiska, tieto lieky sa nemajú podávať pacientom 48 hodín pred mozgovou </w:t>
      </w:r>
      <w:proofErr w:type="spellStart"/>
      <w:r w:rsidRPr="00DE3AAE">
        <w:t>angiografiou</w:t>
      </w:r>
      <w:proofErr w:type="spellEnd"/>
      <w:r w:rsidRPr="00DE3AAE">
        <w:t xml:space="preserve"> a 24 hodín po nej.</w:t>
      </w:r>
    </w:p>
    <w:p w:rsidR="00805BA2" w:rsidRPr="00DE3AAE" w:rsidRDefault="00805BA2" w:rsidP="00805BA2">
      <w:pPr>
        <w:rPr>
          <w:lang w:eastAsia="ar-SA"/>
        </w:rPr>
      </w:pPr>
    </w:p>
    <w:p w:rsidR="00805BA2" w:rsidRPr="00DE3AAE" w:rsidRDefault="00805BA2" w:rsidP="00805BA2">
      <w:pPr>
        <w:rPr>
          <w:lang w:eastAsia="ar-SA"/>
        </w:rPr>
      </w:pPr>
      <w:r w:rsidRPr="00DE3AAE">
        <w:t xml:space="preserve">Počas </w:t>
      </w:r>
      <w:proofErr w:type="spellStart"/>
      <w:r w:rsidRPr="00DE3AAE">
        <w:t>myelografie</w:t>
      </w:r>
      <w:proofErr w:type="spellEnd"/>
      <w:r w:rsidRPr="00DE3AAE">
        <w:t xml:space="preserve"> treba pamätať na to, že podľa možnosti sa majú vysadiť </w:t>
      </w:r>
      <w:proofErr w:type="spellStart"/>
      <w:r w:rsidRPr="00DE3AAE">
        <w:t>betablokátory</w:t>
      </w:r>
      <w:proofErr w:type="spellEnd"/>
      <w:r w:rsidRPr="00DE3AAE">
        <w:t xml:space="preserve">. Okrem toho sa nesmie súbežne podávať </w:t>
      </w:r>
      <w:proofErr w:type="spellStart"/>
      <w:r w:rsidRPr="00DE3AAE">
        <w:t>subarachnoidálna</w:t>
      </w:r>
      <w:proofErr w:type="spellEnd"/>
      <w:r w:rsidRPr="00DE3AAE">
        <w:t xml:space="preserve"> injekcia </w:t>
      </w:r>
      <w:proofErr w:type="spellStart"/>
      <w:r w:rsidRPr="00DE3AAE">
        <w:t>kortizónu</w:t>
      </w:r>
      <w:proofErr w:type="spellEnd"/>
      <w:r w:rsidRPr="00DE3AAE">
        <w:t>.</w:t>
      </w:r>
    </w:p>
    <w:p w:rsidR="00805BA2" w:rsidRPr="00DE3AAE" w:rsidRDefault="00805BA2" w:rsidP="00805BA2">
      <w:pPr>
        <w:rPr>
          <w:lang w:eastAsia="ar-SA"/>
        </w:rPr>
      </w:pPr>
    </w:p>
    <w:p w:rsidR="00805BA2" w:rsidRPr="00DE3AAE" w:rsidRDefault="00805BA2" w:rsidP="00805BA2">
      <w:pPr>
        <w:rPr>
          <w:lang w:eastAsia="ar-SA"/>
        </w:rPr>
      </w:pPr>
      <w:r w:rsidRPr="00DE3AAE">
        <w:t>Neuskutočnili sa žiadne interakčné štúdie.</w:t>
      </w:r>
    </w:p>
    <w:p w:rsidR="00805BA2" w:rsidRPr="00DE3AAE" w:rsidRDefault="00805BA2" w:rsidP="00805BA2">
      <w:pPr>
        <w:rPr>
          <w:lang w:eastAsia="ar-SA"/>
        </w:rPr>
      </w:pPr>
    </w:p>
    <w:p w:rsidR="00805BA2" w:rsidRPr="00DE3AAE" w:rsidRDefault="00805BA2" w:rsidP="00805BA2">
      <w:pPr>
        <w:pStyle w:val="Nadpis2"/>
        <w:rPr>
          <w:rFonts w:ascii="Times New Roman" w:hAnsi="Times New Roman"/>
          <w:sz w:val="22"/>
        </w:rPr>
      </w:pPr>
      <w:r w:rsidRPr="00DE3AAE">
        <w:rPr>
          <w:rFonts w:ascii="Times New Roman" w:hAnsi="Times New Roman"/>
          <w:sz w:val="22"/>
        </w:rPr>
        <w:t>4.6</w:t>
      </w:r>
      <w:r w:rsidRPr="00DE3AAE">
        <w:rPr>
          <w:rFonts w:ascii="Times New Roman" w:hAnsi="Times New Roman"/>
          <w:sz w:val="22"/>
        </w:rPr>
        <w:tab/>
        <w:t>Fertilita, gravidita a laktácia</w:t>
      </w:r>
    </w:p>
    <w:p w:rsidR="00805BA2" w:rsidRPr="00DE3AAE" w:rsidRDefault="00805BA2" w:rsidP="00805BA2"/>
    <w:p w:rsidR="00805BA2" w:rsidRPr="002B4F86" w:rsidRDefault="00805BA2" w:rsidP="00805BA2">
      <w:pPr>
        <w:suppressAutoHyphens/>
        <w:rPr>
          <w:szCs w:val="22"/>
          <w:u w:val="single"/>
          <w:lang w:eastAsia="ar-SA"/>
        </w:rPr>
      </w:pPr>
      <w:r w:rsidRPr="002B4F86">
        <w:rPr>
          <w:szCs w:val="22"/>
          <w:u w:val="single"/>
        </w:rPr>
        <w:t>Gravidita</w:t>
      </w:r>
    </w:p>
    <w:p w:rsidR="00805BA2" w:rsidRPr="00DE3AAE" w:rsidRDefault="00805BA2" w:rsidP="00805BA2">
      <w:pPr>
        <w:rPr>
          <w:lang w:eastAsia="ar-SA"/>
        </w:rPr>
      </w:pPr>
      <w:r w:rsidRPr="00DE3AAE">
        <w:t xml:space="preserve">Použitie látky </w:t>
      </w:r>
      <w:proofErr w:type="spellStart"/>
      <w:r w:rsidRPr="00DE3AAE">
        <w:t>Optiray</w:t>
      </w:r>
      <w:proofErr w:type="spellEnd"/>
      <w:r w:rsidRPr="00DE3AAE">
        <w:rPr>
          <w:vertAlign w:val="superscript"/>
        </w:rPr>
        <w:t xml:space="preserve"> </w:t>
      </w:r>
      <w:r w:rsidRPr="00DE3AAE">
        <w:t xml:space="preserve">pri gravidite nebolo zatiaľ obmedzené, pri pokusoch na laboratórnych zvieratách neboli zaznamenané žiadne </w:t>
      </w:r>
      <w:proofErr w:type="spellStart"/>
      <w:r w:rsidRPr="00DE3AAE">
        <w:t>teratogénne</w:t>
      </w:r>
      <w:proofErr w:type="spellEnd"/>
      <w:r w:rsidRPr="00DE3AAE">
        <w:t xml:space="preserve"> účinky. Preto sa použitie pri gravidite zdá byť bezpečné. Podobne môže byť nebezpečné pre plod aj akékoľvek röntgenové vyšetrenie počas gravidity a má sa dôkladne zvážiť pomer prínosov a rizík. Pokiaľ je dostupné alternatívne menej rizikové vyšetrenie, je vhodnejšie vylúčiť röntgenové vyšetrenie používajúce röntgenové kontrastné látky.</w:t>
      </w:r>
    </w:p>
    <w:p w:rsidR="00805BA2" w:rsidRPr="00DE3AAE" w:rsidRDefault="00805BA2" w:rsidP="00805BA2">
      <w:pPr>
        <w:rPr>
          <w:lang w:eastAsia="ar-SA"/>
        </w:rPr>
      </w:pPr>
    </w:p>
    <w:p w:rsidR="00805BA2" w:rsidRPr="00DE3AAE" w:rsidRDefault="00805BA2" w:rsidP="00805BA2">
      <w:pPr>
        <w:rPr>
          <w:szCs w:val="22"/>
          <w:lang w:eastAsia="ar-SA"/>
        </w:rPr>
      </w:pPr>
      <w:r w:rsidRPr="00DE3AAE">
        <w:rPr>
          <w:szCs w:val="22"/>
        </w:rPr>
        <w:t>V štandardných skúšobných modeloch nebol zaznamenaný žiadny mutagénny účinok.</w:t>
      </w:r>
    </w:p>
    <w:p w:rsidR="00805BA2" w:rsidRPr="00DE3AAE" w:rsidRDefault="00805BA2" w:rsidP="00805BA2"/>
    <w:p w:rsidR="00805BA2" w:rsidRPr="002B4F86" w:rsidRDefault="00805BA2" w:rsidP="00805BA2">
      <w:pPr>
        <w:suppressAutoHyphens/>
        <w:rPr>
          <w:szCs w:val="22"/>
          <w:u w:val="single"/>
          <w:lang w:eastAsia="ar-SA"/>
        </w:rPr>
      </w:pPr>
      <w:r>
        <w:rPr>
          <w:szCs w:val="22"/>
          <w:u w:val="single"/>
        </w:rPr>
        <w:t>Dojčenie</w:t>
      </w:r>
    </w:p>
    <w:p w:rsidR="00805BA2" w:rsidRPr="00DE3AAE" w:rsidRDefault="00805BA2" w:rsidP="00805BA2">
      <w:pPr>
        <w:rPr>
          <w:lang w:eastAsia="ar-SA"/>
        </w:rPr>
      </w:pPr>
      <w:r w:rsidRPr="00DE3AAE">
        <w:t xml:space="preserve">Ohľadom prechodu látky </w:t>
      </w:r>
      <w:proofErr w:type="spellStart"/>
      <w:r w:rsidRPr="00DE3AAE">
        <w:t>Optiray</w:t>
      </w:r>
      <w:proofErr w:type="spellEnd"/>
      <w:r w:rsidRPr="00DE3AAE">
        <w:t xml:space="preserve"> do ľudského mlieka nie sú k dispozícii žiadne údaje. V prípade mnohých injekčných röntgenových kontrastných látok však približne 1 % z celkového podaného množstva prechádza do materského mlieka v nezmenenej forme. Doteraz sa nezistilo, či toto spôsobuje nežiaduce účinky u dojčiat. Z dôvodu potenciálneho rizika nežiaducich reakcií u dojčiat je však u dojčiacich žien vhodnejšie nevykonať röntgenové kontrastné vyšetrenie, ak je však potrebné, odporúča sa prerušiť dojčenie na jeden deň.</w:t>
      </w:r>
    </w:p>
    <w:p w:rsidR="00805BA2" w:rsidRPr="00DE3AAE" w:rsidRDefault="00805BA2" w:rsidP="00805BA2"/>
    <w:p w:rsidR="00805BA2" w:rsidRPr="002B4F86" w:rsidRDefault="00805BA2" w:rsidP="00805BA2">
      <w:pPr>
        <w:rPr>
          <w:u w:val="single"/>
          <w:lang w:eastAsia="ar-SA"/>
        </w:rPr>
      </w:pPr>
      <w:r w:rsidRPr="002B4F86">
        <w:rPr>
          <w:u w:val="single"/>
        </w:rPr>
        <w:t>Fertilita</w:t>
      </w:r>
    </w:p>
    <w:p w:rsidR="00805BA2" w:rsidRPr="00DE3AAE" w:rsidRDefault="00805BA2" w:rsidP="00805BA2">
      <w:pPr>
        <w:rPr>
          <w:lang w:eastAsia="ar-SA"/>
        </w:rPr>
      </w:pPr>
      <w:r w:rsidRPr="00DE3AAE">
        <w:t>Štúdie na zvieratách nepreukázali priame alebo nepriame účinky z hľadiska fertility u ľudí. Neuskutočnili sa však žiadne adekvátne a riadne kontrolované klinické štúdie fertility.</w:t>
      </w:r>
    </w:p>
    <w:p w:rsidR="00805BA2" w:rsidRPr="00DE3AAE" w:rsidRDefault="00805BA2" w:rsidP="00805BA2">
      <w:pPr>
        <w:rPr>
          <w:lang w:eastAsia="ar-SA"/>
        </w:rPr>
      </w:pPr>
    </w:p>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lastRenderedPageBreak/>
        <w:t>4.7</w:t>
      </w:r>
      <w:r w:rsidRPr="00DE3AAE">
        <w:rPr>
          <w:rFonts w:ascii="Times New Roman" w:hAnsi="Times New Roman"/>
          <w:sz w:val="22"/>
        </w:rPr>
        <w:tab/>
        <w:t>Ovplyvnenie schopnosti viesť vozidlá a obsluhovať stroje</w:t>
      </w:r>
    </w:p>
    <w:p w:rsidR="00805BA2" w:rsidRPr="00DE3AAE" w:rsidRDefault="00805BA2" w:rsidP="00805BA2">
      <w:pPr>
        <w:keepNext/>
        <w:suppressAutoHyphens/>
        <w:rPr>
          <w:szCs w:val="22"/>
          <w:lang w:eastAsia="ar-SA"/>
        </w:rPr>
      </w:pPr>
    </w:p>
    <w:p w:rsidR="00805BA2" w:rsidRPr="00DE3AAE" w:rsidRDefault="00805BA2" w:rsidP="00805BA2">
      <w:pPr>
        <w:suppressAutoHyphens/>
        <w:rPr>
          <w:szCs w:val="22"/>
          <w:lang w:eastAsia="ar-SA"/>
        </w:rPr>
      </w:pPr>
      <w:r w:rsidRPr="00DE3AAE">
        <w:rPr>
          <w:szCs w:val="22"/>
        </w:rPr>
        <w:t>Nebol preukázaný žiadny vplyv na schopnosť viesť vozidlá a obsluhovať stroje. Napriek tomu sa z dôvodu rizika vzniku nežiaducich reakcií uvedených vyššie neodporúča viesť vozidlo ani obsluhovať stroje po dobu 1 hodiny po podaní röntgenovej kontrastnej látky.</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4.8</w:t>
      </w:r>
      <w:r w:rsidRPr="00DE3AAE">
        <w:rPr>
          <w:rFonts w:ascii="Times New Roman" w:hAnsi="Times New Roman"/>
          <w:sz w:val="22"/>
        </w:rPr>
        <w:tab/>
        <w:t>Nežiaduce účinky</w:t>
      </w:r>
    </w:p>
    <w:p w:rsidR="00805BA2" w:rsidRPr="00DE3AAE" w:rsidRDefault="00805BA2" w:rsidP="00805BA2">
      <w:pPr>
        <w:keepNext/>
      </w:pPr>
    </w:p>
    <w:p w:rsidR="00805BA2" w:rsidRPr="00DE3AAE" w:rsidRDefault="00805BA2" w:rsidP="00805BA2">
      <w:pPr>
        <w:rPr>
          <w:szCs w:val="22"/>
        </w:rPr>
      </w:pPr>
      <w:r w:rsidRPr="00DE3AAE">
        <w:rPr>
          <w:szCs w:val="22"/>
        </w:rPr>
        <w:t>Vedľajšie účinky sa môžu vyskytnúť s nasledujúcou frekvenciou:</w:t>
      </w:r>
    </w:p>
    <w:p w:rsidR="00805BA2" w:rsidRPr="00DE3AAE" w:rsidRDefault="00805BA2" w:rsidP="00805BA2">
      <w:pPr>
        <w:rPr>
          <w:szCs w:val="22"/>
        </w:rPr>
      </w:pPr>
      <w:r w:rsidRPr="00DE3AAE">
        <w:rPr>
          <w:szCs w:val="22"/>
        </w:rPr>
        <w:t>Veľmi časté (≥ 1/10)</w:t>
      </w:r>
    </w:p>
    <w:p w:rsidR="00805BA2" w:rsidRPr="00DE3AAE" w:rsidRDefault="00805BA2" w:rsidP="00805BA2">
      <w:pPr>
        <w:rPr>
          <w:szCs w:val="22"/>
        </w:rPr>
      </w:pPr>
      <w:r w:rsidRPr="00DE3AAE">
        <w:rPr>
          <w:szCs w:val="22"/>
        </w:rPr>
        <w:t>Časté (≥ 1/100 a</w:t>
      </w:r>
      <w:r w:rsidR="002D0682">
        <w:rPr>
          <w:szCs w:val="22"/>
        </w:rPr>
        <w:t>ž</w:t>
      </w:r>
      <w:r w:rsidRPr="00DE3AAE">
        <w:rPr>
          <w:szCs w:val="22"/>
        </w:rPr>
        <w:t xml:space="preserve"> &lt; 1/10)</w:t>
      </w:r>
    </w:p>
    <w:p w:rsidR="00805BA2" w:rsidRPr="00DE3AAE" w:rsidRDefault="00805BA2" w:rsidP="00805BA2">
      <w:pPr>
        <w:rPr>
          <w:szCs w:val="22"/>
        </w:rPr>
      </w:pPr>
      <w:r w:rsidRPr="00DE3AAE">
        <w:rPr>
          <w:szCs w:val="22"/>
        </w:rPr>
        <w:t>Menej časté (≥ 1/1 000 a</w:t>
      </w:r>
      <w:r w:rsidR="002D0682">
        <w:rPr>
          <w:szCs w:val="22"/>
        </w:rPr>
        <w:t>ž</w:t>
      </w:r>
      <w:r w:rsidRPr="00DE3AAE">
        <w:rPr>
          <w:szCs w:val="22"/>
        </w:rPr>
        <w:t xml:space="preserve"> &lt; 1/100)</w:t>
      </w:r>
    </w:p>
    <w:p w:rsidR="00805BA2" w:rsidRPr="00DE3AAE" w:rsidRDefault="00805BA2" w:rsidP="00805BA2">
      <w:pPr>
        <w:rPr>
          <w:szCs w:val="22"/>
        </w:rPr>
      </w:pPr>
      <w:r w:rsidRPr="00DE3AAE">
        <w:rPr>
          <w:szCs w:val="22"/>
        </w:rPr>
        <w:t>Zriedkavé (≥ 1/10 000 a</w:t>
      </w:r>
      <w:r w:rsidR="002D0682">
        <w:rPr>
          <w:szCs w:val="22"/>
        </w:rPr>
        <w:t>ž</w:t>
      </w:r>
      <w:r w:rsidRPr="00DE3AAE">
        <w:rPr>
          <w:szCs w:val="22"/>
        </w:rPr>
        <w:t xml:space="preserve"> &lt; 1/1 000)</w:t>
      </w:r>
    </w:p>
    <w:p w:rsidR="00805BA2" w:rsidRPr="00DE3AAE" w:rsidRDefault="00805BA2" w:rsidP="00805BA2">
      <w:pPr>
        <w:rPr>
          <w:szCs w:val="22"/>
        </w:rPr>
      </w:pPr>
      <w:r w:rsidRPr="00DE3AAE">
        <w:rPr>
          <w:szCs w:val="22"/>
        </w:rPr>
        <w:t>Veľmi zriedkavé (&lt; 1/10 000)</w:t>
      </w:r>
    </w:p>
    <w:p w:rsidR="00805BA2" w:rsidRPr="00DE3AAE" w:rsidRDefault="00805BA2" w:rsidP="00805BA2">
      <w:pPr>
        <w:rPr>
          <w:szCs w:val="22"/>
        </w:rPr>
      </w:pPr>
      <w:r w:rsidRPr="00DE3AAE">
        <w:rPr>
          <w:szCs w:val="22"/>
        </w:rPr>
        <w:t>Neznáme (z dostupných údajov)</w:t>
      </w:r>
    </w:p>
    <w:p w:rsidR="00805BA2" w:rsidRPr="00DE3AAE" w:rsidRDefault="00805BA2" w:rsidP="00805BA2">
      <w:pPr>
        <w:rPr>
          <w:szCs w:val="22"/>
        </w:rPr>
      </w:pPr>
    </w:p>
    <w:p w:rsidR="00805BA2" w:rsidRPr="00DE3AAE" w:rsidRDefault="00805BA2" w:rsidP="00805BA2">
      <w:pPr>
        <w:numPr>
          <w:ilvl w:val="0"/>
          <w:numId w:val="14"/>
        </w:numPr>
        <w:ind w:left="0" w:firstLine="0"/>
        <w:rPr>
          <w:b/>
        </w:rPr>
      </w:pPr>
      <w:r w:rsidRPr="00DE3AAE">
        <w:rPr>
          <w:b/>
        </w:rPr>
        <w:t>Súhrn bezpečnostného profilu</w:t>
      </w:r>
    </w:p>
    <w:p w:rsidR="00805BA2" w:rsidRPr="00DE3AAE" w:rsidRDefault="00805BA2" w:rsidP="00805BA2"/>
    <w:p w:rsidR="00805BA2" w:rsidRPr="00DE3AAE" w:rsidRDefault="00805BA2" w:rsidP="00805BA2">
      <w:pPr>
        <w:rPr>
          <w:szCs w:val="22"/>
        </w:rPr>
      </w:pPr>
      <w:r w:rsidRPr="00DE3AAE">
        <w:rPr>
          <w:szCs w:val="22"/>
        </w:rPr>
        <w:t xml:space="preserve">Nežiaduce reakcie po použití prípravkov obsahujúcich </w:t>
      </w:r>
      <w:proofErr w:type="spellStart"/>
      <w:r w:rsidRPr="00DE3AAE">
        <w:rPr>
          <w:szCs w:val="22"/>
        </w:rPr>
        <w:t>Optiray</w:t>
      </w:r>
      <w:proofErr w:type="spellEnd"/>
      <w:r w:rsidRPr="00DE3AAE">
        <w:rPr>
          <w:szCs w:val="22"/>
        </w:rPr>
        <w:t xml:space="preserve"> sú zvyčajne nezávislé od veľkosti podanej dávky. Sú zvyčajne mierne až stredne závažné, trvajú krátku dobu a vyriešia sa spontánne (bez liečby). Avšak aj mierne vedľajšie účinky môžu byť prvou indikáciou závažnej generalizovanej reakcie vyskytujúcej sa zriedkavo po podaní jódovanej kontrastnej látky. Takéto závažné reakcie môžu ohrozovať život alebo byť fatálne a vo väčšine prípadov ovplyvňujú kardiovaskulárny systém.</w:t>
      </w:r>
    </w:p>
    <w:p w:rsidR="00805BA2" w:rsidRPr="00DE3AAE" w:rsidRDefault="00805BA2" w:rsidP="00805BA2">
      <w:pPr>
        <w:rPr>
          <w:szCs w:val="22"/>
        </w:rPr>
      </w:pPr>
    </w:p>
    <w:p w:rsidR="00805BA2" w:rsidRPr="00DE3AAE" w:rsidRDefault="00805BA2" w:rsidP="00805BA2">
      <w:pPr>
        <w:rPr>
          <w:szCs w:val="22"/>
        </w:rPr>
      </w:pPr>
      <w:r w:rsidRPr="00DE3AAE">
        <w:rPr>
          <w:szCs w:val="22"/>
        </w:rPr>
        <w:t xml:space="preserve">Väčšina vedľajších účinkov spôsobených látkou </w:t>
      </w:r>
      <w:proofErr w:type="spellStart"/>
      <w:r w:rsidRPr="00DE3AAE">
        <w:rPr>
          <w:szCs w:val="22"/>
        </w:rPr>
        <w:t>Optiray</w:t>
      </w:r>
      <w:proofErr w:type="spellEnd"/>
      <w:r w:rsidRPr="00DE3AAE">
        <w:rPr>
          <w:szCs w:val="22"/>
        </w:rPr>
        <w:t xml:space="preserve"> sa vyskytuje do niekoľkých minút po podaní, ale reakcie z precitlivenosti na kontrastnú látku sa môžu vyskytnúť aj s oneskorením o niekoľko hodín až dní.</w:t>
      </w:r>
    </w:p>
    <w:p w:rsidR="00805BA2" w:rsidRPr="00DE3AAE" w:rsidRDefault="00805BA2" w:rsidP="00805BA2">
      <w:pPr>
        <w:rPr>
          <w:szCs w:val="22"/>
        </w:rPr>
      </w:pPr>
    </w:p>
    <w:p w:rsidR="00805BA2" w:rsidRPr="00DE3AAE" w:rsidRDefault="00805BA2" w:rsidP="00805BA2">
      <w:r w:rsidRPr="00DE3AAE">
        <w:t>Injekčné podanie kontrastnej látky je veľmi často spojené s návalmi tepla a často ho sprevádza bolesť.</w:t>
      </w:r>
    </w:p>
    <w:p w:rsidR="00805BA2" w:rsidRPr="00DE3AAE" w:rsidRDefault="00805BA2" w:rsidP="00805BA2"/>
    <w:p w:rsidR="00805BA2" w:rsidRPr="00DE3AAE" w:rsidRDefault="00805BA2" w:rsidP="00805BA2">
      <w:pPr>
        <w:rPr>
          <w:lang w:eastAsia="ar-SA"/>
        </w:rPr>
      </w:pPr>
      <w:r w:rsidRPr="00DE3AAE">
        <w:t xml:space="preserve">Po </w:t>
      </w:r>
      <w:proofErr w:type="spellStart"/>
      <w:r w:rsidRPr="00DE3AAE">
        <w:t>myelografii</w:t>
      </w:r>
      <w:proofErr w:type="spellEnd"/>
      <w:r w:rsidRPr="00DE3AAE">
        <w:t xml:space="preserve"> s látkou </w:t>
      </w:r>
      <w:proofErr w:type="spellStart"/>
      <w:r w:rsidRPr="00DE3AAE">
        <w:t>Optiray</w:t>
      </w:r>
      <w:proofErr w:type="spellEnd"/>
      <w:r w:rsidRPr="00DE3AAE">
        <w:t xml:space="preserve"> </w:t>
      </w:r>
      <w:r>
        <w:t xml:space="preserve">240 </w:t>
      </w:r>
      <w:r w:rsidRPr="00DE3AAE">
        <w:t xml:space="preserve">sa v zriedkavých prípadoch objavujú príznaky meningitídy, ako sú bolesti hlavy, strnutie šije alebo teplota. Tieto reakcie sa objavia obyčajne 1 až 10 hodín po injekčnom podaní a môžu byť spôsobené aj úbytkom mozgovomiechového moku po punkcii. Zvyčajne ustúpia v priebehu 24 hodín. Zriedkavo sa vyskytujú silné bolesti hlavy, ktoré môžu trvať aj niekoľko dní. Bolesti hlavy spojené s nevoľnosťou a vracaním sú častejšie u pacientov, ktorí nie sú optimálne hydratovaní. Možné sú aj poruchy </w:t>
      </w:r>
      <w:proofErr w:type="spellStart"/>
      <w:r w:rsidRPr="00DE3AAE">
        <w:t>ortostatickej</w:t>
      </w:r>
      <w:proofErr w:type="spellEnd"/>
      <w:r w:rsidRPr="00DE3AAE">
        <w:t xml:space="preserve"> regulácie s poklesom krvného tlaku a nevoľnosťou, najmä ak injekčné podanie kontrastnej látky a </w:t>
      </w:r>
      <w:proofErr w:type="spellStart"/>
      <w:r w:rsidRPr="00DE3AAE">
        <w:t>myelografia</w:t>
      </w:r>
      <w:proofErr w:type="spellEnd"/>
      <w:r w:rsidRPr="00DE3AAE">
        <w:t xml:space="preserve"> boli vykonané u sediaceho pacienta. </w:t>
      </w:r>
      <w:proofErr w:type="spellStart"/>
      <w:r w:rsidRPr="00DE3AAE">
        <w:t>Spinálne</w:t>
      </w:r>
      <w:proofErr w:type="spellEnd"/>
      <w:r w:rsidRPr="00DE3AAE">
        <w:t xml:space="preserve"> funkčné poruchy (napríklad </w:t>
      </w:r>
      <w:proofErr w:type="spellStart"/>
      <w:r w:rsidRPr="00DE3AAE">
        <w:t>myoklonus</w:t>
      </w:r>
      <w:proofErr w:type="spellEnd"/>
      <w:r w:rsidRPr="00DE3AAE">
        <w:t xml:space="preserve">, silná bolesť, senzitívne poruchy), </w:t>
      </w:r>
      <w:proofErr w:type="spellStart"/>
      <w:r w:rsidRPr="00DE3AAE">
        <w:t>psychoorganické</w:t>
      </w:r>
      <w:proofErr w:type="spellEnd"/>
      <w:r w:rsidRPr="00DE3AAE">
        <w:t xml:space="preserve"> syndrómy a syndrómy epileptických záchvatov sú zriedkavé, ak sa </w:t>
      </w:r>
      <w:proofErr w:type="spellStart"/>
      <w:r w:rsidRPr="00DE3AAE">
        <w:t>myelografia</w:t>
      </w:r>
      <w:proofErr w:type="spellEnd"/>
      <w:r w:rsidRPr="00DE3AAE">
        <w:t xml:space="preserve"> vykoná </w:t>
      </w:r>
      <w:proofErr w:type="spellStart"/>
      <w:r w:rsidRPr="00DE3AAE">
        <w:t>lege</w:t>
      </w:r>
      <w:proofErr w:type="spellEnd"/>
      <w:r w:rsidRPr="00DE3AAE">
        <w:t xml:space="preserve"> </w:t>
      </w:r>
      <w:proofErr w:type="spellStart"/>
      <w:r w:rsidRPr="00DE3AAE">
        <w:t>artis</w:t>
      </w:r>
      <w:proofErr w:type="spellEnd"/>
      <w:r w:rsidRPr="00DE3AAE">
        <w:t xml:space="preserve"> a dodržiava sa odporúčané dávkovanie a aj následná starostlivosť po </w:t>
      </w:r>
      <w:proofErr w:type="spellStart"/>
      <w:r w:rsidRPr="00DE3AAE">
        <w:t>myelografii</w:t>
      </w:r>
      <w:proofErr w:type="spellEnd"/>
      <w:r w:rsidRPr="00DE3AAE">
        <w:t>.</w:t>
      </w:r>
    </w:p>
    <w:p w:rsidR="00805BA2" w:rsidRPr="00DE3AAE" w:rsidRDefault="00805BA2" w:rsidP="00805BA2"/>
    <w:p w:rsidR="00805BA2" w:rsidRPr="00DE3AAE" w:rsidRDefault="00805BA2" w:rsidP="00805BA2">
      <w:pPr>
        <w:numPr>
          <w:ilvl w:val="0"/>
          <w:numId w:val="14"/>
        </w:numPr>
        <w:ind w:left="0" w:firstLine="0"/>
        <w:rPr>
          <w:b/>
        </w:rPr>
      </w:pPr>
      <w:r w:rsidRPr="00DE3AAE">
        <w:rPr>
          <w:b/>
        </w:rPr>
        <w:t>Tabuľkový súhrn nežiaducich účinkov</w:t>
      </w:r>
    </w:p>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3980"/>
        <w:gridCol w:w="3382"/>
        <w:gridCol w:w="1924"/>
      </w:tblGrid>
      <w:tr w:rsidR="00805BA2" w:rsidRPr="00DE3AAE" w:rsidTr="00770D31">
        <w:trPr>
          <w:cantSplit/>
        </w:trPr>
        <w:tc>
          <w:tcPr>
            <w:tcW w:w="2143" w:type="pct"/>
          </w:tcPr>
          <w:p w:rsidR="00805BA2" w:rsidRPr="00DE3AAE" w:rsidRDefault="00805BA2" w:rsidP="00770D31">
            <w:pPr>
              <w:rPr>
                <w:b/>
              </w:rPr>
            </w:pPr>
            <w:r w:rsidRPr="00DE3AAE">
              <w:rPr>
                <w:b/>
              </w:rPr>
              <w:t>Poruchy imunitného systému</w:t>
            </w:r>
          </w:p>
        </w:tc>
        <w:tc>
          <w:tcPr>
            <w:tcW w:w="2857" w:type="pct"/>
            <w:gridSpan w:val="2"/>
          </w:tcPr>
          <w:p w:rsidR="00805BA2" w:rsidRPr="00DE3AAE" w:rsidRDefault="00805BA2" w:rsidP="00770D31">
            <w:pPr>
              <w:keepNext/>
              <w:ind w:right="-108"/>
              <w:jc w:val="right"/>
              <w:rPr>
                <w:b/>
              </w:rPr>
            </w:pPr>
          </w:p>
        </w:tc>
      </w:tr>
      <w:tr w:rsidR="00805BA2" w:rsidRPr="00DE3AAE" w:rsidTr="00770D31">
        <w:trPr>
          <w:cantSplit/>
        </w:trPr>
        <w:tc>
          <w:tcPr>
            <w:tcW w:w="3964" w:type="pct"/>
            <w:gridSpan w:val="2"/>
          </w:tcPr>
          <w:p w:rsidR="00805BA2" w:rsidRPr="00DE3AAE" w:rsidRDefault="00805BA2" w:rsidP="00770D31">
            <w:proofErr w:type="spellStart"/>
            <w:r w:rsidRPr="00DE3AAE">
              <w:t>Anafylaktoidná</w:t>
            </w:r>
            <w:proofErr w:type="spellEnd"/>
            <w:r w:rsidRPr="00DE3AAE">
              <w:t xml:space="preserve"> reakcia (reakcia z precitlivenosti)</w:t>
            </w:r>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gridSpan w:val="2"/>
          </w:tcPr>
          <w:p w:rsidR="00805BA2" w:rsidRPr="00DE3AAE" w:rsidRDefault="00805BA2" w:rsidP="00770D31">
            <w:r w:rsidRPr="00DE3AAE">
              <w:t>Anafylaktický šok</w:t>
            </w:r>
          </w:p>
        </w:tc>
        <w:tc>
          <w:tcPr>
            <w:tcW w:w="1036" w:type="pct"/>
          </w:tcPr>
          <w:p w:rsidR="00805BA2" w:rsidRPr="00DE3AAE" w:rsidRDefault="00805BA2" w:rsidP="00770D31">
            <w:r w:rsidRPr="00DE3AAE">
              <w:t>Neznáme</w:t>
            </w:r>
          </w:p>
        </w:tc>
      </w:tr>
    </w:tbl>
    <w:p w:rsidR="00805BA2" w:rsidRDefault="00805BA2" w:rsidP="00805BA2"/>
    <w:p w:rsidR="004B6C81" w:rsidRPr="00DE3AAE" w:rsidRDefault="004B6C81"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Psychické poruchy</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Stav zmätenosti, agitácia, úzkosť</w:t>
            </w:r>
          </w:p>
        </w:tc>
        <w:tc>
          <w:tcPr>
            <w:tcW w:w="1036" w:type="pct"/>
          </w:tcPr>
          <w:p w:rsidR="00805BA2" w:rsidRPr="00DE3AAE" w:rsidRDefault="00805BA2" w:rsidP="00770D31">
            <w:r w:rsidRPr="00DE3AAE">
              <w:t>Veľmi zriedkavé</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keepNext/>
              <w:rPr>
                <w:b/>
              </w:rPr>
            </w:pPr>
            <w:r w:rsidRPr="00DE3AAE">
              <w:rPr>
                <w:b/>
              </w:rPr>
              <w:t>Poruchy nervového systému</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 xml:space="preserve">Synkopa, trasenie, strata rovnováhy (vrátane závratu, pocitu omámenia), bolesť hlavy, </w:t>
            </w:r>
            <w:proofErr w:type="spellStart"/>
            <w:r w:rsidRPr="00DE3AAE">
              <w:t>parestézia</w:t>
            </w:r>
            <w:proofErr w:type="spellEnd"/>
            <w:r w:rsidRPr="00DE3AAE">
              <w:t xml:space="preserve">, </w:t>
            </w:r>
            <w:proofErr w:type="spellStart"/>
            <w:r w:rsidRPr="00DE3AAE">
              <w:t>dysgeúzia</w:t>
            </w:r>
            <w:proofErr w:type="spellEnd"/>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 xml:space="preserve">Strata vedomia, ospalosť, afázia, </w:t>
            </w:r>
            <w:proofErr w:type="spellStart"/>
            <w:r w:rsidRPr="00DE3AAE">
              <w:t>hypoestézia</w:t>
            </w:r>
            <w:proofErr w:type="spellEnd"/>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r w:rsidRPr="00DE3AAE">
              <w:t xml:space="preserve">Záchvat, </w:t>
            </w:r>
            <w:proofErr w:type="spellStart"/>
            <w:r w:rsidRPr="00DE3AAE">
              <w:t>dyskinézia</w:t>
            </w:r>
            <w:proofErr w:type="spellEnd"/>
            <w:r w:rsidRPr="00DE3AAE">
              <w:t>, amnézia</w:t>
            </w:r>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lastRenderedPageBreak/>
              <w:t>Poruchy oka</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Rozmazané videnie</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 xml:space="preserve">Alergický zápal spojoviek (vrátane podráždenia očí, očnej </w:t>
            </w:r>
            <w:proofErr w:type="spellStart"/>
            <w:r w:rsidRPr="00DE3AAE">
              <w:t>hyperémie</w:t>
            </w:r>
            <w:proofErr w:type="spellEnd"/>
            <w:r w:rsidRPr="00DE3AAE">
              <w:t>, slziacich očí, opuchu spojoviek…)</w:t>
            </w:r>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r w:rsidRPr="00DE3AAE">
              <w:t>Dočasná slepota</w:t>
            </w:r>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Poruchy ucha a labyrintu</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proofErr w:type="spellStart"/>
            <w:r w:rsidRPr="00DE3AAE">
              <w:t>Tinitus</w:t>
            </w:r>
            <w:proofErr w:type="spellEnd"/>
          </w:p>
        </w:tc>
        <w:tc>
          <w:tcPr>
            <w:tcW w:w="1036" w:type="pct"/>
          </w:tcPr>
          <w:p w:rsidR="00805BA2" w:rsidRPr="00DE3AAE" w:rsidRDefault="00805BA2" w:rsidP="00770D31">
            <w:r w:rsidRPr="00DE3AAE">
              <w:t>Veľmi zriedkavé</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Poruchy srdca a srdcovej činnosti</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proofErr w:type="spellStart"/>
            <w:r w:rsidRPr="00DE3AAE">
              <w:t>Tachykardia</w:t>
            </w:r>
            <w:proofErr w:type="spellEnd"/>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 xml:space="preserve">Bradykardia, </w:t>
            </w:r>
            <w:proofErr w:type="spellStart"/>
            <w:r w:rsidRPr="00DE3AAE">
              <w:t>arytmia</w:t>
            </w:r>
            <w:proofErr w:type="spellEnd"/>
            <w:r w:rsidRPr="00DE3AAE">
              <w:t>, abnormálne EKG, angína</w:t>
            </w:r>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r w:rsidRPr="00DE3AAE">
              <w:t xml:space="preserve">Zástava srdca, </w:t>
            </w:r>
            <w:proofErr w:type="spellStart"/>
            <w:r w:rsidRPr="00DE3AAE">
              <w:t>ventrikulárna</w:t>
            </w:r>
            <w:proofErr w:type="spellEnd"/>
            <w:r w:rsidRPr="00DE3AAE">
              <w:t xml:space="preserve"> </w:t>
            </w:r>
            <w:proofErr w:type="spellStart"/>
            <w:r w:rsidRPr="00DE3AAE">
              <w:t>fibrilácia</w:t>
            </w:r>
            <w:proofErr w:type="spellEnd"/>
            <w:r w:rsidRPr="00DE3AAE">
              <w:t xml:space="preserve">, kŕč koronárnej tepny, </w:t>
            </w:r>
            <w:proofErr w:type="spellStart"/>
            <w:r w:rsidRPr="00DE3AAE">
              <w:t>cyanóza</w:t>
            </w:r>
            <w:proofErr w:type="spellEnd"/>
            <w:r w:rsidRPr="00DE3AAE">
              <w:t xml:space="preserve">, </w:t>
            </w:r>
            <w:proofErr w:type="spellStart"/>
            <w:r w:rsidRPr="00DE3AAE">
              <w:t>extrasystola</w:t>
            </w:r>
            <w:proofErr w:type="spellEnd"/>
            <w:r w:rsidRPr="00DE3AAE">
              <w:t xml:space="preserve">, </w:t>
            </w:r>
            <w:proofErr w:type="spellStart"/>
            <w:r w:rsidRPr="00DE3AAE">
              <w:t>palpitácia</w:t>
            </w:r>
            <w:proofErr w:type="spellEnd"/>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Poruchy ciev</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Hypotenzia, návaly tepla</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 xml:space="preserve">Hypertenzia, </w:t>
            </w:r>
            <w:proofErr w:type="spellStart"/>
            <w:r w:rsidRPr="00DE3AAE">
              <w:t>flebitída</w:t>
            </w:r>
            <w:proofErr w:type="spellEnd"/>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r w:rsidRPr="00DE3AAE">
              <w:t xml:space="preserve">Šok, trombóza, </w:t>
            </w:r>
            <w:proofErr w:type="spellStart"/>
            <w:r w:rsidRPr="00DE3AAE">
              <w:t>vazospazmus</w:t>
            </w:r>
            <w:proofErr w:type="spellEnd"/>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keepNext/>
              <w:rPr>
                <w:b/>
              </w:rPr>
            </w:pPr>
            <w:r w:rsidRPr="00DE3AAE">
              <w:rPr>
                <w:b/>
              </w:rPr>
              <w:t xml:space="preserve">Poruchy dýchacej sústavy, hrudníka a </w:t>
            </w:r>
            <w:proofErr w:type="spellStart"/>
            <w:r w:rsidRPr="00DE3AAE">
              <w:rPr>
                <w:b/>
              </w:rPr>
              <w:t>mediastína</w:t>
            </w:r>
            <w:proofErr w:type="spellEnd"/>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 xml:space="preserve">Laryngálny kŕč, edém a upchatie (vrátane zvierania hrdla, </w:t>
            </w:r>
            <w:proofErr w:type="spellStart"/>
            <w:r w:rsidRPr="00DE3AAE">
              <w:t>stridoru</w:t>
            </w:r>
            <w:proofErr w:type="spellEnd"/>
            <w:r w:rsidRPr="00DE3AAE">
              <w:t xml:space="preserve">…), </w:t>
            </w:r>
            <w:proofErr w:type="spellStart"/>
            <w:r w:rsidRPr="00DE3AAE">
              <w:t>dyspnoe</w:t>
            </w:r>
            <w:proofErr w:type="spellEnd"/>
            <w:r w:rsidRPr="00DE3AAE">
              <w:t xml:space="preserve">, </w:t>
            </w:r>
            <w:proofErr w:type="spellStart"/>
            <w:r w:rsidRPr="00DE3AAE">
              <w:t>rinitída</w:t>
            </w:r>
            <w:proofErr w:type="spellEnd"/>
            <w:r w:rsidRPr="00DE3AAE">
              <w:t xml:space="preserve"> (vrátane kýchania, upchatia nosa), podráždenie hrdla, kašeľ</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 xml:space="preserve">Pľúcny edém, </w:t>
            </w:r>
            <w:proofErr w:type="spellStart"/>
            <w:r w:rsidRPr="00DE3AAE">
              <w:t>hypoxia</w:t>
            </w:r>
            <w:proofErr w:type="spellEnd"/>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r w:rsidRPr="00DE3AAE">
              <w:t xml:space="preserve">Zástava dýchania, astma, </w:t>
            </w:r>
            <w:proofErr w:type="spellStart"/>
            <w:r w:rsidRPr="00DE3AAE">
              <w:t>bronchospazmus</w:t>
            </w:r>
            <w:proofErr w:type="spellEnd"/>
            <w:r w:rsidRPr="00DE3AAE">
              <w:t xml:space="preserve">, </w:t>
            </w:r>
            <w:proofErr w:type="spellStart"/>
            <w:r w:rsidRPr="00DE3AAE">
              <w:t>dysfónia</w:t>
            </w:r>
            <w:proofErr w:type="spellEnd"/>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Poruchy gastrointestinálneho traktu</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Nevoľnosť</w:t>
            </w:r>
          </w:p>
        </w:tc>
        <w:tc>
          <w:tcPr>
            <w:tcW w:w="1036" w:type="pct"/>
          </w:tcPr>
          <w:p w:rsidR="00805BA2" w:rsidRPr="00DE3AAE" w:rsidRDefault="00805BA2" w:rsidP="00770D31">
            <w:r w:rsidRPr="00DE3AAE">
              <w:t>Menej časté</w:t>
            </w:r>
          </w:p>
        </w:tc>
      </w:tr>
      <w:tr w:rsidR="00805BA2" w:rsidRPr="00DE3AAE" w:rsidTr="00770D31">
        <w:trPr>
          <w:cantSplit/>
        </w:trPr>
        <w:tc>
          <w:tcPr>
            <w:tcW w:w="3964" w:type="pct"/>
          </w:tcPr>
          <w:p w:rsidR="00805BA2" w:rsidRPr="00DE3AAE" w:rsidRDefault="00805BA2" w:rsidP="00770D31">
            <w:r w:rsidRPr="00DE3AAE">
              <w:t>Vracanie, sucho v ústach</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 xml:space="preserve">Bolesť brucha, edém jazyka, </w:t>
            </w:r>
            <w:proofErr w:type="spellStart"/>
            <w:r w:rsidRPr="00DE3AAE">
              <w:t>dysfágia</w:t>
            </w:r>
            <w:proofErr w:type="spellEnd"/>
            <w:r w:rsidRPr="00DE3AAE">
              <w:t>, nadmerné vylučovanie slín</w:t>
            </w:r>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r w:rsidRPr="00DE3AAE">
              <w:t>Hnačka</w:t>
            </w:r>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keepNext/>
              <w:rPr>
                <w:b/>
              </w:rPr>
            </w:pPr>
            <w:r w:rsidRPr="00DE3AAE">
              <w:rPr>
                <w:b/>
              </w:rPr>
              <w:t>Poruchy kože a podkožného tkaniva</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pPr>
              <w:keepNext/>
            </w:pPr>
            <w:r w:rsidRPr="00DE3AAE">
              <w:t>Urtikária</w:t>
            </w:r>
          </w:p>
        </w:tc>
        <w:tc>
          <w:tcPr>
            <w:tcW w:w="1036" w:type="pct"/>
          </w:tcPr>
          <w:p w:rsidR="00805BA2" w:rsidRPr="00DE3AAE" w:rsidRDefault="00805BA2" w:rsidP="00770D31">
            <w:r w:rsidRPr="00DE3AAE">
              <w:t>Menej časté</w:t>
            </w:r>
          </w:p>
        </w:tc>
      </w:tr>
      <w:tr w:rsidR="00805BA2" w:rsidRPr="00DE3AAE" w:rsidTr="00770D31">
        <w:trPr>
          <w:cantSplit/>
        </w:trPr>
        <w:tc>
          <w:tcPr>
            <w:tcW w:w="3964" w:type="pct"/>
          </w:tcPr>
          <w:p w:rsidR="00805BA2" w:rsidRPr="00DE3AAE" w:rsidRDefault="00805BA2" w:rsidP="00770D31">
            <w:pPr>
              <w:keepNext/>
            </w:pPr>
            <w:r w:rsidRPr="00DE3AAE">
              <w:t>Vyrážka, erytém, pruritus</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pPr>
              <w:keepNext/>
            </w:pPr>
            <w:proofErr w:type="spellStart"/>
            <w:r w:rsidRPr="00DE3AAE">
              <w:t>Angioedém</w:t>
            </w:r>
            <w:proofErr w:type="spellEnd"/>
            <w:r w:rsidRPr="00DE3AAE">
              <w:t xml:space="preserve">, </w:t>
            </w:r>
            <w:proofErr w:type="spellStart"/>
            <w:r w:rsidRPr="00DE3AAE">
              <w:t>hyperhidróza</w:t>
            </w:r>
            <w:proofErr w:type="spellEnd"/>
            <w:r w:rsidRPr="00DE3AAE">
              <w:t xml:space="preserve"> (vrátane studeného potu)</w:t>
            </w:r>
          </w:p>
        </w:tc>
        <w:tc>
          <w:tcPr>
            <w:tcW w:w="1036" w:type="pct"/>
          </w:tcPr>
          <w:p w:rsidR="00805BA2" w:rsidRPr="00DE3AAE" w:rsidRDefault="00805BA2" w:rsidP="00770D31">
            <w:r w:rsidRPr="00DE3AAE">
              <w:t>Veľmi zriedkavé</w:t>
            </w:r>
          </w:p>
        </w:tc>
      </w:tr>
      <w:tr w:rsidR="00805BA2" w:rsidRPr="002271F3" w:rsidTr="00770D31">
        <w:trPr>
          <w:cantSplit/>
        </w:trPr>
        <w:tc>
          <w:tcPr>
            <w:tcW w:w="3964" w:type="pct"/>
          </w:tcPr>
          <w:p w:rsidR="00805BA2" w:rsidRPr="002271F3" w:rsidRDefault="00805BA2" w:rsidP="00EF19E4">
            <w:pPr>
              <w:tabs>
                <w:tab w:val="center" w:pos="141"/>
                <w:tab w:val="center" w:pos="1408"/>
              </w:tabs>
              <w:autoSpaceDE w:val="0"/>
              <w:autoSpaceDN w:val="0"/>
              <w:adjustRightInd w:val="0"/>
            </w:pPr>
            <w:proofErr w:type="spellStart"/>
            <w:r w:rsidRPr="002271F3">
              <w:t>Stevensov-Johnsonov</w:t>
            </w:r>
            <w:proofErr w:type="spellEnd"/>
            <w:r w:rsidRPr="002271F3">
              <w:t xml:space="preserve"> </w:t>
            </w:r>
            <w:proofErr w:type="spellStart"/>
            <w:r w:rsidRPr="002271F3">
              <w:t>syndróm</w:t>
            </w:r>
            <w:r w:rsidR="00AB6912" w:rsidRPr="002271F3">
              <w:t>toxická</w:t>
            </w:r>
            <w:proofErr w:type="spellEnd"/>
            <w:r w:rsidR="00AB6912" w:rsidRPr="002271F3">
              <w:t xml:space="preserve"> </w:t>
            </w:r>
            <w:proofErr w:type="spellStart"/>
            <w:r w:rsidR="00AB6912" w:rsidRPr="002271F3">
              <w:t>epidermálna</w:t>
            </w:r>
            <w:proofErr w:type="spellEnd"/>
            <w:r w:rsidR="00AB6912" w:rsidRPr="002271F3">
              <w:t xml:space="preserve"> </w:t>
            </w:r>
            <w:proofErr w:type="spellStart"/>
            <w:r w:rsidR="00AB6912" w:rsidRPr="002271F3">
              <w:t>nekrolýza</w:t>
            </w:r>
            <w:proofErr w:type="spellEnd"/>
            <w:r w:rsidR="00AB6912" w:rsidRPr="002271F3">
              <w:t xml:space="preserve">; lieková reakcia s </w:t>
            </w:r>
            <w:proofErr w:type="spellStart"/>
            <w:r w:rsidR="00AB6912" w:rsidRPr="002271F3">
              <w:t>eozinofíliou</w:t>
            </w:r>
            <w:proofErr w:type="spellEnd"/>
            <w:r w:rsidR="00AB6912" w:rsidRPr="002271F3">
              <w:t xml:space="preserve"> a systémovými príznakmi (DRESS),akútna generalizovaná </w:t>
            </w:r>
            <w:proofErr w:type="spellStart"/>
            <w:r w:rsidR="00AB6912" w:rsidRPr="002271F3">
              <w:t>erytematózna</w:t>
            </w:r>
            <w:proofErr w:type="spellEnd"/>
            <w:r w:rsidR="00AB6912" w:rsidRPr="002271F3">
              <w:t xml:space="preserve"> </w:t>
            </w:r>
            <w:proofErr w:type="spellStart"/>
            <w:r w:rsidR="00AB6912" w:rsidRPr="002271F3">
              <w:t>pustulóza</w:t>
            </w:r>
            <w:proofErr w:type="spellEnd"/>
            <w:r w:rsidR="00AB6912" w:rsidRPr="002271F3">
              <w:t xml:space="preserve">, </w:t>
            </w:r>
            <w:proofErr w:type="spellStart"/>
            <w:r w:rsidR="00AB6912" w:rsidRPr="002271F3">
              <w:t>multiformný</w:t>
            </w:r>
            <w:proofErr w:type="spellEnd"/>
            <w:r w:rsidR="00AB6912" w:rsidRPr="002271F3">
              <w:t xml:space="preserve"> </w:t>
            </w:r>
            <w:proofErr w:type="spellStart"/>
            <w:r w:rsidR="00AB6912" w:rsidRPr="002271F3">
              <w:t>erytém</w:t>
            </w:r>
            <w:proofErr w:type="spellEnd"/>
            <w:r w:rsidR="00AB6912" w:rsidRPr="002271F3">
              <w:t>,</w:t>
            </w:r>
            <w:r w:rsidR="00AB6912" w:rsidRPr="002271F3">
              <w:rPr>
                <w:rFonts w:ascii="Arial" w:hAnsi="Arial" w:cs="Arial"/>
              </w:rPr>
              <w:t xml:space="preserve"> </w:t>
            </w:r>
            <w:r w:rsidRPr="002271F3">
              <w:t>bledosť</w:t>
            </w:r>
          </w:p>
        </w:tc>
        <w:tc>
          <w:tcPr>
            <w:tcW w:w="1036" w:type="pct"/>
          </w:tcPr>
          <w:p w:rsidR="00805BA2" w:rsidRPr="002271F3" w:rsidRDefault="00805BA2" w:rsidP="00770D31">
            <w:r w:rsidRPr="002271F3">
              <w:t>Neznáme</w:t>
            </w:r>
          </w:p>
        </w:tc>
      </w:tr>
    </w:tbl>
    <w:p w:rsidR="00805BA2" w:rsidRPr="002271F3"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Poruchy kostrovej a svalovej sústavy, spojivového tkaniva a kostí</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Svalové kŕče</w:t>
            </w:r>
          </w:p>
        </w:tc>
        <w:tc>
          <w:tcPr>
            <w:tcW w:w="1036" w:type="pct"/>
          </w:tcPr>
          <w:p w:rsidR="00805BA2" w:rsidRPr="00DE3AAE" w:rsidRDefault="00805BA2" w:rsidP="00770D31">
            <w:r w:rsidRPr="00DE3AAE">
              <w:t>Veľmi zriedkavé</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rPr>
                <w:b/>
              </w:rPr>
            </w:pPr>
            <w:r w:rsidRPr="00DE3AAE">
              <w:rPr>
                <w:b/>
              </w:rPr>
              <w:t>Poruchy obličiek a močových ciest</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Nutkanie na močenie</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t>Akútne zlyhanie činnosti obličiek</w:t>
            </w:r>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proofErr w:type="spellStart"/>
            <w:r w:rsidRPr="00DE3AAE">
              <w:t>Anúria</w:t>
            </w:r>
            <w:proofErr w:type="spellEnd"/>
            <w:r w:rsidRPr="00DE3AAE">
              <w:t xml:space="preserve">, </w:t>
            </w:r>
            <w:proofErr w:type="spellStart"/>
            <w:r w:rsidRPr="00DE3AAE">
              <w:t>dyzúria</w:t>
            </w:r>
            <w:proofErr w:type="spellEnd"/>
          </w:p>
        </w:tc>
        <w:tc>
          <w:tcPr>
            <w:tcW w:w="1036" w:type="pct"/>
          </w:tcPr>
          <w:p w:rsidR="00805BA2" w:rsidRPr="00DE3AAE" w:rsidRDefault="00805BA2" w:rsidP="00770D31">
            <w:r w:rsidRPr="00DE3AAE">
              <w:t>Neznáme</w:t>
            </w:r>
          </w:p>
        </w:tc>
      </w:tr>
    </w:tbl>
    <w:p w:rsidR="00805BA2" w:rsidRPr="00DE3AAE" w:rsidRDefault="00805BA2" w:rsidP="00805BA2"/>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7362"/>
        <w:gridCol w:w="1924"/>
      </w:tblGrid>
      <w:tr w:rsidR="00805BA2" w:rsidRPr="00DE3AAE" w:rsidTr="00770D31">
        <w:trPr>
          <w:cantSplit/>
        </w:trPr>
        <w:tc>
          <w:tcPr>
            <w:tcW w:w="3964" w:type="pct"/>
          </w:tcPr>
          <w:p w:rsidR="00805BA2" w:rsidRPr="00DE3AAE" w:rsidRDefault="00805BA2" w:rsidP="00770D31">
            <w:pPr>
              <w:keepNext/>
              <w:rPr>
                <w:b/>
              </w:rPr>
            </w:pPr>
            <w:r w:rsidRPr="00DE3AAE">
              <w:rPr>
                <w:b/>
              </w:rPr>
              <w:t>Celkové poruchy a reakcie v mieste podania</w:t>
            </w:r>
          </w:p>
        </w:tc>
        <w:tc>
          <w:tcPr>
            <w:tcW w:w="1036" w:type="pct"/>
          </w:tcPr>
          <w:p w:rsidR="00805BA2" w:rsidRPr="00DE3AAE" w:rsidRDefault="00805BA2" w:rsidP="00770D31">
            <w:pPr>
              <w:ind w:left="-115" w:right="-115"/>
              <w:jc w:val="right"/>
            </w:pPr>
          </w:p>
        </w:tc>
      </w:tr>
      <w:tr w:rsidR="00805BA2" w:rsidRPr="00DE3AAE" w:rsidTr="00770D31">
        <w:trPr>
          <w:cantSplit/>
        </w:trPr>
        <w:tc>
          <w:tcPr>
            <w:tcW w:w="3964" w:type="pct"/>
          </w:tcPr>
          <w:p w:rsidR="00805BA2" w:rsidRPr="00DE3AAE" w:rsidRDefault="00805BA2" w:rsidP="00770D31">
            <w:r w:rsidRPr="00DE3AAE">
              <w:t>Pocit tepla</w:t>
            </w:r>
          </w:p>
        </w:tc>
        <w:tc>
          <w:tcPr>
            <w:tcW w:w="1036" w:type="pct"/>
          </w:tcPr>
          <w:p w:rsidR="00805BA2" w:rsidRPr="00DE3AAE" w:rsidRDefault="00805BA2" w:rsidP="00770D31">
            <w:r w:rsidRPr="00DE3AAE">
              <w:t>Veľmi časté</w:t>
            </w:r>
          </w:p>
        </w:tc>
      </w:tr>
      <w:tr w:rsidR="00805BA2" w:rsidRPr="00DE3AAE" w:rsidTr="00770D31">
        <w:trPr>
          <w:cantSplit/>
        </w:trPr>
        <w:tc>
          <w:tcPr>
            <w:tcW w:w="3964" w:type="pct"/>
          </w:tcPr>
          <w:p w:rsidR="00805BA2" w:rsidRPr="00DE3AAE" w:rsidRDefault="00805BA2" w:rsidP="00770D31">
            <w:r w:rsidRPr="00DE3AAE">
              <w:t>Bolesť</w:t>
            </w:r>
          </w:p>
        </w:tc>
        <w:tc>
          <w:tcPr>
            <w:tcW w:w="1036" w:type="pct"/>
          </w:tcPr>
          <w:p w:rsidR="00805BA2" w:rsidRPr="00DE3AAE" w:rsidRDefault="00805BA2" w:rsidP="00770D31">
            <w:r w:rsidRPr="00DE3AAE">
              <w:t>Časté</w:t>
            </w:r>
          </w:p>
        </w:tc>
      </w:tr>
      <w:tr w:rsidR="00805BA2" w:rsidRPr="00DE3AAE" w:rsidTr="00770D31">
        <w:trPr>
          <w:cantSplit/>
        </w:trPr>
        <w:tc>
          <w:tcPr>
            <w:tcW w:w="3964" w:type="pct"/>
          </w:tcPr>
          <w:p w:rsidR="00805BA2" w:rsidRPr="00DE3AAE" w:rsidRDefault="00805BA2" w:rsidP="00770D31">
            <w:r w:rsidRPr="00DE3AAE">
              <w:t xml:space="preserve">Edém tváre (vrátane opuchu očí, </w:t>
            </w:r>
            <w:proofErr w:type="spellStart"/>
            <w:r w:rsidRPr="00DE3AAE">
              <w:t>periorbitálneho</w:t>
            </w:r>
            <w:proofErr w:type="spellEnd"/>
            <w:r w:rsidRPr="00DE3AAE">
              <w:t xml:space="preserve"> edému…), triaška (vrátane triašky s trasením, pocitu chladu)</w:t>
            </w:r>
          </w:p>
        </w:tc>
        <w:tc>
          <w:tcPr>
            <w:tcW w:w="1036" w:type="pct"/>
          </w:tcPr>
          <w:p w:rsidR="00805BA2" w:rsidRPr="00DE3AAE" w:rsidRDefault="00805BA2" w:rsidP="00770D31">
            <w:r w:rsidRPr="00DE3AAE">
              <w:t>Zriedkavé</w:t>
            </w:r>
          </w:p>
        </w:tc>
      </w:tr>
      <w:tr w:rsidR="00805BA2" w:rsidRPr="00DE3AAE" w:rsidTr="00770D31">
        <w:trPr>
          <w:cantSplit/>
        </w:trPr>
        <w:tc>
          <w:tcPr>
            <w:tcW w:w="3964" w:type="pct"/>
          </w:tcPr>
          <w:p w:rsidR="00805BA2" w:rsidRPr="00DE3AAE" w:rsidRDefault="00805BA2" w:rsidP="00770D31">
            <w:r w:rsidRPr="00DE3AAE">
              <w:lastRenderedPageBreak/>
              <w:t xml:space="preserve">Edém, reakcie v mieste podania injekcie (vrátane bolesti, </w:t>
            </w:r>
            <w:proofErr w:type="spellStart"/>
            <w:r w:rsidRPr="00DE3AAE">
              <w:t>erytému</w:t>
            </w:r>
            <w:proofErr w:type="spellEnd"/>
            <w:r w:rsidRPr="00DE3AAE">
              <w:t xml:space="preserve"> a krvácania až po </w:t>
            </w:r>
            <w:proofErr w:type="spellStart"/>
            <w:r w:rsidRPr="00DE3AAE">
              <w:t>nekrózu</w:t>
            </w:r>
            <w:proofErr w:type="spellEnd"/>
            <w:r w:rsidRPr="00DE3AAE">
              <w:t xml:space="preserve">, najmä po </w:t>
            </w:r>
            <w:proofErr w:type="spellStart"/>
            <w:r w:rsidRPr="00DE3AAE">
              <w:t>extravazácii</w:t>
            </w:r>
            <w:proofErr w:type="spellEnd"/>
            <w:r w:rsidRPr="00DE3AAE">
              <w:t>), bolesť v hrudi, astenické stavy (vrátane malátnosti, únavy, ťarbavosti…), abnormálny pocit</w:t>
            </w:r>
          </w:p>
        </w:tc>
        <w:tc>
          <w:tcPr>
            <w:tcW w:w="1036" w:type="pct"/>
          </w:tcPr>
          <w:p w:rsidR="00805BA2" w:rsidRPr="00DE3AAE" w:rsidRDefault="00805BA2" w:rsidP="00770D31">
            <w:r w:rsidRPr="00DE3AAE">
              <w:t>Veľmi zriedkavé</w:t>
            </w:r>
          </w:p>
        </w:tc>
      </w:tr>
      <w:tr w:rsidR="00805BA2" w:rsidRPr="00DE3AAE" w:rsidTr="00770D31">
        <w:trPr>
          <w:cantSplit/>
        </w:trPr>
        <w:tc>
          <w:tcPr>
            <w:tcW w:w="3964" w:type="pct"/>
          </w:tcPr>
          <w:p w:rsidR="00805BA2" w:rsidRPr="00DE3AAE" w:rsidRDefault="00805BA2" w:rsidP="00770D31">
            <w:proofErr w:type="spellStart"/>
            <w:r w:rsidRPr="00DE3AAE">
              <w:t>Pyrexia</w:t>
            </w:r>
            <w:proofErr w:type="spellEnd"/>
          </w:p>
        </w:tc>
        <w:tc>
          <w:tcPr>
            <w:tcW w:w="1036" w:type="pct"/>
          </w:tcPr>
          <w:p w:rsidR="00805BA2" w:rsidRPr="00DE3AAE" w:rsidRDefault="00805BA2" w:rsidP="00770D31">
            <w:r w:rsidRPr="00DE3AAE">
              <w:t>Neznáme</w:t>
            </w:r>
          </w:p>
        </w:tc>
      </w:tr>
    </w:tbl>
    <w:p w:rsidR="00805BA2" w:rsidRPr="00DE3AAE" w:rsidRDefault="00805BA2" w:rsidP="00805BA2"/>
    <w:p w:rsidR="00805BA2" w:rsidRPr="00DE3AAE" w:rsidRDefault="00805BA2" w:rsidP="00805BA2">
      <w:pPr>
        <w:keepNext/>
        <w:numPr>
          <w:ilvl w:val="0"/>
          <w:numId w:val="14"/>
        </w:numPr>
        <w:ind w:left="0" w:firstLine="0"/>
        <w:rPr>
          <w:b/>
        </w:rPr>
      </w:pPr>
      <w:r w:rsidRPr="00DE3AAE">
        <w:rPr>
          <w:b/>
        </w:rPr>
        <w:t>Popis vybraných nežiaducich reakcií</w:t>
      </w:r>
    </w:p>
    <w:p w:rsidR="00805BA2" w:rsidRPr="00DE3AAE" w:rsidRDefault="00805BA2" w:rsidP="00805BA2"/>
    <w:p w:rsidR="00805BA2" w:rsidRPr="00DE3AAE" w:rsidRDefault="00805BA2" w:rsidP="00805BA2">
      <w:r w:rsidRPr="00DE3AAE">
        <w:t>Nežiaduce liekové reakcie možno klasifikovať nasledovne:</w:t>
      </w:r>
    </w:p>
    <w:p w:rsidR="00805BA2" w:rsidRPr="00DE3AAE" w:rsidRDefault="00805BA2" w:rsidP="00805BA2">
      <w:pPr>
        <w:pStyle w:val="Bullet1"/>
      </w:pPr>
      <w:r w:rsidRPr="00DE3AAE">
        <w:t xml:space="preserve">Precitlivenosť alebo </w:t>
      </w:r>
      <w:proofErr w:type="spellStart"/>
      <w:r w:rsidRPr="00DE3AAE">
        <w:t>anafylaktoidné</w:t>
      </w:r>
      <w:proofErr w:type="spellEnd"/>
      <w:r w:rsidRPr="00DE3AAE">
        <w:t xml:space="preserve"> reakcie sú väčšinou mierne až stredne závažné so symptómami ako vyrážka, </w:t>
      </w:r>
      <w:proofErr w:type="spellStart"/>
      <w:r w:rsidRPr="00DE3AAE">
        <w:t>pruritus</w:t>
      </w:r>
      <w:proofErr w:type="spellEnd"/>
      <w:r w:rsidRPr="00DE3AAE">
        <w:t xml:space="preserve">, </w:t>
      </w:r>
      <w:proofErr w:type="spellStart"/>
      <w:r w:rsidRPr="00DE3AAE">
        <w:t>urtikária</w:t>
      </w:r>
      <w:proofErr w:type="spellEnd"/>
      <w:r w:rsidRPr="00DE3AAE">
        <w:t xml:space="preserve"> a </w:t>
      </w:r>
      <w:proofErr w:type="spellStart"/>
      <w:r w:rsidRPr="00DE3AAE">
        <w:t>rinitída</w:t>
      </w:r>
      <w:proofErr w:type="spellEnd"/>
      <w:r w:rsidRPr="00DE3AAE">
        <w:t xml:space="preserve">. Tieto symptómy sa môžu vyskytnúť nezávisle od dávky a cesty podania a môžu byť prvými príznakmi vznikajúceho šoku so symptómami ako výrazný pokles krvného tlaku, </w:t>
      </w:r>
      <w:proofErr w:type="spellStart"/>
      <w:r w:rsidRPr="00DE3AAE">
        <w:t>tachykardia</w:t>
      </w:r>
      <w:proofErr w:type="spellEnd"/>
      <w:r w:rsidRPr="00DE3AAE">
        <w:t xml:space="preserve">, </w:t>
      </w:r>
      <w:proofErr w:type="spellStart"/>
      <w:r w:rsidRPr="00DE3AAE">
        <w:t>dyspnoe</w:t>
      </w:r>
      <w:proofErr w:type="spellEnd"/>
      <w:r w:rsidRPr="00DE3AAE">
        <w:t>, bledosť a zníženie vedomia. Boli hlásené fatálne prípady.</w:t>
      </w:r>
    </w:p>
    <w:p w:rsidR="00805BA2" w:rsidRPr="00DE3AAE" w:rsidRDefault="00805BA2" w:rsidP="00805BA2">
      <w:pPr>
        <w:pStyle w:val="Bullet1"/>
      </w:pPr>
      <w:proofErr w:type="spellStart"/>
      <w:r w:rsidRPr="00DE3AAE">
        <w:t>Vazovagálne</w:t>
      </w:r>
      <w:proofErr w:type="spellEnd"/>
      <w:r w:rsidRPr="00DE3AAE">
        <w:t xml:space="preserve"> reakcie so symptómami v rozsahu od závratu a hypotenzie až po synkopu. </w:t>
      </w:r>
      <w:proofErr w:type="spellStart"/>
      <w:r w:rsidRPr="00DE3AAE">
        <w:t>Vazovagálne</w:t>
      </w:r>
      <w:proofErr w:type="spellEnd"/>
      <w:r w:rsidRPr="00DE3AAE">
        <w:t xml:space="preserve"> reakcie môžu byť spôsobené buď kontrastnou látkou, alebo samotným postupom.</w:t>
      </w:r>
    </w:p>
    <w:p w:rsidR="00805BA2" w:rsidRPr="00DE3AAE" w:rsidRDefault="00805BA2" w:rsidP="00805BA2">
      <w:pPr>
        <w:pStyle w:val="Bullet1"/>
      </w:pPr>
      <w:r w:rsidRPr="00DE3AAE">
        <w:t xml:space="preserve">Kardiologické vedľajšie účinky počas </w:t>
      </w:r>
      <w:proofErr w:type="spellStart"/>
      <w:r w:rsidRPr="00DE3AAE">
        <w:t>katetrizácie</w:t>
      </w:r>
      <w:proofErr w:type="spellEnd"/>
      <w:r w:rsidRPr="00DE3AAE">
        <w:t xml:space="preserve"> srdca môžu zahŕňať zmeny EKG, </w:t>
      </w:r>
      <w:proofErr w:type="spellStart"/>
      <w:r w:rsidRPr="00DE3AAE">
        <w:t>arytmiu</w:t>
      </w:r>
      <w:proofErr w:type="spellEnd"/>
      <w:r w:rsidRPr="00DE3AAE">
        <w:t>, poruchy vodivosti a koronárny kŕč. Takéto reakcie sú veľmi zriedkavé a môžu byť spôsobené kontrastnou látkou alebo samotným postupom.</w:t>
      </w:r>
    </w:p>
    <w:p w:rsidR="00805BA2" w:rsidRPr="00DE3AAE" w:rsidRDefault="00805BA2" w:rsidP="00805BA2"/>
    <w:p w:rsidR="00805BA2" w:rsidRPr="0045090B" w:rsidRDefault="00805BA2" w:rsidP="00805BA2"/>
    <w:p w:rsidR="00805BA2" w:rsidRPr="0045090B" w:rsidRDefault="00805BA2" w:rsidP="00805BA2">
      <w:pPr>
        <w:rPr>
          <w:u w:val="single"/>
        </w:rPr>
      </w:pPr>
      <w:r w:rsidRPr="0045090B">
        <w:rPr>
          <w:u w:val="single"/>
        </w:rPr>
        <w:t>Hlásenie podozrení na nežiaduce reakcie</w:t>
      </w:r>
    </w:p>
    <w:p w:rsidR="00805BA2" w:rsidRPr="0064567A" w:rsidRDefault="00805BA2" w:rsidP="00805BA2">
      <w:pPr>
        <w:suppressLineNumbers/>
        <w:rPr>
          <w:rStyle w:val="Hypertextovprepojenie"/>
          <w:szCs w:val="22"/>
        </w:rPr>
      </w:pPr>
      <w:r w:rsidRPr="0045090B">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t xml:space="preserve">na </w:t>
      </w:r>
      <w:r w:rsidRPr="0064567A">
        <w:rPr>
          <w:szCs w:val="22"/>
          <w:highlight w:val="lightGray"/>
        </w:rPr>
        <w:t>národné centrum hlásenia uvedené v </w:t>
      </w:r>
      <w:hyperlink r:id="rId9">
        <w:r w:rsidRPr="0064567A">
          <w:rPr>
            <w:rStyle w:val="Hypertextovprepojenie"/>
            <w:szCs w:val="22"/>
            <w:highlight w:val="lightGray"/>
          </w:rPr>
          <w:t>Prílohe V</w:t>
        </w:r>
      </w:hyperlink>
      <w:r w:rsidRPr="0064567A">
        <w:rPr>
          <w:rStyle w:val="Hypertextovprepojenie"/>
          <w:szCs w:val="22"/>
        </w:rPr>
        <w:t>.</w:t>
      </w:r>
    </w:p>
    <w:p w:rsidR="00805BA2" w:rsidRPr="0045090B"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4.9</w:t>
      </w:r>
      <w:r w:rsidRPr="00DE3AAE">
        <w:rPr>
          <w:rFonts w:ascii="Times New Roman" w:hAnsi="Times New Roman"/>
          <w:sz w:val="22"/>
        </w:rPr>
        <w:tab/>
        <w:t>Predávkovanie</w:t>
      </w:r>
    </w:p>
    <w:p w:rsidR="00805BA2" w:rsidRPr="00DE3AAE" w:rsidRDefault="00805BA2" w:rsidP="00805BA2">
      <w:pPr>
        <w:suppressAutoHyphens/>
        <w:rPr>
          <w:color w:val="000000"/>
          <w:lang w:eastAsia="ar-SA"/>
        </w:rPr>
      </w:pPr>
    </w:p>
    <w:p w:rsidR="00805BA2" w:rsidRPr="00DE3AAE" w:rsidRDefault="00805BA2" w:rsidP="00805BA2">
      <w:pPr>
        <w:suppressAutoHyphens/>
      </w:pPr>
      <w:r w:rsidRPr="00DE3AAE">
        <w:t xml:space="preserve">Tak ako v prípade iných jódovaných röntgenových kontrastných látok, aj predávkovanie látkou </w:t>
      </w:r>
      <w:proofErr w:type="spellStart"/>
      <w:r w:rsidRPr="00DE3AAE">
        <w:t>Optiray</w:t>
      </w:r>
      <w:proofErr w:type="spellEnd"/>
      <w:r w:rsidRPr="00DE3AAE">
        <w:t xml:space="preserve"> 240 môže byť potenciálne fatálne a môže nepriaznivo ovplyvniť dýchací alebo kardiovaskulárny systém. Liečba je symptomatická. Na elimináciu látky </w:t>
      </w:r>
      <w:proofErr w:type="spellStart"/>
      <w:r w:rsidRPr="00DE3AAE">
        <w:t>Optiray</w:t>
      </w:r>
      <w:proofErr w:type="spellEnd"/>
      <w:r w:rsidRPr="00DE3AAE">
        <w:t xml:space="preserve"> z krvi možno použiť hemodialýzu. Cerebrálne a </w:t>
      </w:r>
      <w:proofErr w:type="spellStart"/>
      <w:r w:rsidRPr="00DE3AAE">
        <w:t>spinálne</w:t>
      </w:r>
      <w:proofErr w:type="spellEnd"/>
      <w:r w:rsidRPr="00DE3AAE">
        <w:t xml:space="preserve"> symptómy: napríklad epileptické záchvaty, </w:t>
      </w:r>
      <w:proofErr w:type="spellStart"/>
      <w:r w:rsidRPr="00DE3AAE">
        <w:t>myoklonus</w:t>
      </w:r>
      <w:proofErr w:type="spellEnd"/>
      <w:r w:rsidRPr="00DE3AAE">
        <w:t>.</w:t>
      </w:r>
    </w:p>
    <w:p w:rsidR="00805BA2" w:rsidRPr="00DE3AAE" w:rsidRDefault="00805BA2" w:rsidP="00805BA2">
      <w:pPr>
        <w:suppressAutoHyphens/>
        <w:rPr>
          <w:lang w:eastAsia="ar-SA"/>
        </w:rPr>
      </w:pPr>
    </w:p>
    <w:p w:rsidR="00805BA2" w:rsidRPr="00DE3AAE" w:rsidRDefault="00805BA2" w:rsidP="00805BA2">
      <w:pPr>
        <w:suppressAutoHyphens/>
        <w:rPr>
          <w:szCs w:val="22"/>
          <w:u w:val="single"/>
          <w:lang w:eastAsia="ar-SA"/>
        </w:rPr>
      </w:pPr>
      <w:r w:rsidRPr="00DE3AAE">
        <w:rPr>
          <w:szCs w:val="22"/>
          <w:u w:val="single"/>
        </w:rPr>
        <w:t>Liečba predávkovania:</w:t>
      </w:r>
    </w:p>
    <w:p w:rsidR="00805BA2" w:rsidRPr="00DE3AAE" w:rsidRDefault="00805BA2" w:rsidP="00805BA2">
      <w:pPr>
        <w:suppressAutoHyphens/>
        <w:rPr>
          <w:szCs w:val="22"/>
          <w:lang w:eastAsia="ar-SA"/>
        </w:rPr>
      </w:pPr>
      <w:r w:rsidRPr="00DE3AAE">
        <w:rPr>
          <w:szCs w:val="22"/>
        </w:rPr>
        <w:t>Zabezpečenie všetkých životných funkcií, symptomatická liečba (</w:t>
      </w:r>
      <w:proofErr w:type="spellStart"/>
      <w:r w:rsidRPr="00DE3AAE">
        <w:rPr>
          <w:szCs w:val="22"/>
        </w:rPr>
        <w:t>diazepam</w:t>
      </w:r>
      <w:proofErr w:type="spellEnd"/>
      <w:r w:rsidRPr="00DE3AAE">
        <w:rPr>
          <w:szCs w:val="22"/>
        </w:rPr>
        <w:t>, barbituráty).</w:t>
      </w:r>
    </w:p>
    <w:p w:rsidR="00805BA2" w:rsidRDefault="00805BA2" w:rsidP="00805BA2">
      <w:pPr>
        <w:pStyle w:val="Nadpis1"/>
      </w:pPr>
    </w:p>
    <w:p w:rsidR="00805BA2" w:rsidRPr="00153D8A"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5.</w:t>
      </w:r>
      <w:r w:rsidRPr="00DE3AAE">
        <w:rPr>
          <w:rFonts w:ascii="Times New Roman" w:hAnsi="Times New Roman"/>
          <w:sz w:val="22"/>
        </w:rPr>
        <w:tab/>
        <w:t>FARMAKOLOGICKÉ VLASTNOSTI</w:t>
      </w:r>
    </w:p>
    <w:p w:rsidR="00805BA2" w:rsidRPr="00DE3AAE" w:rsidRDefault="00805BA2" w:rsidP="00805BA2">
      <w:pPr>
        <w:keepNext/>
      </w:pPr>
    </w:p>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5.1</w:t>
      </w:r>
      <w:r w:rsidRPr="00DE3AAE">
        <w:rPr>
          <w:rFonts w:ascii="Times New Roman" w:hAnsi="Times New Roman"/>
          <w:sz w:val="22"/>
        </w:rPr>
        <w:tab/>
        <w:t>Farmakodynamické vlastnosti</w:t>
      </w:r>
    </w:p>
    <w:p w:rsidR="00805BA2" w:rsidRPr="00DE3AAE" w:rsidRDefault="00805BA2" w:rsidP="00805BA2">
      <w:pPr>
        <w:keepNext/>
      </w:pPr>
    </w:p>
    <w:p w:rsidR="00805BA2" w:rsidRDefault="00805BA2" w:rsidP="00805BA2">
      <w:r w:rsidRPr="0045090B">
        <w:t xml:space="preserve">Farmakoterapeutická skupina: </w:t>
      </w:r>
      <w:r>
        <w:t>Kontrastné látky, jódované RTG – kontrastné látky</w:t>
      </w:r>
    </w:p>
    <w:p w:rsidR="00805BA2" w:rsidRPr="0045090B" w:rsidRDefault="00805BA2" w:rsidP="00805BA2">
      <w:r w:rsidRPr="0045090B">
        <w:t>ATC kód: V08AB07</w:t>
      </w:r>
    </w:p>
    <w:p w:rsidR="00805BA2" w:rsidRPr="0045090B" w:rsidRDefault="00805BA2" w:rsidP="00805BA2">
      <w:pPr>
        <w:pStyle w:val="Zkladntext"/>
        <w:rPr>
          <w:bCs/>
          <w:sz w:val="22"/>
          <w:lang w:val="sk-SK"/>
        </w:rPr>
      </w:pPr>
    </w:p>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5.2</w:t>
      </w:r>
      <w:r w:rsidRPr="00DE3AAE">
        <w:rPr>
          <w:rFonts w:ascii="Times New Roman" w:hAnsi="Times New Roman"/>
          <w:sz w:val="22"/>
        </w:rPr>
        <w:tab/>
        <w:t>Farmakokinetické vlastnosti</w:t>
      </w:r>
    </w:p>
    <w:p w:rsidR="00805BA2" w:rsidRPr="00DE3AAE" w:rsidRDefault="00805BA2" w:rsidP="00805BA2"/>
    <w:p w:rsidR="00805BA2" w:rsidRPr="00DE3AAE" w:rsidRDefault="00805BA2" w:rsidP="00805BA2">
      <w:proofErr w:type="spellStart"/>
      <w:r w:rsidRPr="00DE3AAE">
        <w:t>Farmakokinetický</w:t>
      </w:r>
      <w:proofErr w:type="spellEnd"/>
      <w:r w:rsidRPr="00DE3AAE">
        <w:t xml:space="preserve"> profil látky </w:t>
      </w:r>
      <w:proofErr w:type="spellStart"/>
      <w:r w:rsidRPr="00DE3AAE">
        <w:t>Optiray</w:t>
      </w:r>
      <w:proofErr w:type="spellEnd"/>
      <w:r w:rsidRPr="00DE3AAE">
        <w:t xml:space="preserve"> spolu s jej </w:t>
      </w:r>
      <w:proofErr w:type="spellStart"/>
      <w:r w:rsidRPr="00DE3AAE">
        <w:t>hydrofilnými</w:t>
      </w:r>
      <w:proofErr w:type="spellEnd"/>
      <w:r w:rsidRPr="00DE3AAE">
        <w:t xml:space="preserve"> vlastnosťami a veľmi nízkym naviazaním na sérové a plazmatické proteíny naznačuje, že </w:t>
      </w:r>
      <w:proofErr w:type="spellStart"/>
      <w:r w:rsidRPr="00DE3AAE">
        <w:t>Optiray</w:t>
      </w:r>
      <w:proofErr w:type="spellEnd"/>
      <w:r w:rsidRPr="00DE3AAE">
        <w:t xml:space="preserve"> sa distribuuje v </w:t>
      </w:r>
      <w:proofErr w:type="spellStart"/>
      <w:r w:rsidRPr="00DE3AAE">
        <w:t>mimobunkovej</w:t>
      </w:r>
      <w:proofErr w:type="spellEnd"/>
      <w:r w:rsidRPr="00DE3AAE">
        <w:t xml:space="preserve"> tekutine a rýchlo sa vylučuje obličkami prostredníctvom </w:t>
      </w:r>
      <w:proofErr w:type="spellStart"/>
      <w:r w:rsidRPr="00DE3AAE">
        <w:t>glomerulárnej</w:t>
      </w:r>
      <w:proofErr w:type="spellEnd"/>
      <w:r w:rsidRPr="00DE3AAE">
        <w:t xml:space="preserve"> filtrácie. Priemerný polčas (</w:t>
      </w:r>
      <w:r w:rsidRPr="00DE3AAE">
        <w:sym w:font="Symbol" w:char="F0B1"/>
      </w:r>
      <w:r w:rsidRPr="00DE3AAE">
        <w:t>SD) po podaní dávky 50 ml bol 113 </w:t>
      </w:r>
      <w:r w:rsidRPr="00DE3AAE">
        <w:sym w:font="Symbol" w:char="F0B1"/>
      </w:r>
      <w:r w:rsidRPr="00DE3AAE">
        <w:t> 8,4 a po podaní dávky 150 ml bol 104 </w:t>
      </w:r>
      <w:r w:rsidRPr="00DE3AAE">
        <w:sym w:font="Symbol" w:char="F0B1"/>
      </w:r>
      <w:r w:rsidRPr="00DE3AAE">
        <w:t xml:space="preserve"> 15 minút. Viac než 95 % z podanej dávky sa vylúči počas prvých 24 hodín. Vylučovanie v stolici je zanedbateľné. Nepozoroval sa žiadny významný metabolizmus, </w:t>
      </w:r>
      <w:proofErr w:type="spellStart"/>
      <w:r w:rsidRPr="00DE3AAE">
        <w:t>dejodizácia</w:t>
      </w:r>
      <w:proofErr w:type="spellEnd"/>
      <w:r w:rsidRPr="00DE3AAE">
        <w:t xml:space="preserve"> molekúl ani </w:t>
      </w:r>
      <w:proofErr w:type="spellStart"/>
      <w:r w:rsidRPr="00DE3AAE">
        <w:t>biotransformácia</w:t>
      </w:r>
      <w:proofErr w:type="spellEnd"/>
      <w:r w:rsidRPr="00DE3AAE">
        <w:t xml:space="preserve"> látky </w:t>
      </w:r>
      <w:proofErr w:type="spellStart"/>
      <w:r w:rsidRPr="00DE3AAE">
        <w:t>Optiray</w:t>
      </w:r>
      <w:proofErr w:type="spellEnd"/>
      <w:r w:rsidRPr="00DE3AAE">
        <w:t>.</w:t>
      </w:r>
    </w:p>
    <w:p w:rsidR="00805BA2" w:rsidRPr="00DE3AAE" w:rsidRDefault="00805BA2" w:rsidP="00805BA2">
      <w:r w:rsidRPr="00DE3AAE">
        <w:rPr>
          <w:szCs w:val="22"/>
        </w:rPr>
        <w:t xml:space="preserve">Laboratórne vyšetrenia preukázali, že </w:t>
      </w:r>
      <w:proofErr w:type="spellStart"/>
      <w:r w:rsidRPr="00DE3AAE">
        <w:rPr>
          <w:szCs w:val="22"/>
        </w:rPr>
        <w:t>ioversol</w:t>
      </w:r>
      <w:proofErr w:type="spellEnd"/>
      <w:r w:rsidRPr="00DE3AAE">
        <w:rPr>
          <w:szCs w:val="22"/>
        </w:rPr>
        <w:t xml:space="preserve"> po injekcii do mozgovomiechového moku prechádza do krvi a vylučuje sa v moči.</w:t>
      </w:r>
    </w:p>
    <w:p w:rsidR="00805BA2" w:rsidRPr="00DE3AAE" w:rsidRDefault="00805BA2" w:rsidP="00805BA2">
      <w:pPr>
        <w:rPr>
          <w:bCs/>
        </w:rPr>
      </w:pPr>
    </w:p>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5.3</w:t>
      </w:r>
      <w:r w:rsidRPr="00DE3AAE">
        <w:rPr>
          <w:rFonts w:ascii="Times New Roman" w:hAnsi="Times New Roman"/>
          <w:sz w:val="22"/>
        </w:rPr>
        <w:tab/>
        <w:t>Predklinické údaje o bezpečnosti</w:t>
      </w:r>
    </w:p>
    <w:p w:rsidR="00805BA2" w:rsidRPr="00DE3AAE" w:rsidRDefault="00805BA2" w:rsidP="00805BA2"/>
    <w:p w:rsidR="00805BA2" w:rsidRPr="00DE3AAE" w:rsidRDefault="00805BA2" w:rsidP="00805BA2">
      <w:r w:rsidRPr="00DE3AAE">
        <w:lastRenderedPageBreak/>
        <w:t xml:space="preserve">Predklinické štúdie bezpečnosti látky </w:t>
      </w:r>
      <w:proofErr w:type="spellStart"/>
      <w:r w:rsidRPr="00DE3AAE">
        <w:t>Optiray</w:t>
      </w:r>
      <w:proofErr w:type="spellEnd"/>
      <w:r w:rsidRPr="00DE3AAE">
        <w:t> 240 neodhalili žiadne dôvody na obmedzenie predpisovania tohto lieku, pokiaľ sa používa v súlade s už uvedenými indikáciami.</w:t>
      </w:r>
    </w:p>
    <w:p w:rsidR="00805BA2" w:rsidRDefault="00805BA2" w:rsidP="00805BA2">
      <w:pPr>
        <w:pStyle w:val="Nadpis1"/>
      </w:pPr>
    </w:p>
    <w:p w:rsidR="00805BA2" w:rsidRDefault="00805BA2" w:rsidP="00805BA2">
      <w:pPr>
        <w:pStyle w:val="Nadpis1"/>
      </w:pPr>
    </w:p>
    <w:p w:rsidR="00805BA2" w:rsidRPr="00DE3AAE" w:rsidRDefault="00805BA2" w:rsidP="00805BA2">
      <w:pPr>
        <w:pStyle w:val="Nadpis1"/>
        <w:rPr>
          <w:rFonts w:ascii="Times New Roman" w:hAnsi="Times New Roman"/>
          <w:sz w:val="22"/>
        </w:rPr>
      </w:pPr>
      <w:r w:rsidRPr="00DE3AAE">
        <w:rPr>
          <w:rFonts w:ascii="Times New Roman" w:hAnsi="Times New Roman"/>
          <w:sz w:val="22"/>
        </w:rPr>
        <w:t>6.</w:t>
      </w:r>
      <w:r w:rsidRPr="00DE3AAE">
        <w:rPr>
          <w:rFonts w:ascii="Times New Roman" w:hAnsi="Times New Roman"/>
          <w:sz w:val="22"/>
        </w:rPr>
        <w:tab/>
        <w:t>FARMACEUTICKÉ INFORMÁCIE</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6.1</w:t>
      </w:r>
      <w:r w:rsidRPr="00DE3AAE">
        <w:rPr>
          <w:rFonts w:ascii="Times New Roman" w:hAnsi="Times New Roman"/>
          <w:sz w:val="22"/>
        </w:rPr>
        <w:tab/>
        <w:t>Zoznam pomocných látok</w:t>
      </w:r>
    </w:p>
    <w:p w:rsidR="00805BA2" w:rsidRPr="00DE3AAE" w:rsidRDefault="00805BA2" w:rsidP="00805BA2"/>
    <w:p w:rsidR="00805BA2" w:rsidRPr="00DE3AAE" w:rsidRDefault="00805BA2" w:rsidP="00805BA2">
      <w:proofErr w:type="spellStart"/>
      <w:r w:rsidRPr="00DE3AAE">
        <w:t>Optiray</w:t>
      </w:r>
      <w:proofErr w:type="spellEnd"/>
      <w:r w:rsidRPr="00DE3AAE">
        <w:t xml:space="preserve"> 240 obsahuje nasledujúce pomocné látky: </w:t>
      </w:r>
      <w:proofErr w:type="spellStart"/>
      <w:r w:rsidRPr="00DE3AAE">
        <w:t>trometamol</w:t>
      </w:r>
      <w:proofErr w:type="spellEnd"/>
      <w:r w:rsidRPr="00DE3AAE">
        <w:t xml:space="preserve">, </w:t>
      </w:r>
      <w:proofErr w:type="spellStart"/>
      <w:r w:rsidRPr="00DE3AAE">
        <w:t>trometamol</w:t>
      </w:r>
      <w:proofErr w:type="spellEnd"/>
      <w:r w:rsidRPr="00DE3AAE">
        <w:t xml:space="preserve"> </w:t>
      </w:r>
      <w:proofErr w:type="spellStart"/>
      <w:r w:rsidRPr="00DE3AAE">
        <w:t>hydrochlorid</w:t>
      </w:r>
      <w:proofErr w:type="spellEnd"/>
      <w:r w:rsidRPr="00DE3AAE">
        <w:t xml:space="preserve">, hydroxid </w:t>
      </w:r>
      <w:r w:rsidRPr="0045090B">
        <w:t xml:space="preserve">sodný a/alebo kyselinu chlorovodíkovú (na úpravu pH na 6 až 7,4), </w:t>
      </w:r>
      <w:proofErr w:type="spellStart"/>
      <w:r w:rsidRPr="0045090B">
        <w:t>edetát</w:t>
      </w:r>
      <w:proofErr w:type="spellEnd"/>
      <w:r w:rsidRPr="0045090B">
        <w:t xml:space="preserve"> sodno-vápenatý, vodu na</w:t>
      </w:r>
      <w:r w:rsidRPr="00DE3AAE">
        <w:t xml:space="preserve"> injekciu.</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6.2</w:t>
      </w:r>
      <w:r w:rsidRPr="00DE3AAE">
        <w:rPr>
          <w:rFonts w:ascii="Times New Roman" w:hAnsi="Times New Roman"/>
          <w:sz w:val="22"/>
        </w:rPr>
        <w:tab/>
        <w:t>Inkompatibility</w:t>
      </w:r>
    </w:p>
    <w:p w:rsidR="00805BA2" w:rsidRPr="00DE3AAE" w:rsidRDefault="00805BA2" w:rsidP="00805BA2"/>
    <w:p w:rsidR="00805BA2" w:rsidRPr="00DE3AAE" w:rsidRDefault="00805BA2" w:rsidP="00805BA2">
      <w:r w:rsidRPr="00DE3AAE">
        <w:t>Nie sú známe.</w:t>
      </w:r>
    </w:p>
    <w:p w:rsidR="00805BA2" w:rsidRPr="00DE3AAE" w:rsidRDefault="00805BA2" w:rsidP="00805BA2">
      <w:r w:rsidRPr="00DE3AAE">
        <w:t xml:space="preserve">Do kontrastnej látky nepridávajte žiadne iné lieky. Toto upozornenie sa netýka </w:t>
      </w:r>
      <w:proofErr w:type="spellStart"/>
      <w:r w:rsidRPr="00DE3AAE">
        <w:t>heparínu</w:t>
      </w:r>
      <w:proofErr w:type="spellEnd"/>
      <w:r w:rsidRPr="00DE3AAE">
        <w:t>, pozri popis v časti 4.4.</w:t>
      </w:r>
    </w:p>
    <w:p w:rsidR="00805BA2" w:rsidRPr="00DE3AAE" w:rsidRDefault="00805BA2" w:rsidP="00805BA2"/>
    <w:p w:rsidR="00805BA2" w:rsidRPr="00DE3AAE" w:rsidRDefault="00805BA2" w:rsidP="00805BA2">
      <w:pPr>
        <w:pStyle w:val="Nadpis2"/>
        <w:rPr>
          <w:rFonts w:ascii="Times New Roman" w:hAnsi="Times New Roman"/>
          <w:sz w:val="22"/>
        </w:rPr>
      </w:pPr>
      <w:r w:rsidRPr="00DE3AAE">
        <w:rPr>
          <w:rFonts w:ascii="Times New Roman" w:hAnsi="Times New Roman"/>
          <w:sz w:val="22"/>
        </w:rPr>
        <w:t>6.3</w:t>
      </w:r>
      <w:r w:rsidRPr="00DE3AAE">
        <w:rPr>
          <w:rFonts w:ascii="Times New Roman" w:hAnsi="Times New Roman"/>
          <w:sz w:val="22"/>
        </w:rPr>
        <w:tab/>
        <w:t>Čas použiteľnosti</w:t>
      </w:r>
    </w:p>
    <w:p w:rsidR="00805BA2" w:rsidRPr="00DE3AAE" w:rsidRDefault="00805BA2" w:rsidP="00805BA2"/>
    <w:p w:rsidR="00805BA2" w:rsidRPr="0045090B" w:rsidRDefault="00805BA2" w:rsidP="00805BA2">
      <w:r w:rsidRPr="0045090B">
        <w:t>3 roky</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6.4</w:t>
      </w:r>
      <w:r w:rsidRPr="00DE3AAE">
        <w:rPr>
          <w:rFonts w:ascii="Times New Roman" w:hAnsi="Times New Roman"/>
          <w:sz w:val="22"/>
        </w:rPr>
        <w:tab/>
        <w:t>Upozornenia na podmienky a spôsob uchovávania</w:t>
      </w:r>
    </w:p>
    <w:p w:rsidR="00805BA2" w:rsidRPr="00DE3AAE" w:rsidRDefault="00805BA2" w:rsidP="00805BA2"/>
    <w:p w:rsidR="00805BA2" w:rsidRPr="00DE3AAE" w:rsidRDefault="00805BA2" w:rsidP="00805BA2">
      <w:r w:rsidRPr="00DE3AAE">
        <w:t xml:space="preserve">Roztok chráňte pred svetlom a röntgenovým žiarením. Uchovávajte pri teplote do 30 °C. </w:t>
      </w:r>
      <w:proofErr w:type="spellStart"/>
      <w:r w:rsidRPr="00DE3AAE">
        <w:t>Optiray</w:t>
      </w:r>
      <w:proofErr w:type="spellEnd"/>
      <w:r w:rsidRPr="00DE3AAE">
        <w:t> 240 možno uchovávať po dobu 1 mesiaca v ohrievači kontrastných látok s nútenou cirkuláciou vzduchu. Nezmrazujte!</w:t>
      </w:r>
    </w:p>
    <w:p w:rsidR="00805BA2" w:rsidRPr="00DE3AAE" w:rsidRDefault="00805BA2" w:rsidP="00805BA2"/>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6.5</w:t>
      </w:r>
      <w:r w:rsidRPr="00DE3AAE">
        <w:rPr>
          <w:rFonts w:ascii="Times New Roman" w:hAnsi="Times New Roman"/>
          <w:sz w:val="22"/>
        </w:rPr>
        <w:tab/>
        <w:t>Vlastností a zloženie obalu, veľkosť balenia</w:t>
      </w:r>
    </w:p>
    <w:p w:rsidR="00805BA2" w:rsidRPr="00DE3AAE" w:rsidRDefault="00805BA2" w:rsidP="00805BA2"/>
    <w:p w:rsidR="00805BA2" w:rsidRPr="00DE3AAE" w:rsidRDefault="00805BA2" w:rsidP="00805BA2">
      <w:proofErr w:type="spellStart"/>
      <w:r w:rsidRPr="00DE3AAE">
        <w:t>Optiray</w:t>
      </w:r>
      <w:proofErr w:type="spellEnd"/>
      <w:r w:rsidRPr="00DE3AAE">
        <w:t> 240 je balený vo fľaštičkách vyrobených z bezfarebného skla typu I (Ph. Eur.). Fľaštičky sú uzavreté 32 mm gumenými zátkami (</w:t>
      </w:r>
      <w:proofErr w:type="spellStart"/>
      <w:r w:rsidRPr="00DE3AAE">
        <w:t>brómbutylová</w:t>
      </w:r>
      <w:proofErr w:type="spellEnd"/>
      <w:r w:rsidRPr="00DE3AAE">
        <w:t xml:space="preserve"> guma, bez latexu) a utesnené hliníkovou fóliou.</w:t>
      </w:r>
    </w:p>
    <w:p w:rsidR="00805BA2" w:rsidRPr="00DE3AAE" w:rsidRDefault="00805BA2" w:rsidP="00805BA2">
      <w:proofErr w:type="spellStart"/>
      <w:r w:rsidRPr="00DE3AAE">
        <w:t>Optiray</w:t>
      </w:r>
      <w:proofErr w:type="spellEnd"/>
      <w:r w:rsidRPr="00DE3AAE">
        <w:t xml:space="preserve"> 240 sa dodáva aj v naplnených injekčných striekačkách z polypropylénu na ručné podávanie . Piest a kryt špičky injekčnej striekačky sú vyrobené z prírodnej gumy. Piest je potiahnutý teflónom, aby sa zabránilo priamemu kontaktu s gumenými dielmi na ochranu </w:t>
      </w:r>
      <w:r w:rsidR="002D0682" w:rsidRPr="00DE3AAE">
        <w:t>používateľ</w:t>
      </w:r>
      <w:r w:rsidR="002D0682">
        <w:t>a</w:t>
      </w:r>
      <w:r w:rsidR="002D0682" w:rsidRPr="00DE3AAE">
        <w:t xml:space="preserve"> </w:t>
      </w:r>
      <w:r w:rsidR="001902A4" w:rsidRPr="00DE3AAE">
        <w:t>alergick</w:t>
      </w:r>
      <w:r w:rsidR="001902A4">
        <w:t>ého</w:t>
      </w:r>
      <w:r w:rsidR="001902A4" w:rsidRPr="00DE3AAE">
        <w:t xml:space="preserve"> </w:t>
      </w:r>
      <w:r w:rsidRPr="00DE3AAE">
        <w:t>na latex.</w:t>
      </w:r>
    </w:p>
    <w:p w:rsidR="00805BA2" w:rsidRPr="0045090B" w:rsidRDefault="00805BA2" w:rsidP="00805BA2">
      <w:r w:rsidRPr="0045090B">
        <w:t>Písomná informácia pre používateľa v slovenčine, kartónová škatuľa.</w:t>
      </w:r>
    </w:p>
    <w:p w:rsidR="00805BA2" w:rsidRPr="00DE3AAE" w:rsidRDefault="00805BA2" w:rsidP="00805BA2"/>
    <w:p w:rsidR="00805BA2" w:rsidRPr="0045090B" w:rsidRDefault="00805BA2" w:rsidP="00805BA2">
      <w:r w:rsidRPr="0045090B">
        <w:t xml:space="preserve">Veľkosť balenia: </w:t>
      </w:r>
    </w:p>
    <w:p w:rsidR="00805BA2" w:rsidRPr="0045090B" w:rsidRDefault="00805BA2" w:rsidP="00805BA2">
      <w:r w:rsidRPr="0045090B">
        <w:t>(fľašky): 10 x 50 ml, 10 x 100 ml</w:t>
      </w:r>
    </w:p>
    <w:p w:rsidR="00805BA2" w:rsidRPr="0045090B" w:rsidRDefault="00805BA2" w:rsidP="00805BA2">
      <w:r w:rsidRPr="0045090B">
        <w:t>Injekčné striekačky na ručné podávanie (striekačky ručné) 10 x 50 ml</w:t>
      </w:r>
    </w:p>
    <w:p w:rsidR="00805BA2" w:rsidRPr="0045090B" w:rsidRDefault="00805BA2" w:rsidP="00805BA2">
      <w:r>
        <w:rPr>
          <w:szCs w:val="22"/>
        </w:rPr>
        <w:t>Na trh nemusia byť uvedené všetky veľkosti balenia.</w:t>
      </w:r>
    </w:p>
    <w:p w:rsidR="00805BA2" w:rsidRPr="00DE3AAE" w:rsidRDefault="00805BA2" w:rsidP="00805BA2">
      <w:pPr>
        <w:rPr>
          <w:szCs w:val="22"/>
        </w:rPr>
      </w:pPr>
    </w:p>
    <w:p w:rsidR="00805BA2" w:rsidRPr="00DE3AAE" w:rsidRDefault="00805BA2" w:rsidP="00805BA2">
      <w:pPr>
        <w:pStyle w:val="Nadpis2"/>
        <w:rPr>
          <w:rFonts w:ascii="Times New Roman" w:hAnsi="Times New Roman"/>
          <w:sz w:val="22"/>
          <w:lang w:eastAsia="ar-SA"/>
        </w:rPr>
      </w:pPr>
      <w:r w:rsidRPr="00DE3AAE">
        <w:rPr>
          <w:rFonts w:ascii="Times New Roman" w:hAnsi="Times New Roman"/>
          <w:sz w:val="22"/>
        </w:rPr>
        <w:t>6.6</w:t>
      </w:r>
      <w:r w:rsidRPr="00DE3AAE">
        <w:rPr>
          <w:rFonts w:ascii="Times New Roman" w:hAnsi="Times New Roman"/>
          <w:sz w:val="22"/>
        </w:rPr>
        <w:tab/>
        <w:t>Pokyny na použitie, zaobchádzanie a likvidáciu</w:t>
      </w:r>
    </w:p>
    <w:p w:rsidR="00805BA2" w:rsidRPr="00DE3AAE" w:rsidRDefault="00805BA2" w:rsidP="00805BA2"/>
    <w:p w:rsidR="00805BA2" w:rsidRPr="00DE3AAE" w:rsidRDefault="00805BA2" w:rsidP="00805BA2">
      <w:proofErr w:type="spellStart"/>
      <w:r w:rsidRPr="00DE3AAE">
        <w:t>Optiray</w:t>
      </w:r>
      <w:proofErr w:type="spellEnd"/>
      <w:r w:rsidRPr="00DE3AAE">
        <w:t xml:space="preserve"> 240 sa nesmie použiť, ak obsahuje akékoľvek pevné častice alebo ak došlo k zmene jeho farby. Ak bol </w:t>
      </w:r>
      <w:proofErr w:type="spellStart"/>
      <w:r w:rsidRPr="00DE3AAE">
        <w:t>Optiray</w:t>
      </w:r>
      <w:proofErr w:type="spellEnd"/>
      <w:r w:rsidRPr="00DE3AAE">
        <w:t> 240 zmrazený alebo ak sa v ňom objavili kryštáliky, musí sa zaručiť, že nedošlo k žiadnemu poškodeniu obalu. Ak obal nie je poškodený, kryštáliky sa rozpustia po zohriatí na izbovú teplotu a dôkladnom pretrasení látky.</w:t>
      </w:r>
    </w:p>
    <w:p w:rsidR="00805BA2" w:rsidRPr="00DE3AAE" w:rsidRDefault="00805BA2" w:rsidP="00805BA2">
      <w:proofErr w:type="spellStart"/>
      <w:r w:rsidRPr="00DE3AAE">
        <w:t>Optiray</w:t>
      </w:r>
      <w:proofErr w:type="spellEnd"/>
      <w:r w:rsidRPr="00DE3AAE">
        <w:t> 240 sa dodáva v jednodávkových baleniach. Všetky zvyšky kontrastnej látky zlikvidujte.</w:t>
      </w:r>
    </w:p>
    <w:p w:rsidR="00805BA2" w:rsidRPr="00DE3AAE" w:rsidRDefault="00805BA2" w:rsidP="00805BA2"/>
    <w:p w:rsidR="00805BA2" w:rsidRPr="00DE3AAE" w:rsidRDefault="00805BA2" w:rsidP="00805BA2">
      <w:r w:rsidRPr="00DE3AAE">
        <w:t>Injekčné striekačky na ručné podávanie:</w:t>
      </w:r>
    </w:p>
    <w:p w:rsidR="00805BA2" w:rsidRDefault="00805BA2" w:rsidP="00805BA2">
      <w:r w:rsidRPr="00DE3AAE">
        <w:t>Liek a jeho dráha sú sterilné, vonkajšia časť injekčnej striekačky nie je sterilná. Pokyny na zostavenie a kontrolu pri použití injekčných striekačiek sú uvedené na vonkajšom obale.</w:t>
      </w:r>
    </w:p>
    <w:p w:rsidR="00805BA2"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7.</w:t>
      </w:r>
      <w:r w:rsidRPr="00DE3AAE">
        <w:rPr>
          <w:rFonts w:ascii="Times New Roman" w:hAnsi="Times New Roman"/>
          <w:sz w:val="22"/>
        </w:rPr>
        <w:tab/>
        <w:t>DRŽITEĽ ROZHODNUTIA O REGISTRÁCII</w:t>
      </w:r>
    </w:p>
    <w:p w:rsidR="00805BA2" w:rsidRPr="00DE3AAE" w:rsidRDefault="00805BA2" w:rsidP="00805BA2"/>
    <w:p w:rsidR="00321180" w:rsidRPr="00D33DEF" w:rsidRDefault="00321180" w:rsidP="00321180">
      <w:proofErr w:type="spellStart"/>
      <w:r w:rsidRPr="00D33DEF">
        <w:lastRenderedPageBreak/>
        <w:t>Guerbet</w:t>
      </w:r>
      <w:proofErr w:type="spellEnd"/>
    </w:p>
    <w:p w:rsidR="00321180" w:rsidRPr="00D33DEF" w:rsidRDefault="00321180" w:rsidP="00321180">
      <w:r w:rsidRPr="00D33DEF">
        <w:t>BP 57400</w:t>
      </w:r>
    </w:p>
    <w:p w:rsidR="00321180" w:rsidRPr="00D33DEF" w:rsidRDefault="00321180" w:rsidP="00321180">
      <w:r w:rsidRPr="00D33DEF">
        <w:t xml:space="preserve">95943 </w:t>
      </w:r>
      <w:proofErr w:type="spellStart"/>
      <w:r w:rsidRPr="00D33DEF">
        <w:t>Roissy</w:t>
      </w:r>
      <w:proofErr w:type="spellEnd"/>
      <w:r w:rsidRPr="00D33DEF">
        <w:t xml:space="preserve"> </w:t>
      </w:r>
      <w:proofErr w:type="spellStart"/>
      <w:r w:rsidRPr="00D33DEF">
        <w:t>CdG</w:t>
      </w:r>
      <w:proofErr w:type="spellEnd"/>
      <w:r w:rsidRPr="00D33DEF">
        <w:t xml:space="preserve"> </w:t>
      </w:r>
      <w:proofErr w:type="spellStart"/>
      <w:r w:rsidRPr="00D33DEF">
        <w:t>Cedex</w:t>
      </w:r>
      <w:proofErr w:type="spellEnd"/>
    </w:p>
    <w:p w:rsidR="00805BA2" w:rsidRDefault="00321180" w:rsidP="00805BA2">
      <w:r w:rsidRPr="00D33DEF">
        <w:t>Francúzsko</w:t>
      </w:r>
    </w:p>
    <w:p w:rsidR="00805BA2"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8.</w:t>
      </w:r>
      <w:r w:rsidRPr="00DE3AAE">
        <w:rPr>
          <w:rFonts w:ascii="Times New Roman" w:hAnsi="Times New Roman"/>
          <w:sz w:val="22"/>
        </w:rPr>
        <w:tab/>
        <w:t>REGISTRAČNÉ ČÍSLO</w:t>
      </w:r>
    </w:p>
    <w:p w:rsidR="00805BA2" w:rsidRPr="00DE3AAE" w:rsidRDefault="00805BA2" w:rsidP="00805BA2"/>
    <w:p w:rsidR="00805BA2" w:rsidRPr="00DE3AAE" w:rsidRDefault="00805BA2" w:rsidP="00805BA2">
      <w:r w:rsidRPr="00DE3AAE">
        <w:t>48/0890/92- C/S</w:t>
      </w:r>
    </w:p>
    <w:p w:rsidR="00805BA2" w:rsidRPr="00DE3AAE"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45090B">
        <w:rPr>
          <w:rFonts w:ascii="Times New Roman" w:hAnsi="Times New Roman"/>
          <w:sz w:val="22"/>
        </w:rPr>
        <w:t>9.</w:t>
      </w:r>
      <w:r w:rsidRPr="0045090B">
        <w:rPr>
          <w:rFonts w:ascii="Times New Roman" w:hAnsi="Times New Roman"/>
          <w:sz w:val="22"/>
        </w:rPr>
        <w:tab/>
        <w:t>DÁTUM prvej registrácie / PREDĹŽENIA REGISTRÁCIE</w:t>
      </w:r>
    </w:p>
    <w:p w:rsidR="00805BA2" w:rsidRPr="00DE3AAE" w:rsidRDefault="00805BA2" w:rsidP="00805BA2"/>
    <w:p w:rsidR="00805BA2" w:rsidRPr="00DE3AAE" w:rsidRDefault="00805BA2" w:rsidP="00805BA2">
      <w:r w:rsidRPr="00DE3AAE">
        <w:t>Dátum prvej registrácie: 30.12.1992</w:t>
      </w:r>
    </w:p>
    <w:p w:rsidR="00805BA2" w:rsidRDefault="00805BA2" w:rsidP="00805BA2">
      <w:r w:rsidRPr="00DE3AAE">
        <w:t>Dátum posledného predĺženia</w:t>
      </w:r>
      <w:r>
        <w:t xml:space="preserve"> registrácie</w:t>
      </w:r>
      <w:r w:rsidRPr="00DE3AAE">
        <w:t xml:space="preserve">: 21.06.2006 </w:t>
      </w:r>
    </w:p>
    <w:p w:rsidR="00805BA2" w:rsidRDefault="00805BA2" w:rsidP="00805BA2"/>
    <w:p w:rsidR="00805BA2" w:rsidRPr="00DE3AAE" w:rsidRDefault="00805BA2" w:rsidP="00805BA2"/>
    <w:p w:rsidR="00805BA2" w:rsidRPr="00DE3AAE" w:rsidRDefault="00805BA2" w:rsidP="00805BA2">
      <w:pPr>
        <w:pStyle w:val="Nadpis1"/>
        <w:rPr>
          <w:rFonts w:ascii="Times New Roman" w:hAnsi="Times New Roman"/>
          <w:sz w:val="22"/>
        </w:rPr>
      </w:pPr>
      <w:r w:rsidRPr="00DE3AAE">
        <w:rPr>
          <w:rFonts w:ascii="Times New Roman" w:hAnsi="Times New Roman"/>
          <w:sz w:val="22"/>
        </w:rPr>
        <w:t>10.</w:t>
      </w:r>
      <w:r w:rsidRPr="00DE3AAE">
        <w:rPr>
          <w:rFonts w:ascii="Times New Roman" w:hAnsi="Times New Roman"/>
          <w:sz w:val="22"/>
        </w:rPr>
        <w:tab/>
        <w:t>DÁTUM POSLEDNEJ REVÍZIE TEXTU</w:t>
      </w:r>
    </w:p>
    <w:p w:rsidR="00805BA2" w:rsidRPr="00DE3AAE" w:rsidRDefault="00805BA2" w:rsidP="00805BA2"/>
    <w:p w:rsidR="00907782" w:rsidRDefault="00321180">
      <w:r>
        <w:t>Február 2017</w:t>
      </w:r>
      <w:bookmarkStart w:id="0" w:name="_GoBack"/>
      <w:bookmarkEnd w:id="0"/>
    </w:p>
    <w:sectPr w:rsidR="00907782" w:rsidSect="00EF19E4">
      <w:footerReference w:type="default" r:id="rId10"/>
      <w:headerReference w:type="first" r:id="rId11"/>
      <w:pgSz w:w="11906" w:h="16838"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E0D" w:rsidRDefault="00DD7E0D" w:rsidP="00805BA2">
      <w:r>
        <w:separator/>
      </w:r>
    </w:p>
  </w:endnote>
  <w:endnote w:type="continuationSeparator" w:id="0">
    <w:p w:rsidR="00DD7E0D" w:rsidRDefault="00DD7E0D" w:rsidP="0080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BB7" w:rsidRPr="00273639" w:rsidRDefault="00B94544" w:rsidP="00A548A1">
    <w:pPr>
      <w:pStyle w:val="Pta"/>
      <w:jc w:val="center"/>
      <w:rPr>
        <w:sz w:val="16"/>
        <w:szCs w:val="16"/>
      </w:rPr>
    </w:pPr>
    <w:r>
      <w:rPr>
        <w:rStyle w:val="slostrany"/>
        <w:sz w:val="16"/>
        <w:szCs w:val="16"/>
      </w:rPr>
      <w:fldChar w:fldCharType="begin"/>
    </w:r>
    <w:r>
      <w:rPr>
        <w:rStyle w:val="slostrany"/>
        <w:sz w:val="16"/>
        <w:szCs w:val="16"/>
      </w:rPr>
      <w:instrText xml:space="preserve"> PAGE </w:instrText>
    </w:r>
    <w:r>
      <w:rPr>
        <w:rStyle w:val="slostrany"/>
        <w:sz w:val="16"/>
        <w:szCs w:val="16"/>
      </w:rPr>
      <w:fldChar w:fldCharType="separate"/>
    </w:r>
    <w:r w:rsidR="00A12FE2">
      <w:rPr>
        <w:rStyle w:val="slostrany"/>
        <w:noProof/>
        <w:sz w:val="16"/>
        <w:szCs w:val="16"/>
      </w:rPr>
      <w:t>11</w:t>
    </w:r>
    <w:r>
      <w:rPr>
        <w:rStyle w:val="slostran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E0D" w:rsidRDefault="00DD7E0D" w:rsidP="00805BA2">
      <w:r>
        <w:separator/>
      </w:r>
    </w:p>
  </w:footnote>
  <w:footnote w:type="continuationSeparator" w:id="0">
    <w:p w:rsidR="00DD7E0D" w:rsidRDefault="00DD7E0D" w:rsidP="00805B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EF7" w:rsidRDefault="00C46EF7" w:rsidP="00C46EF7">
    <w:pPr>
      <w:pStyle w:val="Hlavika"/>
      <w:rPr>
        <w:sz w:val="18"/>
        <w:szCs w:val="18"/>
        <w:lang w:val="sk-SK"/>
      </w:rPr>
    </w:pPr>
    <w:r>
      <w:rPr>
        <w:sz w:val="18"/>
        <w:szCs w:val="18"/>
        <w:lang w:val="sk-SK"/>
      </w:rPr>
      <w:t xml:space="preserve">Schválený text k rozhodnutiu o zmene, </w:t>
    </w:r>
    <w:proofErr w:type="spellStart"/>
    <w:r>
      <w:rPr>
        <w:sz w:val="18"/>
        <w:szCs w:val="18"/>
        <w:lang w:val="sk-SK"/>
      </w:rPr>
      <w:t>ev.č</w:t>
    </w:r>
    <w:proofErr w:type="spellEnd"/>
    <w:r>
      <w:rPr>
        <w:sz w:val="18"/>
        <w:szCs w:val="18"/>
        <w:lang w:val="sk-SK"/>
      </w:rPr>
      <w:t>.:</w:t>
    </w:r>
    <w:r>
      <w:rPr>
        <w:sz w:val="18"/>
        <w:szCs w:val="18"/>
      </w:rPr>
      <w:t xml:space="preserve"> </w:t>
    </w:r>
    <w:r>
      <w:rPr>
        <w:sz w:val="18"/>
        <w:szCs w:val="18"/>
        <w:lang w:val="sk-SK"/>
      </w:rPr>
      <w:t>2016/03373-ZME</w:t>
    </w:r>
  </w:p>
  <w:p w:rsidR="00C46EF7" w:rsidRDefault="00C46EF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sz w:val="16"/>
      </w:rPr>
    </w:lvl>
  </w:abstractNum>
  <w:abstractNum w:abstractNumId="1">
    <w:nsid w:val="0127671A"/>
    <w:multiLevelType w:val="hybridMultilevel"/>
    <w:tmpl w:val="4F106E14"/>
    <w:lvl w:ilvl="0" w:tplc="E66C7D2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160847"/>
    <w:multiLevelType w:val="singleLevel"/>
    <w:tmpl w:val="AA006F80"/>
    <w:lvl w:ilvl="0">
      <w:start w:val="150"/>
      <w:numFmt w:val="bullet"/>
      <w:lvlText w:val="-"/>
      <w:lvlJc w:val="left"/>
      <w:pPr>
        <w:tabs>
          <w:tab w:val="num" w:pos="360"/>
        </w:tabs>
        <w:ind w:left="360" w:hanging="360"/>
      </w:pPr>
      <w:rPr>
        <w:rFonts w:hint="default"/>
      </w:rPr>
    </w:lvl>
  </w:abstractNum>
  <w:abstractNum w:abstractNumId="3">
    <w:nsid w:val="0F130C4A"/>
    <w:multiLevelType w:val="multilevel"/>
    <w:tmpl w:val="DFC07BD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F4C7A79"/>
    <w:multiLevelType w:val="hybridMultilevel"/>
    <w:tmpl w:val="8DA69300"/>
    <w:lvl w:ilvl="0" w:tplc="E66C7D2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083E94"/>
    <w:multiLevelType w:val="hybridMultilevel"/>
    <w:tmpl w:val="0D44277C"/>
    <w:lvl w:ilvl="0" w:tplc="04070007">
      <w:start w:val="1"/>
      <w:numFmt w:val="bullet"/>
      <w:lvlText w:val="-"/>
      <w:lvlJc w:val="left"/>
      <w:pPr>
        <w:tabs>
          <w:tab w:val="num" w:pos="720"/>
        </w:tabs>
        <w:ind w:left="72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6F313CD"/>
    <w:multiLevelType w:val="hybridMultilevel"/>
    <w:tmpl w:val="94A8875E"/>
    <w:lvl w:ilvl="0" w:tplc="E66C7D2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DBA2D8F"/>
    <w:multiLevelType w:val="hybridMultilevel"/>
    <w:tmpl w:val="1552471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DF0912"/>
    <w:multiLevelType w:val="hybridMultilevel"/>
    <w:tmpl w:val="9DA65580"/>
    <w:lvl w:ilvl="0" w:tplc="658073DC">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610406"/>
    <w:multiLevelType w:val="hybridMultilevel"/>
    <w:tmpl w:val="A9F6C898"/>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36441A7"/>
    <w:multiLevelType w:val="hybridMultilevel"/>
    <w:tmpl w:val="DCD69B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0970992"/>
    <w:multiLevelType w:val="hybridMultilevel"/>
    <w:tmpl w:val="D0C8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535420"/>
    <w:multiLevelType w:val="hybridMultilevel"/>
    <w:tmpl w:val="25E4FA6C"/>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757A25B0"/>
    <w:multiLevelType w:val="multilevel"/>
    <w:tmpl w:val="25E4FA6C"/>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9895873"/>
    <w:multiLevelType w:val="multilevel"/>
    <w:tmpl w:val="FC42F4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2"/>
  </w:num>
  <w:num w:numId="3">
    <w:abstractNumId w:val="14"/>
  </w:num>
  <w:num w:numId="4">
    <w:abstractNumId w:val="5"/>
  </w:num>
  <w:num w:numId="5">
    <w:abstractNumId w:val="0"/>
  </w:num>
  <w:num w:numId="6">
    <w:abstractNumId w:val="9"/>
  </w:num>
  <w:num w:numId="7">
    <w:abstractNumId w:val="10"/>
  </w:num>
  <w:num w:numId="8">
    <w:abstractNumId w:val="11"/>
  </w:num>
  <w:num w:numId="9">
    <w:abstractNumId w:val="1"/>
  </w:num>
  <w:num w:numId="10">
    <w:abstractNumId w:val="4"/>
  </w:num>
  <w:num w:numId="11">
    <w:abstractNumId w:val="7"/>
  </w:num>
  <w:num w:numId="12">
    <w:abstractNumId w:val="8"/>
  </w:num>
  <w:num w:numId="13">
    <w:abstractNumId w:val="6"/>
  </w:num>
  <w:num w:numId="14">
    <w:abstractNumId w:val="12"/>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panova">
    <w15:presenceInfo w15:providerId="None" w15:userId="Papa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BA2"/>
    <w:rsid w:val="000F56A1"/>
    <w:rsid w:val="0012740E"/>
    <w:rsid w:val="001902A4"/>
    <w:rsid w:val="001B3C3C"/>
    <w:rsid w:val="002271F3"/>
    <w:rsid w:val="002D0682"/>
    <w:rsid w:val="00305C63"/>
    <w:rsid w:val="00321180"/>
    <w:rsid w:val="003917A2"/>
    <w:rsid w:val="00446D9B"/>
    <w:rsid w:val="00482DCB"/>
    <w:rsid w:val="004B6C81"/>
    <w:rsid w:val="005C0212"/>
    <w:rsid w:val="00805BA2"/>
    <w:rsid w:val="008D3D98"/>
    <w:rsid w:val="00907782"/>
    <w:rsid w:val="009D7FED"/>
    <w:rsid w:val="00A12FE2"/>
    <w:rsid w:val="00AB6912"/>
    <w:rsid w:val="00AE1540"/>
    <w:rsid w:val="00B855F2"/>
    <w:rsid w:val="00B94544"/>
    <w:rsid w:val="00C0030D"/>
    <w:rsid w:val="00C46EF7"/>
    <w:rsid w:val="00C926CA"/>
    <w:rsid w:val="00D87E1D"/>
    <w:rsid w:val="00D976A7"/>
    <w:rsid w:val="00DD7E0D"/>
    <w:rsid w:val="00EF19E4"/>
    <w:rsid w:val="00F55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3C3C"/>
    <w:pPr>
      <w:tabs>
        <w:tab w:val="left" w:pos="567"/>
        <w:tab w:val="left" w:pos="1134"/>
      </w:tabs>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uiPriority w:val="99"/>
    <w:qFormat/>
    <w:rsid w:val="00805BA2"/>
    <w:pPr>
      <w:keepNext/>
      <w:ind w:left="567" w:hanging="567"/>
      <w:outlineLvl w:val="0"/>
    </w:pPr>
    <w:rPr>
      <w:rFonts w:ascii="Times New Roman Bold" w:hAnsi="Times New Roman Bold"/>
      <w:b/>
      <w:caps/>
      <w:kern w:val="28"/>
      <w:sz w:val="20"/>
    </w:rPr>
  </w:style>
  <w:style w:type="paragraph" w:styleId="Nadpis2">
    <w:name w:val="heading 2"/>
    <w:basedOn w:val="Normlny"/>
    <w:next w:val="Normlny"/>
    <w:link w:val="Nadpis2Char"/>
    <w:uiPriority w:val="99"/>
    <w:qFormat/>
    <w:rsid w:val="00805BA2"/>
    <w:pPr>
      <w:keepNext/>
      <w:ind w:left="567" w:hanging="567"/>
      <w:jc w:val="both"/>
      <w:outlineLvl w:val="1"/>
    </w:pPr>
    <w:rPr>
      <w:rFonts w:ascii="Times New Roman Bold" w:hAnsi="Times New Roman Bold"/>
      <w:b/>
      <w:sz w:val="20"/>
    </w:rPr>
  </w:style>
  <w:style w:type="paragraph" w:styleId="Nadpis3">
    <w:name w:val="heading 3"/>
    <w:basedOn w:val="Normlny"/>
    <w:next w:val="Normlny"/>
    <w:link w:val="Nadpis3Char"/>
    <w:qFormat/>
    <w:rsid w:val="00805BA2"/>
    <w:pPr>
      <w:keepNext/>
      <w:tabs>
        <w:tab w:val="clear" w:pos="567"/>
        <w:tab w:val="clear" w:pos="1134"/>
      </w:tabs>
      <w:spacing w:before="240" w:after="60"/>
      <w:jc w:val="both"/>
      <w:outlineLvl w:val="2"/>
    </w:pPr>
    <w:rPr>
      <w:b/>
      <w:lang w:val="cs-CZ" w:eastAsia="cs-CZ"/>
    </w:rPr>
  </w:style>
  <w:style w:type="paragraph" w:styleId="Nadpis4">
    <w:name w:val="heading 4"/>
    <w:basedOn w:val="Normlny"/>
    <w:next w:val="Normlny"/>
    <w:link w:val="Nadpis4Char"/>
    <w:uiPriority w:val="99"/>
    <w:qFormat/>
    <w:rsid w:val="00805BA2"/>
    <w:pPr>
      <w:keepNext/>
      <w:spacing w:before="120"/>
      <w:outlineLvl w:val="3"/>
    </w:pPr>
    <w:rPr>
      <w:rFonts w:ascii="Calibri" w:eastAsia="SimSun" w:hAnsi="Calibri"/>
      <w:b/>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05BA2"/>
    <w:rPr>
      <w:rFonts w:ascii="Times New Roman Bold" w:eastAsia="Times New Roman" w:hAnsi="Times New Roman Bold" w:cs="Times New Roman"/>
      <w:b/>
      <w:caps/>
      <w:kern w:val="28"/>
      <w:sz w:val="20"/>
      <w:szCs w:val="20"/>
    </w:rPr>
  </w:style>
  <w:style w:type="character" w:customStyle="1" w:styleId="Nadpis2Char">
    <w:name w:val="Nadpis 2 Char"/>
    <w:basedOn w:val="Predvolenpsmoodseku"/>
    <w:link w:val="Nadpis2"/>
    <w:uiPriority w:val="99"/>
    <w:rsid w:val="00805BA2"/>
    <w:rPr>
      <w:rFonts w:ascii="Times New Roman Bold" w:eastAsia="Times New Roman" w:hAnsi="Times New Roman Bold" w:cs="Times New Roman"/>
      <w:b/>
      <w:sz w:val="20"/>
      <w:szCs w:val="20"/>
    </w:rPr>
  </w:style>
  <w:style w:type="character" w:customStyle="1" w:styleId="Nadpis3Char">
    <w:name w:val="Nadpis 3 Char"/>
    <w:basedOn w:val="Predvolenpsmoodseku"/>
    <w:link w:val="Nadpis3"/>
    <w:rsid w:val="00805BA2"/>
    <w:rPr>
      <w:rFonts w:ascii="Times New Roman" w:eastAsia="Times New Roman" w:hAnsi="Times New Roman" w:cs="Times New Roman"/>
      <w:b/>
      <w:szCs w:val="20"/>
      <w:lang w:val="cs-CZ" w:eastAsia="cs-CZ"/>
    </w:rPr>
  </w:style>
  <w:style w:type="character" w:customStyle="1" w:styleId="Nadpis4Char">
    <w:name w:val="Nadpis 4 Char"/>
    <w:basedOn w:val="Predvolenpsmoodseku"/>
    <w:link w:val="Nadpis4"/>
    <w:uiPriority w:val="99"/>
    <w:rsid w:val="00805BA2"/>
    <w:rPr>
      <w:rFonts w:ascii="Calibri" w:eastAsia="SimSun" w:hAnsi="Calibri" w:cs="Times New Roman"/>
      <w:b/>
      <w:sz w:val="28"/>
      <w:szCs w:val="20"/>
      <w:lang w:val="en-US"/>
    </w:rPr>
  </w:style>
  <w:style w:type="paragraph" w:styleId="Pta">
    <w:name w:val="footer"/>
    <w:basedOn w:val="Normlny"/>
    <w:link w:val="PtaChar"/>
    <w:uiPriority w:val="99"/>
    <w:rsid w:val="00805BA2"/>
    <w:pPr>
      <w:tabs>
        <w:tab w:val="center" w:pos="4536"/>
        <w:tab w:val="right" w:pos="9072"/>
      </w:tabs>
      <w:spacing w:before="120"/>
      <w:jc w:val="both"/>
    </w:pPr>
    <w:rPr>
      <w:sz w:val="20"/>
      <w:lang w:val="en-US"/>
    </w:rPr>
  </w:style>
  <w:style w:type="character" w:customStyle="1" w:styleId="PtaChar">
    <w:name w:val="Päta Char"/>
    <w:basedOn w:val="Predvolenpsmoodseku"/>
    <w:link w:val="Pta"/>
    <w:uiPriority w:val="99"/>
    <w:rsid w:val="00805BA2"/>
    <w:rPr>
      <w:rFonts w:ascii="Times New Roman" w:eastAsia="Times New Roman" w:hAnsi="Times New Roman" w:cs="Times New Roman"/>
      <w:sz w:val="20"/>
      <w:szCs w:val="20"/>
      <w:lang w:val="en-US"/>
    </w:rPr>
  </w:style>
  <w:style w:type="paragraph" w:customStyle="1" w:styleId="Bezmezer1">
    <w:name w:val="Bez mezer1"/>
    <w:basedOn w:val="Normlny"/>
    <w:uiPriority w:val="99"/>
    <w:rsid w:val="00805BA2"/>
    <w:rPr>
      <w:sz w:val="24"/>
    </w:rPr>
  </w:style>
  <w:style w:type="paragraph" w:styleId="Zarkazkladnhotextu">
    <w:name w:val="Body Text Indent"/>
    <w:basedOn w:val="Normlny"/>
    <w:link w:val="ZarkazkladnhotextuChar"/>
    <w:uiPriority w:val="99"/>
    <w:rsid w:val="00805BA2"/>
    <w:pPr>
      <w:spacing w:before="120"/>
      <w:ind w:left="1418" w:hanging="1418"/>
      <w:jc w:val="both"/>
    </w:pPr>
    <w:rPr>
      <w:sz w:val="20"/>
      <w:lang w:val="en-US"/>
    </w:rPr>
  </w:style>
  <w:style w:type="character" w:customStyle="1" w:styleId="ZarkazkladnhotextuChar">
    <w:name w:val="Zarážka základného textu Char"/>
    <w:basedOn w:val="Predvolenpsmoodseku"/>
    <w:link w:val="Zarkazkladnhotextu"/>
    <w:uiPriority w:val="99"/>
    <w:rsid w:val="00805BA2"/>
    <w:rPr>
      <w:rFonts w:ascii="Times New Roman" w:eastAsia="Times New Roman" w:hAnsi="Times New Roman" w:cs="Times New Roman"/>
      <w:sz w:val="20"/>
      <w:szCs w:val="20"/>
      <w:lang w:val="en-US"/>
    </w:rPr>
  </w:style>
  <w:style w:type="paragraph" w:styleId="Zkladntext">
    <w:name w:val="Body Text"/>
    <w:basedOn w:val="Normlny"/>
    <w:link w:val="ZkladntextChar"/>
    <w:rsid w:val="00805BA2"/>
    <w:pPr>
      <w:jc w:val="both"/>
    </w:pPr>
    <w:rPr>
      <w:sz w:val="20"/>
      <w:lang w:val="en-US"/>
    </w:rPr>
  </w:style>
  <w:style w:type="character" w:customStyle="1" w:styleId="ZkladntextChar">
    <w:name w:val="Základný text Char"/>
    <w:basedOn w:val="Predvolenpsmoodseku"/>
    <w:link w:val="Zkladntext"/>
    <w:rsid w:val="00805BA2"/>
    <w:rPr>
      <w:rFonts w:ascii="Times New Roman" w:eastAsia="Times New Roman" w:hAnsi="Times New Roman" w:cs="Times New Roman"/>
      <w:sz w:val="20"/>
      <w:szCs w:val="20"/>
      <w:lang w:val="en-US"/>
    </w:rPr>
  </w:style>
  <w:style w:type="paragraph" w:styleId="Hlavika">
    <w:name w:val="header"/>
    <w:basedOn w:val="Normlny"/>
    <w:link w:val="HlavikaChar"/>
    <w:rsid w:val="00805BA2"/>
    <w:pPr>
      <w:tabs>
        <w:tab w:val="center" w:pos="4536"/>
        <w:tab w:val="right" w:pos="9072"/>
      </w:tabs>
    </w:pPr>
    <w:rPr>
      <w:sz w:val="20"/>
      <w:lang w:val="en-US"/>
    </w:rPr>
  </w:style>
  <w:style w:type="character" w:customStyle="1" w:styleId="HlavikaChar">
    <w:name w:val="Hlavička Char"/>
    <w:basedOn w:val="Predvolenpsmoodseku"/>
    <w:link w:val="Hlavika"/>
    <w:rsid w:val="00805BA2"/>
    <w:rPr>
      <w:rFonts w:ascii="Times New Roman" w:eastAsia="Times New Roman" w:hAnsi="Times New Roman" w:cs="Times New Roman"/>
      <w:sz w:val="20"/>
      <w:szCs w:val="20"/>
      <w:lang w:val="en-US"/>
    </w:rPr>
  </w:style>
  <w:style w:type="character" w:styleId="slostrany">
    <w:name w:val="page number"/>
    <w:uiPriority w:val="99"/>
    <w:rsid w:val="00805BA2"/>
    <w:rPr>
      <w:rFonts w:cs="Times New Roman"/>
    </w:rPr>
  </w:style>
  <w:style w:type="paragraph" w:styleId="truktradokumentu">
    <w:name w:val="Document Map"/>
    <w:basedOn w:val="Normlny"/>
    <w:link w:val="truktradokumentuChar"/>
    <w:uiPriority w:val="99"/>
    <w:semiHidden/>
    <w:rsid w:val="00805BA2"/>
    <w:pPr>
      <w:shd w:val="clear" w:color="auto" w:fill="000080"/>
    </w:pPr>
    <w:rPr>
      <w:sz w:val="2"/>
      <w:lang w:val="en-US"/>
    </w:rPr>
  </w:style>
  <w:style w:type="character" w:customStyle="1" w:styleId="truktradokumentuChar">
    <w:name w:val="Štruktúra dokumentu Char"/>
    <w:basedOn w:val="Predvolenpsmoodseku"/>
    <w:link w:val="truktradokumentu"/>
    <w:uiPriority w:val="99"/>
    <w:semiHidden/>
    <w:rsid w:val="00805BA2"/>
    <w:rPr>
      <w:rFonts w:ascii="Times New Roman" w:eastAsia="Times New Roman" w:hAnsi="Times New Roman" w:cs="Times New Roman"/>
      <w:sz w:val="2"/>
      <w:szCs w:val="20"/>
      <w:shd w:val="clear" w:color="auto" w:fill="000080"/>
      <w:lang w:val="en-US"/>
    </w:rPr>
  </w:style>
  <w:style w:type="paragraph" w:styleId="Zkladntext2">
    <w:name w:val="Body Text 2"/>
    <w:basedOn w:val="Normlny"/>
    <w:link w:val="Zkladntext2Char"/>
    <w:uiPriority w:val="99"/>
    <w:rsid w:val="00805BA2"/>
    <w:pPr>
      <w:tabs>
        <w:tab w:val="left" w:pos="3402"/>
      </w:tabs>
      <w:suppressAutoHyphens/>
    </w:pPr>
    <w:rPr>
      <w:sz w:val="20"/>
      <w:lang w:val="en-US"/>
    </w:rPr>
  </w:style>
  <w:style w:type="character" w:customStyle="1" w:styleId="Zkladntext2Char">
    <w:name w:val="Základný text 2 Char"/>
    <w:basedOn w:val="Predvolenpsmoodseku"/>
    <w:link w:val="Zkladntext2"/>
    <w:uiPriority w:val="99"/>
    <w:rsid w:val="00805BA2"/>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rsid w:val="001B3C3C"/>
    <w:rPr>
      <w:sz w:val="20"/>
      <w:lang w:val="en-US"/>
    </w:rPr>
  </w:style>
  <w:style w:type="character" w:customStyle="1" w:styleId="TextbublinyChar">
    <w:name w:val="Text bubliny Char"/>
    <w:basedOn w:val="Predvolenpsmoodseku"/>
    <w:link w:val="Textbubliny"/>
    <w:uiPriority w:val="99"/>
    <w:semiHidden/>
    <w:rsid w:val="001B3C3C"/>
    <w:rPr>
      <w:rFonts w:ascii="Times New Roman" w:eastAsia="Times New Roman" w:hAnsi="Times New Roman" w:cs="Times New Roman"/>
      <w:sz w:val="20"/>
      <w:szCs w:val="20"/>
      <w:lang w:val="en-US"/>
    </w:rPr>
  </w:style>
  <w:style w:type="character" w:styleId="Odkaznakomentr">
    <w:name w:val="annotation reference"/>
    <w:uiPriority w:val="99"/>
    <w:semiHidden/>
    <w:rsid w:val="00805BA2"/>
    <w:rPr>
      <w:rFonts w:cs="Times New Roman"/>
      <w:sz w:val="16"/>
    </w:rPr>
  </w:style>
  <w:style w:type="paragraph" w:styleId="Textkomentra">
    <w:name w:val="annotation text"/>
    <w:basedOn w:val="Normlny"/>
    <w:link w:val="TextkomentraChar"/>
    <w:uiPriority w:val="99"/>
    <w:semiHidden/>
    <w:rsid w:val="00805BA2"/>
    <w:rPr>
      <w:sz w:val="20"/>
      <w:lang w:val="en-US"/>
    </w:rPr>
  </w:style>
  <w:style w:type="character" w:customStyle="1" w:styleId="TextkomentraChar">
    <w:name w:val="Text komentára Char"/>
    <w:basedOn w:val="Predvolenpsmoodseku"/>
    <w:link w:val="Textkomentra"/>
    <w:uiPriority w:val="99"/>
    <w:semiHidden/>
    <w:rsid w:val="00805BA2"/>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rsid w:val="00805BA2"/>
    <w:rPr>
      <w:b/>
    </w:rPr>
  </w:style>
  <w:style w:type="character" w:customStyle="1" w:styleId="PredmetkomentraChar">
    <w:name w:val="Predmet komentára Char"/>
    <w:basedOn w:val="TextkomentraChar"/>
    <w:link w:val="Predmetkomentra"/>
    <w:uiPriority w:val="99"/>
    <w:semiHidden/>
    <w:rsid w:val="00805BA2"/>
    <w:rPr>
      <w:rFonts w:ascii="Times New Roman" w:eastAsia="Times New Roman" w:hAnsi="Times New Roman" w:cs="Times New Roman"/>
      <w:b/>
      <w:sz w:val="20"/>
      <w:szCs w:val="20"/>
      <w:lang w:val="en-US"/>
    </w:rPr>
  </w:style>
  <w:style w:type="paragraph" w:styleId="Revzia">
    <w:name w:val="Revision"/>
    <w:hidden/>
    <w:uiPriority w:val="99"/>
    <w:semiHidden/>
    <w:rsid w:val="00805BA2"/>
    <w:pPr>
      <w:spacing w:after="0" w:line="240" w:lineRule="auto"/>
    </w:pPr>
    <w:rPr>
      <w:rFonts w:ascii="Times New Roman" w:eastAsia="Times New Roman" w:hAnsi="Times New Roman" w:cs="Times New Roman"/>
      <w:szCs w:val="20"/>
      <w:lang w:val="cs-CZ" w:eastAsia="cs-CZ"/>
    </w:rPr>
  </w:style>
  <w:style w:type="paragraph" w:styleId="Textpoznmkypodiarou">
    <w:name w:val="footnote text"/>
    <w:basedOn w:val="Normlny"/>
    <w:link w:val="TextpoznmkypodiarouChar"/>
    <w:uiPriority w:val="99"/>
    <w:rsid w:val="00805BA2"/>
    <w:rPr>
      <w:sz w:val="20"/>
      <w:lang w:val="cs-CZ" w:eastAsia="cs-CZ"/>
    </w:rPr>
  </w:style>
  <w:style w:type="character" w:customStyle="1" w:styleId="TextpoznmkypodiarouChar">
    <w:name w:val="Text poznámky pod čiarou Char"/>
    <w:basedOn w:val="Predvolenpsmoodseku"/>
    <w:link w:val="Textpoznmkypodiarou"/>
    <w:uiPriority w:val="99"/>
    <w:rsid w:val="00805BA2"/>
    <w:rPr>
      <w:rFonts w:ascii="Times New Roman" w:eastAsia="Times New Roman" w:hAnsi="Times New Roman" w:cs="Times New Roman"/>
      <w:sz w:val="20"/>
      <w:szCs w:val="20"/>
      <w:lang w:val="cs-CZ" w:eastAsia="cs-CZ"/>
    </w:rPr>
  </w:style>
  <w:style w:type="character" w:customStyle="1" w:styleId="FootnoteCharacters">
    <w:name w:val="Footnote Characters"/>
    <w:uiPriority w:val="99"/>
    <w:rsid w:val="00805BA2"/>
  </w:style>
  <w:style w:type="character" w:styleId="Zvraznenie">
    <w:name w:val="Emphasis"/>
    <w:uiPriority w:val="99"/>
    <w:qFormat/>
    <w:rsid w:val="00805BA2"/>
    <w:rPr>
      <w:rFonts w:cs="Times New Roman"/>
      <w:i/>
    </w:rPr>
  </w:style>
  <w:style w:type="paragraph" w:customStyle="1" w:styleId="StyleHeading212ptBefore24ptAfter6pt">
    <w:name w:val="Style Heading 2 + 12 pt Before:  24 pt After:  6 pt"/>
    <w:basedOn w:val="Nadpis2"/>
    <w:uiPriority w:val="99"/>
    <w:rsid w:val="00805BA2"/>
    <w:rPr>
      <w:bCs/>
      <w:sz w:val="24"/>
    </w:rPr>
  </w:style>
  <w:style w:type="paragraph" w:customStyle="1" w:styleId="StyleBoldJustifiedAfter6pt">
    <w:name w:val="Style Bold Justified After:  6 pt"/>
    <w:basedOn w:val="Normlny"/>
    <w:uiPriority w:val="99"/>
    <w:rsid w:val="00805BA2"/>
    <w:pPr>
      <w:jc w:val="both"/>
    </w:pPr>
    <w:rPr>
      <w:b/>
      <w:bCs/>
    </w:rPr>
  </w:style>
  <w:style w:type="paragraph" w:customStyle="1" w:styleId="StyleBoldLeft0cmHanging127cmBefore18ptAfter">
    <w:name w:val="Style Bold Left:  0 cm Hanging:  127 cm Before:  18 pt After: ..."/>
    <w:basedOn w:val="Normlny"/>
    <w:uiPriority w:val="99"/>
    <w:rsid w:val="00805BA2"/>
    <w:pPr>
      <w:ind w:left="720" w:hanging="720"/>
    </w:pPr>
    <w:rPr>
      <w:b/>
      <w:bCs/>
    </w:rPr>
  </w:style>
  <w:style w:type="paragraph" w:customStyle="1" w:styleId="StyleBoldJustifiedBefore18ptAfter12pt">
    <w:name w:val="Style Bold Justified Before:  18 pt After:  12 pt"/>
    <w:basedOn w:val="Normlny"/>
    <w:uiPriority w:val="99"/>
    <w:rsid w:val="00805BA2"/>
    <w:pPr>
      <w:jc w:val="both"/>
    </w:pPr>
    <w:rPr>
      <w:b/>
      <w:bCs/>
    </w:rPr>
  </w:style>
  <w:style w:type="paragraph" w:styleId="Odsekzoznamu">
    <w:name w:val="List Paragraph"/>
    <w:basedOn w:val="Normlny"/>
    <w:uiPriority w:val="99"/>
    <w:qFormat/>
    <w:rsid w:val="00805BA2"/>
    <w:pPr>
      <w:ind w:left="720"/>
      <w:contextualSpacing/>
    </w:pPr>
  </w:style>
  <w:style w:type="paragraph" w:customStyle="1" w:styleId="Bullet1">
    <w:name w:val="Bullet 1"/>
    <w:basedOn w:val="Normlny"/>
    <w:qFormat/>
    <w:rsid w:val="00805BA2"/>
    <w:pPr>
      <w:numPr>
        <w:numId w:val="12"/>
      </w:numPr>
      <w:ind w:left="567" w:hanging="567"/>
    </w:pPr>
  </w:style>
  <w:style w:type="paragraph" w:styleId="Normlnywebov">
    <w:name w:val="Normal (Web)"/>
    <w:basedOn w:val="Normlny"/>
    <w:uiPriority w:val="99"/>
    <w:semiHidden/>
    <w:unhideWhenUsed/>
    <w:rsid w:val="00805BA2"/>
    <w:pPr>
      <w:tabs>
        <w:tab w:val="clear" w:pos="567"/>
        <w:tab w:val="clear" w:pos="1134"/>
      </w:tabs>
      <w:spacing w:before="180"/>
    </w:pPr>
    <w:rPr>
      <w:sz w:val="24"/>
      <w:szCs w:val="24"/>
      <w:lang w:eastAsia="sk-SK"/>
    </w:rPr>
  </w:style>
  <w:style w:type="character" w:styleId="Hypertextovprepojenie">
    <w:name w:val="Hyperlink"/>
    <w:uiPriority w:val="99"/>
    <w:unhideWhenUsed/>
    <w:rsid w:val="00805B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B3C3C"/>
    <w:pPr>
      <w:tabs>
        <w:tab w:val="left" w:pos="567"/>
        <w:tab w:val="left" w:pos="1134"/>
      </w:tabs>
      <w:spacing w:after="0" w:line="240" w:lineRule="auto"/>
    </w:pPr>
    <w:rPr>
      <w:rFonts w:ascii="Times New Roman" w:eastAsia="Times New Roman" w:hAnsi="Times New Roman" w:cs="Times New Roman"/>
      <w:szCs w:val="20"/>
    </w:rPr>
  </w:style>
  <w:style w:type="paragraph" w:styleId="Nadpis1">
    <w:name w:val="heading 1"/>
    <w:basedOn w:val="Normlny"/>
    <w:next w:val="Normlny"/>
    <w:link w:val="Nadpis1Char"/>
    <w:uiPriority w:val="99"/>
    <w:qFormat/>
    <w:rsid w:val="00805BA2"/>
    <w:pPr>
      <w:keepNext/>
      <w:ind w:left="567" w:hanging="567"/>
      <w:outlineLvl w:val="0"/>
    </w:pPr>
    <w:rPr>
      <w:rFonts w:ascii="Times New Roman Bold" w:hAnsi="Times New Roman Bold"/>
      <w:b/>
      <w:caps/>
      <w:kern w:val="28"/>
      <w:sz w:val="20"/>
    </w:rPr>
  </w:style>
  <w:style w:type="paragraph" w:styleId="Nadpis2">
    <w:name w:val="heading 2"/>
    <w:basedOn w:val="Normlny"/>
    <w:next w:val="Normlny"/>
    <w:link w:val="Nadpis2Char"/>
    <w:uiPriority w:val="99"/>
    <w:qFormat/>
    <w:rsid w:val="00805BA2"/>
    <w:pPr>
      <w:keepNext/>
      <w:ind w:left="567" w:hanging="567"/>
      <w:jc w:val="both"/>
      <w:outlineLvl w:val="1"/>
    </w:pPr>
    <w:rPr>
      <w:rFonts w:ascii="Times New Roman Bold" w:hAnsi="Times New Roman Bold"/>
      <w:b/>
      <w:sz w:val="20"/>
    </w:rPr>
  </w:style>
  <w:style w:type="paragraph" w:styleId="Nadpis3">
    <w:name w:val="heading 3"/>
    <w:basedOn w:val="Normlny"/>
    <w:next w:val="Normlny"/>
    <w:link w:val="Nadpis3Char"/>
    <w:qFormat/>
    <w:rsid w:val="00805BA2"/>
    <w:pPr>
      <w:keepNext/>
      <w:tabs>
        <w:tab w:val="clear" w:pos="567"/>
        <w:tab w:val="clear" w:pos="1134"/>
      </w:tabs>
      <w:spacing w:before="240" w:after="60"/>
      <w:jc w:val="both"/>
      <w:outlineLvl w:val="2"/>
    </w:pPr>
    <w:rPr>
      <w:b/>
      <w:lang w:val="cs-CZ" w:eastAsia="cs-CZ"/>
    </w:rPr>
  </w:style>
  <w:style w:type="paragraph" w:styleId="Nadpis4">
    <w:name w:val="heading 4"/>
    <w:basedOn w:val="Normlny"/>
    <w:next w:val="Normlny"/>
    <w:link w:val="Nadpis4Char"/>
    <w:uiPriority w:val="99"/>
    <w:qFormat/>
    <w:rsid w:val="00805BA2"/>
    <w:pPr>
      <w:keepNext/>
      <w:spacing w:before="120"/>
      <w:outlineLvl w:val="3"/>
    </w:pPr>
    <w:rPr>
      <w:rFonts w:ascii="Calibri" w:eastAsia="SimSun" w:hAnsi="Calibri"/>
      <w:b/>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05BA2"/>
    <w:rPr>
      <w:rFonts w:ascii="Times New Roman Bold" w:eastAsia="Times New Roman" w:hAnsi="Times New Roman Bold" w:cs="Times New Roman"/>
      <w:b/>
      <w:caps/>
      <w:kern w:val="28"/>
      <w:sz w:val="20"/>
      <w:szCs w:val="20"/>
    </w:rPr>
  </w:style>
  <w:style w:type="character" w:customStyle="1" w:styleId="Nadpis2Char">
    <w:name w:val="Nadpis 2 Char"/>
    <w:basedOn w:val="Predvolenpsmoodseku"/>
    <w:link w:val="Nadpis2"/>
    <w:uiPriority w:val="99"/>
    <w:rsid w:val="00805BA2"/>
    <w:rPr>
      <w:rFonts w:ascii="Times New Roman Bold" w:eastAsia="Times New Roman" w:hAnsi="Times New Roman Bold" w:cs="Times New Roman"/>
      <w:b/>
      <w:sz w:val="20"/>
      <w:szCs w:val="20"/>
    </w:rPr>
  </w:style>
  <w:style w:type="character" w:customStyle="1" w:styleId="Nadpis3Char">
    <w:name w:val="Nadpis 3 Char"/>
    <w:basedOn w:val="Predvolenpsmoodseku"/>
    <w:link w:val="Nadpis3"/>
    <w:rsid w:val="00805BA2"/>
    <w:rPr>
      <w:rFonts w:ascii="Times New Roman" w:eastAsia="Times New Roman" w:hAnsi="Times New Roman" w:cs="Times New Roman"/>
      <w:b/>
      <w:szCs w:val="20"/>
      <w:lang w:val="cs-CZ" w:eastAsia="cs-CZ"/>
    </w:rPr>
  </w:style>
  <w:style w:type="character" w:customStyle="1" w:styleId="Nadpis4Char">
    <w:name w:val="Nadpis 4 Char"/>
    <w:basedOn w:val="Predvolenpsmoodseku"/>
    <w:link w:val="Nadpis4"/>
    <w:uiPriority w:val="99"/>
    <w:rsid w:val="00805BA2"/>
    <w:rPr>
      <w:rFonts w:ascii="Calibri" w:eastAsia="SimSun" w:hAnsi="Calibri" w:cs="Times New Roman"/>
      <w:b/>
      <w:sz w:val="28"/>
      <w:szCs w:val="20"/>
      <w:lang w:val="en-US"/>
    </w:rPr>
  </w:style>
  <w:style w:type="paragraph" w:styleId="Pta">
    <w:name w:val="footer"/>
    <w:basedOn w:val="Normlny"/>
    <w:link w:val="PtaChar"/>
    <w:uiPriority w:val="99"/>
    <w:rsid w:val="00805BA2"/>
    <w:pPr>
      <w:tabs>
        <w:tab w:val="center" w:pos="4536"/>
        <w:tab w:val="right" w:pos="9072"/>
      </w:tabs>
      <w:spacing w:before="120"/>
      <w:jc w:val="both"/>
    </w:pPr>
    <w:rPr>
      <w:sz w:val="20"/>
      <w:lang w:val="en-US"/>
    </w:rPr>
  </w:style>
  <w:style w:type="character" w:customStyle="1" w:styleId="PtaChar">
    <w:name w:val="Päta Char"/>
    <w:basedOn w:val="Predvolenpsmoodseku"/>
    <w:link w:val="Pta"/>
    <w:uiPriority w:val="99"/>
    <w:rsid w:val="00805BA2"/>
    <w:rPr>
      <w:rFonts w:ascii="Times New Roman" w:eastAsia="Times New Roman" w:hAnsi="Times New Roman" w:cs="Times New Roman"/>
      <w:sz w:val="20"/>
      <w:szCs w:val="20"/>
      <w:lang w:val="en-US"/>
    </w:rPr>
  </w:style>
  <w:style w:type="paragraph" w:customStyle="1" w:styleId="Bezmezer1">
    <w:name w:val="Bez mezer1"/>
    <w:basedOn w:val="Normlny"/>
    <w:uiPriority w:val="99"/>
    <w:rsid w:val="00805BA2"/>
    <w:rPr>
      <w:sz w:val="24"/>
    </w:rPr>
  </w:style>
  <w:style w:type="paragraph" w:styleId="Zarkazkladnhotextu">
    <w:name w:val="Body Text Indent"/>
    <w:basedOn w:val="Normlny"/>
    <w:link w:val="ZarkazkladnhotextuChar"/>
    <w:uiPriority w:val="99"/>
    <w:rsid w:val="00805BA2"/>
    <w:pPr>
      <w:spacing w:before="120"/>
      <w:ind w:left="1418" w:hanging="1418"/>
      <w:jc w:val="both"/>
    </w:pPr>
    <w:rPr>
      <w:sz w:val="20"/>
      <w:lang w:val="en-US"/>
    </w:rPr>
  </w:style>
  <w:style w:type="character" w:customStyle="1" w:styleId="ZarkazkladnhotextuChar">
    <w:name w:val="Zarážka základného textu Char"/>
    <w:basedOn w:val="Predvolenpsmoodseku"/>
    <w:link w:val="Zarkazkladnhotextu"/>
    <w:uiPriority w:val="99"/>
    <w:rsid w:val="00805BA2"/>
    <w:rPr>
      <w:rFonts w:ascii="Times New Roman" w:eastAsia="Times New Roman" w:hAnsi="Times New Roman" w:cs="Times New Roman"/>
      <w:sz w:val="20"/>
      <w:szCs w:val="20"/>
      <w:lang w:val="en-US"/>
    </w:rPr>
  </w:style>
  <w:style w:type="paragraph" w:styleId="Zkladntext">
    <w:name w:val="Body Text"/>
    <w:basedOn w:val="Normlny"/>
    <w:link w:val="ZkladntextChar"/>
    <w:rsid w:val="00805BA2"/>
    <w:pPr>
      <w:jc w:val="both"/>
    </w:pPr>
    <w:rPr>
      <w:sz w:val="20"/>
      <w:lang w:val="en-US"/>
    </w:rPr>
  </w:style>
  <w:style w:type="character" w:customStyle="1" w:styleId="ZkladntextChar">
    <w:name w:val="Základný text Char"/>
    <w:basedOn w:val="Predvolenpsmoodseku"/>
    <w:link w:val="Zkladntext"/>
    <w:rsid w:val="00805BA2"/>
    <w:rPr>
      <w:rFonts w:ascii="Times New Roman" w:eastAsia="Times New Roman" w:hAnsi="Times New Roman" w:cs="Times New Roman"/>
      <w:sz w:val="20"/>
      <w:szCs w:val="20"/>
      <w:lang w:val="en-US"/>
    </w:rPr>
  </w:style>
  <w:style w:type="paragraph" w:styleId="Hlavika">
    <w:name w:val="header"/>
    <w:basedOn w:val="Normlny"/>
    <w:link w:val="HlavikaChar"/>
    <w:rsid w:val="00805BA2"/>
    <w:pPr>
      <w:tabs>
        <w:tab w:val="center" w:pos="4536"/>
        <w:tab w:val="right" w:pos="9072"/>
      </w:tabs>
    </w:pPr>
    <w:rPr>
      <w:sz w:val="20"/>
      <w:lang w:val="en-US"/>
    </w:rPr>
  </w:style>
  <w:style w:type="character" w:customStyle="1" w:styleId="HlavikaChar">
    <w:name w:val="Hlavička Char"/>
    <w:basedOn w:val="Predvolenpsmoodseku"/>
    <w:link w:val="Hlavika"/>
    <w:rsid w:val="00805BA2"/>
    <w:rPr>
      <w:rFonts w:ascii="Times New Roman" w:eastAsia="Times New Roman" w:hAnsi="Times New Roman" w:cs="Times New Roman"/>
      <w:sz w:val="20"/>
      <w:szCs w:val="20"/>
      <w:lang w:val="en-US"/>
    </w:rPr>
  </w:style>
  <w:style w:type="character" w:styleId="slostrany">
    <w:name w:val="page number"/>
    <w:uiPriority w:val="99"/>
    <w:rsid w:val="00805BA2"/>
    <w:rPr>
      <w:rFonts w:cs="Times New Roman"/>
    </w:rPr>
  </w:style>
  <w:style w:type="paragraph" w:styleId="truktradokumentu">
    <w:name w:val="Document Map"/>
    <w:basedOn w:val="Normlny"/>
    <w:link w:val="truktradokumentuChar"/>
    <w:uiPriority w:val="99"/>
    <w:semiHidden/>
    <w:rsid w:val="00805BA2"/>
    <w:pPr>
      <w:shd w:val="clear" w:color="auto" w:fill="000080"/>
    </w:pPr>
    <w:rPr>
      <w:sz w:val="2"/>
      <w:lang w:val="en-US"/>
    </w:rPr>
  </w:style>
  <w:style w:type="character" w:customStyle="1" w:styleId="truktradokumentuChar">
    <w:name w:val="Štruktúra dokumentu Char"/>
    <w:basedOn w:val="Predvolenpsmoodseku"/>
    <w:link w:val="truktradokumentu"/>
    <w:uiPriority w:val="99"/>
    <w:semiHidden/>
    <w:rsid w:val="00805BA2"/>
    <w:rPr>
      <w:rFonts w:ascii="Times New Roman" w:eastAsia="Times New Roman" w:hAnsi="Times New Roman" w:cs="Times New Roman"/>
      <w:sz w:val="2"/>
      <w:szCs w:val="20"/>
      <w:shd w:val="clear" w:color="auto" w:fill="000080"/>
      <w:lang w:val="en-US"/>
    </w:rPr>
  </w:style>
  <w:style w:type="paragraph" w:styleId="Zkladntext2">
    <w:name w:val="Body Text 2"/>
    <w:basedOn w:val="Normlny"/>
    <w:link w:val="Zkladntext2Char"/>
    <w:uiPriority w:val="99"/>
    <w:rsid w:val="00805BA2"/>
    <w:pPr>
      <w:tabs>
        <w:tab w:val="left" w:pos="3402"/>
      </w:tabs>
      <w:suppressAutoHyphens/>
    </w:pPr>
    <w:rPr>
      <w:sz w:val="20"/>
      <w:lang w:val="en-US"/>
    </w:rPr>
  </w:style>
  <w:style w:type="character" w:customStyle="1" w:styleId="Zkladntext2Char">
    <w:name w:val="Základný text 2 Char"/>
    <w:basedOn w:val="Predvolenpsmoodseku"/>
    <w:link w:val="Zkladntext2"/>
    <w:uiPriority w:val="99"/>
    <w:rsid w:val="00805BA2"/>
    <w:rPr>
      <w:rFonts w:ascii="Times New Roman" w:eastAsia="Times New Roman" w:hAnsi="Times New Roman" w:cs="Times New Roman"/>
      <w:sz w:val="20"/>
      <w:szCs w:val="20"/>
      <w:lang w:val="en-US"/>
    </w:rPr>
  </w:style>
  <w:style w:type="paragraph" w:styleId="Textbubliny">
    <w:name w:val="Balloon Text"/>
    <w:basedOn w:val="Normlny"/>
    <w:link w:val="TextbublinyChar"/>
    <w:uiPriority w:val="99"/>
    <w:semiHidden/>
    <w:rsid w:val="001B3C3C"/>
    <w:rPr>
      <w:sz w:val="20"/>
      <w:lang w:val="en-US"/>
    </w:rPr>
  </w:style>
  <w:style w:type="character" w:customStyle="1" w:styleId="TextbublinyChar">
    <w:name w:val="Text bubliny Char"/>
    <w:basedOn w:val="Predvolenpsmoodseku"/>
    <w:link w:val="Textbubliny"/>
    <w:uiPriority w:val="99"/>
    <w:semiHidden/>
    <w:rsid w:val="001B3C3C"/>
    <w:rPr>
      <w:rFonts w:ascii="Times New Roman" w:eastAsia="Times New Roman" w:hAnsi="Times New Roman" w:cs="Times New Roman"/>
      <w:sz w:val="20"/>
      <w:szCs w:val="20"/>
      <w:lang w:val="en-US"/>
    </w:rPr>
  </w:style>
  <w:style w:type="character" w:styleId="Odkaznakomentr">
    <w:name w:val="annotation reference"/>
    <w:uiPriority w:val="99"/>
    <w:semiHidden/>
    <w:rsid w:val="00805BA2"/>
    <w:rPr>
      <w:rFonts w:cs="Times New Roman"/>
      <w:sz w:val="16"/>
    </w:rPr>
  </w:style>
  <w:style w:type="paragraph" w:styleId="Textkomentra">
    <w:name w:val="annotation text"/>
    <w:basedOn w:val="Normlny"/>
    <w:link w:val="TextkomentraChar"/>
    <w:uiPriority w:val="99"/>
    <w:semiHidden/>
    <w:rsid w:val="00805BA2"/>
    <w:rPr>
      <w:sz w:val="20"/>
      <w:lang w:val="en-US"/>
    </w:rPr>
  </w:style>
  <w:style w:type="character" w:customStyle="1" w:styleId="TextkomentraChar">
    <w:name w:val="Text komentára Char"/>
    <w:basedOn w:val="Predvolenpsmoodseku"/>
    <w:link w:val="Textkomentra"/>
    <w:uiPriority w:val="99"/>
    <w:semiHidden/>
    <w:rsid w:val="00805BA2"/>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rsid w:val="00805BA2"/>
    <w:rPr>
      <w:b/>
    </w:rPr>
  </w:style>
  <w:style w:type="character" w:customStyle="1" w:styleId="PredmetkomentraChar">
    <w:name w:val="Predmet komentára Char"/>
    <w:basedOn w:val="TextkomentraChar"/>
    <w:link w:val="Predmetkomentra"/>
    <w:uiPriority w:val="99"/>
    <w:semiHidden/>
    <w:rsid w:val="00805BA2"/>
    <w:rPr>
      <w:rFonts w:ascii="Times New Roman" w:eastAsia="Times New Roman" w:hAnsi="Times New Roman" w:cs="Times New Roman"/>
      <w:b/>
      <w:sz w:val="20"/>
      <w:szCs w:val="20"/>
      <w:lang w:val="en-US"/>
    </w:rPr>
  </w:style>
  <w:style w:type="paragraph" w:styleId="Revzia">
    <w:name w:val="Revision"/>
    <w:hidden/>
    <w:uiPriority w:val="99"/>
    <w:semiHidden/>
    <w:rsid w:val="00805BA2"/>
    <w:pPr>
      <w:spacing w:after="0" w:line="240" w:lineRule="auto"/>
    </w:pPr>
    <w:rPr>
      <w:rFonts w:ascii="Times New Roman" w:eastAsia="Times New Roman" w:hAnsi="Times New Roman" w:cs="Times New Roman"/>
      <w:szCs w:val="20"/>
      <w:lang w:val="cs-CZ" w:eastAsia="cs-CZ"/>
    </w:rPr>
  </w:style>
  <w:style w:type="paragraph" w:styleId="Textpoznmkypodiarou">
    <w:name w:val="footnote text"/>
    <w:basedOn w:val="Normlny"/>
    <w:link w:val="TextpoznmkypodiarouChar"/>
    <w:uiPriority w:val="99"/>
    <w:rsid w:val="00805BA2"/>
    <w:rPr>
      <w:sz w:val="20"/>
      <w:lang w:val="cs-CZ" w:eastAsia="cs-CZ"/>
    </w:rPr>
  </w:style>
  <w:style w:type="character" w:customStyle="1" w:styleId="TextpoznmkypodiarouChar">
    <w:name w:val="Text poznámky pod čiarou Char"/>
    <w:basedOn w:val="Predvolenpsmoodseku"/>
    <w:link w:val="Textpoznmkypodiarou"/>
    <w:uiPriority w:val="99"/>
    <w:rsid w:val="00805BA2"/>
    <w:rPr>
      <w:rFonts w:ascii="Times New Roman" w:eastAsia="Times New Roman" w:hAnsi="Times New Roman" w:cs="Times New Roman"/>
      <w:sz w:val="20"/>
      <w:szCs w:val="20"/>
      <w:lang w:val="cs-CZ" w:eastAsia="cs-CZ"/>
    </w:rPr>
  </w:style>
  <w:style w:type="character" w:customStyle="1" w:styleId="FootnoteCharacters">
    <w:name w:val="Footnote Characters"/>
    <w:uiPriority w:val="99"/>
    <w:rsid w:val="00805BA2"/>
  </w:style>
  <w:style w:type="character" w:styleId="Zvraznenie">
    <w:name w:val="Emphasis"/>
    <w:uiPriority w:val="99"/>
    <w:qFormat/>
    <w:rsid w:val="00805BA2"/>
    <w:rPr>
      <w:rFonts w:cs="Times New Roman"/>
      <w:i/>
    </w:rPr>
  </w:style>
  <w:style w:type="paragraph" w:customStyle="1" w:styleId="StyleHeading212ptBefore24ptAfter6pt">
    <w:name w:val="Style Heading 2 + 12 pt Before:  24 pt After:  6 pt"/>
    <w:basedOn w:val="Nadpis2"/>
    <w:uiPriority w:val="99"/>
    <w:rsid w:val="00805BA2"/>
    <w:rPr>
      <w:bCs/>
      <w:sz w:val="24"/>
    </w:rPr>
  </w:style>
  <w:style w:type="paragraph" w:customStyle="1" w:styleId="StyleBoldJustifiedAfter6pt">
    <w:name w:val="Style Bold Justified After:  6 pt"/>
    <w:basedOn w:val="Normlny"/>
    <w:uiPriority w:val="99"/>
    <w:rsid w:val="00805BA2"/>
    <w:pPr>
      <w:jc w:val="both"/>
    </w:pPr>
    <w:rPr>
      <w:b/>
      <w:bCs/>
    </w:rPr>
  </w:style>
  <w:style w:type="paragraph" w:customStyle="1" w:styleId="StyleBoldLeft0cmHanging127cmBefore18ptAfter">
    <w:name w:val="Style Bold Left:  0 cm Hanging:  127 cm Before:  18 pt After: ..."/>
    <w:basedOn w:val="Normlny"/>
    <w:uiPriority w:val="99"/>
    <w:rsid w:val="00805BA2"/>
    <w:pPr>
      <w:ind w:left="720" w:hanging="720"/>
    </w:pPr>
    <w:rPr>
      <w:b/>
      <w:bCs/>
    </w:rPr>
  </w:style>
  <w:style w:type="paragraph" w:customStyle="1" w:styleId="StyleBoldJustifiedBefore18ptAfter12pt">
    <w:name w:val="Style Bold Justified Before:  18 pt After:  12 pt"/>
    <w:basedOn w:val="Normlny"/>
    <w:uiPriority w:val="99"/>
    <w:rsid w:val="00805BA2"/>
    <w:pPr>
      <w:jc w:val="both"/>
    </w:pPr>
    <w:rPr>
      <w:b/>
      <w:bCs/>
    </w:rPr>
  </w:style>
  <w:style w:type="paragraph" w:styleId="Odsekzoznamu">
    <w:name w:val="List Paragraph"/>
    <w:basedOn w:val="Normlny"/>
    <w:uiPriority w:val="99"/>
    <w:qFormat/>
    <w:rsid w:val="00805BA2"/>
    <w:pPr>
      <w:ind w:left="720"/>
      <w:contextualSpacing/>
    </w:pPr>
  </w:style>
  <w:style w:type="paragraph" w:customStyle="1" w:styleId="Bullet1">
    <w:name w:val="Bullet 1"/>
    <w:basedOn w:val="Normlny"/>
    <w:qFormat/>
    <w:rsid w:val="00805BA2"/>
    <w:pPr>
      <w:numPr>
        <w:numId w:val="12"/>
      </w:numPr>
      <w:ind w:left="567" w:hanging="567"/>
    </w:pPr>
  </w:style>
  <w:style w:type="paragraph" w:styleId="Normlnywebov">
    <w:name w:val="Normal (Web)"/>
    <w:basedOn w:val="Normlny"/>
    <w:uiPriority w:val="99"/>
    <w:semiHidden/>
    <w:unhideWhenUsed/>
    <w:rsid w:val="00805BA2"/>
    <w:pPr>
      <w:tabs>
        <w:tab w:val="clear" w:pos="567"/>
        <w:tab w:val="clear" w:pos="1134"/>
      </w:tabs>
      <w:spacing w:before="180"/>
    </w:pPr>
    <w:rPr>
      <w:sz w:val="24"/>
      <w:szCs w:val="24"/>
      <w:lang w:eastAsia="sk-SK"/>
    </w:rPr>
  </w:style>
  <w:style w:type="character" w:styleId="Hypertextovprepojenie">
    <w:name w:val="Hyperlink"/>
    <w:uiPriority w:val="99"/>
    <w:unhideWhenUsed/>
    <w:rsid w:val="00805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1708">
      <w:bodyDiv w:val="1"/>
      <w:marLeft w:val="0"/>
      <w:marRight w:val="0"/>
      <w:marTop w:val="0"/>
      <w:marBottom w:val="0"/>
      <w:divBdr>
        <w:top w:val="none" w:sz="0" w:space="0" w:color="auto"/>
        <w:left w:val="none" w:sz="0" w:space="0" w:color="auto"/>
        <w:bottom w:val="none" w:sz="0" w:space="0" w:color="auto"/>
        <w:right w:val="none" w:sz="0" w:space="0" w:color="auto"/>
      </w:divBdr>
    </w:div>
    <w:div w:id="10520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3A65-BE29-4C4C-B6AC-7F84FB9F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4816</Words>
  <Characters>27452</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Papanova</dc:creator>
  <cp:lastModifiedBy>Malychová, Daniela</cp:lastModifiedBy>
  <cp:revision>2</cp:revision>
  <cp:lastPrinted>2017-02-24T08:48:00Z</cp:lastPrinted>
  <dcterms:created xsi:type="dcterms:W3CDTF">2017-02-24T08:51:00Z</dcterms:created>
  <dcterms:modified xsi:type="dcterms:W3CDTF">2017-02-24T08:51:00Z</dcterms:modified>
</cp:coreProperties>
</file>