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1C" w:rsidRPr="00C23474" w:rsidRDefault="005C115A" w:rsidP="0055371C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  <w:r w:rsidRPr="00C23474">
        <w:rPr>
          <w:b/>
          <w:szCs w:val="22"/>
          <w:lang w:val="sk-SK"/>
        </w:rPr>
        <w:t>SÚHRN CHARAKTERISTICKÝCH VLASTNOSTÍ LIEKU</w:t>
      </w:r>
    </w:p>
    <w:p w:rsidR="0055371C" w:rsidRPr="00C23474" w:rsidRDefault="0055371C" w:rsidP="0055371C">
      <w:pPr>
        <w:tabs>
          <w:tab w:val="left" w:pos="-1440"/>
          <w:tab w:val="left" w:pos="-720"/>
        </w:tabs>
        <w:spacing w:line="240" w:lineRule="auto"/>
        <w:jc w:val="center"/>
        <w:rPr>
          <w:szCs w:val="22"/>
          <w:lang w:val="sk-SK"/>
        </w:rPr>
      </w:pPr>
    </w:p>
    <w:p w:rsidR="0055371C" w:rsidRPr="00C23474" w:rsidRDefault="0055371C" w:rsidP="0055371C">
      <w:pPr>
        <w:widowControl w:val="0"/>
        <w:spacing w:line="240" w:lineRule="auto"/>
        <w:rPr>
          <w:szCs w:val="22"/>
          <w:lang w:val="sk-SK"/>
        </w:rPr>
      </w:pPr>
    </w:p>
    <w:p w:rsidR="0055371C" w:rsidRPr="00C23474" w:rsidRDefault="0055371C" w:rsidP="0055371C">
      <w:pPr>
        <w:widowControl w:val="0"/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widowControl w:val="0"/>
        <w:spacing w:line="240" w:lineRule="auto"/>
        <w:rPr>
          <w:szCs w:val="22"/>
          <w:lang w:val="sk-SK"/>
        </w:rPr>
      </w:pPr>
      <w:r w:rsidRPr="00C23474">
        <w:rPr>
          <w:b/>
          <w:szCs w:val="22"/>
          <w:lang w:val="sk-SK"/>
        </w:rPr>
        <w:t>1.</w:t>
      </w:r>
      <w:r w:rsidRPr="00C23474">
        <w:rPr>
          <w:b/>
          <w:szCs w:val="22"/>
          <w:lang w:val="sk-SK"/>
        </w:rPr>
        <w:tab/>
        <w:t>NÁZOV LIEKU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widowControl w:val="0"/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="00B11AA5">
        <w:rPr>
          <w:szCs w:val="22"/>
          <w:lang w:val="sk-SK"/>
        </w:rPr>
        <w:t>Xantis</w:t>
      </w:r>
      <w:proofErr w:type="spellEnd"/>
      <w:r w:rsidR="00B11AA5" w:rsidRPr="00C23474">
        <w:rPr>
          <w:szCs w:val="22"/>
          <w:lang w:val="sk-SK"/>
        </w:rPr>
        <w:t xml:space="preserve"> </w:t>
      </w:r>
      <w:r w:rsidRPr="00C23474">
        <w:rPr>
          <w:szCs w:val="22"/>
          <w:lang w:val="sk-SK"/>
        </w:rPr>
        <w:t>10 mg</w:t>
      </w:r>
    </w:p>
    <w:p w:rsidR="0055371C" w:rsidRPr="00C23474" w:rsidRDefault="005C115A" w:rsidP="0055371C">
      <w:pPr>
        <w:widowControl w:val="0"/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filmom obalené tablety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widowControl w:val="0"/>
        <w:spacing w:line="240" w:lineRule="auto"/>
        <w:rPr>
          <w:szCs w:val="22"/>
          <w:lang w:val="sk-SK"/>
        </w:rPr>
      </w:pPr>
      <w:r w:rsidRPr="00C23474">
        <w:rPr>
          <w:b/>
          <w:szCs w:val="22"/>
          <w:lang w:val="sk-SK"/>
        </w:rPr>
        <w:t>2.</w:t>
      </w:r>
      <w:r w:rsidRPr="00C23474">
        <w:rPr>
          <w:b/>
          <w:szCs w:val="22"/>
          <w:lang w:val="sk-SK"/>
        </w:rPr>
        <w:tab/>
        <w:t>KVALITATÍVNE A KVANTITATÍVNE ZLOŽENIE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widowControl w:val="0"/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Každá tableta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="00B11AA5">
        <w:rPr>
          <w:szCs w:val="22"/>
          <w:lang w:val="sk-SK"/>
        </w:rPr>
        <w:t>Xantis</w:t>
      </w:r>
      <w:proofErr w:type="spellEnd"/>
      <w:r w:rsidR="00B11AA5" w:rsidRPr="00C23474">
        <w:rPr>
          <w:szCs w:val="22"/>
          <w:lang w:val="sk-SK"/>
        </w:rPr>
        <w:t xml:space="preserve"> </w:t>
      </w:r>
      <w:r w:rsidRPr="00C23474">
        <w:rPr>
          <w:szCs w:val="22"/>
          <w:lang w:val="sk-SK"/>
        </w:rPr>
        <w:t xml:space="preserve">obsahuje 10 mg </w:t>
      </w:r>
      <w:proofErr w:type="spellStart"/>
      <w:r w:rsidRPr="00C23474">
        <w:rPr>
          <w:szCs w:val="22"/>
          <w:lang w:val="sk-SK"/>
        </w:rPr>
        <w:t>zolpidémiumtartrátu</w:t>
      </w:r>
      <w:proofErr w:type="spellEnd"/>
      <w:r w:rsidRPr="00C23474">
        <w:rPr>
          <w:szCs w:val="22"/>
          <w:lang w:val="sk-SK"/>
        </w:rPr>
        <w:t>.</w:t>
      </w:r>
    </w:p>
    <w:p w:rsidR="0055371C" w:rsidRPr="00C23474" w:rsidRDefault="0055371C" w:rsidP="0055371C">
      <w:pPr>
        <w:widowControl w:val="0"/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pStyle w:val="EMEAEnBodyText"/>
        <w:autoSpaceDE w:val="0"/>
        <w:autoSpaceDN w:val="0"/>
        <w:adjustRightInd w:val="0"/>
        <w:spacing w:before="0" w:after="0"/>
        <w:jc w:val="left"/>
        <w:rPr>
          <w:b/>
          <w:szCs w:val="22"/>
          <w:lang w:val="sk-SK"/>
        </w:rPr>
      </w:pPr>
      <w:r w:rsidRPr="00C23474">
        <w:rPr>
          <w:szCs w:val="22"/>
          <w:u w:val="single"/>
          <w:lang w:val="sk-SK"/>
        </w:rPr>
        <w:t>Pomocná látka so známym účinkom</w:t>
      </w:r>
      <w:r w:rsidRPr="00C23474">
        <w:rPr>
          <w:szCs w:val="22"/>
          <w:lang w:val="sk-SK"/>
        </w:rPr>
        <w:t>: 65 mg bezvodej laktózy</w:t>
      </w:r>
    </w:p>
    <w:p w:rsidR="0055371C" w:rsidRPr="00C23474" w:rsidRDefault="005C115A" w:rsidP="0055371C">
      <w:pPr>
        <w:spacing w:line="240" w:lineRule="auto"/>
        <w:outlineLvl w:val="0"/>
        <w:rPr>
          <w:szCs w:val="22"/>
          <w:lang w:val="sk-SK"/>
        </w:rPr>
      </w:pPr>
      <w:r w:rsidRPr="00C23474">
        <w:rPr>
          <w:szCs w:val="22"/>
          <w:lang w:val="sk-SK"/>
        </w:rPr>
        <w:t>Úplný zoznam pomocných látok, pozri časť 6.1.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rPr>
          <w:caps/>
          <w:szCs w:val="22"/>
          <w:lang w:val="sk-SK"/>
        </w:rPr>
      </w:pPr>
      <w:r w:rsidRPr="00C23474">
        <w:rPr>
          <w:b/>
          <w:szCs w:val="22"/>
          <w:lang w:val="sk-SK"/>
        </w:rPr>
        <w:t>3.</w:t>
      </w:r>
      <w:r w:rsidRPr="00C23474">
        <w:rPr>
          <w:b/>
          <w:szCs w:val="22"/>
          <w:lang w:val="sk-SK"/>
        </w:rPr>
        <w:tab/>
        <w:t>LIEKOVÁ FORMA</w:t>
      </w:r>
    </w:p>
    <w:p w:rsidR="0055371C" w:rsidRPr="00C23474" w:rsidRDefault="0055371C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736C0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filmom obalená tableta</w:t>
      </w:r>
    </w:p>
    <w:p w:rsidR="003736C0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Biele až takmer biele, podlhovasté filmom obalené tablety s deliacou ryhou a priemerom 9 mm. </w:t>
      </w:r>
    </w:p>
    <w:p w:rsidR="0055371C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Tableta sa môže rozdeliť na rovnaké dávky.</w:t>
      </w:r>
    </w:p>
    <w:p w:rsidR="0055371C" w:rsidRPr="00C23474" w:rsidRDefault="0055371C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rPr>
          <w:caps/>
          <w:szCs w:val="22"/>
          <w:lang w:val="sk-SK"/>
        </w:rPr>
      </w:pPr>
      <w:r w:rsidRPr="00C23474">
        <w:rPr>
          <w:b/>
          <w:caps/>
          <w:szCs w:val="22"/>
          <w:lang w:val="sk-SK"/>
        </w:rPr>
        <w:t>4.</w:t>
      </w:r>
      <w:r w:rsidRPr="00C23474">
        <w:rPr>
          <w:b/>
          <w:caps/>
          <w:szCs w:val="22"/>
          <w:lang w:val="sk-SK"/>
        </w:rPr>
        <w:tab/>
      </w:r>
      <w:r w:rsidRPr="00C23474">
        <w:rPr>
          <w:b/>
          <w:szCs w:val="22"/>
          <w:lang w:val="sk-SK"/>
        </w:rPr>
        <w:t>KLINICKÉ ÚDAJE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23474">
        <w:rPr>
          <w:b/>
          <w:szCs w:val="22"/>
          <w:lang w:val="sk-SK"/>
        </w:rPr>
        <w:t>4.1</w:t>
      </w:r>
      <w:r w:rsidRPr="00C23474">
        <w:rPr>
          <w:b/>
          <w:szCs w:val="22"/>
          <w:lang w:val="sk-SK"/>
        </w:rPr>
        <w:tab/>
        <w:t>Terapeutické indikácie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rPr>
          <w:i/>
          <w:color w:val="000000"/>
          <w:szCs w:val="22"/>
          <w:lang w:val="sk-SK"/>
        </w:rPr>
      </w:pPr>
      <w:proofErr w:type="spellStart"/>
      <w:r w:rsidRPr="00C23474">
        <w:rPr>
          <w:color w:val="000000"/>
          <w:szCs w:val="22"/>
          <w:lang w:val="sk-SK"/>
        </w:rPr>
        <w:t>Zolpidem</w:t>
      </w:r>
      <w:proofErr w:type="spellEnd"/>
      <w:r w:rsidRPr="00C23474">
        <w:rPr>
          <w:color w:val="000000"/>
          <w:szCs w:val="22"/>
          <w:lang w:val="sk-SK"/>
        </w:rPr>
        <w:t xml:space="preserve"> </w:t>
      </w:r>
      <w:proofErr w:type="spellStart"/>
      <w:r w:rsidR="00B11AA5">
        <w:rPr>
          <w:szCs w:val="22"/>
          <w:lang w:val="sk-SK"/>
        </w:rPr>
        <w:t>Xantis</w:t>
      </w:r>
      <w:proofErr w:type="spellEnd"/>
      <w:r w:rsidR="00B11AA5" w:rsidRPr="00C23474">
        <w:rPr>
          <w:szCs w:val="22"/>
          <w:lang w:val="sk-SK"/>
        </w:rPr>
        <w:t xml:space="preserve"> </w:t>
      </w:r>
      <w:r w:rsidRPr="00C23474">
        <w:rPr>
          <w:color w:val="000000"/>
          <w:szCs w:val="22"/>
          <w:lang w:val="sk-SK"/>
        </w:rPr>
        <w:t xml:space="preserve">10 mg je indikovaný </w:t>
      </w:r>
      <w:r w:rsidRPr="00C23474">
        <w:rPr>
          <w:color w:val="000000"/>
          <w:szCs w:val="22"/>
          <w:u w:val="single"/>
          <w:lang w:val="sk-SK"/>
        </w:rPr>
        <w:t>dospelým</w:t>
      </w:r>
      <w:r w:rsidRPr="00C23474">
        <w:rPr>
          <w:color w:val="000000"/>
          <w:szCs w:val="22"/>
          <w:lang w:val="sk-SK"/>
        </w:rPr>
        <w:t xml:space="preserve"> na krátkodobú liečbu nespavosti v situáciách, kedy nespavosť spôsobuje únavu alebo ťažkú vyčerpanosť pacienta.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outlineLvl w:val="0"/>
        <w:rPr>
          <w:b/>
          <w:szCs w:val="22"/>
          <w:lang w:val="sk-SK"/>
        </w:rPr>
      </w:pPr>
      <w:r w:rsidRPr="00C23474">
        <w:rPr>
          <w:b/>
          <w:szCs w:val="22"/>
          <w:lang w:val="sk-SK"/>
        </w:rPr>
        <w:t>4.2</w:t>
      </w:r>
      <w:r w:rsidRPr="00C23474">
        <w:rPr>
          <w:b/>
          <w:szCs w:val="22"/>
          <w:lang w:val="sk-SK"/>
        </w:rPr>
        <w:tab/>
        <w:t>Dávkovanie a spôsob podávania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0C13DE" w:rsidRPr="00E86C03" w:rsidRDefault="005C115A" w:rsidP="000C13DE">
      <w:pPr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="00B11AA5">
        <w:rPr>
          <w:szCs w:val="22"/>
          <w:lang w:val="sk-SK"/>
        </w:rPr>
        <w:t>Xantis</w:t>
      </w:r>
      <w:proofErr w:type="spellEnd"/>
      <w:r w:rsidR="00B11AA5" w:rsidRPr="00C23474">
        <w:rPr>
          <w:szCs w:val="22"/>
          <w:lang w:val="sk-SK"/>
        </w:rPr>
        <w:t xml:space="preserve"> </w:t>
      </w:r>
      <w:r w:rsidRPr="00C23474">
        <w:rPr>
          <w:szCs w:val="22"/>
          <w:lang w:val="sk-SK"/>
        </w:rPr>
        <w:t xml:space="preserve">10 mg účinkuje rýchlo, a preto sa má užívať bezprostredne pred </w:t>
      </w:r>
      <w:r w:rsidR="000C13DE" w:rsidRPr="00E86C03">
        <w:rPr>
          <w:szCs w:val="22"/>
          <w:lang w:val="sk-SK"/>
        </w:rPr>
        <w:t xml:space="preserve">uložením sa do postele alebo až v posteli. </w:t>
      </w:r>
    </w:p>
    <w:p w:rsidR="00F67543" w:rsidRPr="00C23474" w:rsidRDefault="00F67543" w:rsidP="0055371C">
      <w:pPr>
        <w:spacing w:line="240" w:lineRule="auto"/>
        <w:rPr>
          <w:szCs w:val="22"/>
          <w:lang w:val="sk-SK"/>
        </w:rPr>
      </w:pPr>
    </w:p>
    <w:p w:rsidR="00F67543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Liek sa má užiť jednorázovo a nemá sa znovu užívať počas tej istej noci. </w:t>
      </w:r>
    </w:p>
    <w:p w:rsidR="00F67543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Odporúčaná denná dávka pre dospelých je 10 mg užitých tesne pred spaním. Má sa užiť najnižšia účinná dávka, avšak nesmie sa prekročiť dávka 10 mg. </w:t>
      </w:r>
    </w:p>
    <w:p w:rsidR="00EC6C3A" w:rsidRPr="00C23474" w:rsidRDefault="00EC6C3A" w:rsidP="0055371C">
      <w:pPr>
        <w:spacing w:line="240" w:lineRule="auto"/>
        <w:rPr>
          <w:szCs w:val="22"/>
          <w:lang w:val="sk-SK"/>
        </w:rPr>
      </w:pPr>
    </w:p>
    <w:p w:rsidR="00EC6C3A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Liečba má byť čo najkratšia. Priemerná dĺžka liečby sa pohybuje od niekoľkých dní až po maximálne 4 týždne, vrátane znižovania dávky až po ukončenie liečby. Proces ukončovania liečby je potrebné prispôsobiť individuálnym potrebám pacienta. </w:t>
      </w:r>
    </w:p>
    <w:p w:rsidR="00337395" w:rsidRPr="00C23474" w:rsidRDefault="00337395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337395">
      <w:pPr>
        <w:spacing w:line="240" w:lineRule="auto"/>
        <w:rPr>
          <w:b/>
          <w:i/>
          <w:szCs w:val="22"/>
          <w:lang w:val="sk-SK"/>
        </w:rPr>
      </w:pPr>
      <w:r w:rsidRPr="00C23474">
        <w:rPr>
          <w:b/>
          <w:i/>
          <w:szCs w:val="22"/>
          <w:lang w:val="sk-SK"/>
        </w:rPr>
        <w:t>Osobitné skupiny pacientov</w:t>
      </w:r>
    </w:p>
    <w:p w:rsidR="0055371C" w:rsidRPr="00C23474" w:rsidRDefault="005C115A" w:rsidP="0055371C">
      <w:pPr>
        <w:spacing w:line="240" w:lineRule="auto"/>
        <w:rPr>
          <w:b/>
          <w:i/>
          <w:szCs w:val="22"/>
          <w:lang w:val="sk-SK"/>
        </w:rPr>
      </w:pPr>
      <w:r w:rsidRPr="00C23474">
        <w:rPr>
          <w:i/>
          <w:szCs w:val="22"/>
          <w:lang w:val="sk-SK"/>
        </w:rPr>
        <w:t>Pediatrická populácia</w:t>
      </w:r>
    </w:p>
    <w:p w:rsidR="0055371C" w:rsidRPr="00C23474" w:rsidRDefault="005C115A" w:rsidP="0033739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sa nemá používať u detí a dospievajúcich vo veku do 18 rokov vzhľadom na obmedzené množstvo údajov o použití v tejto vekovej skupine. V súčasnosti dostupné údaje získané z </w:t>
      </w:r>
      <w:proofErr w:type="spellStart"/>
      <w:r w:rsidRPr="00C23474">
        <w:rPr>
          <w:szCs w:val="22"/>
          <w:lang w:val="sk-SK"/>
        </w:rPr>
        <w:t>placebom</w:t>
      </w:r>
      <w:proofErr w:type="spellEnd"/>
      <w:r w:rsidRPr="00C23474">
        <w:rPr>
          <w:szCs w:val="22"/>
          <w:lang w:val="sk-SK"/>
        </w:rPr>
        <w:t xml:space="preserve"> kontrolovaných klinických štúdií sú opísané v časti 5.1.</w:t>
      </w:r>
    </w:p>
    <w:p w:rsidR="00337395" w:rsidRPr="00C23474" w:rsidRDefault="00337395" w:rsidP="0033739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337395" w:rsidRPr="00C23474" w:rsidRDefault="005C115A" w:rsidP="00337395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C23474">
        <w:rPr>
          <w:i/>
          <w:szCs w:val="22"/>
          <w:lang w:val="sk-SK"/>
        </w:rPr>
        <w:t>Starší pacienti</w:t>
      </w:r>
    </w:p>
    <w:p w:rsidR="00337395" w:rsidRPr="00C23474" w:rsidRDefault="005C115A" w:rsidP="0033739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U starších alebo zoslabnutých pacientov, ktorí môžu byť zvlášť citliví na účinky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sa odporúča dávka 5 mg. Denná dávka u týchto pacientov nemá prekročiť 5 mg.</w:t>
      </w:r>
    </w:p>
    <w:p w:rsidR="005B3974" w:rsidRPr="00C23474" w:rsidRDefault="005B3974" w:rsidP="0033739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5B3974" w:rsidRPr="00C23474" w:rsidRDefault="005C115A" w:rsidP="00337395">
      <w:pPr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C23474">
        <w:rPr>
          <w:i/>
          <w:szCs w:val="22"/>
          <w:lang w:val="sk-SK"/>
        </w:rPr>
        <w:lastRenderedPageBreak/>
        <w:t>Poškodenie funkcie pečene</w:t>
      </w:r>
    </w:p>
    <w:p w:rsidR="005B3974" w:rsidRPr="00C23474" w:rsidRDefault="005C115A" w:rsidP="0033739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U pacientov s narušenou funkciou pečene sa znižuje </w:t>
      </w:r>
      <w:proofErr w:type="spellStart"/>
      <w:r w:rsidRPr="00C23474">
        <w:rPr>
          <w:szCs w:val="22"/>
          <w:lang w:val="sk-SK"/>
        </w:rPr>
        <w:t>klírens</w:t>
      </w:r>
      <w:proofErr w:type="spellEnd"/>
      <w:r w:rsidRPr="00C23474">
        <w:rPr>
          <w:szCs w:val="22"/>
          <w:lang w:val="sk-SK"/>
        </w:rPr>
        <w:t xml:space="preserve"> a metabolizmus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>, a preto u týchto pacientov má byť úvodná dávka 5 mg a osobitnú pozornosť je potrebné venovať hlavne starším pacientom. Ak klinická odpoveď nie je postačujúca a liek je dobre znášaný, môže sa dávka zvýšiť u dospelých (</w:t>
      </w:r>
      <w:r w:rsidR="00715139">
        <w:rPr>
          <w:szCs w:val="22"/>
          <w:lang w:val="sk-SK"/>
        </w:rPr>
        <w:t>do</w:t>
      </w:r>
      <w:r w:rsidRPr="00C23474">
        <w:rPr>
          <w:szCs w:val="22"/>
          <w:lang w:val="sk-SK"/>
        </w:rPr>
        <w:t xml:space="preserve"> 65 rokov) na 10 mg. </w:t>
      </w:r>
    </w:p>
    <w:p w:rsidR="0055371C" w:rsidRPr="00C23474" w:rsidRDefault="0055371C" w:rsidP="0055371C">
      <w:pPr>
        <w:spacing w:line="240" w:lineRule="auto"/>
        <w:rPr>
          <w:szCs w:val="22"/>
          <w:u w:val="single"/>
          <w:lang w:val="sk-SK"/>
        </w:rPr>
      </w:pPr>
    </w:p>
    <w:p w:rsidR="0055371C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u w:val="single"/>
          <w:lang w:val="sk-SK"/>
        </w:rPr>
        <w:t>Spôsob podávania</w:t>
      </w:r>
    </w:p>
    <w:p w:rsidR="0055371C" w:rsidRPr="00C23474" w:rsidRDefault="005C115A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Na vnútorné použitie.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rPr>
          <w:szCs w:val="22"/>
          <w:lang w:val="sk-SK"/>
        </w:rPr>
      </w:pPr>
      <w:r w:rsidRPr="00C23474">
        <w:rPr>
          <w:b/>
          <w:szCs w:val="22"/>
          <w:lang w:val="sk-SK"/>
        </w:rPr>
        <w:t>4.3</w:t>
      </w:r>
      <w:r w:rsidRPr="00C23474">
        <w:rPr>
          <w:b/>
          <w:szCs w:val="22"/>
          <w:lang w:val="sk-SK"/>
        </w:rPr>
        <w:tab/>
        <w:t>Kontraindikácie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Precitlivenosť na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alebo na ktorúkoľvek z pomocných látok uvedených v časti 6.1. </w:t>
      </w:r>
    </w:p>
    <w:p w:rsidR="00925858" w:rsidRPr="00C23474" w:rsidRDefault="005C115A" w:rsidP="0055371C">
      <w:pPr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je kontraindikovaný u pacientov s </w:t>
      </w:r>
      <w:proofErr w:type="spellStart"/>
      <w:r w:rsidRPr="00C23474">
        <w:rPr>
          <w:szCs w:val="22"/>
          <w:lang w:val="sk-SK"/>
        </w:rPr>
        <w:t>obštruktívnym</w:t>
      </w:r>
      <w:proofErr w:type="spellEnd"/>
      <w:r w:rsidRPr="00C23474">
        <w:rPr>
          <w:szCs w:val="22"/>
          <w:lang w:val="sk-SK"/>
        </w:rPr>
        <w:t xml:space="preserve"> spánkovým </w:t>
      </w:r>
      <w:proofErr w:type="spellStart"/>
      <w:r w:rsidRPr="00C23474">
        <w:rPr>
          <w:szCs w:val="22"/>
          <w:lang w:val="sk-SK"/>
        </w:rPr>
        <w:t>apnoe</w:t>
      </w:r>
      <w:proofErr w:type="spellEnd"/>
      <w:r w:rsidRPr="00C23474">
        <w:rPr>
          <w:szCs w:val="22"/>
          <w:lang w:val="sk-SK"/>
        </w:rPr>
        <w:t xml:space="preserve">, </w:t>
      </w:r>
      <w:proofErr w:type="spellStart"/>
      <w:r w:rsidRPr="00C23474">
        <w:rPr>
          <w:szCs w:val="22"/>
          <w:lang w:val="sk-SK"/>
        </w:rPr>
        <w:t>myasténiou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Pr="00C23474">
        <w:rPr>
          <w:szCs w:val="22"/>
          <w:lang w:val="sk-SK"/>
        </w:rPr>
        <w:t>gravis</w:t>
      </w:r>
      <w:proofErr w:type="spellEnd"/>
      <w:r w:rsidRPr="00C23474">
        <w:rPr>
          <w:szCs w:val="22"/>
          <w:lang w:val="sk-SK"/>
        </w:rPr>
        <w:t xml:space="preserve">, závažnou </w:t>
      </w:r>
      <w:proofErr w:type="spellStart"/>
      <w:r w:rsidRPr="00C23474">
        <w:rPr>
          <w:szCs w:val="22"/>
          <w:lang w:val="sk-SK"/>
        </w:rPr>
        <w:t>hepatálnou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Pr="00C23474">
        <w:rPr>
          <w:szCs w:val="22"/>
          <w:lang w:val="sk-SK"/>
        </w:rPr>
        <w:t>insuficienciou</w:t>
      </w:r>
      <w:proofErr w:type="spellEnd"/>
      <w:r w:rsidRPr="00C23474">
        <w:rPr>
          <w:szCs w:val="22"/>
          <w:lang w:val="sk-SK"/>
        </w:rPr>
        <w:t>, akútnou a/alebo závažnou respiračnou depresiou.</w:t>
      </w:r>
    </w:p>
    <w:p w:rsidR="00925858" w:rsidRPr="00C23474" w:rsidRDefault="00925858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rPr>
          <w:b/>
          <w:szCs w:val="22"/>
          <w:lang w:val="sk-SK"/>
        </w:rPr>
      </w:pPr>
      <w:r w:rsidRPr="00C23474">
        <w:rPr>
          <w:b/>
          <w:szCs w:val="22"/>
          <w:lang w:val="sk-SK"/>
        </w:rPr>
        <w:t>4.4</w:t>
      </w:r>
      <w:r w:rsidRPr="00C23474">
        <w:rPr>
          <w:b/>
          <w:szCs w:val="22"/>
          <w:lang w:val="sk-SK"/>
        </w:rPr>
        <w:tab/>
        <w:t>Osobitné upozornenia a opatrenia pri používaní</w:t>
      </w:r>
    </w:p>
    <w:p w:rsidR="0055371C" w:rsidRPr="00C23474" w:rsidRDefault="0055371C" w:rsidP="0055371C">
      <w:pPr>
        <w:spacing w:line="240" w:lineRule="auto"/>
        <w:ind w:left="567" w:hanging="567"/>
        <w:rPr>
          <w:szCs w:val="22"/>
          <w:lang w:val="sk-SK"/>
        </w:rPr>
      </w:pPr>
    </w:p>
    <w:p w:rsidR="00925858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Príčina nespavosti sa má identifikovať vždy keď je to možné a sprievodné znaky sa majú vyliečiť ešte pred začatím liečby hypnotikami. Ak nespavosť pretrváva aj 7 – 14 dní od začatia liečby, môže to znamenať prítomnosť psychickej alebo fyzickej poruchy a pacient sa musí starostlivo a v pravidelných intervaloch monitorovať.</w:t>
      </w:r>
    </w:p>
    <w:p w:rsidR="00944D42" w:rsidRPr="00C23474" w:rsidRDefault="00944D42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 xml:space="preserve">Respiračná </w:t>
      </w:r>
      <w:proofErr w:type="spellStart"/>
      <w:r w:rsidRPr="00C23474">
        <w:rPr>
          <w:szCs w:val="22"/>
          <w:u w:val="single"/>
          <w:lang w:val="sk-SK"/>
        </w:rPr>
        <w:t>insuficiencia</w:t>
      </w:r>
      <w:proofErr w:type="spellEnd"/>
      <w:r w:rsidRPr="00C23474">
        <w:rPr>
          <w:szCs w:val="22"/>
          <w:u w:val="single"/>
          <w:lang w:val="sk-SK"/>
        </w:rPr>
        <w:t xml:space="preserve"> </w:t>
      </w:r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Pri predpisovaní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pacientom s nedostatočnou funkciou dýchania je potrebná zvýšená opatrnosť, pretože hypnotiká môžu tlmiť respiračnú aktivitu (pozri časť 4.8).</w:t>
      </w:r>
    </w:p>
    <w:p w:rsidR="00944D42" w:rsidRPr="00C23474" w:rsidRDefault="00944D42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proofErr w:type="spellStart"/>
      <w:r w:rsidRPr="00C23474">
        <w:rPr>
          <w:szCs w:val="22"/>
          <w:u w:val="single"/>
          <w:lang w:val="sk-SK"/>
        </w:rPr>
        <w:t>Hepatálna</w:t>
      </w:r>
      <w:proofErr w:type="spellEnd"/>
      <w:r w:rsidRPr="00C23474">
        <w:rPr>
          <w:szCs w:val="22"/>
          <w:u w:val="single"/>
          <w:lang w:val="sk-SK"/>
        </w:rPr>
        <w:t xml:space="preserve"> </w:t>
      </w:r>
      <w:proofErr w:type="spellStart"/>
      <w:r w:rsidRPr="00C23474">
        <w:rPr>
          <w:szCs w:val="22"/>
          <w:u w:val="single"/>
          <w:lang w:val="sk-SK"/>
        </w:rPr>
        <w:t>insuficiencia</w:t>
      </w:r>
      <w:proofErr w:type="spellEnd"/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Klírens</w:t>
      </w:r>
      <w:proofErr w:type="spellEnd"/>
      <w:r w:rsidRPr="00C23474">
        <w:rPr>
          <w:szCs w:val="22"/>
          <w:lang w:val="sk-SK"/>
        </w:rPr>
        <w:t xml:space="preserve"> a metabolizmus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je znížený pri </w:t>
      </w:r>
      <w:proofErr w:type="spellStart"/>
      <w:r w:rsidRPr="00C23474">
        <w:rPr>
          <w:szCs w:val="22"/>
          <w:lang w:val="sk-SK"/>
        </w:rPr>
        <w:t>hepatálnej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Pr="00C23474">
        <w:rPr>
          <w:szCs w:val="22"/>
          <w:lang w:val="sk-SK"/>
        </w:rPr>
        <w:t>insuficiencii</w:t>
      </w:r>
      <w:proofErr w:type="spellEnd"/>
      <w:r w:rsidRPr="00C23474">
        <w:rPr>
          <w:szCs w:val="22"/>
          <w:lang w:val="sk-SK"/>
        </w:rPr>
        <w:t>, a preto sa má u týchto pacientov znížiť dávka. Pozri časť 4.2.</w:t>
      </w:r>
    </w:p>
    <w:p w:rsidR="00944D42" w:rsidRPr="00C23474" w:rsidRDefault="00944D42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Starší pacienti</w:t>
      </w:r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Starší a zoslabnutí pacienti majú užívať nižšie dávky. Pozri časť 4.2.</w:t>
      </w:r>
    </w:p>
    <w:p w:rsidR="00944D42" w:rsidRPr="00C23474" w:rsidRDefault="00944D42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Psychotické poruchy</w:t>
      </w:r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Hypnotiká, akým je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>, sa neodporúčajú na primárnu liečbu psychotických porúch.</w:t>
      </w:r>
    </w:p>
    <w:p w:rsidR="00944D42" w:rsidRPr="00C23474" w:rsidRDefault="00944D42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Depresia</w:t>
      </w:r>
    </w:p>
    <w:p w:rsidR="0096265C" w:rsidRPr="00C23474" w:rsidRDefault="00997226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 xml:space="preserve">Tak ako pri iných hypnotikách/sedatívach, </w:t>
      </w:r>
      <w:proofErr w:type="spellStart"/>
      <w:r>
        <w:rPr>
          <w:szCs w:val="22"/>
          <w:lang w:val="sk-SK"/>
        </w:rPr>
        <w:t>z</w:t>
      </w:r>
      <w:r w:rsidR="005C115A" w:rsidRPr="00C23474">
        <w:rPr>
          <w:szCs w:val="22"/>
          <w:lang w:val="sk-SK"/>
        </w:rPr>
        <w:t>olpidem</w:t>
      </w:r>
      <w:proofErr w:type="spellEnd"/>
      <w:r w:rsidR="005C115A" w:rsidRPr="00C23474">
        <w:rPr>
          <w:szCs w:val="22"/>
          <w:lang w:val="sk-SK"/>
        </w:rPr>
        <w:t xml:space="preserve"> sa má podávať s opatrnosťou  pacientom s evidentnými prejavmi depresie. U pacientov sa môžu prejaviť samovražedné sklony, a preto vzhľadom na možnosť úmyselného predávkovania, je potrebné týmto pacientom predpisovať len minimálne množstvá </w:t>
      </w:r>
      <w:proofErr w:type="spellStart"/>
      <w:r w:rsidR="005C115A" w:rsidRPr="00C23474">
        <w:rPr>
          <w:szCs w:val="22"/>
          <w:lang w:val="sk-SK"/>
        </w:rPr>
        <w:t>zolpidemu</w:t>
      </w:r>
      <w:proofErr w:type="spellEnd"/>
      <w:r w:rsidR="005C115A" w:rsidRPr="00C23474">
        <w:rPr>
          <w:szCs w:val="22"/>
          <w:lang w:val="sk-SK"/>
        </w:rPr>
        <w:t xml:space="preserve">. Už existujúca depresia sa môže pri užívaní </w:t>
      </w:r>
      <w:proofErr w:type="spellStart"/>
      <w:r w:rsidR="005C115A" w:rsidRPr="00C23474">
        <w:rPr>
          <w:szCs w:val="22"/>
          <w:lang w:val="sk-SK"/>
        </w:rPr>
        <w:t>zolpidemu</w:t>
      </w:r>
      <w:proofErr w:type="spellEnd"/>
      <w:r w:rsidR="005C115A" w:rsidRPr="00C23474">
        <w:rPr>
          <w:szCs w:val="22"/>
          <w:lang w:val="sk-SK"/>
        </w:rPr>
        <w:t xml:space="preserve"> manifestovať. Keďže nespavosť môže byť symptómom depresie, pacientov stav sa má prehodnotiť, ak nespavosť pretrváva. </w:t>
      </w:r>
    </w:p>
    <w:p w:rsidR="0096265C" w:rsidRPr="00C23474" w:rsidRDefault="0096265C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944D4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Všeobecné informácie týkajúce sa účinkov po podaní hypnotík, ktoré má predpisujúci lekár vziať do úvahy, sú uvedené nižšie.  </w:t>
      </w:r>
    </w:p>
    <w:p w:rsidR="0096265C" w:rsidRPr="00C23474" w:rsidRDefault="0096265C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96265C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Tolerancia</w:t>
      </w:r>
    </w:p>
    <w:p w:rsidR="0096265C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Hypnotický účinok sedatív/hypnotík, akým je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>, sa môže znížiť po opakovanom užívaní počas niekoľkých týždňov.</w:t>
      </w:r>
    </w:p>
    <w:p w:rsidR="0096265C" w:rsidRPr="00C23474" w:rsidRDefault="0096265C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96265C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Závislosť</w:t>
      </w:r>
    </w:p>
    <w:p w:rsidR="0096265C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Užívanie sedatív/hypnotík, akým je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, môže viesť k vzniku fyzickej a psychickej závislosti. Riziko vzniku závislosti sa zvyšuje s dávkou a dĺžkou liečby, je tiež väčšie u pacientov s psychickými </w:t>
      </w:r>
      <w:r w:rsidRPr="00C23474">
        <w:rPr>
          <w:szCs w:val="22"/>
          <w:lang w:val="sk-SK"/>
        </w:rPr>
        <w:lastRenderedPageBreak/>
        <w:t xml:space="preserve">poruchami a/alebo alkoholovou alebo drogovou závislosťou v anamnéze. Takíto pacienti musia byť počas užívania hypnotík pod dôkladným dozorom. </w:t>
      </w:r>
    </w:p>
    <w:p w:rsidR="001335E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Ak sa už psychická závislosť vyvinula, náhle ukončenie liečby bude sprevádzané abstinenčnými príznakmi. Tieto môžu pozostávať z bolesti hlavy alebo svalov, extrémnej úzkosti a napätia, nepokoja, zmätenosti a podráždenosti. V závažných prípadoch sa môžu vyskytnúť nasledujúce príznaky: </w:t>
      </w:r>
      <w:proofErr w:type="spellStart"/>
      <w:r w:rsidRPr="00C23474">
        <w:rPr>
          <w:szCs w:val="22"/>
          <w:lang w:val="sk-SK"/>
        </w:rPr>
        <w:t>derealizácia</w:t>
      </w:r>
      <w:proofErr w:type="spellEnd"/>
      <w:r w:rsidRPr="00C23474">
        <w:rPr>
          <w:szCs w:val="22"/>
          <w:lang w:val="sk-SK"/>
        </w:rPr>
        <w:t xml:space="preserve">, </w:t>
      </w:r>
      <w:proofErr w:type="spellStart"/>
      <w:r w:rsidRPr="00C23474">
        <w:rPr>
          <w:szCs w:val="22"/>
          <w:lang w:val="sk-SK"/>
        </w:rPr>
        <w:t>depersonalizácia</w:t>
      </w:r>
      <w:proofErr w:type="spellEnd"/>
      <w:r w:rsidRPr="00C23474">
        <w:rPr>
          <w:szCs w:val="22"/>
          <w:lang w:val="sk-SK"/>
        </w:rPr>
        <w:t xml:space="preserve">, </w:t>
      </w:r>
      <w:proofErr w:type="spellStart"/>
      <w:r w:rsidRPr="00C23474">
        <w:rPr>
          <w:szCs w:val="22"/>
          <w:lang w:val="sk-SK"/>
        </w:rPr>
        <w:t>hyperakúzia</w:t>
      </w:r>
      <w:proofErr w:type="spellEnd"/>
      <w:r w:rsidRPr="00C23474">
        <w:rPr>
          <w:szCs w:val="22"/>
          <w:lang w:val="sk-SK"/>
        </w:rPr>
        <w:t xml:space="preserve">, </w:t>
      </w:r>
      <w:proofErr w:type="spellStart"/>
      <w:r w:rsidRPr="00C23474">
        <w:rPr>
          <w:szCs w:val="22"/>
          <w:lang w:val="sk-SK"/>
        </w:rPr>
        <w:t>znecitlivenosť</w:t>
      </w:r>
      <w:proofErr w:type="spellEnd"/>
      <w:r w:rsidRPr="00C23474">
        <w:rPr>
          <w:szCs w:val="22"/>
          <w:lang w:val="sk-SK"/>
        </w:rPr>
        <w:t xml:space="preserve"> a mravčenie končatín, precitlivenosť na svetlo, hluk a fyzický kontakt, halucinácie alebo epileptické záchvaty. </w:t>
      </w:r>
    </w:p>
    <w:p w:rsidR="001335E2" w:rsidRPr="00C23474" w:rsidRDefault="001335E2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1335E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N</w:t>
      </w:r>
      <w:r w:rsidR="00997226">
        <w:rPr>
          <w:szCs w:val="22"/>
          <w:u w:val="single"/>
          <w:lang w:val="sk-SK"/>
        </w:rPr>
        <w:t>ávrat (</w:t>
      </w:r>
      <w:proofErr w:type="spellStart"/>
      <w:r w:rsidR="00997226">
        <w:rPr>
          <w:szCs w:val="22"/>
          <w:u w:val="single"/>
          <w:lang w:val="sk-SK"/>
        </w:rPr>
        <w:t>rebound</w:t>
      </w:r>
      <w:proofErr w:type="spellEnd"/>
      <w:r w:rsidR="00997226">
        <w:rPr>
          <w:szCs w:val="22"/>
          <w:u w:val="single"/>
          <w:lang w:val="sk-SK"/>
        </w:rPr>
        <w:t xml:space="preserve"> fenomén) n</w:t>
      </w:r>
      <w:r w:rsidRPr="00C23474">
        <w:rPr>
          <w:szCs w:val="22"/>
          <w:u w:val="single"/>
          <w:lang w:val="sk-SK"/>
        </w:rPr>
        <w:t>espavos</w:t>
      </w:r>
      <w:r w:rsidR="00997226">
        <w:rPr>
          <w:szCs w:val="22"/>
          <w:u w:val="single"/>
          <w:lang w:val="sk-SK"/>
        </w:rPr>
        <w:t>ti</w:t>
      </w:r>
      <w:r w:rsidRPr="00C23474">
        <w:rPr>
          <w:szCs w:val="22"/>
          <w:u w:val="single"/>
          <w:lang w:val="sk-SK"/>
        </w:rPr>
        <w:t xml:space="preserve"> </w:t>
      </w:r>
    </w:p>
    <w:p w:rsidR="001335E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Po prerušení liečby hypnotikami sa môže objaviť dočasný syndróm, pri ktorom sa symptómy, ktoré boli dôvodom pre liečbu sedatívami/hypnotikami znovu vrátia v silnejšej forme. Toto môže byť sprevádzané inými reakciami vrátane zmien nálady, úzkosti a nepokoja.</w:t>
      </w:r>
    </w:p>
    <w:p w:rsidR="004D05B1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Je dôležité, aby bol pacient informovaný o možnosti </w:t>
      </w:r>
      <w:r w:rsidR="00997226">
        <w:rPr>
          <w:szCs w:val="22"/>
          <w:lang w:val="sk-SK"/>
        </w:rPr>
        <w:t xml:space="preserve">vzniku </w:t>
      </w:r>
      <w:r w:rsidRPr="00C23474">
        <w:rPr>
          <w:szCs w:val="22"/>
          <w:lang w:val="sk-SK"/>
        </w:rPr>
        <w:t xml:space="preserve">tzv. </w:t>
      </w:r>
      <w:proofErr w:type="spellStart"/>
      <w:r w:rsidRPr="00C23474">
        <w:rPr>
          <w:szCs w:val="22"/>
          <w:lang w:val="sk-SK"/>
        </w:rPr>
        <w:t>rebound</w:t>
      </w:r>
      <w:proofErr w:type="spellEnd"/>
      <w:r w:rsidRPr="00C23474">
        <w:rPr>
          <w:szCs w:val="22"/>
          <w:lang w:val="sk-SK"/>
        </w:rPr>
        <w:t xml:space="preserve"> fenoménu, čím sa minimalizuje úzkosť spôsobená týmito symptómami, ktoré sa môžu objaviť po ukončení liečby. Riziko syndrómu z vysadenia alebo návrat</w:t>
      </w:r>
      <w:r w:rsidR="00997226">
        <w:rPr>
          <w:szCs w:val="22"/>
          <w:lang w:val="sk-SK"/>
        </w:rPr>
        <w:t>u nespavosti</w:t>
      </w:r>
      <w:r w:rsidRPr="00C23474">
        <w:rPr>
          <w:szCs w:val="22"/>
          <w:lang w:val="sk-SK"/>
        </w:rPr>
        <w:t xml:space="preserve"> sa ukázalo, že je väčšie po náhlom ukončení liečby, preto sa odporúča postupné znižovanie dávky podľa klinickej potreby.</w:t>
      </w:r>
    </w:p>
    <w:p w:rsidR="00662698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V prípade užívania sedatív/hypnotík s krátkotrvajúcim účinkom sa môžu objaviť príznaky z vysadenia aj počas intervalu medzi dávkami, najmä pri vysokých dávkach.</w:t>
      </w:r>
    </w:p>
    <w:p w:rsidR="00662698" w:rsidRPr="00C23474" w:rsidRDefault="00662698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662698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Amnézia</w:t>
      </w:r>
    </w:p>
    <w:p w:rsidR="000E455B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Sedatíva/hypnotiká, akým je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, môžu navodiť </w:t>
      </w:r>
      <w:proofErr w:type="spellStart"/>
      <w:r w:rsidRPr="00C23474">
        <w:rPr>
          <w:szCs w:val="22"/>
          <w:lang w:val="sk-SK"/>
        </w:rPr>
        <w:t>anterográdnu</w:t>
      </w:r>
      <w:proofErr w:type="spellEnd"/>
      <w:r w:rsidRPr="00C23474">
        <w:rPr>
          <w:szCs w:val="22"/>
          <w:lang w:val="sk-SK"/>
        </w:rPr>
        <w:t xml:space="preserve"> amnéziu. Stav sa najčastejšie objavuje niekoľko hodín po užití lieku. Na zníženie rizika sa pacienti majú uistiť, že môžu spať nepretržite 8 hodín (pozri časť 4.8).</w:t>
      </w:r>
    </w:p>
    <w:p w:rsidR="000E455B" w:rsidRPr="00C23474" w:rsidRDefault="000E455B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0E455B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Iné psychické a paradoxné reakcie</w:t>
      </w:r>
    </w:p>
    <w:p w:rsidR="00662698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Počas užívania sedatív/hypnotík</w:t>
      </w:r>
      <w:r w:rsidR="00A42432">
        <w:rPr>
          <w:szCs w:val="22"/>
          <w:lang w:val="sk-SK"/>
        </w:rPr>
        <w:t xml:space="preserve"> </w:t>
      </w:r>
      <w:r w:rsidRPr="00C23474">
        <w:rPr>
          <w:szCs w:val="22"/>
          <w:lang w:val="sk-SK"/>
        </w:rPr>
        <w:t xml:space="preserve">sa môžu vyskytnúť iné psychické a paradoxné reakcie ako nepokoj, zhoršená nespavosť, rozrušenie, podráždenosť, agresia, bludy, zúrivosť, nočné mory, halucinácie, abnormálne správanie a iné neprimerané prejavy správania. Ak sa vyskytnú, užívanie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sa má prerušiť. Uvedené reakcie sa častejšie vyskytujú u starších pacientov.</w:t>
      </w:r>
    </w:p>
    <w:p w:rsidR="00C0048D" w:rsidRPr="00C23474" w:rsidRDefault="00C0048D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C0048D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Somnambulizmus a s tým spojené správanie</w:t>
      </w:r>
    </w:p>
    <w:p w:rsidR="00C0048D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U pacientov, ktorí užívali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a neboli úplne prebudení zo spánku bola zaznamenaná námesačnosť a iné s tým spojené správanie ako vedenie vozidla v spánku, príprava a konzumácia jedla, telefonovanie alebo sexuálne aktivity, s amnéziou tejto udalosti. Zdá sa, že užívanie alkoholu a iných látok tlmiacich činnosť CNS spolu so </w:t>
      </w:r>
      <w:proofErr w:type="spellStart"/>
      <w:r w:rsidRPr="00C23474">
        <w:rPr>
          <w:szCs w:val="22"/>
          <w:lang w:val="sk-SK"/>
        </w:rPr>
        <w:t>zolpidemom</w:t>
      </w:r>
      <w:proofErr w:type="spellEnd"/>
      <w:r w:rsidRPr="00C23474">
        <w:rPr>
          <w:szCs w:val="22"/>
          <w:lang w:val="sk-SK"/>
        </w:rPr>
        <w:t xml:space="preserve"> zvyšuje riziko takéhoto správania, rovnako ako užívanie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v množstvách väčších ako je odporúčaná dávka. Je potrebné dôkladne zvážiť prerušenie užívania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u pacientov hlásiacich takéto správanie (napr. vedenie vozidla v spánku) pre riziko ohrozenia samotného pacienta a iných osôb (pozri časť 4.8) </w:t>
      </w:r>
    </w:p>
    <w:p w:rsidR="00662698" w:rsidRPr="00C23474" w:rsidRDefault="00662698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587FE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>Ťažké zranenia</w:t>
      </w:r>
    </w:p>
    <w:p w:rsidR="00587FE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="00B11AA5">
        <w:rPr>
          <w:szCs w:val="22"/>
          <w:lang w:val="sk-SK"/>
        </w:rPr>
        <w:t>Xantis</w:t>
      </w:r>
      <w:proofErr w:type="spellEnd"/>
      <w:r w:rsidR="00B11AA5" w:rsidRPr="00C23474">
        <w:rPr>
          <w:szCs w:val="22"/>
          <w:lang w:val="sk-SK"/>
        </w:rPr>
        <w:t xml:space="preserve"> </w:t>
      </w:r>
      <w:r w:rsidRPr="00C23474">
        <w:rPr>
          <w:szCs w:val="22"/>
          <w:lang w:val="sk-SK"/>
        </w:rPr>
        <w:t xml:space="preserve">môže vzhľadom na svoje farmakologické vlastnosti spôsobiť ospalosť a znížiť úroveň vedomia, čo môže viesť k pádom a následne ťažkým zraneniam. </w:t>
      </w:r>
    </w:p>
    <w:p w:rsidR="00587FE2" w:rsidRPr="00C23474" w:rsidRDefault="00587FE2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587FE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t xml:space="preserve">Zhoršenie </w:t>
      </w:r>
      <w:proofErr w:type="spellStart"/>
      <w:r w:rsidRPr="00C23474">
        <w:rPr>
          <w:szCs w:val="22"/>
          <w:u w:val="single"/>
          <w:lang w:val="sk-SK"/>
        </w:rPr>
        <w:t>psychomotorických</w:t>
      </w:r>
      <w:proofErr w:type="spellEnd"/>
      <w:r w:rsidRPr="00C23474">
        <w:rPr>
          <w:szCs w:val="22"/>
          <w:u w:val="single"/>
          <w:lang w:val="sk-SK"/>
        </w:rPr>
        <w:t xml:space="preserve"> schopností nasledujúci deň</w:t>
      </w:r>
    </w:p>
    <w:p w:rsidR="00587FE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Riziko zhoršenia </w:t>
      </w:r>
      <w:proofErr w:type="spellStart"/>
      <w:r w:rsidRPr="00C23474">
        <w:rPr>
          <w:szCs w:val="22"/>
          <w:lang w:val="sk-SK"/>
        </w:rPr>
        <w:t>psychomotorických</w:t>
      </w:r>
      <w:proofErr w:type="spellEnd"/>
      <w:r w:rsidRPr="00C23474">
        <w:rPr>
          <w:szCs w:val="22"/>
          <w:lang w:val="sk-SK"/>
        </w:rPr>
        <w:t xml:space="preserve"> schopností nasledujúci deň vrátane zhoršenej schopnosti viesť vozidlá je vyššia, ak sa:</w:t>
      </w:r>
    </w:p>
    <w:p w:rsidR="00587FE2" w:rsidRPr="00C23474" w:rsidRDefault="005C115A" w:rsidP="00587FE2">
      <w:pPr>
        <w:pStyle w:val="Odsekzoznamu"/>
        <w:numPr>
          <w:ilvl w:val="0"/>
          <w:numId w:val="1"/>
        </w:numPr>
        <w:tabs>
          <w:tab w:val="clear" w:pos="567"/>
          <w:tab w:val="left" w:pos="0"/>
        </w:tabs>
        <w:spacing w:line="240" w:lineRule="auto"/>
        <w:ind w:left="426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užije menej ako 8 hodín pred vykonávaním činností, ktoré si vyžadujú zvýšenú pozornosť (pozri časť 4.7)</w:t>
      </w:r>
      <w:r w:rsidRPr="00C23474">
        <w:rPr>
          <w:szCs w:val="22"/>
          <w:lang w:val="sk-SK"/>
        </w:rPr>
        <w:tab/>
      </w:r>
    </w:p>
    <w:p w:rsidR="00587FE2" w:rsidRPr="00C23474" w:rsidRDefault="005C115A" w:rsidP="00587FE2">
      <w:pPr>
        <w:pStyle w:val="Odsekzoznamu"/>
        <w:numPr>
          <w:ilvl w:val="0"/>
          <w:numId w:val="1"/>
        </w:numPr>
        <w:tabs>
          <w:tab w:val="clear" w:pos="567"/>
          <w:tab w:val="left" w:pos="0"/>
        </w:tabs>
        <w:spacing w:line="240" w:lineRule="auto"/>
        <w:ind w:left="426"/>
        <w:rPr>
          <w:szCs w:val="22"/>
          <w:lang w:val="sk-SK"/>
        </w:rPr>
      </w:pPr>
      <w:r w:rsidRPr="00C23474">
        <w:rPr>
          <w:szCs w:val="22"/>
          <w:lang w:val="sk-SK"/>
        </w:rPr>
        <w:t>užije vyššia dávka, ako je odporúčaná</w:t>
      </w:r>
      <w:r w:rsidRPr="00C23474">
        <w:rPr>
          <w:szCs w:val="22"/>
          <w:lang w:val="sk-SK"/>
        </w:rPr>
        <w:tab/>
        <w:t xml:space="preserve"> </w:t>
      </w:r>
    </w:p>
    <w:p w:rsidR="00587FE2" w:rsidRPr="00C23474" w:rsidRDefault="005C115A" w:rsidP="00587FE2">
      <w:pPr>
        <w:pStyle w:val="Odsekzoznamu"/>
        <w:numPr>
          <w:ilvl w:val="0"/>
          <w:numId w:val="1"/>
        </w:numPr>
        <w:tabs>
          <w:tab w:val="clear" w:pos="567"/>
          <w:tab w:val="left" w:pos="0"/>
        </w:tabs>
        <w:spacing w:line="240" w:lineRule="auto"/>
        <w:ind w:left="426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podáva súčasne s inými liekmi s tlmivým účinkom na CNS, s inými liekmi zvyšujúcimi hladinu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v krvi, s alkoholom alebo s nezákonnými drogami (pozri časť 4.5).</w:t>
      </w:r>
    </w:p>
    <w:p w:rsidR="00E53569" w:rsidRPr="00C23474" w:rsidRDefault="00E53569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587FE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sa má užiť jednorázovo tesne pred spaním a nemá sa znovu užívať počas tej istej noci.</w:t>
      </w:r>
    </w:p>
    <w:p w:rsidR="00587FE2" w:rsidRPr="00C23474" w:rsidRDefault="00587FE2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</w:p>
    <w:p w:rsidR="00587FE2" w:rsidRPr="00C23474" w:rsidRDefault="005C115A" w:rsidP="00925858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lastRenderedPageBreak/>
        <w:t>Zolpidem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="00B11AA5">
        <w:rPr>
          <w:szCs w:val="22"/>
          <w:lang w:val="sk-SK"/>
        </w:rPr>
        <w:t>Xantis</w:t>
      </w:r>
      <w:proofErr w:type="spellEnd"/>
      <w:r w:rsidR="00B11AA5" w:rsidRPr="00C23474">
        <w:rPr>
          <w:szCs w:val="22"/>
          <w:lang w:val="sk-SK"/>
        </w:rPr>
        <w:t xml:space="preserve"> </w:t>
      </w:r>
      <w:r w:rsidRPr="00C23474">
        <w:rPr>
          <w:szCs w:val="22"/>
          <w:lang w:val="sk-SK"/>
        </w:rPr>
        <w:t xml:space="preserve">obsahuje laktózu. Pacienti so zriedkavými dedičnými problémami </w:t>
      </w:r>
      <w:proofErr w:type="spellStart"/>
      <w:r w:rsidRPr="00C23474">
        <w:rPr>
          <w:szCs w:val="22"/>
          <w:lang w:val="sk-SK"/>
        </w:rPr>
        <w:t>galaktózovej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Pr="00C23474">
        <w:rPr>
          <w:szCs w:val="22"/>
          <w:lang w:val="sk-SK"/>
        </w:rPr>
        <w:t>intoleranie</w:t>
      </w:r>
      <w:proofErr w:type="spellEnd"/>
      <w:r w:rsidRPr="00C23474">
        <w:rPr>
          <w:szCs w:val="22"/>
          <w:lang w:val="sk-SK"/>
        </w:rPr>
        <w:t xml:space="preserve">, </w:t>
      </w:r>
      <w:proofErr w:type="spellStart"/>
      <w:r w:rsidRPr="00C23474">
        <w:rPr>
          <w:szCs w:val="22"/>
          <w:lang w:val="sk-SK"/>
        </w:rPr>
        <w:t>lapónskeho</w:t>
      </w:r>
      <w:proofErr w:type="spellEnd"/>
      <w:r w:rsidRPr="00C23474">
        <w:rPr>
          <w:szCs w:val="22"/>
          <w:lang w:val="sk-SK"/>
        </w:rPr>
        <w:t xml:space="preserve"> deficitu </w:t>
      </w:r>
      <w:proofErr w:type="spellStart"/>
      <w:r w:rsidRPr="00C23474">
        <w:rPr>
          <w:szCs w:val="22"/>
          <w:lang w:val="sk-SK"/>
        </w:rPr>
        <w:t>laktázy</w:t>
      </w:r>
      <w:proofErr w:type="spellEnd"/>
      <w:r w:rsidRPr="00C23474">
        <w:rPr>
          <w:szCs w:val="22"/>
          <w:lang w:val="sk-SK"/>
        </w:rPr>
        <w:t xml:space="preserve"> alebo </w:t>
      </w:r>
      <w:proofErr w:type="spellStart"/>
      <w:r w:rsidRPr="00C23474">
        <w:rPr>
          <w:szCs w:val="22"/>
          <w:lang w:val="sk-SK"/>
        </w:rPr>
        <w:t>glukózo-galaktózovej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Pr="00C23474">
        <w:rPr>
          <w:szCs w:val="22"/>
          <w:lang w:val="sk-SK"/>
        </w:rPr>
        <w:t>malabsorpcie</w:t>
      </w:r>
      <w:proofErr w:type="spellEnd"/>
      <w:r w:rsidRPr="00C23474">
        <w:rPr>
          <w:szCs w:val="22"/>
          <w:lang w:val="sk-SK"/>
        </w:rPr>
        <w:t xml:space="preserve"> nesmú užívať tento liek.</w:t>
      </w:r>
    </w:p>
    <w:p w:rsidR="0055371C" w:rsidRPr="00C23474" w:rsidRDefault="0055371C" w:rsidP="0055371C">
      <w:pPr>
        <w:spacing w:line="240" w:lineRule="auto"/>
        <w:outlineLvl w:val="0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23474">
        <w:rPr>
          <w:b/>
          <w:szCs w:val="22"/>
          <w:lang w:val="sk-SK"/>
        </w:rPr>
        <w:t>4.5</w:t>
      </w:r>
      <w:r w:rsidRPr="00C23474">
        <w:rPr>
          <w:b/>
          <w:szCs w:val="22"/>
          <w:lang w:val="sk-SK"/>
        </w:rPr>
        <w:tab/>
        <w:t>Liekové a iné interakcie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rPr>
          <w:b/>
          <w:szCs w:val="22"/>
          <w:lang w:val="sk-SK"/>
        </w:rPr>
      </w:pPr>
      <w:r w:rsidRPr="00C23474">
        <w:rPr>
          <w:b/>
          <w:szCs w:val="22"/>
          <w:lang w:val="sk-SK"/>
        </w:rPr>
        <w:t>Alkohol</w:t>
      </w:r>
    </w:p>
    <w:p w:rsidR="0059636A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Súčasné užívanie s alkoholom sa neodporúča.</w:t>
      </w:r>
    </w:p>
    <w:p w:rsidR="0059636A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Sedatívny účinok môže byť silnejší ak sa liek užíva v kombinácii s alkoholom. To ovplyvňuje schopnosť viesť motorové vozidlá alebo obsluhovať stroje.</w:t>
      </w:r>
    </w:p>
    <w:p w:rsidR="00A86066" w:rsidRPr="00C23474" w:rsidRDefault="00A86066" w:rsidP="0055371C">
      <w:pPr>
        <w:spacing w:line="240" w:lineRule="auto"/>
        <w:rPr>
          <w:szCs w:val="22"/>
          <w:lang w:val="sk-SK"/>
        </w:rPr>
      </w:pPr>
    </w:p>
    <w:p w:rsidR="00A86066" w:rsidRPr="00C23474" w:rsidRDefault="005C115A" w:rsidP="0055371C">
      <w:pPr>
        <w:spacing w:line="240" w:lineRule="auto"/>
        <w:rPr>
          <w:b/>
          <w:szCs w:val="22"/>
          <w:lang w:val="sk-SK"/>
        </w:rPr>
      </w:pPr>
      <w:r w:rsidRPr="00C23474">
        <w:rPr>
          <w:b/>
          <w:szCs w:val="22"/>
          <w:lang w:val="sk-SK"/>
        </w:rPr>
        <w:t>Kombinácia s liekmi s tlmivým účinkom na CNS</w:t>
      </w:r>
    </w:p>
    <w:p w:rsidR="00A86066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Zvýšenie tlmivého účinku na CNS sa môže objaviť v prípadoch súčasného užívania s </w:t>
      </w:r>
      <w:proofErr w:type="spellStart"/>
      <w:r w:rsidRPr="00C23474">
        <w:rPr>
          <w:szCs w:val="22"/>
          <w:lang w:val="sk-SK"/>
        </w:rPr>
        <w:t>antipsychotikami</w:t>
      </w:r>
      <w:proofErr w:type="spellEnd"/>
      <w:r w:rsidRPr="00C23474">
        <w:rPr>
          <w:szCs w:val="22"/>
          <w:lang w:val="sk-SK"/>
        </w:rPr>
        <w:t xml:space="preserve"> (</w:t>
      </w:r>
      <w:proofErr w:type="spellStart"/>
      <w:r w:rsidRPr="00C23474">
        <w:rPr>
          <w:szCs w:val="22"/>
          <w:lang w:val="sk-SK"/>
        </w:rPr>
        <w:t>neuroleptiká</w:t>
      </w:r>
      <w:proofErr w:type="spellEnd"/>
      <w:r w:rsidRPr="00C23474">
        <w:rPr>
          <w:szCs w:val="22"/>
          <w:lang w:val="sk-SK"/>
        </w:rPr>
        <w:t xml:space="preserve">), hypnotikami, </w:t>
      </w:r>
      <w:proofErr w:type="spellStart"/>
      <w:r w:rsidRPr="00C23474">
        <w:rPr>
          <w:szCs w:val="22"/>
          <w:lang w:val="sk-SK"/>
        </w:rPr>
        <w:t>anxiolytikami</w:t>
      </w:r>
      <w:proofErr w:type="spellEnd"/>
      <w:r w:rsidRPr="00C23474">
        <w:rPr>
          <w:szCs w:val="22"/>
          <w:lang w:val="sk-SK"/>
        </w:rPr>
        <w:t xml:space="preserve">/sedatívami, </w:t>
      </w:r>
      <w:proofErr w:type="spellStart"/>
      <w:r w:rsidRPr="00C23474">
        <w:rPr>
          <w:szCs w:val="22"/>
          <w:lang w:val="sk-SK"/>
        </w:rPr>
        <w:t>antidepresívami</w:t>
      </w:r>
      <w:proofErr w:type="spellEnd"/>
      <w:r w:rsidRPr="00C23474">
        <w:rPr>
          <w:szCs w:val="22"/>
          <w:lang w:val="sk-SK"/>
        </w:rPr>
        <w:t xml:space="preserve">, narkotickými analgetikami, </w:t>
      </w:r>
      <w:proofErr w:type="spellStart"/>
      <w:r w:rsidRPr="00C23474">
        <w:rPr>
          <w:szCs w:val="22"/>
          <w:lang w:val="sk-SK"/>
        </w:rPr>
        <w:t>antiepileptikami</w:t>
      </w:r>
      <w:proofErr w:type="spellEnd"/>
      <w:r w:rsidRPr="00C23474">
        <w:rPr>
          <w:szCs w:val="22"/>
          <w:lang w:val="sk-SK"/>
        </w:rPr>
        <w:t>, anestetikami a </w:t>
      </w:r>
      <w:proofErr w:type="spellStart"/>
      <w:r w:rsidRPr="00C23474">
        <w:rPr>
          <w:szCs w:val="22"/>
          <w:lang w:val="sk-SK"/>
        </w:rPr>
        <w:t>antihistaminikami</w:t>
      </w:r>
      <w:proofErr w:type="spellEnd"/>
      <w:r w:rsidRPr="00C23474">
        <w:rPr>
          <w:szCs w:val="22"/>
          <w:lang w:val="sk-SK"/>
        </w:rPr>
        <w:t xml:space="preserve"> so sedatívnym účinkom. Z tohto dôvodu môže súčasné užívanie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s týmito liekmi zvýšiť ospalosť a zhoršiť </w:t>
      </w:r>
      <w:proofErr w:type="spellStart"/>
      <w:r w:rsidRPr="00C23474">
        <w:rPr>
          <w:szCs w:val="22"/>
          <w:lang w:val="sk-SK"/>
        </w:rPr>
        <w:t>psychomotorické</w:t>
      </w:r>
      <w:proofErr w:type="spellEnd"/>
      <w:r w:rsidRPr="00C23474">
        <w:rPr>
          <w:szCs w:val="22"/>
          <w:lang w:val="sk-SK"/>
        </w:rPr>
        <w:t xml:space="preserve"> schopnosti nasledujúci deň vrátane zhoršenej schopnosti viesť vozidlá (pozri časť 4.4 a 4.7). Boli hlásené aj izolované prípady vizuálnych halucinácií u pacientov užívajúcich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s </w:t>
      </w:r>
      <w:proofErr w:type="spellStart"/>
      <w:r w:rsidRPr="00C23474">
        <w:rPr>
          <w:szCs w:val="22"/>
          <w:lang w:val="sk-SK"/>
        </w:rPr>
        <w:t>antidepresívami</w:t>
      </w:r>
      <w:proofErr w:type="spellEnd"/>
      <w:r w:rsidRPr="00C23474">
        <w:rPr>
          <w:szCs w:val="22"/>
          <w:lang w:val="sk-SK"/>
        </w:rPr>
        <w:t xml:space="preserve"> s obsahom </w:t>
      </w:r>
      <w:proofErr w:type="spellStart"/>
      <w:r w:rsidRPr="00C23474">
        <w:rPr>
          <w:szCs w:val="22"/>
          <w:lang w:val="sk-SK"/>
        </w:rPr>
        <w:t>bupropiónu</w:t>
      </w:r>
      <w:proofErr w:type="spellEnd"/>
      <w:r w:rsidRPr="00C23474">
        <w:rPr>
          <w:szCs w:val="22"/>
          <w:lang w:val="sk-SK"/>
        </w:rPr>
        <w:t xml:space="preserve">, </w:t>
      </w:r>
      <w:proofErr w:type="spellStart"/>
      <w:r w:rsidRPr="00C23474">
        <w:rPr>
          <w:szCs w:val="22"/>
          <w:lang w:val="sk-SK"/>
        </w:rPr>
        <w:t>dezipramínu</w:t>
      </w:r>
      <w:proofErr w:type="spellEnd"/>
      <w:r w:rsidRPr="00C23474">
        <w:rPr>
          <w:szCs w:val="22"/>
          <w:lang w:val="sk-SK"/>
        </w:rPr>
        <w:t xml:space="preserve">, </w:t>
      </w:r>
      <w:proofErr w:type="spellStart"/>
      <w:r w:rsidRPr="00C23474">
        <w:rPr>
          <w:szCs w:val="22"/>
          <w:lang w:val="sk-SK"/>
        </w:rPr>
        <w:t>fluoxetínu</w:t>
      </w:r>
      <w:proofErr w:type="spellEnd"/>
      <w:r w:rsidRPr="00C23474">
        <w:rPr>
          <w:szCs w:val="22"/>
          <w:lang w:val="sk-SK"/>
        </w:rPr>
        <w:t xml:space="preserve">, </w:t>
      </w:r>
      <w:proofErr w:type="spellStart"/>
      <w:r w:rsidRPr="00C23474">
        <w:rPr>
          <w:szCs w:val="22"/>
          <w:lang w:val="sk-SK"/>
        </w:rPr>
        <w:t>sertralínu</w:t>
      </w:r>
      <w:proofErr w:type="spellEnd"/>
      <w:r w:rsidRPr="00C23474">
        <w:rPr>
          <w:szCs w:val="22"/>
          <w:lang w:val="sk-SK"/>
        </w:rPr>
        <w:t xml:space="preserve"> a </w:t>
      </w:r>
      <w:proofErr w:type="spellStart"/>
      <w:r w:rsidRPr="00C23474">
        <w:rPr>
          <w:szCs w:val="22"/>
          <w:lang w:val="sk-SK"/>
        </w:rPr>
        <w:t>venlafaxínu</w:t>
      </w:r>
      <w:proofErr w:type="spellEnd"/>
      <w:r w:rsidRPr="00C23474">
        <w:rPr>
          <w:szCs w:val="22"/>
          <w:lang w:val="sk-SK"/>
        </w:rPr>
        <w:t>.</w:t>
      </w:r>
    </w:p>
    <w:p w:rsidR="00225676" w:rsidRPr="00C23474" w:rsidRDefault="00225676" w:rsidP="0055371C">
      <w:pPr>
        <w:spacing w:line="240" w:lineRule="auto"/>
        <w:rPr>
          <w:szCs w:val="22"/>
          <w:lang w:val="sk-SK"/>
        </w:rPr>
      </w:pPr>
    </w:p>
    <w:p w:rsidR="00225676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Súčasné užívanie </w:t>
      </w:r>
      <w:proofErr w:type="spellStart"/>
      <w:r w:rsidRPr="00C23474">
        <w:rPr>
          <w:szCs w:val="22"/>
          <w:lang w:val="sk-SK"/>
        </w:rPr>
        <w:t>fluoxamínu</w:t>
      </w:r>
      <w:proofErr w:type="spellEnd"/>
      <w:r w:rsidRPr="00C23474">
        <w:rPr>
          <w:szCs w:val="22"/>
          <w:lang w:val="sk-SK"/>
        </w:rPr>
        <w:t xml:space="preserve"> môže zvýšiť hladinu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v krvi, preto sa súčasné užívanie neodporúča.</w:t>
      </w:r>
    </w:p>
    <w:p w:rsidR="00225676" w:rsidRPr="00C23474" w:rsidRDefault="00225676" w:rsidP="0055371C">
      <w:pPr>
        <w:spacing w:line="240" w:lineRule="auto"/>
        <w:rPr>
          <w:szCs w:val="22"/>
          <w:lang w:val="sk-SK"/>
        </w:rPr>
      </w:pPr>
    </w:p>
    <w:p w:rsidR="00225676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V prípade narkotických analgetík sa tiež môže objaviť zvýšená eufória vedúca k zvýšenej psychickej závislosti. </w:t>
      </w:r>
    </w:p>
    <w:p w:rsidR="00225676" w:rsidRPr="00C23474" w:rsidRDefault="00225676" w:rsidP="0055371C">
      <w:pPr>
        <w:spacing w:line="240" w:lineRule="auto"/>
        <w:rPr>
          <w:szCs w:val="22"/>
          <w:lang w:val="sk-SK"/>
        </w:rPr>
      </w:pPr>
    </w:p>
    <w:p w:rsidR="00225676" w:rsidRPr="00C23474" w:rsidRDefault="005C115A" w:rsidP="0055371C">
      <w:pPr>
        <w:spacing w:line="240" w:lineRule="auto"/>
        <w:rPr>
          <w:b/>
          <w:szCs w:val="22"/>
          <w:lang w:val="sk-SK"/>
        </w:rPr>
      </w:pPr>
      <w:r w:rsidRPr="00C23474">
        <w:rPr>
          <w:b/>
          <w:szCs w:val="22"/>
          <w:lang w:val="sk-SK"/>
        </w:rPr>
        <w:t>CYP450 inhibítor a induktory</w:t>
      </w:r>
    </w:p>
    <w:p w:rsidR="00225676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Súčasné užívanie </w:t>
      </w:r>
      <w:proofErr w:type="spellStart"/>
      <w:r w:rsidRPr="00C23474">
        <w:rPr>
          <w:szCs w:val="22"/>
          <w:lang w:val="sk-SK"/>
        </w:rPr>
        <w:t>ciprofloxacínu</w:t>
      </w:r>
      <w:proofErr w:type="spellEnd"/>
      <w:r w:rsidRPr="00C23474">
        <w:rPr>
          <w:szCs w:val="22"/>
          <w:lang w:val="sk-SK"/>
        </w:rPr>
        <w:t xml:space="preserve"> môže zvýšiť hladinu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v krvi, preto sa ich súčasné užívanie neodporúča.</w:t>
      </w:r>
    </w:p>
    <w:p w:rsidR="00225676" w:rsidRPr="00C23474" w:rsidRDefault="00225676" w:rsidP="0055371C">
      <w:pPr>
        <w:spacing w:line="240" w:lineRule="auto"/>
        <w:rPr>
          <w:szCs w:val="22"/>
          <w:lang w:val="sk-SK"/>
        </w:rPr>
      </w:pPr>
    </w:p>
    <w:p w:rsidR="00225676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Látky </w:t>
      </w:r>
      <w:proofErr w:type="spellStart"/>
      <w:r w:rsidRPr="00C23474">
        <w:rPr>
          <w:szCs w:val="22"/>
          <w:lang w:val="sk-SK"/>
        </w:rPr>
        <w:t>inhibujúce</w:t>
      </w:r>
      <w:proofErr w:type="spellEnd"/>
      <w:r w:rsidRPr="00C23474">
        <w:rPr>
          <w:szCs w:val="22"/>
          <w:lang w:val="sk-SK"/>
        </w:rPr>
        <w:t xml:space="preserve"> určité pečeňové enzýmy (najmä </w:t>
      </w:r>
      <w:proofErr w:type="spellStart"/>
      <w:r w:rsidRPr="00C23474">
        <w:rPr>
          <w:szCs w:val="22"/>
          <w:lang w:val="sk-SK"/>
        </w:rPr>
        <w:t>cytochróm</w:t>
      </w:r>
      <w:proofErr w:type="spellEnd"/>
      <w:r w:rsidRPr="00C23474">
        <w:rPr>
          <w:szCs w:val="22"/>
          <w:lang w:val="sk-SK"/>
        </w:rPr>
        <w:t xml:space="preserve"> CYP450) môžu zvýšiť aktivitu niektorých hypnotík. </w:t>
      </w:r>
    </w:p>
    <w:p w:rsidR="00225676" w:rsidRPr="00C23474" w:rsidRDefault="00225676" w:rsidP="0055371C">
      <w:pPr>
        <w:spacing w:line="240" w:lineRule="auto"/>
        <w:rPr>
          <w:szCs w:val="22"/>
          <w:lang w:val="sk-SK"/>
        </w:rPr>
      </w:pPr>
    </w:p>
    <w:p w:rsidR="00225676" w:rsidRPr="00C23474" w:rsidRDefault="005C115A" w:rsidP="0055371C">
      <w:pPr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sa metabolizuje prostredníctvom niekoľkých </w:t>
      </w:r>
      <w:proofErr w:type="spellStart"/>
      <w:r w:rsidRPr="00C23474">
        <w:rPr>
          <w:szCs w:val="22"/>
          <w:lang w:val="sk-SK"/>
        </w:rPr>
        <w:t>hepatálnych</w:t>
      </w:r>
      <w:proofErr w:type="spellEnd"/>
      <w:r w:rsidRPr="00C23474">
        <w:rPr>
          <w:szCs w:val="22"/>
          <w:lang w:val="sk-SK"/>
        </w:rPr>
        <w:t xml:space="preserve"> enzýmov zo systému </w:t>
      </w:r>
      <w:proofErr w:type="spellStart"/>
      <w:r w:rsidRPr="00C23474">
        <w:rPr>
          <w:szCs w:val="22"/>
          <w:lang w:val="sk-SK"/>
        </w:rPr>
        <w:t>cytochrómu</w:t>
      </w:r>
      <w:proofErr w:type="spellEnd"/>
      <w:r w:rsidRPr="00C23474">
        <w:rPr>
          <w:szCs w:val="22"/>
          <w:lang w:val="sk-SK"/>
        </w:rPr>
        <w:t xml:space="preserve"> P450, hlavný enzým je CYP3A4 s prispením enzýmu CYP1A2.</w:t>
      </w:r>
    </w:p>
    <w:p w:rsidR="00E53569" w:rsidRPr="00C23474" w:rsidRDefault="00E53569" w:rsidP="0055371C">
      <w:pPr>
        <w:spacing w:line="240" w:lineRule="auto"/>
        <w:rPr>
          <w:szCs w:val="22"/>
          <w:lang w:val="sk-SK"/>
        </w:rPr>
      </w:pPr>
    </w:p>
    <w:p w:rsidR="00225676" w:rsidRPr="00C23474" w:rsidRDefault="005C115A" w:rsidP="0055371C">
      <w:pPr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Farmakodynamický</w:t>
      </w:r>
      <w:proofErr w:type="spellEnd"/>
      <w:r w:rsidRPr="00C23474">
        <w:rPr>
          <w:szCs w:val="22"/>
          <w:lang w:val="sk-SK"/>
        </w:rPr>
        <w:t xml:space="preserve"> účinok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sa pri súčasnom užívaní s </w:t>
      </w:r>
      <w:proofErr w:type="spellStart"/>
      <w:r w:rsidRPr="00C23474">
        <w:rPr>
          <w:szCs w:val="22"/>
          <w:lang w:val="sk-SK"/>
        </w:rPr>
        <w:t>rifampicínom</w:t>
      </w:r>
      <w:proofErr w:type="spellEnd"/>
      <w:r w:rsidRPr="00C23474">
        <w:rPr>
          <w:szCs w:val="22"/>
          <w:lang w:val="sk-SK"/>
        </w:rPr>
        <w:t xml:space="preserve"> (CYP3A4 induktor) znižuje. Avšak, keď sa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užíval s </w:t>
      </w:r>
      <w:proofErr w:type="spellStart"/>
      <w:r w:rsidRPr="00C23474">
        <w:rPr>
          <w:szCs w:val="22"/>
          <w:lang w:val="sk-SK"/>
        </w:rPr>
        <w:t>itrakonazolom</w:t>
      </w:r>
      <w:proofErr w:type="spellEnd"/>
      <w:r w:rsidRPr="00C23474">
        <w:rPr>
          <w:szCs w:val="22"/>
          <w:lang w:val="sk-SK"/>
        </w:rPr>
        <w:t xml:space="preserve"> (CYP3A4 inhibítor), jeho </w:t>
      </w:r>
      <w:proofErr w:type="spellStart"/>
      <w:r w:rsidRPr="00C23474">
        <w:rPr>
          <w:szCs w:val="22"/>
          <w:lang w:val="sk-SK"/>
        </w:rPr>
        <w:t>farmakokinetika</w:t>
      </w:r>
      <w:proofErr w:type="spellEnd"/>
      <w:r w:rsidRPr="00C23474">
        <w:rPr>
          <w:szCs w:val="22"/>
          <w:lang w:val="sk-SK"/>
        </w:rPr>
        <w:t xml:space="preserve"> a </w:t>
      </w:r>
      <w:proofErr w:type="spellStart"/>
      <w:r w:rsidRPr="00C23474">
        <w:rPr>
          <w:szCs w:val="22"/>
          <w:lang w:val="sk-SK"/>
        </w:rPr>
        <w:t>farmakodynamika</w:t>
      </w:r>
      <w:proofErr w:type="spellEnd"/>
      <w:r w:rsidRPr="00C23474">
        <w:rPr>
          <w:szCs w:val="22"/>
          <w:lang w:val="sk-SK"/>
        </w:rPr>
        <w:t xml:space="preserve"> neboli výrazne ovplyvnené. Klinický význam týchto poznatkov nie je známy. </w:t>
      </w:r>
    </w:p>
    <w:p w:rsidR="00225676" w:rsidRPr="00C23474" w:rsidRDefault="00225676" w:rsidP="0055371C">
      <w:pPr>
        <w:spacing w:line="240" w:lineRule="auto"/>
        <w:rPr>
          <w:szCs w:val="22"/>
          <w:lang w:val="sk-SK"/>
        </w:rPr>
      </w:pPr>
    </w:p>
    <w:p w:rsidR="00225676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Súčasné podávanie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a </w:t>
      </w:r>
      <w:proofErr w:type="spellStart"/>
      <w:r w:rsidRPr="00C23474">
        <w:rPr>
          <w:szCs w:val="22"/>
          <w:lang w:val="sk-SK"/>
        </w:rPr>
        <w:t>ketokonazolu</w:t>
      </w:r>
      <w:proofErr w:type="spellEnd"/>
      <w:r w:rsidRPr="00C23474">
        <w:rPr>
          <w:szCs w:val="22"/>
          <w:lang w:val="sk-SK"/>
        </w:rPr>
        <w:t xml:space="preserve"> (200 mg dvakrát denne), silný inhibítor </w:t>
      </w:r>
      <w:r w:rsidRPr="00C23474">
        <w:rPr>
          <w:szCs w:val="22"/>
          <w:lang w:val="sk-SK"/>
        </w:rPr>
        <w:br/>
        <w:t xml:space="preserve">CYP3A4, predlžuje eliminačný polčas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, zvyšuje celkovú AUC a znižuje zdanlivý </w:t>
      </w:r>
      <w:proofErr w:type="spellStart"/>
      <w:r w:rsidRPr="00C23474">
        <w:rPr>
          <w:szCs w:val="22"/>
          <w:lang w:val="sk-SK"/>
        </w:rPr>
        <w:t>klírens</w:t>
      </w:r>
      <w:proofErr w:type="spellEnd"/>
      <w:r w:rsidRPr="00C23474">
        <w:rPr>
          <w:szCs w:val="22"/>
          <w:lang w:val="sk-SK"/>
        </w:rPr>
        <w:t xml:space="preserve"> po perorálnom podaní </w:t>
      </w:r>
      <w:r w:rsidR="000B35D6">
        <w:rPr>
          <w:szCs w:val="22"/>
          <w:lang w:val="sk-SK"/>
        </w:rPr>
        <w:t xml:space="preserve">v porovnaní s podávaním </w:t>
      </w:r>
      <w:proofErr w:type="spellStart"/>
      <w:r w:rsidR="000B35D6">
        <w:rPr>
          <w:szCs w:val="22"/>
          <w:lang w:val="sk-SK"/>
        </w:rPr>
        <w:t>zolpidemu</w:t>
      </w:r>
      <w:proofErr w:type="spellEnd"/>
      <w:r w:rsidR="000B35D6">
        <w:rPr>
          <w:szCs w:val="22"/>
          <w:lang w:val="sk-SK"/>
        </w:rPr>
        <w:t xml:space="preserve"> </w:t>
      </w:r>
      <w:r w:rsidR="00715139">
        <w:rPr>
          <w:szCs w:val="22"/>
          <w:lang w:val="sk-SK"/>
        </w:rPr>
        <w:t>súčasne</w:t>
      </w:r>
      <w:r w:rsidR="000B35D6">
        <w:rPr>
          <w:szCs w:val="22"/>
          <w:lang w:val="sk-SK"/>
        </w:rPr>
        <w:t xml:space="preserve"> s </w:t>
      </w:r>
      <w:proofErr w:type="spellStart"/>
      <w:r w:rsidR="000B35D6">
        <w:rPr>
          <w:szCs w:val="22"/>
          <w:lang w:val="sk-SK"/>
        </w:rPr>
        <w:t>placebom</w:t>
      </w:r>
      <w:proofErr w:type="spellEnd"/>
      <w:r w:rsidRPr="00C23474">
        <w:rPr>
          <w:szCs w:val="22"/>
          <w:lang w:val="sk-SK"/>
        </w:rPr>
        <w:t xml:space="preserve">. Celková AUC pre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podávaný súčasne s </w:t>
      </w:r>
      <w:proofErr w:type="spellStart"/>
      <w:r w:rsidRPr="00C23474">
        <w:rPr>
          <w:szCs w:val="22"/>
          <w:lang w:val="sk-SK"/>
        </w:rPr>
        <w:t>ketokonazolom</w:t>
      </w:r>
      <w:proofErr w:type="spellEnd"/>
      <w:r w:rsidRPr="00C23474">
        <w:rPr>
          <w:szCs w:val="22"/>
          <w:lang w:val="sk-SK"/>
        </w:rPr>
        <w:t xml:space="preserve"> sa zvýšila 1,83-násobne oproti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podávanému samostatne. Obvyklá úprava dávkovania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nemusí byť potrebná, ale pacienti musia byť poučení, že užívanie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s </w:t>
      </w:r>
      <w:proofErr w:type="spellStart"/>
      <w:r w:rsidRPr="00C23474">
        <w:rPr>
          <w:szCs w:val="22"/>
          <w:lang w:val="sk-SK"/>
        </w:rPr>
        <w:t>ketokonazolom</w:t>
      </w:r>
      <w:proofErr w:type="spellEnd"/>
      <w:r w:rsidRPr="00C23474">
        <w:rPr>
          <w:szCs w:val="22"/>
          <w:lang w:val="sk-SK"/>
        </w:rPr>
        <w:t xml:space="preserve"> môže zvýšiť sedatívny účinok.</w:t>
      </w:r>
    </w:p>
    <w:p w:rsidR="00C1741F" w:rsidRPr="00C23474" w:rsidRDefault="00C1741F" w:rsidP="0055371C">
      <w:pPr>
        <w:spacing w:line="240" w:lineRule="auto"/>
        <w:rPr>
          <w:szCs w:val="22"/>
          <w:lang w:val="sk-SK"/>
        </w:rPr>
      </w:pPr>
    </w:p>
    <w:p w:rsidR="00C1741F" w:rsidRPr="00C23474" w:rsidRDefault="005C115A" w:rsidP="0055371C">
      <w:pPr>
        <w:spacing w:line="240" w:lineRule="auto"/>
        <w:rPr>
          <w:b/>
          <w:szCs w:val="22"/>
          <w:lang w:val="sk-SK"/>
        </w:rPr>
      </w:pPr>
      <w:r w:rsidRPr="00C23474">
        <w:rPr>
          <w:b/>
          <w:szCs w:val="22"/>
          <w:lang w:val="sk-SK"/>
        </w:rPr>
        <w:t>Iní lieky</w:t>
      </w:r>
    </w:p>
    <w:p w:rsidR="0059636A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Keď sa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podal s </w:t>
      </w:r>
      <w:proofErr w:type="spellStart"/>
      <w:r w:rsidRPr="00C23474">
        <w:rPr>
          <w:szCs w:val="22"/>
          <w:lang w:val="sk-SK"/>
        </w:rPr>
        <w:t>warfarínom</w:t>
      </w:r>
      <w:proofErr w:type="spellEnd"/>
      <w:r w:rsidRPr="00C23474">
        <w:rPr>
          <w:szCs w:val="22"/>
          <w:lang w:val="sk-SK"/>
        </w:rPr>
        <w:t xml:space="preserve">, </w:t>
      </w:r>
      <w:proofErr w:type="spellStart"/>
      <w:r w:rsidRPr="00C23474">
        <w:rPr>
          <w:szCs w:val="22"/>
          <w:lang w:val="sk-SK"/>
        </w:rPr>
        <w:t>digoxínom</w:t>
      </w:r>
      <w:proofErr w:type="spellEnd"/>
      <w:r w:rsidRPr="00C23474">
        <w:rPr>
          <w:szCs w:val="22"/>
          <w:lang w:val="sk-SK"/>
        </w:rPr>
        <w:t xml:space="preserve"> alebo </w:t>
      </w:r>
      <w:proofErr w:type="spellStart"/>
      <w:r w:rsidRPr="00C23474">
        <w:rPr>
          <w:szCs w:val="22"/>
          <w:lang w:val="sk-SK"/>
        </w:rPr>
        <w:t>ranitidínom</w:t>
      </w:r>
      <w:proofErr w:type="spellEnd"/>
      <w:r w:rsidRPr="00C23474">
        <w:rPr>
          <w:szCs w:val="22"/>
          <w:lang w:val="sk-SK"/>
        </w:rPr>
        <w:t xml:space="preserve">, nepozorovali sa žiadne významné </w:t>
      </w:r>
      <w:proofErr w:type="spellStart"/>
      <w:r w:rsidRPr="00C23474">
        <w:rPr>
          <w:szCs w:val="22"/>
          <w:lang w:val="sk-SK"/>
        </w:rPr>
        <w:t>farmakokinetické</w:t>
      </w:r>
      <w:proofErr w:type="spellEnd"/>
      <w:r w:rsidRPr="00C23474">
        <w:rPr>
          <w:szCs w:val="22"/>
          <w:lang w:val="sk-SK"/>
        </w:rPr>
        <w:t xml:space="preserve"> interakcie.</w:t>
      </w:r>
    </w:p>
    <w:p w:rsidR="0059636A" w:rsidRPr="00C23474" w:rsidRDefault="0059636A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23474">
        <w:rPr>
          <w:b/>
          <w:szCs w:val="22"/>
          <w:lang w:val="sk-SK"/>
        </w:rPr>
        <w:t>4.6</w:t>
      </w:r>
      <w:r w:rsidRPr="00C23474">
        <w:rPr>
          <w:b/>
          <w:szCs w:val="22"/>
          <w:lang w:val="sk-SK"/>
        </w:rPr>
        <w:tab/>
      </w:r>
      <w:proofErr w:type="spellStart"/>
      <w:r w:rsidRPr="00C23474">
        <w:rPr>
          <w:b/>
          <w:szCs w:val="22"/>
          <w:lang w:val="sk-SK"/>
        </w:rPr>
        <w:t>Fertilita</w:t>
      </w:r>
      <w:proofErr w:type="spellEnd"/>
      <w:r w:rsidRPr="00C23474">
        <w:rPr>
          <w:b/>
          <w:szCs w:val="22"/>
          <w:lang w:val="sk-SK"/>
        </w:rPr>
        <w:t>, gravidita a laktácia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u w:val="single"/>
          <w:lang w:val="sk-SK"/>
        </w:rPr>
        <w:t>Gravidita</w:t>
      </w:r>
    </w:p>
    <w:p w:rsidR="00C1741F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Ako preventívne opatrenie je vhodnejšie vylúčiť užívanie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v tehotenstve.</w:t>
      </w:r>
    </w:p>
    <w:p w:rsidR="009B308E" w:rsidRPr="00C23474" w:rsidRDefault="009B308E" w:rsidP="0055371C">
      <w:pPr>
        <w:spacing w:line="240" w:lineRule="auto"/>
        <w:rPr>
          <w:szCs w:val="22"/>
          <w:lang w:val="sk-SK"/>
        </w:rPr>
      </w:pPr>
    </w:p>
    <w:p w:rsidR="009B308E" w:rsidRPr="00C23474" w:rsidRDefault="000B35D6" w:rsidP="0055371C">
      <w:pPr>
        <w:spacing w:line="240" w:lineRule="auto"/>
        <w:rPr>
          <w:szCs w:val="22"/>
          <w:lang w:val="sk-SK"/>
        </w:rPr>
      </w:pPr>
      <w:r w:rsidRPr="000B35D6">
        <w:rPr>
          <w:szCs w:val="22"/>
          <w:lang w:val="sk-SK"/>
        </w:rPr>
        <w:t xml:space="preserve">Nie sú k dispozícii alebo je iba obmedzené množstvo údajov o použití </w:t>
      </w:r>
      <w:proofErr w:type="spellStart"/>
      <w:r>
        <w:rPr>
          <w:szCs w:val="22"/>
          <w:lang w:val="sk-SK"/>
        </w:rPr>
        <w:t>zolpidemu</w:t>
      </w:r>
      <w:proofErr w:type="spellEnd"/>
      <w:r w:rsidRPr="000B35D6">
        <w:rPr>
          <w:szCs w:val="22"/>
          <w:lang w:val="sk-SK"/>
        </w:rPr>
        <w:t xml:space="preserve"> u gravidných žien.</w:t>
      </w:r>
      <w:r>
        <w:rPr>
          <w:szCs w:val="22"/>
          <w:lang w:val="sk-SK"/>
        </w:rPr>
        <w:t xml:space="preserve"> </w:t>
      </w:r>
      <w:r w:rsidR="005C115A" w:rsidRPr="00C23474">
        <w:rPr>
          <w:szCs w:val="22"/>
          <w:lang w:val="sk-SK"/>
        </w:rPr>
        <w:t xml:space="preserve">Hoci štúdie na zvieratách nepreukázali žiadne </w:t>
      </w:r>
      <w:proofErr w:type="spellStart"/>
      <w:r w:rsidR="005C115A" w:rsidRPr="00C23474">
        <w:rPr>
          <w:szCs w:val="22"/>
          <w:lang w:val="sk-SK"/>
        </w:rPr>
        <w:t>teratogénne</w:t>
      </w:r>
      <w:proofErr w:type="spellEnd"/>
      <w:r w:rsidR="005C115A" w:rsidRPr="00C23474">
        <w:rPr>
          <w:szCs w:val="22"/>
          <w:lang w:val="sk-SK"/>
        </w:rPr>
        <w:t xml:space="preserve"> alebo </w:t>
      </w:r>
      <w:proofErr w:type="spellStart"/>
      <w:r w:rsidR="005C115A" w:rsidRPr="00C23474">
        <w:rPr>
          <w:szCs w:val="22"/>
          <w:lang w:val="sk-SK"/>
        </w:rPr>
        <w:t>embryotoxické</w:t>
      </w:r>
      <w:proofErr w:type="spellEnd"/>
      <w:r w:rsidR="005C115A" w:rsidRPr="00C23474">
        <w:rPr>
          <w:szCs w:val="22"/>
          <w:lang w:val="sk-SK"/>
        </w:rPr>
        <w:t xml:space="preserve"> účinky, bezpečnosť v priebehu tehotenstva sa nestanovila. Ako aj pri iných liekoch, ani </w:t>
      </w:r>
      <w:proofErr w:type="spellStart"/>
      <w:r w:rsidR="005C115A" w:rsidRPr="00C23474">
        <w:rPr>
          <w:szCs w:val="22"/>
          <w:lang w:val="sk-SK"/>
        </w:rPr>
        <w:t>zolpidem</w:t>
      </w:r>
      <w:proofErr w:type="spellEnd"/>
      <w:r w:rsidR="005C115A" w:rsidRPr="00C23474">
        <w:rPr>
          <w:szCs w:val="22"/>
          <w:lang w:val="sk-SK"/>
        </w:rPr>
        <w:t xml:space="preserve"> sa nemá užívať v tehotenstve, najmä počas prvého </w:t>
      </w:r>
      <w:proofErr w:type="spellStart"/>
      <w:r w:rsidR="005C115A" w:rsidRPr="00C23474">
        <w:rPr>
          <w:szCs w:val="22"/>
          <w:lang w:val="sk-SK"/>
        </w:rPr>
        <w:t>trimestra</w:t>
      </w:r>
      <w:proofErr w:type="spellEnd"/>
      <w:r w:rsidR="005C115A" w:rsidRPr="00C23474">
        <w:rPr>
          <w:szCs w:val="22"/>
          <w:lang w:val="sk-SK"/>
        </w:rPr>
        <w:t xml:space="preserve"> . </w:t>
      </w:r>
    </w:p>
    <w:p w:rsidR="009B308E" w:rsidRPr="00C23474" w:rsidRDefault="009B308E" w:rsidP="0055371C">
      <w:pPr>
        <w:spacing w:line="240" w:lineRule="auto"/>
        <w:rPr>
          <w:szCs w:val="22"/>
          <w:lang w:val="sk-SK"/>
        </w:rPr>
      </w:pPr>
    </w:p>
    <w:p w:rsidR="009B308E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Ak sa liek predpisuje žene vo fertilnom veku je potrebné ju upozorniť, že ak bude plánovať tehotenstvo alebo bude mať podozrenie, že je tehotná, musí kontaktovať svojho lekára kvôli ukončeniu liečby. </w:t>
      </w:r>
    </w:p>
    <w:p w:rsidR="00CF6F87" w:rsidRPr="00C23474" w:rsidRDefault="00CF6F87" w:rsidP="0055371C">
      <w:pPr>
        <w:spacing w:line="240" w:lineRule="auto"/>
        <w:rPr>
          <w:szCs w:val="22"/>
          <w:lang w:val="sk-SK"/>
        </w:rPr>
      </w:pPr>
    </w:p>
    <w:p w:rsidR="00CF6F87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Ak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užívala žena počas vyššieho štádia tehotenstva alebo počas pôrodu, je vzhľadom na farmakologický účinok lieku možné očakávať účinky na novorodenca ako je hypotermia, hypotónia a stredne ťažká respiračná depresia. Ak sa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užíval súčasne s inými liekmi tlmiacimi CNS na konci gravidity, boli hlásené prípady ťažkej </w:t>
      </w:r>
      <w:proofErr w:type="spellStart"/>
      <w:r w:rsidRPr="00C23474">
        <w:rPr>
          <w:szCs w:val="22"/>
          <w:lang w:val="sk-SK"/>
        </w:rPr>
        <w:t>neonatálnej</w:t>
      </w:r>
      <w:proofErr w:type="spellEnd"/>
      <w:r w:rsidRPr="00C23474">
        <w:rPr>
          <w:szCs w:val="22"/>
          <w:lang w:val="sk-SK"/>
        </w:rPr>
        <w:t xml:space="preserve"> respiračnej depresie. </w:t>
      </w:r>
    </w:p>
    <w:p w:rsidR="003A4DDA" w:rsidRPr="00C23474" w:rsidRDefault="003A4DDA" w:rsidP="0055371C">
      <w:pPr>
        <w:spacing w:line="240" w:lineRule="auto"/>
        <w:rPr>
          <w:szCs w:val="22"/>
          <w:lang w:val="sk-SK"/>
        </w:rPr>
      </w:pPr>
    </w:p>
    <w:p w:rsidR="00C1741F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Navyše, u detí narodených matkám, ktoré chronicky užívali sedatíva/hypnotiká počas vyšších štádií tehotenstva sa môže vyvinúť fyzická závislosť a v </w:t>
      </w:r>
      <w:proofErr w:type="spellStart"/>
      <w:r w:rsidRPr="00C23474">
        <w:rPr>
          <w:szCs w:val="22"/>
          <w:lang w:val="sk-SK"/>
        </w:rPr>
        <w:t>postnatálnom</w:t>
      </w:r>
      <w:proofErr w:type="spellEnd"/>
      <w:r w:rsidRPr="00C23474">
        <w:rPr>
          <w:szCs w:val="22"/>
          <w:lang w:val="sk-SK"/>
        </w:rPr>
        <w:t xml:space="preserve"> období je riziko vzniku abstinenčných príznakov.</w:t>
      </w:r>
    </w:p>
    <w:p w:rsidR="00C1741F" w:rsidRPr="00C23474" w:rsidRDefault="00C1741F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u w:val="single"/>
          <w:lang w:val="sk-SK"/>
        </w:rPr>
        <w:t>Dojčenie</w:t>
      </w:r>
    </w:p>
    <w:p w:rsidR="0055371C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Malé množstvo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prechádza do materského mlieka. Užívanie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u dojčiacich matiek sa preto neodporúča.</w:t>
      </w:r>
    </w:p>
    <w:p w:rsidR="003A4DDA" w:rsidRPr="00C23474" w:rsidRDefault="003A4DDA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23474">
        <w:rPr>
          <w:b/>
          <w:szCs w:val="22"/>
          <w:lang w:val="sk-SK"/>
        </w:rPr>
        <w:t>4.7</w:t>
      </w:r>
      <w:r w:rsidRPr="00C23474">
        <w:rPr>
          <w:b/>
          <w:szCs w:val="22"/>
          <w:lang w:val="sk-SK"/>
        </w:rPr>
        <w:tab/>
        <w:t>Ovplyvnenie schopnosti viesť vozidlá a obsluhovať stroje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="00B11AA5">
        <w:rPr>
          <w:szCs w:val="22"/>
          <w:lang w:val="sk-SK"/>
        </w:rPr>
        <w:t>Xantis</w:t>
      </w:r>
      <w:proofErr w:type="spellEnd"/>
      <w:r w:rsidR="00B11AA5" w:rsidRPr="00C23474">
        <w:rPr>
          <w:szCs w:val="22"/>
          <w:lang w:val="sk-SK"/>
        </w:rPr>
        <w:t xml:space="preserve"> </w:t>
      </w:r>
      <w:r w:rsidRPr="00C23474">
        <w:rPr>
          <w:szCs w:val="22"/>
          <w:lang w:val="sk-SK"/>
        </w:rPr>
        <w:t>10 mg má veľký vplyv na schopnosť viesť vozidlá a obsluhovať stroje.</w:t>
      </w:r>
    </w:p>
    <w:p w:rsidR="003A4DDA" w:rsidRPr="00C23474" w:rsidRDefault="003A4DDA" w:rsidP="0055371C">
      <w:pPr>
        <w:spacing w:line="240" w:lineRule="auto"/>
        <w:rPr>
          <w:szCs w:val="22"/>
          <w:lang w:val="sk-SK"/>
        </w:rPr>
      </w:pPr>
    </w:p>
    <w:p w:rsidR="003A4DDA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Vodiči vozidiel a pracovníci obsluhujúci stroje majú byť upozornení na to, že tak ako v prípade iných hypnotík, ráno po liečbe existuje možné riziko malátnosti, predĺženého reakčného času, závratov, ospalosti, rozmazaného/dvojitého videnia, zníženej ostražitosti a zhoršenej schopnosti viesť vozidlá (pozri časť 4.8). Na minimalizovanie tohto rizika sa odporúča obdobie odpočinku v trvaní najmenej 8 hodín medzi užitím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a vedením vozidla, obsluhovaním strojov a prácou vo výškach.</w:t>
      </w:r>
    </w:p>
    <w:p w:rsidR="003A4DDA" w:rsidRPr="00C23474" w:rsidRDefault="003A4DDA" w:rsidP="0055371C">
      <w:pPr>
        <w:spacing w:line="240" w:lineRule="auto"/>
        <w:rPr>
          <w:szCs w:val="22"/>
          <w:lang w:val="sk-SK"/>
        </w:rPr>
      </w:pPr>
    </w:p>
    <w:p w:rsidR="003A4DDA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Zhoršenie schopnosti viesť vozidlá a prejavy ako je </w:t>
      </w:r>
      <w:proofErr w:type="spellStart"/>
      <w:r w:rsidRPr="00C23474">
        <w:rPr>
          <w:szCs w:val="22"/>
          <w:lang w:val="sk-SK"/>
        </w:rPr>
        <w:t>mikrospánok</w:t>
      </w:r>
      <w:proofErr w:type="spellEnd"/>
      <w:r w:rsidRPr="00C23474">
        <w:rPr>
          <w:szCs w:val="22"/>
          <w:lang w:val="sk-SK"/>
        </w:rPr>
        <w:t xml:space="preserve"> sa objavili v prípade podania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samostatne pri terapeutických dávkach.</w:t>
      </w:r>
    </w:p>
    <w:p w:rsidR="003A4DDA" w:rsidRPr="00C23474" w:rsidRDefault="003A4DDA" w:rsidP="0055371C">
      <w:pPr>
        <w:spacing w:line="240" w:lineRule="auto"/>
        <w:rPr>
          <w:szCs w:val="22"/>
          <w:lang w:val="sk-SK"/>
        </w:rPr>
      </w:pPr>
    </w:p>
    <w:p w:rsidR="003A4DDA" w:rsidRPr="00C23474" w:rsidRDefault="005C115A" w:rsidP="0055371C">
      <w:pPr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Okrem toho súčasné podanie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 xml:space="preserve"> s alkoholom a inými liekmi s tlmiacim účinkom na CNS zvyšuje riziko takýchto prejavov pozri časti 4.4. a 4.5). Pacienti majú byť upozornení, aby neužívali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s alkoholom alebo inými </w:t>
      </w:r>
      <w:proofErr w:type="spellStart"/>
      <w:r w:rsidRPr="00C23474">
        <w:rPr>
          <w:szCs w:val="22"/>
          <w:lang w:val="sk-SK"/>
        </w:rPr>
        <w:t>psychoaktívnymi</w:t>
      </w:r>
      <w:proofErr w:type="spellEnd"/>
      <w:r w:rsidRPr="00C23474">
        <w:rPr>
          <w:szCs w:val="22"/>
          <w:lang w:val="sk-SK"/>
        </w:rPr>
        <w:t xml:space="preserve"> látkami. 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outlineLvl w:val="0"/>
        <w:rPr>
          <w:b/>
          <w:szCs w:val="22"/>
          <w:lang w:val="sk-SK"/>
        </w:rPr>
      </w:pPr>
      <w:r w:rsidRPr="00C23474">
        <w:rPr>
          <w:b/>
          <w:szCs w:val="22"/>
          <w:lang w:val="sk-SK"/>
        </w:rPr>
        <w:t>4.8</w:t>
      </w:r>
      <w:r w:rsidRPr="00C23474">
        <w:rPr>
          <w:b/>
          <w:szCs w:val="22"/>
          <w:lang w:val="sk-SK"/>
        </w:rPr>
        <w:tab/>
        <w:t>Nežiaduce účinky</w:t>
      </w:r>
    </w:p>
    <w:p w:rsidR="0055371C" w:rsidRPr="00C23474" w:rsidRDefault="0055371C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0A723F" w:rsidRPr="00C23474" w:rsidRDefault="005C115A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>Nasledujúce nežiaduce účinky sú rozdelené podľa orgánových tried a na základe frekvencie výskytu sa delia na:</w:t>
      </w:r>
    </w:p>
    <w:p w:rsidR="000A723F" w:rsidRPr="00C23474" w:rsidRDefault="005C115A" w:rsidP="0055371C">
      <w:pPr>
        <w:autoSpaceDE w:val="0"/>
        <w:autoSpaceDN w:val="0"/>
        <w:adjustRightInd w:val="0"/>
        <w:spacing w:line="240" w:lineRule="auto"/>
        <w:rPr>
          <w:rFonts w:eastAsia="Calibri"/>
          <w:noProof/>
          <w:szCs w:val="22"/>
          <w:lang w:val="sk-SK"/>
        </w:rPr>
      </w:pPr>
      <w:r w:rsidRPr="00C23474">
        <w:rPr>
          <w:szCs w:val="22"/>
          <w:lang w:val="sk-SK"/>
        </w:rPr>
        <w:t xml:space="preserve">veľmi časté </w:t>
      </w:r>
      <w:r w:rsidRPr="00C23474">
        <w:rPr>
          <w:rFonts w:eastAsia="Calibri"/>
          <w:noProof/>
          <w:szCs w:val="22"/>
          <w:lang w:val="sk-SK"/>
        </w:rPr>
        <w:sym w:font="Symbol" w:char="F0B3"/>
      </w:r>
      <w:r w:rsidRPr="00C23474">
        <w:rPr>
          <w:rFonts w:eastAsia="Calibri"/>
          <w:noProof/>
          <w:szCs w:val="22"/>
          <w:lang w:val="sk-SK"/>
        </w:rPr>
        <w:t xml:space="preserve">1/10; časté </w:t>
      </w:r>
      <w:r w:rsidRPr="00C23474">
        <w:rPr>
          <w:rFonts w:eastAsia="Calibri"/>
          <w:noProof/>
          <w:szCs w:val="22"/>
          <w:lang w:val="sk-SK"/>
        </w:rPr>
        <w:sym w:font="Symbol" w:char="F0B3"/>
      </w:r>
      <w:r w:rsidRPr="00C23474">
        <w:rPr>
          <w:rFonts w:eastAsia="Calibri"/>
          <w:noProof/>
          <w:szCs w:val="22"/>
          <w:lang w:val="sk-SK"/>
        </w:rPr>
        <w:t xml:space="preserve">1/100 až &lt;1/10; menej časté </w:t>
      </w:r>
      <w:r w:rsidRPr="00C23474">
        <w:rPr>
          <w:rFonts w:eastAsia="Calibri"/>
          <w:noProof/>
          <w:szCs w:val="22"/>
          <w:lang w:val="sk-SK"/>
        </w:rPr>
        <w:sym w:font="Symbol" w:char="F0B3"/>
      </w:r>
      <w:r w:rsidRPr="00C23474">
        <w:rPr>
          <w:rFonts w:eastAsia="Calibri"/>
          <w:noProof/>
          <w:szCs w:val="22"/>
          <w:lang w:val="sk-SK"/>
        </w:rPr>
        <w:t xml:space="preserve">1/1,000 až &lt;1/100; zriedkavé </w:t>
      </w:r>
      <w:r w:rsidRPr="00C23474">
        <w:rPr>
          <w:rFonts w:eastAsia="Calibri"/>
          <w:noProof/>
          <w:szCs w:val="22"/>
          <w:lang w:val="sk-SK"/>
        </w:rPr>
        <w:sym w:font="Symbol" w:char="F0B3"/>
      </w:r>
      <w:r w:rsidRPr="00C23474">
        <w:rPr>
          <w:rFonts w:eastAsia="Calibri"/>
          <w:noProof/>
          <w:szCs w:val="22"/>
          <w:lang w:val="sk-SK"/>
        </w:rPr>
        <w:t xml:space="preserve">1/10,000 až &lt;1/1,000;  </w:t>
      </w:r>
      <w:r w:rsidR="00D4074C">
        <w:rPr>
          <w:rFonts w:eastAsia="Calibri"/>
          <w:noProof/>
          <w:szCs w:val="22"/>
          <w:lang w:val="sk-SK"/>
        </w:rPr>
        <w:t>veľmi</w:t>
      </w:r>
      <w:r w:rsidRPr="00C23474">
        <w:rPr>
          <w:rFonts w:eastAsia="Calibri"/>
          <w:noProof/>
          <w:szCs w:val="22"/>
          <w:lang w:val="sk-SK"/>
        </w:rPr>
        <w:t xml:space="preserve"> zriedkavé &lt;</w:t>
      </w:r>
      <w:r w:rsidRPr="00C23474">
        <w:rPr>
          <w:color w:val="000000"/>
          <w:szCs w:val="22"/>
          <w:lang w:val="sk-SK"/>
        </w:rPr>
        <w:t xml:space="preserve">1/10,000; </w:t>
      </w:r>
      <w:r w:rsidRPr="00C23474">
        <w:rPr>
          <w:rFonts w:eastAsia="Calibri"/>
          <w:noProof/>
          <w:szCs w:val="22"/>
          <w:lang w:val="sk-SK"/>
        </w:rPr>
        <w:t>neznáme (z dostupných údajov)</w:t>
      </w:r>
    </w:p>
    <w:p w:rsidR="009C39D0" w:rsidRPr="00C23474" w:rsidRDefault="009C39D0" w:rsidP="0055371C">
      <w:pPr>
        <w:autoSpaceDE w:val="0"/>
        <w:autoSpaceDN w:val="0"/>
        <w:adjustRightInd w:val="0"/>
        <w:spacing w:line="240" w:lineRule="auto"/>
        <w:rPr>
          <w:rFonts w:eastAsia="Calibri"/>
          <w:noProof/>
          <w:szCs w:val="22"/>
          <w:lang w:val="sk-SK"/>
        </w:rPr>
      </w:pPr>
    </w:p>
    <w:p w:rsidR="009C39D0" w:rsidRPr="00C23474" w:rsidRDefault="005C115A" w:rsidP="0055371C">
      <w:pPr>
        <w:autoSpaceDE w:val="0"/>
        <w:autoSpaceDN w:val="0"/>
        <w:adjustRightInd w:val="0"/>
        <w:spacing w:line="240" w:lineRule="auto"/>
        <w:rPr>
          <w:rFonts w:eastAsia="Calibri"/>
          <w:noProof/>
          <w:szCs w:val="22"/>
          <w:lang w:val="sk-SK"/>
        </w:rPr>
      </w:pPr>
      <w:r w:rsidRPr="00C23474">
        <w:rPr>
          <w:rFonts w:eastAsia="Calibri"/>
          <w:noProof/>
          <w:szCs w:val="22"/>
          <w:lang w:val="sk-SK"/>
        </w:rPr>
        <w:t xml:space="preserve">Existujú dôkazy o vzťahu medzi dávkou a nežiaducimi účinkami spojenými s užívaním zolpidemu, najmä pre určité účinky na CNS. Ako sa odporúča v časti 4.2, tieto majú byť teoreticky slabšie, ak sa zolpidem užíva bezprostredne pred </w:t>
      </w:r>
      <w:r w:rsidR="000B35D6" w:rsidRPr="000B35D6">
        <w:rPr>
          <w:szCs w:val="22"/>
          <w:lang w:val="sk-SK"/>
        </w:rPr>
        <w:t>uložením sa do postele alebo až v posteli</w:t>
      </w:r>
      <w:r w:rsidR="000B35D6" w:rsidRPr="000C13DE">
        <w:rPr>
          <w:szCs w:val="22"/>
        </w:rPr>
        <w:t>.</w:t>
      </w:r>
      <w:r w:rsidRPr="00C23474">
        <w:rPr>
          <w:rFonts w:eastAsia="Calibri"/>
          <w:noProof/>
          <w:szCs w:val="22"/>
          <w:lang w:val="sk-SK"/>
        </w:rPr>
        <w:t>. Vykytujú sa najčastejšie u starších pacientov.</w:t>
      </w:r>
    </w:p>
    <w:p w:rsidR="00035549" w:rsidRPr="00C23474" w:rsidRDefault="00035549" w:rsidP="0055371C">
      <w:pPr>
        <w:autoSpaceDE w:val="0"/>
        <w:autoSpaceDN w:val="0"/>
        <w:adjustRightInd w:val="0"/>
        <w:spacing w:line="240" w:lineRule="auto"/>
        <w:rPr>
          <w:rFonts w:eastAsia="Calibri"/>
          <w:noProof/>
          <w:szCs w:val="22"/>
          <w:lang w:val="sk-SK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300"/>
        <w:gridCol w:w="1919"/>
        <w:gridCol w:w="2268"/>
        <w:gridCol w:w="2552"/>
      </w:tblGrid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Trieda orgánových systémov</w:t>
            </w:r>
          </w:p>
        </w:tc>
        <w:tc>
          <w:tcPr>
            <w:tcW w:w="1919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 xml:space="preserve">Časté  </w:t>
            </w:r>
          </w:p>
        </w:tc>
        <w:tc>
          <w:tcPr>
            <w:tcW w:w="2268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Menej časté</w:t>
            </w:r>
          </w:p>
        </w:tc>
        <w:tc>
          <w:tcPr>
            <w:tcW w:w="2552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 xml:space="preserve">Neznáme </w:t>
            </w: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 xml:space="preserve">Poruchy imunitnéhy </w:t>
            </w: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lastRenderedPageBreak/>
              <w:t>systému</w:t>
            </w:r>
          </w:p>
        </w:tc>
        <w:tc>
          <w:tcPr>
            <w:tcW w:w="1919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268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noProof/>
                <w:szCs w:val="22"/>
                <w:lang w:val="sk-SK"/>
              </w:rPr>
              <w:t>angioneurotický edém</w:t>
            </w: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lastRenderedPageBreak/>
              <w:t>Psychické poruchy</w:t>
            </w:r>
          </w:p>
        </w:tc>
        <w:tc>
          <w:tcPr>
            <w:tcW w:w="1919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C23474">
              <w:rPr>
                <w:szCs w:val="22"/>
                <w:lang w:val="sk-SK"/>
              </w:rPr>
              <w:t>halucinácie, rozrušenie, nočné mory</w:t>
            </w:r>
          </w:p>
        </w:tc>
        <w:tc>
          <w:tcPr>
            <w:tcW w:w="2268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C23474">
              <w:rPr>
                <w:szCs w:val="22"/>
                <w:lang w:val="sk-SK"/>
              </w:rPr>
              <w:t>stav zmätenosti, podráždenosť</w:t>
            </w:r>
          </w:p>
        </w:tc>
        <w:tc>
          <w:tcPr>
            <w:tcW w:w="2552" w:type="dxa"/>
          </w:tcPr>
          <w:p w:rsidR="00E53569" w:rsidRPr="002324EB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  <w:szCs w:val="22"/>
                <w:lang w:val="sk-SK"/>
              </w:rPr>
            </w:pPr>
            <w:r w:rsidRPr="002324EB">
              <w:rPr>
                <w:szCs w:val="22"/>
                <w:lang w:val="sk-SK"/>
              </w:rPr>
              <w:t xml:space="preserve">nepokoj, agresia, bludy, zúrivosť, psychózy, neprimerané správanie, </w:t>
            </w:r>
            <w:r w:rsidRPr="002324EB">
              <w:rPr>
                <w:color w:val="000000"/>
                <w:szCs w:val="22"/>
                <w:lang w:val="sk-SK"/>
              </w:rPr>
              <w:t xml:space="preserve">somnambulizmus (pozri časť 4.4), závislosť (abstinenčné syndrómy alebo </w:t>
            </w:r>
            <w:proofErr w:type="spellStart"/>
            <w:r w:rsidRPr="002324EB">
              <w:rPr>
                <w:color w:val="000000"/>
                <w:szCs w:val="22"/>
                <w:lang w:val="sk-SK"/>
              </w:rPr>
              <w:t>rebound</w:t>
            </w:r>
            <w:proofErr w:type="spellEnd"/>
            <w:r w:rsidRPr="002324EB">
              <w:rPr>
                <w:color w:val="000000"/>
                <w:szCs w:val="22"/>
                <w:lang w:val="sk-SK"/>
              </w:rPr>
              <w:t xml:space="preserve"> fenomén sa môžu vyskytnúť po prerušení liečby), poruchy libida, depresia (pozri časť 4.4)</w:t>
            </w:r>
          </w:p>
          <w:p w:rsidR="00543193" w:rsidRPr="00C23474" w:rsidRDefault="005C115A" w:rsidP="00543193">
            <w:pPr>
              <w:pStyle w:val="Zkladntext"/>
              <w:rPr>
                <w:color w:val="000000"/>
                <w:sz w:val="22"/>
                <w:szCs w:val="22"/>
              </w:rPr>
            </w:pPr>
            <w:r w:rsidRPr="00C23474">
              <w:rPr>
                <w:color w:val="000000"/>
                <w:sz w:val="22"/>
                <w:szCs w:val="22"/>
              </w:rPr>
              <w:t>Väčšina týchto psychických nežiaducich účinkov je spojená s paradoxnými reakciami.</w:t>
            </w: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43193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Poruchy nervového systému</w:t>
            </w:r>
          </w:p>
        </w:tc>
        <w:tc>
          <w:tcPr>
            <w:tcW w:w="1919" w:type="dxa"/>
          </w:tcPr>
          <w:p w:rsidR="00E53569" w:rsidRPr="00C23474" w:rsidRDefault="005C115A" w:rsidP="00543193">
            <w:pPr>
              <w:pStyle w:val="Zkladntext"/>
              <w:tabs>
                <w:tab w:val="left" w:pos="110"/>
              </w:tabs>
              <w:rPr>
                <w:color w:val="000000"/>
                <w:sz w:val="22"/>
                <w:szCs w:val="22"/>
              </w:rPr>
            </w:pPr>
            <w:r w:rsidRPr="00C23474">
              <w:rPr>
                <w:color w:val="000000"/>
                <w:sz w:val="22"/>
                <w:szCs w:val="22"/>
              </w:rPr>
              <w:t xml:space="preserve">ospanlivosť, bolesť hlavy, závraty, zhoršujúca sa </w:t>
            </w:r>
            <w:proofErr w:type="spellStart"/>
            <w:r w:rsidRPr="00C23474">
              <w:rPr>
                <w:color w:val="000000"/>
                <w:sz w:val="22"/>
                <w:szCs w:val="22"/>
              </w:rPr>
              <w:t>insomnia</w:t>
            </w:r>
            <w:proofErr w:type="spellEnd"/>
            <w:r w:rsidRPr="00C23474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23474">
              <w:rPr>
                <w:color w:val="000000"/>
                <w:sz w:val="22"/>
                <w:szCs w:val="22"/>
              </w:rPr>
              <w:t>anterográdna</w:t>
            </w:r>
            <w:proofErr w:type="spellEnd"/>
            <w:r w:rsidRPr="00C23474">
              <w:rPr>
                <w:color w:val="000000"/>
                <w:sz w:val="22"/>
                <w:szCs w:val="22"/>
              </w:rPr>
              <w:t xml:space="preserve"> amnézia (tento účinok môže byť sprevádzaný </w:t>
            </w:r>
            <w:proofErr w:type="spellStart"/>
            <w:r w:rsidRPr="00C23474">
              <w:rPr>
                <w:color w:val="000000"/>
                <w:sz w:val="22"/>
                <w:szCs w:val="22"/>
              </w:rPr>
              <w:t>nepri</w:t>
            </w:r>
            <w:r w:rsidR="002324EB">
              <w:rPr>
                <w:color w:val="000000"/>
                <w:sz w:val="22"/>
                <w:szCs w:val="22"/>
              </w:rPr>
              <w:t>-</w:t>
            </w:r>
            <w:r w:rsidRPr="00C23474">
              <w:rPr>
                <w:color w:val="000000"/>
                <w:sz w:val="22"/>
                <w:szCs w:val="22"/>
              </w:rPr>
              <w:t>meraným</w:t>
            </w:r>
            <w:proofErr w:type="spellEnd"/>
            <w:r w:rsidRPr="00C23474">
              <w:rPr>
                <w:color w:val="000000"/>
                <w:sz w:val="22"/>
                <w:szCs w:val="22"/>
              </w:rPr>
              <w:t xml:space="preserve"> správaním)</w:t>
            </w:r>
          </w:p>
        </w:tc>
        <w:tc>
          <w:tcPr>
            <w:tcW w:w="2268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E53569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znížená úroveň vedomia</w:t>
            </w:r>
          </w:p>
        </w:tc>
      </w:tr>
      <w:tr w:rsidR="00543193" w:rsidRPr="002324EB" w:rsidTr="00543193">
        <w:tc>
          <w:tcPr>
            <w:tcW w:w="2300" w:type="dxa"/>
          </w:tcPr>
          <w:p w:rsidR="00543193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Poruchy oka</w:t>
            </w:r>
          </w:p>
        </w:tc>
        <w:tc>
          <w:tcPr>
            <w:tcW w:w="1919" w:type="dxa"/>
          </w:tcPr>
          <w:p w:rsidR="00543193" w:rsidRPr="00C23474" w:rsidRDefault="00543193" w:rsidP="00543193">
            <w:pPr>
              <w:pStyle w:val="Zkladntext"/>
              <w:tabs>
                <w:tab w:val="left" w:pos="1276"/>
              </w:tabs>
              <w:ind w:left="1275" w:hanging="1275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</w:tcPr>
          <w:p w:rsidR="00543193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dvojité videnie</w:t>
            </w:r>
          </w:p>
        </w:tc>
        <w:tc>
          <w:tcPr>
            <w:tcW w:w="2552" w:type="dxa"/>
          </w:tcPr>
          <w:p w:rsidR="00543193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Poruchy dýchacej sstavy, hrudníka a mediastína</w:t>
            </w:r>
          </w:p>
        </w:tc>
        <w:tc>
          <w:tcPr>
            <w:tcW w:w="1919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268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E53569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respiračná depresia (pozri časť 4.4)</w:t>
            </w: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Poruchy gastrointestinálneho traktu</w:t>
            </w:r>
          </w:p>
        </w:tc>
        <w:tc>
          <w:tcPr>
            <w:tcW w:w="1919" w:type="dxa"/>
          </w:tcPr>
          <w:p w:rsidR="00E53569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hnačka, nutkanie na vracanie, vracanie, bolesti brucha</w:t>
            </w:r>
          </w:p>
        </w:tc>
        <w:tc>
          <w:tcPr>
            <w:tcW w:w="2268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Poruchy pečene a žlčových ciest</w:t>
            </w:r>
          </w:p>
        </w:tc>
        <w:tc>
          <w:tcPr>
            <w:tcW w:w="1919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268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E53569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zvýšenie pečeňových enzýmov</w:t>
            </w: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Poruchy kože a podkožného tkaniva</w:t>
            </w:r>
          </w:p>
        </w:tc>
        <w:tc>
          <w:tcPr>
            <w:tcW w:w="1919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268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E53569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vyrážka, svrbenie, žihľavka, nadmerné potenie</w:t>
            </w: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Poruchy kostrovej a svalovej sústavy a spojivového tkaniva</w:t>
            </w:r>
          </w:p>
        </w:tc>
        <w:tc>
          <w:tcPr>
            <w:tcW w:w="1919" w:type="dxa"/>
          </w:tcPr>
          <w:p w:rsidR="00E53569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bolesť chrbta</w:t>
            </w:r>
          </w:p>
        </w:tc>
        <w:tc>
          <w:tcPr>
            <w:tcW w:w="2268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E53569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svalová slabosť</w:t>
            </w: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Infekcie a nákazy</w:t>
            </w:r>
          </w:p>
        </w:tc>
        <w:tc>
          <w:tcPr>
            <w:tcW w:w="1919" w:type="dxa"/>
          </w:tcPr>
          <w:p w:rsidR="00E53569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infekcie horných dýchacích ciest, infekcie dolných dýchacích ciest</w:t>
            </w:r>
          </w:p>
        </w:tc>
        <w:tc>
          <w:tcPr>
            <w:tcW w:w="2268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</w:tr>
      <w:tr w:rsidR="00E53569" w:rsidRPr="002324EB" w:rsidTr="00543193">
        <w:tc>
          <w:tcPr>
            <w:tcW w:w="2300" w:type="dxa"/>
          </w:tcPr>
          <w:p w:rsidR="00E53569" w:rsidRPr="00C23474" w:rsidRDefault="005C115A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b/>
                <w:noProof/>
                <w:szCs w:val="22"/>
                <w:lang w:val="sk-SK"/>
              </w:rPr>
            </w:pPr>
            <w:r w:rsidRPr="00C23474">
              <w:rPr>
                <w:rFonts w:eastAsia="Calibri"/>
                <w:b/>
                <w:noProof/>
                <w:szCs w:val="22"/>
                <w:lang w:val="sk-SK"/>
              </w:rPr>
              <w:t>Celkové poruchy a reakcie v mieste podania</w:t>
            </w:r>
          </w:p>
        </w:tc>
        <w:tc>
          <w:tcPr>
            <w:tcW w:w="1919" w:type="dxa"/>
          </w:tcPr>
          <w:p w:rsidR="00E53569" w:rsidRPr="00C23474" w:rsidRDefault="00543193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  <w:r w:rsidRPr="002324EB">
              <w:rPr>
                <w:color w:val="000000"/>
                <w:szCs w:val="22"/>
                <w:lang w:val="sk-SK"/>
              </w:rPr>
              <w:t>únava</w:t>
            </w:r>
          </w:p>
        </w:tc>
        <w:tc>
          <w:tcPr>
            <w:tcW w:w="2268" w:type="dxa"/>
          </w:tcPr>
          <w:p w:rsidR="00E53569" w:rsidRPr="00C23474" w:rsidRDefault="00E53569" w:rsidP="0055371C">
            <w:pPr>
              <w:autoSpaceDE w:val="0"/>
              <w:autoSpaceDN w:val="0"/>
              <w:adjustRightInd w:val="0"/>
              <w:spacing w:line="240" w:lineRule="auto"/>
              <w:rPr>
                <w:rFonts w:eastAsia="Calibri"/>
                <w:noProof/>
                <w:szCs w:val="22"/>
                <w:lang w:val="sk-SK"/>
              </w:rPr>
            </w:pPr>
          </w:p>
        </w:tc>
        <w:tc>
          <w:tcPr>
            <w:tcW w:w="2552" w:type="dxa"/>
          </w:tcPr>
          <w:p w:rsidR="00E53569" w:rsidRPr="00C23474" w:rsidRDefault="005C115A" w:rsidP="00543193">
            <w:pPr>
              <w:pStyle w:val="Zkladntext"/>
              <w:tabs>
                <w:tab w:val="left" w:pos="45"/>
              </w:tabs>
              <w:rPr>
                <w:rFonts w:eastAsia="Calibri"/>
                <w:noProof/>
                <w:sz w:val="22"/>
                <w:szCs w:val="22"/>
              </w:rPr>
            </w:pPr>
            <w:r w:rsidRPr="00C23474">
              <w:rPr>
                <w:color w:val="000000"/>
                <w:sz w:val="22"/>
                <w:szCs w:val="22"/>
              </w:rPr>
              <w:t xml:space="preserve">poruchy chôdze, lieková tolerancia, pády (prevažne u starších pacientov a ak sa </w:t>
            </w:r>
            <w:proofErr w:type="spellStart"/>
            <w:r w:rsidRPr="00C23474">
              <w:rPr>
                <w:color w:val="000000"/>
                <w:sz w:val="22"/>
                <w:szCs w:val="22"/>
              </w:rPr>
              <w:t>zolpidem</w:t>
            </w:r>
            <w:proofErr w:type="spellEnd"/>
            <w:r w:rsidRPr="00C23474">
              <w:rPr>
                <w:color w:val="000000"/>
                <w:sz w:val="22"/>
                <w:szCs w:val="22"/>
              </w:rPr>
              <w:t xml:space="preserve"> neužíval podľa predpísaného odporúčania) (pozri časť 4.4)</w:t>
            </w:r>
          </w:p>
        </w:tc>
      </w:tr>
    </w:tbl>
    <w:p w:rsidR="0055371C" w:rsidRPr="00C23474" w:rsidRDefault="005C115A" w:rsidP="0055371C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C23474">
        <w:rPr>
          <w:szCs w:val="22"/>
          <w:u w:val="single"/>
          <w:lang w:val="sk-SK"/>
        </w:rPr>
        <w:lastRenderedPageBreak/>
        <w:t>Hlásenie podozrení na nežiaduce reakcie</w:t>
      </w:r>
    </w:p>
    <w:p w:rsidR="0055371C" w:rsidRPr="00C23474" w:rsidRDefault="005C115A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prostredníctvom </w:t>
      </w:r>
      <w:r w:rsidRPr="00C23474">
        <w:rPr>
          <w:szCs w:val="22"/>
          <w:highlight w:val="lightGray"/>
          <w:lang w:val="sk-SK"/>
        </w:rPr>
        <w:t>národného systému hlásenia uvedeného v </w:t>
      </w:r>
      <w:hyperlink r:id="rId8" w:history="1">
        <w:r w:rsidRPr="00C23474">
          <w:rPr>
            <w:rStyle w:val="Hypertextovprepojenie"/>
            <w:szCs w:val="22"/>
            <w:lang w:val="sk-SK"/>
          </w:rPr>
          <w:t>Prílohe V</w:t>
        </w:r>
      </w:hyperlink>
      <w:r w:rsidRPr="00C23474">
        <w:rPr>
          <w:szCs w:val="22"/>
          <w:lang w:val="sk-SK"/>
        </w:rPr>
        <w:t>.</w:t>
      </w:r>
    </w:p>
    <w:p w:rsidR="0055371C" w:rsidRPr="00C23474" w:rsidRDefault="0055371C" w:rsidP="0055371C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23474">
        <w:rPr>
          <w:b/>
          <w:szCs w:val="22"/>
          <w:lang w:val="sk-SK"/>
        </w:rPr>
        <w:t>4.9</w:t>
      </w:r>
      <w:r w:rsidRPr="00C23474">
        <w:rPr>
          <w:b/>
          <w:szCs w:val="22"/>
          <w:lang w:val="sk-SK"/>
        </w:rPr>
        <w:tab/>
        <w:t>Predávkovanie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V prípadoch predávkovania samotným </w:t>
      </w:r>
      <w:proofErr w:type="spellStart"/>
      <w:r w:rsidRPr="00C23474">
        <w:rPr>
          <w:color w:val="000000"/>
          <w:szCs w:val="22"/>
          <w:lang w:val="sk-SK"/>
        </w:rPr>
        <w:t>zolpidemom</w:t>
      </w:r>
      <w:proofErr w:type="spellEnd"/>
      <w:r w:rsidRPr="00C23474">
        <w:rPr>
          <w:color w:val="000000"/>
          <w:szCs w:val="22"/>
          <w:lang w:val="sk-SK"/>
        </w:rPr>
        <w:t xml:space="preserve"> alebo v kombinácii s inými látkami tlmiacimi činnosť CNS (vrátane alkoholu) bol</w:t>
      </w:r>
      <w:r w:rsidR="000B35D6">
        <w:rPr>
          <w:color w:val="000000"/>
          <w:szCs w:val="22"/>
          <w:lang w:val="sk-SK"/>
        </w:rPr>
        <w:t>a</w:t>
      </w:r>
      <w:r w:rsidRPr="00C23474">
        <w:rPr>
          <w:color w:val="000000"/>
          <w:szCs w:val="22"/>
          <w:lang w:val="sk-SK"/>
        </w:rPr>
        <w:t xml:space="preserve"> zaznamenan</w:t>
      </w:r>
      <w:r w:rsidR="000B35D6">
        <w:rPr>
          <w:color w:val="000000"/>
          <w:szCs w:val="22"/>
          <w:lang w:val="sk-SK"/>
        </w:rPr>
        <w:t>á</w:t>
      </w:r>
      <w:r w:rsidRPr="00C23474">
        <w:rPr>
          <w:color w:val="000000"/>
          <w:szCs w:val="22"/>
          <w:lang w:val="sk-SK"/>
        </w:rPr>
        <w:t xml:space="preserve"> </w:t>
      </w:r>
      <w:r w:rsidR="000836AF">
        <w:rPr>
          <w:color w:val="000000"/>
          <w:szCs w:val="22"/>
          <w:lang w:val="sk-SK"/>
        </w:rPr>
        <w:t>porucha</w:t>
      </w:r>
      <w:r w:rsidRPr="00C23474">
        <w:rPr>
          <w:color w:val="000000"/>
          <w:szCs w:val="22"/>
          <w:lang w:val="sk-SK"/>
        </w:rPr>
        <w:t xml:space="preserve"> vedomia (od ospanlivosti až po kómu), ale aj závažnejšia </w:t>
      </w:r>
      <w:proofErr w:type="spellStart"/>
      <w:r w:rsidRPr="00C23474">
        <w:rPr>
          <w:color w:val="000000"/>
          <w:szCs w:val="22"/>
          <w:lang w:val="sk-SK"/>
        </w:rPr>
        <w:t>symptomatológia</w:t>
      </w:r>
      <w:proofErr w:type="spellEnd"/>
      <w:r w:rsidRPr="00C23474">
        <w:rPr>
          <w:color w:val="000000"/>
          <w:szCs w:val="22"/>
          <w:lang w:val="sk-SK"/>
        </w:rPr>
        <w:t xml:space="preserve"> vrátane </w:t>
      </w:r>
      <w:r w:rsidR="000836AF">
        <w:rPr>
          <w:color w:val="000000"/>
          <w:szCs w:val="22"/>
          <w:lang w:val="sk-SK"/>
        </w:rPr>
        <w:t>prípadov úmrtia</w:t>
      </w:r>
      <w:r w:rsidRPr="00C23474">
        <w:rPr>
          <w:color w:val="000000"/>
          <w:szCs w:val="22"/>
          <w:lang w:val="sk-SK"/>
        </w:rPr>
        <w:t>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Majú sa použiť všeobecné symptomatické a podporné opatrenia. Ak vyprázdnenie žalúdka nie je vhodné, na zníženie absorpcie sa má podať aktívne uhlie. Lieky so sedatívnym účinkom sa majú vynechať aj v prípade objavenia sa </w:t>
      </w:r>
      <w:proofErr w:type="spellStart"/>
      <w:r w:rsidRPr="00C23474">
        <w:rPr>
          <w:color w:val="000000"/>
          <w:szCs w:val="22"/>
          <w:lang w:val="sk-SK"/>
        </w:rPr>
        <w:t>excitácie</w:t>
      </w:r>
      <w:proofErr w:type="spellEnd"/>
      <w:r w:rsidRPr="00C23474">
        <w:rPr>
          <w:color w:val="000000"/>
          <w:szCs w:val="22"/>
          <w:lang w:val="sk-SK"/>
        </w:rPr>
        <w:t xml:space="preserve">. Pri závažných príznakoch je možné zvážiť podanie </w:t>
      </w:r>
      <w:proofErr w:type="spellStart"/>
      <w:r w:rsidRPr="00C23474">
        <w:rPr>
          <w:color w:val="000000"/>
          <w:szCs w:val="22"/>
          <w:lang w:val="sk-SK"/>
        </w:rPr>
        <w:t>flumazenilu</w:t>
      </w:r>
      <w:proofErr w:type="spellEnd"/>
      <w:r w:rsidRPr="00C23474">
        <w:rPr>
          <w:color w:val="000000"/>
          <w:szCs w:val="22"/>
          <w:lang w:val="sk-SK"/>
        </w:rPr>
        <w:t xml:space="preserve">. Avšak, podanie </w:t>
      </w:r>
      <w:proofErr w:type="spellStart"/>
      <w:r w:rsidRPr="00C23474">
        <w:rPr>
          <w:color w:val="000000"/>
          <w:szCs w:val="22"/>
          <w:lang w:val="sk-SK"/>
        </w:rPr>
        <w:t>flumazenilu</w:t>
      </w:r>
      <w:proofErr w:type="spellEnd"/>
      <w:r w:rsidRPr="00C23474">
        <w:rPr>
          <w:color w:val="000000"/>
          <w:szCs w:val="22"/>
          <w:lang w:val="sk-SK"/>
        </w:rPr>
        <w:t xml:space="preserve"> môže prispieť k výskytu neurologických symptómov (kŕče).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proofErr w:type="spellStart"/>
      <w:r w:rsidRPr="00C23474">
        <w:rPr>
          <w:color w:val="000000"/>
          <w:szCs w:val="22"/>
          <w:lang w:val="sk-SK"/>
        </w:rPr>
        <w:t>Zolpidem</w:t>
      </w:r>
      <w:proofErr w:type="spellEnd"/>
      <w:r w:rsidRPr="00C23474">
        <w:rPr>
          <w:color w:val="000000"/>
          <w:szCs w:val="22"/>
          <w:lang w:val="sk-SK"/>
        </w:rPr>
        <w:t xml:space="preserve"> nie je </w:t>
      </w:r>
      <w:proofErr w:type="spellStart"/>
      <w:r w:rsidRPr="00C23474">
        <w:rPr>
          <w:color w:val="000000"/>
          <w:szCs w:val="22"/>
          <w:lang w:val="sk-SK"/>
        </w:rPr>
        <w:t>dialyzovateľný</w:t>
      </w:r>
      <w:proofErr w:type="spellEnd"/>
      <w:r w:rsidRPr="00C23474">
        <w:rPr>
          <w:color w:val="000000"/>
          <w:szCs w:val="22"/>
          <w:lang w:val="sk-SK"/>
        </w:rPr>
        <w:t xml:space="preserve">. Hemodialýza a nútená </w:t>
      </w:r>
      <w:proofErr w:type="spellStart"/>
      <w:r w:rsidRPr="00C23474">
        <w:rPr>
          <w:color w:val="000000"/>
          <w:szCs w:val="22"/>
          <w:lang w:val="sk-SK"/>
        </w:rPr>
        <w:t>diuréza</w:t>
      </w:r>
      <w:proofErr w:type="spellEnd"/>
      <w:r w:rsidRPr="00C23474">
        <w:rPr>
          <w:color w:val="000000"/>
          <w:szCs w:val="22"/>
          <w:lang w:val="sk-SK"/>
        </w:rPr>
        <w:t xml:space="preserve"> nie sú účinné v dôsledku veľkého distribučného objemu a vysokej väzby </w:t>
      </w:r>
      <w:proofErr w:type="spellStart"/>
      <w:r w:rsidRPr="00C23474">
        <w:rPr>
          <w:color w:val="000000"/>
          <w:szCs w:val="22"/>
          <w:lang w:val="sk-SK"/>
        </w:rPr>
        <w:t>zolpidemu</w:t>
      </w:r>
      <w:proofErr w:type="spellEnd"/>
      <w:r w:rsidRPr="00C23474">
        <w:rPr>
          <w:color w:val="000000"/>
          <w:szCs w:val="22"/>
          <w:lang w:val="sk-SK"/>
        </w:rPr>
        <w:t xml:space="preserve"> na plazmatické proteíny.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rPr>
          <w:szCs w:val="22"/>
          <w:lang w:val="sk-SK"/>
        </w:rPr>
      </w:pPr>
      <w:r w:rsidRPr="00C23474">
        <w:rPr>
          <w:b/>
          <w:szCs w:val="22"/>
          <w:lang w:val="sk-SK"/>
        </w:rPr>
        <w:t>5.</w:t>
      </w:r>
      <w:r w:rsidRPr="00C23474">
        <w:rPr>
          <w:b/>
          <w:szCs w:val="22"/>
          <w:lang w:val="sk-SK"/>
        </w:rPr>
        <w:tab/>
        <w:t>FARMAKOLOGICKÉ VLASTNOSTI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55371C" w:rsidRPr="00C23474" w:rsidRDefault="005C115A" w:rsidP="0055371C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C23474">
        <w:rPr>
          <w:b/>
          <w:szCs w:val="22"/>
          <w:lang w:val="sk-SK"/>
        </w:rPr>
        <w:t>5.1</w:t>
      </w:r>
      <w:r w:rsidRPr="00C23474">
        <w:rPr>
          <w:b/>
          <w:szCs w:val="22"/>
          <w:lang w:val="sk-SK"/>
        </w:rPr>
        <w:tab/>
      </w:r>
      <w:proofErr w:type="spellStart"/>
      <w:r w:rsidRPr="00C23474">
        <w:rPr>
          <w:b/>
          <w:szCs w:val="22"/>
          <w:lang w:val="sk-SK"/>
        </w:rPr>
        <w:t>Farmakodynamické</w:t>
      </w:r>
      <w:proofErr w:type="spellEnd"/>
      <w:r w:rsidRPr="00C23474">
        <w:rPr>
          <w:b/>
          <w:szCs w:val="22"/>
          <w:lang w:val="sk-SK"/>
        </w:rPr>
        <w:t xml:space="preserve"> vlastnosti</w:t>
      </w:r>
    </w:p>
    <w:p w:rsidR="0055371C" w:rsidRPr="00C23474" w:rsidRDefault="0055371C" w:rsidP="0055371C">
      <w:pPr>
        <w:spacing w:line="240" w:lineRule="auto"/>
        <w:rPr>
          <w:szCs w:val="22"/>
          <w:lang w:val="sk-SK"/>
        </w:rPr>
      </w:pPr>
    </w:p>
    <w:p w:rsidR="00306A9A" w:rsidRPr="00C23474" w:rsidRDefault="005C115A" w:rsidP="00306A9A">
      <w:pPr>
        <w:pStyle w:val="Nadpis1"/>
        <w:rPr>
          <w:color w:val="000000"/>
          <w:sz w:val="22"/>
          <w:szCs w:val="22"/>
        </w:rPr>
      </w:pPr>
      <w:proofErr w:type="spellStart"/>
      <w:r w:rsidRPr="00C23474">
        <w:rPr>
          <w:color w:val="000000"/>
          <w:sz w:val="22"/>
          <w:szCs w:val="22"/>
        </w:rPr>
        <w:t>Farmakoterapeutická</w:t>
      </w:r>
      <w:proofErr w:type="spellEnd"/>
      <w:r w:rsidRPr="00C23474">
        <w:rPr>
          <w:color w:val="000000"/>
          <w:sz w:val="22"/>
          <w:szCs w:val="22"/>
        </w:rPr>
        <w:t xml:space="preserve"> skupina: Hypnotikum a sedatívum, </w:t>
      </w:r>
    </w:p>
    <w:p w:rsidR="00306A9A" w:rsidRPr="00C23474" w:rsidRDefault="005C115A" w:rsidP="00306A9A">
      <w:pPr>
        <w:pStyle w:val="Nadpis1"/>
        <w:rPr>
          <w:color w:val="000000"/>
          <w:sz w:val="22"/>
          <w:szCs w:val="22"/>
        </w:rPr>
      </w:pPr>
      <w:r w:rsidRPr="00C23474">
        <w:rPr>
          <w:color w:val="000000"/>
          <w:sz w:val="22"/>
          <w:szCs w:val="22"/>
        </w:rPr>
        <w:t>ATC kód: N05CF02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proofErr w:type="spellStart"/>
      <w:r w:rsidRPr="00C23474">
        <w:rPr>
          <w:color w:val="000000"/>
          <w:szCs w:val="22"/>
          <w:lang w:val="sk-SK"/>
        </w:rPr>
        <w:t>Zolpidem</w:t>
      </w:r>
      <w:proofErr w:type="spellEnd"/>
      <w:r w:rsidRPr="00C23474">
        <w:rPr>
          <w:color w:val="000000"/>
          <w:szCs w:val="22"/>
          <w:lang w:val="sk-SK"/>
        </w:rPr>
        <w:t xml:space="preserve"> je </w:t>
      </w:r>
      <w:proofErr w:type="spellStart"/>
      <w:r w:rsidRPr="00C23474">
        <w:rPr>
          <w:color w:val="000000"/>
          <w:szCs w:val="22"/>
          <w:lang w:val="sk-SK"/>
        </w:rPr>
        <w:t>imidazopyridín</w:t>
      </w:r>
      <w:proofErr w:type="spellEnd"/>
      <w:r w:rsidRPr="00C23474">
        <w:rPr>
          <w:color w:val="000000"/>
          <w:szCs w:val="22"/>
          <w:lang w:val="sk-SK"/>
        </w:rPr>
        <w:t xml:space="preserve">, ktorý sa prednostne viaže na </w:t>
      </w:r>
      <w:proofErr w:type="spellStart"/>
      <w:r w:rsidRPr="00C23474">
        <w:rPr>
          <w:color w:val="000000"/>
          <w:szCs w:val="22"/>
          <w:lang w:val="sk-SK"/>
        </w:rPr>
        <w:t>subtyp</w:t>
      </w:r>
      <w:proofErr w:type="spellEnd"/>
      <w:r w:rsidRPr="00C23474">
        <w:rPr>
          <w:color w:val="000000"/>
          <w:szCs w:val="22"/>
          <w:lang w:val="sk-SK"/>
        </w:rPr>
        <w:t xml:space="preserve"> omega-1 (známy je tiež ako </w:t>
      </w:r>
      <w:proofErr w:type="spellStart"/>
      <w:r w:rsidRPr="00C23474">
        <w:rPr>
          <w:color w:val="000000"/>
          <w:szCs w:val="22"/>
          <w:lang w:val="sk-SK"/>
        </w:rPr>
        <w:t>subtyp</w:t>
      </w:r>
      <w:proofErr w:type="spellEnd"/>
      <w:r w:rsidRPr="00C23474">
        <w:rPr>
          <w:color w:val="000000"/>
          <w:szCs w:val="22"/>
          <w:lang w:val="sk-SK"/>
        </w:rPr>
        <w:t xml:space="preserve"> 1 </w:t>
      </w:r>
      <w:proofErr w:type="spellStart"/>
      <w:r w:rsidRPr="00C23474">
        <w:rPr>
          <w:color w:val="000000"/>
          <w:szCs w:val="22"/>
          <w:lang w:val="sk-SK"/>
        </w:rPr>
        <w:t>benzodiazepínov</w:t>
      </w:r>
      <w:proofErr w:type="spellEnd"/>
      <w:r w:rsidRPr="00C23474">
        <w:rPr>
          <w:color w:val="000000"/>
          <w:szCs w:val="22"/>
          <w:lang w:val="sk-SK"/>
        </w:rPr>
        <w:t xml:space="preserve">), čo zodpovedá GABA-A receptoru, ktorý obsahuje alfa-1 </w:t>
      </w:r>
      <w:proofErr w:type="spellStart"/>
      <w:r w:rsidRPr="00C23474">
        <w:rPr>
          <w:color w:val="000000"/>
          <w:szCs w:val="22"/>
          <w:lang w:val="sk-SK"/>
        </w:rPr>
        <w:t>subjednotku</w:t>
      </w:r>
      <w:proofErr w:type="spellEnd"/>
      <w:r w:rsidRPr="00C23474">
        <w:rPr>
          <w:color w:val="000000"/>
          <w:szCs w:val="22"/>
          <w:lang w:val="sk-SK"/>
        </w:rPr>
        <w:t xml:space="preserve">, zatiaľ čo </w:t>
      </w:r>
      <w:proofErr w:type="spellStart"/>
      <w:r w:rsidRPr="00C23474">
        <w:rPr>
          <w:color w:val="000000"/>
          <w:szCs w:val="22"/>
          <w:lang w:val="sk-SK"/>
        </w:rPr>
        <w:t>benzodiazepíny</w:t>
      </w:r>
      <w:proofErr w:type="spellEnd"/>
      <w:r w:rsidRPr="00C23474">
        <w:rPr>
          <w:color w:val="000000"/>
          <w:szCs w:val="22"/>
          <w:lang w:val="sk-SK"/>
        </w:rPr>
        <w:t xml:space="preserve"> sa neselektívne viažu aj na omega-1 aj omega-2 </w:t>
      </w:r>
      <w:proofErr w:type="spellStart"/>
      <w:r w:rsidRPr="00C23474">
        <w:rPr>
          <w:color w:val="000000"/>
          <w:szCs w:val="22"/>
          <w:lang w:val="sk-SK"/>
        </w:rPr>
        <w:t>subtypy</w:t>
      </w:r>
      <w:proofErr w:type="spellEnd"/>
      <w:r w:rsidRPr="00C23474">
        <w:rPr>
          <w:color w:val="000000"/>
          <w:szCs w:val="22"/>
          <w:lang w:val="sk-SK"/>
        </w:rPr>
        <w:t xml:space="preserve">. Ovplyvnenie toku </w:t>
      </w:r>
      <w:proofErr w:type="spellStart"/>
      <w:r w:rsidRPr="00C23474">
        <w:rPr>
          <w:color w:val="000000"/>
          <w:szCs w:val="22"/>
          <w:lang w:val="sk-SK"/>
        </w:rPr>
        <w:t>chloridových</w:t>
      </w:r>
      <w:proofErr w:type="spellEnd"/>
      <w:r w:rsidRPr="00C23474">
        <w:rPr>
          <w:color w:val="000000"/>
          <w:szCs w:val="22"/>
          <w:lang w:val="sk-SK"/>
        </w:rPr>
        <w:t xml:space="preserve"> aniónov prostredníctvom týchto receptorov vedie k špecifickému sedatívnemu účinku, ktorý reprezentuje </w:t>
      </w:r>
      <w:proofErr w:type="spellStart"/>
      <w:r w:rsidRPr="00C23474">
        <w:rPr>
          <w:color w:val="000000"/>
          <w:szCs w:val="22"/>
          <w:lang w:val="sk-SK"/>
        </w:rPr>
        <w:t>zolpidem</w:t>
      </w:r>
      <w:proofErr w:type="spellEnd"/>
      <w:r w:rsidRPr="00C23474">
        <w:rPr>
          <w:color w:val="000000"/>
          <w:szCs w:val="22"/>
          <w:lang w:val="sk-SK"/>
        </w:rPr>
        <w:t xml:space="preserve">. Tieto účinky možno zvrátiť </w:t>
      </w:r>
      <w:proofErr w:type="spellStart"/>
      <w:r w:rsidRPr="00C23474">
        <w:rPr>
          <w:color w:val="000000"/>
          <w:szCs w:val="22"/>
          <w:lang w:val="sk-SK"/>
        </w:rPr>
        <w:t>benzodiazepínovým</w:t>
      </w:r>
      <w:proofErr w:type="spellEnd"/>
      <w:r w:rsidRPr="00C23474">
        <w:rPr>
          <w:color w:val="000000"/>
          <w:szCs w:val="22"/>
          <w:lang w:val="sk-SK"/>
        </w:rPr>
        <w:t xml:space="preserve"> antagonistom </w:t>
      </w:r>
      <w:proofErr w:type="spellStart"/>
      <w:r w:rsidRPr="00C23474">
        <w:rPr>
          <w:color w:val="000000"/>
          <w:szCs w:val="22"/>
          <w:lang w:val="sk-SK"/>
        </w:rPr>
        <w:t>flumazenilom</w:t>
      </w:r>
      <w:proofErr w:type="spellEnd"/>
      <w:r w:rsidRPr="00C23474">
        <w:rPr>
          <w:color w:val="000000"/>
          <w:szCs w:val="22"/>
          <w:lang w:val="sk-SK"/>
        </w:rPr>
        <w:t xml:space="preserve">. 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pStyle w:val="Nadpis3"/>
        <w:rPr>
          <w:rFonts w:ascii="Times New Roman" w:hAnsi="Times New Roman" w:cs="Times New Roman"/>
          <w:color w:val="000000"/>
          <w:sz w:val="22"/>
          <w:szCs w:val="22"/>
          <w:u w:val="none"/>
        </w:rPr>
      </w:pPr>
      <w:r w:rsidRPr="00C23474">
        <w:rPr>
          <w:rFonts w:ascii="Times New Roman" w:hAnsi="Times New Roman" w:cs="Times New Roman"/>
          <w:color w:val="000000"/>
          <w:sz w:val="22"/>
          <w:szCs w:val="22"/>
        </w:rPr>
        <w:t>U zvierat</w:t>
      </w:r>
      <w:r w:rsidRPr="00C23474">
        <w:rPr>
          <w:rFonts w:ascii="Times New Roman" w:hAnsi="Times New Roman" w:cs="Times New Roman"/>
          <w:color w:val="000000"/>
          <w:sz w:val="22"/>
          <w:szCs w:val="22"/>
          <w:u w:val="none"/>
        </w:rPr>
        <w:t xml:space="preserve">: Selektívna väzba </w:t>
      </w:r>
      <w:proofErr w:type="spellStart"/>
      <w:r w:rsidRPr="00C23474">
        <w:rPr>
          <w:rFonts w:ascii="Times New Roman" w:hAnsi="Times New Roman" w:cs="Times New Roman"/>
          <w:color w:val="000000"/>
          <w:sz w:val="22"/>
          <w:szCs w:val="22"/>
          <w:u w:val="none"/>
        </w:rPr>
        <w:t>zolpidemu</w:t>
      </w:r>
      <w:proofErr w:type="spellEnd"/>
      <w:r w:rsidRPr="00C23474">
        <w:rPr>
          <w:rFonts w:ascii="Times New Roman" w:hAnsi="Times New Roman" w:cs="Times New Roman"/>
          <w:color w:val="000000"/>
          <w:sz w:val="22"/>
          <w:szCs w:val="22"/>
          <w:u w:val="none"/>
        </w:rPr>
        <w:t xml:space="preserve"> na omega-1 receptory môže vysvetliť virtuálnu absenciu </w:t>
      </w:r>
      <w:proofErr w:type="spellStart"/>
      <w:r w:rsidRPr="00C23474">
        <w:rPr>
          <w:rFonts w:ascii="Times New Roman" w:hAnsi="Times New Roman" w:cs="Times New Roman"/>
          <w:color w:val="000000"/>
          <w:sz w:val="22"/>
          <w:szCs w:val="22"/>
          <w:u w:val="none"/>
        </w:rPr>
        <w:t>myorelaxačného</w:t>
      </w:r>
      <w:proofErr w:type="spellEnd"/>
      <w:r w:rsidRPr="00C23474">
        <w:rPr>
          <w:rFonts w:ascii="Times New Roman" w:hAnsi="Times New Roman" w:cs="Times New Roman"/>
          <w:color w:val="000000"/>
          <w:sz w:val="22"/>
          <w:szCs w:val="22"/>
          <w:u w:val="none"/>
        </w:rPr>
        <w:t xml:space="preserve"> a </w:t>
      </w:r>
      <w:proofErr w:type="spellStart"/>
      <w:r w:rsidRPr="00C23474">
        <w:rPr>
          <w:rFonts w:ascii="Times New Roman" w:hAnsi="Times New Roman" w:cs="Times New Roman"/>
          <w:color w:val="000000"/>
          <w:sz w:val="22"/>
          <w:szCs w:val="22"/>
          <w:u w:val="none"/>
        </w:rPr>
        <w:t>antikonvulzívneho</w:t>
      </w:r>
      <w:proofErr w:type="spellEnd"/>
      <w:r w:rsidRPr="00C23474">
        <w:rPr>
          <w:rFonts w:ascii="Times New Roman" w:hAnsi="Times New Roman" w:cs="Times New Roman"/>
          <w:color w:val="000000"/>
          <w:sz w:val="22"/>
          <w:szCs w:val="22"/>
          <w:u w:val="none"/>
        </w:rPr>
        <w:t xml:space="preserve"> účinku na zvieratách pri hypnotickej dávke, ktoré sa normálne vyskytujú pri </w:t>
      </w:r>
      <w:proofErr w:type="spellStart"/>
      <w:r w:rsidRPr="00C23474">
        <w:rPr>
          <w:rFonts w:ascii="Times New Roman" w:hAnsi="Times New Roman" w:cs="Times New Roman"/>
          <w:color w:val="000000"/>
          <w:sz w:val="22"/>
          <w:szCs w:val="22"/>
          <w:u w:val="none"/>
        </w:rPr>
        <w:t>benzodiazepínoch</w:t>
      </w:r>
      <w:proofErr w:type="spellEnd"/>
      <w:r w:rsidRPr="00C23474">
        <w:rPr>
          <w:rFonts w:ascii="Times New Roman" w:hAnsi="Times New Roman" w:cs="Times New Roman"/>
          <w:color w:val="000000"/>
          <w:sz w:val="22"/>
          <w:szCs w:val="22"/>
          <w:u w:val="none"/>
        </w:rPr>
        <w:t>, ktoré nie sú selektívne pre omega-1 väzbové miesta.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u w:val="single"/>
          <w:lang w:val="sk-SK"/>
        </w:rPr>
        <w:t>U ľudí</w:t>
      </w:r>
      <w:r w:rsidRPr="00C23474">
        <w:rPr>
          <w:color w:val="000000"/>
          <w:szCs w:val="22"/>
          <w:lang w:val="sk-SK"/>
        </w:rPr>
        <w:t xml:space="preserve">: </w:t>
      </w:r>
      <w:proofErr w:type="spellStart"/>
      <w:r w:rsidRPr="00C23474">
        <w:rPr>
          <w:color w:val="000000"/>
          <w:szCs w:val="22"/>
          <w:lang w:val="sk-SK"/>
        </w:rPr>
        <w:t>Zolpidem</w:t>
      </w:r>
      <w:proofErr w:type="spellEnd"/>
      <w:r w:rsidRPr="00C23474">
        <w:rPr>
          <w:color w:val="000000"/>
          <w:szCs w:val="22"/>
          <w:lang w:val="sk-SK"/>
        </w:rPr>
        <w:t xml:space="preserve"> skracuje nástup spánku, znižuje počet prebudení, čo zvyšuje dĺžku a kvalitu spánku. Tieto účinky sú spojené s charakteristickým EEG profilom, odlišným od profilu </w:t>
      </w:r>
      <w:proofErr w:type="spellStart"/>
      <w:r w:rsidRPr="00C23474">
        <w:rPr>
          <w:color w:val="000000"/>
          <w:szCs w:val="22"/>
          <w:lang w:val="sk-SK"/>
        </w:rPr>
        <w:t>benzodiazepínov</w:t>
      </w:r>
      <w:proofErr w:type="spellEnd"/>
      <w:r w:rsidRPr="00C23474">
        <w:rPr>
          <w:color w:val="000000"/>
          <w:szCs w:val="22"/>
          <w:lang w:val="sk-SK"/>
        </w:rPr>
        <w:t xml:space="preserve">. V štúdiách, v ktorých sa hodnotilo percento času strávené v každom štádiu spánkového cyklu, </w:t>
      </w:r>
      <w:proofErr w:type="spellStart"/>
      <w:r w:rsidRPr="00C23474">
        <w:rPr>
          <w:color w:val="000000"/>
          <w:szCs w:val="22"/>
          <w:lang w:val="sk-SK"/>
        </w:rPr>
        <w:t>zolpidem</w:t>
      </w:r>
      <w:proofErr w:type="spellEnd"/>
      <w:r w:rsidRPr="00C23474">
        <w:rPr>
          <w:color w:val="000000"/>
          <w:szCs w:val="22"/>
          <w:lang w:val="sk-SK"/>
        </w:rPr>
        <w:t xml:space="preserve"> vo všeobecnosti zachoval jednotlivé štádiá spánku.</w:t>
      </w: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Pri odporúčanej dávke </w:t>
      </w:r>
      <w:proofErr w:type="spellStart"/>
      <w:r w:rsidRPr="00C23474">
        <w:rPr>
          <w:color w:val="000000"/>
          <w:szCs w:val="22"/>
          <w:lang w:val="sk-SK"/>
        </w:rPr>
        <w:t>zolpidem</w:t>
      </w:r>
      <w:proofErr w:type="spellEnd"/>
      <w:r w:rsidRPr="00C23474">
        <w:rPr>
          <w:color w:val="000000"/>
          <w:szCs w:val="22"/>
          <w:lang w:val="sk-SK"/>
        </w:rPr>
        <w:t xml:space="preserve"> neovplyvňuje REM fázu. Zachovanie hlbokého spánku (fáza 3 a 4 – NREM ) sa môže vysvetliť selektívnou väzbou </w:t>
      </w:r>
      <w:proofErr w:type="spellStart"/>
      <w:r w:rsidRPr="00C23474">
        <w:rPr>
          <w:color w:val="000000"/>
          <w:szCs w:val="22"/>
          <w:lang w:val="sk-SK"/>
        </w:rPr>
        <w:t>zolpidemu</w:t>
      </w:r>
      <w:proofErr w:type="spellEnd"/>
      <w:r w:rsidRPr="00C23474">
        <w:rPr>
          <w:color w:val="000000"/>
          <w:szCs w:val="22"/>
          <w:lang w:val="sk-SK"/>
        </w:rPr>
        <w:t xml:space="preserve"> na omega-1 receptory. </w:t>
      </w: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Všetky známe účinky </w:t>
      </w:r>
      <w:proofErr w:type="spellStart"/>
      <w:r w:rsidRPr="00C23474">
        <w:rPr>
          <w:color w:val="000000"/>
          <w:szCs w:val="22"/>
          <w:lang w:val="sk-SK"/>
        </w:rPr>
        <w:t>zolpidemu</w:t>
      </w:r>
      <w:proofErr w:type="spellEnd"/>
      <w:r w:rsidRPr="00C23474">
        <w:rPr>
          <w:color w:val="000000"/>
          <w:szCs w:val="22"/>
          <w:lang w:val="sk-SK"/>
        </w:rPr>
        <w:t xml:space="preserve"> sú zvrátiteľné </w:t>
      </w:r>
      <w:proofErr w:type="spellStart"/>
      <w:r w:rsidRPr="00C23474">
        <w:rPr>
          <w:color w:val="000000"/>
          <w:szCs w:val="22"/>
          <w:lang w:val="sk-SK"/>
        </w:rPr>
        <w:t>benzodiazepínovým</w:t>
      </w:r>
      <w:proofErr w:type="spellEnd"/>
      <w:r w:rsidRPr="00C23474">
        <w:rPr>
          <w:color w:val="000000"/>
          <w:szCs w:val="22"/>
          <w:lang w:val="sk-SK"/>
        </w:rPr>
        <w:t xml:space="preserve"> antagonistom </w:t>
      </w:r>
      <w:proofErr w:type="spellStart"/>
      <w:r w:rsidRPr="00C23474">
        <w:rPr>
          <w:color w:val="000000"/>
          <w:szCs w:val="22"/>
          <w:lang w:val="sk-SK"/>
        </w:rPr>
        <w:t>flumazenilom</w:t>
      </w:r>
      <w:proofErr w:type="spellEnd"/>
      <w:r w:rsidRPr="00C23474">
        <w:rPr>
          <w:color w:val="000000"/>
          <w:szCs w:val="22"/>
          <w:lang w:val="sk-SK"/>
        </w:rPr>
        <w:t>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szCs w:val="22"/>
          <w:lang w:val="sk-SK"/>
        </w:rPr>
      </w:pPr>
      <w:proofErr w:type="spellStart"/>
      <w:r w:rsidRPr="00C23474">
        <w:rPr>
          <w:szCs w:val="22"/>
          <w:lang w:val="sk-SK"/>
        </w:rPr>
        <w:t>Randomizované</w:t>
      </w:r>
      <w:proofErr w:type="spellEnd"/>
      <w:r w:rsidRPr="00C23474">
        <w:rPr>
          <w:szCs w:val="22"/>
          <w:lang w:val="sk-SK"/>
        </w:rPr>
        <w:t xml:space="preserve"> štúdie preukázali presvedčivé dôkazy o účinnosti 10 mg </w:t>
      </w:r>
      <w:proofErr w:type="spellStart"/>
      <w:r w:rsidRPr="00C23474">
        <w:rPr>
          <w:szCs w:val="22"/>
          <w:lang w:val="sk-SK"/>
        </w:rPr>
        <w:t>zolpidemu</w:t>
      </w:r>
      <w:proofErr w:type="spellEnd"/>
      <w:r w:rsidRPr="00C23474">
        <w:rPr>
          <w:szCs w:val="22"/>
          <w:lang w:val="sk-SK"/>
        </w:rPr>
        <w:t>.</w:t>
      </w:r>
    </w:p>
    <w:p w:rsidR="00306A9A" w:rsidRPr="00C23474" w:rsidRDefault="005C115A" w:rsidP="00306A9A">
      <w:pPr>
        <w:rPr>
          <w:rStyle w:val="hps"/>
          <w:color w:val="222222"/>
          <w:szCs w:val="22"/>
          <w:lang w:val="sk-SK"/>
        </w:rPr>
      </w:pPr>
      <w:r w:rsidRPr="00C23474">
        <w:rPr>
          <w:szCs w:val="22"/>
          <w:lang w:val="sk-SK"/>
        </w:rPr>
        <w:t xml:space="preserve">V </w:t>
      </w:r>
      <w:proofErr w:type="spellStart"/>
      <w:r w:rsidRPr="00C23474">
        <w:rPr>
          <w:szCs w:val="22"/>
          <w:lang w:val="sk-SK"/>
        </w:rPr>
        <w:t>randomizovanej</w:t>
      </w:r>
      <w:proofErr w:type="spellEnd"/>
      <w:r w:rsidRPr="00C23474">
        <w:rPr>
          <w:szCs w:val="22"/>
          <w:lang w:val="sk-SK"/>
        </w:rPr>
        <w:t xml:space="preserve">, dvojito zaslepenej štúdii u 462 dospelých zdravých dobrovoľníkov vo veku menej ako 65 rokov s prechodnou nespavosťou sa preukázalo, že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10 mg znížil priemerný čas zaspávania o 10 minút v porovnaní s </w:t>
      </w:r>
      <w:proofErr w:type="spellStart"/>
      <w:r w:rsidRPr="00C23474">
        <w:rPr>
          <w:szCs w:val="22"/>
          <w:lang w:val="sk-SK"/>
        </w:rPr>
        <w:t>placebom</w:t>
      </w:r>
      <w:proofErr w:type="spellEnd"/>
      <w:r w:rsidRPr="00C23474">
        <w:rPr>
          <w:szCs w:val="22"/>
          <w:lang w:val="sk-SK"/>
        </w:rPr>
        <w:t xml:space="preserve">, zatiaľ čo 5 mg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o 3 minúty</w:t>
      </w:r>
      <w:r w:rsidRPr="00C23474">
        <w:rPr>
          <w:rStyle w:val="hps"/>
          <w:color w:val="222222"/>
          <w:szCs w:val="22"/>
          <w:lang w:val="sk-SK"/>
        </w:rPr>
        <w:t>.</w:t>
      </w:r>
    </w:p>
    <w:p w:rsidR="00306A9A" w:rsidRPr="00C23474" w:rsidRDefault="00306A9A" w:rsidP="00306A9A">
      <w:pPr>
        <w:rPr>
          <w:szCs w:val="22"/>
          <w:highlight w:val="yellow"/>
          <w:lang w:val="sk-SK"/>
        </w:rPr>
      </w:pPr>
    </w:p>
    <w:p w:rsidR="00306A9A" w:rsidRPr="00C23474" w:rsidRDefault="005C115A" w:rsidP="00306A9A">
      <w:pPr>
        <w:rPr>
          <w:szCs w:val="22"/>
          <w:lang w:val="sk-SK"/>
        </w:rPr>
      </w:pPr>
      <w:r w:rsidRPr="00C23474">
        <w:rPr>
          <w:szCs w:val="22"/>
          <w:lang w:val="sk-SK"/>
        </w:rPr>
        <w:lastRenderedPageBreak/>
        <w:t xml:space="preserve">V </w:t>
      </w:r>
      <w:proofErr w:type="spellStart"/>
      <w:r w:rsidRPr="00C23474">
        <w:rPr>
          <w:szCs w:val="22"/>
          <w:lang w:val="sk-SK"/>
        </w:rPr>
        <w:t>randomizovanej</w:t>
      </w:r>
      <w:proofErr w:type="spellEnd"/>
      <w:r w:rsidRPr="00C23474">
        <w:rPr>
          <w:szCs w:val="22"/>
          <w:lang w:val="sk-SK"/>
        </w:rPr>
        <w:t xml:space="preserve">, dvojito zaslepenej štúdii u 114 dospelých pacientov vo veku menej ako 65 rokov s chronickou nespavosťou,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10 mg znížil priemerný čas zaspávania o 30 minút v porovnaní s </w:t>
      </w:r>
      <w:proofErr w:type="spellStart"/>
      <w:r w:rsidRPr="00C23474">
        <w:rPr>
          <w:szCs w:val="22"/>
          <w:lang w:val="sk-SK"/>
        </w:rPr>
        <w:t>placebom</w:t>
      </w:r>
      <w:proofErr w:type="spellEnd"/>
      <w:r w:rsidRPr="00C23474">
        <w:rPr>
          <w:szCs w:val="22"/>
          <w:lang w:val="sk-SK"/>
        </w:rPr>
        <w:t xml:space="preserve">, zatiaľ čo 5 mg </w:t>
      </w:r>
      <w:proofErr w:type="spellStart"/>
      <w:r w:rsidRPr="00C23474">
        <w:rPr>
          <w:szCs w:val="22"/>
          <w:lang w:val="sk-SK"/>
        </w:rPr>
        <w:t>zolpidem</w:t>
      </w:r>
      <w:proofErr w:type="spellEnd"/>
      <w:r w:rsidRPr="00C23474">
        <w:rPr>
          <w:szCs w:val="22"/>
          <w:lang w:val="sk-SK"/>
        </w:rPr>
        <w:t xml:space="preserve"> o 15 minút.</w:t>
      </w:r>
    </w:p>
    <w:p w:rsidR="00306A9A" w:rsidRPr="00C23474" w:rsidRDefault="00306A9A" w:rsidP="00306A9A">
      <w:pPr>
        <w:rPr>
          <w:szCs w:val="22"/>
          <w:highlight w:val="yellow"/>
          <w:lang w:val="sk-SK"/>
        </w:rPr>
      </w:pPr>
    </w:p>
    <w:p w:rsidR="00306A9A" w:rsidRPr="00C23474" w:rsidRDefault="005C115A" w:rsidP="00306A9A">
      <w:pPr>
        <w:rPr>
          <w:szCs w:val="22"/>
          <w:lang w:val="sk-SK"/>
        </w:rPr>
      </w:pPr>
      <w:r w:rsidRPr="00C23474">
        <w:rPr>
          <w:szCs w:val="22"/>
          <w:lang w:val="sk-SK"/>
        </w:rPr>
        <w:t>U niektorých pacientov môže byť účinná nižšia dávka 5 mg.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E453AA" w:rsidRPr="00C23474" w:rsidRDefault="005C115A" w:rsidP="00E453A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u w:val="single"/>
          <w:lang w:val="sk-SK"/>
        </w:rPr>
        <w:t>Pediatrická populácia</w:t>
      </w:r>
      <w:r w:rsidRPr="00C23474">
        <w:rPr>
          <w:color w:val="000000"/>
          <w:szCs w:val="22"/>
          <w:lang w:val="sk-SK"/>
        </w:rPr>
        <w:t xml:space="preserve">: Bezpečnosť a účinnosť </w:t>
      </w:r>
      <w:proofErr w:type="spellStart"/>
      <w:r w:rsidRPr="00C23474">
        <w:rPr>
          <w:color w:val="000000"/>
          <w:szCs w:val="22"/>
          <w:lang w:val="sk-SK"/>
        </w:rPr>
        <w:t>zolpidemu</w:t>
      </w:r>
      <w:proofErr w:type="spellEnd"/>
      <w:r w:rsidRPr="00C23474">
        <w:rPr>
          <w:color w:val="000000"/>
          <w:szCs w:val="22"/>
          <w:lang w:val="sk-SK"/>
        </w:rPr>
        <w:t xml:space="preserve"> u detí mladších ako 18 rokov nebola stanovená. </w:t>
      </w:r>
      <w:proofErr w:type="spellStart"/>
      <w:r w:rsidRPr="00C23474">
        <w:rPr>
          <w:color w:val="000000"/>
          <w:szCs w:val="22"/>
          <w:lang w:val="sk-SK"/>
        </w:rPr>
        <w:t>Randomizovaná</w:t>
      </w:r>
      <w:proofErr w:type="spellEnd"/>
      <w:r w:rsidRPr="00C23474">
        <w:rPr>
          <w:color w:val="000000"/>
          <w:szCs w:val="22"/>
          <w:lang w:val="sk-SK"/>
        </w:rPr>
        <w:t xml:space="preserve"> </w:t>
      </w:r>
      <w:proofErr w:type="spellStart"/>
      <w:r w:rsidRPr="00C23474">
        <w:rPr>
          <w:color w:val="000000"/>
          <w:szCs w:val="22"/>
          <w:lang w:val="sk-SK"/>
        </w:rPr>
        <w:t>placebom</w:t>
      </w:r>
      <w:proofErr w:type="spellEnd"/>
      <w:r w:rsidRPr="00C23474">
        <w:rPr>
          <w:color w:val="000000"/>
          <w:szCs w:val="22"/>
          <w:lang w:val="sk-SK"/>
        </w:rPr>
        <w:t xml:space="preserve"> kontrolovaná štúdia u 201 detí vo veku 6 až 17 rokov s </w:t>
      </w:r>
      <w:proofErr w:type="spellStart"/>
      <w:r w:rsidRPr="00C23474">
        <w:rPr>
          <w:color w:val="000000"/>
          <w:szCs w:val="22"/>
          <w:lang w:val="sk-SK"/>
        </w:rPr>
        <w:t>insomniou</w:t>
      </w:r>
      <w:proofErr w:type="spellEnd"/>
      <w:r w:rsidRPr="00C23474">
        <w:rPr>
          <w:color w:val="000000"/>
          <w:szCs w:val="22"/>
          <w:lang w:val="sk-SK"/>
        </w:rPr>
        <w:t xml:space="preserve"> spojenou s poruchou pozornosti sprevádzanou </w:t>
      </w:r>
      <w:proofErr w:type="spellStart"/>
      <w:r w:rsidRPr="00C23474">
        <w:rPr>
          <w:color w:val="000000"/>
          <w:szCs w:val="22"/>
          <w:lang w:val="sk-SK"/>
        </w:rPr>
        <w:t>hyperaktivitou</w:t>
      </w:r>
      <w:proofErr w:type="spellEnd"/>
      <w:r w:rsidRPr="00C23474">
        <w:rPr>
          <w:color w:val="000000"/>
          <w:szCs w:val="22"/>
          <w:lang w:val="sk-SK"/>
        </w:rPr>
        <w:t xml:space="preserve"> (ADHD - </w:t>
      </w:r>
      <w:proofErr w:type="spellStart"/>
      <w:r w:rsidRPr="00C23474">
        <w:rPr>
          <w:szCs w:val="22"/>
          <w:lang w:val="sk-SK"/>
        </w:rPr>
        <w:t>Attention</w:t>
      </w:r>
      <w:proofErr w:type="spellEnd"/>
      <w:r w:rsidRPr="00C23474">
        <w:rPr>
          <w:szCs w:val="22"/>
          <w:lang w:val="sk-SK"/>
        </w:rPr>
        <w:t xml:space="preserve"> Deficit </w:t>
      </w:r>
      <w:proofErr w:type="spellStart"/>
      <w:r w:rsidRPr="00C23474">
        <w:rPr>
          <w:szCs w:val="22"/>
          <w:lang w:val="sk-SK"/>
        </w:rPr>
        <w:t>Hyperactivity</w:t>
      </w:r>
      <w:proofErr w:type="spellEnd"/>
      <w:r w:rsidRPr="00C23474">
        <w:rPr>
          <w:szCs w:val="22"/>
          <w:lang w:val="sk-SK"/>
        </w:rPr>
        <w:t xml:space="preserve"> </w:t>
      </w:r>
      <w:proofErr w:type="spellStart"/>
      <w:r w:rsidRPr="00C23474">
        <w:rPr>
          <w:szCs w:val="22"/>
          <w:lang w:val="sk-SK"/>
        </w:rPr>
        <w:t>Disorder</w:t>
      </w:r>
      <w:proofErr w:type="spellEnd"/>
      <w:r w:rsidRPr="00C23474">
        <w:rPr>
          <w:color w:val="000000"/>
          <w:szCs w:val="22"/>
          <w:lang w:val="sk-SK"/>
        </w:rPr>
        <w:t xml:space="preserve">) nepreukázala účinnosť </w:t>
      </w:r>
      <w:proofErr w:type="spellStart"/>
      <w:r w:rsidRPr="00C23474">
        <w:rPr>
          <w:color w:val="000000"/>
          <w:szCs w:val="22"/>
          <w:lang w:val="sk-SK"/>
        </w:rPr>
        <w:t>zolpidemu</w:t>
      </w:r>
      <w:proofErr w:type="spellEnd"/>
      <w:r w:rsidRPr="00C23474">
        <w:rPr>
          <w:color w:val="000000"/>
          <w:szCs w:val="22"/>
          <w:lang w:val="sk-SK"/>
        </w:rPr>
        <w:t xml:space="preserve"> 0,25 mg/kg/deň (maximálne 10 mg/deň) v porovnaní s </w:t>
      </w:r>
      <w:proofErr w:type="spellStart"/>
      <w:r w:rsidRPr="00C23474">
        <w:rPr>
          <w:color w:val="000000"/>
          <w:szCs w:val="22"/>
          <w:lang w:val="sk-SK"/>
        </w:rPr>
        <w:t>placebom</w:t>
      </w:r>
      <w:proofErr w:type="spellEnd"/>
      <w:r w:rsidRPr="00C23474">
        <w:rPr>
          <w:color w:val="000000"/>
          <w:szCs w:val="22"/>
          <w:lang w:val="sk-SK"/>
        </w:rPr>
        <w:t xml:space="preserve">. Psychické poruchy a poruchy nervového systému tvorili najčastejšie sa vyskytujúce nežiaduce udalosti pozorované pri liečbe </w:t>
      </w:r>
      <w:proofErr w:type="spellStart"/>
      <w:r w:rsidRPr="00C23474">
        <w:rPr>
          <w:color w:val="000000"/>
          <w:szCs w:val="22"/>
          <w:lang w:val="sk-SK"/>
        </w:rPr>
        <w:t>zolpidemom</w:t>
      </w:r>
      <w:proofErr w:type="spellEnd"/>
      <w:r w:rsidRPr="00C23474">
        <w:rPr>
          <w:color w:val="000000"/>
          <w:szCs w:val="22"/>
          <w:lang w:val="sk-SK"/>
        </w:rPr>
        <w:t xml:space="preserve"> oproti </w:t>
      </w:r>
      <w:proofErr w:type="spellStart"/>
      <w:r w:rsidRPr="00C23474">
        <w:rPr>
          <w:color w:val="000000"/>
          <w:szCs w:val="22"/>
          <w:lang w:val="sk-SK"/>
        </w:rPr>
        <w:t>placebu</w:t>
      </w:r>
      <w:proofErr w:type="spellEnd"/>
      <w:r w:rsidRPr="00C23474">
        <w:rPr>
          <w:color w:val="000000"/>
          <w:szCs w:val="22"/>
          <w:lang w:val="sk-SK"/>
        </w:rPr>
        <w:t xml:space="preserve"> a zahŕňali závrat (23,5 % oproti 1,5 %), bolesť hlavy (12,5 % oproti 9,2 %) a halucinácie (7,4 % oproti 0 %) (pozri časť 4.2 a 4.3).</w:t>
      </w:r>
    </w:p>
    <w:p w:rsidR="00E453AA" w:rsidRPr="00C23474" w:rsidRDefault="00E453AA" w:rsidP="00E453A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keepNext/>
        <w:tabs>
          <w:tab w:val="left" w:pos="426"/>
        </w:tabs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 xml:space="preserve">5.2 </w:t>
      </w:r>
      <w:r w:rsidRPr="00C23474">
        <w:rPr>
          <w:b/>
          <w:color w:val="000000"/>
          <w:szCs w:val="22"/>
          <w:lang w:val="sk-SK"/>
        </w:rPr>
        <w:tab/>
      </w:r>
      <w:proofErr w:type="spellStart"/>
      <w:r w:rsidRPr="00C23474">
        <w:rPr>
          <w:b/>
          <w:color w:val="000000"/>
          <w:szCs w:val="22"/>
          <w:lang w:val="sk-SK"/>
        </w:rPr>
        <w:t>Farmakokinetické</w:t>
      </w:r>
      <w:proofErr w:type="spellEnd"/>
      <w:r w:rsidRPr="00C23474">
        <w:rPr>
          <w:b/>
          <w:color w:val="000000"/>
          <w:szCs w:val="22"/>
          <w:lang w:val="sk-SK"/>
        </w:rPr>
        <w:t xml:space="preserve"> vlastnosti</w:t>
      </w:r>
    </w:p>
    <w:p w:rsidR="00306A9A" w:rsidRPr="00C23474" w:rsidRDefault="00306A9A" w:rsidP="00306A9A">
      <w:pPr>
        <w:keepNext/>
        <w:rPr>
          <w:color w:val="000000"/>
          <w:szCs w:val="22"/>
          <w:lang w:val="sk-SK"/>
        </w:rPr>
      </w:pPr>
    </w:p>
    <w:p w:rsidR="00543193" w:rsidRPr="00C23474" w:rsidRDefault="005C115A" w:rsidP="00306A9A">
      <w:pPr>
        <w:keepNext/>
        <w:rPr>
          <w:color w:val="000000"/>
          <w:szCs w:val="22"/>
          <w:u w:val="single"/>
          <w:lang w:val="sk-SK"/>
        </w:rPr>
      </w:pPr>
      <w:r w:rsidRPr="00C23474">
        <w:rPr>
          <w:color w:val="000000"/>
          <w:szCs w:val="22"/>
          <w:u w:val="single"/>
          <w:lang w:val="sk-SK"/>
        </w:rPr>
        <w:t>Absorpcia</w:t>
      </w: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proofErr w:type="spellStart"/>
      <w:r w:rsidRPr="00C23474">
        <w:rPr>
          <w:color w:val="000000"/>
          <w:szCs w:val="22"/>
          <w:lang w:val="sk-SK"/>
        </w:rPr>
        <w:t>Zolpidem</w:t>
      </w:r>
      <w:proofErr w:type="spellEnd"/>
      <w:r w:rsidRPr="00C23474">
        <w:rPr>
          <w:color w:val="000000"/>
          <w:szCs w:val="22"/>
          <w:lang w:val="sk-SK"/>
        </w:rPr>
        <w:t xml:space="preserve"> sa aj rýchlo absorbuje a má rýchly nástup účinku. Po perorálnom podaní je biologická dostupnosť 70 % v dôsledku „</w:t>
      </w:r>
      <w:proofErr w:type="spellStart"/>
      <w:r w:rsidRPr="00C23474">
        <w:rPr>
          <w:color w:val="000000"/>
          <w:szCs w:val="22"/>
          <w:lang w:val="sk-SK"/>
        </w:rPr>
        <w:t>first-pass</w:t>
      </w:r>
      <w:proofErr w:type="spellEnd"/>
      <w:r w:rsidRPr="00C23474">
        <w:rPr>
          <w:color w:val="000000"/>
          <w:szCs w:val="22"/>
          <w:lang w:val="sk-SK"/>
        </w:rPr>
        <w:t xml:space="preserve">“ metabolizmu. </w:t>
      </w:r>
      <w:r w:rsidR="000836AF" w:rsidRPr="000836AF">
        <w:rPr>
          <w:color w:val="000000"/>
          <w:szCs w:val="22"/>
          <w:lang w:val="sk-SK"/>
        </w:rPr>
        <w:t>Maximálna plazmatická koncentrácia</w:t>
      </w:r>
      <w:r w:rsidRPr="00C23474">
        <w:rPr>
          <w:color w:val="000000"/>
          <w:szCs w:val="22"/>
          <w:lang w:val="sk-SK"/>
        </w:rPr>
        <w:t xml:space="preserve"> sa dosahuje za 0,5-3 hodiny.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543193" w:rsidRPr="00C23474" w:rsidRDefault="005C115A" w:rsidP="00306A9A">
      <w:pPr>
        <w:rPr>
          <w:color w:val="000000"/>
          <w:szCs w:val="22"/>
          <w:u w:val="single"/>
          <w:lang w:val="sk-SK"/>
        </w:rPr>
      </w:pPr>
      <w:r w:rsidRPr="00C23474">
        <w:rPr>
          <w:color w:val="000000"/>
          <w:szCs w:val="22"/>
          <w:u w:val="single"/>
          <w:lang w:val="sk-SK"/>
        </w:rPr>
        <w:t>Distribúcia</w:t>
      </w:r>
    </w:p>
    <w:p w:rsidR="00543193" w:rsidRPr="00C23474" w:rsidRDefault="005C115A" w:rsidP="00543193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Distribučný objem u dospelých je 0,54 ± 0,02 l/kg a znižuje sa u veľmi starých pacientov na 0,34 ± 0,05 l/kg. Väzba na proteíny je 92,5 % ± 0,1 %. </w:t>
      </w:r>
    </w:p>
    <w:p w:rsidR="00543193" w:rsidRPr="00C23474" w:rsidRDefault="00543193" w:rsidP="00306A9A">
      <w:pPr>
        <w:rPr>
          <w:color w:val="000000"/>
          <w:szCs w:val="22"/>
          <w:lang w:val="sk-SK"/>
        </w:rPr>
      </w:pPr>
    </w:p>
    <w:p w:rsidR="00543193" w:rsidRPr="00C23474" w:rsidRDefault="005C115A" w:rsidP="00306A9A">
      <w:pPr>
        <w:rPr>
          <w:color w:val="000000"/>
          <w:szCs w:val="22"/>
          <w:u w:val="single"/>
          <w:lang w:val="sk-SK"/>
        </w:rPr>
      </w:pPr>
      <w:r w:rsidRPr="00C23474">
        <w:rPr>
          <w:color w:val="000000"/>
          <w:szCs w:val="22"/>
          <w:u w:val="single"/>
          <w:lang w:val="sk-SK"/>
        </w:rPr>
        <w:t>Eliminácia</w:t>
      </w: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Eliminačný polčas je krátky, s priemernou hodnotou 2,4 hodiny (± 0,2 hodiny) a trvanie účinku je do 6 hodín. </w:t>
      </w:r>
      <w:proofErr w:type="spellStart"/>
      <w:r w:rsidRPr="00C23474">
        <w:rPr>
          <w:color w:val="000000"/>
          <w:szCs w:val="22"/>
          <w:lang w:val="sk-SK"/>
        </w:rPr>
        <w:t>Farmakokinetický</w:t>
      </w:r>
      <w:proofErr w:type="spellEnd"/>
      <w:r w:rsidRPr="00C23474">
        <w:rPr>
          <w:color w:val="000000"/>
          <w:szCs w:val="22"/>
          <w:lang w:val="sk-SK"/>
        </w:rPr>
        <w:t xml:space="preserve"> profil </w:t>
      </w:r>
      <w:proofErr w:type="spellStart"/>
      <w:r w:rsidRPr="00C23474">
        <w:rPr>
          <w:color w:val="000000"/>
          <w:szCs w:val="22"/>
          <w:lang w:val="sk-SK"/>
        </w:rPr>
        <w:t>zolpidemu</w:t>
      </w:r>
      <w:proofErr w:type="spellEnd"/>
      <w:r w:rsidRPr="00C23474">
        <w:rPr>
          <w:color w:val="000000"/>
          <w:szCs w:val="22"/>
          <w:lang w:val="sk-SK"/>
        </w:rPr>
        <w:t xml:space="preserve"> je lineárny v terapeutickom rozsahu a nemení sa po opakovanom podaní.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Všetky </w:t>
      </w:r>
      <w:proofErr w:type="spellStart"/>
      <w:r w:rsidRPr="00C23474">
        <w:rPr>
          <w:color w:val="000000"/>
          <w:szCs w:val="22"/>
          <w:lang w:val="sk-SK"/>
        </w:rPr>
        <w:t>metabolity</w:t>
      </w:r>
      <w:proofErr w:type="spellEnd"/>
      <w:r w:rsidRPr="00C23474">
        <w:rPr>
          <w:color w:val="000000"/>
          <w:szCs w:val="22"/>
          <w:lang w:val="sk-SK"/>
        </w:rPr>
        <w:t xml:space="preserve"> sú farmakologicky neaktívne a vylučujú sa močom (56 %) a stolicou (37 %). </w:t>
      </w:r>
      <w:proofErr w:type="spellStart"/>
      <w:r w:rsidRPr="00C23474">
        <w:rPr>
          <w:color w:val="000000"/>
          <w:szCs w:val="22"/>
          <w:lang w:val="sk-SK"/>
        </w:rPr>
        <w:t>Naviac</w:t>
      </w:r>
      <w:proofErr w:type="spellEnd"/>
      <w:r w:rsidRPr="00C23474">
        <w:rPr>
          <w:color w:val="000000"/>
          <w:szCs w:val="22"/>
          <w:lang w:val="sk-SK"/>
        </w:rPr>
        <w:t xml:space="preserve">, neovplyvňujú väzbu </w:t>
      </w:r>
      <w:proofErr w:type="spellStart"/>
      <w:r w:rsidRPr="00C23474">
        <w:rPr>
          <w:color w:val="000000"/>
          <w:szCs w:val="22"/>
          <w:lang w:val="sk-SK"/>
        </w:rPr>
        <w:t>zolpidemu</w:t>
      </w:r>
      <w:proofErr w:type="spellEnd"/>
      <w:r w:rsidRPr="00C23474">
        <w:rPr>
          <w:color w:val="000000"/>
          <w:szCs w:val="22"/>
          <w:lang w:val="sk-SK"/>
        </w:rPr>
        <w:t xml:space="preserve"> na plazmatické bielkoviny.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V štúdiách sa ukázalo, že </w:t>
      </w:r>
      <w:proofErr w:type="spellStart"/>
      <w:r w:rsidRPr="00C23474">
        <w:rPr>
          <w:color w:val="000000"/>
          <w:szCs w:val="22"/>
          <w:lang w:val="sk-SK"/>
        </w:rPr>
        <w:t>zolpidem</w:t>
      </w:r>
      <w:proofErr w:type="spellEnd"/>
      <w:r w:rsidRPr="00C23474">
        <w:rPr>
          <w:color w:val="000000"/>
          <w:szCs w:val="22"/>
          <w:lang w:val="sk-SK"/>
        </w:rPr>
        <w:t xml:space="preserve"> nie je </w:t>
      </w:r>
      <w:proofErr w:type="spellStart"/>
      <w:r w:rsidRPr="00C23474">
        <w:rPr>
          <w:color w:val="000000"/>
          <w:szCs w:val="22"/>
          <w:lang w:val="sk-SK"/>
        </w:rPr>
        <w:t>dialyzovateľný</w:t>
      </w:r>
      <w:proofErr w:type="spellEnd"/>
      <w:r w:rsidRPr="00C23474">
        <w:rPr>
          <w:color w:val="000000"/>
          <w:szCs w:val="22"/>
          <w:lang w:val="sk-SK"/>
        </w:rPr>
        <w:t>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543193" w:rsidRPr="00C23474" w:rsidRDefault="005C115A" w:rsidP="00306A9A">
      <w:pPr>
        <w:rPr>
          <w:color w:val="000000"/>
          <w:szCs w:val="22"/>
          <w:u w:val="single"/>
          <w:lang w:val="sk-SK"/>
        </w:rPr>
      </w:pPr>
      <w:r w:rsidRPr="00C23474">
        <w:rPr>
          <w:color w:val="000000"/>
          <w:szCs w:val="22"/>
          <w:u w:val="single"/>
          <w:lang w:val="sk-SK"/>
        </w:rPr>
        <w:t>Osobitné skupiny pacientov</w:t>
      </w: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Plazmatické koncentrácie u starých ľudí a pri </w:t>
      </w:r>
      <w:proofErr w:type="spellStart"/>
      <w:r w:rsidRPr="00C23474">
        <w:rPr>
          <w:color w:val="000000"/>
          <w:szCs w:val="22"/>
          <w:lang w:val="sk-SK"/>
        </w:rPr>
        <w:t>hepatálnom</w:t>
      </w:r>
      <w:proofErr w:type="spellEnd"/>
      <w:r w:rsidRPr="00C23474">
        <w:rPr>
          <w:color w:val="000000"/>
          <w:szCs w:val="22"/>
          <w:lang w:val="sk-SK"/>
        </w:rPr>
        <w:t xml:space="preserve"> poškodení sú zvýšené, môže byť potrebné upraviť dávkovanie u týchto pacientov.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>U pacientov s </w:t>
      </w:r>
      <w:proofErr w:type="spellStart"/>
      <w:r w:rsidRPr="00C23474">
        <w:rPr>
          <w:color w:val="000000"/>
          <w:szCs w:val="22"/>
          <w:lang w:val="sk-SK"/>
        </w:rPr>
        <w:t>renálnou</w:t>
      </w:r>
      <w:proofErr w:type="spellEnd"/>
      <w:r w:rsidRPr="00C23474">
        <w:rPr>
          <w:color w:val="000000"/>
          <w:szCs w:val="22"/>
          <w:lang w:val="sk-SK"/>
        </w:rPr>
        <w:t xml:space="preserve"> </w:t>
      </w:r>
      <w:proofErr w:type="spellStart"/>
      <w:r w:rsidRPr="00C23474">
        <w:rPr>
          <w:color w:val="000000"/>
          <w:szCs w:val="22"/>
          <w:lang w:val="sk-SK"/>
        </w:rPr>
        <w:t>insuficienciou</w:t>
      </w:r>
      <w:proofErr w:type="spellEnd"/>
      <w:r w:rsidRPr="00C23474">
        <w:rPr>
          <w:color w:val="000000"/>
          <w:szCs w:val="22"/>
          <w:lang w:val="sk-SK"/>
        </w:rPr>
        <w:t xml:space="preserve">, či už s dialýzou alebo bez nej, je </w:t>
      </w:r>
      <w:proofErr w:type="spellStart"/>
      <w:r w:rsidRPr="00C23474">
        <w:rPr>
          <w:color w:val="000000"/>
          <w:szCs w:val="22"/>
          <w:lang w:val="sk-SK"/>
        </w:rPr>
        <w:t>klírens</w:t>
      </w:r>
      <w:proofErr w:type="spellEnd"/>
      <w:r w:rsidRPr="00C23474">
        <w:rPr>
          <w:color w:val="000000"/>
          <w:szCs w:val="22"/>
          <w:lang w:val="sk-SK"/>
        </w:rPr>
        <w:t xml:space="preserve"> mierne znížený. Iné </w:t>
      </w:r>
      <w:proofErr w:type="spellStart"/>
      <w:r w:rsidRPr="00C23474">
        <w:rPr>
          <w:color w:val="000000"/>
          <w:szCs w:val="22"/>
          <w:lang w:val="sk-SK"/>
        </w:rPr>
        <w:t>farmakokinetické</w:t>
      </w:r>
      <w:proofErr w:type="spellEnd"/>
      <w:r w:rsidRPr="00C23474">
        <w:rPr>
          <w:color w:val="000000"/>
          <w:szCs w:val="22"/>
          <w:lang w:val="sk-SK"/>
        </w:rPr>
        <w:t xml:space="preserve"> parametre nie sú ovplyvnené.</w:t>
      </w:r>
    </w:p>
    <w:p w:rsidR="00306A9A" w:rsidRPr="00C23474" w:rsidRDefault="00306A9A" w:rsidP="00306A9A">
      <w:pPr>
        <w:numPr>
          <w:ilvl w:val="12"/>
          <w:numId w:val="0"/>
        </w:numPr>
        <w:ind w:right="-2"/>
        <w:rPr>
          <w:szCs w:val="22"/>
          <w:lang w:val="sk-SK"/>
        </w:rPr>
      </w:pPr>
    </w:p>
    <w:p w:rsidR="00306A9A" w:rsidRPr="00C23474" w:rsidRDefault="005C115A" w:rsidP="00306A9A">
      <w:pPr>
        <w:keepNext/>
        <w:ind w:left="567" w:hanging="567"/>
        <w:outlineLvl w:val="0"/>
        <w:rPr>
          <w:szCs w:val="22"/>
          <w:lang w:val="sk-SK"/>
        </w:rPr>
      </w:pPr>
      <w:r w:rsidRPr="00C23474">
        <w:rPr>
          <w:b/>
          <w:szCs w:val="22"/>
          <w:lang w:val="sk-SK"/>
        </w:rPr>
        <w:t>5.3</w:t>
      </w:r>
      <w:r w:rsidRPr="00C23474">
        <w:rPr>
          <w:b/>
          <w:szCs w:val="22"/>
          <w:lang w:val="sk-SK"/>
        </w:rPr>
        <w:tab/>
      </w:r>
      <w:r w:rsidRPr="00C23474">
        <w:rPr>
          <w:b/>
          <w:noProof/>
          <w:szCs w:val="22"/>
          <w:lang w:val="sk-SK"/>
        </w:rPr>
        <w:t>Predklinické údaje o bezpečnosti</w:t>
      </w:r>
    </w:p>
    <w:p w:rsidR="00306A9A" w:rsidRPr="00C23474" w:rsidRDefault="00306A9A" w:rsidP="00306A9A">
      <w:pPr>
        <w:keepNext/>
        <w:rPr>
          <w:noProof/>
          <w:szCs w:val="22"/>
          <w:lang w:val="sk-SK"/>
        </w:rPr>
      </w:pPr>
    </w:p>
    <w:p w:rsidR="00306A9A" w:rsidRPr="00C23474" w:rsidRDefault="005C115A" w:rsidP="00306A9A">
      <w:pPr>
        <w:rPr>
          <w:noProof/>
          <w:szCs w:val="22"/>
          <w:lang w:val="sk-SK"/>
        </w:rPr>
      </w:pPr>
      <w:r w:rsidRPr="00C23474">
        <w:rPr>
          <w:noProof/>
          <w:szCs w:val="22"/>
          <w:lang w:val="sk-SK"/>
        </w:rPr>
        <w:t>Predklinické údaje získané na základe obvyklých farmakologických štúdií bezpečnosti, toxicity po opakovanom podávaní, genotoxicity, karcinogénneho potenciálu, reprodukčnej toxicity a vývinu neodhalili žiadne osobitné riziko pre ľudí.</w:t>
      </w:r>
    </w:p>
    <w:p w:rsidR="00306A9A" w:rsidRPr="00C23474" w:rsidRDefault="00306A9A" w:rsidP="00306A9A">
      <w:pPr>
        <w:rPr>
          <w:b/>
          <w:bCs/>
          <w:color w:val="000000"/>
          <w:szCs w:val="22"/>
          <w:lang w:val="sk-SK"/>
        </w:rPr>
      </w:pP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543193">
      <w:pPr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>FARMACEUTICKÉ INFORMÁCIE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 xml:space="preserve">6.1 </w:t>
      </w:r>
      <w:r w:rsidRPr="00C23474">
        <w:rPr>
          <w:b/>
          <w:color w:val="000000"/>
          <w:szCs w:val="22"/>
          <w:lang w:val="sk-SK"/>
        </w:rPr>
        <w:tab/>
        <w:t>Zoznam pomocných látok</w:t>
      </w:r>
    </w:p>
    <w:p w:rsidR="00306A9A" w:rsidRPr="00C23474" w:rsidRDefault="00306A9A" w:rsidP="00306A9A">
      <w:pPr>
        <w:pStyle w:val="Zkladntext"/>
        <w:rPr>
          <w:color w:val="000000"/>
          <w:sz w:val="22"/>
          <w:szCs w:val="22"/>
        </w:rPr>
      </w:pPr>
    </w:p>
    <w:p w:rsidR="00023D20" w:rsidRPr="00C23474" w:rsidRDefault="000836AF" w:rsidP="00306A9A">
      <w:pPr>
        <w:pStyle w:val="Zkladntext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jadro</w:t>
      </w:r>
      <w:r w:rsidR="005C115A" w:rsidRPr="00C23474">
        <w:rPr>
          <w:i/>
          <w:color w:val="000000"/>
          <w:sz w:val="22"/>
          <w:szCs w:val="22"/>
        </w:rPr>
        <w:t xml:space="preserve"> tablety:</w:t>
      </w:r>
    </w:p>
    <w:p w:rsidR="00023D20" w:rsidRPr="00C23474" w:rsidRDefault="005C115A" w:rsidP="00306A9A">
      <w:pPr>
        <w:pStyle w:val="Zkladntext"/>
        <w:rPr>
          <w:color w:val="000000"/>
          <w:sz w:val="22"/>
          <w:szCs w:val="22"/>
        </w:rPr>
      </w:pPr>
      <w:r w:rsidRPr="00C23474">
        <w:rPr>
          <w:color w:val="000000"/>
          <w:sz w:val="22"/>
          <w:szCs w:val="22"/>
        </w:rPr>
        <w:t>mikrokryštalická celulóza E460</w:t>
      </w:r>
    </w:p>
    <w:p w:rsidR="00023D20" w:rsidRPr="00C23474" w:rsidRDefault="005C115A" w:rsidP="00306A9A">
      <w:pPr>
        <w:pStyle w:val="Zkladntext"/>
        <w:rPr>
          <w:color w:val="000000"/>
          <w:sz w:val="22"/>
          <w:szCs w:val="22"/>
        </w:rPr>
      </w:pPr>
      <w:r w:rsidRPr="00C23474">
        <w:rPr>
          <w:color w:val="000000"/>
          <w:sz w:val="22"/>
          <w:szCs w:val="22"/>
        </w:rPr>
        <w:t>bezvodá laktóza</w:t>
      </w:r>
    </w:p>
    <w:p w:rsidR="00023D20" w:rsidRPr="00C23474" w:rsidRDefault="000836AF" w:rsidP="00306A9A">
      <w:pPr>
        <w:pStyle w:val="Zklad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sodná soľ </w:t>
      </w:r>
      <w:proofErr w:type="spellStart"/>
      <w:r>
        <w:rPr>
          <w:color w:val="000000"/>
          <w:sz w:val="22"/>
          <w:szCs w:val="22"/>
        </w:rPr>
        <w:t>karboxymetylškrobu</w:t>
      </w:r>
      <w:proofErr w:type="spellEnd"/>
    </w:p>
    <w:p w:rsidR="00023D20" w:rsidRPr="00C23474" w:rsidRDefault="005C115A" w:rsidP="00306A9A">
      <w:pPr>
        <w:pStyle w:val="Zkladntext"/>
        <w:rPr>
          <w:color w:val="000000"/>
          <w:sz w:val="22"/>
          <w:szCs w:val="22"/>
        </w:rPr>
      </w:pPr>
      <w:r w:rsidRPr="00C23474">
        <w:rPr>
          <w:color w:val="000000"/>
          <w:sz w:val="22"/>
          <w:szCs w:val="22"/>
        </w:rPr>
        <w:t xml:space="preserve">magnézium </w:t>
      </w:r>
      <w:proofErr w:type="spellStart"/>
      <w:r w:rsidRPr="00C23474">
        <w:rPr>
          <w:color w:val="000000"/>
          <w:sz w:val="22"/>
          <w:szCs w:val="22"/>
        </w:rPr>
        <w:t>stearát</w:t>
      </w:r>
      <w:proofErr w:type="spellEnd"/>
      <w:r w:rsidRPr="00C23474">
        <w:rPr>
          <w:color w:val="000000"/>
          <w:sz w:val="22"/>
          <w:szCs w:val="22"/>
        </w:rPr>
        <w:t xml:space="preserve"> E470b</w:t>
      </w:r>
    </w:p>
    <w:p w:rsidR="00023D20" w:rsidRPr="00C23474" w:rsidRDefault="005C115A" w:rsidP="00306A9A">
      <w:pPr>
        <w:pStyle w:val="Zkladntext"/>
        <w:rPr>
          <w:color w:val="000000"/>
          <w:sz w:val="22"/>
          <w:szCs w:val="22"/>
        </w:rPr>
      </w:pPr>
      <w:r w:rsidRPr="00C23474">
        <w:rPr>
          <w:color w:val="000000"/>
          <w:sz w:val="22"/>
          <w:szCs w:val="22"/>
        </w:rPr>
        <w:t>koloidný oxid kremičitý bezvodý E551</w:t>
      </w:r>
    </w:p>
    <w:p w:rsidR="00E453AA" w:rsidRPr="00C23474" w:rsidRDefault="00E453AA" w:rsidP="00306A9A">
      <w:pPr>
        <w:pStyle w:val="Zkladntext"/>
        <w:rPr>
          <w:color w:val="000000"/>
          <w:sz w:val="22"/>
          <w:szCs w:val="22"/>
        </w:rPr>
      </w:pPr>
    </w:p>
    <w:p w:rsidR="00023D20" w:rsidRPr="00C23474" w:rsidRDefault="005C115A" w:rsidP="00306A9A">
      <w:pPr>
        <w:pStyle w:val="Zkladntext"/>
        <w:rPr>
          <w:i/>
          <w:color w:val="000000"/>
          <w:sz w:val="22"/>
          <w:szCs w:val="22"/>
        </w:rPr>
      </w:pPr>
      <w:r w:rsidRPr="00C23474">
        <w:rPr>
          <w:i/>
          <w:color w:val="000000"/>
          <w:sz w:val="22"/>
          <w:szCs w:val="22"/>
        </w:rPr>
        <w:t>obal:</w:t>
      </w:r>
    </w:p>
    <w:p w:rsidR="00023D20" w:rsidRPr="00C23474" w:rsidRDefault="005C115A" w:rsidP="00306A9A">
      <w:pPr>
        <w:pStyle w:val="Zkladntext"/>
        <w:rPr>
          <w:color w:val="000000"/>
          <w:sz w:val="22"/>
          <w:szCs w:val="22"/>
        </w:rPr>
      </w:pPr>
      <w:r w:rsidRPr="00C23474">
        <w:rPr>
          <w:color w:val="000000"/>
          <w:sz w:val="22"/>
          <w:szCs w:val="22"/>
        </w:rPr>
        <w:t xml:space="preserve">oxid </w:t>
      </w:r>
      <w:proofErr w:type="spellStart"/>
      <w:r w:rsidRPr="00C23474">
        <w:rPr>
          <w:color w:val="000000"/>
          <w:sz w:val="22"/>
          <w:szCs w:val="22"/>
        </w:rPr>
        <w:t>titaničitý</w:t>
      </w:r>
      <w:proofErr w:type="spellEnd"/>
    </w:p>
    <w:p w:rsidR="00023D20" w:rsidRPr="00C23474" w:rsidRDefault="005C115A" w:rsidP="00306A9A">
      <w:pPr>
        <w:pStyle w:val="Zkladntext"/>
        <w:rPr>
          <w:color w:val="000000"/>
          <w:sz w:val="22"/>
          <w:szCs w:val="22"/>
        </w:rPr>
      </w:pPr>
      <w:r w:rsidRPr="00C23474">
        <w:rPr>
          <w:color w:val="000000"/>
          <w:sz w:val="22"/>
          <w:szCs w:val="22"/>
        </w:rPr>
        <w:t>mastenec</w:t>
      </w:r>
    </w:p>
    <w:p w:rsidR="00023D20" w:rsidRPr="00C23474" w:rsidRDefault="005C115A" w:rsidP="00306A9A">
      <w:pPr>
        <w:pStyle w:val="Zkladntext"/>
        <w:rPr>
          <w:color w:val="000000"/>
          <w:sz w:val="22"/>
          <w:szCs w:val="22"/>
        </w:rPr>
      </w:pPr>
      <w:proofErr w:type="spellStart"/>
      <w:r w:rsidRPr="00C23474">
        <w:rPr>
          <w:color w:val="000000"/>
          <w:sz w:val="22"/>
          <w:szCs w:val="22"/>
        </w:rPr>
        <w:t>makrogol</w:t>
      </w:r>
      <w:proofErr w:type="spellEnd"/>
    </w:p>
    <w:p w:rsidR="00023D20" w:rsidRPr="00C23474" w:rsidRDefault="005C115A" w:rsidP="00306A9A">
      <w:pPr>
        <w:pStyle w:val="Zkladntext"/>
        <w:rPr>
          <w:color w:val="000000"/>
          <w:sz w:val="22"/>
          <w:szCs w:val="22"/>
        </w:rPr>
      </w:pPr>
      <w:proofErr w:type="spellStart"/>
      <w:r w:rsidRPr="00C23474">
        <w:rPr>
          <w:color w:val="000000"/>
          <w:sz w:val="22"/>
          <w:szCs w:val="22"/>
        </w:rPr>
        <w:t>polyvinylalkohol</w:t>
      </w:r>
      <w:proofErr w:type="spellEnd"/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 xml:space="preserve">6.2 </w:t>
      </w:r>
      <w:r w:rsidRPr="00C23474">
        <w:rPr>
          <w:b/>
          <w:color w:val="000000"/>
          <w:szCs w:val="22"/>
          <w:lang w:val="sk-SK"/>
        </w:rPr>
        <w:tab/>
        <w:t>Inkompatibility</w:t>
      </w:r>
    </w:p>
    <w:p w:rsidR="00306A9A" w:rsidRPr="00C23474" w:rsidRDefault="00306A9A" w:rsidP="00306A9A">
      <w:pPr>
        <w:rPr>
          <w:color w:val="000000"/>
          <w:szCs w:val="22"/>
          <w:lang w:val="sk-SK"/>
        </w:rPr>
      </w:pPr>
    </w:p>
    <w:p w:rsidR="00A42432" w:rsidRDefault="000836AF" w:rsidP="00306A9A">
      <w:pPr>
        <w:pStyle w:val="Zkladntext"/>
        <w:rPr>
          <w:b/>
          <w:color w:val="000000"/>
          <w:sz w:val="22"/>
          <w:szCs w:val="22"/>
          <w:lang w:eastAsia="en-US"/>
        </w:rPr>
      </w:pPr>
      <w:r w:rsidRPr="00C23474">
        <w:rPr>
          <w:color w:val="000000"/>
          <w:sz w:val="22"/>
          <w:szCs w:val="22"/>
        </w:rPr>
        <w:t>Neaplikovateľné.</w:t>
      </w:r>
    </w:p>
    <w:p w:rsidR="00306A9A" w:rsidRPr="00C23474" w:rsidRDefault="00306A9A" w:rsidP="00306A9A">
      <w:pPr>
        <w:pStyle w:val="Zkladntext"/>
        <w:rPr>
          <w:b/>
          <w:color w:val="000000"/>
          <w:sz w:val="22"/>
          <w:szCs w:val="22"/>
          <w:lang w:eastAsia="en-US"/>
        </w:rPr>
      </w:pPr>
    </w:p>
    <w:p w:rsidR="00306A9A" w:rsidRPr="00C23474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 xml:space="preserve">6.3 </w:t>
      </w:r>
      <w:r w:rsidRPr="00C23474">
        <w:rPr>
          <w:b/>
          <w:color w:val="000000"/>
          <w:szCs w:val="22"/>
          <w:lang w:val="sk-SK"/>
        </w:rPr>
        <w:tab/>
        <w:t>Čas použiteľnosti</w:t>
      </w:r>
    </w:p>
    <w:p w:rsidR="00543193" w:rsidRPr="00C23474" w:rsidRDefault="00543193" w:rsidP="00306A9A">
      <w:pPr>
        <w:pStyle w:val="Hlavika"/>
        <w:tabs>
          <w:tab w:val="clear" w:pos="4536"/>
          <w:tab w:val="clear" w:pos="9072"/>
        </w:tabs>
        <w:rPr>
          <w:bCs/>
          <w:color w:val="000000"/>
          <w:sz w:val="22"/>
          <w:szCs w:val="22"/>
        </w:rPr>
      </w:pPr>
    </w:p>
    <w:p w:rsidR="00306A9A" w:rsidRPr="00C23474" w:rsidRDefault="00ED2153" w:rsidP="00306A9A">
      <w:pPr>
        <w:pStyle w:val="Hlavika"/>
        <w:tabs>
          <w:tab w:val="clear" w:pos="4536"/>
          <w:tab w:val="clear" w:pos="9072"/>
        </w:tabs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</w:t>
      </w:r>
      <w:r w:rsidR="005C115A" w:rsidRPr="00C23474">
        <w:rPr>
          <w:bCs/>
          <w:color w:val="000000"/>
          <w:sz w:val="22"/>
          <w:szCs w:val="22"/>
        </w:rPr>
        <w:t xml:space="preserve"> rok</w:t>
      </w:r>
      <w:r>
        <w:rPr>
          <w:bCs/>
          <w:color w:val="000000"/>
          <w:sz w:val="22"/>
          <w:szCs w:val="22"/>
        </w:rPr>
        <w:t>y</w:t>
      </w:r>
    </w:p>
    <w:p w:rsidR="00306A9A" w:rsidRPr="00C23474" w:rsidRDefault="00306A9A" w:rsidP="00306A9A">
      <w:pPr>
        <w:rPr>
          <w:b/>
          <w:color w:val="000000"/>
          <w:szCs w:val="22"/>
          <w:u w:val="single"/>
          <w:lang w:val="sk-SK"/>
        </w:rPr>
      </w:pPr>
    </w:p>
    <w:p w:rsidR="00306A9A" w:rsidRPr="00C23474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 xml:space="preserve">6.4 </w:t>
      </w:r>
      <w:r w:rsidRPr="00C23474">
        <w:rPr>
          <w:b/>
          <w:color w:val="000000"/>
          <w:szCs w:val="22"/>
          <w:lang w:val="sk-SK"/>
        </w:rPr>
        <w:tab/>
        <w:t>Špeciálne upozornenia na uchovávanie</w:t>
      </w:r>
    </w:p>
    <w:p w:rsidR="00543193" w:rsidRPr="00C23474" w:rsidRDefault="00543193" w:rsidP="00306A9A">
      <w:pPr>
        <w:rPr>
          <w:bCs/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bCs/>
          <w:color w:val="000000"/>
          <w:szCs w:val="22"/>
          <w:lang w:val="sk-SK"/>
        </w:rPr>
      </w:pPr>
      <w:r w:rsidRPr="00C23474">
        <w:rPr>
          <w:bCs/>
          <w:color w:val="000000"/>
          <w:szCs w:val="22"/>
          <w:lang w:val="sk-SK"/>
        </w:rPr>
        <w:t>Tento liek nevyžaduje žiadne špeciálne podmienky na uchovávanie. Liek uchovávajte v pôvodnom obale na ochranu pred svetlom.</w:t>
      </w:r>
    </w:p>
    <w:p w:rsidR="00306A9A" w:rsidRPr="00C23474" w:rsidRDefault="00306A9A" w:rsidP="00306A9A">
      <w:pPr>
        <w:rPr>
          <w:b/>
          <w:color w:val="000000"/>
          <w:szCs w:val="22"/>
          <w:u w:val="single"/>
          <w:lang w:val="sk-SK"/>
        </w:rPr>
      </w:pPr>
    </w:p>
    <w:p w:rsidR="00306A9A" w:rsidRPr="00C23474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 xml:space="preserve">6.5 </w:t>
      </w:r>
      <w:r w:rsidRPr="00C23474">
        <w:rPr>
          <w:b/>
          <w:color w:val="000000"/>
          <w:szCs w:val="22"/>
          <w:lang w:val="sk-SK"/>
        </w:rPr>
        <w:tab/>
        <w:t>Druh obalu a obsah balenia</w:t>
      </w:r>
    </w:p>
    <w:p w:rsidR="00306A9A" w:rsidRPr="00C23474" w:rsidRDefault="00306A9A" w:rsidP="00306A9A">
      <w:pPr>
        <w:rPr>
          <w:bCs/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>PVC/</w:t>
      </w:r>
      <w:proofErr w:type="spellStart"/>
      <w:r w:rsidRPr="00C23474">
        <w:rPr>
          <w:color w:val="000000"/>
          <w:szCs w:val="22"/>
          <w:lang w:val="sk-SK"/>
        </w:rPr>
        <w:t>PVdC</w:t>
      </w:r>
      <w:proofErr w:type="spellEnd"/>
      <w:r w:rsidRPr="00C23474">
        <w:rPr>
          <w:color w:val="000000"/>
          <w:szCs w:val="22"/>
          <w:lang w:val="sk-SK"/>
        </w:rPr>
        <w:t>/</w:t>
      </w:r>
      <w:proofErr w:type="spellStart"/>
      <w:r w:rsidRPr="00C23474">
        <w:rPr>
          <w:color w:val="000000"/>
          <w:szCs w:val="22"/>
          <w:lang w:val="sk-SK"/>
        </w:rPr>
        <w:t>Alu</w:t>
      </w:r>
      <w:proofErr w:type="spellEnd"/>
      <w:r w:rsidRPr="00C23474">
        <w:rPr>
          <w:color w:val="000000"/>
          <w:szCs w:val="22"/>
          <w:lang w:val="sk-SK"/>
        </w:rPr>
        <w:t xml:space="preserve"> </w:t>
      </w:r>
      <w:proofErr w:type="spellStart"/>
      <w:r w:rsidRPr="00C23474">
        <w:rPr>
          <w:color w:val="000000"/>
          <w:szCs w:val="22"/>
          <w:lang w:val="sk-SK"/>
        </w:rPr>
        <w:t>blister</w:t>
      </w:r>
      <w:proofErr w:type="spellEnd"/>
      <w:r w:rsidRPr="00C23474">
        <w:rPr>
          <w:color w:val="000000"/>
          <w:szCs w:val="22"/>
          <w:lang w:val="sk-SK"/>
        </w:rPr>
        <w:t xml:space="preserve">, škatuľka a  </w:t>
      </w:r>
      <w:r w:rsidR="000836AF">
        <w:rPr>
          <w:color w:val="000000"/>
          <w:szCs w:val="22"/>
          <w:lang w:val="sk-SK"/>
        </w:rPr>
        <w:t xml:space="preserve">písomná </w:t>
      </w:r>
      <w:r w:rsidRPr="00C23474">
        <w:rPr>
          <w:color w:val="000000"/>
          <w:szCs w:val="22"/>
          <w:lang w:val="sk-SK"/>
        </w:rPr>
        <w:t>informácia pre používateľa</w:t>
      </w:r>
    </w:p>
    <w:p w:rsidR="00E453A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>5, 7, 10, 15, 20, 30, 50, 60, 90 a 100 filmom obalených tabliet</w:t>
      </w:r>
    </w:p>
    <w:p w:rsidR="00C8145D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>Na trh nemusia byť uvedené všetky veľkosti balenia.</w:t>
      </w:r>
    </w:p>
    <w:p w:rsidR="00E453AA" w:rsidRPr="00C23474" w:rsidRDefault="00E453AA" w:rsidP="00306A9A">
      <w:pPr>
        <w:rPr>
          <w:b/>
          <w:color w:val="000000"/>
          <w:szCs w:val="22"/>
          <w:u w:val="single"/>
          <w:lang w:val="sk-SK"/>
        </w:rPr>
      </w:pPr>
    </w:p>
    <w:p w:rsidR="00306A9A" w:rsidRPr="00C23474" w:rsidRDefault="005C115A" w:rsidP="00306A9A">
      <w:pPr>
        <w:tabs>
          <w:tab w:val="left" w:pos="426"/>
        </w:tabs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 xml:space="preserve">6.6 </w:t>
      </w:r>
      <w:r w:rsidRPr="00C23474">
        <w:rPr>
          <w:b/>
          <w:color w:val="000000"/>
          <w:szCs w:val="22"/>
          <w:lang w:val="sk-SK"/>
        </w:rPr>
        <w:tab/>
        <w:t>Špeciálne opatrenia na likvidáciu a iné zaobchádzanie s liekom</w:t>
      </w:r>
    </w:p>
    <w:p w:rsidR="00306A9A" w:rsidRPr="00C23474" w:rsidRDefault="00306A9A" w:rsidP="00306A9A">
      <w:pPr>
        <w:rPr>
          <w:b/>
          <w:color w:val="000000"/>
          <w:szCs w:val="22"/>
          <w:u w:val="single"/>
          <w:lang w:val="sk-SK"/>
        </w:rPr>
      </w:pPr>
    </w:p>
    <w:p w:rsidR="00306A9A" w:rsidRPr="00C23474" w:rsidRDefault="005C115A" w:rsidP="00306A9A">
      <w:pPr>
        <w:rPr>
          <w:szCs w:val="22"/>
          <w:lang w:val="sk-SK"/>
        </w:rPr>
      </w:pPr>
      <w:r w:rsidRPr="00C23474">
        <w:rPr>
          <w:szCs w:val="22"/>
          <w:lang w:val="sk-SK"/>
        </w:rPr>
        <w:t xml:space="preserve">Všetok nepoužitý liek alebo odpad vzniknutý z lieku sa má zlikvidovať v súlade s národnými požiadavkami. </w:t>
      </w:r>
    </w:p>
    <w:p w:rsidR="00306A9A" w:rsidRDefault="00306A9A" w:rsidP="00306A9A">
      <w:pPr>
        <w:rPr>
          <w:b/>
          <w:color w:val="000000"/>
          <w:szCs w:val="22"/>
          <w:u w:val="single"/>
          <w:lang w:val="sk-SK"/>
        </w:rPr>
      </w:pPr>
    </w:p>
    <w:p w:rsidR="00057285" w:rsidRPr="00C23474" w:rsidRDefault="00057285" w:rsidP="00306A9A">
      <w:pPr>
        <w:rPr>
          <w:b/>
          <w:color w:val="000000"/>
          <w:szCs w:val="22"/>
          <w:u w:val="single"/>
          <w:lang w:val="sk-SK"/>
        </w:rPr>
      </w:pPr>
    </w:p>
    <w:p w:rsidR="00306A9A" w:rsidRPr="00C23474" w:rsidRDefault="005C115A" w:rsidP="00306A9A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>DRŽITEĽ ROZHODNUTIA O REGISTRÁCII</w:t>
      </w:r>
    </w:p>
    <w:p w:rsidR="00306A9A" w:rsidRPr="00C23474" w:rsidRDefault="00306A9A" w:rsidP="00306A9A">
      <w:pPr>
        <w:keepNext/>
        <w:rPr>
          <w:color w:val="000000"/>
          <w:szCs w:val="22"/>
          <w:lang w:val="sk-SK"/>
        </w:rPr>
      </w:pPr>
    </w:p>
    <w:p w:rsidR="00F22119" w:rsidRPr="006313CA" w:rsidRDefault="00F22119" w:rsidP="00F22119">
      <w:pPr>
        <w:spacing w:line="240" w:lineRule="auto"/>
        <w:rPr>
          <w:szCs w:val="22"/>
          <w:lang w:val="sk-SK"/>
        </w:rPr>
      </w:pPr>
      <w:r w:rsidRPr="006313CA">
        <w:rPr>
          <w:szCs w:val="22"/>
          <w:lang w:val="sk-SK"/>
        </w:rPr>
        <w:t>XANTIS PHARMA LIMITED</w:t>
      </w:r>
    </w:p>
    <w:p w:rsidR="00F22119" w:rsidRPr="006313CA" w:rsidRDefault="00F22119" w:rsidP="00F22119">
      <w:pPr>
        <w:spacing w:line="240" w:lineRule="auto"/>
        <w:rPr>
          <w:szCs w:val="22"/>
          <w:lang w:val="sk-SK"/>
        </w:rPr>
      </w:pPr>
      <w:proofErr w:type="spellStart"/>
      <w:r w:rsidRPr="006313CA">
        <w:rPr>
          <w:szCs w:val="22"/>
          <w:lang w:val="sk-SK"/>
        </w:rPr>
        <w:t>Lemesou</w:t>
      </w:r>
      <w:proofErr w:type="spellEnd"/>
      <w:r w:rsidRPr="006313CA">
        <w:rPr>
          <w:szCs w:val="22"/>
          <w:lang w:val="sk-SK"/>
        </w:rPr>
        <w:t xml:space="preserve"> 5, EUROSURE TOWER,</w:t>
      </w:r>
    </w:p>
    <w:p w:rsidR="00F22119" w:rsidRPr="006313CA" w:rsidRDefault="00F22119" w:rsidP="00F22119">
      <w:pPr>
        <w:spacing w:line="240" w:lineRule="auto"/>
        <w:rPr>
          <w:szCs w:val="22"/>
          <w:lang w:val="sk-SK"/>
        </w:rPr>
      </w:pPr>
      <w:r w:rsidRPr="006313CA">
        <w:rPr>
          <w:szCs w:val="22"/>
          <w:lang w:val="sk-SK"/>
        </w:rPr>
        <w:t xml:space="preserve">1st </w:t>
      </w:r>
      <w:proofErr w:type="spellStart"/>
      <w:r w:rsidRPr="006313CA">
        <w:rPr>
          <w:szCs w:val="22"/>
          <w:lang w:val="sk-SK"/>
        </w:rPr>
        <w:t>floor</w:t>
      </w:r>
      <w:proofErr w:type="spellEnd"/>
      <w:r w:rsidRPr="006313CA">
        <w:rPr>
          <w:szCs w:val="22"/>
          <w:lang w:val="sk-SK"/>
        </w:rPr>
        <w:t xml:space="preserve">, </w:t>
      </w:r>
      <w:proofErr w:type="spellStart"/>
      <w:r w:rsidRPr="006313CA">
        <w:rPr>
          <w:szCs w:val="22"/>
          <w:lang w:val="sk-SK"/>
        </w:rPr>
        <w:t>Flat</w:t>
      </w:r>
      <w:proofErr w:type="spellEnd"/>
      <w:r w:rsidRPr="006313CA">
        <w:rPr>
          <w:szCs w:val="22"/>
          <w:lang w:val="sk-SK"/>
        </w:rPr>
        <w:t>/Office 101</w:t>
      </w:r>
    </w:p>
    <w:p w:rsidR="00F22119" w:rsidRDefault="00F22119" w:rsidP="00F22119">
      <w:pPr>
        <w:spacing w:line="240" w:lineRule="auto"/>
        <w:rPr>
          <w:lang w:val="sk-SK"/>
        </w:rPr>
      </w:pPr>
      <w:r w:rsidRPr="006313CA">
        <w:rPr>
          <w:szCs w:val="22"/>
          <w:lang w:val="sk-SK"/>
        </w:rPr>
        <w:t xml:space="preserve">2112, </w:t>
      </w:r>
      <w:proofErr w:type="spellStart"/>
      <w:r w:rsidRPr="006313CA">
        <w:rPr>
          <w:szCs w:val="22"/>
          <w:lang w:val="sk-SK"/>
        </w:rPr>
        <w:t>Nicosia</w:t>
      </w:r>
      <w:proofErr w:type="spellEnd"/>
      <w:r w:rsidRPr="006313CA">
        <w:rPr>
          <w:szCs w:val="22"/>
          <w:lang w:val="sk-SK"/>
        </w:rPr>
        <w:t>, Cyprus</w:t>
      </w:r>
    </w:p>
    <w:p w:rsidR="00306A9A" w:rsidRDefault="00306A9A" w:rsidP="00306A9A">
      <w:pPr>
        <w:rPr>
          <w:color w:val="000000"/>
          <w:szCs w:val="22"/>
          <w:lang w:val="sk-SK"/>
        </w:rPr>
      </w:pPr>
    </w:p>
    <w:p w:rsidR="00057285" w:rsidRPr="00C23474" w:rsidRDefault="00057285" w:rsidP="00306A9A">
      <w:pPr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>REGISTRAČNÉ ČÍSLO</w:t>
      </w:r>
    </w:p>
    <w:p w:rsidR="00306A9A" w:rsidRPr="00C23474" w:rsidRDefault="00306A9A" w:rsidP="00306A9A">
      <w:pPr>
        <w:rPr>
          <w:bCs/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>57/0063/16-S</w:t>
      </w:r>
    </w:p>
    <w:p w:rsidR="00306A9A" w:rsidRDefault="00306A9A" w:rsidP="00306A9A">
      <w:pPr>
        <w:rPr>
          <w:b/>
          <w:color w:val="000000"/>
          <w:szCs w:val="22"/>
          <w:lang w:val="sk-SK"/>
        </w:rPr>
      </w:pPr>
    </w:p>
    <w:p w:rsidR="00057285" w:rsidRPr="00C23474" w:rsidRDefault="00057285" w:rsidP="00306A9A">
      <w:pPr>
        <w:rPr>
          <w:b/>
          <w:color w:val="000000"/>
          <w:szCs w:val="22"/>
          <w:lang w:val="sk-SK"/>
        </w:rPr>
      </w:pPr>
    </w:p>
    <w:p w:rsidR="00306A9A" w:rsidRPr="00C23474" w:rsidRDefault="005C115A" w:rsidP="00306A9A">
      <w:pPr>
        <w:keepNext/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lastRenderedPageBreak/>
        <w:t>DÁTUM PRVEJ REGISTRÁCIE/DÁTUM PREDĹŽENIA REGISTRÁCIE</w:t>
      </w:r>
    </w:p>
    <w:p w:rsidR="00306A9A" w:rsidRPr="00C23474" w:rsidRDefault="00306A9A" w:rsidP="00306A9A">
      <w:pPr>
        <w:keepNext/>
        <w:rPr>
          <w:color w:val="000000"/>
          <w:szCs w:val="22"/>
          <w:lang w:val="sk-SK"/>
        </w:rPr>
      </w:pPr>
    </w:p>
    <w:p w:rsidR="00306A9A" w:rsidRPr="00C23474" w:rsidRDefault="005C115A" w:rsidP="00306A9A">
      <w:pPr>
        <w:rPr>
          <w:color w:val="000000"/>
          <w:szCs w:val="22"/>
          <w:lang w:val="sk-SK"/>
        </w:rPr>
      </w:pPr>
      <w:r w:rsidRPr="00C23474">
        <w:rPr>
          <w:color w:val="000000"/>
          <w:szCs w:val="22"/>
          <w:lang w:val="sk-SK"/>
        </w:rPr>
        <w:t xml:space="preserve">Dátum prvej registrácie: </w:t>
      </w:r>
      <w:r w:rsidR="00B11AA5">
        <w:rPr>
          <w:color w:val="000000"/>
          <w:szCs w:val="22"/>
          <w:lang w:val="sk-SK"/>
        </w:rPr>
        <w:t>22.2.2016</w:t>
      </w:r>
    </w:p>
    <w:p w:rsidR="00306A9A" w:rsidRPr="00C23474" w:rsidRDefault="00306A9A" w:rsidP="00306A9A">
      <w:pPr>
        <w:rPr>
          <w:b/>
          <w:color w:val="000000"/>
          <w:szCs w:val="22"/>
          <w:lang w:val="sk-SK"/>
        </w:rPr>
      </w:pPr>
    </w:p>
    <w:p w:rsidR="00306A9A" w:rsidRPr="00C23474" w:rsidRDefault="00306A9A" w:rsidP="00306A9A">
      <w:pPr>
        <w:rPr>
          <w:b/>
          <w:color w:val="000000"/>
          <w:szCs w:val="22"/>
          <w:lang w:val="sk-SK"/>
        </w:rPr>
      </w:pPr>
    </w:p>
    <w:p w:rsidR="00306A9A" w:rsidRPr="00C23474" w:rsidRDefault="005C115A" w:rsidP="00306A9A">
      <w:pPr>
        <w:numPr>
          <w:ilvl w:val="0"/>
          <w:numId w:val="2"/>
        </w:numPr>
        <w:tabs>
          <w:tab w:val="clear" w:pos="567"/>
        </w:tabs>
        <w:spacing w:line="240" w:lineRule="auto"/>
        <w:rPr>
          <w:b/>
          <w:color w:val="000000"/>
          <w:szCs w:val="22"/>
          <w:lang w:val="sk-SK"/>
        </w:rPr>
      </w:pPr>
      <w:r w:rsidRPr="00C23474">
        <w:rPr>
          <w:b/>
          <w:color w:val="000000"/>
          <w:szCs w:val="22"/>
          <w:lang w:val="sk-SK"/>
        </w:rPr>
        <w:t>DÁTUM REVÍZIE TEXTU</w:t>
      </w:r>
    </w:p>
    <w:p w:rsidR="00306A9A" w:rsidRPr="00C23474" w:rsidRDefault="00306A9A" w:rsidP="00306A9A">
      <w:pPr>
        <w:rPr>
          <w:szCs w:val="22"/>
          <w:lang w:val="sk-SK"/>
        </w:rPr>
      </w:pPr>
    </w:p>
    <w:p w:rsidR="00016EB8" w:rsidRPr="00C23474" w:rsidRDefault="00457524" w:rsidP="0055371C">
      <w:pPr>
        <w:rPr>
          <w:szCs w:val="22"/>
          <w:lang w:val="sk-SK"/>
        </w:rPr>
      </w:pPr>
      <w:r>
        <w:rPr>
          <w:szCs w:val="22"/>
          <w:lang w:val="sk-SK"/>
        </w:rPr>
        <w:t>Február 2017</w:t>
      </w:r>
      <w:bookmarkStart w:id="0" w:name="_GoBack"/>
      <w:bookmarkEnd w:id="0"/>
    </w:p>
    <w:sectPr w:rsidR="00016EB8" w:rsidRPr="00C23474" w:rsidSect="000073C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0EC" w:rsidRDefault="003F00EC" w:rsidP="000073CD">
      <w:pPr>
        <w:spacing w:line="240" w:lineRule="auto"/>
      </w:pPr>
      <w:r>
        <w:separator/>
      </w:r>
    </w:p>
  </w:endnote>
  <w:endnote w:type="continuationSeparator" w:id="0">
    <w:p w:rsidR="003F00EC" w:rsidRDefault="003F00EC" w:rsidP="000073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0EC" w:rsidRDefault="003F00EC" w:rsidP="000073CD">
      <w:pPr>
        <w:spacing w:line="240" w:lineRule="auto"/>
      </w:pPr>
      <w:r>
        <w:separator/>
      </w:r>
    </w:p>
  </w:footnote>
  <w:footnote w:type="continuationSeparator" w:id="0">
    <w:p w:rsidR="003F00EC" w:rsidRDefault="003F00EC" w:rsidP="000073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3CD" w:rsidRPr="0026341F" w:rsidRDefault="00B11AA5" w:rsidP="000073CD">
    <w:pPr>
      <w:rPr>
        <w:b/>
        <w:szCs w:val="22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</w:t>
    </w:r>
    <w:r w:rsidR="00553D3E">
      <w:rPr>
        <w:sz w:val="18"/>
        <w:szCs w:val="18"/>
      </w:rPr>
      <w:t>1</w:t>
    </w:r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 w:rsidR="000073CD" w:rsidRPr="00477D8B">
      <w:rPr>
        <w:sz w:val="18"/>
        <w:szCs w:val="18"/>
      </w:rPr>
      <w:t xml:space="preserve">, </w:t>
    </w:r>
    <w:proofErr w:type="spellStart"/>
    <w:r w:rsidR="000073CD" w:rsidRPr="00A87F5E">
      <w:rPr>
        <w:sz w:val="18"/>
        <w:szCs w:val="18"/>
      </w:rPr>
      <w:t>ev</w:t>
    </w:r>
    <w:proofErr w:type="spellEnd"/>
    <w:r w:rsidR="000073CD" w:rsidRPr="00A87F5E">
      <w:rPr>
        <w:sz w:val="18"/>
        <w:szCs w:val="18"/>
      </w:rPr>
      <w:t>. č.:</w:t>
    </w:r>
    <w:r w:rsidR="000073CD" w:rsidRPr="00274219">
      <w:rPr>
        <w:sz w:val="18"/>
        <w:szCs w:val="18"/>
      </w:rPr>
      <w:t xml:space="preserve"> </w:t>
    </w:r>
    <w:r w:rsidR="00553D3E" w:rsidRPr="00553D3E">
      <w:rPr>
        <w:sz w:val="18"/>
        <w:szCs w:val="18"/>
      </w:rPr>
      <w:t>2016/06251-Z1B</w:t>
    </w:r>
  </w:p>
  <w:p w:rsidR="000073CD" w:rsidRDefault="000073C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2971"/>
    <w:multiLevelType w:val="hybridMultilevel"/>
    <w:tmpl w:val="0D4434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67F9D"/>
    <w:multiLevelType w:val="multilevel"/>
    <w:tmpl w:val="A2E496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71C"/>
    <w:rsid w:val="000073CD"/>
    <w:rsid w:val="00016EB8"/>
    <w:rsid w:val="00023D20"/>
    <w:rsid w:val="00035549"/>
    <w:rsid w:val="00057285"/>
    <w:rsid w:val="00064BDD"/>
    <w:rsid w:val="00071F86"/>
    <w:rsid w:val="000836AF"/>
    <w:rsid w:val="000A4CF1"/>
    <w:rsid w:val="000A723F"/>
    <w:rsid w:val="000B35D6"/>
    <w:rsid w:val="000C13DE"/>
    <w:rsid w:val="000E455B"/>
    <w:rsid w:val="001335E2"/>
    <w:rsid w:val="00225676"/>
    <w:rsid w:val="002324EB"/>
    <w:rsid w:val="00273049"/>
    <w:rsid w:val="002E37C8"/>
    <w:rsid w:val="00302CD0"/>
    <w:rsid w:val="00306A9A"/>
    <w:rsid w:val="00320FD7"/>
    <w:rsid w:val="003214B1"/>
    <w:rsid w:val="00337395"/>
    <w:rsid w:val="003736C0"/>
    <w:rsid w:val="003A4DDA"/>
    <w:rsid w:val="003F00EC"/>
    <w:rsid w:val="00457524"/>
    <w:rsid w:val="004D05B1"/>
    <w:rsid w:val="00543193"/>
    <w:rsid w:val="0055371C"/>
    <w:rsid w:val="00553D3E"/>
    <w:rsid w:val="00587FE2"/>
    <w:rsid w:val="0059313E"/>
    <w:rsid w:val="0059636A"/>
    <w:rsid w:val="005B3974"/>
    <w:rsid w:val="005C115A"/>
    <w:rsid w:val="00651709"/>
    <w:rsid w:val="00662698"/>
    <w:rsid w:val="0067371C"/>
    <w:rsid w:val="006D20AA"/>
    <w:rsid w:val="006E5647"/>
    <w:rsid w:val="00715139"/>
    <w:rsid w:val="00794E8D"/>
    <w:rsid w:val="00925858"/>
    <w:rsid w:val="00944D42"/>
    <w:rsid w:val="0096265C"/>
    <w:rsid w:val="00964310"/>
    <w:rsid w:val="00982750"/>
    <w:rsid w:val="009943A3"/>
    <w:rsid w:val="00997226"/>
    <w:rsid w:val="009B308E"/>
    <w:rsid w:val="009C39D0"/>
    <w:rsid w:val="009F7EDB"/>
    <w:rsid w:val="00A14C38"/>
    <w:rsid w:val="00A22FD9"/>
    <w:rsid w:val="00A42432"/>
    <w:rsid w:val="00A52C66"/>
    <w:rsid w:val="00A8037D"/>
    <w:rsid w:val="00A86066"/>
    <w:rsid w:val="00AA2773"/>
    <w:rsid w:val="00AC0BDE"/>
    <w:rsid w:val="00B11AA5"/>
    <w:rsid w:val="00BA4AB7"/>
    <w:rsid w:val="00BB4937"/>
    <w:rsid w:val="00C0048D"/>
    <w:rsid w:val="00C1741F"/>
    <w:rsid w:val="00C23474"/>
    <w:rsid w:val="00C8145D"/>
    <w:rsid w:val="00CF6F87"/>
    <w:rsid w:val="00D4074C"/>
    <w:rsid w:val="00D50AEB"/>
    <w:rsid w:val="00D9446B"/>
    <w:rsid w:val="00DC5047"/>
    <w:rsid w:val="00E01CBC"/>
    <w:rsid w:val="00E1514F"/>
    <w:rsid w:val="00E453AA"/>
    <w:rsid w:val="00E53569"/>
    <w:rsid w:val="00E67406"/>
    <w:rsid w:val="00E70E4B"/>
    <w:rsid w:val="00E86C03"/>
    <w:rsid w:val="00EC6C3A"/>
    <w:rsid w:val="00ED2153"/>
    <w:rsid w:val="00F10958"/>
    <w:rsid w:val="00F20762"/>
    <w:rsid w:val="00F22119"/>
    <w:rsid w:val="00F62ED0"/>
    <w:rsid w:val="00F67543"/>
    <w:rsid w:val="00FC1EFB"/>
    <w:rsid w:val="00FE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371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306A9A"/>
    <w:pPr>
      <w:keepNext/>
      <w:tabs>
        <w:tab w:val="clear" w:pos="567"/>
      </w:tabs>
      <w:spacing w:line="240" w:lineRule="auto"/>
      <w:outlineLvl w:val="0"/>
    </w:pPr>
    <w:rPr>
      <w:sz w:val="24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306A9A"/>
    <w:pPr>
      <w:keepNext/>
      <w:tabs>
        <w:tab w:val="clear" w:pos="567"/>
      </w:tabs>
      <w:spacing w:line="240" w:lineRule="auto"/>
      <w:outlineLvl w:val="2"/>
    </w:pPr>
    <w:rPr>
      <w:rFonts w:ascii="Arial" w:hAnsi="Arial" w:cs="Arial"/>
      <w:sz w:val="20"/>
      <w:u w:val="single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5371C"/>
    <w:rPr>
      <w:rFonts w:ascii="Times New Roman" w:hAnsi="Times New Roman" w:cs="Times New Roman" w:hint="default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5371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587FE2"/>
    <w:pPr>
      <w:ind w:left="720"/>
      <w:contextualSpacing/>
    </w:pPr>
  </w:style>
  <w:style w:type="paragraph" w:styleId="Zkladntext">
    <w:name w:val="Body Text"/>
    <w:basedOn w:val="Normlny"/>
    <w:link w:val="ZkladntextChar"/>
    <w:rsid w:val="00035549"/>
    <w:pPr>
      <w:tabs>
        <w:tab w:val="clear" w:pos="567"/>
      </w:tabs>
      <w:spacing w:line="240" w:lineRule="auto"/>
    </w:pPr>
    <w:rPr>
      <w:sz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03554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306A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306A9A"/>
    <w:rPr>
      <w:rFonts w:ascii="Arial" w:eastAsia="Times New Roman" w:hAnsi="Arial" w:cs="Arial"/>
      <w:sz w:val="20"/>
      <w:szCs w:val="20"/>
      <w:u w:val="single"/>
      <w:lang w:eastAsia="cs-CZ"/>
    </w:rPr>
  </w:style>
  <w:style w:type="paragraph" w:styleId="Hlavika">
    <w:name w:val="header"/>
    <w:basedOn w:val="Normlny"/>
    <w:link w:val="HlavikaChar"/>
    <w:rsid w:val="00306A9A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val="sk-SK" w:eastAsia="cs-CZ"/>
    </w:rPr>
  </w:style>
  <w:style w:type="character" w:customStyle="1" w:styleId="HlavikaChar">
    <w:name w:val="Hlavička Char"/>
    <w:basedOn w:val="Predvolenpsmoodseku"/>
    <w:link w:val="Hlavika"/>
    <w:rsid w:val="00306A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ps">
    <w:name w:val="hps"/>
    <w:rsid w:val="00306A9A"/>
  </w:style>
  <w:style w:type="paragraph" w:styleId="Textbubliny">
    <w:name w:val="Balloon Text"/>
    <w:basedOn w:val="Normlny"/>
    <w:link w:val="TextbublinyChar"/>
    <w:uiPriority w:val="99"/>
    <w:semiHidden/>
    <w:unhideWhenUsed/>
    <w:rsid w:val="00E535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569"/>
    <w:rPr>
      <w:rFonts w:ascii="Tahoma" w:eastAsia="Times New Roman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59"/>
    <w:rsid w:val="00E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073C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073CD"/>
    <w:rPr>
      <w:rFonts w:ascii="Times New Roman" w:eastAsia="Times New Roman" w:hAnsi="Times New Roman" w:cs="Times New Roman"/>
      <w:szCs w:val="20"/>
      <w:lang w:val="en-GB"/>
    </w:rPr>
  </w:style>
  <w:style w:type="character" w:styleId="Odkaznakomentr">
    <w:name w:val="annotation reference"/>
    <w:basedOn w:val="Predvolenpsmoodseku"/>
    <w:uiPriority w:val="99"/>
    <w:semiHidden/>
    <w:unhideWhenUsed/>
    <w:rsid w:val="000073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73CD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73CD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73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73CD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371C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Nadpis1">
    <w:name w:val="heading 1"/>
    <w:basedOn w:val="Normlny"/>
    <w:next w:val="Normlny"/>
    <w:link w:val="Nadpis1Char"/>
    <w:qFormat/>
    <w:rsid w:val="00306A9A"/>
    <w:pPr>
      <w:keepNext/>
      <w:tabs>
        <w:tab w:val="clear" w:pos="567"/>
      </w:tabs>
      <w:spacing w:line="240" w:lineRule="auto"/>
      <w:outlineLvl w:val="0"/>
    </w:pPr>
    <w:rPr>
      <w:sz w:val="24"/>
      <w:lang w:val="sk-SK" w:eastAsia="cs-CZ"/>
    </w:rPr>
  </w:style>
  <w:style w:type="paragraph" w:styleId="Nadpis3">
    <w:name w:val="heading 3"/>
    <w:basedOn w:val="Normlny"/>
    <w:next w:val="Normlny"/>
    <w:link w:val="Nadpis3Char"/>
    <w:qFormat/>
    <w:rsid w:val="00306A9A"/>
    <w:pPr>
      <w:keepNext/>
      <w:tabs>
        <w:tab w:val="clear" w:pos="567"/>
      </w:tabs>
      <w:spacing w:line="240" w:lineRule="auto"/>
      <w:outlineLvl w:val="2"/>
    </w:pPr>
    <w:rPr>
      <w:rFonts w:ascii="Arial" w:hAnsi="Arial" w:cs="Arial"/>
      <w:sz w:val="20"/>
      <w:u w:val="single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55371C"/>
    <w:rPr>
      <w:rFonts w:ascii="Times New Roman" w:hAnsi="Times New Roman" w:cs="Times New Roman" w:hint="default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55371C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Odsekzoznamu">
    <w:name w:val="List Paragraph"/>
    <w:basedOn w:val="Normlny"/>
    <w:uiPriority w:val="34"/>
    <w:qFormat/>
    <w:rsid w:val="00587FE2"/>
    <w:pPr>
      <w:ind w:left="720"/>
      <w:contextualSpacing/>
    </w:pPr>
  </w:style>
  <w:style w:type="paragraph" w:styleId="Zkladntext">
    <w:name w:val="Body Text"/>
    <w:basedOn w:val="Normlny"/>
    <w:link w:val="ZkladntextChar"/>
    <w:rsid w:val="00035549"/>
    <w:pPr>
      <w:tabs>
        <w:tab w:val="clear" w:pos="567"/>
      </w:tabs>
      <w:spacing w:line="240" w:lineRule="auto"/>
    </w:pPr>
    <w:rPr>
      <w:sz w:val="24"/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rsid w:val="0003554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306A9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306A9A"/>
    <w:rPr>
      <w:rFonts w:ascii="Arial" w:eastAsia="Times New Roman" w:hAnsi="Arial" w:cs="Arial"/>
      <w:sz w:val="20"/>
      <w:szCs w:val="20"/>
      <w:u w:val="single"/>
      <w:lang w:eastAsia="cs-CZ"/>
    </w:rPr>
  </w:style>
  <w:style w:type="paragraph" w:styleId="Hlavika">
    <w:name w:val="header"/>
    <w:basedOn w:val="Normlny"/>
    <w:link w:val="HlavikaChar"/>
    <w:rsid w:val="00306A9A"/>
    <w:pPr>
      <w:tabs>
        <w:tab w:val="clear" w:pos="567"/>
        <w:tab w:val="center" w:pos="4536"/>
        <w:tab w:val="right" w:pos="9072"/>
      </w:tabs>
      <w:spacing w:line="240" w:lineRule="auto"/>
    </w:pPr>
    <w:rPr>
      <w:sz w:val="20"/>
      <w:lang w:val="sk-SK" w:eastAsia="cs-CZ"/>
    </w:rPr>
  </w:style>
  <w:style w:type="character" w:customStyle="1" w:styleId="HlavikaChar">
    <w:name w:val="Hlavička Char"/>
    <w:basedOn w:val="Predvolenpsmoodseku"/>
    <w:link w:val="Hlavika"/>
    <w:rsid w:val="00306A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ps">
    <w:name w:val="hps"/>
    <w:rsid w:val="00306A9A"/>
  </w:style>
  <w:style w:type="paragraph" w:styleId="Textbubliny">
    <w:name w:val="Balloon Text"/>
    <w:basedOn w:val="Normlny"/>
    <w:link w:val="TextbublinyChar"/>
    <w:uiPriority w:val="99"/>
    <w:semiHidden/>
    <w:unhideWhenUsed/>
    <w:rsid w:val="00E535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569"/>
    <w:rPr>
      <w:rFonts w:ascii="Tahoma" w:eastAsia="Times New Roman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59"/>
    <w:rsid w:val="00E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Siklenkova, D</dc:creator>
  <cp:lastModifiedBy>Malychová, Daniela</cp:lastModifiedBy>
  <cp:revision>3</cp:revision>
  <cp:lastPrinted>2016-01-12T09:16:00Z</cp:lastPrinted>
  <dcterms:created xsi:type="dcterms:W3CDTF">2017-02-24T11:38:00Z</dcterms:created>
  <dcterms:modified xsi:type="dcterms:W3CDTF">2017-02-24T11:38:00Z</dcterms:modified>
</cp:coreProperties>
</file>