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82" w:rsidRPr="001F67D9" w:rsidRDefault="00BC5E12" w:rsidP="001F67D9">
      <w:pPr>
        <w:pStyle w:val="Nadpis1"/>
      </w:pPr>
      <w:bookmarkStart w:id="0" w:name="_GoBack"/>
      <w:bookmarkEnd w:id="0"/>
      <w:r w:rsidRPr="001F67D9">
        <w:t>SÚHRN CHARAKTERISTICKÝCH VLASTNOSTÍ LIEKU</w:t>
      </w:r>
    </w:p>
    <w:p w:rsidR="001F67D9" w:rsidRPr="001F67D9" w:rsidRDefault="001F67D9" w:rsidP="001F67D9"/>
    <w:p w:rsidR="00AE0A82" w:rsidRPr="003943E5" w:rsidRDefault="00AE0A82" w:rsidP="001F67D9">
      <w:pPr>
        <w:pStyle w:val="Styl1"/>
      </w:pPr>
      <w:r w:rsidRPr="003943E5">
        <w:t>NÁZOV LIEKU</w:t>
      </w:r>
    </w:p>
    <w:p w:rsidR="00ED1EC7" w:rsidRPr="003943E5" w:rsidRDefault="00BC5E12" w:rsidP="001F67D9">
      <w:pPr>
        <w:pStyle w:val="Normlndobloku"/>
      </w:pPr>
      <w:r w:rsidRPr="003943E5">
        <w:t>M</w:t>
      </w:r>
      <w:r w:rsidR="002635A6" w:rsidRPr="003943E5">
        <w:t>AGUROL 4</w:t>
      </w:r>
      <w:r w:rsidR="00672DA1">
        <w:t> </w:t>
      </w:r>
      <w:r w:rsidR="002635A6" w:rsidRPr="003943E5">
        <w:t>mg</w:t>
      </w:r>
    </w:p>
    <w:p w:rsidR="00AE0A82" w:rsidRPr="003943E5" w:rsidRDefault="00AE0A82" w:rsidP="001F67D9">
      <w:pPr>
        <w:pStyle w:val="Styl1"/>
      </w:pPr>
      <w:r w:rsidRPr="003943E5">
        <w:t>KVALITATÍVNE A</w:t>
      </w:r>
      <w:r w:rsidR="00672DA1">
        <w:t> </w:t>
      </w:r>
      <w:r w:rsidRPr="003943E5">
        <w:t>KVANTITATÍVNE ZLOŽENIE</w:t>
      </w:r>
    </w:p>
    <w:p w:rsidR="00DA5853" w:rsidRDefault="00DA5853" w:rsidP="001F67D9">
      <w:pPr>
        <w:pStyle w:val="Normlndobloku"/>
      </w:pPr>
      <w:r>
        <w:t xml:space="preserve">Jedna tableta obsahuje 4 mg </w:t>
      </w:r>
      <w:proofErr w:type="spellStart"/>
      <w:r>
        <w:t>doxazosínu</w:t>
      </w:r>
      <w:proofErr w:type="spellEnd"/>
      <w:r>
        <w:t xml:space="preserve"> (vo forme </w:t>
      </w:r>
      <w:proofErr w:type="spellStart"/>
      <w:r>
        <w:t>doxazo</w:t>
      </w:r>
      <w:r w:rsidR="006D58DF">
        <w:t>s</w:t>
      </w:r>
      <w:r>
        <w:t>íniummesilátu</w:t>
      </w:r>
      <w:proofErr w:type="spellEnd"/>
      <w:r>
        <w:t>).</w:t>
      </w:r>
    </w:p>
    <w:p w:rsidR="00A01916" w:rsidRPr="003943E5" w:rsidRDefault="00A01916" w:rsidP="001F67D9">
      <w:pPr>
        <w:pStyle w:val="Normlndobloku"/>
        <w:rPr>
          <w:noProof/>
        </w:rPr>
      </w:pPr>
      <w:r w:rsidRPr="00C20514">
        <w:rPr>
          <w:noProof/>
        </w:rPr>
        <w:t>Pomocná látka</w:t>
      </w:r>
      <w:r w:rsidRPr="003943E5">
        <w:rPr>
          <w:noProof/>
        </w:rPr>
        <w:t xml:space="preserve">: </w:t>
      </w:r>
      <w:r w:rsidR="00FF3189" w:rsidRPr="003943E5">
        <w:rPr>
          <w:noProof/>
        </w:rPr>
        <w:t xml:space="preserve">monohydrát </w:t>
      </w:r>
      <w:r w:rsidRPr="003943E5">
        <w:rPr>
          <w:noProof/>
        </w:rPr>
        <w:t>laktóz</w:t>
      </w:r>
      <w:r w:rsidR="00FF3189" w:rsidRPr="003943E5">
        <w:rPr>
          <w:noProof/>
        </w:rPr>
        <w:t>y</w:t>
      </w:r>
    </w:p>
    <w:p w:rsidR="00AE0A82" w:rsidRPr="003943E5" w:rsidRDefault="00AE0A82" w:rsidP="001F67D9">
      <w:pPr>
        <w:pStyle w:val="Normlndobloku"/>
        <w:rPr>
          <w:noProof/>
        </w:rPr>
      </w:pPr>
      <w:r w:rsidRPr="003943E5">
        <w:rPr>
          <w:noProof/>
        </w:rPr>
        <w:t xml:space="preserve">Úplný zoznam pomocných látok, pozri </w:t>
      </w:r>
      <w:r w:rsidR="002F25A5" w:rsidRPr="003943E5">
        <w:rPr>
          <w:noProof/>
        </w:rPr>
        <w:t xml:space="preserve">časť </w:t>
      </w:r>
      <w:r w:rsidR="00CF5240" w:rsidRPr="003943E5">
        <w:rPr>
          <w:noProof/>
        </w:rPr>
        <w:fldChar w:fldCharType="begin"/>
      </w:r>
      <w:r w:rsidR="00CF5240" w:rsidRPr="003943E5">
        <w:rPr>
          <w:noProof/>
        </w:rPr>
        <w:instrText xml:space="preserve"> REF _Ref201477893 \r \h </w:instrText>
      </w:r>
      <w:r w:rsidR="00CF5240" w:rsidRPr="003943E5">
        <w:rPr>
          <w:noProof/>
        </w:rPr>
      </w:r>
      <w:r w:rsidR="00CF5240" w:rsidRPr="003943E5">
        <w:rPr>
          <w:noProof/>
        </w:rPr>
        <w:fldChar w:fldCharType="separate"/>
      </w:r>
      <w:r w:rsidR="00D10344">
        <w:rPr>
          <w:noProof/>
        </w:rPr>
        <w:t>6.1</w:t>
      </w:r>
      <w:r w:rsidR="00CF5240" w:rsidRPr="003943E5">
        <w:rPr>
          <w:noProof/>
        </w:rPr>
        <w:fldChar w:fldCharType="end"/>
      </w:r>
      <w:r w:rsidRPr="003943E5">
        <w:rPr>
          <w:noProof/>
        </w:rPr>
        <w:t>.</w:t>
      </w:r>
    </w:p>
    <w:p w:rsidR="00AE0A82" w:rsidRPr="003943E5" w:rsidRDefault="00AE0A82" w:rsidP="001F67D9">
      <w:pPr>
        <w:pStyle w:val="Styl1"/>
      </w:pPr>
      <w:r w:rsidRPr="003943E5">
        <w:t>LIEKOVÁ FORMA</w:t>
      </w:r>
    </w:p>
    <w:p w:rsidR="00D41752" w:rsidRDefault="00E20455" w:rsidP="001F67D9">
      <w:pPr>
        <w:pStyle w:val="Normlndobloku"/>
      </w:pPr>
      <w:r w:rsidRPr="003943E5">
        <w:t>Tablet</w:t>
      </w:r>
      <w:r>
        <w:t>a</w:t>
      </w:r>
    </w:p>
    <w:p w:rsidR="00672DA1" w:rsidRDefault="00E20455" w:rsidP="001F67D9">
      <w:pPr>
        <w:pStyle w:val="Normlndobloku"/>
      </w:pPr>
      <w:r>
        <w:t>Okrúhle tablety bielej farby s deliacou ryhou na jednej strane.</w:t>
      </w:r>
    </w:p>
    <w:p w:rsidR="00BF6217" w:rsidRPr="00A519F4" w:rsidRDefault="00BF6217" w:rsidP="001F67D9">
      <w:pPr>
        <w:pStyle w:val="Normlndobloku"/>
      </w:pPr>
      <w:r>
        <w:t>T</w:t>
      </w:r>
      <w:r w:rsidRPr="00A519F4">
        <w:t>ablet</w:t>
      </w:r>
      <w:r w:rsidR="00BC3066">
        <w:t>a</w:t>
      </w:r>
      <w:r w:rsidRPr="00A519F4">
        <w:t xml:space="preserve"> </w:t>
      </w:r>
      <w:r>
        <w:t>sa</w:t>
      </w:r>
      <w:r w:rsidRPr="00A519F4">
        <w:t xml:space="preserve"> m</w:t>
      </w:r>
      <w:r>
        <w:t>ô</w:t>
      </w:r>
      <w:r w:rsidRPr="00A519F4">
        <w:t>ž</w:t>
      </w:r>
      <w:r w:rsidR="00BC3066">
        <w:t>e</w:t>
      </w:r>
      <w:r w:rsidRPr="00A519F4">
        <w:t xml:space="preserve"> deliť na rovnaké </w:t>
      </w:r>
      <w:r w:rsidR="00BC3066">
        <w:t>dávky</w:t>
      </w:r>
      <w:r w:rsidRPr="00A519F4">
        <w:t>.</w:t>
      </w:r>
    </w:p>
    <w:p w:rsidR="00AE0A82" w:rsidRPr="003943E5" w:rsidRDefault="00AE0A82" w:rsidP="001F67D9">
      <w:pPr>
        <w:pStyle w:val="Styl1"/>
      </w:pPr>
      <w:r w:rsidRPr="003943E5">
        <w:t>KLINICKÉ ÚDAJE</w:t>
      </w:r>
    </w:p>
    <w:p w:rsidR="00AE0A82" w:rsidRPr="003943E5" w:rsidRDefault="00AE0A82" w:rsidP="001F67D9">
      <w:pPr>
        <w:pStyle w:val="Styl2"/>
      </w:pPr>
      <w:r w:rsidRPr="003943E5">
        <w:t>Terapeutické indikácie</w:t>
      </w:r>
    </w:p>
    <w:p w:rsidR="002635A6" w:rsidRPr="003943E5" w:rsidRDefault="002635A6" w:rsidP="001F67D9">
      <w:pPr>
        <w:pStyle w:val="Styl3"/>
      </w:pPr>
      <w:r w:rsidRPr="003943E5">
        <w:t>Hypertenzia</w:t>
      </w:r>
    </w:p>
    <w:p w:rsidR="002635A6" w:rsidRPr="003943E5" w:rsidRDefault="002635A6" w:rsidP="001F67D9">
      <w:pPr>
        <w:pStyle w:val="Normlndobloku"/>
      </w:pPr>
      <w:r w:rsidRPr="003943E5">
        <w:t>MAGUROL je indikovaný na liečbu hypertenzie a</w:t>
      </w:r>
      <w:r w:rsidR="00967B63">
        <w:t> </w:t>
      </w:r>
      <w:r w:rsidRPr="003943E5">
        <w:t>môže sa použiť ako úvodná liečba u</w:t>
      </w:r>
      <w:r w:rsidR="00967B63">
        <w:t> </w:t>
      </w:r>
      <w:r w:rsidRPr="003943E5">
        <w:t>väčšiny pacientov. Pacienti, u</w:t>
      </w:r>
      <w:r w:rsidR="00967B63">
        <w:t> </w:t>
      </w:r>
      <w:r w:rsidRPr="003943E5">
        <w:t>ktorých nie je možné tlak krvi adekvátne upraviť monoterapiou, môžu MAGUROL užívať v kombinácii s inými liekmi, napr.</w:t>
      </w:r>
      <w:r w:rsidR="00967B63">
        <w:t> </w:t>
      </w:r>
      <w:proofErr w:type="spellStart"/>
      <w:r w:rsidRPr="003943E5">
        <w:t>tiazidovými</w:t>
      </w:r>
      <w:proofErr w:type="spellEnd"/>
      <w:r w:rsidRPr="003943E5">
        <w:t xml:space="preserve"> diuretikami, </w:t>
      </w:r>
      <w:proofErr w:type="spellStart"/>
      <w:r w:rsidRPr="003943E5">
        <w:t>betablokátormi</w:t>
      </w:r>
      <w:proofErr w:type="spellEnd"/>
      <w:r w:rsidRPr="003943E5">
        <w:t>, kalciovými antagonistami alebo inhibítormi angiotenzín konvertujúceho enzýmu.</w:t>
      </w:r>
    </w:p>
    <w:p w:rsidR="002635A6" w:rsidRPr="003943E5" w:rsidRDefault="002635A6" w:rsidP="001F67D9">
      <w:pPr>
        <w:pStyle w:val="Styl3"/>
      </w:pPr>
      <w:r w:rsidRPr="003943E5">
        <w:t>Benígna hyperplázia prostaty</w:t>
      </w:r>
    </w:p>
    <w:p w:rsidR="002635A6" w:rsidRPr="003943E5" w:rsidRDefault="002635A6" w:rsidP="001F67D9">
      <w:pPr>
        <w:pStyle w:val="Normlndobloku"/>
      </w:pPr>
      <w:r w:rsidRPr="003943E5">
        <w:t>MAGUROL je indikovaný na liečbu klinických symptómov pri benígnej hyperplázii prostaty a na znížený močový prúd pri benígnej hyperplázii prostaty. Na liečbu benígnej hyperplázie prostaty sa MAGUROL používa u normotenzných pacientov, ako aj u pacientov s hypertenziou. U</w:t>
      </w:r>
      <w:r w:rsidR="00BC3066">
        <w:t> </w:t>
      </w:r>
      <w:proofErr w:type="spellStart"/>
      <w:r w:rsidRPr="003943E5">
        <w:t>normotenzných</w:t>
      </w:r>
      <w:proofErr w:type="spellEnd"/>
      <w:r w:rsidRPr="003943E5">
        <w:t xml:space="preserve"> pacientov s benígnou </w:t>
      </w:r>
      <w:proofErr w:type="spellStart"/>
      <w:r w:rsidRPr="003943E5">
        <w:t>hyperpláziou</w:t>
      </w:r>
      <w:proofErr w:type="spellEnd"/>
      <w:r w:rsidRPr="003943E5">
        <w:t xml:space="preserve"> prostaty nie sú zmeny tlaku krvi klinicky signifikantné. U pacientov s hypertenziou a benígnou hyperpláziou prostaty sa môžu obidve ochorenia účinne liečiť </w:t>
      </w:r>
      <w:proofErr w:type="spellStart"/>
      <w:r w:rsidRPr="003943E5">
        <w:t>monoterapiou</w:t>
      </w:r>
      <w:proofErr w:type="spellEnd"/>
      <w:r w:rsidRPr="003943E5">
        <w:t xml:space="preserve"> MAGUROL</w:t>
      </w:r>
      <w:r w:rsidR="00522E5D">
        <w:t>OM</w:t>
      </w:r>
      <w:r w:rsidRPr="003943E5">
        <w:t>.</w:t>
      </w:r>
    </w:p>
    <w:p w:rsidR="00AE0A82" w:rsidRPr="003943E5" w:rsidRDefault="00AE0A82" w:rsidP="00967B63">
      <w:pPr>
        <w:pStyle w:val="Styl2"/>
      </w:pPr>
      <w:bookmarkStart w:id="1" w:name="_Ref201478128"/>
      <w:r w:rsidRPr="003943E5">
        <w:t>Dávkovanie a</w:t>
      </w:r>
      <w:r w:rsidR="00967B63">
        <w:t> </w:t>
      </w:r>
      <w:r w:rsidRPr="003943E5">
        <w:t>spôsob podávania</w:t>
      </w:r>
      <w:bookmarkEnd w:id="1"/>
    </w:p>
    <w:p w:rsidR="00967B63" w:rsidRDefault="00967B63" w:rsidP="00C6383F">
      <w:pPr>
        <w:pStyle w:val="Styl3"/>
      </w:pPr>
      <w:bookmarkStart w:id="2" w:name="_Ref197143119"/>
      <w:r>
        <w:t>Dávkovanie</w:t>
      </w:r>
    </w:p>
    <w:p w:rsidR="005F2ED4" w:rsidRPr="003943E5" w:rsidRDefault="005F2ED4" w:rsidP="001F67D9">
      <w:pPr>
        <w:pStyle w:val="Normlndobloku"/>
      </w:pPr>
    </w:p>
    <w:p w:rsidR="002635A6" w:rsidRPr="003943E5" w:rsidRDefault="002635A6" w:rsidP="001F67D9">
      <w:pPr>
        <w:pStyle w:val="Styl3"/>
      </w:pPr>
      <w:r w:rsidRPr="003943E5">
        <w:t>Hypertenzia</w:t>
      </w:r>
    </w:p>
    <w:p w:rsidR="002635A6" w:rsidRDefault="002635A6" w:rsidP="001F67D9">
      <w:pPr>
        <w:pStyle w:val="Normlndobloku"/>
      </w:pPr>
      <w:r w:rsidRPr="003943E5">
        <w:t xml:space="preserve">Rozsah denných dávok doxazosínu je 1 – 16 mg. Odporúča sa začať dávkou 1 mg raz denne, ktorá sa podáva počas jedného alebo dvoch týždňov, aby sa minimalizovalo potenciálne riziko posturálnej hypotenzie a/alebo synkopy (pozri </w:t>
      </w:r>
      <w:r w:rsidR="002F25A5" w:rsidRPr="003943E5">
        <w:t xml:space="preserve">časť </w:t>
      </w:r>
      <w:r w:rsidR="00CF5240" w:rsidRPr="003943E5">
        <w:fldChar w:fldCharType="begin"/>
      </w:r>
      <w:r w:rsidR="00CF5240" w:rsidRPr="003943E5">
        <w:instrText xml:space="preserve"> REF _Ref201477938 \r \h </w:instrText>
      </w:r>
      <w:r w:rsidR="00CF5240" w:rsidRPr="003943E5">
        <w:fldChar w:fldCharType="separate"/>
      </w:r>
      <w:r w:rsidR="00D10344">
        <w:t>4.4</w:t>
      </w:r>
      <w:r w:rsidR="00CF5240" w:rsidRPr="003943E5">
        <w:fldChar w:fldCharType="end"/>
      </w:r>
      <w:r w:rsidRPr="003943E5">
        <w:t>). Dávku je možné potom zvýšiť na 2 mg raz denne, ktorá sa podáva ďalšie 1 alebo 2 týždne. Ak je to potrebné, môže sa denná dávka ďalej postupne zvyšovať približne v rovnakých intervaloch na 4 mg, 8 mg alebo 16 mg denne do dosiahnutia očakávaného zníženia tlaku krvi pacienta. Bežná dávka je 2</w:t>
      </w:r>
      <w:r w:rsidR="00773BB5">
        <w:t xml:space="preserve"> </w:t>
      </w:r>
      <w:r w:rsidR="00773BB5" w:rsidRPr="003943E5">
        <w:t>–</w:t>
      </w:r>
      <w:r w:rsidR="00773BB5">
        <w:t xml:space="preserve"> </w:t>
      </w:r>
      <w:r w:rsidRPr="003943E5">
        <w:t>4 mg raz denne.</w:t>
      </w:r>
    </w:p>
    <w:p w:rsidR="002635A6" w:rsidRPr="003943E5" w:rsidRDefault="002635A6" w:rsidP="001F67D9">
      <w:pPr>
        <w:pStyle w:val="Styl3"/>
      </w:pPr>
      <w:r w:rsidRPr="003943E5">
        <w:t>Benígna hyperplázia prostaty</w:t>
      </w:r>
    </w:p>
    <w:p w:rsidR="002635A6" w:rsidRPr="003943E5" w:rsidRDefault="002635A6" w:rsidP="001F67D9">
      <w:pPr>
        <w:pStyle w:val="Normlndobloku"/>
      </w:pPr>
      <w:r w:rsidRPr="003943E5">
        <w:t xml:space="preserve">Odporúčaná počiatočná dávka je 1 mg raz za deň, aby sa minimalizovalo potenciálne riziko posturálnej hypotenzie a/alebo synkopy (pozri </w:t>
      </w:r>
      <w:r w:rsidR="002F25A5" w:rsidRPr="003943E5">
        <w:t xml:space="preserve">časť </w:t>
      </w:r>
      <w:r w:rsidR="00CF5240" w:rsidRPr="003943E5">
        <w:fldChar w:fldCharType="begin"/>
      </w:r>
      <w:r w:rsidR="00CF5240" w:rsidRPr="003943E5">
        <w:instrText xml:space="preserve"> REF _Ref201477938 \r \h </w:instrText>
      </w:r>
      <w:r w:rsidR="00CF5240" w:rsidRPr="003943E5">
        <w:fldChar w:fldCharType="separate"/>
      </w:r>
      <w:r w:rsidR="00D10344">
        <w:t>4.4</w:t>
      </w:r>
      <w:r w:rsidR="00CF5240" w:rsidRPr="003943E5">
        <w:fldChar w:fldCharType="end"/>
      </w:r>
      <w:r w:rsidR="00CF5240" w:rsidRPr="003943E5">
        <w:t>)</w:t>
      </w:r>
      <w:r w:rsidRPr="003943E5">
        <w:t>.</w:t>
      </w:r>
    </w:p>
    <w:p w:rsidR="002635A6" w:rsidRPr="003943E5" w:rsidRDefault="002635A6" w:rsidP="001F67D9">
      <w:pPr>
        <w:pStyle w:val="Normlndobloku"/>
      </w:pPr>
      <w:r w:rsidRPr="003943E5">
        <w:lastRenderedPageBreak/>
        <w:t>V závislosti od urodynamiky a symptomatológie benígnej hyperplázie prostaty je potom možné dávku zvýšiť na 2 mg a ďalej na 4 mg až po najvyššiu odporúčanú dávku 8 mg. Odporučený titračný interval je 1</w:t>
      </w:r>
      <w:r w:rsidR="00CD17A4">
        <w:t xml:space="preserve"> </w:t>
      </w:r>
      <w:r w:rsidR="00CD17A4" w:rsidRPr="003943E5">
        <w:t>–</w:t>
      </w:r>
      <w:r w:rsidR="00CD17A4">
        <w:t xml:space="preserve"> </w:t>
      </w:r>
      <w:r w:rsidRPr="003943E5">
        <w:t xml:space="preserve">2 týždne. Bežne sa odporúča dávka </w:t>
      </w:r>
      <w:r w:rsidR="00901F6B" w:rsidRPr="003943E5">
        <w:t>2</w:t>
      </w:r>
      <w:r w:rsidR="00901F6B">
        <w:t xml:space="preserve"> </w:t>
      </w:r>
      <w:r w:rsidR="00901F6B" w:rsidRPr="003943E5">
        <w:t>–</w:t>
      </w:r>
      <w:r w:rsidR="00901F6B">
        <w:t xml:space="preserve"> </w:t>
      </w:r>
      <w:r w:rsidR="00901F6B" w:rsidRPr="003943E5">
        <w:t>4</w:t>
      </w:r>
      <w:r w:rsidRPr="003943E5">
        <w:t xml:space="preserve"> mg raz denne.</w:t>
      </w:r>
    </w:p>
    <w:p w:rsidR="002635A6" w:rsidRPr="003943E5" w:rsidRDefault="00967B63" w:rsidP="001F67D9">
      <w:pPr>
        <w:pStyle w:val="Styl3"/>
      </w:pPr>
      <w:r>
        <w:t>Starší pacienti</w:t>
      </w:r>
    </w:p>
    <w:p w:rsidR="002635A6" w:rsidRDefault="002635A6" w:rsidP="001F67D9">
      <w:pPr>
        <w:pStyle w:val="Normlndobloku"/>
      </w:pPr>
      <w:r w:rsidRPr="003943E5">
        <w:t>Odporúčajú sa normálne dávky pre dospelých.</w:t>
      </w:r>
    </w:p>
    <w:p w:rsidR="0038092D" w:rsidRDefault="0038092D" w:rsidP="00C6383F">
      <w:pPr>
        <w:pStyle w:val="Styl3"/>
      </w:pPr>
      <w:r>
        <w:t>Pediatrická populácia</w:t>
      </w:r>
    </w:p>
    <w:p w:rsidR="0038092D" w:rsidRPr="003943E5" w:rsidRDefault="0038092D" w:rsidP="001F67D9">
      <w:pPr>
        <w:pStyle w:val="Normlndobloku"/>
      </w:pPr>
      <w:r>
        <w:t>Bezpečnosť a účinnosť doxazosínu u </w:t>
      </w:r>
      <w:r w:rsidRPr="003943E5">
        <w:t>detí nebola stanovená.</w:t>
      </w:r>
    </w:p>
    <w:p w:rsidR="002635A6" w:rsidRPr="003943E5" w:rsidRDefault="0038092D" w:rsidP="001F67D9">
      <w:pPr>
        <w:pStyle w:val="Styl3"/>
      </w:pPr>
      <w:r>
        <w:t>Pacienti s poruchou funkcie</w:t>
      </w:r>
      <w:r w:rsidR="002635A6" w:rsidRPr="003943E5">
        <w:t xml:space="preserve"> obličiek</w:t>
      </w:r>
    </w:p>
    <w:p w:rsidR="002635A6" w:rsidRPr="003943E5" w:rsidRDefault="002635A6" w:rsidP="001F67D9">
      <w:pPr>
        <w:pStyle w:val="Normlndobloku"/>
      </w:pPr>
      <w:r w:rsidRPr="003943E5">
        <w:t xml:space="preserve">Keďže sa </w:t>
      </w:r>
      <w:proofErr w:type="spellStart"/>
      <w:r w:rsidRPr="003943E5">
        <w:t>farmakokinetika</w:t>
      </w:r>
      <w:proofErr w:type="spellEnd"/>
      <w:r w:rsidRPr="003943E5">
        <w:t xml:space="preserve"> </w:t>
      </w:r>
      <w:proofErr w:type="spellStart"/>
      <w:r w:rsidRPr="003943E5">
        <w:t>doxazosínu</w:t>
      </w:r>
      <w:proofErr w:type="spellEnd"/>
      <w:r w:rsidRPr="003943E5">
        <w:t xml:space="preserve"> pri </w:t>
      </w:r>
      <w:proofErr w:type="spellStart"/>
      <w:r w:rsidRPr="003943E5">
        <w:t>renálnej</w:t>
      </w:r>
      <w:proofErr w:type="spellEnd"/>
      <w:r w:rsidRPr="003943E5">
        <w:t xml:space="preserve"> </w:t>
      </w:r>
      <w:proofErr w:type="spellStart"/>
      <w:r w:rsidRPr="003943E5">
        <w:t>insuficiencii</w:t>
      </w:r>
      <w:proofErr w:type="spellEnd"/>
      <w:r w:rsidRPr="003943E5">
        <w:t xml:space="preserve"> nemení a</w:t>
      </w:r>
      <w:r w:rsidR="0038092D">
        <w:t> </w:t>
      </w:r>
      <w:proofErr w:type="spellStart"/>
      <w:r w:rsidRPr="003943E5">
        <w:t>doxazosín</w:t>
      </w:r>
      <w:proofErr w:type="spellEnd"/>
      <w:r w:rsidRPr="003943E5">
        <w:t xml:space="preserve"> neovplyvňuje existujúcu </w:t>
      </w:r>
      <w:proofErr w:type="spellStart"/>
      <w:r w:rsidRPr="003943E5">
        <w:t>renálnu</w:t>
      </w:r>
      <w:proofErr w:type="spellEnd"/>
      <w:r w:rsidRPr="003943E5">
        <w:t xml:space="preserve"> dysfunkciu, preto u</w:t>
      </w:r>
      <w:r w:rsidR="0038092D">
        <w:t> </w:t>
      </w:r>
      <w:r w:rsidRPr="003943E5">
        <w:t>týchto pacientov možno podávať bežné dávky.</w:t>
      </w:r>
    </w:p>
    <w:p w:rsidR="002635A6" w:rsidRPr="003943E5" w:rsidRDefault="0038092D" w:rsidP="001F67D9">
      <w:pPr>
        <w:pStyle w:val="Styl3"/>
      </w:pPr>
      <w:r>
        <w:t xml:space="preserve">Pacienti s poruchou </w:t>
      </w:r>
      <w:r w:rsidR="00E20455">
        <w:t>funkcie pečene</w:t>
      </w:r>
    </w:p>
    <w:p w:rsidR="00BC3066" w:rsidRDefault="002635A6" w:rsidP="001F67D9">
      <w:pPr>
        <w:pStyle w:val="Normlndobloku"/>
      </w:pPr>
      <w:r w:rsidRPr="003943E5">
        <w:t xml:space="preserve">Pozri </w:t>
      </w:r>
      <w:r w:rsidR="002F25A5" w:rsidRPr="003943E5">
        <w:t xml:space="preserve">časť </w:t>
      </w:r>
      <w:r w:rsidR="00CF5240" w:rsidRPr="003943E5">
        <w:fldChar w:fldCharType="begin"/>
      </w:r>
      <w:r w:rsidR="00CF5240" w:rsidRPr="003943E5">
        <w:instrText xml:space="preserve"> REF _Ref201477938 \r \h </w:instrText>
      </w:r>
      <w:r w:rsidR="00CF5240" w:rsidRPr="003943E5">
        <w:fldChar w:fldCharType="separate"/>
      </w:r>
      <w:r w:rsidR="00D10344">
        <w:t>4.4</w:t>
      </w:r>
      <w:r w:rsidR="00CF5240" w:rsidRPr="003943E5">
        <w:fldChar w:fldCharType="end"/>
      </w:r>
      <w:r w:rsidR="00E20455">
        <w:t>.</w:t>
      </w:r>
    </w:p>
    <w:p w:rsidR="002635A6" w:rsidRPr="003943E5" w:rsidRDefault="00BC3066" w:rsidP="001F67D9">
      <w:pPr>
        <w:pStyle w:val="Normlndobloku"/>
      </w:pPr>
      <w:r>
        <w:t>Pre dávku 1 mg treba použiť iný liek, lebo liek MAGUROL nie je v sile 1 mg registrovaný.</w:t>
      </w:r>
    </w:p>
    <w:p w:rsidR="0038092D" w:rsidRDefault="0038092D" w:rsidP="00C6383F">
      <w:pPr>
        <w:pStyle w:val="Styl3"/>
      </w:pPr>
    </w:p>
    <w:p w:rsidR="00967B63" w:rsidRDefault="00967B63" w:rsidP="00C6383F">
      <w:pPr>
        <w:pStyle w:val="Styl3"/>
      </w:pPr>
      <w:r>
        <w:t>Spôsob podávania</w:t>
      </w:r>
    </w:p>
    <w:p w:rsidR="00967B63" w:rsidRPr="003943E5" w:rsidRDefault="00967B63" w:rsidP="001F67D9">
      <w:pPr>
        <w:pStyle w:val="Normlndobloku"/>
      </w:pPr>
      <w:r>
        <w:t>Perorálne podanie. MAGUROL sa podáva ráno alebo večer.</w:t>
      </w:r>
    </w:p>
    <w:p w:rsidR="00ED1EC7" w:rsidRPr="003943E5" w:rsidRDefault="00AE0A82" w:rsidP="001F67D9">
      <w:pPr>
        <w:pStyle w:val="Styl2"/>
      </w:pPr>
      <w:r w:rsidRPr="003943E5">
        <w:t>Kontraindikácie</w:t>
      </w:r>
      <w:bookmarkEnd w:id="2"/>
    </w:p>
    <w:p w:rsidR="002635A6" w:rsidRPr="003943E5" w:rsidRDefault="002635A6" w:rsidP="001F67D9">
      <w:pPr>
        <w:pStyle w:val="Normlndobloku"/>
      </w:pPr>
      <w:bookmarkStart w:id="3" w:name="_Ref201476095"/>
      <w:r w:rsidRPr="003943E5">
        <w:t xml:space="preserve">MAGUROL je kontraindikovaný u pacientov so známou </w:t>
      </w:r>
      <w:r w:rsidR="0020197C">
        <w:t>precitlivenosťou na liečivo,</w:t>
      </w:r>
      <w:r w:rsidR="00522E5D">
        <w:t xml:space="preserve"> </w:t>
      </w:r>
      <w:r w:rsidRPr="003943E5">
        <w:t xml:space="preserve">na </w:t>
      </w:r>
      <w:proofErr w:type="spellStart"/>
      <w:r w:rsidRPr="003943E5">
        <w:t>chinazolíny</w:t>
      </w:r>
      <w:proofErr w:type="spellEnd"/>
      <w:r w:rsidRPr="003943E5">
        <w:t xml:space="preserve">, alebo </w:t>
      </w:r>
      <w:r w:rsidR="006D58DF">
        <w:t xml:space="preserve">na </w:t>
      </w:r>
      <w:r w:rsidRPr="003943E5">
        <w:t xml:space="preserve">ktorúkoľvek </w:t>
      </w:r>
      <w:r w:rsidR="00522E5D">
        <w:t>z pomocných látok uvedených v časti 6.1.</w:t>
      </w:r>
    </w:p>
    <w:p w:rsidR="00AE0A82" w:rsidRPr="003943E5" w:rsidRDefault="00AE0A82" w:rsidP="001F67D9">
      <w:pPr>
        <w:pStyle w:val="Styl2"/>
      </w:pPr>
      <w:bookmarkStart w:id="4" w:name="_Ref201477938"/>
      <w:r w:rsidRPr="003943E5">
        <w:t>Osobitné upozornenia a opatrenia pri používaní</w:t>
      </w:r>
      <w:bookmarkEnd w:id="3"/>
      <w:bookmarkEnd w:id="4"/>
    </w:p>
    <w:p w:rsidR="002635A6" w:rsidRPr="003943E5" w:rsidRDefault="002635A6" w:rsidP="001F67D9">
      <w:pPr>
        <w:pStyle w:val="Styl3"/>
      </w:pPr>
      <w:r w:rsidRPr="003943E5">
        <w:t>Posturálna hypotenzia / synkopa</w:t>
      </w:r>
    </w:p>
    <w:p w:rsidR="002635A6" w:rsidRPr="003943E5" w:rsidRDefault="002635A6" w:rsidP="001F67D9">
      <w:pPr>
        <w:pStyle w:val="Normlndobloku"/>
      </w:pPr>
      <w:r w:rsidRPr="003943E5">
        <w:t xml:space="preserve">Ako aj v prípade iných alfa-blokátorov, vyskytla sa u veľmi malého percenta pacientov posturálna hypotenzia, ktorá sa prejavila závratmi a slabosťou alebo zriedkavo stratou vedomia (synkopa), a to najmä na začiatku liečby (pozri </w:t>
      </w:r>
      <w:r w:rsidR="002F25A5" w:rsidRPr="003943E5">
        <w:t xml:space="preserve">časť </w:t>
      </w:r>
      <w:r w:rsidR="00CF5240" w:rsidRPr="003943E5">
        <w:fldChar w:fldCharType="begin"/>
      </w:r>
      <w:r w:rsidR="00CF5240" w:rsidRPr="003943E5">
        <w:instrText xml:space="preserve"> REF _Ref201478128 \r \h </w:instrText>
      </w:r>
      <w:r w:rsidR="00CF5240" w:rsidRPr="003943E5">
        <w:fldChar w:fldCharType="separate"/>
      </w:r>
      <w:r w:rsidR="00D10344">
        <w:t>4.2</w:t>
      </w:r>
      <w:r w:rsidR="00CF5240" w:rsidRPr="003943E5">
        <w:fldChar w:fldCharType="end"/>
      </w:r>
      <w:r w:rsidRPr="003943E5">
        <w:t xml:space="preserve">). Pri úvodnej liečbe s akýmkoľvek účinným alfa-blokátorom treba pacienta poučiť, ako sa vyhýbať symptómom, ktoré vznikajú následkom posturálnej hypotenzie, a aké opatrenia treba urobiť, ak sa prejavia. Pacienta treba upozorniť, aby sa najmä na začiatku liečby MAGUROLom vyhol </w:t>
      </w:r>
      <w:r w:rsidR="003943E5" w:rsidRPr="003943E5">
        <w:t>situáciám</w:t>
      </w:r>
      <w:r w:rsidRPr="003943E5">
        <w:t>, kde by mohol pri prejavoch slabosti alebo závratov utrpieť zranenie.</w:t>
      </w:r>
    </w:p>
    <w:p w:rsidR="002635A6" w:rsidRPr="003943E5" w:rsidRDefault="002635A6" w:rsidP="001F67D9">
      <w:pPr>
        <w:pStyle w:val="Styl3"/>
      </w:pPr>
      <w:r w:rsidRPr="003943E5">
        <w:t>Porucha funkcie pečene</w:t>
      </w:r>
    </w:p>
    <w:p w:rsidR="002635A6" w:rsidRDefault="002635A6" w:rsidP="001F67D9">
      <w:pPr>
        <w:pStyle w:val="Normlndobloku"/>
      </w:pPr>
      <w:r w:rsidRPr="003943E5">
        <w:t xml:space="preserve">Podobne ako pri iných liekoch, ktoré sa úplne metabolizujú v pečeni, aj doxazosín sa má podávať opatrne pacientom s poruchou funkcie pečene (pozri </w:t>
      </w:r>
      <w:r w:rsidR="002F25A5" w:rsidRPr="003943E5">
        <w:t xml:space="preserve">časť </w:t>
      </w:r>
      <w:r w:rsidR="00CF5240" w:rsidRPr="003943E5">
        <w:fldChar w:fldCharType="begin"/>
      </w:r>
      <w:r w:rsidR="00CF5240" w:rsidRPr="003943E5">
        <w:instrText xml:space="preserve"> REF _Ref201478190 \r \h </w:instrText>
      </w:r>
      <w:r w:rsidR="00CF5240" w:rsidRPr="003943E5">
        <w:fldChar w:fldCharType="separate"/>
      </w:r>
      <w:r w:rsidR="00D10344">
        <w:t>5.2</w:t>
      </w:r>
      <w:r w:rsidR="00CF5240" w:rsidRPr="003943E5">
        <w:fldChar w:fldCharType="end"/>
      </w:r>
      <w:r w:rsidRPr="003943E5">
        <w:t>).</w:t>
      </w:r>
    </w:p>
    <w:p w:rsidR="00522E5D" w:rsidRPr="00D10344" w:rsidRDefault="00522E5D" w:rsidP="00C6383F">
      <w:pPr>
        <w:pStyle w:val="Styl3"/>
      </w:pPr>
      <w:r w:rsidRPr="006D58DF">
        <w:t>Priap</w:t>
      </w:r>
      <w:r w:rsidRPr="00D10344">
        <w:t>izmus</w:t>
      </w:r>
    </w:p>
    <w:p w:rsidR="00522E5D" w:rsidRPr="00BC3066" w:rsidRDefault="00522E5D" w:rsidP="001F67D9">
      <w:pPr>
        <w:pStyle w:val="Normlndobloku"/>
      </w:pPr>
      <w:r w:rsidRPr="00BC3066">
        <w:t>U alfa-1 blokátorov, vrátane doxazosínu, boli po uvedení na trh hlásené predĺžené erekcie a priapizmus. Ak sa priapizmus nelieči okamžite, môže viesť k poškodeniu tkanív penisu a trvalej strate potencie. Preto by mal pacient vyhľadať okamžitú lekársku pomoc.</w:t>
      </w:r>
    </w:p>
    <w:p w:rsidR="00787169" w:rsidRPr="003943E5" w:rsidRDefault="001F67D9" w:rsidP="001F67D9">
      <w:pPr>
        <w:pStyle w:val="Normlndobloku"/>
      </w:pPr>
      <w:r>
        <w:t>L</w:t>
      </w:r>
      <w:r w:rsidR="00787169">
        <w:t xml:space="preserve">iek obsahuje monohydrát laktózy. </w:t>
      </w:r>
      <w:r w:rsidR="00787169" w:rsidRPr="00787169">
        <w:t>Pacienti so zriedkav</w:t>
      </w:r>
      <w:r>
        <w:t>ými</w:t>
      </w:r>
      <w:r w:rsidR="00787169" w:rsidRPr="00787169">
        <w:t xml:space="preserve"> dedičn</w:t>
      </w:r>
      <w:r>
        <w:t xml:space="preserve">ými problémami </w:t>
      </w:r>
      <w:r w:rsidR="00787169" w:rsidRPr="00787169">
        <w:t xml:space="preserve"> galaktózov</w:t>
      </w:r>
      <w:r>
        <w:t xml:space="preserve">ej </w:t>
      </w:r>
      <w:r w:rsidR="00787169" w:rsidRPr="00787169">
        <w:t>intoleranci</w:t>
      </w:r>
      <w:r>
        <w:t>e</w:t>
      </w:r>
      <w:r w:rsidR="00787169" w:rsidRPr="00787169">
        <w:t xml:space="preserve">, </w:t>
      </w:r>
      <w:r>
        <w:t xml:space="preserve">laponského deficitu </w:t>
      </w:r>
      <w:r w:rsidR="00787169" w:rsidRPr="00787169">
        <w:t>laktázy alebo glukózo-galaktózov</w:t>
      </w:r>
      <w:r>
        <w:t>ej</w:t>
      </w:r>
      <w:r w:rsidR="00787169" w:rsidRPr="00787169">
        <w:t xml:space="preserve"> malabsorpci</w:t>
      </w:r>
      <w:r>
        <w:t>e</w:t>
      </w:r>
      <w:r w:rsidR="00787169" w:rsidRPr="00787169">
        <w:t xml:space="preserve"> ne</w:t>
      </w:r>
      <w:r>
        <w:t xml:space="preserve">smú </w:t>
      </w:r>
      <w:r w:rsidR="00787169" w:rsidRPr="00787169">
        <w:t>užívať tento liek.</w:t>
      </w:r>
    </w:p>
    <w:p w:rsidR="00AE0A82" w:rsidRPr="003943E5" w:rsidRDefault="00AE0A82" w:rsidP="001F67D9">
      <w:pPr>
        <w:pStyle w:val="Styl2"/>
      </w:pPr>
      <w:r w:rsidRPr="003943E5">
        <w:t>Liekové a iné interakcie</w:t>
      </w:r>
    </w:p>
    <w:p w:rsidR="002635A6" w:rsidRPr="003943E5" w:rsidRDefault="002635A6" w:rsidP="001F67D9">
      <w:pPr>
        <w:pStyle w:val="Normlndobloku"/>
      </w:pPr>
      <w:r w:rsidRPr="003943E5">
        <w:t>Väčšina (98</w:t>
      </w:r>
      <w:r w:rsidR="008E07F6">
        <w:t> %</w:t>
      </w:r>
      <w:r w:rsidRPr="003943E5">
        <w:t xml:space="preserve">) doxazosínu v plazme je naviazaná na proteíny. Údaje </w:t>
      </w:r>
      <w:r w:rsidRPr="00E20455">
        <w:rPr>
          <w:i/>
        </w:rPr>
        <w:t>in vitro</w:t>
      </w:r>
      <w:r w:rsidRPr="003943E5">
        <w:t xml:space="preserve"> získané vyšetreniami ľudskej plazmy naznačujú, že doxazosín nemá vplyv na proteínovú väzbu digoxínu, warfarínu, fenytoínu a indometacínu. Klinické skúsenosti ukazujú, že doxazosín nevyvolával žiadne nepriaznivé liekové interakcie s </w:t>
      </w:r>
      <w:proofErr w:type="spellStart"/>
      <w:r w:rsidRPr="003943E5">
        <w:t>tiazidovými</w:t>
      </w:r>
      <w:proofErr w:type="spellEnd"/>
      <w:r w:rsidRPr="003943E5">
        <w:t xml:space="preserve"> diuretikami, </w:t>
      </w:r>
      <w:proofErr w:type="spellStart"/>
      <w:r w:rsidRPr="003943E5">
        <w:t>furosemidom</w:t>
      </w:r>
      <w:proofErr w:type="spellEnd"/>
      <w:r w:rsidRPr="003943E5">
        <w:t xml:space="preserve">, </w:t>
      </w:r>
      <w:proofErr w:type="spellStart"/>
      <w:r w:rsidRPr="003943E5">
        <w:t>betablokátormi</w:t>
      </w:r>
      <w:proofErr w:type="spellEnd"/>
      <w:r w:rsidRPr="003943E5">
        <w:t xml:space="preserve">, </w:t>
      </w:r>
      <w:proofErr w:type="spellStart"/>
      <w:r w:rsidRPr="003943E5">
        <w:t>nesteroidovými</w:t>
      </w:r>
      <w:proofErr w:type="spellEnd"/>
      <w:r w:rsidRPr="003943E5">
        <w:t xml:space="preserve"> </w:t>
      </w:r>
      <w:proofErr w:type="spellStart"/>
      <w:r w:rsidRPr="003943E5">
        <w:t>antiflogistikami</w:t>
      </w:r>
      <w:proofErr w:type="spellEnd"/>
      <w:r w:rsidRPr="003943E5">
        <w:t>, antibiotikami, perorálnymi antidiabetikami, urikozurikami a antikoagulanciami.</w:t>
      </w:r>
    </w:p>
    <w:p w:rsidR="002635A6" w:rsidRPr="003943E5" w:rsidRDefault="002635A6" w:rsidP="001F67D9">
      <w:pPr>
        <w:pStyle w:val="Normlndobloku"/>
      </w:pPr>
      <w:r w:rsidRPr="003943E5">
        <w:lastRenderedPageBreak/>
        <w:t>V otvorenom, randomizovanom, placebom kontrolovanom klinickom skúšaní s 22 zdravými mužskými dobrovoľníkmi viedlo podanie jednej dávky 1 mg doxazosínu 1. deň v rámci štvordňového dávkovacieho režimu perorálneho cimetidínu (400 mg dvakrát denne) k 10</w:t>
      </w:r>
      <w:r w:rsidR="008E07F6">
        <w:t> %</w:t>
      </w:r>
      <w:r w:rsidRPr="003943E5">
        <w:t xml:space="preserve"> nárastu priemernej hodnoty AUC doxazosínu a k štatisticky nevýznamným zmenám v priemernej hodnote </w:t>
      </w:r>
      <w:proofErr w:type="spellStart"/>
      <w:r w:rsidRPr="003943E5">
        <w:t>C</w:t>
      </w:r>
      <w:r w:rsidRPr="003943E5">
        <w:rPr>
          <w:sz w:val="16"/>
        </w:rPr>
        <w:t>max</w:t>
      </w:r>
      <w:proofErr w:type="spellEnd"/>
      <w:r w:rsidRPr="003943E5">
        <w:rPr>
          <w:sz w:val="16"/>
        </w:rPr>
        <w:t xml:space="preserve"> </w:t>
      </w:r>
      <w:r w:rsidRPr="003943E5">
        <w:t>a</w:t>
      </w:r>
      <w:r w:rsidR="00BC3066">
        <w:t> </w:t>
      </w:r>
      <w:r w:rsidR="008E07F6" w:rsidRPr="003943E5">
        <w:t>priemerné</w:t>
      </w:r>
      <w:r w:rsidR="008E07F6">
        <w:t>ho</w:t>
      </w:r>
      <w:r w:rsidR="008E07F6" w:rsidRPr="003943E5">
        <w:t xml:space="preserve"> </w:t>
      </w:r>
      <w:r w:rsidRPr="003943E5">
        <w:t xml:space="preserve">polčasu </w:t>
      </w:r>
      <w:proofErr w:type="spellStart"/>
      <w:r w:rsidRPr="003943E5">
        <w:t>doxazosínu</w:t>
      </w:r>
      <w:proofErr w:type="spellEnd"/>
      <w:r w:rsidRPr="003943E5">
        <w:t>. 10</w:t>
      </w:r>
      <w:r w:rsidR="008E07F6">
        <w:t> %</w:t>
      </w:r>
      <w:r w:rsidRPr="003943E5">
        <w:t xml:space="preserve"> nárast priemernej hodnoty AUC doxazosínu s cimetidínom je v rámci interindividuálnej variácie (27</w:t>
      </w:r>
      <w:r w:rsidR="008E07F6">
        <w:t> %</w:t>
      </w:r>
      <w:r w:rsidRPr="003943E5">
        <w:t>) priemernej hodnoty AUC pre doxazosín s placebom.</w:t>
      </w:r>
    </w:p>
    <w:p w:rsidR="00AE0A82" w:rsidRPr="003943E5" w:rsidRDefault="00522E5D" w:rsidP="001F67D9">
      <w:pPr>
        <w:pStyle w:val="Styl2"/>
      </w:pPr>
      <w:bookmarkStart w:id="5" w:name="_Ref201478304"/>
      <w:r>
        <w:t>Fertilita, g</w:t>
      </w:r>
      <w:r w:rsidR="00AE0A82" w:rsidRPr="003943E5">
        <w:t>ravidita a</w:t>
      </w:r>
      <w:r>
        <w:t> </w:t>
      </w:r>
      <w:r w:rsidR="00AE0A82" w:rsidRPr="003943E5">
        <w:t>laktácia</w:t>
      </w:r>
      <w:bookmarkEnd w:id="5"/>
    </w:p>
    <w:p w:rsidR="002635A6" w:rsidRPr="003943E5" w:rsidRDefault="002635A6" w:rsidP="001F67D9">
      <w:pPr>
        <w:pStyle w:val="Normlndobloku"/>
      </w:pPr>
      <w:r w:rsidRPr="003943E5">
        <w:t>Hoci v štúdiách so zvieratami nebol zaznamenaný žiadny teratogénny vplyv doxazosínu, po podaní extrémne vysokých dávok sa u zvierat pozorovalo zníženie prežívania mláďat. Použité dávky boli približne 300-krát vyššie, ako sú najvyššie odporúčané dávky pre ľudí. Štúdie na zvieratách ukázali, že doxazosín sa kumuluje v materskom mlieku.</w:t>
      </w:r>
    </w:p>
    <w:p w:rsidR="002635A6" w:rsidRPr="003943E5" w:rsidRDefault="002635A6" w:rsidP="001F67D9">
      <w:pPr>
        <w:pStyle w:val="Normlndobloku"/>
      </w:pPr>
      <w:r w:rsidRPr="003943E5">
        <w:t>Bezpečnosť MAGUROL</w:t>
      </w:r>
      <w:r w:rsidR="00522E5D">
        <w:t>U</w:t>
      </w:r>
      <w:r w:rsidRPr="003943E5">
        <w:t xml:space="preserve"> počas </w:t>
      </w:r>
      <w:r w:rsidR="008E07F6">
        <w:t xml:space="preserve"> gravidity a </w:t>
      </w:r>
      <w:r w:rsidR="006D58DF">
        <w:t>dojčenia</w:t>
      </w:r>
      <w:r w:rsidR="006D58DF" w:rsidRPr="003943E5">
        <w:t xml:space="preserve"> </w:t>
      </w:r>
      <w:r w:rsidRPr="003943E5">
        <w:t>sa nepreukázala, keďže sa žiadne štúdie u</w:t>
      </w:r>
      <w:r w:rsidR="00BC3066">
        <w:t> </w:t>
      </w:r>
      <w:r w:rsidRPr="003943E5">
        <w:t xml:space="preserve">tehotných a dojčiacich žien nekonali. Počas </w:t>
      </w:r>
      <w:r w:rsidR="008E07F6">
        <w:t>gravidity a laktácie</w:t>
      </w:r>
      <w:r w:rsidRPr="003943E5">
        <w:t xml:space="preserve"> sa môže MAGUROL použiť iba vtedy, ak podľa názoru lekára očakávaný prínos liečby MAGUROL</w:t>
      </w:r>
      <w:r w:rsidR="00522E5D">
        <w:t>OM</w:t>
      </w:r>
      <w:r w:rsidRPr="003943E5">
        <w:t xml:space="preserve"> prevyšuje jej potenciálne riziká.</w:t>
      </w:r>
    </w:p>
    <w:p w:rsidR="00AE0A82" w:rsidRPr="003943E5" w:rsidRDefault="00AE0A82" w:rsidP="001F67D9">
      <w:pPr>
        <w:pStyle w:val="Styl2"/>
      </w:pPr>
      <w:r w:rsidRPr="003943E5">
        <w:t>Ovplyvnenie schopnosti viesť vozidlá a obsluhovať stroje</w:t>
      </w:r>
    </w:p>
    <w:p w:rsidR="00CB4FB4" w:rsidRPr="003943E5" w:rsidRDefault="00CB4FB4" w:rsidP="001F67D9">
      <w:pPr>
        <w:pStyle w:val="Normlndobloku"/>
      </w:pPr>
      <w:r w:rsidRPr="003943E5">
        <w:t>Doxazosín môže nepriaznivo ovplyvniť schopnosť viesť vozidlá alebo obsluhovať stroje, najmä na začiatku liečby.</w:t>
      </w:r>
    </w:p>
    <w:p w:rsidR="00AE0A82" w:rsidRPr="003943E5" w:rsidRDefault="00AE0A82" w:rsidP="001F67D9">
      <w:pPr>
        <w:pStyle w:val="Styl2"/>
      </w:pPr>
      <w:r w:rsidRPr="003943E5">
        <w:t>Nežiaduce účinky</w:t>
      </w:r>
    </w:p>
    <w:p w:rsidR="00CB4FB4" w:rsidRPr="003943E5" w:rsidRDefault="00CB4FB4" w:rsidP="001F67D9">
      <w:pPr>
        <w:pStyle w:val="Styl3"/>
      </w:pPr>
      <w:r w:rsidRPr="003943E5">
        <w:t>Hypertenzia</w:t>
      </w:r>
    </w:p>
    <w:p w:rsidR="00CB4FB4" w:rsidRPr="003943E5" w:rsidRDefault="00CB4FB4" w:rsidP="001F67D9">
      <w:pPr>
        <w:pStyle w:val="Normlndobloku"/>
      </w:pPr>
      <w:r w:rsidRPr="003943E5">
        <w:t>Najčastejšie nežiaduce účinky súvisiace s liečbou doxazosínom v kontrolovaných klinických skúšaniach boli posturálneho typu (zriedkavo sprevádzané synkopou) alebo nešpecifikované, ako:</w:t>
      </w:r>
    </w:p>
    <w:p w:rsidR="00C5586B" w:rsidRDefault="00CB4FB4" w:rsidP="001F67D9">
      <w:pPr>
        <w:pStyle w:val="Normlndobloku"/>
      </w:pPr>
      <w:r w:rsidRPr="00C6383F">
        <w:rPr>
          <w:i/>
        </w:rPr>
        <w:t>Celkové</w:t>
      </w:r>
      <w:r w:rsidR="00CD17A4" w:rsidRPr="00C6383F">
        <w:rPr>
          <w:i/>
        </w:rPr>
        <w:t xml:space="preserve"> poruchy a reakcie v mi</w:t>
      </w:r>
      <w:r w:rsidR="00473917" w:rsidRPr="00C6383F">
        <w:rPr>
          <w:i/>
        </w:rPr>
        <w:t>e</w:t>
      </w:r>
      <w:r w:rsidR="00CD17A4" w:rsidRPr="00C6383F">
        <w:rPr>
          <w:i/>
        </w:rPr>
        <w:t>ste podania</w:t>
      </w:r>
      <w:r w:rsidRPr="00C6383F">
        <w:rPr>
          <w:i/>
        </w:rPr>
        <w:t>:</w:t>
      </w:r>
      <w:r w:rsidRPr="003943E5">
        <w:t xml:space="preserve"> asténia, únava</w:t>
      </w:r>
      <w:r w:rsidR="00C7366A">
        <w:t xml:space="preserve">, </w:t>
      </w:r>
      <w:r w:rsidR="00C7366A" w:rsidRPr="003943E5">
        <w:t>edémy</w:t>
      </w:r>
    </w:p>
    <w:p w:rsidR="00CB4FB4" w:rsidRPr="003943E5" w:rsidRDefault="00C7366A" w:rsidP="001F67D9">
      <w:pPr>
        <w:pStyle w:val="Normlndobloku"/>
      </w:pPr>
      <w:r w:rsidRPr="00C6383F">
        <w:rPr>
          <w:i/>
        </w:rPr>
        <w:t>Poruchy gastrointestinálneho traktu:</w:t>
      </w:r>
      <w:r>
        <w:t xml:space="preserve"> </w:t>
      </w:r>
      <w:r w:rsidR="00CB4FB4" w:rsidRPr="003943E5">
        <w:t>nevoľnosť</w:t>
      </w:r>
    </w:p>
    <w:p w:rsidR="00CB4FB4" w:rsidRPr="003943E5" w:rsidRDefault="00133BF9" w:rsidP="001F67D9">
      <w:pPr>
        <w:pStyle w:val="Normlndobloku"/>
      </w:pPr>
      <w:r w:rsidRPr="00133BF9">
        <w:rPr>
          <w:i/>
          <w:iCs/>
        </w:rPr>
        <w:t>Poruchy ciev</w:t>
      </w:r>
      <w:r w:rsidR="00CB4FB4" w:rsidRPr="003943E5">
        <w:rPr>
          <w:i/>
          <w:iCs/>
        </w:rPr>
        <w:t>:</w:t>
      </w:r>
      <w:r w:rsidR="00C7366A">
        <w:t xml:space="preserve"> </w:t>
      </w:r>
      <w:r w:rsidR="00CB4FB4" w:rsidRPr="003943E5">
        <w:t>posturálne závraty, synkopa</w:t>
      </w:r>
    </w:p>
    <w:p w:rsidR="00CB4FB4" w:rsidRPr="003943E5" w:rsidRDefault="00CD17A4" w:rsidP="001F67D9">
      <w:pPr>
        <w:pStyle w:val="Normlndobloku"/>
      </w:pPr>
      <w:r>
        <w:rPr>
          <w:i/>
          <w:iCs/>
        </w:rPr>
        <w:t>Poruchy nervového systému</w:t>
      </w:r>
      <w:r w:rsidR="00CB4FB4" w:rsidRPr="003943E5">
        <w:rPr>
          <w:i/>
          <w:iCs/>
        </w:rPr>
        <w:t>:</w:t>
      </w:r>
      <w:r w:rsidR="00CB4FB4" w:rsidRPr="003943E5">
        <w:t xml:space="preserve"> závraty, bolesť hlavy, vertigo</w:t>
      </w:r>
    </w:p>
    <w:p w:rsidR="00CB4FB4" w:rsidRPr="003943E5" w:rsidRDefault="00CD17A4" w:rsidP="001F67D9">
      <w:pPr>
        <w:pStyle w:val="Normlndobloku"/>
      </w:pPr>
      <w:r w:rsidRPr="00C6383F">
        <w:rPr>
          <w:i/>
        </w:rPr>
        <w:t>Poruchy gastrointestinálneho traktu</w:t>
      </w:r>
      <w:r w:rsidR="00CB4FB4" w:rsidRPr="00C6383F">
        <w:rPr>
          <w:i/>
        </w:rPr>
        <w:t>:</w:t>
      </w:r>
      <w:r w:rsidR="00CB4FB4" w:rsidRPr="003943E5">
        <w:t xml:space="preserve"> nauzea</w:t>
      </w:r>
    </w:p>
    <w:p w:rsidR="00CB4FB4" w:rsidRPr="003943E5" w:rsidRDefault="00CB4FB4" w:rsidP="001F67D9">
      <w:pPr>
        <w:pStyle w:val="Normlndobloku"/>
      </w:pPr>
      <w:r w:rsidRPr="00C6383F">
        <w:rPr>
          <w:i/>
        </w:rPr>
        <w:t>Psychické</w:t>
      </w:r>
      <w:r w:rsidR="00CD17A4" w:rsidRPr="00C6383F">
        <w:rPr>
          <w:i/>
        </w:rPr>
        <w:t xml:space="preserve"> poruchy</w:t>
      </w:r>
      <w:r w:rsidRPr="00C6383F">
        <w:rPr>
          <w:i/>
        </w:rPr>
        <w:t>:</w:t>
      </w:r>
      <w:r w:rsidRPr="003943E5">
        <w:t xml:space="preserve"> somnolencia</w:t>
      </w:r>
    </w:p>
    <w:p w:rsidR="00CB4FB4" w:rsidRPr="003943E5" w:rsidRDefault="00CD17A4" w:rsidP="001F67D9">
      <w:pPr>
        <w:pStyle w:val="Normlndobloku"/>
      </w:pPr>
      <w:r w:rsidRPr="00C6383F">
        <w:rPr>
          <w:i/>
        </w:rPr>
        <w:t xml:space="preserve">Poruchy dýchacej sústavy, </w:t>
      </w:r>
      <w:r w:rsidR="00473917">
        <w:rPr>
          <w:i/>
        </w:rPr>
        <w:t>h</w:t>
      </w:r>
      <w:r w:rsidRPr="00C6383F">
        <w:rPr>
          <w:i/>
        </w:rPr>
        <w:t xml:space="preserve">rudníka a </w:t>
      </w:r>
      <w:proofErr w:type="spellStart"/>
      <w:r w:rsidRPr="00C6383F">
        <w:rPr>
          <w:i/>
        </w:rPr>
        <w:t>mediastína</w:t>
      </w:r>
      <w:proofErr w:type="spellEnd"/>
      <w:r w:rsidR="00CB4FB4" w:rsidRPr="00C6383F">
        <w:rPr>
          <w:i/>
        </w:rPr>
        <w:t>:</w:t>
      </w:r>
      <w:r w:rsidR="00CB4FB4" w:rsidRPr="003943E5">
        <w:t xml:space="preserve"> </w:t>
      </w:r>
      <w:proofErr w:type="spellStart"/>
      <w:r w:rsidR="00CB4FB4" w:rsidRPr="003943E5">
        <w:t>rinitída</w:t>
      </w:r>
      <w:proofErr w:type="spellEnd"/>
    </w:p>
    <w:p w:rsidR="00CB4FB4" w:rsidRPr="003943E5" w:rsidRDefault="00CB4FB4" w:rsidP="001F67D9">
      <w:pPr>
        <w:pStyle w:val="Styl3"/>
      </w:pPr>
      <w:r w:rsidRPr="003943E5">
        <w:t>Benígna hyperplázia prostaty</w:t>
      </w:r>
    </w:p>
    <w:p w:rsidR="00CB4FB4" w:rsidRPr="003943E5" w:rsidRDefault="00CB4FB4" w:rsidP="001F67D9">
      <w:pPr>
        <w:pStyle w:val="Normlndobloku"/>
      </w:pPr>
      <w:r w:rsidRPr="003943E5">
        <w:t>U pacientov liečených na benígnu hyperpláziu prostaty skúsenosti z kontrolovaných klinických skúšaní naznačujú podobný profil nežiaducich účinkov ako pri liečbe hypertenzie.</w:t>
      </w:r>
    </w:p>
    <w:p w:rsidR="00CB4FB4" w:rsidRPr="003943E5" w:rsidRDefault="00CB4FB4" w:rsidP="001F67D9">
      <w:pPr>
        <w:pStyle w:val="Normlndobloku"/>
      </w:pPr>
      <w:r w:rsidRPr="003943E5">
        <w:t>Počas postmarketingových skúseností boli hlásené nasledovné nežiaduce účinky: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Celkové poruchy a reakcie v mieste podania</w:t>
      </w:r>
      <w:r w:rsidR="00CB4FB4" w:rsidRPr="003943E5">
        <w:rPr>
          <w:i/>
          <w:iCs/>
        </w:rPr>
        <w:t>:</w:t>
      </w:r>
      <w:r w:rsidR="00CB4FB4" w:rsidRPr="003943E5">
        <w:t xml:space="preserve"> alergická reakcia, bolesť chrbta, návaly horúčavy, bolesť, vzostup hmotnosti</w:t>
      </w:r>
    </w:p>
    <w:p w:rsidR="00CB4FB4" w:rsidRPr="003943E5" w:rsidRDefault="00133BF9" w:rsidP="001F67D9">
      <w:pPr>
        <w:pStyle w:val="Normlndobloku"/>
      </w:pPr>
      <w:r w:rsidRPr="00133BF9">
        <w:rPr>
          <w:i/>
          <w:iCs/>
        </w:rPr>
        <w:t>Poruchy ciev</w:t>
      </w:r>
      <w:r w:rsidR="00CB4FB4" w:rsidRPr="003943E5">
        <w:rPr>
          <w:i/>
          <w:iCs/>
        </w:rPr>
        <w:t>:</w:t>
      </w:r>
      <w:r w:rsidR="00CB4FB4" w:rsidRPr="003943E5">
        <w:t xml:space="preserve"> hypotenzia, posturálna hypotenzia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Poruchy nervového systému</w:t>
      </w:r>
      <w:r w:rsidR="00CB4FB4" w:rsidRPr="003943E5">
        <w:rPr>
          <w:i/>
          <w:iCs/>
        </w:rPr>
        <w:t>:</w:t>
      </w:r>
      <w:r w:rsidR="00CB4FB4" w:rsidRPr="003943E5">
        <w:t xml:space="preserve"> hypestézia, parestézia, tremor</w:t>
      </w:r>
    </w:p>
    <w:p w:rsidR="00CB4FB4" w:rsidRPr="003943E5" w:rsidRDefault="00356BB3" w:rsidP="001F67D9">
      <w:pPr>
        <w:pStyle w:val="Normlndobloku"/>
      </w:pPr>
      <w:r w:rsidRPr="00C6383F">
        <w:rPr>
          <w:i/>
        </w:rPr>
        <w:t>Poruchy reprodukčného systému a prsníkov</w:t>
      </w:r>
      <w:r w:rsidR="00CB4FB4" w:rsidRPr="00C6383F">
        <w:rPr>
          <w:i/>
        </w:rPr>
        <w:t>:</w:t>
      </w:r>
      <w:r w:rsidR="00CB4FB4" w:rsidRPr="003943E5">
        <w:t xml:space="preserve"> gynekomastia</w:t>
      </w:r>
      <w:r>
        <w:t xml:space="preserve">, </w:t>
      </w:r>
      <w:r w:rsidRPr="003943E5">
        <w:t>priapizmus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Poruchy gastrointestinálneho traktu</w:t>
      </w:r>
      <w:r w:rsidR="00CB4FB4" w:rsidRPr="003943E5">
        <w:rPr>
          <w:i/>
          <w:iCs/>
        </w:rPr>
        <w:t>:</w:t>
      </w:r>
      <w:r w:rsidR="00CB4FB4" w:rsidRPr="003943E5">
        <w:t xml:space="preserve"> abdominálne bolesti, konstipácia, diarea, dyspepsia, flatulencia, vomitus</w:t>
      </w:r>
      <w:r w:rsidR="00133BF9">
        <w:t xml:space="preserve">, </w:t>
      </w:r>
      <w:r w:rsidR="00133BF9" w:rsidRPr="003943E5">
        <w:t>suchosť v ústach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Poruchy krvi a lymfatického systému</w:t>
      </w:r>
      <w:r w:rsidR="00CB4FB4" w:rsidRPr="003943E5">
        <w:rPr>
          <w:i/>
          <w:iCs/>
        </w:rPr>
        <w:t>:</w:t>
      </w:r>
      <w:r w:rsidR="00CB4FB4" w:rsidRPr="003943E5">
        <w:t xml:space="preserve"> leukopénia, purpura, trombocytopénia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lastRenderedPageBreak/>
        <w:t>Poruchy pečene a žlčových ciest</w:t>
      </w:r>
      <w:r w:rsidR="00CB4FB4" w:rsidRPr="003943E5">
        <w:rPr>
          <w:i/>
          <w:iCs/>
        </w:rPr>
        <w:t>:</w:t>
      </w:r>
      <w:r w:rsidR="00CB4FB4" w:rsidRPr="003943E5">
        <w:t xml:space="preserve"> abnormálne pečeňové testy, cholestáza, hepatitída, ikterus</w:t>
      </w:r>
    </w:p>
    <w:p w:rsidR="00CB4FB4" w:rsidRPr="003943E5" w:rsidRDefault="00356BB3" w:rsidP="001F67D9">
      <w:pPr>
        <w:pStyle w:val="Normlndobloku"/>
      </w:pPr>
      <w:r w:rsidRPr="00C6383F">
        <w:rPr>
          <w:i/>
        </w:rPr>
        <w:t>Poruchy kostrovej a svalovej sústavy a spojivového tkaniva</w:t>
      </w:r>
      <w:r w:rsidR="00CB4FB4" w:rsidRPr="003943E5">
        <w:t>: artralgia, svalové kŕče, svalová slabosť, myalgia</w:t>
      </w:r>
    </w:p>
    <w:p w:rsidR="00CB4FB4" w:rsidRPr="003943E5" w:rsidRDefault="00CB4FB4" w:rsidP="001F67D9">
      <w:pPr>
        <w:pStyle w:val="Normlndobloku"/>
      </w:pPr>
      <w:r w:rsidRPr="003943E5">
        <w:rPr>
          <w:i/>
          <w:iCs/>
        </w:rPr>
        <w:t>Psychické</w:t>
      </w:r>
      <w:r w:rsidR="00356BB3">
        <w:rPr>
          <w:i/>
          <w:iCs/>
        </w:rPr>
        <w:t xml:space="preserve"> poruchy</w:t>
      </w:r>
      <w:r w:rsidRPr="003943E5">
        <w:rPr>
          <w:i/>
          <w:iCs/>
        </w:rPr>
        <w:t>:</w:t>
      </w:r>
      <w:r w:rsidRPr="003943E5">
        <w:t xml:space="preserve"> agitácia, anorexia, anxieta, depresia, impotencia, insomnia, nervozita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Poruchy dýchacej sústavy, hrudníka a mediastína</w:t>
      </w:r>
      <w:r w:rsidR="00CB4FB4" w:rsidRPr="003943E5">
        <w:rPr>
          <w:i/>
          <w:iCs/>
        </w:rPr>
        <w:t>:</w:t>
      </w:r>
      <w:r w:rsidR="00CB4FB4" w:rsidRPr="003943E5">
        <w:t xml:space="preserve"> zhoršenie bronchospazmu, kašeľ, dyspnoe, epistaxa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Poruchy kože a podkožného tkaniva</w:t>
      </w:r>
      <w:r w:rsidR="00CB4FB4" w:rsidRPr="003943E5">
        <w:rPr>
          <w:i/>
          <w:iCs/>
        </w:rPr>
        <w:t>:</w:t>
      </w:r>
      <w:r w:rsidR="00CB4FB4" w:rsidRPr="003943E5">
        <w:t xml:space="preserve"> alopécia, pruritus, kožný raš, urtikária</w:t>
      </w:r>
    </w:p>
    <w:p w:rsidR="00356BB3" w:rsidRDefault="00356BB3" w:rsidP="001F67D9">
      <w:pPr>
        <w:pStyle w:val="Normlndobloku"/>
      </w:pPr>
      <w:r w:rsidRPr="00356BB3">
        <w:rPr>
          <w:i/>
          <w:iCs/>
        </w:rPr>
        <w:t>Poruchy oka</w:t>
      </w:r>
      <w:r w:rsidR="00CB4FB4" w:rsidRPr="003943E5">
        <w:rPr>
          <w:i/>
          <w:iCs/>
        </w:rPr>
        <w:t xml:space="preserve">: </w:t>
      </w:r>
      <w:r w:rsidR="00CB4FB4" w:rsidRPr="003943E5">
        <w:t>rozmazané videnie</w:t>
      </w:r>
    </w:p>
    <w:p w:rsidR="00CB4FB4" w:rsidRPr="003943E5" w:rsidRDefault="00356BB3" w:rsidP="001F67D9">
      <w:pPr>
        <w:pStyle w:val="Normlndobloku"/>
      </w:pPr>
      <w:r w:rsidRPr="00C6383F">
        <w:rPr>
          <w:i/>
        </w:rPr>
        <w:t>Poruchy ucha a labyrintu:</w:t>
      </w:r>
      <w:r w:rsidRPr="003943E5">
        <w:t xml:space="preserve"> </w:t>
      </w:r>
      <w:r w:rsidR="00CB4FB4" w:rsidRPr="003943E5">
        <w:t>tinnitus</w:t>
      </w:r>
    </w:p>
    <w:p w:rsidR="00CB4FB4" w:rsidRPr="003943E5" w:rsidRDefault="00356BB3" w:rsidP="001F67D9">
      <w:pPr>
        <w:pStyle w:val="Normlndobloku"/>
      </w:pPr>
      <w:r w:rsidRPr="00356BB3">
        <w:rPr>
          <w:i/>
          <w:iCs/>
        </w:rPr>
        <w:t>Poruchy obličiek a močových ciest</w:t>
      </w:r>
      <w:r w:rsidR="00CB4FB4" w:rsidRPr="003943E5">
        <w:rPr>
          <w:i/>
          <w:iCs/>
        </w:rPr>
        <w:t>:</w:t>
      </w:r>
      <w:r w:rsidR="00CB4FB4" w:rsidRPr="003943E5">
        <w:t xml:space="preserve"> dyzúria, hematúria, mikčné poruchy, časté močenie, noktúria, polyúria, močová inkontinencia</w:t>
      </w:r>
    </w:p>
    <w:p w:rsidR="00CB4FB4" w:rsidRDefault="00CB4FB4" w:rsidP="001F67D9">
      <w:pPr>
        <w:pStyle w:val="Normlndobloku"/>
      </w:pPr>
      <w:r w:rsidRPr="003943E5">
        <w:t>U pacientov liečených na hypertenziu lekári v praxi zaznamenali ďalšie nežiaduce účinky, aj keď všeobecne nie sú odlíšiteľné od symptómov, ktoré môžu vzniknúť nezávisle od liečby doxazosínom: bradykardia, tachykardia, palpitácie, bolesť na hrudníku, ang</w:t>
      </w:r>
      <w:r w:rsidR="008E07F6">
        <w:t>í</w:t>
      </w:r>
      <w:r w:rsidRPr="003943E5">
        <w:t xml:space="preserve">na </w:t>
      </w:r>
      <w:proofErr w:type="spellStart"/>
      <w:r w:rsidRPr="003943E5">
        <w:t>pe</w:t>
      </w:r>
      <w:r w:rsidR="00473917">
        <w:t>c</w:t>
      </w:r>
      <w:r w:rsidRPr="003943E5">
        <w:t>toris</w:t>
      </w:r>
      <w:proofErr w:type="spellEnd"/>
      <w:r w:rsidRPr="003943E5">
        <w:t xml:space="preserve">, infarkt myokardu, </w:t>
      </w:r>
      <w:proofErr w:type="spellStart"/>
      <w:r w:rsidRPr="003943E5">
        <w:t>cerebrovaskulárne</w:t>
      </w:r>
      <w:proofErr w:type="spellEnd"/>
      <w:r w:rsidRPr="003943E5">
        <w:t xml:space="preserve"> príhody a srdcové arytmie.</w:t>
      </w:r>
    </w:p>
    <w:p w:rsidR="00522E5D" w:rsidRPr="00522E5D" w:rsidRDefault="00522E5D">
      <w:pPr>
        <w:pStyle w:val="Styl3"/>
      </w:pPr>
      <w:r w:rsidRPr="00522E5D">
        <w:t>Hlásenie podozrení na nežiaduce reakcie</w:t>
      </w:r>
    </w:p>
    <w:p w:rsidR="00522E5D" w:rsidRPr="003943E5" w:rsidRDefault="00522E5D" w:rsidP="00C6383F">
      <w:pPr>
        <w:pStyle w:val="Normlndobloku"/>
        <w:spacing w:after="0"/>
      </w:pPr>
      <w:r w:rsidRPr="00305E31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A85EAD">
        <w:rPr>
          <w:highlight w:val="lightGray"/>
        </w:rPr>
        <w:t>národné centrum hlásenia uvedené v </w:t>
      </w:r>
      <w:hyperlink r:id="rId8" w:history="1">
        <w:r w:rsidRPr="00C6383F">
          <w:rPr>
            <w:highlight w:val="lightGray"/>
          </w:rPr>
          <w:t>Prílohe V</w:t>
        </w:r>
      </w:hyperlink>
      <w:r w:rsidRPr="00305E31">
        <w:t>.</w:t>
      </w:r>
    </w:p>
    <w:p w:rsidR="00AE0A82" w:rsidRPr="003943E5" w:rsidRDefault="00AE0A82" w:rsidP="001F67D9">
      <w:pPr>
        <w:pStyle w:val="Styl2"/>
      </w:pPr>
      <w:r w:rsidRPr="003943E5">
        <w:t>Predávkovanie</w:t>
      </w:r>
    </w:p>
    <w:p w:rsidR="00F30728" w:rsidRPr="003943E5" w:rsidRDefault="00F30728" w:rsidP="001F67D9">
      <w:pPr>
        <w:pStyle w:val="Normlndobloku"/>
      </w:pPr>
      <w:r w:rsidRPr="003943E5">
        <w:t>Ak predávkovanie vyvolalo hypotenziu, pacient si má hneď ľahnúť na chrbát s nižšie zaklonenou hlavou. Ďalšie opatrenia sa vykonajú individuálne podľa potreby. Keďže doxazosín sa extenzívne viaže na bielkoviny, dialýza nie je indikovaná.</w:t>
      </w:r>
    </w:p>
    <w:p w:rsidR="00AE0A82" w:rsidRPr="003943E5" w:rsidRDefault="00AE0A82" w:rsidP="001F67D9">
      <w:pPr>
        <w:pStyle w:val="Styl1"/>
      </w:pPr>
      <w:r w:rsidRPr="003943E5">
        <w:t>FARMAKOLOGICKÉ VLASTNOSTI</w:t>
      </w:r>
    </w:p>
    <w:p w:rsidR="00AE0A82" w:rsidRPr="003943E5" w:rsidRDefault="00AE0A82" w:rsidP="001F67D9">
      <w:pPr>
        <w:pStyle w:val="Styl2"/>
      </w:pPr>
      <w:r w:rsidRPr="003943E5">
        <w:t>Farmakodynamické vlastnosti</w:t>
      </w:r>
    </w:p>
    <w:p w:rsidR="00740BFA" w:rsidRPr="003943E5" w:rsidRDefault="00740BFA" w:rsidP="001F67D9">
      <w:pPr>
        <w:pStyle w:val="Styl3"/>
      </w:pPr>
      <w:r w:rsidRPr="003943E5">
        <w:t>Farmakoterapeutická skupina:</w:t>
      </w:r>
    </w:p>
    <w:p w:rsidR="006D58DF" w:rsidRPr="00F97172" w:rsidRDefault="00740BFA" w:rsidP="00C6383F">
      <w:pPr>
        <w:pStyle w:val="Normlndobloku"/>
        <w:spacing w:after="0"/>
        <w:rPr>
          <w:bCs/>
        </w:rPr>
      </w:pPr>
      <w:proofErr w:type="spellStart"/>
      <w:r w:rsidRPr="003943E5">
        <w:t>Antihypertenzív</w:t>
      </w:r>
      <w:r w:rsidR="006D58DF">
        <w:t>a</w:t>
      </w:r>
      <w:proofErr w:type="spellEnd"/>
      <w:r w:rsidR="00473917">
        <w:t xml:space="preserve">, </w:t>
      </w:r>
      <w:proofErr w:type="spellStart"/>
      <w:r w:rsidR="00473917">
        <w:t>antiadrenergické</w:t>
      </w:r>
      <w:proofErr w:type="spellEnd"/>
      <w:r w:rsidR="00473917">
        <w:t xml:space="preserve"> liečivá s periférnym účinkom, </w:t>
      </w:r>
      <w:proofErr w:type="spellStart"/>
      <w:r w:rsidR="00473917">
        <w:t>antagonisty</w:t>
      </w:r>
      <w:proofErr w:type="spellEnd"/>
      <w:r w:rsidR="00473917">
        <w:t xml:space="preserve"> </w:t>
      </w:r>
      <w:proofErr w:type="spellStart"/>
      <w:r w:rsidR="00473917">
        <w:t>alfaadrenoreceptorov</w:t>
      </w:r>
      <w:proofErr w:type="spellEnd"/>
      <w:r w:rsidR="00F733E9">
        <w:t xml:space="preserve"> / </w:t>
      </w:r>
      <w:proofErr w:type="spellStart"/>
      <w:r w:rsidR="00F733E9">
        <w:t>Urologiká</w:t>
      </w:r>
      <w:proofErr w:type="spellEnd"/>
      <w:r w:rsidR="00F733E9">
        <w:t xml:space="preserve">, liečivá používané na benígnu </w:t>
      </w:r>
      <w:proofErr w:type="spellStart"/>
      <w:r w:rsidR="00F733E9">
        <w:t>hyperpláziu</w:t>
      </w:r>
      <w:proofErr w:type="spellEnd"/>
      <w:r w:rsidR="00F733E9">
        <w:t xml:space="preserve"> prostaty, </w:t>
      </w:r>
      <w:proofErr w:type="spellStart"/>
      <w:r w:rsidR="00F733E9">
        <w:t>antagonisty</w:t>
      </w:r>
      <w:proofErr w:type="spellEnd"/>
      <w:r w:rsidR="00F733E9">
        <w:t xml:space="preserve"> </w:t>
      </w:r>
      <w:proofErr w:type="spellStart"/>
      <w:r w:rsidR="00F733E9">
        <w:t>alfaadrenoreceptorov</w:t>
      </w:r>
      <w:proofErr w:type="spellEnd"/>
      <w:r w:rsidR="006D58DF">
        <w:t>.</w:t>
      </w:r>
    </w:p>
    <w:p w:rsidR="00740BFA" w:rsidRPr="003943E5" w:rsidRDefault="00740BFA" w:rsidP="001F67D9">
      <w:pPr>
        <w:pStyle w:val="Normlndobloku"/>
      </w:pPr>
      <w:r w:rsidRPr="003943E5">
        <w:t xml:space="preserve">ATC: </w:t>
      </w:r>
      <w:r w:rsidR="00F733E9" w:rsidRPr="003943E5">
        <w:t>C02CA04</w:t>
      </w:r>
      <w:r w:rsidR="00F733E9">
        <w:t xml:space="preserve"> / </w:t>
      </w:r>
      <w:r w:rsidR="00C5586B" w:rsidRPr="003943E5">
        <w:t>G04CA04</w:t>
      </w:r>
      <w:r w:rsidR="00C5586B">
        <w:t xml:space="preserve"> </w:t>
      </w:r>
    </w:p>
    <w:p w:rsidR="00740BFA" w:rsidRPr="003943E5" w:rsidRDefault="00740BFA" w:rsidP="001F67D9">
      <w:pPr>
        <w:pStyle w:val="Styl3"/>
      </w:pPr>
      <w:r w:rsidRPr="003943E5">
        <w:t>Hypertenzia</w:t>
      </w:r>
    </w:p>
    <w:p w:rsidR="00740BFA" w:rsidRPr="003943E5" w:rsidRDefault="00740BFA" w:rsidP="001F67D9">
      <w:pPr>
        <w:pStyle w:val="Normlndobloku"/>
      </w:pPr>
      <w:r w:rsidRPr="003943E5">
        <w:t>Podanie doxazosínu pacientom s hypertenziou klinicky signifikantne zníži tlak krvi v dôsledku poklesu systémovej vaskulárnej rezistencie. Všeobecne sa predpokladá, že tento účinok je spôsobený selektívnou blokádou alfa-1-adrenoreceptorov lokalizovaných vo vaskulatúre. Pri dávkovaní raz denne pretrváva signifikantné zníženie tlaku krvi celý deň, t.j. 24 hodín po podaní dávky, pričom sa tlak krvi postupne znižuje s maximom po 2 - 6 hodinách. U pacientov s hypertenziou počas liečby doxazosínom sú hodnoty tlaku krvi v stoji a v ľahu podobné.</w:t>
      </w:r>
    </w:p>
    <w:p w:rsidR="00740BFA" w:rsidRPr="003943E5" w:rsidRDefault="00740BFA" w:rsidP="001F67D9">
      <w:pPr>
        <w:pStyle w:val="Normlndobloku"/>
      </w:pPr>
      <w:r w:rsidRPr="003943E5">
        <w:t>Na rozdiel od neselektívnych blokátorov alfa-adrenoreceptorov sa počas dlhodobej liečby doxazosínom nezaznamenala tolerancia. Zvýšenie plazmatickej renínovej aktivity a tachykardia sa pri protrahovanej liečbe vyskytli zriedka.</w:t>
      </w:r>
    </w:p>
    <w:p w:rsidR="00740BFA" w:rsidRPr="003943E5" w:rsidRDefault="00740BFA" w:rsidP="001F67D9">
      <w:pPr>
        <w:pStyle w:val="Normlndobloku"/>
      </w:pPr>
      <w:r w:rsidRPr="003943E5">
        <w:t>Doxazosín má priaznivý vplyv na sérové lipidy, spôsobuje signifikantné zvýšenie pomeru HDL/celkový cholesterol a signifikantné zníženie celkových triacylglycerolov a celkového cholesterolu. Má preto výhodu v porovnaní s diuretikami a betablokátormi, ktoré tieto parametre nepriaznivo ovplyvňujú. Na základe potvrdenej súvislosti hypertenzie a sérových lipidov s ischemickou chorobou srdca ovplyvnenie tlaku krvi aj sérových lipidov doxazosínom naznačuje zníženie rizika ischemickej choroby srdca.</w:t>
      </w:r>
    </w:p>
    <w:p w:rsidR="00740BFA" w:rsidRPr="003943E5" w:rsidRDefault="00740BFA" w:rsidP="001F67D9">
      <w:pPr>
        <w:pStyle w:val="Normlndobloku"/>
      </w:pPr>
      <w:r w:rsidRPr="003943E5">
        <w:lastRenderedPageBreak/>
        <w:t xml:space="preserve">Liečba doxazosínom vedie k redukcii ľavokomorovej hypertrofie, k inhibícii </w:t>
      </w:r>
      <w:proofErr w:type="spellStart"/>
      <w:r w:rsidRPr="003943E5">
        <w:t>agregácie</w:t>
      </w:r>
      <w:proofErr w:type="spellEnd"/>
      <w:r w:rsidRPr="003943E5">
        <w:t xml:space="preserve"> </w:t>
      </w:r>
      <w:proofErr w:type="spellStart"/>
      <w:r w:rsidRPr="003943E5">
        <w:t>trombocytov</w:t>
      </w:r>
      <w:proofErr w:type="spellEnd"/>
      <w:r w:rsidRPr="003943E5">
        <w:t xml:space="preserve"> a</w:t>
      </w:r>
      <w:r w:rsidR="00BC3066">
        <w:t> </w:t>
      </w:r>
      <w:r w:rsidRPr="003943E5">
        <w:t xml:space="preserve">k zvýšeniu kapacity </w:t>
      </w:r>
      <w:proofErr w:type="spellStart"/>
      <w:r w:rsidRPr="003943E5">
        <w:t>aktivátora</w:t>
      </w:r>
      <w:proofErr w:type="spellEnd"/>
      <w:r w:rsidRPr="003943E5">
        <w:t xml:space="preserve"> tkanivového </w:t>
      </w:r>
      <w:proofErr w:type="spellStart"/>
      <w:r w:rsidRPr="003943E5">
        <w:t>plazminogénu</w:t>
      </w:r>
      <w:proofErr w:type="spellEnd"/>
      <w:r w:rsidRPr="003943E5">
        <w:t>. Navyše doxazosín zlepšuje inzulínovú senzitivitu u pacientov s touto poruchou.</w:t>
      </w:r>
    </w:p>
    <w:p w:rsidR="00740BFA" w:rsidRPr="003943E5" w:rsidRDefault="00740BFA" w:rsidP="001F67D9">
      <w:pPr>
        <w:pStyle w:val="Normlndobloku"/>
      </w:pPr>
      <w:r w:rsidRPr="003943E5">
        <w:t>Ukázalo sa, že doxazosín nemá nežiaduce metabolické účinky, a preto je vhodný pre pacientov trpiacich na astmu, diabetes, ľavokomorovú dysfunkciu a dnu.</w:t>
      </w:r>
    </w:p>
    <w:p w:rsidR="00740BFA" w:rsidRPr="003943E5" w:rsidRDefault="00740BFA" w:rsidP="001F67D9">
      <w:pPr>
        <w:pStyle w:val="Normlndobloku"/>
      </w:pPr>
      <w:r w:rsidRPr="003943E5">
        <w:t xml:space="preserve">Pri </w:t>
      </w:r>
      <w:r w:rsidRPr="003943E5">
        <w:rPr>
          <w:i/>
          <w:iCs/>
        </w:rPr>
        <w:t>in vitro</w:t>
      </w:r>
      <w:r w:rsidRPr="003943E5">
        <w:t xml:space="preserve"> štúdii sa potvrdili antioxidačné vlastnosti 6´- a 7´- hydroxy metabolitov doxazosínu pri koncentráciách 5 µM.</w:t>
      </w:r>
    </w:p>
    <w:p w:rsidR="00740BFA" w:rsidRPr="003943E5" w:rsidRDefault="00740BFA" w:rsidP="001F67D9">
      <w:pPr>
        <w:pStyle w:val="Normlndobloku"/>
      </w:pPr>
      <w:r w:rsidRPr="003943E5">
        <w:t>U pacientov s hypertenziou v kontrolovanom klinickom skúšaní liečba doxazosínom zmierňovala stupeň erektilnej dysfunkcie. Navyše pacienti, ktorým sa podával doxazosín, udávali menej nových prípadov erektilnej dysfunkcie ako tí, ktorí dostávali iné antihypertenzíva.</w:t>
      </w:r>
    </w:p>
    <w:p w:rsidR="00740BFA" w:rsidRPr="003943E5" w:rsidRDefault="00740BFA" w:rsidP="001F67D9">
      <w:pPr>
        <w:pStyle w:val="Styl3"/>
      </w:pPr>
      <w:r w:rsidRPr="003943E5">
        <w:t>Benígna hyperplázia prostaty</w:t>
      </w:r>
    </w:p>
    <w:p w:rsidR="00740BFA" w:rsidRPr="003943E5" w:rsidRDefault="00740BFA" w:rsidP="001F67D9">
      <w:pPr>
        <w:pStyle w:val="Normlndobloku"/>
      </w:pPr>
      <w:r w:rsidRPr="003943E5">
        <w:t>Podávanie doxazosínu pacientom so symptomatickou benígnou hyperpláziou prostaty signifikantne zlepšuje urodynamiku aj symptómy. Účinnosť na benígnu hyperpláziu prostaty, ako sa predpokladá, je dôsledkom selektívnej blokády alfa-1-adrenoreceptorov lokalizovaných v stróme prostatickej svaloviny, kapsule prostaty a krčku mechúra.</w:t>
      </w:r>
    </w:p>
    <w:p w:rsidR="00740BFA" w:rsidRPr="003943E5" w:rsidRDefault="00740BFA" w:rsidP="001F67D9">
      <w:pPr>
        <w:pStyle w:val="Normlndobloku"/>
      </w:pPr>
      <w:r w:rsidRPr="003943E5">
        <w:t>Doxazosín je účinným blokátorom 1A podtypu alfa-1-adrenoreceptoru, ktorý tvorí 70</w:t>
      </w:r>
      <w:r w:rsidR="008E07F6">
        <w:t> %</w:t>
      </w:r>
      <w:r w:rsidRPr="003943E5">
        <w:t xml:space="preserve"> podtypov v prostate. S tým súvisí účinnosť na benígnu hyperpláziu prostaty.</w:t>
      </w:r>
    </w:p>
    <w:p w:rsidR="00740BFA" w:rsidRPr="003943E5" w:rsidRDefault="00740BFA" w:rsidP="001F67D9">
      <w:pPr>
        <w:pStyle w:val="Normlndobloku"/>
      </w:pPr>
      <w:r w:rsidRPr="003943E5">
        <w:t>Doxazosín je v liečbe benígnej hyperplázie prostaty bezpečný a dlhodobo účinný (viac ako 48 mesiacov).</w:t>
      </w:r>
    </w:p>
    <w:p w:rsidR="00AE0A82" w:rsidRPr="003943E5" w:rsidRDefault="00AE0A82" w:rsidP="001F67D9">
      <w:pPr>
        <w:pStyle w:val="Styl2"/>
      </w:pPr>
      <w:bookmarkStart w:id="6" w:name="_Ref201478190"/>
      <w:r w:rsidRPr="003943E5">
        <w:t>Farmakokinetické vlastnosti</w:t>
      </w:r>
      <w:bookmarkEnd w:id="6"/>
    </w:p>
    <w:p w:rsidR="00740BFA" w:rsidRPr="003943E5" w:rsidRDefault="00473917" w:rsidP="001F67D9">
      <w:pPr>
        <w:pStyle w:val="Styl3"/>
      </w:pPr>
      <w:r>
        <w:t>Absorpcia</w:t>
      </w:r>
    </w:p>
    <w:p w:rsidR="00740BFA" w:rsidRPr="003943E5" w:rsidRDefault="00740BFA" w:rsidP="001F67D9">
      <w:pPr>
        <w:pStyle w:val="Normlndobloku"/>
      </w:pPr>
      <w:r w:rsidRPr="003943E5">
        <w:t>Po perorálnom podaní terapeutických dávok sa doxazosín dobre vstrebáva a vrcholové koncentrácie v sére sa dosiahnu asi za 2 hodiny.</w:t>
      </w:r>
    </w:p>
    <w:p w:rsidR="00740BFA" w:rsidRPr="003943E5" w:rsidRDefault="00740BFA" w:rsidP="001F67D9">
      <w:pPr>
        <w:pStyle w:val="Styl3"/>
      </w:pPr>
      <w:proofErr w:type="spellStart"/>
      <w:r w:rsidRPr="003943E5">
        <w:t>Biotransformácia</w:t>
      </w:r>
      <w:proofErr w:type="spellEnd"/>
      <w:r w:rsidRPr="003943E5">
        <w:t xml:space="preserve"> a </w:t>
      </w:r>
      <w:r w:rsidR="00584513">
        <w:t>eliminácia</w:t>
      </w:r>
    </w:p>
    <w:p w:rsidR="00740BFA" w:rsidRPr="003943E5" w:rsidRDefault="00740BFA" w:rsidP="001F67D9">
      <w:pPr>
        <w:pStyle w:val="Normlndobloku"/>
      </w:pPr>
      <w:r w:rsidRPr="003943E5">
        <w:t>Plazmatické vylučovanie je bifázické s terminálnym eliminačným polčasom 22 hodín. To je základom dávkovania raz denne. Doxazosín sa extenzívne metabolizuje a v nezmenenej forme sa vylúči &lt; ako 5</w:t>
      </w:r>
      <w:r w:rsidR="008E07F6">
        <w:t> %</w:t>
      </w:r>
      <w:r w:rsidRPr="003943E5">
        <w:t xml:space="preserve"> lieku.</w:t>
      </w:r>
    </w:p>
    <w:p w:rsidR="00740BFA" w:rsidRPr="003943E5" w:rsidRDefault="00740BFA" w:rsidP="001F67D9">
      <w:pPr>
        <w:pStyle w:val="Normlndobloku"/>
      </w:pPr>
      <w:r w:rsidRPr="003943E5">
        <w:t>Farmakokinetické štúdie u pacientov s renálnou insuficienciou nepreukázali žiadne významnejšie odlišnosti v porovnaní s </w:t>
      </w:r>
      <w:r w:rsidR="003943E5" w:rsidRPr="003943E5">
        <w:t>pacientmi</w:t>
      </w:r>
      <w:r w:rsidRPr="003943E5">
        <w:t xml:space="preserve"> s normálnou funkciou obličiek.</w:t>
      </w:r>
    </w:p>
    <w:p w:rsidR="00740BFA" w:rsidRPr="003943E5" w:rsidRDefault="00740BFA" w:rsidP="001F67D9">
      <w:pPr>
        <w:pStyle w:val="Normlndobloku"/>
      </w:pPr>
      <w:r w:rsidRPr="003943E5">
        <w:t xml:space="preserve">Je iba málo údajov o pacientoch s hepatálnym poškodením a o účinku liekov, ktoré ovplyvňujú hepatálny metabolizmus (napr. cimetidín). V klinickej štúdii s 12 </w:t>
      </w:r>
      <w:r w:rsidR="003943E5" w:rsidRPr="003943E5">
        <w:t>subjektmi</w:t>
      </w:r>
      <w:r w:rsidRPr="003943E5">
        <w:t xml:space="preserve"> s miernym pečeňovým poškodením viedla jediná dávka doxazosínu k vzostupu AUC (plocha pod krivkou) o 43</w:t>
      </w:r>
      <w:r w:rsidR="008E07F6">
        <w:t> %</w:t>
      </w:r>
      <w:r w:rsidRPr="003943E5">
        <w:t xml:space="preserve"> a poklesu perorálneho klírensu o 40</w:t>
      </w:r>
      <w:r w:rsidR="008E07F6">
        <w:t> %</w:t>
      </w:r>
      <w:r w:rsidRPr="003943E5">
        <w:t xml:space="preserve">. Podobne ako pri iných liekoch, ktoré sa úplne metabolizujú v pečeni, treba u pacientov s poruchou funkcie pečene používať doxazosín opatrne (pozri </w:t>
      </w:r>
      <w:r w:rsidR="002F25A5" w:rsidRPr="003943E5">
        <w:t xml:space="preserve">časť </w:t>
      </w:r>
      <w:r w:rsidR="002F25A5" w:rsidRPr="003943E5">
        <w:fldChar w:fldCharType="begin"/>
      </w:r>
      <w:r w:rsidR="002F25A5" w:rsidRPr="003943E5">
        <w:instrText xml:space="preserve"> REF _Ref201477938 \r \h </w:instrText>
      </w:r>
      <w:r w:rsidR="002F25A5" w:rsidRPr="003943E5">
        <w:fldChar w:fldCharType="separate"/>
      </w:r>
      <w:r w:rsidR="00D10344">
        <w:t>4.4</w:t>
      </w:r>
      <w:r w:rsidR="002F25A5" w:rsidRPr="003943E5">
        <w:fldChar w:fldCharType="end"/>
      </w:r>
      <w:r w:rsidRPr="003943E5">
        <w:t>).</w:t>
      </w:r>
    </w:p>
    <w:p w:rsidR="00740BFA" w:rsidRPr="003943E5" w:rsidRDefault="00740BFA" w:rsidP="001F67D9">
      <w:pPr>
        <w:pStyle w:val="Normlndobloku"/>
      </w:pPr>
      <w:r w:rsidRPr="003943E5">
        <w:t>Približne 98</w:t>
      </w:r>
      <w:r w:rsidR="008E07F6">
        <w:t> %</w:t>
      </w:r>
      <w:r w:rsidRPr="003943E5">
        <w:t xml:space="preserve"> doxazosínu sa viaže na plazmatické proteíny.</w:t>
      </w:r>
    </w:p>
    <w:p w:rsidR="00740BFA" w:rsidRPr="003943E5" w:rsidRDefault="00740BFA" w:rsidP="001F67D9">
      <w:pPr>
        <w:pStyle w:val="Normlndobloku"/>
      </w:pPr>
      <w:r w:rsidRPr="003943E5">
        <w:t>Doxazosín sa primárne metabolizuje O-demetyláciou a hydroxyláciou.</w:t>
      </w:r>
    </w:p>
    <w:p w:rsidR="00AE0A82" w:rsidRPr="003943E5" w:rsidRDefault="00AE0A82" w:rsidP="001F67D9">
      <w:pPr>
        <w:pStyle w:val="Styl2"/>
      </w:pPr>
      <w:r w:rsidRPr="003943E5">
        <w:t>Predklinické údaje o bezpečnosti</w:t>
      </w:r>
    </w:p>
    <w:p w:rsidR="00740BFA" w:rsidRPr="003943E5" w:rsidRDefault="00740BFA" w:rsidP="001F67D9">
      <w:pPr>
        <w:pStyle w:val="Normlndobloku"/>
      </w:pPr>
      <w:r w:rsidRPr="003943E5">
        <w:t xml:space="preserve">Predklinické údaje neodhalili špeciálne riziko pre ľudí pri konvenčných štúdiách na zvieratách zameraných na farmakologickú bezpečnosť, toxicitu pri opakovaných dávkach, genotoxicitu, karcinogenitu a gastrointestinálnu znášanlivosť (pozri </w:t>
      </w:r>
      <w:r w:rsidR="002F25A5" w:rsidRPr="003943E5">
        <w:t xml:space="preserve">časť </w:t>
      </w:r>
      <w:r w:rsidR="002F25A5" w:rsidRPr="003943E5">
        <w:fldChar w:fldCharType="begin"/>
      </w:r>
      <w:r w:rsidR="002F25A5" w:rsidRPr="003943E5">
        <w:instrText xml:space="preserve"> REF _Ref201478304 \r \h </w:instrText>
      </w:r>
      <w:r w:rsidR="002F25A5" w:rsidRPr="003943E5">
        <w:fldChar w:fldCharType="separate"/>
      </w:r>
      <w:r w:rsidR="00D10344">
        <w:t>4.6</w:t>
      </w:r>
      <w:r w:rsidR="002F25A5" w:rsidRPr="003943E5">
        <w:fldChar w:fldCharType="end"/>
      </w:r>
      <w:r w:rsidRPr="003943E5">
        <w:t>).</w:t>
      </w:r>
    </w:p>
    <w:p w:rsidR="00AE0A82" w:rsidRPr="003943E5" w:rsidRDefault="00AE0A82" w:rsidP="001F67D9">
      <w:pPr>
        <w:pStyle w:val="Styl1"/>
      </w:pPr>
      <w:r w:rsidRPr="003943E5">
        <w:t>FARMACEUTICKÉ INFORMÁCIE</w:t>
      </w:r>
    </w:p>
    <w:p w:rsidR="00AE0A82" w:rsidRPr="003943E5" w:rsidRDefault="00AE0A82" w:rsidP="001F67D9">
      <w:pPr>
        <w:pStyle w:val="Styl2"/>
      </w:pPr>
      <w:bookmarkStart w:id="7" w:name="_Ref201477893"/>
      <w:r w:rsidRPr="003943E5">
        <w:t>Zoznam pomocných látok</w:t>
      </w:r>
      <w:bookmarkEnd w:id="7"/>
    </w:p>
    <w:p w:rsidR="00584513" w:rsidRDefault="00A85EAD" w:rsidP="001F67D9">
      <w:pPr>
        <w:pStyle w:val="Normlndobloku"/>
      </w:pPr>
      <w:proofErr w:type="spellStart"/>
      <w:r>
        <w:t>m</w:t>
      </w:r>
      <w:r w:rsidR="00740BFA" w:rsidRPr="003943E5">
        <w:t>onohydrát</w:t>
      </w:r>
      <w:proofErr w:type="spellEnd"/>
      <w:r w:rsidR="00740BFA" w:rsidRPr="003943E5">
        <w:t xml:space="preserve"> laktózy</w:t>
      </w:r>
    </w:p>
    <w:p w:rsidR="00584513" w:rsidRDefault="00A85EAD" w:rsidP="001F67D9">
      <w:pPr>
        <w:pStyle w:val="Normlndobloku"/>
      </w:pPr>
      <w:r>
        <w:lastRenderedPageBreak/>
        <w:t>m</w:t>
      </w:r>
      <w:r w:rsidR="00740BFA" w:rsidRPr="003943E5">
        <w:t>ikrokryštalická celulóza</w:t>
      </w:r>
    </w:p>
    <w:p w:rsidR="00584513" w:rsidRDefault="00A85EAD" w:rsidP="001F67D9">
      <w:pPr>
        <w:pStyle w:val="Normlndobloku"/>
      </w:pPr>
      <w:r>
        <w:t>s</w:t>
      </w:r>
      <w:r w:rsidR="00CB45EB" w:rsidRPr="003943E5">
        <w:t xml:space="preserve">odná soľ </w:t>
      </w:r>
      <w:proofErr w:type="spellStart"/>
      <w:r w:rsidR="00CB45EB" w:rsidRPr="003943E5">
        <w:t>k</w:t>
      </w:r>
      <w:r w:rsidR="00740BFA" w:rsidRPr="003943E5">
        <w:t>arboxymethyškrobu</w:t>
      </w:r>
      <w:proofErr w:type="spellEnd"/>
    </w:p>
    <w:p w:rsidR="00584513" w:rsidRDefault="00A85EAD" w:rsidP="001F67D9">
      <w:pPr>
        <w:pStyle w:val="Normlndobloku"/>
      </w:pPr>
      <w:proofErr w:type="spellStart"/>
      <w:r>
        <w:t>m</w:t>
      </w:r>
      <w:r w:rsidR="00740BFA" w:rsidRPr="003943E5">
        <w:t>agnéziumstearát</w:t>
      </w:r>
      <w:proofErr w:type="spellEnd"/>
    </w:p>
    <w:p w:rsidR="005015D4" w:rsidRPr="003943E5" w:rsidRDefault="00A85EAD" w:rsidP="001F67D9">
      <w:pPr>
        <w:pStyle w:val="Normlndobloku"/>
      </w:pPr>
      <w:proofErr w:type="spellStart"/>
      <w:r>
        <w:t>n</w:t>
      </w:r>
      <w:r w:rsidR="005015D4" w:rsidRPr="003943E5">
        <w:t>átriumlaurylsulfát</w:t>
      </w:r>
      <w:proofErr w:type="spellEnd"/>
    </w:p>
    <w:p w:rsidR="00AE0A82" w:rsidRPr="003943E5" w:rsidRDefault="00AE0A82" w:rsidP="001F67D9">
      <w:pPr>
        <w:pStyle w:val="Styl2"/>
      </w:pPr>
      <w:r w:rsidRPr="003943E5">
        <w:t>Inkompatibility</w:t>
      </w:r>
    </w:p>
    <w:p w:rsidR="00AE0A82" w:rsidRPr="003943E5" w:rsidRDefault="00AE0A82" w:rsidP="001F67D9">
      <w:pPr>
        <w:pStyle w:val="Normlndobloku"/>
        <w:rPr>
          <w:noProof/>
        </w:rPr>
      </w:pPr>
      <w:r w:rsidRPr="003943E5">
        <w:rPr>
          <w:noProof/>
        </w:rPr>
        <w:t>Neaplikovateľné.</w:t>
      </w:r>
    </w:p>
    <w:p w:rsidR="00AE0A82" w:rsidRPr="003943E5" w:rsidRDefault="00AE0A82" w:rsidP="001F67D9">
      <w:pPr>
        <w:pStyle w:val="Styl2"/>
      </w:pPr>
      <w:r w:rsidRPr="003943E5">
        <w:t>Čas použiteľnosti</w:t>
      </w:r>
    </w:p>
    <w:p w:rsidR="00AE0A82" w:rsidRPr="003943E5" w:rsidRDefault="005015D4" w:rsidP="001F67D9">
      <w:pPr>
        <w:pStyle w:val="Normlndobloku"/>
        <w:rPr>
          <w:noProof/>
        </w:rPr>
      </w:pPr>
      <w:r w:rsidRPr="003943E5">
        <w:rPr>
          <w:noProof/>
        </w:rPr>
        <w:t>5</w:t>
      </w:r>
      <w:r w:rsidR="00AE0A82" w:rsidRPr="003943E5">
        <w:rPr>
          <w:noProof/>
        </w:rPr>
        <w:t> rok</w:t>
      </w:r>
      <w:r w:rsidRPr="003943E5">
        <w:rPr>
          <w:noProof/>
        </w:rPr>
        <w:t>ov</w:t>
      </w:r>
    </w:p>
    <w:p w:rsidR="00AE0A82" w:rsidRPr="003943E5" w:rsidRDefault="00AE0A82" w:rsidP="001F67D9">
      <w:pPr>
        <w:pStyle w:val="Styl2"/>
      </w:pPr>
      <w:r w:rsidRPr="003943E5">
        <w:t>Špeciálne upozornenia na uchovávanie</w:t>
      </w:r>
    </w:p>
    <w:p w:rsidR="005015D4" w:rsidRPr="003943E5" w:rsidRDefault="005015D4" w:rsidP="001F67D9">
      <w:pPr>
        <w:pStyle w:val="Normlndobloku"/>
      </w:pPr>
      <w:r w:rsidRPr="003943E5">
        <w:t>Uchováva</w:t>
      </w:r>
      <w:r w:rsidR="00584513">
        <w:t>jte</w:t>
      </w:r>
      <w:r w:rsidRPr="003943E5">
        <w:t xml:space="preserve"> pri teplote do </w:t>
      </w:r>
      <w:smartTag w:uri="urn:schemas-microsoft-com:office:smarttags" w:element="metricconverter">
        <w:smartTagPr>
          <w:attr w:name="ProductID" w:val="30 ﾰC"/>
        </w:smartTagPr>
        <w:r w:rsidRPr="003943E5">
          <w:t>30</w:t>
        </w:r>
        <w:r w:rsidR="00C5586B">
          <w:t xml:space="preserve"> </w:t>
        </w:r>
        <w:r w:rsidRPr="003943E5">
          <w:t>°C</w:t>
        </w:r>
      </w:smartTag>
      <w:r w:rsidRPr="003943E5">
        <w:t>.</w:t>
      </w:r>
    </w:p>
    <w:p w:rsidR="00AE0A82" w:rsidRPr="003943E5" w:rsidRDefault="00AE0A82" w:rsidP="001F67D9">
      <w:pPr>
        <w:pStyle w:val="Styl2"/>
      </w:pPr>
      <w:r w:rsidRPr="003943E5">
        <w:t>Druh obalu a obsah balenia</w:t>
      </w:r>
    </w:p>
    <w:p w:rsidR="00146CB8" w:rsidRPr="003943E5" w:rsidRDefault="00146CB8" w:rsidP="001F67D9">
      <w:pPr>
        <w:pStyle w:val="Normlndobloku"/>
      </w:pPr>
      <w:r w:rsidRPr="003943E5">
        <w:t>PVC/</w:t>
      </w:r>
      <w:proofErr w:type="spellStart"/>
      <w:r w:rsidRPr="003943E5">
        <w:t>Al</w:t>
      </w:r>
      <w:proofErr w:type="spellEnd"/>
      <w:r w:rsidRPr="003943E5">
        <w:t xml:space="preserve"> </w:t>
      </w:r>
      <w:proofErr w:type="spellStart"/>
      <w:r w:rsidRPr="003943E5">
        <w:t>blister</w:t>
      </w:r>
      <w:proofErr w:type="spellEnd"/>
      <w:r w:rsidRPr="003943E5">
        <w:t xml:space="preserve">, papierová </w:t>
      </w:r>
      <w:r w:rsidR="00C5586B">
        <w:t>škatuľka</w:t>
      </w:r>
      <w:r w:rsidRPr="003943E5">
        <w:t>, písomná informácia pre používateľ</w:t>
      </w:r>
      <w:r w:rsidR="00584513">
        <w:t>a</w:t>
      </w:r>
      <w:r w:rsidRPr="003943E5">
        <w:t>.</w:t>
      </w:r>
    </w:p>
    <w:p w:rsidR="00FB6EA3" w:rsidRPr="003943E5" w:rsidRDefault="005015D4" w:rsidP="001F67D9">
      <w:pPr>
        <w:pStyle w:val="Styl3"/>
      </w:pPr>
      <w:r w:rsidRPr="003943E5">
        <w:t>Veľkosť balenia</w:t>
      </w:r>
    </w:p>
    <w:p w:rsidR="005015D4" w:rsidRDefault="005015D4" w:rsidP="001F67D9">
      <w:pPr>
        <w:pStyle w:val="Normlndobloku"/>
      </w:pPr>
      <w:r w:rsidRPr="003943E5">
        <w:t>20 t</w:t>
      </w:r>
      <w:r w:rsidR="00FB6EA3" w:rsidRPr="003943E5">
        <w:t>abliet</w:t>
      </w:r>
    </w:p>
    <w:p w:rsidR="00AE0A82" w:rsidRPr="003943E5" w:rsidRDefault="00AE0A82" w:rsidP="001F67D9">
      <w:pPr>
        <w:pStyle w:val="Styl2"/>
      </w:pPr>
      <w:r w:rsidRPr="003943E5">
        <w:t>Špeciálne opatrenia na likvidáciu a iné zaobchádzanie s liekom</w:t>
      </w:r>
    </w:p>
    <w:p w:rsidR="00AE0A82" w:rsidRPr="003943E5" w:rsidRDefault="00AE0A82" w:rsidP="001F67D9">
      <w:pPr>
        <w:pStyle w:val="Normlndobloku"/>
        <w:rPr>
          <w:noProof/>
        </w:rPr>
      </w:pPr>
      <w:r w:rsidRPr="003943E5">
        <w:rPr>
          <w:noProof/>
        </w:rPr>
        <w:t>Žiadne zvláštne požiadavky.</w:t>
      </w:r>
    </w:p>
    <w:p w:rsidR="00AE0A82" w:rsidRPr="003943E5" w:rsidRDefault="00AE0A82" w:rsidP="001F67D9">
      <w:pPr>
        <w:pStyle w:val="Styl1"/>
      </w:pPr>
      <w:r w:rsidRPr="003943E5">
        <w:t>DRŽITEĽ ROZHODNUTIA O REGISTRÁCII</w:t>
      </w:r>
    </w:p>
    <w:p w:rsidR="00A85EAD" w:rsidRDefault="00146CB8" w:rsidP="001F67D9">
      <w:pPr>
        <w:pStyle w:val="Normlndobloku"/>
      </w:pPr>
      <w:proofErr w:type="spellStart"/>
      <w:r w:rsidRPr="003943E5">
        <w:t>Medochemie</w:t>
      </w:r>
      <w:proofErr w:type="spellEnd"/>
      <w:r w:rsidRPr="003943E5">
        <w:t xml:space="preserve"> </w:t>
      </w:r>
      <w:proofErr w:type="spellStart"/>
      <w:r w:rsidRPr="003943E5">
        <w:t>Ltd</w:t>
      </w:r>
      <w:proofErr w:type="spellEnd"/>
      <w:r w:rsidRPr="003943E5">
        <w:t>.</w:t>
      </w:r>
    </w:p>
    <w:p w:rsidR="00A85EAD" w:rsidRDefault="00584513" w:rsidP="001F67D9">
      <w:pPr>
        <w:pStyle w:val="Normlndobloku"/>
      </w:pPr>
      <w:r>
        <w:t xml:space="preserve">1-10 </w:t>
      </w:r>
      <w:proofErr w:type="spellStart"/>
      <w:r>
        <w:t>Constantinoupoleos</w:t>
      </w:r>
      <w:proofErr w:type="spellEnd"/>
      <w:r>
        <w:t xml:space="preserve"> </w:t>
      </w:r>
      <w:proofErr w:type="spellStart"/>
      <w:r>
        <w:t>Street</w:t>
      </w:r>
      <w:proofErr w:type="spellEnd"/>
    </w:p>
    <w:p w:rsidR="00A85EAD" w:rsidRDefault="00584513" w:rsidP="001F67D9">
      <w:pPr>
        <w:pStyle w:val="Normlndobloku"/>
      </w:pPr>
      <w:r>
        <w:t xml:space="preserve">3011 </w:t>
      </w:r>
      <w:proofErr w:type="spellStart"/>
      <w:r w:rsidR="00146CB8" w:rsidRPr="003943E5">
        <w:t>Limassol</w:t>
      </w:r>
      <w:proofErr w:type="spellEnd"/>
    </w:p>
    <w:p w:rsidR="00146CB8" w:rsidRPr="003943E5" w:rsidRDefault="00146CB8" w:rsidP="001F67D9">
      <w:pPr>
        <w:pStyle w:val="Normlndobloku"/>
      </w:pPr>
      <w:r w:rsidRPr="003943E5">
        <w:t>Cyprus</w:t>
      </w:r>
    </w:p>
    <w:p w:rsidR="00ED1EC7" w:rsidRPr="003943E5" w:rsidRDefault="00AE0A82" w:rsidP="001F67D9">
      <w:pPr>
        <w:pStyle w:val="Styl1"/>
      </w:pPr>
      <w:r w:rsidRPr="003943E5">
        <w:t>REGISTRAČNÉ ČÍSLO</w:t>
      </w:r>
    </w:p>
    <w:p w:rsidR="00146CB8" w:rsidRPr="003943E5" w:rsidRDefault="00FB6EA3" w:rsidP="001F67D9">
      <w:pPr>
        <w:pStyle w:val="Normlndobloku"/>
      </w:pPr>
      <w:r w:rsidRPr="003943E5">
        <w:t>58</w:t>
      </w:r>
      <w:r w:rsidR="00146CB8" w:rsidRPr="003943E5">
        <w:t>/03</w:t>
      </w:r>
      <w:r w:rsidRPr="003943E5">
        <w:t>66</w:t>
      </w:r>
      <w:r w:rsidR="00146CB8" w:rsidRPr="003943E5">
        <w:t>/03-S</w:t>
      </w:r>
    </w:p>
    <w:p w:rsidR="00AE0A82" w:rsidRPr="003943E5" w:rsidRDefault="00AE0A82" w:rsidP="001F67D9">
      <w:pPr>
        <w:pStyle w:val="Styl1"/>
      </w:pPr>
      <w:r w:rsidRPr="003943E5">
        <w:t>DÁTUM PRVEJ REGISTRÁCIE/ PREDĹŽENIA REGISTRÁCIE</w:t>
      </w:r>
    </w:p>
    <w:p w:rsidR="00C5586B" w:rsidRDefault="00584513" w:rsidP="001F67D9">
      <w:pPr>
        <w:pStyle w:val="Normlndobloku"/>
      </w:pPr>
      <w:r>
        <w:t xml:space="preserve">Dátum prvej registrácie: </w:t>
      </w:r>
      <w:r w:rsidR="00FB6EA3" w:rsidRPr="003943E5">
        <w:t>19</w:t>
      </w:r>
      <w:r w:rsidR="00146CB8" w:rsidRPr="003943E5">
        <w:t>.</w:t>
      </w:r>
      <w:r>
        <w:t xml:space="preserve"> decembra </w:t>
      </w:r>
      <w:r w:rsidR="00146CB8" w:rsidRPr="003943E5">
        <w:t>2003</w:t>
      </w:r>
    </w:p>
    <w:p w:rsidR="00584513" w:rsidRDefault="00584513" w:rsidP="001F67D9">
      <w:pPr>
        <w:pStyle w:val="Normlndobloku"/>
      </w:pPr>
      <w:r>
        <w:t>Dátum posledného predĺženia registrácie: 18. decembra 2008</w:t>
      </w:r>
    </w:p>
    <w:p w:rsidR="00AE0A82" w:rsidRPr="003943E5" w:rsidRDefault="00AE0A82" w:rsidP="001F67D9">
      <w:pPr>
        <w:pStyle w:val="Styl1"/>
      </w:pPr>
      <w:r w:rsidRPr="003943E5">
        <w:t>DÁTUM REVÍZIE TEXTU</w:t>
      </w:r>
    </w:p>
    <w:p w:rsidR="00AE0A82" w:rsidRPr="003943E5" w:rsidRDefault="00A85EAD" w:rsidP="001F67D9">
      <w:pPr>
        <w:pStyle w:val="Normlndobloku"/>
        <w:rPr>
          <w:noProof/>
        </w:rPr>
      </w:pPr>
      <w:r>
        <w:rPr>
          <w:noProof/>
        </w:rPr>
        <w:t>Marec 2017</w:t>
      </w:r>
    </w:p>
    <w:sectPr w:rsidR="00AE0A82" w:rsidRPr="003943E5" w:rsidSect="0082065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55" w:rsidRDefault="002B7B55">
      <w:r>
        <w:separator/>
      </w:r>
    </w:p>
  </w:endnote>
  <w:endnote w:type="continuationSeparator" w:id="0">
    <w:p w:rsidR="002B7B55" w:rsidRDefault="002B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7C" w:rsidRDefault="0020197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0197C" w:rsidRDefault="0020197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7C" w:rsidRDefault="0020197C" w:rsidP="00C664CB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C6383F">
      <w:rPr>
        <w:rStyle w:val="slostrany"/>
        <w:noProof/>
      </w:rPr>
      <w:t>6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C6383F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7C" w:rsidRDefault="0020197C" w:rsidP="0082065A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5223D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5223D">
      <w:rPr>
        <w:rStyle w:val="slostrany"/>
        <w:noProof/>
      </w:rPr>
      <w:t>6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55" w:rsidRDefault="002B7B55">
      <w:r>
        <w:separator/>
      </w:r>
    </w:p>
  </w:footnote>
  <w:footnote w:type="continuationSeparator" w:id="0">
    <w:p w:rsidR="002B7B55" w:rsidRDefault="002B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7C" w:rsidRPr="00C6383F" w:rsidRDefault="0020197C">
    <w:pPr>
      <w:pStyle w:val="Hlavika"/>
      <w:rPr>
        <w:sz w:val="18"/>
        <w:szCs w:val="18"/>
      </w:rPr>
    </w:pPr>
    <w:r w:rsidRPr="00C6383F">
      <w:rPr>
        <w:sz w:val="18"/>
        <w:szCs w:val="18"/>
      </w:rPr>
      <w:t xml:space="preserve">Príloha </w:t>
    </w:r>
    <w:r>
      <w:rPr>
        <w:sz w:val="18"/>
        <w:szCs w:val="18"/>
      </w:rPr>
      <w:t>č. 1 k </w:t>
    </w:r>
    <w:r w:rsidR="006D58DF">
      <w:rPr>
        <w:sz w:val="18"/>
        <w:szCs w:val="18"/>
      </w:rPr>
      <w:t>notifikácii</w:t>
    </w:r>
    <w:r>
      <w:rPr>
        <w:sz w:val="18"/>
        <w:szCs w:val="18"/>
      </w:rPr>
      <w:t xml:space="preserve"> o zmene, ev. č.: </w:t>
    </w:r>
    <w:r w:rsidR="006D58DF">
      <w:rPr>
        <w:sz w:val="18"/>
        <w:szCs w:val="18"/>
      </w:rPr>
      <w:t>2017/00122-Z1A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20332"/>
    <w:multiLevelType w:val="hybridMultilevel"/>
    <w:tmpl w:val="6E9E07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F73F9"/>
    <w:multiLevelType w:val="hybridMultilevel"/>
    <w:tmpl w:val="4DA658C4"/>
    <w:lvl w:ilvl="0" w:tplc="D736B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569E5"/>
    <w:multiLevelType w:val="singleLevel"/>
    <w:tmpl w:val="89E809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D263DF"/>
    <w:multiLevelType w:val="multilevel"/>
    <w:tmpl w:val="C6B0DC3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06A0406"/>
    <w:multiLevelType w:val="multilevel"/>
    <w:tmpl w:val="4DA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8731E"/>
    <w:multiLevelType w:val="multilevel"/>
    <w:tmpl w:val="D4A2F6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CCD22F5"/>
    <w:multiLevelType w:val="hybridMultilevel"/>
    <w:tmpl w:val="A65CAD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82"/>
    <w:rsid w:val="0000159E"/>
    <w:rsid w:val="00054FBC"/>
    <w:rsid w:val="00056E74"/>
    <w:rsid w:val="000720D6"/>
    <w:rsid w:val="00092587"/>
    <w:rsid w:val="000D4305"/>
    <w:rsid w:val="000E28BD"/>
    <w:rsid w:val="001062B2"/>
    <w:rsid w:val="00133BF9"/>
    <w:rsid w:val="00146CB8"/>
    <w:rsid w:val="00181C9A"/>
    <w:rsid w:val="00195576"/>
    <w:rsid w:val="00195D09"/>
    <w:rsid w:val="001C79AD"/>
    <w:rsid w:val="001F67D9"/>
    <w:rsid w:val="0020197C"/>
    <w:rsid w:val="002635A6"/>
    <w:rsid w:val="002B7B55"/>
    <w:rsid w:val="002D3DC7"/>
    <w:rsid w:val="002F25A5"/>
    <w:rsid w:val="00317D4B"/>
    <w:rsid w:val="0035223D"/>
    <w:rsid w:val="00355E8C"/>
    <w:rsid w:val="00356BB3"/>
    <w:rsid w:val="00371CB3"/>
    <w:rsid w:val="0038043B"/>
    <w:rsid w:val="0038092D"/>
    <w:rsid w:val="003943E5"/>
    <w:rsid w:val="004316CD"/>
    <w:rsid w:val="00473917"/>
    <w:rsid w:val="004B2DAE"/>
    <w:rsid w:val="005015D4"/>
    <w:rsid w:val="00522E5D"/>
    <w:rsid w:val="00540F18"/>
    <w:rsid w:val="00584513"/>
    <w:rsid w:val="0059401D"/>
    <w:rsid w:val="005F2ED4"/>
    <w:rsid w:val="00672DA1"/>
    <w:rsid w:val="00673912"/>
    <w:rsid w:val="006836CE"/>
    <w:rsid w:val="006876ED"/>
    <w:rsid w:val="00692975"/>
    <w:rsid w:val="006B2042"/>
    <w:rsid w:val="006D58DF"/>
    <w:rsid w:val="007225BA"/>
    <w:rsid w:val="00740BFA"/>
    <w:rsid w:val="00773BB5"/>
    <w:rsid w:val="00787169"/>
    <w:rsid w:val="0080775D"/>
    <w:rsid w:val="00810269"/>
    <w:rsid w:val="0082065A"/>
    <w:rsid w:val="00833E9C"/>
    <w:rsid w:val="00851523"/>
    <w:rsid w:val="0086142C"/>
    <w:rsid w:val="00887D95"/>
    <w:rsid w:val="008923EB"/>
    <w:rsid w:val="008E0170"/>
    <w:rsid w:val="008E07F6"/>
    <w:rsid w:val="008F5246"/>
    <w:rsid w:val="00901F6B"/>
    <w:rsid w:val="009119F9"/>
    <w:rsid w:val="009261F5"/>
    <w:rsid w:val="00967B63"/>
    <w:rsid w:val="009B23DD"/>
    <w:rsid w:val="009B6A09"/>
    <w:rsid w:val="009E5DA6"/>
    <w:rsid w:val="00A01916"/>
    <w:rsid w:val="00A058F1"/>
    <w:rsid w:val="00A76253"/>
    <w:rsid w:val="00A81E19"/>
    <w:rsid w:val="00A85EAD"/>
    <w:rsid w:val="00A92ED3"/>
    <w:rsid w:val="00AB0820"/>
    <w:rsid w:val="00AE0A82"/>
    <w:rsid w:val="00AF7137"/>
    <w:rsid w:val="00B566CE"/>
    <w:rsid w:val="00BA7DE6"/>
    <w:rsid w:val="00BC3066"/>
    <w:rsid w:val="00BC5E12"/>
    <w:rsid w:val="00BF6217"/>
    <w:rsid w:val="00C20514"/>
    <w:rsid w:val="00C5586B"/>
    <w:rsid w:val="00C6383F"/>
    <w:rsid w:val="00C664CB"/>
    <w:rsid w:val="00C672F3"/>
    <w:rsid w:val="00C71EB3"/>
    <w:rsid w:val="00C7366A"/>
    <w:rsid w:val="00C80411"/>
    <w:rsid w:val="00C867C7"/>
    <w:rsid w:val="00CB45EB"/>
    <w:rsid w:val="00CB4FB4"/>
    <w:rsid w:val="00CD17A4"/>
    <w:rsid w:val="00CD695E"/>
    <w:rsid w:val="00CD75C7"/>
    <w:rsid w:val="00CF5240"/>
    <w:rsid w:val="00D10344"/>
    <w:rsid w:val="00D27981"/>
    <w:rsid w:val="00D309FC"/>
    <w:rsid w:val="00D41752"/>
    <w:rsid w:val="00D55969"/>
    <w:rsid w:val="00D734DE"/>
    <w:rsid w:val="00D84183"/>
    <w:rsid w:val="00DA5853"/>
    <w:rsid w:val="00DB033B"/>
    <w:rsid w:val="00DB496F"/>
    <w:rsid w:val="00DB62FB"/>
    <w:rsid w:val="00E20455"/>
    <w:rsid w:val="00E81BDB"/>
    <w:rsid w:val="00E83B96"/>
    <w:rsid w:val="00E97D6B"/>
    <w:rsid w:val="00EC5EE4"/>
    <w:rsid w:val="00ED1EC7"/>
    <w:rsid w:val="00EE16A5"/>
    <w:rsid w:val="00F30728"/>
    <w:rsid w:val="00F65857"/>
    <w:rsid w:val="00F733E9"/>
    <w:rsid w:val="00F80E19"/>
    <w:rsid w:val="00F97172"/>
    <w:rsid w:val="00FB6EA3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autoRedefine/>
    <w:qFormat/>
    <w:rsid w:val="001F67D9"/>
    <w:pPr>
      <w:keepNext/>
      <w:spacing w:before="60" w:after="120"/>
      <w:jc w:val="center"/>
      <w:outlineLvl w:val="0"/>
    </w:pPr>
    <w:rPr>
      <w:rFonts w:cs="Arial"/>
      <w:b/>
      <w:bCs/>
      <w:caps/>
      <w:kern w:val="32"/>
      <w:szCs w:val="22"/>
    </w:rPr>
  </w:style>
  <w:style w:type="paragraph" w:styleId="Nadpis2">
    <w:name w:val="heading 2"/>
    <w:basedOn w:val="Normlny"/>
    <w:next w:val="Normlny"/>
    <w:autoRedefine/>
    <w:qFormat/>
    <w:rsid w:val="000D4305"/>
    <w:pPr>
      <w:keepNext/>
      <w:spacing w:after="120"/>
      <w:outlineLvl w:val="1"/>
    </w:pPr>
    <w:rPr>
      <w:rFonts w:cs="Arial"/>
      <w:b/>
      <w:bCs/>
      <w:iCs/>
      <w:sz w:val="24"/>
      <w:szCs w:val="28"/>
    </w:rPr>
  </w:style>
  <w:style w:type="paragraph" w:styleId="Nadpis4">
    <w:name w:val="heading 4"/>
    <w:basedOn w:val="Normlny"/>
    <w:next w:val="Normlny"/>
    <w:qFormat/>
    <w:rsid w:val="00740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Normlndobloku">
    <w:name w:val="Normální do bloku"/>
    <w:basedOn w:val="Normlny"/>
    <w:link w:val="NormlndoblokuChar"/>
    <w:autoRedefine/>
    <w:rsid w:val="001F67D9"/>
    <w:pPr>
      <w:spacing w:after="120"/>
      <w:ind w:left="0" w:firstLine="0"/>
      <w:jc w:val="both"/>
    </w:pPr>
    <w:rPr>
      <w:szCs w:val="22"/>
    </w:rPr>
  </w:style>
  <w:style w:type="paragraph" w:customStyle="1" w:styleId="Styl1">
    <w:name w:val="Styl1"/>
    <w:basedOn w:val="Normlny"/>
    <w:autoRedefine/>
    <w:rsid w:val="001F67D9"/>
    <w:pPr>
      <w:numPr>
        <w:numId w:val="8"/>
      </w:numPr>
      <w:spacing w:before="240" w:after="240"/>
      <w:ind w:left="357" w:hanging="357"/>
      <w:outlineLvl w:val="0"/>
    </w:pPr>
    <w:rPr>
      <w:b/>
      <w:caps/>
      <w:noProof/>
      <w:szCs w:val="22"/>
    </w:rPr>
  </w:style>
  <w:style w:type="paragraph" w:customStyle="1" w:styleId="Styl2">
    <w:name w:val="Styl2"/>
    <w:basedOn w:val="Normlny"/>
    <w:autoRedefine/>
    <w:rsid w:val="001F67D9"/>
    <w:pPr>
      <w:numPr>
        <w:ilvl w:val="1"/>
        <w:numId w:val="8"/>
      </w:numPr>
      <w:spacing w:before="240" w:after="240"/>
      <w:ind w:left="357" w:hanging="357"/>
      <w:outlineLvl w:val="1"/>
    </w:pPr>
    <w:rPr>
      <w:b/>
      <w:noProof/>
      <w:szCs w:val="22"/>
    </w:rPr>
  </w:style>
  <w:style w:type="paragraph" w:customStyle="1" w:styleId="Styl3">
    <w:name w:val="Styl3"/>
    <w:basedOn w:val="Normlndobloku"/>
    <w:link w:val="Styl3Char"/>
    <w:autoRedefine/>
    <w:rsid w:val="00522E5D"/>
    <w:pPr>
      <w:spacing w:after="0"/>
    </w:pPr>
    <w:rPr>
      <w:u w:val="single"/>
    </w:rPr>
  </w:style>
  <w:style w:type="paragraph" w:styleId="Predmetkomentra">
    <w:name w:val="annotation subject"/>
    <w:basedOn w:val="Textkomentra"/>
    <w:next w:val="Textkomentra"/>
    <w:semiHidden/>
    <w:rsid w:val="00C5586B"/>
    <w:rPr>
      <w:b/>
      <w:bCs/>
    </w:rPr>
  </w:style>
  <w:style w:type="character" w:customStyle="1" w:styleId="NormlndoblokuChar">
    <w:name w:val="Normální do bloku Char"/>
    <w:link w:val="Normlndobloku"/>
    <w:rsid w:val="00522E5D"/>
    <w:rPr>
      <w:sz w:val="22"/>
      <w:szCs w:val="22"/>
    </w:rPr>
  </w:style>
  <w:style w:type="character" w:customStyle="1" w:styleId="Styl3Char">
    <w:name w:val="Styl3 Char"/>
    <w:link w:val="Styl3"/>
    <w:rsid w:val="00522E5D"/>
    <w:rPr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autoRedefine/>
    <w:qFormat/>
    <w:rsid w:val="001F67D9"/>
    <w:pPr>
      <w:keepNext/>
      <w:spacing w:before="60" w:after="120"/>
      <w:jc w:val="center"/>
      <w:outlineLvl w:val="0"/>
    </w:pPr>
    <w:rPr>
      <w:rFonts w:cs="Arial"/>
      <w:b/>
      <w:bCs/>
      <w:caps/>
      <w:kern w:val="32"/>
      <w:szCs w:val="22"/>
    </w:rPr>
  </w:style>
  <w:style w:type="paragraph" w:styleId="Nadpis2">
    <w:name w:val="heading 2"/>
    <w:basedOn w:val="Normlny"/>
    <w:next w:val="Normlny"/>
    <w:autoRedefine/>
    <w:qFormat/>
    <w:rsid w:val="000D4305"/>
    <w:pPr>
      <w:keepNext/>
      <w:spacing w:after="120"/>
      <w:outlineLvl w:val="1"/>
    </w:pPr>
    <w:rPr>
      <w:rFonts w:cs="Arial"/>
      <w:b/>
      <w:bCs/>
      <w:iCs/>
      <w:sz w:val="24"/>
      <w:szCs w:val="28"/>
    </w:rPr>
  </w:style>
  <w:style w:type="paragraph" w:styleId="Nadpis4">
    <w:name w:val="heading 4"/>
    <w:basedOn w:val="Normlny"/>
    <w:next w:val="Normlny"/>
    <w:qFormat/>
    <w:rsid w:val="00740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Normlndobloku">
    <w:name w:val="Normální do bloku"/>
    <w:basedOn w:val="Normlny"/>
    <w:link w:val="NormlndoblokuChar"/>
    <w:autoRedefine/>
    <w:rsid w:val="001F67D9"/>
    <w:pPr>
      <w:spacing w:after="120"/>
      <w:ind w:left="0" w:firstLine="0"/>
      <w:jc w:val="both"/>
    </w:pPr>
    <w:rPr>
      <w:szCs w:val="22"/>
    </w:rPr>
  </w:style>
  <w:style w:type="paragraph" w:customStyle="1" w:styleId="Styl1">
    <w:name w:val="Styl1"/>
    <w:basedOn w:val="Normlny"/>
    <w:autoRedefine/>
    <w:rsid w:val="001F67D9"/>
    <w:pPr>
      <w:numPr>
        <w:numId w:val="8"/>
      </w:numPr>
      <w:spacing w:before="240" w:after="240"/>
      <w:ind w:left="357" w:hanging="357"/>
      <w:outlineLvl w:val="0"/>
    </w:pPr>
    <w:rPr>
      <w:b/>
      <w:caps/>
      <w:noProof/>
      <w:szCs w:val="22"/>
    </w:rPr>
  </w:style>
  <w:style w:type="paragraph" w:customStyle="1" w:styleId="Styl2">
    <w:name w:val="Styl2"/>
    <w:basedOn w:val="Normlny"/>
    <w:autoRedefine/>
    <w:rsid w:val="001F67D9"/>
    <w:pPr>
      <w:numPr>
        <w:ilvl w:val="1"/>
        <w:numId w:val="8"/>
      </w:numPr>
      <w:spacing w:before="240" w:after="240"/>
      <w:ind w:left="357" w:hanging="357"/>
      <w:outlineLvl w:val="1"/>
    </w:pPr>
    <w:rPr>
      <w:b/>
      <w:noProof/>
      <w:szCs w:val="22"/>
    </w:rPr>
  </w:style>
  <w:style w:type="paragraph" w:customStyle="1" w:styleId="Styl3">
    <w:name w:val="Styl3"/>
    <w:basedOn w:val="Normlndobloku"/>
    <w:link w:val="Styl3Char"/>
    <w:autoRedefine/>
    <w:rsid w:val="00522E5D"/>
    <w:pPr>
      <w:spacing w:after="0"/>
    </w:pPr>
    <w:rPr>
      <w:u w:val="single"/>
    </w:rPr>
  </w:style>
  <w:style w:type="paragraph" w:styleId="Predmetkomentra">
    <w:name w:val="annotation subject"/>
    <w:basedOn w:val="Textkomentra"/>
    <w:next w:val="Textkomentra"/>
    <w:semiHidden/>
    <w:rsid w:val="00C5586B"/>
    <w:rPr>
      <w:b/>
      <w:bCs/>
    </w:rPr>
  </w:style>
  <w:style w:type="character" w:customStyle="1" w:styleId="NormlndoblokuChar">
    <w:name w:val="Normální do bloku Char"/>
    <w:link w:val="Normlndobloku"/>
    <w:rsid w:val="00522E5D"/>
    <w:rPr>
      <w:sz w:val="22"/>
      <w:szCs w:val="22"/>
    </w:rPr>
  </w:style>
  <w:style w:type="character" w:customStyle="1" w:styleId="Styl3Char">
    <w:name w:val="Styl3 Char"/>
    <w:link w:val="Styl3"/>
    <w:rsid w:val="00522E5D"/>
    <w:rPr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7</vt:lpstr>
    </vt:vector>
  </TitlesOfParts>
  <Company>Štátny ústav pre kontrolu liečiv</Company>
  <LinksUpToDate>false</LinksUpToDate>
  <CharactersWithSpaces>14728</CharactersWithSpaces>
  <SharedDoc>false</SharedDoc>
  <HLinks>
    <vt:vector size="6" baseType="variant"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General-EMEA/148134/2007</dc:subject>
  <dc:creator>jankase</dc:creator>
  <cp:lastModifiedBy>Grančaiová, Zuzana</cp:lastModifiedBy>
  <cp:revision>6</cp:revision>
  <cp:lastPrinted>2017-03-24T07:47:00Z</cp:lastPrinted>
  <dcterms:created xsi:type="dcterms:W3CDTF">2016-12-22T12:27:00Z</dcterms:created>
  <dcterms:modified xsi:type="dcterms:W3CDTF">2017-03-27T07:03:00Z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General-EMEA/148134/2007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30/03/2007 11:27:15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30/03/2007 11:27:19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CURRENT, published April 07</vt:lpwstr>
  </property>
  <property fmtid="{D5CDD505-2E9C-101B-9397-08002B2CF9AE}" pid="16" name="DM_emea_doc_ref_id">
    <vt:lpwstr>EMEA/148134/2007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148134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