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EB290" w14:textId="77777777" w:rsidR="00CB2A09" w:rsidRPr="0040738C" w:rsidRDefault="00CB2A09" w:rsidP="003E54A9">
      <w:pPr>
        <w:pStyle w:val="Podtitul"/>
        <w:rPr>
          <w:noProof/>
          <w:szCs w:val="22"/>
        </w:rPr>
      </w:pPr>
      <w:r w:rsidRPr="0040738C">
        <w:t>SÚHRN CHARAKTERISTICKÝCH VLASTNOSTÍ LIEKU</w:t>
      </w:r>
    </w:p>
    <w:p w14:paraId="5D14F5AF" w14:textId="77777777" w:rsidR="00CB2A09" w:rsidRPr="0040738C" w:rsidRDefault="00CB2A09" w:rsidP="00DD73F9">
      <w:pPr>
        <w:rPr>
          <w:b/>
          <w:noProof/>
          <w:sz w:val="22"/>
          <w:szCs w:val="22"/>
        </w:rPr>
      </w:pPr>
    </w:p>
    <w:p w14:paraId="08221D55" w14:textId="77777777" w:rsidR="00CB2A09" w:rsidRPr="0040738C" w:rsidRDefault="00CB2A09" w:rsidP="00DD73F9">
      <w:pPr>
        <w:rPr>
          <w:b/>
          <w:noProof/>
          <w:sz w:val="22"/>
          <w:szCs w:val="22"/>
        </w:rPr>
      </w:pPr>
    </w:p>
    <w:p w14:paraId="1FCC08CB" w14:textId="77777777" w:rsidR="00CB2A09" w:rsidRPr="0040738C" w:rsidRDefault="00CB2A09" w:rsidP="00DD73F9">
      <w:pPr>
        <w:keepNext/>
        <w:rPr>
          <w:b/>
          <w:sz w:val="22"/>
          <w:szCs w:val="20"/>
        </w:rPr>
      </w:pPr>
      <w:r w:rsidRPr="0040738C">
        <w:rPr>
          <w:b/>
          <w:noProof/>
          <w:sz w:val="22"/>
          <w:szCs w:val="22"/>
        </w:rPr>
        <w:t>1.</w:t>
      </w:r>
      <w:r w:rsidRPr="0040738C">
        <w:rPr>
          <w:b/>
          <w:noProof/>
          <w:sz w:val="22"/>
          <w:szCs w:val="22"/>
        </w:rPr>
        <w:tab/>
        <w:t>NÁZOV LIEKU</w:t>
      </w:r>
    </w:p>
    <w:p w14:paraId="717A0F16" w14:textId="77777777" w:rsidR="00CB2A09" w:rsidRPr="0040738C" w:rsidRDefault="00CB2A09" w:rsidP="00DD73F9">
      <w:pPr>
        <w:keepNext/>
        <w:rPr>
          <w:sz w:val="22"/>
          <w:szCs w:val="20"/>
        </w:rPr>
      </w:pPr>
    </w:p>
    <w:p w14:paraId="72A1B9CC" w14:textId="49A03C0E" w:rsidR="00CB2A09" w:rsidRPr="0040738C" w:rsidRDefault="00CB2A09" w:rsidP="00DD73F9">
      <w:pPr>
        <w:rPr>
          <w:sz w:val="22"/>
          <w:szCs w:val="20"/>
        </w:rPr>
      </w:pPr>
      <w:proofErr w:type="spellStart"/>
      <w:r w:rsidRPr="0040738C">
        <w:rPr>
          <w:sz w:val="22"/>
          <w:szCs w:val="20"/>
        </w:rPr>
        <w:t>Esmeron</w:t>
      </w:r>
      <w:proofErr w:type="spellEnd"/>
    </w:p>
    <w:p w14:paraId="4161BC39" w14:textId="77777777" w:rsidR="00CB2A09" w:rsidRPr="0040738C" w:rsidRDefault="0040738C" w:rsidP="00CD70B0">
      <w:pPr>
        <w:rPr>
          <w:sz w:val="22"/>
          <w:szCs w:val="20"/>
        </w:rPr>
      </w:pPr>
      <w:r>
        <w:rPr>
          <w:sz w:val="22"/>
          <w:szCs w:val="20"/>
        </w:rPr>
        <w:t>10 mg/ml injekčný roztok</w:t>
      </w:r>
    </w:p>
    <w:p w14:paraId="5D7EACF3" w14:textId="77777777" w:rsidR="00CB2A09" w:rsidRDefault="00CB2A09" w:rsidP="00DD73F9">
      <w:pPr>
        <w:rPr>
          <w:sz w:val="22"/>
          <w:szCs w:val="20"/>
        </w:rPr>
      </w:pPr>
    </w:p>
    <w:p w14:paraId="5FBDC2BD" w14:textId="77777777" w:rsidR="0040738C" w:rsidRPr="0040738C" w:rsidRDefault="0040738C" w:rsidP="00DD73F9">
      <w:pPr>
        <w:rPr>
          <w:sz w:val="22"/>
          <w:szCs w:val="20"/>
        </w:rPr>
      </w:pPr>
    </w:p>
    <w:p w14:paraId="0DE4AC0C" w14:textId="77777777" w:rsidR="00CB2A09" w:rsidRPr="0040738C" w:rsidRDefault="00CB2A09" w:rsidP="00DD73F9">
      <w:pPr>
        <w:keepNext/>
        <w:rPr>
          <w:b/>
          <w:sz w:val="22"/>
          <w:szCs w:val="20"/>
        </w:rPr>
      </w:pPr>
      <w:r w:rsidRPr="0040738C">
        <w:rPr>
          <w:b/>
          <w:noProof/>
          <w:sz w:val="22"/>
          <w:szCs w:val="22"/>
        </w:rPr>
        <w:t>2.</w:t>
      </w:r>
      <w:r w:rsidRPr="0040738C">
        <w:rPr>
          <w:b/>
          <w:noProof/>
          <w:sz w:val="22"/>
          <w:szCs w:val="22"/>
        </w:rPr>
        <w:tab/>
        <w:t>KVALITATÍVNE A KVANTITATÍVNE ZLOŽENIE</w:t>
      </w:r>
    </w:p>
    <w:p w14:paraId="18A9049B" w14:textId="77777777" w:rsidR="00CB2A09" w:rsidRPr="0040738C" w:rsidRDefault="00CB2A09" w:rsidP="00DD73F9">
      <w:pPr>
        <w:keepNext/>
        <w:rPr>
          <w:b/>
          <w:sz w:val="22"/>
          <w:szCs w:val="20"/>
        </w:rPr>
      </w:pPr>
    </w:p>
    <w:p w14:paraId="27226349" w14:textId="232CB38A" w:rsidR="00CB2A09" w:rsidRPr="0040738C" w:rsidRDefault="00CB2A09" w:rsidP="00DD73F9">
      <w:pPr>
        <w:rPr>
          <w:sz w:val="22"/>
          <w:szCs w:val="20"/>
        </w:rPr>
      </w:pPr>
      <w:r w:rsidRPr="0040738C">
        <w:rPr>
          <w:sz w:val="22"/>
          <w:szCs w:val="20"/>
        </w:rPr>
        <w:t>Každý m</w:t>
      </w:r>
      <w:r w:rsidR="00535E7B">
        <w:rPr>
          <w:sz w:val="22"/>
          <w:szCs w:val="20"/>
        </w:rPr>
        <w:t>i</w:t>
      </w:r>
      <w:r w:rsidRPr="0040738C">
        <w:rPr>
          <w:sz w:val="22"/>
          <w:szCs w:val="20"/>
        </w:rPr>
        <w:t>l</w:t>
      </w:r>
      <w:r w:rsidR="00535E7B">
        <w:rPr>
          <w:sz w:val="22"/>
          <w:szCs w:val="20"/>
        </w:rPr>
        <w:t>iliter</w:t>
      </w:r>
      <w:r w:rsidRPr="0040738C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Esmeronu</w:t>
      </w:r>
      <w:proofErr w:type="spellEnd"/>
      <w:r w:rsidRPr="0040738C">
        <w:rPr>
          <w:sz w:val="22"/>
          <w:szCs w:val="20"/>
        </w:rPr>
        <w:t xml:space="preserve"> obsahuje 10 mg </w:t>
      </w:r>
      <w:proofErr w:type="spellStart"/>
      <w:r w:rsidRPr="0040738C">
        <w:rPr>
          <w:sz w:val="22"/>
          <w:szCs w:val="20"/>
        </w:rPr>
        <w:t>rokuróniumbromidu</w:t>
      </w:r>
      <w:proofErr w:type="spellEnd"/>
      <w:r w:rsidRPr="0040738C">
        <w:rPr>
          <w:sz w:val="22"/>
          <w:szCs w:val="20"/>
        </w:rPr>
        <w:t>.</w:t>
      </w:r>
    </w:p>
    <w:p w14:paraId="6D47AB1A" w14:textId="77777777" w:rsidR="00CB2A09" w:rsidRDefault="00CB2A09" w:rsidP="00DC0343">
      <w:pPr>
        <w:rPr>
          <w:noProof/>
          <w:sz w:val="22"/>
          <w:szCs w:val="22"/>
        </w:rPr>
      </w:pPr>
    </w:p>
    <w:p w14:paraId="2B7F8AC0" w14:textId="4D4C8EB0" w:rsidR="008F406F" w:rsidRPr="00F93190" w:rsidRDefault="008F406F" w:rsidP="00DC0343">
      <w:pPr>
        <w:rPr>
          <w:noProof/>
          <w:sz w:val="22"/>
          <w:szCs w:val="22"/>
          <w:u w:val="single"/>
        </w:rPr>
      </w:pPr>
      <w:r w:rsidRPr="00F93190">
        <w:rPr>
          <w:noProof/>
          <w:sz w:val="22"/>
          <w:szCs w:val="22"/>
          <w:u w:val="single"/>
        </w:rPr>
        <w:t>Pomocná látka so známym účinkom</w:t>
      </w:r>
    </w:p>
    <w:p w14:paraId="1DBB61DC" w14:textId="0A1AA60D" w:rsidR="003460EF" w:rsidRDefault="003460EF" w:rsidP="00DC0343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Každý mililiter Esmeronu obsahuje 1,72 mg sodíka.</w:t>
      </w:r>
    </w:p>
    <w:p w14:paraId="30F38AA5" w14:textId="77777777" w:rsidR="003460EF" w:rsidRPr="0040738C" w:rsidRDefault="003460EF" w:rsidP="00DD73F9">
      <w:pPr>
        <w:rPr>
          <w:noProof/>
          <w:sz w:val="22"/>
          <w:szCs w:val="22"/>
        </w:rPr>
      </w:pPr>
    </w:p>
    <w:p w14:paraId="717BFE80" w14:textId="16EF8E94" w:rsidR="00CB2A09" w:rsidRPr="0040738C" w:rsidRDefault="00CB2A09" w:rsidP="00DD73F9">
      <w:pPr>
        <w:rPr>
          <w:sz w:val="22"/>
          <w:szCs w:val="20"/>
        </w:rPr>
      </w:pPr>
      <w:r w:rsidRPr="0040738C">
        <w:rPr>
          <w:noProof/>
          <w:sz w:val="22"/>
          <w:szCs w:val="22"/>
        </w:rPr>
        <w:t>Úplný zoznam pomocných látok, pozri časť 6.1.</w:t>
      </w:r>
    </w:p>
    <w:p w14:paraId="3CDF70A8" w14:textId="77777777" w:rsidR="00CB2A09" w:rsidRPr="0040738C" w:rsidRDefault="00CB2A09" w:rsidP="00DD73F9">
      <w:pPr>
        <w:rPr>
          <w:sz w:val="22"/>
          <w:szCs w:val="20"/>
        </w:rPr>
      </w:pPr>
    </w:p>
    <w:p w14:paraId="62F1B61F" w14:textId="77777777" w:rsidR="00CB2A09" w:rsidRPr="0040738C" w:rsidRDefault="00CB2A09" w:rsidP="00DD73F9">
      <w:pPr>
        <w:rPr>
          <w:sz w:val="22"/>
          <w:szCs w:val="20"/>
        </w:rPr>
      </w:pPr>
    </w:p>
    <w:p w14:paraId="6DE49BF9" w14:textId="77777777" w:rsidR="00CB2A09" w:rsidRPr="0040738C" w:rsidRDefault="00CB2A09" w:rsidP="00DD73F9">
      <w:pPr>
        <w:keepNext/>
        <w:rPr>
          <w:b/>
          <w:sz w:val="22"/>
          <w:szCs w:val="20"/>
        </w:rPr>
      </w:pPr>
      <w:r w:rsidRPr="0040738C">
        <w:rPr>
          <w:b/>
          <w:noProof/>
          <w:sz w:val="22"/>
          <w:szCs w:val="22"/>
        </w:rPr>
        <w:t>3.</w:t>
      </w:r>
      <w:r w:rsidRPr="0040738C">
        <w:rPr>
          <w:b/>
          <w:noProof/>
          <w:sz w:val="22"/>
          <w:szCs w:val="22"/>
        </w:rPr>
        <w:tab/>
        <w:t>LIEKOVÁ FORMA</w:t>
      </w:r>
    </w:p>
    <w:p w14:paraId="7640A20E" w14:textId="77777777" w:rsidR="00CB2A09" w:rsidRPr="0040738C" w:rsidRDefault="00CB2A09" w:rsidP="00DD73F9">
      <w:pPr>
        <w:keepNext/>
        <w:rPr>
          <w:b/>
          <w:sz w:val="22"/>
          <w:szCs w:val="20"/>
        </w:rPr>
      </w:pPr>
    </w:p>
    <w:p w14:paraId="2895E401" w14:textId="77777777" w:rsidR="00CB2A09" w:rsidRDefault="00CB2A09" w:rsidP="00DC0343">
      <w:pPr>
        <w:rPr>
          <w:sz w:val="22"/>
          <w:szCs w:val="20"/>
        </w:rPr>
      </w:pPr>
      <w:r w:rsidRPr="0040738C">
        <w:rPr>
          <w:sz w:val="22"/>
          <w:szCs w:val="20"/>
        </w:rPr>
        <w:t>Injekčný roztok</w:t>
      </w:r>
      <w:r w:rsidR="0040738C">
        <w:rPr>
          <w:sz w:val="22"/>
          <w:szCs w:val="20"/>
        </w:rPr>
        <w:t>.</w:t>
      </w:r>
    </w:p>
    <w:p w14:paraId="5B770A3F" w14:textId="676863C5" w:rsidR="005059C2" w:rsidRPr="0040738C" w:rsidRDefault="005059C2" w:rsidP="00DD73F9">
      <w:pPr>
        <w:rPr>
          <w:sz w:val="22"/>
          <w:szCs w:val="20"/>
        </w:rPr>
      </w:pPr>
      <w:r>
        <w:rPr>
          <w:sz w:val="22"/>
          <w:szCs w:val="20"/>
        </w:rPr>
        <w:t>B</w:t>
      </w:r>
      <w:r w:rsidRPr="005059C2">
        <w:rPr>
          <w:sz w:val="22"/>
          <w:szCs w:val="20"/>
        </w:rPr>
        <w:t>ezfarebný až jemne žltý/hnedý roztok.</w:t>
      </w:r>
    </w:p>
    <w:p w14:paraId="1958CA04" w14:textId="7F3D7F68" w:rsidR="00CB2A09" w:rsidRPr="0040738C" w:rsidRDefault="00CB2A09" w:rsidP="00DD73F9">
      <w:pPr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>pH: 3,8</w:t>
      </w:r>
      <w:r w:rsidR="00095567">
        <w:rPr>
          <w:bCs/>
          <w:sz w:val="22"/>
          <w:szCs w:val="20"/>
        </w:rPr>
        <w:t> </w:t>
      </w:r>
      <w:r w:rsidRPr="0040738C">
        <w:rPr>
          <w:bCs/>
          <w:sz w:val="22"/>
          <w:szCs w:val="20"/>
        </w:rPr>
        <w:t>–</w:t>
      </w:r>
      <w:r w:rsidR="00095567">
        <w:rPr>
          <w:bCs/>
          <w:sz w:val="22"/>
          <w:szCs w:val="20"/>
        </w:rPr>
        <w:t> </w:t>
      </w:r>
      <w:r w:rsidRPr="0040738C">
        <w:rPr>
          <w:bCs/>
          <w:sz w:val="22"/>
          <w:szCs w:val="20"/>
        </w:rPr>
        <w:t>4,2</w:t>
      </w:r>
    </w:p>
    <w:p w14:paraId="7E4AB226" w14:textId="77777777" w:rsidR="00CB2A09" w:rsidRPr="0040738C" w:rsidRDefault="00CB2A09" w:rsidP="00DD73F9">
      <w:pPr>
        <w:rPr>
          <w:b/>
          <w:sz w:val="22"/>
          <w:szCs w:val="20"/>
        </w:rPr>
      </w:pPr>
    </w:p>
    <w:p w14:paraId="12A14C93" w14:textId="77777777" w:rsidR="00CB2A09" w:rsidRPr="0040738C" w:rsidRDefault="00CB2A09" w:rsidP="00DD73F9">
      <w:pPr>
        <w:rPr>
          <w:b/>
          <w:sz w:val="22"/>
          <w:szCs w:val="20"/>
        </w:rPr>
      </w:pPr>
    </w:p>
    <w:p w14:paraId="5103651D" w14:textId="77777777" w:rsidR="00CB2A09" w:rsidRPr="0040738C" w:rsidRDefault="00CB2A09" w:rsidP="00DD73F9">
      <w:pPr>
        <w:keepNext/>
        <w:rPr>
          <w:caps/>
          <w:noProof/>
          <w:sz w:val="22"/>
          <w:szCs w:val="22"/>
        </w:rPr>
      </w:pPr>
      <w:r w:rsidRPr="0040738C">
        <w:rPr>
          <w:b/>
          <w:caps/>
          <w:noProof/>
          <w:sz w:val="22"/>
          <w:szCs w:val="22"/>
        </w:rPr>
        <w:t>4.</w:t>
      </w:r>
      <w:r w:rsidRPr="0040738C">
        <w:rPr>
          <w:b/>
          <w:caps/>
          <w:noProof/>
          <w:sz w:val="22"/>
          <w:szCs w:val="22"/>
        </w:rPr>
        <w:tab/>
        <w:t>KLINICKÉ ÚDAJE</w:t>
      </w:r>
    </w:p>
    <w:p w14:paraId="0A4AEED8" w14:textId="77777777" w:rsidR="00CB2A09" w:rsidRPr="0040738C" w:rsidRDefault="00CB2A09" w:rsidP="00DD73F9">
      <w:pPr>
        <w:keepNext/>
        <w:rPr>
          <w:noProof/>
          <w:sz w:val="22"/>
          <w:szCs w:val="22"/>
        </w:rPr>
      </w:pPr>
    </w:p>
    <w:p w14:paraId="77B977C2" w14:textId="77777777" w:rsidR="00CB2A09" w:rsidRPr="0040738C" w:rsidRDefault="00CB2A09" w:rsidP="00DD73F9">
      <w:pPr>
        <w:keepNext/>
        <w:rPr>
          <w:b/>
          <w:sz w:val="22"/>
          <w:szCs w:val="20"/>
        </w:rPr>
      </w:pPr>
      <w:r w:rsidRPr="0040738C">
        <w:rPr>
          <w:b/>
          <w:noProof/>
          <w:sz w:val="22"/>
          <w:szCs w:val="22"/>
        </w:rPr>
        <w:t>4.1</w:t>
      </w:r>
      <w:r w:rsidRPr="0040738C">
        <w:rPr>
          <w:b/>
          <w:noProof/>
          <w:sz w:val="22"/>
          <w:szCs w:val="22"/>
        </w:rPr>
        <w:tab/>
        <w:t>Terapeutické indikácie</w:t>
      </w:r>
    </w:p>
    <w:p w14:paraId="21343C86" w14:textId="77777777" w:rsidR="00CB2A09" w:rsidRPr="0040738C" w:rsidRDefault="00CB2A09" w:rsidP="00DD73F9">
      <w:pPr>
        <w:keepNext/>
        <w:rPr>
          <w:b/>
          <w:sz w:val="22"/>
          <w:szCs w:val="20"/>
        </w:rPr>
      </w:pPr>
    </w:p>
    <w:p w14:paraId="6C029B7F" w14:textId="5C161872" w:rsidR="00CB2A09" w:rsidRPr="0040738C" w:rsidRDefault="00CB2A09" w:rsidP="00CD70B0">
      <w:pPr>
        <w:rPr>
          <w:sz w:val="22"/>
          <w:szCs w:val="20"/>
        </w:rPr>
      </w:pPr>
      <w:proofErr w:type="spellStart"/>
      <w:r w:rsidRPr="0040738C">
        <w:rPr>
          <w:sz w:val="22"/>
          <w:szCs w:val="20"/>
        </w:rPr>
        <w:t>Esmeron</w:t>
      </w:r>
      <w:proofErr w:type="spellEnd"/>
      <w:r w:rsidRPr="0040738C">
        <w:rPr>
          <w:sz w:val="22"/>
          <w:szCs w:val="20"/>
        </w:rPr>
        <w:t xml:space="preserve"> </w:t>
      </w:r>
      <w:r w:rsidR="00095567">
        <w:rPr>
          <w:sz w:val="22"/>
          <w:szCs w:val="20"/>
        </w:rPr>
        <w:t>je indikovaný</w:t>
      </w:r>
      <w:r w:rsidRPr="0040738C">
        <w:rPr>
          <w:sz w:val="22"/>
          <w:szCs w:val="20"/>
        </w:rPr>
        <w:t xml:space="preserve"> </w:t>
      </w:r>
      <w:r w:rsidR="0040738C" w:rsidRPr="00025C46">
        <w:rPr>
          <w:sz w:val="22"/>
          <w:szCs w:val="20"/>
        </w:rPr>
        <w:t>dospelý</w:t>
      </w:r>
      <w:r w:rsidR="00545117" w:rsidRPr="00DC0343">
        <w:rPr>
          <w:sz w:val="22"/>
          <w:szCs w:val="20"/>
        </w:rPr>
        <w:t>m</w:t>
      </w:r>
      <w:r w:rsidR="0040738C" w:rsidRPr="00025C46">
        <w:rPr>
          <w:sz w:val="22"/>
          <w:szCs w:val="20"/>
        </w:rPr>
        <w:t xml:space="preserve"> a</w:t>
      </w:r>
      <w:r w:rsidR="00DC0343">
        <w:rPr>
          <w:sz w:val="22"/>
          <w:szCs w:val="20"/>
        </w:rPr>
        <w:t> </w:t>
      </w:r>
      <w:r w:rsidR="00611889" w:rsidRPr="00025C46">
        <w:rPr>
          <w:sz w:val="22"/>
          <w:szCs w:val="20"/>
        </w:rPr>
        <w:t>pediatric</w:t>
      </w:r>
      <w:r w:rsidR="0040738C" w:rsidRPr="00025C46">
        <w:rPr>
          <w:sz w:val="22"/>
          <w:szCs w:val="20"/>
        </w:rPr>
        <w:t>ký</w:t>
      </w:r>
      <w:r w:rsidR="00545117" w:rsidRPr="00DC0343">
        <w:rPr>
          <w:sz w:val="22"/>
          <w:szCs w:val="20"/>
        </w:rPr>
        <w:t>m</w:t>
      </w:r>
      <w:r w:rsidR="00DC0343">
        <w:rPr>
          <w:sz w:val="22"/>
          <w:szCs w:val="20"/>
        </w:rPr>
        <w:t xml:space="preserve"> </w:t>
      </w:r>
      <w:r w:rsidR="0040738C" w:rsidRPr="00025C46">
        <w:rPr>
          <w:sz w:val="22"/>
          <w:szCs w:val="20"/>
        </w:rPr>
        <w:t>paciento</w:t>
      </w:r>
      <w:r w:rsidR="00545117" w:rsidRPr="00DC0343">
        <w:rPr>
          <w:sz w:val="22"/>
          <w:szCs w:val="20"/>
        </w:rPr>
        <w:t>m</w:t>
      </w:r>
      <w:r w:rsidR="0040738C" w:rsidRPr="00025C46">
        <w:rPr>
          <w:sz w:val="22"/>
          <w:szCs w:val="20"/>
        </w:rPr>
        <w:t xml:space="preserve"> (od </w:t>
      </w:r>
      <w:r w:rsidR="006160FA" w:rsidRPr="00025C46">
        <w:rPr>
          <w:sz w:val="22"/>
          <w:szCs w:val="20"/>
        </w:rPr>
        <w:t xml:space="preserve">donosených </w:t>
      </w:r>
      <w:r w:rsidR="0040738C" w:rsidRPr="00025C46">
        <w:rPr>
          <w:sz w:val="22"/>
          <w:szCs w:val="20"/>
        </w:rPr>
        <w:t>novorodencov po dospievajúcich [0 až &lt; 18 rokov])</w:t>
      </w:r>
      <w:r w:rsidR="0040738C">
        <w:rPr>
          <w:sz w:val="22"/>
          <w:szCs w:val="20"/>
        </w:rPr>
        <w:t xml:space="preserve"> </w:t>
      </w:r>
      <w:r w:rsidRPr="0040738C">
        <w:rPr>
          <w:sz w:val="22"/>
          <w:szCs w:val="20"/>
        </w:rPr>
        <w:t xml:space="preserve">ako </w:t>
      </w:r>
      <w:r w:rsidR="0040738C">
        <w:rPr>
          <w:sz w:val="22"/>
          <w:szCs w:val="20"/>
        </w:rPr>
        <w:t>dopln</w:t>
      </w:r>
      <w:r w:rsidR="00127811">
        <w:rPr>
          <w:sz w:val="22"/>
          <w:szCs w:val="20"/>
        </w:rPr>
        <w:t>o</w:t>
      </w:r>
      <w:r w:rsidR="0040738C">
        <w:rPr>
          <w:sz w:val="22"/>
          <w:szCs w:val="20"/>
        </w:rPr>
        <w:t>k</w:t>
      </w:r>
      <w:r w:rsidRPr="0040738C">
        <w:rPr>
          <w:sz w:val="22"/>
          <w:szCs w:val="20"/>
        </w:rPr>
        <w:t xml:space="preserve"> pri celkovej anestézii na uľahčenie tracheálnej </w:t>
      </w:r>
      <w:proofErr w:type="spellStart"/>
      <w:r w:rsidRPr="0040738C">
        <w:rPr>
          <w:sz w:val="22"/>
          <w:szCs w:val="20"/>
        </w:rPr>
        <w:t>intubácie</w:t>
      </w:r>
      <w:proofErr w:type="spellEnd"/>
      <w:r w:rsidRPr="0040738C">
        <w:rPr>
          <w:sz w:val="22"/>
          <w:szCs w:val="20"/>
        </w:rPr>
        <w:t xml:space="preserve"> </w:t>
      </w:r>
      <w:r w:rsidR="0040738C" w:rsidRPr="00025C46">
        <w:rPr>
          <w:sz w:val="22"/>
          <w:szCs w:val="20"/>
        </w:rPr>
        <w:t xml:space="preserve">počas </w:t>
      </w:r>
      <w:r w:rsidR="009B45A5">
        <w:rPr>
          <w:sz w:val="22"/>
          <w:szCs w:val="20"/>
        </w:rPr>
        <w:t>rutinného</w:t>
      </w:r>
      <w:r w:rsidR="00127811">
        <w:rPr>
          <w:sz w:val="22"/>
          <w:szCs w:val="20"/>
        </w:rPr>
        <w:t xml:space="preserve"> </w:t>
      </w:r>
      <w:r w:rsidRPr="0040738C">
        <w:rPr>
          <w:sz w:val="22"/>
          <w:szCs w:val="20"/>
        </w:rPr>
        <w:t>úvod</w:t>
      </w:r>
      <w:r w:rsidR="00127811">
        <w:rPr>
          <w:sz w:val="22"/>
          <w:szCs w:val="20"/>
        </w:rPr>
        <w:t>u</w:t>
      </w:r>
      <w:r w:rsidRPr="0040738C">
        <w:rPr>
          <w:sz w:val="22"/>
          <w:szCs w:val="20"/>
        </w:rPr>
        <w:t xml:space="preserve"> do celkovej anestézie a</w:t>
      </w:r>
      <w:r w:rsidR="0040738C">
        <w:rPr>
          <w:sz w:val="22"/>
          <w:szCs w:val="20"/>
        </w:rPr>
        <w:t> na vyvolanie</w:t>
      </w:r>
      <w:r w:rsidRPr="0040738C">
        <w:rPr>
          <w:sz w:val="22"/>
          <w:szCs w:val="20"/>
        </w:rPr>
        <w:t xml:space="preserve"> relaxáci</w:t>
      </w:r>
      <w:r w:rsidR="0040738C">
        <w:rPr>
          <w:sz w:val="22"/>
          <w:szCs w:val="20"/>
        </w:rPr>
        <w:t>e</w:t>
      </w:r>
      <w:r w:rsidRPr="0040738C">
        <w:rPr>
          <w:sz w:val="22"/>
          <w:szCs w:val="20"/>
        </w:rPr>
        <w:t xml:space="preserve"> </w:t>
      </w:r>
      <w:r w:rsidR="001A2C2D">
        <w:rPr>
          <w:sz w:val="22"/>
          <w:szCs w:val="20"/>
        </w:rPr>
        <w:t>kostrových</w:t>
      </w:r>
      <w:r w:rsidRPr="0040738C">
        <w:rPr>
          <w:sz w:val="22"/>
          <w:szCs w:val="20"/>
        </w:rPr>
        <w:t xml:space="preserve"> svalov počas chirurgického </w:t>
      </w:r>
      <w:r w:rsidR="003A6EE6">
        <w:rPr>
          <w:sz w:val="22"/>
          <w:szCs w:val="20"/>
        </w:rPr>
        <w:t>vý</w:t>
      </w:r>
      <w:r w:rsidR="0040738C">
        <w:rPr>
          <w:sz w:val="22"/>
          <w:szCs w:val="20"/>
        </w:rPr>
        <w:t>ko</w:t>
      </w:r>
      <w:r w:rsidR="003A6EE6">
        <w:rPr>
          <w:sz w:val="22"/>
          <w:szCs w:val="20"/>
        </w:rPr>
        <w:t>n</w:t>
      </w:r>
      <w:r w:rsidR="0040738C">
        <w:rPr>
          <w:sz w:val="22"/>
          <w:szCs w:val="20"/>
        </w:rPr>
        <w:t>u</w:t>
      </w:r>
      <w:r w:rsidRPr="0040738C">
        <w:rPr>
          <w:sz w:val="22"/>
          <w:szCs w:val="20"/>
        </w:rPr>
        <w:t xml:space="preserve">. </w:t>
      </w:r>
      <w:proofErr w:type="spellStart"/>
      <w:r w:rsidRPr="0040738C">
        <w:rPr>
          <w:sz w:val="22"/>
          <w:szCs w:val="20"/>
        </w:rPr>
        <w:t>Esmeron</w:t>
      </w:r>
      <w:proofErr w:type="spellEnd"/>
      <w:r w:rsidRPr="0040738C">
        <w:rPr>
          <w:sz w:val="22"/>
          <w:szCs w:val="20"/>
        </w:rPr>
        <w:t xml:space="preserve"> </w:t>
      </w:r>
      <w:r w:rsidR="0040738C">
        <w:rPr>
          <w:sz w:val="22"/>
          <w:szCs w:val="20"/>
        </w:rPr>
        <w:t xml:space="preserve">sa </w:t>
      </w:r>
      <w:r w:rsidR="00535E7B" w:rsidRPr="00025C46">
        <w:rPr>
          <w:sz w:val="22"/>
          <w:szCs w:val="20"/>
        </w:rPr>
        <w:t>tiež používa u dospelých</w:t>
      </w:r>
      <w:r w:rsidR="0077220B" w:rsidRPr="00D5799D">
        <w:rPr>
          <w:sz w:val="22"/>
          <w:szCs w:val="20"/>
        </w:rPr>
        <w:t xml:space="preserve"> </w:t>
      </w:r>
      <w:r w:rsidR="0040738C">
        <w:rPr>
          <w:sz w:val="22"/>
          <w:szCs w:val="20"/>
        </w:rPr>
        <w:t xml:space="preserve">na uľahčenie tracheálnej </w:t>
      </w:r>
      <w:proofErr w:type="spellStart"/>
      <w:r w:rsidR="0040738C">
        <w:rPr>
          <w:sz w:val="22"/>
          <w:szCs w:val="20"/>
        </w:rPr>
        <w:t>intubácie</w:t>
      </w:r>
      <w:proofErr w:type="spellEnd"/>
      <w:r w:rsidR="0040738C">
        <w:rPr>
          <w:sz w:val="22"/>
          <w:szCs w:val="20"/>
        </w:rPr>
        <w:t xml:space="preserve"> počas </w:t>
      </w:r>
      <w:r w:rsidR="0040738C" w:rsidRPr="00025C46">
        <w:rPr>
          <w:sz w:val="22"/>
          <w:szCs w:val="20"/>
        </w:rPr>
        <w:t>rýchl</w:t>
      </w:r>
      <w:r w:rsidR="00127811" w:rsidRPr="00025C46">
        <w:rPr>
          <w:sz w:val="22"/>
          <w:szCs w:val="20"/>
        </w:rPr>
        <w:t>eho úvodu</w:t>
      </w:r>
      <w:r w:rsidR="00127811">
        <w:rPr>
          <w:sz w:val="22"/>
          <w:szCs w:val="20"/>
        </w:rPr>
        <w:t xml:space="preserve"> do celkovej anestézie</w:t>
      </w:r>
      <w:r w:rsidR="00BF76EF">
        <w:rPr>
          <w:sz w:val="22"/>
          <w:szCs w:val="20"/>
        </w:rPr>
        <w:t xml:space="preserve"> a</w:t>
      </w:r>
      <w:r w:rsidRPr="0040738C">
        <w:rPr>
          <w:sz w:val="22"/>
          <w:szCs w:val="20"/>
        </w:rPr>
        <w:t xml:space="preserve"> na jednotk</w:t>
      </w:r>
      <w:r w:rsidR="00127811">
        <w:rPr>
          <w:sz w:val="22"/>
          <w:szCs w:val="20"/>
        </w:rPr>
        <w:t>e</w:t>
      </w:r>
      <w:r w:rsidRPr="0040738C">
        <w:rPr>
          <w:sz w:val="22"/>
          <w:szCs w:val="20"/>
        </w:rPr>
        <w:t xml:space="preserve"> intenzívnej starostlivosti (JIS)</w:t>
      </w:r>
      <w:r w:rsidR="00BF76EF">
        <w:rPr>
          <w:sz w:val="22"/>
          <w:szCs w:val="20"/>
        </w:rPr>
        <w:t xml:space="preserve"> ako doplnok</w:t>
      </w:r>
      <w:r w:rsidRPr="0040738C">
        <w:rPr>
          <w:sz w:val="22"/>
          <w:szCs w:val="20"/>
        </w:rPr>
        <w:t xml:space="preserve"> na uľahčenie </w:t>
      </w:r>
      <w:proofErr w:type="spellStart"/>
      <w:r w:rsidRPr="0040738C">
        <w:rPr>
          <w:sz w:val="22"/>
          <w:szCs w:val="20"/>
        </w:rPr>
        <w:t>intubácie</w:t>
      </w:r>
      <w:proofErr w:type="spellEnd"/>
      <w:r w:rsidRPr="0040738C">
        <w:rPr>
          <w:sz w:val="22"/>
          <w:szCs w:val="20"/>
        </w:rPr>
        <w:t xml:space="preserve"> a mechanickej ventilácie.</w:t>
      </w:r>
    </w:p>
    <w:p w14:paraId="3B144788" w14:textId="77777777" w:rsidR="00CB2A09" w:rsidRPr="0040738C" w:rsidRDefault="00CB2A09" w:rsidP="00DD73F9">
      <w:pPr>
        <w:rPr>
          <w:b/>
          <w:sz w:val="22"/>
          <w:szCs w:val="20"/>
        </w:rPr>
      </w:pPr>
    </w:p>
    <w:p w14:paraId="1408F191" w14:textId="77777777" w:rsidR="00CB2A09" w:rsidRPr="0040738C" w:rsidRDefault="00CB2A09" w:rsidP="00DD73F9">
      <w:pPr>
        <w:keepNext/>
        <w:rPr>
          <w:b/>
          <w:sz w:val="22"/>
          <w:szCs w:val="20"/>
        </w:rPr>
      </w:pPr>
      <w:r w:rsidRPr="0040738C">
        <w:rPr>
          <w:b/>
          <w:sz w:val="22"/>
          <w:szCs w:val="20"/>
        </w:rPr>
        <w:t>4.2</w:t>
      </w:r>
      <w:r w:rsidRPr="0040738C">
        <w:rPr>
          <w:b/>
          <w:sz w:val="22"/>
          <w:szCs w:val="20"/>
        </w:rPr>
        <w:tab/>
        <w:t>Dávkovanie a spôsob podávania</w:t>
      </w:r>
    </w:p>
    <w:p w14:paraId="36281441" w14:textId="77777777" w:rsidR="00CB2A09" w:rsidRDefault="00CB2A09" w:rsidP="00DD73F9">
      <w:pPr>
        <w:keepNext/>
        <w:rPr>
          <w:b/>
          <w:sz w:val="22"/>
          <w:szCs w:val="20"/>
        </w:rPr>
      </w:pPr>
    </w:p>
    <w:p w14:paraId="3A9DCD84" w14:textId="56B4C573" w:rsidR="001520D1" w:rsidRDefault="001520D1" w:rsidP="003E54A9">
      <w:pPr>
        <w:keepNext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>Dávkovanie</w:t>
      </w:r>
    </w:p>
    <w:p w14:paraId="52E21ADE" w14:textId="77777777" w:rsidR="001520D1" w:rsidRPr="003C3608" w:rsidRDefault="001520D1" w:rsidP="003E54A9">
      <w:pPr>
        <w:keepNext/>
        <w:rPr>
          <w:sz w:val="22"/>
          <w:szCs w:val="20"/>
        </w:rPr>
      </w:pPr>
    </w:p>
    <w:p w14:paraId="472D8F4A" w14:textId="28EF0B8C" w:rsidR="00CB2A09" w:rsidRPr="0040738C" w:rsidRDefault="0040738C" w:rsidP="00CD70B0">
      <w:pPr>
        <w:rPr>
          <w:sz w:val="22"/>
          <w:szCs w:val="20"/>
        </w:rPr>
      </w:pPr>
      <w:r>
        <w:rPr>
          <w:sz w:val="22"/>
          <w:szCs w:val="20"/>
        </w:rPr>
        <w:t xml:space="preserve">Tak </w:t>
      </w:r>
      <w:r w:rsidR="00CB2A09" w:rsidRPr="0040738C">
        <w:rPr>
          <w:sz w:val="22"/>
          <w:szCs w:val="20"/>
        </w:rPr>
        <w:t>ako in</w:t>
      </w:r>
      <w:r w:rsidR="001851FB">
        <w:rPr>
          <w:sz w:val="22"/>
          <w:szCs w:val="20"/>
        </w:rPr>
        <w:t>é</w:t>
      </w:r>
      <w:r w:rsidR="00CB2A09" w:rsidRPr="0040738C">
        <w:rPr>
          <w:sz w:val="22"/>
          <w:szCs w:val="20"/>
        </w:rPr>
        <w:t xml:space="preserve"> </w:t>
      </w:r>
      <w:proofErr w:type="spellStart"/>
      <w:r w:rsidR="00CB2A09" w:rsidRPr="0040738C">
        <w:rPr>
          <w:sz w:val="22"/>
          <w:szCs w:val="20"/>
        </w:rPr>
        <w:t>nervovosvalov</w:t>
      </w:r>
      <w:r w:rsidR="001851FB">
        <w:rPr>
          <w:sz w:val="22"/>
          <w:szCs w:val="20"/>
        </w:rPr>
        <w:t>é</w:t>
      </w:r>
      <w:proofErr w:type="spellEnd"/>
      <w:r w:rsidR="00CB2A09" w:rsidRPr="0040738C">
        <w:rPr>
          <w:sz w:val="22"/>
          <w:szCs w:val="20"/>
        </w:rPr>
        <w:t xml:space="preserve"> </w:t>
      </w:r>
      <w:proofErr w:type="spellStart"/>
      <w:r w:rsidR="006A12CA">
        <w:rPr>
          <w:sz w:val="22"/>
          <w:szCs w:val="20"/>
        </w:rPr>
        <w:t>blokátory</w:t>
      </w:r>
      <w:proofErr w:type="spellEnd"/>
      <w:r w:rsidR="009209F4">
        <w:rPr>
          <w:sz w:val="22"/>
          <w:szCs w:val="20"/>
        </w:rPr>
        <w:t>,</w:t>
      </w:r>
      <w:r w:rsidR="001851FB">
        <w:rPr>
          <w:sz w:val="22"/>
          <w:szCs w:val="20"/>
        </w:rPr>
        <w:t xml:space="preserve"> aj</w:t>
      </w:r>
      <w:r w:rsidR="00CB2A09" w:rsidRPr="0040738C">
        <w:rPr>
          <w:sz w:val="22"/>
          <w:szCs w:val="20"/>
        </w:rPr>
        <w:t xml:space="preserve"> </w:t>
      </w:r>
      <w:proofErr w:type="spellStart"/>
      <w:r w:rsidR="00CB2A09" w:rsidRPr="0040738C">
        <w:rPr>
          <w:sz w:val="22"/>
          <w:szCs w:val="20"/>
        </w:rPr>
        <w:t>Esmeron</w:t>
      </w:r>
      <w:proofErr w:type="spellEnd"/>
      <w:r w:rsidR="00CB2A09" w:rsidRPr="0040738C">
        <w:rPr>
          <w:sz w:val="22"/>
          <w:szCs w:val="20"/>
        </w:rPr>
        <w:t xml:space="preserve"> majú podávať </w:t>
      </w:r>
      <w:r w:rsidR="00352AF3">
        <w:rPr>
          <w:sz w:val="22"/>
          <w:szCs w:val="20"/>
        </w:rPr>
        <w:t>alebo na</w:t>
      </w:r>
      <w:r w:rsidR="00BF76EF">
        <w:rPr>
          <w:sz w:val="22"/>
          <w:szCs w:val="20"/>
        </w:rPr>
        <w:t xml:space="preserve"> jeho</w:t>
      </w:r>
      <w:r w:rsidR="00352AF3">
        <w:rPr>
          <w:sz w:val="22"/>
          <w:szCs w:val="20"/>
        </w:rPr>
        <w:t xml:space="preserve"> podávanie majú dohliadať </w:t>
      </w:r>
      <w:r w:rsidR="00CB2A09" w:rsidRPr="0040738C">
        <w:rPr>
          <w:sz w:val="22"/>
          <w:szCs w:val="20"/>
        </w:rPr>
        <w:t xml:space="preserve">len skúsení lekári, ktorí </w:t>
      </w:r>
      <w:r w:rsidR="00352AF3">
        <w:rPr>
          <w:sz w:val="22"/>
          <w:szCs w:val="20"/>
        </w:rPr>
        <w:t xml:space="preserve">majú skúsenosti </w:t>
      </w:r>
      <w:r w:rsidR="00CB2A09" w:rsidRPr="0040738C">
        <w:rPr>
          <w:sz w:val="22"/>
          <w:szCs w:val="20"/>
        </w:rPr>
        <w:t xml:space="preserve">s </w:t>
      </w:r>
      <w:r w:rsidR="00352AF3">
        <w:rPr>
          <w:sz w:val="22"/>
          <w:szCs w:val="20"/>
        </w:rPr>
        <w:t xml:space="preserve">účinkom </w:t>
      </w:r>
      <w:r w:rsidR="00CB2A09" w:rsidRPr="0040738C">
        <w:rPr>
          <w:sz w:val="22"/>
          <w:szCs w:val="20"/>
        </w:rPr>
        <w:t>a používaním týchto lie</w:t>
      </w:r>
      <w:r w:rsidR="00F40F41">
        <w:rPr>
          <w:sz w:val="22"/>
          <w:szCs w:val="20"/>
        </w:rPr>
        <w:t>kov</w:t>
      </w:r>
      <w:r w:rsidR="00CB2A09" w:rsidRPr="0040738C">
        <w:rPr>
          <w:sz w:val="22"/>
          <w:szCs w:val="20"/>
        </w:rPr>
        <w:t>.</w:t>
      </w:r>
    </w:p>
    <w:p w14:paraId="39DEDF27" w14:textId="77777777" w:rsidR="00CB2A09" w:rsidRPr="0040738C" w:rsidRDefault="00CB2A09" w:rsidP="00CD70B0">
      <w:pPr>
        <w:rPr>
          <w:sz w:val="22"/>
          <w:szCs w:val="20"/>
        </w:rPr>
      </w:pPr>
    </w:p>
    <w:p w14:paraId="3623A9C5" w14:textId="0760117F" w:rsidR="00CB2A09" w:rsidRPr="0040738C" w:rsidRDefault="00CB2A09" w:rsidP="00CD70B0">
      <w:pPr>
        <w:rPr>
          <w:sz w:val="22"/>
          <w:szCs w:val="20"/>
        </w:rPr>
      </w:pPr>
      <w:r w:rsidRPr="0040738C">
        <w:rPr>
          <w:sz w:val="22"/>
          <w:szCs w:val="20"/>
        </w:rPr>
        <w:t xml:space="preserve">Ako aj pri iných </w:t>
      </w:r>
      <w:proofErr w:type="spellStart"/>
      <w:r w:rsidRPr="0040738C">
        <w:rPr>
          <w:sz w:val="22"/>
          <w:szCs w:val="20"/>
        </w:rPr>
        <w:t>nervovosvalových</w:t>
      </w:r>
      <w:proofErr w:type="spellEnd"/>
      <w:r w:rsidRPr="0040738C">
        <w:rPr>
          <w:sz w:val="22"/>
          <w:szCs w:val="20"/>
        </w:rPr>
        <w:t xml:space="preserve"> </w:t>
      </w:r>
      <w:proofErr w:type="spellStart"/>
      <w:r w:rsidR="006A12CA">
        <w:rPr>
          <w:sz w:val="22"/>
          <w:szCs w:val="20"/>
        </w:rPr>
        <w:t>blokátoroch</w:t>
      </w:r>
      <w:proofErr w:type="spellEnd"/>
      <w:r w:rsidR="00352AF3">
        <w:rPr>
          <w:sz w:val="22"/>
          <w:szCs w:val="20"/>
        </w:rPr>
        <w:t>,</w:t>
      </w:r>
      <w:r w:rsidRPr="0040738C">
        <w:rPr>
          <w:sz w:val="22"/>
          <w:szCs w:val="20"/>
        </w:rPr>
        <w:t xml:space="preserve"> dávkovanie </w:t>
      </w:r>
      <w:proofErr w:type="spellStart"/>
      <w:r w:rsidRPr="0040738C">
        <w:rPr>
          <w:sz w:val="22"/>
          <w:szCs w:val="20"/>
        </w:rPr>
        <w:t>Esmeronu</w:t>
      </w:r>
      <w:proofErr w:type="spellEnd"/>
      <w:r w:rsidRPr="0040738C">
        <w:rPr>
          <w:sz w:val="22"/>
          <w:szCs w:val="20"/>
        </w:rPr>
        <w:t xml:space="preserve"> má byť individuálne </w:t>
      </w:r>
      <w:r w:rsidR="00352AF3">
        <w:rPr>
          <w:sz w:val="22"/>
          <w:szCs w:val="20"/>
        </w:rPr>
        <w:t xml:space="preserve">upravené </w:t>
      </w:r>
      <w:r w:rsidRPr="0040738C">
        <w:rPr>
          <w:sz w:val="22"/>
          <w:szCs w:val="20"/>
        </w:rPr>
        <w:t>pre</w:t>
      </w:r>
      <w:r w:rsidR="00535E7B">
        <w:rPr>
          <w:sz w:val="22"/>
          <w:szCs w:val="20"/>
        </w:rPr>
        <w:t xml:space="preserve"> </w:t>
      </w:r>
      <w:r w:rsidRPr="0040738C">
        <w:rPr>
          <w:sz w:val="22"/>
          <w:szCs w:val="20"/>
        </w:rPr>
        <w:t xml:space="preserve">každého pacienta. Pri určovaní dávky </w:t>
      </w:r>
      <w:r w:rsidR="00352AF3">
        <w:rPr>
          <w:sz w:val="22"/>
          <w:szCs w:val="20"/>
        </w:rPr>
        <w:t xml:space="preserve">je potrebné vziať </w:t>
      </w:r>
      <w:r w:rsidRPr="0040738C">
        <w:rPr>
          <w:sz w:val="22"/>
          <w:szCs w:val="20"/>
        </w:rPr>
        <w:t xml:space="preserve">do úvahy spôsob anestézie </w:t>
      </w:r>
      <w:r w:rsidR="00127811">
        <w:rPr>
          <w:sz w:val="22"/>
          <w:szCs w:val="20"/>
        </w:rPr>
        <w:t>a</w:t>
      </w:r>
      <w:r w:rsidR="00A52929">
        <w:rPr>
          <w:sz w:val="22"/>
          <w:szCs w:val="20"/>
        </w:rPr>
        <w:t> </w:t>
      </w:r>
      <w:r w:rsidR="00352AF3">
        <w:rPr>
          <w:sz w:val="22"/>
          <w:szCs w:val="20"/>
        </w:rPr>
        <w:t>predpokladanú</w:t>
      </w:r>
      <w:r w:rsidRPr="0040738C">
        <w:rPr>
          <w:sz w:val="22"/>
          <w:szCs w:val="20"/>
        </w:rPr>
        <w:t xml:space="preserve"> dĺžku trvania chirurgického </w:t>
      </w:r>
      <w:r w:rsidR="003A6EE6">
        <w:rPr>
          <w:sz w:val="22"/>
          <w:szCs w:val="20"/>
        </w:rPr>
        <w:t>vý</w:t>
      </w:r>
      <w:r w:rsidR="00352AF3">
        <w:rPr>
          <w:sz w:val="22"/>
          <w:szCs w:val="20"/>
        </w:rPr>
        <w:t>ko</w:t>
      </w:r>
      <w:r w:rsidR="003A6EE6">
        <w:rPr>
          <w:sz w:val="22"/>
          <w:szCs w:val="20"/>
        </w:rPr>
        <w:t>n</w:t>
      </w:r>
      <w:r w:rsidR="00352AF3">
        <w:rPr>
          <w:sz w:val="22"/>
          <w:szCs w:val="20"/>
        </w:rPr>
        <w:t>u</w:t>
      </w:r>
      <w:r w:rsidRPr="0040738C">
        <w:rPr>
          <w:sz w:val="22"/>
          <w:szCs w:val="20"/>
        </w:rPr>
        <w:t xml:space="preserve">, spôsob </w:t>
      </w:r>
      <w:proofErr w:type="spellStart"/>
      <w:r w:rsidRPr="0040738C">
        <w:rPr>
          <w:sz w:val="22"/>
          <w:szCs w:val="20"/>
        </w:rPr>
        <w:t>sedácie</w:t>
      </w:r>
      <w:proofErr w:type="spellEnd"/>
      <w:r w:rsidRPr="0040738C">
        <w:rPr>
          <w:sz w:val="22"/>
          <w:szCs w:val="20"/>
        </w:rPr>
        <w:t xml:space="preserve"> a predpokladan</w:t>
      </w:r>
      <w:r w:rsidR="00127811">
        <w:rPr>
          <w:sz w:val="22"/>
          <w:szCs w:val="20"/>
        </w:rPr>
        <w:t>ú</w:t>
      </w:r>
      <w:r w:rsidRPr="0040738C">
        <w:rPr>
          <w:sz w:val="22"/>
          <w:szCs w:val="20"/>
        </w:rPr>
        <w:t xml:space="preserve"> </w:t>
      </w:r>
      <w:r w:rsidR="00352AF3">
        <w:rPr>
          <w:sz w:val="22"/>
          <w:szCs w:val="20"/>
        </w:rPr>
        <w:t xml:space="preserve">dĺžku </w:t>
      </w:r>
      <w:r w:rsidRPr="0040738C">
        <w:rPr>
          <w:sz w:val="22"/>
          <w:szCs w:val="20"/>
        </w:rPr>
        <w:t>trvani</w:t>
      </w:r>
      <w:r w:rsidR="00127811">
        <w:rPr>
          <w:sz w:val="22"/>
          <w:szCs w:val="20"/>
        </w:rPr>
        <w:t>a</w:t>
      </w:r>
      <w:r w:rsidRPr="0040738C">
        <w:rPr>
          <w:sz w:val="22"/>
          <w:szCs w:val="20"/>
        </w:rPr>
        <w:t xml:space="preserve"> mechanickej ventilácie, možn</w:t>
      </w:r>
      <w:r w:rsidR="00352AF3">
        <w:rPr>
          <w:sz w:val="22"/>
          <w:szCs w:val="20"/>
        </w:rPr>
        <w:t>ú</w:t>
      </w:r>
      <w:r w:rsidRPr="0040738C">
        <w:rPr>
          <w:sz w:val="22"/>
          <w:szCs w:val="20"/>
        </w:rPr>
        <w:t xml:space="preserve"> interakci</w:t>
      </w:r>
      <w:r w:rsidR="00352AF3">
        <w:rPr>
          <w:sz w:val="22"/>
          <w:szCs w:val="20"/>
        </w:rPr>
        <w:t>u</w:t>
      </w:r>
      <w:r w:rsidRPr="0040738C">
        <w:rPr>
          <w:sz w:val="22"/>
          <w:szCs w:val="20"/>
        </w:rPr>
        <w:t xml:space="preserve"> s inými lie</w:t>
      </w:r>
      <w:r w:rsidR="00F40F41">
        <w:rPr>
          <w:sz w:val="22"/>
          <w:szCs w:val="20"/>
        </w:rPr>
        <w:t>kmi</w:t>
      </w:r>
      <w:r w:rsidRPr="0040738C">
        <w:rPr>
          <w:sz w:val="22"/>
          <w:szCs w:val="20"/>
        </w:rPr>
        <w:t>, ktoré s</w:t>
      </w:r>
      <w:r w:rsidR="00352AF3">
        <w:rPr>
          <w:sz w:val="22"/>
          <w:szCs w:val="20"/>
        </w:rPr>
        <w:t>a</w:t>
      </w:r>
      <w:r w:rsidRPr="0040738C">
        <w:rPr>
          <w:sz w:val="22"/>
          <w:szCs w:val="20"/>
        </w:rPr>
        <w:t xml:space="preserve"> podáva</w:t>
      </w:r>
      <w:r w:rsidR="00352AF3">
        <w:rPr>
          <w:sz w:val="22"/>
          <w:szCs w:val="20"/>
        </w:rPr>
        <w:t xml:space="preserve">jú </w:t>
      </w:r>
      <w:r w:rsidRPr="0040738C">
        <w:rPr>
          <w:sz w:val="22"/>
          <w:szCs w:val="20"/>
        </w:rPr>
        <w:t>súbežne a </w:t>
      </w:r>
      <w:r w:rsidR="00352AF3">
        <w:rPr>
          <w:sz w:val="22"/>
          <w:szCs w:val="20"/>
        </w:rPr>
        <w:t>stav</w:t>
      </w:r>
      <w:r w:rsidRPr="0040738C">
        <w:rPr>
          <w:sz w:val="22"/>
          <w:szCs w:val="20"/>
        </w:rPr>
        <w:t xml:space="preserve"> pacienta.</w:t>
      </w:r>
    </w:p>
    <w:p w14:paraId="1134B2CD" w14:textId="77777777" w:rsidR="00CB2A09" w:rsidRPr="0040738C" w:rsidRDefault="00CB2A09" w:rsidP="00CD70B0">
      <w:pPr>
        <w:rPr>
          <w:sz w:val="22"/>
          <w:szCs w:val="20"/>
        </w:rPr>
      </w:pPr>
    </w:p>
    <w:p w14:paraId="2DBC19D9" w14:textId="5B34ABBD" w:rsidR="00CB2A09" w:rsidRPr="0040738C" w:rsidRDefault="00CB2A09" w:rsidP="00CD70B0">
      <w:pPr>
        <w:rPr>
          <w:sz w:val="22"/>
          <w:szCs w:val="20"/>
        </w:rPr>
      </w:pPr>
      <w:r w:rsidRPr="0040738C">
        <w:rPr>
          <w:sz w:val="22"/>
          <w:szCs w:val="20"/>
        </w:rPr>
        <w:t>Odporúča sa použ</w:t>
      </w:r>
      <w:r w:rsidR="00127811">
        <w:rPr>
          <w:sz w:val="22"/>
          <w:szCs w:val="20"/>
        </w:rPr>
        <w:t>iť</w:t>
      </w:r>
      <w:r w:rsidRPr="0040738C">
        <w:rPr>
          <w:sz w:val="22"/>
          <w:szCs w:val="20"/>
        </w:rPr>
        <w:t xml:space="preserve"> vhodn</w:t>
      </w:r>
      <w:r w:rsidR="00352AF3">
        <w:rPr>
          <w:sz w:val="22"/>
          <w:szCs w:val="20"/>
        </w:rPr>
        <w:t>ú techniku na sledovanie</w:t>
      </w:r>
      <w:r w:rsidRPr="0040738C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ne</w:t>
      </w:r>
      <w:r w:rsidR="00464F32">
        <w:rPr>
          <w:sz w:val="22"/>
          <w:szCs w:val="20"/>
        </w:rPr>
        <w:t>rvovosvalov</w:t>
      </w:r>
      <w:r w:rsidRPr="0040738C">
        <w:rPr>
          <w:sz w:val="22"/>
          <w:szCs w:val="20"/>
        </w:rPr>
        <w:t>e</w:t>
      </w:r>
      <w:r w:rsidR="00352AF3">
        <w:rPr>
          <w:sz w:val="22"/>
          <w:szCs w:val="20"/>
        </w:rPr>
        <w:t>j</w:t>
      </w:r>
      <w:proofErr w:type="spellEnd"/>
      <w:r w:rsidR="00352AF3">
        <w:rPr>
          <w:sz w:val="22"/>
          <w:szCs w:val="20"/>
        </w:rPr>
        <w:t xml:space="preserve"> aktivity kvôli</w:t>
      </w:r>
      <w:r w:rsidRPr="0040738C">
        <w:rPr>
          <w:sz w:val="22"/>
          <w:szCs w:val="20"/>
        </w:rPr>
        <w:t xml:space="preserve"> </w:t>
      </w:r>
      <w:r w:rsidR="00352AF3">
        <w:rPr>
          <w:sz w:val="22"/>
          <w:szCs w:val="20"/>
        </w:rPr>
        <w:t>posúdeniu</w:t>
      </w:r>
      <w:r w:rsidRPr="0040738C">
        <w:rPr>
          <w:sz w:val="22"/>
          <w:szCs w:val="20"/>
        </w:rPr>
        <w:t xml:space="preserve"> úrovne </w:t>
      </w:r>
      <w:proofErr w:type="spellStart"/>
      <w:r w:rsidRPr="0040738C">
        <w:rPr>
          <w:sz w:val="22"/>
          <w:szCs w:val="20"/>
        </w:rPr>
        <w:t>nervovosvalovej</w:t>
      </w:r>
      <w:proofErr w:type="spellEnd"/>
      <w:r w:rsidRPr="0040738C">
        <w:rPr>
          <w:sz w:val="22"/>
          <w:szCs w:val="20"/>
        </w:rPr>
        <w:t xml:space="preserve"> blokády a</w:t>
      </w:r>
      <w:r w:rsidR="00E04A62">
        <w:rPr>
          <w:sz w:val="22"/>
          <w:szCs w:val="20"/>
        </w:rPr>
        <w:t xml:space="preserve"> jej </w:t>
      </w:r>
      <w:proofErr w:type="spellStart"/>
      <w:r w:rsidR="00E04A62">
        <w:rPr>
          <w:sz w:val="22"/>
          <w:szCs w:val="20"/>
        </w:rPr>
        <w:t>odoznenia</w:t>
      </w:r>
      <w:proofErr w:type="spellEnd"/>
      <w:r w:rsidRPr="0040738C">
        <w:rPr>
          <w:sz w:val="22"/>
          <w:szCs w:val="20"/>
        </w:rPr>
        <w:t>.</w:t>
      </w:r>
    </w:p>
    <w:p w14:paraId="2438563A" w14:textId="77777777" w:rsidR="00CB2A09" w:rsidRPr="0040738C" w:rsidRDefault="00CB2A09" w:rsidP="00CD70B0">
      <w:pPr>
        <w:rPr>
          <w:sz w:val="22"/>
          <w:szCs w:val="20"/>
        </w:rPr>
      </w:pPr>
    </w:p>
    <w:p w14:paraId="2050B1FC" w14:textId="4C061A54" w:rsidR="00CB2A09" w:rsidRPr="0040738C" w:rsidRDefault="00CB2A09" w:rsidP="00CD70B0">
      <w:pPr>
        <w:rPr>
          <w:sz w:val="22"/>
          <w:szCs w:val="20"/>
        </w:rPr>
      </w:pPr>
      <w:r w:rsidRPr="0040738C">
        <w:rPr>
          <w:sz w:val="22"/>
          <w:szCs w:val="20"/>
        </w:rPr>
        <w:lastRenderedPageBreak/>
        <w:t xml:space="preserve">Inhalačné anestetiká zosilňujú </w:t>
      </w:r>
      <w:proofErr w:type="spellStart"/>
      <w:r w:rsidRPr="0040738C">
        <w:rPr>
          <w:sz w:val="22"/>
          <w:szCs w:val="20"/>
        </w:rPr>
        <w:t>nervovosvalov</w:t>
      </w:r>
      <w:r w:rsidR="006A12CA">
        <w:rPr>
          <w:sz w:val="22"/>
          <w:szCs w:val="20"/>
        </w:rPr>
        <w:t>ú</w:t>
      </w:r>
      <w:proofErr w:type="spellEnd"/>
      <w:r w:rsidR="006A12CA">
        <w:rPr>
          <w:sz w:val="22"/>
          <w:szCs w:val="20"/>
        </w:rPr>
        <w:t xml:space="preserve"> blokádu</w:t>
      </w:r>
      <w:r w:rsidR="006874DB">
        <w:rPr>
          <w:sz w:val="22"/>
          <w:szCs w:val="20"/>
        </w:rPr>
        <w:t xml:space="preserve"> spôsobenú</w:t>
      </w:r>
      <w:r w:rsidRPr="0040738C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Esmeron</w:t>
      </w:r>
      <w:r w:rsidR="006A12CA">
        <w:rPr>
          <w:sz w:val="22"/>
          <w:szCs w:val="20"/>
        </w:rPr>
        <w:t>om</w:t>
      </w:r>
      <w:proofErr w:type="spellEnd"/>
      <w:r w:rsidRPr="0040738C">
        <w:rPr>
          <w:sz w:val="22"/>
          <w:szCs w:val="20"/>
        </w:rPr>
        <w:t>. T</w:t>
      </w:r>
      <w:r w:rsidR="00352AF3">
        <w:rPr>
          <w:sz w:val="22"/>
          <w:szCs w:val="20"/>
        </w:rPr>
        <w:t>oto zosilnenie</w:t>
      </w:r>
      <w:r w:rsidRPr="0040738C">
        <w:rPr>
          <w:sz w:val="22"/>
          <w:szCs w:val="20"/>
        </w:rPr>
        <w:t xml:space="preserve"> účinku sa však stáva klinicky významn</w:t>
      </w:r>
      <w:r w:rsidR="00352AF3">
        <w:rPr>
          <w:sz w:val="22"/>
          <w:szCs w:val="20"/>
        </w:rPr>
        <w:t>ým</w:t>
      </w:r>
      <w:r w:rsidRPr="0040738C">
        <w:rPr>
          <w:sz w:val="22"/>
          <w:szCs w:val="20"/>
        </w:rPr>
        <w:t xml:space="preserve"> počas anestézie</w:t>
      </w:r>
      <w:r w:rsidR="00352AF3">
        <w:rPr>
          <w:sz w:val="22"/>
          <w:szCs w:val="20"/>
        </w:rPr>
        <w:t>, kedy</w:t>
      </w:r>
      <w:r w:rsidRPr="0040738C">
        <w:rPr>
          <w:sz w:val="22"/>
          <w:szCs w:val="20"/>
        </w:rPr>
        <w:t xml:space="preserve"> prchavé látky dosiahnu</w:t>
      </w:r>
      <w:r w:rsidR="00464F32">
        <w:rPr>
          <w:sz w:val="22"/>
          <w:szCs w:val="20"/>
        </w:rPr>
        <w:t xml:space="preserve"> v</w:t>
      </w:r>
      <w:r w:rsidR="00313D61">
        <w:rPr>
          <w:sz w:val="22"/>
          <w:szCs w:val="20"/>
        </w:rPr>
        <w:t> </w:t>
      </w:r>
      <w:r w:rsidR="00464F32">
        <w:rPr>
          <w:sz w:val="22"/>
          <w:szCs w:val="20"/>
        </w:rPr>
        <w:t>tkanivách</w:t>
      </w:r>
      <w:r w:rsidRPr="0040738C">
        <w:rPr>
          <w:sz w:val="22"/>
          <w:szCs w:val="20"/>
        </w:rPr>
        <w:t xml:space="preserve"> koncentrácie</w:t>
      </w:r>
      <w:r w:rsidR="00352AF3">
        <w:rPr>
          <w:sz w:val="22"/>
          <w:szCs w:val="20"/>
        </w:rPr>
        <w:t xml:space="preserve"> </w:t>
      </w:r>
      <w:r w:rsidRPr="0040738C">
        <w:rPr>
          <w:sz w:val="22"/>
          <w:szCs w:val="20"/>
        </w:rPr>
        <w:t>potrebné pre t</w:t>
      </w:r>
      <w:r w:rsidR="00352AF3">
        <w:rPr>
          <w:sz w:val="22"/>
          <w:szCs w:val="20"/>
        </w:rPr>
        <w:t>ú</w:t>
      </w:r>
      <w:r w:rsidRPr="0040738C">
        <w:rPr>
          <w:sz w:val="22"/>
          <w:szCs w:val="20"/>
        </w:rPr>
        <w:t>to interakci</w:t>
      </w:r>
      <w:r w:rsidR="00352AF3">
        <w:rPr>
          <w:sz w:val="22"/>
          <w:szCs w:val="20"/>
        </w:rPr>
        <w:t>u</w:t>
      </w:r>
      <w:r w:rsidRPr="0040738C">
        <w:rPr>
          <w:sz w:val="22"/>
          <w:szCs w:val="20"/>
        </w:rPr>
        <w:t xml:space="preserve">. Preto </w:t>
      </w:r>
      <w:r w:rsidR="00A7418F">
        <w:rPr>
          <w:sz w:val="22"/>
          <w:szCs w:val="20"/>
        </w:rPr>
        <w:t xml:space="preserve">sa </w:t>
      </w:r>
      <w:r w:rsidRPr="0040738C">
        <w:rPr>
          <w:sz w:val="22"/>
          <w:szCs w:val="20"/>
        </w:rPr>
        <w:t xml:space="preserve">počas </w:t>
      </w:r>
      <w:r w:rsidR="00367F11">
        <w:rPr>
          <w:sz w:val="22"/>
          <w:szCs w:val="20"/>
        </w:rPr>
        <w:t xml:space="preserve">dlhotrvajúcich výkonov (dlhších ako 1 hodina) </w:t>
      </w:r>
      <w:r w:rsidR="00F75600">
        <w:rPr>
          <w:sz w:val="22"/>
          <w:szCs w:val="20"/>
        </w:rPr>
        <w:t>v </w:t>
      </w:r>
      <w:r w:rsidR="00367F11">
        <w:rPr>
          <w:sz w:val="22"/>
          <w:szCs w:val="20"/>
        </w:rPr>
        <w:t>celkov</w:t>
      </w:r>
      <w:r w:rsidR="00F75600">
        <w:rPr>
          <w:sz w:val="22"/>
          <w:szCs w:val="20"/>
        </w:rPr>
        <w:t>ej</w:t>
      </w:r>
      <w:r w:rsidR="00367F11">
        <w:rPr>
          <w:sz w:val="22"/>
          <w:szCs w:val="20"/>
        </w:rPr>
        <w:t xml:space="preserve"> </w:t>
      </w:r>
      <w:r w:rsidR="00F75600">
        <w:rPr>
          <w:sz w:val="22"/>
          <w:szCs w:val="20"/>
        </w:rPr>
        <w:t xml:space="preserve">inhalačnej </w:t>
      </w:r>
      <w:r w:rsidR="00367F11">
        <w:rPr>
          <w:sz w:val="22"/>
          <w:szCs w:val="20"/>
        </w:rPr>
        <w:t>anestéz</w:t>
      </w:r>
      <w:r w:rsidR="00F11C69">
        <w:rPr>
          <w:sz w:val="22"/>
          <w:szCs w:val="20"/>
        </w:rPr>
        <w:t>ii</w:t>
      </w:r>
      <w:r w:rsidR="00367F11">
        <w:rPr>
          <w:sz w:val="22"/>
          <w:szCs w:val="20"/>
        </w:rPr>
        <w:t xml:space="preserve"> m</w:t>
      </w:r>
      <w:r w:rsidR="00A7418F">
        <w:rPr>
          <w:sz w:val="22"/>
          <w:szCs w:val="20"/>
        </w:rPr>
        <w:t>á</w:t>
      </w:r>
      <w:r w:rsidR="00367F11">
        <w:rPr>
          <w:sz w:val="22"/>
          <w:szCs w:val="20"/>
        </w:rPr>
        <w:t xml:space="preserve"> </w:t>
      </w:r>
      <w:r w:rsidR="00A7418F">
        <w:rPr>
          <w:sz w:val="22"/>
          <w:szCs w:val="20"/>
        </w:rPr>
        <w:t>upraviť</w:t>
      </w:r>
      <w:r w:rsidR="00367F11">
        <w:rPr>
          <w:sz w:val="22"/>
          <w:szCs w:val="20"/>
        </w:rPr>
        <w:t xml:space="preserve"> dávkovani</w:t>
      </w:r>
      <w:r w:rsidR="00A7418F">
        <w:rPr>
          <w:sz w:val="22"/>
          <w:szCs w:val="20"/>
        </w:rPr>
        <w:t>e</w:t>
      </w:r>
      <w:r w:rsidR="00367F11">
        <w:rPr>
          <w:sz w:val="22"/>
          <w:szCs w:val="20"/>
        </w:rPr>
        <w:t xml:space="preserve"> </w:t>
      </w:r>
      <w:proofErr w:type="spellStart"/>
      <w:r w:rsidR="00367F11">
        <w:rPr>
          <w:sz w:val="22"/>
          <w:szCs w:val="20"/>
        </w:rPr>
        <w:t>Esmeronu</w:t>
      </w:r>
      <w:proofErr w:type="spellEnd"/>
      <w:r w:rsidR="00367F11">
        <w:rPr>
          <w:sz w:val="22"/>
          <w:szCs w:val="20"/>
        </w:rPr>
        <w:t xml:space="preserve"> podaním </w:t>
      </w:r>
      <w:r w:rsidRPr="0040738C">
        <w:rPr>
          <w:sz w:val="22"/>
          <w:szCs w:val="20"/>
        </w:rPr>
        <w:t xml:space="preserve">menších udržiavacích dávok v dlhších časových intervaloch alebo použitím pomalšej infúzie </w:t>
      </w:r>
      <w:proofErr w:type="spellStart"/>
      <w:r w:rsidRPr="0040738C">
        <w:rPr>
          <w:sz w:val="22"/>
          <w:szCs w:val="20"/>
        </w:rPr>
        <w:t>Esmeronu</w:t>
      </w:r>
      <w:proofErr w:type="spellEnd"/>
      <w:r w:rsidRPr="0040738C">
        <w:rPr>
          <w:sz w:val="22"/>
          <w:szCs w:val="20"/>
        </w:rPr>
        <w:t xml:space="preserve"> (pozri časť 4.5).</w:t>
      </w:r>
    </w:p>
    <w:p w14:paraId="52C8CBE4" w14:textId="77777777" w:rsidR="00CB2A09" w:rsidRPr="0040738C" w:rsidRDefault="00CB2A09" w:rsidP="00CD70B0">
      <w:pPr>
        <w:rPr>
          <w:sz w:val="22"/>
          <w:szCs w:val="20"/>
        </w:rPr>
      </w:pPr>
    </w:p>
    <w:p w14:paraId="7C42BE45" w14:textId="5CA9690A" w:rsidR="00CB2A09" w:rsidRPr="0040738C" w:rsidRDefault="00CB2A09" w:rsidP="00CD70B0">
      <w:pPr>
        <w:rPr>
          <w:sz w:val="22"/>
          <w:szCs w:val="20"/>
        </w:rPr>
      </w:pPr>
      <w:r w:rsidRPr="0040738C">
        <w:rPr>
          <w:sz w:val="22"/>
          <w:szCs w:val="20"/>
        </w:rPr>
        <w:t>Nasledovné odporúčan</w:t>
      </w:r>
      <w:r w:rsidR="00127811">
        <w:rPr>
          <w:sz w:val="22"/>
          <w:szCs w:val="20"/>
        </w:rPr>
        <w:t>ia</w:t>
      </w:r>
      <w:r w:rsidRPr="0040738C">
        <w:rPr>
          <w:sz w:val="22"/>
          <w:szCs w:val="20"/>
        </w:rPr>
        <w:t xml:space="preserve"> </w:t>
      </w:r>
      <w:r w:rsidR="00A7418F" w:rsidRPr="0040738C">
        <w:rPr>
          <w:sz w:val="22"/>
          <w:szCs w:val="20"/>
        </w:rPr>
        <w:t>môž</w:t>
      </w:r>
      <w:r w:rsidR="00A7418F">
        <w:rPr>
          <w:sz w:val="22"/>
          <w:szCs w:val="20"/>
        </w:rPr>
        <w:t>u</w:t>
      </w:r>
      <w:r w:rsidR="00A7418F" w:rsidRPr="0040738C">
        <w:rPr>
          <w:sz w:val="22"/>
          <w:szCs w:val="20"/>
        </w:rPr>
        <w:t xml:space="preserve"> slúžiť ako všeobecný návod</w:t>
      </w:r>
      <w:r w:rsidR="00A7418F">
        <w:rPr>
          <w:sz w:val="22"/>
          <w:szCs w:val="20"/>
        </w:rPr>
        <w:t xml:space="preserve"> </w:t>
      </w:r>
      <w:r w:rsidR="00127811">
        <w:rPr>
          <w:sz w:val="22"/>
          <w:szCs w:val="20"/>
        </w:rPr>
        <w:t xml:space="preserve">pre </w:t>
      </w:r>
      <w:r w:rsidRPr="0040738C">
        <w:rPr>
          <w:sz w:val="22"/>
          <w:szCs w:val="20"/>
        </w:rPr>
        <w:t xml:space="preserve">dávkovanie u dospelých pacientov pri tracheálnej </w:t>
      </w:r>
      <w:proofErr w:type="spellStart"/>
      <w:r w:rsidRPr="0040738C">
        <w:rPr>
          <w:sz w:val="22"/>
          <w:szCs w:val="20"/>
        </w:rPr>
        <w:t>intubácii</w:t>
      </w:r>
      <w:proofErr w:type="spellEnd"/>
      <w:r w:rsidRPr="0040738C">
        <w:rPr>
          <w:sz w:val="22"/>
          <w:szCs w:val="20"/>
        </w:rPr>
        <w:t xml:space="preserve"> a svalovej relaxácii </w:t>
      </w:r>
      <w:r w:rsidR="00367F11">
        <w:rPr>
          <w:sz w:val="22"/>
          <w:szCs w:val="20"/>
        </w:rPr>
        <w:t xml:space="preserve">počas </w:t>
      </w:r>
      <w:r w:rsidRPr="0040738C">
        <w:rPr>
          <w:sz w:val="22"/>
          <w:szCs w:val="20"/>
        </w:rPr>
        <w:t>krátk</w:t>
      </w:r>
      <w:r w:rsidR="00367F11">
        <w:rPr>
          <w:sz w:val="22"/>
          <w:szCs w:val="20"/>
        </w:rPr>
        <w:t>ych</w:t>
      </w:r>
      <w:r w:rsidRPr="0040738C">
        <w:rPr>
          <w:sz w:val="22"/>
          <w:szCs w:val="20"/>
        </w:rPr>
        <w:t xml:space="preserve"> až</w:t>
      </w:r>
      <w:r w:rsidR="00367F11">
        <w:rPr>
          <w:sz w:val="22"/>
          <w:szCs w:val="20"/>
        </w:rPr>
        <w:t xml:space="preserve"> </w:t>
      </w:r>
      <w:r w:rsidRPr="0040738C">
        <w:rPr>
          <w:sz w:val="22"/>
          <w:szCs w:val="20"/>
        </w:rPr>
        <w:t>dlh</w:t>
      </w:r>
      <w:r w:rsidR="00367F11">
        <w:rPr>
          <w:sz w:val="22"/>
          <w:szCs w:val="20"/>
        </w:rPr>
        <w:t>otrvajúcich</w:t>
      </w:r>
      <w:r w:rsidRPr="0040738C">
        <w:rPr>
          <w:sz w:val="22"/>
          <w:szCs w:val="20"/>
        </w:rPr>
        <w:t xml:space="preserve"> chirurgick</w:t>
      </w:r>
      <w:r w:rsidR="00367F11">
        <w:rPr>
          <w:sz w:val="22"/>
          <w:szCs w:val="20"/>
        </w:rPr>
        <w:t>ých</w:t>
      </w:r>
      <w:r w:rsidRPr="0040738C">
        <w:rPr>
          <w:sz w:val="22"/>
          <w:szCs w:val="20"/>
        </w:rPr>
        <w:t xml:space="preserve"> výkon</w:t>
      </w:r>
      <w:r w:rsidR="00367F11">
        <w:rPr>
          <w:sz w:val="22"/>
          <w:szCs w:val="20"/>
        </w:rPr>
        <w:t>ov</w:t>
      </w:r>
      <w:r w:rsidRPr="0040738C">
        <w:rPr>
          <w:sz w:val="22"/>
          <w:szCs w:val="20"/>
        </w:rPr>
        <w:t xml:space="preserve"> a na použitie na jednotk</w:t>
      </w:r>
      <w:r w:rsidR="00367F11">
        <w:rPr>
          <w:sz w:val="22"/>
          <w:szCs w:val="20"/>
        </w:rPr>
        <w:t>e</w:t>
      </w:r>
      <w:r w:rsidRPr="0040738C">
        <w:rPr>
          <w:sz w:val="22"/>
          <w:szCs w:val="20"/>
        </w:rPr>
        <w:t xml:space="preserve"> intenzívnej starostlivosti.</w:t>
      </w:r>
    </w:p>
    <w:p w14:paraId="278A521B" w14:textId="77777777" w:rsidR="00CB2A09" w:rsidRPr="0040738C" w:rsidRDefault="00CB2A09" w:rsidP="00CD70B0">
      <w:pPr>
        <w:rPr>
          <w:sz w:val="22"/>
          <w:szCs w:val="20"/>
        </w:rPr>
      </w:pPr>
    </w:p>
    <w:p w14:paraId="007CA503" w14:textId="77777777" w:rsidR="00CB2A09" w:rsidRPr="0040738C" w:rsidRDefault="00CB2A09" w:rsidP="00DD73F9">
      <w:pPr>
        <w:keepNext/>
        <w:rPr>
          <w:b/>
          <w:sz w:val="22"/>
          <w:szCs w:val="20"/>
        </w:rPr>
      </w:pPr>
      <w:r w:rsidRPr="0040738C">
        <w:rPr>
          <w:b/>
          <w:sz w:val="22"/>
          <w:szCs w:val="20"/>
        </w:rPr>
        <w:t>Chirurgické výkony</w:t>
      </w:r>
    </w:p>
    <w:p w14:paraId="48D31757" w14:textId="77777777" w:rsidR="00CB2A09" w:rsidRPr="0040738C" w:rsidRDefault="00CB2A09" w:rsidP="00DD73F9">
      <w:pPr>
        <w:keepNext/>
        <w:rPr>
          <w:b/>
          <w:sz w:val="22"/>
          <w:szCs w:val="20"/>
        </w:rPr>
      </w:pPr>
    </w:p>
    <w:p w14:paraId="653347BC" w14:textId="77777777" w:rsidR="00CB2A09" w:rsidRPr="0040738C" w:rsidRDefault="00CB2A09" w:rsidP="00DD73F9">
      <w:pPr>
        <w:keepNext/>
        <w:rPr>
          <w:sz w:val="22"/>
          <w:szCs w:val="20"/>
          <w:u w:val="single"/>
        </w:rPr>
      </w:pPr>
      <w:r w:rsidRPr="0040738C">
        <w:rPr>
          <w:sz w:val="22"/>
          <w:szCs w:val="20"/>
          <w:u w:val="single"/>
        </w:rPr>
        <w:t xml:space="preserve">Tracheálna </w:t>
      </w:r>
      <w:proofErr w:type="spellStart"/>
      <w:r w:rsidRPr="0040738C">
        <w:rPr>
          <w:sz w:val="22"/>
          <w:szCs w:val="20"/>
          <w:u w:val="single"/>
        </w:rPr>
        <w:t>intubácia</w:t>
      </w:r>
      <w:proofErr w:type="spellEnd"/>
    </w:p>
    <w:p w14:paraId="7B53E883" w14:textId="4AE3F69A" w:rsidR="00CB2A09" w:rsidRPr="0040738C" w:rsidRDefault="00CB2A09" w:rsidP="00CD70B0">
      <w:pPr>
        <w:rPr>
          <w:sz w:val="22"/>
          <w:szCs w:val="20"/>
        </w:rPr>
      </w:pPr>
      <w:r w:rsidRPr="0040738C">
        <w:rPr>
          <w:sz w:val="22"/>
          <w:szCs w:val="20"/>
        </w:rPr>
        <w:t xml:space="preserve">Štandardná </w:t>
      </w:r>
      <w:r w:rsidR="00127811">
        <w:rPr>
          <w:sz w:val="22"/>
          <w:szCs w:val="20"/>
        </w:rPr>
        <w:t xml:space="preserve">dávka pri </w:t>
      </w:r>
      <w:proofErr w:type="spellStart"/>
      <w:r w:rsidRPr="0040738C">
        <w:rPr>
          <w:sz w:val="22"/>
          <w:szCs w:val="20"/>
        </w:rPr>
        <w:t>intub</w:t>
      </w:r>
      <w:r w:rsidR="00127811">
        <w:rPr>
          <w:sz w:val="22"/>
          <w:szCs w:val="20"/>
        </w:rPr>
        <w:t>ácii</w:t>
      </w:r>
      <w:proofErr w:type="spellEnd"/>
      <w:r w:rsidRPr="0040738C">
        <w:rPr>
          <w:sz w:val="22"/>
          <w:szCs w:val="20"/>
        </w:rPr>
        <w:t xml:space="preserve"> počas </w:t>
      </w:r>
      <w:r w:rsidR="00127811">
        <w:rPr>
          <w:sz w:val="22"/>
          <w:szCs w:val="20"/>
        </w:rPr>
        <w:t>štandardnej</w:t>
      </w:r>
      <w:r w:rsidRPr="0040738C">
        <w:rPr>
          <w:sz w:val="22"/>
          <w:szCs w:val="20"/>
        </w:rPr>
        <w:t xml:space="preserve"> anestézie je 0,6</w:t>
      </w:r>
      <w:r w:rsidR="0007538E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mg/kg </w:t>
      </w:r>
      <w:proofErr w:type="spellStart"/>
      <w:r w:rsidRPr="0040738C">
        <w:rPr>
          <w:sz w:val="22"/>
          <w:szCs w:val="20"/>
        </w:rPr>
        <w:t>rokuróniumbromidu</w:t>
      </w:r>
      <w:proofErr w:type="spellEnd"/>
      <w:r w:rsidRPr="0040738C">
        <w:rPr>
          <w:sz w:val="22"/>
          <w:szCs w:val="20"/>
        </w:rPr>
        <w:t>, po ktorej sa dosiahnu vhodné podmienky na</w:t>
      </w:r>
      <w:r w:rsidR="0007538E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intubáciu</w:t>
      </w:r>
      <w:proofErr w:type="spellEnd"/>
      <w:r w:rsidRPr="0040738C">
        <w:rPr>
          <w:sz w:val="22"/>
          <w:szCs w:val="20"/>
        </w:rPr>
        <w:t xml:space="preserve"> </w:t>
      </w:r>
      <w:r w:rsidR="00367F11">
        <w:rPr>
          <w:sz w:val="22"/>
          <w:szCs w:val="20"/>
        </w:rPr>
        <w:t>do</w:t>
      </w:r>
      <w:r w:rsidRPr="0040738C">
        <w:rPr>
          <w:sz w:val="22"/>
          <w:szCs w:val="20"/>
        </w:rPr>
        <w:t xml:space="preserve"> </w:t>
      </w:r>
      <w:r w:rsidR="006772EE" w:rsidRPr="0040738C">
        <w:rPr>
          <w:sz w:val="22"/>
          <w:szCs w:val="20"/>
        </w:rPr>
        <w:t>60</w:t>
      </w:r>
      <w:r w:rsidR="006772EE">
        <w:rPr>
          <w:sz w:val="22"/>
          <w:szCs w:val="20"/>
        </w:rPr>
        <w:t> </w:t>
      </w:r>
      <w:r w:rsidRPr="0040738C">
        <w:rPr>
          <w:sz w:val="22"/>
          <w:szCs w:val="20"/>
        </w:rPr>
        <w:t>sek</w:t>
      </w:r>
      <w:r w:rsidR="00367F11">
        <w:rPr>
          <w:sz w:val="22"/>
          <w:szCs w:val="20"/>
        </w:rPr>
        <w:t>únd</w:t>
      </w:r>
      <w:r w:rsidRPr="0040738C">
        <w:rPr>
          <w:sz w:val="22"/>
          <w:szCs w:val="20"/>
        </w:rPr>
        <w:t xml:space="preserve"> </w:t>
      </w:r>
      <w:r w:rsidR="00367F11">
        <w:rPr>
          <w:sz w:val="22"/>
          <w:szCs w:val="20"/>
        </w:rPr>
        <w:t xml:space="preserve">u </w:t>
      </w:r>
      <w:r w:rsidRPr="0040738C">
        <w:rPr>
          <w:sz w:val="22"/>
          <w:szCs w:val="20"/>
        </w:rPr>
        <w:t>takmer všetkých pacientov. Dávka 1,0</w:t>
      </w:r>
      <w:r w:rsidR="00367F11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mg/kg </w:t>
      </w:r>
      <w:proofErr w:type="spellStart"/>
      <w:r w:rsidRPr="0040738C">
        <w:rPr>
          <w:sz w:val="22"/>
          <w:szCs w:val="20"/>
        </w:rPr>
        <w:t>rokuróniumbromidu</w:t>
      </w:r>
      <w:proofErr w:type="spellEnd"/>
      <w:r w:rsidRPr="0040738C">
        <w:rPr>
          <w:sz w:val="22"/>
          <w:szCs w:val="20"/>
        </w:rPr>
        <w:t xml:space="preserve"> sa odporúča na uľahčenie podmienok tracheálnej </w:t>
      </w:r>
      <w:proofErr w:type="spellStart"/>
      <w:r w:rsidRPr="0040738C">
        <w:rPr>
          <w:sz w:val="22"/>
          <w:szCs w:val="20"/>
        </w:rPr>
        <w:t>intubácie</w:t>
      </w:r>
      <w:proofErr w:type="spellEnd"/>
      <w:r w:rsidRPr="0040738C">
        <w:rPr>
          <w:sz w:val="22"/>
          <w:szCs w:val="20"/>
        </w:rPr>
        <w:t xml:space="preserve"> p</w:t>
      </w:r>
      <w:r w:rsidR="00567865">
        <w:rPr>
          <w:sz w:val="22"/>
          <w:szCs w:val="20"/>
        </w:rPr>
        <w:t>očas</w:t>
      </w:r>
      <w:r w:rsidRPr="0040738C">
        <w:rPr>
          <w:sz w:val="22"/>
          <w:szCs w:val="20"/>
        </w:rPr>
        <w:t xml:space="preserve"> rýchl</w:t>
      </w:r>
      <w:r w:rsidR="00567865">
        <w:rPr>
          <w:sz w:val="22"/>
          <w:szCs w:val="20"/>
        </w:rPr>
        <w:t>eh</w:t>
      </w:r>
      <w:r w:rsidRPr="0040738C">
        <w:rPr>
          <w:sz w:val="22"/>
          <w:szCs w:val="20"/>
        </w:rPr>
        <w:t>o úvod</w:t>
      </w:r>
      <w:r w:rsidR="00567865">
        <w:rPr>
          <w:sz w:val="22"/>
          <w:szCs w:val="20"/>
        </w:rPr>
        <w:t>u</w:t>
      </w:r>
      <w:r w:rsidRPr="0040738C">
        <w:rPr>
          <w:sz w:val="22"/>
          <w:szCs w:val="20"/>
        </w:rPr>
        <w:t xml:space="preserve"> do anestézie, po ktor</w:t>
      </w:r>
      <w:r w:rsidR="00567865">
        <w:rPr>
          <w:sz w:val="22"/>
          <w:szCs w:val="20"/>
        </w:rPr>
        <w:t xml:space="preserve">ej </w:t>
      </w:r>
      <w:r w:rsidRPr="0040738C">
        <w:rPr>
          <w:sz w:val="22"/>
          <w:szCs w:val="20"/>
        </w:rPr>
        <w:t xml:space="preserve">sa </w:t>
      </w:r>
      <w:r w:rsidR="00367F11">
        <w:rPr>
          <w:sz w:val="22"/>
          <w:szCs w:val="20"/>
        </w:rPr>
        <w:t xml:space="preserve">dosiahnu vhodné podmienky na </w:t>
      </w:r>
      <w:proofErr w:type="spellStart"/>
      <w:r w:rsidR="00367F11">
        <w:rPr>
          <w:sz w:val="22"/>
          <w:szCs w:val="20"/>
        </w:rPr>
        <w:t>intubáciu</w:t>
      </w:r>
      <w:proofErr w:type="spellEnd"/>
      <w:r w:rsidR="00367F11">
        <w:rPr>
          <w:sz w:val="22"/>
          <w:szCs w:val="20"/>
        </w:rPr>
        <w:t xml:space="preserve"> </w:t>
      </w:r>
      <w:r w:rsidRPr="0040738C">
        <w:rPr>
          <w:sz w:val="22"/>
          <w:szCs w:val="20"/>
        </w:rPr>
        <w:t xml:space="preserve">do </w:t>
      </w:r>
      <w:r w:rsidR="006772EE" w:rsidRPr="0040738C">
        <w:rPr>
          <w:sz w:val="22"/>
          <w:szCs w:val="20"/>
        </w:rPr>
        <w:t>60</w:t>
      </w:r>
      <w:r w:rsidR="006772EE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sekúnd </w:t>
      </w:r>
      <w:r w:rsidR="00367F11">
        <w:rPr>
          <w:sz w:val="22"/>
          <w:szCs w:val="20"/>
        </w:rPr>
        <w:t>u </w:t>
      </w:r>
      <w:r w:rsidRPr="0040738C">
        <w:rPr>
          <w:sz w:val="22"/>
          <w:szCs w:val="20"/>
        </w:rPr>
        <w:t xml:space="preserve">takmer </w:t>
      </w:r>
      <w:r w:rsidR="006A4676">
        <w:rPr>
          <w:sz w:val="22"/>
          <w:szCs w:val="20"/>
        </w:rPr>
        <w:t xml:space="preserve"> u </w:t>
      </w:r>
      <w:r w:rsidRPr="0040738C">
        <w:rPr>
          <w:sz w:val="22"/>
          <w:szCs w:val="20"/>
        </w:rPr>
        <w:t>všetkých pacientov. Ak sa použije dávka 0,6</w:t>
      </w:r>
      <w:r w:rsidR="0007538E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mg/kg </w:t>
      </w:r>
      <w:proofErr w:type="spellStart"/>
      <w:r w:rsidRPr="0040738C">
        <w:rPr>
          <w:sz w:val="22"/>
          <w:szCs w:val="20"/>
        </w:rPr>
        <w:t>rokuróniumbromidu</w:t>
      </w:r>
      <w:proofErr w:type="spellEnd"/>
      <w:r w:rsidRPr="0040738C">
        <w:rPr>
          <w:sz w:val="22"/>
          <w:szCs w:val="20"/>
        </w:rPr>
        <w:t xml:space="preserve"> pri rýchlom úvode do anestézie, odporúča sa </w:t>
      </w:r>
      <w:proofErr w:type="spellStart"/>
      <w:r w:rsidRPr="0040738C">
        <w:rPr>
          <w:sz w:val="22"/>
          <w:szCs w:val="20"/>
        </w:rPr>
        <w:t>intubovať</w:t>
      </w:r>
      <w:proofErr w:type="spellEnd"/>
      <w:r w:rsidRPr="0040738C">
        <w:rPr>
          <w:sz w:val="22"/>
          <w:szCs w:val="20"/>
        </w:rPr>
        <w:t xml:space="preserve"> pacienta </w:t>
      </w:r>
      <w:r w:rsidR="006772EE" w:rsidRPr="0040738C">
        <w:rPr>
          <w:sz w:val="22"/>
          <w:szCs w:val="20"/>
        </w:rPr>
        <w:t>90</w:t>
      </w:r>
      <w:r w:rsidR="006772EE">
        <w:rPr>
          <w:sz w:val="22"/>
          <w:szCs w:val="20"/>
        </w:rPr>
        <w:t> </w:t>
      </w:r>
      <w:r w:rsidRPr="0040738C">
        <w:rPr>
          <w:sz w:val="22"/>
          <w:szCs w:val="20"/>
        </w:rPr>
        <w:t>sekúnd po podaní</w:t>
      </w:r>
      <w:r w:rsidR="006A4676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rokuróniumbromidu</w:t>
      </w:r>
      <w:proofErr w:type="spellEnd"/>
      <w:r w:rsidRPr="0040738C">
        <w:rPr>
          <w:sz w:val="22"/>
          <w:szCs w:val="20"/>
        </w:rPr>
        <w:t>.</w:t>
      </w:r>
    </w:p>
    <w:p w14:paraId="5D0BD509" w14:textId="77777777" w:rsidR="00CB2A09" w:rsidRPr="0040738C" w:rsidRDefault="00CB2A09" w:rsidP="00CD70B0">
      <w:pPr>
        <w:rPr>
          <w:sz w:val="22"/>
          <w:szCs w:val="20"/>
        </w:rPr>
      </w:pPr>
    </w:p>
    <w:p w14:paraId="29F8A63E" w14:textId="70A40851" w:rsidR="00CB2A09" w:rsidRPr="0040738C" w:rsidRDefault="00CB2A09" w:rsidP="00CD70B0">
      <w:pPr>
        <w:rPr>
          <w:sz w:val="22"/>
          <w:szCs w:val="20"/>
        </w:rPr>
      </w:pPr>
      <w:r w:rsidRPr="0040738C">
        <w:rPr>
          <w:sz w:val="22"/>
          <w:szCs w:val="20"/>
        </w:rPr>
        <w:t xml:space="preserve">O používaní </w:t>
      </w:r>
      <w:proofErr w:type="spellStart"/>
      <w:r w:rsidRPr="0040738C">
        <w:rPr>
          <w:sz w:val="22"/>
          <w:szCs w:val="20"/>
        </w:rPr>
        <w:t>rokuróniumbromidu</w:t>
      </w:r>
      <w:proofErr w:type="spellEnd"/>
      <w:r w:rsidRPr="0040738C">
        <w:rPr>
          <w:sz w:val="22"/>
          <w:szCs w:val="20"/>
        </w:rPr>
        <w:t xml:space="preserve"> počas rýchleho úvodu do celkovej anestézie u pacientok pod</w:t>
      </w:r>
      <w:r w:rsidR="00567865">
        <w:rPr>
          <w:sz w:val="22"/>
          <w:szCs w:val="20"/>
        </w:rPr>
        <w:t>stupujúcich</w:t>
      </w:r>
      <w:r w:rsidRPr="0040738C">
        <w:rPr>
          <w:sz w:val="22"/>
          <w:szCs w:val="20"/>
        </w:rPr>
        <w:t xml:space="preserve"> cisársk</w:t>
      </w:r>
      <w:r w:rsidR="00567865">
        <w:rPr>
          <w:sz w:val="22"/>
          <w:szCs w:val="20"/>
        </w:rPr>
        <w:t>y</w:t>
      </w:r>
      <w:r w:rsidRPr="0040738C">
        <w:rPr>
          <w:sz w:val="22"/>
          <w:szCs w:val="20"/>
        </w:rPr>
        <w:t xml:space="preserve"> rez je uvedená poznámka v časti 4.6.</w:t>
      </w:r>
    </w:p>
    <w:p w14:paraId="430E688C" w14:textId="77777777" w:rsidR="00CB2A09" w:rsidRPr="0040738C" w:rsidRDefault="00CB2A09" w:rsidP="00CD70B0">
      <w:pPr>
        <w:rPr>
          <w:sz w:val="22"/>
          <w:szCs w:val="20"/>
        </w:rPr>
      </w:pPr>
    </w:p>
    <w:p w14:paraId="1ACD9C67" w14:textId="77777777" w:rsidR="00CB2A09" w:rsidRPr="0040738C" w:rsidRDefault="00CB2A09" w:rsidP="00DD73F9">
      <w:pPr>
        <w:keepNext/>
        <w:rPr>
          <w:sz w:val="22"/>
          <w:szCs w:val="20"/>
          <w:u w:val="single"/>
        </w:rPr>
      </w:pPr>
      <w:r w:rsidRPr="0040738C">
        <w:rPr>
          <w:sz w:val="22"/>
          <w:szCs w:val="20"/>
          <w:u w:val="single"/>
        </w:rPr>
        <w:t>Vyššie dávky</w:t>
      </w:r>
    </w:p>
    <w:p w14:paraId="5CF5D137" w14:textId="2F57B561" w:rsidR="00CB2A09" w:rsidRPr="0040738C" w:rsidRDefault="00CB2A09" w:rsidP="00CD70B0">
      <w:pPr>
        <w:rPr>
          <w:sz w:val="22"/>
          <w:szCs w:val="20"/>
        </w:rPr>
      </w:pPr>
      <w:r w:rsidRPr="0040738C">
        <w:rPr>
          <w:sz w:val="22"/>
          <w:szCs w:val="20"/>
        </w:rPr>
        <w:t xml:space="preserve">Ak existuje dôvod na zvolenie </w:t>
      </w:r>
      <w:r w:rsidR="00B47CB7">
        <w:rPr>
          <w:sz w:val="22"/>
          <w:szCs w:val="20"/>
        </w:rPr>
        <w:t>vyšších</w:t>
      </w:r>
      <w:r w:rsidRPr="0040738C">
        <w:rPr>
          <w:sz w:val="22"/>
          <w:szCs w:val="20"/>
        </w:rPr>
        <w:t xml:space="preserve"> dávok u </w:t>
      </w:r>
      <w:r w:rsidR="004D0038">
        <w:rPr>
          <w:sz w:val="22"/>
          <w:szCs w:val="20"/>
        </w:rPr>
        <w:t>individuálnych</w:t>
      </w:r>
      <w:r w:rsidRPr="0040738C">
        <w:rPr>
          <w:sz w:val="22"/>
          <w:szCs w:val="20"/>
        </w:rPr>
        <w:t xml:space="preserve"> pacientov</w:t>
      </w:r>
      <w:r w:rsidR="00B47CB7">
        <w:rPr>
          <w:sz w:val="22"/>
          <w:szCs w:val="20"/>
        </w:rPr>
        <w:t>;</w:t>
      </w:r>
      <w:r w:rsidRPr="0040738C">
        <w:rPr>
          <w:sz w:val="22"/>
          <w:szCs w:val="20"/>
        </w:rPr>
        <w:t xml:space="preserve"> počas chirurgických výkonov s</w:t>
      </w:r>
      <w:r w:rsidR="00567865">
        <w:rPr>
          <w:sz w:val="22"/>
          <w:szCs w:val="20"/>
        </w:rPr>
        <w:t>a podávali</w:t>
      </w:r>
      <w:r w:rsidR="00B47CB7">
        <w:rPr>
          <w:sz w:val="22"/>
          <w:szCs w:val="20"/>
        </w:rPr>
        <w:t xml:space="preserve"> </w:t>
      </w:r>
      <w:r w:rsidRPr="0040738C">
        <w:rPr>
          <w:sz w:val="22"/>
          <w:szCs w:val="20"/>
        </w:rPr>
        <w:t>úvodn</w:t>
      </w:r>
      <w:r w:rsidR="00567865">
        <w:rPr>
          <w:sz w:val="22"/>
          <w:szCs w:val="20"/>
        </w:rPr>
        <w:t>é</w:t>
      </w:r>
      <w:r w:rsidRPr="0040738C">
        <w:rPr>
          <w:sz w:val="22"/>
          <w:szCs w:val="20"/>
        </w:rPr>
        <w:t xml:space="preserve"> dávk</w:t>
      </w:r>
      <w:r w:rsidR="00567865">
        <w:rPr>
          <w:sz w:val="22"/>
          <w:szCs w:val="20"/>
        </w:rPr>
        <w:t>y</w:t>
      </w:r>
      <w:r w:rsidRPr="0040738C">
        <w:rPr>
          <w:sz w:val="22"/>
          <w:szCs w:val="20"/>
        </w:rPr>
        <w:t xml:space="preserve"> až do 2</w:t>
      </w:r>
      <w:r w:rsidR="00B732FA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mg/kg </w:t>
      </w:r>
      <w:proofErr w:type="spellStart"/>
      <w:r w:rsidRPr="0040738C">
        <w:rPr>
          <w:sz w:val="22"/>
          <w:szCs w:val="20"/>
        </w:rPr>
        <w:t>rokuróniumbromidu</w:t>
      </w:r>
      <w:proofErr w:type="spellEnd"/>
      <w:r w:rsidR="00567865">
        <w:rPr>
          <w:sz w:val="22"/>
          <w:szCs w:val="20"/>
        </w:rPr>
        <w:t xml:space="preserve"> bez toho, aby sa </w:t>
      </w:r>
      <w:r w:rsidRPr="0040738C">
        <w:rPr>
          <w:sz w:val="22"/>
          <w:szCs w:val="20"/>
        </w:rPr>
        <w:t>zaznamena</w:t>
      </w:r>
      <w:r w:rsidR="00567865">
        <w:rPr>
          <w:sz w:val="22"/>
          <w:szCs w:val="20"/>
        </w:rPr>
        <w:t>li</w:t>
      </w:r>
      <w:r w:rsidRPr="0040738C">
        <w:rPr>
          <w:sz w:val="22"/>
          <w:szCs w:val="20"/>
        </w:rPr>
        <w:t xml:space="preserve"> nežiaduce kardiovaskulárne účinky. Použitie týchto vy</w:t>
      </w:r>
      <w:r w:rsidR="00567865">
        <w:rPr>
          <w:sz w:val="22"/>
          <w:szCs w:val="20"/>
        </w:rPr>
        <w:t>sokých</w:t>
      </w:r>
      <w:r w:rsidRPr="0040738C">
        <w:rPr>
          <w:sz w:val="22"/>
          <w:szCs w:val="20"/>
        </w:rPr>
        <w:t xml:space="preserve"> dávok </w:t>
      </w:r>
      <w:proofErr w:type="spellStart"/>
      <w:r w:rsidRPr="0040738C">
        <w:rPr>
          <w:sz w:val="22"/>
          <w:szCs w:val="20"/>
        </w:rPr>
        <w:t>rokuróniumbromidu</w:t>
      </w:r>
      <w:proofErr w:type="spellEnd"/>
      <w:r w:rsidRPr="0040738C">
        <w:rPr>
          <w:sz w:val="22"/>
          <w:szCs w:val="20"/>
        </w:rPr>
        <w:t xml:space="preserve"> skracuje </w:t>
      </w:r>
      <w:r w:rsidR="00567865">
        <w:rPr>
          <w:sz w:val="22"/>
          <w:szCs w:val="20"/>
        </w:rPr>
        <w:t xml:space="preserve">čas </w:t>
      </w:r>
      <w:r w:rsidRPr="0040738C">
        <w:rPr>
          <w:sz w:val="22"/>
          <w:szCs w:val="20"/>
        </w:rPr>
        <w:t>nástup</w:t>
      </w:r>
      <w:r w:rsidR="00567865">
        <w:rPr>
          <w:sz w:val="22"/>
          <w:szCs w:val="20"/>
        </w:rPr>
        <w:t>u</w:t>
      </w:r>
      <w:r w:rsidRPr="0040738C">
        <w:rPr>
          <w:sz w:val="22"/>
          <w:szCs w:val="20"/>
        </w:rPr>
        <w:t xml:space="preserve"> účinku a predlžuje </w:t>
      </w:r>
      <w:r w:rsidR="00567865">
        <w:rPr>
          <w:sz w:val="22"/>
          <w:szCs w:val="20"/>
        </w:rPr>
        <w:t xml:space="preserve">dĺžku </w:t>
      </w:r>
      <w:r w:rsidRPr="0040738C">
        <w:rPr>
          <w:sz w:val="22"/>
          <w:szCs w:val="20"/>
        </w:rPr>
        <w:t>trvani</w:t>
      </w:r>
      <w:r w:rsidR="00567865">
        <w:rPr>
          <w:sz w:val="22"/>
          <w:szCs w:val="20"/>
        </w:rPr>
        <w:t>a</w:t>
      </w:r>
      <w:r w:rsidRPr="0040738C">
        <w:rPr>
          <w:sz w:val="22"/>
          <w:szCs w:val="20"/>
        </w:rPr>
        <w:t xml:space="preserve"> účinku (pozri časť 5.1).</w:t>
      </w:r>
    </w:p>
    <w:p w14:paraId="5D6814DA" w14:textId="77777777" w:rsidR="00CB2A09" w:rsidRPr="0040738C" w:rsidRDefault="00CB2A09" w:rsidP="00CD70B0">
      <w:pPr>
        <w:rPr>
          <w:sz w:val="22"/>
          <w:szCs w:val="20"/>
        </w:rPr>
      </w:pPr>
    </w:p>
    <w:p w14:paraId="7CF4E248" w14:textId="52D61637" w:rsidR="00CB2A09" w:rsidRPr="0040738C" w:rsidRDefault="00CB2A09" w:rsidP="00B47CB7">
      <w:pPr>
        <w:pStyle w:val="Nadpis1"/>
        <w:jc w:val="left"/>
        <w:rPr>
          <w:b w:val="0"/>
          <w:bCs/>
          <w:sz w:val="22"/>
          <w:u w:val="single"/>
        </w:rPr>
      </w:pPr>
      <w:r w:rsidRPr="0040738C">
        <w:rPr>
          <w:b w:val="0"/>
          <w:bCs/>
          <w:sz w:val="22"/>
          <w:u w:val="single"/>
        </w:rPr>
        <w:t>Udržiavacie dávk</w:t>
      </w:r>
      <w:r w:rsidR="00567865">
        <w:rPr>
          <w:b w:val="0"/>
          <w:bCs/>
          <w:sz w:val="22"/>
          <w:u w:val="single"/>
        </w:rPr>
        <w:t>ovanie</w:t>
      </w:r>
    </w:p>
    <w:p w14:paraId="5999E45B" w14:textId="6C21EE5C" w:rsidR="00CB2A09" w:rsidRPr="0040738C" w:rsidRDefault="00CB2A09" w:rsidP="00CD70B0">
      <w:pPr>
        <w:rPr>
          <w:sz w:val="22"/>
          <w:szCs w:val="20"/>
        </w:rPr>
      </w:pPr>
      <w:r w:rsidRPr="0040738C">
        <w:rPr>
          <w:sz w:val="22"/>
          <w:szCs w:val="20"/>
        </w:rPr>
        <w:t>Odporúčaná udržiavacia dávka je 0,15</w:t>
      </w:r>
      <w:r w:rsidR="00B732FA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mg/kg </w:t>
      </w:r>
      <w:proofErr w:type="spellStart"/>
      <w:r w:rsidRPr="0040738C">
        <w:rPr>
          <w:sz w:val="22"/>
          <w:szCs w:val="20"/>
        </w:rPr>
        <w:t>rokuróniumbromidu</w:t>
      </w:r>
      <w:proofErr w:type="spellEnd"/>
      <w:r w:rsidRPr="0040738C">
        <w:rPr>
          <w:sz w:val="22"/>
          <w:szCs w:val="20"/>
        </w:rPr>
        <w:t xml:space="preserve">; v prípade dlhotrvajúcej inhalačnej anestézie sa táto dávka </w:t>
      </w:r>
      <w:r w:rsidR="00B47CB7">
        <w:rPr>
          <w:sz w:val="22"/>
          <w:szCs w:val="20"/>
        </w:rPr>
        <w:t>má</w:t>
      </w:r>
      <w:r w:rsidR="00B47CB7" w:rsidRPr="0040738C">
        <w:rPr>
          <w:sz w:val="22"/>
          <w:szCs w:val="20"/>
        </w:rPr>
        <w:t xml:space="preserve"> </w:t>
      </w:r>
      <w:r w:rsidR="00567865">
        <w:rPr>
          <w:sz w:val="22"/>
          <w:szCs w:val="20"/>
        </w:rPr>
        <w:t>znížiť</w:t>
      </w:r>
      <w:r w:rsidRPr="0040738C">
        <w:rPr>
          <w:sz w:val="22"/>
          <w:szCs w:val="20"/>
        </w:rPr>
        <w:t xml:space="preserve"> na 0,075</w:t>
      </w:r>
      <w:r w:rsidR="0040403C">
        <w:rPr>
          <w:sz w:val="22"/>
          <w:szCs w:val="20"/>
        </w:rPr>
        <w:t> </w:t>
      </w:r>
      <w:r w:rsidRPr="0040738C">
        <w:rPr>
          <w:sz w:val="22"/>
          <w:szCs w:val="20"/>
        </w:rPr>
        <w:t>–</w:t>
      </w:r>
      <w:r w:rsidR="0040403C">
        <w:rPr>
          <w:sz w:val="22"/>
          <w:szCs w:val="20"/>
        </w:rPr>
        <w:t> </w:t>
      </w:r>
      <w:r w:rsidRPr="0040738C">
        <w:rPr>
          <w:sz w:val="22"/>
          <w:szCs w:val="20"/>
        </w:rPr>
        <w:t>0,1</w:t>
      </w:r>
      <w:r w:rsidR="00B732FA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mg/kg </w:t>
      </w:r>
      <w:proofErr w:type="spellStart"/>
      <w:r w:rsidRPr="0040738C">
        <w:rPr>
          <w:sz w:val="22"/>
          <w:szCs w:val="20"/>
        </w:rPr>
        <w:t>rokuróniumbromidu</w:t>
      </w:r>
      <w:proofErr w:type="spellEnd"/>
      <w:r w:rsidRPr="0040738C">
        <w:rPr>
          <w:sz w:val="22"/>
          <w:szCs w:val="20"/>
        </w:rPr>
        <w:t>. Udržiavaci</w:t>
      </w:r>
      <w:r w:rsidR="00567865">
        <w:rPr>
          <w:sz w:val="22"/>
          <w:szCs w:val="20"/>
        </w:rPr>
        <w:t>e</w:t>
      </w:r>
      <w:r w:rsidRPr="0040738C">
        <w:rPr>
          <w:sz w:val="22"/>
          <w:szCs w:val="20"/>
        </w:rPr>
        <w:t xml:space="preserve"> dávk</w:t>
      </w:r>
      <w:r w:rsidR="00567865">
        <w:rPr>
          <w:sz w:val="22"/>
          <w:szCs w:val="20"/>
        </w:rPr>
        <w:t>y</w:t>
      </w:r>
      <w:r w:rsidRPr="0040738C">
        <w:rPr>
          <w:sz w:val="22"/>
          <w:szCs w:val="20"/>
        </w:rPr>
        <w:t xml:space="preserve"> je najvhodnejšie podať, keď </w:t>
      </w:r>
      <w:r w:rsidR="00567865">
        <w:rPr>
          <w:sz w:val="22"/>
          <w:szCs w:val="20"/>
        </w:rPr>
        <w:t>amplitúda</w:t>
      </w:r>
      <w:r w:rsidRPr="0040738C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zášklbu</w:t>
      </w:r>
      <w:proofErr w:type="spellEnd"/>
      <w:r w:rsidRPr="0040738C">
        <w:rPr>
          <w:sz w:val="22"/>
          <w:szCs w:val="20"/>
        </w:rPr>
        <w:t xml:space="preserve"> dosiahne 25</w:t>
      </w:r>
      <w:r w:rsidR="0040403C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% kontrolnej amplitúdy </w:t>
      </w:r>
      <w:proofErr w:type="spellStart"/>
      <w:r w:rsidRPr="0040738C">
        <w:rPr>
          <w:sz w:val="22"/>
          <w:szCs w:val="20"/>
        </w:rPr>
        <w:t>zášklbu</w:t>
      </w:r>
      <w:proofErr w:type="spellEnd"/>
      <w:r w:rsidRPr="0040738C">
        <w:rPr>
          <w:sz w:val="22"/>
          <w:szCs w:val="20"/>
        </w:rPr>
        <w:t xml:space="preserve"> alebo </w:t>
      </w:r>
      <w:r w:rsidR="00567865">
        <w:rPr>
          <w:sz w:val="22"/>
          <w:szCs w:val="20"/>
        </w:rPr>
        <w:t>ak</w:t>
      </w:r>
      <w:r w:rsidRPr="0040738C">
        <w:rPr>
          <w:sz w:val="22"/>
          <w:szCs w:val="20"/>
        </w:rPr>
        <w:t xml:space="preserve"> </w:t>
      </w:r>
      <w:r w:rsidR="00567865">
        <w:rPr>
          <w:sz w:val="22"/>
          <w:szCs w:val="20"/>
        </w:rPr>
        <w:t xml:space="preserve">sú prítomné 2 až 3 odpovede na </w:t>
      </w:r>
      <w:r w:rsidRPr="0040738C">
        <w:rPr>
          <w:sz w:val="22"/>
          <w:szCs w:val="20"/>
        </w:rPr>
        <w:t>séri</w:t>
      </w:r>
      <w:r w:rsidR="00567865">
        <w:rPr>
          <w:sz w:val="22"/>
          <w:szCs w:val="20"/>
        </w:rPr>
        <w:t>u</w:t>
      </w:r>
      <w:r w:rsidRPr="0040738C">
        <w:rPr>
          <w:sz w:val="22"/>
          <w:szCs w:val="20"/>
        </w:rPr>
        <w:t xml:space="preserve"> </w:t>
      </w:r>
      <w:r w:rsidR="00567865">
        <w:rPr>
          <w:sz w:val="22"/>
          <w:szCs w:val="20"/>
        </w:rPr>
        <w:t>štyroch</w:t>
      </w:r>
      <w:r w:rsidRPr="0040738C">
        <w:rPr>
          <w:sz w:val="22"/>
          <w:szCs w:val="20"/>
        </w:rPr>
        <w:t xml:space="preserve"> podnetov</w:t>
      </w:r>
      <w:r w:rsidR="003A7257">
        <w:rPr>
          <w:sz w:val="22"/>
          <w:szCs w:val="20"/>
        </w:rPr>
        <w:t xml:space="preserve"> </w:t>
      </w:r>
      <w:r w:rsidR="003A7257" w:rsidRPr="00FE0310">
        <w:rPr>
          <w:sz w:val="22"/>
          <w:szCs w:val="20"/>
        </w:rPr>
        <w:t xml:space="preserve">(angl. </w:t>
      </w:r>
      <w:proofErr w:type="spellStart"/>
      <w:r w:rsidR="003A7257" w:rsidRPr="00FE0310">
        <w:rPr>
          <w:sz w:val="22"/>
          <w:szCs w:val="20"/>
        </w:rPr>
        <w:t>train</w:t>
      </w:r>
      <w:proofErr w:type="spellEnd"/>
      <w:r w:rsidR="003A7257" w:rsidRPr="00FE0310">
        <w:rPr>
          <w:sz w:val="22"/>
          <w:szCs w:val="20"/>
        </w:rPr>
        <w:t xml:space="preserve"> </w:t>
      </w:r>
      <w:proofErr w:type="spellStart"/>
      <w:r w:rsidR="003A7257" w:rsidRPr="00FE0310">
        <w:rPr>
          <w:sz w:val="22"/>
          <w:szCs w:val="20"/>
        </w:rPr>
        <w:t>of</w:t>
      </w:r>
      <w:proofErr w:type="spellEnd"/>
      <w:r w:rsidR="003A7257" w:rsidRPr="00FE0310">
        <w:rPr>
          <w:sz w:val="22"/>
          <w:szCs w:val="20"/>
        </w:rPr>
        <w:t xml:space="preserve"> </w:t>
      </w:r>
      <w:proofErr w:type="spellStart"/>
      <w:r w:rsidR="003A7257" w:rsidRPr="00FE0310">
        <w:rPr>
          <w:sz w:val="22"/>
          <w:szCs w:val="20"/>
        </w:rPr>
        <w:t>four</w:t>
      </w:r>
      <w:proofErr w:type="spellEnd"/>
      <w:r w:rsidR="00AC787B" w:rsidRPr="00FE0310">
        <w:rPr>
          <w:sz w:val="22"/>
          <w:szCs w:val="20"/>
        </w:rPr>
        <w:t>, TOF</w:t>
      </w:r>
      <w:r w:rsidR="003A7257" w:rsidRPr="00FE0310">
        <w:rPr>
          <w:sz w:val="22"/>
          <w:szCs w:val="20"/>
        </w:rPr>
        <w:t>)</w:t>
      </w:r>
      <w:r w:rsidRPr="0040738C">
        <w:rPr>
          <w:sz w:val="22"/>
          <w:szCs w:val="20"/>
        </w:rPr>
        <w:t>.</w:t>
      </w:r>
    </w:p>
    <w:p w14:paraId="7FDA6F2A" w14:textId="77777777" w:rsidR="00CB2A09" w:rsidRPr="0040738C" w:rsidRDefault="00CB2A09" w:rsidP="00CD70B0">
      <w:pPr>
        <w:rPr>
          <w:sz w:val="22"/>
          <w:szCs w:val="20"/>
        </w:rPr>
      </w:pPr>
    </w:p>
    <w:p w14:paraId="79E7A4FA" w14:textId="77777777" w:rsidR="00CB2A09" w:rsidRPr="0040738C" w:rsidRDefault="00CB2A09" w:rsidP="00DD73F9">
      <w:pPr>
        <w:keepNext/>
        <w:rPr>
          <w:sz w:val="22"/>
          <w:szCs w:val="20"/>
          <w:u w:val="single"/>
        </w:rPr>
      </w:pPr>
      <w:r w:rsidRPr="0040738C">
        <w:rPr>
          <w:sz w:val="22"/>
          <w:szCs w:val="20"/>
          <w:u w:val="single"/>
        </w:rPr>
        <w:t>Kontinuálna infúzia</w:t>
      </w:r>
    </w:p>
    <w:p w14:paraId="46B0FB4A" w14:textId="386F2188" w:rsidR="00CB2A09" w:rsidRPr="0040738C" w:rsidRDefault="00CB2A09" w:rsidP="00CD70B0">
      <w:pPr>
        <w:rPr>
          <w:sz w:val="22"/>
          <w:szCs w:val="20"/>
        </w:rPr>
      </w:pPr>
      <w:r w:rsidRPr="0040738C">
        <w:rPr>
          <w:sz w:val="22"/>
          <w:szCs w:val="20"/>
        </w:rPr>
        <w:t xml:space="preserve">Ak sa </w:t>
      </w:r>
      <w:proofErr w:type="spellStart"/>
      <w:r w:rsidRPr="0040738C">
        <w:rPr>
          <w:sz w:val="22"/>
          <w:szCs w:val="20"/>
        </w:rPr>
        <w:t>rokuróniumbromid</w:t>
      </w:r>
      <w:proofErr w:type="spellEnd"/>
      <w:r w:rsidRPr="0040738C">
        <w:rPr>
          <w:sz w:val="22"/>
          <w:szCs w:val="20"/>
        </w:rPr>
        <w:t xml:space="preserve"> podáva formou kontinuálnej infúzie, odporúča sa podať </w:t>
      </w:r>
      <w:r w:rsidR="00AF784C">
        <w:rPr>
          <w:sz w:val="22"/>
          <w:szCs w:val="20"/>
        </w:rPr>
        <w:t>úvodnú</w:t>
      </w:r>
      <w:r w:rsidRPr="0040738C">
        <w:rPr>
          <w:sz w:val="22"/>
          <w:szCs w:val="20"/>
        </w:rPr>
        <w:t xml:space="preserve"> dávku 0,6</w:t>
      </w:r>
      <w:r w:rsidR="003A7257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mg/kg </w:t>
      </w:r>
      <w:proofErr w:type="spellStart"/>
      <w:r w:rsidRPr="0040738C">
        <w:rPr>
          <w:sz w:val="22"/>
          <w:szCs w:val="20"/>
        </w:rPr>
        <w:t>rokuróniumbromidu</w:t>
      </w:r>
      <w:proofErr w:type="spellEnd"/>
      <w:r w:rsidRPr="0040738C">
        <w:rPr>
          <w:sz w:val="22"/>
          <w:szCs w:val="20"/>
        </w:rPr>
        <w:t xml:space="preserve"> a k</w:t>
      </w:r>
      <w:r w:rsidR="003A7257">
        <w:rPr>
          <w:sz w:val="22"/>
          <w:szCs w:val="20"/>
        </w:rPr>
        <w:t>eď</w:t>
      </w:r>
      <w:r w:rsidRPr="0040738C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nervovosvalová</w:t>
      </w:r>
      <w:proofErr w:type="spellEnd"/>
      <w:r w:rsidRPr="0040738C">
        <w:rPr>
          <w:sz w:val="22"/>
          <w:szCs w:val="20"/>
        </w:rPr>
        <w:t xml:space="preserve"> blokáda </w:t>
      </w:r>
      <w:r w:rsidR="00AF784C" w:rsidRPr="00923209">
        <w:rPr>
          <w:sz w:val="22"/>
          <w:szCs w:val="20"/>
        </w:rPr>
        <w:t xml:space="preserve">začne odznievať, </w:t>
      </w:r>
      <w:r w:rsidRPr="00923209">
        <w:rPr>
          <w:sz w:val="22"/>
          <w:szCs w:val="20"/>
        </w:rPr>
        <w:t>začať</w:t>
      </w:r>
      <w:r w:rsidRPr="0040738C">
        <w:rPr>
          <w:sz w:val="22"/>
          <w:szCs w:val="20"/>
        </w:rPr>
        <w:t xml:space="preserve"> s podaním infúzie. Rýchlosť infúzie sa má nastaviť tak, aby sa udržiavala amplitúda </w:t>
      </w:r>
      <w:proofErr w:type="spellStart"/>
      <w:r w:rsidRPr="0040738C">
        <w:rPr>
          <w:sz w:val="22"/>
          <w:szCs w:val="20"/>
        </w:rPr>
        <w:t>zášklbu</w:t>
      </w:r>
      <w:proofErr w:type="spellEnd"/>
      <w:r w:rsidRPr="0040738C">
        <w:rPr>
          <w:sz w:val="22"/>
          <w:szCs w:val="20"/>
        </w:rPr>
        <w:t xml:space="preserve"> na 10</w:t>
      </w:r>
      <w:r w:rsidR="0040403C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% kontrolnej </w:t>
      </w:r>
      <w:r w:rsidR="00AF784C">
        <w:rPr>
          <w:sz w:val="22"/>
          <w:szCs w:val="20"/>
        </w:rPr>
        <w:t xml:space="preserve">amplitúdy </w:t>
      </w:r>
      <w:proofErr w:type="spellStart"/>
      <w:r w:rsidR="00AF784C">
        <w:rPr>
          <w:sz w:val="22"/>
          <w:szCs w:val="20"/>
        </w:rPr>
        <w:t>zášklbu</w:t>
      </w:r>
      <w:proofErr w:type="spellEnd"/>
      <w:r w:rsidRPr="0040738C">
        <w:rPr>
          <w:sz w:val="22"/>
          <w:szCs w:val="20"/>
        </w:rPr>
        <w:t xml:space="preserve"> alebo aby </w:t>
      </w:r>
      <w:r w:rsidR="00AF784C">
        <w:rPr>
          <w:sz w:val="22"/>
          <w:szCs w:val="20"/>
        </w:rPr>
        <w:t>sa udržali</w:t>
      </w:r>
      <w:r w:rsidR="00973C22">
        <w:rPr>
          <w:sz w:val="22"/>
          <w:szCs w:val="20"/>
        </w:rPr>
        <w:t xml:space="preserve"> </w:t>
      </w:r>
      <w:r w:rsidRPr="0040738C">
        <w:rPr>
          <w:sz w:val="22"/>
          <w:szCs w:val="20"/>
        </w:rPr>
        <w:t>1</w:t>
      </w:r>
      <w:r w:rsidR="00AF784C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až 2 odpovede </w:t>
      </w:r>
      <w:r w:rsidR="00AF784C">
        <w:rPr>
          <w:sz w:val="22"/>
          <w:szCs w:val="20"/>
        </w:rPr>
        <w:t>na</w:t>
      </w:r>
      <w:r w:rsidRPr="0040738C">
        <w:rPr>
          <w:sz w:val="22"/>
          <w:szCs w:val="20"/>
        </w:rPr>
        <w:t xml:space="preserve"> </w:t>
      </w:r>
      <w:r w:rsidR="00AF784C">
        <w:rPr>
          <w:sz w:val="22"/>
          <w:szCs w:val="20"/>
        </w:rPr>
        <w:t xml:space="preserve">sériu štyroch </w:t>
      </w:r>
      <w:r w:rsidR="003A7257">
        <w:rPr>
          <w:sz w:val="22"/>
          <w:szCs w:val="20"/>
        </w:rPr>
        <w:t>podnetov</w:t>
      </w:r>
      <w:r w:rsidRPr="0040738C">
        <w:rPr>
          <w:sz w:val="22"/>
          <w:szCs w:val="20"/>
        </w:rPr>
        <w:t xml:space="preserve">. U dospelých pacientov počas intravenóznej anestézie </w:t>
      </w:r>
      <w:r w:rsidR="00AF784C">
        <w:rPr>
          <w:sz w:val="22"/>
          <w:szCs w:val="20"/>
        </w:rPr>
        <w:t>sa</w:t>
      </w:r>
      <w:r w:rsidRPr="0040738C">
        <w:rPr>
          <w:sz w:val="22"/>
          <w:szCs w:val="20"/>
        </w:rPr>
        <w:t xml:space="preserve"> rýchlosť infúzie </w:t>
      </w:r>
      <w:r w:rsidR="00AF784C">
        <w:rPr>
          <w:sz w:val="22"/>
          <w:szCs w:val="20"/>
        </w:rPr>
        <w:t xml:space="preserve">potrebná </w:t>
      </w:r>
      <w:r w:rsidR="00A612AF">
        <w:rPr>
          <w:sz w:val="22"/>
          <w:szCs w:val="20"/>
        </w:rPr>
        <w:t>na</w:t>
      </w:r>
      <w:r w:rsidR="00AF784C">
        <w:rPr>
          <w:sz w:val="22"/>
          <w:szCs w:val="20"/>
        </w:rPr>
        <w:t xml:space="preserve"> udržanie </w:t>
      </w:r>
      <w:proofErr w:type="spellStart"/>
      <w:r w:rsidR="00AF784C">
        <w:rPr>
          <w:sz w:val="22"/>
          <w:szCs w:val="20"/>
        </w:rPr>
        <w:t>nervovosvalovej</w:t>
      </w:r>
      <w:proofErr w:type="spellEnd"/>
      <w:r w:rsidR="00AF784C">
        <w:rPr>
          <w:sz w:val="22"/>
          <w:szCs w:val="20"/>
        </w:rPr>
        <w:t xml:space="preserve"> blokády </w:t>
      </w:r>
      <w:r w:rsidR="00A612AF">
        <w:rPr>
          <w:sz w:val="22"/>
          <w:szCs w:val="20"/>
        </w:rPr>
        <w:t xml:space="preserve">na tejto úrovni </w:t>
      </w:r>
      <w:r w:rsidR="00AF784C">
        <w:rPr>
          <w:sz w:val="22"/>
          <w:szCs w:val="20"/>
        </w:rPr>
        <w:t xml:space="preserve">pohybuje v rozmedzí </w:t>
      </w:r>
      <w:r w:rsidRPr="0040738C">
        <w:rPr>
          <w:sz w:val="22"/>
          <w:szCs w:val="20"/>
        </w:rPr>
        <w:t>0,3</w:t>
      </w:r>
      <w:r w:rsidR="0040403C">
        <w:rPr>
          <w:sz w:val="22"/>
          <w:szCs w:val="20"/>
        </w:rPr>
        <w:t> </w:t>
      </w:r>
      <w:r w:rsidRPr="0040738C">
        <w:rPr>
          <w:sz w:val="22"/>
          <w:szCs w:val="20"/>
        </w:rPr>
        <w:t>–</w:t>
      </w:r>
      <w:r w:rsidR="0040403C">
        <w:rPr>
          <w:sz w:val="22"/>
          <w:szCs w:val="20"/>
        </w:rPr>
        <w:t> </w:t>
      </w:r>
      <w:r w:rsidRPr="0040738C">
        <w:rPr>
          <w:sz w:val="22"/>
          <w:szCs w:val="20"/>
        </w:rPr>
        <w:t>0,6</w:t>
      </w:r>
      <w:r w:rsidR="00B732FA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mg/kg/h a pri inhalačnej anestézii </w:t>
      </w:r>
      <w:r w:rsidR="00AF784C">
        <w:rPr>
          <w:sz w:val="22"/>
          <w:szCs w:val="20"/>
        </w:rPr>
        <w:t>sa rýchlosť infúzie pohybuje v rozmedzí</w:t>
      </w:r>
      <w:r w:rsidRPr="0040738C">
        <w:rPr>
          <w:sz w:val="22"/>
          <w:szCs w:val="20"/>
        </w:rPr>
        <w:t xml:space="preserve"> 0,3</w:t>
      </w:r>
      <w:r w:rsidR="0040403C">
        <w:rPr>
          <w:sz w:val="22"/>
          <w:szCs w:val="20"/>
        </w:rPr>
        <w:t> </w:t>
      </w:r>
      <w:r w:rsidRPr="0040738C">
        <w:rPr>
          <w:sz w:val="22"/>
          <w:szCs w:val="20"/>
        </w:rPr>
        <w:t>–</w:t>
      </w:r>
      <w:r w:rsidR="0040403C">
        <w:rPr>
          <w:sz w:val="22"/>
          <w:szCs w:val="20"/>
        </w:rPr>
        <w:t> </w:t>
      </w:r>
      <w:r w:rsidRPr="0040738C">
        <w:rPr>
          <w:sz w:val="22"/>
          <w:szCs w:val="20"/>
        </w:rPr>
        <w:t>0,4</w:t>
      </w:r>
      <w:r w:rsidR="00B732FA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mg/kg/h. Keďže </w:t>
      </w:r>
      <w:r w:rsidR="00AF784C">
        <w:rPr>
          <w:sz w:val="22"/>
          <w:szCs w:val="20"/>
        </w:rPr>
        <w:t xml:space="preserve">sa požiadavky na </w:t>
      </w:r>
      <w:r w:rsidRPr="0040738C">
        <w:rPr>
          <w:sz w:val="22"/>
          <w:szCs w:val="20"/>
        </w:rPr>
        <w:t xml:space="preserve">rýchlosť infúzie </w:t>
      </w:r>
      <w:r w:rsidR="00AF784C">
        <w:rPr>
          <w:sz w:val="22"/>
          <w:szCs w:val="20"/>
        </w:rPr>
        <w:t xml:space="preserve">líšia </w:t>
      </w:r>
      <w:r w:rsidR="00A612AF">
        <w:rPr>
          <w:sz w:val="22"/>
          <w:szCs w:val="20"/>
        </w:rPr>
        <w:t>u jednotlivých pacientov a </w:t>
      </w:r>
      <w:r w:rsidR="00AF784C">
        <w:rPr>
          <w:sz w:val="22"/>
          <w:szCs w:val="20"/>
        </w:rPr>
        <w:t>v </w:t>
      </w:r>
      <w:r w:rsidRPr="0040738C">
        <w:rPr>
          <w:sz w:val="22"/>
          <w:szCs w:val="20"/>
        </w:rPr>
        <w:t>závis</w:t>
      </w:r>
      <w:r w:rsidR="00AF784C">
        <w:rPr>
          <w:sz w:val="22"/>
          <w:szCs w:val="20"/>
        </w:rPr>
        <w:t xml:space="preserve">losti </w:t>
      </w:r>
      <w:r w:rsidRPr="0040738C">
        <w:rPr>
          <w:sz w:val="22"/>
          <w:szCs w:val="20"/>
        </w:rPr>
        <w:t xml:space="preserve">od </w:t>
      </w:r>
      <w:r w:rsidR="00AF784C">
        <w:rPr>
          <w:sz w:val="22"/>
          <w:szCs w:val="20"/>
        </w:rPr>
        <w:t xml:space="preserve">použitého </w:t>
      </w:r>
      <w:r w:rsidRPr="0040738C">
        <w:rPr>
          <w:sz w:val="22"/>
          <w:szCs w:val="20"/>
        </w:rPr>
        <w:t xml:space="preserve">spôsobu anestézie, odporúča sa kontinuálne </w:t>
      </w:r>
      <w:r w:rsidR="00AF784C">
        <w:rPr>
          <w:sz w:val="22"/>
          <w:szCs w:val="20"/>
        </w:rPr>
        <w:t xml:space="preserve">sledovanie </w:t>
      </w:r>
      <w:proofErr w:type="spellStart"/>
      <w:r w:rsidRPr="0040738C">
        <w:rPr>
          <w:sz w:val="22"/>
          <w:szCs w:val="20"/>
        </w:rPr>
        <w:t>nervovosvalovej</w:t>
      </w:r>
      <w:proofErr w:type="spellEnd"/>
      <w:r w:rsidRPr="0040738C">
        <w:rPr>
          <w:sz w:val="22"/>
          <w:szCs w:val="20"/>
        </w:rPr>
        <w:t xml:space="preserve"> blokády.</w:t>
      </w:r>
    </w:p>
    <w:p w14:paraId="0EA51217" w14:textId="77777777" w:rsidR="00CB2A09" w:rsidRPr="0040738C" w:rsidRDefault="00CB2A09" w:rsidP="00CD70B0">
      <w:pPr>
        <w:rPr>
          <w:sz w:val="22"/>
          <w:szCs w:val="20"/>
        </w:rPr>
      </w:pPr>
    </w:p>
    <w:p w14:paraId="6DB3A56A" w14:textId="77777777" w:rsidR="00CB2A09" w:rsidRPr="0040738C" w:rsidRDefault="007502CB" w:rsidP="00DD73F9">
      <w:pPr>
        <w:keepNext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>Pediatrickí pacienti</w:t>
      </w:r>
    </w:p>
    <w:p w14:paraId="1FDDC208" w14:textId="4AFEE91C" w:rsidR="00CB2A09" w:rsidRPr="0040738C" w:rsidRDefault="00CB2A09" w:rsidP="00CD70B0">
      <w:pPr>
        <w:rPr>
          <w:sz w:val="22"/>
          <w:szCs w:val="20"/>
        </w:rPr>
      </w:pPr>
      <w:r w:rsidRPr="0040738C">
        <w:rPr>
          <w:sz w:val="22"/>
          <w:szCs w:val="20"/>
        </w:rPr>
        <w:t xml:space="preserve">Pre </w:t>
      </w:r>
      <w:r w:rsidRPr="009024AE">
        <w:rPr>
          <w:sz w:val="22"/>
          <w:szCs w:val="20"/>
        </w:rPr>
        <w:t>novorodencov (0</w:t>
      </w:r>
      <w:r w:rsidR="00AE7B72" w:rsidRPr="009024AE">
        <w:rPr>
          <w:sz w:val="22"/>
          <w:szCs w:val="20"/>
        </w:rPr>
        <w:t> </w:t>
      </w:r>
      <w:r w:rsidRPr="009024AE">
        <w:rPr>
          <w:sz w:val="22"/>
          <w:szCs w:val="20"/>
        </w:rPr>
        <w:t>–</w:t>
      </w:r>
      <w:r w:rsidR="00AE7B72" w:rsidRPr="009024AE">
        <w:rPr>
          <w:sz w:val="22"/>
          <w:szCs w:val="20"/>
        </w:rPr>
        <w:t> </w:t>
      </w:r>
      <w:r w:rsidRPr="009024AE">
        <w:rPr>
          <w:sz w:val="22"/>
          <w:szCs w:val="20"/>
        </w:rPr>
        <w:t>2</w:t>
      </w:r>
      <w:r w:rsidR="004D0038" w:rsidRPr="009024AE">
        <w:rPr>
          <w:sz w:val="22"/>
          <w:szCs w:val="20"/>
        </w:rPr>
        <w:t>7</w:t>
      </w:r>
      <w:r w:rsidRPr="009024AE">
        <w:rPr>
          <w:sz w:val="22"/>
          <w:szCs w:val="20"/>
        </w:rPr>
        <w:t xml:space="preserve"> dní),</w:t>
      </w:r>
      <w:r w:rsidRPr="0040738C">
        <w:rPr>
          <w:sz w:val="22"/>
          <w:szCs w:val="20"/>
        </w:rPr>
        <w:t xml:space="preserve"> dojčatá (28 dní</w:t>
      </w:r>
      <w:r w:rsidR="00AE7B72">
        <w:rPr>
          <w:sz w:val="22"/>
          <w:szCs w:val="20"/>
        </w:rPr>
        <w:t> </w:t>
      </w:r>
      <w:r w:rsidRPr="0040738C">
        <w:rPr>
          <w:sz w:val="22"/>
          <w:szCs w:val="20"/>
        </w:rPr>
        <w:t>–</w:t>
      </w:r>
      <w:r w:rsidR="00AE7B72">
        <w:rPr>
          <w:sz w:val="22"/>
          <w:szCs w:val="20"/>
        </w:rPr>
        <w:t> </w:t>
      </w:r>
      <w:r w:rsidRPr="0040738C">
        <w:rPr>
          <w:sz w:val="22"/>
          <w:szCs w:val="20"/>
        </w:rPr>
        <w:t>2 mesiac</w:t>
      </w:r>
      <w:r w:rsidR="004D0038">
        <w:rPr>
          <w:sz w:val="22"/>
          <w:szCs w:val="20"/>
        </w:rPr>
        <w:t>e</w:t>
      </w:r>
      <w:r w:rsidRPr="0040738C">
        <w:rPr>
          <w:sz w:val="22"/>
          <w:szCs w:val="20"/>
        </w:rPr>
        <w:t xml:space="preserve">), </w:t>
      </w:r>
      <w:r w:rsidR="004D0038">
        <w:rPr>
          <w:sz w:val="22"/>
          <w:szCs w:val="20"/>
        </w:rPr>
        <w:t>batoľatá (3</w:t>
      </w:r>
      <w:r w:rsidR="00AE7B72">
        <w:rPr>
          <w:sz w:val="22"/>
          <w:szCs w:val="20"/>
        </w:rPr>
        <w:t> </w:t>
      </w:r>
      <w:r w:rsidR="004D0038" w:rsidRPr="0040738C">
        <w:rPr>
          <w:sz w:val="22"/>
          <w:szCs w:val="20"/>
        </w:rPr>
        <w:t>–</w:t>
      </w:r>
      <w:r w:rsidR="00AE7B72">
        <w:rPr>
          <w:sz w:val="22"/>
          <w:szCs w:val="20"/>
        </w:rPr>
        <w:t> </w:t>
      </w:r>
      <w:r w:rsidR="004D0038">
        <w:rPr>
          <w:sz w:val="22"/>
          <w:szCs w:val="20"/>
        </w:rPr>
        <w:t xml:space="preserve">23 mesiacov), </w:t>
      </w:r>
      <w:r w:rsidRPr="0040738C">
        <w:rPr>
          <w:sz w:val="22"/>
          <w:szCs w:val="20"/>
        </w:rPr>
        <w:t>deti (2</w:t>
      </w:r>
      <w:r w:rsidR="004D0038">
        <w:rPr>
          <w:sz w:val="22"/>
          <w:szCs w:val="20"/>
        </w:rPr>
        <w:t> </w:t>
      </w:r>
      <w:r w:rsidR="004D0038">
        <w:rPr>
          <w:sz w:val="22"/>
          <w:szCs w:val="20"/>
        </w:rPr>
        <w:noBreakHyphen/>
        <w:t> </w:t>
      </w:r>
      <w:r w:rsidRPr="0040738C">
        <w:rPr>
          <w:sz w:val="22"/>
          <w:szCs w:val="20"/>
        </w:rPr>
        <w:t>11</w:t>
      </w:r>
      <w:r w:rsidR="004D0038">
        <w:rPr>
          <w:sz w:val="22"/>
          <w:szCs w:val="20"/>
        </w:rPr>
        <w:t> </w:t>
      </w:r>
      <w:r w:rsidRPr="0040738C">
        <w:rPr>
          <w:sz w:val="22"/>
          <w:szCs w:val="20"/>
        </w:rPr>
        <w:t>rokov) a </w:t>
      </w:r>
      <w:r w:rsidR="004D0038">
        <w:rPr>
          <w:sz w:val="22"/>
          <w:szCs w:val="20"/>
        </w:rPr>
        <w:t>dospievajúcich</w:t>
      </w:r>
      <w:r w:rsidRPr="0040738C">
        <w:rPr>
          <w:sz w:val="22"/>
          <w:szCs w:val="20"/>
        </w:rPr>
        <w:t xml:space="preserve"> (12</w:t>
      </w:r>
      <w:r w:rsidR="00AE7B72">
        <w:rPr>
          <w:sz w:val="22"/>
          <w:szCs w:val="20"/>
        </w:rPr>
        <w:t> </w:t>
      </w:r>
      <w:r w:rsidRPr="0040738C">
        <w:rPr>
          <w:sz w:val="22"/>
          <w:szCs w:val="20"/>
        </w:rPr>
        <w:t>–</w:t>
      </w:r>
      <w:r w:rsidR="00AE7B72">
        <w:rPr>
          <w:sz w:val="22"/>
          <w:szCs w:val="20"/>
        </w:rPr>
        <w:t> </w:t>
      </w:r>
      <w:r w:rsidRPr="0040738C">
        <w:rPr>
          <w:sz w:val="22"/>
          <w:szCs w:val="20"/>
        </w:rPr>
        <w:t>1</w:t>
      </w:r>
      <w:r w:rsidR="004D0038">
        <w:rPr>
          <w:sz w:val="22"/>
          <w:szCs w:val="20"/>
        </w:rPr>
        <w:t>7</w:t>
      </w:r>
      <w:r w:rsidRPr="0040738C">
        <w:rPr>
          <w:sz w:val="22"/>
          <w:szCs w:val="20"/>
        </w:rPr>
        <w:t xml:space="preserve"> rokov) je odporúčaná </w:t>
      </w:r>
      <w:r w:rsidR="004D0038">
        <w:rPr>
          <w:sz w:val="22"/>
          <w:szCs w:val="20"/>
        </w:rPr>
        <w:t>dávka pr</w:t>
      </w:r>
      <w:r w:rsidR="00AF784C">
        <w:rPr>
          <w:sz w:val="22"/>
          <w:szCs w:val="20"/>
        </w:rPr>
        <w:t>i</w:t>
      </w:r>
      <w:r w:rsidR="004D0038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intub</w:t>
      </w:r>
      <w:r w:rsidR="004D0038">
        <w:rPr>
          <w:sz w:val="22"/>
          <w:szCs w:val="20"/>
        </w:rPr>
        <w:t>áci</w:t>
      </w:r>
      <w:r w:rsidR="00AF784C">
        <w:rPr>
          <w:sz w:val="22"/>
          <w:szCs w:val="20"/>
        </w:rPr>
        <w:t>i</w:t>
      </w:r>
      <w:proofErr w:type="spellEnd"/>
      <w:r w:rsidRPr="0040738C">
        <w:rPr>
          <w:sz w:val="22"/>
          <w:szCs w:val="20"/>
        </w:rPr>
        <w:t xml:space="preserve"> počas </w:t>
      </w:r>
      <w:r w:rsidR="009B45A5">
        <w:rPr>
          <w:sz w:val="22"/>
          <w:szCs w:val="20"/>
        </w:rPr>
        <w:t>rutinnej</w:t>
      </w:r>
      <w:r w:rsidRPr="0040738C">
        <w:rPr>
          <w:sz w:val="22"/>
          <w:szCs w:val="20"/>
        </w:rPr>
        <w:t xml:space="preserve"> anestézie a udržiavacia dávka podobná </w:t>
      </w:r>
      <w:r w:rsidR="004D0038">
        <w:rPr>
          <w:sz w:val="22"/>
          <w:szCs w:val="20"/>
        </w:rPr>
        <w:t xml:space="preserve">dávkam </w:t>
      </w:r>
      <w:r w:rsidRPr="0040738C">
        <w:rPr>
          <w:sz w:val="22"/>
          <w:szCs w:val="20"/>
        </w:rPr>
        <w:t>u dospelých.</w:t>
      </w:r>
    </w:p>
    <w:p w14:paraId="19695D63" w14:textId="77777777" w:rsidR="00CB2A09" w:rsidRDefault="00CB2A09" w:rsidP="00CD70B0">
      <w:pPr>
        <w:rPr>
          <w:sz w:val="22"/>
          <w:szCs w:val="20"/>
        </w:rPr>
      </w:pPr>
    </w:p>
    <w:p w14:paraId="7A306671" w14:textId="77777777" w:rsidR="004D0038" w:rsidRDefault="004D0038" w:rsidP="00CD70B0">
      <w:pPr>
        <w:rPr>
          <w:sz w:val="22"/>
          <w:szCs w:val="20"/>
        </w:rPr>
      </w:pPr>
      <w:r w:rsidRPr="009024AE">
        <w:rPr>
          <w:sz w:val="22"/>
          <w:szCs w:val="20"/>
        </w:rPr>
        <w:t>Avšak dĺžka trvan</w:t>
      </w:r>
      <w:r w:rsidR="00AF784C" w:rsidRPr="009024AE">
        <w:rPr>
          <w:sz w:val="22"/>
          <w:szCs w:val="20"/>
        </w:rPr>
        <w:t xml:space="preserve">ia účinku jednorazovej dávky pri </w:t>
      </w:r>
      <w:proofErr w:type="spellStart"/>
      <w:r w:rsidR="00AF784C" w:rsidRPr="009024AE">
        <w:rPr>
          <w:sz w:val="22"/>
          <w:szCs w:val="20"/>
        </w:rPr>
        <w:t>intubácii</w:t>
      </w:r>
      <w:proofErr w:type="spellEnd"/>
      <w:r w:rsidRPr="009024AE">
        <w:rPr>
          <w:sz w:val="22"/>
          <w:szCs w:val="20"/>
        </w:rPr>
        <w:t xml:space="preserve"> bude dlhšia u novorodencov a dojčiat ako u detí (pozri časť 5.1).</w:t>
      </w:r>
    </w:p>
    <w:p w14:paraId="2DD70832" w14:textId="77777777" w:rsidR="004D0038" w:rsidRPr="0040738C" w:rsidRDefault="004D0038" w:rsidP="00CD70B0">
      <w:pPr>
        <w:rPr>
          <w:sz w:val="22"/>
          <w:szCs w:val="20"/>
        </w:rPr>
      </w:pPr>
    </w:p>
    <w:p w14:paraId="2D62257B" w14:textId="4EE48BDE" w:rsidR="004D0038" w:rsidRDefault="00CB2A09" w:rsidP="00CD70B0">
      <w:pPr>
        <w:rPr>
          <w:sz w:val="22"/>
          <w:szCs w:val="20"/>
        </w:rPr>
      </w:pPr>
      <w:r w:rsidRPr="00663107">
        <w:rPr>
          <w:sz w:val="22"/>
          <w:szCs w:val="20"/>
        </w:rPr>
        <w:lastRenderedPageBreak/>
        <w:t xml:space="preserve">Rýchlosti infúzie pri kontinuálnej infúzií </w:t>
      </w:r>
      <w:r w:rsidR="007502CB">
        <w:rPr>
          <w:sz w:val="22"/>
          <w:szCs w:val="20"/>
        </w:rPr>
        <w:t>v pediatrickej populácii</w:t>
      </w:r>
      <w:r w:rsidR="004D0038" w:rsidRPr="00663107">
        <w:rPr>
          <w:sz w:val="22"/>
          <w:szCs w:val="20"/>
        </w:rPr>
        <w:t xml:space="preserve"> </w:t>
      </w:r>
      <w:r w:rsidR="00D5561F" w:rsidRPr="003E54A9">
        <w:rPr>
          <w:sz w:val="22"/>
          <w:szCs w:val="20"/>
        </w:rPr>
        <w:t xml:space="preserve">sú </w:t>
      </w:r>
      <w:r w:rsidRPr="00663107">
        <w:rPr>
          <w:sz w:val="22"/>
          <w:szCs w:val="20"/>
        </w:rPr>
        <w:t>rovnak</w:t>
      </w:r>
      <w:r w:rsidR="00D5561F" w:rsidRPr="003E54A9">
        <w:rPr>
          <w:sz w:val="22"/>
          <w:szCs w:val="20"/>
        </w:rPr>
        <w:t>é</w:t>
      </w:r>
      <w:r w:rsidRPr="00663107">
        <w:rPr>
          <w:sz w:val="22"/>
          <w:szCs w:val="20"/>
        </w:rPr>
        <w:t xml:space="preserve"> ako u dospelých </w:t>
      </w:r>
      <w:r w:rsidR="004D0038" w:rsidRPr="00663107">
        <w:rPr>
          <w:sz w:val="22"/>
          <w:szCs w:val="20"/>
        </w:rPr>
        <w:t>s výnimkou detí (2</w:t>
      </w:r>
      <w:r w:rsidR="00AE7B72">
        <w:rPr>
          <w:sz w:val="22"/>
          <w:szCs w:val="20"/>
        </w:rPr>
        <w:t> </w:t>
      </w:r>
      <w:r w:rsidR="004D0038" w:rsidRPr="00663107">
        <w:rPr>
          <w:sz w:val="22"/>
          <w:szCs w:val="20"/>
        </w:rPr>
        <w:t>–</w:t>
      </w:r>
      <w:r w:rsidR="00AE7B72">
        <w:rPr>
          <w:sz w:val="22"/>
          <w:szCs w:val="20"/>
        </w:rPr>
        <w:t> </w:t>
      </w:r>
      <w:r w:rsidR="004D0038" w:rsidRPr="00663107">
        <w:rPr>
          <w:sz w:val="22"/>
          <w:szCs w:val="20"/>
        </w:rPr>
        <w:t>11 rokov)</w:t>
      </w:r>
      <w:r w:rsidRPr="00663107">
        <w:rPr>
          <w:sz w:val="22"/>
          <w:szCs w:val="20"/>
        </w:rPr>
        <w:t xml:space="preserve">. U detí </w:t>
      </w:r>
      <w:r w:rsidR="004D0038" w:rsidRPr="00663107">
        <w:rPr>
          <w:sz w:val="22"/>
          <w:szCs w:val="20"/>
        </w:rPr>
        <w:t>vo veku 2</w:t>
      </w:r>
      <w:r w:rsidR="00AE7B72">
        <w:rPr>
          <w:sz w:val="22"/>
          <w:szCs w:val="20"/>
        </w:rPr>
        <w:t> </w:t>
      </w:r>
      <w:r w:rsidR="004D0038" w:rsidRPr="00663107">
        <w:rPr>
          <w:sz w:val="22"/>
          <w:szCs w:val="20"/>
        </w:rPr>
        <w:t>–</w:t>
      </w:r>
      <w:r w:rsidR="00AE7B72">
        <w:rPr>
          <w:sz w:val="22"/>
          <w:szCs w:val="20"/>
        </w:rPr>
        <w:t> </w:t>
      </w:r>
      <w:r w:rsidR="004D0038" w:rsidRPr="00663107">
        <w:rPr>
          <w:sz w:val="22"/>
          <w:szCs w:val="20"/>
        </w:rPr>
        <w:t xml:space="preserve">11 rokov </w:t>
      </w:r>
      <w:r w:rsidRPr="00663107">
        <w:rPr>
          <w:sz w:val="22"/>
          <w:szCs w:val="20"/>
        </w:rPr>
        <w:t>môžu byť potrebné vyššie rýchlosti infúzie.</w:t>
      </w:r>
    </w:p>
    <w:p w14:paraId="2944A5D1" w14:textId="77777777" w:rsidR="005E292A" w:rsidRPr="00663107" w:rsidRDefault="005E292A" w:rsidP="00CD70B0">
      <w:pPr>
        <w:rPr>
          <w:sz w:val="22"/>
          <w:szCs w:val="20"/>
        </w:rPr>
      </w:pPr>
    </w:p>
    <w:p w14:paraId="499A1D5D" w14:textId="3D220A36" w:rsidR="00CB2A09" w:rsidRPr="0040738C" w:rsidRDefault="00FF21D2" w:rsidP="00CD70B0">
      <w:pPr>
        <w:rPr>
          <w:sz w:val="22"/>
          <w:szCs w:val="20"/>
        </w:rPr>
      </w:pPr>
      <w:r>
        <w:rPr>
          <w:sz w:val="22"/>
          <w:szCs w:val="20"/>
        </w:rPr>
        <w:t>U</w:t>
      </w:r>
      <w:r w:rsidR="00CB2A09" w:rsidRPr="00663107">
        <w:rPr>
          <w:sz w:val="22"/>
          <w:szCs w:val="20"/>
        </w:rPr>
        <w:t xml:space="preserve"> detí </w:t>
      </w:r>
      <w:r w:rsidR="004D0038" w:rsidRPr="00663107">
        <w:rPr>
          <w:sz w:val="22"/>
          <w:szCs w:val="20"/>
        </w:rPr>
        <w:t>(2</w:t>
      </w:r>
      <w:r w:rsidR="00AE7B72">
        <w:rPr>
          <w:sz w:val="22"/>
          <w:szCs w:val="20"/>
        </w:rPr>
        <w:t> </w:t>
      </w:r>
      <w:r w:rsidR="004D0038" w:rsidRPr="00663107">
        <w:rPr>
          <w:sz w:val="22"/>
          <w:szCs w:val="20"/>
        </w:rPr>
        <w:t>–</w:t>
      </w:r>
      <w:r w:rsidR="00AE7B72">
        <w:rPr>
          <w:sz w:val="22"/>
          <w:szCs w:val="20"/>
        </w:rPr>
        <w:t> </w:t>
      </w:r>
      <w:r w:rsidR="004D0038" w:rsidRPr="00663107">
        <w:rPr>
          <w:sz w:val="22"/>
          <w:szCs w:val="20"/>
        </w:rPr>
        <w:t xml:space="preserve">11 rokov) </w:t>
      </w:r>
      <w:r>
        <w:rPr>
          <w:sz w:val="22"/>
          <w:szCs w:val="20"/>
        </w:rPr>
        <w:t>sa p</w:t>
      </w:r>
      <w:r w:rsidRPr="00663107">
        <w:rPr>
          <w:sz w:val="22"/>
          <w:szCs w:val="20"/>
        </w:rPr>
        <w:t xml:space="preserve">reto </w:t>
      </w:r>
      <w:r w:rsidR="00CB2A09" w:rsidRPr="00663107">
        <w:rPr>
          <w:sz w:val="22"/>
          <w:szCs w:val="20"/>
        </w:rPr>
        <w:t>odporúča</w:t>
      </w:r>
      <w:r w:rsidR="004D0038" w:rsidRPr="00663107">
        <w:rPr>
          <w:sz w:val="22"/>
          <w:szCs w:val="20"/>
        </w:rPr>
        <w:t>jú</w:t>
      </w:r>
      <w:r w:rsidR="005E292A">
        <w:rPr>
          <w:sz w:val="22"/>
          <w:szCs w:val="20"/>
        </w:rPr>
        <w:t xml:space="preserve"> </w:t>
      </w:r>
      <w:r w:rsidR="00CB2A09" w:rsidRPr="00663107">
        <w:rPr>
          <w:sz w:val="22"/>
          <w:szCs w:val="20"/>
        </w:rPr>
        <w:t>rovnak</w:t>
      </w:r>
      <w:r w:rsidR="004D0038" w:rsidRPr="00663107">
        <w:rPr>
          <w:sz w:val="22"/>
          <w:szCs w:val="20"/>
        </w:rPr>
        <w:t>é</w:t>
      </w:r>
      <w:r w:rsidR="00CB2A09" w:rsidRPr="00663107">
        <w:rPr>
          <w:sz w:val="22"/>
          <w:szCs w:val="20"/>
        </w:rPr>
        <w:t xml:space="preserve"> </w:t>
      </w:r>
      <w:r w:rsidR="004D0038" w:rsidRPr="00663107">
        <w:rPr>
          <w:sz w:val="22"/>
          <w:szCs w:val="20"/>
        </w:rPr>
        <w:t xml:space="preserve">rýchlosti </w:t>
      </w:r>
      <w:r w:rsidR="00CB2A09" w:rsidRPr="00663107">
        <w:rPr>
          <w:sz w:val="22"/>
          <w:szCs w:val="20"/>
        </w:rPr>
        <w:t>úvodn</w:t>
      </w:r>
      <w:r w:rsidR="004D0038" w:rsidRPr="00663107">
        <w:rPr>
          <w:sz w:val="22"/>
          <w:szCs w:val="20"/>
        </w:rPr>
        <w:t>ej infúzie</w:t>
      </w:r>
      <w:r w:rsidR="00CB2A09" w:rsidRPr="0040738C">
        <w:rPr>
          <w:sz w:val="22"/>
          <w:szCs w:val="20"/>
        </w:rPr>
        <w:t xml:space="preserve"> ako u dospelých a</w:t>
      </w:r>
      <w:r w:rsidR="004D0038">
        <w:rPr>
          <w:sz w:val="22"/>
          <w:szCs w:val="20"/>
        </w:rPr>
        <w:t xml:space="preserve"> potom sa má </w:t>
      </w:r>
      <w:r w:rsidR="00CB2A09" w:rsidRPr="0040738C">
        <w:rPr>
          <w:sz w:val="22"/>
          <w:szCs w:val="20"/>
        </w:rPr>
        <w:t xml:space="preserve">táto </w:t>
      </w:r>
      <w:r w:rsidR="004D0038">
        <w:rPr>
          <w:sz w:val="22"/>
          <w:szCs w:val="20"/>
        </w:rPr>
        <w:t xml:space="preserve">rýchlosť </w:t>
      </w:r>
      <w:r w:rsidR="00CB2A09" w:rsidRPr="0040738C">
        <w:rPr>
          <w:sz w:val="22"/>
          <w:szCs w:val="20"/>
        </w:rPr>
        <w:t>uprav</w:t>
      </w:r>
      <w:r w:rsidR="004D0038">
        <w:rPr>
          <w:sz w:val="22"/>
          <w:szCs w:val="20"/>
        </w:rPr>
        <w:t>iť</w:t>
      </w:r>
      <w:r w:rsidR="00CB2A09" w:rsidRPr="0040738C">
        <w:rPr>
          <w:sz w:val="22"/>
          <w:szCs w:val="20"/>
        </w:rPr>
        <w:t xml:space="preserve"> tak, aby sa </w:t>
      </w:r>
      <w:r w:rsidR="006941C4">
        <w:rPr>
          <w:sz w:val="22"/>
          <w:szCs w:val="20"/>
        </w:rPr>
        <w:t xml:space="preserve">amplitúda </w:t>
      </w:r>
      <w:proofErr w:type="spellStart"/>
      <w:r w:rsidR="006941C4">
        <w:rPr>
          <w:sz w:val="22"/>
          <w:szCs w:val="20"/>
        </w:rPr>
        <w:t>zášklbu</w:t>
      </w:r>
      <w:proofErr w:type="spellEnd"/>
      <w:r w:rsidR="006941C4">
        <w:rPr>
          <w:sz w:val="22"/>
          <w:szCs w:val="20"/>
        </w:rPr>
        <w:t xml:space="preserve"> </w:t>
      </w:r>
      <w:r w:rsidR="00CB2A09" w:rsidRPr="0040738C">
        <w:rPr>
          <w:sz w:val="22"/>
          <w:szCs w:val="20"/>
        </w:rPr>
        <w:t>udržiavala na 10</w:t>
      </w:r>
      <w:r w:rsidR="00AE7B72">
        <w:rPr>
          <w:sz w:val="22"/>
          <w:szCs w:val="20"/>
        </w:rPr>
        <w:t> </w:t>
      </w:r>
      <w:r w:rsidR="00CB2A09" w:rsidRPr="0040738C">
        <w:rPr>
          <w:sz w:val="22"/>
          <w:szCs w:val="20"/>
        </w:rPr>
        <w:t xml:space="preserve">% kontrolnej </w:t>
      </w:r>
      <w:r w:rsidR="00AF784C">
        <w:rPr>
          <w:sz w:val="22"/>
          <w:szCs w:val="20"/>
        </w:rPr>
        <w:t xml:space="preserve">amplitúdy </w:t>
      </w:r>
      <w:proofErr w:type="spellStart"/>
      <w:r w:rsidR="00AF784C" w:rsidRPr="00D5561F">
        <w:rPr>
          <w:sz w:val="22"/>
          <w:szCs w:val="20"/>
        </w:rPr>
        <w:t>zášklbu</w:t>
      </w:r>
      <w:proofErr w:type="spellEnd"/>
      <w:r w:rsidR="00CB2A09" w:rsidRPr="00D5561F">
        <w:rPr>
          <w:sz w:val="22"/>
          <w:szCs w:val="20"/>
        </w:rPr>
        <w:t xml:space="preserve"> alebo aby </w:t>
      </w:r>
      <w:r w:rsidR="006941C4" w:rsidRPr="00D5561F">
        <w:rPr>
          <w:sz w:val="22"/>
          <w:szCs w:val="20"/>
        </w:rPr>
        <w:t xml:space="preserve">sa udržali </w:t>
      </w:r>
      <w:r w:rsidR="00CB2A09" w:rsidRPr="00D5561F">
        <w:rPr>
          <w:sz w:val="22"/>
          <w:szCs w:val="20"/>
        </w:rPr>
        <w:t xml:space="preserve">1 </w:t>
      </w:r>
      <w:r w:rsidR="006941C4" w:rsidRPr="00D5561F">
        <w:rPr>
          <w:sz w:val="22"/>
          <w:szCs w:val="20"/>
        </w:rPr>
        <w:t>alebo</w:t>
      </w:r>
      <w:r w:rsidR="00CB2A09" w:rsidRPr="00D5561F">
        <w:rPr>
          <w:sz w:val="22"/>
          <w:szCs w:val="20"/>
        </w:rPr>
        <w:t xml:space="preserve"> 2 odpovede </w:t>
      </w:r>
      <w:r w:rsidR="006941C4" w:rsidRPr="00D5561F">
        <w:rPr>
          <w:sz w:val="22"/>
          <w:szCs w:val="20"/>
        </w:rPr>
        <w:t>na</w:t>
      </w:r>
      <w:r w:rsidR="00CB2A09" w:rsidRPr="00D5561F">
        <w:rPr>
          <w:sz w:val="22"/>
          <w:szCs w:val="20"/>
        </w:rPr>
        <w:t xml:space="preserve"> </w:t>
      </w:r>
      <w:r w:rsidR="006941C4" w:rsidRPr="00D5561F">
        <w:rPr>
          <w:sz w:val="22"/>
          <w:szCs w:val="20"/>
        </w:rPr>
        <w:t xml:space="preserve">sériu štyroch </w:t>
      </w:r>
      <w:r>
        <w:rPr>
          <w:sz w:val="22"/>
          <w:szCs w:val="20"/>
        </w:rPr>
        <w:t>podnetov</w:t>
      </w:r>
      <w:r w:rsidR="00D41146" w:rsidRPr="00D5561F">
        <w:rPr>
          <w:sz w:val="22"/>
          <w:szCs w:val="20"/>
        </w:rPr>
        <w:t xml:space="preserve"> </w:t>
      </w:r>
      <w:r w:rsidR="006941C4" w:rsidRPr="00D5561F">
        <w:rPr>
          <w:sz w:val="22"/>
          <w:szCs w:val="20"/>
        </w:rPr>
        <w:t>počas výkonu</w:t>
      </w:r>
      <w:r w:rsidR="00CB2A09" w:rsidRPr="00D5561F">
        <w:rPr>
          <w:sz w:val="22"/>
          <w:szCs w:val="20"/>
        </w:rPr>
        <w:t>.</w:t>
      </w:r>
    </w:p>
    <w:p w14:paraId="38655BD7" w14:textId="77777777" w:rsidR="00CB2A09" w:rsidRPr="0040738C" w:rsidRDefault="00CB2A09" w:rsidP="00CD70B0">
      <w:pPr>
        <w:rPr>
          <w:sz w:val="22"/>
          <w:szCs w:val="20"/>
        </w:rPr>
      </w:pPr>
    </w:p>
    <w:p w14:paraId="238125E4" w14:textId="6009B2DA" w:rsidR="00CB2A09" w:rsidRPr="0040738C" w:rsidRDefault="006941C4" w:rsidP="00CD70B0">
      <w:pPr>
        <w:rPr>
          <w:sz w:val="22"/>
          <w:szCs w:val="20"/>
        </w:rPr>
      </w:pPr>
      <w:r>
        <w:rPr>
          <w:sz w:val="22"/>
          <w:szCs w:val="20"/>
        </w:rPr>
        <w:t>S</w:t>
      </w:r>
      <w:r w:rsidR="00CB2A09" w:rsidRPr="0040738C">
        <w:rPr>
          <w:sz w:val="22"/>
          <w:szCs w:val="20"/>
        </w:rPr>
        <w:t>kúsenos</w:t>
      </w:r>
      <w:r>
        <w:rPr>
          <w:sz w:val="22"/>
          <w:szCs w:val="20"/>
        </w:rPr>
        <w:t>ť</w:t>
      </w:r>
      <w:r w:rsidR="00CB2A09" w:rsidRPr="0040738C">
        <w:rPr>
          <w:sz w:val="22"/>
          <w:szCs w:val="20"/>
        </w:rPr>
        <w:t xml:space="preserve"> s použitím </w:t>
      </w:r>
      <w:proofErr w:type="spellStart"/>
      <w:r w:rsidR="00CB2A09" w:rsidRPr="0040738C">
        <w:rPr>
          <w:sz w:val="22"/>
          <w:szCs w:val="20"/>
        </w:rPr>
        <w:t>rokuróniumbromidu</w:t>
      </w:r>
      <w:proofErr w:type="spellEnd"/>
      <w:r w:rsidR="00CB2A09" w:rsidRPr="0040738C">
        <w:rPr>
          <w:sz w:val="22"/>
          <w:szCs w:val="20"/>
        </w:rPr>
        <w:t xml:space="preserve"> p</w:t>
      </w:r>
      <w:r>
        <w:rPr>
          <w:sz w:val="22"/>
          <w:szCs w:val="20"/>
        </w:rPr>
        <w:t>ri</w:t>
      </w:r>
      <w:r w:rsidR="00CB2A09" w:rsidRPr="0040738C">
        <w:rPr>
          <w:sz w:val="22"/>
          <w:szCs w:val="20"/>
        </w:rPr>
        <w:t xml:space="preserve"> rýchl</w:t>
      </w:r>
      <w:r>
        <w:rPr>
          <w:sz w:val="22"/>
          <w:szCs w:val="20"/>
        </w:rPr>
        <w:t>om</w:t>
      </w:r>
      <w:r w:rsidR="00CB2A09" w:rsidRPr="0040738C">
        <w:rPr>
          <w:sz w:val="22"/>
          <w:szCs w:val="20"/>
        </w:rPr>
        <w:t xml:space="preserve"> úvod</w:t>
      </w:r>
      <w:r>
        <w:rPr>
          <w:sz w:val="22"/>
          <w:szCs w:val="20"/>
        </w:rPr>
        <w:t>e</w:t>
      </w:r>
      <w:r w:rsidR="00CB2A09" w:rsidRPr="0040738C">
        <w:rPr>
          <w:sz w:val="22"/>
          <w:szCs w:val="20"/>
        </w:rPr>
        <w:t xml:space="preserve"> do celkovej anestézie</w:t>
      </w:r>
      <w:r>
        <w:rPr>
          <w:sz w:val="22"/>
          <w:szCs w:val="20"/>
        </w:rPr>
        <w:t xml:space="preserve"> je </w:t>
      </w:r>
      <w:r w:rsidR="00524CB4">
        <w:rPr>
          <w:sz w:val="22"/>
          <w:szCs w:val="20"/>
        </w:rPr>
        <w:t xml:space="preserve">u </w:t>
      </w:r>
      <w:r w:rsidR="00B268B0">
        <w:rPr>
          <w:sz w:val="22"/>
          <w:szCs w:val="20"/>
        </w:rPr>
        <w:t>pediatrických</w:t>
      </w:r>
      <w:r>
        <w:rPr>
          <w:sz w:val="22"/>
          <w:szCs w:val="20"/>
        </w:rPr>
        <w:t xml:space="preserve"> pacientov obmedzená</w:t>
      </w:r>
      <w:r w:rsidR="00CB2A09" w:rsidRPr="0040738C">
        <w:rPr>
          <w:sz w:val="22"/>
          <w:szCs w:val="20"/>
        </w:rPr>
        <w:t xml:space="preserve">. </w:t>
      </w:r>
      <w:proofErr w:type="spellStart"/>
      <w:r w:rsidR="00CB2A09" w:rsidRPr="0040738C">
        <w:rPr>
          <w:sz w:val="22"/>
          <w:szCs w:val="20"/>
        </w:rPr>
        <w:t>Rokuróniumbromid</w:t>
      </w:r>
      <w:proofErr w:type="spellEnd"/>
      <w:r w:rsidR="00CB2A09" w:rsidRPr="0040738C">
        <w:rPr>
          <w:sz w:val="22"/>
          <w:szCs w:val="20"/>
        </w:rPr>
        <w:t xml:space="preserve"> sa preto neodporúča používať na uľahčenie </w:t>
      </w:r>
      <w:r w:rsidR="00524CB4">
        <w:rPr>
          <w:sz w:val="22"/>
          <w:szCs w:val="20"/>
        </w:rPr>
        <w:t xml:space="preserve">podmienok </w:t>
      </w:r>
      <w:r w:rsidR="00CB2A09" w:rsidRPr="0040738C">
        <w:rPr>
          <w:sz w:val="22"/>
          <w:szCs w:val="20"/>
        </w:rPr>
        <w:t xml:space="preserve">tracheálnej </w:t>
      </w:r>
      <w:proofErr w:type="spellStart"/>
      <w:r w:rsidR="00CB2A09" w:rsidRPr="0040738C">
        <w:rPr>
          <w:sz w:val="22"/>
          <w:szCs w:val="20"/>
        </w:rPr>
        <w:t>intubácie</w:t>
      </w:r>
      <w:proofErr w:type="spellEnd"/>
      <w:r w:rsidR="00CB2A09" w:rsidRPr="0040738C">
        <w:rPr>
          <w:sz w:val="22"/>
          <w:szCs w:val="20"/>
        </w:rPr>
        <w:t xml:space="preserve"> p</w:t>
      </w:r>
      <w:r>
        <w:rPr>
          <w:sz w:val="22"/>
          <w:szCs w:val="20"/>
        </w:rPr>
        <w:t>očas</w:t>
      </w:r>
      <w:r w:rsidR="00CB2A09" w:rsidRPr="0040738C">
        <w:rPr>
          <w:sz w:val="22"/>
          <w:szCs w:val="20"/>
        </w:rPr>
        <w:t xml:space="preserve"> rýchl</w:t>
      </w:r>
      <w:r>
        <w:rPr>
          <w:sz w:val="22"/>
          <w:szCs w:val="20"/>
        </w:rPr>
        <w:t>eho</w:t>
      </w:r>
      <w:r w:rsidR="00CB2A09" w:rsidRPr="0040738C">
        <w:rPr>
          <w:sz w:val="22"/>
          <w:szCs w:val="20"/>
        </w:rPr>
        <w:t xml:space="preserve"> úvod</w:t>
      </w:r>
      <w:r>
        <w:rPr>
          <w:sz w:val="22"/>
          <w:szCs w:val="20"/>
        </w:rPr>
        <w:t>u</w:t>
      </w:r>
      <w:r w:rsidR="00CB2A09" w:rsidRPr="0040738C">
        <w:rPr>
          <w:sz w:val="22"/>
          <w:szCs w:val="20"/>
        </w:rPr>
        <w:t xml:space="preserve"> do celkovej anestézie u</w:t>
      </w:r>
      <w:r>
        <w:rPr>
          <w:sz w:val="22"/>
          <w:szCs w:val="20"/>
        </w:rPr>
        <w:t> </w:t>
      </w:r>
      <w:r w:rsidR="00B268B0">
        <w:rPr>
          <w:sz w:val="22"/>
          <w:szCs w:val="20"/>
        </w:rPr>
        <w:t>pediatrický</w:t>
      </w:r>
      <w:r>
        <w:rPr>
          <w:sz w:val="22"/>
          <w:szCs w:val="20"/>
        </w:rPr>
        <w:t>ch</w:t>
      </w:r>
      <w:r w:rsidR="00CB2A09" w:rsidRPr="0040738C">
        <w:rPr>
          <w:sz w:val="22"/>
          <w:szCs w:val="20"/>
        </w:rPr>
        <w:t xml:space="preserve"> pacientov.</w:t>
      </w:r>
    </w:p>
    <w:p w14:paraId="2C976D0D" w14:textId="77777777" w:rsidR="00CB2A09" w:rsidRPr="0040738C" w:rsidRDefault="00CB2A09" w:rsidP="00CD70B0">
      <w:pPr>
        <w:rPr>
          <w:sz w:val="22"/>
          <w:szCs w:val="20"/>
        </w:rPr>
      </w:pPr>
    </w:p>
    <w:p w14:paraId="483F61AA" w14:textId="77777777" w:rsidR="00CB2A09" w:rsidRPr="0040738C" w:rsidRDefault="00CB2A09" w:rsidP="00DD73F9">
      <w:pPr>
        <w:keepNext/>
        <w:rPr>
          <w:sz w:val="22"/>
          <w:szCs w:val="20"/>
          <w:u w:val="single"/>
        </w:rPr>
      </w:pPr>
      <w:r w:rsidRPr="0040738C">
        <w:rPr>
          <w:sz w:val="22"/>
          <w:szCs w:val="20"/>
          <w:u w:val="single"/>
        </w:rPr>
        <w:t>Geriatrickí pacienti a pacienti s ochorením pečene a/alebo žlčových ciest a/alebo pacienti so zlyhaním obličiek</w:t>
      </w:r>
    </w:p>
    <w:p w14:paraId="42929DB6" w14:textId="1C7760AE" w:rsidR="00CB2A09" w:rsidRPr="0040738C" w:rsidRDefault="00D41146" w:rsidP="00CD70B0">
      <w:pPr>
        <w:rPr>
          <w:sz w:val="22"/>
          <w:szCs w:val="20"/>
        </w:rPr>
      </w:pPr>
      <w:r w:rsidRPr="00D5561F">
        <w:rPr>
          <w:sz w:val="22"/>
          <w:szCs w:val="20"/>
        </w:rPr>
        <w:t xml:space="preserve">Štandardná </w:t>
      </w:r>
      <w:r w:rsidR="00CB2A09" w:rsidRPr="00D5561F">
        <w:rPr>
          <w:sz w:val="22"/>
          <w:szCs w:val="20"/>
        </w:rPr>
        <w:t xml:space="preserve">dávka </w:t>
      </w:r>
      <w:r w:rsidR="00524CB4" w:rsidRPr="00D5561F">
        <w:rPr>
          <w:sz w:val="22"/>
          <w:szCs w:val="20"/>
        </w:rPr>
        <w:t xml:space="preserve">pri </w:t>
      </w:r>
      <w:proofErr w:type="spellStart"/>
      <w:r w:rsidR="00524CB4" w:rsidRPr="00D5561F">
        <w:rPr>
          <w:sz w:val="22"/>
          <w:szCs w:val="20"/>
        </w:rPr>
        <w:t>intubácii</w:t>
      </w:r>
      <w:proofErr w:type="spellEnd"/>
      <w:r w:rsidR="006941C4" w:rsidRPr="00D5561F">
        <w:rPr>
          <w:sz w:val="22"/>
          <w:szCs w:val="20"/>
        </w:rPr>
        <w:t xml:space="preserve"> </w:t>
      </w:r>
      <w:r w:rsidR="00CB2A09" w:rsidRPr="00D5561F">
        <w:rPr>
          <w:sz w:val="22"/>
          <w:szCs w:val="20"/>
        </w:rPr>
        <w:t>u geriatrických pacientov a pacientov</w:t>
      </w:r>
      <w:r w:rsidR="00CB2A09" w:rsidRPr="0040738C">
        <w:rPr>
          <w:sz w:val="22"/>
          <w:szCs w:val="20"/>
        </w:rPr>
        <w:t xml:space="preserve"> s ochorením pečene a/alebo žlčov</w:t>
      </w:r>
      <w:r w:rsidR="006941C4">
        <w:rPr>
          <w:sz w:val="22"/>
          <w:szCs w:val="20"/>
        </w:rPr>
        <w:t>ých</w:t>
      </w:r>
      <w:r w:rsidR="00CB2A09" w:rsidRPr="0040738C">
        <w:rPr>
          <w:sz w:val="22"/>
          <w:szCs w:val="20"/>
        </w:rPr>
        <w:t xml:space="preserve"> </w:t>
      </w:r>
      <w:r w:rsidR="006941C4">
        <w:rPr>
          <w:sz w:val="22"/>
          <w:szCs w:val="20"/>
        </w:rPr>
        <w:t xml:space="preserve">ciest </w:t>
      </w:r>
      <w:r w:rsidR="00CB2A09" w:rsidRPr="0040738C">
        <w:rPr>
          <w:sz w:val="22"/>
          <w:szCs w:val="20"/>
        </w:rPr>
        <w:t xml:space="preserve">a/alebo so zlyhaním obličiek </w:t>
      </w:r>
      <w:r w:rsidR="00524CB4">
        <w:rPr>
          <w:sz w:val="22"/>
          <w:szCs w:val="20"/>
        </w:rPr>
        <w:t xml:space="preserve">počas </w:t>
      </w:r>
      <w:r w:rsidR="009B45A5">
        <w:rPr>
          <w:sz w:val="22"/>
          <w:szCs w:val="20"/>
        </w:rPr>
        <w:t>rutinnej</w:t>
      </w:r>
      <w:r w:rsidR="00524CB4">
        <w:rPr>
          <w:sz w:val="22"/>
          <w:szCs w:val="20"/>
        </w:rPr>
        <w:t xml:space="preserve"> anestézie </w:t>
      </w:r>
      <w:r w:rsidR="00CB2A09" w:rsidRPr="0040738C">
        <w:rPr>
          <w:sz w:val="22"/>
          <w:szCs w:val="20"/>
        </w:rPr>
        <w:t>je 0,6</w:t>
      </w:r>
      <w:r w:rsidR="00524CB4">
        <w:rPr>
          <w:sz w:val="22"/>
          <w:szCs w:val="20"/>
        </w:rPr>
        <w:t> </w:t>
      </w:r>
      <w:r w:rsidR="00CB2A09" w:rsidRPr="0040738C">
        <w:rPr>
          <w:sz w:val="22"/>
          <w:szCs w:val="20"/>
        </w:rPr>
        <w:t xml:space="preserve">mg/kg </w:t>
      </w:r>
      <w:proofErr w:type="spellStart"/>
      <w:r w:rsidR="00CB2A09" w:rsidRPr="0040738C">
        <w:rPr>
          <w:sz w:val="22"/>
          <w:szCs w:val="20"/>
        </w:rPr>
        <w:t>rokuróniumbromidu</w:t>
      </w:r>
      <w:proofErr w:type="spellEnd"/>
      <w:r w:rsidR="00CB2A09" w:rsidRPr="0040738C">
        <w:rPr>
          <w:sz w:val="22"/>
          <w:szCs w:val="20"/>
        </w:rPr>
        <w:t xml:space="preserve">. U pacientov, u ktorých sa očakáva predĺžené </w:t>
      </w:r>
      <w:r w:rsidR="00CB2A09" w:rsidRPr="00663107">
        <w:rPr>
          <w:sz w:val="22"/>
          <w:szCs w:val="20"/>
        </w:rPr>
        <w:t xml:space="preserve">trvanie účinku </w:t>
      </w:r>
      <w:proofErr w:type="spellStart"/>
      <w:r w:rsidR="00CB2A09" w:rsidRPr="00663107">
        <w:rPr>
          <w:sz w:val="22"/>
          <w:szCs w:val="20"/>
        </w:rPr>
        <w:t>rokuróniumbromidu</w:t>
      </w:r>
      <w:proofErr w:type="spellEnd"/>
      <w:r w:rsidR="00CB2A09" w:rsidRPr="00663107">
        <w:rPr>
          <w:sz w:val="22"/>
          <w:szCs w:val="20"/>
        </w:rPr>
        <w:t xml:space="preserve">, sa na rýchly úvod do anestézie </w:t>
      </w:r>
      <w:r w:rsidR="00524CB4" w:rsidRPr="00663107">
        <w:rPr>
          <w:sz w:val="22"/>
          <w:szCs w:val="20"/>
        </w:rPr>
        <w:t>má zvážiť</w:t>
      </w:r>
      <w:r w:rsidR="00CB2A09" w:rsidRPr="00663107">
        <w:rPr>
          <w:sz w:val="22"/>
          <w:szCs w:val="20"/>
        </w:rPr>
        <w:t xml:space="preserve"> dávka</w:t>
      </w:r>
      <w:r w:rsidR="00CB2A09" w:rsidRPr="0040738C">
        <w:rPr>
          <w:sz w:val="22"/>
          <w:szCs w:val="20"/>
        </w:rPr>
        <w:t xml:space="preserve"> 0,6</w:t>
      </w:r>
      <w:r w:rsidR="00524CB4">
        <w:rPr>
          <w:sz w:val="22"/>
          <w:szCs w:val="20"/>
        </w:rPr>
        <w:t> </w:t>
      </w:r>
      <w:r w:rsidR="00CB2A09" w:rsidRPr="0040738C">
        <w:rPr>
          <w:sz w:val="22"/>
          <w:szCs w:val="20"/>
        </w:rPr>
        <w:t>mg/kg. Bez ohľadu na</w:t>
      </w:r>
      <w:r w:rsidR="006941C4">
        <w:rPr>
          <w:sz w:val="22"/>
          <w:szCs w:val="20"/>
        </w:rPr>
        <w:t xml:space="preserve"> použitý </w:t>
      </w:r>
      <w:r w:rsidR="00CB2A09" w:rsidRPr="0040738C">
        <w:rPr>
          <w:sz w:val="22"/>
          <w:szCs w:val="20"/>
        </w:rPr>
        <w:t>spôsob anestézie odporúča</w:t>
      </w:r>
      <w:r w:rsidR="006941C4">
        <w:rPr>
          <w:sz w:val="22"/>
          <w:szCs w:val="20"/>
        </w:rPr>
        <w:t>ná</w:t>
      </w:r>
      <w:r w:rsidR="00CB2A09" w:rsidRPr="0040738C">
        <w:rPr>
          <w:sz w:val="22"/>
          <w:szCs w:val="20"/>
        </w:rPr>
        <w:t xml:space="preserve"> udržiavacia dávka </w:t>
      </w:r>
      <w:r w:rsidR="00524CB4">
        <w:rPr>
          <w:sz w:val="22"/>
          <w:szCs w:val="20"/>
        </w:rPr>
        <w:t xml:space="preserve">u týchto pacientov je </w:t>
      </w:r>
      <w:r w:rsidR="00CB2A09" w:rsidRPr="0040738C">
        <w:rPr>
          <w:sz w:val="22"/>
          <w:szCs w:val="20"/>
        </w:rPr>
        <w:t>0,075</w:t>
      </w:r>
      <w:r w:rsidR="00AE7B72">
        <w:rPr>
          <w:sz w:val="22"/>
          <w:szCs w:val="20"/>
        </w:rPr>
        <w:t> </w:t>
      </w:r>
      <w:r w:rsidR="00CB2A09" w:rsidRPr="0040738C">
        <w:rPr>
          <w:sz w:val="22"/>
          <w:szCs w:val="20"/>
        </w:rPr>
        <w:t>–</w:t>
      </w:r>
      <w:r w:rsidR="00AE7B72">
        <w:rPr>
          <w:sz w:val="22"/>
          <w:szCs w:val="20"/>
        </w:rPr>
        <w:t> </w:t>
      </w:r>
      <w:r w:rsidR="00CB2A09" w:rsidRPr="0040738C">
        <w:rPr>
          <w:sz w:val="22"/>
          <w:szCs w:val="20"/>
        </w:rPr>
        <w:t>0,1</w:t>
      </w:r>
      <w:r w:rsidR="00397E4D">
        <w:rPr>
          <w:sz w:val="22"/>
          <w:szCs w:val="20"/>
        </w:rPr>
        <w:t> </w:t>
      </w:r>
      <w:r w:rsidR="00CB2A09" w:rsidRPr="0040738C">
        <w:rPr>
          <w:sz w:val="22"/>
          <w:szCs w:val="20"/>
        </w:rPr>
        <w:t xml:space="preserve">mg/kg </w:t>
      </w:r>
      <w:proofErr w:type="spellStart"/>
      <w:r w:rsidR="00CB2A09" w:rsidRPr="0040738C">
        <w:rPr>
          <w:sz w:val="22"/>
          <w:szCs w:val="20"/>
        </w:rPr>
        <w:t>rokuróniumbromidu</w:t>
      </w:r>
      <w:proofErr w:type="spellEnd"/>
      <w:r w:rsidR="00CB2A09" w:rsidRPr="0040738C">
        <w:rPr>
          <w:sz w:val="22"/>
          <w:szCs w:val="20"/>
        </w:rPr>
        <w:t xml:space="preserve"> a</w:t>
      </w:r>
      <w:r w:rsidR="00BF7692">
        <w:rPr>
          <w:sz w:val="22"/>
          <w:szCs w:val="20"/>
        </w:rPr>
        <w:t> </w:t>
      </w:r>
      <w:r w:rsidR="00CB2A09" w:rsidRPr="0040738C">
        <w:rPr>
          <w:sz w:val="22"/>
          <w:szCs w:val="20"/>
        </w:rPr>
        <w:t>odporúčaná rýchlosť infúzie je 0,3</w:t>
      </w:r>
      <w:r w:rsidR="0040403C">
        <w:rPr>
          <w:sz w:val="22"/>
          <w:szCs w:val="20"/>
        </w:rPr>
        <w:t> </w:t>
      </w:r>
      <w:r w:rsidR="00CB2A09" w:rsidRPr="0040738C">
        <w:rPr>
          <w:sz w:val="22"/>
          <w:szCs w:val="20"/>
        </w:rPr>
        <w:t>–</w:t>
      </w:r>
      <w:r w:rsidR="0040403C">
        <w:rPr>
          <w:sz w:val="22"/>
          <w:szCs w:val="20"/>
        </w:rPr>
        <w:t> </w:t>
      </w:r>
      <w:r w:rsidR="00CB2A09" w:rsidRPr="0040738C">
        <w:rPr>
          <w:sz w:val="22"/>
          <w:szCs w:val="20"/>
        </w:rPr>
        <w:t>0,4</w:t>
      </w:r>
      <w:r w:rsidR="00397E4D">
        <w:rPr>
          <w:sz w:val="22"/>
          <w:szCs w:val="20"/>
        </w:rPr>
        <w:t> </w:t>
      </w:r>
      <w:r w:rsidR="00CB2A09" w:rsidRPr="0040738C">
        <w:rPr>
          <w:sz w:val="22"/>
          <w:szCs w:val="20"/>
        </w:rPr>
        <w:t>mg/kg/h (pozri Kontinuálna infúzia).</w:t>
      </w:r>
      <w:r w:rsidR="009B1A25">
        <w:rPr>
          <w:sz w:val="22"/>
          <w:szCs w:val="20"/>
        </w:rPr>
        <w:t xml:space="preserve"> (Pozri tiež časť 4.4).</w:t>
      </w:r>
    </w:p>
    <w:p w14:paraId="0DB918A0" w14:textId="77777777" w:rsidR="00CB2A09" w:rsidRPr="0040738C" w:rsidRDefault="00CB2A09" w:rsidP="00CD70B0">
      <w:pPr>
        <w:rPr>
          <w:sz w:val="22"/>
          <w:szCs w:val="20"/>
        </w:rPr>
      </w:pPr>
    </w:p>
    <w:p w14:paraId="10F26CDF" w14:textId="77777777" w:rsidR="00CB2A09" w:rsidRPr="0040738C" w:rsidRDefault="00CB2A09" w:rsidP="00DD73F9">
      <w:pPr>
        <w:keepNext/>
        <w:rPr>
          <w:sz w:val="22"/>
          <w:szCs w:val="20"/>
        </w:rPr>
      </w:pPr>
      <w:r w:rsidRPr="0040738C">
        <w:rPr>
          <w:sz w:val="22"/>
          <w:szCs w:val="20"/>
          <w:u w:val="single"/>
        </w:rPr>
        <w:t>Pacienti s nadváhou a obézni pacienti</w:t>
      </w:r>
    </w:p>
    <w:p w14:paraId="3F476A13" w14:textId="68F7C59B" w:rsidR="00CB2A09" w:rsidRPr="0040738C" w:rsidRDefault="006941C4" w:rsidP="00CD70B0">
      <w:pPr>
        <w:rPr>
          <w:sz w:val="22"/>
          <w:szCs w:val="20"/>
        </w:rPr>
      </w:pPr>
      <w:r>
        <w:rPr>
          <w:sz w:val="22"/>
          <w:szCs w:val="20"/>
        </w:rPr>
        <w:t>Pri</w:t>
      </w:r>
      <w:r w:rsidR="00CB2A09" w:rsidRPr="0040738C">
        <w:rPr>
          <w:sz w:val="22"/>
          <w:szCs w:val="20"/>
        </w:rPr>
        <w:t xml:space="preserve"> použ</w:t>
      </w:r>
      <w:r>
        <w:rPr>
          <w:sz w:val="22"/>
          <w:szCs w:val="20"/>
        </w:rPr>
        <w:t>ití</w:t>
      </w:r>
      <w:r w:rsidR="00CB2A09" w:rsidRPr="0040738C">
        <w:rPr>
          <w:sz w:val="22"/>
          <w:szCs w:val="20"/>
        </w:rPr>
        <w:t xml:space="preserve"> u pacientov s nadváhou alebo obéznych pacientov (definovaných ako pacienti s telesnou hmotnosťou 30</w:t>
      </w:r>
      <w:r w:rsidR="002C210D">
        <w:rPr>
          <w:sz w:val="22"/>
          <w:szCs w:val="20"/>
        </w:rPr>
        <w:t> </w:t>
      </w:r>
      <w:r w:rsidR="00CB2A09" w:rsidRPr="0040738C">
        <w:rPr>
          <w:sz w:val="22"/>
          <w:szCs w:val="20"/>
        </w:rPr>
        <w:t xml:space="preserve">% alebo viac nad ideálnou telesnou hmotnosťou) </w:t>
      </w:r>
      <w:r>
        <w:rPr>
          <w:sz w:val="22"/>
          <w:szCs w:val="20"/>
        </w:rPr>
        <w:t xml:space="preserve">sa majú </w:t>
      </w:r>
      <w:r w:rsidR="00CB2A09" w:rsidRPr="0040738C">
        <w:rPr>
          <w:sz w:val="22"/>
          <w:szCs w:val="20"/>
        </w:rPr>
        <w:t>dávky znížiť tak, že sa berie do úvahy ideálna telesná hmotnosť.</w:t>
      </w:r>
    </w:p>
    <w:p w14:paraId="31BD242F" w14:textId="77777777" w:rsidR="00CB2A09" w:rsidRPr="0040738C" w:rsidRDefault="00CB2A09" w:rsidP="00CD70B0">
      <w:pPr>
        <w:rPr>
          <w:sz w:val="22"/>
          <w:szCs w:val="20"/>
        </w:rPr>
      </w:pPr>
    </w:p>
    <w:p w14:paraId="4021EB47" w14:textId="77777777" w:rsidR="00CB2A09" w:rsidRPr="0040738C" w:rsidRDefault="00CB2A09" w:rsidP="00DD73F9">
      <w:pPr>
        <w:keepNext/>
        <w:rPr>
          <w:b/>
          <w:sz w:val="22"/>
          <w:szCs w:val="20"/>
        </w:rPr>
      </w:pPr>
      <w:r w:rsidRPr="0040738C">
        <w:rPr>
          <w:b/>
          <w:sz w:val="22"/>
          <w:szCs w:val="20"/>
        </w:rPr>
        <w:t>Používanie na jednotke intenzívnej starostlivosti</w:t>
      </w:r>
    </w:p>
    <w:p w14:paraId="704BD237" w14:textId="77777777" w:rsidR="00CB2A09" w:rsidRPr="0040738C" w:rsidRDefault="00CB2A09" w:rsidP="00DD73F9">
      <w:pPr>
        <w:keepNext/>
        <w:rPr>
          <w:sz w:val="22"/>
          <w:szCs w:val="20"/>
        </w:rPr>
      </w:pPr>
    </w:p>
    <w:p w14:paraId="27CC7680" w14:textId="77777777" w:rsidR="00CB2A09" w:rsidRPr="0040738C" w:rsidRDefault="00CB2A09" w:rsidP="00DD73F9">
      <w:pPr>
        <w:keepNext/>
        <w:rPr>
          <w:sz w:val="22"/>
          <w:szCs w:val="20"/>
          <w:u w:val="single"/>
        </w:rPr>
      </w:pPr>
      <w:r w:rsidRPr="0040738C">
        <w:rPr>
          <w:sz w:val="22"/>
          <w:szCs w:val="20"/>
          <w:u w:val="single"/>
        </w:rPr>
        <w:t xml:space="preserve">Tracheálna </w:t>
      </w:r>
      <w:proofErr w:type="spellStart"/>
      <w:r w:rsidRPr="0040738C">
        <w:rPr>
          <w:sz w:val="22"/>
          <w:szCs w:val="20"/>
          <w:u w:val="single"/>
        </w:rPr>
        <w:t>intubácia</w:t>
      </w:r>
      <w:proofErr w:type="spellEnd"/>
    </w:p>
    <w:p w14:paraId="69EAE357" w14:textId="0464C718" w:rsidR="00CB2A09" w:rsidRPr="0040738C" w:rsidRDefault="00CB2A09" w:rsidP="00CD70B0">
      <w:pPr>
        <w:pStyle w:val="Zkladntext"/>
        <w:jc w:val="left"/>
        <w:rPr>
          <w:sz w:val="22"/>
          <w:szCs w:val="20"/>
        </w:rPr>
      </w:pPr>
      <w:r w:rsidRPr="0040738C">
        <w:rPr>
          <w:sz w:val="22"/>
          <w:szCs w:val="20"/>
        </w:rPr>
        <w:t xml:space="preserve">Na tracheálnu </w:t>
      </w:r>
      <w:proofErr w:type="spellStart"/>
      <w:r w:rsidRPr="0040738C">
        <w:rPr>
          <w:sz w:val="22"/>
          <w:szCs w:val="20"/>
        </w:rPr>
        <w:t>intubáciu</w:t>
      </w:r>
      <w:proofErr w:type="spellEnd"/>
      <w:r w:rsidRPr="0040738C">
        <w:rPr>
          <w:sz w:val="22"/>
          <w:szCs w:val="20"/>
        </w:rPr>
        <w:t xml:space="preserve"> sa majú používať rovnaké dávky, ak</w:t>
      </w:r>
      <w:r w:rsidR="00524CB4">
        <w:rPr>
          <w:sz w:val="22"/>
          <w:szCs w:val="20"/>
        </w:rPr>
        <w:t xml:space="preserve">o je uvedené </w:t>
      </w:r>
      <w:r w:rsidR="00231256">
        <w:rPr>
          <w:sz w:val="22"/>
          <w:szCs w:val="20"/>
        </w:rPr>
        <w:t xml:space="preserve">vyššie </w:t>
      </w:r>
      <w:r w:rsidRPr="0040738C">
        <w:rPr>
          <w:sz w:val="22"/>
          <w:szCs w:val="20"/>
        </w:rPr>
        <w:t>pri chirurgických výkonoch.</w:t>
      </w:r>
    </w:p>
    <w:p w14:paraId="73206E73" w14:textId="77777777" w:rsidR="00CB2A09" w:rsidRPr="0040738C" w:rsidRDefault="00CB2A09" w:rsidP="00CD70B0">
      <w:pPr>
        <w:rPr>
          <w:sz w:val="22"/>
          <w:szCs w:val="20"/>
        </w:rPr>
      </w:pPr>
    </w:p>
    <w:p w14:paraId="3E3A168E" w14:textId="293699E5" w:rsidR="00CB2A09" w:rsidRPr="0040738C" w:rsidRDefault="00CB2A09" w:rsidP="00DD73F9">
      <w:pPr>
        <w:keepNext/>
        <w:rPr>
          <w:sz w:val="22"/>
          <w:szCs w:val="20"/>
          <w:u w:val="single"/>
        </w:rPr>
      </w:pPr>
      <w:r w:rsidRPr="0040738C">
        <w:rPr>
          <w:sz w:val="22"/>
          <w:szCs w:val="20"/>
          <w:u w:val="single"/>
        </w:rPr>
        <w:t>Udržiavacie dávk</w:t>
      </w:r>
      <w:r w:rsidR="00231256">
        <w:rPr>
          <w:sz w:val="22"/>
          <w:szCs w:val="20"/>
          <w:u w:val="single"/>
        </w:rPr>
        <w:t>ovanie</w:t>
      </w:r>
    </w:p>
    <w:p w14:paraId="55802B43" w14:textId="3E432E41" w:rsidR="00CB2A09" w:rsidRPr="0040738C" w:rsidRDefault="00CB2A09" w:rsidP="00CD70B0">
      <w:pPr>
        <w:pStyle w:val="Zkladntext"/>
        <w:jc w:val="left"/>
        <w:rPr>
          <w:sz w:val="22"/>
        </w:rPr>
      </w:pPr>
      <w:r w:rsidRPr="0040738C">
        <w:rPr>
          <w:sz w:val="22"/>
        </w:rPr>
        <w:t xml:space="preserve">Odporúča sa použiť </w:t>
      </w:r>
      <w:r w:rsidR="00231256">
        <w:rPr>
          <w:sz w:val="22"/>
        </w:rPr>
        <w:t>úvodnú nárazovú</w:t>
      </w:r>
      <w:r w:rsidRPr="0040738C">
        <w:rPr>
          <w:sz w:val="22"/>
        </w:rPr>
        <w:t xml:space="preserve"> dávku 0,6</w:t>
      </w:r>
      <w:r w:rsidR="00397E4D">
        <w:rPr>
          <w:sz w:val="22"/>
        </w:rPr>
        <w:t> </w:t>
      </w:r>
      <w:r w:rsidRPr="0040738C">
        <w:rPr>
          <w:sz w:val="22"/>
        </w:rPr>
        <w:t xml:space="preserve">mg/kg </w:t>
      </w:r>
      <w:proofErr w:type="spellStart"/>
      <w:r w:rsidRPr="0040738C">
        <w:rPr>
          <w:sz w:val="22"/>
          <w:szCs w:val="20"/>
        </w:rPr>
        <w:t>rokuróniumbromidu</w:t>
      </w:r>
      <w:proofErr w:type="spellEnd"/>
      <w:r w:rsidR="00231256">
        <w:rPr>
          <w:sz w:val="22"/>
          <w:szCs w:val="20"/>
        </w:rPr>
        <w:t>, po ktorej nasleduje</w:t>
      </w:r>
      <w:r w:rsidR="00AC787B">
        <w:rPr>
          <w:sz w:val="22"/>
        </w:rPr>
        <w:t xml:space="preserve"> </w:t>
      </w:r>
      <w:r w:rsidRPr="0040738C">
        <w:rPr>
          <w:sz w:val="22"/>
        </w:rPr>
        <w:t>kontinuáln</w:t>
      </w:r>
      <w:r w:rsidR="00231256">
        <w:rPr>
          <w:sz w:val="22"/>
        </w:rPr>
        <w:t>a</w:t>
      </w:r>
      <w:r w:rsidRPr="0040738C">
        <w:rPr>
          <w:sz w:val="22"/>
        </w:rPr>
        <w:t xml:space="preserve"> infúzi</w:t>
      </w:r>
      <w:r w:rsidR="00231256">
        <w:rPr>
          <w:sz w:val="22"/>
        </w:rPr>
        <w:t>a</w:t>
      </w:r>
      <w:r w:rsidRPr="0040738C">
        <w:rPr>
          <w:sz w:val="22"/>
        </w:rPr>
        <w:t xml:space="preserve"> </w:t>
      </w:r>
      <w:r w:rsidR="00231256">
        <w:rPr>
          <w:sz w:val="22"/>
        </w:rPr>
        <w:t>hneď</w:t>
      </w:r>
      <w:r w:rsidR="00397E4D">
        <w:rPr>
          <w:sz w:val="22"/>
        </w:rPr>
        <w:t>,</w:t>
      </w:r>
      <w:r w:rsidR="00231256">
        <w:rPr>
          <w:sz w:val="22"/>
        </w:rPr>
        <w:t xml:space="preserve"> ako sa</w:t>
      </w:r>
      <w:r w:rsidRPr="0040738C">
        <w:rPr>
          <w:sz w:val="22"/>
        </w:rPr>
        <w:t xml:space="preserve"> obnov</w:t>
      </w:r>
      <w:r w:rsidR="00231256">
        <w:rPr>
          <w:sz w:val="22"/>
        </w:rPr>
        <w:t>í</w:t>
      </w:r>
      <w:r w:rsidRPr="0040738C">
        <w:rPr>
          <w:sz w:val="22"/>
        </w:rPr>
        <w:t xml:space="preserve"> </w:t>
      </w:r>
      <w:r w:rsidR="00524CB4">
        <w:rPr>
          <w:sz w:val="22"/>
        </w:rPr>
        <w:t>amplitúda</w:t>
      </w:r>
      <w:r w:rsidRPr="0040738C">
        <w:rPr>
          <w:sz w:val="22"/>
        </w:rPr>
        <w:t xml:space="preserve"> </w:t>
      </w:r>
      <w:proofErr w:type="spellStart"/>
      <w:r w:rsidRPr="0040738C">
        <w:rPr>
          <w:sz w:val="22"/>
        </w:rPr>
        <w:t>zášklbu</w:t>
      </w:r>
      <w:proofErr w:type="spellEnd"/>
      <w:r w:rsidRPr="0040738C">
        <w:rPr>
          <w:sz w:val="22"/>
        </w:rPr>
        <w:t xml:space="preserve"> na 10</w:t>
      </w:r>
      <w:r w:rsidR="002C210D">
        <w:rPr>
          <w:sz w:val="22"/>
        </w:rPr>
        <w:t> </w:t>
      </w:r>
      <w:r w:rsidRPr="0040738C">
        <w:rPr>
          <w:sz w:val="22"/>
        </w:rPr>
        <w:t xml:space="preserve">% kontrolnej </w:t>
      </w:r>
      <w:r w:rsidR="00524CB4">
        <w:rPr>
          <w:sz w:val="22"/>
        </w:rPr>
        <w:t xml:space="preserve">amplitúdy </w:t>
      </w:r>
      <w:proofErr w:type="spellStart"/>
      <w:r w:rsidR="00524CB4">
        <w:rPr>
          <w:sz w:val="22"/>
        </w:rPr>
        <w:t>zášklbu</w:t>
      </w:r>
      <w:proofErr w:type="spellEnd"/>
      <w:r w:rsidR="00207E61">
        <w:rPr>
          <w:sz w:val="22"/>
        </w:rPr>
        <w:t xml:space="preserve"> </w:t>
      </w:r>
      <w:r w:rsidRPr="0040738C">
        <w:rPr>
          <w:sz w:val="22"/>
        </w:rPr>
        <w:t xml:space="preserve">alebo </w:t>
      </w:r>
      <w:r w:rsidR="00231256">
        <w:rPr>
          <w:sz w:val="22"/>
        </w:rPr>
        <w:t xml:space="preserve">po opätovnom objavení sa </w:t>
      </w:r>
      <w:r w:rsidRPr="0040738C">
        <w:rPr>
          <w:sz w:val="22"/>
        </w:rPr>
        <w:t xml:space="preserve">1 až 2 </w:t>
      </w:r>
      <w:r w:rsidR="00524CB4">
        <w:rPr>
          <w:sz w:val="22"/>
        </w:rPr>
        <w:t>odpovedí</w:t>
      </w:r>
      <w:r w:rsidRPr="0040738C">
        <w:rPr>
          <w:sz w:val="22"/>
        </w:rPr>
        <w:t xml:space="preserve"> </w:t>
      </w:r>
      <w:r w:rsidR="00524CB4">
        <w:rPr>
          <w:sz w:val="22"/>
        </w:rPr>
        <w:t>na</w:t>
      </w:r>
      <w:r w:rsidRPr="0040738C">
        <w:rPr>
          <w:sz w:val="22"/>
        </w:rPr>
        <w:t xml:space="preserve"> </w:t>
      </w:r>
      <w:r w:rsidR="00524CB4">
        <w:rPr>
          <w:sz w:val="22"/>
        </w:rPr>
        <w:t>sériu</w:t>
      </w:r>
      <w:r w:rsidR="00231256">
        <w:rPr>
          <w:sz w:val="22"/>
        </w:rPr>
        <w:t xml:space="preserve"> štyroch </w:t>
      </w:r>
      <w:r w:rsidR="00AC787B">
        <w:rPr>
          <w:sz w:val="22"/>
        </w:rPr>
        <w:t>podnetov</w:t>
      </w:r>
      <w:r w:rsidRPr="0040738C">
        <w:rPr>
          <w:sz w:val="22"/>
        </w:rPr>
        <w:t>. Dávk</w:t>
      </w:r>
      <w:r w:rsidR="00231256">
        <w:rPr>
          <w:sz w:val="22"/>
        </w:rPr>
        <w:t>ovanie</w:t>
      </w:r>
      <w:r w:rsidRPr="0040738C">
        <w:rPr>
          <w:sz w:val="22"/>
        </w:rPr>
        <w:t xml:space="preserve"> sa má vždy </w:t>
      </w:r>
      <w:proofErr w:type="spellStart"/>
      <w:r w:rsidRPr="0040738C">
        <w:rPr>
          <w:sz w:val="22"/>
        </w:rPr>
        <w:t>titrovať</w:t>
      </w:r>
      <w:proofErr w:type="spellEnd"/>
      <w:r w:rsidRPr="0040738C">
        <w:rPr>
          <w:sz w:val="22"/>
        </w:rPr>
        <w:t xml:space="preserve"> </w:t>
      </w:r>
      <w:r w:rsidR="00B12167">
        <w:rPr>
          <w:sz w:val="22"/>
        </w:rPr>
        <w:t xml:space="preserve"> podľa</w:t>
      </w:r>
      <w:r w:rsidRPr="0040738C">
        <w:rPr>
          <w:sz w:val="22"/>
        </w:rPr>
        <w:t xml:space="preserve"> účink</w:t>
      </w:r>
      <w:r w:rsidR="00B12167">
        <w:rPr>
          <w:sz w:val="22"/>
        </w:rPr>
        <w:t>u</w:t>
      </w:r>
      <w:r w:rsidRPr="0040738C">
        <w:rPr>
          <w:sz w:val="22"/>
        </w:rPr>
        <w:t xml:space="preserve"> u </w:t>
      </w:r>
      <w:r w:rsidR="00231256">
        <w:rPr>
          <w:sz w:val="22"/>
        </w:rPr>
        <w:t>individuálneho</w:t>
      </w:r>
      <w:r w:rsidRPr="0040738C">
        <w:rPr>
          <w:sz w:val="22"/>
        </w:rPr>
        <w:t xml:space="preserve"> pacienta. Odporúčaná</w:t>
      </w:r>
      <w:r w:rsidR="00375D34">
        <w:rPr>
          <w:sz w:val="22"/>
        </w:rPr>
        <w:t xml:space="preserve"> úvodná</w:t>
      </w:r>
      <w:r w:rsidRPr="0040738C">
        <w:rPr>
          <w:sz w:val="22"/>
        </w:rPr>
        <w:t xml:space="preserve"> rýchlosť</w:t>
      </w:r>
      <w:r w:rsidR="00524CB4">
        <w:rPr>
          <w:sz w:val="22"/>
        </w:rPr>
        <w:t xml:space="preserve"> </w:t>
      </w:r>
      <w:r w:rsidRPr="0040738C">
        <w:rPr>
          <w:sz w:val="22"/>
        </w:rPr>
        <w:t>infúzie na udržiavanie 80</w:t>
      </w:r>
      <w:r w:rsidR="00AE7B72">
        <w:rPr>
          <w:sz w:val="22"/>
        </w:rPr>
        <w:t> </w:t>
      </w:r>
      <w:r w:rsidR="00110816">
        <w:rPr>
          <w:sz w:val="22"/>
        </w:rPr>
        <w:noBreakHyphen/>
      </w:r>
      <w:r w:rsidR="00AE7B72">
        <w:rPr>
          <w:sz w:val="22"/>
        </w:rPr>
        <w:t> </w:t>
      </w:r>
      <w:r w:rsidRPr="0040738C">
        <w:rPr>
          <w:sz w:val="22"/>
        </w:rPr>
        <w:t>90</w:t>
      </w:r>
      <w:r w:rsidR="001520D1">
        <w:rPr>
          <w:sz w:val="22"/>
        </w:rPr>
        <w:t> </w:t>
      </w:r>
      <w:r w:rsidRPr="0040738C">
        <w:rPr>
          <w:sz w:val="22"/>
        </w:rPr>
        <w:t xml:space="preserve">% </w:t>
      </w:r>
      <w:proofErr w:type="spellStart"/>
      <w:r w:rsidRPr="0040738C">
        <w:rPr>
          <w:sz w:val="22"/>
        </w:rPr>
        <w:t>nervovosvalovej</w:t>
      </w:r>
      <w:proofErr w:type="spellEnd"/>
      <w:r w:rsidRPr="0040738C">
        <w:rPr>
          <w:sz w:val="22"/>
        </w:rPr>
        <w:t xml:space="preserve"> blokády (1</w:t>
      </w:r>
      <w:r w:rsidR="00AE7B72">
        <w:rPr>
          <w:sz w:val="22"/>
        </w:rPr>
        <w:t> </w:t>
      </w:r>
      <w:r w:rsidRPr="0040738C">
        <w:rPr>
          <w:sz w:val="22"/>
        </w:rPr>
        <w:t>–</w:t>
      </w:r>
      <w:r w:rsidR="00AE7B72">
        <w:rPr>
          <w:sz w:val="22"/>
        </w:rPr>
        <w:t> </w:t>
      </w:r>
      <w:r w:rsidRPr="0040738C">
        <w:rPr>
          <w:sz w:val="22"/>
        </w:rPr>
        <w:t xml:space="preserve">2 </w:t>
      </w:r>
      <w:proofErr w:type="spellStart"/>
      <w:r w:rsidRPr="0040738C">
        <w:rPr>
          <w:sz w:val="22"/>
        </w:rPr>
        <w:t>zášklby</w:t>
      </w:r>
      <w:proofErr w:type="spellEnd"/>
      <w:r w:rsidRPr="0040738C">
        <w:rPr>
          <w:sz w:val="22"/>
        </w:rPr>
        <w:t xml:space="preserve"> pri TOF stimulácii) u dospelých pacientov </w:t>
      </w:r>
      <w:r w:rsidR="00231256">
        <w:rPr>
          <w:sz w:val="22"/>
        </w:rPr>
        <w:t xml:space="preserve">je </w:t>
      </w:r>
      <w:r w:rsidRPr="0040738C">
        <w:rPr>
          <w:sz w:val="22"/>
        </w:rPr>
        <w:t>0,3</w:t>
      </w:r>
      <w:r w:rsidR="00231256">
        <w:rPr>
          <w:sz w:val="22"/>
        </w:rPr>
        <w:t> </w:t>
      </w:r>
      <w:r w:rsidR="00231256">
        <w:rPr>
          <w:sz w:val="22"/>
        </w:rPr>
        <w:noBreakHyphen/>
        <w:t> </w:t>
      </w:r>
      <w:r w:rsidRPr="0040738C">
        <w:rPr>
          <w:sz w:val="22"/>
        </w:rPr>
        <w:t>0,6</w:t>
      </w:r>
      <w:r w:rsidR="00231256">
        <w:rPr>
          <w:sz w:val="22"/>
        </w:rPr>
        <w:t> </w:t>
      </w:r>
      <w:r w:rsidRPr="0040738C">
        <w:rPr>
          <w:sz w:val="22"/>
        </w:rPr>
        <w:t>mg/kg/h počas prvej hodiny podávania, ktorá sa potom musí zn</w:t>
      </w:r>
      <w:r w:rsidR="00231256">
        <w:rPr>
          <w:sz w:val="22"/>
        </w:rPr>
        <w:t>ížiť</w:t>
      </w:r>
      <w:r w:rsidRPr="0040738C">
        <w:rPr>
          <w:sz w:val="22"/>
        </w:rPr>
        <w:t xml:space="preserve"> počas </w:t>
      </w:r>
      <w:r w:rsidR="00231256">
        <w:rPr>
          <w:sz w:val="22"/>
        </w:rPr>
        <w:t>nasledujúcich</w:t>
      </w:r>
      <w:r w:rsidRPr="0040738C">
        <w:rPr>
          <w:sz w:val="22"/>
        </w:rPr>
        <w:t xml:space="preserve"> 6</w:t>
      </w:r>
      <w:r w:rsidR="00231256">
        <w:rPr>
          <w:sz w:val="22"/>
        </w:rPr>
        <w:t> </w:t>
      </w:r>
      <w:r w:rsidR="00231256">
        <w:rPr>
          <w:sz w:val="22"/>
        </w:rPr>
        <w:noBreakHyphen/>
        <w:t> </w:t>
      </w:r>
      <w:r w:rsidRPr="0040738C">
        <w:rPr>
          <w:sz w:val="22"/>
        </w:rPr>
        <w:t xml:space="preserve">12 hodín podľa individuálnej odpovede. </w:t>
      </w:r>
      <w:r w:rsidR="00231256">
        <w:rPr>
          <w:sz w:val="22"/>
        </w:rPr>
        <w:t>P</w:t>
      </w:r>
      <w:r w:rsidRPr="0040738C">
        <w:rPr>
          <w:sz w:val="22"/>
        </w:rPr>
        <w:t xml:space="preserve">ožiadavky na individuálne dávkovanie </w:t>
      </w:r>
      <w:r w:rsidR="00231256">
        <w:rPr>
          <w:sz w:val="22"/>
        </w:rPr>
        <w:t xml:space="preserve">už potom zostávajú </w:t>
      </w:r>
      <w:r w:rsidRPr="0040738C">
        <w:rPr>
          <w:sz w:val="22"/>
        </w:rPr>
        <w:t>relatívne konštantné.</w:t>
      </w:r>
    </w:p>
    <w:p w14:paraId="310895D6" w14:textId="77777777" w:rsidR="00CB2A09" w:rsidRPr="0040738C" w:rsidRDefault="00CB2A09" w:rsidP="00CD70B0">
      <w:pPr>
        <w:rPr>
          <w:sz w:val="22"/>
          <w:szCs w:val="20"/>
        </w:rPr>
      </w:pPr>
    </w:p>
    <w:p w14:paraId="31690D2F" w14:textId="53C12330" w:rsidR="00CB2A09" w:rsidRPr="0040738C" w:rsidRDefault="00CB2A09" w:rsidP="00CD70B0">
      <w:pPr>
        <w:rPr>
          <w:sz w:val="22"/>
          <w:szCs w:val="20"/>
        </w:rPr>
      </w:pPr>
      <w:r w:rsidRPr="0040738C">
        <w:rPr>
          <w:sz w:val="22"/>
          <w:szCs w:val="20"/>
        </w:rPr>
        <w:t>V</w:t>
      </w:r>
      <w:r w:rsidR="001520D1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kontrolovaných klinických </w:t>
      </w:r>
      <w:r w:rsidR="00375D34">
        <w:rPr>
          <w:sz w:val="22"/>
          <w:szCs w:val="20"/>
        </w:rPr>
        <w:t>št</w:t>
      </w:r>
      <w:r w:rsidRPr="0040738C">
        <w:rPr>
          <w:sz w:val="22"/>
          <w:szCs w:val="20"/>
        </w:rPr>
        <w:t>ú</w:t>
      </w:r>
      <w:r w:rsidR="00375D34">
        <w:rPr>
          <w:sz w:val="22"/>
          <w:szCs w:val="20"/>
        </w:rPr>
        <w:t>d</w:t>
      </w:r>
      <w:r w:rsidRPr="0040738C">
        <w:rPr>
          <w:sz w:val="22"/>
          <w:szCs w:val="20"/>
        </w:rPr>
        <w:t>i</w:t>
      </w:r>
      <w:r w:rsidR="00375D34">
        <w:rPr>
          <w:sz w:val="22"/>
          <w:szCs w:val="20"/>
        </w:rPr>
        <w:t>á</w:t>
      </w:r>
      <w:r w:rsidRPr="0040738C">
        <w:rPr>
          <w:sz w:val="22"/>
          <w:szCs w:val="20"/>
        </w:rPr>
        <w:t xml:space="preserve">ch sa zistili veľké rozdiely </w:t>
      </w:r>
      <w:r w:rsidR="00231256">
        <w:rPr>
          <w:sz w:val="22"/>
          <w:szCs w:val="20"/>
        </w:rPr>
        <w:t xml:space="preserve">v rýchlostiach hodinovej infúzie </w:t>
      </w:r>
      <w:r w:rsidRPr="0040738C">
        <w:rPr>
          <w:sz w:val="22"/>
          <w:szCs w:val="20"/>
        </w:rPr>
        <w:t>medzi pacientmi</w:t>
      </w:r>
      <w:r w:rsidR="00524CB4">
        <w:rPr>
          <w:sz w:val="22"/>
          <w:szCs w:val="20"/>
        </w:rPr>
        <w:t>,</w:t>
      </w:r>
      <w:r w:rsidRPr="0040738C">
        <w:rPr>
          <w:sz w:val="22"/>
          <w:szCs w:val="20"/>
        </w:rPr>
        <w:t xml:space="preserve"> s</w:t>
      </w:r>
      <w:r w:rsidR="001520D1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priemernými rýchlosťami </w:t>
      </w:r>
      <w:r w:rsidR="00231256">
        <w:rPr>
          <w:sz w:val="22"/>
          <w:szCs w:val="20"/>
        </w:rPr>
        <w:t xml:space="preserve">hodinovej </w:t>
      </w:r>
      <w:r w:rsidRPr="0040738C">
        <w:rPr>
          <w:sz w:val="22"/>
          <w:szCs w:val="20"/>
        </w:rPr>
        <w:t xml:space="preserve">infúzie </w:t>
      </w:r>
      <w:r w:rsidR="00231256">
        <w:rPr>
          <w:sz w:val="22"/>
          <w:szCs w:val="20"/>
        </w:rPr>
        <w:t xml:space="preserve">pohybujúcimi sa </w:t>
      </w:r>
      <w:r w:rsidRPr="0040738C">
        <w:rPr>
          <w:sz w:val="22"/>
          <w:szCs w:val="20"/>
        </w:rPr>
        <w:t>v</w:t>
      </w:r>
      <w:r w:rsidR="001520D1">
        <w:rPr>
          <w:sz w:val="22"/>
          <w:szCs w:val="20"/>
        </w:rPr>
        <w:t> </w:t>
      </w:r>
      <w:r w:rsidRPr="0040738C">
        <w:rPr>
          <w:sz w:val="22"/>
          <w:szCs w:val="20"/>
        </w:rPr>
        <w:t>rozmedzí 0,2</w:t>
      </w:r>
      <w:r w:rsidR="00AE7B72">
        <w:rPr>
          <w:sz w:val="22"/>
          <w:szCs w:val="20"/>
        </w:rPr>
        <w:t> </w:t>
      </w:r>
      <w:r w:rsidR="00110816">
        <w:rPr>
          <w:sz w:val="22"/>
          <w:szCs w:val="20"/>
        </w:rPr>
        <w:noBreakHyphen/>
      </w:r>
      <w:r w:rsidR="00AE7B72">
        <w:rPr>
          <w:sz w:val="22"/>
          <w:szCs w:val="20"/>
        </w:rPr>
        <w:t> </w:t>
      </w:r>
      <w:r w:rsidRPr="0040738C">
        <w:rPr>
          <w:sz w:val="22"/>
          <w:szCs w:val="20"/>
        </w:rPr>
        <w:t>0,</w:t>
      </w:r>
      <w:r w:rsidR="00110816" w:rsidRPr="0040738C">
        <w:rPr>
          <w:sz w:val="22"/>
          <w:szCs w:val="20"/>
        </w:rPr>
        <w:t>5</w:t>
      </w:r>
      <w:r w:rsidR="00110816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mg/kg/h v závislosti od </w:t>
      </w:r>
      <w:r w:rsidR="00A60A60">
        <w:rPr>
          <w:sz w:val="22"/>
          <w:szCs w:val="20"/>
        </w:rPr>
        <w:t>povahy</w:t>
      </w:r>
      <w:r w:rsidRPr="0040738C">
        <w:rPr>
          <w:sz w:val="22"/>
          <w:szCs w:val="20"/>
        </w:rPr>
        <w:t xml:space="preserve"> a rozsahu orgánového zlyhania</w:t>
      </w:r>
      <w:r w:rsidR="00A60A60">
        <w:rPr>
          <w:sz w:val="22"/>
          <w:szCs w:val="20"/>
        </w:rPr>
        <w:t xml:space="preserve"> (orgánových </w:t>
      </w:r>
      <w:r w:rsidRPr="0040738C">
        <w:rPr>
          <w:sz w:val="22"/>
          <w:szCs w:val="20"/>
        </w:rPr>
        <w:t>zlyhaní</w:t>
      </w:r>
      <w:r w:rsidR="00A60A60">
        <w:rPr>
          <w:sz w:val="22"/>
          <w:szCs w:val="20"/>
        </w:rPr>
        <w:t>)</w:t>
      </w:r>
      <w:r w:rsidRPr="0040738C">
        <w:rPr>
          <w:sz w:val="22"/>
          <w:szCs w:val="20"/>
        </w:rPr>
        <w:t xml:space="preserve">, súbežnej </w:t>
      </w:r>
      <w:r w:rsidR="00CB10DD">
        <w:rPr>
          <w:sz w:val="22"/>
          <w:szCs w:val="20"/>
        </w:rPr>
        <w:t>farmakoterapie</w:t>
      </w:r>
      <w:r w:rsidRPr="0040738C">
        <w:rPr>
          <w:sz w:val="22"/>
          <w:szCs w:val="20"/>
        </w:rPr>
        <w:t xml:space="preserve"> a od individuálnych charakteristík pacienta. Na zabezpečenie optimálnej </w:t>
      </w:r>
      <w:r w:rsidR="00A60A60">
        <w:rPr>
          <w:sz w:val="22"/>
          <w:szCs w:val="20"/>
        </w:rPr>
        <w:t xml:space="preserve">individuálnej </w:t>
      </w:r>
      <w:r w:rsidRPr="0040738C">
        <w:rPr>
          <w:sz w:val="22"/>
          <w:szCs w:val="20"/>
        </w:rPr>
        <w:t xml:space="preserve">kontroly pacienta sa </w:t>
      </w:r>
      <w:r w:rsidR="00A60A60">
        <w:rPr>
          <w:sz w:val="22"/>
          <w:szCs w:val="20"/>
        </w:rPr>
        <w:t xml:space="preserve">dôrazne </w:t>
      </w:r>
      <w:r w:rsidRPr="0040738C">
        <w:rPr>
          <w:sz w:val="22"/>
          <w:szCs w:val="20"/>
        </w:rPr>
        <w:t xml:space="preserve">odporúča </w:t>
      </w:r>
      <w:r w:rsidR="00A60A60">
        <w:rPr>
          <w:sz w:val="22"/>
          <w:szCs w:val="20"/>
        </w:rPr>
        <w:t>sledovať</w:t>
      </w:r>
      <w:r w:rsidRPr="0040738C">
        <w:rPr>
          <w:sz w:val="22"/>
          <w:szCs w:val="20"/>
        </w:rPr>
        <w:t xml:space="preserve"> </w:t>
      </w:r>
      <w:r w:rsidR="00A60A60">
        <w:rPr>
          <w:sz w:val="22"/>
          <w:szCs w:val="20"/>
        </w:rPr>
        <w:t>mieru</w:t>
      </w:r>
      <w:r w:rsidRPr="0040738C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nervovosvalového</w:t>
      </w:r>
      <w:proofErr w:type="spellEnd"/>
      <w:r w:rsidRPr="0040738C">
        <w:rPr>
          <w:sz w:val="22"/>
          <w:szCs w:val="20"/>
        </w:rPr>
        <w:t xml:space="preserve"> prenosu. </w:t>
      </w:r>
      <w:r w:rsidR="00A60A60">
        <w:rPr>
          <w:sz w:val="22"/>
          <w:szCs w:val="20"/>
        </w:rPr>
        <w:t>Skúmalo</w:t>
      </w:r>
      <w:r w:rsidRPr="0040738C">
        <w:rPr>
          <w:sz w:val="22"/>
          <w:szCs w:val="20"/>
        </w:rPr>
        <w:t xml:space="preserve"> sa podávanie až do 7 dní.</w:t>
      </w:r>
    </w:p>
    <w:p w14:paraId="262B80C5" w14:textId="77777777" w:rsidR="00CB2A09" w:rsidRPr="0040738C" w:rsidRDefault="00CB2A09" w:rsidP="00CD70B0">
      <w:pPr>
        <w:rPr>
          <w:sz w:val="22"/>
          <w:szCs w:val="20"/>
        </w:rPr>
      </w:pPr>
    </w:p>
    <w:p w14:paraId="6DF7BDFC" w14:textId="491A8C15" w:rsidR="00CB2A09" w:rsidRPr="0040738C" w:rsidRDefault="00A60A60" w:rsidP="00DC0343">
      <w:pPr>
        <w:keepNext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>Osobitné</w:t>
      </w:r>
      <w:r w:rsidR="00CB2A09" w:rsidRPr="0040738C">
        <w:rPr>
          <w:sz w:val="22"/>
          <w:szCs w:val="20"/>
          <w:u w:val="single"/>
        </w:rPr>
        <w:t xml:space="preserve"> </w:t>
      </w:r>
      <w:r w:rsidR="00B53638">
        <w:rPr>
          <w:sz w:val="22"/>
          <w:szCs w:val="20"/>
          <w:u w:val="single"/>
        </w:rPr>
        <w:t>populácie</w:t>
      </w:r>
    </w:p>
    <w:p w14:paraId="54406422" w14:textId="132816AF" w:rsidR="00CB2A09" w:rsidRPr="0040738C" w:rsidRDefault="00CB2A09" w:rsidP="00CD70B0">
      <w:pPr>
        <w:rPr>
          <w:sz w:val="22"/>
          <w:szCs w:val="20"/>
        </w:rPr>
      </w:pPr>
      <w:proofErr w:type="spellStart"/>
      <w:r w:rsidRPr="0040738C">
        <w:rPr>
          <w:sz w:val="22"/>
          <w:szCs w:val="20"/>
        </w:rPr>
        <w:t>Esmeron</w:t>
      </w:r>
      <w:proofErr w:type="spellEnd"/>
      <w:r w:rsidRPr="0040738C">
        <w:rPr>
          <w:sz w:val="22"/>
          <w:szCs w:val="20"/>
        </w:rPr>
        <w:t xml:space="preserve"> sa neodporúča na uľahčenie mechanickej ventilácie </w:t>
      </w:r>
      <w:r w:rsidR="00A60A60">
        <w:rPr>
          <w:sz w:val="22"/>
          <w:szCs w:val="20"/>
        </w:rPr>
        <w:t xml:space="preserve">pri </w:t>
      </w:r>
      <w:r w:rsidRPr="0040738C">
        <w:rPr>
          <w:sz w:val="22"/>
          <w:szCs w:val="20"/>
        </w:rPr>
        <w:t>intenzívnej starostlivosti u </w:t>
      </w:r>
      <w:r w:rsidR="00EB0ADD">
        <w:rPr>
          <w:sz w:val="22"/>
          <w:szCs w:val="20"/>
        </w:rPr>
        <w:t>pediatrických</w:t>
      </w:r>
      <w:r w:rsidR="00A60A60">
        <w:rPr>
          <w:sz w:val="22"/>
          <w:szCs w:val="20"/>
        </w:rPr>
        <w:t xml:space="preserve"> </w:t>
      </w:r>
      <w:r w:rsidRPr="0040738C">
        <w:rPr>
          <w:sz w:val="22"/>
          <w:szCs w:val="20"/>
        </w:rPr>
        <w:t>a geriatrických pacientov z</w:t>
      </w:r>
      <w:r w:rsidR="001520D1">
        <w:rPr>
          <w:sz w:val="22"/>
          <w:szCs w:val="20"/>
        </w:rPr>
        <w:t> </w:t>
      </w:r>
      <w:r w:rsidRPr="0040738C">
        <w:rPr>
          <w:sz w:val="22"/>
          <w:szCs w:val="20"/>
        </w:rPr>
        <w:t>dôvodu nedostatku údajov o bezpečnosti a účinnosti.</w:t>
      </w:r>
    </w:p>
    <w:p w14:paraId="454E424B" w14:textId="77777777" w:rsidR="00CB2A09" w:rsidRPr="0040738C" w:rsidRDefault="00CB2A09" w:rsidP="00CD70B0">
      <w:pPr>
        <w:rPr>
          <w:sz w:val="22"/>
          <w:szCs w:val="20"/>
        </w:rPr>
      </w:pPr>
    </w:p>
    <w:p w14:paraId="66521E32" w14:textId="77777777" w:rsidR="00CB2A09" w:rsidRPr="00F93190" w:rsidRDefault="001520D1" w:rsidP="003E54A9">
      <w:pPr>
        <w:keepNext/>
        <w:rPr>
          <w:sz w:val="22"/>
          <w:szCs w:val="20"/>
          <w:u w:val="single"/>
        </w:rPr>
      </w:pPr>
      <w:r w:rsidRPr="00F93190">
        <w:rPr>
          <w:sz w:val="22"/>
          <w:szCs w:val="20"/>
          <w:u w:val="single"/>
        </w:rPr>
        <w:lastRenderedPageBreak/>
        <w:t>Spôsob podávania</w:t>
      </w:r>
    </w:p>
    <w:p w14:paraId="775D5407" w14:textId="6CBF81B4" w:rsidR="00CB2A09" w:rsidRPr="0040738C" w:rsidRDefault="00CB2A09" w:rsidP="003E54A9">
      <w:pPr>
        <w:keepNext/>
        <w:rPr>
          <w:b/>
          <w:sz w:val="22"/>
          <w:szCs w:val="20"/>
        </w:rPr>
      </w:pPr>
    </w:p>
    <w:p w14:paraId="526D9803" w14:textId="5B05997C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  <w:proofErr w:type="spellStart"/>
      <w:r w:rsidRPr="0040738C">
        <w:rPr>
          <w:bCs/>
          <w:sz w:val="22"/>
          <w:szCs w:val="20"/>
        </w:rPr>
        <w:t>Esmeron</w:t>
      </w:r>
      <w:proofErr w:type="spellEnd"/>
      <w:r w:rsidRPr="0040738C">
        <w:rPr>
          <w:bCs/>
          <w:sz w:val="22"/>
          <w:szCs w:val="20"/>
        </w:rPr>
        <w:t xml:space="preserve"> sa podáva intravenózne buď </w:t>
      </w:r>
      <w:r w:rsidR="00A60A60">
        <w:rPr>
          <w:bCs/>
          <w:sz w:val="22"/>
          <w:szCs w:val="20"/>
        </w:rPr>
        <w:t xml:space="preserve">formou </w:t>
      </w:r>
      <w:proofErr w:type="spellStart"/>
      <w:r w:rsidRPr="0040738C">
        <w:rPr>
          <w:bCs/>
          <w:sz w:val="22"/>
          <w:szCs w:val="20"/>
        </w:rPr>
        <w:t>bolusov</w:t>
      </w:r>
      <w:r w:rsidR="00A60A60">
        <w:rPr>
          <w:bCs/>
          <w:sz w:val="22"/>
          <w:szCs w:val="20"/>
        </w:rPr>
        <w:t>ej</w:t>
      </w:r>
      <w:proofErr w:type="spellEnd"/>
      <w:r w:rsidRPr="0040738C">
        <w:rPr>
          <w:bCs/>
          <w:sz w:val="22"/>
          <w:szCs w:val="20"/>
        </w:rPr>
        <w:t xml:space="preserve"> injekci</w:t>
      </w:r>
      <w:r w:rsidR="00A60A60">
        <w:rPr>
          <w:bCs/>
          <w:sz w:val="22"/>
          <w:szCs w:val="20"/>
        </w:rPr>
        <w:t>e</w:t>
      </w:r>
      <w:r w:rsidRPr="0040738C">
        <w:rPr>
          <w:bCs/>
          <w:sz w:val="22"/>
          <w:szCs w:val="20"/>
        </w:rPr>
        <w:t xml:space="preserve"> alebo </w:t>
      </w:r>
      <w:r w:rsidR="00A60A60">
        <w:rPr>
          <w:bCs/>
          <w:sz w:val="22"/>
          <w:szCs w:val="20"/>
        </w:rPr>
        <w:t>formou</w:t>
      </w:r>
      <w:r w:rsidRPr="0040738C">
        <w:rPr>
          <w:bCs/>
          <w:sz w:val="22"/>
          <w:szCs w:val="20"/>
        </w:rPr>
        <w:t xml:space="preserve"> kontinuáln</w:t>
      </w:r>
      <w:r w:rsidR="00A60A60">
        <w:rPr>
          <w:bCs/>
          <w:sz w:val="22"/>
          <w:szCs w:val="20"/>
        </w:rPr>
        <w:t>ej</w:t>
      </w:r>
      <w:r w:rsidRPr="0040738C">
        <w:rPr>
          <w:bCs/>
          <w:sz w:val="22"/>
          <w:szCs w:val="20"/>
        </w:rPr>
        <w:t xml:space="preserve"> infúzi</w:t>
      </w:r>
      <w:r w:rsidR="00A60A60">
        <w:rPr>
          <w:bCs/>
          <w:sz w:val="22"/>
          <w:szCs w:val="20"/>
        </w:rPr>
        <w:t>e</w:t>
      </w:r>
      <w:r w:rsidRPr="0040738C">
        <w:rPr>
          <w:bCs/>
          <w:sz w:val="22"/>
          <w:szCs w:val="20"/>
        </w:rPr>
        <w:t xml:space="preserve"> (pozri časť 6.6).</w:t>
      </w:r>
    </w:p>
    <w:p w14:paraId="516D9483" w14:textId="77777777" w:rsidR="00CB2A09" w:rsidRPr="0040738C" w:rsidRDefault="00CB2A09" w:rsidP="00DD73F9">
      <w:pPr>
        <w:rPr>
          <w:sz w:val="22"/>
          <w:szCs w:val="20"/>
        </w:rPr>
      </w:pPr>
    </w:p>
    <w:p w14:paraId="73E7553B" w14:textId="77777777" w:rsidR="00CB2A09" w:rsidRPr="0040738C" w:rsidRDefault="00CB2A09" w:rsidP="00DD73F9">
      <w:pPr>
        <w:keepNext/>
        <w:rPr>
          <w:b/>
          <w:sz w:val="22"/>
          <w:szCs w:val="20"/>
        </w:rPr>
      </w:pPr>
      <w:r w:rsidRPr="0040738C">
        <w:rPr>
          <w:b/>
          <w:sz w:val="22"/>
          <w:szCs w:val="20"/>
        </w:rPr>
        <w:t>4.3</w:t>
      </w:r>
      <w:r w:rsidRPr="0040738C">
        <w:rPr>
          <w:b/>
          <w:sz w:val="22"/>
          <w:szCs w:val="20"/>
        </w:rPr>
        <w:tab/>
        <w:t>Kontraindikácie</w:t>
      </w:r>
    </w:p>
    <w:p w14:paraId="0CBDAB01" w14:textId="77777777" w:rsidR="00CB2A09" w:rsidRPr="0040738C" w:rsidRDefault="00CB2A09" w:rsidP="00DD73F9">
      <w:pPr>
        <w:keepNext/>
        <w:rPr>
          <w:bCs/>
          <w:sz w:val="22"/>
          <w:szCs w:val="20"/>
        </w:rPr>
      </w:pPr>
    </w:p>
    <w:p w14:paraId="6355EE7F" w14:textId="630DED31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 xml:space="preserve">Precitlivenosť na </w:t>
      </w:r>
      <w:proofErr w:type="spellStart"/>
      <w:r w:rsidR="00E63606">
        <w:rPr>
          <w:bCs/>
          <w:sz w:val="22"/>
          <w:szCs w:val="20"/>
        </w:rPr>
        <w:t>rokurónium</w:t>
      </w:r>
      <w:proofErr w:type="spellEnd"/>
      <w:r w:rsidR="00E63606">
        <w:rPr>
          <w:bCs/>
          <w:sz w:val="22"/>
          <w:szCs w:val="20"/>
        </w:rPr>
        <w:t xml:space="preserve">, </w:t>
      </w:r>
      <w:proofErr w:type="spellStart"/>
      <w:r w:rsidR="00E63606">
        <w:rPr>
          <w:bCs/>
          <w:sz w:val="22"/>
          <w:szCs w:val="20"/>
        </w:rPr>
        <w:t>bromidový</w:t>
      </w:r>
      <w:proofErr w:type="spellEnd"/>
      <w:r w:rsidR="00E63606">
        <w:rPr>
          <w:bCs/>
          <w:sz w:val="22"/>
          <w:szCs w:val="20"/>
        </w:rPr>
        <w:t xml:space="preserve"> ión</w:t>
      </w:r>
      <w:r w:rsidRPr="0040738C">
        <w:rPr>
          <w:bCs/>
          <w:sz w:val="22"/>
          <w:szCs w:val="20"/>
        </w:rPr>
        <w:t xml:space="preserve"> alebo na </w:t>
      </w:r>
      <w:r w:rsidR="00A60A60">
        <w:rPr>
          <w:bCs/>
          <w:sz w:val="22"/>
          <w:szCs w:val="20"/>
        </w:rPr>
        <w:t>ktorúkoľvek z pomocných látok</w:t>
      </w:r>
      <w:r w:rsidR="008473E3">
        <w:rPr>
          <w:bCs/>
          <w:sz w:val="22"/>
          <w:szCs w:val="20"/>
        </w:rPr>
        <w:t xml:space="preserve"> uvedených v časti 6.1</w:t>
      </w:r>
      <w:r w:rsidRPr="0040738C">
        <w:rPr>
          <w:bCs/>
          <w:sz w:val="22"/>
          <w:szCs w:val="20"/>
        </w:rPr>
        <w:t>.</w:t>
      </w:r>
    </w:p>
    <w:p w14:paraId="72AB739F" w14:textId="77777777" w:rsidR="00CB2A09" w:rsidRPr="0040738C" w:rsidRDefault="00CB2A09" w:rsidP="00CD70B0">
      <w:pPr>
        <w:rPr>
          <w:bCs/>
          <w:sz w:val="22"/>
          <w:szCs w:val="20"/>
        </w:rPr>
      </w:pPr>
    </w:p>
    <w:p w14:paraId="367F93C6" w14:textId="28515C1A" w:rsidR="00CB2A09" w:rsidRPr="0040738C" w:rsidRDefault="00CB2A09" w:rsidP="00DD73F9">
      <w:pPr>
        <w:keepNext/>
        <w:rPr>
          <w:b/>
          <w:sz w:val="22"/>
          <w:szCs w:val="20"/>
        </w:rPr>
      </w:pPr>
      <w:r w:rsidRPr="0040738C">
        <w:rPr>
          <w:b/>
          <w:sz w:val="22"/>
          <w:szCs w:val="20"/>
        </w:rPr>
        <w:t>4.4</w:t>
      </w:r>
      <w:r w:rsidRPr="0040738C">
        <w:rPr>
          <w:b/>
          <w:sz w:val="22"/>
          <w:szCs w:val="20"/>
        </w:rPr>
        <w:tab/>
      </w:r>
      <w:r w:rsidRPr="0040738C">
        <w:rPr>
          <w:b/>
          <w:noProof/>
          <w:sz w:val="22"/>
          <w:szCs w:val="22"/>
        </w:rPr>
        <w:t>Osobitné upozornenia a opatrenia pri používaní</w:t>
      </w:r>
    </w:p>
    <w:p w14:paraId="5754D3E4" w14:textId="77777777" w:rsidR="00CB2A09" w:rsidRPr="0040738C" w:rsidRDefault="00CB2A09" w:rsidP="00DD73F9">
      <w:pPr>
        <w:keepNext/>
        <w:rPr>
          <w:bCs/>
          <w:sz w:val="22"/>
          <w:szCs w:val="20"/>
        </w:rPr>
      </w:pPr>
    </w:p>
    <w:p w14:paraId="6C51BE2C" w14:textId="381495B2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 xml:space="preserve">Keďže </w:t>
      </w:r>
      <w:proofErr w:type="spellStart"/>
      <w:r w:rsidRPr="0040738C">
        <w:rPr>
          <w:bCs/>
          <w:sz w:val="22"/>
          <w:szCs w:val="20"/>
        </w:rPr>
        <w:t>Esmeron</w:t>
      </w:r>
      <w:proofErr w:type="spellEnd"/>
      <w:r w:rsidRPr="0040738C">
        <w:rPr>
          <w:bCs/>
          <w:sz w:val="22"/>
          <w:szCs w:val="20"/>
        </w:rPr>
        <w:t xml:space="preserve"> spôsobuje paralýzu dýchacích svalov, </w:t>
      </w:r>
      <w:r w:rsidR="00A60A60">
        <w:rPr>
          <w:bCs/>
          <w:sz w:val="22"/>
          <w:szCs w:val="20"/>
        </w:rPr>
        <w:t>u </w:t>
      </w:r>
      <w:r w:rsidRPr="0040738C">
        <w:rPr>
          <w:bCs/>
          <w:sz w:val="22"/>
          <w:szCs w:val="20"/>
        </w:rPr>
        <w:t>pacientov</w:t>
      </w:r>
      <w:r w:rsidR="00A60A60">
        <w:rPr>
          <w:bCs/>
          <w:sz w:val="22"/>
          <w:szCs w:val="20"/>
        </w:rPr>
        <w:t xml:space="preserve">, ktorým sa tento liek podá, </w:t>
      </w:r>
      <w:r w:rsidRPr="0040738C">
        <w:rPr>
          <w:bCs/>
          <w:sz w:val="22"/>
          <w:szCs w:val="20"/>
        </w:rPr>
        <w:t xml:space="preserve">je povinná mechanická ventilácia až do obnovenia </w:t>
      </w:r>
      <w:r w:rsidR="00A60A60">
        <w:rPr>
          <w:bCs/>
          <w:sz w:val="22"/>
          <w:szCs w:val="20"/>
        </w:rPr>
        <w:t>adekvátneho</w:t>
      </w:r>
      <w:r w:rsidRPr="0040738C">
        <w:rPr>
          <w:bCs/>
          <w:sz w:val="22"/>
          <w:szCs w:val="20"/>
        </w:rPr>
        <w:t xml:space="preserve"> spontánneho dýchania. Ako pri všetkých </w:t>
      </w:r>
      <w:proofErr w:type="spellStart"/>
      <w:r w:rsidRPr="0040738C">
        <w:rPr>
          <w:bCs/>
          <w:sz w:val="22"/>
          <w:szCs w:val="20"/>
        </w:rPr>
        <w:t>nervovosvalových</w:t>
      </w:r>
      <w:proofErr w:type="spellEnd"/>
      <w:r w:rsidRPr="0040738C">
        <w:rPr>
          <w:bCs/>
          <w:sz w:val="22"/>
          <w:szCs w:val="20"/>
        </w:rPr>
        <w:t xml:space="preserve"> </w:t>
      </w:r>
      <w:proofErr w:type="spellStart"/>
      <w:r w:rsidR="006A12CA">
        <w:rPr>
          <w:bCs/>
          <w:sz w:val="22"/>
          <w:szCs w:val="20"/>
        </w:rPr>
        <w:t>blokátoroch</w:t>
      </w:r>
      <w:proofErr w:type="spellEnd"/>
      <w:r w:rsidR="00A60A60">
        <w:rPr>
          <w:bCs/>
          <w:sz w:val="22"/>
          <w:szCs w:val="20"/>
        </w:rPr>
        <w:t>,</w:t>
      </w:r>
      <w:r w:rsidRPr="0040738C">
        <w:rPr>
          <w:bCs/>
          <w:sz w:val="22"/>
          <w:szCs w:val="20"/>
        </w:rPr>
        <w:t xml:space="preserve"> je dôležité </w:t>
      </w:r>
      <w:r w:rsidR="00B51F1A">
        <w:rPr>
          <w:bCs/>
          <w:sz w:val="22"/>
          <w:szCs w:val="20"/>
        </w:rPr>
        <w:t>predvídať</w:t>
      </w:r>
      <w:r w:rsidRPr="0040738C">
        <w:rPr>
          <w:bCs/>
          <w:sz w:val="22"/>
          <w:szCs w:val="20"/>
        </w:rPr>
        <w:t xml:space="preserve"> ťažkosti s </w:t>
      </w:r>
      <w:proofErr w:type="spellStart"/>
      <w:r w:rsidRPr="0040738C">
        <w:rPr>
          <w:bCs/>
          <w:sz w:val="22"/>
          <w:szCs w:val="20"/>
        </w:rPr>
        <w:t>intubáciou</w:t>
      </w:r>
      <w:proofErr w:type="spellEnd"/>
      <w:r w:rsidRPr="0040738C">
        <w:rPr>
          <w:bCs/>
          <w:sz w:val="22"/>
          <w:szCs w:val="20"/>
        </w:rPr>
        <w:t xml:space="preserve">, </w:t>
      </w:r>
      <w:r w:rsidR="00A60A60">
        <w:rPr>
          <w:bCs/>
          <w:sz w:val="22"/>
          <w:szCs w:val="20"/>
        </w:rPr>
        <w:t>najmä</w:t>
      </w:r>
      <w:r w:rsidRPr="0040738C">
        <w:rPr>
          <w:bCs/>
          <w:sz w:val="22"/>
          <w:szCs w:val="20"/>
        </w:rPr>
        <w:t xml:space="preserve"> ak sa používa </w:t>
      </w:r>
      <w:r w:rsidR="00A60A60">
        <w:rPr>
          <w:bCs/>
          <w:sz w:val="22"/>
          <w:szCs w:val="20"/>
        </w:rPr>
        <w:t xml:space="preserve">ako súčasť </w:t>
      </w:r>
      <w:r w:rsidRPr="0040738C">
        <w:rPr>
          <w:bCs/>
          <w:sz w:val="22"/>
          <w:szCs w:val="20"/>
        </w:rPr>
        <w:t>technik</w:t>
      </w:r>
      <w:r w:rsidR="00A60A60">
        <w:rPr>
          <w:bCs/>
          <w:sz w:val="22"/>
          <w:szCs w:val="20"/>
        </w:rPr>
        <w:t>y</w:t>
      </w:r>
      <w:r w:rsidRPr="0040738C">
        <w:rPr>
          <w:bCs/>
          <w:sz w:val="22"/>
          <w:szCs w:val="20"/>
        </w:rPr>
        <w:t xml:space="preserve"> </w:t>
      </w:r>
      <w:r w:rsidR="00A60A60">
        <w:rPr>
          <w:bCs/>
          <w:sz w:val="22"/>
          <w:szCs w:val="20"/>
        </w:rPr>
        <w:t xml:space="preserve">pre </w:t>
      </w:r>
      <w:r w:rsidRPr="0040738C">
        <w:rPr>
          <w:bCs/>
          <w:sz w:val="22"/>
          <w:szCs w:val="20"/>
        </w:rPr>
        <w:t>rýchl</w:t>
      </w:r>
      <w:r w:rsidR="00A60A60">
        <w:rPr>
          <w:bCs/>
          <w:sz w:val="22"/>
          <w:szCs w:val="20"/>
        </w:rPr>
        <w:t>y</w:t>
      </w:r>
      <w:r w:rsidRPr="0040738C">
        <w:rPr>
          <w:bCs/>
          <w:sz w:val="22"/>
          <w:szCs w:val="20"/>
        </w:rPr>
        <w:t xml:space="preserve"> úvod</w:t>
      </w:r>
      <w:r w:rsidR="00A60A60">
        <w:rPr>
          <w:bCs/>
          <w:sz w:val="22"/>
          <w:szCs w:val="20"/>
        </w:rPr>
        <w:t xml:space="preserve"> do celkovej anestézie</w:t>
      </w:r>
      <w:r w:rsidRPr="0040738C">
        <w:rPr>
          <w:bCs/>
          <w:sz w:val="22"/>
          <w:szCs w:val="20"/>
        </w:rPr>
        <w:t xml:space="preserve">. </w:t>
      </w:r>
      <w:r w:rsidRPr="00D025D2">
        <w:rPr>
          <w:bCs/>
          <w:sz w:val="22"/>
          <w:szCs w:val="20"/>
        </w:rPr>
        <w:t>V prípade ťažkostí s </w:t>
      </w:r>
      <w:proofErr w:type="spellStart"/>
      <w:r w:rsidRPr="00D025D2">
        <w:rPr>
          <w:bCs/>
          <w:sz w:val="22"/>
          <w:szCs w:val="20"/>
        </w:rPr>
        <w:t>intubáciou</w:t>
      </w:r>
      <w:proofErr w:type="spellEnd"/>
      <w:r w:rsidRPr="00D025D2">
        <w:rPr>
          <w:bCs/>
          <w:sz w:val="22"/>
          <w:szCs w:val="20"/>
        </w:rPr>
        <w:t xml:space="preserve"> vedú</w:t>
      </w:r>
      <w:r w:rsidR="00E63606" w:rsidRPr="00D025D2">
        <w:rPr>
          <w:bCs/>
          <w:sz w:val="22"/>
          <w:szCs w:val="20"/>
        </w:rPr>
        <w:t>cich</w:t>
      </w:r>
      <w:r w:rsidRPr="00D025D2">
        <w:rPr>
          <w:bCs/>
          <w:sz w:val="22"/>
          <w:szCs w:val="20"/>
        </w:rPr>
        <w:t xml:space="preserve"> ku klinick</w:t>
      </w:r>
      <w:r w:rsidR="00A60A60" w:rsidRPr="00D025D2">
        <w:rPr>
          <w:bCs/>
          <w:sz w:val="22"/>
          <w:szCs w:val="20"/>
        </w:rPr>
        <w:t>ej</w:t>
      </w:r>
      <w:r w:rsidRPr="00D025D2">
        <w:rPr>
          <w:bCs/>
          <w:sz w:val="22"/>
          <w:szCs w:val="20"/>
        </w:rPr>
        <w:t xml:space="preserve"> </w:t>
      </w:r>
      <w:r w:rsidR="00A60A60" w:rsidRPr="00D025D2">
        <w:rPr>
          <w:bCs/>
          <w:sz w:val="22"/>
          <w:szCs w:val="20"/>
        </w:rPr>
        <w:t>potrebe</w:t>
      </w:r>
      <w:r w:rsidRPr="00D025D2">
        <w:rPr>
          <w:bCs/>
          <w:sz w:val="22"/>
          <w:szCs w:val="20"/>
        </w:rPr>
        <w:t xml:space="preserve"> akútnej </w:t>
      </w:r>
      <w:proofErr w:type="spellStart"/>
      <w:r w:rsidRPr="00D025D2">
        <w:rPr>
          <w:bCs/>
          <w:sz w:val="22"/>
          <w:szCs w:val="20"/>
        </w:rPr>
        <w:t>reverzi</w:t>
      </w:r>
      <w:r w:rsidR="00A60A60" w:rsidRPr="00D025D2">
        <w:rPr>
          <w:bCs/>
          <w:sz w:val="22"/>
          <w:szCs w:val="20"/>
        </w:rPr>
        <w:t>e</w:t>
      </w:r>
      <w:proofErr w:type="spellEnd"/>
      <w:r w:rsidRPr="00D025D2">
        <w:rPr>
          <w:bCs/>
          <w:sz w:val="22"/>
          <w:szCs w:val="20"/>
        </w:rPr>
        <w:t xml:space="preserve"> </w:t>
      </w:r>
      <w:proofErr w:type="spellStart"/>
      <w:r w:rsidRPr="00D025D2">
        <w:rPr>
          <w:bCs/>
          <w:sz w:val="22"/>
          <w:szCs w:val="20"/>
        </w:rPr>
        <w:t>nervo</w:t>
      </w:r>
      <w:r w:rsidR="00F6104A" w:rsidRPr="00D025D2">
        <w:rPr>
          <w:bCs/>
          <w:sz w:val="22"/>
          <w:szCs w:val="20"/>
        </w:rPr>
        <w:t>vo</w:t>
      </w:r>
      <w:r w:rsidRPr="00D025D2">
        <w:rPr>
          <w:bCs/>
          <w:sz w:val="22"/>
          <w:szCs w:val="20"/>
        </w:rPr>
        <w:t>svalovej</w:t>
      </w:r>
      <w:proofErr w:type="spellEnd"/>
      <w:r w:rsidRPr="00D025D2">
        <w:rPr>
          <w:bCs/>
          <w:sz w:val="22"/>
          <w:szCs w:val="20"/>
        </w:rPr>
        <w:t xml:space="preserve"> blokády vyvolanej </w:t>
      </w:r>
      <w:proofErr w:type="spellStart"/>
      <w:r w:rsidRPr="00D025D2">
        <w:rPr>
          <w:bCs/>
          <w:sz w:val="22"/>
          <w:szCs w:val="20"/>
        </w:rPr>
        <w:t>rokuróniom</w:t>
      </w:r>
      <w:proofErr w:type="spellEnd"/>
      <w:r w:rsidRPr="00D025D2">
        <w:rPr>
          <w:bCs/>
          <w:sz w:val="22"/>
          <w:szCs w:val="20"/>
        </w:rPr>
        <w:t xml:space="preserve"> sa má zvážiť použitie </w:t>
      </w:r>
      <w:proofErr w:type="spellStart"/>
      <w:r w:rsidRPr="00D025D2">
        <w:rPr>
          <w:bCs/>
          <w:sz w:val="22"/>
          <w:szCs w:val="20"/>
        </w:rPr>
        <w:t>sugammadexu</w:t>
      </w:r>
      <w:proofErr w:type="spellEnd"/>
      <w:r w:rsidRPr="00D025D2">
        <w:rPr>
          <w:bCs/>
          <w:sz w:val="22"/>
          <w:szCs w:val="20"/>
        </w:rPr>
        <w:t>.</w:t>
      </w:r>
    </w:p>
    <w:p w14:paraId="16F990DA" w14:textId="77777777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</w:p>
    <w:p w14:paraId="7F36C033" w14:textId="1B7BD012" w:rsidR="00CB2A09" w:rsidRPr="0040738C" w:rsidRDefault="00CB2A09" w:rsidP="00CD70B0">
      <w:pPr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 xml:space="preserve">Tak ako pri iných </w:t>
      </w:r>
      <w:proofErr w:type="spellStart"/>
      <w:r w:rsidRPr="0040738C">
        <w:rPr>
          <w:bCs/>
          <w:sz w:val="22"/>
          <w:szCs w:val="20"/>
        </w:rPr>
        <w:t>nervovosvalových</w:t>
      </w:r>
      <w:proofErr w:type="spellEnd"/>
      <w:r w:rsidRPr="0040738C">
        <w:rPr>
          <w:bCs/>
          <w:sz w:val="22"/>
          <w:szCs w:val="20"/>
        </w:rPr>
        <w:t xml:space="preserve"> </w:t>
      </w:r>
      <w:proofErr w:type="spellStart"/>
      <w:r w:rsidR="006A12CA">
        <w:rPr>
          <w:bCs/>
          <w:sz w:val="22"/>
          <w:szCs w:val="20"/>
        </w:rPr>
        <w:t>blokátoroch</w:t>
      </w:r>
      <w:proofErr w:type="spellEnd"/>
      <w:r w:rsidR="00E076B6">
        <w:rPr>
          <w:bCs/>
          <w:sz w:val="22"/>
          <w:szCs w:val="20"/>
        </w:rPr>
        <w:t>,</w:t>
      </w:r>
      <w:r w:rsidRPr="0040738C">
        <w:rPr>
          <w:bCs/>
          <w:sz w:val="22"/>
          <w:szCs w:val="20"/>
        </w:rPr>
        <w:t xml:space="preserve"> aj pri </w:t>
      </w:r>
      <w:proofErr w:type="spellStart"/>
      <w:r w:rsidRPr="0040738C">
        <w:rPr>
          <w:bCs/>
          <w:sz w:val="22"/>
          <w:szCs w:val="20"/>
        </w:rPr>
        <w:t>Esmerone</w:t>
      </w:r>
      <w:proofErr w:type="spellEnd"/>
      <w:r w:rsidRPr="0040738C">
        <w:rPr>
          <w:bCs/>
          <w:sz w:val="22"/>
          <w:szCs w:val="20"/>
        </w:rPr>
        <w:t xml:space="preserve"> sa hlásila reziduálna </w:t>
      </w:r>
      <w:proofErr w:type="spellStart"/>
      <w:r w:rsidRPr="0040738C">
        <w:rPr>
          <w:bCs/>
          <w:sz w:val="22"/>
          <w:szCs w:val="20"/>
        </w:rPr>
        <w:t>kurarizácia</w:t>
      </w:r>
      <w:proofErr w:type="spellEnd"/>
      <w:r w:rsidRPr="0040738C">
        <w:rPr>
          <w:bCs/>
          <w:sz w:val="22"/>
          <w:szCs w:val="20"/>
        </w:rPr>
        <w:t xml:space="preserve">. Aby sa predišlo komplikáciám, ktoré vznikajú v dôsledku reziduálnej </w:t>
      </w:r>
      <w:proofErr w:type="spellStart"/>
      <w:r w:rsidRPr="0040738C">
        <w:rPr>
          <w:bCs/>
          <w:sz w:val="22"/>
          <w:szCs w:val="20"/>
        </w:rPr>
        <w:t>kurarizácie</w:t>
      </w:r>
      <w:proofErr w:type="spellEnd"/>
      <w:r w:rsidRPr="0040738C">
        <w:rPr>
          <w:bCs/>
          <w:sz w:val="22"/>
          <w:szCs w:val="20"/>
        </w:rPr>
        <w:t xml:space="preserve">, odporúča sa </w:t>
      </w:r>
      <w:proofErr w:type="spellStart"/>
      <w:r w:rsidRPr="0040738C">
        <w:rPr>
          <w:bCs/>
          <w:sz w:val="22"/>
          <w:szCs w:val="20"/>
        </w:rPr>
        <w:t>extubovať</w:t>
      </w:r>
      <w:proofErr w:type="spellEnd"/>
      <w:r w:rsidRPr="0040738C">
        <w:rPr>
          <w:bCs/>
          <w:sz w:val="22"/>
          <w:szCs w:val="20"/>
        </w:rPr>
        <w:t xml:space="preserve"> </w:t>
      </w:r>
      <w:r w:rsidR="00E076B6">
        <w:rPr>
          <w:bCs/>
          <w:sz w:val="22"/>
          <w:szCs w:val="20"/>
        </w:rPr>
        <w:t xml:space="preserve">len po </w:t>
      </w:r>
      <w:r w:rsidRPr="0040738C">
        <w:rPr>
          <w:bCs/>
          <w:sz w:val="22"/>
          <w:szCs w:val="20"/>
        </w:rPr>
        <w:t xml:space="preserve">dostatočnom </w:t>
      </w:r>
      <w:r w:rsidR="00E076B6">
        <w:rPr>
          <w:bCs/>
          <w:sz w:val="22"/>
          <w:szCs w:val="20"/>
        </w:rPr>
        <w:t>zotavení sa pacienta</w:t>
      </w:r>
      <w:r w:rsidRPr="0040738C">
        <w:rPr>
          <w:bCs/>
          <w:sz w:val="22"/>
          <w:szCs w:val="20"/>
        </w:rPr>
        <w:t xml:space="preserve"> </w:t>
      </w:r>
      <w:r w:rsidR="00E076B6">
        <w:rPr>
          <w:bCs/>
          <w:sz w:val="22"/>
          <w:szCs w:val="20"/>
        </w:rPr>
        <w:t xml:space="preserve">z </w:t>
      </w:r>
      <w:proofErr w:type="spellStart"/>
      <w:r w:rsidRPr="0040738C">
        <w:rPr>
          <w:bCs/>
          <w:sz w:val="22"/>
          <w:szCs w:val="20"/>
        </w:rPr>
        <w:t>nervo</w:t>
      </w:r>
      <w:r w:rsidR="00E076B6">
        <w:rPr>
          <w:bCs/>
          <w:sz w:val="22"/>
          <w:szCs w:val="20"/>
        </w:rPr>
        <w:t>vo</w:t>
      </w:r>
      <w:r w:rsidRPr="0040738C">
        <w:rPr>
          <w:bCs/>
          <w:sz w:val="22"/>
          <w:szCs w:val="20"/>
        </w:rPr>
        <w:t>svalovej</w:t>
      </w:r>
      <w:proofErr w:type="spellEnd"/>
      <w:r w:rsidRPr="0040738C">
        <w:rPr>
          <w:bCs/>
          <w:sz w:val="22"/>
          <w:szCs w:val="20"/>
        </w:rPr>
        <w:t xml:space="preserve"> blokády. </w:t>
      </w:r>
      <w:r w:rsidR="00CB4EFC" w:rsidRPr="00D025D2">
        <w:rPr>
          <w:bCs/>
          <w:sz w:val="22"/>
          <w:szCs w:val="20"/>
        </w:rPr>
        <w:t>U g</w:t>
      </w:r>
      <w:r w:rsidR="009B1A25" w:rsidRPr="00D025D2">
        <w:rPr>
          <w:bCs/>
          <w:sz w:val="22"/>
          <w:szCs w:val="20"/>
        </w:rPr>
        <w:t>eriatr</w:t>
      </w:r>
      <w:r w:rsidR="00CB4EFC" w:rsidRPr="00D025D2">
        <w:rPr>
          <w:bCs/>
          <w:sz w:val="22"/>
          <w:szCs w:val="20"/>
        </w:rPr>
        <w:t>ických pacientov</w:t>
      </w:r>
      <w:r w:rsidR="009B1A25" w:rsidRPr="00D025D2">
        <w:rPr>
          <w:bCs/>
          <w:sz w:val="22"/>
          <w:szCs w:val="20"/>
        </w:rPr>
        <w:t xml:space="preserve"> (65 rokov a starší)</w:t>
      </w:r>
      <w:r w:rsidR="00FD277A" w:rsidRPr="00D025D2">
        <w:rPr>
          <w:bCs/>
          <w:sz w:val="22"/>
          <w:szCs w:val="20"/>
        </w:rPr>
        <w:t xml:space="preserve"> môž</w:t>
      </w:r>
      <w:r w:rsidR="00C4393C" w:rsidRPr="00D025D2">
        <w:rPr>
          <w:bCs/>
          <w:sz w:val="22"/>
          <w:szCs w:val="20"/>
        </w:rPr>
        <w:t>e</w:t>
      </w:r>
      <w:r w:rsidR="00FD277A" w:rsidRPr="00D025D2">
        <w:rPr>
          <w:bCs/>
          <w:sz w:val="22"/>
          <w:szCs w:val="20"/>
        </w:rPr>
        <w:t xml:space="preserve"> </w:t>
      </w:r>
      <w:r w:rsidR="00CB4EFC" w:rsidRPr="00D025D2">
        <w:rPr>
          <w:bCs/>
          <w:sz w:val="22"/>
          <w:szCs w:val="20"/>
        </w:rPr>
        <w:t>existovať</w:t>
      </w:r>
      <w:r w:rsidR="00FD277A" w:rsidRPr="00D025D2">
        <w:rPr>
          <w:bCs/>
          <w:sz w:val="22"/>
          <w:szCs w:val="20"/>
        </w:rPr>
        <w:t xml:space="preserve"> zvýšené riziko reziduálnej </w:t>
      </w:r>
      <w:proofErr w:type="spellStart"/>
      <w:r w:rsidR="00FD277A" w:rsidRPr="00D025D2">
        <w:rPr>
          <w:bCs/>
          <w:sz w:val="22"/>
          <w:szCs w:val="20"/>
        </w:rPr>
        <w:t>nervovosvalovej</w:t>
      </w:r>
      <w:proofErr w:type="spellEnd"/>
      <w:r w:rsidR="00FD277A" w:rsidRPr="00D025D2">
        <w:rPr>
          <w:bCs/>
          <w:sz w:val="22"/>
          <w:szCs w:val="20"/>
        </w:rPr>
        <w:t xml:space="preserve"> blokády.</w:t>
      </w:r>
      <w:r w:rsidR="009B1A25" w:rsidRPr="00DD73F9">
        <w:rPr>
          <w:bCs/>
          <w:sz w:val="22"/>
          <w:szCs w:val="20"/>
        </w:rPr>
        <w:t xml:space="preserve"> </w:t>
      </w:r>
      <w:r w:rsidR="00E076B6" w:rsidRPr="00DD73F9">
        <w:rPr>
          <w:bCs/>
          <w:sz w:val="22"/>
          <w:szCs w:val="20"/>
        </w:rPr>
        <w:t>D</w:t>
      </w:r>
      <w:r w:rsidRPr="00DD73F9">
        <w:rPr>
          <w:bCs/>
          <w:sz w:val="22"/>
          <w:szCs w:val="20"/>
        </w:rPr>
        <w:t xml:space="preserve">o úvahy </w:t>
      </w:r>
      <w:r w:rsidR="00E076B6" w:rsidRPr="00DD73F9">
        <w:rPr>
          <w:bCs/>
          <w:sz w:val="22"/>
          <w:szCs w:val="20"/>
        </w:rPr>
        <w:t xml:space="preserve">je potrebné vziať </w:t>
      </w:r>
      <w:r w:rsidRPr="00DD73F9">
        <w:rPr>
          <w:bCs/>
          <w:sz w:val="22"/>
          <w:szCs w:val="20"/>
        </w:rPr>
        <w:t xml:space="preserve">aj ďalšie faktory, ktoré </w:t>
      </w:r>
      <w:r w:rsidR="00E076B6" w:rsidRPr="00DD73F9">
        <w:rPr>
          <w:bCs/>
          <w:sz w:val="22"/>
          <w:szCs w:val="20"/>
        </w:rPr>
        <w:t xml:space="preserve">by mohli </w:t>
      </w:r>
      <w:r w:rsidRPr="00DD73F9">
        <w:rPr>
          <w:bCs/>
          <w:sz w:val="22"/>
          <w:szCs w:val="20"/>
        </w:rPr>
        <w:t xml:space="preserve">spôsobiť reziduálnu </w:t>
      </w:r>
      <w:proofErr w:type="spellStart"/>
      <w:r w:rsidRPr="00DD73F9">
        <w:rPr>
          <w:bCs/>
          <w:sz w:val="22"/>
          <w:szCs w:val="20"/>
        </w:rPr>
        <w:t>kurarizáciu</w:t>
      </w:r>
      <w:proofErr w:type="spellEnd"/>
      <w:r w:rsidRPr="00DD73F9">
        <w:rPr>
          <w:bCs/>
          <w:sz w:val="22"/>
          <w:szCs w:val="20"/>
        </w:rPr>
        <w:t xml:space="preserve"> po </w:t>
      </w:r>
      <w:proofErr w:type="spellStart"/>
      <w:r w:rsidRPr="00DD73F9">
        <w:rPr>
          <w:bCs/>
          <w:sz w:val="22"/>
          <w:szCs w:val="20"/>
        </w:rPr>
        <w:t>extubácii</w:t>
      </w:r>
      <w:proofErr w:type="spellEnd"/>
      <w:r w:rsidRPr="0040738C">
        <w:rPr>
          <w:bCs/>
          <w:sz w:val="22"/>
          <w:szCs w:val="20"/>
        </w:rPr>
        <w:t xml:space="preserve"> v pooperačnej fáze (ako </w:t>
      </w:r>
      <w:r w:rsidR="00E076B6">
        <w:rPr>
          <w:bCs/>
          <w:sz w:val="22"/>
          <w:szCs w:val="20"/>
        </w:rPr>
        <w:t xml:space="preserve">napr. </w:t>
      </w:r>
      <w:r w:rsidRPr="0040738C">
        <w:rPr>
          <w:bCs/>
          <w:sz w:val="22"/>
          <w:szCs w:val="20"/>
        </w:rPr>
        <w:t>liekové interakcie alebo stav pacienta). Ak sa nepoužíva ako súčasť</w:t>
      </w:r>
      <w:r w:rsidR="00A63F0A">
        <w:rPr>
          <w:bCs/>
          <w:sz w:val="22"/>
          <w:szCs w:val="20"/>
        </w:rPr>
        <w:t xml:space="preserve"> </w:t>
      </w:r>
      <w:r w:rsidRPr="0040738C">
        <w:rPr>
          <w:bCs/>
          <w:sz w:val="22"/>
          <w:szCs w:val="20"/>
        </w:rPr>
        <w:t xml:space="preserve">bežnej klinickej praxe, má sa zvážiť použitie </w:t>
      </w:r>
      <w:proofErr w:type="spellStart"/>
      <w:r w:rsidRPr="0040738C">
        <w:rPr>
          <w:bCs/>
          <w:sz w:val="22"/>
          <w:szCs w:val="20"/>
        </w:rPr>
        <w:t>sugammadexu</w:t>
      </w:r>
      <w:proofErr w:type="spellEnd"/>
      <w:r w:rsidRPr="0040738C">
        <w:rPr>
          <w:bCs/>
          <w:sz w:val="22"/>
          <w:szCs w:val="20"/>
        </w:rPr>
        <w:t xml:space="preserve"> alebo in</w:t>
      </w:r>
      <w:r w:rsidR="00E076B6">
        <w:rPr>
          <w:bCs/>
          <w:sz w:val="22"/>
          <w:szCs w:val="20"/>
        </w:rPr>
        <w:t>ého</w:t>
      </w:r>
      <w:r w:rsidRPr="0040738C">
        <w:rPr>
          <w:bCs/>
          <w:sz w:val="22"/>
          <w:szCs w:val="20"/>
        </w:rPr>
        <w:t xml:space="preserve"> </w:t>
      </w:r>
      <w:r w:rsidR="00E076B6">
        <w:rPr>
          <w:bCs/>
          <w:sz w:val="22"/>
          <w:szCs w:val="20"/>
        </w:rPr>
        <w:t xml:space="preserve">liečiva </w:t>
      </w:r>
      <w:r w:rsidRPr="0040738C">
        <w:rPr>
          <w:bCs/>
          <w:sz w:val="22"/>
          <w:szCs w:val="20"/>
        </w:rPr>
        <w:t>s reverzným účinkom, najmä v</w:t>
      </w:r>
      <w:r w:rsidR="00E076B6">
        <w:rPr>
          <w:bCs/>
          <w:sz w:val="22"/>
          <w:szCs w:val="20"/>
        </w:rPr>
        <w:t> </w:t>
      </w:r>
      <w:r w:rsidRPr="0040738C">
        <w:rPr>
          <w:bCs/>
          <w:sz w:val="22"/>
          <w:szCs w:val="20"/>
        </w:rPr>
        <w:t>t</w:t>
      </w:r>
      <w:r w:rsidR="00E076B6">
        <w:rPr>
          <w:bCs/>
          <w:sz w:val="22"/>
          <w:szCs w:val="20"/>
        </w:rPr>
        <w:t xml:space="preserve">ých </w:t>
      </w:r>
      <w:r w:rsidRPr="0040738C">
        <w:rPr>
          <w:bCs/>
          <w:sz w:val="22"/>
          <w:szCs w:val="20"/>
        </w:rPr>
        <w:t>prípadoch, k</w:t>
      </w:r>
      <w:r w:rsidR="00E076B6">
        <w:rPr>
          <w:bCs/>
          <w:sz w:val="22"/>
          <w:szCs w:val="20"/>
        </w:rPr>
        <w:t>e</w:t>
      </w:r>
      <w:r w:rsidRPr="0040738C">
        <w:rPr>
          <w:bCs/>
          <w:sz w:val="22"/>
          <w:szCs w:val="20"/>
        </w:rPr>
        <w:t>d</w:t>
      </w:r>
      <w:r w:rsidR="00E076B6">
        <w:rPr>
          <w:bCs/>
          <w:sz w:val="22"/>
          <w:szCs w:val="20"/>
        </w:rPr>
        <w:t>y</w:t>
      </w:r>
      <w:r w:rsidRPr="0040738C">
        <w:rPr>
          <w:bCs/>
          <w:sz w:val="22"/>
          <w:szCs w:val="20"/>
        </w:rPr>
        <w:t xml:space="preserve"> je pravdepodobnejšie, že dôjde k reziduálnej </w:t>
      </w:r>
      <w:proofErr w:type="spellStart"/>
      <w:r w:rsidRPr="0040738C">
        <w:rPr>
          <w:bCs/>
          <w:sz w:val="22"/>
          <w:szCs w:val="20"/>
        </w:rPr>
        <w:t>kurarizácii</w:t>
      </w:r>
      <w:proofErr w:type="spellEnd"/>
      <w:r w:rsidRPr="0040738C">
        <w:rPr>
          <w:bCs/>
          <w:sz w:val="22"/>
          <w:szCs w:val="20"/>
        </w:rPr>
        <w:t>.</w:t>
      </w:r>
    </w:p>
    <w:p w14:paraId="72786FE4" w14:textId="77777777" w:rsidR="00CB2A09" w:rsidRPr="0040738C" w:rsidRDefault="00CB2A09" w:rsidP="00CD70B0">
      <w:pPr>
        <w:rPr>
          <w:bCs/>
          <w:sz w:val="22"/>
          <w:szCs w:val="20"/>
        </w:rPr>
      </w:pPr>
    </w:p>
    <w:p w14:paraId="11697857" w14:textId="7B5BC607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 xml:space="preserve">Po podaní </w:t>
      </w:r>
      <w:proofErr w:type="spellStart"/>
      <w:r w:rsidRPr="0040738C">
        <w:rPr>
          <w:bCs/>
          <w:sz w:val="22"/>
          <w:szCs w:val="20"/>
        </w:rPr>
        <w:t>nervovosvalových</w:t>
      </w:r>
      <w:proofErr w:type="spellEnd"/>
      <w:r w:rsidRPr="0040738C">
        <w:rPr>
          <w:bCs/>
          <w:sz w:val="22"/>
          <w:szCs w:val="20"/>
        </w:rPr>
        <w:t xml:space="preserve"> </w:t>
      </w:r>
      <w:proofErr w:type="spellStart"/>
      <w:r w:rsidR="006A12CA">
        <w:rPr>
          <w:bCs/>
          <w:sz w:val="22"/>
          <w:szCs w:val="20"/>
        </w:rPr>
        <w:t>blokátorov</w:t>
      </w:r>
      <w:proofErr w:type="spellEnd"/>
      <w:r w:rsidRPr="0040738C">
        <w:rPr>
          <w:bCs/>
          <w:sz w:val="22"/>
          <w:szCs w:val="20"/>
        </w:rPr>
        <w:t xml:space="preserve"> </w:t>
      </w:r>
      <w:r w:rsidR="00E076B6">
        <w:rPr>
          <w:bCs/>
          <w:sz w:val="22"/>
          <w:szCs w:val="20"/>
        </w:rPr>
        <w:t xml:space="preserve">sa </w:t>
      </w:r>
      <w:r w:rsidRPr="0040738C">
        <w:rPr>
          <w:bCs/>
          <w:sz w:val="22"/>
          <w:szCs w:val="20"/>
        </w:rPr>
        <w:t xml:space="preserve">môžu </w:t>
      </w:r>
      <w:r w:rsidR="00E076B6">
        <w:rPr>
          <w:bCs/>
          <w:sz w:val="22"/>
          <w:szCs w:val="20"/>
        </w:rPr>
        <w:t>objaviť</w:t>
      </w:r>
      <w:r w:rsidRPr="0040738C">
        <w:rPr>
          <w:bCs/>
          <w:sz w:val="22"/>
          <w:szCs w:val="20"/>
        </w:rPr>
        <w:t xml:space="preserve"> </w:t>
      </w:r>
      <w:proofErr w:type="spellStart"/>
      <w:r w:rsidRPr="0040738C">
        <w:rPr>
          <w:bCs/>
          <w:sz w:val="22"/>
          <w:szCs w:val="20"/>
        </w:rPr>
        <w:t>anafylaktické</w:t>
      </w:r>
      <w:proofErr w:type="spellEnd"/>
      <w:r w:rsidRPr="0040738C">
        <w:rPr>
          <w:bCs/>
          <w:sz w:val="22"/>
          <w:szCs w:val="20"/>
        </w:rPr>
        <w:t xml:space="preserve"> reakcie. </w:t>
      </w:r>
      <w:r w:rsidR="00E076B6">
        <w:rPr>
          <w:bCs/>
          <w:sz w:val="22"/>
          <w:szCs w:val="20"/>
        </w:rPr>
        <w:t>Vždy sa m</w:t>
      </w:r>
      <w:r w:rsidRPr="0040738C">
        <w:rPr>
          <w:bCs/>
          <w:sz w:val="22"/>
          <w:szCs w:val="20"/>
        </w:rPr>
        <w:t xml:space="preserve">ajú podniknúť opatrenia na liečbu takýchto reakcií. </w:t>
      </w:r>
      <w:r w:rsidR="00E076B6">
        <w:rPr>
          <w:bCs/>
          <w:sz w:val="22"/>
          <w:szCs w:val="20"/>
        </w:rPr>
        <w:t>Najmä</w:t>
      </w:r>
      <w:r w:rsidRPr="0040738C">
        <w:rPr>
          <w:bCs/>
          <w:sz w:val="22"/>
          <w:szCs w:val="20"/>
        </w:rPr>
        <w:t xml:space="preserve"> v prípade predchádzajúcich </w:t>
      </w:r>
      <w:proofErr w:type="spellStart"/>
      <w:r w:rsidRPr="0040738C">
        <w:rPr>
          <w:bCs/>
          <w:sz w:val="22"/>
          <w:szCs w:val="20"/>
        </w:rPr>
        <w:t>anafylaktických</w:t>
      </w:r>
      <w:proofErr w:type="spellEnd"/>
      <w:r w:rsidRPr="0040738C">
        <w:rPr>
          <w:bCs/>
          <w:sz w:val="22"/>
          <w:szCs w:val="20"/>
        </w:rPr>
        <w:t xml:space="preserve"> reakcií na </w:t>
      </w:r>
      <w:proofErr w:type="spellStart"/>
      <w:r w:rsidRPr="0040738C">
        <w:rPr>
          <w:bCs/>
          <w:sz w:val="22"/>
          <w:szCs w:val="20"/>
        </w:rPr>
        <w:t>nervovosvalové</w:t>
      </w:r>
      <w:proofErr w:type="spellEnd"/>
      <w:r w:rsidRPr="0040738C">
        <w:rPr>
          <w:bCs/>
          <w:sz w:val="22"/>
          <w:szCs w:val="20"/>
        </w:rPr>
        <w:t xml:space="preserve"> </w:t>
      </w:r>
      <w:proofErr w:type="spellStart"/>
      <w:r w:rsidR="006A12CA">
        <w:rPr>
          <w:bCs/>
          <w:sz w:val="22"/>
          <w:szCs w:val="20"/>
        </w:rPr>
        <w:t>blokátory</w:t>
      </w:r>
      <w:proofErr w:type="spellEnd"/>
      <w:r w:rsidRPr="0040738C">
        <w:rPr>
          <w:bCs/>
          <w:sz w:val="22"/>
          <w:szCs w:val="20"/>
        </w:rPr>
        <w:t xml:space="preserve"> sa majú podniknúť osobitné opatrenia, keďže sa hlásila skrížená alergická reaktivita na </w:t>
      </w:r>
      <w:proofErr w:type="spellStart"/>
      <w:r w:rsidRPr="0040738C">
        <w:rPr>
          <w:bCs/>
          <w:sz w:val="22"/>
          <w:szCs w:val="20"/>
        </w:rPr>
        <w:t>nervovosvalové</w:t>
      </w:r>
      <w:proofErr w:type="spellEnd"/>
      <w:r w:rsidRPr="0040738C">
        <w:rPr>
          <w:bCs/>
          <w:sz w:val="22"/>
          <w:szCs w:val="20"/>
        </w:rPr>
        <w:t xml:space="preserve"> </w:t>
      </w:r>
      <w:proofErr w:type="spellStart"/>
      <w:r w:rsidR="006A12CA">
        <w:rPr>
          <w:bCs/>
          <w:sz w:val="22"/>
          <w:szCs w:val="20"/>
        </w:rPr>
        <w:t>blokátory</w:t>
      </w:r>
      <w:proofErr w:type="spellEnd"/>
      <w:r w:rsidRPr="0040738C">
        <w:rPr>
          <w:bCs/>
          <w:sz w:val="22"/>
          <w:szCs w:val="20"/>
        </w:rPr>
        <w:t>.</w:t>
      </w:r>
    </w:p>
    <w:p w14:paraId="163A547C" w14:textId="77777777" w:rsidR="00CB2A09" w:rsidRPr="0040738C" w:rsidRDefault="00CB2A09" w:rsidP="00CD70B0">
      <w:pPr>
        <w:rPr>
          <w:sz w:val="22"/>
        </w:rPr>
      </w:pPr>
    </w:p>
    <w:p w14:paraId="56C7D956" w14:textId="3EFD03C7" w:rsidR="00CB2A09" w:rsidRPr="0040738C" w:rsidRDefault="001F1E52" w:rsidP="00CD70B0">
      <w:pPr>
        <w:rPr>
          <w:sz w:val="22"/>
        </w:rPr>
      </w:pPr>
      <w:r>
        <w:rPr>
          <w:sz w:val="22"/>
        </w:rPr>
        <w:t>Vo všeobecnosti p</w:t>
      </w:r>
      <w:r w:rsidR="00CB2A09" w:rsidRPr="0040738C">
        <w:rPr>
          <w:sz w:val="22"/>
        </w:rPr>
        <w:t xml:space="preserve">o dlhodobom používaní </w:t>
      </w:r>
      <w:proofErr w:type="spellStart"/>
      <w:r w:rsidR="00CB2A09" w:rsidRPr="0040738C">
        <w:rPr>
          <w:sz w:val="22"/>
        </w:rPr>
        <w:t>nervovosvalových</w:t>
      </w:r>
      <w:proofErr w:type="spellEnd"/>
      <w:r w:rsidR="00CB2A09" w:rsidRPr="0040738C">
        <w:rPr>
          <w:sz w:val="22"/>
        </w:rPr>
        <w:t xml:space="preserve"> </w:t>
      </w:r>
      <w:proofErr w:type="spellStart"/>
      <w:r w:rsidR="006A12CA">
        <w:rPr>
          <w:sz w:val="22"/>
        </w:rPr>
        <w:t>blokátorov</w:t>
      </w:r>
      <w:proofErr w:type="spellEnd"/>
      <w:r w:rsidR="00CB2A09" w:rsidRPr="0040738C">
        <w:rPr>
          <w:sz w:val="22"/>
        </w:rPr>
        <w:t xml:space="preserve"> na </w:t>
      </w:r>
      <w:r w:rsidR="00CB2A09" w:rsidRPr="00FF405E">
        <w:rPr>
          <w:sz w:val="22"/>
        </w:rPr>
        <w:t>JIS</w:t>
      </w:r>
      <w:r w:rsidR="00CB2A09" w:rsidRPr="0040738C">
        <w:rPr>
          <w:sz w:val="22"/>
        </w:rPr>
        <w:t xml:space="preserve"> sa zaznamenala dlhodobá paralýza a/alebo slabosť kostrového svalstva. Aby sa predišlo prípadnému predĺženiu </w:t>
      </w:r>
      <w:proofErr w:type="spellStart"/>
      <w:r w:rsidR="00CB2A09" w:rsidRPr="0040738C">
        <w:rPr>
          <w:sz w:val="22"/>
        </w:rPr>
        <w:t>nervovosvalovej</w:t>
      </w:r>
      <w:proofErr w:type="spellEnd"/>
      <w:r w:rsidR="00CB2A09" w:rsidRPr="0040738C">
        <w:rPr>
          <w:sz w:val="22"/>
        </w:rPr>
        <w:t xml:space="preserve"> blokády a/alebo predávkovaniu, dôrazne sa odporúča, aby sa počas</w:t>
      </w:r>
      <w:r w:rsidR="00E30F9E">
        <w:rPr>
          <w:sz w:val="22"/>
        </w:rPr>
        <w:t xml:space="preserve"> </w:t>
      </w:r>
      <w:r w:rsidR="00CB2A09" w:rsidRPr="0040738C">
        <w:rPr>
          <w:sz w:val="22"/>
        </w:rPr>
        <w:t xml:space="preserve">používania </w:t>
      </w:r>
      <w:proofErr w:type="spellStart"/>
      <w:r w:rsidR="00CB2A09" w:rsidRPr="0040738C">
        <w:rPr>
          <w:sz w:val="22"/>
        </w:rPr>
        <w:t>nervovosvalových</w:t>
      </w:r>
      <w:proofErr w:type="spellEnd"/>
      <w:r w:rsidR="00CB2A09" w:rsidRPr="0040738C">
        <w:rPr>
          <w:sz w:val="22"/>
        </w:rPr>
        <w:t xml:space="preserve"> </w:t>
      </w:r>
      <w:proofErr w:type="spellStart"/>
      <w:r w:rsidR="006A12CA">
        <w:rPr>
          <w:sz w:val="22"/>
        </w:rPr>
        <w:t>blokátorov</w:t>
      </w:r>
      <w:proofErr w:type="spellEnd"/>
      <w:r w:rsidR="00CB2A09" w:rsidRPr="0040738C">
        <w:rPr>
          <w:sz w:val="22"/>
        </w:rPr>
        <w:t xml:space="preserve"> sledoval </w:t>
      </w:r>
      <w:proofErr w:type="spellStart"/>
      <w:r w:rsidR="00CB2A09" w:rsidRPr="0040738C">
        <w:rPr>
          <w:sz w:val="22"/>
        </w:rPr>
        <w:t>nervovosvalový</w:t>
      </w:r>
      <w:proofErr w:type="spellEnd"/>
      <w:r w:rsidR="00CB2A09" w:rsidRPr="0040738C">
        <w:rPr>
          <w:sz w:val="22"/>
        </w:rPr>
        <w:t xml:space="preserve"> prenos. </w:t>
      </w:r>
      <w:r>
        <w:rPr>
          <w:sz w:val="22"/>
        </w:rPr>
        <w:t>Navyše, p</w:t>
      </w:r>
      <w:r w:rsidR="00CB2A09" w:rsidRPr="0040738C">
        <w:rPr>
          <w:sz w:val="22"/>
        </w:rPr>
        <w:t xml:space="preserve">acienti majú dostať adekvátnu </w:t>
      </w:r>
      <w:proofErr w:type="spellStart"/>
      <w:r w:rsidR="00CB2A09" w:rsidRPr="0040738C">
        <w:rPr>
          <w:sz w:val="22"/>
        </w:rPr>
        <w:t>analgéziu</w:t>
      </w:r>
      <w:proofErr w:type="spellEnd"/>
      <w:r w:rsidR="00CB2A09" w:rsidRPr="0040738C">
        <w:rPr>
          <w:sz w:val="22"/>
        </w:rPr>
        <w:t xml:space="preserve"> a </w:t>
      </w:r>
      <w:proofErr w:type="spellStart"/>
      <w:r w:rsidR="00CB2A09" w:rsidRPr="0040738C">
        <w:rPr>
          <w:sz w:val="22"/>
        </w:rPr>
        <w:t>sedáciu</w:t>
      </w:r>
      <w:proofErr w:type="spellEnd"/>
      <w:r w:rsidR="00CB2A09" w:rsidRPr="0040738C">
        <w:rPr>
          <w:sz w:val="22"/>
        </w:rPr>
        <w:t xml:space="preserve">. </w:t>
      </w:r>
      <w:r>
        <w:rPr>
          <w:sz w:val="22"/>
        </w:rPr>
        <w:t xml:space="preserve">Okrem toho, </w:t>
      </w:r>
      <w:proofErr w:type="spellStart"/>
      <w:r>
        <w:rPr>
          <w:sz w:val="22"/>
        </w:rPr>
        <w:t>n</w:t>
      </w:r>
      <w:r w:rsidR="00CB2A09" w:rsidRPr="0040738C">
        <w:rPr>
          <w:sz w:val="22"/>
        </w:rPr>
        <w:t>ervovosvalové</w:t>
      </w:r>
      <w:proofErr w:type="spellEnd"/>
      <w:r w:rsidR="00CB2A09" w:rsidRPr="0040738C">
        <w:rPr>
          <w:sz w:val="22"/>
        </w:rPr>
        <w:t xml:space="preserve"> </w:t>
      </w:r>
      <w:proofErr w:type="spellStart"/>
      <w:r w:rsidR="006A12CA">
        <w:rPr>
          <w:sz w:val="22"/>
        </w:rPr>
        <w:t>blokátory</w:t>
      </w:r>
      <w:proofErr w:type="spellEnd"/>
      <w:r w:rsidR="00CB2A09" w:rsidRPr="0040738C">
        <w:rPr>
          <w:sz w:val="22"/>
        </w:rPr>
        <w:t xml:space="preserve"> sa majú </w:t>
      </w:r>
      <w:proofErr w:type="spellStart"/>
      <w:r w:rsidR="00CB2A09" w:rsidRPr="0040738C">
        <w:rPr>
          <w:sz w:val="22"/>
        </w:rPr>
        <w:t>titrovať</w:t>
      </w:r>
      <w:proofErr w:type="spellEnd"/>
      <w:r w:rsidR="00CB2A09" w:rsidRPr="0040738C">
        <w:rPr>
          <w:sz w:val="22"/>
        </w:rPr>
        <w:t xml:space="preserve"> </w:t>
      </w:r>
      <w:r w:rsidR="00B12167">
        <w:rPr>
          <w:sz w:val="22"/>
        </w:rPr>
        <w:t xml:space="preserve"> podľa</w:t>
      </w:r>
      <w:r w:rsidR="00CB2A09" w:rsidRPr="0040738C">
        <w:rPr>
          <w:sz w:val="22"/>
        </w:rPr>
        <w:t xml:space="preserve"> účink</w:t>
      </w:r>
      <w:r w:rsidR="00B12167">
        <w:rPr>
          <w:sz w:val="22"/>
        </w:rPr>
        <w:t>u</w:t>
      </w:r>
      <w:r w:rsidR="00CB2A09" w:rsidRPr="0040738C">
        <w:rPr>
          <w:sz w:val="22"/>
        </w:rPr>
        <w:t xml:space="preserve"> u </w:t>
      </w:r>
      <w:r>
        <w:rPr>
          <w:sz w:val="22"/>
        </w:rPr>
        <w:t>individuálneho</w:t>
      </w:r>
      <w:r w:rsidR="00CB2A09" w:rsidRPr="0040738C">
        <w:rPr>
          <w:sz w:val="22"/>
        </w:rPr>
        <w:t xml:space="preserve"> pacienta </w:t>
      </w:r>
      <w:r w:rsidR="00B70405">
        <w:rPr>
          <w:sz w:val="22"/>
        </w:rPr>
        <w:t xml:space="preserve">skúsenými lekármi </w:t>
      </w:r>
      <w:r w:rsidR="00CB2A09" w:rsidRPr="0040738C">
        <w:rPr>
          <w:sz w:val="22"/>
        </w:rPr>
        <w:t xml:space="preserve">alebo </w:t>
      </w:r>
      <w:r w:rsidR="00B51F1A">
        <w:rPr>
          <w:sz w:val="22"/>
        </w:rPr>
        <w:t>pod dohľadom skúsených lekárov</w:t>
      </w:r>
      <w:r w:rsidR="00CB2A09" w:rsidRPr="0040738C">
        <w:rPr>
          <w:sz w:val="22"/>
        </w:rPr>
        <w:t xml:space="preserve">, ktorí </w:t>
      </w:r>
      <w:r>
        <w:rPr>
          <w:sz w:val="22"/>
        </w:rPr>
        <w:t xml:space="preserve">majú skúsenosti </w:t>
      </w:r>
      <w:r w:rsidR="00CB2A09" w:rsidRPr="0040738C">
        <w:rPr>
          <w:sz w:val="22"/>
        </w:rPr>
        <w:t xml:space="preserve">s účinkami </w:t>
      </w:r>
      <w:proofErr w:type="spellStart"/>
      <w:r w:rsidR="00BD6C71">
        <w:rPr>
          <w:sz w:val="22"/>
        </w:rPr>
        <w:t>nervovosvalových</w:t>
      </w:r>
      <w:proofErr w:type="spellEnd"/>
      <w:r w:rsidR="00BD6C71">
        <w:rPr>
          <w:sz w:val="22"/>
        </w:rPr>
        <w:t xml:space="preserve"> </w:t>
      </w:r>
      <w:proofErr w:type="spellStart"/>
      <w:r w:rsidR="006A12CA">
        <w:rPr>
          <w:sz w:val="22"/>
        </w:rPr>
        <w:t>blokátorov</w:t>
      </w:r>
      <w:proofErr w:type="spellEnd"/>
      <w:r w:rsidR="00BD6C71">
        <w:rPr>
          <w:sz w:val="22"/>
        </w:rPr>
        <w:t xml:space="preserve"> </w:t>
      </w:r>
      <w:r w:rsidR="00CB2A09" w:rsidRPr="0040738C">
        <w:rPr>
          <w:sz w:val="22"/>
        </w:rPr>
        <w:t xml:space="preserve">a s vhodnými </w:t>
      </w:r>
      <w:r w:rsidR="00BD6C71">
        <w:rPr>
          <w:sz w:val="22"/>
        </w:rPr>
        <w:t xml:space="preserve">technikami na sledovanie </w:t>
      </w:r>
      <w:proofErr w:type="spellStart"/>
      <w:r w:rsidR="00CB2A09" w:rsidRPr="0040738C">
        <w:rPr>
          <w:sz w:val="22"/>
        </w:rPr>
        <w:t>nervovosvalov</w:t>
      </w:r>
      <w:r w:rsidR="00BD6C71">
        <w:rPr>
          <w:sz w:val="22"/>
        </w:rPr>
        <w:t>ej</w:t>
      </w:r>
      <w:proofErr w:type="spellEnd"/>
      <w:r w:rsidR="00BD6C71">
        <w:rPr>
          <w:sz w:val="22"/>
        </w:rPr>
        <w:t xml:space="preserve"> aktivity</w:t>
      </w:r>
      <w:r w:rsidR="00CB2A09" w:rsidRPr="0040738C">
        <w:rPr>
          <w:sz w:val="22"/>
        </w:rPr>
        <w:t>.</w:t>
      </w:r>
    </w:p>
    <w:p w14:paraId="4BE98C3D" w14:textId="77777777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</w:p>
    <w:p w14:paraId="59B5CB63" w14:textId="5670A5E2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 xml:space="preserve">Pravidelne sa hlásila </w:t>
      </w:r>
      <w:proofErr w:type="spellStart"/>
      <w:r w:rsidRPr="0040738C">
        <w:rPr>
          <w:bCs/>
          <w:sz w:val="22"/>
          <w:szCs w:val="20"/>
        </w:rPr>
        <w:t>myopatia</w:t>
      </w:r>
      <w:proofErr w:type="spellEnd"/>
      <w:r w:rsidRPr="0040738C">
        <w:rPr>
          <w:bCs/>
          <w:sz w:val="22"/>
          <w:szCs w:val="20"/>
        </w:rPr>
        <w:t xml:space="preserve"> po dlhodobom podávaní iných </w:t>
      </w:r>
      <w:proofErr w:type="spellStart"/>
      <w:r w:rsidRPr="0040738C">
        <w:rPr>
          <w:bCs/>
          <w:sz w:val="22"/>
          <w:szCs w:val="20"/>
        </w:rPr>
        <w:t>nedepolarizujúcich</w:t>
      </w:r>
      <w:proofErr w:type="spellEnd"/>
      <w:r w:rsidRPr="0040738C">
        <w:rPr>
          <w:bCs/>
          <w:sz w:val="22"/>
          <w:szCs w:val="20"/>
        </w:rPr>
        <w:t xml:space="preserve"> </w:t>
      </w:r>
      <w:proofErr w:type="spellStart"/>
      <w:r w:rsidRPr="0040738C">
        <w:rPr>
          <w:bCs/>
          <w:sz w:val="22"/>
          <w:szCs w:val="20"/>
        </w:rPr>
        <w:t>nervovosvalových</w:t>
      </w:r>
      <w:proofErr w:type="spellEnd"/>
      <w:r w:rsidRPr="0040738C">
        <w:rPr>
          <w:bCs/>
          <w:sz w:val="22"/>
          <w:szCs w:val="20"/>
        </w:rPr>
        <w:t xml:space="preserve"> </w:t>
      </w:r>
      <w:proofErr w:type="spellStart"/>
      <w:r w:rsidR="006A12CA">
        <w:rPr>
          <w:bCs/>
          <w:sz w:val="22"/>
          <w:szCs w:val="20"/>
        </w:rPr>
        <w:t>blokátorov</w:t>
      </w:r>
      <w:proofErr w:type="spellEnd"/>
      <w:r w:rsidRPr="0040738C">
        <w:rPr>
          <w:bCs/>
          <w:sz w:val="22"/>
          <w:szCs w:val="20"/>
        </w:rPr>
        <w:t xml:space="preserve"> na JIS v kombinácii s liečbou </w:t>
      </w:r>
      <w:proofErr w:type="spellStart"/>
      <w:r w:rsidRPr="0040738C">
        <w:rPr>
          <w:bCs/>
          <w:sz w:val="22"/>
          <w:szCs w:val="20"/>
        </w:rPr>
        <w:t>kortikosteroidmi</w:t>
      </w:r>
      <w:proofErr w:type="spellEnd"/>
      <w:r w:rsidRPr="0040738C">
        <w:rPr>
          <w:bCs/>
          <w:sz w:val="22"/>
          <w:szCs w:val="20"/>
        </w:rPr>
        <w:t xml:space="preserve">. Preto u pacientov, ktorí </w:t>
      </w:r>
      <w:r w:rsidR="00BD6C71">
        <w:rPr>
          <w:bCs/>
          <w:sz w:val="22"/>
          <w:szCs w:val="20"/>
        </w:rPr>
        <w:t>dost</w:t>
      </w:r>
      <w:r w:rsidR="000A30E6">
        <w:rPr>
          <w:bCs/>
          <w:sz w:val="22"/>
          <w:szCs w:val="20"/>
        </w:rPr>
        <w:t>áv</w:t>
      </w:r>
      <w:r w:rsidR="00BD6C71">
        <w:rPr>
          <w:bCs/>
          <w:sz w:val="22"/>
          <w:szCs w:val="20"/>
        </w:rPr>
        <w:t>a</w:t>
      </w:r>
      <w:r w:rsidR="000A30E6">
        <w:rPr>
          <w:bCs/>
          <w:sz w:val="22"/>
          <w:szCs w:val="20"/>
        </w:rPr>
        <w:t>j</w:t>
      </w:r>
      <w:r w:rsidR="00BD6C71">
        <w:rPr>
          <w:bCs/>
          <w:sz w:val="22"/>
          <w:szCs w:val="20"/>
        </w:rPr>
        <w:t>ú</w:t>
      </w:r>
      <w:r w:rsidRPr="0040738C">
        <w:rPr>
          <w:bCs/>
          <w:sz w:val="22"/>
          <w:szCs w:val="20"/>
        </w:rPr>
        <w:t xml:space="preserve"> </w:t>
      </w:r>
      <w:proofErr w:type="spellStart"/>
      <w:r w:rsidRPr="0040738C">
        <w:rPr>
          <w:bCs/>
          <w:sz w:val="22"/>
          <w:szCs w:val="20"/>
        </w:rPr>
        <w:t>nervovosvalové</w:t>
      </w:r>
      <w:proofErr w:type="spellEnd"/>
      <w:r w:rsidRPr="0040738C">
        <w:rPr>
          <w:bCs/>
          <w:sz w:val="22"/>
          <w:szCs w:val="20"/>
        </w:rPr>
        <w:t xml:space="preserve"> </w:t>
      </w:r>
      <w:proofErr w:type="spellStart"/>
      <w:r w:rsidR="006A12CA">
        <w:rPr>
          <w:bCs/>
          <w:sz w:val="22"/>
          <w:szCs w:val="20"/>
        </w:rPr>
        <w:t>blokátory</w:t>
      </w:r>
      <w:proofErr w:type="spellEnd"/>
      <w:r w:rsidRPr="0040738C">
        <w:rPr>
          <w:bCs/>
          <w:sz w:val="22"/>
          <w:szCs w:val="20"/>
        </w:rPr>
        <w:t xml:space="preserve"> a </w:t>
      </w:r>
      <w:proofErr w:type="spellStart"/>
      <w:r w:rsidRPr="0040738C">
        <w:rPr>
          <w:bCs/>
          <w:sz w:val="22"/>
          <w:szCs w:val="20"/>
        </w:rPr>
        <w:t>kortikosteroidy</w:t>
      </w:r>
      <w:proofErr w:type="spellEnd"/>
      <w:r w:rsidRPr="0040738C">
        <w:rPr>
          <w:bCs/>
          <w:sz w:val="22"/>
          <w:szCs w:val="20"/>
        </w:rPr>
        <w:t xml:space="preserve">, </w:t>
      </w:r>
      <w:r w:rsidR="00BD6C71">
        <w:rPr>
          <w:bCs/>
          <w:sz w:val="22"/>
          <w:szCs w:val="20"/>
        </w:rPr>
        <w:t xml:space="preserve">sa </w:t>
      </w:r>
      <w:r w:rsidRPr="0040738C">
        <w:rPr>
          <w:bCs/>
          <w:sz w:val="22"/>
          <w:szCs w:val="20"/>
        </w:rPr>
        <w:t xml:space="preserve">má </w:t>
      </w:r>
      <w:r w:rsidR="00A365E8">
        <w:rPr>
          <w:bCs/>
          <w:sz w:val="22"/>
          <w:szCs w:val="20"/>
        </w:rPr>
        <w:t>čas používania</w:t>
      </w:r>
      <w:r w:rsidR="00BD6C71">
        <w:rPr>
          <w:bCs/>
          <w:sz w:val="22"/>
          <w:szCs w:val="20"/>
        </w:rPr>
        <w:t xml:space="preserve"> </w:t>
      </w:r>
      <w:proofErr w:type="spellStart"/>
      <w:r w:rsidR="00BD6C71">
        <w:rPr>
          <w:bCs/>
          <w:sz w:val="22"/>
          <w:szCs w:val="20"/>
        </w:rPr>
        <w:t>nervovosvalových</w:t>
      </w:r>
      <w:proofErr w:type="spellEnd"/>
      <w:r w:rsidR="00BD6C71">
        <w:rPr>
          <w:bCs/>
          <w:sz w:val="22"/>
          <w:szCs w:val="20"/>
        </w:rPr>
        <w:t xml:space="preserve"> </w:t>
      </w:r>
      <w:proofErr w:type="spellStart"/>
      <w:r w:rsidR="006A12CA">
        <w:rPr>
          <w:bCs/>
          <w:sz w:val="22"/>
          <w:szCs w:val="20"/>
        </w:rPr>
        <w:t>blokátorov</w:t>
      </w:r>
      <w:proofErr w:type="spellEnd"/>
      <w:r w:rsidR="00BD6C71">
        <w:rPr>
          <w:bCs/>
          <w:sz w:val="22"/>
          <w:szCs w:val="20"/>
        </w:rPr>
        <w:t xml:space="preserve"> </w:t>
      </w:r>
      <w:r w:rsidRPr="0040738C">
        <w:rPr>
          <w:bCs/>
          <w:sz w:val="22"/>
          <w:szCs w:val="20"/>
        </w:rPr>
        <w:t>čo najviac skrátiť.</w:t>
      </w:r>
    </w:p>
    <w:p w14:paraId="2E487CE4" w14:textId="77777777" w:rsidR="00CB2A09" w:rsidRPr="0040738C" w:rsidRDefault="00CB2A09" w:rsidP="00CD70B0">
      <w:pPr>
        <w:rPr>
          <w:bCs/>
          <w:sz w:val="22"/>
          <w:szCs w:val="20"/>
        </w:rPr>
      </w:pPr>
    </w:p>
    <w:p w14:paraId="2DEC0E32" w14:textId="4A691F00" w:rsidR="00CB2A09" w:rsidRDefault="00CB2A09" w:rsidP="00CD70B0">
      <w:pPr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 xml:space="preserve">Ak sa </w:t>
      </w:r>
      <w:r w:rsidR="00BD6C71">
        <w:rPr>
          <w:bCs/>
          <w:sz w:val="22"/>
          <w:szCs w:val="20"/>
        </w:rPr>
        <w:t>pri</w:t>
      </w:r>
      <w:r w:rsidR="00B70405">
        <w:rPr>
          <w:bCs/>
          <w:sz w:val="22"/>
          <w:szCs w:val="20"/>
        </w:rPr>
        <w:t xml:space="preserve"> </w:t>
      </w:r>
      <w:proofErr w:type="spellStart"/>
      <w:r w:rsidRPr="0040738C">
        <w:rPr>
          <w:bCs/>
          <w:sz w:val="22"/>
          <w:szCs w:val="20"/>
        </w:rPr>
        <w:t>intubáci</w:t>
      </w:r>
      <w:r w:rsidR="00BD6C71">
        <w:rPr>
          <w:bCs/>
          <w:sz w:val="22"/>
          <w:szCs w:val="20"/>
        </w:rPr>
        <w:t>i</w:t>
      </w:r>
      <w:proofErr w:type="spellEnd"/>
      <w:r w:rsidRPr="0040738C">
        <w:rPr>
          <w:bCs/>
          <w:sz w:val="22"/>
          <w:szCs w:val="20"/>
        </w:rPr>
        <w:t xml:space="preserve"> použije </w:t>
      </w:r>
      <w:proofErr w:type="spellStart"/>
      <w:r w:rsidRPr="0040738C">
        <w:rPr>
          <w:bCs/>
          <w:sz w:val="22"/>
          <w:szCs w:val="20"/>
        </w:rPr>
        <w:t>suxametónium</w:t>
      </w:r>
      <w:proofErr w:type="spellEnd"/>
      <w:r w:rsidRPr="0040738C">
        <w:rPr>
          <w:bCs/>
          <w:sz w:val="22"/>
          <w:szCs w:val="20"/>
        </w:rPr>
        <w:t xml:space="preserve">, podanie </w:t>
      </w:r>
      <w:proofErr w:type="spellStart"/>
      <w:r w:rsidRPr="0040738C">
        <w:rPr>
          <w:bCs/>
          <w:sz w:val="22"/>
          <w:szCs w:val="20"/>
        </w:rPr>
        <w:t>Esmeronu</w:t>
      </w:r>
      <w:proofErr w:type="spellEnd"/>
      <w:r w:rsidRPr="0040738C">
        <w:rPr>
          <w:bCs/>
          <w:sz w:val="22"/>
          <w:szCs w:val="20"/>
        </w:rPr>
        <w:t xml:space="preserve"> sa má oddialiť</w:t>
      </w:r>
      <w:r w:rsidR="00BD6C71">
        <w:rPr>
          <w:bCs/>
          <w:sz w:val="22"/>
          <w:szCs w:val="20"/>
        </w:rPr>
        <w:t xml:space="preserve"> dovtedy</w:t>
      </w:r>
      <w:r w:rsidRPr="0040738C">
        <w:rPr>
          <w:bCs/>
          <w:sz w:val="22"/>
          <w:szCs w:val="20"/>
        </w:rPr>
        <w:t xml:space="preserve">, kým sa pacient klinicky nezotaví </w:t>
      </w:r>
      <w:r w:rsidR="00BD6C71">
        <w:rPr>
          <w:bCs/>
          <w:sz w:val="22"/>
          <w:szCs w:val="20"/>
        </w:rPr>
        <w:t>z</w:t>
      </w:r>
      <w:r w:rsidRPr="0040738C">
        <w:rPr>
          <w:bCs/>
          <w:sz w:val="22"/>
          <w:szCs w:val="20"/>
        </w:rPr>
        <w:t xml:space="preserve"> </w:t>
      </w:r>
      <w:proofErr w:type="spellStart"/>
      <w:r w:rsidRPr="0040738C">
        <w:rPr>
          <w:bCs/>
          <w:sz w:val="22"/>
          <w:szCs w:val="20"/>
        </w:rPr>
        <w:t>nervovosvalovej</w:t>
      </w:r>
      <w:proofErr w:type="spellEnd"/>
      <w:r w:rsidRPr="0040738C">
        <w:rPr>
          <w:bCs/>
          <w:sz w:val="22"/>
          <w:szCs w:val="20"/>
        </w:rPr>
        <w:t xml:space="preserve"> blokád</w:t>
      </w:r>
      <w:r w:rsidR="00BD6C71">
        <w:rPr>
          <w:bCs/>
          <w:sz w:val="22"/>
          <w:szCs w:val="20"/>
        </w:rPr>
        <w:t>y</w:t>
      </w:r>
      <w:r w:rsidRPr="0040738C">
        <w:rPr>
          <w:bCs/>
          <w:sz w:val="22"/>
          <w:szCs w:val="20"/>
        </w:rPr>
        <w:t xml:space="preserve"> vyvolanej </w:t>
      </w:r>
      <w:proofErr w:type="spellStart"/>
      <w:r w:rsidRPr="0040738C">
        <w:rPr>
          <w:bCs/>
          <w:sz w:val="22"/>
          <w:szCs w:val="20"/>
        </w:rPr>
        <w:t>suxametóniom</w:t>
      </w:r>
      <w:proofErr w:type="spellEnd"/>
      <w:r w:rsidRPr="0040738C">
        <w:rPr>
          <w:bCs/>
          <w:sz w:val="22"/>
          <w:szCs w:val="20"/>
        </w:rPr>
        <w:t>.</w:t>
      </w:r>
    </w:p>
    <w:p w14:paraId="1484AEEA" w14:textId="77777777" w:rsidR="008473E3" w:rsidRDefault="008473E3" w:rsidP="00CD70B0">
      <w:pPr>
        <w:rPr>
          <w:bCs/>
          <w:sz w:val="22"/>
          <w:szCs w:val="20"/>
        </w:rPr>
      </w:pPr>
    </w:p>
    <w:p w14:paraId="4137075F" w14:textId="3DD72844" w:rsidR="008473E3" w:rsidRPr="0040738C" w:rsidRDefault="008473E3" w:rsidP="00CD70B0">
      <w:pPr>
        <w:rPr>
          <w:bCs/>
          <w:sz w:val="22"/>
          <w:szCs w:val="20"/>
        </w:rPr>
      </w:pPr>
      <w:r w:rsidRPr="008473E3">
        <w:rPr>
          <w:bCs/>
          <w:sz w:val="22"/>
          <w:szCs w:val="20"/>
        </w:rPr>
        <w:t xml:space="preserve">Tento liek obsahuje 1,72 mg sodíka v každom mililitri. Má sa vziať </w:t>
      </w:r>
      <w:r>
        <w:rPr>
          <w:bCs/>
          <w:sz w:val="22"/>
          <w:szCs w:val="20"/>
        </w:rPr>
        <w:t>do úvahy u pacientov na diéte s </w:t>
      </w:r>
      <w:r w:rsidRPr="008473E3">
        <w:rPr>
          <w:bCs/>
          <w:sz w:val="22"/>
          <w:szCs w:val="20"/>
        </w:rPr>
        <w:t>kontrolovaným obsahom sodíka.</w:t>
      </w:r>
    </w:p>
    <w:p w14:paraId="53E9660F" w14:textId="77777777" w:rsidR="00CB2A09" w:rsidRPr="0040738C" w:rsidRDefault="00CB2A09" w:rsidP="00CD70B0">
      <w:pPr>
        <w:rPr>
          <w:bCs/>
          <w:sz w:val="22"/>
          <w:szCs w:val="20"/>
        </w:rPr>
      </w:pPr>
    </w:p>
    <w:p w14:paraId="3BFD3BBF" w14:textId="6AC46738" w:rsidR="00CB2A09" w:rsidRPr="0040738C" w:rsidRDefault="00CB2A09" w:rsidP="00DD73F9">
      <w:pPr>
        <w:keepNext/>
        <w:rPr>
          <w:b/>
          <w:sz w:val="22"/>
          <w:szCs w:val="20"/>
        </w:rPr>
      </w:pPr>
      <w:r w:rsidRPr="0040738C">
        <w:rPr>
          <w:b/>
          <w:sz w:val="22"/>
          <w:szCs w:val="20"/>
        </w:rPr>
        <w:lastRenderedPageBreak/>
        <w:t>Nasled</w:t>
      </w:r>
      <w:r w:rsidR="00BD6C71">
        <w:rPr>
          <w:b/>
          <w:sz w:val="22"/>
          <w:szCs w:val="20"/>
        </w:rPr>
        <w:t>ovné</w:t>
      </w:r>
      <w:r w:rsidRPr="0040738C">
        <w:rPr>
          <w:b/>
          <w:sz w:val="22"/>
          <w:szCs w:val="20"/>
        </w:rPr>
        <w:t xml:space="preserve"> stavy môžu ovplyvniť </w:t>
      </w:r>
      <w:proofErr w:type="spellStart"/>
      <w:r w:rsidRPr="0040738C">
        <w:rPr>
          <w:b/>
          <w:sz w:val="22"/>
          <w:szCs w:val="20"/>
        </w:rPr>
        <w:t>farmakokinetiku</w:t>
      </w:r>
      <w:proofErr w:type="spellEnd"/>
      <w:r w:rsidRPr="0040738C">
        <w:rPr>
          <w:b/>
          <w:sz w:val="22"/>
          <w:szCs w:val="20"/>
        </w:rPr>
        <w:t xml:space="preserve"> a/alebo </w:t>
      </w:r>
      <w:proofErr w:type="spellStart"/>
      <w:r w:rsidRPr="0040738C">
        <w:rPr>
          <w:b/>
          <w:sz w:val="22"/>
          <w:szCs w:val="20"/>
        </w:rPr>
        <w:t>farmakodynamiku</w:t>
      </w:r>
      <w:proofErr w:type="spellEnd"/>
      <w:r w:rsidRPr="0040738C">
        <w:rPr>
          <w:b/>
          <w:sz w:val="22"/>
          <w:szCs w:val="20"/>
        </w:rPr>
        <w:t xml:space="preserve"> </w:t>
      </w:r>
      <w:proofErr w:type="spellStart"/>
      <w:r w:rsidRPr="0040738C">
        <w:rPr>
          <w:b/>
          <w:sz w:val="22"/>
          <w:szCs w:val="20"/>
        </w:rPr>
        <w:t>Esmeronu</w:t>
      </w:r>
      <w:proofErr w:type="spellEnd"/>
      <w:r w:rsidRPr="0040738C">
        <w:rPr>
          <w:b/>
          <w:sz w:val="22"/>
          <w:szCs w:val="20"/>
        </w:rPr>
        <w:t>:</w:t>
      </w:r>
    </w:p>
    <w:p w14:paraId="7CE9D03F" w14:textId="77777777" w:rsidR="00CB2A09" w:rsidRPr="0040738C" w:rsidRDefault="00CB2A09" w:rsidP="00DD73F9">
      <w:pPr>
        <w:keepNext/>
        <w:rPr>
          <w:bCs/>
          <w:sz w:val="22"/>
          <w:szCs w:val="20"/>
        </w:rPr>
      </w:pPr>
    </w:p>
    <w:p w14:paraId="30E6F421" w14:textId="1C5E9113" w:rsidR="00CB2A09" w:rsidRPr="0040738C" w:rsidRDefault="00CB2A09" w:rsidP="00DD73F9">
      <w:pPr>
        <w:keepNext/>
        <w:rPr>
          <w:bCs/>
          <w:sz w:val="22"/>
          <w:szCs w:val="20"/>
          <w:u w:val="single"/>
        </w:rPr>
      </w:pPr>
      <w:r w:rsidRPr="0040738C">
        <w:rPr>
          <w:bCs/>
          <w:sz w:val="22"/>
          <w:szCs w:val="20"/>
          <w:u w:val="single"/>
        </w:rPr>
        <w:t>Ochoreni</w:t>
      </w:r>
      <w:r w:rsidR="00BD6C71">
        <w:rPr>
          <w:bCs/>
          <w:sz w:val="22"/>
          <w:szCs w:val="20"/>
          <w:u w:val="single"/>
        </w:rPr>
        <w:t>e</w:t>
      </w:r>
      <w:r w:rsidRPr="0040738C">
        <w:rPr>
          <w:bCs/>
          <w:sz w:val="22"/>
          <w:szCs w:val="20"/>
          <w:u w:val="single"/>
        </w:rPr>
        <w:t xml:space="preserve"> pečene a/alebo žlčov</w:t>
      </w:r>
      <w:r w:rsidR="00BD6C71">
        <w:rPr>
          <w:bCs/>
          <w:sz w:val="22"/>
          <w:szCs w:val="20"/>
          <w:u w:val="single"/>
        </w:rPr>
        <w:t xml:space="preserve">ých ciest </w:t>
      </w:r>
      <w:r w:rsidRPr="0040738C">
        <w:rPr>
          <w:bCs/>
          <w:sz w:val="22"/>
          <w:szCs w:val="20"/>
          <w:u w:val="single"/>
        </w:rPr>
        <w:t>a zlyhanie obličiek</w:t>
      </w:r>
    </w:p>
    <w:p w14:paraId="27305767" w14:textId="7319A3A0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 xml:space="preserve">Keďže sa </w:t>
      </w:r>
      <w:proofErr w:type="spellStart"/>
      <w:r w:rsidRPr="0040738C">
        <w:rPr>
          <w:bCs/>
          <w:sz w:val="22"/>
          <w:szCs w:val="20"/>
        </w:rPr>
        <w:t>rokurónium</w:t>
      </w:r>
      <w:proofErr w:type="spellEnd"/>
      <w:r w:rsidRPr="0040738C">
        <w:rPr>
          <w:bCs/>
          <w:sz w:val="22"/>
          <w:szCs w:val="20"/>
        </w:rPr>
        <w:t xml:space="preserve"> vylučuje močom a žlčou, má sa používať </w:t>
      </w:r>
      <w:r w:rsidR="00BD6C71">
        <w:rPr>
          <w:bCs/>
          <w:sz w:val="22"/>
          <w:szCs w:val="20"/>
        </w:rPr>
        <w:t>s</w:t>
      </w:r>
      <w:r w:rsidR="00EF1B31">
        <w:rPr>
          <w:bCs/>
          <w:sz w:val="22"/>
          <w:szCs w:val="20"/>
        </w:rPr>
        <w:t> </w:t>
      </w:r>
      <w:r w:rsidRPr="0040738C">
        <w:rPr>
          <w:bCs/>
          <w:sz w:val="22"/>
          <w:szCs w:val="20"/>
        </w:rPr>
        <w:t>opatrn</w:t>
      </w:r>
      <w:r w:rsidR="00BD6C71">
        <w:rPr>
          <w:bCs/>
          <w:sz w:val="22"/>
          <w:szCs w:val="20"/>
        </w:rPr>
        <w:t>osťou</w:t>
      </w:r>
      <w:r w:rsidRPr="0040738C">
        <w:rPr>
          <w:bCs/>
          <w:sz w:val="22"/>
          <w:szCs w:val="20"/>
        </w:rPr>
        <w:t xml:space="preserve"> u pacientov s klinicky významnými ochoreniami pečene a/alebo žlčov</w:t>
      </w:r>
      <w:r w:rsidR="00BD6C71">
        <w:rPr>
          <w:bCs/>
          <w:sz w:val="22"/>
          <w:szCs w:val="20"/>
        </w:rPr>
        <w:t>ých</w:t>
      </w:r>
      <w:r w:rsidRPr="0040738C">
        <w:rPr>
          <w:bCs/>
          <w:sz w:val="22"/>
          <w:szCs w:val="20"/>
        </w:rPr>
        <w:t xml:space="preserve"> </w:t>
      </w:r>
      <w:r w:rsidR="00BD6C71">
        <w:rPr>
          <w:bCs/>
          <w:sz w:val="22"/>
          <w:szCs w:val="20"/>
        </w:rPr>
        <w:t>ciest</w:t>
      </w:r>
      <w:r w:rsidRPr="0040738C">
        <w:rPr>
          <w:bCs/>
          <w:sz w:val="22"/>
          <w:szCs w:val="20"/>
        </w:rPr>
        <w:t xml:space="preserve"> a/alebo zlyhaní</w:t>
      </w:r>
      <w:r w:rsidR="00B70405">
        <w:rPr>
          <w:bCs/>
          <w:sz w:val="22"/>
          <w:szCs w:val="20"/>
        </w:rPr>
        <w:t>m</w:t>
      </w:r>
      <w:r w:rsidRPr="0040738C">
        <w:rPr>
          <w:bCs/>
          <w:sz w:val="22"/>
          <w:szCs w:val="20"/>
        </w:rPr>
        <w:t xml:space="preserve"> obličiek. </w:t>
      </w:r>
      <w:r w:rsidR="00BD6C71">
        <w:rPr>
          <w:bCs/>
          <w:sz w:val="22"/>
          <w:szCs w:val="20"/>
        </w:rPr>
        <w:t>V</w:t>
      </w:r>
      <w:r w:rsidRPr="0040738C">
        <w:rPr>
          <w:bCs/>
          <w:sz w:val="22"/>
          <w:szCs w:val="20"/>
        </w:rPr>
        <w:t> t</w:t>
      </w:r>
      <w:r w:rsidR="00A365E8">
        <w:rPr>
          <w:bCs/>
          <w:sz w:val="22"/>
          <w:szCs w:val="20"/>
        </w:rPr>
        <w:t>ýchto</w:t>
      </w:r>
      <w:r w:rsidRPr="0040738C">
        <w:rPr>
          <w:bCs/>
          <w:sz w:val="22"/>
          <w:szCs w:val="20"/>
        </w:rPr>
        <w:t xml:space="preserve"> skupin</w:t>
      </w:r>
      <w:r w:rsidR="00A365E8">
        <w:rPr>
          <w:bCs/>
          <w:sz w:val="22"/>
          <w:szCs w:val="20"/>
        </w:rPr>
        <w:t>ách</w:t>
      </w:r>
      <w:r w:rsidRPr="0040738C">
        <w:rPr>
          <w:bCs/>
          <w:sz w:val="22"/>
          <w:szCs w:val="20"/>
        </w:rPr>
        <w:t xml:space="preserve"> pacientov sa pozor</w:t>
      </w:r>
      <w:r w:rsidR="00BD6C71">
        <w:rPr>
          <w:bCs/>
          <w:sz w:val="22"/>
          <w:szCs w:val="20"/>
        </w:rPr>
        <w:t>ovalo</w:t>
      </w:r>
      <w:r w:rsidRPr="0040738C">
        <w:rPr>
          <w:bCs/>
          <w:sz w:val="22"/>
          <w:szCs w:val="20"/>
        </w:rPr>
        <w:t xml:space="preserve"> predĺženie účinku pri dávkach 0,6</w:t>
      </w:r>
      <w:r w:rsidR="00B70405">
        <w:rPr>
          <w:bCs/>
          <w:sz w:val="22"/>
          <w:szCs w:val="20"/>
        </w:rPr>
        <w:t> </w:t>
      </w:r>
      <w:r w:rsidRPr="0040738C">
        <w:rPr>
          <w:bCs/>
          <w:sz w:val="22"/>
          <w:szCs w:val="20"/>
        </w:rPr>
        <w:t xml:space="preserve">mg/kg </w:t>
      </w:r>
      <w:proofErr w:type="spellStart"/>
      <w:r w:rsidRPr="0040738C">
        <w:rPr>
          <w:sz w:val="22"/>
          <w:szCs w:val="20"/>
        </w:rPr>
        <w:t>rokuróniumbromidu</w:t>
      </w:r>
      <w:proofErr w:type="spellEnd"/>
      <w:r w:rsidRPr="0040738C">
        <w:rPr>
          <w:bCs/>
          <w:sz w:val="22"/>
          <w:szCs w:val="20"/>
        </w:rPr>
        <w:t>.</w:t>
      </w:r>
    </w:p>
    <w:p w14:paraId="0495D3DA" w14:textId="77777777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</w:p>
    <w:p w14:paraId="02ED05FA" w14:textId="77777777" w:rsidR="00CB2A09" w:rsidRPr="0040738C" w:rsidRDefault="00CB2A09" w:rsidP="00DD73F9">
      <w:pPr>
        <w:keepNext/>
        <w:rPr>
          <w:bCs/>
          <w:sz w:val="22"/>
          <w:szCs w:val="20"/>
          <w:u w:val="single"/>
        </w:rPr>
      </w:pPr>
      <w:r w:rsidRPr="0040738C">
        <w:rPr>
          <w:bCs/>
          <w:sz w:val="22"/>
          <w:szCs w:val="20"/>
          <w:u w:val="single"/>
        </w:rPr>
        <w:t>Predĺžený čas cirkulácie</w:t>
      </w:r>
    </w:p>
    <w:p w14:paraId="5A0AE8A3" w14:textId="644EB902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 xml:space="preserve">Stavy </w:t>
      </w:r>
      <w:r w:rsidR="00BD6C71">
        <w:rPr>
          <w:bCs/>
          <w:sz w:val="22"/>
          <w:szCs w:val="20"/>
        </w:rPr>
        <w:t>spojené</w:t>
      </w:r>
      <w:r w:rsidRPr="0040738C">
        <w:rPr>
          <w:bCs/>
          <w:sz w:val="22"/>
          <w:szCs w:val="20"/>
        </w:rPr>
        <w:t xml:space="preserve"> s predĺženým časom cirkulácie</w:t>
      </w:r>
      <w:r w:rsidR="00356097">
        <w:rPr>
          <w:bCs/>
          <w:sz w:val="22"/>
          <w:szCs w:val="20"/>
        </w:rPr>
        <w:t>,</w:t>
      </w:r>
      <w:r w:rsidRPr="0040738C">
        <w:rPr>
          <w:bCs/>
          <w:sz w:val="22"/>
          <w:szCs w:val="20"/>
        </w:rPr>
        <w:t xml:space="preserve"> ako </w:t>
      </w:r>
      <w:r w:rsidR="00BD6C71">
        <w:rPr>
          <w:bCs/>
          <w:sz w:val="22"/>
          <w:szCs w:val="20"/>
        </w:rPr>
        <w:t>napr.</w:t>
      </w:r>
      <w:r w:rsidRPr="0040738C">
        <w:rPr>
          <w:bCs/>
          <w:sz w:val="22"/>
          <w:szCs w:val="20"/>
        </w:rPr>
        <w:t xml:space="preserve"> kardiovaskulárne ochoreni</w:t>
      </w:r>
      <w:r w:rsidR="00BD6C71">
        <w:rPr>
          <w:bCs/>
          <w:sz w:val="22"/>
          <w:szCs w:val="20"/>
        </w:rPr>
        <w:t>e</w:t>
      </w:r>
      <w:r w:rsidRPr="0040738C">
        <w:rPr>
          <w:bCs/>
          <w:sz w:val="22"/>
          <w:szCs w:val="20"/>
        </w:rPr>
        <w:t>, vysoký vek a </w:t>
      </w:r>
      <w:proofErr w:type="spellStart"/>
      <w:r w:rsidRPr="0040738C">
        <w:rPr>
          <w:bCs/>
          <w:sz w:val="22"/>
          <w:szCs w:val="20"/>
        </w:rPr>
        <w:t>ed</w:t>
      </w:r>
      <w:r w:rsidR="001630D4">
        <w:rPr>
          <w:bCs/>
          <w:sz w:val="22"/>
          <w:szCs w:val="20"/>
        </w:rPr>
        <w:t>ematózny</w:t>
      </w:r>
      <w:proofErr w:type="spellEnd"/>
      <w:r w:rsidRPr="0040738C">
        <w:rPr>
          <w:bCs/>
          <w:sz w:val="22"/>
          <w:szCs w:val="20"/>
        </w:rPr>
        <w:t xml:space="preserve"> stav</w:t>
      </w:r>
      <w:r w:rsidR="00BD6C71">
        <w:rPr>
          <w:bCs/>
          <w:sz w:val="22"/>
          <w:szCs w:val="20"/>
        </w:rPr>
        <w:t xml:space="preserve">, ktoré </w:t>
      </w:r>
      <w:r w:rsidRPr="0040738C">
        <w:rPr>
          <w:bCs/>
          <w:sz w:val="22"/>
          <w:szCs w:val="20"/>
        </w:rPr>
        <w:t>vedú k </w:t>
      </w:r>
      <w:r w:rsidR="00BD6C71">
        <w:rPr>
          <w:bCs/>
          <w:sz w:val="22"/>
          <w:szCs w:val="20"/>
        </w:rPr>
        <w:t>zvýšenému</w:t>
      </w:r>
      <w:r w:rsidRPr="0040738C">
        <w:rPr>
          <w:bCs/>
          <w:sz w:val="22"/>
          <w:szCs w:val="20"/>
        </w:rPr>
        <w:t xml:space="preserve"> distribučnému objemu, môž</w:t>
      </w:r>
      <w:r w:rsidR="00BD6C71">
        <w:rPr>
          <w:bCs/>
          <w:sz w:val="22"/>
          <w:szCs w:val="20"/>
        </w:rPr>
        <w:t>u</w:t>
      </w:r>
      <w:r w:rsidRPr="0040738C">
        <w:rPr>
          <w:bCs/>
          <w:sz w:val="22"/>
          <w:szCs w:val="20"/>
        </w:rPr>
        <w:t xml:space="preserve"> prispieť k pomalšiemu nástupu účinku. </w:t>
      </w:r>
      <w:r w:rsidR="00BD6C71">
        <w:rPr>
          <w:bCs/>
          <w:sz w:val="22"/>
          <w:szCs w:val="20"/>
        </w:rPr>
        <w:t>Dĺžka t</w:t>
      </w:r>
      <w:r w:rsidRPr="0040738C">
        <w:rPr>
          <w:bCs/>
          <w:sz w:val="22"/>
          <w:szCs w:val="20"/>
        </w:rPr>
        <w:t>rvani</w:t>
      </w:r>
      <w:r w:rsidR="00BD6C71">
        <w:rPr>
          <w:bCs/>
          <w:sz w:val="22"/>
          <w:szCs w:val="20"/>
        </w:rPr>
        <w:t>a</w:t>
      </w:r>
      <w:r w:rsidRPr="0040738C">
        <w:rPr>
          <w:bCs/>
          <w:sz w:val="22"/>
          <w:szCs w:val="20"/>
        </w:rPr>
        <w:t xml:space="preserve"> účinku </w:t>
      </w:r>
      <w:r w:rsidR="00BD6C71">
        <w:rPr>
          <w:bCs/>
          <w:sz w:val="22"/>
          <w:szCs w:val="20"/>
        </w:rPr>
        <w:t xml:space="preserve">sa </w:t>
      </w:r>
      <w:r w:rsidRPr="0040738C">
        <w:rPr>
          <w:bCs/>
          <w:sz w:val="22"/>
          <w:szCs w:val="20"/>
        </w:rPr>
        <w:t>môže tiež predĺž</w:t>
      </w:r>
      <w:r w:rsidR="00BD6C71">
        <w:rPr>
          <w:bCs/>
          <w:sz w:val="22"/>
          <w:szCs w:val="20"/>
        </w:rPr>
        <w:t>iť</w:t>
      </w:r>
      <w:r w:rsidRPr="0040738C">
        <w:rPr>
          <w:bCs/>
          <w:sz w:val="22"/>
          <w:szCs w:val="20"/>
        </w:rPr>
        <w:t xml:space="preserve"> v dôsledku zníženého </w:t>
      </w:r>
      <w:r w:rsidR="00BD6C71">
        <w:rPr>
          <w:bCs/>
          <w:sz w:val="22"/>
          <w:szCs w:val="20"/>
        </w:rPr>
        <w:t xml:space="preserve">plazmatického </w:t>
      </w:r>
      <w:proofErr w:type="spellStart"/>
      <w:r w:rsidRPr="0040738C">
        <w:rPr>
          <w:bCs/>
          <w:sz w:val="22"/>
          <w:szCs w:val="20"/>
        </w:rPr>
        <w:t>klírensu</w:t>
      </w:r>
      <w:proofErr w:type="spellEnd"/>
      <w:r w:rsidRPr="0040738C">
        <w:rPr>
          <w:bCs/>
          <w:sz w:val="22"/>
          <w:szCs w:val="20"/>
        </w:rPr>
        <w:t>.</w:t>
      </w:r>
    </w:p>
    <w:p w14:paraId="6F8BA47C" w14:textId="77777777" w:rsidR="00CB2A09" w:rsidRPr="0040738C" w:rsidRDefault="00CB2A09" w:rsidP="00CD70B0">
      <w:pPr>
        <w:rPr>
          <w:bCs/>
          <w:sz w:val="22"/>
          <w:szCs w:val="20"/>
        </w:rPr>
      </w:pPr>
    </w:p>
    <w:p w14:paraId="5B320FC6" w14:textId="4E24AAFB" w:rsidR="00CB2A09" w:rsidRPr="0040738C" w:rsidRDefault="00CB2A09" w:rsidP="003E54A9">
      <w:pPr>
        <w:keepNext/>
        <w:rPr>
          <w:bCs/>
          <w:sz w:val="22"/>
          <w:szCs w:val="20"/>
          <w:u w:val="single"/>
        </w:rPr>
      </w:pPr>
      <w:proofErr w:type="spellStart"/>
      <w:r w:rsidRPr="0040738C">
        <w:rPr>
          <w:bCs/>
          <w:sz w:val="22"/>
          <w:szCs w:val="20"/>
          <w:u w:val="single"/>
        </w:rPr>
        <w:t>Ne</w:t>
      </w:r>
      <w:r w:rsidR="00BD6C71">
        <w:rPr>
          <w:bCs/>
          <w:sz w:val="22"/>
          <w:szCs w:val="20"/>
          <w:u w:val="single"/>
        </w:rPr>
        <w:t>rvovosvalové</w:t>
      </w:r>
      <w:proofErr w:type="spellEnd"/>
      <w:r w:rsidRPr="0040738C">
        <w:rPr>
          <w:bCs/>
          <w:sz w:val="22"/>
          <w:szCs w:val="20"/>
          <w:u w:val="single"/>
        </w:rPr>
        <w:t xml:space="preserve"> ochoreni</w:t>
      </w:r>
      <w:r w:rsidR="00BD6C71">
        <w:rPr>
          <w:bCs/>
          <w:sz w:val="22"/>
          <w:szCs w:val="20"/>
          <w:u w:val="single"/>
        </w:rPr>
        <w:t>e</w:t>
      </w:r>
    </w:p>
    <w:p w14:paraId="2A93F9F8" w14:textId="124A68D1" w:rsidR="00CB2A09" w:rsidRPr="0040738C" w:rsidRDefault="00BD6C71" w:rsidP="00CD70B0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Tak </w:t>
      </w:r>
      <w:r w:rsidR="00CB2A09" w:rsidRPr="0040738C">
        <w:rPr>
          <w:bCs/>
          <w:sz w:val="22"/>
          <w:szCs w:val="20"/>
        </w:rPr>
        <w:t xml:space="preserve">ako iné </w:t>
      </w:r>
      <w:proofErr w:type="spellStart"/>
      <w:r w:rsidR="00CB2A09" w:rsidRPr="0040738C">
        <w:rPr>
          <w:bCs/>
          <w:sz w:val="22"/>
          <w:szCs w:val="20"/>
        </w:rPr>
        <w:t>nervovosvalové</w:t>
      </w:r>
      <w:proofErr w:type="spellEnd"/>
      <w:r w:rsidR="00CB2A09" w:rsidRPr="0040738C">
        <w:rPr>
          <w:bCs/>
          <w:sz w:val="22"/>
          <w:szCs w:val="20"/>
        </w:rPr>
        <w:t xml:space="preserve"> </w:t>
      </w:r>
      <w:proofErr w:type="spellStart"/>
      <w:r w:rsidR="006874DB">
        <w:rPr>
          <w:bCs/>
          <w:sz w:val="22"/>
          <w:szCs w:val="20"/>
        </w:rPr>
        <w:t>blokátory</w:t>
      </w:r>
      <w:proofErr w:type="spellEnd"/>
      <w:r w:rsidR="00CB2A09" w:rsidRPr="0040738C">
        <w:rPr>
          <w:bCs/>
          <w:sz w:val="22"/>
          <w:szCs w:val="20"/>
        </w:rPr>
        <w:t xml:space="preserve">, </w:t>
      </w:r>
      <w:proofErr w:type="spellStart"/>
      <w:r w:rsidR="00CB2A09" w:rsidRPr="0040738C">
        <w:rPr>
          <w:bCs/>
          <w:sz w:val="22"/>
          <w:szCs w:val="20"/>
        </w:rPr>
        <w:t>Esmeron</w:t>
      </w:r>
      <w:proofErr w:type="spellEnd"/>
      <w:r w:rsidR="00CB2A09" w:rsidRPr="0040738C">
        <w:rPr>
          <w:bCs/>
          <w:sz w:val="22"/>
          <w:szCs w:val="20"/>
        </w:rPr>
        <w:t xml:space="preserve"> sa má používať </w:t>
      </w:r>
      <w:r>
        <w:rPr>
          <w:bCs/>
          <w:sz w:val="22"/>
          <w:szCs w:val="20"/>
        </w:rPr>
        <w:t>s mimoriadnou</w:t>
      </w:r>
      <w:r w:rsidR="00CB2A09" w:rsidRPr="0040738C">
        <w:rPr>
          <w:bCs/>
          <w:sz w:val="22"/>
          <w:szCs w:val="20"/>
        </w:rPr>
        <w:t xml:space="preserve"> opatrn</w:t>
      </w:r>
      <w:r>
        <w:rPr>
          <w:bCs/>
          <w:sz w:val="22"/>
          <w:szCs w:val="20"/>
        </w:rPr>
        <w:t>osťou</w:t>
      </w:r>
      <w:r w:rsidR="00CB2A09" w:rsidRPr="0040738C">
        <w:rPr>
          <w:bCs/>
          <w:sz w:val="22"/>
          <w:szCs w:val="20"/>
        </w:rPr>
        <w:t xml:space="preserve"> u pacientov s </w:t>
      </w:r>
      <w:proofErr w:type="spellStart"/>
      <w:r w:rsidR="00CB2A09" w:rsidRPr="0040738C">
        <w:rPr>
          <w:bCs/>
          <w:sz w:val="22"/>
          <w:szCs w:val="20"/>
        </w:rPr>
        <w:t>nervovosvalovým</w:t>
      </w:r>
      <w:proofErr w:type="spellEnd"/>
      <w:r w:rsidR="00CB2A09" w:rsidRPr="0040738C">
        <w:rPr>
          <w:bCs/>
          <w:sz w:val="22"/>
          <w:szCs w:val="20"/>
        </w:rPr>
        <w:t xml:space="preserve"> ochoren</w:t>
      </w:r>
      <w:r w:rsidR="001630D4">
        <w:rPr>
          <w:bCs/>
          <w:sz w:val="22"/>
          <w:szCs w:val="20"/>
        </w:rPr>
        <w:t>í</w:t>
      </w:r>
      <w:r w:rsidR="00CB2A09" w:rsidRPr="0040738C">
        <w:rPr>
          <w:bCs/>
          <w:sz w:val="22"/>
          <w:szCs w:val="20"/>
        </w:rPr>
        <w:t xml:space="preserve">m alebo po </w:t>
      </w:r>
      <w:proofErr w:type="spellStart"/>
      <w:r w:rsidR="00CB2A09" w:rsidRPr="0040738C">
        <w:rPr>
          <w:bCs/>
          <w:sz w:val="22"/>
          <w:szCs w:val="20"/>
        </w:rPr>
        <w:t>poliomyelitíde</w:t>
      </w:r>
      <w:proofErr w:type="spellEnd"/>
      <w:r w:rsidR="00CB2A09" w:rsidRPr="0040738C">
        <w:rPr>
          <w:bCs/>
          <w:sz w:val="22"/>
          <w:szCs w:val="20"/>
        </w:rPr>
        <w:t xml:space="preserve">, keďže v týchto prípadoch môže </w:t>
      </w:r>
      <w:r w:rsidR="00356097">
        <w:rPr>
          <w:bCs/>
          <w:sz w:val="22"/>
          <w:szCs w:val="20"/>
        </w:rPr>
        <w:t xml:space="preserve">byť </w:t>
      </w:r>
      <w:r w:rsidR="00CB2A09" w:rsidRPr="0040738C">
        <w:rPr>
          <w:bCs/>
          <w:sz w:val="22"/>
          <w:szCs w:val="20"/>
        </w:rPr>
        <w:t xml:space="preserve">odpoveď na </w:t>
      </w:r>
      <w:proofErr w:type="spellStart"/>
      <w:r w:rsidR="00CB2A09" w:rsidRPr="0040738C">
        <w:rPr>
          <w:bCs/>
          <w:sz w:val="22"/>
          <w:szCs w:val="20"/>
        </w:rPr>
        <w:t>nervovosvalové</w:t>
      </w:r>
      <w:proofErr w:type="spellEnd"/>
      <w:r w:rsidR="00CB2A09" w:rsidRPr="0040738C">
        <w:rPr>
          <w:bCs/>
          <w:sz w:val="22"/>
          <w:szCs w:val="20"/>
        </w:rPr>
        <w:t xml:space="preserve"> </w:t>
      </w:r>
      <w:proofErr w:type="spellStart"/>
      <w:r w:rsidR="006874DB">
        <w:rPr>
          <w:bCs/>
          <w:sz w:val="22"/>
          <w:szCs w:val="20"/>
        </w:rPr>
        <w:t>blokátory</w:t>
      </w:r>
      <w:proofErr w:type="spellEnd"/>
      <w:r w:rsidR="00CB2A09" w:rsidRPr="0040738C">
        <w:rPr>
          <w:bCs/>
          <w:sz w:val="22"/>
          <w:szCs w:val="20"/>
        </w:rPr>
        <w:t xml:space="preserve"> výrazne </w:t>
      </w:r>
      <w:r w:rsidR="00356097">
        <w:rPr>
          <w:bCs/>
          <w:sz w:val="22"/>
          <w:szCs w:val="20"/>
        </w:rPr>
        <w:t>zmenená</w:t>
      </w:r>
      <w:r w:rsidR="00CB2A09" w:rsidRPr="0040738C">
        <w:rPr>
          <w:bCs/>
          <w:sz w:val="22"/>
          <w:szCs w:val="20"/>
        </w:rPr>
        <w:t>. Rozsah a charakter t</w:t>
      </w:r>
      <w:r w:rsidR="009617F1">
        <w:rPr>
          <w:bCs/>
          <w:sz w:val="22"/>
          <w:szCs w:val="20"/>
        </w:rPr>
        <w:t>ejto</w:t>
      </w:r>
      <w:r w:rsidR="00CB2A09" w:rsidRPr="0040738C">
        <w:rPr>
          <w:bCs/>
          <w:sz w:val="22"/>
          <w:szCs w:val="20"/>
        </w:rPr>
        <w:t xml:space="preserve"> zm</w:t>
      </w:r>
      <w:r w:rsidR="009617F1">
        <w:rPr>
          <w:bCs/>
          <w:sz w:val="22"/>
          <w:szCs w:val="20"/>
        </w:rPr>
        <w:t>eny</w:t>
      </w:r>
      <w:r w:rsidR="00CB2A09" w:rsidRPr="0040738C">
        <w:rPr>
          <w:bCs/>
          <w:sz w:val="22"/>
          <w:szCs w:val="20"/>
        </w:rPr>
        <w:t xml:space="preserve"> </w:t>
      </w:r>
      <w:r w:rsidR="00A365E8">
        <w:rPr>
          <w:bCs/>
          <w:sz w:val="22"/>
          <w:szCs w:val="20"/>
        </w:rPr>
        <w:t xml:space="preserve">sa </w:t>
      </w:r>
      <w:r w:rsidR="00CB2A09" w:rsidRPr="0040738C">
        <w:rPr>
          <w:bCs/>
          <w:sz w:val="22"/>
          <w:szCs w:val="20"/>
        </w:rPr>
        <w:t>môž</w:t>
      </w:r>
      <w:r w:rsidR="009617F1">
        <w:rPr>
          <w:bCs/>
          <w:sz w:val="22"/>
          <w:szCs w:val="20"/>
        </w:rPr>
        <w:t>u</w:t>
      </w:r>
      <w:r w:rsidR="00CB2A09" w:rsidRPr="0040738C">
        <w:rPr>
          <w:bCs/>
          <w:sz w:val="22"/>
          <w:szCs w:val="20"/>
        </w:rPr>
        <w:t xml:space="preserve"> výrazne </w:t>
      </w:r>
      <w:r w:rsidR="009617F1">
        <w:rPr>
          <w:bCs/>
          <w:sz w:val="22"/>
          <w:szCs w:val="20"/>
        </w:rPr>
        <w:t>odlišovať</w:t>
      </w:r>
      <w:r w:rsidR="00CB2A09" w:rsidRPr="0040738C">
        <w:rPr>
          <w:bCs/>
          <w:sz w:val="22"/>
          <w:szCs w:val="20"/>
        </w:rPr>
        <w:t>. U pacientov s </w:t>
      </w:r>
      <w:proofErr w:type="spellStart"/>
      <w:r w:rsidR="00CB2A09" w:rsidRPr="0040738C">
        <w:rPr>
          <w:bCs/>
          <w:sz w:val="22"/>
          <w:szCs w:val="20"/>
        </w:rPr>
        <w:t>myasténiou</w:t>
      </w:r>
      <w:proofErr w:type="spellEnd"/>
      <w:r w:rsidR="00CB2A09" w:rsidRPr="0040738C">
        <w:rPr>
          <w:bCs/>
          <w:sz w:val="22"/>
          <w:szCs w:val="20"/>
        </w:rPr>
        <w:t xml:space="preserve"> </w:t>
      </w:r>
      <w:proofErr w:type="spellStart"/>
      <w:r w:rsidR="00CB2A09" w:rsidRPr="0040738C">
        <w:rPr>
          <w:bCs/>
          <w:sz w:val="22"/>
          <w:szCs w:val="20"/>
        </w:rPr>
        <w:t>gravis</w:t>
      </w:r>
      <w:proofErr w:type="spellEnd"/>
      <w:r w:rsidR="00CB2A09" w:rsidRPr="0040738C">
        <w:rPr>
          <w:bCs/>
          <w:sz w:val="22"/>
          <w:szCs w:val="20"/>
        </w:rPr>
        <w:t xml:space="preserve"> alebo s </w:t>
      </w:r>
      <w:proofErr w:type="spellStart"/>
      <w:r w:rsidR="00CB2A09" w:rsidRPr="0040738C">
        <w:rPr>
          <w:bCs/>
          <w:sz w:val="22"/>
          <w:szCs w:val="20"/>
        </w:rPr>
        <w:t>myasténi</w:t>
      </w:r>
      <w:r w:rsidR="00E30F9E">
        <w:rPr>
          <w:bCs/>
          <w:sz w:val="22"/>
          <w:szCs w:val="20"/>
        </w:rPr>
        <w:t>ck</w:t>
      </w:r>
      <w:r w:rsidR="00CB2A09" w:rsidRPr="0040738C">
        <w:rPr>
          <w:bCs/>
          <w:sz w:val="22"/>
          <w:szCs w:val="20"/>
        </w:rPr>
        <w:t>ým</w:t>
      </w:r>
      <w:proofErr w:type="spellEnd"/>
      <w:r w:rsidR="00CB2A09" w:rsidRPr="0040738C">
        <w:rPr>
          <w:bCs/>
          <w:sz w:val="22"/>
          <w:szCs w:val="20"/>
        </w:rPr>
        <w:t xml:space="preserve"> (</w:t>
      </w:r>
      <w:proofErr w:type="spellStart"/>
      <w:r w:rsidR="00CB2A09" w:rsidRPr="0040738C">
        <w:rPr>
          <w:bCs/>
          <w:sz w:val="22"/>
          <w:szCs w:val="20"/>
        </w:rPr>
        <w:t>Eatonovým</w:t>
      </w:r>
      <w:r w:rsidR="00B869F1">
        <w:rPr>
          <w:bCs/>
          <w:sz w:val="22"/>
          <w:szCs w:val="20"/>
        </w:rPr>
        <w:t>-</w:t>
      </w:r>
      <w:r w:rsidR="00CB2A09" w:rsidRPr="0040738C">
        <w:rPr>
          <w:bCs/>
          <w:sz w:val="22"/>
          <w:szCs w:val="20"/>
        </w:rPr>
        <w:t>Lambertovým</w:t>
      </w:r>
      <w:proofErr w:type="spellEnd"/>
      <w:r w:rsidR="00CB2A09" w:rsidRPr="0040738C">
        <w:rPr>
          <w:bCs/>
          <w:sz w:val="22"/>
          <w:szCs w:val="20"/>
        </w:rPr>
        <w:t xml:space="preserve">) syndrómom môžu </w:t>
      </w:r>
      <w:r w:rsidR="009617F1">
        <w:rPr>
          <w:bCs/>
          <w:sz w:val="22"/>
          <w:szCs w:val="20"/>
        </w:rPr>
        <w:t xml:space="preserve">mať </w:t>
      </w:r>
      <w:r w:rsidR="00CB2A09" w:rsidRPr="0040738C">
        <w:rPr>
          <w:bCs/>
          <w:sz w:val="22"/>
          <w:szCs w:val="20"/>
        </w:rPr>
        <w:t xml:space="preserve">malé dávky </w:t>
      </w:r>
      <w:proofErr w:type="spellStart"/>
      <w:r w:rsidR="00CB2A09" w:rsidRPr="0040738C">
        <w:rPr>
          <w:bCs/>
          <w:sz w:val="22"/>
          <w:szCs w:val="20"/>
        </w:rPr>
        <w:t>Esmeronu</w:t>
      </w:r>
      <w:proofErr w:type="spellEnd"/>
      <w:r w:rsidR="00CB2A09" w:rsidRPr="0040738C">
        <w:rPr>
          <w:bCs/>
          <w:sz w:val="22"/>
          <w:szCs w:val="20"/>
        </w:rPr>
        <w:t xml:space="preserve"> veľmi silné účinky a </w:t>
      </w:r>
      <w:proofErr w:type="spellStart"/>
      <w:r w:rsidR="00CB2A09" w:rsidRPr="0040738C">
        <w:rPr>
          <w:bCs/>
          <w:sz w:val="22"/>
          <w:szCs w:val="20"/>
        </w:rPr>
        <w:t>Esmeron</w:t>
      </w:r>
      <w:proofErr w:type="spellEnd"/>
      <w:r w:rsidR="00CB2A09" w:rsidRPr="0040738C">
        <w:rPr>
          <w:bCs/>
          <w:sz w:val="22"/>
          <w:szCs w:val="20"/>
        </w:rPr>
        <w:t xml:space="preserve"> sa má </w:t>
      </w:r>
      <w:proofErr w:type="spellStart"/>
      <w:r w:rsidR="00CB2A09" w:rsidRPr="0040738C">
        <w:rPr>
          <w:bCs/>
          <w:sz w:val="22"/>
          <w:szCs w:val="20"/>
        </w:rPr>
        <w:t>titrovať</w:t>
      </w:r>
      <w:proofErr w:type="spellEnd"/>
      <w:r w:rsidR="00CB2A09" w:rsidRPr="0040738C">
        <w:rPr>
          <w:bCs/>
          <w:sz w:val="22"/>
          <w:szCs w:val="20"/>
        </w:rPr>
        <w:t xml:space="preserve">  </w:t>
      </w:r>
      <w:r w:rsidR="00B12167">
        <w:rPr>
          <w:bCs/>
          <w:sz w:val="22"/>
          <w:szCs w:val="20"/>
        </w:rPr>
        <w:t xml:space="preserve">podľa </w:t>
      </w:r>
      <w:r w:rsidR="00CB2A09" w:rsidRPr="0040738C">
        <w:rPr>
          <w:bCs/>
          <w:sz w:val="22"/>
          <w:szCs w:val="20"/>
        </w:rPr>
        <w:t>odpove</w:t>
      </w:r>
      <w:r w:rsidR="00B12167">
        <w:rPr>
          <w:bCs/>
          <w:sz w:val="22"/>
          <w:szCs w:val="20"/>
        </w:rPr>
        <w:t>de</w:t>
      </w:r>
      <w:r w:rsidR="00CB2A09" w:rsidRPr="0040738C">
        <w:rPr>
          <w:bCs/>
          <w:sz w:val="22"/>
          <w:szCs w:val="20"/>
        </w:rPr>
        <w:t>.</w:t>
      </w:r>
    </w:p>
    <w:p w14:paraId="09E96D2C" w14:textId="77777777" w:rsidR="00CB2A09" w:rsidRPr="0040738C" w:rsidRDefault="00CB2A09" w:rsidP="00CD70B0">
      <w:pPr>
        <w:rPr>
          <w:bCs/>
          <w:sz w:val="22"/>
          <w:szCs w:val="20"/>
        </w:rPr>
      </w:pPr>
    </w:p>
    <w:p w14:paraId="5B0DEECD" w14:textId="77777777" w:rsidR="00CB2A09" w:rsidRPr="0040738C" w:rsidRDefault="00CB2A09" w:rsidP="00DD73F9">
      <w:pPr>
        <w:keepNext/>
        <w:rPr>
          <w:bCs/>
          <w:sz w:val="22"/>
          <w:szCs w:val="20"/>
          <w:u w:val="single"/>
        </w:rPr>
      </w:pPr>
      <w:r w:rsidRPr="0040738C">
        <w:rPr>
          <w:bCs/>
          <w:sz w:val="22"/>
          <w:szCs w:val="20"/>
          <w:u w:val="single"/>
        </w:rPr>
        <w:t>Hypotermia</w:t>
      </w:r>
    </w:p>
    <w:p w14:paraId="408F02B1" w14:textId="5B3B48CE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>Pri chirurgic</w:t>
      </w:r>
      <w:r w:rsidR="009617F1">
        <w:rPr>
          <w:bCs/>
          <w:sz w:val="22"/>
          <w:szCs w:val="20"/>
        </w:rPr>
        <w:t>kom</w:t>
      </w:r>
      <w:r w:rsidRPr="0040738C">
        <w:rPr>
          <w:bCs/>
          <w:sz w:val="22"/>
          <w:szCs w:val="20"/>
        </w:rPr>
        <w:t xml:space="preserve"> výkon</w:t>
      </w:r>
      <w:r w:rsidR="009617F1">
        <w:rPr>
          <w:bCs/>
          <w:sz w:val="22"/>
          <w:szCs w:val="20"/>
        </w:rPr>
        <w:t xml:space="preserve">e </w:t>
      </w:r>
      <w:r w:rsidRPr="0040738C">
        <w:rPr>
          <w:bCs/>
          <w:sz w:val="22"/>
          <w:szCs w:val="20"/>
        </w:rPr>
        <w:t xml:space="preserve">za </w:t>
      </w:r>
      <w:proofErr w:type="spellStart"/>
      <w:r w:rsidRPr="0040738C">
        <w:rPr>
          <w:bCs/>
          <w:sz w:val="22"/>
          <w:szCs w:val="20"/>
        </w:rPr>
        <w:t>hypotermických</w:t>
      </w:r>
      <w:proofErr w:type="spellEnd"/>
      <w:r w:rsidRPr="0040738C">
        <w:rPr>
          <w:bCs/>
          <w:sz w:val="22"/>
          <w:szCs w:val="20"/>
        </w:rPr>
        <w:t xml:space="preserve"> podmienok sa </w:t>
      </w:r>
      <w:proofErr w:type="spellStart"/>
      <w:r w:rsidRPr="0040738C">
        <w:rPr>
          <w:bCs/>
          <w:sz w:val="22"/>
          <w:szCs w:val="20"/>
        </w:rPr>
        <w:t>nervovosvalov</w:t>
      </w:r>
      <w:r w:rsidR="006874DB">
        <w:rPr>
          <w:bCs/>
          <w:sz w:val="22"/>
          <w:szCs w:val="20"/>
        </w:rPr>
        <w:t>á</w:t>
      </w:r>
      <w:proofErr w:type="spellEnd"/>
      <w:r w:rsidRPr="0040738C">
        <w:rPr>
          <w:bCs/>
          <w:sz w:val="22"/>
          <w:szCs w:val="20"/>
        </w:rPr>
        <w:t xml:space="preserve"> </w:t>
      </w:r>
      <w:r w:rsidR="006874DB">
        <w:rPr>
          <w:bCs/>
          <w:sz w:val="22"/>
          <w:szCs w:val="20"/>
        </w:rPr>
        <w:t>blokáda spôsobená</w:t>
      </w:r>
      <w:r w:rsidRPr="0040738C">
        <w:rPr>
          <w:bCs/>
          <w:sz w:val="22"/>
          <w:szCs w:val="20"/>
        </w:rPr>
        <w:t xml:space="preserve"> </w:t>
      </w:r>
      <w:proofErr w:type="spellStart"/>
      <w:r w:rsidRPr="0040738C">
        <w:rPr>
          <w:bCs/>
          <w:sz w:val="22"/>
          <w:szCs w:val="20"/>
        </w:rPr>
        <w:t>Esmeron</w:t>
      </w:r>
      <w:r w:rsidR="006874DB">
        <w:rPr>
          <w:bCs/>
          <w:sz w:val="22"/>
          <w:szCs w:val="20"/>
        </w:rPr>
        <w:t>om</w:t>
      </w:r>
      <w:proofErr w:type="spellEnd"/>
      <w:r w:rsidRPr="0040738C">
        <w:rPr>
          <w:bCs/>
          <w:sz w:val="22"/>
          <w:szCs w:val="20"/>
        </w:rPr>
        <w:t xml:space="preserve"> zvyšuje a dĺžka </w:t>
      </w:r>
      <w:r w:rsidR="009617F1">
        <w:rPr>
          <w:bCs/>
          <w:sz w:val="22"/>
          <w:szCs w:val="20"/>
        </w:rPr>
        <w:t xml:space="preserve">trvania </w:t>
      </w:r>
      <w:r w:rsidRPr="0040738C">
        <w:rPr>
          <w:bCs/>
          <w:sz w:val="22"/>
          <w:szCs w:val="20"/>
        </w:rPr>
        <w:t>účinku sa predlžuje.</w:t>
      </w:r>
    </w:p>
    <w:p w14:paraId="4967206F" w14:textId="77777777" w:rsidR="00CB2A09" w:rsidRPr="0040738C" w:rsidRDefault="00CB2A09" w:rsidP="00CD70B0">
      <w:pPr>
        <w:rPr>
          <w:bCs/>
          <w:sz w:val="22"/>
          <w:szCs w:val="20"/>
          <w:u w:val="single"/>
        </w:rPr>
      </w:pPr>
    </w:p>
    <w:p w14:paraId="14541DE4" w14:textId="77777777" w:rsidR="00CB2A09" w:rsidRPr="0040738C" w:rsidRDefault="00CB2A09" w:rsidP="00DD73F9">
      <w:pPr>
        <w:keepNext/>
        <w:rPr>
          <w:bCs/>
          <w:i/>
          <w:iCs/>
          <w:sz w:val="22"/>
          <w:szCs w:val="20"/>
        </w:rPr>
      </w:pPr>
      <w:r w:rsidRPr="0040738C">
        <w:rPr>
          <w:bCs/>
          <w:sz w:val="22"/>
          <w:szCs w:val="20"/>
          <w:u w:val="single"/>
        </w:rPr>
        <w:t>Obezita</w:t>
      </w:r>
    </w:p>
    <w:p w14:paraId="7A0B65F4" w14:textId="177BE275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 xml:space="preserve">Ako pri iných </w:t>
      </w:r>
      <w:proofErr w:type="spellStart"/>
      <w:r w:rsidRPr="0040738C">
        <w:rPr>
          <w:bCs/>
          <w:sz w:val="22"/>
          <w:szCs w:val="20"/>
        </w:rPr>
        <w:t>nervovosvalových</w:t>
      </w:r>
      <w:proofErr w:type="spellEnd"/>
      <w:r w:rsidRPr="0040738C">
        <w:rPr>
          <w:bCs/>
          <w:sz w:val="22"/>
          <w:szCs w:val="20"/>
        </w:rPr>
        <w:t xml:space="preserve"> </w:t>
      </w:r>
      <w:proofErr w:type="spellStart"/>
      <w:r w:rsidR="006874DB">
        <w:rPr>
          <w:bCs/>
          <w:sz w:val="22"/>
          <w:szCs w:val="20"/>
        </w:rPr>
        <w:t>blokátoroch</w:t>
      </w:r>
      <w:proofErr w:type="spellEnd"/>
      <w:r w:rsidR="009617F1">
        <w:rPr>
          <w:bCs/>
          <w:sz w:val="22"/>
          <w:szCs w:val="20"/>
        </w:rPr>
        <w:t>,</w:t>
      </w:r>
      <w:r w:rsidRPr="0040738C">
        <w:rPr>
          <w:bCs/>
          <w:sz w:val="22"/>
          <w:szCs w:val="20"/>
        </w:rPr>
        <w:t xml:space="preserve"> u obéznych pacientov môže mať </w:t>
      </w:r>
      <w:proofErr w:type="spellStart"/>
      <w:r w:rsidRPr="0040738C">
        <w:rPr>
          <w:bCs/>
          <w:sz w:val="22"/>
          <w:szCs w:val="20"/>
        </w:rPr>
        <w:t>Esmeron</w:t>
      </w:r>
      <w:proofErr w:type="spellEnd"/>
      <w:r w:rsidRPr="0040738C">
        <w:rPr>
          <w:bCs/>
          <w:sz w:val="22"/>
          <w:szCs w:val="20"/>
        </w:rPr>
        <w:t xml:space="preserve"> predĺžený účinok a predĺžené spontánne vymiznutie účinkov, </w:t>
      </w:r>
      <w:r w:rsidR="009617F1">
        <w:rPr>
          <w:bCs/>
          <w:sz w:val="22"/>
          <w:szCs w:val="20"/>
        </w:rPr>
        <w:t>ak</w:t>
      </w:r>
      <w:r w:rsidRPr="0040738C">
        <w:rPr>
          <w:bCs/>
          <w:sz w:val="22"/>
          <w:szCs w:val="20"/>
        </w:rPr>
        <w:t xml:space="preserve"> sa podávajú dávky vypočítané podľa aktuálnej telesnej hmotnosti.</w:t>
      </w:r>
    </w:p>
    <w:p w14:paraId="22532F56" w14:textId="77777777" w:rsidR="00CB2A09" w:rsidRPr="0040738C" w:rsidRDefault="00CB2A09" w:rsidP="00CD70B0">
      <w:pPr>
        <w:rPr>
          <w:bCs/>
          <w:sz w:val="22"/>
          <w:szCs w:val="20"/>
        </w:rPr>
      </w:pPr>
    </w:p>
    <w:p w14:paraId="6C4BCD15" w14:textId="77777777" w:rsidR="00CB2A09" w:rsidRPr="0040738C" w:rsidRDefault="00CB2A09" w:rsidP="00DD73F9">
      <w:pPr>
        <w:keepNext/>
        <w:rPr>
          <w:bCs/>
          <w:sz w:val="22"/>
          <w:szCs w:val="20"/>
          <w:u w:val="single"/>
        </w:rPr>
      </w:pPr>
      <w:r w:rsidRPr="0040738C">
        <w:rPr>
          <w:bCs/>
          <w:sz w:val="22"/>
          <w:szCs w:val="20"/>
          <w:u w:val="single"/>
        </w:rPr>
        <w:t>Popáleniny</w:t>
      </w:r>
    </w:p>
    <w:p w14:paraId="33078C7A" w14:textId="178BE603" w:rsidR="00CB2A09" w:rsidRPr="0040738C" w:rsidRDefault="009617F1" w:rsidP="00CD70B0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>Je známe, že u p</w:t>
      </w:r>
      <w:r w:rsidR="00CB2A09" w:rsidRPr="0040738C">
        <w:rPr>
          <w:bCs/>
          <w:sz w:val="22"/>
          <w:szCs w:val="20"/>
        </w:rPr>
        <w:t>acient</w:t>
      </w:r>
      <w:r>
        <w:rPr>
          <w:bCs/>
          <w:sz w:val="22"/>
          <w:szCs w:val="20"/>
        </w:rPr>
        <w:t>ov</w:t>
      </w:r>
      <w:r w:rsidR="00CB2A09" w:rsidRPr="0040738C">
        <w:rPr>
          <w:bCs/>
          <w:sz w:val="22"/>
          <w:szCs w:val="20"/>
        </w:rPr>
        <w:t xml:space="preserve"> s popáleninami </w:t>
      </w:r>
      <w:r>
        <w:rPr>
          <w:bCs/>
          <w:sz w:val="22"/>
          <w:szCs w:val="20"/>
        </w:rPr>
        <w:t>vzniká rezistencia</w:t>
      </w:r>
      <w:r w:rsidR="00CB2A09" w:rsidRPr="0040738C">
        <w:rPr>
          <w:bCs/>
          <w:sz w:val="22"/>
          <w:szCs w:val="20"/>
        </w:rPr>
        <w:t xml:space="preserve"> </w:t>
      </w:r>
      <w:r>
        <w:rPr>
          <w:bCs/>
          <w:sz w:val="22"/>
          <w:szCs w:val="20"/>
        </w:rPr>
        <w:t xml:space="preserve">na </w:t>
      </w:r>
      <w:proofErr w:type="spellStart"/>
      <w:r w:rsidR="00CB2A09" w:rsidRPr="0040738C">
        <w:rPr>
          <w:bCs/>
          <w:sz w:val="22"/>
          <w:szCs w:val="20"/>
        </w:rPr>
        <w:t>nedepolarizujúc</w:t>
      </w:r>
      <w:r>
        <w:rPr>
          <w:bCs/>
          <w:sz w:val="22"/>
          <w:szCs w:val="20"/>
        </w:rPr>
        <w:t>e</w:t>
      </w:r>
      <w:proofErr w:type="spellEnd"/>
      <w:r w:rsidR="00CB2A09" w:rsidRPr="0040738C">
        <w:rPr>
          <w:bCs/>
          <w:sz w:val="22"/>
          <w:szCs w:val="20"/>
        </w:rPr>
        <w:t xml:space="preserve"> </w:t>
      </w:r>
      <w:proofErr w:type="spellStart"/>
      <w:r w:rsidR="00CB2A09" w:rsidRPr="0040738C">
        <w:rPr>
          <w:bCs/>
          <w:sz w:val="22"/>
          <w:szCs w:val="20"/>
        </w:rPr>
        <w:t>nervovosvalov</w:t>
      </w:r>
      <w:r>
        <w:rPr>
          <w:bCs/>
          <w:sz w:val="22"/>
          <w:szCs w:val="20"/>
        </w:rPr>
        <w:t>é</w:t>
      </w:r>
      <w:proofErr w:type="spellEnd"/>
      <w:r w:rsidR="00CB2A09" w:rsidRPr="0040738C">
        <w:rPr>
          <w:bCs/>
          <w:sz w:val="22"/>
          <w:szCs w:val="20"/>
        </w:rPr>
        <w:t xml:space="preserve"> </w:t>
      </w:r>
      <w:proofErr w:type="spellStart"/>
      <w:r w:rsidR="006874DB">
        <w:rPr>
          <w:bCs/>
          <w:sz w:val="22"/>
          <w:szCs w:val="20"/>
        </w:rPr>
        <w:t>blokátory</w:t>
      </w:r>
      <w:proofErr w:type="spellEnd"/>
      <w:r w:rsidR="00CB2A09" w:rsidRPr="0040738C">
        <w:rPr>
          <w:bCs/>
          <w:sz w:val="22"/>
          <w:szCs w:val="20"/>
        </w:rPr>
        <w:t xml:space="preserve">. Odporúča sa </w:t>
      </w:r>
      <w:proofErr w:type="spellStart"/>
      <w:r w:rsidR="00CB2A09" w:rsidRPr="0040738C">
        <w:rPr>
          <w:bCs/>
          <w:sz w:val="22"/>
          <w:szCs w:val="20"/>
        </w:rPr>
        <w:t>titrovať</w:t>
      </w:r>
      <w:proofErr w:type="spellEnd"/>
      <w:r w:rsidR="00CB2A09" w:rsidRPr="0040738C">
        <w:rPr>
          <w:bCs/>
          <w:sz w:val="22"/>
          <w:szCs w:val="20"/>
        </w:rPr>
        <w:t xml:space="preserve"> dávku </w:t>
      </w:r>
      <w:r w:rsidR="00B12167">
        <w:rPr>
          <w:bCs/>
          <w:sz w:val="22"/>
          <w:szCs w:val="20"/>
        </w:rPr>
        <w:t xml:space="preserve"> podľa odpovede</w:t>
      </w:r>
      <w:r w:rsidR="00CB2A09" w:rsidRPr="0040738C">
        <w:rPr>
          <w:bCs/>
          <w:sz w:val="22"/>
          <w:szCs w:val="20"/>
        </w:rPr>
        <w:t>.</w:t>
      </w:r>
    </w:p>
    <w:p w14:paraId="43A4E2BC" w14:textId="77777777" w:rsidR="00CB2A09" w:rsidRPr="0040738C" w:rsidRDefault="00CB2A09" w:rsidP="00CD70B0">
      <w:pPr>
        <w:rPr>
          <w:bCs/>
          <w:sz w:val="22"/>
          <w:szCs w:val="20"/>
        </w:rPr>
      </w:pPr>
    </w:p>
    <w:p w14:paraId="279B2BE7" w14:textId="6D03B7DC" w:rsidR="00CB2A09" w:rsidRPr="0040738C" w:rsidRDefault="00CB2A09" w:rsidP="00DD73F9">
      <w:pPr>
        <w:keepNext/>
        <w:rPr>
          <w:bCs/>
          <w:sz w:val="22"/>
          <w:szCs w:val="20"/>
          <w:u w:val="single"/>
        </w:rPr>
      </w:pPr>
      <w:r w:rsidRPr="0040738C">
        <w:rPr>
          <w:bCs/>
          <w:sz w:val="22"/>
          <w:szCs w:val="20"/>
          <w:u w:val="single"/>
        </w:rPr>
        <w:t xml:space="preserve">Stavy, ktoré môžu </w:t>
      </w:r>
      <w:r w:rsidR="003C4A98">
        <w:rPr>
          <w:bCs/>
          <w:sz w:val="22"/>
          <w:szCs w:val="20"/>
          <w:u w:val="single"/>
        </w:rPr>
        <w:t>zvýšiť</w:t>
      </w:r>
      <w:r w:rsidRPr="0040738C">
        <w:rPr>
          <w:bCs/>
          <w:sz w:val="22"/>
          <w:szCs w:val="20"/>
          <w:u w:val="single"/>
        </w:rPr>
        <w:t xml:space="preserve"> účink</w:t>
      </w:r>
      <w:r w:rsidR="009617F1">
        <w:rPr>
          <w:bCs/>
          <w:sz w:val="22"/>
          <w:szCs w:val="20"/>
          <w:u w:val="single"/>
        </w:rPr>
        <w:t>y</w:t>
      </w:r>
      <w:r w:rsidRPr="0040738C">
        <w:rPr>
          <w:bCs/>
          <w:sz w:val="22"/>
          <w:szCs w:val="20"/>
          <w:u w:val="single"/>
        </w:rPr>
        <w:t xml:space="preserve"> </w:t>
      </w:r>
      <w:proofErr w:type="spellStart"/>
      <w:r w:rsidRPr="0040738C">
        <w:rPr>
          <w:bCs/>
          <w:sz w:val="22"/>
          <w:szCs w:val="20"/>
          <w:u w:val="single"/>
        </w:rPr>
        <w:t>Esmeronu</w:t>
      </w:r>
      <w:proofErr w:type="spellEnd"/>
    </w:p>
    <w:p w14:paraId="06EFFC16" w14:textId="2B559310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  <w:proofErr w:type="spellStart"/>
      <w:r w:rsidRPr="0040738C">
        <w:rPr>
          <w:bCs/>
          <w:sz w:val="22"/>
          <w:szCs w:val="20"/>
        </w:rPr>
        <w:t>Hypokaliémia</w:t>
      </w:r>
      <w:proofErr w:type="spellEnd"/>
      <w:r w:rsidRPr="0040738C">
        <w:rPr>
          <w:bCs/>
          <w:sz w:val="22"/>
          <w:szCs w:val="20"/>
        </w:rPr>
        <w:t xml:space="preserve"> (napr. po </w:t>
      </w:r>
      <w:r w:rsidR="009617F1">
        <w:rPr>
          <w:bCs/>
          <w:sz w:val="22"/>
          <w:szCs w:val="20"/>
        </w:rPr>
        <w:t xml:space="preserve">silnom </w:t>
      </w:r>
      <w:r w:rsidRPr="0040738C">
        <w:rPr>
          <w:bCs/>
          <w:sz w:val="22"/>
          <w:szCs w:val="20"/>
        </w:rPr>
        <w:t>vracaní, hnačke a</w:t>
      </w:r>
      <w:r w:rsidR="009617F1">
        <w:rPr>
          <w:bCs/>
          <w:sz w:val="22"/>
          <w:szCs w:val="20"/>
        </w:rPr>
        <w:t xml:space="preserve"> liečbe </w:t>
      </w:r>
      <w:r w:rsidRPr="0040738C">
        <w:rPr>
          <w:bCs/>
          <w:sz w:val="22"/>
          <w:szCs w:val="20"/>
        </w:rPr>
        <w:t>diureti</w:t>
      </w:r>
      <w:r w:rsidR="009617F1">
        <w:rPr>
          <w:bCs/>
          <w:sz w:val="22"/>
          <w:szCs w:val="20"/>
        </w:rPr>
        <w:t>kami</w:t>
      </w:r>
      <w:r w:rsidRPr="0040738C">
        <w:rPr>
          <w:bCs/>
          <w:sz w:val="22"/>
          <w:szCs w:val="20"/>
        </w:rPr>
        <w:t xml:space="preserve">), </w:t>
      </w:r>
      <w:proofErr w:type="spellStart"/>
      <w:r w:rsidRPr="0040738C">
        <w:rPr>
          <w:bCs/>
          <w:sz w:val="22"/>
          <w:szCs w:val="20"/>
        </w:rPr>
        <w:t>hypermagnez</w:t>
      </w:r>
      <w:r w:rsidR="009617F1">
        <w:rPr>
          <w:bCs/>
          <w:sz w:val="22"/>
          <w:szCs w:val="20"/>
        </w:rPr>
        <w:t>i</w:t>
      </w:r>
      <w:r w:rsidRPr="0040738C">
        <w:rPr>
          <w:bCs/>
          <w:sz w:val="22"/>
          <w:szCs w:val="20"/>
        </w:rPr>
        <w:t>émia</w:t>
      </w:r>
      <w:proofErr w:type="spellEnd"/>
      <w:r w:rsidRPr="0040738C">
        <w:rPr>
          <w:bCs/>
          <w:sz w:val="22"/>
          <w:szCs w:val="20"/>
        </w:rPr>
        <w:t xml:space="preserve">, </w:t>
      </w:r>
      <w:proofErr w:type="spellStart"/>
      <w:r w:rsidRPr="0040738C">
        <w:rPr>
          <w:bCs/>
          <w:sz w:val="22"/>
          <w:szCs w:val="20"/>
        </w:rPr>
        <w:t>hypokalciémia</w:t>
      </w:r>
      <w:proofErr w:type="spellEnd"/>
      <w:r w:rsidRPr="0040738C">
        <w:rPr>
          <w:bCs/>
          <w:sz w:val="22"/>
          <w:szCs w:val="20"/>
        </w:rPr>
        <w:t xml:space="preserve"> (po masívnych transfúziách), </w:t>
      </w:r>
      <w:proofErr w:type="spellStart"/>
      <w:r w:rsidRPr="0040738C">
        <w:rPr>
          <w:bCs/>
          <w:sz w:val="22"/>
          <w:szCs w:val="20"/>
        </w:rPr>
        <w:t>hypoproteinémia</w:t>
      </w:r>
      <w:proofErr w:type="spellEnd"/>
      <w:r w:rsidRPr="0040738C">
        <w:rPr>
          <w:bCs/>
          <w:sz w:val="22"/>
          <w:szCs w:val="20"/>
        </w:rPr>
        <w:t xml:space="preserve">, dehydratácia, </w:t>
      </w:r>
      <w:proofErr w:type="spellStart"/>
      <w:r w:rsidRPr="0040738C">
        <w:rPr>
          <w:bCs/>
          <w:sz w:val="22"/>
          <w:szCs w:val="20"/>
        </w:rPr>
        <w:t>acidóza</w:t>
      </w:r>
      <w:proofErr w:type="spellEnd"/>
      <w:r w:rsidRPr="0040738C">
        <w:rPr>
          <w:bCs/>
          <w:sz w:val="22"/>
          <w:szCs w:val="20"/>
        </w:rPr>
        <w:t xml:space="preserve">, </w:t>
      </w:r>
      <w:proofErr w:type="spellStart"/>
      <w:r w:rsidRPr="0040738C">
        <w:rPr>
          <w:bCs/>
          <w:sz w:val="22"/>
          <w:szCs w:val="20"/>
        </w:rPr>
        <w:t>hyperkapnia</w:t>
      </w:r>
      <w:proofErr w:type="spellEnd"/>
      <w:r w:rsidRPr="0040738C">
        <w:rPr>
          <w:bCs/>
          <w:sz w:val="22"/>
          <w:szCs w:val="20"/>
        </w:rPr>
        <w:t xml:space="preserve">, </w:t>
      </w:r>
      <w:proofErr w:type="spellStart"/>
      <w:r w:rsidRPr="0040738C">
        <w:rPr>
          <w:bCs/>
          <w:sz w:val="22"/>
          <w:szCs w:val="20"/>
        </w:rPr>
        <w:t>kachexia</w:t>
      </w:r>
      <w:proofErr w:type="spellEnd"/>
      <w:r w:rsidRPr="0040738C">
        <w:rPr>
          <w:bCs/>
          <w:sz w:val="22"/>
          <w:szCs w:val="20"/>
        </w:rPr>
        <w:t>.</w:t>
      </w:r>
    </w:p>
    <w:p w14:paraId="3FA69030" w14:textId="77777777" w:rsidR="00A365E8" w:rsidRDefault="00A365E8" w:rsidP="00CD70B0">
      <w:pPr>
        <w:rPr>
          <w:bCs/>
          <w:sz w:val="22"/>
          <w:szCs w:val="20"/>
        </w:rPr>
      </w:pPr>
    </w:p>
    <w:p w14:paraId="73F6641D" w14:textId="10D2E819" w:rsidR="00CB2A09" w:rsidRPr="0040738C" w:rsidRDefault="009617F1" w:rsidP="00CD70B0">
      <w:pPr>
        <w:rPr>
          <w:bCs/>
          <w:sz w:val="22"/>
          <w:szCs w:val="20"/>
        </w:rPr>
      </w:pPr>
      <w:r>
        <w:rPr>
          <w:bCs/>
          <w:sz w:val="22"/>
          <w:szCs w:val="20"/>
        </w:rPr>
        <w:t>Ak je to možné, z</w:t>
      </w:r>
      <w:r w:rsidR="00CB2A09" w:rsidRPr="0040738C">
        <w:rPr>
          <w:bCs/>
          <w:sz w:val="22"/>
          <w:szCs w:val="20"/>
        </w:rPr>
        <w:t xml:space="preserve">ávažné poruchy </w:t>
      </w:r>
      <w:proofErr w:type="spellStart"/>
      <w:r w:rsidR="00CB2A09" w:rsidRPr="0040738C">
        <w:rPr>
          <w:bCs/>
          <w:sz w:val="22"/>
          <w:szCs w:val="20"/>
        </w:rPr>
        <w:t>elektrolytovej</w:t>
      </w:r>
      <w:proofErr w:type="spellEnd"/>
      <w:r w:rsidR="00CB2A09" w:rsidRPr="0040738C">
        <w:rPr>
          <w:bCs/>
          <w:sz w:val="22"/>
          <w:szCs w:val="20"/>
        </w:rPr>
        <w:t xml:space="preserve"> rovnováhy, zmeny pH </w:t>
      </w:r>
      <w:r>
        <w:rPr>
          <w:bCs/>
          <w:sz w:val="22"/>
          <w:szCs w:val="20"/>
        </w:rPr>
        <w:t xml:space="preserve">krvi </w:t>
      </w:r>
      <w:r w:rsidR="00CB2A09" w:rsidRPr="0040738C">
        <w:rPr>
          <w:bCs/>
          <w:sz w:val="22"/>
          <w:szCs w:val="20"/>
        </w:rPr>
        <w:t>alebo dehydratácia sa preto majú upraviť.</w:t>
      </w:r>
    </w:p>
    <w:p w14:paraId="4E6BB534" w14:textId="77777777" w:rsidR="00CB2A09" w:rsidRPr="0040738C" w:rsidRDefault="00CB2A09" w:rsidP="00CD70B0">
      <w:pPr>
        <w:rPr>
          <w:bCs/>
          <w:sz w:val="22"/>
          <w:szCs w:val="20"/>
        </w:rPr>
      </w:pPr>
    </w:p>
    <w:p w14:paraId="151371B9" w14:textId="77777777" w:rsidR="00CB2A09" w:rsidRPr="0040738C" w:rsidRDefault="00CB2A09" w:rsidP="00DD73F9">
      <w:pPr>
        <w:keepNext/>
        <w:rPr>
          <w:b/>
          <w:sz w:val="22"/>
          <w:szCs w:val="20"/>
        </w:rPr>
      </w:pPr>
      <w:r w:rsidRPr="0040738C">
        <w:rPr>
          <w:b/>
          <w:noProof/>
          <w:sz w:val="22"/>
          <w:szCs w:val="22"/>
        </w:rPr>
        <w:t>4.5</w:t>
      </w:r>
      <w:r w:rsidRPr="0040738C">
        <w:rPr>
          <w:b/>
          <w:noProof/>
          <w:sz w:val="22"/>
          <w:szCs w:val="22"/>
        </w:rPr>
        <w:tab/>
        <w:t>Liekové a iné interakcie</w:t>
      </w:r>
    </w:p>
    <w:p w14:paraId="25FE73EA" w14:textId="77777777" w:rsidR="00CB2A09" w:rsidRPr="0040738C" w:rsidRDefault="00CB2A09" w:rsidP="00DD73F9">
      <w:pPr>
        <w:keepNext/>
        <w:ind w:left="360" w:hanging="360"/>
        <w:rPr>
          <w:bCs/>
          <w:sz w:val="22"/>
          <w:szCs w:val="20"/>
        </w:rPr>
      </w:pPr>
    </w:p>
    <w:p w14:paraId="2DB1AA35" w14:textId="68F4FABA" w:rsidR="00CB2A09" w:rsidRPr="0040738C" w:rsidRDefault="00356097" w:rsidP="00CD70B0">
      <w:pPr>
        <w:pStyle w:val="Zkladntext"/>
        <w:jc w:val="left"/>
        <w:rPr>
          <w:bCs/>
          <w:sz w:val="22"/>
          <w:szCs w:val="20"/>
          <w:u w:val="single"/>
        </w:rPr>
      </w:pPr>
      <w:r>
        <w:rPr>
          <w:bCs/>
          <w:sz w:val="22"/>
          <w:szCs w:val="20"/>
        </w:rPr>
        <w:t>Pri</w:t>
      </w:r>
      <w:r w:rsidR="00CB2A09" w:rsidRPr="0040738C">
        <w:rPr>
          <w:bCs/>
          <w:sz w:val="22"/>
          <w:szCs w:val="20"/>
        </w:rPr>
        <w:t xml:space="preserve"> nasled</w:t>
      </w:r>
      <w:r w:rsidR="00F72C9D">
        <w:rPr>
          <w:bCs/>
          <w:sz w:val="22"/>
          <w:szCs w:val="20"/>
        </w:rPr>
        <w:t>ujúcich</w:t>
      </w:r>
      <w:r w:rsidR="00CB2A09" w:rsidRPr="0040738C">
        <w:rPr>
          <w:bCs/>
          <w:sz w:val="22"/>
          <w:szCs w:val="20"/>
        </w:rPr>
        <w:t xml:space="preserve"> lieko</w:t>
      </w:r>
      <w:r>
        <w:rPr>
          <w:bCs/>
          <w:sz w:val="22"/>
          <w:szCs w:val="20"/>
        </w:rPr>
        <w:t>ch</w:t>
      </w:r>
      <w:r w:rsidR="00CB2A09" w:rsidRPr="0040738C">
        <w:rPr>
          <w:bCs/>
          <w:sz w:val="22"/>
          <w:szCs w:val="20"/>
        </w:rPr>
        <w:t xml:space="preserve"> bol preukázaný vplyv na silu a/alebo</w:t>
      </w:r>
      <w:r>
        <w:rPr>
          <w:bCs/>
          <w:sz w:val="22"/>
          <w:szCs w:val="20"/>
        </w:rPr>
        <w:t xml:space="preserve"> </w:t>
      </w:r>
      <w:r w:rsidR="009617F1">
        <w:rPr>
          <w:bCs/>
          <w:sz w:val="22"/>
          <w:szCs w:val="20"/>
        </w:rPr>
        <w:t xml:space="preserve">dĺžku </w:t>
      </w:r>
      <w:r w:rsidR="00CB2A09" w:rsidRPr="0040738C">
        <w:rPr>
          <w:bCs/>
          <w:sz w:val="22"/>
          <w:szCs w:val="20"/>
        </w:rPr>
        <w:t>trvani</w:t>
      </w:r>
      <w:r w:rsidR="009617F1">
        <w:rPr>
          <w:bCs/>
          <w:sz w:val="22"/>
          <w:szCs w:val="20"/>
        </w:rPr>
        <w:t>a</w:t>
      </w:r>
      <w:r w:rsidR="00CB2A09" w:rsidRPr="0040738C">
        <w:rPr>
          <w:bCs/>
          <w:sz w:val="22"/>
          <w:szCs w:val="20"/>
        </w:rPr>
        <w:t xml:space="preserve"> účinku </w:t>
      </w:r>
      <w:proofErr w:type="spellStart"/>
      <w:r w:rsidR="00CB2A09" w:rsidRPr="0040738C">
        <w:rPr>
          <w:bCs/>
          <w:sz w:val="22"/>
          <w:szCs w:val="20"/>
        </w:rPr>
        <w:t>nedepolarizujúcich</w:t>
      </w:r>
      <w:proofErr w:type="spellEnd"/>
      <w:r w:rsidR="00CB2A09" w:rsidRPr="0040738C">
        <w:rPr>
          <w:bCs/>
          <w:sz w:val="22"/>
          <w:szCs w:val="20"/>
        </w:rPr>
        <w:t xml:space="preserve"> </w:t>
      </w:r>
      <w:proofErr w:type="spellStart"/>
      <w:r w:rsidR="00CB2A09" w:rsidRPr="0040738C">
        <w:rPr>
          <w:bCs/>
          <w:sz w:val="22"/>
          <w:szCs w:val="20"/>
        </w:rPr>
        <w:t>nervovosvalových</w:t>
      </w:r>
      <w:proofErr w:type="spellEnd"/>
      <w:r w:rsidR="00CB2A09" w:rsidRPr="0040738C">
        <w:rPr>
          <w:bCs/>
          <w:sz w:val="22"/>
          <w:szCs w:val="20"/>
        </w:rPr>
        <w:t xml:space="preserve"> </w:t>
      </w:r>
      <w:proofErr w:type="spellStart"/>
      <w:r w:rsidR="006874DB">
        <w:rPr>
          <w:bCs/>
          <w:sz w:val="22"/>
          <w:szCs w:val="20"/>
        </w:rPr>
        <w:t>blokátoro</w:t>
      </w:r>
      <w:r w:rsidR="00CC542B">
        <w:rPr>
          <w:bCs/>
          <w:sz w:val="22"/>
          <w:szCs w:val="20"/>
        </w:rPr>
        <w:t>v</w:t>
      </w:r>
      <w:proofErr w:type="spellEnd"/>
      <w:r w:rsidR="00CB2A09" w:rsidRPr="0040738C">
        <w:rPr>
          <w:bCs/>
          <w:sz w:val="22"/>
          <w:szCs w:val="20"/>
        </w:rPr>
        <w:t>:</w:t>
      </w:r>
    </w:p>
    <w:p w14:paraId="13DB70B3" w14:textId="77777777" w:rsidR="00CB2A09" w:rsidRPr="0040738C" w:rsidRDefault="00CB2A09" w:rsidP="00CD70B0">
      <w:pPr>
        <w:pStyle w:val="Zkladntext"/>
        <w:jc w:val="left"/>
        <w:rPr>
          <w:bCs/>
          <w:sz w:val="22"/>
          <w:szCs w:val="20"/>
          <w:u w:val="single"/>
        </w:rPr>
      </w:pPr>
    </w:p>
    <w:p w14:paraId="647F3467" w14:textId="77777777" w:rsidR="00CB2A09" w:rsidRPr="0040738C" w:rsidRDefault="00CB2A09" w:rsidP="00E83373">
      <w:pPr>
        <w:pStyle w:val="Nadpis3"/>
      </w:pPr>
      <w:r w:rsidRPr="0040738C">
        <w:t xml:space="preserve">Účinok iných liekov na </w:t>
      </w:r>
      <w:proofErr w:type="spellStart"/>
      <w:r w:rsidRPr="0040738C">
        <w:t>Esmeron</w:t>
      </w:r>
      <w:proofErr w:type="spellEnd"/>
    </w:p>
    <w:p w14:paraId="7F0A4827" w14:textId="77777777" w:rsidR="00CB2A09" w:rsidRPr="0040738C" w:rsidRDefault="00CB2A09" w:rsidP="00DD73F9">
      <w:pPr>
        <w:keepNext/>
        <w:rPr>
          <w:b/>
          <w:sz w:val="22"/>
          <w:szCs w:val="20"/>
          <w:u w:val="single"/>
        </w:rPr>
      </w:pPr>
    </w:p>
    <w:p w14:paraId="487F0038" w14:textId="1943AB08" w:rsidR="00CB2A09" w:rsidRPr="0040738C" w:rsidRDefault="00CB2A09" w:rsidP="00DD73F9">
      <w:pPr>
        <w:keepNext/>
        <w:rPr>
          <w:bCs/>
          <w:sz w:val="22"/>
          <w:szCs w:val="20"/>
          <w:u w:val="single"/>
        </w:rPr>
      </w:pPr>
      <w:r w:rsidRPr="0040738C">
        <w:rPr>
          <w:bCs/>
          <w:sz w:val="22"/>
          <w:szCs w:val="20"/>
          <w:u w:val="single"/>
        </w:rPr>
        <w:t>Z</w:t>
      </w:r>
      <w:r w:rsidR="003C4A98">
        <w:rPr>
          <w:bCs/>
          <w:sz w:val="22"/>
          <w:szCs w:val="20"/>
          <w:u w:val="single"/>
        </w:rPr>
        <w:t>výšený</w:t>
      </w:r>
      <w:r w:rsidRPr="0040738C">
        <w:rPr>
          <w:bCs/>
          <w:sz w:val="22"/>
          <w:szCs w:val="20"/>
          <w:u w:val="single"/>
        </w:rPr>
        <w:t xml:space="preserve"> účinok:</w:t>
      </w:r>
    </w:p>
    <w:p w14:paraId="4B384E84" w14:textId="0272B6AF" w:rsidR="00CB2A09" w:rsidRPr="0040738C" w:rsidRDefault="00CB2A09" w:rsidP="00DD73F9">
      <w:pPr>
        <w:numPr>
          <w:ilvl w:val="0"/>
          <w:numId w:val="6"/>
        </w:numPr>
        <w:tabs>
          <w:tab w:val="clear" w:pos="927"/>
          <w:tab w:val="left" w:pos="567"/>
        </w:tabs>
        <w:ind w:left="567"/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 xml:space="preserve">Prchavé </w:t>
      </w:r>
      <w:proofErr w:type="spellStart"/>
      <w:r w:rsidRPr="0040738C">
        <w:rPr>
          <w:bCs/>
          <w:sz w:val="22"/>
          <w:szCs w:val="20"/>
        </w:rPr>
        <w:t>halog</w:t>
      </w:r>
      <w:r w:rsidR="009617F1">
        <w:rPr>
          <w:bCs/>
          <w:sz w:val="22"/>
          <w:szCs w:val="20"/>
        </w:rPr>
        <w:t>é</w:t>
      </w:r>
      <w:r w:rsidRPr="0040738C">
        <w:rPr>
          <w:bCs/>
          <w:sz w:val="22"/>
          <w:szCs w:val="20"/>
        </w:rPr>
        <w:t>nované</w:t>
      </w:r>
      <w:proofErr w:type="spellEnd"/>
      <w:r w:rsidRPr="0040738C">
        <w:rPr>
          <w:bCs/>
          <w:sz w:val="22"/>
          <w:szCs w:val="20"/>
        </w:rPr>
        <w:t xml:space="preserve"> anestetiká zosilňujú </w:t>
      </w:r>
      <w:proofErr w:type="spellStart"/>
      <w:r w:rsidRPr="0040738C">
        <w:rPr>
          <w:bCs/>
          <w:sz w:val="22"/>
          <w:szCs w:val="20"/>
        </w:rPr>
        <w:t>nervovosvalovú</w:t>
      </w:r>
      <w:proofErr w:type="spellEnd"/>
      <w:r w:rsidRPr="0040738C">
        <w:rPr>
          <w:bCs/>
          <w:sz w:val="22"/>
          <w:szCs w:val="20"/>
        </w:rPr>
        <w:t xml:space="preserve"> blokádu spôsobenú </w:t>
      </w:r>
      <w:proofErr w:type="spellStart"/>
      <w:r w:rsidRPr="0040738C">
        <w:rPr>
          <w:bCs/>
          <w:sz w:val="22"/>
          <w:szCs w:val="20"/>
        </w:rPr>
        <w:t>Esmeronom</w:t>
      </w:r>
      <w:proofErr w:type="spellEnd"/>
      <w:r w:rsidRPr="0040738C">
        <w:rPr>
          <w:bCs/>
          <w:sz w:val="22"/>
          <w:szCs w:val="20"/>
        </w:rPr>
        <w:t xml:space="preserve">. Účinok </w:t>
      </w:r>
      <w:r w:rsidR="008F0F7F">
        <w:rPr>
          <w:bCs/>
          <w:sz w:val="22"/>
          <w:szCs w:val="20"/>
        </w:rPr>
        <w:t>je zjavný</w:t>
      </w:r>
      <w:r w:rsidRPr="0040738C">
        <w:rPr>
          <w:bCs/>
          <w:sz w:val="22"/>
          <w:szCs w:val="20"/>
        </w:rPr>
        <w:t xml:space="preserve"> len pri udržiavac</w:t>
      </w:r>
      <w:r w:rsidR="009617F1">
        <w:rPr>
          <w:bCs/>
          <w:sz w:val="22"/>
          <w:szCs w:val="20"/>
        </w:rPr>
        <w:t>om</w:t>
      </w:r>
      <w:r w:rsidRPr="0040738C">
        <w:rPr>
          <w:bCs/>
          <w:sz w:val="22"/>
          <w:szCs w:val="20"/>
        </w:rPr>
        <w:t xml:space="preserve"> dávk</w:t>
      </w:r>
      <w:r w:rsidR="009617F1">
        <w:rPr>
          <w:bCs/>
          <w:sz w:val="22"/>
          <w:szCs w:val="20"/>
        </w:rPr>
        <w:t>ovaní</w:t>
      </w:r>
      <w:r w:rsidRPr="0040738C">
        <w:rPr>
          <w:bCs/>
          <w:sz w:val="22"/>
          <w:szCs w:val="20"/>
        </w:rPr>
        <w:t xml:space="preserve"> (pozri časť 4.2). Zrušenie </w:t>
      </w:r>
      <w:proofErr w:type="spellStart"/>
      <w:r w:rsidRPr="0040738C">
        <w:rPr>
          <w:bCs/>
          <w:sz w:val="22"/>
          <w:szCs w:val="20"/>
        </w:rPr>
        <w:t>nervovosvalovej</w:t>
      </w:r>
      <w:proofErr w:type="spellEnd"/>
      <w:r w:rsidRPr="0040738C">
        <w:rPr>
          <w:bCs/>
          <w:sz w:val="22"/>
          <w:szCs w:val="20"/>
        </w:rPr>
        <w:t xml:space="preserve"> blokády</w:t>
      </w:r>
      <w:r w:rsidR="00E83373">
        <w:rPr>
          <w:bCs/>
          <w:sz w:val="22"/>
          <w:szCs w:val="20"/>
        </w:rPr>
        <w:t xml:space="preserve"> </w:t>
      </w:r>
      <w:r w:rsidRPr="0040738C">
        <w:rPr>
          <w:bCs/>
          <w:sz w:val="22"/>
          <w:szCs w:val="20"/>
        </w:rPr>
        <w:t xml:space="preserve">inhibítormi </w:t>
      </w:r>
      <w:proofErr w:type="spellStart"/>
      <w:r w:rsidRPr="0040738C">
        <w:rPr>
          <w:bCs/>
          <w:sz w:val="22"/>
          <w:szCs w:val="20"/>
        </w:rPr>
        <w:t>acetylchol</w:t>
      </w:r>
      <w:r w:rsidR="003C4A98">
        <w:rPr>
          <w:bCs/>
          <w:sz w:val="22"/>
          <w:szCs w:val="20"/>
        </w:rPr>
        <w:t>í</w:t>
      </w:r>
      <w:r w:rsidRPr="0040738C">
        <w:rPr>
          <w:bCs/>
          <w:sz w:val="22"/>
          <w:szCs w:val="20"/>
        </w:rPr>
        <w:t>nesterázy</w:t>
      </w:r>
      <w:proofErr w:type="spellEnd"/>
      <w:r w:rsidRPr="0040738C">
        <w:rPr>
          <w:bCs/>
          <w:sz w:val="22"/>
          <w:szCs w:val="20"/>
        </w:rPr>
        <w:t xml:space="preserve"> môže byť tiež </w:t>
      </w:r>
      <w:proofErr w:type="spellStart"/>
      <w:r w:rsidR="00E83373">
        <w:rPr>
          <w:bCs/>
          <w:sz w:val="22"/>
          <w:szCs w:val="20"/>
        </w:rPr>
        <w:t>inhibované</w:t>
      </w:r>
      <w:proofErr w:type="spellEnd"/>
      <w:r w:rsidR="00E83373">
        <w:rPr>
          <w:bCs/>
          <w:sz w:val="22"/>
          <w:szCs w:val="20"/>
        </w:rPr>
        <w:t>.</w:t>
      </w:r>
    </w:p>
    <w:p w14:paraId="4A29068D" w14:textId="05D71193" w:rsidR="00CB2A09" w:rsidRPr="0040738C" w:rsidRDefault="00CB2A09" w:rsidP="00DD73F9">
      <w:pPr>
        <w:numPr>
          <w:ilvl w:val="0"/>
          <w:numId w:val="6"/>
        </w:numPr>
        <w:tabs>
          <w:tab w:val="clear" w:pos="927"/>
          <w:tab w:val="left" w:pos="567"/>
        </w:tabs>
        <w:ind w:left="567"/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 xml:space="preserve">Po </w:t>
      </w:r>
      <w:proofErr w:type="spellStart"/>
      <w:r w:rsidRPr="0040738C">
        <w:rPr>
          <w:bCs/>
          <w:sz w:val="22"/>
          <w:szCs w:val="20"/>
        </w:rPr>
        <w:t>intubácii</w:t>
      </w:r>
      <w:proofErr w:type="spellEnd"/>
      <w:r w:rsidRPr="0040738C">
        <w:rPr>
          <w:bCs/>
          <w:sz w:val="22"/>
          <w:szCs w:val="20"/>
        </w:rPr>
        <w:t xml:space="preserve"> </w:t>
      </w:r>
      <w:proofErr w:type="spellStart"/>
      <w:r w:rsidRPr="0040738C">
        <w:rPr>
          <w:bCs/>
          <w:sz w:val="22"/>
          <w:szCs w:val="20"/>
        </w:rPr>
        <w:t>suxametóniom</w:t>
      </w:r>
      <w:proofErr w:type="spellEnd"/>
      <w:r w:rsidRPr="0040738C">
        <w:rPr>
          <w:bCs/>
          <w:sz w:val="22"/>
          <w:szCs w:val="20"/>
        </w:rPr>
        <w:t xml:space="preserve"> (pozri časť 4.</w:t>
      </w:r>
      <w:r w:rsidR="003C4A98">
        <w:rPr>
          <w:bCs/>
          <w:sz w:val="22"/>
          <w:szCs w:val="20"/>
        </w:rPr>
        <w:t>4</w:t>
      </w:r>
      <w:r w:rsidRPr="0040738C">
        <w:rPr>
          <w:bCs/>
          <w:sz w:val="22"/>
          <w:szCs w:val="20"/>
        </w:rPr>
        <w:t>).</w:t>
      </w:r>
    </w:p>
    <w:p w14:paraId="22ED3EF1" w14:textId="2875E690" w:rsidR="00CB2A09" w:rsidRPr="0040738C" w:rsidRDefault="00CB2A09" w:rsidP="00DD73F9">
      <w:pPr>
        <w:numPr>
          <w:ilvl w:val="0"/>
          <w:numId w:val="6"/>
        </w:numPr>
        <w:tabs>
          <w:tab w:val="clear" w:pos="927"/>
          <w:tab w:val="left" w:pos="567"/>
        </w:tabs>
        <w:ind w:left="567"/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lastRenderedPageBreak/>
        <w:t xml:space="preserve">Súbežné dlhodobé používanie </w:t>
      </w:r>
      <w:proofErr w:type="spellStart"/>
      <w:r w:rsidRPr="0040738C">
        <w:rPr>
          <w:bCs/>
          <w:sz w:val="22"/>
          <w:szCs w:val="20"/>
        </w:rPr>
        <w:t>kortikosteroidov</w:t>
      </w:r>
      <w:proofErr w:type="spellEnd"/>
      <w:r w:rsidRPr="0040738C">
        <w:rPr>
          <w:bCs/>
          <w:sz w:val="22"/>
          <w:szCs w:val="20"/>
        </w:rPr>
        <w:t xml:space="preserve"> a </w:t>
      </w:r>
      <w:proofErr w:type="spellStart"/>
      <w:r w:rsidRPr="0040738C">
        <w:rPr>
          <w:bCs/>
          <w:sz w:val="22"/>
          <w:szCs w:val="20"/>
        </w:rPr>
        <w:t>Esmeronu</w:t>
      </w:r>
      <w:proofErr w:type="spellEnd"/>
      <w:r w:rsidRPr="0040738C">
        <w:rPr>
          <w:bCs/>
          <w:sz w:val="22"/>
          <w:szCs w:val="20"/>
        </w:rPr>
        <w:t xml:space="preserve"> na JIS môže mať za následok predĺžen</w:t>
      </w:r>
      <w:r w:rsidR="008F0F7F">
        <w:rPr>
          <w:bCs/>
          <w:sz w:val="22"/>
          <w:szCs w:val="20"/>
        </w:rPr>
        <w:t>é trvanie</w:t>
      </w:r>
      <w:r w:rsidRPr="0040738C">
        <w:rPr>
          <w:bCs/>
          <w:sz w:val="22"/>
          <w:szCs w:val="20"/>
        </w:rPr>
        <w:t xml:space="preserve"> </w:t>
      </w:r>
      <w:proofErr w:type="spellStart"/>
      <w:r w:rsidRPr="0040738C">
        <w:rPr>
          <w:bCs/>
          <w:sz w:val="22"/>
          <w:szCs w:val="20"/>
        </w:rPr>
        <w:t>nervovosvalovej</w:t>
      </w:r>
      <w:proofErr w:type="spellEnd"/>
      <w:r w:rsidRPr="0040738C">
        <w:rPr>
          <w:bCs/>
          <w:sz w:val="22"/>
          <w:szCs w:val="20"/>
        </w:rPr>
        <w:t xml:space="preserve"> blokády alebo </w:t>
      </w:r>
      <w:proofErr w:type="spellStart"/>
      <w:r w:rsidRPr="0040738C">
        <w:rPr>
          <w:bCs/>
          <w:sz w:val="22"/>
          <w:szCs w:val="20"/>
        </w:rPr>
        <w:t>myopatiu</w:t>
      </w:r>
      <w:proofErr w:type="spellEnd"/>
      <w:r w:rsidRPr="0040738C">
        <w:rPr>
          <w:bCs/>
          <w:sz w:val="22"/>
          <w:szCs w:val="20"/>
        </w:rPr>
        <w:t xml:space="preserve"> (pozri čas</w:t>
      </w:r>
      <w:r w:rsidR="008E4226">
        <w:rPr>
          <w:bCs/>
          <w:sz w:val="22"/>
          <w:szCs w:val="20"/>
        </w:rPr>
        <w:t>ti</w:t>
      </w:r>
      <w:r w:rsidRPr="0040738C">
        <w:rPr>
          <w:bCs/>
          <w:sz w:val="22"/>
          <w:szCs w:val="20"/>
        </w:rPr>
        <w:t xml:space="preserve"> 4.4 a 4.8)</w:t>
      </w:r>
      <w:r w:rsidR="00E83373">
        <w:rPr>
          <w:bCs/>
          <w:sz w:val="22"/>
          <w:szCs w:val="20"/>
        </w:rPr>
        <w:t>.</w:t>
      </w:r>
    </w:p>
    <w:p w14:paraId="029476BA" w14:textId="77777777" w:rsidR="00CB2A09" w:rsidRPr="0040738C" w:rsidRDefault="00CB2A09" w:rsidP="00CD70B0">
      <w:pPr>
        <w:ind w:left="360"/>
        <w:rPr>
          <w:sz w:val="22"/>
          <w:szCs w:val="20"/>
        </w:rPr>
      </w:pPr>
    </w:p>
    <w:p w14:paraId="149B6283" w14:textId="4E1AF8D1" w:rsidR="00CB2A09" w:rsidRPr="0040738C" w:rsidRDefault="00CB2A09" w:rsidP="00DD73F9">
      <w:pPr>
        <w:keepNext/>
        <w:rPr>
          <w:sz w:val="22"/>
          <w:szCs w:val="20"/>
        </w:rPr>
      </w:pPr>
      <w:r w:rsidRPr="0040738C">
        <w:rPr>
          <w:sz w:val="22"/>
          <w:szCs w:val="20"/>
        </w:rPr>
        <w:t>Iné lieky:</w:t>
      </w:r>
    </w:p>
    <w:p w14:paraId="281F0420" w14:textId="4E08EA53" w:rsidR="00CB2A09" w:rsidRPr="0040738C" w:rsidRDefault="00CB2A09" w:rsidP="00DD73F9">
      <w:pPr>
        <w:numPr>
          <w:ilvl w:val="0"/>
          <w:numId w:val="8"/>
        </w:numPr>
        <w:tabs>
          <w:tab w:val="clear" w:pos="1647"/>
          <w:tab w:val="left" w:pos="567"/>
        </w:tabs>
        <w:ind w:left="567"/>
        <w:rPr>
          <w:sz w:val="22"/>
          <w:szCs w:val="20"/>
        </w:rPr>
      </w:pPr>
      <w:r w:rsidRPr="0040738C">
        <w:rPr>
          <w:sz w:val="22"/>
          <w:szCs w:val="20"/>
        </w:rPr>
        <w:t xml:space="preserve">antibiotiká: </w:t>
      </w:r>
      <w:proofErr w:type="spellStart"/>
      <w:r w:rsidRPr="0040738C">
        <w:rPr>
          <w:sz w:val="22"/>
          <w:szCs w:val="20"/>
        </w:rPr>
        <w:t>aminoglykozidové</w:t>
      </w:r>
      <w:proofErr w:type="spellEnd"/>
      <w:r w:rsidRPr="0040738C">
        <w:rPr>
          <w:sz w:val="22"/>
          <w:szCs w:val="20"/>
        </w:rPr>
        <w:t xml:space="preserve">, </w:t>
      </w:r>
      <w:proofErr w:type="spellStart"/>
      <w:r w:rsidRPr="0040738C">
        <w:rPr>
          <w:sz w:val="22"/>
          <w:szCs w:val="20"/>
        </w:rPr>
        <w:t>linko</w:t>
      </w:r>
      <w:r w:rsidR="00E83373">
        <w:rPr>
          <w:sz w:val="22"/>
          <w:szCs w:val="20"/>
        </w:rPr>
        <w:t>z</w:t>
      </w:r>
      <w:r w:rsidRPr="0040738C">
        <w:rPr>
          <w:sz w:val="22"/>
          <w:szCs w:val="20"/>
        </w:rPr>
        <w:t>amidové</w:t>
      </w:r>
      <w:proofErr w:type="spellEnd"/>
      <w:r w:rsidRPr="0040738C">
        <w:rPr>
          <w:sz w:val="22"/>
          <w:szCs w:val="20"/>
        </w:rPr>
        <w:t xml:space="preserve"> a </w:t>
      </w:r>
      <w:proofErr w:type="spellStart"/>
      <w:r w:rsidRPr="0040738C">
        <w:rPr>
          <w:sz w:val="22"/>
          <w:szCs w:val="20"/>
        </w:rPr>
        <w:t>polypeptidové</w:t>
      </w:r>
      <w:proofErr w:type="spellEnd"/>
      <w:r w:rsidRPr="0040738C">
        <w:rPr>
          <w:sz w:val="22"/>
          <w:szCs w:val="20"/>
        </w:rPr>
        <w:t xml:space="preserve"> antibiotiká, </w:t>
      </w:r>
      <w:proofErr w:type="spellStart"/>
      <w:r w:rsidRPr="0040738C">
        <w:rPr>
          <w:sz w:val="22"/>
          <w:szCs w:val="20"/>
        </w:rPr>
        <w:t>acylaminopenicilínové</w:t>
      </w:r>
      <w:proofErr w:type="spellEnd"/>
      <w:r w:rsidRPr="0040738C">
        <w:rPr>
          <w:sz w:val="22"/>
          <w:szCs w:val="20"/>
        </w:rPr>
        <w:t xml:space="preserve"> antibiotiká.</w:t>
      </w:r>
    </w:p>
    <w:p w14:paraId="48EE0383" w14:textId="3AA2EEDF" w:rsidR="00CB2A09" w:rsidRPr="0040738C" w:rsidRDefault="00CB2A09" w:rsidP="00DD73F9">
      <w:pPr>
        <w:pStyle w:val="Zarkazkladnhotextu2"/>
        <w:numPr>
          <w:ilvl w:val="0"/>
          <w:numId w:val="8"/>
        </w:numPr>
        <w:tabs>
          <w:tab w:val="clear" w:pos="1647"/>
          <w:tab w:val="left" w:pos="567"/>
        </w:tabs>
        <w:ind w:left="567"/>
        <w:jc w:val="left"/>
        <w:rPr>
          <w:sz w:val="22"/>
        </w:rPr>
      </w:pPr>
      <w:r w:rsidRPr="00D5561F">
        <w:rPr>
          <w:sz w:val="22"/>
        </w:rPr>
        <w:t xml:space="preserve">diuretiká, </w:t>
      </w:r>
      <w:proofErr w:type="spellStart"/>
      <w:r w:rsidRPr="00D5561F">
        <w:rPr>
          <w:sz w:val="22"/>
        </w:rPr>
        <w:t>chinidín</w:t>
      </w:r>
      <w:proofErr w:type="spellEnd"/>
      <w:r w:rsidRPr="00D5561F">
        <w:rPr>
          <w:sz w:val="22"/>
        </w:rPr>
        <w:t xml:space="preserve"> a jeho izomér chinín, </w:t>
      </w:r>
      <w:r w:rsidR="0024628E" w:rsidRPr="00D5561F">
        <w:rPr>
          <w:sz w:val="22"/>
        </w:rPr>
        <w:t>sol</w:t>
      </w:r>
      <w:r w:rsidR="00663107">
        <w:rPr>
          <w:sz w:val="22"/>
        </w:rPr>
        <w:t>i</w:t>
      </w:r>
      <w:r w:rsidR="0024628E" w:rsidRPr="00D5561F">
        <w:rPr>
          <w:sz w:val="22"/>
        </w:rPr>
        <w:t xml:space="preserve"> </w:t>
      </w:r>
      <w:r w:rsidRPr="00D5561F">
        <w:rPr>
          <w:sz w:val="22"/>
        </w:rPr>
        <w:t>magnézi</w:t>
      </w:r>
      <w:r w:rsidR="0024628E" w:rsidRPr="00D5561F">
        <w:rPr>
          <w:sz w:val="22"/>
        </w:rPr>
        <w:t>a</w:t>
      </w:r>
      <w:r w:rsidRPr="00D5561F">
        <w:rPr>
          <w:sz w:val="22"/>
        </w:rPr>
        <w:t xml:space="preserve">, </w:t>
      </w:r>
      <w:proofErr w:type="spellStart"/>
      <w:r w:rsidRPr="00D5561F">
        <w:rPr>
          <w:sz w:val="22"/>
        </w:rPr>
        <w:t>blokátory</w:t>
      </w:r>
      <w:proofErr w:type="spellEnd"/>
      <w:r w:rsidRPr="00D5561F">
        <w:rPr>
          <w:sz w:val="22"/>
        </w:rPr>
        <w:t xml:space="preserve"> kalciového</w:t>
      </w:r>
      <w:r w:rsidRPr="0040738C">
        <w:rPr>
          <w:sz w:val="22"/>
        </w:rPr>
        <w:t xml:space="preserve"> kanála</w:t>
      </w:r>
      <w:r w:rsidR="008B24AA">
        <w:rPr>
          <w:sz w:val="22"/>
        </w:rPr>
        <w:t xml:space="preserve">, </w:t>
      </w:r>
      <w:r w:rsidR="003C4A98">
        <w:rPr>
          <w:sz w:val="22"/>
        </w:rPr>
        <w:t xml:space="preserve">soli </w:t>
      </w:r>
      <w:r w:rsidRPr="0040738C">
        <w:rPr>
          <w:sz w:val="22"/>
        </w:rPr>
        <w:t>líti</w:t>
      </w:r>
      <w:r w:rsidR="003C4A98">
        <w:rPr>
          <w:sz w:val="22"/>
        </w:rPr>
        <w:t>a</w:t>
      </w:r>
      <w:r w:rsidRPr="0040738C">
        <w:rPr>
          <w:sz w:val="22"/>
        </w:rPr>
        <w:t>, lokálne anestetiká (</w:t>
      </w:r>
      <w:r w:rsidR="003C4A98">
        <w:rPr>
          <w:sz w:val="22"/>
        </w:rPr>
        <w:t xml:space="preserve">intravenózny </w:t>
      </w:r>
      <w:proofErr w:type="spellStart"/>
      <w:r w:rsidRPr="0040738C">
        <w:rPr>
          <w:sz w:val="22"/>
        </w:rPr>
        <w:t>lidokaín</w:t>
      </w:r>
      <w:proofErr w:type="spellEnd"/>
      <w:r w:rsidRPr="0040738C">
        <w:rPr>
          <w:sz w:val="22"/>
        </w:rPr>
        <w:t xml:space="preserve">, </w:t>
      </w:r>
      <w:proofErr w:type="spellStart"/>
      <w:r w:rsidR="003C4A98">
        <w:rPr>
          <w:sz w:val="22"/>
        </w:rPr>
        <w:t>epidurálny</w:t>
      </w:r>
      <w:proofErr w:type="spellEnd"/>
      <w:r w:rsidR="003C4A98">
        <w:rPr>
          <w:sz w:val="22"/>
        </w:rPr>
        <w:t xml:space="preserve"> </w:t>
      </w:r>
      <w:proofErr w:type="spellStart"/>
      <w:r w:rsidRPr="0040738C">
        <w:rPr>
          <w:sz w:val="22"/>
        </w:rPr>
        <w:t>bupivakaín</w:t>
      </w:r>
      <w:proofErr w:type="spellEnd"/>
      <w:r w:rsidRPr="0040738C">
        <w:rPr>
          <w:sz w:val="22"/>
        </w:rPr>
        <w:t>) a </w:t>
      </w:r>
      <w:r w:rsidR="003C4A98">
        <w:rPr>
          <w:sz w:val="22"/>
        </w:rPr>
        <w:t>krátkodobé</w:t>
      </w:r>
      <w:r w:rsidRPr="0040738C">
        <w:rPr>
          <w:sz w:val="22"/>
        </w:rPr>
        <w:t xml:space="preserve"> pod</w:t>
      </w:r>
      <w:r w:rsidR="003C4A98">
        <w:rPr>
          <w:sz w:val="22"/>
        </w:rPr>
        <w:t>áv</w:t>
      </w:r>
      <w:r w:rsidRPr="0040738C">
        <w:rPr>
          <w:sz w:val="22"/>
        </w:rPr>
        <w:t xml:space="preserve">anie </w:t>
      </w:r>
      <w:proofErr w:type="spellStart"/>
      <w:r w:rsidRPr="0040738C">
        <w:rPr>
          <w:sz w:val="22"/>
        </w:rPr>
        <w:t>fenytoínu</w:t>
      </w:r>
      <w:proofErr w:type="spellEnd"/>
      <w:r w:rsidRPr="0040738C">
        <w:rPr>
          <w:sz w:val="22"/>
        </w:rPr>
        <w:t xml:space="preserve"> alebo </w:t>
      </w:r>
      <w:proofErr w:type="spellStart"/>
      <w:r w:rsidR="00D33BE3">
        <w:rPr>
          <w:sz w:val="22"/>
        </w:rPr>
        <w:t>beta</w:t>
      </w:r>
      <w:r w:rsidRPr="0040738C">
        <w:rPr>
          <w:sz w:val="22"/>
        </w:rPr>
        <w:t>blokátorov</w:t>
      </w:r>
      <w:proofErr w:type="spellEnd"/>
      <w:r w:rsidR="003C4A98">
        <w:rPr>
          <w:sz w:val="22"/>
        </w:rPr>
        <w:t>.</w:t>
      </w:r>
    </w:p>
    <w:p w14:paraId="6E0981CB" w14:textId="77777777" w:rsidR="00CB2A09" w:rsidRPr="0040738C" w:rsidRDefault="00CB2A09" w:rsidP="00CD70B0">
      <w:pPr>
        <w:rPr>
          <w:bCs/>
          <w:sz w:val="22"/>
          <w:szCs w:val="20"/>
        </w:rPr>
      </w:pPr>
    </w:p>
    <w:p w14:paraId="7DC53457" w14:textId="1D8EE4EA" w:rsidR="00CB2A09" w:rsidRPr="0040738C" w:rsidRDefault="00CB2A09" w:rsidP="00CD70B0">
      <w:pPr>
        <w:rPr>
          <w:bCs/>
          <w:sz w:val="22"/>
          <w:szCs w:val="20"/>
        </w:rPr>
      </w:pPr>
      <w:proofErr w:type="spellStart"/>
      <w:r w:rsidRPr="0040738C">
        <w:rPr>
          <w:bCs/>
          <w:sz w:val="22"/>
          <w:szCs w:val="20"/>
        </w:rPr>
        <w:t>Rekurarizácia</w:t>
      </w:r>
      <w:proofErr w:type="spellEnd"/>
      <w:r w:rsidRPr="0040738C">
        <w:rPr>
          <w:bCs/>
          <w:sz w:val="22"/>
          <w:szCs w:val="20"/>
        </w:rPr>
        <w:t xml:space="preserve"> </w:t>
      </w:r>
      <w:r w:rsidR="002B4B77">
        <w:rPr>
          <w:bCs/>
          <w:sz w:val="22"/>
          <w:szCs w:val="20"/>
        </w:rPr>
        <w:t>sa hlásila</w:t>
      </w:r>
      <w:r w:rsidRPr="0040738C">
        <w:rPr>
          <w:bCs/>
          <w:sz w:val="22"/>
          <w:szCs w:val="20"/>
        </w:rPr>
        <w:t xml:space="preserve"> po pooperačnom podaní: </w:t>
      </w:r>
      <w:proofErr w:type="spellStart"/>
      <w:r w:rsidRPr="0040738C">
        <w:rPr>
          <w:bCs/>
          <w:sz w:val="22"/>
          <w:szCs w:val="20"/>
        </w:rPr>
        <w:t>aminoglykozidov</w:t>
      </w:r>
      <w:r w:rsidR="003C4A98">
        <w:rPr>
          <w:bCs/>
          <w:sz w:val="22"/>
          <w:szCs w:val="20"/>
        </w:rPr>
        <w:t>ých</w:t>
      </w:r>
      <w:proofErr w:type="spellEnd"/>
      <w:r w:rsidRPr="0040738C">
        <w:rPr>
          <w:bCs/>
          <w:sz w:val="22"/>
          <w:szCs w:val="20"/>
        </w:rPr>
        <w:t xml:space="preserve">, </w:t>
      </w:r>
      <w:proofErr w:type="spellStart"/>
      <w:r w:rsidRPr="0040738C">
        <w:rPr>
          <w:bCs/>
          <w:sz w:val="22"/>
          <w:szCs w:val="20"/>
        </w:rPr>
        <w:t>linko</w:t>
      </w:r>
      <w:r w:rsidR="009027B1">
        <w:rPr>
          <w:bCs/>
          <w:sz w:val="22"/>
          <w:szCs w:val="20"/>
        </w:rPr>
        <w:t>z</w:t>
      </w:r>
      <w:r w:rsidRPr="0040738C">
        <w:rPr>
          <w:bCs/>
          <w:sz w:val="22"/>
          <w:szCs w:val="20"/>
        </w:rPr>
        <w:t>amid</w:t>
      </w:r>
      <w:r w:rsidR="003C4A98">
        <w:rPr>
          <w:bCs/>
          <w:sz w:val="22"/>
          <w:szCs w:val="20"/>
        </w:rPr>
        <w:t>ových</w:t>
      </w:r>
      <w:proofErr w:type="spellEnd"/>
      <w:r w:rsidRPr="0040738C">
        <w:rPr>
          <w:bCs/>
          <w:sz w:val="22"/>
          <w:szCs w:val="20"/>
        </w:rPr>
        <w:t xml:space="preserve">, </w:t>
      </w:r>
      <w:proofErr w:type="spellStart"/>
      <w:r w:rsidRPr="0040738C">
        <w:rPr>
          <w:bCs/>
          <w:sz w:val="22"/>
          <w:szCs w:val="20"/>
        </w:rPr>
        <w:t>polypeptidových</w:t>
      </w:r>
      <w:proofErr w:type="spellEnd"/>
      <w:r w:rsidRPr="0040738C">
        <w:rPr>
          <w:bCs/>
          <w:sz w:val="22"/>
          <w:szCs w:val="20"/>
        </w:rPr>
        <w:t xml:space="preserve"> a </w:t>
      </w:r>
      <w:proofErr w:type="spellStart"/>
      <w:r w:rsidRPr="0040738C">
        <w:rPr>
          <w:bCs/>
          <w:sz w:val="22"/>
          <w:szCs w:val="20"/>
        </w:rPr>
        <w:t>acylaminopenicilínových</w:t>
      </w:r>
      <w:proofErr w:type="spellEnd"/>
      <w:r w:rsidRPr="0040738C">
        <w:rPr>
          <w:bCs/>
          <w:sz w:val="22"/>
          <w:szCs w:val="20"/>
        </w:rPr>
        <w:t xml:space="preserve"> antibiotík, </w:t>
      </w:r>
      <w:proofErr w:type="spellStart"/>
      <w:r w:rsidRPr="0040738C">
        <w:rPr>
          <w:bCs/>
          <w:sz w:val="22"/>
          <w:szCs w:val="20"/>
        </w:rPr>
        <w:t>chinidínu</w:t>
      </w:r>
      <w:proofErr w:type="spellEnd"/>
      <w:r w:rsidRPr="0040738C">
        <w:rPr>
          <w:bCs/>
          <w:sz w:val="22"/>
          <w:szCs w:val="20"/>
        </w:rPr>
        <w:t>, chinínu a</w:t>
      </w:r>
      <w:r w:rsidR="00915A5E">
        <w:rPr>
          <w:bCs/>
          <w:sz w:val="22"/>
          <w:szCs w:val="20"/>
        </w:rPr>
        <w:t> </w:t>
      </w:r>
      <w:r w:rsidR="0024628E">
        <w:rPr>
          <w:bCs/>
          <w:sz w:val="22"/>
          <w:szCs w:val="20"/>
        </w:rPr>
        <w:t>solí</w:t>
      </w:r>
      <w:r w:rsidR="00915A5E">
        <w:rPr>
          <w:bCs/>
          <w:sz w:val="22"/>
          <w:szCs w:val="20"/>
        </w:rPr>
        <w:t xml:space="preserve"> </w:t>
      </w:r>
      <w:r w:rsidRPr="0040738C">
        <w:rPr>
          <w:bCs/>
          <w:sz w:val="22"/>
          <w:szCs w:val="20"/>
        </w:rPr>
        <w:t>magnézi</w:t>
      </w:r>
      <w:r w:rsidR="00915A5E">
        <w:rPr>
          <w:bCs/>
          <w:sz w:val="22"/>
          <w:szCs w:val="20"/>
        </w:rPr>
        <w:t>a</w:t>
      </w:r>
      <w:r w:rsidRPr="0040738C">
        <w:rPr>
          <w:bCs/>
          <w:sz w:val="22"/>
          <w:szCs w:val="20"/>
        </w:rPr>
        <w:t xml:space="preserve"> (pozri časť 4.4).</w:t>
      </w:r>
    </w:p>
    <w:p w14:paraId="1175E784" w14:textId="77777777" w:rsidR="00CB2A09" w:rsidRPr="0040738C" w:rsidRDefault="00CB2A09" w:rsidP="00CD70B0">
      <w:pPr>
        <w:rPr>
          <w:bCs/>
          <w:sz w:val="22"/>
          <w:szCs w:val="20"/>
        </w:rPr>
      </w:pPr>
    </w:p>
    <w:p w14:paraId="733F7ACE" w14:textId="77777777" w:rsidR="00CB2A09" w:rsidRPr="0040738C" w:rsidRDefault="00CB2A09" w:rsidP="00DD73F9">
      <w:pPr>
        <w:keepNext/>
        <w:rPr>
          <w:bCs/>
          <w:sz w:val="22"/>
          <w:szCs w:val="20"/>
          <w:u w:val="single"/>
        </w:rPr>
      </w:pPr>
      <w:r w:rsidRPr="0040738C">
        <w:rPr>
          <w:bCs/>
          <w:sz w:val="22"/>
          <w:szCs w:val="20"/>
          <w:u w:val="single"/>
        </w:rPr>
        <w:t>Znížený účinok:</w:t>
      </w:r>
    </w:p>
    <w:p w14:paraId="65573874" w14:textId="0DF0B03D" w:rsidR="00CB2A09" w:rsidRPr="0040738C" w:rsidRDefault="00CB2A09" w:rsidP="00DD73F9">
      <w:pPr>
        <w:numPr>
          <w:ilvl w:val="0"/>
          <w:numId w:val="9"/>
        </w:numPr>
        <w:tabs>
          <w:tab w:val="clear" w:pos="927"/>
          <w:tab w:val="num" w:pos="567"/>
        </w:tabs>
        <w:ind w:left="567"/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 xml:space="preserve">Predchádzajúce </w:t>
      </w:r>
      <w:r w:rsidR="003C4A98">
        <w:rPr>
          <w:bCs/>
          <w:sz w:val="22"/>
          <w:szCs w:val="20"/>
        </w:rPr>
        <w:t>dlhodobé</w:t>
      </w:r>
      <w:r w:rsidRPr="0040738C">
        <w:rPr>
          <w:bCs/>
          <w:sz w:val="22"/>
          <w:szCs w:val="20"/>
        </w:rPr>
        <w:t xml:space="preserve"> podávanie </w:t>
      </w:r>
      <w:proofErr w:type="spellStart"/>
      <w:r w:rsidRPr="0040738C">
        <w:rPr>
          <w:bCs/>
          <w:sz w:val="22"/>
          <w:szCs w:val="20"/>
        </w:rPr>
        <w:t>fenytoínu</w:t>
      </w:r>
      <w:proofErr w:type="spellEnd"/>
      <w:r w:rsidRPr="0040738C">
        <w:rPr>
          <w:bCs/>
          <w:sz w:val="22"/>
          <w:szCs w:val="20"/>
        </w:rPr>
        <w:t xml:space="preserve"> alebo </w:t>
      </w:r>
      <w:proofErr w:type="spellStart"/>
      <w:r w:rsidRPr="0040738C">
        <w:rPr>
          <w:bCs/>
          <w:sz w:val="22"/>
          <w:szCs w:val="20"/>
        </w:rPr>
        <w:t>karbamazepínu</w:t>
      </w:r>
      <w:proofErr w:type="spellEnd"/>
      <w:r w:rsidRPr="0040738C">
        <w:rPr>
          <w:bCs/>
          <w:sz w:val="22"/>
          <w:szCs w:val="20"/>
        </w:rPr>
        <w:t>.</w:t>
      </w:r>
    </w:p>
    <w:p w14:paraId="5E1DB180" w14:textId="77777777" w:rsidR="00CB2A09" w:rsidRPr="0040738C" w:rsidRDefault="00CB2A09" w:rsidP="00DD73F9">
      <w:pPr>
        <w:numPr>
          <w:ilvl w:val="0"/>
          <w:numId w:val="9"/>
        </w:numPr>
        <w:tabs>
          <w:tab w:val="clear" w:pos="927"/>
          <w:tab w:val="num" w:pos="567"/>
        </w:tabs>
        <w:ind w:left="567"/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 xml:space="preserve">Inhibítory </w:t>
      </w:r>
      <w:proofErr w:type="spellStart"/>
      <w:r w:rsidRPr="0040738C">
        <w:rPr>
          <w:bCs/>
          <w:sz w:val="22"/>
          <w:szCs w:val="20"/>
        </w:rPr>
        <w:t>proteáz</w:t>
      </w:r>
      <w:proofErr w:type="spellEnd"/>
      <w:r w:rsidRPr="0040738C">
        <w:rPr>
          <w:bCs/>
          <w:sz w:val="22"/>
          <w:szCs w:val="20"/>
        </w:rPr>
        <w:t xml:space="preserve"> (</w:t>
      </w:r>
      <w:proofErr w:type="spellStart"/>
      <w:r w:rsidRPr="0040738C">
        <w:rPr>
          <w:bCs/>
          <w:sz w:val="22"/>
          <w:szCs w:val="20"/>
        </w:rPr>
        <w:t>gabexát</w:t>
      </w:r>
      <w:proofErr w:type="spellEnd"/>
      <w:r w:rsidRPr="0040738C">
        <w:rPr>
          <w:bCs/>
          <w:sz w:val="22"/>
          <w:szCs w:val="20"/>
        </w:rPr>
        <w:t xml:space="preserve">, </w:t>
      </w:r>
      <w:proofErr w:type="spellStart"/>
      <w:r w:rsidRPr="0040738C">
        <w:rPr>
          <w:bCs/>
          <w:sz w:val="22"/>
          <w:szCs w:val="20"/>
        </w:rPr>
        <w:t>ulinastatín</w:t>
      </w:r>
      <w:proofErr w:type="spellEnd"/>
      <w:r w:rsidRPr="0040738C">
        <w:rPr>
          <w:bCs/>
          <w:sz w:val="22"/>
          <w:szCs w:val="20"/>
        </w:rPr>
        <w:t>).</w:t>
      </w:r>
    </w:p>
    <w:p w14:paraId="342F62E7" w14:textId="77777777" w:rsidR="00CB2A09" w:rsidRPr="0040738C" w:rsidRDefault="00CB2A09" w:rsidP="00CD70B0">
      <w:pPr>
        <w:pStyle w:val="Zarkazkladnhotextu3"/>
        <w:ind w:left="0" w:firstLine="0"/>
        <w:jc w:val="left"/>
        <w:rPr>
          <w:sz w:val="22"/>
          <w:szCs w:val="20"/>
        </w:rPr>
      </w:pPr>
    </w:p>
    <w:p w14:paraId="18F204DF" w14:textId="65A5D5B8" w:rsidR="00CB2A09" w:rsidRPr="0040738C" w:rsidRDefault="003C4A98" w:rsidP="00DD73F9">
      <w:pPr>
        <w:pStyle w:val="Zarkazkladnhotextu3"/>
        <w:keepNext/>
        <w:ind w:left="0" w:firstLine="0"/>
        <w:jc w:val="left"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>Rôzny</w:t>
      </w:r>
      <w:r w:rsidR="00CB2A09" w:rsidRPr="0040738C">
        <w:rPr>
          <w:sz w:val="22"/>
          <w:szCs w:val="20"/>
          <w:u w:val="single"/>
        </w:rPr>
        <w:t xml:space="preserve"> účinok:</w:t>
      </w:r>
    </w:p>
    <w:p w14:paraId="17B1A765" w14:textId="75549D64" w:rsidR="00083122" w:rsidRPr="0040738C" w:rsidRDefault="00083122" w:rsidP="00DD73F9">
      <w:pPr>
        <w:pStyle w:val="Zarkazkladnhotextu3"/>
        <w:numPr>
          <w:ilvl w:val="0"/>
          <w:numId w:val="10"/>
        </w:numPr>
        <w:tabs>
          <w:tab w:val="clear" w:pos="927"/>
          <w:tab w:val="num" w:pos="567"/>
        </w:tabs>
        <w:ind w:left="567"/>
        <w:jc w:val="left"/>
        <w:rPr>
          <w:bCs w:val="0"/>
          <w:sz w:val="22"/>
        </w:rPr>
      </w:pPr>
      <w:r w:rsidRPr="0040738C">
        <w:rPr>
          <w:sz w:val="22"/>
          <w:szCs w:val="20"/>
        </w:rPr>
        <w:t xml:space="preserve">Podanie iných </w:t>
      </w:r>
      <w:proofErr w:type="spellStart"/>
      <w:r w:rsidRPr="0040738C">
        <w:rPr>
          <w:sz w:val="22"/>
          <w:szCs w:val="20"/>
        </w:rPr>
        <w:t>nedepolarizujúcich</w:t>
      </w:r>
      <w:proofErr w:type="spellEnd"/>
      <w:r w:rsidRPr="0040738C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nervovosvalových</w:t>
      </w:r>
      <w:proofErr w:type="spellEnd"/>
      <w:r w:rsidRPr="0040738C">
        <w:rPr>
          <w:sz w:val="22"/>
          <w:szCs w:val="20"/>
        </w:rPr>
        <w:t xml:space="preserve"> </w:t>
      </w:r>
      <w:proofErr w:type="spellStart"/>
      <w:r w:rsidR="006874DB">
        <w:rPr>
          <w:sz w:val="22"/>
          <w:szCs w:val="20"/>
        </w:rPr>
        <w:t>blokátorov</w:t>
      </w:r>
      <w:proofErr w:type="spellEnd"/>
      <w:r w:rsidRPr="0040738C">
        <w:rPr>
          <w:sz w:val="22"/>
          <w:szCs w:val="20"/>
        </w:rPr>
        <w:t xml:space="preserve"> v kombinácii s </w:t>
      </w:r>
      <w:proofErr w:type="spellStart"/>
      <w:r w:rsidRPr="0040738C">
        <w:rPr>
          <w:sz w:val="22"/>
          <w:szCs w:val="20"/>
        </w:rPr>
        <w:t>Esmeronom</w:t>
      </w:r>
      <w:proofErr w:type="spellEnd"/>
      <w:r w:rsidRPr="0040738C">
        <w:rPr>
          <w:sz w:val="22"/>
          <w:szCs w:val="20"/>
        </w:rPr>
        <w:t xml:space="preserve"> môže vyvolať zoslabenie alebo zosilnenie </w:t>
      </w:r>
      <w:proofErr w:type="spellStart"/>
      <w:r w:rsidRPr="0040738C">
        <w:rPr>
          <w:sz w:val="22"/>
          <w:szCs w:val="20"/>
        </w:rPr>
        <w:t>nervovosvalovej</w:t>
      </w:r>
      <w:proofErr w:type="spellEnd"/>
      <w:r w:rsidRPr="0040738C">
        <w:rPr>
          <w:sz w:val="22"/>
          <w:szCs w:val="20"/>
        </w:rPr>
        <w:t xml:space="preserve"> blokády v závislosti od poradia podania a druhu </w:t>
      </w:r>
      <w:proofErr w:type="spellStart"/>
      <w:r w:rsidRPr="0040738C">
        <w:rPr>
          <w:sz w:val="22"/>
          <w:szCs w:val="20"/>
        </w:rPr>
        <w:t>nervovosvalových</w:t>
      </w:r>
      <w:proofErr w:type="spellEnd"/>
      <w:r w:rsidRPr="0040738C">
        <w:rPr>
          <w:sz w:val="22"/>
          <w:szCs w:val="20"/>
        </w:rPr>
        <w:t xml:space="preserve"> </w:t>
      </w:r>
      <w:proofErr w:type="spellStart"/>
      <w:r w:rsidR="006874DB">
        <w:rPr>
          <w:sz w:val="22"/>
          <w:szCs w:val="20"/>
        </w:rPr>
        <w:t>blokátorov</w:t>
      </w:r>
      <w:proofErr w:type="spellEnd"/>
      <w:r w:rsidRPr="0040738C">
        <w:rPr>
          <w:sz w:val="22"/>
          <w:szCs w:val="20"/>
        </w:rPr>
        <w:t xml:space="preserve">, ktoré </w:t>
      </w:r>
      <w:r>
        <w:rPr>
          <w:sz w:val="22"/>
          <w:szCs w:val="20"/>
        </w:rPr>
        <w:t>sa</w:t>
      </w:r>
      <w:r w:rsidRPr="0040738C">
        <w:rPr>
          <w:sz w:val="22"/>
          <w:szCs w:val="20"/>
        </w:rPr>
        <w:t xml:space="preserve"> použi</w:t>
      </w:r>
      <w:r>
        <w:rPr>
          <w:sz w:val="22"/>
          <w:szCs w:val="20"/>
        </w:rPr>
        <w:t>li</w:t>
      </w:r>
      <w:r w:rsidRPr="0040738C">
        <w:rPr>
          <w:sz w:val="22"/>
          <w:szCs w:val="20"/>
        </w:rPr>
        <w:t>.</w:t>
      </w:r>
    </w:p>
    <w:p w14:paraId="156F9301" w14:textId="536E425C" w:rsidR="00083122" w:rsidRPr="000072EF" w:rsidRDefault="00CB2A09" w:rsidP="00DD73F9">
      <w:pPr>
        <w:pStyle w:val="Zarkazkladnhotextu3"/>
        <w:numPr>
          <w:ilvl w:val="0"/>
          <w:numId w:val="10"/>
        </w:numPr>
        <w:tabs>
          <w:tab w:val="clear" w:pos="927"/>
          <w:tab w:val="num" w:pos="567"/>
        </w:tabs>
        <w:ind w:left="567"/>
        <w:jc w:val="left"/>
        <w:rPr>
          <w:bCs w:val="0"/>
          <w:sz w:val="22"/>
        </w:rPr>
      </w:pPr>
      <w:proofErr w:type="spellStart"/>
      <w:r w:rsidRPr="0040738C">
        <w:rPr>
          <w:sz w:val="22"/>
        </w:rPr>
        <w:t>Suxametónium</w:t>
      </w:r>
      <w:proofErr w:type="spellEnd"/>
      <w:r w:rsidRPr="0040738C">
        <w:rPr>
          <w:sz w:val="22"/>
        </w:rPr>
        <w:t xml:space="preserve"> podan</w:t>
      </w:r>
      <w:r w:rsidR="003C4A98">
        <w:rPr>
          <w:sz w:val="22"/>
        </w:rPr>
        <w:t>é</w:t>
      </w:r>
      <w:r w:rsidRPr="0040738C">
        <w:rPr>
          <w:sz w:val="22"/>
        </w:rPr>
        <w:t xml:space="preserve"> následne po </w:t>
      </w:r>
      <w:proofErr w:type="spellStart"/>
      <w:r w:rsidRPr="0040738C">
        <w:rPr>
          <w:sz w:val="22"/>
        </w:rPr>
        <w:t>Esmerone</w:t>
      </w:r>
      <w:proofErr w:type="spellEnd"/>
      <w:r w:rsidRPr="0040738C">
        <w:rPr>
          <w:sz w:val="22"/>
        </w:rPr>
        <w:t xml:space="preserve"> môže vyvolať zosilnenie alebo zoslabenie </w:t>
      </w:r>
      <w:proofErr w:type="spellStart"/>
      <w:r w:rsidRPr="0040738C">
        <w:rPr>
          <w:sz w:val="22"/>
        </w:rPr>
        <w:t>nervovosvalov</w:t>
      </w:r>
      <w:r w:rsidR="004B1A90">
        <w:rPr>
          <w:sz w:val="22"/>
        </w:rPr>
        <w:t>ej</w:t>
      </w:r>
      <w:proofErr w:type="spellEnd"/>
      <w:r w:rsidR="004B1A90">
        <w:rPr>
          <w:sz w:val="22"/>
        </w:rPr>
        <w:t xml:space="preserve"> blokády</w:t>
      </w:r>
      <w:r w:rsidRPr="0040738C">
        <w:rPr>
          <w:sz w:val="22"/>
        </w:rPr>
        <w:t xml:space="preserve"> </w:t>
      </w:r>
      <w:r w:rsidR="004B1A90">
        <w:rPr>
          <w:sz w:val="22"/>
        </w:rPr>
        <w:t>vyvolanej</w:t>
      </w:r>
      <w:r w:rsidRPr="0040738C">
        <w:rPr>
          <w:sz w:val="22"/>
        </w:rPr>
        <w:t xml:space="preserve"> </w:t>
      </w:r>
      <w:proofErr w:type="spellStart"/>
      <w:r w:rsidRPr="0040738C">
        <w:rPr>
          <w:sz w:val="22"/>
        </w:rPr>
        <w:t>Esmeron</w:t>
      </w:r>
      <w:r w:rsidR="004B1A90">
        <w:rPr>
          <w:sz w:val="22"/>
        </w:rPr>
        <w:t>om</w:t>
      </w:r>
      <w:proofErr w:type="spellEnd"/>
      <w:r w:rsidRPr="0040738C">
        <w:rPr>
          <w:sz w:val="22"/>
        </w:rPr>
        <w:t>.</w:t>
      </w:r>
    </w:p>
    <w:p w14:paraId="74674183" w14:textId="47F4ABDF" w:rsidR="00CB2A09" w:rsidRPr="0040738C" w:rsidRDefault="00CB2A09" w:rsidP="00DD73F9">
      <w:pPr>
        <w:rPr>
          <w:bCs/>
          <w:sz w:val="22"/>
          <w:szCs w:val="20"/>
        </w:rPr>
      </w:pPr>
    </w:p>
    <w:p w14:paraId="3849289D" w14:textId="77777777" w:rsidR="00CB2A09" w:rsidRPr="0040738C" w:rsidRDefault="00CB2A09" w:rsidP="00DD73F9">
      <w:pPr>
        <w:keepNext/>
        <w:rPr>
          <w:b/>
          <w:sz w:val="22"/>
          <w:szCs w:val="20"/>
        </w:rPr>
      </w:pPr>
      <w:r w:rsidRPr="0040738C">
        <w:rPr>
          <w:b/>
          <w:sz w:val="22"/>
          <w:szCs w:val="20"/>
        </w:rPr>
        <w:t xml:space="preserve">Účinok </w:t>
      </w:r>
      <w:proofErr w:type="spellStart"/>
      <w:r w:rsidRPr="0040738C">
        <w:rPr>
          <w:b/>
          <w:sz w:val="22"/>
          <w:szCs w:val="20"/>
        </w:rPr>
        <w:t>Esmeronu</w:t>
      </w:r>
      <w:proofErr w:type="spellEnd"/>
      <w:r w:rsidRPr="0040738C">
        <w:rPr>
          <w:b/>
          <w:sz w:val="22"/>
          <w:szCs w:val="20"/>
        </w:rPr>
        <w:t xml:space="preserve"> na iné lieky</w:t>
      </w:r>
    </w:p>
    <w:p w14:paraId="69A7E9C5" w14:textId="77777777" w:rsidR="00CB2A09" w:rsidRPr="0040738C" w:rsidRDefault="00CB2A09" w:rsidP="00DD73F9">
      <w:pPr>
        <w:keepNext/>
        <w:rPr>
          <w:b/>
          <w:sz w:val="22"/>
          <w:szCs w:val="20"/>
          <w:u w:val="single"/>
        </w:rPr>
      </w:pPr>
    </w:p>
    <w:p w14:paraId="69C0297E" w14:textId="10726BCC" w:rsidR="00CB2A09" w:rsidRPr="0040738C" w:rsidRDefault="00CB2A09" w:rsidP="00CD70B0">
      <w:pPr>
        <w:rPr>
          <w:bCs/>
          <w:sz w:val="22"/>
          <w:szCs w:val="20"/>
        </w:rPr>
      </w:pPr>
      <w:proofErr w:type="spellStart"/>
      <w:r w:rsidRPr="0040738C">
        <w:rPr>
          <w:bCs/>
          <w:sz w:val="22"/>
          <w:szCs w:val="20"/>
        </w:rPr>
        <w:t>Esmeron</w:t>
      </w:r>
      <w:proofErr w:type="spellEnd"/>
      <w:r w:rsidRPr="0040738C">
        <w:rPr>
          <w:bCs/>
          <w:sz w:val="22"/>
          <w:szCs w:val="20"/>
        </w:rPr>
        <w:t xml:space="preserve"> v kombinácii s </w:t>
      </w:r>
      <w:proofErr w:type="spellStart"/>
      <w:r w:rsidRPr="0040738C">
        <w:rPr>
          <w:bCs/>
          <w:sz w:val="22"/>
          <w:szCs w:val="20"/>
        </w:rPr>
        <w:t>lidokaínom</w:t>
      </w:r>
      <w:proofErr w:type="spellEnd"/>
      <w:r w:rsidRPr="0040738C">
        <w:rPr>
          <w:bCs/>
          <w:sz w:val="22"/>
          <w:szCs w:val="20"/>
        </w:rPr>
        <w:t xml:space="preserve"> môže spôsobiť rýchlejší nástup </w:t>
      </w:r>
      <w:r w:rsidR="00464A8C">
        <w:rPr>
          <w:bCs/>
          <w:sz w:val="22"/>
          <w:szCs w:val="20"/>
        </w:rPr>
        <w:t>účinku</w:t>
      </w:r>
      <w:r w:rsidRPr="0040738C">
        <w:rPr>
          <w:bCs/>
          <w:sz w:val="22"/>
          <w:szCs w:val="20"/>
        </w:rPr>
        <w:t xml:space="preserve"> </w:t>
      </w:r>
      <w:proofErr w:type="spellStart"/>
      <w:r w:rsidRPr="0040738C">
        <w:rPr>
          <w:bCs/>
          <w:sz w:val="22"/>
          <w:szCs w:val="20"/>
        </w:rPr>
        <w:t>lidokaínu</w:t>
      </w:r>
      <w:proofErr w:type="spellEnd"/>
      <w:r w:rsidRPr="0040738C">
        <w:rPr>
          <w:bCs/>
          <w:sz w:val="22"/>
          <w:szCs w:val="20"/>
        </w:rPr>
        <w:t>.</w:t>
      </w:r>
    </w:p>
    <w:p w14:paraId="0C04BB71" w14:textId="77777777" w:rsidR="00CB2A09" w:rsidRPr="0040738C" w:rsidRDefault="00CB2A09" w:rsidP="00CD70B0">
      <w:pPr>
        <w:rPr>
          <w:bCs/>
          <w:sz w:val="22"/>
          <w:szCs w:val="20"/>
        </w:rPr>
      </w:pPr>
    </w:p>
    <w:p w14:paraId="2C978A69" w14:textId="77777777" w:rsidR="00CB2A09" w:rsidRPr="0040738C" w:rsidRDefault="004B1A90" w:rsidP="003E54A9">
      <w:pPr>
        <w:keepNext/>
        <w:rPr>
          <w:bCs/>
          <w:sz w:val="22"/>
          <w:szCs w:val="20"/>
          <w:u w:val="single"/>
        </w:rPr>
      </w:pPr>
      <w:r>
        <w:rPr>
          <w:bCs/>
          <w:sz w:val="22"/>
          <w:szCs w:val="20"/>
          <w:u w:val="single"/>
        </w:rPr>
        <w:t>Pediatrickí</w:t>
      </w:r>
      <w:r w:rsidR="00464A8C">
        <w:rPr>
          <w:bCs/>
          <w:sz w:val="22"/>
          <w:szCs w:val="20"/>
          <w:u w:val="single"/>
        </w:rPr>
        <w:t xml:space="preserve"> pacienti</w:t>
      </w:r>
    </w:p>
    <w:p w14:paraId="4CA5A600" w14:textId="77777777" w:rsidR="00CB2A09" w:rsidRPr="0040738C" w:rsidRDefault="00CB2A09" w:rsidP="00CD70B0">
      <w:pPr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 xml:space="preserve">Nevykonali sa žiadne formálne štúdie interakcií. </w:t>
      </w:r>
      <w:r w:rsidR="00464A8C">
        <w:rPr>
          <w:bCs/>
          <w:sz w:val="22"/>
          <w:szCs w:val="20"/>
        </w:rPr>
        <w:t>Interakcie u dospelých a osobitné upozornenia a opatrenia pri používaní u dospelých uvedené vyššie (pozri časť 4.4) sa majú vziať do úvahy aj u </w:t>
      </w:r>
      <w:r w:rsidR="004B1A90">
        <w:rPr>
          <w:bCs/>
          <w:sz w:val="22"/>
          <w:szCs w:val="20"/>
        </w:rPr>
        <w:t>pediatrický</w:t>
      </w:r>
      <w:r w:rsidR="00464A8C">
        <w:rPr>
          <w:bCs/>
          <w:sz w:val="22"/>
          <w:szCs w:val="20"/>
        </w:rPr>
        <w:t xml:space="preserve">ch </w:t>
      </w:r>
      <w:r w:rsidRPr="0040738C">
        <w:rPr>
          <w:bCs/>
          <w:sz w:val="22"/>
          <w:szCs w:val="20"/>
        </w:rPr>
        <w:t>pacientov.</w:t>
      </w:r>
    </w:p>
    <w:p w14:paraId="09DE2F43" w14:textId="77777777" w:rsidR="00CB2A09" w:rsidRPr="0040738C" w:rsidRDefault="00CB2A09" w:rsidP="00CD70B0">
      <w:pPr>
        <w:pStyle w:val="Zkladntext2"/>
        <w:tabs>
          <w:tab w:val="left" w:pos="4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Cs/>
          <w:sz w:val="22"/>
          <w:szCs w:val="20"/>
        </w:rPr>
      </w:pPr>
    </w:p>
    <w:p w14:paraId="2BC7C7FA" w14:textId="109E2629" w:rsidR="00CB2A09" w:rsidRPr="0040738C" w:rsidRDefault="00CB2A09" w:rsidP="00DD73F9">
      <w:pPr>
        <w:pStyle w:val="Zkladntext2"/>
        <w:keepNext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2"/>
          <w:szCs w:val="20"/>
        </w:rPr>
      </w:pPr>
      <w:r w:rsidRPr="0040738C">
        <w:rPr>
          <w:b/>
          <w:noProof/>
          <w:sz w:val="22"/>
          <w:szCs w:val="22"/>
        </w:rPr>
        <w:t>4.6</w:t>
      </w:r>
      <w:r w:rsidRPr="0040738C">
        <w:rPr>
          <w:b/>
          <w:noProof/>
          <w:sz w:val="22"/>
          <w:szCs w:val="22"/>
        </w:rPr>
        <w:tab/>
      </w:r>
      <w:r w:rsidR="00464A8C">
        <w:rPr>
          <w:b/>
          <w:noProof/>
          <w:sz w:val="22"/>
          <w:szCs w:val="22"/>
        </w:rPr>
        <w:t>Fertilita, g</w:t>
      </w:r>
      <w:r w:rsidRPr="0040738C">
        <w:rPr>
          <w:b/>
          <w:noProof/>
          <w:sz w:val="22"/>
          <w:szCs w:val="22"/>
        </w:rPr>
        <w:t>ravidita a laktácia</w:t>
      </w:r>
    </w:p>
    <w:p w14:paraId="2A4F82DC" w14:textId="77777777" w:rsidR="00CB2A09" w:rsidRPr="0040738C" w:rsidRDefault="00CB2A09" w:rsidP="00DD73F9">
      <w:pPr>
        <w:keepNext/>
        <w:ind w:left="360" w:hanging="360"/>
        <w:rPr>
          <w:b/>
          <w:sz w:val="22"/>
          <w:szCs w:val="20"/>
        </w:rPr>
      </w:pPr>
    </w:p>
    <w:p w14:paraId="475BFEE0" w14:textId="77777777" w:rsidR="00CB2A09" w:rsidRPr="0040738C" w:rsidRDefault="00CB2A09" w:rsidP="00DD73F9">
      <w:pPr>
        <w:pStyle w:val="Zkladntext"/>
        <w:keepNext/>
        <w:jc w:val="left"/>
        <w:rPr>
          <w:bCs/>
          <w:sz w:val="22"/>
          <w:szCs w:val="20"/>
          <w:u w:val="single"/>
        </w:rPr>
      </w:pPr>
      <w:r w:rsidRPr="0040738C">
        <w:rPr>
          <w:bCs/>
          <w:sz w:val="22"/>
          <w:szCs w:val="20"/>
          <w:u w:val="single"/>
        </w:rPr>
        <w:t>Gravidita</w:t>
      </w:r>
    </w:p>
    <w:p w14:paraId="2F4D9FC2" w14:textId="32233097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  <w:r w:rsidRPr="0040738C">
        <w:rPr>
          <w:noProof/>
          <w:sz w:val="22"/>
        </w:rPr>
        <w:t>Nie sú k</w:t>
      </w:r>
      <w:r w:rsidR="00A23830">
        <w:rPr>
          <w:noProof/>
          <w:sz w:val="22"/>
        </w:rPr>
        <w:t> </w:t>
      </w:r>
      <w:r w:rsidRPr="0040738C">
        <w:rPr>
          <w:noProof/>
          <w:sz w:val="22"/>
        </w:rPr>
        <w:t xml:space="preserve">dispozícii žiadne klinické údaje o gravidných ženách vystavených účinku </w:t>
      </w:r>
      <w:proofErr w:type="spellStart"/>
      <w:r w:rsidRPr="0040738C">
        <w:rPr>
          <w:bCs/>
          <w:sz w:val="22"/>
          <w:szCs w:val="20"/>
        </w:rPr>
        <w:t>rokuróniumbromidu</w:t>
      </w:r>
      <w:proofErr w:type="spellEnd"/>
      <w:r w:rsidRPr="0040738C">
        <w:rPr>
          <w:bCs/>
          <w:sz w:val="22"/>
          <w:szCs w:val="20"/>
        </w:rPr>
        <w:t xml:space="preserve">. </w:t>
      </w:r>
      <w:r w:rsidRPr="0040738C">
        <w:rPr>
          <w:noProof/>
          <w:sz w:val="22"/>
        </w:rPr>
        <w:t>Štúdie na zvieratách ne</w:t>
      </w:r>
      <w:r w:rsidR="00464A8C">
        <w:rPr>
          <w:noProof/>
          <w:sz w:val="22"/>
        </w:rPr>
        <w:t>naznačujú</w:t>
      </w:r>
      <w:r w:rsidRPr="0040738C">
        <w:rPr>
          <w:noProof/>
          <w:sz w:val="22"/>
        </w:rPr>
        <w:t xml:space="preserve"> priame alebo nepriame škodlivé účinky</w:t>
      </w:r>
      <w:r w:rsidR="00464A8C">
        <w:rPr>
          <w:noProof/>
          <w:sz w:val="22"/>
        </w:rPr>
        <w:t xml:space="preserve"> týkajúce sa g</w:t>
      </w:r>
      <w:r w:rsidRPr="0040738C">
        <w:rPr>
          <w:noProof/>
          <w:sz w:val="22"/>
        </w:rPr>
        <w:t>ravidit</w:t>
      </w:r>
      <w:r w:rsidR="00464A8C">
        <w:rPr>
          <w:noProof/>
          <w:sz w:val="22"/>
        </w:rPr>
        <w:t>y</w:t>
      </w:r>
      <w:r w:rsidRPr="003C3608">
        <w:rPr>
          <w:noProof/>
          <w:sz w:val="22"/>
        </w:rPr>
        <w:t xml:space="preserve">, </w:t>
      </w:r>
      <w:r w:rsidRPr="0040738C">
        <w:rPr>
          <w:noProof/>
          <w:sz w:val="22"/>
        </w:rPr>
        <w:t>embryonáln</w:t>
      </w:r>
      <w:r w:rsidR="00464A8C">
        <w:rPr>
          <w:noProof/>
          <w:sz w:val="22"/>
        </w:rPr>
        <w:t>eho</w:t>
      </w:r>
      <w:r w:rsidRPr="0040738C">
        <w:rPr>
          <w:noProof/>
          <w:sz w:val="22"/>
        </w:rPr>
        <w:t>/fetáln</w:t>
      </w:r>
      <w:r w:rsidR="00464A8C">
        <w:rPr>
          <w:noProof/>
          <w:sz w:val="22"/>
        </w:rPr>
        <w:t>eho</w:t>
      </w:r>
      <w:r w:rsidRPr="0040738C">
        <w:rPr>
          <w:noProof/>
          <w:sz w:val="22"/>
        </w:rPr>
        <w:t xml:space="preserve"> výv</w:t>
      </w:r>
      <w:r w:rsidR="00F26854">
        <w:rPr>
          <w:noProof/>
          <w:sz w:val="22"/>
        </w:rPr>
        <w:t>in</w:t>
      </w:r>
      <w:r w:rsidR="004E0246">
        <w:rPr>
          <w:noProof/>
          <w:sz w:val="22"/>
        </w:rPr>
        <w:t>u</w:t>
      </w:r>
      <w:r w:rsidRPr="0040738C">
        <w:rPr>
          <w:noProof/>
          <w:sz w:val="22"/>
        </w:rPr>
        <w:t>, pôrod</w:t>
      </w:r>
      <w:r w:rsidR="00464A8C">
        <w:rPr>
          <w:noProof/>
          <w:sz w:val="22"/>
        </w:rPr>
        <w:t>u</w:t>
      </w:r>
      <w:r w:rsidRPr="0040738C">
        <w:rPr>
          <w:noProof/>
          <w:sz w:val="22"/>
        </w:rPr>
        <w:t xml:space="preserve"> alebo postnatáln</w:t>
      </w:r>
      <w:r w:rsidR="00464A8C">
        <w:rPr>
          <w:noProof/>
          <w:sz w:val="22"/>
        </w:rPr>
        <w:t>eho</w:t>
      </w:r>
      <w:r w:rsidRPr="0040738C">
        <w:rPr>
          <w:noProof/>
          <w:sz w:val="22"/>
        </w:rPr>
        <w:t xml:space="preserve"> výv</w:t>
      </w:r>
      <w:r w:rsidR="00F26854">
        <w:rPr>
          <w:noProof/>
          <w:sz w:val="22"/>
        </w:rPr>
        <w:t>in</w:t>
      </w:r>
      <w:r w:rsidR="004E0246">
        <w:rPr>
          <w:noProof/>
          <w:sz w:val="22"/>
        </w:rPr>
        <w:t>u</w:t>
      </w:r>
      <w:r w:rsidRPr="0040738C">
        <w:rPr>
          <w:noProof/>
          <w:sz w:val="22"/>
        </w:rPr>
        <w:t>. Pri predpisovaní Esmeronu gravidným ženám je potrebná opatrnosť.</w:t>
      </w:r>
    </w:p>
    <w:p w14:paraId="4FF69AC9" w14:textId="77777777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</w:p>
    <w:p w14:paraId="429CEB88" w14:textId="77777777" w:rsidR="00CB2A09" w:rsidRPr="0040738C" w:rsidRDefault="00CB2A09" w:rsidP="00DD73F9">
      <w:pPr>
        <w:pStyle w:val="Zkladntext"/>
        <w:keepNext/>
        <w:jc w:val="left"/>
        <w:rPr>
          <w:bCs/>
          <w:sz w:val="22"/>
          <w:szCs w:val="20"/>
          <w:u w:val="single"/>
        </w:rPr>
      </w:pPr>
      <w:r w:rsidRPr="0040738C">
        <w:rPr>
          <w:bCs/>
          <w:sz w:val="22"/>
          <w:szCs w:val="20"/>
          <w:u w:val="single"/>
        </w:rPr>
        <w:t>Cisársky rez</w:t>
      </w:r>
    </w:p>
    <w:p w14:paraId="1904AA6F" w14:textId="192616B1" w:rsidR="00CB2A09" w:rsidRPr="0040738C" w:rsidRDefault="00CB2A09" w:rsidP="00CD70B0">
      <w:pPr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>U pacientok pod</w:t>
      </w:r>
      <w:r w:rsidR="00464A8C">
        <w:rPr>
          <w:bCs/>
          <w:sz w:val="22"/>
          <w:szCs w:val="20"/>
        </w:rPr>
        <w:t xml:space="preserve">stupujúcich </w:t>
      </w:r>
      <w:r w:rsidRPr="0040738C">
        <w:rPr>
          <w:bCs/>
          <w:sz w:val="22"/>
          <w:szCs w:val="20"/>
        </w:rPr>
        <w:t>cisársk</w:t>
      </w:r>
      <w:r w:rsidR="00464A8C">
        <w:rPr>
          <w:bCs/>
          <w:sz w:val="22"/>
          <w:szCs w:val="20"/>
        </w:rPr>
        <w:t>y</w:t>
      </w:r>
      <w:r w:rsidRPr="0040738C">
        <w:rPr>
          <w:bCs/>
          <w:sz w:val="22"/>
          <w:szCs w:val="20"/>
        </w:rPr>
        <w:t xml:space="preserve"> rez </w:t>
      </w:r>
      <w:r w:rsidR="00464A8C">
        <w:rPr>
          <w:bCs/>
          <w:sz w:val="22"/>
          <w:szCs w:val="20"/>
        </w:rPr>
        <w:t xml:space="preserve">sa </w:t>
      </w:r>
      <w:proofErr w:type="spellStart"/>
      <w:r w:rsidRPr="0040738C">
        <w:rPr>
          <w:bCs/>
          <w:sz w:val="22"/>
          <w:szCs w:val="20"/>
        </w:rPr>
        <w:t>Esmeron</w:t>
      </w:r>
      <w:proofErr w:type="spellEnd"/>
      <w:r w:rsidRPr="0040738C">
        <w:rPr>
          <w:bCs/>
          <w:sz w:val="22"/>
          <w:szCs w:val="20"/>
        </w:rPr>
        <w:t xml:space="preserve"> </w:t>
      </w:r>
      <w:r w:rsidR="00464A8C">
        <w:rPr>
          <w:bCs/>
          <w:sz w:val="22"/>
          <w:szCs w:val="20"/>
        </w:rPr>
        <w:t xml:space="preserve">môže </w:t>
      </w:r>
      <w:r w:rsidRPr="0040738C">
        <w:rPr>
          <w:bCs/>
          <w:sz w:val="22"/>
          <w:szCs w:val="20"/>
        </w:rPr>
        <w:t>použ</w:t>
      </w:r>
      <w:r w:rsidR="00464A8C">
        <w:rPr>
          <w:bCs/>
          <w:sz w:val="22"/>
          <w:szCs w:val="20"/>
        </w:rPr>
        <w:t xml:space="preserve">iť </w:t>
      </w:r>
      <w:r w:rsidRPr="0040738C">
        <w:rPr>
          <w:bCs/>
          <w:sz w:val="22"/>
          <w:szCs w:val="20"/>
        </w:rPr>
        <w:t xml:space="preserve">ako súčasť </w:t>
      </w:r>
      <w:r w:rsidR="00464A8C">
        <w:rPr>
          <w:bCs/>
          <w:sz w:val="22"/>
          <w:szCs w:val="20"/>
        </w:rPr>
        <w:t xml:space="preserve">techniky </w:t>
      </w:r>
      <w:r w:rsidRPr="0040738C">
        <w:rPr>
          <w:bCs/>
          <w:sz w:val="22"/>
          <w:szCs w:val="20"/>
        </w:rPr>
        <w:t xml:space="preserve">rýchleho úvodu </w:t>
      </w:r>
      <w:r w:rsidR="00464A8C">
        <w:rPr>
          <w:bCs/>
          <w:sz w:val="22"/>
          <w:szCs w:val="20"/>
        </w:rPr>
        <w:t>do celkovej anestézie</w:t>
      </w:r>
      <w:r w:rsidR="00A23830">
        <w:rPr>
          <w:bCs/>
          <w:sz w:val="22"/>
          <w:szCs w:val="20"/>
        </w:rPr>
        <w:t>,</w:t>
      </w:r>
      <w:r w:rsidR="00464A8C">
        <w:rPr>
          <w:bCs/>
          <w:sz w:val="22"/>
          <w:szCs w:val="20"/>
        </w:rPr>
        <w:t xml:space="preserve"> </w:t>
      </w:r>
      <w:r w:rsidR="005250FA">
        <w:rPr>
          <w:bCs/>
          <w:sz w:val="22"/>
          <w:szCs w:val="20"/>
        </w:rPr>
        <w:t>ak</w:t>
      </w:r>
      <w:r w:rsidRPr="0040738C">
        <w:rPr>
          <w:bCs/>
          <w:sz w:val="22"/>
          <w:szCs w:val="20"/>
        </w:rPr>
        <w:t xml:space="preserve"> sa nepredpokladajú žiadne ťažkosti pri </w:t>
      </w:r>
      <w:proofErr w:type="spellStart"/>
      <w:r w:rsidRPr="0040738C">
        <w:rPr>
          <w:bCs/>
          <w:sz w:val="22"/>
          <w:szCs w:val="20"/>
        </w:rPr>
        <w:t>intubácii</w:t>
      </w:r>
      <w:proofErr w:type="spellEnd"/>
      <w:r w:rsidRPr="0040738C">
        <w:rPr>
          <w:bCs/>
          <w:sz w:val="22"/>
          <w:szCs w:val="20"/>
        </w:rPr>
        <w:t xml:space="preserve"> a podá sa dostatočn</w:t>
      </w:r>
      <w:r w:rsidR="00464A8C">
        <w:rPr>
          <w:bCs/>
          <w:sz w:val="22"/>
          <w:szCs w:val="20"/>
        </w:rPr>
        <w:t>á</w:t>
      </w:r>
      <w:r w:rsidRPr="0040738C">
        <w:rPr>
          <w:bCs/>
          <w:sz w:val="22"/>
          <w:szCs w:val="20"/>
        </w:rPr>
        <w:t xml:space="preserve"> dávk</w:t>
      </w:r>
      <w:r w:rsidR="00464A8C">
        <w:rPr>
          <w:bCs/>
          <w:sz w:val="22"/>
          <w:szCs w:val="20"/>
        </w:rPr>
        <w:t>a</w:t>
      </w:r>
      <w:r w:rsidRPr="0040738C">
        <w:rPr>
          <w:bCs/>
          <w:sz w:val="22"/>
          <w:szCs w:val="20"/>
        </w:rPr>
        <w:t xml:space="preserve"> anestetika alebo po </w:t>
      </w:r>
      <w:proofErr w:type="spellStart"/>
      <w:r w:rsidRPr="0040738C">
        <w:rPr>
          <w:bCs/>
          <w:sz w:val="22"/>
          <w:szCs w:val="20"/>
        </w:rPr>
        <w:t>intubácii</w:t>
      </w:r>
      <w:proofErr w:type="spellEnd"/>
      <w:r w:rsidRPr="0040738C">
        <w:rPr>
          <w:bCs/>
          <w:sz w:val="22"/>
          <w:szCs w:val="20"/>
        </w:rPr>
        <w:t xml:space="preserve"> uľahčen</w:t>
      </w:r>
      <w:r w:rsidR="00464A8C">
        <w:rPr>
          <w:bCs/>
          <w:sz w:val="22"/>
          <w:szCs w:val="20"/>
        </w:rPr>
        <w:t>ej</w:t>
      </w:r>
      <w:r w:rsidRPr="0040738C">
        <w:rPr>
          <w:bCs/>
          <w:sz w:val="22"/>
          <w:szCs w:val="20"/>
        </w:rPr>
        <w:t xml:space="preserve"> </w:t>
      </w:r>
      <w:proofErr w:type="spellStart"/>
      <w:r w:rsidRPr="0040738C">
        <w:rPr>
          <w:bCs/>
          <w:sz w:val="22"/>
          <w:szCs w:val="20"/>
        </w:rPr>
        <w:t>suxametóniom</w:t>
      </w:r>
      <w:proofErr w:type="spellEnd"/>
      <w:r w:rsidRPr="0040738C">
        <w:rPr>
          <w:bCs/>
          <w:sz w:val="22"/>
          <w:szCs w:val="20"/>
        </w:rPr>
        <w:t xml:space="preserve">. </w:t>
      </w:r>
      <w:r w:rsidR="00464A8C">
        <w:rPr>
          <w:bCs/>
          <w:sz w:val="22"/>
          <w:szCs w:val="20"/>
        </w:rPr>
        <w:t xml:space="preserve">Preukázalo sa, že </w:t>
      </w:r>
      <w:proofErr w:type="spellStart"/>
      <w:r w:rsidRPr="0040738C">
        <w:rPr>
          <w:bCs/>
          <w:sz w:val="22"/>
          <w:szCs w:val="20"/>
        </w:rPr>
        <w:t>Esmeron</w:t>
      </w:r>
      <w:proofErr w:type="spellEnd"/>
      <w:r w:rsidRPr="0040738C">
        <w:rPr>
          <w:bCs/>
          <w:sz w:val="22"/>
          <w:szCs w:val="20"/>
        </w:rPr>
        <w:t xml:space="preserve"> podaný v dávkach 0,6</w:t>
      </w:r>
      <w:r w:rsidR="002A50F0">
        <w:rPr>
          <w:bCs/>
          <w:sz w:val="22"/>
          <w:szCs w:val="20"/>
        </w:rPr>
        <w:t> </w:t>
      </w:r>
      <w:r w:rsidRPr="0040738C">
        <w:rPr>
          <w:bCs/>
          <w:sz w:val="22"/>
          <w:szCs w:val="20"/>
        </w:rPr>
        <w:t xml:space="preserve">mg/kg </w:t>
      </w:r>
      <w:r w:rsidR="00464A8C">
        <w:rPr>
          <w:bCs/>
          <w:sz w:val="22"/>
          <w:szCs w:val="20"/>
        </w:rPr>
        <w:t>je</w:t>
      </w:r>
      <w:r w:rsidRPr="0040738C">
        <w:rPr>
          <w:bCs/>
          <w:sz w:val="22"/>
          <w:szCs w:val="20"/>
        </w:rPr>
        <w:t xml:space="preserve"> bezpečný u rodičiek </w:t>
      </w:r>
      <w:r w:rsidR="00464A8C">
        <w:rPr>
          <w:bCs/>
          <w:sz w:val="22"/>
          <w:szCs w:val="20"/>
        </w:rPr>
        <w:t xml:space="preserve">podstupujúcich </w:t>
      </w:r>
      <w:r w:rsidRPr="0040738C">
        <w:rPr>
          <w:bCs/>
          <w:sz w:val="22"/>
          <w:szCs w:val="20"/>
        </w:rPr>
        <w:t xml:space="preserve">cisársky rez. </w:t>
      </w:r>
      <w:proofErr w:type="spellStart"/>
      <w:r w:rsidRPr="0040738C">
        <w:rPr>
          <w:bCs/>
          <w:sz w:val="22"/>
          <w:szCs w:val="20"/>
        </w:rPr>
        <w:t>Esmeron</w:t>
      </w:r>
      <w:proofErr w:type="spellEnd"/>
      <w:r w:rsidRPr="0040738C">
        <w:rPr>
          <w:bCs/>
          <w:sz w:val="22"/>
          <w:szCs w:val="20"/>
        </w:rPr>
        <w:t xml:space="preserve"> </w:t>
      </w:r>
      <w:r w:rsidR="00464A8C">
        <w:rPr>
          <w:bCs/>
          <w:sz w:val="22"/>
          <w:szCs w:val="20"/>
        </w:rPr>
        <w:t>nemá vplyv na</w:t>
      </w:r>
      <w:r w:rsidRPr="0040738C">
        <w:rPr>
          <w:bCs/>
          <w:sz w:val="22"/>
          <w:szCs w:val="20"/>
        </w:rPr>
        <w:t xml:space="preserve"> </w:t>
      </w:r>
      <w:proofErr w:type="spellStart"/>
      <w:r w:rsidR="00464A8C">
        <w:rPr>
          <w:bCs/>
          <w:sz w:val="22"/>
          <w:szCs w:val="20"/>
        </w:rPr>
        <w:t>Apgarovej</w:t>
      </w:r>
      <w:proofErr w:type="spellEnd"/>
      <w:r w:rsidR="00464A8C">
        <w:rPr>
          <w:bCs/>
          <w:sz w:val="22"/>
          <w:szCs w:val="20"/>
        </w:rPr>
        <w:t xml:space="preserve"> </w:t>
      </w:r>
      <w:r w:rsidRPr="0040738C">
        <w:rPr>
          <w:bCs/>
          <w:sz w:val="22"/>
          <w:szCs w:val="20"/>
        </w:rPr>
        <w:t xml:space="preserve">skóre, svalový tonus plodu ani </w:t>
      </w:r>
      <w:r w:rsidR="00464A8C">
        <w:rPr>
          <w:bCs/>
          <w:sz w:val="22"/>
          <w:szCs w:val="20"/>
        </w:rPr>
        <w:t xml:space="preserve">na </w:t>
      </w:r>
      <w:proofErr w:type="spellStart"/>
      <w:r w:rsidRPr="0040738C">
        <w:rPr>
          <w:bCs/>
          <w:sz w:val="22"/>
          <w:szCs w:val="20"/>
        </w:rPr>
        <w:t>kardiorespiračnú</w:t>
      </w:r>
      <w:proofErr w:type="spellEnd"/>
      <w:r w:rsidRPr="0040738C">
        <w:rPr>
          <w:bCs/>
          <w:sz w:val="22"/>
          <w:szCs w:val="20"/>
        </w:rPr>
        <w:t xml:space="preserve"> adaptáciu. Z vyšetrení vzoriek </w:t>
      </w:r>
      <w:proofErr w:type="spellStart"/>
      <w:r w:rsidRPr="0040738C">
        <w:rPr>
          <w:bCs/>
          <w:sz w:val="22"/>
          <w:szCs w:val="20"/>
        </w:rPr>
        <w:t>pupočníkovej</w:t>
      </w:r>
      <w:proofErr w:type="spellEnd"/>
      <w:r w:rsidRPr="0040738C">
        <w:rPr>
          <w:bCs/>
          <w:sz w:val="22"/>
          <w:szCs w:val="20"/>
        </w:rPr>
        <w:t xml:space="preserve"> krvi je zjavné, že dochádza iba k minimálnemu pre</w:t>
      </w:r>
      <w:r w:rsidR="00464A8C">
        <w:rPr>
          <w:bCs/>
          <w:sz w:val="22"/>
          <w:szCs w:val="20"/>
        </w:rPr>
        <w:t>stupu</w:t>
      </w:r>
      <w:r w:rsidRPr="0040738C">
        <w:rPr>
          <w:bCs/>
          <w:sz w:val="22"/>
          <w:szCs w:val="20"/>
        </w:rPr>
        <w:t xml:space="preserve"> </w:t>
      </w:r>
      <w:proofErr w:type="spellStart"/>
      <w:r w:rsidRPr="0040738C">
        <w:rPr>
          <w:bCs/>
          <w:sz w:val="22"/>
          <w:szCs w:val="20"/>
        </w:rPr>
        <w:t>rokuróniumbromidu</w:t>
      </w:r>
      <w:proofErr w:type="spellEnd"/>
      <w:r w:rsidR="00464A8C">
        <w:rPr>
          <w:bCs/>
          <w:sz w:val="22"/>
          <w:szCs w:val="20"/>
        </w:rPr>
        <w:t xml:space="preserve"> placentou</w:t>
      </w:r>
      <w:r w:rsidRPr="0040738C">
        <w:rPr>
          <w:bCs/>
          <w:sz w:val="22"/>
          <w:szCs w:val="20"/>
        </w:rPr>
        <w:t xml:space="preserve">, čo </w:t>
      </w:r>
      <w:r w:rsidR="00464A8C">
        <w:rPr>
          <w:bCs/>
          <w:sz w:val="22"/>
          <w:szCs w:val="20"/>
        </w:rPr>
        <w:t>nevedie</w:t>
      </w:r>
      <w:r w:rsidRPr="0040738C">
        <w:rPr>
          <w:bCs/>
          <w:sz w:val="22"/>
          <w:szCs w:val="20"/>
        </w:rPr>
        <w:t xml:space="preserve"> </w:t>
      </w:r>
      <w:r w:rsidR="00464A8C">
        <w:rPr>
          <w:bCs/>
          <w:sz w:val="22"/>
          <w:szCs w:val="20"/>
        </w:rPr>
        <w:t xml:space="preserve">k pozorovaniu </w:t>
      </w:r>
      <w:r w:rsidRPr="0040738C">
        <w:rPr>
          <w:bCs/>
          <w:sz w:val="22"/>
          <w:szCs w:val="20"/>
        </w:rPr>
        <w:t>klinick</w:t>
      </w:r>
      <w:r w:rsidR="00464A8C">
        <w:rPr>
          <w:bCs/>
          <w:sz w:val="22"/>
          <w:szCs w:val="20"/>
        </w:rPr>
        <w:t>ých</w:t>
      </w:r>
      <w:r w:rsidRPr="0040738C">
        <w:rPr>
          <w:bCs/>
          <w:sz w:val="22"/>
          <w:szCs w:val="20"/>
        </w:rPr>
        <w:t xml:space="preserve"> nežiaduc</w:t>
      </w:r>
      <w:r w:rsidR="00464A8C">
        <w:rPr>
          <w:bCs/>
          <w:sz w:val="22"/>
          <w:szCs w:val="20"/>
        </w:rPr>
        <w:t>ich</w:t>
      </w:r>
      <w:r w:rsidRPr="0040738C">
        <w:rPr>
          <w:bCs/>
          <w:sz w:val="22"/>
          <w:szCs w:val="20"/>
        </w:rPr>
        <w:t xml:space="preserve"> účink</w:t>
      </w:r>
      <w:r w:rsidR="00464A8C">
        <w:rPr>
          <w:bCs/>
          <w:sz w:val="22"/>
          <w:szCs w:val="20"/>
        </w:rPr>
        <w:t>ov</w:t>
      </w:r>
      <w:r w:rsidRPr="0040738C">
        <w:rPr>
          <w:bCs/>
          <w:sz w:val="22"/>
          <w:szCs w:val="20"/>
        </w:rPr>
        <w:t xml:space="preserve"> u novorodenc</w:t>
      </w:r>
      <w:r w:rsidR="00464A8C">
        <w:rPr>
          <w:bCs/>
          <w:sz w:val="22"/>
          <w:szCs w:val="20"/>
        </w:rPr>
        <w:t>a</w:t>
      </w:r>
      <w:r w:rsidRPr="0040738C">
        <w:rPr>
          <w:bCs/>
          <w:sz w:val="22"/>
          <w:szCs w:val="20"/>
        </w:rPr>
        <w:t>.</w:t>
      </w:r>
    </w:p>
    <w:p w14:paraId="630B189F" w14:textId="77777777" w:rsidR="00CB2A09" w:rsidRPr="0040738C" w:rsidRDefault="00CB2A09" w:rsidP="00CD70B0">
      <w:pPr>
        <w:rPr>
          <w:bCs/>
          <w:sz w:val="22"/>
          <w:szCs w:val="20"/>
        </w:rPr>
      </w:pPr>
    </w:p>
    <w:p w14:paraId="3BBC83B9" w14:textId="7B72FDFF" w:rsidR="00CB2A09" w:rsidRPr="0040738C" w:rsidRDefault="00CB2A09" w:rsidP="00CD70B0">
      <w:pPr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>Poznámka 1: dávky 1</w:t>
      </w:r>
      <w:r w:rsidR="002A50F0">
        <w:rPr>
          <w:bCs/>
          <w:sz w:val="22"/>
          <w:szCs w:val="20"/>
        </w:rPr>
        <w:t> </w:t>
      </w:r>
      <w:r w:rsidRPr="0040738C">
        <w:rPr>
          <w:bCs/>
          <w:sz w:val="22"/>
          <w:szCs w:val="20"/>
        </w:rPr>
        <w:t xml:space="preserve">mg/kg </w:t>
      </w:r>
      <w:proofErr w:type="spellStart"/>
      <w:r w:rsidRPr="0040738C">
        <w:rPr>
          <w:bCs/>
          <w:sz w:val="22"/>
          <w:szCs w:val="20"/>
        </w:rPr>
        <w:t>rokuróniumbromidu</w:t>
      </w:r>
      <w:proofErr w:type="spellEnd"/>
      <w:r w:rsidRPr="0040738C">
        <w:rPr>
          <w:bCs/>
          <w:sz w:val="22"/>
          <w:szCs w:val="20"/>
        </w:rPr>
        <w:t xml:space="preserve"> </w:t>
      </w:r>
      <w:r w:rsidR="00E538ED">
        <w:rPr>
          <w:bCs/>
          <w:sz w:val="22"/>
          <w:szCs w:val="20"/>
        </w:rPr>
        <w:t>sa skúmali</w:t>
      </w:r>
      <w:r w:rsidRPr="0040738C">
        <w:rPr>
          <w:bCs/>
          <w:sz w:val="22"/>
          <w:szCs w:val="20"/>
        </w:rPr>
        <w:t xml:space="preserve"> p</w:t>
      </w:r>
      <w:r w:rsidR="00611FB4">
        <w:rPr>
          <w:bCs/>
          <w:sz w:val="22"/>
          <w:szCs w:val="20"/>
        </w:rPr>
        <w:t>očas</w:t>
      </w:r>
      <w:r w:rsidRPr="0040738C">
        <w:rPr>
          <w:bCs/>
          <w:sz w:val="22"/>
          <w:szCs w:val="20"/>
        </w:rPr>
        <w:t xml:space="preserve"> rýchl</w:t>
      </w:r>
      <w:r w:rsidR="00611FB4">
        <w:rPr>
          <w:bCs/>
          <w:sz w:val="22"/>
          <w:szCs w:val="20"/>
        </w:rPr>
        <w:t xml:space="preserve">eho </w:t>
      </w:r>
      <w:r w:rsidRPr="0040738C">
        <w:rPr>
          <w:bCs/>
          <w:sz w:val="22"/>
          <w:szCs w:val="20"/>
        </w:rPr>
        <w:t>úvod</w:t>
      </w:r>
      <w:r w:rsidR="00611FB4">
        <w:rPr>
          <w:bCs/>
          <w:sz w:val="22"/>
          <w:szCs w:val="20"/>
        </w:rPr>
        <w:t>u do celkovej anestézie</w:t>
      </w:r>
      <w:r w:rsidRPr="0040738C">
        <w:rPr>
          <w:bCs/>
          <w:sz w:val="22"/>
          <w:szCs w:val="20"/>
        </w:rPr>
        <w:t xml:space="preserve">, ale nie u pacientok s cisárskym rezom. Preto sa </w:t>
      </w:r>
      <w:r w:rsidR="001401A3">
        <w:rPr>
          <w:bCs/>
          <w:sz w:val="22"/>
          <w:szCs w:val="20"/>
        </w:rPr>
        <w:t>v</w:t>
      </w:r>
      <w:r w:rsidRPr="0040738C">
        <w:rPr>
          <w:bCs/>
          <w:sz w:val="22"/>
          <w:szCs w:val="20"/>
        </w:rPr>
        <w:t xml:space="preserve"> tejto skupin</w:t>
      </w:r>
      <w:r w:rsidR="001401A3">
        <w:rPr>
          <w:bCs/>
          <w:sz w:val="22"/>
          <w:szCs w:val="20"/>
        </w:rPr>
        <w:t>e</w:t>
      </w:r>
      <w:r w:rsidRPr="0040738C">
        <w:rPr>
          <w:bCs/>
          <w:sz w:val="22"/>
          <w:szCs w:val="20"/>
        </w:rPr>
        <w:t xml:space="preserve"> pacientok odporúča iba dávka 0,6</w:t>
      </w:r>
      <w:r w:rsidR="002A50F0">
        <w:rPr>
          <w:bCs/>
          <w:sz w:val="22"/>
          <w:szCs w:val="20"/>
        </w:rPr>
        <w:t> </w:t>
      </w:r>
      <w:r w:rsidRPr="0040738C">
        <w:rPr>
          <w:bCs/>
          <w:sz w:val="22"/>
          <w:szCs w:val="20"/>
        </w:rPr>
        <w:t>mg/kg.</w:t>
      </w:r>
    </w:p>
    <w:p w14:paraId="4A1622A1" w14:textId="77777777" w:rsidR="00CB2A09" w:rsidRPr="0040738C" w:rsidRDefault="00CB2A09" w:rsidP="00CD70B0">
      <w:pPr>
        <w:rPr>
          <w:bCs/>
          <w:sz w:val="22"/>
          <w:szCs w:val="20"/>
        </w:rPr>
      </w:pPr>
    </w:p>
    <w:p w14:paraId="4E3B4CD5" w14:textId="0A6D71E1" w:rsidR="00CB2A09" w:rsidRPr="0040738C" w:rsidRDefault="00CB2A09" w:rsidP="00CD70B0">
      <w:pPr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 xml:space="preserve">Poznámka 2: </w:t>
      </w:r>
      <w:proofErr w:type="spellStart"/>
      <w:r w:rsidR="00E04A62">
        <w:rPr>
          <w:bCs/>
          <w:sz w:val="22"/>
          <w:szCs w:val="20"/>
        </w:rPr>
        <w:t>odoznenie</w:t>
      </w:r>
      <w:proofErr w:type="spellEnd"/>
      <w:r w:rsidRPr="0040738C">
        <w:rPr>
          <w:bCs/>
          <w:sz w:val="22"/>
          <w:szCs w:val="20"/>
        </w:rPr>
        <w:t xml:space="preserve"> </w:t>
      </w:r>
      <w:proofErr w:type="spellStart"/>
      <w:r w:rsidRPr="0040738C">
        <w:rPr>
          <w:bCs/>
          <w:sz w:val="22"/>
          <w:szCs w:val="20"/>
        </w:rPr>
        <w:t>nervovosvalovej</w:t>
      </w:r>
      <w:proofErr w:type="spellEnd"/>
      <w:r w:rsidRPr="0040738C">
        <w:rPr>
          <w:bCs/>
          <w:sz w:val="22"/>
          <w:szCs w:val="20"/>
        </w:rPr>
        <w:t xml:space="preserve"> </w:t>
      </w:r>
      <w:r w:rsidR="00C30CCE">
        <w:rPr>
          <w:bCs/>
          <w:sz w:val="22"/>
          <w:szCs w:val="20"/>
        </w:rPr>
        <w:t>blokády</w:t>
      </w:r>
      <w:r w:rsidRPr="0040738C">
        <w:rPr>
          <w:bCs/>
          <w:sz w:val="22"/>
          <w:szCs w:val="20"/>
        </w:rPr>
        <w:t xml:space="preserve"> vyvolanej </w:t>
      </w:r>
      <w:proofErr w:type="spellStart"/>
      <w:r w:rsidRPr="0040738C">
        <w:rPr>
          <w:bCs/>
          <w:sz w:val="22"/>
          <w:szCs w:val="20"/>
        </w:rPr>
        <w:t>nervovosvalovými</w:t>
      </w:r>
      <w:proofErr w:type="spellEnd"/>
      <w:r w:rsidRPr="0040738C">
        <w:rPr>
          <w:bCs/>
          <w:sz w:val="22"/>
          <w:szCs w:val="20"/>
        </w:rPr>
        <w:t xml:space="preserve"> </w:t>
      </w:r>
      <w:proofErr w:type="spellStart"/>
      <w:r w:rsidR="006874DB">
        <w:rPr>
          <w:bCs/>
          <w:sz w:val="22"/>
          <w:szCs w:val="20"/>
        </w:rPr>
        <w:t>blokátormi</w:t>
      </w:r>
      <w:proofErr w:type="spellEnd"/>
      <w:r w:rsidR="001401A3">
        <w:rPr>
          <w:bCs/>
          <w:sz w:val="22"/>
          <w:szCs w:val="20"/>
        </w:rPr>
        <w:t xml:space="preserve"> </w:t>
      </w:r>
      <w:r w:rsidRPr="0040738C">
        <w:rPr>
          <w:bCs/>
          <w:sz w:val="22"/>
          <w:szCs w:val="20"/>
        </w:rPr>
        <w:t xml:space="preserve">môže byť </w:t>
      </w:r>
      <w:proofErr w:type="spellStart"/>
      <w:r w:rsidR="001401A3">
        <w:rPr>
          <w:bCs/>
          <w:sz w:val="22"/>
          <w:szCs w:val="20"/>
        </w:rPr>
        <w:t>inhibované</w:t>
      </w:r>
      <w:proofErr w:type="spellEnd"/>
      <w:r w:rsidRPr="0040738C">
        <w:rPr>
          <w:bCs/>
          <w:sz w:val="22"/>
          <w:szCs w:val="20"/>
        </w:rPr>
        <w:t xml:space="preserve"> alebo ne</w:t>
      </w:r>
      <w:r w:rsidR="001401A3">
        <w:rPr>
          <w:bCs/>
          <w:sz w:val="22"/>
          <w:szCs w:val="20"/>
        </w:rPr>
        <w:t>uspokojivé</w:t>
      </w:r>
      <w:r w:rsidRPr="0040738C">
        <w:rPr>
          <w:bCs/>
          <w:sz w:val="22"/>
          <w:szCs w:val="20"/>
        </w:rPr>
        <w:t xml:space="preserve"> u pacientok, ktoré </w:t>
      </w:r>
      <w:r w:rsidR="001401A3">
        <w:rPr>
          <w:bCs/>
          <w:sz w:val="22"/>
          <w:szCs w:val="20"/>
        </w:rPr>
        <w:t>dost</w:t>
      </w:r>
      <w:r w:rsidR="00C30CCE">
        <w:rPr>
          <w:bCs/>
          <w:sz w:val="22"/>
          <w:szCs w:val="20"/>
        </w:rPr>
        <w:t>ávajú</w:t>
      </w:r>
      <w:r w:rsidRPr="0040738C">
        <w:rPr>
          <w:bCs/>
          <w:sz w:val="22"/>
          <w:szCs w:val="20"/>
        </w:rPr>
        <w:t xml:space="preserve"> </w:t>
      </w:r>
      <w:r w:rsidR="001401A3">
        <w:rPr>
          <w:bCs/>
          <w:sz w:val="22"/>
          <w:szCs w:val="20"/>
        </w:rPr>
        <w:t xml:space="preserve">soli </w:t>
      </w:r>
      <w:r w:rsidRPr="0040738C">
        <w:rPr>
          <w:bCs/>
          <w:sz w:val="22"/>
          <w:szCs w:val="20"/>
        </w:rPr>
        <w:t>magnéz</w:t>
      </w:r>
      <w:r w:rsidR="001401A3">
        <w:rPr>
          <w:bCs/>
          <w:sz w:val="22"/>
          <w:szCs w:val="20"/>
        </w:rPr>
        <w:t>ia</w:t>
      </w:r>
      <w:r w:rsidRPr="0040738C">
        <w:rPr>
          <w:bCs/>
          <w:sz w:val="22"/>
          <w:szCs w:val="20"/>
        </w:rPr>
        <w:t xml:space="preserve"> </w:t>
      </w:r>
      <w:r w:rsidR="001401A3">
        <w:rPr>
          <w:bCs/>
          <w:sz w:val="22"/>
          <w:szCs w:val="20"/>
        </w:rPr>
        <w:t>pri</w:t>
      </w:r>
      <w:r w:rsidRPr="0040738C">
        <w:rPr>
          <w:bCs/>
          <w:sz w:val="22"/>
          <w:szCs w:val="20"/>
        </w:rPr>
        <w:t xml:space="preserve"> </w:t>
      </w:r>
      <w:proofErr w:type="spellStart"/>
      <w:r w:rsidRPr="0040738C">
        <w:rPr>
          <w:bCs/>
          <w:sz w:val="22"/>
          <w:szCs w:val="20"/>
        </w:rPr>
        <w:t>toxémi</w:t>
      </w:r>
      <w:r w:rsidR="001401A3">
        <w:rPr>
          <w:bCs/>
          <w:sz w:val="22"/>
          <w:szCs w:val="20"/>
        </w:rPr>
        <w:t>i</w:t>
      </w:r>
      <w:proofErr w:type="spellEnd"/>
      <w:r w:rsidRPr="0040738C">
        <w:rPr>
          <w:bCs/>
          <w:sz w:val="22"/>
          <w:szCs w:val="20"/>
        </w:rPr>
        <w:t xml:space="preserve"> v gravidite, pretože </w:t>
      </w:r>
      <w:r w:rsidR="001401A3">
        <w:rPr>
          <w:bCs/>
          <w:sz w:val="22"/>
          <w:szCs w:val="20"/>
        </w:rPr>
        <w:t xml:space="preserve">soli </w:t>
      </w:r>
      <w:r w:rsidRPr="0040738C">
        <w:rPr>
          <w:bCs/>
          <w:sz w:val="22"/>
          <w:szCs w:val="20"/>
        </w:rPr>
        <w:t>magnézi</w:t>
      </w:r>
      <w:r w:rsidR="001401A3">
        <w:rPr>
          <w:bCs/>
          <w:sz w:val="22"/>
          <w:szCs w:val="20"/>
        </w:rPr>
        <w:t>a</w:t>
      </w:r>
      <w:r w:rsidRPr="0040738C">
        <w:rPr>
          <w:bCs/>
          <w:sz w:val="22"/>
          <w:szCs w:val="20"/>
        </w:rPr>
        <w:t xml:space="preserve"> zvyšujú </w:t>
      </w:r>
      <w:proofErr w:type="spellStart"/>
      <w:r w:rsidRPr="0040738C">
        <w:rPr>
          <w:bCs/>
          <w:sz w:val="22"/>
          <w:szCs w:val="20"/>
        </w:rPr>
        <w:t>nervovosvalovú</w:t>
      </w:r>
      <w:proofErr w:type="spellEnd"/>
      <w:r w:rsidRPr="0040738C">
        <w:rPr>
          <w:bCs/>
          <w:sz w:val="22"/>
          <w:szCs w:val="20"/>
        </w:rPr>
        <w:t xml:space="preserve"> blokádu. U týchto pacientok je </w:t>
      </w:r>
      <w:r w:rsidR="001401A3">
        <w:rPr>
          <w:bCs/>
          <w:sz w:val="22"/>
          <w:szCs w:val="20"/>
        </w:rPr>
        <w:t xml:space="preserve">preto </w:t>
      </w:r>
      <w:r w:rsidRPr="0040738C">
        <w:rPr>
          <w:bCs/>
          <w:sz w:val="22"/>
          <w:szCs w:val="20"/>
        </w:rPr>
        <w:t xml:space="preserve">potrebné znížiť dávkovanie </w:t>
      </w:r>
      <w:proofErr w:type="spellStart"/>
      <w:r w:rsidRPr="0040738C">
        <w:rPr>
          <w:bCs/>
          <w:sz w:val="22"/>
          <w:szCs w:val="20"/>
        </w:rPr>
        <w:t>Esmeronu</w:t>
      </w:r>
      <w:proofErr w:type="spellEnd"/>
      <w:r w:rsidRPr="0040738C">
        <w:rPr>
          <w:bCs/>
          <w:sz w:val="22"/>
          <w:szCs w:val="20"/>
        </w:rPr>
        <w:t xml:space="preserve"> a </w:t>
      </w:r>
      <w:proofErr w:type="spellStart"/>
      <w:r w:rsidRPr="0040738C">
        <w:rPr>
          <w:bCs/>
          <w:sz w:val="22"/>
          <w:szCs w:val="20"/>
        </w:rPr>
        <w:t>titrovať</w:t>
      </w:r>
      <w:proofErr w:type="spellEnd"/>
      <w:r w:rsidRPr="0040738C">
        <w:rPr>
          <w:bCs/>
          <w:sz w:val="22"/>
          <w:szCs w:val="20"/>
        </w:rPr>
        <w:t xml:space="preserve"> ho </w:t>
      </w:r>
      <w:r w:rsidR="00233C51">
        <w:rPr>
          <w:bCs/>
          <w:sz w:val="22"/>
          <w:szCs w:val="20"/>
        </w:rPr>
        <w:t xml:space="preserve">podľa </w:t>
      </w:r>
      <w:r w:rsidR="00E538ED">
        <w:rPr>
          <w:bCs/>
          <w:sz w:val="22"/>
          <w:szCs w:val="20"/>
        </w:rPr>
        <w:t>amplitúdy</w:t>
      </w:r>
      <w:r w:rsidR="00233C51">
        <w:rPr>
          <w:bCs/>
          <w:sz w:val="22"/>
          <w:szCs w:val="20"/>
        </w:rPr>
        <w:t xml:space="preserve"> </w:t>
      </w:r>
      <w:proofErr w:type="spellStart"/>
      <w:r w:rsidRPr="0040738C">
        <w:rPr>
          <w:bCs/>
          <w:sz w:val="22"/>
          <w:szCs w:val="20"/>
        </w:rPr>
        <w:t>zášklbu</w:t>
      </w:r>
      <w:proofErr w:type="spellEnd"/>
      <w:r w:rsidRPr="0040738C">
        <w:rPr>
          <w:bCs/>
          <w:sz w:val="22"/>
          <w:szCs w:val="20"/>
        </w:rPr>
        <w:t>.</w:t>
      </w:r>
    </w:p>
    <w:p w14:paraId="53FF791F" w14:textId="77777777" w:rsidR="00CB2A09" w:rsidRPr="0040738C" w:rsidRDefault="00CB2A09" w:rsidP="00CD70B0">
      <w:pPr>
        <w:rPr>
          <w:bCs/>
          <w:sz w:val="22"/>
          <w:szCs w:val="20"/>
        </w:rPr>
      </w:pPr>
    </w:p>
    <w:p w14:paraId="0AD669C4" w14:textId="77777777" w:rsidR="00CB2A09" w:rsidRPr="0040738C" w:rsidRDefault="00084872" w:rsidP="003E54A9">
      <w:pPr>
        <w:keepNext/>
        <w:rPr>
          <w:bCs/>
          <w:sz w:val="22"/>
          <w:szCs w:val="20"/>
          <w:u w:val="single"/>
        </w:rPr>
      </w:pPr>
      <w:r>
        <w:rPr>
          <w:bCs/>
          <w:sz w:val="22"/>
          <w:szCs w:val="20"/>
          <w:u w:val="single"/>
        </w:rPr>
        <w:t>Dojčenie</w:t>
      </w:r>
    </w:p>
    <w:p w14:paraId="5EA42CF6" w14:textId="283D04C4" w:rsidR="00CB2A09" w:rsidRPr="0040738C" w:rsidRDefault="00CB2A09" w:rsidP="00CD70B0">
      <w:pPr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 xml:space="preserve">Nie je známe, či sa </w:t>
      </w:r>
      <w:proofErr w:type="spellStart"/>
      <w:r w:rsidRPr="0040738C">
        <w:rPr>
          <w:bCs/>
          <w:sz w:val="22"/>
          <w:szCs w:val="20"/>
        </w:rPr>
        <w:t>Esmeron</w:t>
      </w:r>
      <w:proofErr w:type="spellEnd"/>
      <w:r w:rsidRPr="0040738C">
        <w:rPr>
          <w:bCs/>
          <w:sz w:val="22"/>
          <w:szCs w:val="20"/>
        </w:rPr>
        <w:t xml:space="preserve"> vylučuje do </w:t>
      </w:r>
      <w:r w:rsidR="00DA544B">
        <w:rPr>
          <w:bCs/>
          <w:sz w:val="22"/>
          <w:szCs w:val="20"/>
        </w:rPr>
        <w:t xml:space="preserve">ľudského </w:t>
      </w:r>
      <w:r w:rsidRPr="0040738C">
        <w:rPr>
          <w:bCs/>
          <w:sz w:val="22"/>
          <w:szCs w:val="20"/>
        </w:rPr>
        <w:t xml:space="preserve">mlieka. Štúdie na zvieratách preukázali nevýznamné hladiny </w:t>
      </w:r>
      <w:proofErr w:type="spellStart"/>
      <w:r w:rsidRPr="0040738C">
        <w:rPr>
          <w:sz w:val="22"/>
          <w:szCs w:val="20"/>
        </w:rPr>
        <w:t>Esmeronu</w:t>
      </w:r>
      <w:proofErr w:type="spellEnd"/>
      <w:r w:rsidRPr="0040738C">
        <w:rPr>
          <w:sz w:val="22"/>
          <w:szCs w:val="20"/>
        </w:rPr>
        <w:t xml:space="preserve"> </w:t>
      </w:r>
      <w:r w:rsidRPr="0040738C">
        <w:rPr>
          <w:bCs/>
          <w:sz w:val="22"/>
          <w:szCs w:val="20"/>
        </w:rPr>
        <w:t>v materskom</w:t>
      </w:r>
      <w:r w:rsidR="002A50F0">
        <w:rPr>
          <w:bCs/>
          <w:sz w:val="22"/>
          <w:szCs w:val="20"/>
        </w:rPr>
        <w:t xml:space="preserve"> </w:t>
      </w:r>
      <w:r w:rsidRPr="0040738C">
        <w:rPr>
          <w:bCs/>
          <w:sz w:val="22"/>
          <w:szCs w:val="20"/>
        </w:rPr>
        <w:t xml:space="preserve">mlieku. </w:t>
      </w:r>
      <w:proofErr w:type="spellStart"/>
      <w:r w:rsidRPr="0040738C">
        <w:rPr>
          <w:bCs/>
          <w:sz w:val="22"/>
          <w:szCs w:val="20"/>
        </w:rPr>
        <w:t>Esmeron</w:t>
      </w:r>
      <w:proofErr w:type="spellEnd"/>
      <w:r w:rsidRPr="0040738C">
        <w:rPr>
          <w:bCs/>
          <w:sz w:val="22"/>
          <w:szCs w:val="20"/>
        </w:rPr>
        <w:t xml:space="preserve"> sa má podať dojčiacim ženám, iba ak ošetrujúci lekár rozhodne, že prínos</w:t>
      </w:r>
      <w:r w:rsidR="001401A3">
        <w:rPr>
          <w:bCs/>
          <w:sz w:val="22"/>
          <w:szCs w:val="20"/>
        </w:rPr>
        <w:t>y</w:t>
      </w:r>
      <w:r w:rsidRPr="0040738C">
        <w:rPr>
          <w:bCs/>
          <w:sz w:val="22"/>
          <w:szCs w:val="20"/>
        </w:rPr>
        <w:t xml:space="preserve"> lieku prevažuj</w:t>
      </w:r>
      <w:r w:rsidR="001401A3">
        <w:rPr>
          <w:bCs/>
          <w:sz w:val="22"/>
          <w:szCs w:val="20"/>
        </w:rPr>
        <w:t>ú</w:t>
      </w:r>
      <w:r w:rsidRPr="0040738C">
        <w:rPr>
          <w:bCs/>
          <w:sz w:val="22"/>
          <w:szCs w:val="20"/>
        </w:rPr>
        <w:t xml:space="preserve"> riziká.</w:t>
      </w:r>
    </w:p>
    <w:p w14:paraId="5B5DD260" w14:textId="77777777" w:rsidR="00CB2A09" w:rsidRPr="0040738C" w:rsidRDefault="00CB2A09" w:rsidP="00CD70B0">
      <w:pPr>
        <w:rPr>
          <w:bCs/>
          <w:sz w:val="22"/>
          <w:szCs w:val="20"/>
        </w:rPr>
      </w:pPr>
    </w:p>
    <w:p w14:paraId="395C9420" w14:textId="47EC907F" w:rsidR="00CB2A09" w:rsidRPr="0040738C" w:rsidRDefault="00CB2A09" w:rsidP="00DD73F9">
      <w:pPr>
        <w:keepNext/>
        <w:rPr>
          <w:b/>
          <w:sz w:val="22"/>
          <w:szCs w:val="20"/>
        </w:rPr>
      </w:pPr>
      <w:r w:rsidRPr="0040738C">
        <w:rPr>
          <w:b/>
          <w:sz w:val="22"/>
          <w:szCs w:val="20"/>
        </w:rPr>
        <w:t>4.7</w:t>
      </w:r>
      <w:r w:rsidRPr="0040738C">
        <w:rPr>
          <w:b/>
          <w:sz w:val="22"/>
          <w:szCs w:val="20"/>
        </w:rPr>
        <w:tab/>
        <w:t>Ovplyvnenie schopnosti viesť vozidlá a používať stroje</w:t>
      </w:r>
    </w:p>
    <w:p w14:paraId="2FAB7501" w14:textId="77777777" w:rsidR="00CB2A09" w:rsidRPr="0040738C" w:rsidRDefault="00CB2A09" w:rsidP="00DD73F9">
      <w:pPr>
        <w:keepNext/>
        <w:rPr>
          <w:bCs/>
          <w:sz w:val="22"/>
          <w:szCs w:val="20"/>
        </w:rPr>
      </w:pPr>
    </w:p>
    <w:p w14:paraId="5FB477FC" w14:textId="3DD2F12B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 xml:space="preserve">Keďže sa </w:t>
      </w:r>
      <w:proofErr w:type="spellStart"/>
      <w:r w:rsidRPr="0040738C">
        <w:rPr>
          <w:bCs/>
          <w:sz w:val="22"/>
          <w:szCs w:val="20"/>
        </w:rPr>
        <w:t>Esmeron</w:t>
      </w:r>
      <w:proofErr w:type="spellEnd"/>
      <w:r w:rsidRPr="0040738C">
        <w:rPr>
          <w:bCs/>
          <w:sz w:val="22"/>
          <w:szCs w:val="20"/>
        </w:rPr>
        <w:t xml:space="preserve"> používa ako </w:t>
      </w:r>
      <w:r w:rsidR="001401A3">
        <w:rPr>
          <w:bCs/>
          <w:sz w:val="22"/>
          <w:szCs w:val="20"/>
        </w:rPr>
        <w:t>doplnok</w:t>
      </w:r>
      <w:r w:rsidRPr="0040738C">
        <w:rPr>
          <w:bCs/>
          <w:sz w:val="22"/>
          <w:szCs w:val="20"/>
        </w:rPr>
        <w:t xml:space="preserve"> </w:t>
      </w:r>
      <w:r w:rsidR="001401A3">
        <w:rPr>
          <w:bCs/>
          <w:sz w:val="22"/>
          <w:szCs w:val="20"/>
        </w:rPr>
        <w:t>k</w:t>
      </w:r>
      <w:r w:rsidR="00A23830">
        <w:rPr>
          <w:bCs/>
          <w:sz w:val="22"/>
          <w:szCs w:val="20"/>
        </w:rPr>
        <w:t> </w:t>
      </w:r>
      <w:r w:rsidRPr="0040738C">
        <w:rPr>
          <w:bCs/>
          <w:sz w:val="22"/>
          <w:szCs w:val="20"/>
        </w:rPr>
        <w:t>celkovej anestézi</w:t>
      </w:r>
      <w:r w:rsidR="001401A3">
        <w:rPr>
          <w:bCs/>
          <w:sz w:val="22"/>
          <w:szCs w:val="20"/>
        </w:rPr>
        <w:t>i</w:t>
      </w:r>
      <w:r w:rsidRPr="0040738C">
        <w:rPr>
          <w:bCs/>
          <w:sz w:val="22"/>
          <w:szCs w:val="20"/>
        </w:rPr>
        <w:t xml:space="preserve">, </w:t>
      </w:r>
      <w:r w:rsidR="001401A3">
        <w:rPr>
          <w:bCs/>
          <w:sz w:val="22"/>
          <w:szCs w:val="20"/>
        </w:rPr>
        <w:t xml:space="preserve">po celkovej anestézii </w:t>
      </w:r>
      <w:r w:rsidRPr="0040738C">
        <w:rPr>
          <w:bCs/>
          <w:sz w:val="22"/>
          <w:szCs w:val="20"/>
        </w:rPr>
        <w:t>u</w:t>
      </w:r>
      <w:r w:rsidR="001401A3">
        <w:rPr>
          <w:bCs/>
          <w:sz w:val="22"/>
          <w:szCs w:val="20"/>
        </w:rPr>
        <w:t xml:space="preserve"> pacientov liečených </w:t>
      </w:r>
      <w:r w:rsidRPr="0040738C">
        <w:rPr>
          <w:bCs/>
          <w:sz w:val="22"/>
          <w:szCs w:val="20"/>
        </w:rPr>
        <w:t>ambulantn</w:t>
      </w:r>
      <w:r w:rsidR="001401A3">
        <w:rPr>
          <w:bCs/>
          <w:sz w:val="22"/>
          <w:szCs w:val="20"/>
        </w:rPr>
        <w:t>e</w:t>
      </w:r>
      <w:r w:rsidRPr="0040738C">
        <w:rPr>
          <w:bCs/>
          <w:sz w:val="22"/>
          <w:szCs w:val="20"/>
        </w:rPr>
        <w:t xml:space="preserve"> sa musia podniknúť zvyčajné bezpečnostné opatrenia.</w:t>
      </w:r>
    </w:p>
    <w:p w14:paraId="296BE979" w14:textId="77777777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</w:p>
    <w:p w14:paraId="2BE88227" w14:textId="607AD78F" w:rsidR="00CB2A09" w:rsidRPr="0040738C" w:rsidRDefault="00CB2A09" w:rsidP="00DD73F9">
      <w:pPr>
        <w:keepNext/>
        <w:rPr>
          <w:b/>
          <w:sz w:val="22"/>
          <w:szCs w:val="20"/>
        </w:rPr>
      </w:pPr>
      <w:r w:rsidRPr="0040738C">
        <w:rPr>
          <w:b/>
          <w:sz w:val="22"/>
          <w:szCs w:val="20"/>
        </w:rPr>
        <w:t>4.8</w:t>
      </w:r>
      <w:r w:rsidRPr="0040738C">
        <w:rPr>
          <w:b/>
          <w:sz w:val="22"/>
          <w:szCs w:val="20"/>
        </w:rPr>
        <w:tab/>
        <w:t>Nežiaduce účinky</w:t>
      </w:r>
    </w:p>
    <w:p w14:paraId="11D5D8AE" w14:textId="77777777" w:rsidR="00CB2A09" w:rsidRPr="0040738C" w:rsidRDefault="00CB2A09" w:rsidP="00DD73F9">
      <w:pPr>
        <w:keepNext/>
        <w:ind w:left="360" w:hanging="360"/>
        <w:rPr>
          <w:bCs/>
          <w:sz w:val="22"/>
          <w:szCs w:val="20"/>
        </w:rPr>
      </w:pPr>
    </w:p>
    <w:p w14:paraId="53E63BC3" w14:textId="2BE80144" w:rsidR="00CB2A09" w:rsidRPr="0040738C" w:rsidRDefault="001401A3" w:rsidP="00CD70B0">
      <w:pPr>
        <w:rPr>
          <w:sz w:val="22"/>
        </w:rPr>
      </w:pPr>
      <w:r>
        <w:rPr>
          <w:sz w:val="22"/>
        </w:rPr>
        <w:t>N</w:t>
      </w:r>
      <w:r w:rsidR="00CB2A09" w:rsidRPr="0040738C">
        <w:rPr>
          <w:sz w:val="22"/>
        </w:rPr>
        <w:t xml:space="preserve">ajčastejšie sa vyskytujúce nežiaduce </w:t>
      </w:r>
      <w:r w:rsidR="000D6792">
        <w:rPr>
          <w:sz w:val="22"/>
        </w:rPr>
        <w:t xml:space="preserve">liekové reakcie </w:t>
      </w:r>
      <w:r>
        <w:rPr>
          <w:sz w:val="22"/>
        </w:rPr>
        <w:t>zahŕňajú</w:t>
      </w:r>
      <w:r w:rsidR="00CB2A09" w:rsidRPr="0040738C">
        <w:rPr>
          <w:sz w:val="22"/>
        </w:rPr>
        <w:t xml:space="preserve"> bolesť/reakci</w:t>
      </w:r>
      <w:r>
        <w:rPr>
          <w:sz w:val="22"/>
        </w:rPr>
        <w:t>u</w:t>
      </w:r>
      <w:r w:rsidR="00CB2A09" w:rsidRPr="0040738C">
        <w:rPr>
          <w:sz w:val="22"/>
        </w:rPr>
        <w:t xml:space="preserve"> v mieste podania injekcie, zmeny </w:t>
      </w:r>
      <w:r>
        <w:rPr>
          <w:sz w:val="22"/>
        </w:rPr>
        <w:t xml:space="preserve">vo </w:t>
      </w:r>
      <w:r w:rsidR="00CB2A09" w:rsidRPr="0040738C">
        <w:rPr>
          <w:sz w:val="22"/>
        </w:rPr>
        <w:t>vitálnych funkci</w:t>
      </w:r>
      <w:r>
        <w:rPr>
          <w:sz w:val="22"/>
        </w:rPr>
        <w:t>ách</w:t>
      </w:r>
      <w:r w:rsidR="00CB2A09" w:rsidRPr="0040738C">
        <w:rPr>
          <w:sz w:val="22"/>
        </w:rPr>
        <w:t xml:space="preserve"> a predĺžen</w:t>
      </w:r>
      <w:r>
        <w:rPr>
          <w:sz w:val="22"/>
        </w:rPr>
        <w:t>ú</w:t>
      </w:r>
      <w:r w:rsidR="00CB2A09" w:rsidRPr="0040738C">
        <w:rPr>
          <w:sz w:val="22"/>
        </w:rPr>
        <w:t xml:space="preserve"> </w:t>
      </w:r>
      <w:proofErr w:type="spellStart"/>
      <w:r w:rsidR="00CB2A09" w:rsidRPr="0040738C">
        <w:rPr>
          <w:sz w:val="22"/>
        </w:rPr>
        <w:t>nervovosvalov</w:t>
      </w:r>
      <w:r>
        <w:rPr>
          <w:sz w:val="22"/>
        </w:rPr>
        <w:t>ú</w:t>
      </w:r>
      <w:proofErr w:type="spellEnd"/>
      <w:r w:rsidR="00CB2A09" w:rsidRPr="0040738C">
        <w:rPr>
          <w:sz w:val="22"/>
        </w:rPr>
        <w:t xml:space="preserve"> blokád</w:t>
      </w:r>
      <w:r>
        <w:rPr>
          <w:sz w:val="22"/>
        </w:rPr>
        <w:t>u</w:t>
      </w:r>
      <w:r w:rsidR="00CB2A09" w:rsidRPr="0040738C">
        <w:rPr>
          <w:sz w:val="22"/>
        </w:rPr>
        <w:t xml:space="preserve">. Najčastejšie závažné nežiaduce liekové reakcie </w:t>
      </w:r>
      <w:r>
        <w:rPr>
          <w:sz w:val="22"/>
        </w:rPr>
        <w:t xml:space="preserve">hlásené </w:t>
      </w:r>
      <w:r w:rsidR="00CB2A09" w:rsidRPr="0040738C">
        <w:rPr>
          <w:sz w:val="22"/>
        </w:rPr>
        <w:t xml:space="preserve">počas </w:t>
      </w:r>
      <w:r>
        <w:rPr>
          <w:sz w:val="22"/>
        </w:rPr>
        <w:t>sledovania po uvedení lieku na trh</w:t>
      </w:r>
      <w:r w:rsidR="00CB2A09" w:rsidRPr="0040738C">
        <w:rPr>
          <w:sz w:val="22"/>
        </w:rPr>
        <w:t xml:space="preserve"> sú „</w:t>
      </w:r>
      <w:proofErr w:type="spellStart"/>
      <w:r w:rsidR="00CB2A09" w:rsidRPr="0040738C">
        <w:rPr>
          <w:sz w:val="22"/>
        </w:rPr>
        <w:t>anafylaktické</w:t>
      </w:r>
      <w:proofErr w:type="spellEnd"/>
      <w:r w:rsidR="00CB2A09" w:rsidRPr="0040738C">
        <w:rPr>
          <w:sz w:val="22"/>
        </w:rPr>
        <w:t xml:space="preserve"> a </w:t>
      </w:r>
      <w:proofErr w:type="spellStart"/>
      <w:r w:rsidR="00CB2A09" w:rsidRPr="0040738C">
        <w:rPr>
          <w:sz w:val="22"/>
        </w:rPr>
        <w:t>anafylaktoidné</w:t>
      </w:r>
      <w:proofErr w:type="spellEnd"/>
      <w:r w:rsidR="00CB2A09" w:rsidRPr="0040738C">
        <w:rPr>
          <w:sz w:val="22"/>
        </w:rPr>
        <w:t xml:space="preserve"> reakcie“ a sprievodné príznaky. Pozri tiež vysvetlivky pod tabuľkou.</w:t>
      </w:r>
    </w:p>
    <w:p w14:paraId="428F9CA7" w14:textId="77777777" w:rsidR="00CB2A09" w:rsidRPr="0040738C" w:rsidRDefault="00CB2A09" w:rsidP="00CD70B0">
      <w:pPr>
        <w:rPr>
          <w:sz w:val="22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6"/>
        <w:gridCol w:w="2999"/>
        <w:gridCol w:w="3167"/>
      </w:tblGrid>
      <w:tr w:rsidR="00CB2A09" w:rsidRPr="0040738C" w14:paraId="6E057CFE" w14:textId="77777777" w:rsidTr="00DD73F9">
        <w:trPr>
          <w:cantSplit/>
          <w:tblHeader/>
        </w:trPr>
        <w:tc>
          <w:tcPr>
            <w:tcW w:w="2906" w:type="dxa"/>
            <w:vMerge w:val="restart"/>
          </w:tcPr>
          <w:p w14:paraId="1A799354" w14:textId="7E8557F4" w:rsidR="00CB2A09" w:rsidRPr="0040738C" w:rsidRDefault="001401A3" w:rsidP="00CD70B0">
            <w:pPr>
              <w:rPr>
                <w:sz w:val="22"/>
              </w:rPr>
            </w:pPr>
            <w:r>
              <w:rPr>
                <w:sz w:val="22"/>
              </w:rPr>
              <w:t xml:space="preserve">Trieda orgánového systému podľa </w:t>
            </w:r>
            <w:proofErr w:type="spellStart"/>
            <w:r w:rsidR="00CB2A09" w:rsidRPr="0040738C">
              <w:rPr>
                <w:sz w:val="22"/>
              </w:rPr>
              <w:t>MedDRA</w:t>
            </w:r>
            <w:proofErr w:type="spellEnd"/>
          </w:p>
        </w:tc>
        <w:tc>
          <w:tcPr>
            <w:tcW w:w="6166" w:type="dxa"/>
            <w:gridSpan w:val="2"/>
          </w:tcPr>
          <w:p w14:paraId="4515BD21" w14:textId="08836EE8" w:rsidR="00CB2A09" w:rsidRPr="0040738C" w:rsidRDefault="00CB2A09" w:rsidP="00CD70B0">
            <w:pPr>
              <w:rPr>
                <w:sz w:val="22"/>
              </w:rPr>
            </w:pPr>
            <w:r w:rsidRPr="0040738C">
              <w:rPr>
                <w:sz w:val="22"/>
              </w:rPr>
              <w:t>Preferenčný termín</w:t>
            </w:r>
            <w:r w:rsidR="00FA7BF8">
              <w:rPr>
                <w:sz w:val="22"/>
                <w:vertAlign w:val="superscript"/>
              </w:rPr>
              <w:t>1</w:t>
            </w:r>
          </w:p>
        </w:tc>
      </w:tr>
      <w:tr w:rsidR="00CB2A09" w:rsidRPr="0040738C" w14:paraId="6B9A255D" w14:textId="77777777" w:rsidTr="00DD73F9">
        <w:trPr>
          <w:cantSplit/>
          <w:tblHeader/>
        </w:trPr>
        <w:tc>
          <w:tcPr>
            <w:tcW w:w="2906" w:type="dxa"/>
            <w:vMerge/>
          </w:tcPr>
          <w:p w14:paraId="63990C97" w14:textId="77777777" w:rsidR="00CB2A09" w:rsidRPr="0040738C" w:rsidRDefault="00CB2A09" w:rsidP="00CD70B0">
            <w:pPr>
              <w:rPr>
                <w:sz w:val="22"/>
              </w:rPr>
            </w:pPr>
          </w:p>
        </w:tc>
        <w:tc>
          <w:tcPr>
            <w:tcW w:w="2999" w:type="dxa"/>
          </w:tcPr>
          <w:p w14:paraId="0184E17D" w14:textId="55E3288E" w:rsidR="00CB2A09" w:rsidRPr="0040738C" w:rsidRDefault="00CB2A09" w:rsidP="00CD70B0">
            <w:pPr>
              <w:rPr>
                <w:sz w:val="22"/>
              </w:rPr>
            </w:pPr>
            <w:r w:rsidRPr="0040738C">
              <w:rPr>
                <w:sz w:val="22"/>
              </w:rPr>
              <w:t>Menej časté/zriedkavé</w:t>
            </w:r>
            <w:r w:rsidR="00FA7BF8">
              <w:rPr>
                <w:sz w:val="22"/>
                <w:vertAlign w:val="superscript"/>
              </w:rPr>
              <w:t>2</w:t>
            </w:r>
          </w:p>
          <w:p w14:paraId="61CB29B6" w14:textId="2C7EA283" w:rsidR="00CB2A09" w:rsidRPr="0040738C" w:rsidRDefault="00CB2A09" w:rsidP="00CD70B0">
            <w:pPr>
              <w:rPr>
                <w:sz w:val="22"/>
              </w:rPr>
            </w:pPr>
            <w:r w:rsidRPr="0040738C">
              <w:rPr>
                <w:bCs/>
                <w:sz w:val="22"/>
              </w:rPr>
              <w:t>(&lt;</w:t>
            </w:r>
            <w:r w:rsidR="00FA7BF8">
              <w:rPr>
                <w:bCs/>
                <w:sz w:val="22"/>
              </w:rPr>
              <w:t> </w:t>
            </w:r>
            <w:r w:rsidRPr="0040738C">
              <w:rPr>
                <w:bCs/>
                <w:sz w:val="22"/>
              </w:rPr>
              <w:t>1/100</w:t>
            </w:r>
            <w:r w:rsidR="00FA7BF8">
              <w:rPr>
                <w:bCs/>
                <w:sz w:val="22"/>
              </w:rPr>
              <w:t xml:space="preserve"> až</w:t>
            </w:r>
            <w:r w:rsidRPr="0040738C">
              <w:rPr>
                <w:bCs/>
                <w:sz w:val="22"/>
              </w:rPr>
              <w:t xml:space="preserve"> &gt;</w:t>
            </w:r>
            <w:r w:rsidR="00FA7BF8">
              <w:rPr>
                <w:bCs/>
                <w:sz w:val="22"/>
              </w:rPr>
              <w:t> </w:t>
            </w:r>
            <w:r w:rsidRPr="0040738C">
              <w:rPr>
                <w:bCs/>
                <w:sz w:val="22"/>
              </w:rPr>
              <w:t>1/10</w:t>
            </w:r>
            <w:r w:rsidR="00FA7BF8">
              <w:rPr>
                <w:bCs/>
                <w:sz w:val="22"/>
              </w:rPr>
              <w:t> </w:t>
            </w:r>
            <w:r w:rsidRPr="0040738C">
              <w:rPr>
                <w:bCs/>
                <w:sz w:val="22"/>
              </w:rPr>
              <w:t>000)</w:t>
            </w:r>
          </w:p>
        </w:tc>
        <w:tc>
          <w:tcPr>
            <w:tcW w:w="3167" w:type="dxa"/>
          </w:tcPr>
          <w:p w14:paraId="4A0C18E3" w14:textId="77777777" w:rsidR="00CB2A09" w:rsidRPr="0040738C" w:rsidRDefault="00CB2A09" w:rsidP="00CD70B0">
            <w:pPr>
              <w:ind w:left="3420" w:hanging="3420"/>
              <w:rPr>
                <w:sz w:val="22"/>
              </w:rPr>
            </w:pPr>
            <w:r w:rsidRPr="0040738C">
              <w:rPr>
                <w:sz w:val="22"/>
              </w:rPr>
              <w:t>Veľmi zriedkavé</w:t>
            </w:r>
          </w:p>
          <w:p w14:paraId="4D23A5BD" w14:textId="10C36AB3" w:rsidR="00CB2A09" w:rsidRPr="0040738C" w:rsidRDefault="00CB2A09" w:rsidP="00CD70B0">
            <w:pPr>
              <w:rPr>
                <w:sz w:val="22"/>
              </w:rPr>
            </w:pPr>
            <w:r w:rsidRPr="0040738C">
              <w:rPr>
                <w:bCs/>
                <w:sz w:val="22"/>
              </w:rPr>
              <w:t>(&lt;</w:t>
            </w:r>
            <w:r w:rsidR="00FA7BF8">
              <w:rPr>
                <w:bCs/>
                <w:sz w:val="22"/>
              </w:rPr>
              <w:t> </w:t>
            </w:r>
            <w:r w:rsidRPr="0040738C">
              <w:rPr>
                <w:bCs/>
                <w:sz w:val="22"/>
              </w:rPr>
              <w:t>1/10</w:t>
            </w:r>
            <w:r w:rsidR="00FA7BF8">
              <w:rPr>
                <w:bCs/>
                <w:sz w:val="22"/>
              </w:rPr>
              <w:t> </w:t>
            </w:r>
            <w:r w:rsidRPr="0040738C">
              <w:rPr>
                <w:bCs/>
                <w:sz w:val="22"/>
              </w:rPr>
              <w:t>000)</w:t>
            </w:r>
          </w:p>
        </w:tc>
      </w:tr>
      <w:tr w:rsidR="00CB2A09" w:rsidRPr="0040738C" w14:paraId="1BFB4F49" w14:textId="77777777" w:rsidTr="00DD73F9">
        <w:tc>
          <w:tcPr>
            <w:tcW w:w="2906" w:type="dxa"/>
          </w:tcPr>
          <w:p w14:paraId="13985B98" w14:textId="77777777" w:rsidR="00CB2A09" w:rsidRPr="0040738C" w:rsidRDefault="00CB2A09" w:rsidP="00CD70B0">
            <w:pPr>
              <w:rPr>
                <w:sz w:val="22"/>
              </w:rPr>
            </w:pPr>
            <w:r w:rsidRPr="0040738C">
              <w:rPr>
                <w:sz w:val="22"/>
              </w:rPr>
              <w:t>Poruchy imunitného systému</w:t>
            </w:r>
          </w:p>
        </w:tc>
        <w:tc>
          <w:tcPr>
            <w:tcW w:w="2999" w:type="dxa"/>
          </w:tcPr>
          <w:p w14:paraId="56FEA4F8" w14:textId="77777777" w:rsidR="00CB2A09" w:rsidRPr="0040738C" w:rsidRDefault="00CB2A09" w:rsidP="00CD70B0">
            <w:pPr>
              <w:rPr>
                <w:sz w:val="22"/>
              </w:rPr>
            </w:pPr>
          </w:p>
        </w:tc>
        <w:tc>
          <w:tcPr>
            <w:tcW w:w="3167" w:type="dxa"/>
          </w:tcPr>
          <w:p w14:paraId="020B9444" w14:textId="77777777" w:rsidR="00CB2A09" w:rsidRPr="0040738C" w:rsidRDefault="00FA7BF8" w:rsidP="00CD70B0">
            <w:pPr>
              <w:ind w:left="6480" w:hanging="6480"/>
              <w:rPr>
                <w:bCs/>
                <w:sz w:val="22"/>
              </w:rPr>
            </w:pPr>
            <w:r>
              <w:rPr>
                <w:bCs/>
                <w:sz w:val="22"/>
              </w:rPr>
              <w:t>Precitlivenosť</w:t>
            </w:r>
          </w:p>
          <w:p w14:paraId="1143A3D6" w14:textId="77777777" w:rsidR="00CB2A09" w:rsidRPr="0040738C" w:rsidRDefault="00CB2A09" w:rsidP="00CD70B0">
            <w:pPr>
              <w:rPr>
                <w:bCs/>
                <w:sz w:val="22"/>
              </w:rPr>
            </w:pPr>
            <w:proofErr w:type="spellStart"/>
            <w:r w:rsidRPr="0040738C">
              <w:rPr>
                <w:bCs/>
                <w:sz w:val="22"/>
              </w:rPr>
              <w:t>Anafylaktická</w:t>
            </w:r>
            <w:proofErr w:type="spellEnd"/>
            <w:r w:rsidRPr="0040738C">
              <w:rPr>
                <w:bCs/>
                <w:sz w:val="22"/>
              </w:rPr>
              <w:t xml:space="preserve"> reakcia</w:t>
            </w:r>
          </w:p>
          <w:p w14:paraId="6AF105E2" w14:textId="77777777" w:rsidR="00CB2A09" w:rsidRPr="0040738C" w:rsidRDefault="00CB2A09" w:rsidP="00CD70B0">
            <w:pPr>
              <w:rPr>
                <w:bCs/>
                <w:sz w:val="22"/>
              </w:rPr>
            </w:pPr>
            <w:proofErr w:type="spellStart"/>
            <w:r w:rsidRPr="0040738C">
              <w:rPr>
                <w:bCs/>
                <w:sz w:val="22"/>
              </w:rPr>
              <w:t>Anafylaktoidná</w:t>
            </w:r>
            <w:proofErr w:type="spellEnd"/>
            <w:r w:rsidRPr="0040738C">
              <w:rPr>
                <w:bCs/>
                <w:sz w:val="22"/>
              </w:rPr>
              <w:t xml:space="preserve"> reakcia</w:t>
            </w:r>
          </w:p>
          <w:p w14:paraId="3B7BA856" w14:textId="77777777" w:rsidR="00CB2A09" w:rsidRPr="0040738C" w:rsidRDefault="00CB2A09" w:rsidP="00CD70B0">
            <w:pPr>
              <w:rPr>
                <w:bCs/>
                <w:sz w:val="22"/>
              </w:rPr>
            </w:pPr>
            <w:proofErr w:type="spellStart"/>
            <w:r w:rsidRPr="0040738C">
              <w:rPr>
                <w:bCs/>
                <w:sz w:val="22"/>
              </w:rPr>
              <w:t>Anafylaktický</w:t>
            </w:r>
            <w:proofErr w:type="spellEnd"/>
            <w:r w:rsidRPr="0040738C">
              <w:rPr>
                <w:bCs/>
                <w:sz w:val="22"/>
              </w:rPr>
              <w:t xml:space="preserve"> šok</w:t>
            </w:r>
          </w:p>
          <w:p w14:paraId="11F5C10A" w14:textId="77777777" w:rsidR="00CB2A09" w:rsidRPr="0040738C" w:rsidRDefault="00CB2A09" w:rsidP="00CD70B0">
            <w:pPr>
              <w:rPr>
                <w:sz w:val="22"/>
              </w:rPr>
            </w:pPr>
            <w:proofErr w:type="spellStart"/>
            <w:r w:rsidRPr="0040738C">
              <w:rPr>
                <w:bCs/>
                <w:sz w:val="22"/>
              </w:rPr>
              <w:t>Anafylaktoidný</w:t>
            </w:r>
            <w:proofErr w:type="spellEnd"/>
            <w:r w:rsidRPr="0040738C">
              <w:rPr>
                <w:bCs/>
                <w:sz w:val="22"/>
              </w:rPr>
              <w:t xml:space="preserve"> šok</w:t>
            </w:r>
          </w:p>
        </w:tc>
      </w:tr>
      <w:tr w:rsidR="00CB2A09" w:rsidRPr="0040738C" w14:paraId="7E52B892" w14:textId="77777777" w:rsidTr="00DD73F9">
        <w:tc>
          <w:tcPr>
            <w:tcW w:w="2906" w:type="dxa"/>
          </w:tcPr>
          <w:p w14:paraId="131D7545" w14:textId="77777777" w:rsidR="00CB2A09" w:rsidRPr="0040738C" w:rsidRDefault="00CB2A09" w:rsidP="00CD70B0">
            <w:pPr>
              <w:rPr>
                <w:sz w:val="22"/>
              </w:rPr>
            </w:pPr>
            <w:r w:rsidRPr="0040738C">
              <w:rPr>
                <w:sz w:val="22"/>
              </w:rPr>
              <w:t>Poruchy nervového systému</w:t>
            </w:r>
          </w:p>
        </w:tc>
        <w:tc>
          <w:tcPr>
            <w:tcW w:w="2999" w:type="dxa"/>
          </w:tcPr>
          <w:p w14:paraId="6C28920F" w14:textId="77777777" w:rsidR="00CB2A09" w:rsidRPr="0040738C" w:rsidRDefault="00CB2A09" w:rsidP="00CD70B0">
            <w:pPr>
              <w:rPr>
                <w:sz w:val="22"/>
              </w:rPr>
            </w:pPr>
          </w:p>
        </w:tc>
        <w:tc>
          <w:tcPr>
            <w:tcW w:w="3167" w:type="dxa"/>
          </w:tcPr>
          <w:p w14:paraId="6B7839EA" w14:textId="150D9831" w:rsidR="00CB2A09" w:rsidRPr="0040738C" w:rsidRDefault="00347306" w:rsidP="00347306">
            <w:pPr>
              <w:rPr>
                <w:sz w:val="22"/>
              </w:rPr>
            </w:pPr>
            <w:r>
              <w:rPr>
                <w:sz w:val="22"/>
              </w:rPr>
              <w:t>Ochabnutá</w:t>
            </w:r>
            <w:r w:rsidR="00CB2A09" w:rsidRPr="0040738C">
              <w:rPr>
                <w:sz w:val="22"/>
              </w:rPr>
              <w:t xml:space="preserve"> paralýza</w:t>
            </w:r>
          </w:p>
        </w:tc>
      </w:tr>
      <w:tr w:rsidR="00CB2A09" w:rsidRPr="0040738C" w14:paraId="3CA177B8" w14:textId="77777777" w:rsidTr="00DD73F9">
        <w:tc>
          <w:tcPr>
            <w:tcW w:w="2906" w:type="dxa"/>
          </w:tcPr>
          <w:p w14:paraId="467FAEE7" w14:textId="77777777" w:rsidR="00CB2A09" w:rsidRPr="0040738C" w:rsidRDefault="00CB2A09" w:rsidP="00CD70B0">
            <w:pPr>
              <w:rPr>
                <w:sz w:val="22"/>
              </w:rPr>
            </w:pPr>
            <w:r w:rsidRPr="0040738C">
              <w:rPr>
                <w:sz w:val="22"/>
              </w:rPr>
              <w:t>Poruchy srdca</w:t>
            </w:r>
            <w:r w:rsidR="001401A3">
              <w:rPr>
                <w:sz w:val="22"/>
              </w:rPr>
              <w:t xml:space="preserve"> a srdcovej činnosti</w:t>
            </w:r>
          </w:p>
        </w:tc>
        <w:tc>
          <w:tcPr>
            <w:tcW w:w="2999" w:type="dxa"/>
          </w:tcPr>
          <w:p w14:paraId="2B65A31E" w14:textId="77777777" w:rsidR="00CB2A09" w:rsidRPr="0040738C" w:rsidRDefault="00CB2A09" w:rsidP="00CD70B0">
            <w:pPr>
              <w:rPr>
                <w:sz w:val="22"/>
              </w:rPr>
            </w:pPr>
            <w:proofErr w:type="spellStart"/>
            <w:r w:rsidRPr="0040738C">
              <w:rPr>
                <w:bCs/>
                <w:sz w:val="22"/>
              </w:rPr>
              <w:t>Tachykardia</w:t>
            </w:r>
            <w:proofErr w:type="spellEnd"/>
          </w:p>
        </w:tc>
        <w:tc>
          <w:tcPr>
            <w:tcW w:w="3167" w:type="dxa"/>
          </w:tcPr>
          <w:p w14:paraId="752F8F82" w14:textId="77777777" w:rsidR="00CB2A09" w:rsidRPr="0040738C" w:rsidRDefault="00CB2A09" w:rsidP="00CD70B0">
            <w:pPr>
              <w:rPr>
                <w:sz w:val="22"/>
              </w:rPr>
            </w:pPr>
          </w:p>
        </w:tc>
      </w:tr>
      <w:tr w:rsidR="00CB2A09" w:rsidRPr="0040738C" w14:paraId="20D5389C" w14:textId="77777777" w:rsidTr="00DD73F9">
        <w:tc>
          <w:tcPr>
            <w:tcW w:w="2906" w:type="dxa"/>
          </w:tcPr>
          <w:p w14:paraId="197AB3AD" w14:textId="5CC7DABF" w:rsidR="00CB2A09" w:rsidRPr="0040738C" w:rsidRDefault="001401A3" w:rsidP="00CD70B0">
            <w:pPr>
              <w:rPr>
                <w:sz w:val="22"/>
              </w:rPr>
            </w:pPr>
            <w:r>
              <w:rPr>
                <w:sz w:val="22"/>
              </w:rPr>
              <w:t>Poruchy c</w:t>
            </w:r>
            <w:r w:rsidR="00CB2A09" w:rsidRPr="0040738C">
              <w:rPr>
                <w:sz w:val="22"/>
              </w:rPr>
              <w:t>iev</w:t>
            </w:r>
          </w:p>
        </w:tc>
        <w:tc>
          <w:tcPr>
            <w:tcW w:w="2999" w:type="dxa"/>
          </w:tcPr>
          <w:p w14:paraId="134BA18F" w14:textId="77777777" w:rsidR="00CB2A09" w:rsidRPr="0040738C" w:rsidRDefault="00CB2A09" w:rsidP="00CD70B0">
            <w:pPr>
              <w:rPr>
                <w:sz w:val="22"/>
              </w:rPr>
            </w:pPr>
            <w:r w:rsidRPr="0040738C">
              <w:rPr>
                <w:bCs/>
                <w:sz w:val="22"/>
              </w:rPr>
              <w:t>Hypotenzia</w:t>
            </w:r>
          </w:p>
        </w:tc>
        <w:tc>
          <w:tcPr>
            <w:tcW w:w="3167" w:type="dxa"/>
          </w:tcPr>
          <w:p w14:paraId="578196C8" w14:textId="7A1FC06D" w:rsidR="00CB2A09" w:rsidRPr="0040738C" w:rsidRDefault="00FA7BF8" w:rsidP="00CD70B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Kolaps c</w:t>
            </w:r>
            <w:r w:rsidR="00CB2A09" w:rsidRPr="0040738C">
              <w:rPr>
                <w:bCs/>
                <w:sz w:val="22"/>
              </w:rPr>
              <w:t>irkul</w:t>
            </w:r>
            <w:r>
              <w:rPr>
                <w:bCs/>
                <w:sz w:val="22"/>
              </w:rPr>
              <w:t>ácie</w:t>
            </w:r>
            <w:r w:rsidR="00CB2A09" w:rsidRPr="0040738C">
              <w:rPr>
                <w:bCs/>
                <w:sz w:val="22"/>
              </w:rPr>
              <w:t xml:space="preserve"> a šok</w:t>
            </w:r>
          </w:p>
          <w:p w14:paraId="21825A77" w14:textId="2F261D25" w:rsidR="00CB2A09" w:rsidRPr="0040738C" w:rsidRDefault="00EC3B1B" w:rsidP="00CD70B0">
            <w:pPr>
              <w:rPr>
                <w:sz w:val="22"/>
              </w:rPr>
            </w:pPr>
            <w:r>
              <w:rPr>
                <w:bCs/>
                <w:sz w:val="22"/>
              </w:rPr>
              <w:t>Sčervenanie</w:t>
            </w:r>
          </w:p>
        </w:tc>
      </w:tr>
      <w:tr w:rsidR="00CB2A09" w:rsidRPr="0040738C" w14:paraId="28908123" w14:textId="77777777" w:rsidTr="00DD73F9">
        <w:tc>
          <w:tcPr>
            <w:tcW w:w="2906" w:type="dxa"/>
          </w:tcPr>
          <w:p w14:paraId="2EE9870C" w14:textId="77777777" w:rsidR="00CB2A09" w:rsidRPr="0040738C" w:rsidRDefault="00CB2A09" w:rsidP="00CD70B0">
            <w:pPr>
              <w:rPr>
                <w:sz w:val="22"/>
              </w:rPr>
            </w:pPr>
            <w:r w:rsidRPr="0040738C">
              <w:rPr>
                <w:sz w:val="22"/>
              </w:rPr>
              <w:t xml:space="preserve">Poruchy dýchacej sústavy, hrudníka a </w:t>
            </w:r>
            <w:proofErr w:type="spellStart"/>
            <w:r w:rsidRPr="0040738C">
              <w:rPr>
                <w:sz w:val="22"/>
              </w:rPr>
              <w:t>mediastína</w:t>
            </w:r>
            <w:proofErr w:type="spellEnd"/>
          </w:p>
        </w:tc>
        <w:tc>
          <w:tcPr>
            <w:tcW w:w="2999" w:type="dxa"/>
          </w:tcPr>
          <w:p w14:paraId="4FEEB10C" w14:textId="77777777" w:rsidR="00CB2A09" w:rsidRPr="0040738C" w:rsidRDefault="00CB2A09" w:rsidP="00CD70B0">
            <w:pPr>
              <w:rPr>
                <w:sz w:val="22"/>
              </w:rPr>
            </w:pPr>
          </w:p>
        </w:tc>
        <w:tc>
          <w:tcPr>
            <w:tcW w:w="3167" w:type="dxa"/>
          </w:tcPr>
          <w:p w14:paraId="130B0376" w14:textId="6438DE8B" w:rsidR="00CB2A09" w:rsidRPr="0040738C" w:rsidRDefault="00CB2A09" w:rsidP="00CD70B0">
            <w:pPr>
              <w:rPr>
                <w:sz w:val="22"/>
              </w:rPr>
            </w:pPr>
            <w:proofErr w:type="spellStart"/>
            <w:r w:rsidRPr="0040738C">
              <w:rPr>
                <w:bCs/>
                <w:sz w:val="22"/>
              </w:rPr>
              <w:t>Bronchospazmus</w:t>
            </w:r>
            <w:proofErr w:type="spellEnd"/>
          </w:p>
        </w:tc>
      </w:tr>
      <w:tr w:rsidR="00CB2A09" w:rsidRPr="0040738C" w14:paraId="73E0F384" w14:textId="77777777" w:rsidTr="00DD73F9">
        <w:tc>
          <w:tcPr>
            <w:tcW w:w="2906" w:type="dxa"/>
          </w:tcPr>
          <w:p w14:paraId="4AB6E931" w14:textId="77777777" w:rsidR="00CB2A09" w:rsidRPr="0040738C" w:rsidRDefault="00CB2A09" w:rsidP="00CD70B0">
            <w:pPr>
              <w:rPr>
                <w:sz w:val="22"/>
              </w:rPr>
            </w:pPr>
            <w:r w:rsidRPr="0040738C">
              <w:rPr>
                <w:sz w:val="22"/>
              </w:rPr>
              <w:t>Poruchy kože a podkožného tkaniva</w:t>
            </w:r>
          </w:p>
        </w:tc>
        <w:tc>
          <w:tcPr>
            <w:tcW w:w="2999" w:type="dxa"/>
          </w:tcPr>
          <w:p w14:paraId="661CCF98" w14:textId="77777777" w:rsidR="00CB2A09" w:rsidRPr="0040738C" w:rsidRDefault="00CB2A09" w:rsidP="00CD70B0">
            <w:pPr>
              <w:rPr>
                <w:sz w:val="22"/>
              </w:rPr>
            </w:pPr>
          </w:p>
        </w:tc>
        <w:tc>
          <w:tcPr>
            <w:tcW w:w="3167" w:type="dxa"/>
          </w:tcPr>
          <w:p w14:paraId="7A54EF67" w14:textId="74BE6CFC" w:rsidR="00CB2A09" w:rsidRPr="0040738C" w:rsidRDefault="00CB2A09" w:rsidP="00CD70B0">
            <w:pPr>
              <w:rPr>
                <w:bCs/>
                <w:sz w:val="22"/>
              </w:rPr>
            </w:pPr>
            <w:proofErr w:type="spellStart"/>
            <w:r w:rsidRPr="0040738C">
              <w:rPr>
                <w:bCs/>
                <w:sz w:val="22"/>
              </w:rPr>
              <w:t>Angio</w:t>
            </w:r>
            <w:r w:rsidR="00EC3B1B">
              <w:rPr>
                <w:bCs/>
                <w:sz w:val="22"/>
              </w:rPr>
              <w:t>neurotický</w:t>
            </w:r>
            <w:proofErr w:type="spellEnd"/>
            <w:r w:rsidR="00EC3B1B">
              <w:rPr>
                <w:bCs/>
                <w:sz w:val="22"/>
              </w:rPr>
              <w:t xml:space="preserve"> </w:t>
            </w:r>
            <w:r w:rsidR="00FA7BF8">
              <w:rPr>
                <w:bCs/>
                <w:sz w:val="22"/>
              </w:rPr>
              <w:t>edém</w:t>
            </w:r>
          </w:p>
          <w:p w14:paraId="277145EB" w14:textId="77777777" w:rsidR="00CB2A09" w:rsidRPr="0040738C" w:rsidRDefault="00CB2A09" w:rsidP="00CD70B0">
            <w:pPr>
              <w:rPr>
                <w:bCs/>
                <w:sz w:val="22"/>
              </w:rPr>
            </w:pPr>
            <w:r w:rsidRPr="0040738C">
              <w:rPr>
                <w:bCs/>
                <w:sz w:val="22"/>
              </w:rPr>
              <w:t>Žihľavka</w:t>
            </w:r>
          </w:p>
          <w:p w14:paraId="3F9419D2" w14:textId="56305880" w:rsidR="00CB2A09" w:rsidRPr="0040738C" w:rsidRDefault="00CB2A09" w:rsidP="00CD70B0">
            <w:pPr>
              <w:rPr>
                <w:bCs/>
                <w:sz w:val="22"/>
              </w:rPr>
            </w:pPr>
            <w:r w:rsidRPr="0040738C">
              <w:rPr>
                <w:bCs/>
                <w:sz w:val="22"/>
              </w:rPr>
              <w:t>Vyrážk</w:t>
            </w:r>
            <w:r w:rsidR="00FA7BF8">
              <w:rPr>
                <w:bCs/>
                <w:sz w:val="22"/>
              </w:rPr>
              <w:t>a</w:t>
            </w:r>
          </w:p>
          <w:p w14:paraId="2FAF51C6" w14:textId="77777777" w:rsidR="00CB2A09" w:rsidRPr="0040738C" w:rsidRDefault="00FA7BF8" w:rsidP="00CD70B0">
            <w:pPr>
              <w:rPr>
                <w:sz w:val="22"/>
              </w:rPr>
            </w:pPr>
            <w:proofErr w:type="spellStart"/>
            <w:r>
              <w:rPr>
                <w:bCs/>
                <w:sz w:val="22"/>
              </w:rPr>
              <w:t>Erytematózna</w:t>
            </w:r>
            <w:proofErr w:type="spellEnd"/>
            <w:r w:rsidR="00E17BAA">
              <w:rPr>
                <w:bCs/>
                <w:sz w:val="22"/>
              </w:rPr>
              <w:t xml:space="preserve"> </w:t>
            </w:r>
            <w:r w:rsidR="00CB2A09" w:rsidRPr="0040738C">
              <w:rPr>
                <w:bCs/>
                <w:sz w:val="22"/>
              </w:rPr>
              <w:t>vyrážk</w:t>
            </w:r>
            <w:r>
              <w:rPr>
                <w:bCs/>
                <w:sz w:val="22"/>
              </w:rPr>
              <w:t>a</w:t>
            </w:r>
          </w:p>
        </w:tc>
      </w:tr>
      <w:tr w:rsidR="00CB2A09" w:rsidRPr="0040738C" w14:paraId="31C9FE73" w14:textId="77777777" w:rsidTr="00DD73F9">
        <w:tc>
          <w:tcPr>
            <w:tcW w:w="2906" w:type="dxa"/>
          </w:tcPr>
          <w:p w14:paraId="17EAFFF3" w14:textId="3C60F533" w:rsidR="00CB2A09" w:rsidRPr="0040738C" w:rsidRDefault="00CB2A09" w:rsidP="00CD70B0">
            <w:pPr>
              <w:rPr>
                <w:sz w:val="22"/>
              </w:rPr>
            </w:pPr>
            <w:r w:rsidRPr="0040738C">
              <w:rPr>
                <w:sz w:val="22"/>
              </w:rPr>
              <w:t>Poruchy kostrov</w:t>
            </w:r>
            <w:r w:rsidR="00EC3B1B">
              <w:rPr>
                <w:sz w:val="22"/>
              </w:rPr>
              <w:t>ej a </w:t>
            </w:r>
            <w:r w:rsidRPr="0040738C">
              <w:rPr>
                <w:sz w:val="22"/>
              </w:rPr>
              <w:t>sval</w:t>
            </w:r>
            <w:r w:rsidR="00EC3B1B">
              <w:rPr>
                <w:sz w:val="22"/>
              </w:rPr>
              <w:t>ovej sústavy a</w:t>
            </w:r>
            <w:r w:rsidRPr="0040738C">
              <w:rPr>
                <w:sz w:val="22"/>
              </w:rPr>
              <w:t xml:space="preserve"> spojivov</w:t>
            </w:r>
            <w:r w:rsidR="00EC3B1B">
              <w:rPr>
                <w:sz w:val="22"/>
              </w:rPr>
              <w:t>é</w:t>
            </w:r>
            <w:r w:rsidRPr="0040738C">
              <w:rPr>
                <w:sz w:val="22"/>
              </w:rPr>
              <w:t>h</w:t>
            </w:r>
            <w:r w:rsidR="00EC3B1B">
              <w:rPr>
                <w:sz w:val="22"/>
              </w:rPr>
              <w:t>o</w:t>
            </w:r>
            <w:r w:rsidRPr="0040738C">
              <w:rPr>
                <w:sz w:val="22"/>
              </w:rPr>
              <w:t xml:space="preserve"> tkan</w:t>
            </w:r>
            <w:r w:rsidR="00EC3B1B">
              <w:rPr>
                <w:sz w:val="22"/>
              </w:rPr>
              <w:t>i</w:t>
            </w:r>
            <w:r w:rsidRPr="0040738C">
              <w:rPr>
                <w:sz w:val="22"/>
              </w:rPr>
              <w:t>va</w:t>
            </w:r>
          </w:p>
        </w:tc>
        <w:tc>
          <w:tcPr>
            <w:tcW w:w="2999" w:type="dxa"/>
          </w:tcPr>
          <w:p w14:paraId="2D69BD75" w14:textId="77777777" w:rsidR="00CB2A09" w:rsidRPr="0040738C" w:rsidRDefault="00CB2A09" w:rsidP="00CD70B0">
            <w:pPr>
              <w:rPr>
                <w:sz w:val="22"/>
              </w:rPr>
            </w:pPr>
          </w:p>
        </w:tc>
        <w:tc>
          <w:tcPr>
            <w:tcW w:w="3167" w:type="dxa"/>
          </w:tcPr>
          <w:p w14:paraId="4C96037A" w14:textId="5A1F2124" w:rsidR="00CB2A09" w:rsidRPr="0040738C" w:rsidRDefault="00CB2A09" w:rsidP="00CD70B0">
            <w:pPr>
              <w:pStyle w:val="Nadpis1"/>
              <w:jc w:val="left"/>
              <w:rPr>
                <w:b w:val="0"/>
                <w:bCs/>
                <w:sz w:val="22"/>
              </w:rPr>
            </w:pPr>
            <w:r w:rsidRPr="0040738C">
              <w:rPr>
                <w:b w:val="0"/>
                <w:bCs/>
                <w:sz w:val="22"/>
              </w:rPr>
              <w:t>Svalová slabosť</w:t>
            </w:r>
            <w:r w:rsidR="00FA7BF8">
              <w:rPr>
                <w:b w:val="0"/>
                <w:bCs/>
                <w:sz w:val="22"/>
                <w:vertAlign w:val="superscript"/>
              </w:rPr>
              <w:t>3</w:t>
            </w:r>
          </w:p>
          <w:p w14:paraId="32102E39" w14:textId="72781D34" w:rsidR="00CB2A09" w:rsidRPr="0040738C" w:rsidRDefault="00CB2A09" w:rsidP="00CD70B0">
            <w:pPr>
              <w:rPr>
                <w:sz w:val="22"/>
              </w:rPr>
            </w:pPr>
            <w:proofErr w:type="spellStart"/>
            <w:r w:rsidRPr="0040738C">
              <w:rPr>
                <w:bCs/>
                <w:sz w:val="22"/>
              </w:rPr>
              <w:t>Steroid</w:t>
            </w:r>
            <w:r w:rsidR="00E17BAA">
              <w:rPr>
                <w:bCs/>
                <w:sz w:val="22"/>
              </w:rPr>
              <w:t>ov</w:t>
            </w:r>
            <w:r w:rsidRPr="0040738C">
              <w:rPr>
                <w:bCs/>
                <w:sz w:val="22"/>
              </w:rPr>
              <w:t>á</w:t>
            </w:r>
            <w:proofErr w:type="spellEnd"/>
            <w:r w:rsidRPr="0040738C">
              <w:rPr>
                <w:bCs/>
                <w:sz w:val="22"/>
              </w:rPr>
              <w:t xml:space="preserve"> myopatia</w:t>
            </w:r>
            <w:r w:rsidR="00FA7BF8">
              <w:rPr>
                <w:bCs/>
                <w:sz w:val="22"/>
                <w:vertAlign w:val="superscript"/>
              </w:rPr>
              <w:t>3</w:t>
            </w:r>
          </w:p>
        </w:tc>
      </w:tr>
      <w:tr w:rsidR="00CB2A09" w:rsidRPr="0040738C" w14:paraId="2F9BE4C2" w14:textId="77777777" w:rsidTr="00DD73F9">
        <w:tc>
          <w:tcPr>
            <w:tcW w:w="2906" w:type="dxa"/>
          </w:tcPr>
          <w:p w14:paraId="2D334F08" w14:textId="05054AE1" w:rsidR="00CB2A09" w:rsidRPr="0040738C" w:rsidRDefault="00CB2A09" w:rsidP="00CD70B0">
            <w:pPr>
              <w:rPr>
                <w:sz w:val="22"/>
              </w:rPr>
            </w:pPr>
            <w:r w:rsidRPr="0040738C">
              <w:rPr>
                <w:sz w:val="22"/>
              </w:rPr>
              <w:t>Celkové poruchy a reakcie v</w:t>
            </w:r>
            <w:r w:rsidR="001401A3">
              <w:rPr>
                <w:sz w:val="22"/>
              </w:rPr>
              <w:t> </w:t>
            </w:r>
            <w:r w:rsidRPr="0040738C">
              <w:rPr>
                <w:sz w:val="22"/>
              </w:rPr>
              <w:t>mieste podania</w:t>
            </w:r>
          </w:p>
        </w:tc>
        <w:tc>
          <w:tcPr>
            <w:tcW w:w="2999" w:type="dxa"/>
          </w:tcPr>
          <w:p w14:paraId="246BA3CD" w14:textId="77777777" w:rsidR="00CB2A09" w:rsidRPr="0040738C" w:rsidRDefault="00CB2A09" w:rsidP="00CD70B0">
            <w:pPr>
              <w:rPr>
                <w:sz w:val="22"/>
              </w:rPr>
            </w:pPr>
            <w:r w:rsidRPr="0040738C">
              <w:rPr>
                <w:sz w:val="22"/>
              </w:rPr>
              <w:t>Neúčinnosť lieku</w:t>
            </w:r>
          </w:p>
          <w:p w14:paraId="5077A44C" w14:textId="37165E4C" w:rsidR="00CB2A09" w:rsidRPr="0040738C" w:rsidRDefault="00CB2A09" w:rsidP="00CD70B0">
            <w:pPr>
              <w:rPr>
                <w:sz w:val="22"/>
              </w:rPr>
            </w:pPr>
            <w:r w:rsidRPr="0040738C">
              <w:rPr>
                <w:sz w:val="22"/>
              </w:rPr>
              <w:t>Znížený účinok lieku/ terapeutick</w:t>
            </w:r>
            <w:r w:rsidR="00FA7BF8">
              <w:rPr>
                <w:sz w:val="22"/>
              </w:rPr>
              <w:t>ej</w:t>
            </w:r>
            <w:r w:rsidRPr="0040738C">
              <w:rPr>
                <w:sz w:val="22"/>
              </w:rPr>
              <w:t xml:space="preserve"> odpove</w:t>
            </w:r>
            <w:r w:rsidR="00FA7BF8">
              <w:rPr>
                <w:sz w:val="22"/>
              </w:rPr>
              <w:t>de</w:t>
            </w:r>
          </w:p>
          <w:p w14:paraId="18E6D3A0" w14:textId="77777777" w:rsidR="00CB2A09" w:rsidRPr="0040738C" w:rsidRDefault="00CB2A09" w:rsidP="00CD70B0">
            <w:pPr>
              <w:rPr>
                <w:sz w:val="22"/>
              </w:rPr>
            </w:pPr>
            <w:r w:rsidRPr="0040738C">
              <w:rPr>
                <w:sz w:val="22"/>
              </w:rPr>
              <w:t>Zvýšený účinok lieku / terapeutickej odpovede</w:t>
            </w:r>
          </w:p>
          <w:p w14:paraId="4D77E5FF" w14:textId="7E3C23FA" w:rsidR="00CB2A09" w:rsidRPr="0040738C" w:rsidRDefault="00CB2A09" w:rsidP="00CD70B0">
            <w:pPr>
              <w:rPr>
                <w:sz w:val="22"/>
              </w:rPr>
            </w:pPr>
            <w:r w:rsidRPr="0040738C">
              <w:rPr>
                <w:sz w:val="22"/>
              </w:rPr>
              <w:t xml:space="preserve">Bolesť v mieste podania Reakcia v mieste podania </w:t>
            </w:r>
          </w:p>
        </w:tc>
        <w:tc>
          <w:tcPr>
            <w:tcW w:w="3167" w:type="dxa"/>
          </w:tcPr>
          <w:p w14:paraId="0BBF40BB" w14:textId="77777777" w:rsidR="00CB2A09" w:rsidRDefault="00CB2A09" w:rsidP="00CD70B0">
            <w:pPr>
              <w:rPr>
                <w:sz w:val="22"/>
              </w:rPr>
            </w:pPr>
            <w:r w:rsidRPr="0040738C">
              <w:rPr>
                <w:sz w:val="22"/>
              </w:rPr>
              <w:t>Opuch tváre</w:t>
            </w:r>
          </w:p>
          <w:p w14:paraId="4322F849" w14:textId="77777777" w:rsidR="00706044" w:rsidRPr="0040738C" w:rsidRDefault="00706044" w:rsidP="00CD70B0">
            <w:pPr>
              <w:rPr>
                <w:sz w:val="22"/>
              </w:rPr>
            </w:pPr>
            <w:r w:rsidRPr="006079D0">
              <w:rPr>
                <w:sz w:val="22"/>
              </w:rPr>
              <w:t xml:space="preserve">Malígna </w:t>
            </w:r>
            <w:proofErr w:type="spellStart"/>
            <w:r w:rsidRPr="006079D0">
              <w:rPr>
                <w:sz w:val="22"/>
              </w:rPr>
              <w:t>hypertermia</w:t>
            </w:r>
            <w:proofErr w:type="spellEnd"/>
          </w:p>
        </w:tc>
      </w:tr>
      <w:tr w:rsidR="00CB2A09" w:rsidRPr="0040738C" w14:paraId="2E38712F" w14:textId="77777777" w:rsidTr="00DD73F9">
        <w:tc>
          <w:tcPr>
            <w:tcW w:w="2906" w:type="dxa"/>
          </w:tcPr>
          <w:p w14:paraId="0AA3B0F5" w14:textId="643D29AD" w:rsidR="00CB2A09" w:rsidRPr="0040738C" w:rsidRDefault="00CB2A09" w:rsidP="00DD73F9">
            <w:pPr>
              <w:keepNext/>
              <w:rPr>
                <w:sz w:val="22"/>
              </w:rPr>
            </w:pPr>
            <w:r w:rsidRPr="0040738C">
              <w:rPr>
                <w:sz w:val="22"/>
              </w:rPr>
              <w:lastRenderedPageBreak/>
              <w:t>Úrazy</w:t>
            </w:r>
            <w:r w:rsidR="000D6792">
              <w:rPr>
                <w:sz w:val="22"/>
              </w:rPr>
              <w:t xml:space="preserve">, </w:t>
            </w:r>
            <w:r w:rsidRPr="0040738C">
              <w:rPr>
                <w:sz w:val="22"/>
              </w:rPr>
              <w:t>otravy</w:t>
            </w:r>
            <w:r w:rsidR="000D6792">
              <w:rPr>
                <w:sz w:val="22"/>
              </w:rPr>
              <w:t xml:space="preserve"> a komplikácie liečebného postupu</w:t>
            </w:r>
          </w:p>
        </w:tc>
        <w:tc>
          <w:tcPr>
            <w:tcW w:w="2999" w:type="dxa"/>
          </w:tcPr>
          <w:p w14:paraId="44C86F9C" w14:textId="77777777" w:rsidR="00CB2A09" w:rsidRPr="0040738C" w:rsidRDefault="00CB2A09" w:rsidP="00DD73F9">
            <w:pPr>
              <w:keepNext/>
              <w:rPr>
                <w:sz w:val="22"/>
              </w:rPr>
            </w:pPr>
            <w:r w:rsidRPr="0040738C">
              <w:rPr>
                <w:sz w:val="22"/>
              </w:rPr>
              <w:t xml:space="preserve">Predĺžená </w:t>
            </w:r>
            <w:proofErr w:type="spellStart"/>
            <w:r w:rsidRPr="0040738C">
              <w:rPr>
                <w:sz w:val="22"/>
              </w:rPr>
              <w:t>nervovosvalová</w:t>
            </w:r>
            <w:proofErr w:type="spellEnd"/>
            <w:r w:rsidRPr="0040738C">
              <w:rPr>
                <w:sz w:val="22"/>
              </w:rPr>
              <w:t xml:space="preserve"> blokáda</w:t>
            </w:r>
          </w:p>
          <w:p w14:paraId="586E8DE2" w14:textId="1974B56E" w:rsidR="00CB2A09" w:rsidRPr="0040738C" w:rsidRDefault="00CB2A09" w:rsidP="00DD73F9">
            <w:pPr>
              <w:keepNext/>
              <w:rPr>
                <w:sz w:val="22"/>
              </w:rPr>
            </w:pPr>
            <w:r w:rsidRPr="0040738C">
              <w:rPr>
                <w:sz w:val="22"/>
              </w:rPr>
              <w:t xml:space="preserve">Oneskorené </w:t>
            </w:r>
            <w:proofErr w:type="spellStart"/>
            <w:r w:rsidR="00E04A62">
              <w:rPr>
                <w:sz w:val="22"/>
              </w:rPr>
              <w:t>odoznenie</w:t>
            </w:r>
            <w:proofErr w:type="spellEnd"/>
            <w:r w:rsidR="00FA7BF8">
              <w:rPr>
                <w:sz w:val="22"/>
              </w:rPr>
              <w:t> </w:t>
            </w:r>
            <w:r w:rsidRPr="0040738C">
              <w:rPr>
                <w:sz w:val="22"/>
              </w:rPr>
              <w:t>anestézie</w:t>
            </w:r>
          </w:p>
        </w:tc>
        <w:tc>
          <w:tcPr>
            <w:tcW w:w="3167" w:type="dxa"/>
          </w:tcPr>
          <w:p w14:paraId="24460B9E" w14:textId="2D60FFCC" w:rsidR="00CB2A09" w:rsidRPr="0040738C" w:rsidRDefault="00CB2A09" w:rsidP="00DD73F9">
            <w:pPr>
              <w:keepNext/>
              <w:rPr>
                <w:sz w:val="22"/>
              </w:rPr>
            </w:pPr>
            <w:r w:rsidRPr="0040738C">
              <w:rPr>
                <w:sz w:val="22"/>
              </w:rPr>
              <w:t xml:space="preserve">Ťažkosti </w:t>
            </w:r>
            <w:r w:rsidR="00776525">
              <w:rPr>
                <w:sz w:val="22"/>
              </w:rPr>
              <w:t>s</w:t>
            </w:r>
            <w:r w:rsidRPr="0040738C">
              <w:rPr>
                <w:sz w:val="22"/>
              </w:rPr>
              <w:t xml:space="preserve"> priechodnos</w:t>
            </w:r>
            <w:r w:rsidR="00776525">
              <w:rPr>
                <w:sz w:val="22"/>
              </w:rPr>
              <w:t>ťou</w:t>
            </w:r>
            <w:r w:rsidRPr="0040738C">
              <w:rPr>
                <w:sz w:val="22"/>
              </w:rPr>
              <w:t xml:space="preserve"> dýchacích ciest počas anestézie</w:t>
            </w:r>
          </w:p>
        </w:tc>
      </w:tr>
    </w:tbl>
    <w:p w14:paraId="465AE82C" w14:textId="7D420FD8" w:rsidR="00CB2A09" w:rsidRPr="0040738C" w:rsidRDefault="00CB2A09" w:rsidP="00CD70B0">
      <w:pPr>
        <w:rPr>
          <w:bCs/>
          <w:sz w:val="18"/>
        </w:rPr>
      </w:pPr>
      <w:proofErr w:type="spellStart"/>
      <w:r w:rsidRPr="0040738C">
        <w:rPr>
          <w:bCs/>
          <w:sz w:val="18"/>
        </w:rPr>
        <w:t>MedDRA</w:t>
      </w:r>
      <w:proofErr w:type="spellEnd"/>
      <w:r w:rsidRPr="0040738C">
        <w:rPr>
          <w:bCs/>
          <w:sz w:val="18"/>
        </w:rPr>
        <w:t xml:space="preserve"> verzia 8.1</w:t>
      </w:r>
    </w:p>
    <w:p w14:paraId="2889C07E" w14:textId="77777777" w:rsidR="00CB2A09" w:rsidRPr="0040738C" w:rsidRDefault="00CB2A09" w:rsidP="00CD70B0">
      <w:pPr>
        <w:rPr>
          <w:bCs/>
          <w:sz w:val="22"/>
        </w:rPr>
      </w:pPr>
    </w:p>
    <w:p w14:paraId="47AA79D0" w14:textId="4207E085" w:rsidR="00CB2A09" w:rsidRPr="0040738C" w:rsidRDefault="00FA7BF8" w:rsidP="00CD70B0">
      <w:pPr>
        <w:ind w:left="180" w:hanging="180"/>
        <w:rPr>
          <w:bCs/>
          <w:sz w:val="22"/>
        </w:rPr>
      </w:pPr>
      <w:r>
        <w:rPr>
          <w:bCs/>
          <w:sz w:val="22"/>
          <w:vertAlign w:val="superscript"/>
        </w:rPr>
        <w:t>1</w:t>
      </w:r>
      <w:r>
        <w:rPr>
          <w:bCs/>
          <w:sz w:val="22"/>
          <w:vertAlign w:val="superscript"/>
        </w:rPr>
        <w:tab/>
      </w:r>
      <w:r w:rsidR="00CB2A09" w:rsidRPr="0040738C">
        <w:rPr>
          <w:bCs/>
          <w:sz w:val="22"/>
        </w:rPr>
        <w:t>Frekvencie s</w:t>
      </w:r>
      <w:r>
        <w:rPr>
          <w:bCs/>
          <w:sz w:val="22"/>
        </w:rPr>
        <w:t>ú</w:t>
      </w:r>
      <w:r w:rsidR="00CB2A09" w:rsidRPr="0040738C">
        <w:rPr>
          <w:bCs/>
          <w:sz w:val="22"/>
        </w:rPr>
        <w:t xml:space="preserve"> </w:t>
      </w:r>
      <w:r>
        <w:rPr>
          <w:bCs/>
          <w:sz w:val="22"/>
        </w:rPr>
        <w:t>odhadmi</w:t>
      </w:r>
      <w:r w:rsidR="00CB2A09" w:rsidRPr="0040738C">
        <w:rPr>
          <w:bCs/>
          <w:sz w:val="22"/>
        </w:rPr>
        <w:t xml:space="preserve"> </w:t>
      </w:r>
      <w:r>
        <w:rPr>
          <w:bCs/>
          <w:sz w:val="22"/>
        </w:rPr>
        <w:t>vyvodený</w:t>
      </w:r>
      <w:r w:rsidR="0024628E">
        <w:rPr>
          <w:bCs/>
          <w:sz w:val="22"/>
        </w:rPr>
        <w:t>mi</w:t>
      </w:r>
      <w:r>
        <w:rPr>
          <w:bCs/>
          <w:sz w:val="22"/>
        </w:rPr>
        <w:t xml:space="preserve"> </w:t>
      </w:r>
      <w:r w:rsidR="00CB2A09" w:rsidRPr="0040738C">
        <w:rPr>
          <w:bCs/>
          <w:sz w:val="22"/>
        </w:rPr>
        <w:t>z údajov získaných z</w:t>
      </w:r>
      <w:r>
        <w:rPr>
          <w:bCs/>
          <w:sz w:val="22"/>
        </w:rPr>
        <w:t>o</w:t>
      </w:r>
      <w:r w:rsidR="00CB2A09" w:rsidRPr="0040738C">
        <w:rPr>
          <w:bCs/>
          <w:sz w:val="22"/>
        </w:rPr>
        <w:t> </w:t>
      </w:r>
      <w:r>
        <w:rPr>
          <w:bCs/>
          <w:sz w:val="22"/>
        </w:rPr>
        <w:t xml:space="preserve">sledovania po uvedení lieku na trh </w:t>
      </w:r>
      <w:r w:rsidR="00CB2A09" w:rsidRPr="0040738C">
        <w:rPr>
          <w:bCs/>
          <w:sz w:val="22"/>
        </w:rPr>
        <w:t>a</w:t>
      </w:r>
      <w:r>
        <w:rPr>
          <w:bCs/>
          <w:sz w:val="22"/>
        </w:rPr>
        <w:t> </w:t>
      </w:r>
      <w:r w:rsidR="00CB2A09" w:rsidRPr="0040738C">
        <w:rPr>
          <w:bCs/>
          <w:sz w:val="22"/>
        </w:rPr>
        <w:t>z</w:t>
      </w:r>
      <w:r>
        <w:rPr>
          <w:bCs/>
          <w:sz w:val="22"/>
        </w:rPr>
        <w:t> </w:t>
      </w:r>
      <w:r w:rsidR="00CB2A09" w:rsidRPr="0040738C">
        <w:rPr>
          <w:bCs/>
          <w:sz w:val="22"/>
        </w:rPr>
        <w:t>údajov zo všeobecnej literatúry.</w:t>
      </w:r>
    </w:p>
    <w:p w14:paraId="72100ACF" w14:textId="4A5DD8F4" w:rsidR="00CB2A09" w:rsidRPr="0040738C" w:rsidRDefault="00FA7BF8" w:rsidP="00CD70B0">
      <w:pPr>
        <w:ind w:left="180" w:hanging="180"/>
        <w:rPr>
          <w:bCs/>
          <w:sz w:val="22"/>
        </w:rPr>
      </w:pPr>
      <w:r>
        <w:rPr>
          <w:bCs/>
          <w:sz w:val="22"/>
          <w:vertAlign w:val="superscript"/>
        </w:rPr>
        <w:t>2</w:t>
      </w:r>
      <w:r>
        <w:rPr>
          <w:bCs/>
          <w:sz w:val="22"/>
          <w:vertAlign w:val="superscript"/>
        </w:rPr>
        <w:tab/>
      </w:r>
      <w:r w:rsidR="00CB2A09" w:rsidRPr="0040738C">
        <w:rPr>
          <w:bCs/>
          <w:sz w:val="22"/>
        </w:rPr>
        <w:t>Údaje z</w:t>
      </w:r>
      <w:r>
        <w:rPr>
          <w:bCs/>
          <w:sz w:val="22"/>
        </w:rPr>
        <w:t>o</w:t>
      </w:r>
      <w:r w:rsidR="00CB2A09" w:rsidRPr="0040738C">
        <w:rPr>
          <w:bCs/>
          <w:sz w:val="22"/>
        </w:rPr>
        <w:t> </w:t>
      </w:r>
      <w:r>
        <w:rPr>
          <w:bCs/>
          <w:sz w:val="22"/>
        </w:rPr>
        <w:t>sledovania po uvedení lieku na trh</w:t>
      </w:r>
      <w:r w:rsidR="00CB2A09" w:rsidRPr="0040738C">
        <w:rPr>
          <w:bCs/>
          <w:sz w:val="22"/>
        </w:rPr>
        <w:t xml:space="preserve"> neposkytujú </w:t>
      </w:r>
      <w:r>
        <w:rPr>
          <w:bCs/>
          <w:sz w:val="22"/>
        </w:rPr>
        <w:t xml:space="preserve">presné </w:t>
      </w:r>
      <w:r w:rsidR="00CB2A09" w:rsidRPr="0040738C">
        <w:rPr>
          <w:bCs/>
          <w:sz w:val="22"/>
        </w:rPr>
        <w:t>hodnoty výskyt</w:t>
      </w:r>
      <w:r>
        <w:rPr>
          <w:bCs/>
          <w:sz w:val="22"/>
        </w:rPr>
        <w:t>u</w:t>
      </w:r>
      <w:r w:rsidR="00CB2A09" w:rsidRPr="0040738C">
        <w:rPr>
          <w:bCs/>
          <w:sz w:val="22"/>
        </w:rPr>
        <w:t xml:space="preserve">. Z tohto dôvodu </w:t>
      </w:r>
      <w:r w:rsidR="0093154A">
        <w:rPr>
          <w:bCs/>
          <w:sz w:val="22"/>
        </w:rPr>
        <w:t>bola</w:t>
      </w:r>
      <w:r w:rsidR="0093154A" w:rsidRPr="0040738C">
        <w:rPr>
          <w:bCs/>
          <w:sz w:val="22"/>
        </w:rPr>
        <w:t xml:space="preserve"> </w:t>
      </w:r>
      <w:r w:rsidR="00CB2A09" w:rsidRPr="0040738C">
        <w:rPr>
          <w:bCs/>
          <w:sz w:val="22"/>
        </w:rPr>
        <w:t>hlásená frekvencia rozdel</w:t>
      </w:r>
      <w:r w:rsidR="0093154A">
        <w:rPr>
          <w:bCs/>
          <w:sz w:val="22"/>
        </w:rPr>
        <w:t>ená</w:t>
      </w:r>
      <w:r w:rsidR="00CB2A09" w:rsidRPr="0040738C">
        <w:rPr>
          <w:bCs/>
          <w:sz w:val="22"/>
        </w:rPr>
        <w:t xml:space="preserve"> do dvoch, a nie do piatich skupín.</w:t>
      </w:r>
    </w:p>
    <w:p w14:paraId="6C7B96C4" w14:textId="278AA81F" w:rsidR="00CB2A09" w:rsidRPr="0040738C" w:rsidRDefault="00FA7BF8" w:rsidP="00CD70B0">
      <w:pPr>
        <w:ind w:left="180" w:hanging="180"/>
        <w:rPr>
          <w:bCs/>
          <w:sz w:val="22"/>
        </w:rPr>
      </w:pPr>
      <w:r>
        <w:rPr>
          <w:bCs/>
          <w:sz w:val="22"/>
          <w:vertAlign w:val="superscript"/>
        </w:rPr>
        <w:t>3</w:t>
      </w:r>
      <w:r>
        <w:rPr>
          <w:bCs/>
          <w:sz w:val="22"/>
          <w:vertAlign w:val="superscript"/>
        </w:rPr>
        <w:tab/>
      </w:r>
      <w:r w:rsidR="00CB2A09" w:rsidRPr="0040738C">
        <w:rPr>
          <w:bCs/>
          <w:sz w:val="22"/>
        </w:rPr>
        <w:t>po dlhodobom používaní na JIS</w:t>
      </w:r>
    </w:p>
    <w:p w14:paraId="5C53C8E0" w14:textId="77777777" w:rsidR="00CB2A09" w:rsidRPr="0040738C" w:rsidRDefault="00CB2A09" w:rsidP="00CD70B0">
      <w:pPr>
        <w:ind w:left="180" w:hanging="180"/>
        <w:rPr>
          <w:bCs/>
          <w:sz w:val="22"/>
        </w:rPr>
      </w:pPr>
    </w:p>
    <w:p w14:paraId="154E13F7" w14:textId="77777777" w:rsidR="00CB2A09" w:rsidRPr="0040738C" w:rsidRDefault="00CB2A09" w:rsidP="00DD73F9">
      <w:pPr>
        <w:keepNext/>
        <w:rPr>
          <w:bCs/>
          <w:sz w:val="22"/>
          <w:u w:val="single"/>
        </w:rPr>
      </w:pPr>
      <w:proofErr w:type="spellStart"/>
      <w:r w:rsidRPr="0040738C">
        <w:rPr>
          <w:bCs/>
          <w:sz w:val="22"/>
          <w:u w:val="single"/>
        </w:rPr>
        <w:t>Anafylaxia</w:t>
      </w:r>
      <w:proofErr w:type="spellEnd"/>
      <w:r w:rsidRPr="0040738C">
        <w:rPr>
          <w:bCs/>
          <w:sz w:val="22"/>
          <w:u w:val="single"/>
        </w:rPr>
        <w:t xml:space="preserve"> </w:t>
      </w:r>
    </w:p>
    <w:p w14:paraId="6F60B55B" w14:textId="29D9EC0A" w:rsidR="00CB2A09" w:rsidRPr="0040738C" w:rsidRDefault="00FA7BF8" w:rsidP="00CD70B0">
      <w:pPr>
        <w:pStyle w:val="Zkladntext"/>
        <w:jc w:val="left"/>
        <w:rPr>
          <w:sz w:val="22"/>
          <w:szCs w:val="20"/>
        </w:rPr>
      </w:pPr>
      <w:r>
        <w:rPr>
          <w:sz w:val="22"/>
          <w:szCs w:val="20"/>
        </w:rPr>
        <w:t>P</w:t>
      </w:r>
      <w:r w:rsidRPr="0040738C">
        <w:rPr>
          <w:sz w:val="22"/>
          <w:szCs w:val="20"/>
        </w:rPr>
        <w:t xml:space="preserve">ri </w:t>
      </w:r>
      <w:proofErr w:type="spellStart"/>
      <w:r w:rsidRPr="0040738C">
        <w:rPr>
          <w:sz w:val="22"/>
          <w:szCs w:val="20"/>
        </w:rPr>
        <w:t>nervovosvalových</w:t>
      </w:r>
      <w:proofErr w:type="spellEnd"/>
      <w:r w:rsidRPr="0040738C">
        <w:rPr>
          <w:sz w:val="22"/>
          <w:szCs w:val="20"/>
        </w:rPr>
        <w:t xml:space="preserve"> </w:t>
      </w:r>
      <w:proofErr w:type="spellStart"/>
      <w:r w:rsidR="006874DB">
        <w:rPr>
          <w:sz w:val="22"/>
          <w:szCs w:val="20"/>
        </w:rPr>
        <w:t>blokátoroch</w:t>
      </w:r>
      <w:proofErr w:type="spellEnd"/>
      <w:r w:rsidR="006874DB" w:rsidRPr="0040738C">
        <w:rPr>
          <w:sz w:val="22"/>
          <w:szCs w:val="20"/>
        </w:rPr>
        <w:t xml:space="preserve"> </w:t>
      </w:r>
      <w:r w:rsidRPr="0040738C">
        <w:rPr>
          <w:sz w:val="22"/>
          <w:szCs w:val="20"/>
        </w:rPr>
        <w:t>vrátane</w:t>
      </w:r>
      <w:r w:rsidR="00E17BAA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Esmeronu</w:t>
      </w:r>
      <w:proofErr w:type="spellEnd"/>
      <w:r>
        <w:rPr>
          <w:sz w:val="22"/>
          <w:szCs w:val="20"/>
        </w:rPr>
        <w:t xml:space="preserve"> sa h</w:t>
      </w:r>
      <w:r w:rsidR="00CB2A09" w:rsidRPr="0040738C">
        <w:rPr>
          <w:sz w:val="22"/>
          <w:szCs w:val="20"/>
        </w:rPr>
        <w:t xml:space="preserve">lásili závažné </w:t>
      </w:r>
      <w:proofErr w:type="spellStart"/>
      <w:r w:rsidR="00CB2A09" w:rsidRPr="0040738C">
        <w:rPr>
          <w:sz w:val="22"/>
          <w:szCs w:val="20"/>
        </w:rPr>
        <w:t>anafylaktické</w:t>
      </w:r>
      <w:proofErr w:type="spellEnd"/>
      <w:r w:rsidR="00CB2A09" w:rsidRPr="0040738C">
        <w:rPr>
          <w:sz w:val="22"/>
          <w:szCs w:val="20"/>
        </w:rPr>
        <w:t xml:space="preserve"> reakcie, hoci veľmi zriedkavo. </w:t>
      </w:r>
      <w:proofErr w:type="spellStart"/>
      <w:r w:rsidR="00CB2A09" w:rsidRPr="0040738C">
        <w:rPr>
          <w:sz w:val="22"/>
          <w:szCs w:val="20"/>
        </w:rPr>
        <w:t>Anafylaktické</w:t>
      </w:r>
      <w:proofErr w:type="spellEnd"/>
      <w:r w:rsidR="00CB2A09" w:rsidRPr="0040738C">
        <w:rPr>
          <w:sz w:val="22"/>
          <w:szCs w:val="20"/>
        </w:rPr>
        <w:t>/</w:t>
      </w:r>
      <w:proofErr w:type="spellStart"/>
      <w:r w:rsidR="00CB2A09" w:rsidRPr="0040738C">
        <w:rPr>
          <w:sz w:val="22"/>
          <w:szCs w:val="20"/>
        </w:rPr>
        <w:t>anafylaktoidné</w:t>
      </w:r>
      <w:proofErr w:type="spellEnd"/>
      <w:r w:rsidR="00CB2A09" w:rsidRPr="0040738C">
        <w:rPr>
          <w:sz w:val="22"/>
          <w:szCs w:val="20"/>
        </w:rPr>
        <w:t xml:space="preserve"> reakcie sú: </w:t>
      </w:r>
      <w:proofErr w:type="spellStart"/>
      <w:r w:rsidR="00CB2A09" w:rsidRPr="0040738C">
        <w:rPr>
          <w:sz w:val="22"/>
          <w:szCs w:val="20"/>
        </w:rPr>
        <w:t>bronchospazmus</w:t>
      </w:r>
      <w:proofErr w:type="spellEnd"/>
      <w:r w:rsidR="00CB2A09" w:rsidRPr="0040738C">
        <w:rPr>
          <w:sz w:val="22"/>
          <w:szCs w:val="20"/>
        </w:rPr>
        <w:t xml:space="preserve">, kardiovaskulárne zmeny (napr. hypotenzia, </w:t>
      </w:r>
      <w:proofErr w:type="spellStart"/>
      <w:r w:rsidR="00CB2A09" w:rsidRPr="0040738C">
        <w:rPr>
          <w:sz w:val="22"/>
          <w:szCs w:val="20"/>
        </w:rPr>
        <w:t>tachykardia</w:t>
      </w:r>
      <w:proofErr w:type="spellEnd"/>
      <w:r w:rsidR="00CB2A09" w:rsidRPr="0040738C">
        <w:rPr>
          <w:sz w:val="22"/>
          <w:szCs w:val="20"/>
        </w:rPr>
        <w:t xml:space="preserve">, </w:t>
      </w:r>
      <w:r>
        <w:rPr>
          <w:sz w:val="22"/>
          <w:szCs w:val="20"/>
        </w:rPr>
        <w:t xml:space="preserve">kolaps </w:t>
      </w:r>
      <w:r w:rsidR="00CB2A09" w:rsidRPr="0040738C">
        <w:rPr>
          <w:sz w:val="22"/>
          <w:szCs w:val="20"/>
        </w:rPr>
        <w:t>cirkul</w:t>
      </w:r>
      <w:r>
        <w:rPr>
          <w:sz w:val="22"/>
          <w:szCs w:val="20"/>
        </w:rPr>
        <w:t>ácie</w:t>
      </w:r>
      <w:r w:rsidR="00CB2A09" w:rsidRPr="0040738C">
        <w:rPr>
          <w:sz w:val="22"/>
          <w:szCs w:val="20"/>
        </w:rPr>
        <w:t xml:space="preserve"> – šok) a</w:t>
      </w:r>
      <w:r>
        <w:rPr>
          <w:sz w:val="22"/>
          <w:szCs w:val="20"/>
        </w:rPr>
        <w:t xml:space="preserve"> zmeny na </w:t>
      </w:r>
      <w:r w:rsidR="00CB2A09" w:rsidRPr="0040738C">
        <w:rPr>
          <w:sz w:val="22"/>
          <w:szCs w:val="20"/>
        </w:rPr>
        <w:t>kož</w:t>
      </w:r>
      <w:r>
        <w:rPr>
          <w:sz w:val="22"/>
          <w:szCs w:val="20"/>
        </w:rPr>
        <w:t>i</w:t>
      </w:r>
      <w:r w:rsidR="00CB2A09" w:rsidRPr="0040738C">
        <w:rPr>
          <w:sz w:val="22"/>
          <w:szCs w:val="20"/>
        </w:rPr>
        <w:t xml:space="preserve"> (napr. </w:t>
      </w:r>
      <w:proofErr w:type="spellStart"/>
      <w:r w:rsidR="00CB2A09" w:rsidRPr="0040738C">
        <w:rPr>
          <w:sz w:val="22"/>
          <w:szCs w:val="20"/>
        </w:rPr>
        <w:t>angioedém</w:t>
      </w:r>
      <w:proofErr w:type="spellEnd"/>
      <w:r w:rsidR="00CB2A09" w:rsidRPr="0040738C">
        <w:rPr>
          <w:sz w:val="22"/>
          <w:szCs w:val="20"/>
        </w:rPr>
        <w:t>, žihľavka). Tieto reakcie boli v niektorých prípadoch smrteľné. Vzhľadom na možnú závažnosť týchto reakcií, sa má</w:t>
      </w:r>
      <w:r w:rsidR="00746395">
        <w:rPr>
          <w:sz w:val="22"/>
          <w:szCs w:val="20"/>
        </w:rPr>
        <w:t xml:space="preserve"> vždy</w:t>
      </w:r>
      <w:r w:rsidR="00CB2A09" w:rsidRPr="0040738C">
        <w:rPr>
          <w:sz w:val="22"/>
          <w:szCs w:val="20"/>
        </w:rPr>
        <w:t xml:space="preserve"> predpokladať ich výskyt a</w:t>
      </w:r>
      <w:r w:rsidR="000F7F2E">
        <w:rPr>
          <w:sz w:val="22"/>
          <w:szCs w:val="20"/>
        </w:rPr>
        <w:t xml:space="preserve"> majú sa </w:t>
      </w:r>
      <w:r w:rsidR="00CB2A09" w:rsidRPr="0040738C">
        <w:rPr>
          <w:sz w:val="22"/>
          <w:szCs w:val="20"/>
        </w:rPr>
        <w:t>podniknúť nevyhnutné opatrenia.</w:t>
      </w:r>
    </w:p>
    <w:p w14:paraId="6C1A60F6" w14:textId="77777777" w:rsidR="00CB2A09" w:rsidRPr="0040738C" w:rsidRDefault="00CB2A09" w:rsidP="00CD70B0">
      <w:pPr>
        <w:ind w:left="360" w:hanging="360"/>
        <w:rPr>
          <w:b/>
          <w:sz w:val="22"/>
          <w:szCs w:val="20"/>
        </w:rPr>
      </w:pPr>
    </w:p>
    <w:p w14:paraId="4B06B5C7" w14:textId="6D956B03" w:rsidR="00CB2A09" w:rsidRPr="0040738C" w:rsidRDefault="00CB2A09" w:rsidP="00CD70B0">
      <w:pPr>
        <w:rPr>
          <w:sz w:val="22"/>
          <w:szCs w:val="20"/>
        </w:rPr>
      </w:pPr>
      <w:r w:rsidRPr="0040738C">
        <w:rPr>
          <w:sz w:val="22"/>
          <w:szCs w:val="20"/>
        </w:rPr>
        <w:t xml:space="preserve">Keďže o </w:t>
      </w:r>
      <w:proofErr w:type="spellStart"/>
      <w:r w:rsidRPr="0040738C">
        <w:rPr>
          <w:sz w:val="22"/>
          <w:szCs w:val="20"/>
        </w:rPr>
        <w:t>nervovosvalových</w:t>
      </w:r>
      <w:proofErr w:type="spellEnd"/>
      <w:r w:rsidRPr="0040738C">
        <w:rPr>
          <w:sz w:val="22"/>
          <w:szCs w:val="20"/>
        </w:rPr>
        <w:t xml:space="preserve"> </w:t>
      </w:r>
      <w:proofErr w:type="spellStart"/>
      <w:r w:rsidR="006874DB">
        <w:rPr>
          <w:sz w:val="22"/>
          <w:szCs w:val="20"/>
        </w:rPr>
        <w:t>blokátoroch</w:t>
      </w:r>
      <w:proofErr w:type="spellEnd"/>
      <w:r w:rsidR="006874DB" w:rsidRPr="0040738C">
        <w:rPr>
          <w:sz w:val="22"/>
          <w:szCs w:val="20"/>
        </w:rPr>
        <w:t xml:space="preserve"> </w:t>
      </w:r>
      <w:r w:rsidR="000F7F2E">
        <w:rPr>
          <w:sz w:val="22"/>
          <w:szCs w:val="20"/>
        </w:rPr>
        <w:t>je známe</w:t>
      </w:r>
      <w:r w:rsidRPr="0040738C">
        <w:rPr>
          <w:sz w:val="22"/>
          <w:szCs w:val="20"/>
        </w:rPr>
        <w:t xml:space="preserve">, že sú schopné vyvolať vyplavenie histamínu lokálne v mieste podania injekcie </w:t>
      </w:r>
      <w:r w:rsidR="00E17BAA">
        <w:rPr>
          <w:sz w:val="22"/>
          <w:szCs w:val="20"/>
        </w:rPr>
        <w:t>aj</w:t>
      </w:r>
      <w:r w:rsidRPr="0040738C">
        <w:rPr>
          <w:sz w:val="22"/>
          <w:szCs w:val="20"/>
        </w:rPr>
        <w:t xml:space="preserve"> systémovo, pri podaní týchto </w:t>
      </w:r>
      <w:r w:rsidR="000F7F2E">
        <w:rPr>
          <w:sz w:val="22"/>
          <w:szCs w:val="20"/>
        </w:rPr>
        <w:t>liekov je vždy po</w:t>
      </w:r>
      <w:r w:rsidRPr="0040738C">
        <w:rPr>
          <w:sz w:val="22"/>
          <w:szCs w:val="20"/>
        </w:rPr>
        <w:t>treb</w:t>
      </w:r>
      <w:r w:rsidR="000F7F2E">
        <w:rPr>
          <w:sz w:val="22"/>
          <w:szCs w:val="20"/>
        </w:rPr>
        <w:t>né vziať</w:t>
      </w:r>
      <w:r w:rsidRPr="0040738C">
        <w:rPr>
          <w:sz w:val="22"/>
          <w:szCs w:val="20"/>
        </w:rPr>
        <w:t xml:space="preserve"> do úvahy m</w:t>
      </w:r>
      <w:r w:rsidR="000F7F2E">
        <w:rPr>
          <w:sz w:val="22"/>
          <w:szCs w:val="20"/>
        </w:rPr>
        <w:t>ožný</w:t>
      </w:r>
      <w:r w:rsidRPr="0040738C">
        <w:rPr>
          <w:sz w:val="22"/>
          <w:szCs w:val="20"/>
        </w:rPr>
        <w:t xml:space="preserve"> </w:t>
      </w:r>
      <w:r w:rsidR="000F7F2E">
        <w:rPr>
          <w:sz w:val="22"/>
          <w:szCs w:val="20"/>
        </w:rPr>
        <w:t xml:space="preserve">výskyt </w:t>
      </w:r>
      <w:r w:rsidRPr="0040738C">
        <w:rPr>
          <w:sz w:val="22"/>
          <w:szCs w:val="20"/>
        </w:rPr>
        <w:t>svrbeni</w:t>
      </w:r>
      <w:r w:rsidR="000F7F2E">
        <w:rPr>
          <w:sz w:val="22"/>
          <w:szCs w:val="20"/>
        </w:rPr>
        <w:t>a</w:t>
      </w:r>
      <w:r w:rsidRPr="0040738C">
        <w:rPr>
          <w:sz w:val="22"/>
          <w:szCs w:val="20"/>
        </w:rPr>
        <w:t xml:space="preserve"> a </w:t>
      </w:r>
      <w:proofErr w:type="spellStart"/>
      <w:r w:rsidRPr="0040738C">
        <w:rPr>
          <w:sz w:val="22"/>
          <w:szCs w:val="20"/>
        </w:rPr>
        <w:t>eryt</w:t>
      </w:r>
      <w:r w:rsidR="000F7F2E">
        <w:rPr>
          <w:sz w:val="22"/>
          <w:szCs w:val="20"/>
        </w:rPr>
        <w:t>e</w:t>
      </w:r>
      <w:r w:rsidRPr="0040738C">
        <w:rPr>
          <w:sz w:val="22"/>
          <w:szCs w:val="20"/>
        </w:rPr>
        <w:t>m</w:t>
      </w:r>
      <w:r w:rsidR="000F7F2E">
        <w:rPr>
          <w:sz w:val="22"/>
          <w:szCs w:val="20"/>
        </w:rPr>
        <w:t>atózne</w:t>
      </w:r>
      <w:proofErr w:type="spellEnd"/>
      <w:r w:rsidR="000F7F2E">
        <w:rPr>
          <w:sz w:val="22"/>
          <w:szCs w:val="20"/>
        </w:rPr>
        <w:t xml:space="preserve"> </w:t>
      </w:r>
      <w:r w:rsidRPr="0040738C">
        <w:rPr>
          <w:sz w:val="22"/>
          <w:szCs w:val="20"/>
        </w:rPr>
        <w:t>reakci</w:t>
      </w:r>
      <w:r w:rsidR="000F7F2E">
        <w:rPr>
          <w:sz w:val="22"/>
          <w:szCs w:val="20"/>
        </w:rPr>
        <w:t xml:space="preserve">e </w:t>
      </w:r>
      <w:r w:rsidRPr="0040738C">
        <w:rPr>
          <w:sz w:val="22"/>
          <w:szCs w:val="20"/>
        </w:rPr>
        <w:t>v mieste podania injekcie a/alebo generalizovan</w:t>
      </w:r>
      <w:r w:rsidR="000F7F2E">
        <w:rPr>
          <w:sz w:val="22"/>
          <w:szCs w:val="20"/>
        </w:rPr>
        <w:t>é</w:t>
      </w:r>
      <w:r w:rsidRPr="0040738C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histaminoidn</w:t>
      </w:r>
      <w:r w:rsidR="000F7F2E">
        <w:rPr>
          <w:sz w:val="22"/>
          <w:szCs w:val="20"/>
        </w:rPr>
        <w:t>é</w:t>
      </w:r>
      <w:proofErr w:type="spellEnd"/>
      <w:r w:rsidRPr="0040738C">
        <w:rPr>
          <w:sz w:val="22"/>
          <w:szCs w:val="20"/>
        </w:rPr>
        <w:t xml:space="preserve"> (</w:t>
      </w:r>
      <w:proofErr w:type="spellStart"/>
      <w:r w:rsidRPr="0040738C">
        <w:rPr>
          <w:sz w:val="22"/>
          <w:szCs w:val="20"/>
        </w:rPr>
        <w:t>anafylaktoidn</w:t>
      </w:r>
      <w:r w:rsidR="00E17BAA">
        <w:rPr>
          <w:sz w:val="22"/>
          <w:szCs w:val="20"/>
        </w:rPr>
        <w:t>é</w:t>
      </w:r>
      <w:proofErr w:type="spellEnd"/>
      <w:r w:rsidRPr="0040738C">
        <w:rPr>
          <w:sz w:val="22"/>
          <w:szCs w:val="20"/>
        </w:rPr>
        <w:t>) reakci</w:t>
      </w:r>
      <w:r w:rsidR="000F7F2E">
        <w:rPr>
          <w:sz w:val="22"/>
          <w:szCs w:val="20"/>
        </w:rPr>
        <w:t>e</w:t>
      </w:r>
      <w:r w:rsidRPr="0040738C">
        <w:rPr>
          <w:sz w:val="22"/>
          <w:szCs w:val="20"/>
        </w:rPr>
        <w:t xml:space="preserve"> (pozri tiež p</w:t>
      </w:r>
      <w:r w:rsidR="000F7F2E">
        <w:rPr>
          <w:sz w:val="22"/>
          <w:szCs w:val="20"/>
        </w:rPr>
        <w:t>ri</w:t>
      </w:r>
      <w:r w:rsidRPr="0040738C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anafylaktický</w:t>
      </w:r>
      <w:r w:rsidR="000F7F2E">
        <w:rPr>
          <w:sz w:val="22"/>
          <w:szCs w:val="20"/>
        </w:rPr>
        <w:t>ch</w:t>
      </w:r>
      <w:proofErr w:type="spellEnd"/>
      <w:r w:rsidRPr="0040738C">
        <w:rPr>
          <w:sz w:val="22"/>
          <w:szCs w:val="20"/>
        </w:rPr>
        <w:t xml:space="preserve"> reakci</w:t>
      </w:r>
      <w:r w:rsidR="000F7F2E">
        <w:rPr>
          <w:sz w:val="22"/>
          <w:szCs w:val="20"/>
        </w:rPr>
        <w:t>ách vyššie)</w:t>
      </w:r>
      <w:r w:rsidRPr="0040738C">
        <w:rPr>
          <w:sz w:val="22"/>
          <w:szCs w:val="20"/>
        </w:rPr>
        <w:t>.</w:t>
      </w:r>
    </w:p>
    <w:p w14:paraId="5B78693C" w14:textId="77777777" w:rsidR="00CB2A09" w:rsidRPr="0040738C" w:rsidRDefault="00CB2A09" w:rsidP="00CD70B0">
      <w:pPr>
        <w:rPr>
          <w:sz w:val="22"/>
          <w:szCs w:val="20"/>
        </w:rPr>
      </w:pPr>
    </w:p>
    <w:p w14:paraId="356A09C0" w14:textId="5EA533D9" w:rsidR="00CB2A09" w:rsidRPr="0040738C" w:rsidRDefault="000F7F2E" w:rsidP="00CD70B0">
      <w:pPr>
        <w:rPr>
          <w:sz w:val="22"/>
          <w:szCs w:val="20"/>
        </w:rPr>
      </w:pPr>
      <w:r>
        <w:rPr>
          <w:sz w:val="22"/>
          <w:szCs w:val="20"/>
        </w:rPr>
        <w:t>V</w:t>
      </w:r>
      <w:r w:rsidR="003F20A6">
        <w:rPr>
          <w:sz w:val="22"/>
          <w:szCs w:val="20"/>
        </w:rPr>
        <w:t> </w:t>
      </w:r>
      <w:r w:rsidR="00CB2A09" w:rsidRPr="0040738C">
        <w:rPr>
          <w:sz w:val="22"/>
          <w:szCs w:val="20"/>
        </w:rPr>
        <w:t xml:space="preserve">klinických </w:t>
      </w:r>
      <w:r w:rsidR="00746395">
        <w:rPr>
          <w:sz w:val="22"/>
          <w:szCs w:val="20"/>
        </w:rPr>
        <w:t>št</w:t>
      </w:r>
      <w:r w:rsidR="00CB2A09" w:rsidRPr="0040738C">
        <w:rPr>
          <w:sz w:val="22"/>
          <w:szCs w:val="20"/>
        </w:rPr>
        <w:t>ú</w:t>
      </w:r>
      <w:r w:rsidR="00746395">
        <w:rPr>
          <w:sz w:val="22"/>
          <w:szCs w:val="20"/>
        </w:rPr>
        <w:t>d</w:t>
      </w:r>
      <w:r>
        <w:rPr>
          <w:sz w:val="22"/>
          <w:szCs w:val="20"/>
        </w:rPr>
        <w:t>i</w:t>
      </w:r>
      <w:r w:rsidR="00746395">
        <w:rPr>
          <w:sz w:val="22"/>
          <w:szCs w:val="20"/>
        </w:rPr>
        <w:t>á</w:t>
      </w:r>
      <w:r>
        <w:rPr>
          <w:sz w:val="22"/>
          <w:szCs w:val="20"/>
        </w:rPr>
        <w:t>ch</w:t>
      </w:r>
      <w:r w:rsidR="00CB2A09" w:rsidRPr="0040738C">
        <w:rPr>
          <w:sz w:val="22"/>
          <w:szCs w:val="20"/>
        </w:rPr>
        <w:t xml:space="preserve"> sa pozoroval</w:t>
      </w:r>
      <w:r>
        <w:rPr>
          <w:sz w:val="22"/>
          <w:szCs w:val="20"/>
        </w:rPr>
        <w:t>o</w:t>
      </w:r>
      <w:r w:rsidR="00CB2A09" w:rsidRPr="0040738C">
        <w:rPr>
          <w:sz w:val="22"/>
          <w:szCs w:val="20"/>
        </w:rPr>
        <w:t xml:space="preserve"> iba malé zvýšeni</w:t>
      </w:r>
      <w:r>
        <w:rPr>
          <w:sz w:val="22"/>
          <w:szCs w:val="20"/>
        </w:rPr>
        <w:t>e</w:t>
      </w:r>
      <w:r w:rsidR="00CB2A09" w:rsidRPr="0040738C">
        <w:rPr>
          <w:sz w:val="22"/>
          <w:szCs w:val="20"/>
        </w:rPr>
        <w:t xml:space="preserve"> priemerných plazmatických hladín histamínu po rýchlom </w:t>
      </w:r>
      <w:proofErr w:type="spellStart"/>
      <w:r w:rsidR="00CB2A09" w:rsidRPr="0040738C">
        <w:rPr>
          <w:sz w:val="22"/>
          <w:szCs w:val="20"/>
        </w:rPr>
        <w:t>bolusovom</w:t>
      </w:r>
      <w:proofErr w:type="spellEnd"/>
      <w:r w:rsidR="00CB2A09" w:rsidRPr="0040738C">
        <w:rPr>
          <w:sz w:val="22"/>
          <w:szCs w:val="20"/>
        </w:rPr>
        <w:t xml:space="preserve"> podaní 0,3</w:t>
      </w:r>
      <w:r w:rsidR="00C922CF">
        <w:rPr>
          <w:sz w:val="22"/>
          <w:szCs w:val="20"/>
        </w:rPr>
        <w:t> </w:t>
      </w:r>
      <w:r w:rsidR="00CB2A09" w:rsidRPr="0040738C">
        <w:rPr>
          <w:sz w:val="22"/>
          <w:szCs w:val="20"/>
        </w:rPr>
        <w:t>–</w:t>
      </w:r>
      <w:r w:rsidR="00C922CF">
        <w:rPr>
          <w:sz w:val="22"/>
          <w:szCs w:val="20"/>
        </w:rPr>
        <w:t> </w:t>
      </w:r>
      <w:r w:rsidR="00CB2A09" w:rsidRPr="0040738C">
        <w:rPr>
          <w:sz w:val="22"/>
          <w:szCs w:val="20"/>
        </w:rPr>
        <w:t>0,9</w:t>
      </w:r>
      <w:r w:rsidR="00E17BAA">
        <w:rPr>
          <w:sz w:val="22"/>
          <w:szCs w:val="20"/>
        </w:rPr>
        <w:t> </w:t>
      </w:r>
      <w:r w:rsidR="00CB2A09" w:rsidRPr="0040738C">
        <w:rPr>
          <w:sz w:val="22"/>
          <w:szCs w:val="20"/>
        </w:rPr>
        <w:t xml:space="preserve">mg/kg </w:t>
      </w:r>
      <w:proofErr w:type="spellStart"/>
      <w:r w:rsidR="00CB2A09" w:rsidRPr="0040738C">
        <w:rPr>
          <w:sz w:val="22"/>
          <w:szCs w:val="20"/>
        </w:rPr>
        <w:t>rokuróniumbromidu</w:t>
      </w:r>
      <w:proofErr w:type="spellEnd"/>
      <w:r w:rsidR="00CB2A09" w:rsidRPr="0040738C">
        <w:rPr>
          <w:sz w:val="22"/>
          <w:szCs w:val="20"/>
        </w:rPr>
        <w:t>.</w:t>
      </w:r>
    </w:p>
    <w:p w14:paraId="4004D441" w14:textId="77777777" w:rsidR="00CB2A09" w:rsidRPr="0040738C" w:rsidRDefault="00CB2A09" w:rsidP="00CD70B0">
      <w:pPr>
        <w:rPr>
          <w:sz w:val="22"/>
          <w:szCs w:val="20"/>
        </w:rPr>
      </w:pPr>
    </w:p>
    <w:p w14:paraId="144FA2B9" w14:textId="02C3025F" w:rsidR="00CB2A09" w:rsidRPr="0040738C" w:rsidRDefault="00CB2A09" w:rsidP="00DD73F9">
      <w:pPr>
        <w:keepNext/>
        <w:rPr>
          <w:sz w:val="22"/>
          <w:szCs w:val="20"/>
          <w:u w:val="single"/>
        </w:rPr>
      </w:pPr>
      <w:r w:rsidRPr="0040738C">
        <w:rPr>
          <w:bCs/>
          <w:sz w:val="22"/>
          <w:u w:val="single"/>
        </w:rPr>
        <w:t xml:space="preserve">Predĺžená </w:t>
      </w:r>
      <w:proofErr w:type="spellStart"/>
      <w:r w:rsidRPr="0040738C">
        <w:rPr>
          <w:bCs/>
          <w:sz w:val="22"/>
          <w:u w:val="single"/>
        </w:rPr>
        <w:t>nervovosvalová</w:t>
      </w:r>
      <w:proofErr w:type="spellEnd"/>
      <w:r w:rsidRPr="0040738C">
        <w:rPr>
          <w:bCs/>
          <w:sz w:val="22"/>
          <w:u w:val="single"/>
        </w:rPr>
        <w:t xml:space="preserve"> blokáda</w:t>
      </w:r>
    </w:p>
    <w:p w14:paraId="4E225644" w14:textId="656EB2BD" w:rsidR="00CB2A09" w:rsidRPr="0040738C" w:rsidRDefault="00CB2A09" w:rsidP="00CD70B0">
      <w:pPr>
        <w:rPr>
          <w:sz w:val="22"/>
          <w:szCs w:val="20"/>
        </w:rPr>
      </w:pPr>
      <w:r w:rsidRPr="00663107">
        <w:rPr>
          <w:sz w:val="22"/>
          <w:szCs w:val="20"/>
        </w:rPr>
        <w:t xml:space="preserve">Najčastejšia nežiaduca </w:t>
      </w:r>
      <w:r w:rsidR="000F7F2E" w:rsidRPr="00663107">
        <w:rPr>
          <w:sz w:val="22"/>
          <w:szCs w:val="20"/>
        </w:rPr>
        <w:t xml:space="preserve">skupinová </w:t>
      </w:r>
      <w:r w:rsidRPr="00663107">
        <w:rPr>
          <w:sz w:val="22"/>
          <w:szCs w:val="20"/>
        </w:rPr>
        <w:t xml:space="preserve">reakcia </w:t>
      </w:r>
      <w:r w:rsidR="000F7F2E" w:rsidRPr="00663107">
        <w:rPr>
          <w:sz w:val="22"/>
          <w:szCs w:val="20"/>
        </w:rPr>
        <w:t xml:space="preserve">na </w:t>
      </w:r>
      <w:proofErr w:type="spellStart"/>
      <w:r w:rsidRPr="00663107">
        <w:rPr>
          <w:sz w:val="22"/>
          <w:szCs w:val="20"/>
        </w:rPr>
        <w:t>nedepolarizujúc</w:t>
      </w:r>
      <w:r w:rsidR="000F7F2E" w:rsidRPr="00663107">
        <w:rPr>
          <w:sz w:val="22"/>
          <w:szCs w:val="20"/>
        </w:rPr>
        <w:t>e</w:t>
      </w:r>
      <w:proofErr w:type="spellEnd"/>
      <w:r w:rsidRPr="00663107">
        <w:rPr>
          <w:sz w:val="22"/>
          <w:szCs w:val="20"/>
        </w:rPr>
        <w:t xml:space="preserve"> </w:t>
      </w:r>
      <w:proofErr w:type="spellStart"/>
      <w:r w:rsidRPr="00663107">
        <w:rPr>
          <w:sz w:val="22"/>
          <w:szCs w:val="20"/>
        </w:rPr>
        <w:t>nervovosvalov</w:t>
      </w:r>
      <w:r w:rsidR="000F7F2E" w:rsidRPr="00663107">
        <w:rPr>
          <w:sz w:val="22"/>
          <w:szCs w:val="20"/>
        </w:rPr>
        <w:t>é</w:t>
      </w:r>
      <w:proofErr w:type="spellEnd"/>
      <w:r w:rsidRPr="00663107">
        <w:rPr>
          <w:sz w:val="22"/>
          <w:szCs w:val="20"/>
        </w:rPr>
        <w:t xml:space="preserve"> </w:t>
      </w:r>
      <w:proofErr w:type="spellStart"/>
      <w:r w:rsidR="006874DB">
        <w:rPr>
          <w:sz w:val="22"/>
          <w:szCs w:val="20"/>
        </w:rPr>
        <w:t>blokátory</w:t>
      </w:r>
      <w:proofErr w:type="spellEnd"/>
      <w:r w:rsidR="006874DB" w:rsidRPr="00663107">
        <w:rPr>
          <w:sz w:val="22"/>
          <w:szCs w:val="20"/>
        </w:rPr>
        <w:t xml:space="preserve"> </w:t>
      </w:r>
      <w:r w:rsidR="000F7F2E" w:rsidRPr="00663107">
        <w:rPr>
          <w:sz w:val="22"/>
          <w:szCs w:val="20"/>
        </w:rPr>
        <w:t>pozostáva z</w:t>
      </w:r>
      <w:r w:rsidR="0024628E" w:rsidRPr="00663107">
        <w:rPr>
          <w:sz w:val="22"/>
          <w:szCs w:val="20"/>
        </w:rPr>
        <w:t> </w:t>
      </w:r>
      <w:r w:rsidRPr="00663107">
        <w:rPr>
          <w:sz w:val="22"/>
          <w:szCs w:val="20"/>
        </w:rPr>
        <w:t>predĺžen</w:t>
      </w:r>
      <w:r w:rsidR="000F7F2E" w:rsidRPr="00663107">
        <w:rPr>
          <w:sz w:val="22"/>
          <w:szCs w:val="20"/>
        </w:rPr>
        <w:t>ia</w:t>
      </w:r>
      <w:r w:rsidRPr="00663107">
        <w:rPr>
          <w:sz w:val="22"/>
          <w:szCs w:val="20"/>
        </w:rPr>
        <w:t xml:space="preserve"> farmakologického účinku lieku </w:t>
      </w:r>
      <w:r w:rsidR="000F7F2E" w:rsidRPr="00663107">
        <w:rPr>
          <w:sz w:val="22"/>
          <w:szCs w:val="20"/>
        </w:rPr>
        <w:t>nad</w:t>
      </w:r>
      <w:r w:rsidRPr="00663107">
        <w:rPr>
          <w:sz w:val="22"/>
          <w:szCs w:val="20"/>
        </w:rPr>
        <w:t xml:space="preserve"> požadované časové</w:t>
      </w:r>
      <w:r w:rsidRPr="0040738C">
        <w:rPr>
          <w:sz w:val="22"/>
          <w:szCs w:val="20"/>
        </w:rPr>
        <w:t xml:space="preserve"> obdobie. </w:t>
      </w:r>
      <w:r w:rsidRPr="00835BF7">
        <w:rPr>
          <w:sz w:val="22"/>
          <w:szCs w:val="20"/>
        </w:rPr>
        <w:t xml:space="preserve">Toto sa môže </w:t>
      </w:r>
      <w:r w:rsidR="00F4140B">
        <w:rPr>
          <w:sz w:val="22"/>
          <w:szCs w:val="20"/>
        </w:rPr>
        <w:t>líšiť</w:t>
      </w:r>
      <w:r w:rsidR="000F7F2E">
        <w:rPr>
          <w:sz w:val="22"/>
          <w:szCs w:val="20"/>
        </w:rPr>
        <w:t xml:space="preserve"> </w:t>
      </w:r>
      <w:r w:rsidRPr="0040738C">
        <w:rPr>
          <w:sz w:val="22"/>
          <w:szCs w:val="20"/>
        </w:rPr>
        <w:t xml:space="preserve">od </w:t>
      </w:r>
      <w:r w:rsidR="000F7F2E">
        <w:rPr>
          <w:sz w:val="22"/>
          <w:szCs w:val="20"/>
        </w:rPr>
        <w:t>slabosti</w:t>
      </w:r>
      <w:r w:rsidRPr="0040738C">
        <w:rPr>
          <w:sz w:val="22"/>
          <w:szCs w:val="20"/>
        </w:rPr>
        <w:t xml:space="preserve"> kostrového svalstva po intenzívnu a dlhodobú paralýzu kostrového svalstva</w:t>
      </w:r>
      <w:r w:rsidR="0077220B" w:rsidRPr="00D5799D">
        <w:rPr>
          <w:sz w:val="22"/>
          <w:szCs w:val="20"/>
        </w:rPr>
        <w:t xml:space="preserve"> vedúcu</w:t>
      </w:r>
      <w:r w:rsidR="000F7F2E">
        <w:rPr>
          <w:sz w:val="22"/>
          <w:szCs w:val="20"/>
        </w:rPr>
        <w:t>, ktorá</w:t>
      </w:r>
      <w:r w:rsidRPr="0040738C">
        <w:rPr>
          <w:sz w:val="22"/>
          <w:szCs w:val="20"/>
        </w:rPr>
        <w:t xml:space="preserve"> ved</w:t>
      </w:r>
      <w:r w:rsidR="000F7F2E">
        <w:rPr>
          <w:sz w:val="22"/>
          <w:szCs w:val="20"/>
        </w:rPr>
        <w:t>ie</w:t>
      </w:r>
      <w:r w:rsidRPr="0040738C">
        <w:rPr>
          <w:sz w:val="22"/>
          <w:szCs w:val="20"/>
        </w:rPr>
        <w:t xml:space="preserve"> k respiračnej nedostatočnosti alebo </w:t>
      </w:r>
      <w:proofErr w:type="spellStart"/>
      <w:r w:rsidRPr="0040738C">
        <w:rPr>
          <w:sz w:val="22"/>
          <w:szCs w:val="20"/>
        </w:rPr>
        <w:t>apnoe</w:t>
      </w:r>
      <w:proofErr w:type="spellEnd"/>
      <w:r w:rsidRPr="0040738C">
        <w:rPr>
          <w:sz w:val="22"/>
          <w:szCs w:val="20"/>
        </w:rPr>
        <w:t>.</w:t>
      </w:r>
    </w:p>
    <w:p w14:paraId="16545E59" w14:textId="77777777" w:rsidR="00CB2A09" w:rsidRPr="0040738C" w:rsidRDefault="00CB2A09" w:rsidP="00CD70B0">
      <w:pPr>
        <w:rPr>
          <w:sz w:val="22"/>
          <w:szCs w:val="20"/>
        </w:rPr>
      </w:pPr>
    </w:p>
    <w:p w14:paraId="3DB44889" w14:textId="77777777" w:rsidR="00CB2A09" w:rsidRPr="0040738C" w:rsidRDefault="00CB2A09" w:rsidP="00DD73F9">
      <w:pPr>
        <w:keepNext/>
        <w:rPr>
          <w:sz w:val="22"/>
          <w:szCs w:val="20"/>
          <w:u w:val="single"/>
        </w:rPr>
      </w:pPr>
      <w:proofErr w:type="spellStart"/>
      <w:r w:rsidRPr="0040738C">
        <w:rPr>
          <w:sz w:val="22"/>
          <w:szCs w:val="20"/>
          <w:u w:val="single"/>
        </w:rPr>
        <w:t>Myopatia</w:t>
      </w:r>
      <w:proofErr w:type="spellEnd"/>
    </w:p>
    <w:p w14:paraId="484F7F31" w14:textId="4665BF52" w:rsidR="00CB2A09" w:rsidRPr="0040738C" w:rsidRDefault="00CB2A09" w:rsidP="00CD70B0">
      <w:pPr>
        <w:rPr>
          <w:sz w:val="22"/>
          <w:szCs w:val="20"/>
        </w:rPr>
      </w:pPr>
      <w:proofErr w:type="spellStart"/>
      <w:r w:rsidRPr="0040738C">
        <w:rPr>
          <w:sz w:val="22"/>
          <w:szCs w:val="20"/>
        </w:rPr>
        <w:t>Myopatia</w:t>
      </w:r>
      <w:proofErr w:type="spellEnd"/>
      <w:r w:rsidRPr="0040738C">
        <w:rPr>
          <w:sz w:val="22"/>
          <w:szCs w:val="20"/>
        </w:rPr>
        <w:t xml:space="preserve"> </w:t>
      </w:r>
      <w:r w:rsidR="00F4140B">
        <w:rPr>
          <w:sz w:val="22"/>
          <w:szCs w:val="20"/>
        </w:rPr>
        <w:t>sa hlásila</w:t>
      </w:r>
      <w:r w:rsidRPr="0040738C">
        <w:rPr>
          <w:sz w:val="22"/>
          <w:szCs w:val="20"/>
        </w:rPr>
        <w:t xml:space="preserve"> po použití rôznych </w:t>
      </w:r>
      <w:proofErr w:type="spellStart"/>
      <w:r w:rsidRPr="0040738C">
        <w:rPr>
          <w:sz w:val="22"/>
          <w:szCs w:val="20"/>
        </w:rPr>
        <w:t>nervovosvalových</w:t>
      </w:r>
      <w:proofErr w:type="spellEnd"/>
      <w:r w:rsidRPr="0040738C">
        <w:rPr>
          <w:sz w:val="22"/>
          <w:szCs w:val="20"/>
        </w:rPr>
        <w:t xml:space="preserve"> </w:t>
      </w:r>
      <w:proofErr w:type="spellStart"/>
      <w:r w:rsidR="006874DB">
        <w:rPr>
          <w:sz w:val="22"/>
          <w:szCs w:val="20"/>
        </w:rPr>
        <w:t>blokátorov</w:t>
      </w:r>
      <w:proofErr w:type="spellEnd"/>
      <w:r w:rsidR="006874DB" w:rsidRPr="0040738C">
        <w:rPr>
          <w:sz w:val="22"/>
          <w:szCs w:val="20"/>
        </w:rPr>
        <w:t xml:space="preserve"> </w:t>
      </w:r>
      <w:r w:rsidRPr="0040738C">
        <w:rPr>
          <w:sz w:val="22"/>
          <w:szCs w:val="20"/>
        </w:rPr>
        <w:t>na JIS v kombinácii s</w:t>
      </w:r>
      <w:r w:rsidR="000F7F2E">
        <w:rPr>
          <w:sz w:val="22"/>
          <w:szCs w:val="20"/>
        </w:rPr>
        <w:t> </w:t>
      </w:r>
      <w:proofErr w:type="spellStart"/>
      <w:r w:rsidRPr="0040738C">
        <w:rPr>
          <w:sz w:val="22"/>
          <w:szCs w:val="20"/>
        </w:rPr>
        <w:t>kortikosteroidmi</w:t>
      </w:r>
      <w:proofErr w:type="spellEnd"/>
      <w:r w:rsidRPr="0040738C">
        <w:rPr>
          <w:sz w:val="22"/>
          <w:szCs w:val="20"/>
        </w:rPr>
        <w:t xml:space="preserve"> (pozri časť 4.4).</w:t>
      </w:r>
    </w:p>
    <w:p w14:paraId="2CCF6952" w14:textId="77777777" w:rsidR="00CB2A09" w:rsidRPr="0040738C" w:rsidRDefault="00CB2A09" w:rsidP="00CD70B0">
      <w:pPr>
        <w:rPr>
          <w:sz w:val="22"/>
          <w:szCs w:val="20"/>
        </w:rPr>
      </w:pPr>
    </w:p>
    <w:p w14:paraId="2C08458F" w14:textId="77777777" w:rsidR="00CB2A09" w:rsidRPr="0040738C" w:rsidRDefault="00CB2A09" w:rsidP="00DD73F9">
      <w:pPr>
        <w:keepNext/>
        <w:ind w:left="360" w:hanging="360"/>
        <w:rPr>
          <w:bCs/>
          <w:sz w:val="22"/>
          <w:szCs w:val="20"/>
          <w:u w:val="single"/>
        </w:rPr>
      </w:pPr>
      <w:r w:rsidRPr="0040738C">
        <w:rPr>
          <w:bCs/>
          <w:sz w:val="22"/>
          <w:szCs w:val="20"/>
          <w:u w:val="single"/>
        </w:rPr>
        <w:t>Lokálne reakcie v mieste podania injekcie</w:t>
      </w:r>
    </w:p>
    <w:p w14:paraId="54613F76" w14:textId="6014ECAB" w:rsidR="00CB2A09" w:rsidRPr="0040738C" w:rsidRDefault="00CB2A09" w:rsidP="00CD70B0">
      <w:pPr>
        <w:rPr>
          <w:sz w:val="22"/>
          <w:szCs w:val="20"/>
        </w:rPr>
      </w:pPr>
      <w:r w:rsidRPr="0040738C">
        <w:rPr>
          <w:sz w:val="22"/>
          <w:szCs w:val="20"/>
        </w:rPr>
        <w:t xml:space="preserve">Počas rýchleho úvodu do anestézie </w:t>
      </w:r>
      <w:r w:rsidR="00F4140B">
        <w:rPr>
          <w:sz w:val="22"/>
          <w:szCs w:val="20"/>
        </w:rPr>
        <w:t>sa hlásila</w:t>
      </w:r>
      <w:r w:rsidRPr="0040738C">
        <w:rPr>
          <w:sz w:val="22"/>
          <w:szCs w:val="20"/>
        </w:rPr>
        <w:t xml:space="preserve"> bolesť p</w:t>
      </w:r>
      <w:r w:rsidR="000F7F2E">
        <w:rPr>
          <w:sz w:val="22"/>
          <w:szCs w:val="20"/>
        </w:rPr>
        <w:t>ri</w:t>
      </w:r>
      <w:r w:rsidRPr="0040738C">
        <w:rPr>
          <w:sz w:val="22"/>
          <w:szCs w:val="20"/>
        </w:rPr>
        <w:t xml:space="preserve"> injekcii, </w:t>
      </w:r>
      <w:r w:rsidR="000F7F2E">
        <w:rPr>
          <w:sz w:val="22"/>
          <w:szCs w:val="20"/>
        </w:rPr>
        <w:t>najmä</w:t>
      </w:r>
      <w:r w:rsidRPr="0040738C">
        <w:rPr>
          <w:sz w:val="22"/>
          <w:szCs w:val="20"/>
        </w:rPr>
        <w:t xml:space="preserve"> ak pacient ešte úplne nestratil vedomie a najmä, </w:t>
      </w:r>
      <w:r w:rsidR="000F7F2E">
        <w:rPr>
          <w:sz w:val="22"/>
          <w:szCs w:val="20"/>
        </w:rPr>
        <w:t>a</w:t>
      </w:r>
      <w:r w:rsidRPr="0040738C">
        <w:rPr>
          <w:sz w:val="22"/>
          <w:szCs w:val="20"/>
        </w:rPr>
        <w:t>k sa ako</w:t>
      </w:r>
      <w:r w:rsidR="009F7A23">
        <w:rPr>
          <w:sz w:val="22"/>
          <w:szCs w:val="20"/>
        </w:rPr>
        <w:t xml:space="preserve"> </w:t>
      </w:r>
      <w:r w:rsidRPr="0040738C">
        <w:rPr>
          <w:sz w:val="22"/>
          <w:szCs w:val="20"/>
        </w:rPr>
        <w:t>úvodn</w:t>
      </w:r>
      <w:r w:rsidR="000F7F2E">
        <w:rPr>
          <w:sz w:val="22"/>
          <w:szCs w:val="20"/>
        </w:rPr>
        <w:t>é</w:t>
      </w:r>
      <w:r w:rsidRPr="0040738C">
        <w:rPr>
          <w:sz w:val="22"/>
          <w:szCs w:val="20"/>
        </w:rPr>
        <w:t xml:space="preserve"> l</w:t>
      </w:r>
      <w:r w:rsidR="000F7F2E">
        <w:rPr>
          <w:sz w:val="22"/>
          <w:szCs w:val="20"/>
        </w:rPr>
        <w:t xml:space="preserve">iečivo </w:t>
      </w:r>
      <w:r w:rsidRPr="0040738C">
        <w:rPr>
          <w:sz w:val="22"/>
          <w:szCs w:val="20"/>
        </w:rPr>
        <w:t xml:space="preserve">použil </w:t>
      </w:r>
      <w:proofErr w:type="spellStart"/>
      <w:r w:rsidRPr="0040738C">
        <w:rPr>
          <w:sz w:val="22"/>
          <w:szCs w:val="20"/>
        </w:rPr>
        <w:t>propofol</w:t>
      </w:r>
      <w:proofErr w:type="spellEnd"/>
      <w:r w:rsidRPr="0040738C">
        <w:rPr>
          <w:sz w:val="22"/>
          <w:szCs w:val="20"/>
        </w:rPr>
        <w:t xml:space="preserve">. V klinických </w:t>
      </w:r>
      <w:r w:rsidR="001A2C2D">
        <w:rPr>
          <w:sz w:val="22"/>
          <w:szCs w:val="20"/>
        </w:rPr>
        <w:t>št</w:t>
      </w:r>
      <w:r w:rsidRPr="0040738C">
        <w:rPr>
          <w:sz w:val="22"/>
          <w:szCs w:val="20"/>
        </w:rPr>
        <w:t>ú</w:t>
      </w:r>
      <w:r w:rsidR="001A2C2D">
        <w:rPr>
          <w:sz w:val="22"/>
          <w:szCs w:val="20"/>
        </w:rPr>
        <w:t>d</w:t>
      </w:r>
      <w:r w:rsidRPr="0040738C">
        <w:rPr>
          <w:sz w:val="22"/>
          <w:szCs w:val="20"/>
        </w:rPr>
        <w:t>i</w:t>
      </w:r>
      <w:r w:rsidR="001A2C2D">
        <w:rPr>
          <w:sz w:val="22"/>
          <w:szCs w:val="20"/>
        </w:rPr>
        <w:t>á</w:t>
      </w:r>
      <w:r w:rsidRPr="0040738C">
        <w:rPr>
          <w:sz w:val="22"/>
          <w:szCs w:val="20"/>
        </w:rPr>
        <w:t xml:space="preserve">ch </w:t>
      </w:r>
      <w:r w:rsidR="000F2826">
        <w:rPr>
          <w:sz w:val="22"/>
          <w:szCs w:val="20"/>
        </w:rPr>
        <w:t>bola</w:t>
      </w:r>
      <w:r w:rsidRPr="0040738C">
        <w:rPr>
          <w:sz w:val="22"/>
          <w:szCs w:val="20"/>
        </w:rPr>
        <w:t xml:space="preserve"> zaznamena</w:t>
      </w:r>
      <w:r w:rsidR="000F2826">
        <w:rPr>
          <w:sz w:val="22"/>
          <w:szCs w:val="20"/>
        </w:rPr>
        <w:t>ná</w:t>
      </w:r>
      <w:r w:rsidRPr="0040738C">
        <w:rPr>
          <w:sz w:val="22"/>
          <w:szCs w:val="20"/>
        </w:rPr>
        <w:t xml:space="preserve"> bolesť po injekcii u</w:t>
      </w:r>
      <w:r w:rsidR="002C210D">
        <w:rPr>
          <w:sz w:val="22"/>
          <w:szCs w:val="20"/>
        </w:rPr>
        <w:t> </w:t>
      </w:r>
      <w:r w:rsidRPr="0040738C">
        <w:rPr>
          <w:sz w:val="22"/>
          <w:szCs w:val="20"/>
        </w:rPr>
        <w:t>16</w:t>
      </w:r>
      <w:r w:rsidR="002C210D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% pacientov, ktorí podstúpili rýchly úvod </w:t>
      </w:r>
      <w:r w:rsidR="0024628E">
        <w:rPr>
          <w:sz w:val="22"/>
          <w:szCs w:val="20"/>
        </w:rPr>
        <w:t xml:space="preserve">do </w:t>
      </w:r>
      <w:r w:rsidRPr="0040738C">
        <w:rPr>
          <w:sz w:val="22"/>
          <w:szCs w:val="20"/>
        </w:rPr>
        <w:t>anestézie s </w:t>
      </w:r>
      <w:proofErr w:type="spellStart"/>
      <w:r w:rsidRPr="0040738C">
        <w:rPr>
          <w:sz w:val="22"/>
          <w:szCs w:val="20"/>
        </w:rPr>
        <w:t>propofolom</w:t>
      </w:r>
      <w:proofErr w:type="spellEnd"/>
      <w:r w:rsidRPr="0040738C">
        <w:rPr>
          <w:sz w:val="22"/>
          <w:szCs w:val="20"/>
        </w:rPr>
        <w:t xml:space="preserve"> a menej ako u 0,5</w:t>
      </w:r>
      <w:r w:rsidR="002C210D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% pacientov, ktorí podstúpili rýchly úvod </w:t>
      </w:r>
      <w:r w:rsidR="0024628E">
        <w:rPr>
          <w:sz w:val="22"/>
          <w:szCs w:val="20"/>
        </w:rPr>
        <w:t xml:space="preserve">do </w:t>
      </w:r>
      <w:r w:rsidRPr="0040738C">
        <w:rPr>
          <w:sz w:val="22"/>
          <w:szCs w:val="20"/>
        </w:rPr>
        <w:t xml:space="preserve">anestézie s </w:t>
      </w:r>
      <w:proofErr w:type="spellStart"/>
      <w:r w:rsidRPr="0040738C">
        <w:rPr>
          <w:sz w:val="22"/>
          <w:szCs w:val="20"/>
        </w:rPr>
        <w:t>fentanylom</w:t>
      </w:r>
      <w:proofErr w:type="spellEnd"/>
      <w:r w:rsidRPr="0040738C">
        <w:rPr>
          <w:sz w:val="22"/>
          <w:szCs w:val="20"/>
        </w:rPr>
        <w:t xml:space="preserve"> a </w:t>
      </w:r>
      <w:proofErr w:type="spellStart"/>
      <w:r w:rsidRPr="0040738C">
        <w:rPr>
          <w:sz w:val="22"/>
          <w:szCs w:val="20"/>
        </w:rPr>
        <w:t>tiopentalom</w:t>
      </w:r>
      <w:proofErr w:type="spellEnd"/>
      <w:r w:rsidRPr="0040738C">
        <w:rPr>
          <w:sz w:val="22"/>
          <w:szCs w:val="20"/>
        </w:rPr>
        <w:t>.</w:t>
      </w:r>
    </w:p>
    <w:p w14:paraId="31CC7AC5" w14:textId="77777777" w:rsidR="00CB2A09" w:rsidRPr="0040738C" w:rsidRDefault="00CB2A09" w:rsidP="00CD70B0">
      <w:pPr>
        <w:rPr>
          <w:sz w:val="22"/>
          <w:szCs w:val="20"/>
        </w:rPr>
      </w:pPr>
    </w:p>
    <w:p w14:paraId="0C8E966F" w14:textId="77777777" w:rsidR="00CB2A09" w:rsidRPr="0040738C" w:rsidRDefault="00CE7D04" w:rsidP="003E54A9">
      <w:pPr>
        <w:keepNext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>Pediatrickí</w:t>
      </w:r>
      <w:r w:rsidR="00CB2A09" w:rsidRPr="0040738C">
        <w:rPr>
          <w:sz w:val="22"/>
          <w:szCs w:val="20"/>
          <w:u w:val="single"/>
        </w:rPr>
        <w:t xml:space="preserve"> pacienti</w:t>
      </w:r>
    </w:p>
    <w:p w14:paraId="552DE302" w14:textId="77777777" w:rsidR="00CB2A09" w:rsidRPr="0040738C" w:rsidRDefault="00CB2A09" w:rsidP="00CD70B0">
      <w:pPr>
        <w:rPr>
          <w:sz w:val="22"/>
          <w:szCs w:val="20"/>
        </w:rPr>
      </w:pPr>
      <w:proofErr w:type="spellStart"/>
      <w:r w:rsidRPr="0040738C">
        <w:rPr>
          <w:sz w:val="22"/>
          <w:szCs w:val="20"/>
        </w:rPr>
        <w:t>Metaanalýza</w:t>
      </w:r>
      <w:proofErr w:type="spellEnd"/>
      <w:r w:rsidRPr="0040738C">
        <w:rPr>
          <w:sz w:val="22"/>
          <w:szCs w:val="20"/>
        </w:rPr>
        <w:t xml:space="preserve"> 11 klinických </w:t>
      </w:r>
      <w:r w:rsidR="001A2C2D">
        <w:rPr>
          <w:sz w:val="22"/>
          <w:szCs w:val="20"/>
        </w:rPr>
        <w:t>št</w:t>
      </w:r>
      <w:r w:rsidR="000F7F2E">
        <w:rPr>
          <w:sz w:val="22"/>
          <w:szCs w:val="20"/>
        </w:rPr>
        <w:t>ú</w:t>
      </w:r>
      <w:r w:rsidR="001A2C2D">
        <w:rPr>
          <w:sz w:val="22"/>
          <w:szCs w:val="20"/>
        </w:rPr>
        <w:t>di</w:t>
      </w:r>
      <w:r w:rsidR="000F7F2E">
        <w:rPr>
          <w:sz w:val="22"/>
          <w:szCs w:val="20"/>
        </w:rPr>
        <w:t>í</w:t>
      </w:r>
      <w:r w:rsidRPr="0040738C">
        <w:rPr>
          <w:sz w:val="22"/>
          <w:szCs w:val="20"/>
        </w:rPr>
        <w:t xml:space="preserve"> u</w:t>
      </w:r>
      <w:r w:rsidR="000F7F2E">
        <w:rPr>
          <w:sz w:val="22"/>
          <w:szCs w:val="20"/>
        </w:rPr>
        <w:t> </w:t>
      </w:r>
      <w:r w:rsidR="00CE7D04">
        <w:rPr>
          <w:sz w:val="22"/>
          <w:szCs w:val="20"/>
        </w:rPr>
        <w:t>pediatrický</w:t>
      </w:r>
      <w:r w:rsidR="000F7F2E">
        <w:rPr>
          <w:sz w:val="22"/>
          <w:szCs w:val="20"/>
        </w:rPr>
        <w:t>ch</w:t>
      </w:r>
      <w:r w:rsidRPr="0040738C">
        <w:rPr>
          <w:sz w:val="22"/>
          <w:szCs w:val="20"/>
        </w:rPr>
        <w:t xml:space="preserve"> pacientov (n</w:t>
      </w:r>
      <w:r w:rsidR="000F7F2E">
        <w:rPr>
          <w:sz w:val="22"/>
          <w:szCs w:val="20"/>
        </w:rPr>
        <w:t> </w:t>
      </w:r>
      <w:r w:rsidRPr="0040738C">
        <w:rPr>
          <w:sz w:val="22"/>
          <w:szCs w:val="20"/>
        </w:rPr>
        <w:t>=</w:t>
      </w:r>
      <w:r w:rsidR="000F7F2E">
        <w:rPr>
          <w:sz w:val="22"/>
          <w:szCs w:val="20"/>
        </w:rPr>
        <w:t> </w:t>
      </w:r>
      <w:r w:rsidRPr="0040738C">
        <w:rPr>
          <w:sz w:val="22"/>
          <w:szCs w:val="20"/>
        </w:rPr>
        <w:t>704) s </w:t>
      </w:r>
      <w:proofErr w:type="spellStart"/>
      <w:r w:rsidRPr="0040738C">
        <w:rPr>
          <w:sz w:val="22"/>
          <w:szCs w:val="20"/>
        </w:rPr>
        <w:t>rokuróniumbromidom</w:t>
      </w:r>
      <w:proofErr w:type="spellEnd"/>
      <w:r w:rsidRPr="0040738C">
        <w:rPr>
          <w:sz w:val="22"/>
          <w:szCs w:val="20"/>
        </w:rPr>
        <w:t xml:space="preserve"> (do 1</w:t>
      </w:r>
      <w:r w:rsidR="009F7A23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mg/kg) </w:t>
      </w:r>
      <w:r w:rsidR="000F7F2E">
        <w:rPr>
          <w:sz w:val="22"/>
          <w:szCs w:val="20"/>
        </w:rPr>
        <w:t>preukázala, že</w:t>
      </w:r>
      <w:r w:rsidRPr="0040738C">
        <w:rPr>
          <w:sz w:val="22"/>
          <w:szCs w:val="20"/>
        </w:rPr>
        <w:t xml:space="preserve"> </w:t>
      </w:r>
      <w:r w:rsidR="000F7F2E">
        <w:rPr>
          <w:sz w:val="22"/>
          <w:szCs w:val="20"/>
        </w:rPr>
        <w:t xml:space="preserve">ako nežiaduca reakcia lieku sa identifikovala </w:t>
      </w:r>
      <w:proofErr w:type="spellStart"/>
      <w:r w:rsidRPr="0040738C">
        <w:rPr>
          <w:sz w:val="22"/>
          <w:szCs w:val="20"/>
        </w:rPr>
        <w:t>tachykardi</w:t>
      </w:r>
      <w:r w:rsidR="000F7F2E">
        <w:rPr>
          <w:sz w:val="22"/>
          <w:szCs w:val="20"/>
        </w:rPr>
        <w:t>a</w:t>
      </w:r>
      <w:proofErr w:type="spellEnd"/>
      <w:r w:rsidR="000F7F2E">
        <w:rPr>
          <w:sz w:val="22"/>
          <w:szCs w:val="20"/>
        </w:rPr>
        <w:t xml:space="preserve"> </w:t>
      </w:r>
      <w:r w:rsidRPr="0040738C">
        <w:rPr>
          <w:sz w:val="22"/>
          <w:szCs w:val="20"/>
        </w:rPr>
        <w:t>s frekvenciou 1,4</w:t>
      </w:r>
      <w:r w:rsidR="002C210D">
        <w:rPr>
          <w:sz w:val="22"/>
          <w:szCs w:val="20"/>
        </w:rPr>
        <w:t> </w:t>
      </w:r>
      <w:r w:rsidRPr="0040738C">
        <w:rPr>
          <w:sz w:val="22"/>
          <w:szCs w:val="20"/>
        </w:rPr>
        <w:t>%.</w:t>
      </w:r>
    </w:p>
    <w:p w14:paraId="5C6AB6E4" w14:textId="77777777" w:rsidR="00CB2A09" w:rsidRDefault="00CB2A09" w:rsidP="00CD70B0">
      <w:pPr>
        <w:ind w:left="360" w:hanging="360"/>
        <w:rPr>
          <w:b/>
          <w:sz w:val="22"/>
          <w:szCs w:val="20"/>
        </w:rPr>
      </w:pPr>
    </w:p>
    <w:p w14:paraId="04F729A4" w14:textId="77777777" w:rsidR="0046477D" w:rsidRPr="003E54A9" w:rsidRDefault="0046477D" w:rsidP="00DD73F9">
      <w:pPr>
        <w:keepNext/>
        <w:keepLines/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3E54A9">
        <w:rPr>
          <w:noProof/>
          <w:sz w:val="22"/>
          <w:szCs w:val="22"/>
          <w:u w:val="single"/>
        </w:rPr>
        <w:lastRenderedPageBreak/>
        <w:t>Hlásenie podozrení na nežiaduce reakcie</w:t>
      </w:r>
    </w:p>
    <w:p w14:paraId="19051FC5" w14:textId="69A633B1" w:rsidR="0046477D" w:rsidRPr="0046477D" w:rsidRDefault="0046477D" w:rsidP="00DD73F9">
      <w:pPr>
        <w:keepNext/>
        <w:keepLines/>
        <w:rPr>
          <w:b/>
          <w:sz w:val="22"/>
          <w:szCs w:val="22"/>
        </w:rPr>
      </w:pPr>
      <w:r w:rsidRPr="003E54A9">
        <w:rPr>
          <w:noProof/>
          <w:sz w:val="22"/>
          <w:szCs w:val="22"/>
        </w:rPr>
        <w:t>Hlásenie podozrení na nežiaduce reakcie po registrácii lieku je dôležité.</w:t>
      </w:r>
      <w:r w:rsidRPr="003E54A9">
        <w:rPr>
          <w:sz w:val="22"/>
          <w:szCs w:val="22"/>
        </w:rPr>
        <w:t xml:space="preserve"> </w:t>
      </w:r>
      <w:r w:rsidRPr="003E54A9">
        <w:rPr>
          <w:noProof/>
          <w:sz w:val="22"/>
          <w:szCs w:val="22"/>
        </w:rPr>
        <w:t>Umožňuje priebežné monitorovanie pomeru prínosu a rizika lieku.</w:t>
      </w:r>
      <w:r w:rsidRPr="003E54A9">
        <w:rPr>
          <w:sz w:val="22"/>
          <w:szCs w:val="22"/>
        </w:rPr>
        <w:t xml:space="preserve"> Od </w:t>
      </w:r>
      <w:r w:rsidRPr="003E54A9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DF47C9">
        <w:rPr>
          <w:noProof/>
          <w:sz w:val="22"/>
          <w:szCs w:val="22"/>
        </w:rPr>
        <w:t>na</w:t>
      </w:r>
      <w:r w:rsidRPr="003E54A9">
        <w:rPr>
          <w:noProof/>
          <w:sz w:val="22"/>
          <w:szCs w:val="22"/>
        </w:rPr>
        <w:t xml:space="preserve"> </w:t>
      </w:r>
      <w:r w:rsidRPr="003E54A9">
        <w:rPr>
          <w:noProof/>
          <w:sz w:val="22"/>
          <w:szCs w:val="22"/>
          <w:highlight w:val="lightGray"/>
        </w:rPr>
        <w:t xml:space="preserve">národné </w:t>
      </w:r>
      <w:r w:rsidR="00DF47C9">
        <w:rPr>
          <w:noProof/>
          <w:sz w:val="22"/>
          <w:szCs w:val="22"/>
          <w:highlight w:val="lightGray"/>
        </w:rPr>
        <w:t>centrum</w:t>
      </w:r>
      <w:r w:rsidRPr="003E54A9">
        <w:rPr>
          <w:noProof/>
          <w:sz w:val="22"/>
          <w:szCs w:val="22"/>
          <w:highlight w:val="lightGray"/>
        </w:rPr>
        <w:t xml:space="preserve"> hlásenia uvedené </w:t>
      </w:r>
      <w:r w:rsidRPr="009024AE">
        <w:rPr>
          <w:noProof/>
          <w:sz w:val="22"/>
          <w:szCs w:val="22"/>
          <w:highlight w:val="lightGray"/>
        </w:rPr>
        <w:t>v</w:t>
      </w:r>
      <w:r w:rsidRPr="00DC0343">
        <w:rPr>
          <w:noProof/>
          <w:sz w:val="22"/>
          <w:szCs w:val="22"/>
          <w:highlight w:val="lightGray"/>
        </w:rPr>
        <w:t> </w:t>
      </w:r>
      <w:hyperlink r:id="rId9" w:history="1">
        <w:r w:rsidRPr="00DC0343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>
        <w:rPr>
          <w:noProof/>
          <w:sz w:val="22"/>
          <w:szCs w:val="22"/>
        </w:rPr>
        <w:t>.</w:t>
      </w:r>
    </w:p>
    <w:p w14:paraId="74A07BF7" w14:textId="77777777" w:rsidR="0046477D" w:rsidRPr="0040738C" w:rsidRDefault="0046477D" w:rsidP="00CD70B0">
      <w:pPr>
        <w:ind w:left="360" w:hanging="360"/>
        <w:rPr>
          <w:b/>
          <w:sz w:val="22"/>
          <w:szCs w:val="20"/>
        </w:rPr>
      </w:pPr>
    </w:p>
    <w:p w14:paraId="4BC0A3CC" w14:textId="1DC8403A" w:rsidR="00CB2A09" w:rsidRPr="0040738C" w:rsidRDefault="00CB2A09" w:rsidP="00DD73F9">
      <w:pPr>
        <w:keepNext/>
        <w:rPr>
          <w:b/>
          <w:sz w:val="22"/>
          <w:szCs w:val="20"/>
        </w:rPr>
      </w:pPr>
      <w:r w:rsidRPr="0040738C">
        <w:rPr>
          <w:b/>
          <w:sz w:val="22"/>
          <w:szCs w:val="20"/>
        </w:rPr>
        <w:t>4.9</w:t>
      </w:r>
      <w:r w:rsidRPr="0040738C">
        <w:rPr>
          <w:b/>
          <w:sz w:val="22"/>
          <w:szCs w:val="20"/>
        </w:rPr>
        <w:tab/>
        <w:t>Predávkovanie</w:t>
      </w:r>
    </w:p>
    <w:p w14:paraId="3858A6B2" w14:textId="77777777" w:rsidR="00CB2A09" w:rsidRPr="0040738C" w:rsidRDefault="00CB2A09" w:rsidP="00DD73F9">
      <w:pPr>
        <w:keepNext/>
        <w:ind w:left="360" w:hanging="360"/>
        <w:rPr>
          <w:b/>
          <w:sz w:val="22"/>
          <w:szCs w:val="20"/>
        </w:rPr>
      </w:pPr>
    </w:p>
    <w:p w14:paraId="3BFFCF7C" w14:textId="1AD76530" w:rsidR="00F1262F" w:rsidRDefault="00CB2A09" w:rsidP="00CD70B0">
      <w:pPr>
        <w:rPr>
          <w:sz w:val="22"/>
          <w:szCs w:val="20"/>
        </w:rPr>
      </w:pPr>
      <w:r w:rsidRPr="0040738C">
        <w:rPr>
          <w:sz w:val="22"/>
          <w:szCs w:val="20"/>
        </w:rPr>
        <w:t xml:space="preserve">V prípade predávkovania a predĺženej </w:t>
      </w:r>
      <w:proofErr w:type="spellStart"/>
      <w:r w:rsidRPr="0040738C">
        <w:rPr>
          <w:sz w:val="22"/>
          <w:szCs w:val="20"/>
        </w:rPr>
        <w:t>nervovosvalovej</w:t>
      </w:r>
      <w:proofErr w:type="spellEnd"/>
      <w:r w:rsidRPr="0040738C">
        <w:rPr>
          <w:sz w:val="22"/>
          <w:szCs w:val="20"/>
        </w:rPr>
        <w:t xml:space="preserve"> blokády sa u pacienta m</w:t>
      </w:r>
      <w:r w:rsidR="00E51D7F">
        <w:rPr>
          <w:sz w:val="22"/>
          <w:szCs w:val="20"/>
        </w:rPr>
        <w:t>á</w:t>
      </w:r>
      <w:r w:rsidRPr="0040738C">
        <w:rPr>
          <w:sz w:val="22"/>
          <w:szCs w:val="20"/>
        </w:rPr>
        <w:t xml:space="preserve"> pokračovať v</w:t>
      </w:r>
      <w:r w:rsidR="00F1262F">
        <w:rPr>
          <w:sz w:val="22"/>
          <w:szCs w:val="20"/>
        </w:rPr>
        <w:t> podpore dýchania</w:t>
      </w:r>
      <w:r w:rsidRPr="0040738C">
        <w:rPr>
          <w:sz w:val="22"/>
          <w:szCs w:val="20"/>
        </w:rPr>
        <w:t xml:space="preserve"> a</w:t>
      </w:r>
      <w:r w:rsidR="00F1262F">
        <w:rPr>
          <w:sz w:val="22"/>
          <w:szCs w:val="20"/>
        </w:rPr>
        <w:t xml:space="preserve"> v </w:t>
      </w:r>
      <w:proofErr w:type="spellStart"/>
      <w:r w:rsidRPr="0040738C">
        <w:rPr>
          <w:sz w:val="22"/>
          <w:szCs w:val="20"/>
        </w:rPr>
        <w:t>sedácii</w:t>
      </w:r>
      <w:proofErr w:type="spellEnd"/>
      <w:r w:rsidRPr="0040738C">
        <w:rPr>
          <w:sz w:val="22"/>
          <w:szCs w:val="20"/>
        </w:rPr>
        <w:t>. V</w:t>
      </w:r>
      <w:r w:rsidR="003F20A6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tejto situácii sú dve možnosti na </w:t>
      </w:r>
      <w:proofErr w:type="spellStart"/>
      <w:r w:rsidRPr="0040738C">
        <w:rPr>
          <w:sz w:val="22"/>
          <w:szCs w:val="20"/>
        </w:rPr>
        <w:t>reverziu</w:t>
      </w:r>
      <w:proofErr w:type="spellEnd"/>
      <w:r w:rsidRPr="0040738C">
        <w:rPr>
          <w:sz w:val="22"/>
          <w:szCs w:val="20"/>
        </w:rPr>
        <w:t xml:space="preserve"> </w:t>
      </w:r>
      <w:proofErr w:type="spellStart"/>
      <w:r w:rsidR="00F1262F" w:rsidRPr="0040738C">
        <w:rPr>
          <w:sz w:val="22"/>
          <w:szCs w:val="20"/>
        </w:rPr>
        <w:t>ne</w:t>
      </w:r>
      <w:r w:rsidR="00F1262F">
        <w:rPr>
          <w:sz w:val="22"/>
          <w:szCs w:val="20"/>
        </w:rPr>
        <w:t>rvovosvalove</w:t>
      </w:r>
      <w:r w:rsidR="0024628E">
        <w:rPr>
          <w:sz w:val="22"/>
          <w:szCs w:val="20"/>
        </w:rPr>
        <w:t>j</w:t>
      </w:r>
      <w:proofErr w:type="spellEnd"/>
      <w:r w:rsidRPr="0040738C">
        <w:rPr>
          <w:sz w:val="22"/>
          <w:szCs w:val="20"/>
        </w:rPr>
        <w:t xml:space="preserve"> blokády:</w:t>
      </w:r>
    </w:p>
    <w:p w14:paraId="5FC79333" w14:textId="2CB93E70" w:rsidR="00CB2A09" w:rsidRDefault="002B4B77" w:rsidP="00DD73F9">
      <w:pPr>
        <w:numPr>
          <w:ilvl w:val="0"/>
          <w:numId w:val="13"/>
        </w:numPr>
        <w:tabs>
          <w:tab w:val="left" w:pos="284"/>
        </w:tabs>
        <w:ind w:left="0" w:firstLine="0"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 w:rsidR="00F1262F" w:rsidRPr="00280B8D">
        <w:rPr>
          <w:sz w:val="22"/>
          <w:szCs w:val="20"/>
        </w:rPr>
        <w:t xml:space="preserve">Na </w:t>
      </w:r>
      <w:proofErr w:type="spellStart"/>
      <w:r w:rsidR="00F1262F" w:rsidRPr="00280B8D">
        <w:rPr>
          <w:sz w:val="22"/>
          <w:szCs w:val="20"/>
        </w:rPr>
        <w:t>reverziu</w:t>
      </w:r>
      <w:proofErr w:type="spellEnd"/>
      <w:r w:rsidR="00F1262F" w:rsidRPr="00280B8D">
        <w:rPr>
          <w:sz w:val="22"/>
          <w:szCs w:val="20"/>
        </w:rPr>
        <w:t xml:space="preserve"> intenzívnej (silnej) a hlbokej blokády sa môže použiť </w:t>
      </w:r>
      <w:proofErr w:type="spellStart"/>
      <w:r w:rsidR="00F1262F" w:rsidRPr="00280B8D">
        <w:rPr>
          <w:sz w:val="22"/>
          <w:szCs w:val="20"/>
        </w:rPr>
        <w:t>s</w:t>
      </w:r>
      <w:r w:rsidR="00CB2A09" w:rsidRPr="00280B8D">
        <w:rPr>
          <w:sz w:val="22"/>
          <w:szCs w:val="20"/>
        </w:rPr>
        <w:t>ugammadex</w:t>
      </w:r>
      <w:proofErr w:type="spellEnd"/>
      <w:r w:rsidR="00CB2A09" w:rsidRPr="00280B8D">
        <w:rPr>
          <w:sz w:val="22"/>
          <w:szCs w:val="20"/>
        </w:rPr>
        <w:t xml:space="preserve">. Dávka </w:t>
      </w:r>
      <w:proofErr w:type="spellStart"/>
      <w:r w:rsidR="00CB2A09" w:rsidRPr="00280B8D">
        <w:rPr>
          <w:sz w:val="22"/>
          <w:szCs w:val="20"/>
        </w:rPr>
        <w:t>sugammadexu</w:t>
      </w:r>
      <w:proofErr w:type="spellEnd"/>
      <w:r w:rsidR="00F1262F" w:rsidRPr="00280B8D">
        <w:rPr>
          <w:sz w:val="22"/>
          <w:szCs w:val="20"/>
        </w:rPr>
        <w:t>, ktorá</w:t>
      </w:r>
      <w:r w:rsidR="00CB2A09" w:rsidRPr="00280B8D">
        <w:rPr>
          <w:sz w:val="22"/>
          <w:szCs w:val="20"/>
        </w:rPr>
        <w:t xml:space="preserve"> sa má podať</w:t>
      </w:r>
      <w:r w:rsidR="00F1262F" w:rsidRPr="00280B8D">
        <w:rPr>
          <w:sz w:val="22"/>
          <w:szCs w:val="20"/>
        </w:rPr>
        <w:t>,</w:t>
      </w:r>
      <w:r w:rsidR="00CB2A09" w:rsidRPr="00280B8D">
        <w:rPr>
          <w:sz w:val="22"/>
          <w:szCs w:val="20"/>
        </w:rPr>
        <w:t xml:space="preserve"> závis</w:t>
      </w:r>
      <w:r w:rsidR="00F1262F" w:rsidRPr="00280B8D">
        <w:rPr>
          <w:sz w:val="22"/>
          <w:szCs w:val="20"/>
        </w:rPr>
        <w:t>í</w:t>
      </w:r>
      <w:r w:rsidR="00CB2A09" w:rsidRPr="00280B8D">
        <w:rPr>
          <w:sz w:val="22"/>
          <w:szCs w:val="20"/>
        </w:rPr>
        <w:t xml:space="preserve"> od </w:t>
      </w:r>
      <w:r w:rsidR="00F1262F" w:rsidRPr="00280B8D">
        <w:rPr>
          <w:sz w:val="22"/>
          <w:szCs w:val="20"/>
        </w:rPr>
        <w:t>miery</w:t>
      </w:r>
      <w:r w:rsidR="00CB2A09" w:rsidRPr="00280B8D">
        <w:rPr>
          <w:sz w:val="22"/>
          <w:szCs w:val="20"/>
        </w:rPr>
        <w:t xml:space="preserve"> </w:t>
      </w:r>
      <w:proofErr w:type="spellStart"/>
      <w:r w:rsidR="00CB2A09" w:rsidRPr="00280B8D">
        <w:rPr>
          <w:sz w:val="22"/>
          <w:szCs w:val="20"/>
        </w:rPr>
        <w:t>ne</w:t>
      </w:r>
      <w:r w:rsidR="00F1262F" w:rsidRPr="00280B8D">
        <w:rPr>
          <w:sz w:val="22"/>
          <w:szCs w:val="20"/>
        </w:rPr>
        <w:t>rvovosvalovej</w:t>
      </w:r>
      <w:proofErr w:type="spellEnd"/>
      <w:r w:rsidR="00CB2A09" w:rsidRPr="00280B8D">
        <w:rPr>
          <w:sz w:val="22"/>
          <w:szCs w:val="20"/>
        </w:rPr>
        <w:t xml:space="preserve"> blokády.</w:t>
      </w:r>
      <w:r w:rsidR="00CB2A09" w:rsidRPr="0040738C">
        <w:rPr>
          <w:sz w:val="22"/>
          <w:szCs w:val="20"/>
        </w:rPr>
        <w:t xml:space="preserve"> (2) </w:t>
      </w:r>
      <w:r w:rsidR="00F1262F">
        <w:rPr>
          <w:sz w:val="22"/>
          <w:szCs w:val="20"/>
        </w:rPr>
        <w:t xml:space="preserve">Hneď ako nastane spontánne </w:t>
      </w:r>
      <w:proofErr w:type="spellStart"/>
      <w:r w:rsidR="00E04A62">
        <w:rPr>
          <w:sz w:val="22"/>
          <w:szCs w:val="20"/>
        </w:rPr>
        <w:t>odoznenie</w:t>
      </w:r>
      <w:proofErr w:type="spellEnd"/>
      <w:r w:rsidR="00F1262F">
        <w:rPr>
          <w:sz w:val="22"/>
          <w:szCs w:val="20"/>
        </w:rPr>
        <w:t>, môže sa použiť i</w:t>
      </w:r>
      <w:r w:rsidR="00CB2A09" w:rsidRPr="0040738C">
        <w:rPr>
          <w:sz w:val="22"/>
          <w:szCs w:val="20"/>
        </w:rPr>
        <w:t xml:space="preserve">nhibítor </w:t>
      </w:r>
      <w:proofErr w:type="spellStart"/>
      <w:r w:rsidR="00CB2A09" w:rsidRPr="0040738C">
        <w:rPr>
          <w:sz w:val="22"/>
          <w:szCs w:val="20"/>
        </w:rPr>
        <w:t>acetylcholínesterázy</w:t>
      </w:r>
      <w:proofErr w:type="spellEnd"/>
      <w:r w:rsidR="00CB2A09" w:rsidRPr="0040738C">
        <w:rPr>
          <w:sz w:val="22"/>
          <w:szCs w:val="20"/>
        </w:rPr>
        <w:t xml:space="preserve"> (napr. </w:t>
      </w:r>
      <w:proofErr w:type="spellStart"/>
      <w:r w:rsidR="00CB2A09" w:rsidRPr="0040738C">
        <w:rPr>
          <w:sz w:val="22"/>
          <w:szCs w:val="20"/>
        </w:rPr>
        <w:t>neostigmín</w:t>
      </w:r>
      <w:proofErr w:type="spellEnd"/>
      <w:r w:rsidR="00CB2A09" w:rsidRPr="0040738C">
        <w:rPr>
          <w:sz w:val="22"/>
          <w:szCs w:val="20"/>
        </w:rPr>
        <w:t xml:space="preserve">, </w:t>
      </w:r>
      <w:proofErr w:type="spellStart"/>
      <w:r w:rsidR="00CB2A09" w:rsidRPr="0040738C">
        <w:rPr>
          <w:sz w:val="22"/>
          <w:szCs w:val="20"/>
        </w:rPr>
        <w:t>edrofónium</w:t>
      </w:r>
      <w:proofErr w:type="spellEnd"/>
      <w:r w:rsidR="00CB2A09" w:rsidRPr="0040738C">
        <w:rPr>
          <w:sz w:val="22"/>
          <w:szCs w:val="20"/>
        </w:rPr>
        <w:t xml:space="preserve">, </w:t>
      </w:r>
      <w:proofErr w:type="spellStart"/>
      <w:r w:rsidR="00CB2A09" w:rsidRPr="0040738C">
        <w:rPr>
          <w:sz w:val="22"/>
          <w:szCs w:val="20"/>
        </w:rPr>
        <w:t>pyridostigmín</w:t>
      </w:r>
      <w:proofErr w:type="spellEnd"/>
      <w:r w:rsidR="00CB2A09" w:rsidRPr="0040738C">
        <w:rPr>
          <w:sz w:val="22"/>
          <w:szCs w:val="20"/>
        </w:rPr>
        <w:t xml:space="preserve">) </w:t>
      </w:r>
      <w:r w:rsidR="00C82CE9">
        <w:rPr>
          <w:sz w:val="22"/>
          <w:szCs w:val="20"/>
        </w:rPr>
        <w:t xml:space="preserve">alebo </w:t>
      </w:r>
      <w:proofErr w:type="spellStart"/>
      <w:r w:rsidR="00C82CE9">
        <w:rPr>
          <w:sz w:val="22"/>
          <w:szCs w:val="20"/>
        </w:rPr>
        <w:t>sugammadex</w:t>
      </w:r>
      <w:proofErr w:type="spellEnd"/>
      <w:r w:rsidR="00C82CE9">
        <w:rPr>
          <w:sz w:val="22"/>
          <w:szCs w:val="20"/>
        </w:rPr>
        <w:t xml:space="preserve"> </w:t>
      </w:r>
      <w:r w:rsidR="00CB2A09" w:rsidRPr="0040738C">
        <w:rPr>
          <w:sz w:val="22"/>
          <w:szCs w:val="20"/>
        </w:rPr>
        <w:t>a má sa podávať v</w:t>
      </w:r>
      <w:r w:rsidR="003F20A6">
        <w:rPr>
          <w:sz w:val="22"/>
          <w:szCs w:val="20"/>
        </w:rPr>
        <w:t> </w:t>
      </w:r>
      <w:r w:rsidR="002F5713">
        <w:rPr>
          <w:sz w:val="22"/>
          <w:szCs w:val="20"/>
        </w:rPr>
        <w:t>primeraných</w:t>
      </w:r>
      <w:r w:rsidR="002F5713" w:rsidRPr="0040738C">
        <w:rPr>
          <w:sz w:val="22"/>
          <w:szCs w:val="20"/>
        </w:rPr>
        <w:t xml:space="preserve"> </w:t>
      </w:r>
      <w:r w:rsidR="00CB2A09" w:rsidRPr="0040738C">
        <w:rPr>
          <w:sz w:val="22"/>
          <w:szCs w:val="20"/>
        </w:rPr>
        <w:t xml:space="preserve">dávkach. Ak podanie inhibítorov </w:t>
      </w:r>
      <w:proofErr w:type="spellStart"/>
      <w:r w:rsidR="00CB2A09" w:rsidRPr="0040738C">
        <w:rPr>
          <w:sz w:val="22"/>
          <w:szCs w:val="20"/>
        </w:rPr>
        <w:t>acetylcholínesterázy</w:t>
      </w:r>
      <w:proofErr w:type="spellEnd"/>
      <w:r w:rsidR="00CB2A09" w:rsidRPr="0040738C">
        <w:rPr>
          <w:sz w:val="22"/>
          <w:szCs w:val="20"/>
        </w:rPr>
        <w:t xml:space="preserve"> </w:t>
      </w:r>
      <w:r w:rsidR="00F1262F">
        <w:rPr>
          <w:sz w:val="22"/>
          <w:szCs w:val="20"/>
        </w:rPr>
        <w:t xml:space="preserve">pri </w:t>
      </w:r>
      <w:proofErr w:type="spellStart"/>
      <w:r w:rsidR="00F1262F">
        <w:rPr>
          <w:sz w:val="22"/>
          <w:szCs w:val="20"/>
        </w:rPr>
        <w:t>reverzii</w:t>
      </w:r>
      <w:proofErr w:type="spellEnd"/>
      <w:r w:rsidR="00CB2A09" w:rsidRPr="0040738C">
        <w:rPr>
          <w:sz w:val="22"/>
          <w:szCs w:val="20"/>
        </w:rPr>
        <w:t xml:space="preserve"> </w:t>
      </w:r>
      <w:proofErr w:type="spellStart"/>
      <w:r w:rsidR="00CB2A09" w:rsidRPr="0040738C">
        <w:rPr>
          <w:sz w:val="22"/>
          <w:szCs w:val="20"/>
        </w:rPr>
        <w:t>nervovosvalov</w:t>
      </w:r>
      <w:r w:rsidR="00B23142">
        <w:rPr>
          <w:sz w:val="22"/>
          <w:szCs w:val="20"/>
        </w:rPr>
        <w:t>ej</w:t>
      </w:r>
      <w:proofErr w:type="spellEnd"/>
      <w:r w:rsidR="00B23142">
        <w:rPr>
          <w:sz w:val="22"/>
          <w:szCs w:val="20"/>
        </w:rPr>
        <w:t xml:space="preserve"> blokády</w:t>
      </w:r>
      <w:r w:rsidR="00CB2A09" w:rsidRPr="0040738C">
        <w:rPr>
          <w:sz w:val="22"/>
          <w:szCs w:val="20"/>
        </w:rPr>
        <w:t xml:space="preserve"> </w:t>
      </w:r>
      <w:r w:rsidR="00B23142">
        <w:rPr>
          <w:sz w:val="22"/>
          <w:szCs w:val="20"/>
        </w:rPr>
        <w:t>vyvolanej</w:t>
      </w:r>
      <w:r w:rsidR="00CB2A09" w:rsidRPr="0040738C">
        <w:rPr>
          <w:sz w:val="22"/>
          <w:szCs w:val="20"/>
        </w:rPr>
        <w:t xml:space="preserve"> </w:t>
      </w:r>
      <w:proofErr w:type="spellStart"/>
      <w:r w:rsidR="00CB2A09" w:rsidRPr="0040738C">
        <w:rPr>
          <w:sz w:val="22"/>
          <w:szCs w:val="20"/>
        </w:rPr>
        <w:t>Esmeron</w:t>
      </w:r>
      <w:r w:rsidR="00B23142">
        <w:rPr>
          <w:sz w:val="22"/>
          <w:szCs w:val="20"/>
        </w:rPr>
        <w:t>om</w:t>
      </w:r>
      <w:proofErr w:type="spellEnd"/>
      <w:r w:rsidR="00F1262F">
        <w:rPr>
          <w:sz w:val="22"/>
          <w:szCs w:val="20"/>
        </w:rPr>
        <w:t xml:space="preserve"> zlyhá</w:t>
      </w:r>
      <w:r w:rsidR="00CB2A09" w:rsidRPr="0040738C">
        <w:rPr>
          <w:sz w:val="22"/>
          <w:szCs w:val="20"/>
        </w:rPr>
        <w:t>, musí sa pokračovať v</w:t>
      </w:r>
      <w:r w:rsidR="00F1262F">
        <w:rPr>
          <w:sz w:val="22"/>
          <w:szCs w:val="20"/>
        </w:rPr>
        <w:t> umelom dýchaní</w:t>
      </w:r>
      <w:r w:rsidR="00CB2A09" w:rsidRPr="0040738C">
        <w:rPr>
          <w:sz w:val="22"/>
          <w:szCs w:val="20"/>
        </w:rPr>
        <w:t xml:space="preserve"> až do obnovenia spontánneho dýchania. Opakované dávky inhibítor</w:t>
      </w:r>
      <w:r w:rsidR="00F1262F">
        <w:rPr>
          <w:sz w:val="22"/>
          <w:szCs w:val="20"/>
        </w:rPr>
        <w:t>a</w:t>
      </w:r>
      <w:r w:rsidR="00CB2A09" w:rsidRPr="0040738C">
        <w:rPr>
          <w:sz w:val="22"/>
          <w:szCs w:val="20"/>
        </w:rPr>
        <w:t xml:space="preserve"> </w:t>
      </w:r>
      <w:proofErr w:type="spellStart"/>
      <w:r w:rsidR="00CB2A09" w:rsidRPr="0040738C">
        <w:rPr>
          <w:sz w:val="22"/>
          <w:szCs w:val="20"/>
        </w:rPr>
        <w:t>acetylcholínesterázy</w:t>
      </w:r>
      <w:proofErr w:type="spellEnd"/>
      <w:r w:rsidR="00CB2A09" w:rsidRPr="0040738C">
        <w:rPr>
          <w:sz w:val="22"/>
          <w:szCs w:val="20"/>
        </w:rPr>
        <w:t xml:space="preserve"> môžu byť nebezpečné.</w:t>
      </w:r>
    </w:p>
    <w:p w14:paraId="0666EC7D" w14:textId="77777777" w:rsidR="00CB2A09" w:rsidRPr="0040738C" w:rsidRDefault="00CB2A09" w:rsidP="00CD70B0">
      <w:pPr>
        <w:rPr>
          <w:sz w:val="22"/>
          <w:szCs w:val="20"/>
        </w:rPr>
      </w:pPr>
    </w:p>
    <w:p w14:paraId="358B2C89" w14:textId="0B6E64E3" w:rsidR="00CB2A09" w:rsidRPr="0040738C" w:rsidRDefault="00CB2A09" w:rsidP="00CD70B0">
      <w:pPr>
        <w:rPr>
          <w:sz w:val="22"/>
          <w:szCs w:val="20"/>
        </w:rPr>
      </w:pPr>
      <w:r w:rsidRPr="0040738C">
        <w:rPr>
          <w:sz w:val="22"/>
          <w:szCs w:val="20"/>
        </w:rPr>
        <w:t>V</w:t>
      </w:r>
      <w:r w:rsidR="004852AF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štúdiách na zvieratách </w:t>
      </w:r>
      <w:r w:rsidR="00F1262F">
        <w:rPr>
          <w:sz w:val="22"/>
          <w:szCs w:val="20"/>
        </w:rPr>
        <w:t>nedošlo</w:t>
      </w:r>
      <w:r w:rsidRPr="0040738C">
        <w:rPr>
          <w:sz w:val="22"/>
          <w:szCs w:val="20"/>
        </w:rPr>
        <w:t xml:space="preserve"> </w:t>
      </w:r>
      <w:r w:rsidR="00F1262F">
        <w:rPr>
          <w:sz w:val="22"/>
          <w:szCs w:val="20"/>
        </w:rPr>
        <w:t>k závažnej</w:t>
      </w:r>
      <w:r w:rsidRPr="0040738C">
        <w:rPr>
          <w:sz w:val="22"/>
          <w:szCs w:val="20"/>
        </w:rPr>
        <w:t xml:space="preserve"> depresi</w:t>
      </w:r>
      <w:r w:rsidR="00F1262F">
        <w:rPr>
          <w:sz w:val="22"/>
          <w:szCs w:val="20"/>
        </w:rPr>
        <w:t>i</w:t>
      </w:r>
      <w:r w:rsidRPr="0040738C">
        <w:rPr>
          <w:sz w:val="22"/>
          <w:szCs w:val="20"/>
        </w:rPr>
        <w:t xml:space="preserve"> kardiovaskulárnej funkcie, ktorá by </w:t>
      </w:r>
      <w:r w:rsidR="00F1262F">
        <w:rPr>
          <w:sz w:val="22"/>
          <w:szCs w:val="20"/>
        </w:rPr>
        <w:t xml:space="preserve">v konečnom dôsledku </w:t>
      </w:r>
      <w:r w:rsidRPr="0040738C">
        <w:rPr>
          <w:sz w:val="22"/>
          <w:szCs w:val="20"/>
        </w:rPr>
        <w:t xml:space="preserve">viedla ku </w:t>
      </w:r>
      <w:r w:rsidR="00F1262F">
        <w:rPr>
          <w:sz w:val="22"/>
          <w:szCs w:val="20"/>
        </w:rPr>
        <w:t>kolapsu</w:t>
      </w:r>
      <w:r w:rsidRPr="0040738C">
        <w:rPr>
          <w:sz w:val="22"/>
          <w:szCs w:val="20"/>
        </w:rPr>
        <w:t xml:space="preserve"> </w:t>
      </w:r>
      <w:r w:rsidR="00F1262F">
        <w:rPr>
          <w:sz w:val="22"/>
          <w:szCs w:val="20"/>
        </w:rPr>
        <w:t>srdca</w:t>
      </w:r>
      <w:r w:rsidR="002F5713">
        <w:rPr>
          <w:sz w:val="22"/>
          <w:szCs w:val="20"/>
        </w:rPr>
        <w:t>,</w:t>
      </w:r>
      <w:r w:rsidR="00F1262F">
        <w:rPr>
          <w:sz w:val="22"/>
          <w:szCs w:val="20"/>
        </w:rPr>
        <w:t xml:space="preserve"> </w:t>
      </w:r>
      <w:r w:rsidRPr="0040738C">
        <w:rPr>
          <w:sz w:val="22"/>
          <w:szCs w:val="20"/>
        </w:rPr>
        <w:t>až do podania kumulatívnej dávky 750 x ED</w:t>
      </w:r>
      <w:r w:rsidRPr="0040738C">
        <w:rPr>
          <w:sz w:val="22"/>
          <w:szCs w:val="20"/>
          <w:vertAlign w:val="subscript"/>
        </w:rPr>
        <w:t>90</w:t>
      </w:r>
      <w:r w:rsidRPr="0040738C">
        <w:rPr>
          <w:sz w:val="22"/>
          <w:szCs w:val="20"/>
        </w:rPr>
        <w:t xml:space="preserve"> (135</w:t>
      </w:r>
      <w:r w:rsidR="00F1262F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mg/kg </w:t>
      </w:r>
      <w:proofErr w:type="spellStart"/>
      <w:r w:rsidRPr="0040738C">
        <w:rPr>
          <w:sz w:val="22"/>
          <w:szCs w:val="20"/>
        </w:rPr>
        <w:t>rokuróniumbromidu</w:t>
      </w:r>
      <w:proofErr w:type="spellEnd"/>
      <w:r w:rsidRPr="0040738C">
        <w:rPr>
          <w:sz w:val="22"/>
          <w:szCs w:val="20"/>
        </w:rPr>
        <w:t>).</w:t>
      </w:r>
    </w:p>
    <w:p w14:paraId="3738554B" w14:textId="77777777" w:rsidR="00CB2A09" w:rsidRPr="0040738C" w:rsidRDefault="00CB2A09" w:rsidP="00CD70B0">
      <w:pPr>
        <w:rPr>
          <w:b/>
          <w:sz w:val="22"/>
          <w:szCs w:val="20"/>
        </w:rPr>
      </w:pPr>
    </w:p>
    <w:p w14:paraId="072CE9B4" w14:textId="77777777" w:rsidR="00CB2A09" w:rsidRPr="0040738C" w:rsidRDefault="00CB2A09" w:rsidP="00CD70B0">
      <w:pPr>
        <w:rPr>
          <w:b/>
          <w:sz w:val="22"/>
          <w:szCs w:val="20"/>
        </w:rPr>
      </w:pPr>
    </w:p>
    <w:p w14:paraId="610E4E7E" w14:textId="77777777" w:rsidR="00CB2A09" w:rsidRPr="0040738C" w:rsidRDefault="00CB2A09" w:rsidP="00DD73F9">
      <w:pPr>
        <w:keepNext/>
        <w:rPr>
          <w:noProof/>
          <w:sz w:val="22"/>
          <w:szCs w:val="22"/>
        </w:rPr>
      </w:pPr>
      <w:r w:rsidRPr="0040738C">
        <w:rPr>
          <w:b/>
          <w:noProof/>
          <w:sz w:val="22"/>
          <w:szCs w:val="22"/>
        </w:rPr>
        <w:t>5.</w:t>
      </w:r>
      <w:r w:rsidRPr="0040738C">
        <w:rPr>
          <w:b/>
          <w:noProof/>
          <w:sz w:val="22"/>
          <w:szCs w:val="22"/>
        </w:rPr>
        <w:tab/>
        <w:t>FARMAKOLOGICKÉ VLASTNOSTI</w:t>
      </w:r>
    </w:p>
    <w:p w14:paraId="7CE62923" w14:textId="77777777" w:rsidR="00CB2A09" w:rsidRPr="0040738C" w:rsidRDefault="00CB2A09" w:rsidP="00DD73F9">
      <w:pPr>
        <w:keepNext/>
        <w:rPr>
          <w:bCs/>
          <w:noProof/>
          <w:sz w:val="22"/>
          <w:szCs w:val="22"/>
        </w:rPr>
      </w:pPr>
    </w:p>
    <w:p w14:paraId="24C51D1A" w14:textId="77777777" w:rsidR="00CB2A09" w:rsidRPr="0040738C" w:rsidRDefault="00CB2A09" w:rsidP="00DD73F9">
      <w:pPr>
        <w:keepNext/>
        <w:rPr>
          <w:b/>
          <w:sz w:val="22"/>
          <w:szCs w:val="20"/>
        </w:rPr>
      </w:pPr>
      <w:r w:rsidRPr="0040738C">
        <w:rPr>
          <w:b/>
          <w:noProof/>
          <w:sz w:val="22"/>
          <w:szCs w:val="22"/>
        </w:rPr>
        <w:t>5.1</w:t>
      </w:r>
      <w:r w:rsidRPr="0040738C">
        <w:rPr>
          <w:b/>
          <w:noProof/>
          <w:sz w:val="22"/>
          <w:szCs w:val="22"/>
        </w:rPr>
        <w:tab/>
        <w:t>Farmakodynamické vlastnosti</w:t>
      </w:r>
    </w:p>
    <w:p w14:paraId="38FA2BD0" w14:textId="77777777" w:rsidR="00CB2A09" w:rsidRPr="0040738C" w:rsidRDefault="00CB2A09" w:rsidP="00DD73F9">
      <w:pPr>
        <w:keepNext/>
        <w:ind w:left="360" w:hanging="360"/>
        <w:rPr>
          <w:b/>
          <w:sz w:val="22"/>
          <w:szCs w:val="20"/>
        </w:rPr>
      </w:pPr>
    </w:p>
    <w:p w14:paraId="706F9B55" w14:textId="1020EF71" w:rsidR="00CB2A09" w:rsidRPr="00DD73F9" w:rsidRDefault="00CB2A09" w:rsidP="00CD70B0">
      <w:pPr>
        <w:rPr>
          <w:sz w:val="22"/>
        </w:rPr>
      </w:pPr>
      <w:proofErr w:type="spellStart"/>
      <w:r w:rsidRPr="00DD73F9">
        <w:rPr>
          <w:sz w:val="22"/>
        </w:rPr>
        <w:t>Farmakoterapeutická</w:t>
      </w:r>
      <w:proofErr w:type="spellEnd"/>
      <w:r w:rsidRPr="00DD73F9">
        <w:rPr>
          <w:sz w:val="22"/>
        </w:rPr>
        <w:t xml:space="preserve"> skupina:</w:t>
      </w:r>
      <w:r w:rsidR="00F1262F">
        <w:rPr>
          <w:sz w:val="22"/>
          <w:szCs w:val="20"/>
        </w:rPr>
        <w:t xml:space="preserve"> </w:t>
      </w:r>
      <w:proofErr w:type="spellStart"/>
      <w:r w:rsidR="00F1262F">
        <w:rPr>
          <w:sz w:val="22"/>
          <w:szCs w:val="20"/>
        </w:rPr>
        <w:t>m</w:t>
      </w:r>
      <w:r w:rsidRPr="0040738C">
        <w:rPr>
          <w:sz w:val="22"/>
          <w:szCs w:val="20"/>
        </w:rPr>
        <w:t>yorelaxanciá</w:t>
      </w:r>
      <w:proofErr w:type="spellEnd"/>
      <w:r w:rsidRPr="0040738C">
        <w:rPr>
          <w:sz w:val="22"/>
          <w:szCs w:val="20"/>
        </w:rPr>
        <w:t xml:space="preserve">, periférne pôsobiace </w:t>
      </w:r>
      <w:proofErr w:type="spellStart"/>
      <w:r w:rsidRPr="0040738C">
        <w:rPr>
          <w:sz w:val="22"/>
          <w:szCs w:val="20"/>
        </w:rPr>
        <w:t>myorelaxanciá</w:t>
      </w:r>
      <w:proofErr w:type="spellEnd"/>
      <w:r w:rsidRPr="0040738C">
        <w:rPr>
          <w:sz w:val="22"/>
          <w:szCs w:val="20"/>
        </w:rPr>
        <w:t>. ATC kód: M03AC09</w:t>
      </w:r>
    </w:p>
    <w:p w14:paraId="166DA00D" w14:textId="24C9DE87" w:rsidR="00CB2A09" w:rsidRDefault="0039161F" w:rsidP="00DC0343">
      <w:pPr>
        <w:keepNext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 xml:space="preserve"> </w:t>
      </w:r>
    </w:p>
    <w:p w14:paraId="08C88FBB" w14:textId="113EA37F" w:rsidR="00192689" w:rsidRPr="0040738C" w:rsidRDefault="00192689" w:rsidP="00DD73F9">
      <w:pPr>
        <w:keepNext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>Mechanizmus účinku</w:t>
      </w:r>
    </w:p>
    <w:p w14:paraId="06A1E0F4" w14:textId="486E2580" w:rsidR="00CB2A09" w:rsidRPr="0040738C" w:rsidRDefault="00CB2A09" w:rsidP="00CD70B0">
      <w:pPr>
        <w:rPr>
          <w:sz w:val="22"/>
          <w:szCs w:val="20"/>
        </w:rPr>
      </w:pPr>
      <w:proofErr w:type="spellStart"/>
      <w:r w:rsidRPr="0040738C">
        <w:rPr>
          <w:sz w:val="22"/>
          <w:szCs w:val="20"/>
        </w:rPr>
        <w:t>Esmeron</w:t>
      </w:r>
      <w:proofErr w:type="spellEnd"/>
      <w:r w:rsidRPr="0040738C">
        <w:rPr>
          <w:sz w:val="22"/>
          <w:szCs w:val="20"/>
        </w:rPr>
        <w:t xml:space="preserve"> (</w:t>
      </w:r>
      <w:proofErr w:type="spellStart"/>
      <w:r w:rsidRPr="0040738C">
        <w:rPr>
          <w:sz w:val="22"/>
          <w:szCs w:val="20"/>
        </w:rPr>
        <w:t>rokuróniumbromid</w:t>
      </w:r>
      <w:proofErr w:type="spellEnd"/>
      <w:r w:rsidRPr="0040738C">
        <w:rPr>
          <w:sz w:val="22"/>
          <w:szCs w:val="20"/>
        </w:rPr>
        <w:t xml:space="preserve">) </w:t>
      </w:r>
      <w:r w:rsidR="00F1262F">
        <w:rPr>
          <w:sz w:val="22"/>
          <w:szCs w:val="20"/>
        </w:rPr>
        <w:t>je</w:t>
      </w:r>
      <w:r w:rsidRPr="0040738C">
        <w:rPr>
          <w:sz w:val="22"/>
          <w:szCs w:val="20"/>
        </w:rPr>
        <w:t xml:space="preserve"> </w:t>
      </w:r>
      <w:proofErr w:type="spellStart"/>
      <w:r w:rsidR="0011765F">
        <w:rPr>
          <w:sz w:val="22"/>
          <w:szCs w:val="20"/>
        </w:rPr>
        <w:t>nedepolarizujúc</w:t>
      </w:r>
      <w:r w:rsidR="006874DB">
        <w:rPr>
          <w:sz w:val="22"/>
          <w:szCs w:val="20"/>
        </w:rPr>
        <w:t>i</w:t>
      </w:r>
      <w:proofErr w:type="spellEnd"/>
      <w:r w:rsidR="0011765F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nervovosvalov</w:t>
      </w:r>
      <w:r w:rsidR="006874DB">
        <w:rPr>
          <w:sz w:val="22"/>
          <w:szCs w:val="20"/>
        </w:rPr>
        <w:t>ý</w:t>
      </w:r>
      <w:proofErr w:type="spellEnd"/>
      <w:r w:rsidRPr="0040738C">
        <w:rPr>
          <w:sz w:val="22"/>
          <w:szCs w:val="20"/>
        </w:rPr>
        <w:t xml:space="preserve"> </w:t>
      </w:r>
      <w:proofErr w:type="spellStart"/>
      <w:r w:rsidR="006874DB">
        <w:rPr>
          <w:sz w:val="22"/>
          <w:szCs w:val="20"/>
        </w:rPr>
        <w:t>blokátor</w:t>
      </w:r>
      <w:proofErr w:type="spellEnd"/>
      <w:r w:rsidRPr="0040738C">
        <w:rPr>
          <w:sz w:val="22"/>
          <w:szCs w:val="20"/>
        </w:rPr>
        <w:t xml:space="preserve"> s rýchlym nástupom účinku, stredne dlhým časom </w:t>
      </w:r>
      <w:r w:rsidR="0011765F">
        <w:rPr>
          <w:sz w:val="22"/>
          <w:szCs w:val="20"/>
        </w:rPr>
        <w:t>účinku</w:t>
      </w:r>
      <w:r w:rsidRPr="0040738C">
        <w:rPr>
          <w:sz w:val="22"/>
          <w:szCs w:val="20"/>
        </w:rPr>
        <w:t xml:space="preserve">, </w:t>
      </w:r>
      <w:r w:rsidR="0011765F">
        <w:rPr>
          <w:sz w:val="22"/>
          <w:szCs w:val="20"/>
        </w:rPr>
        <w:t>ktor</w:t>
      </w:r>
      <w:r w:rsidR="00321C6C">
        <w:rPr>
          <w:sz w:val="22"/>
          <w:szCs w:val="20"/>
        </w:rPr>
        <w:t>ý</w:t>
      </w:r>
      <w:r w:rsidR="0011765F">
        <w:rPr>
          <w:sz w:val="22"/>
          <w:szCs w:val="20"/>
        </w:rPr>
        <w:t xml:space="preserve"> vykazuje </w:t>
      </w:r>
      <w:r w:rsidRPr="0040738C">
        <w:rPr>
          <w:sz w:val="22"/>
          <w:szCs w:val="20"/>
        </w:rPr>
        <w:t>všetk</w:t>
      </w:r>
      <w:r w:rsidR="0011765F">
        <w:rPr>
          <w:sz w:val="22"/>
          <w:szCs w:val="20"/>
        </w:rPr>
        <w:t>y</w:t>
      </w:r>
      <w:r w:rsidRPr="0040738C">
        <w:rPr>
          <w:sz w:val="22"/>
          <w:szCs w:val="20"/>
        </w:rPr>
        <w:t xml:space="preserve"> charakteristick</w:t>
      </w:r>
      <w:r w:rsidR="0011765F">
        <w:rPr>
          <w:sz w:val="22"/>
          <w:szCs w:val="20"/>
        </w:rPr>
        <w:t xml:space="preserve">é </w:t>
      </w:r>
      <w:r w:rsidRPr="0040738C">
        <w:rPr>
          <w:sz w:val="22"/>
          <w:szCs w:val="20"/>
        </w:rPr>
        <w:t>farmakologick</w:t>
      </w:r>
      <w:r w:rsidR="0011765F">
        <w:rPr>
          <w:sz w:val="22"/>
          <w:szCs w:val="20"/>
        </w:rPr>
        <w:t>é</w:t>
      </w:r>
      <w:r w:rsidRPr="0040738C">
        <w:rPr>
          <w:sz w:val="22"/>
          <w:szCs w:val="20"/>
        </w:rPr>
        <w:t xml:space="preserve"> účink</w:t>
      </w:r>
      <w:r w:rsidR="0011765F">
        <w:rPr>
          <w:sz w:val="22"/>
          <w:szCs w:val="20"/>
        </w:rPr>
        <w:t>y</w:t>
      </w:r>
      <w:r w:rsidRPr="0040738C">
        <w:rPr>
          <w:sz w:val="22"/>
          <w:szCs w:val="20"/>
        </w:rPr>
        <w:t xml:space="preserve"> typick</w:t>
      </w:r>
      <w:r w:rsidR="0011765F">
        <w:rPr>
          <w:sz w:val="22"/>
          <w:szCs w:val="20"/>
        </w:rPr>
        <w:t>é</w:t>
      </w:r>
      <w:r w:rsidRPr="0040738C">
        <w:rPr>
          <w:sz w:val="22"/>
          <w:szCs w:val="20"/>
        </w:rPr>
        <w:t xml:space="preserve"> pre túto skupinu l</w:t>
      </w:r>
      <w:r w:rsidR="0011765F">
        <w:rPr>
          <w:sz w:val="22"/>
          <w:szCs w:val="20"/>
        </w:rPr>
        <w:t>ie</w:t>
      </w:r>
      <w:r w:rsidR="00A8623D">
        <w:rPr>
          <w:sz w:val="22"/>
          <w:szCs w:val="20"/>
        </w:rPr>
        <w:t>či</w:t>
      </w:r>
      <w:r w:rsidR="0011765F">
        <w:rPr>
          <w:sz w:val="22"/>
          <w:szCs w:val="20"/>
        </w:rPr>
        <w:t>v</w:t>
      </w:r>
      <w:r w:rsidRPr="0040738C">
        <w:rPr>
          <w:sz w:val="22"/>
          <w:szCs w:val="20"/>
        </w:rPr>
        <w:t xml:space="preserve"> (</w:t>
      </w:r>
      <w:proofErr w:type="spellStart"/>
      <w:r w:rsidRPr="0040738C">
        <w:rPr>
          <w:sz w:val="22"/>
          <w:szCs w:val="20"/>
        </w:rPr>
        <w:t>kurariformné</w:t>
      </w:r>
      <w:proofErr w:type="spellEnd"/>
      <w:r w:rsidRPr="0040738C">
        <w:rPr>
          <w:sz w:val="22"/>
          <w:szCs w:val="20"/>
        </w:rPr>
        <w:t xml:space="preserve">). </w:t>
      </w:r>
      <w:r w:rsidR="0011765F">
        <w:rPr>
          <w:sz w:val="22"/>
          <w:szCs w:val="20"/>
        </w:rPr>
        <w:t xml:space="preserve">Účinkuje </w:t>
      </w:r>
      <w:proofErr w:type="spellStart"/>
      <w:r w:rsidRPr="0040738C">
        <w:rPr>
          <w:sz w:val="22"/>
          <w:szCs w:val="20"/>
        </w:rPr>
        <w:t>kompetíciou</w:t>
      </w:r>
      <w:proofErr w:type="spellEnd"/>
      <w:r w:rsidRPr="0040738C">
        <w:rPr>
          <w:sz w:val="22"/>
          <w:szCs w:val="20"/>
        </w:rPr>
        <w:t xml:space="preserve"> </w:t>
      </w:r>
      <w:r w:rsidR="00540847">
        <w:rPr>
          <w:sz w:val="22"/>
          <w:szCs w:val="20"/>
        </w:rPr>
        <w:t xml:space="preserve">na </w:t>
      </w:r>
      <w:r w:rsidRPr="0040738C">
        <w:rPr>
          <w:sz w:val="22"/>
          <w:szCs w:val="20"/>
        </w:rPr>
        <w:t>nikotín</w:t>
      </w:r>
      <w:r w:rsidR="002A4E25">
        <w:rPr>
          <w:sz w:val="22"/>
          <w:szCs w:val="20"/>
        </w:rPr>
        <w:t>ov</w:t>
      </w:r>
      <w:r w:rsidR="0011765F">
        <w:rPr>
          <w:sz w:val="22"/>
          <w:szCs w:val="20"/>
        </w:rPr>
        <w:t>ých</w:t>
      </w:r>
      <w:r w:rsidRPr="0040738C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chol</w:t>
      </w:r>
      <w:r w:rsidR="0011765F">
        <w:rPr>
          <w:sz w:val="22"/>
          <w:szCs w:val="20"/>
        </w:rPr>
        <w:t>í</w:t>
      </w:r>
      <w:r w:rsidRPr="0040738C">
        <w:rPr>
          <w:sz w:val="22"/>
          <w:szCs w:val="20"/>
        </w:rPr>
        <w:t>nergn</w:t>
      </w:r>
      <w:r w:rsidR="0011765F">
        <w:rPr>
          <w:sz w:val="22"/>
          <w:szCs w:val="20"/>
        </w:rPr>
        <w:t>ých</w:t>
      </w:r>
      <w:proofErr w:type="spellEnd"/>
      <w:r w:rsidRPr="0040738C">
        <w:rPr>
          <w:sz w:val="22"/>
          <w:szCs w:val="20"/>
        </w:rPr>
        <w:t xml:space="preserve"> receptor</w:t>
      </w:r>
      <w:r w:rsidR="0011765F">
        <w:rPr>
          <w:sz w:val="22"/>
          <w:szCs w:val="20"/>
        </w:rPr>
        <w:t>o</w:t>
      </w:r>
      <w:r w:rsidR="00540847">
        <w:rPr>
          <w:sz w:val="22"/>
          <w:szCs w:val="20"/>
        </w:rPr>
        <w:t>ch</w:t>
      </w:r>
      <w:r w:rsidRPr="0040738C">
        <w:rPr>
          <w:sz w:val="22"/>
          <w:szCs w:val="20"/>
        </w:rPr>
        <w:t xml:space="preserve"> </w:t>
      </w:r>
      <w:r w:rsidR="00203910">
        <w:rPr>
          <w:sz w:val="22"/>
          <w:szCs w:val="20"/>
        </w:rPr>
        <w:t>na</w:t>
      </w:r>
      <w:r w:rsidR="00540847">
        <w:rPr>
          <w:sz w:val="22"/>
          <w:szCs w:val="20"/>
        </w:rPr>
        <w:t> </w:t>
      </w:r>
      <w:proofErr w:type="spellStart"/>
      <w:r w:rsidRPr="0040738C">
        <w:rPr>
          <w:sz w:val="22"/>
          <w:szCs w:val="20"/>
        </w:rPr>
        <w:t>nervovosvalovej</w:t>
      </w:r>
      <w:proofErr w:type="spellEnd"/>
      <w:r w:rsidRPr="0040738C">
        <w:rPr>
          <w:sz w:val="22"/>
          <w:szCs w:val="20"/>
        </w:rPr>
        <w:t xml:space="preserve"> platničk</w:t>
      </w:r>
      <w:r w:rsidR="00540847">
        <w:rPr>
          <w:sz w:val="22"/>
          <w:szCs w:val="20"/>
        </w:rPr>
        <w:t>e</w:t>
      </w:r>
      <w:r w:rsidRPr="0040738C">
        <w:rPr>
          <w:sz w:val="22"/>
          <w:szCs w:val="20"/>
        </w:rPr>
        <w:t xml:space="preserve">. Tento účinok </w:t>
      </w:r>
      <w:proofErr w:type="spellStart"/>
      <w:r w:rsidRPr="0040738C">
        <w:rPr>
          <w:sz w:val="22"/>
          <w:szCs w:val="20"/>
        </w:rPr>
        <w:t>antagoniz</w:t>
      </w:r>
      <w:r w:rsidR="0011765F">
        <w:rPr>
          <w:sz w:val="22"/>
          <w:szCs w:val="20"/>
        </w:rPr>
        <w:t>ujú</w:t>
      </w:r>
      <w:proofErr w:type="spellEnd"/>
      <w:r w:rsidRPr="0040738C">
        <w:rPr>
          <w:sz w:val="22"/>
          <w:szCs w:val="20"/>
        </w:rPr>
        <w:t xml:space="preserve"> inhibítor</w:t>
      </w:r>
      <w:r w:rsidR="0011765F">
        <w:rPr>
          <w:sz w:val="22"/>
          <w:szCs w:val="20"/>
        </w:rPr>
        <w:t>y</w:t>
      </w:r>
      <w:r w:rsidRPr="0040738C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acetylcholínesterázy</w:t>
      </w:r>
      <w:proofErr w:type="spellEnd"/>
      <w:r w:rsidR="00540847">
        <w:rPr>
          <w:sz w:val="22"/>
          <w:szCs w:val="20"/>
        </w:rPr>
        <w:t>,</w:t>
      </w:r>
      <w:r w:rsidRPr="0040738C">
        <w:rPr>
          <w:sz w:val="22"/>
          <w:szCs w:val="20"/>
        </w:rPr>
        <w:t xml:space="preserve"> ako </w:t>
      </w:r>
      <w:r w:rsidR="0011765F">
        <w:rPr>
          <w:sz w:val="22"/>
          <w:szCs w:val="20"/>
        </w:rPr>
        <w:t>napr.</w:t>
      </w:r>
      <w:r w:rsidRPr="0040738C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neostigmín</w:t>
      </w:r>
      <w:proofErr w:type="spellEnd"/>
      <w:r w:rsidRPr="0040738C">
        <w:rPr>
          <w:sz w:val="22"/>
          <w:szCs w:val="20"/>
        </w:rPr>
        <w:t xml:space="preserve">, </w:t>
      </w:r>
      <w:proofErr w:type="spellStart"/>
      <w:r w:rsidRPr="0040738C">
        <w:rPr>
          <w:sz w:val="22"/>
          <w:szCs w:val="20"/>
        </w:rPr>
        <w:t>edrofónium</w:t>
      </w:r>
      <w:proofErr w:type="spellEnd"/>
      <w:r w:rsidRPr="0040738C">
        <w:rPr>
          <w:sz w:val="22"/>
          <w:szCs w:val="20"/>
        </w:rPr>
        <w:t xml:space="preserve"> a </w:t>
      </w:r>
      <w:proofErr w:type="spellStart"/>
      <w:r w:rsidRPr="0040738C">
        <w:rPr>
          <w:sz w:val="22"/>
          <w:szCs w:val="20"/>
        </w:rPr>
        <w:t>pyridostigmín</w:t>
      </w:r>
      <w:proofErr w:type="spellEnd"/>
      <w:r w:rsidRPr="0040738C">
        <w:rPr>
          <w:sz w:val="22"/>
          <w:szCs w:val="20"/>
        </w:rPr>
        <w:t>.</w:t>
      </w:r>
    </w:p>
    <w:p w14:paraId="0B3F9609" w14:textId="77777777" w:rsidR="00CB2A09" w:rsidRPr="0040738C" w:rsidRDefault="00CB2A09" w:rsidP="00CD70B0">
      <w:pPr>
        <w:rPr>
          <w:sz w:val="22"/>
          <w:szCs w:val="20"/>
        </w:rPr>
      </w:pPr>
    </w:p>
    <w:p w14:paraId="216B7CE3" w14:textId="77777777" w:rsidR="00CB2A09" w:rsidRPr="0040738C" w:rsidRDefault="00CB2A09" w:rsidP="00DD73F9">
      <w:pPr>
        <w:keepNext/>
        <w:rPr>
          <w:sz w:val="22"/>
          <w:szCs w:val="20"/>
          <w:u w:val="single"/>
        </w:rPr>
      </w:pPr>
      <w:proofErr w:type="spellStart"/>
      <w:r w:rsidRPr="0040738C">
        <w:rPr>
          <w:sz w:val="22"/>
          <w:szCs w:val="20"/>
          <w:u w:val="single"/>
        </w:rPr>
        <w:t>Farmakodynamické</w:t>
      </w:r>
      <w:proofErr w:type="spellEnd"/>
      <w:r w:rsidRPr="0040738C">
        <w:rPr>
          <w:sz w:val="22"/>
          <w:szCs w:val="20"/>
          <w:u w:val="single"/>
        </w:rPr>
        <w:t xml:space="preserve"> účinky</w:t>
      </w:r>
    </w:p>
    <w:p w14:paraId="33A2CAFC" w14:textId="0A77F0A0" w:rsidR="00CB2A09" w:rsidRPr="0040738C" w:rsidRDefault="00CB2A09" w:rsidP="00CD70B0">
      <w:pPr>
        <w:rPr>
          <w:sz w:val="22"/>
          <w:szCs w:val="20"/>
        </w:rPr>
      </w:pPr>
      <w:r w:rsidRPr="0040738C">
        <w:rPr>
          <w:sz w:val="22"/>
          <w:szCs w:val="20"/>
        </w:rPr>
        <w:t>ED</w:t>
      </w:r>
      <w:r w:rsidRPr="0040738C">
        <w:rPr>
          <w:sz w:val="22"/>
          <w:szCs w:val="20"/>
          <w:vertAlign w:val="subscript"/>
        </w:rPr>
        <w:t>90</w:t>
      </w:r>
      <w:r w:rsidRPr="00DD73F9">
        <w:rPr>
          <w:sz w:val="22"/>
        </w:rPr>
        <w:t xml:space="preserve"> </w:t>
      </w:r>
      <w:r w:rsidRPr="0040738C">
        <w:rPr>
          <w:sz w:val="22"/>
          <w:szCs w:val="20"/>
        </w:rPr>
        <w:t>(dávka potrebná na vyvolanie 90</w:t>
      </w:r>
      <w:r w:rsidR="002C210D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% depresie amplitúdy </w:t>
      </w:r>
      <w:proofErr w:type="spellStart"/>
      <w:r w:rsidRPr="0040738C">
        <w:rPr>
          <w:sz w:val="22"/>
          <w:szCs w:val="20"/>
        </w:rPr>
        <w:t>zášklbu</w:t>
      </w:r>
      <w:proofErr w:type="spellEnd"/>
      <w:r w:rsidRPr="0040738C">
        <w:rPr>
          <w:sz w:val="22"/>
          <w:szCs w:val="20"/>
        </w:rPr>
        <w:t xml:space="preserve"> na palci pri stimulácii </w:t>
      </w:r>
      <w:proofErr w:type="spellStart"/>
      <w:r w:rsidRPr="0040738C">
        <w:rPr>
          <w:sz w:val="22"/>
          <w:szCs w:val="20"/>
        </w:rPr>
        <w:t>ulnárneho</w:t>
      </w:r>
      <w:proofErr w:type="spellEnd"/>
      <w:r w:rsidRPr="0040738C">
        <w:rPr>
          <w:sz w:val="22"/>
          <w:szCs w:val="20"/>
        </w:rPr>
        <w:t xml:space="preserve"> nervu) počas intravenóznej anestézie je približne 0,3</w:t>
      </w:r>
      <w:r w:rsidR="00471972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mg/kg </w:t>
      </w:r>
      <w:proofErr w:type="spellStart"/>
      <w:r w:rsidRPr="0040738C">
        <w:rPr>
          <w:sz w:val="22"/>
          <w:szCs w:val="20"/>
        </w:rPr>
        <w:t>rokuróniumbromidu</w:t>
      </w:r>
      <w:proofErr w:type="spellEnd"/>
      <w:r w:rsidRPr="0040738C">
        <w:rPr>
          <w:sz w:val="22"/>
          <w:szCs w:val="20"/>
        </w:rPr>
        <w:t>. ED</w:t>
      </w:r>
      <w:r w:rsidRPr="0040738C">
        <w:rPr>
          <w:sz w:val="22"/>
          <w:szCs w:val="20"/>
          <w:vertAlign w:val="subscript"/>
        </w:rPr>
        <w:t>95</w:t>
      </w:r>
      <w:r w:rsidRPr="0040738C">
        <w:rPr>
          <w:sz w:val="22"/>
          <w:szCs w:val="20"/>
        </w:rPr>
        <w:t xml:space="preserve"> u dojčiat je nižši</w:t>
      </w:r>
      <w:r w:rsidR="00471972">
        <w:rPr>
          <w:sz w:val="22"/>
          <w:szCs w:val="20"/>
        </w:rPr>
        <w:t>a</w:t>
      </w:r>
      <w:r w:rsidRPr="0040738C">
        <w:rPr>
          <w:sz w:val="22"/>
          <w:szCs w:val="20"/>
        </w:rPr>
        <w:t xml:space="preserve"> </w:t>
      </w:r>
      <w:r w:rsidR="0011765F">
        <w:rPr>
          <w:sz w:val="22"/>
          <w:szCs w:val="20"/>
        </w:rPr>
        <w:t>ako</w:t>
      </w:r>
      <w:r w:rsidRPr="0040738C">
        <w:rPr>
          <w:sz w:val="22"/>
          <w:szCs w:val="20"/>
        </w:rPr>
        <w:t xml:space="preserve"> u dospelých a detí (0,25; 0,35</w:t>
      </w:r>
      <w:r w:rsidR="00FE7E78">
        <w:rPr>
          <w:sz w:val="22"/>
          <w:szCs w:val="20"/>
        </w:rPr>
        <w:t xml:space="preserve"> a</w:t>
      </w:r>
      <w:r w:rsidR="001473BC">
        <w:rPr>
          <w:sz w:val="22"/>
          <w:szCs w:val="20"/>
        </w:rPr>
        <w:t> </w:t>
      </w:r>
      <w:r w:rsidRPr="0040738C">
        <w:rPr>
          <w:sz w:val="22"/>
          <w:szCs w:val="20"/>
        </w:rPr>
        <w:t>0,40</w:t>
      </w:r>
      <w:r w:rsidR="00471972">
        <w:rPr>
          <w:sz w:val="22"/>
          <w:szCs w:val="20"/>
        </w:rPr>
        <w:t> </w:t>
      </w:r>
      <w:r w:rsidRPr="0040738C">
        <w:rPr>
          <w:sz w:val="22"/>
          <w:szCs w:val="20"/>
        </w:rPr>
        <w:t>mg/kg</w:t>
      </w:r>
      <w:r w:rsidR="00FE7E78">
        <w:rPr>
          <w:sz w:val="22"/>
          <w:szCs w:val="20"/>
        </w:rPr>
        <w:t xml:space="preserve"> v </w:t>
      </w:r>
      <w:r w:rsidR="000E2E5C">
        <w:rPr>
          <w:sz w:val="22"/>
          <w:szCs w:val="20"/>
        </w:rPr>
        <w:t>uvedenom</w:t>
      </w:r>
      <w:r w:rsidR="00FE7E78">
        <w:rPr>
          <w:sz w:val="22"/>
          <w:szCs w:val="20"/>
        </w:rPr>
        <w:t xml:space="preserve"> poradí</w:t>
      </w:r>
      <w:r w:rsidRPr="0040738C">
        <w:rPr>
          <w:sz w:val="22"/>
          <w:szCs w:val="20"/>
        </w:rPr>
        <w:t>).</w:t>
      </w:r>
    </w:p>
    <w:p w14:paraId="0751FA12" w14:textId="77777777" w:rsidR="00CB2A09" w:rsidRPr="0040738C" w:rsidRDefault="00CB2A09" w:rsidP="00CD70B0">
      <w:pPr>
        <w:rPr>
          <w:sz w:val="22"/>
          <w:szCs w:val="20"/>
        </w:rPr>
      </w:pPr>
    </w:p>
    <w:p w14:paraId="6EF333D1" w14:textId="3F0294C6" w:rsidR="00CB2A09" w:rsidRPr="0040738C" w:rsidRDefault="00CB2A09" w:rsidP="00CD70B0">
      <w:pPr>
        <w:pStyle w:val="Zkladntext3"/>
      </w:pPr>
      <w:r w:rsidRPr="0040738C">
        <w:t>Klinické trvanie účinku (</w:t>
      </w:r>
      <w:r w:rsidR="0011765F">
        <w:t>trvanie</w:t>
      </w:r>
      <w:r w:rsidRPr="0040738C">
        <w:t xml:space="preserve"> do spontánneho </w:t>
      </w:r>
      <w:proofErr w:type="spellStart"/>
      <w:r w:rsidR="00E04A62">
        <w:t>odoznenia</w:t>
      </w:r>
      <w:proofErr w:type="spellEnd"/>
      <w:r w:rsidRPr="0040738C">
        <w:t> relaxácie na 25</w:t>
      </w:r>
      <w:r w:rsidR="002C210D">
        <w:t> </w:t>
      </w:r>
      <w:r w:rsidRPr="0040738C">
        <w:t xml:space="preserve">% kontrolnej amplitúdy </w:t>
      </w:r>
      <w:proofErr w:type="spellStart"/>
      <w:r w:rsidRPr="0040738C">
        <w:t>zášklbu</w:t>
      </w:r>
      <w:proofErr w:type="spellEnd"/>
      <w:r w:rsidRPr="0040738C">
        <w:t>) pri podaní 0,6</w:t>
      </w:r>
      <w:r w:rsidR="00471972">
        <w:t> </w:t>
      </w:r>
      <w:r w:rsidRPr="0040738C">
        <w:t xml:space="preserve">mg/kg </w:t>
      </w:r>
      <w:proofErr w:type="spellStart"/>
      <w:r w:rsidRPr="0040738C">
        <w:t>rokuróniumbromidu</w:t>
      </w:r>
      <w:proofErr w:type="spellEnd"/>
      <w:r w:rsidRPr="0040738C">
        <w:t xml:space="preserve"> je 30</w:t>
      </w:r>
      <w:r w:rsidR="002C210D">
        <w:t> </w:t>
      </w:r>
      <w:r w:rsidR="0011765F">
        <w:t>–</w:t>
      </w:r>
      <w:r w:rsidR="002C210D">
        <w:t> </w:t>
      </w:r>
      <w:r w:rsidR="006F1026" w:rsidRPr="0040738C">
        <w:t>40</w:t>
      </w:r>
      <w:r w:rsidR="006F1026">
        <w:t> </w:t>
      </w:r>
      <w:r w:rsidRPr="0040738C">
        <w:t xml:space="preserve">minút. Celkové trvanie účinku (čas do spontánneho </w:t>
      </w:r>
      <w:proofErr w:type="spellStart"/>
      <w:r w:rsidR="00E04A62">
        <w:t>odoznenia</w:t>
      </w:r>
      <w:proofErr w:type="spellEnd"/>
      <w:r w:rsidRPr="0040738C">
        <w:t> relaxácie na 90</w:t>
      </w:r>
      <w:r w:rsidR="00763249">
        <w:t> </w:t>
      </w:r>
      <w:r w:rsidRPr="0040738C">
        <w:t xml:space="preserve">% kontrolnej amplitúdy </w:t>
      </w:r>
      <w:proofErr w:type="spellStart"/>
      <w:r w:rsidRPr="0040738C">
        <w:t>zášklbu</w:t>
      </w:r>
      <w:proofErr w:type="spellEnd"/>
      <w:r w:rsidRPr="0040738C">
        <w:t>) je 50</w:t>
      </w:r>
      <w:r w:rsidR="0011765F">
        <w:t> </w:t>
      </w:r>
      <w:r w:rsidRPr="0040738C">
        <w:t xml:space="preserve">minút. Priemerný čas spontánneho obnovenia amplitúdy </w:t>
      </w:r>
      <w:proofErr w:type="spellStart"/>
      <w:r w:rsidRPr="0040738C">
        <w:t>zášklbu</w:t>
      </w:r>
      <w:proofErr w:type="spellEnd"/>
      <w:r w:rsidRPr="0040738C">
        <w:t xml:space="preserve"> z 25 na 75</w:t>
      </w:r>
      <w:r w:rsidR="002C210D">
        <w:t> </w:t>
      </w:r>
      <w:r w:rsidRPr="0040738C">
        <w:t xml:space="preserve">% (index </w:t>
      </w:r>
      <w:proofErr w:type="spellStart"/>
      <w:r w:rsidR="00E04A62">
        <w:t>odoznenia</w:t>
      </w:r>
      <w:proofErr w:type="spellEnd"/>
      <w:r w:rsidRPr="0040738C">
        <w:t xml:space="preserve">) po </w:t>
      </w:r>
      <w:proofErr w:type="spellStart"/>
      <w:r w:rsidRPr="0040738C">
        <w:t>bolusovej</w:t>
      </w:r>
      <w:proofErr w:type="spellEnd"/>
      <w:r w:rsidRPr="0040738C">
        <w:t xml:space="preserve"> dávke 0,6 mg/kg </w:t>
      </w:r>
      <w:proofErr w:type="spellStart"/>
      <w:r w:rsidRPr="0040738C">
        <w:t>rokuróniumbromidu</w:t>
      </w:r>
      <w:proofErr w:type="spellEnd"/>
      <w:r w:rsidRPr="0040738C">
        <w:t xml:space="preserve"> je </w:t>
      </w:r>
      <w:r w:rsidR="006F1026" w:rsidRPr="0040738C">
        <w:t>14</w:t>
      </w:r>
      <w:r w:rsidR="006F1026">
        <w:t> </w:t>
      </w:r>
      <w:r w:rsidRPr="0040738C">
        <w:t>minút. Pri nižšom dávkovaní 0,3</w:t>
      </w:r>
      <w:r w:rsidR="002C210D">
        <w:t> </w:t>
      </w:r>
      <w:r w:rsidR="0011765F">
        <w:t>–</w:t>
      </w:r>
      <w:r w:rsidR="002C210D">
        <w:t> </w:t>
      </w:r>
      <w:r w:rsidRPr="0040738C">
        <w:t>0,45</w:t>
      </w:r>
      <w:r w:rsidR="00471972">
        <w:t> </w:t>
      </w:r>
      <w:r w:rsidRPr="0040738C">
        <w:t xml:space="preserve">mg/kg </w:t>
      </w:r>
      <w:proofErr w:type="spellStart"/>
      <w:r w:rsidRPr="0040738C">
        <w:t>rokuróniumbromidu</w:t>
      </w:r>
      <w:proofErr w:type="spellEnd"/>
      <w:r w:rsidRPr="0040738C">
        <w:t xml:space="preserve"> (1</w:t>
      </w:r>
      <w:r w:rsidR="002C210D">
        <w:t> </w:t>
      </w:r>
      <w:r w:rsidR="0011765F">
        <w:t>–</w:t>
      </w:r>
      <w:r w:rsidR="002C210D">
        <w:t> </w:t>
      </w:r>
      <w:r w:rsidRPr="0040738C">
        <w:t>1</w:t>
      </w:r>
      <w:r w:rsidR="00471972">
        <w:t>,5</w:t>
      </w:r>
      <w:r w:rsidRPr="0040738C">
        <w:t xml:space="preserve"> x ED</w:t>
      </w:r>
      <w:r w:rsidRPr="0040738C">
        <w:rPr>
          <w:vertAlign w:val="subscript"/>
        </w:rPr>
        <w:t>90</w:t>
      </w:r>
      <w:r w:rsidRPr="0040738C">
        <w:t>) je nástup účinku pomalší a trvanie účinku je kratšie. Pri vyšších dávkach 2</w:t>
      </w:r>
      <w:r w:rsidR="00471972">
        <w:t> </w:t>
      </w:r>
      <w:r w:rsidRPr="0040738C">
        <w:t xml:space="preserve">mg/kg je klinické trvanie účinku </w:t>
      </w:r>
      <w:r w:rsidR="006F1026" w:rsidRPr="0040738C">
        <w:t>110</w:t>
      </w:r>
      <w:r w:rsidR="006F1026">
        <w:t> </w:t>
      </w:r>
      <w:r w:rsidRPr="0040738C">
        <w:t>minút.</w:t>
      </w:r>
    </w:p>
    <w:p w14:paraId="0317CA5F" w14:textId="77777777" w:rsidR="00CB2A09" w:rsidRPr="0040738C" w:rsidRDefault="00CB2A09" w:rsidP="00CD70B0">
      <w:pPr>
        <w:rPr>
          <w:sz w:val="22"/>
          <w:szCs w:val="20"/>
        </w:rPr>
      </w:pPr>
    </w:p>
    <w:p w14:paraId="42BB5223" w14:textId="61124CB0" w:rsidR="00CB2A09" w:rsidRPr="0040738C" w:rsidRDefault="00CB2A09" w:rsidP="00DD73F9">
      <w:pPr>
        <w:keepNext/>
        <w:rPr>
          <w:sz w:val="22"/>
          <w:szCs w:val="20"/>
          <w:u w:val="single"/>
        </w:rPr>
      </w:pPr>
      <w:proofErr w:type="spellStart"/>
      <w:r w:rsidRPr="0040738C">
        <w:rPr>
          <w:sz w:val="22"/>
          <w:szCs w:val="20"/>
          <w:u w:val="single"/>
        </w:rPr>
        <w:t>Intubácia</w:t>
      </w:r>
      <w:proofErr w:type="spellEnd"/>
      <w:r w:rsidRPr="0040738C">
        <w:rPr>
          <w:sz w:val="22"/>
          <w:szCs w:val="20"/>
          <w:u w:val="single"/>
        </w:rPr>
        <w:t xml:space="preserve"> počas </w:t>
      </w:r>
      <w:r w:rsidR="00192689">
        <w:rPr>
          <w:sz w:val="22"/>
          <w:szCs w:val="20"/>
          <w:u w:val="single"/>
        </w:rPr>
        <w:t>rutinnej</w:t>
      </w:r>
      <w:r w:rsidRPr="0040738C">
        <w:rPr>
          <w:sz w:val="22"/>
          <w:szCs w:val="20"/>
          <w:u w:val="single"/>
        </w:rPr>
        <w:t xml:space="preserve"> anestézie</w:t>
      </w:r>
    </w:p>
    <w:p w14:paraId="274AE854" w14:textId="21F41AE1" w:rsidR="00CB2A09" w:rsidRPr="0040738C" w:rsidRDefault="00CB2A09" w:rsidP="00CD70B0">
      <w:pPr>
        <w:rPr>
          <w:sz w:val="22"/>
          <w:szCs w:val="20"/>
        </w:rPr>
      </w:pPr>
      <w:r w:rsidRPr="0040738C">
        <w:rPr>
          <w:sz w:val="22"/>
          <w:szCs w:val="20"/>
        </w:rPr>
        <w:t xml:space="preserve">Do </w:t>
      </w:r>
      <w:r w:rsidR="006F1026" w:rsidRPr="0040738C">
        <w:rPr>
          <w:sz w:val="22"/>
          <w:szCs w:val="20"/>
        </w:rPr>
        <w:t>60</w:t>
      </w:r>
      <w:r w:rsidR="006F1026">
        <w:rPr>
          <w:sz w:val="22"/>
          <w:szCs w:val="20"/>
        </w:rPr>
        <w:t> </w:t>
      </w:r>
      <w:r w:rsidRPr="0040738C">
        <w:rPr>
          <w:sz w:val="22"/>
          <w:szCs w:val="20"/>
        </w:rPr>
        <w:t>sekúnd po intravenóznom podaní dávky 0,6</w:t>
      </w:r>
      <w:r w:rsidR="009B3BFA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mg/kg </w:t>
      </w:r>
      <w:proofErr w:type="spellStart"/>
      <w:r w:rsidRPr="0040738C">
        <w:rPr>
          <w:sz w:val="22"/>
          <w:szCs w:val="20"/>
        </w:rPr>
        <w:t>rokuróniumbromidu</w:t>
      </w:r>
      <w:proofErr w:type="spellEnd"/>
      <w:r w:rsidRPr="0040738C">
        <w:rPr>
          <w:sz w:val="22"/>
          <w:szCs w:val="20"/>
        </w:rPr>
        <w:t xml:space="preserve"> (2 x ED</w:t>
      </w:r>
      <w:r w:rsidRPr="00DD73F9">
        <w:rPr>
          <w:sz w:val="22"/>
          <w:vertAlign w:val="subscript"/>
        </w:rPr>
        <w:t>90</w:t>
      </w:r>
      <w:r w:rsidRPr="00DD73F9">
        <w:rPr>
          <w:sz w:val="22"/>
        </w:rPr>
        <w:t xml:space="preserve"> </w:t>
      </w:r>
      <w:r w:rsidRPr="0040738C">
        <w:rPr>
          <w:sz w:val="22"/>
          <w:szCs w:val="20"/>
        </w:rPr>
        <w:t xml:space="preserve">pri intravenóznej anestézii) </w:t>
      </w:r>
      <w:r w:rsidR="0011765F">
        <w:rPr>
          <w:sz w:val="22"/>
          <w:szCs w:val="20"/>
        </w:rPr>
        <w:t xml:space="preserve">je </w:t>
      </w:r>
      <w:r w:rsidRPr="0040738C">
        <w:rPr>
          <w:sz w:val="22"/>
          <w:szCs w:val="20"/>
        </w:rPr>
        <w:t>možn</w:t>
      </w:r>
      <w:r w:rsidR="0011765F">
        <w:rPr>
          <w:sz w:val="22"/>
          <w:szCs w:val="20"/>
        </w:rPr>
        <w:t>é</w:t>
      </w:r>
      <w:r w:rsidRPr="0040738C">
        <w:rPr>
          <w:sz w:val="22"/>
          <w:szCs w:val="20"/>
        </w:rPr>
        <w:t xml:space="preserve"> dosiahnuť vhodné podmienky na</w:t>
      </w:r>
      <w:r w:rsidR="009B3BFA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intubáciu</w:t>
      </w:r>
      <w:proofErr w:type="spellEnd"/>
      <w:r w:rsidRPr="0040738C">
        <w:rPr>
          <w:sz w:val="22"/>
          <w:szCs w:val="20"/>
        </w:rPr>
        <w:t xml:space="preserve"> takmer u všetkých pacientov, z</w:t>
      </w:r>
      <w:r w:rsidR="0011765F">
        <w:rPr>
          <w:sz w:val="22"/>
          <w:szCs w:val="20"/>
        </w:rPr>
        <w:t xml:space="preserve"> ktorých </w:t>
      </w:r>
      <w:r w:rsidRPr="0040738C">
        <w:rPr>
          <w:sz w:val="22"/>
          <w:szCs w:val="20"/>
        </w:rPr>
        <w:t>80</w:t>
      </w:r>
      <w:r w:rsidR="00763249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% </w:t>
      </w:r>
      <w:r w:rsidR="0011765F">
        <w:rPr>
          <w:sz w:val="22"/>
          <w:szCs w:val="20"/>
        </w:rPr>
        <w:t xml:space="preserve">prípadov </w:t>
      </w:r>
      <w:proofErr w:type="spellStart"/>
      <w:r w:rsidRPr="0040738C">
        <w:rPr>
          <w:sz w:val="22"/>
          <w:szCs w:val="20"/>
        </w:rPr>
        <w:t>intub</w:t>
      </w:r>
      <w:r w:rsidR="0011765F">
        <w:rPr>
          <w:sz w:val="22"/>
          <w:szCs w:val="20"/>
        </w:rPr>
        <w:t>ácie</w:t>
      </w:r>
      <w:proofErr w:type="spellEnd"/>
      <w:r w:rsidRPr="0040738C">
        <w:rPr>
          <w:sz w:val="22"/>
          <w:szCs w:val="20"/>
        </w:rPr>
        <w:t xml:space="preserve"> </w:t>
      </w:r>
      <w:r w:rsidR="0011765F">
        <w:rPr>
          <w:sz w:val="22"/>
          <w:szCs w:val="20"/>
        </w:rPr>
        <w:t xml:space="preserve">je hodnotených </w:t>
      </w:r>
      <w:r w:rsidRPr="0040738C">
        <w:rPr>
          <w:sz w:val="22"/>
          <w:szCs w:val="20"/>
        </w:rPr>
        <w:t xml:space="preserve">ako vynikajúce. Celková svalová </w:t>
      </w:r>
      <w:r w:rsidRPr="0040738C">
        <w:rPr>
          <w:sz w:val="22"/>
          <w:szCs w:val="20"/>
        </w:rPr>
        <w:lastRenderedPageBreak/>
        <w:t xml:space="preserve">paralýza dostatočná pre akýkoľvek typ chirurgického výkonu nastáva do </w:t>
      </w:r>
      <w:r w:rsidR="006F1026" w:rsidRPr="0040738C">
        <w:rPr>
          <w:sz w:val="22"/>
          <w:szCs w:val="20"/>
        </w:rPr>
        <w:t>2</w:t>
      </w:r>
      <w:r w:rsidR="006F1026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minút. Po podaní 0,45 mg/kg </w:t>
      </w:r>
      <w:proofErr w:type="spellStart"/>
      <w:r w:rsidRPr="0040738C">
        <w:rPr>
          <w:sz w:val="22"/>
          <w:szCs w:val="20"/>
        </w:rPr>
        <w:t>rokuróniumbromidu</w:t>
      </w:r>
      <w:proofErr w:type="spellEnd"/>
      <w:r w:rsidRPr="0040738C">
        <w:rPr>
          <w:sz w:val="22"/>
          <w:szCs w:val="20"/>
        </w:rPr>
        <w:t xml:space="preserve"> sú prítomné vhodné podmienky na</w:t>
      </w:r>
      <w:r w:rsidR="009B3BFA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intubáciu</w:t>
      </w:r>
      <w:proofErr w:type="spellEnd"/>
      <w:r w:rsidRPr="0040738C">
        <w:rPr>
          <w:sz w:val="22"/>
          <w:szCs w:val="20"/>
        </w:rPr>
        <w:t xml:space="preserve"> po </w:t>
      </w:r>
      <w:r w:rsidR="006F1026" w:rsidRPr="0040738C">
        <w:rPr>
          <w:sz w:val="22"/>
          <w:szCs w:val="20"/>
        </w:rPr>
        <w:t>90</w:t>
      </w:r>
      <w:r w:rsidR="006F1026">
        <w:rPr>
          <w:sz w:val="22"/>
          <w:szCs w:val="20"/>
        </w:rPr>
        <w:t> </w:t>
      </w:r>
      <w:r w:rsidRPr="0040738C">
        <w:rPr>
          <w:sz w:val="22"/>
          <w:szCs w:val="20"/>
        </w:rPr>
        <w:t>sekundách.</w:t>
      </w:r>
    </w:p>
    <w:p w14:paraId="7FBFA04D" w14:textId="77777777" w:rsidR="00CB2A09" w:rsidRPr="0040738C" w:rsidRDefault="00CB2A09" w:rsidP="00CD70B0">
      <w:pPr>
        <w:rPr>
          <w:sz w:val="22"/>
          <w:szCs w:val="20"/>
        </w:rPr>
      </w:pPr>
    </w:p>
    <w:p w14:paraId="7575963E" w14:textId="77777777" w:rsidR="00CB2A09" w:rsidRPr="0040738C" w:rsidRDefault="00CB2A09" w:rsidP="00DD73F9">
      <w:pPr>
        <w:keepNext/>
        <w:rPr>
          <w:sz w:val="22"/>
          <w:szCs w:val="20"/>
          <w:u w:val="single"/>
        </w:rPr>
      </w:pPr>
      <w:r w:rsidRPr="0040738C">
        <w:rPr>
          <w:sz w:val="22"/>
          <w:szCs w:val="20"/>
          <w:u w:val="single"/>
        </w:rPr>
        <w:t>Rýchly úvod do celkovej anestézie</w:t>
      </w:r>
    </w:p>
    <w:p w14:paraId="3B11B47F" w14:textId="6E3C84D0" w:rsidR="00CB2A09" w:rsidRPr="0040738C" w:rsidRDefault="00CB2A09" w:rsidP="00CD70B0">
      <w:pPr>
        <w:rPr>
          <w:sz w:val="22"/>
          <w:szCs w:val="20"/>
        </w:rPr>
      </w:pPr>
      <w:r w:rsidRPr="00D5561F">
        <w:rPr>
          <w:sz w:val="22"/>
          <w:szCs w:val="20"/>
        </w:rPr>
        <w:t xml:space="preserve">Počas rýchleho úvodu do celkovej anestézie </w:t>
      </w:r>
      <w:r w:rsidR="0011765F" w:rsidRPr="00D5561F">
        <w:rPr>
          <w:sz w:val="22"/>
          <w:szCs w:val="20"/>
        </w:rPr>
        <w:t>sa vhodné podmienky na</w:t>
      </w:r>
      <w:r w:rsidR="009B3BFA">
        <w:rPr>
          <w:sz w:val="22"/>
          <w:szCs w:val="20"/>
        </w:rPr>
        <w:t xml:space="preserve"> </w:t>
      </w:r>
      <w:proofErr w:type="spellStart"/>
      <w:r w:rsidR="0011765F" w:rsidRPr="00D5561F">
        <w:rPr>
          <w:sz w:val="22"/>
          <w:szCs w:val="20"/>
        </w:rPr>
        <w:t>intubáciu</w:t>
      </w:r>
      <w:proofErr w:type="spellEnd"/>
      <w:r w:rsidR="0011765F" w:rsidRPr="00D5561F">
        <w:rPr>
          <w:sz w:val="22"/>
          <w:szCs w:val="20"/>
        </w:rPr>
        <w:t xml:space="preserve"> dosiahnu do</w:t>
      </w:r>
      <w:r w:rsidR="0011765F">
        <w:rPr>
          <w:sz w:val="22"/>
          <w:szCs w:val="20"/>
        </w:rPr>
        <w:t xml:space="preserve"> 60 </w:t>
      </w:r>
      <w:r w:rsidR="0011765F" w:rsidRPr="0040738C">
        <w:rPr>
          <w:sz w:val="22"/>
          <w:szCs w:val="20"/>
        </w:rPr>
        <w:t xml:space="preserve">sekúnd </w:t>
      </w:r>
      <w:r w:rsidRPr="0040738C">
        <w:rPr>
          <w:sz w:val="22"/>
          <w:szCs w:val="20"/>
        </w:rPr>
        <w:t xml:space="preserve">pri použití </w:t>
      </w:r>
      <w:proofErr w:type="spellStart"/>
      <w:r w:rsidRPr="0040738C">
        <w:rPr>
          <w:sz w:val="22"/>
          <w:szCs w:val="20"/>
        </w:rPr>
        <w:t>propofolu</w:t>
      </w:r>
      <w:proofErr w:type="spellEnd"/>
      <w:r w:rsidRPr="0040738C">
        <w:rPr>
          <w:sz w:val="22"/>
          <w:szCs w:val="20"/>
        </w:rPr>
        <w:t xml:space="preserve"> </w:t>
      </w:r>
      <w:r w:rsidRPr="00D5561F">
        <w:rPr>
          <w:sz w:val="22"/>
          <w:szCs w:val="20"/>
        </w:rPr>
        <w:t>u</w:t>
      </w:r>
      <w:r w:rsidR="002C210D">
        <w:rPr>
          <w:sz w:val="22"/>
          <w:szCs w:val="20"/>
        </w:rPr>
        <w:t> </w:t>
      </w:r>
      <w:r w:rsidRPr="00D5561F">
        <w:rPr>
          <w:sz w:val="22"/>
          <w:szCs w:val="20"/>
        </w:rPr>
        <w:t>93</w:t>
      </w:r>
      <w:r w:rsidR="002C210D">
        <w:rPr>
          <w:sz w:val="22"/>
          <w:szCs w:val="20"/>
        </w:rPr>
        <w:t> </w:t>
      </w:r>
      <w:r w:rsidRPr="00D5561F">
        <w:rPr>
          <w:sz w:val="22"/>
          <w:szCs w:val="20"/>
        </w:rPr>
        <w:t xml:space="preserve">% </w:t>
      </w:r>
      <w:r w:rsidR="0011765F" w:rsidRPr="00D5561F">
        <w:rPr>
          <w:sz w:val="22"/>
          <w:szCs w:val="20"/>
        </w:rPr>
        <w:t>alebo pri použ</w:t>
      </w:r>
      <w:r w:rsidR="00CB65B2" w:rsidRPr="003E54A9">
        <w:rPr>
          <w:sz w:val="22"/>
          <w:szCs w:val="20"/>
        </w:rPr>
        <w:t>i</w:t>
      </w:r>
      <w:r w:rsidR="0011765F" w:rsidRPr="00D5561F">
        <w:rPr>
          <w:sz w:val="22"/>
          <w:szCs w:val="20"/>
        </w:rPr>
        <w:t xml:space="preserve">tí </w:t>
      </w:r>
      <w:proofErr w:type="spellStart"/>
      <w:r w:rsidR="0011765F" w:rsidRPr="00D5561F">
        <w:rPr>
          <w:sz w:val="22"/>
          <w:szCs w:val="20"/>
        </w:rPr>
        <w:t>fentanylu</w:t>
      </w:r>
      <w:proofErr w:type="spellEnd"/>
      <w:r w:rsidR="0011765F" w:rsidRPr="00D5561F">
        <w:rPr>
          <w:sz w:val="22"/>
          <w:szCs w:val="20"/>
        </w:rPr>
        <w:t>/</w:t>
      </w:r>
      <w:proofErr w:type="spellStart"/>
      <w:r w:rsidR="0011765F" w:rsidRPr="00D5561F">
        <w:rPr>
          <w:sz w:val="22"/>
          <w:szCs w:val="20"/>
        </w:rPr>
        <w:t>tiopentalu</w:t>
      </w:r>
      <w:proofErr w:type="spellEnd"/>
      <w:r w:rsidR="0011765F" w:rsidRPr="00D5561F">
        <w:rPr>
          <w:sz w:val="22"/>
          <w:szCs w:val="20"/>
        </w:rPr>
        <w:t xml:space="preserve"> u</w:t>
      </w:r>
      <w:r w:rsidR="002C210D">
        <w:rPr>
          <w:sz w:val="22"/>
          <w:szCs w:val="20"/>
        </w:rPr>
        <w:t> </w:t>
      </w:r>
      <w:r w:rsidRPr="00D5561F">
        <w:rPr>
          <w:sz w:val="22"/>
          <w:szCs w:val="20"/>
        </w:rPr>
        <w:t>96</w:t>
      </w:r>
      <w:r w:rsidR="002C210D">
        <w:rPr>
          <w:sz w:val="22"/>
          <w:szCs w:val="20"/>
        </w:rPr>
        <w:t> </w:t>
      </w:r>
      <w:r w:rsidRPr="00D5561F">
        <w:rPr>
          <w:sz w:val="22"/>
          <w:szCs w:val="20"/>
        </w:rPr>
        <w:t>% pacientov po</w:t>
      </w:r>
      <w:r w:rsidRPr="0040738C">
        <w:rPr>
          <w:sz w:val="22"/>
          <w:szCs w:val="20"/>
        </w:rPr>
        <w:t xml:space="preserve"> dávke 1 mg/kg </w:t>
      </w:r>
      <w:proofErr w:type="spellStart"/>
      <w:r w:rsidRPr="0040738C">
        <w:rPr>
          <w:sz w:val="22"/>
          <w:szCs w:val="20"/>
        </w:rPr>
        <w:t>rokuróniumbromidu</w:t>
      </w:r>
      <w:proofErr w:type="spellEnd"/>
      <w:r w:rsidRPr="0040738C">
        <w:rPr>
          <w:sz w:val="22"/>
          <w:szCs w:val="20"/>
        </w:rPr>
        <w:t>. Z toho sa 70</w:t>
      </w:r>
      <w:r w:rsidR="009B3BFA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% hodnotí ako vynikajúce. Klinické trvanie účinku pri tejto dávke </w:t>
      </w:r>
      <w:r w:rsidR="003C1A7A">
        <w:rPr>
          <w:sz w:val="22"/>
          <w:szCs w:val="20"/>
        </w:rPr>
        <w:t>dosahuje</w:t>
      </w:r>
      <w:r w:rsidRPr="0040738C">
        <w:rPr>
          <w:sz w:val="22"/>
          <w:szCs w:val="20"/>
        </w:rPr>
        <w:t xml:space="preserve"> 1 hodin</w:t>
      </w:r>
      <w:r w:rsidR="003C1A7A">
        <w:rPr>
          <w:sz w:val="22"/>
          <w:szCs w:val="20"/>
        </w:rPr>
        <w:t>u</w:t>
      </w:r>
      <w:r w:rsidRPr="0040738C">
        <w:rPr>
          <w:sz w:val="22"/>
          <w:szCs w:val="20"/>
        </w:rPr>
        <w:t>, po</w:t>
      </w:r>
      <w:r w:rsidR="003C1A7A">
        <w:rPr>
          <w:sz w:val="22"/>
          <w:szCs w:val="20"/>
        </w:rPr>
        <w:t>čas</w:t>
      </w:r>
      <w:r w:rsidRPr="0040738C">
        <w:rPr>
          <w:sz w:val="22"/>
          <w:szCs w:val="20"/>
        </w:rPr>
        <w:t xml:space="preserve"> </w:t>
      </w:r>
      <w:r w:rsidR="003C1A7A">
        <w:rPr>
          <w:sz w:val="22"/>
          <w:szCs w:val="20"/>
        </w:rPr>
        <w:t>ktorej</w:t>
      </w:r>
      <w:r w:rsidRPr="0040738C">
        <w:rPr>
          <w:sz w:val="22"/>
          <w:szCs w:val="20"/>
        </w:rPr>
        <w:t xml:space="preserve"> </w:t>
      </w:r>
      <w:r w:rsidR="003C1A7A">
        <w:rPr>
          <w:sz w:val="22"/>
          <w:szCs w:val="20"/>
        </w:rPr>
        <w:t xml:space="preserve">sa </w:t>
      </w:r>
      <w:proofErr w:type="spellStart"/>
      <w:r w:rsidRPr="0040738C">
        <w:rPr>
          <w:sz w:val="22"/>
          <w:szCs w:val="20"/>
        </w:rPr>
        <w:t>nervovosvalová</w:t>
      </w:r>
      <w:proofErr w:type="spellEnd"/>
      <w:r w:rsidRPr="0040738C">
        <w:rPr>
          <w:sz w:val="22"/>
          <w:szCs w:val="20"/>
        </w:rPr>
        <w:t xml:space="preserve"> blokáda </w:t>
      </w:r>
      <w:r w:rsidR="003C1A7A">
        <w:rPr>
          <w:sz w:val="22"/>
          <w:szCs w:val="20"/>
        </w:rPr>
        <w:t xml:space="preserve">môže </w:t>
      </w:r>
      <w:r w:rsidRPr="0040738C">
        <w:rPr>
          <w:sz w:val="22"/>
          <w:szCs w:val="20"/>
        </w:rPr>
        <w:t>bezpečne zruš</w:t>
      </w:r>
      <w:r w:rsidR="003C1A7A">
        <w:rPr>
          <w:sz w:val="22"/>
          <w:szCs w:val="20"/>
        </w:rPr>
        <w:t>iť</w:t>
      </w:r>
      <w:r w:rsidRPr="0040738C">
        <w:rPr>
          <w:sz w:val="22"/>
          <w:szCs w:val="20"/>
        </w:rPr>
        <w:t xml:space="preserve">. Po dávke 0,6 mg/kg </w:t>
      </w:r>
      <w:proofErr w:type="spellStart"/>
      <w:r w:rsidRPr="0040738C">
        <w:rPr>
          <w:sz w:val="22"/>
          <w:szCs w:val="20"/>
        </w:rPr>
        <w:t>rokuróniumbromidu</w:t>
      </w:r>
      <w:proofErr w:type="spellEnd"/>
      <w:r w:rsidRPr="0040738C">
        <w:rPr>
          <w:sz w:val="22"/>
          <w:szCs w:val="20"/>
        </w:rPr>
        <w:t xml:space="preserve"> sa dosiahnu vhodné podmienky na</w:t>
      </w:r>
      <w:r w:rsidR="009B3BFA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intubáciu</w:t>
      </w:r>
      <w:proofErr w:type="spellEnd"/>
      <w:r w:rsidRPr="0040738C">
        <w:rPr>
          <w:sz w:val="22"/>
          <w:szCs w:val="20"/>
        </w:rPr>
        <w:t xml:space="preserve"> do </w:t>
      </w:r>
      <w:r w:rsidR="00E95A09" w:rsidRPr="0040738C">
        <w:rPr>
          <w:sz w:val="22"/>
          <w:szCs w:val="20"/>
        </w:rPr>
        <w:t>60</w:t>
      </w:r>
      <w:r w:rsidR="00E95A09">
        <w:rPr>
          <w:sz w:val="22"/>
          <w:szCs w:val="20"/>
        </w:rPr>
        <w:t> </w:t>
      </w:r>
      <w:r w:rsidRPr="0040738C">
        <w:rPr>
          <w:sz w:val="22"/>
          <w:szCs w:val="20"/>
        </w:rPr>
        <w:t>sekúnd pri rýchlom úvode do celkovej anestézie u</w:t>
      </w:r>
      <w:r w:rsidR="002C210D">
        <w:rPr>
          <w:sz w:val="22"/>
          <w:szCs w:val="20"/>
        </w:rPr>
        <w:t> </w:t>
      </w:r>
      <w:r w:rsidRPr="0040738C">
        <w:rPr>
          <w:sz w:val="22"/>
          <w:szCs w:val="20"/>
        </w:rPr>
        <w:t>81</w:t>
      </w:r>
      <w:r w:rsidR="002C210D">
        <w:rPr>
          <w:sz w:val="22"/>
          <w:szCs w:val="20"/>
        </w:rPr>
        <w:t> </w:t>
      </w:r>
      <w:r w:rsidRPr="0040738C">
        <w:rPr>
          <w:sz w:val="22"/>
          <w:szCs w:val="20"/>
        </w:rPr>
        <w:t>%</w:t>
      </w:r>
      <w:r w:rsidR="003C1A7A">
        <w:rPr>
          <w:sz w:val="22"/>
          <w:szCs w:val="20"/>
        </w:rPr>
        <w:t xml:space="preserve"> pacientov pri použití </w:t>
      </w:r>
      <w:proofErr w:type="spellStart"/>
      <w:r w:rsidR="003C1A7A">
        <w:rPr>
          <w:sz w:val="22"/>
          <w:szCs w:val="20"/>
        </w:rPr>
        <w:t>propofolu</w:t>
      </w:r>
      <w:proofErr w:type="spellEnd"/>
      <w:r w:rsidRPr="0040738C">
        <w:rPr>
          <w:sz w:val="22"/>
          <w:szCs w:val="20"/>
        </w:rPr>
        <w:t xml:space="preserve"> </w:t>
      </w:r>
      <w:r w:rsidR="003C1A7A">
        <w:rPr>
          <w:sz w:val="22"/>
          <w:szCs w:val="20"/>
        </w:rPr>
        <w:t>alebo u</w:t>
      </w:r>
      <w:r w:rsidR="002C210D">
        <w:rPr>
          <w:sz w:val="22"/>
          <w:szCs w:val="20"/>
        </w:rPr>
        <w:t> </w:t>
      </w:r>
      <w:r w:rsidRPr="0040738C">
        <w:rPr>
          <w:sz w:val="22"/>
          <w:szCs w:val="20"/>
        </w:rPr>
        <w:t>75</w:t>
      </w:r>
      <w:r w:rsidR="002C210D">
        <w:rPr>
          <w:sz w:val="22"/>
          <w:szCs w:val="20"/>
        </w:rPr>
        <w:t> </w:t>
      </w:r>
      <w:r w:rsidRPr="0040738C">
        <w:rPr>
          <w:sz w:val="22"/>
          <w:szCs w:val="20"/>
        </w:rPr>
        <w:t>% pacientov</w:t>
      </w:r>
      <w:r w:rsidR="003C1A7A">
        <w:rPr>
          <w:sz w:val="22"/>
          <w:szCs w:val="20"/>
        </w:rPr>
        <w:t xml:space="preserve"> pri</w:t>
      </w:r>
      <w:r w:rsidRPr="0040738C">
        <w:rPr>
          <w:sz w:val="22"/>
          <w:szCs w:val="20"/>
        </w:rPr>
        <w:t xml:space="preserve"> </w:t>
      </w:r>
      <w:r w:rsidR="003C1A7A">
        <w:rPr>
          <w:sz w:val="22"/>
          <w:szCs w:val="20"/>
        </w:rPr>
        <w:t xml:space="preserve">použití </w:t>
      </w:r>
      <w:proofErr w:type="spellStart"/>
      <w:r w:rsidRPr="0040738C">
        <w:rPr>
          <w:sz w:val="22"/>
          <w:szCs w:val="20"/>
        </w:rPr>
        <w:t>fentanylu</w:t>
      </w:r>
      <w:proofErr w:type="spellEnd"/>
      <w:r w:rsidRPr="0040738C">
        <w:rPr>
          <w:sz w:val="22"/>
          <w:szCs w:val="20"/>
        </w:rPr>
        <w:t>/</w:t>
      </w:r>
      <w:proofErr w:type="spellStart"/>
      <w:r w:rsidRPr="0040738C">
        <w:rPr>
          <w:sz w:val="22"/>
          <w:szCs w:val="20"/>
        </w:rPr>
        <w:t>tiopentalu</w:t>
      </w:r>
      <w:proofErr w:type="spellEnd"/>
      <w:r w:rsidRPr="0040738C">
        <w:rPr>
          <w:sz w:val="22"/>
          <w:szCs w:val="20"/>
        </w:rPr>
        <w:t>.</w:t>
      </w:r>
    </w:p>
    <w:p w14:paraId="31463C3C" w14:textId="77777777" w:rsidR="00CB2A09" w:rsidRPr="0040738C" w:rsidRDefault="00CB2A09" w:rsidP="00CD70B0">
      <w:pPr>
        <w:rPr>
          <w:sz w:val="22"/>
          <w:szCs w:val="20"/>
        </w:rPr>
      </w:pPr>
    </w:p>
    <w:p w14:paraId="6E81AA4D" w14:textId="77777777" w:rsidR="00CB2A09" w:rsidRPr="0040738C" w:rsidRDefault="00E95A09" w:rsidP="003E54A9">
      <w:pPr>
        <w:keepNext/>
        <w:rPr>
          <w:sz w:val="22"/>
          <w:szCs w:val="20"/>
          <w:u w:val="single"/>
        </w:rPr>
      </w:pPr>
      <w:r w:rsidRPr="00D4288F">
        <w:rPr>
          <w:sz w:val="22"/>
          <w:szCs w:val="20"/>
          <w:u w:val="single"/>
        </w:rPr>
        <w:t>Pediatrickí</w:t>
      </w:r>
      <w:r w:rsidR="00CB2A09" w:rsidRPr="006A478B">
        <w:rPr>
          <w:sz w:val="22"/>
          <w:szCs w:val="20"/>
          <w:u w:val="single"/>
        </w:rPr>
        <w:t xml:space="preserve"> pacienti</w:t>
      </w:r>
    </w:p>
    <w:p w14:paraId="7F6F4A60" w14:textId="6D9738A6" w:rsidR="00CB2A09" w:rsidRPr="0040738C" w:rsidRDefault="00CB2A09" w:rsidP="00CD70B0">
      <w:pPr>
        <w:rPr>
          <w:sz w:val="22"/>
          <w:szCs w:val="20"/>
        </w:rPr>
      </w:pPr>
      <w:r w:rsidRPr="0040738C">
        <w:rPr>
          <w:sz w:val="22"/>
          <w:szCs w:val="20"/>
        </w:rPr>
        <w:t xml:space="preserve">Priemerný </w:t>
      </w:r>
      <w:r w:rsidR="003C1A7A">
        <w:rPr>
          <w:sz w:val="22"/>
          <w:szCs w:val="20"/>
        </w:rPr>
        <w:t xml:space="preserve">čas </w:t>
      </w:r>
      <w:r w:rsidRPr="0040738C">
        <w:rPr>
          <w:sz w:val="22"/>
          <w:szCs w:val="20"/>
        </w:rPr>
        <w:t>nástup</w:t>
      </w:r>
      <w:r w:rsidR="003C1A7A">
        <w:rPr>
          <w:sz w:val="22"/>
          <w:szCs w:val="20"/>
        </w:rPr>
        <w:t>u</w:t>
      </w:r>
      <w:r w:rsidRPr="0040738C">
        <w:rPr>
          <w:sz w:val="22"/>
          <w:szCs w:val="20"/>
        </w:rPr>
        <w:t xml:space="preserve"> účinku u</w:t>
      </w:r>
      <w:r w:rsidR="003C1A7A">
        <w:rPr>
          <w:sz w:val="22"/>
          <w:szCs w:val="20"/>
        </w:rPr>
        <w:t> </w:t>
      </w:r>
      <w:r w:rsidRPr="0040738C">
        <w:rPr>
          <w:sz w:val="22"/>
          <w:szCs w:val="20"/>
        </w:rPr>
        <w:t>dojčiat</w:t>
      </w:r>
      <w:r w:rsidR="003C1A7A">
        <w:rPr>
          <w:sz w:val="22"/>
          <w:szCs w:val="20"/>
        </w:rPr>
        <w:t xml:space="preserve">, batoliat </w:t>
      </w:r>
      <w:r w:rsidRPr="0040738C">
        <w:rPr>
          <w:sz w:val="22"/>
          <w:szCs w:val="20"/>
        </w:rPr>
        <w:t>a detí pri dávke 0,</w:t>
      </w:r>
      <w:r w:rsidR="00943F1A" w:rsidRPr="0040738C">
        <w:rPr>
          <w:sz w:val="22"/>
          <w:szCs w:val="20"/>
        </w:rPr>
        <w:t>6</w:t>
      </w:r>
      <w:r w:rsidR="00943F1A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mg/kg </w:t>
      </w:r>
      <w:r w:rsidR="003C1A7A">
        <w:rPr>
          <w:sz w:val="22"/>
          <w:szCs w:val="20"/>
        </w:rPr>
        <w:t xml:space="preserve">pri </w:t>
      </w:r>
      <w:proofErr w:type="spellStart"/>
      <w:r w:rsidR="003C1A7A">
        <w:rPr>
          <w:sz w:val="22"/>
          <w:szCs w:val="20"/>
        </w:rPr>
        <w:t>intubácii</w:t>
      </w:r>
      <w:proofErr w:type="spellEnd"/>
      <w:r w:rsidR="003C1A7A">
        <w:rPr>
          <w:sz w:val="22"/>
          <w:szCs w:val="20"/>
        </w:rPr>
        <w:t xml:space="preserve"> </w:t>
      </w:r>
      <w:r w:rsidRPr="0040738C">
        <w:rPr>
          <w:sz w:val="22"/>
          <w:szCs w:val="20"/>
        </w:rPr>
        <w:t xml:space="preserve">je mierne kratší ako </w:t>
      </w:r>
      <w:r w:rsidR="003C1A7A">
        <w:rPr>
          <w:sz w:val="22"/>
          <w:szCs w:val="20"/>
        </w:rPr>
        <w:t xml:space="preserve">čas nástupu účinku </w:t>
      </w:r>
      <w:r w:rsidRPr="0040738C">
        <w:rPr>
          <w:sz w:val="22"/>
          <w:szCs w:val="20"/>
        </w:rPr>
        <w:t>u dospelých. Porovnanie v rámci vekových skupín</w:t>
      </w:r>
      <w:r w:rsidR="009E4359">
        <w:rPr>
          <w:sz w:val="22"/>
          <w:szCs w:val="20"/>
        </w:rPr>
        <w:t xml:space="preserve"> u</w:t>
      </w:r>
      <w:r w:rsidR="003C1A7A">
        <w:rPr>
          <w:sz w:val="22"/>
          <w:szCs w:val="20"/>
        </w:rPr>
        <w:t xml:space="preserve"> </w:t>
      </w:r>
      <w:r w:rsidR="000E2E5C">
        <w:rPr>
          <w:sz w:val="22"/>
          <w:szCs w:val="20"/>
        </w:rPr>
        <w:t>pediatrických pacientov</w:t>
      </w:r>
      <w:r w:rsidR="003C1A7A">
        <w:rPr>
          <w:sz w:val="22"/>
          <w:szCs w:val="20"/>
        </w:rPr>
        <w:t xml:space="preserve"> </w:t>
      </w:r>
      <w:r w:rsidRPr="0040738C">
        <w:rPr>
          <w:sz w:val="22"/>
          <w:szCs w:val="20"/>
        </w:rPr>
        <w:t>ukázalo, že priemerný čas nástupu účinku u novorodencov a dospievajúcich (1,0</w:t>
      </w:r>
      <w:r w:rsidR="002C210D">
        <w:rPr>
          <w:sz w:val="22"/>
          <w:szCs w:val="20"/>
        </w:rPr>
        <w:t> </w:t>
      </w:r>
      <w:r w:rsidRPr="0040738C">
        <w:rPr>
          <w:sz w:val="22"/>
          <w:szCs w:val="20"/>
        </w:rPr>
        <w:t>min) je mierne dlhší, než u dojčiat, batoliat a detí (0,4; 0,6 a 0,</w:t>
      </w:r>
      <w:r w:rsidR="000E2E5C" w:rsidRPr="0040738C">
        <w:rPr>
          <w:sz w:val="22"/>
          <w:szCs w:val="20"/>
        </w:rPr>
        <w:t>8</w:t>
      </w:r>
      <w:r w:rsidR="000E2E5C">
        <w:rPr>
          <w:sz w:val="22"/>
          <w:szCs w:val="20"/>
        </w:rPr>
        <w:t> </w:t>
      </w:r>
      <w:r w:rsidRPr="0040738C">
        <w:rPr>
          <w:sz w:val="22"/>
          <w:szCs w:val="20"/>
        </w:rPr>
        <w:t>min v</w:t>
      </w:r>
      <w:r w:rsidR="003C1A7A">
        <w:rPr>
          <w:sz w:val="22"/>
          <w:szCs w:val="20"/>
        </w:rPr>
        <w:t xml:space="preserve"> uvedenom </w:t>
      </w:r>
      <w:r w:rsidRPr="0040738C">
        <w:rPr>
          <w:sz w:val="22"/>
          <w:szCs w:val="20"/>
        </w:rPr>
        <w:t xml:space="preserve">poradí). Trvanie relaxácie a čas potrebný na </w:t>
      </w:r>
      <w:proofErr w:type="spellStart"/>
      <w:r w:rsidR="00E04A62">
        <w:rPr>
          <w:sz w:val="22"/>
          <w:szCs w:val="20"/>
        </w:rPr>
        <w:t>odoznenie</w:t>
      </w:r>
      <w:proofErr w:type="spellEnd"/>
      <w:r w:rsidRPr="0040738C">
        <w:rPr>
          <w:sz w:val="22"/>
          <w:szCs w:val="20"/>
        </w:rPr>
        <w:t xml:space="preserve"> relaxácie je o niečo kratší u detí </w:t>
      </w:r>
      <w:r w:rsidR="003C1A7A">
        <w:rPr>
          <w:sz w:val="22"/>
          <w:szCs w:val="20"/>
        </w:rPr>
        <w:t>ako</w:t>
      </w:r>
      <w:r w:rsidRPr="0040738C">
        <w:rPr>
          <w:sz w:val="22"/>
          <w:szCs w:val="20"/>
        </w:rPr>
        <w:t xml:space="preserve"> u dojčiat a dospelých. Porovnanie v rámci vekových skupín</w:t>
      </w:r>
      <w:r w:rsidR="009E4359">
        <w:rPr>
          <w:sz w:val="22"/>
          <w:szCs w:val="20"/>
        </w:rPr>
        <w:t xml:space="preserve"> u</w:t>
      </w:r>
      <w:r w:rsidRPr="0040738C">
        <w:rPr>
          <w:sz w:val="22"/>
          <w:szCs w:val="20"/>
        </w:rPr>
        <w:t xml:space="preserve"> </w:t>
      </w:r>
      <w:r w:rsidR="00A70A42">
        <w:rPr>
          <w:sz w:val="22"/>
          <w:szCs w:val="20"/>
        </w:rPr>
        <w:t>pediatrických pacientov</w:t>
      </w:r>
      <w:r w:rsidR="003C1A7A">
        <w:rPr>
          <w:sz w:val="22"/>
          <w:szCs w:val="20"/>
        </w:rPr>
        <w:t xml:space="preserve"> </w:t>
      </w:r>
      <w:r w:rsidRPr="0040738C">
        <w:rPr>
          <w:sz w:val="22"/>
          <w:szCs w:val="20"/>
        </w:rPr>
        <w:t>preukázalo, že priemerný čas opätovného zaznamenania T</w:t>
      </w:r>
      <w:r w:rsidRPr="0040738C">
        <w:rPr>
          <w:sz w:val="22"/>
          <w:szCs w:val="20"/>
          <w:vertAlign w:val="subscript"/>
        </w:rPr>
        <w:t>3</w:t>
      </w:r>
      <w:r w:rsidRPr="0040738C">
        <w:rPr>
          <w:sz w:val="22"/>
          <w:szCs w:val="20"/>
        </w:rPr>
        <w:t xml:space="preserve"> bol predĺžený u novorodencov a dojčiat (56,7 a 60,</w:t>
      </w:r>
      <w:r w:rsidR="00A70A42" w:rsidRPr="0040738C">
        <w:rPr>
          <w:sz w:val="22"/>
          <w:szCs w:val="20"/>
        </w:rPr>
        <w:t>7</w:t>
      </w:r>
      <w:r w:rsidR="00A70A42">
        <w:rPr>
          <w:sz w:val="22"/>
          <w:szCs w:val="20"/>
        </w:rPr>
        <w:t> </w:t>
      </w:r>
      <w:r w:rsidRPr="0040738C">
        <w:rPr>
          <w:sz w:val="22"/>
          <w:szCs w:val="20"/>
        </w:rPr>
        <w:t>min v</w:t>
      </w:r>
      <w:r w:rsidR="003C1A7A">
        <w:rPr>
          <w:sz w:val="22"/>
          <w:szCs w:val="20"/>
        </w:rPr>
        <w:t> uvedenom</w:t>
      </w:r>
      <w:r w:rsidRPr="0040738C">
        <w:rPr>
          <w:sz w:val="22"/>
          <w:szCs w:val="20"/>
        </w:rPr>
        <w:t xml:space="preserve"> poradí) v porovnaní s batoľatami, deťmi a dospievajúcimi (45,4; 37,6 a 42,</w:t>
      </w:r>
      <w:r w:rsidR="00A70A42" w:rsidRPr="0040738C">
        <w:rPr>
          <w:sz w:val="22"/>
          <w:szCs w:val="20"/>
        </w:rPr>
        <w:t>9</w:t>
      </w:r>
      <w:r w:rsidR="00A70A42">
        <w:rPr>
          <w:sz w:val="22"/>
          <w:szCs w:val="20"/>
        </w:rPr>
        <w:t> </w:t>
      </w:r>
      <w:r w:rsidRPr="0040738C">
        <w:rPr>
          <w:sz w:val="22"/>
          <w:szCs w:val="20"/>
        </w:rPr>
        <w:t>min v </w:t>
      </w:r>
      <w:r w:rsidR="003C1A7A">
        <w:rPr>
          <w:sz w:val="22"/>
          <w:szCs w:val="20"/>
        </w:rPr>
        <w:t>uvedenom</w:t>
      </w:r>
      <w:r w:rsidRPr="0040738C">
        <w:rPr>
          <w:sz w:val="22"/>
          <w:szCs w:val="20"/>
        </w:rPr>
        <w:t xml:space="preserve"> poradí).</w:t>
      </w:r>
    </w:p>
    <w:p w14:paraId="6B852F32" w14:textId="77777777" w:rsidR="00CB2A09" w:rsidRDefault="00CB2A09" w:rsidP="00CD70B0">
      <w:pPr>
        <w:rPr>
          <w:sz w:val="22"/>
          <w:szCs w:val="20"/>
        </w:rPr>
      </w:pPr>
    </w:p>
    <w:p w14:paraId="6F7087C6" w14:textId="08B14067" w:rsidR="00EF493B" w:rsidRPr="00C4441D" w:rsidRDefault="00EF493B" w:rsidP="003E54A9">
      <w:pPr>
        <w:keepNext/>
        <w:rPr>
          <w:sz w:val="22"/>
          <w:szCs w:val="20"/>
        </w:rPr>
      </w:pPr>
      <w:r w:rsidRPr="003E54A9">
        <w:rPr>
          <w:b/>
          <w:sz w:val="22"/>
          <w:szCs w:val="20"/>
        </w:rPr>
        <w:t xml:space="preserve">Priemerný čas </w:t>
      </w:r>
      <w:r w:rsidR="00E33F22" w:rsidRPr="00EF493B">
        <w:rPr>
          <w:b/>
          <w:sz w:val="22"/>
          <w:szCs w:val="20"/>
        </w:rPr>
        <w:t>(</w:t>
      </w:r>
      <w:r w:rsidR="00E33F22">
        <w:rPr>
          <w:b/>
          <w:sz w:val="22"/>
          <w:szCs w:val="20"/>
        </w:rPr>
        <w:t>štandardná odchýlka</w:t>
      </w:r>
      <w:r w:rsidR="00E33F22" w:rsidRPr="00EF493B">
        <w:rPr>
          <w:b/>
          <w:sz w:val="22"/>
          <w:szCs w:val="20"/>
        </w:rPr>
        <w:t>)</w:t>
      </w:r>
      <w:r w:rsidR="00E33F22">
        <w:rPr>
          <w:b/>
          <w:sz w:val="22"/>
          <w:szCs w:val="20"/>
        </w:rPr>
        <w:t xml:space="preserve"> </w:t>
      </w:r>
      <w:r w:rsidRPr="003E54A9">
        <w:rPr>
          <w:b/>
          <w:sz w:val="22"/>
          <w:szCs w:val="20"/>
        </w:rPr>
        <w:t xml:space="preserve">do </w:t>
      </w:r>
      <w:r w:rsidR="00A70A42">
        <w:rPr>
          <w:b/>
          <w:sz w:val="22"/>
          <w:szCs w:val="20"/>
        </w:rPr>
        <w:t>nástupu</w:t>
      </w:r>
      <w:r w:rsidRPr="003E54A9">
        <w:rPr>
          <w:b/>
          <w:sz w:val="22"/>
          <w:szCs w:val="20"/>
        </w:rPr>
        <w:t xml:space="preserve"> a klinického trvania </w:t>
      </w:r>
      <w:r>
        <w:rPr>
          <w:b/>
          <w:sz w:val="22"/>
          <w:szCs w:val="20"/>
        </w:rPr>
        <w:t xml:space="preserve">účinku </w:t>
      </w:r>
      <w:r w:rsidRPr="003E54A9">
        <w:rPr>
          <w:b/>
          <w:sz w:val="22"/>
          <w:szCs w:val="20"/>
        </w:rPr>
        <w:t xml:space="preserve">po úvodnej dávke* 0,6 mg/kg </w:t>
      </w:r>
      <w:proofErr w:type="spellStart"/>
      <w:r w:rsidRPr="003E54A9">
        <w:rPr>
          <w:b/>
          <w:sz w:val="22"/>
          <w:szCs w:val="20"/>
        </w:rPr>
        <w:t>rokuróni</w:t>
      </w:r>
      <w:r w:rsidR="00A70A42">
        <w:rPr>
          <w:b/>
          <w:sz w:val="22"/>
          <w:szCs w:val="20"/>
        </w:rPr>
        <w:t>a</w:t>
      </w:r>
      <w:proofErr w:type="spellEnd"/>
      <w:r w:rsidRPr="003E54A9">
        <w:rPr>
          <w:b/>
          <w:sz w:val="22"/>
          <w:szCs w:val="20"/>
        </w:rPr>
        <w:t xml:space="preserve"> pri </w:t>
      </w:r>
      <w:proofErr w:type="spellStart"/>
      <w:r w:rsidRPr="003E54A9">
        <w:rPr>
          <w:b/>
          <w:sz w:val="22"/>
          <w:szCs w:val="20"/>
        </w:rPr>
        <w:t>intubácii</w:t>
      </w:r>
      <w:proofErr w:type="spellEnd"/>
      <w:r w:rsidRPr="003E54A9">
        <w:rPr>
          <w:b/>
          <w:sz w:val="22"/>
          <w:szCs w:val="20"/>
        </w:rPr>
        <w:t xml:space="preserve"> počas anestézie </w:t>
      </w:r>
      <w:r w:rsidR="00BA6F7D" w:rsidRPr="003E54A9">
        <w:rPr>
          <w:b/>
          <w:sz w:val="22"/>
          <w:szCs w:val="20"/>
        </w:rPr>
        <w:t>(udržiavanie)</w:t>
      </w:r>
      <w:r w:rsidR="00BA6F7D">
        <w:rPr>
          <w:b/>
          <w:sz w:val="22"/>
          <w:szCs w:val="20"/>
        </w:rPr>
        <w:t xml:space="preserve"> </w:t>
      </w:r>
      <w:proofErr w:type="spellStart"/>
      <w:r w:rsidRPr="003E54A9">
        <w:rPr>
          <w:b/>
          <w:sz w:val="22"/>
          <w:szCs w:val="20"/>
        </w:rPr>
        <w:t>sevofluránom</w:t>
      </w:r>
      <w:proofErr w:type="spellEnd"/>
      <w:r w:rsidRPr="003E54A9">
        <w:rPr>
          <w:b/>
          <w:sz w:val="22"/>
          <w:szCs w:val="20"/>
        </w:rPr>
        <w:t>/oxidom dusným a </w:t>
      </w:r>
      <w:proofErr w:type="spellStart"/>
      <w:r w:rsidRPr="003E54A9">
        <w:rPr>
          <w:b/>
          <w:sz w:val="22"/>
          <w:szCs w:val="20"/>
        </w:rPr>
        <w:t>izofluránom</w:t>
      </w:r>
      <w:proofErr w:type="spellEnd"/>
      <w:r w:rsidRPr="003E54A9">
        <w:rPr>
          <w:b/>
          <w:sz w:val="22"/>
          <w:szCs w:val="20"/>
        </w:rPr>
        <w:t xml:space="preserve">/oxidom dusným </w:t>
      </w:r>
      <w:r w:rsidR="00C36FE1">
        <w:rPr>
          <w:b/>
          <w:sz w:val="22"/>
          <w:szCs w:val="20"/>
        </w:rPr>
        <w:t>(</w:t>
      </w:r>
      <w:r w:rsidR="00BA6F7D">
        <w:rPr>
          <w:b/>
          <w:sz w:val="22"/>
          <w:szCs w:val="20"/>
        </w:rPr>
        <w:t>p</w:t>
      </w:r>
      <w:r w:rsidR="00C36FE1">
        <w:rPr>
          <w:b/>
          <w:sz w:val="22"/>
          <w:szCs w:val="20"/>
        </w:rPr>
        <w:t>ediatrickí</w:t>
      </w:r>
      <w:r w:rsidRPr="003E54A9">
        <w:rPr>
          <w:b/>
          <w:sz w:val="22"/>
          <w:szCs w:val="20"/>
        </w:rPr>
        <w:t xml:space="preserve"> pacient</w:t>
      </w:r>
      <w:r w:rsidR="00C36FE1">
        <w:rPr>
          <w:b/>
          <w:sz w:val="22"/>
          <w:szCs w:val="20"/>
        </w:rPr>
        <w:t>i)</w:t>
      </w:r>
      <w:r w:rsidR="00367F7B" w:rsidRPr="00C4441D">
        <w:rPr>
          <w:b/>
          <w:sz w:val="22"/>
          <w:szCs w:val="20"/>
        </w:rPr>
        <w:t xml:space="preserve"> skupina</w:t>
      </w:r>
      <w:r w:rsidR="009E4359" w:rsidRPr="003E54A9">
        <w:rPr>
          <w:b/>
          <w:sz w:val="22"/>
          <w:szCs w:val="20"/>
        </w:rPr>
        <w:t xml:space="preserve"> pacientov </w:t>
      </w:r>
      <w:r w:rsidR="00C4441D" w:rsidRPr="003E54A9">
        <w:rPr>
          <w:b/>
          <w:sz w:val="22"/>
          <w:szCs w:val="20"/>
        </w:rPr>
        <w:t xml:space="preserve">definovaná </w:t>
      </w:r>
      <w:r w:rsidR="00C4441D" w:rsidRPr="00EF7930">
        <w:rPr>
          <w:b/>
          <w:sz w:val="22"/>
          <w:szCs w:val="20"/>
        </w:rPr>
        <w:t>protokolom</w:t>
      </w:r>
      <w:r w:rsidR="00057567" w:rsidRPr="00EF7930">
        <w:rPr>
          <w:b/>
          <w:sz w:val="22"/>
          <w:szCs w:val="20"/>
        </w:rPr>
        <w:t xml:space="preserve"> (</w:t>
      </w:r>
      <w:proofErr w:type="spellStart"/>
      <w:r w:rsidR="00057567" w:rsidRPr="00EF7930">
        <w:rPr>
          <w:b/>
          <w:sz w:val="22"/>
          <w:szCs w:val="20"/>
        </w:rPr>
        <w:t>Per-Protocol</w:t>
      </w:r>
      <w:proofErr w:type="spellEnd"/>
      <w:r w:rsidR="00057567" w:rsidRPr="00EF7930">
        <w:rPr>
          <w:b/>
          <w:sz w:val="22"/>
          <w:szCs w:val="20"/>
        </w:rPr>
        <w:t xml:space="preserve">, PP </w:t>
      </w:r>
      <w:proofErr w:type="spellStart"/>
      <w:r w:rsidR="00057567" w:rsidRPr="00EF7930">
        <w:rPr>
          <w:b/>
          <w:sz w:val="22"/>
          <w:szCs w:val="20"/>
        </w:rPr>
        <w:t>group</w:t>
      </w:r>
      <w:proofErr w:type="spellEnd"/>
      <w:r w:rsidR="00057567">
        <w:rPr>
          <w:b/>
          <w:sz w:val="22"/>
          <w:szCs w:val="20"/>
        </w:rPr>
        <w:t>)</w:t>
      </w:r>
    </w:p>
    <w:p w14:paraId="4B15A573" w14:textId="77777777" w:rsidR="00EF493B" w:rsidRDefault="00EF493B" w:rsidP="003E54A9">
      <w:pPr>
        <w:keepNext/>
        <w:rPr>
          <w:sz w:val="2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2725"/>
      </w:tblGrid>
      <w:tr w:rsidR="003C1A7A" w:rsidRPr="00A331EC" w14:paraId="21F312EA" w14:textId="77777777" w:rsidTr="003E54A9">
        <w:tc>
          <w:tcPr>
            <w:tcW w:w="3402" w:type="dxa"/>
            <w:shd w:val="clear" w:color="auto" w:fill="auto"/>
          </w:tcPr>
          <w:p w14:paraId="1879039F" w14:textId="77777777" w:rsidR="003C1A7A" w:rsidRPr="00A331EC" w:rsidRDefault="003C1A7A" w:rsidP="003E54A9">
            <w:pPr>
              <w:keepNext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58CB23E" w14:textId="77777777" w:rsidR="003C1A7A" w:rsidRPr="00A331EC" w:rsidRDefault="003C1A7A" w:rsidP="003E54A9">
            <w:pPr>
              <w:keepNext/>
              <w:jc w:val="center"/>
              <w:rPr>
                <w:rFonts w:eastAsia="Times New Roman"/>
                <w:sz w:val="22"/>
                <w:szCs w:val="20"/>
                <w:vertAlign w:val="superscript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Čas do maximálnej blokády</w:t>
            </w:r>
            <w:r w:rsidRPr="003E54A9">
              <w:rPr>
                <w:rFonts w:eastAsia="Times New Roman"/>
                <w:sz w:val="22"/>
                <w:szCs w:val="20"/>
              </w:rPr>
              <w:t>**</w:t>
            </w:r>
          </w:p>
          <w:p w14:paraId="319ED94E" w14:textId="77777777" w:rsidR="003C1A7A" w:rsidRPr="00A331EC" w:rsidRDefault="003C1A7A" w:rsidP="003E54A9">
            <w:pPr>
              <w:keepNext/>
              <w:jc w:val="center"/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(min)</w:t>
            </w:r>
          </w:p>
        </w:tc>
        <w:tc>
          <w:tcPr>
            <w:tcW w:w="2725" w:type="dxa"/>
            <w:shd w:val="clear" w:color="auto" w:fill="auto"/>
          </w:tcPr>
          <w:p w14:paraId="360344A7" w14:textId="77777777" w:rsidR="003C1A7A" w:rsidRPr="00A331EC" w:rsidRDefault="003C1A7A" w:rsidP="003E54A9">
            <w:pPr>
              <w:keepNext/>
              <w:jc w:val="center"/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Čas do opätovného zaznamenania T</w:t>
            </w:r>
            <w:r w:rsidRPr="00A331EC">
              <w:rPr>
                <w:rFonts w:eastAsia="Times New Roman"/>
                <w:sz w:val="22"/>
                <w:szCs w:val="20"/>
                <w:vertAlign w:val="subscript"/>
              </w:rPr>
              <w:t>3</w:t>
            </w:r>
            <w:r w:rsidRPr="003E54A9">
              <w:rPr>
                <w:rFonts w:eastAsia="Times New Roman"/>
                <w:sz w:val="22"/>
                <w:szCs w:val="20"/>
              </w:rPr>
              <w:t>**</w:t>
            </w:r>
          </w:p>
          <w:p w14:paraId="366D80CD" w14:textId="77777777" w:rsidR="003C1A7A" w:rsidRPr="00A331EC" w:rsidRDefault="003C1A7A" w:rsidP="003E54A9">
            <w:pPr>
              <w:keepNext/>
              <w:jc w:val="center"/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(min)</w:t>
            </w:r>
          </w:p>
        </w:tc>
      </w:tr>
      <w:tr w:rsidR="003C1A7A" w:rsidRPr="00A331EC" w14:paraId="17A6D34C" w14:textId="77777777" w:rsidTr="003E54A9">
        <w:tc>
          <w:tcPr>
            <w:tcW w:w="3402" w:type="dxa"/>
            <w:shd w:val="clear" w:color="auto" w:fill="auto"/>
          </w:tcPr>
          <w:p w14:paraId="052957B4" w14:textId="77777777" w:rsidR="003C1A7A" w:rsidRPr="00A331EC" w:rsidRDefault="003C1A7A" w:rsidP="00CD70B0">
            <w:pPr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Novorodenci (0</w:t>
            </w:r>
            <w:r w:rsidR="00C35BD9">
              <w:rPr>
                <w:rFonts w:eastAsia="Times New Roman"/>
                <w:sz w:val="22"/>
                <w:szCs w:val="20"/>
              </w:rPr>
              <w:t> </w:t>
            </w:r>
            <w:r w:rsidRPr="00A331EC">
              <w:rPr>
                <w:rFonts w:eastAsia="Times New Roman"/>
                <w:sz w:val="22"/>
                <w:szCs w:val="20"/>
              </w:rPr>
              <w:t>–</w:t>
            </w:r>
            <w:r w:rsidR="00C35BD9">
              <w:rPr>
                <w:rFonts w:eastAsia="Times New Roman"/>
                <w:sz w:val="22"/>
                <w:szCs w:val="20"/>
              </w:rPr>
              <w:t> </w:t>
            </w:r>
            <w:r w:rsidRPr="00A331EC">
              <w:rPr>
                <w:rFonts w:eastAsia="Times New Roman"/>
                <w:sz w:val="22"/>
                <w:szCs w:val="20"/>
              </w:rPr>
              <w:t>27 dní)</w:t>
            </w:r>
          </w:p>
          <w:p w14:paraId="1E164CD0" w14:textId="77777777" w:rsidR="003C1A7A" w:rsidRPr="00A331EC" w:rsidRDefault="003C1A7A" w:rsidP="00CD70B0">
            <w:pPr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n = 10</w:t>
            </w:r>
          </w:p>
        </w:tc>
        <w:tc>
          <w:tcPr>
            <w:tcW w:w="2977" w:type="dxa"/>
            <w:shd w:val="clear" w:color="auto" w:fill="auto"/>
          </w:tcPr>
          <w:p w14:paraId="588D98C9" w14:textId="77777777" w:rsidR="003C1A7A" w:rsidRPr="00A331EC" w:rsidRDefault="003C1A7A" w:rsidP="003E54A9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0,98 (0,62)</w:t>
            </w:r>
          </w:p>
        </w:tc>
        <w:tc>
          <w:tcPr>
            <w:tcW w:w="2725" w:type="dxa"/>
            <w:shd w:val="clear" w:color="auto" w:fill="auto"/>
          </w:tcPr>
          <w:p w14:paraId="4B2B2CF6" w14:textId="77777777" w:rsidR="003C1A7A" w:rsidRPr="00A331EC" w:rsidRDefault="003C1A7A" w:rsidP="003E54A9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56,69 (37,04)</w:t>
            </w:r>
          </w:p>
          <w:p w14:paraId="5268C051" w14:textId="77777777" w:rsidR="003C1A7A" w:rsidRPr="00A331EC" w:rsidRDefault="003C1A7A" w:rsidP="003E54A9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n = 9</w:t>
            </w:r>
          </w:p>
        </w:tc>
      </w:tr>
      <w:tr w:rsidR="003C1A7A" w:rsidRPr="00A331EC" w14:paraId="5657C180" w14:textId="77777777" w:rsidTr="003E54A9">
        <w:tc>
          <w:tcPr>
            <w:tcW w:w="3402" w:type="dxa"/>
            <w:shd w:val="clear" w:color="auto" w:fill="auto"/>
          </w:tcPr>
          <w:p w14:paraId="7604C55A" w14:textId="77777777" w:rsidR="003C1A7A" w:rsidRPr="00A331EC" w:rsidRDefault="003C1A7A" w:rsidP="00CD70B0">
            <w:pPr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Dojčatá (28 dní</w:t>
            </w:r>
            <w:r w:rsidR="00C35BD9">
              <w:rPr>
                <w:rFonts w:eastAsia="Times New Roman"/>
                <w:sz w:val="22"/>
                <w:szCs w:val="20"/>
              </w:rPr>
              <w:t> </w:t>
            </w:r>
            <w:r w:rsidRPr="00A331EC">
              <w:rPr>
                <w:rFonts w:eastAsia="Times New Roman"/>
                <w:sz w:val="22"/>
                <w:szCs w:val="20"/>
              </w:rPr>
              <w:t>–</w:t>
            </w:r>
            <w:r w:rsidR="00C35BD9">
              <w:rPr>
                <w:rFonts w:eastAsia="Times New Roman"/>
                <w:sz w:val="22"/>
                <w:szCs w:val="20"/>
              </w:rPr>
              <w:t> </w:t>
            </w:r>
            <w:r w:rsidRPr="00A331EC">
              <w:rPr>
                <w:rFonts w:eastAsia="Times New Roman"/>
                <w:sz w:val="22"/>
                <w:szCs w:val="20"/>
              </w:rPr>
              <w:t>2 mesiace)</w:t>
            </w:r>
          </w:p>
          <w:p w14:paraId="3013F71F" w14:textId="77777777" w:rsidR="003C1A7A" w:rsidRPr="00A331EC" w:rsidRDefault="003C1A7A" w:rsidP="00CD70B0">
            <w:pPr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n = 11</w:t>
            </w:r>
          </w:p>
        </w:tc>
        <w:tc>
          <w:tcPr>
            <w:tcW w:w="2977" w:type="dxa"/>
            <w:shd w:val="clear" w:color="auto" w:fill="auto"/>
          </w:tcPr>
          <w:p w14:paraId="08FC299F" w14:textId="77777777" w:rsidR="003C1A7A" w:rsidRPr="00A331EC" w:rsidRDefault="003C1A7A" w:rsidP="003E54A9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0,44 (0,19)</w:t>
            </w:r>
          </w:p>
          <w:p w14:paraId="4CD56592" w14:textId="77777777" w:rsidR="003C1A7A" w:rsidRPr="00A331EC" w:rsidRDefault="003C1A7A" w:rsidP="003E54A9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n = 10</w:t>
            </w:r>
          </w:p>
        </w:tc>
        <w:tc>
          <w:tcPr>
            <w:tcW w:w="2725" w:type="dxa"/>
            <w:shd w:val="clear" w:color="auto" w:fill="auto"/>
          </w:tcPr>
          <w:p w14:paraId="31A65D58" w14:textId="77777777" w:rsidR="003C1A7A" w:rsidRPr="00A331EC" w:rsidRDefault="003C1A7A" w:rsidP="003E54A9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60,71 (16,52)</w:t>
            </w:r>
          </w:p>
        </w:tc>
      </w:tr>
      <w:tr w:rsidR="003C1A7A" w:rsidRPr="00A331EC" w14:paraId="5F806AC7" w14:textId="77777777" w:rsidTr="003E54A9">
        <w:tc>
          <w:tcPr>
            <w:tcW w:w="3402" w:type="dxa"/>
            <w:shd w:val="clear" w:color="auto" w:fill="auto"/>
          </w:tcPr>
          <w:p w14:paraId="7FA71EBE" w14:textId="77777777" w:rsidR="003C1A7A" w:rsidRPr="00A331EC" w:rsidRDefault="003C1A7A" w:rsidP="00CD70B0">
            <w:pPr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Batoľatá (3 mesiace</w:t>
            </w:r>
            <w:r w:rsidR="00C35BD9">
              <w:rPr>
                <w:rFonts w:eastAsia="Times New Roman"/>
                <w:sz w:val="22"/>
                <w:szCs w:val="20"/>
              </w:rPr>
              <w:t> </w:t>
            </w:r>
            <w:r w:rsidRPr="00A331EC">
              <w:rPr>
                <w:rFonts w:eastAsia="Times New Roman"/>
                <w:sz w:val="22"/>
                <w:szCs w:val="20"/>
              </w:rPr>
              <w:t>–</w:t>
            </w:r>
            <w:r w:rsidR="00C35BD9">
              <w:rPr>
                <w:rFonts w:eastAsia="Times New Roman"/>
                <w:sz w:val="22"/>
                <w:szCs w:val="20"/>
              </w:rPr>
              <w:t> </w:t>
            </w:r>
            <w:r w:rsidRPr="00A331EC">
              <w:rPr>
                <w:rFonts w:eastAsia="Times New Roman"/>
                <w:sz w:val="22"/>
                <w:szCs w:val="20"/>
              </w:rPr>
              <w:t>23 mesiacov</w:t>
            </w:r>
            <w:r w:rsidR="00EF493B" w:rsidRPr="00A331EC">
              <w:rPr>
                <w:rFonts w:eastAsia="Times New Roman"/>
                <w:sz w:val="22"/>
                <w:szCs w:val="20"/>
              </w:rPr>
              <w:t>)</w:t>
            </w:r>
          </w:p>
          <w:p w14:paraId="495357A8" w14:textId="77777777" w:rsidR="00EF493B" w:rsidRPr="00A331EC" w:rsidRDefault="00EF493B" w:rsidP="00CD70B0">
            <w:pPr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n = 28</w:t>
            </w:r>
          </w:p>
        </w:tc>
        <w:tc>
          <w:tcPr>
            <w:tcW w:w="2977" w:type="dxa"/>
            <w:shd w:val="clear" w:color="auto" w:fill="auto"/>
          </w:tcPr>
          <w:p w14:paraId="1D56B2CE" w14:textId="77777777" w:rsidR="003C1A7A" w:rsidRPr="00A331EC" w:rsidRDefault="00EF493B" w:rsidP="003E54A9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0,59 (0,27)</w:t>
            </w:r>
          </w:p>
        </w:tc>
        <w:tc>
          <w:tcPr>
            <w:tcW w:w="2725" w:type="dxa"/>
            <w:shd w:val="clear" w:color="auto" w:fill="auto"/>
          </w:tcPr>
          <w:p w14:paraId="22165C75" w14:textId="77777777" w:rsidR="003C1A7A" w:rsidRPr="00A331EC" w:rsidRDefault="00EF493B" w:rsidP="003E54A9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45,46 (12,94)</w:t>
            </w:r>
          </w:p>
          <w:p w14:paraId="4EE5C341" w14:textId="77777777" w:rsidR="00EF493B" w:rsidRPr="00A331EC" w:rsidRDefault="00EF493B" w:rsidP="003E54A9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n = 27</w:t>
            </w:r>
          </w:p>
        </w:tc>
      </w:tr>
      <w:tr w:rsidR="003C1A7A" w:rsidRPr="00A331EC" w14:paraId="43A497FB" w14:textId="77777777" w:rsidTr="003E54A9">
        <w:tc>
          <w:tcPr>
            <w:tcW w:w="3402" w:type="dxa"/>
            <w:shd w:val="clear" w:color="auto" w:fill="auto"/>
          </w:tcPr>
          <w:p w14:paraId="5C8D5026" w14:textId="77777777" w:rsidR="003C1A7A" w:rsidRPr="00A331EC" w:rsidRDefault="00EF493B" w:rsidP="00CD70B0">
            <w:pPr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Deti (2</w:t>
            </w:r>
            <w:r w:rsidR="00C35BD9">
              <w:rPr>
                <w:rFonts w:eastAsia="Times New Roman"/>
                <w:sz w:val="22"/>
                <w:szCs w:val="20"/>
              </w:rPr>
              <w:t> </w:t>
            </w:r>
            <w:r w:rsidRPr="00A331EC">
              <w:rPr>
                <w:rFonts w:eastAsia="Times New Roman"/>
                <w:sz w:val="22"/>
                <w:szCs w:val="20"/>
              </w:rPr>
              <w:t>–</w:t>
            </w:r>
            <w:r w:rsidR="00C35BD9">
              <w:rPr>
                <w:rFonts w:eastAsia="Times New Roman"/>
                <w:sz w:val="22"/>
                <w:szCs w:val="20"/>
              </w:rPr>
              <w:t> </w:t>
            </w:r>
            <w:r w:rsidRPr="00A331EC">
              <w:rPr>
                <w:rFonts w:eastAsia="Times New Roman"/>
                <w:sz w:val="22"/>
                <w:szCs w:val="20"/>
              </w:rPr>
              <w:t>11 rokov)</w:t>
            </w:r>
          </w:p>
          <w:p w14:paraId="3448A54F" w14:textId="77777777" w:rsidR="00EF493B" w:rsidRPr="00A331EC" w:rsidRDefault="00EF493B" w:rsidP="00CD70B0">
            <w:pPr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n = 34</w:t>
            </w:r>
          </w:p>
        </w:tc>
        <w:tc>
          <w:tcPr>
            <w:tcW w:w="2977" w:type="dxa"/>
            <w:shd w:val="clear" w:color="auto" w:fill="auto"/>
          </w:tcPr>
          <w:p w14:paraId="61FAA9EE" w14:textId="77777777" w:rsidR="003C1A7A" w:rsidRPr="00A331EC" w:rsidRDefault="00EF493B" w:rsidP="003E54A9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0,84 (0,29)</w:t>
            </w:r>
          </w:p>
        </w:tc>
        <w:tc>
          <w:tcPr>
            <w:tcW w:w="2725" w:type="dxa"/>
            <w:shd w:val="clear" w:color="auto" w:fill="auto"/>
          </w:tcPr>
          <w:p w14:paraId="6855EE51" w14:textId="77777777" w:rsidR="003C1A7A" w:rsidRPr="00A331EC" w:rsidRDefault="00EF493B" w:rsidP="003E54A9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37,58 (11,82)</w:t>
            </w:r>
          </w:p>
        </w:tc>
      </w:tr>
      <w:tr w:rsidR="003C1A7A" w:rsidRPr="00A331EC" w14:paraId="0C955593" w14:textId="77777777" w:rsidTr="003E54A9">
        <w:tc>
          <w:tcPr>
            <w:tcW w:w="3402" w:type="dxa"/>
            <w:shd w:val="clear" w:color="auto" w:fill="auto"/>
          </w:tcPr>
          <w:p w14:paraId="1C674A02" w14:textId="77777777" w:rsidR="003C1A7A" w:rsidRPr="00A331EC" w:rsidRDefault="00EF493B" w:rsidP="00CD70B0">
            <w:pPr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Dospievajúci (12</w:t>
            </w:r>
            <w:r w:rsidR="00C35BD9">
              <w:rPr>
                <w:rFonts w:eastAsia="Times New Roman"/>
                <w:sz w:val="22"/>
                <w:szCs w:val="20"/>
              </w:rPr>
              <w:t> </w:t>
            </w:r>
            <w:r w:rsidRPr="00A331EC">
              <w:rPr>
                <w:rFonts w:eastAsia="Times New Roman"/>
                <w:sz w:val="22"/>
                <w:szCs w:val="20"/>
              </w:rPr>
              <w:t>–</w:t>
            </w:r>
            <w:r w:rsidR="00C35BD9">
              <w:rPr>
                <w:rFonts w:eastAsia="Times New Roman"/>
                <w:sz w:val="22"/>
                <w:szCs w:val="20"/>
              </w:rPr>
              <w:t> </w:t>
            </w:r>
            <w:r w:rsidRPr="00A331EC">
              <w:rPr>
                <w:rFonts w:eastAsia="Times New Roman"/>
                <w:sz w:val="22"/>
                <w:szCs w:val="20"/>
              </w:rPr>
              <w:t>17 rokov)</w:t>
            </w:r>
          </w:p>
          <w:p w14:paraId="418EEFB1" w14:textId="77777777" w:rsidR="00EF493B" w:rsidRPr="00A331EC" w:rsidRDefault="00EF493B" w:rsidP="00CD70B0">
            <w:pPr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n = 31</w:t>
            </w:r>
          </w:p>
        </w:tc>
        <w:tc>
          <w:tcPr>
            <w:tcW w:w="2977" w:type="dxa"/>
            <w:shd w:val="clear" w:color="auto" w:fill="auto"/>
          </w:tcPr>
          <w:p w14:paraId="238E1F49" w14:textId="77777777" w:rsidR="003C1A7A" w:rsidRPr="00A331EC" w:rsidRDefault="00EF493B" w:rsidP="003E54A9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0,98 (0,38)</w:t>
            </w:r>
          </w:p>
        </w:tc>
        <w:tc>
          <w:tcPr>
            <w:tcW w:w="2725" w:type="dxa"/>
            <w:shd w:val="clear" w:color="auto" w:fill="auto"/>
          </w:tcPr>
          <w:p w14:paraId="1E530006" w14:textId="77777777" w:rsidR="003C1A7A" w:rsidRPr="00A331EC" w:rsidRDefault="00EF493B" w:rsidP="003E54A9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42,90 (15,83)</w:t>
            </w:r>
          </w:p>
          <w:p w14:paraId="7134AB1C" w14:textId="77777777" w:rsidR="00EF493B" w:rsidRPr="00A331EC" w:rsidRDefault="00EF493B" w:rsidP="003E54A9">
            <w:pPr>
              <w:jc w:val="center"/>
              <w:rPr>
                <w:rFonts w:eastAsia="Times New Roman"/>
                <w:sz w:val="22"/>
                <w:szCs w:val="20"/>
              </w:rPr>
            </w:pPr>
            <w:r w:rsidRPr="00A331EC">
              <w:rPr>
                <w:rFonts w:eastAsia="Times New Roman"/>
                <w:sz w:val="22"/>
                <w:szCs w:val="20"/>
              </w:rPr>
              <w:t>n = 30</w:t>
            </w:r>
          </w:p>
        </w:tc>
      </w:tr>
    </w:tbl>
    <w:p w14:paraId="58009A61" w14:textId="77777777" w:rsidR="003C1A7A" w:rsidRDefault="00EF493B" w:rsidP="003E54A9">
      <w:pPr>
        <w:tabs>
          <w:tab w:val="left" w:pos="426"/>
        </w:tabs>
        <w:rPr>
          <w:sz w:val="22"/>
          <w:szCs w:val="20"/>
        </w:rPr>
      </w:pPr>
      <w:r>
        <w:rPr>
          <w:sz w:val="22"/>
          <w:szCs w:val="20"/>
        </w:rPr>
        <w:t>*</w:t>
      </w:r>
      <w:r>
        <w:rPr>
          <w:sz w:val="22"/>
          <w:szCs w:val="20"/>
        </w:rPr>
        <w:tab/>
        <w:t xml:space="preserve">Dávka </w:t>
      </w:r>
      <w:proofErr w:type="spellStart"/>
      <w:r>
        <w:rPr>
          <w:sz w:val="22"/>
          <w:szCs w:val="20"/>
        </w:rPr>
        <w:t>rok</w:t>
      </w:r>
      <w:r w:rsidR="00C36FE1">
        <w:rPr>
          <w:sz w:val="22"/>
          <w:szCs w:val="20"/>
        </w:rPr>
        <w:t>u</w:t>
      </w:r>
      <w:r>
        <w:rPr>
          <w:sz w:val="22"/>
          <w:szCs w:val="20"/>
        </w:rPr>
        <w:t>róni</w:t>
      </w:r>
      <w:r w:rsidR="00C36FE1">
        <w:rPr>
          <w:sz w:val="22"/>
          <w:szCs w:val="20"/>
        </w:rPr>
        <w:t>a</w:t>
      </w:r>
      <w:proofErr w:type="spellEnd"/>
      <w:r>
        <w:rPr>
          <w:sz w:val="22"/>
          <w:szCs w:val="20"/>
        </w:rPr>
        <w:t xml:space="preserve"> podaná do 5 sekúnd.</w:t>
      </w:r>
    </w:p>
    <w:p w14:paraId="2A2F5B00" w14:textId="77777777" w:rsidR="003C1A7A" w:rsidRDefault="00EF493B" w:rsidP="003E54A9">
      <w:pPr>
        <w:tabs>
          <w:tab w:val="left" w:pos="426"/>
        </w:tabs>
        <w:rPr>
          <w:sz w:val="22"/>
          <w:szCs w:val="20"/>
        </w:rPr>
      </w:pPr>
      <w:r>
        <w:rPr>
          <w:sz w:val="22"/>
          <w:szCs w:val="20"/>
        </w:rPr>
        <w:t>**</w:t>
      </w:r>
      <w:r>
        <w:rPr>
          <w:sz w:val="22"/>
          <w:szCs w:val="20"/>
        </w:rPr>
        <w:tab/>
      </w:r>
      <w:r w:rsidR="006B7349">
        <w:rPr>
          <w:sz w:val="22"/>
          <w:szCs w:val="20"/>
        </w:rPr>
        <w:t>P</w:t>
      </w:r>
      <w:r>
        <w:rPr>
          <w:sz w:val="22"/>
          <w:szCs w:val="20"/>
        </w:rPr>
        <w:t xml:space="preserve">očítané </w:t>
      </w:r>
      <w:r w:rsidR="006B7349">
        <w:rPr>
          <w:sz w:val="22"/>
          <w:szCs w:val="20"/>
        </w:rPr>
        <w:t>od</w:t>
      </w:r>
      <w:r w:rsidR="002A4E25">
        <w:rPr>
          <w:sz w:val="22"/>
          <w:szCs w:val="20"/>
        </w:rPr>
        <w:t xml:space="preserve"> </w:t>
      </w:r>
      <w:r w:rsidR="006B7349">
        <w:rPr>
          <w:sz w:val="22"/>
          <w:szCs w:val="20"/>
        </w:rPr>
        <w:t>ukončenia</w:t>
      </w:r>
      <w:r w:rsidR="002A4E25">
        <w:rPr>
          <w:sz w:val="22"/>
          <w:szCs w:val="20"/>
        </w:rPr>
        <w:t xml:space="preserve"> podania dávky</w:t>
      </w:r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rokuróni</w:t>
      </w:r>
      <w:r w:rsidR="00C36FE1">
        <w:rPr>
          <w:sz w:val="22"/>
          <w:szCs w:val="20"/>
        </w:rPr>
        <w:t>a</w:t>
      </w:r>
      <w:proofErr w:type="spellEnd"/>
      <w:r>
        <w:rPr>
          <w:sz w:val="22"/>
          <w:szCs w:val="20"/>
        </w:rPr>
        <w:t xml:space="preserve"> pri </w:t>
      </w:r>
      <w:proofErr w:type="spellStart"/>
      <w:r>
        <w:rPr>
          <w:sz w:val="22"/>
          <w:szCs w:val="20"/>
        </w:rPr>
        <w:t>intubácii</w:t>
      </w:r>
      <w:proofErr w:type="spellEnd"/>
      <w:r>
        <w:rPr>
          <w:sz w:val="22"/>
          <w:szCs w:val="20"/>
        </w:rPr>
        <w:t>.</w:t>
      </w:r>
    </w:p>
    <w:p w14:paraId="75C2C7B8" w14:textId="77777777" w:rsidR="003C1A7A" w:rsidRDefault="003C1A7A" w:rsidP="00CD70B0">
      <w:pPr>
        <w:rPr>
          <w:sz w:val="22"/>
          <w:szCs w:val="20"/>
        </w:rPr>
      </w:pPr>
    </w:p>
    <w:p w14:paraId="4C74CAF0" w14:textId="77777777" w:rsidR="00CB2A09" w:rsidRPr="0040738C" w:rsidRDefault="00CB2A09" w:rsidP="003E54A9">
      <w:pPr>
        <w:keepNext/>
        <w:rPr>
          <w:sz w:val="22"/>
          <w:szCs w:val="20"/>
          <w:u w:val="single"/>
        </w:rPr>
      </w:pPr>
      <w:r w:rsidRPr="0040738C">
        <w:rPr>
          <w:sz w:val="22"/>
          <w:szCs w:val="20"/>
          <w:u w:val="single"/>
        </w:rPr>
        <w:t xml:space="preserve">Geriatrickí pacienti a pacienti s ochorením </w:t>
      </w:r>
      <w:r w:rsidR="00EF493B">
        <w:rPr>
          <w:sz w:val="22"/>
          <w:szCs w:val="20"/>
          <w:u w:val="single"/>
        </w:rPr>
        <w:t>pečene</w:t>
      </w:r>
      <w:r w:rsidRPr="0040738C">
        <w:rPr>
          <w:sz w:val="22"/>
          <w:szCs w:val="20"/>
          <w:u w:val="single"/>
        </w:rPr>
        <w:t xml:space="preserve"> a/alebo žlčových ciest a/alebo zlyhaním obličiek</w:t>
      </w:r>
    </w:p>
    <w:p w14:paraId="379A4503" w14:textId="41CEEC45" w:rsidR="00CB2A09" w:rsidRPr="0040738C" w:rsidRDefault="00CB2A09" w:rsidP="00CD70B0">
      <w:pPr>
        <w:rPr>
          <w:sz w:val="22"/>
          <w:szCs w:val="20"/>
        </w:rPr>
      </w:pPr>
      <w:r w:rsidRPr="0040738C">
        <w:rPr>
          <w:sz w:val="22"/>
          <w:szCs w:val="20"/>
        </w:rPr>
        <w:t>Trvanie účinku udržiavacích dávok 0,15</w:t>
      </w:r>
      <w:r w:rsidR="00D76952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mg/kg </w:t>
      </w:r>
      <w:proofErr w:type="spellStart"/>
      <w:r w:rsidRPr="0040738C">
        <w:rPr>
          <w:sz w:val="22"/>
          <w:szCs w:val="20"/>
        </w:rPr>
        <w:t>rokuróniumbromidu</w:t>
      </w:r>
      <w:proofErr w:type="spellEnd"/>
      <w:r w:rsidRPr="0040738C">
        <w:rPr>
          <w:sz w:val="22"/>
          <w:szCs w:val="20"/>
        </w:rPr>
        <w:t xml:space="preserve"> môže byť o niečo dlhšie pri anestézii</w:t>
      </w:r>
      <w:r w:rsidR="00D76952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enflur</w:t>
      </w:r>
      <w:r w:rsidR="00EF493B">
        <w:rPr>
          <w:sz w:val="22"/>
          <w:szCs w:val="20"/>
        </w:rPr>
        <w:t>á</w:t>
      </w:r>
      <w:r w:rsidRPr="0040738C">
        <w:rPr>
          <w:sz w:val="22"/>
          <w:szCs w:val="20"/>
        </w:rPr>
        <w:t>nom</w:t>
      </w:r>
      <w:proofErr w:type="spellEnd"/>
      <w:r w:rsidRPr="0040738C">
        <w:rPr>
          <w:sz w:val="22"/>
          <w:szCs w:val="20"/>
        </w:rPr>
        <w:t xml:space="preserve"> a </w:t>
      </w:r>
      <w:proofErr w:type="spellStart"/>
      <w:r w:rsidRPr="0040738C">
        <w:rPr>
          <w:sz w:val="22"/>
          <w:szCs w:val="20"/>
        </w:rPr>
        <w:t>izoflur</w:t>
      </w:r>
      <w:r w:rsidR="00EF493B">
        <w:rPr>
          <w:sz w:val="22"/>
          <w:szCs w:val="20"/>
        </w:rPr>
        <w:t>á</w:t>
      </w:r>
      <w:r w:rsidRPr="0040738C">
        <w:rPr>
          <w:sz w:val="22"/>
          <w:szCs w:val="20"/>
        </w:rPr>
        <w:t>nom</w:t>
      </w:r>
      <w:proofErr w:type="spellEnd"/>
      <w:r w:rsidRPr="0040738C">
        <w:rPr>
          <w:sz w:val="22"/>
          <w:szCs w:val="20"/>
        </w:rPr>
        <w:t xml:space="preserve"> u geriatrických pacientov a u pacientov s ochorením pečene a/alebo ochorením obličiek (približne </w:t>
      </w:r>
      <w:r w:rsidR="003E2E9D" w:rsidRPr="0040738C">
        <w:rPr>
          <w:sz w:val="22"/>
          <w:szCs w:val="20"/>
        </w:rPr>
        <w:t>20</w:t>
      </w:r>
      <w:r w:rsidR="003E2E9D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minút) </w:t>
      </w:r>
      <w:r w:rsidR="00EF493B">
        <w:rPr>
          <w:sz w:val="22"/>
          <w:szCs w:val="20"/>
        </w:rPr>
        <w:t>ako</w:t>
      </w:r>
      <w:r w:rsidRPr="0040738C">
        <w:rPr>
          <w:sz w:val="22"/>
          <w:szCs w:val="20"/>
        </w:rPr>
        <w:t xml:space="preserve"> u pacientov bez poškodenia funkcií exkrečných orgánov pri intravenóznej anestézii (približne </w:t>
      </w:r>
      <w:r w:rsidR="003E2E9D" w:rsidRPr="0040738C">
        <w:rPr>
          <w:sz w:val="22"/>
          <w:szCs w:val="20"/>
        </w:rPr>
        <w:t>13</w:t>
      </w:r>
      <w:r w:rsidR="003E2E9D">
        <w:rPr>
          <w:sz w:val="22"/>
          <w:szCs w:val="20"/>
        </w:rPr>
        <w:t> </w:t>
      </w:r>
      <w:r w:rsidRPr="0040738C">
        <w:rPr>
          <w:sz w:val="22"/>
          <w:szCs w:val="20"/>
        </w:rPr>
        <w:t>minút)</w:t>
      </w:r>
      <w:r w:rsidR="00CB4EFC">
        <w:rPr>
          <w:sz w:val="22"/>
          <w:szCs w:val="20"/>
        </w:rPr>
        <w:t xml:space="preserve"> (pozri časť 4.2)</w:t>
      </w:r>
      <w:r w:rsidRPr="0040738C">
        <w:rPr>
          <w:sz w:val="22"/>
          <w:szCs w:val="20"/>
        </w:rPr>
        <w:t>. Nepozoroval sa kumulatívny účinok (progresívne predlžovanie trvania účinku) pri opakovanom podávaní udržiavacích dávok pri odporúčanej hladine.</w:t>
      </w:r>
    </w:p>
    <w:p w14:paraId="3456462D" w14:textId="77777777" w:rsidR="00CB2A09" w:rsidRPr="0040738C" w:rsidRDefault="00CB2A09" w:rsidP="00CD70B0">
      <w:pPr>
        <w:rPr>
          <w:sz w:val="22"/>
          <w:szCs w:val="20"/>
        </w:rPr>
      </w:pPr>
    </w:p>
    <w:p w14:paraId="6CCF0E20" w14:textId="77777777" w:rsidR="00CB2A09" w:rsidRPr="0040738C" w:rsidRDefault="00CB2A09" w:rsidP="00AE5623">
      <w:pPr>
        <w:pStyle w:val="Nadpis1"/>
        <w:jc w:val="left"/>
        <w:rPr>
          <w:b w:val="0"/>
          <w:bCs/>
          <w:sz w:val="22"/>
          <w:u w:val="single"/>
        </w:rPr>
      </w:pPr>
      <w:r w:rsidRPr="0040738C">
        <w:rPr>
          <w:b w:val="0"/>
          <w:bCs/>
          <w:sz w:val="22"/>
          <w:u w:val="single"/>
        </w:rPr>
        <w:t>J</w:t>
      </w:r>
      <w:r w:rsidR="00EF493B">
        <w:rPr>
          <w:b w:val="0"/>
          <w:bCs/>
          <w:sz w:val="22"/>
          <w:u w:val="single"/>
        </w:rPr>
        <w:t>ednotka intenzívnej starostlivosti</w:t>
      </w:r>
    </w:p>
    <w:p w14:paraId="5E5DE366" w14:textId="1C75562B" w:rsidR="00CB2A09" w:rsidRPr="0040738C" w:rsidRDefault="00CB2A09" w:rsidP="00CD70B0">
      <w:pPr>
        <w:rPr>
          <w:sz w:val="22"/>
          <w:szCs w:val="20"/>
        </w:rPr>
      </w:pPr>
      <w:r w:rsidRPr="0040738C">
        <w:rPr>
          <w:sz w:val="22"/>
          <w:szCs w:val="20"/>
        </w:rPr>
        <w:t xml:space="preserve">Po kontinuálnej infúzii na </w:t>
      </w:r>
      <w:r w:rsidR="00EF493B">
        <w:rPr>
          <w:sz w:val="22"/>
          <w:szCs w:val="20"/>
        </w:rPr>
        <w:t>jednotke intenzívnej starostlivosti</w:t>
      </w:r>
      <w:r w:rsidRPr="0040738C">
        <w:rPr>
          <w:sz w:val="22"/>
          <w:szCs w:val="20"/>
        </w:rPr>
        <w:t xml:space="preserve"> </w:t>
      </w:r>
      <w:r w:rsidR="002A4E25">
        <w:rPr>
          <w:sz w:val="22"/>
          <w:szCs w:val="20"/>
        </w:rPr>
        <w:t xml:space="preserve">závisí </w:t>
      </w:r>
      <w:r w:rsidRPr="0040738C">
        <w:rPr>
          <w:sz w:val="22"/>
          <w:szCs w:val="20"/>
        </w:rPr>
        <w:t xml:space="preserve">čas potrebný na obnovenie koeficientu série štyroch podnetov na 0,7 od stupňa blokády na konci infúzie. Po kontinuálnej infúzii </w:t>
      </w:r>
      <w:r w:rsidR="00EF493B">
        <w:rPr>
          <w:sz w:val="22"/>
          <w:szCs w:val="20"/>
        </w:rPr>
        <w:t>počas</w:t>
      </w:r>
      <w:r w:rsidRPr="0040738C">
        <w:rPr>
          <w:sz w:val="22"/>
          <w:szCs w:val="20"/>
        </w:rPr>
        <w:t xml:space="preserve"> </w:t>
      </w:r>
      <w:r w:rsidR="003E2E9D" w:rsidRPr="0040738C">
        <w:rPr>
          <w:sz w:val="22"/>
          <w:szCs w:val="20"/>
        </w:rPr>
        <w:t>20</w:t>
      </w:r>
      <w:r w:rsidR="003E2E9D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hodín a viac je </w:t>
      </w:r>
      <w:r w:rsidR="00D76952">
        <w:rPr>
          <w:sz w:val="22"/>
          <w:szCs w:val="20"/>
        </w:rPr>
        <w:t xml:space="preserve">medián </w:t>
      </w:r>
      <w:r w:rsidRPr="0040738C">
        <w:rPr>
          <w:sz w:val="22"/>
          <w:szCs w:val="20"/>
        </w:rPr>
        <w:t>čas</w:t>
      </w:r>
      <w:r w:rsidR="00D76952">
        <w:rPr>
          <w:sz w:val="22"/>
          <w:szCs w:val="20"/>
        </w:rPr>
        <w:t>u</w:t>
      </w:r>
      <w:r w:rsidRPr="0040738C">
        <w:rPr>
          <w:sz w:val="22"/>
          <w:szCs w:val="20"/>
        </w:rPr>
        <w:t xml:space="preserve"> </w:t>
      </w:r>
      <w:r w:rsidR="00D76952">
        <w:rPr>
          <w:sz w:val="22"/>
          <w:szCs w:val="20"/>
        </w:rPr>
        <w:t xml:space="preserve">(rozsah) </w:t>
      </w:r>
      <w:r w:rsidRPr="0040738C">
        <w:rPr>
          <w:sz w:val="22"/>
          <w:szCs w:val="20"/>
        </w:rPr>
        <w:t xml:space="preserve">medzi </w:t>
      </w:r>
      <w:r w:rsidR="00D52ED2">
        <w:rPr>
          <w:sz w:val="22"/>
          <w:szCs w:val="20"/>
        </w:rPr>
        <w:t>odpoveďou</w:t>
      </w:r>
      <w:r w:rsidRPr="0040738C">
        <w:rPr>
          <w:sz w:val="22"/>
          <w:szCs w:val="20"/>
        </w:rPr>
        <w:t xml:space="preserve"> T</w:t>
      </w:r>
      <w:r w:rsidRPr="0040738C">
        <w:rPr>
          <w:sz w:val="22"/>
          <w:szCs w:val="20"/>
          <w:vertAlign w:val="subscript"/>
        </w:rPr>
        <w:t>2</w:t>
      </w:r>
      <w:r w:rsidRPr="0040738C">
        <w:rPr>
          <w:sz w:val="22"/>
          <w:szCs w:val="20"/>
        </w:rPr>
        <w:t xml:space="preserve"> na sériu štyroch podnetov </w:t>
      </w:r>
      <w:r w:rsidRPr="0040738C">
        <w:rPr>
          <w:sz w:val="22"/>
          <w:szCs w:val="20"/>
        </w:rPr>
        <w:lastRenderedPageBreak/>
        <w:t>a </w:t>
      </w:r>
      <w:r w:rsidR="00D52ED2">
        <w:rPr>
          <w:sz w:val="22"/>
          <w:szCs w:val="20"/>
        </w:rPr>
        <w:t>obnovením</w:t>
      </w:r>
      <w:r w:rsidRPr="0040738C">
        <w:rPr>
          <w:sz w:val="22"/>
          <w:szCs w:val="20"/>
        </w:rPr>
        <w:t xml:space="preserve"> koeficient</w:t>
      </w:r>
      <w:r w:rsidR="00D52ED2">
        <w:rPr>
          <w:sz w:val="22"/>
          <w:szCs w:val="20"/>
        </w:rPr>
        <w:t>u</w:t>
      </w:r>
      <w:r w:rsidRPr="0040738C">
        <w:rPr>
          <w:sz w:val="22"/>
          <w:szCs w:val="20"/>
        </w:rPr>
        <w:t xml:space="preserve"> série štyroch podnetov </w:t>
      </w:r>
      <w:r w:rsidR="00D52ED2" w:rsidRPr="0040738C">
        <w:rPr>
          <w:sz w:val="22"/>
          <w:szCs w:val="20"/>
        </w:rPr>
        <w:t xml:space="preserve">na 0,7 </w:t>
      </w:r>
      <w:r w:rsidRPr="0040738C">
        <w:rPr>
          <w:sz w:val="22"/>
          <w:szCs w:val="20"/>
        </w:rPr>
        <w:t>približne 1,5 (1</w:t>
      </w:r>
      <w:r w:rsidR="002C210D">
        <w:rPr>
          <w:sz w:val="22"/>
          <w:szCs w:val="20"/>
        </w:rPr>
        <w:t> </w:t>
      </w:r>
      <w:r w:rsidR="00EF493B">
        <w:rPr>
          <w:sz w:val="22"/>
          <w:szCs w:val="20"/>
        </w:rPr>
        <w:t>–</w:t>
      </w:r>
      <w:r w:rsidR="002C210D">
        <w:rPr>
          <w:sz w:val="22"/>
          <w:szCs w:val="20"/>
        </w:rPr>
        <w:t> </w:t>
      </w:r>
      <w:r w:rsidRPr="0040738C">
        <w:rPr>
          <w:sz w:val="22"/>
          <w:szCs w:val="20"/>
        </w:rPr>
        <w:t>5</w:t>
      </w:r>
      <w:r w:rsidR="00D52ED2">
        <w:rPr>
          <w:sz w:val="22"/>
          <w:szCs w:val="20"/>
        </w:rPr>
        <w:t>)</w:t>
      </w:r>
      <w:r w:rsidRPr="0040738C">
        <w:rPr>
          <w:sz w:val="22"/>
          <w:szCs w:val="20"/>
        </w:rPr>
        <w:t xml:space="preserve"> hodín u pacientov bez </w:t>
      </w:r>
      <w:proofErr w:type="spellStart"/>
      <w:r w:rsidRPr="0040738C">
        <w:rPr>
          <w:sz w:val="22"/>
          <w:szCs w:val="20"/>
        </w:rPr>
        <w:t>multiorgánového</w:t>
      </w:r>
      <w:proofErr w:type="spellEnd"/>
      <w:r w:rsidRPr="0040738C">
        <w:rPr>
          <w:sz w:val="22"/>
          <w:szCs w:val="20"/>
        </w:rPr>
        <w:t xml:space="preserve"> zlyhania a 4 (1</w:t>
      </w:r>
      <w:r w:rsidR="002C210D">
        <w:rPr>
          <w:sz w:val="22"/>
          <w:szCs w:val="20"/>
        </w:rPr>
        <w:t> </w:t>
      </w:r>
      <w:r w:rsidR="001E1449">
        <w:rPr>
          <w:sz w:val="22"/>
          <w:szCs w:val="20"/>
        </w:rPr>
        <w:t>–</w:t>
      </w:r>
      <w:r w:rsidR="002C210D">
        <w:rPr>
          <w:sz w:val="22"/>
          <w:szCs w:val="20"/>
        </w:rPr>
        <w:t> </w:t>
      </w:r>
      <w:r w:rsidRPr="0040738C">
        <w:rPr>
          <w:sz w:val="22"/>
          <w:szCs w:val="20"/>
        </w:rPr>
        <w:t>25) hodín u pacientov s </w:t>
      </w:r>
      <w:proofErr w:type="spellStart"/>
      <w:r w:rsidRPr="0040738C">
        <w:rPr>
          <w:sz w:val="22"/>
          <w:szCs w:val="20"/>
        </w:rPr>
        <w:t>multiorgánovým</w:t>
      </w:r>
      <w:proofErr w:type="spellEnd"/>
      <w:r w:rsidRPr="0040738C">
        <w:rPr>
          <w:sz w:val="22"/>
          <w:szCs w:val="20"/>
        </w:rPr>
        <w:t xml:space="preserve"> zlyhaním.</w:t>
      </w:r>
    </w:p>
    <w:p w14:paraId="52E9B0F9" w14:textId="77777777" w:rsidR="00CB2A09" w:rsidRPr="0040738C" w:rsidRDefault="00CB2A09" w:rsidP="00CD70B0">
      <w:pPr>
        <w:rPr>
          <w:sz w:val="22"/>
          <w:szCs w:val="20"/>
        </w:rPr>
      </w:pPr>
    </w:p>
    <w:p w14:paraId="6A371007" w14:textId="77777777" w:rsidR="00CB2A09" w:rsidRPr="0040738C" w:rsidRDefault="00CB2A09" w:rsidP="00DD73F9">
      <w:pPr>
        <w:keepNext/>
        <w:rPr>
          <w:sz w:val="22"/>
          <w:szCs w:val="20"/>
          <w:u w:val="single"/>
        </w:rPr>
      </w:pPr>
      <w:r w:rsidRPr="0040738C">
        <w:rPr>
          <w:sz w:val="22"/>
          <w:szCs w:val="20"/>
          <w:u w:val="single"/>
        </w:rPr>
        <w:t>Kardiovaskulárny chirurgický výkon</w:t>
      </w:r>
    </w:p>
    <w:p w14:paraId="5D6ED8FF" w14:textId="509AB753" w:rsidR="00CB2A09" w:rsidRPr="0040738C" w:rsidRDefault="00CB2A09" w:rsidP="00CD70B0">
      <w:pPr>
        <w:rPr>
          <w:sz w:val="22"/>
          <w:szCs w:val="20"/>
        </w:rPr>
      </w:pPr>
      <w:r w:rsidRPr="0040738C">
        <w:rPr>
          <w:sz w:val="22"/>
          <w:szCs w:val="20"/>
        </w:rPr>
        <w:t>U pacientov, ktorí pod</w:t>
      </w:r>
      <w:r w:rsidR="001E1449">
        <w:rPr>
          <w:sz w:val="22"/>
          <w:szCs w:val="20"/>
        </w:rPr>
        <w:t>stupujú</w:t>
      </w:r>
      <w:r w:rsidRPr="0040738C">
        <w:rPr>
          <w:sz w:val="22"/>
          <w:szCs w:val="20"/>
        </w:rPr>
        <w:t xml:space="preserve"> kardio</w:t>
      </w:r>
      <w:r w:rsidR="001E1449">
        <w:rPr>
          <w:sz w:val="22"/>
          <w:szCs w:val="20"/>
        </w:rPr>
        <w:t xml:space="preserve">vaskulárny chirurgický </w:t>
      </w:r>
      <w:r w:rsidRPr="0040738C">
        <w:rPr>
          <w:sz w:val="22"/>
          <w:szCs w:val="20"/>
        </w:rPr>
        <w:t>výkon, sú naj</w:t>
      </w:r>
      <w:r w:rsidR="001E1449">
        <w:rPr>
          <w:sz w:val="22"/>
          <w:szCs w:val="20"/>
        </w:rPr>
        <w:t>častejš</w:t>
      </w:r>
      <w:r w:rsidR="002A4E25">
        <w:rPr>
          <w:sz w:val="22"/>
          <w:szCs w:val="20"/>
        </w:rPr>
        <w:t>ími</w:t>
      </w:r>
      <w:r w:rsidRPr="0040738C">
        <w:rPr>
          <w:sz w:val="22"/>
          <w:szCs w:val="20"/>
        </w:rPr>
        <w:t xml:space="preserve"> kardiovaskulárn</w:t>
      </w:r>
      <w:r w:rsidR="002A4E25">
        <w:rPr>
          <w:sz w:val="22"/>
          <w:szCs w:val="20"/>
        </w:rPr>
        <w:t>ymi</w:t>
      </w:r>
      <w:r w:rsidRPr="0040738C">
        <w:rPr>
          <w:sz w:val="22"/>
          <w:szCs w:val="20"/>
        </w:rPr>
        <w:t xml:space="preserve"> zmen</w:t>
      </w:r>
      <w:r w:rsidR="002A4E25">
        <w:rPr>
          <w:sz w:val="22"/>
          <w:szCs w:val="20"/>
        </w:rPr>
        <w:t>ami</w:t>
      </w:r>
      <w:r w:rsidRPr="0040738C">
        <w:rPr>
          <w:sz w:val="22"/>
          <w:szCs w:val="20"/>
        </w:rPr>
        <w:t xml:space="preserve"> počas nástupu maximálnej blokády po podaní 0,6</w:t>
      </w:r>
      <w:r w:rsidR="006A478B">
        <w:rPr>
          <w:sz w:val="22"/>
          <w:szCs w:val="20"/>
        </w:rPr>
        <w:t> </w:t>
      </w:r>
      <w:r w:rsidR="001E1449">
        <w:rPr>
          <w:sz w:val="22"/>
          <w:szCs w:val="20"/>
        </w:rPr>
        <w:t>–</w:t>
      </w:r>
      <w:r w:rsidR="006A478B">
        <w:rPr>
          <w:sz w:val="22"/>
          <w:szCs w:val="20"/>
        </w:rPr>
        <w:t> </w:t>
      </w:r>
      <w:r w:rsidRPr="0040738C">
        <w:rPr>
          <w:sz w:val="22"/>
          <w:szCs w:val="20"/>
        </w:rPr>
        <w:t>0,9</w:t>
      </w:r>
      <w:r w:rsidR="005B37A6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mg/kg </w:t>
      </w:r>
      <w:proofErr w:type="spellStart"/>
      <w:r w:rsidRPr="0040738C">
        <w:rPr>
          <w:sz w:val="22"/>
          <w:szCs w:val="20"/>
        </w:rPr>
        <w:t>Esmeronu</w:t>
      </w:r>
      <w:proofErr w:type="spellEnd"/>
      <w:r w:rsidRPr="0040738C">
        <w:rPr>
          <w:sz w:val="22"/>
          <w:szCs w:val="20"/>
        </w:rPr>
        <w:t xml:space="preserve"> miern</w:t>
      </w:r>
      <w:r w:rsidR="001E1449">
        <w:rPr>
          <w:sz w:val="22"/>
          <w:szCs w:val="20"/>
        </w:rPr>
        <w:t>e</w:t>
      </w:r>
      <w:r w:rsidRPr="0040738C">
        <w:rPr>
          <w:sz w:val="22"/>
          <w:szCs w:val="20"/>
        </w:rPr>
        <w:t xml:space="preserve"> a klinicky ne</w:t>
      </w:r>
      <w:r w:rsidR="001E1449">
        <w:rPr>
          <w:sz w:val="22"/>
          <w:szCs w:val="20"/>
        </w:rPr>
        <w:t>významné</w:t>
      </w:r>
      <w:r w:rsidRPr="0040738C">
        <w:rPr>
          <w:sz w:val="22"/>
          <w:szCs w:val="20"/>
        </w:rPr>
        <w:t xml:space="preserve"> </w:t>
      </w:r>
      <w:r w:rsidR="001E1449">
        <w:rPr>
          <w:sz w:val="22"/>
          <w:szCs w:val="20"/>
        </w:rPr>
        <w:t>zvýšenie</w:t>
      </w:r>
      <w:r w:rsidR="00795A9F">
        <w:rPr>
          <w:sz w:val="22"/>
          <w:szCs w:val="20"/>
        </w:rPr>
        <w:t xml:space="preserve"> </w:t>
      </w:r>
      <w:proofErr w:type="spellStart"/>
      <w:r w:rsidR="00795A9F">
        <w:rPr>
          <w:sz w:val="22"/>
          <w:szCs w:val="20"/>
        </w:rPr>
        <w:t>tepovej</w:t>
      </w:r>
      <w:proofErr w:type="spellEnd"/>
      <w:r w:rsidRPr="0040738C">
        <w:rPr>
          <w:sz w:val="22"/>
          <w:szCs w:val="20"/>
        </w:rPr>
        <w:t xml:space="preserve"> frekvencie </w:t>
      </w:r>
      <w:r w:rsidR="001E1449">
        <w:rPr>
          <w:sz w:val="22"/>
          <w:szCs w:val="20"/>
        </w:rPr>
        <w:t>do</w:t>
      </w:r>
      <w:r w:rsidR="00A13773">
        <w:rPr>
          <w:sz w:val="22"/>
          <w:szCs w:val="20"/>
        </w:rPr>
        <w:t xml:space="preserve"> </w:t>
      </w:r>
      <w:r w:rsidRPr="0040738C">
        <w:rPr>
          <w:sz w:val="22"/>
          <w:szCs w:val="20"/>
        </w:rPr>
        <w:t>9</w:t>
      </w:r>
      <w:r w:rsidR="00A13773">
        <w:rPr>
          <w:sz w:val="22"/>
          <w:szCs w:val="20"/>
        </w:rPr>
        <w:t> </w:t>
      </w:r>
      <w:r w:rsidRPr="0040738C">
        <w:rPr>
          <w:sz w:val="22"/>
          <w:szCs w:val="20"/>
        </w:rPr>
        <w:t>% a </w:t>
      </w:r>
      <w:r w:rsidR="001E1449">
        <w:rPr>
          <w:sz w:val="22"/>
          <w:szCs w:val="20"/>
        </w:rPr>
        <w:t>zvýšenie</w:t>
      </w:r>
      <w:r w:rsidRPr="0040738C">
        <w:rPr>
          <w:sz w:val="22"/>
          <w:szCs w:val="20"/>
        </w:rPr>
        <w:t xml:space="preserve"> </w:t>
      </w:r>
      <w:r w:rsidR="001E1449">
        <w:rPr>
          <w:sz w:val="22"/>
          <w:szCs w:val="20"/>
        </w:rPr>
        <w:t>priemerného</w:t>
      </w:r>
      <w:r w:rsidRPr="0040738C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arteriálneho</w:t>
      </w:r>
      <w:proofErr w:type="spellEnd"/>
      <w:r w:rsidRPr="0040738C">
        <w:rPr>
          <w:sz w:val="22"/>
          <w:szCs w:val="20"/>
        </w:rPr>
        <w:t xml:space="preserve"> </w:t>
      </w:r>
      <w:r w:rsidR="001E1449">
        <w:rPr>
          <w:sz w:val="22"/>
          <w:szCs w:val="20"/>
        </w:rPr>
        <w:t xml:space="preserve">krvného </w:t>
      </w:r>
      <w:r w:rsidRPr="0040738C">
        <w:rPr>
          <w:sz w:val="22"/>
          <w:szCs w:val="20"/>
        </w:rPr>
        <w:t>tlaku</w:t>
      </w:r>
      <w:r w:rsidR="00795A9F">
        <w:rPr>
          <w:sz w:val="22"/>
          <w:szCs w:val="20"/>
        </w:rPr>
        <w:t xml:space="preserve"> až</w:t>
      </w:r>
      <w:r w:rsidRPr="0040738C">
        <w:rPr>
          <w:sz w:val="22"/>
          <w:szCs w:val="20"/>
        </w:rPr>
        <w:t xml:space="preserve"> </w:t>
      </w:r>
      <w:r w:rsidR="001E1449">
        <w:rPr>
          <w:sz w:val="22"/>
          <w:szCs w:val="20"/>
        </w:rPr>
        <w:t>do</w:t>
      </w:r>
      <w:r w:rsidR="00A13773">
        <w:rPr>
          <w:sz w:val="22"/>
          <w:szCs w:val="20"/>
        </w:rPr>
        <w:t xml:space="preserve"> </w:t>
      </w:r>
      <w:r w:rsidRPr="0040738C">
        <w:rPr>
          <w:sz w:val="22"/>
          <w:szCs w:val="20"/>
        </w:rPr>
        <w:t>16</w:t>
      </w:r>
      <w:r w:rsidR="00A13773">
        <w:rPr>
          <w:sz w:val="22"/>
          <w:szCs w:val="20"/>
        </w:rPr>
        <w:t> </w:t>
      </w:r>
      <w:r w:rsidRPr="0040738C">
        <w:rPr>
          <w:sz w:val="22"/>
          <w:szCs w:val="20"/>
        </w:rPr>
        <w:t xml:space="preserve">% </w:t>
      </w:r>
      <w:r w:rsidR="00683369">
        <w:rPr>
          <w:sz w:val="22"/>
          <w:szCs w:val="20"/>
        </w:rPr>
        <w:t>v porovnaní s referenčnými hodnotami</w:t>
      </w:r>
      <w:r w:rsidRPr="0040738C">
        <w:rPr>
          <w:sz w:val="22"/>
          <w:szCs w:val="20"/>
        </w:rPr>
        <w:t>.</w:t>
      </w:r>
    </w:p>
    <w:p w14:paraId="0087A387" w14:textId="77777777" w:rsidR="00CB2A09" w:rsidRPr="0040738C" w:rsidRDefault="00CB2A09" w:rsidP="00CD70B0">
      <w:pPr>
        <w:rPr>
          <w:sz w:val="22"/>
          <w:szCs w:val="20"/>
        </w:rPr>
      </w:pPr>
    </w:p>
    <w:p w14:paraId="6E99334E" w14:textId="5A77C2E4" w:rsidR="00CB2A09" w:rsidRPr="0040738C" w:rsidRDefault="00031C7B" w:rsidP="00DD73F9">
      <w:pPr>
        <w:keepNext/>
        <w:rPr>
          <w:sz w:val="22"/>
          <w:szCs w:val="20"/>
          <w:u w:val="single"/>
        </w:rPr>
      </w:pPr>
      <w:proofErr w:type="spellStart"/>
      <w:r>
        <w:rPr>
          <w:sz w:val="22"/>
          <w:szCs w:val="20"/>
          <w:u w:val="single"/>
        </w:rPr>
        <w:t>Reverzia</w:t>
      </w:r>
      <w:proofErr w:type="spellEnd"/>
      <w:r w:rsidR="00CB2A09" w:rsidRPr="0040738C">
        <w:rPr>
          <w:sz w:val="22"/>
          <w:szCs w:val="20"/>
          <w:u w:val="single"/>
        </w:rPr>
        <w:t xml:space="preserve"> svalovej relaxácie</w:t>
      </w:r>
    </w:p>
    <w:p w14:paraId="06521933" w14:textId="6186C5BB" w:rsidR="00CB2A09" w:rsidRPr="0040738C" w:rsidRDefault="00CB2A09" w:rsidP="00CD70B0">
      <w:pPr>
        <w:rPr>
          <w:sz w:val="22"/>
          <w:szCs w:val="20"/>
        </w:rPr>
      </w:pPr>
      <w:r w:rsidRPr="0040738C">
        <w:rPr>
          <w:sz w:val="22"/>
          <w:szCs w:val="20"/>
        </w:rPr>
        <w:t xml:space="preserve">Účinok </w:t>
      </w:r>
      <w:proofErr w:type="spellStart"/>
      <w:r w:rsidRPr="0040738C">
        <w:rPr>
          <w:sz w:val="22"/>
          <w:szCs w:val="20"/>
        </w:rPr>
        <w:t>rokurónia</w:t>
      </w:r>
      <w:proofErr w:type="spellEnd"/>
      <w:r w:rsidRPr="0040738C">
        <w:rPr>
          <w:sz w:val="22"/>
          <w:szCs w:val="20"/>
        </w:rPr>
        <w:t xml:space="preserve"> </w:t>
      </w:r>
      <w:r w:rsidR="001E1449">
        <w:rPr>
          <w:sz w:val="22"/>
          <w:szCs w:val="20"/>
        </w:rPr>
        <w:t>je možné</w:t>
      </w:r>
      <w:r w:rsidRPr="0040738C">
        <w:rPr>
          <w:sz w:val="22"/>
          <w:szCs w:val="20"/>
        </w:rPr>
        <w:t xml:space="preserve"> </w:t>
      </w:r>
      <w:proofErr w:type="spellStart"/>
      <w:r w:rsidRPr="0040738C">
        <w:rPr>
          <w:sz w:val="22"/>
          <w:szCs w:val="20"/>
        </w:rPr>
        <w:t>antagonizovať</w:t>
      </w:r>
      <w:proofErr w:type="spellEnd"/>
      <w:r w:rsidRPr="0040738C">
        <w:rPr>
          <w:sz w:val="22"/>
          <w:szCs w:val="20"/>
        </w:rPr>
        <w:t xml:space="preserve"> buď </w:t>
      </w:r>
      <w:proofErr w:type="spellStart"/>
      <w:r w:rsidRPr="0040738C">
        <w:rPr>
          <w:sz w:val="22"/>
          <w:szCs w:val="20"/>
        </w:rPr>
        <w:t>sugammadexom</w:t>
      </w:r>
      <w:proofErr w:type="spellEnd"/>
      <w:r w:rsidRPr="0040738C">
        <w:rPr>
          <w:sz w:val="22"/>
          <w:szCs w:val="20"/>
        </w:rPr>
        <w:t xml:space="preserve"> alebo inhibítormi </w:t>
      </w:r>
      <w:proofErr w:type="spellStart"/>
      <w:r w:rsidRPr="0040738C">
        <w:rPr>
          <w:sz w:val="22"/>
          <w:szCs w:val="20"/>
        </w:rPr>
        <w:t>acetylcholínesterázy</w:t>
      </w:r>
      <w:proofErr w:type="spellEnd"/>
      <w:r w:rsidRPr="0040738C">
        <w:rPr>
          <w:sz w:val="22"/>
          <w:szCs w:val="20"/>
        </w:rPr>
        <w:t xml:space="preserve"> (</w:t>
      </w:r>
      <w:proofErr w:type="spellStart"/>
      <w:r w:rsidRPr="0040738C">
        <w:rPr>
          <w:sz w:val="22"/>
          <w:szCs w:val="20"/>
        </w:rPr>
        <w:t>neostigmín</w:t>
      </w:r>
      <w:proofErr w:type="spellEnd"/>
      <w:r w:rsidRPr="0040738C">
        <w:rPr>
          <w:sz w:val="22"/>
          <w:szCs w:val="20"/>
        </w:rPr>
        <w:t xml:space="preserve">, </w:t>
      </w:r>
      <w:proofErr w:type="spellStart"/>
      <w:r w:rsidRPr="0040738C">
        <w:rPr>
          <w:sz w:val="22"/>
          <w:szCs w:val="20"/>
        </w:rPr>
        <w:t>pyridostigmín</w:t>
      </w:r>
      <w:proofErr w:type="spellEnd"/>
      <w:r w:rsidRPr="0040738C">
        <w:rPr>
          <w:sz w:val="22"/>
          <w:szCs w:val="20"/>
        </w:rPr>
        <w:t xml:space="preserve"> alebo </w:t>
      </w:r>
      <w:proofErr w:type="spellStart"/>
      <w:r w:rsidRPr="0040738C">
        <w:rPr>
          <w:sz w:val="22"/>
          <w:szCs w:val="20"/>
        </w:rPr>
        <w:t>edrofónium</w:t>
      </w:r>
      <w:proofErr w:type="spellEnd"/>
      <w:r w:rsidRPr="00DD73F9">
        <w:rPr>
          <w:sz w:val="22"/>
          <w:szCs w:val="20"/>
        </w:rPr>
        <w:t xml:space="preserve">). </w:t>
      </w:r>
      <w:proofErr w:type="spellStart"/>
      <w:r w:rsidRPr="00D025D2">
        <w:rPr>
          <w:sz w:val="22"/>
          <w:szCs w:val="20"/>
        </w:rPr>
        <w:t>Sugammadex</w:t>
      </w:r>
      <w:proofErr w:type="spellEnd"/>
      <w:r w:rsidRPr="00D025D2">
        <w:rPr>
          <w:sz w:val="22"/>
          <w:szCs w:val="20"/>
        </w:rPr>
        <w:t xml:space="preserve"> </w:t>
      </w:r>
      <w:r w:rsidR="001E1449" w:rsidRPr="00D025D2">
        <w:rPr>
          <w:sz w:val="22"/>
          <w:szCs w:val="20"/>
        </w:rPr>
        <w:t xml:space="preserve">je </w:t>
      </w:r>
      <w:r w:rsidRPr="00D025D2">
        <w:rPr>
          <w:sz w:val="22"/>
          <w:szCs w:val="20"/>
        </w:rPr>
        <w:t>možn</w:t>
      </w:r>
      <w:r w:rsidR="001E1449" w:rsidRPr="00D025D2">
        <w:rPr>
          <w:sz w:val="22"/>
          <w:szCs w:val="20"/>
        </w:rPr>
        <w:t>é</w:t>
      </w:r>
      <w:r w:rsidRPr="00D025D2">
        <w:rPr>
          <w:sz w:val="22"/>
          <w:szCs w:val="20"/>
        </w:rPr>
        <w:t xml:space="preserve"> podať </w:t>
      </w:r>
      <w:r w:rsidR="00407A0E" w:rsidRPr="00D025D2">
        <w:rPr>
          <w:sz w:val="22"/>
          <w:szCs w:val="20"/>
        </w:rPr>
        <w:t>na</w:t>
      </w:r>
      <w:r w:rsidRPr="00D025D2">
        <w:rPr>
          <w:sz w:val="22"/>
          <w:szCs w:val="20"/>
        </w:rPr>
        <w:t xml:space="preserve"> </w:t>
      </w:r>
      <w:r w:rsidR="00606197" w:rsidRPr="00D025D2">
        <w:rPr>
          <w:sz w:val="22"/>
          <w:szCs w:val="20"/>
        </w:rPr>
        <w:t>rutinn</w:t>
      </w:r>
      <w:r w:rsidR="00407A0E" w:rsidRPr="00D025D2">
        <w:rPr>
          <w:sz w:val="22"/>
          <w:szCs w:val="20"/>
        </w:rPr>
        <w:t>ú</w:t>
      </w:r>
      <w:r w:rsidR="001E1449" w:rsidRPr="00D025D2">
        <w:rPr>
          <w:sz w:val="22"/>
          <w:szCs w:val="20"/>
        </w:rPr>
        <w:t xml:space="preserve"> </w:t>
      </w:r>
      <w:proofErr w:type="spellStart"/>
      <w:r w:rsidRPr="00D025D2">
        <w:rPr>
          <w:sz w:val="22"/>
          <w:szCs w:val="20"/>
        </w:rPr>
        <w:t>reverzi</w:t>
      </w:r>
      <w:r w:rsidR="00407A0E" w:rsidRPr="00D025D2">
        <w:rPr>
          <w:sz w:val="22"/>
          <w:szCs w:val="20"/>
        </w:rPr>
        <w:t>u</w:t>
      </w:r>
      <w:proofErr w:type="spellEnd"/>
      <w:r w:rsidRPr="00D025D2">
        <w:rPr>
          <w:sz w:val="22"/>
          <w:szCs w:val="20"/>
        </w:rPr>
        <w:t xml:space="preserve"> (pri 1</w:t>
      </w:r>
      <w:r w:rsidR="006A478B" w:rsidRPr="00D025D2">
        <w:rPr>
          <w:sz w:val="22"/>
          <w:szCs w:val="20"/>
        </w:rPr>
        <w:t> </w:t>
      </w:r>
      <w:r w:rsidR="001E1449" w:rsidRPr="00D025D2">
        <w:rPr>
          <w:sz w:val="22"/>
          <w:szCs w:val="20"/>
        </w:rPr>
        <w:t>–</w:t>
      </w:r>
      <w:r w:rsidR="006A478B" w:rsidRPr="00D025D2">
        <w:rPr>
          <w:sz w:val="22"/>
          <w:szCs w:val="20"/>
        </w:rPr>
        <w:t> </w:t>
      </w:r>
      <w:r w:rsidRPr="00D025D2">
        <w:rPr>
          <w:sz w:val="22"/>
          <w:szCs w:val="20"/>
        </w:rPr>
        <w:t xml:space="preserve">2 svalových </w:t>
      </w:r>
      <w:proofErr w:type="spellStart"/>
      <w:r w:rsidRPr="00D025D2">
        <w:rPr>
          <w:sz w:val="22"/>
          <w:szCs w:val="20"/>
        </w:rPr>
        <w:t>zášklboch</w:t>
      </w:r>
      <w:proofErr w:type="spellEnd"/>
      <w:r w:rsidRPr="00D025D2">
        <w:rPr>
          <w:sz w:val="22"/>
          <w:szCs w:val="20"/>
        </w:rPr>
        <w:t xml:space="preserve"> do opätovného zaznamenania T</w:t>
      </w:r>
      <w:r w:rsidRPr="00D025D2">
        <w:rPr>
          <w:sz w:val="22"/>
          <w:szCs w:val="20"/>
          <w:vertAlign w:val="subscript"/>
        </w:rPr>
        <w:t>2</w:t>
      </w:r>
      <w:r w:rsidRPr="00D025D2">
        <w:rPr>
          <w:sz w:val="22"/>
          <w:szCs w:val="20"/>
        </w:rPr>
        <w:t xml:space="preserve">) alebo na </w:t>
      </w:r>
      <w:r w:rsidR="00606197" w:rsidRPr="00D025D2">
        <w:rPr>
          <w:sz w:val="22"/>
          <w:szCs w:val="20"/>
        </w:rPr>
        <w:t>akútnu</w:t>
      </w:r>
      <w:r w:rsidR="001E1449" w:rsidRPr="00D025D2">
        <w:rPr>
          <w:sz w:val="22"/>
          <w:szCs w:val="20"/>
        </w:rPr>
        <w:t xml:space="preserve"> </w:t>
      </w:r>
      <w:proofErr w:type="spellStart"/>
      <w:r w:rsidRPr="00D025D2">
        <w:rPr>
          <w:sz w:val="22"/>
          <w:szCs w:val="20"/>
        </w:rPr>
        <w:t>reverziu</w:t>
      </w:r>
      <w:proofErr w:type="spellEnd"/>
      <w:r w:rsidRPr="00D025D2">
        <w:rPr>
          <w:sz w:val="22"/>
          <w:szCs w:val="20"/>
        </w:rPr>
        <w:t xml:space="preserve"> (3 minúty po podaní </w:t>
      </w:r>
      <w:proofErr w:type="spellStart"/>
      <w:r w:rsidRPr="00D025D2">
        <w:rPr>
          <w:sz w:val="22"/>
          <w:szCs w:val="20"/>
        </w:rPr>
        <w:t>rokuróniumbromidu</w:t>
      </w:r>
      <w:proofErr w:type="spellEnd"/>
      <w:r w:rsidRPr="00D025D2">
        <w:rPr>
          <w:sz w:val="22"/>
          <w:szCs w:val="20"/>
        </w:rPr>
        <w:t>).</w:t>
      </w:r>
      <w:r w:rsidRPr="00DD73F9">
        <w:rPr>
          <w:sz w:val="22"/>
          <w:szCs w:val="20"/>
        </w:rPr>
        <w:t xml:space="preserve"> Inhibítory </w:t>
      </w:r>
      <w:proofErr w:type="spellStart"/>
      <w:r w:rsidRPr="00DD73F9">
        <w:rPr>
          <w:sz w:val="22"/>
          <w:szCs w:val="20"/>
        </w:rPr>
        <w:t>acetylcholínesterázy</w:t>
      </w:r>
      <w:proofErr w:type="spellEnd"/>
      <w:r w:rsidRPr="00DD73F9">
        <w:rPr>
          <w:sz w:val="22"/>
          <w:szCs w:val="20"/>
        </w:rPr>
        <w:t xml:space="preserve"> </w:t>
      </w:r>
      <w:r w:rsidR="001E1449" w:rsidRPr="00DD73F9">
        <w:rPr>
          <w:sz w:val="22"/>
          <w:szCs w:val="20"/>
        </w:rPr>
        <w:t xml:space="preserve">sa </w:t>
      </w:r>
      <w:r w:rsidRPr="00DD73F9">
        <w:rPr>
          <w:sz w:val="22"/>
          <w:szCs w:val="20"/>
        </w:rPr>
        <w:t>m</w:t>
      </w:r>
      <w:r w:rsidR="001E1449" w:rsidRPr="00DD73F9">
        <w:rPr>
          <w:sz w:val="22"/>
          <w:szCs w:val="20"/>
        </w:rPr>
        <w:t>ôžu</w:t>
      </w:r>
      <w:r w:rsidRPr="00DD73F9">
        <w:rPr>
          <w:sz w:val="22"/>
          <w:szCs w:val="20"/>
        </w:rPr>
        <w:t xml:space="preserve"> podať pri opätovnom zaznamenaní T</w:t>
      </w:r>
      <w:r w:rsidRPr="00DD73F9">
        <w:rPr>
          <w:sz w:val="22"/>
          <w:szCs w:val="20"/>
          <w:vertAlign w:val="subscript"/>
        </w:rPr>
        <w:t>2</w:t>
      </w:r>
      <w:r w:rsidRPr="00DD73F9">
        <w:rPr>
          <w:sz w:val="22"/>
          <w:szCs w:val="20"/>
        </w:rPr>
        <w:t xml:space="preserve"> alebo pri prvých klinických</w:t>
      </w:r>
      <w:r w:rsidR="001E1449" w:rsidRPr="00DD73F9">
        <w:rPr>
          <w:sz w:val="22"/>
          <w:szCs w:val="20"/>
        </w:rPr>
        <w:t xml:space="preserve"> </w:t>
      </w:r>
      <w:r w:rsidRPr="00DD73F9">
        <w:rPr>
          <w:sz w:val="22"/>
          <w:szCs w:val="20"/>
        </w:rPr>
        <w:t>zn</w:t>
      </w:r>
      <w:r w:rsidR="001E1449" w:rsidRPr="00DD73F9">
        <w:rPr>
          <w:sz w:val="22"/>
          <w:szCs w:val="20"/>
        </w:rPr>
        <w:t>akoch</w:t>
      </w:r>
      <w:r w:rsidRPr="00DD73F9">
        <w:rPr>
          <w:sz w:val="22"/>
          <w:szCs w:val="20"/>
        </w:rPr>
        <w:t xml:space="preserve"> odznievania</w:t>
      </w:r>
      <w:r w:rsidRPr="0040738C">
        <w:rPr>
          <w:sz w:val="22"/>
          <w:szCs w:val="20"/>
        </w:rPr>
        <w:t xml:space="preserve"> relaxácie.</w:t>
      </w:r>
    </w:p>
    <w:p w14:paraId="169D5AB9" w14:textId="77777777" w:rsidR="00CB2A09" w:rsidRPr="0040738C" w:rsidRDefault="00CB2A09" w:rsidP="00CD70B0">
      <w:pPr>
        <w:rPr>
          <w:sz w:val="22"/>
          <w:szCs w:val="20"/>
        </w:rPr>
      </w:pPr>
    </w:p>
    <w:p w14:paraId="2DAE3098" w14:textId="0A5C8AC7" w:rsidR="00CB2A09" w:rsidRPr="0040738C" w:rsidRDefault="00CB2A09" w:rsidP="00DD73F9">
      <w:pPr>
        <w:keepNext/>
        <w:rPr>
          <w:b/>
          <w:sz w:val="22"/>
          <w:szCs w:val="20"/>
        </w:rPr>
      </w:pPr>
      <w:r w:rsidRPr="0040738C">
        <w:rPr>
          <w:b/>
          <w:sz w:val="22"/>
          <w:szCs w:val="20"/>
        </w:rPr>
        <w:t>5.2</w:t>
      </w:r>
      <w:r w:rsidRPr="0040738C">
        <w:rPr>
          <w:b/>
          <w:sz w:val="22"/>
          <w:szCs w:val="20"/>
        </w:rPr>
        <w:tab/>
      </w:r>
      <w:proofErr w:type="spellStart"/>
      <w:r w:rsidRPr="0040738C">
        <w:rPr>
          <w:b/>
          <w:sz w:val="22"/>
          <w:szCs w:val="20"/>
        </w:rPr>
        <w:t>Farmakokinetické</w:t>
      </w:r>
      <w:proofErr w:type="spellEnd"/>
      <w:r w:rsidRPr="0040738C">
        <w:rPr>
          <w:b/>
          <w:sz w:val="22"/>
          <w:szCs w:val="20"/>
        </w:rPr>
        <w:t xml:space="preserve"> vlastnosti</w:t>
      </w:r>
    </w:p>
    <w:p w14:paraId="0E8AF257" w14:textId="77777777" w:rsidR="00CB2A09" w:rsidRPr="0040738C" w:rsidRDefault="00CB2A09" w:rsidP="00DD73F9">
      <w:pPr>
        <w:keepNext/>
        <w:ind w:left="360" w:hanging="360"/>
        <w:rPr>
          <w:bCs/>
          <w:sz w:val="22"/>
          <w:szCs w:val="20"/>
        </w:rPr>
      </w:pPr>
    </w:p>
    <w:p w14:paraId="037FB326" w14:textId="6E1EBFBE" w:rsidR="00EC4B47" w:rsidRDefault="00CB2A09" w:rsidP="00CD70B0">
      <w:pPr>
        <w:pStyle w:val="Zkladntext"/>
        <w:jc w:val="left"/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 xml:space="preserve">Po intravenóznom podaní jednorazovej </w:t>
      </w:r>
      <w:proofErr w:type="spellStart"/>
      <w:r w:rsidRPr="0040738C">
        <w:rPr>
          <w:bCs/>
          <w:sz w:val="22"/>
          <w:szCs w:val="20"/>
        </w:rPr>
        <w:t>bolusovej</w:t>
      </w:r>
      <w:proofErr w:type="spellEnd"/>
      <w:r w:rsidRPr="0040738C">
        <w:rPr>
          <w:bCs/>
          <w:sz w:val="22"/>
          <w:szCs w:val="20"/>
        </w:rPr>
        <w:t xml:space="preserve"> dávky </w:t>
      </w:r>
      <w:proofErr w:type="spellStart"/>
      <w:r w:rsidRPr="0040738C">
        <w:rPr>
          <w:sz w:val="22"/>
          <w:szCs w:val="20"/>
        </w:rPr>
        <w:t>rokuróniumbromidu</w:t>
      </w:r>
      <w:proofErr w:type="spellEnd"/>
      <w:r w:rsidRPr="0040738C">
        <w:rPr>
          <w:bCs/>
          <w:sz w:val="22"/>
          <w:szCs w:val="20"/>
        </w:rPr>
        <w:t xml:space="preserve"> </w:t>
      </w:r>
      <w:r w:rsidRPr="0040738C">
        <w:rPr>
          <w:sz w:val="22"/>
        </w:rPr>
        <w:t>je</w:t>
      </w:r>
      <w:r w:rsidR="00033668">
        <w:rPr>
          <w:sz w:val="22"/>
        </w:rPr>
        <w:t xml:space="preserve"> časový</w:t>
      </w:r>
      <w:r w:rsidRPr="0040738C">
        <w:rPr>
          <w:sz w:val="22"/>
        </w:rPr>
        <w:t xml:space="preserve"> priebeh koncentráci</w:t>
      </w:r>
      <w:r w:rsidR="00A13773">
        <w:rPr>
          <w:sz w:val="22"/>
        </w:rPr>
        <w:t>e</w:t>
      </w:r>
      <w:r w:rsidRPr="0040738C">
        <w:rPr>
          <w:sz w:val="22"/>
        </w:rPr>
        <w:t xml:space="preserve"> v plazme v troch exponenciálnych fázach.</w:t>
      </w:r>
      <w:r w:rsidRPr="0040738C">
        <w:rPr>
          <w:bCs/>
          <w:sz w:val="22"/>
          <w:szCs w:val="20"/>
        </w:rPr>
        <w:t xml:space="preserve"> U zdravých dospelých je priemerný (95</w:t>
      </w:r>
      <w:r w:rsidR="00220A73">
        <w:rPr>
          <w:bCs/>
          <w:sz w:val="22"/>
          <w:szCs w:val="20"/>
        </w:rPr>
        <w:t> </w:t>
      </w:r>
      <w:r w:rsidRPr="0040738C">
        <w:rPr>
          <w:bCs/>
          <w:sz w:val="22"/>
          <w:szCs w:val="20"/>
        </w:rPr>
        <w:t>% I</w:t>
      </w:r>
      <w:r w:rsidR="00220A73">
        <w:rPr>
          <w:bCs/>
          <w:sz w:val="22"/>
          <w:szCs w:val="20"/>
        </w:rPr>
        <w:t>S</w:t>
      </w:r>
      <w:r w:rsidRPr="0040738C">
        <w:rPr>
          <w:bCs/>
          <w:sz w:val="22"/>
          <w:szCs w:val="20"/>
        </w:rPr>
        <w:t xml:space="preserve">) </w:t>
      </w:r>
      <w:r w:rsidR="00220A73">
        <w:rPr>
          <w:bCs/>
          <w:sz w:val="22"/>
          <w:szCs w:val="20"/>
        </w:rPr>
        <w:t xml:space="preserve">polčas </w:t>
      </w:r>
      <w:r w:rsidRPr="0040738C">
        <w:rPr>
          <w:bCs/>
          <w:sz w:val="22"/>
          <w:szCs w:val="20"/>
        </w:rPr>
        <w:t>elimin</w:t>
      </w:r>
      <w:r w:rsidR="00220A73">
        <w:rPr>
          <w:bCs/>
          <w:sz w:val="22"/>
          <w:szCs w:val="20"/>
        </w:rPr>
        <w:t>ácie</w:t>
      </w:r>
      <w:r w:rsidRPr="0040738C">
        <w:rPr>
          <w:bCs/>
          <w:sz w:val="22"/>
          <w:szCs w:val="20"/>
        </w:rPr>
        <w:t xml:space="preserve"> 73 (66</w:t>
      </w:r>
      <w:r w:rsidR="00EC4B47">
        <w:rPr>
          <w:bCs/>
          <w:sz w:val="22"/>
          <w:szCs w:val="20"/>
        </w:rPr>
        <w:t> </w:t>
      </w:r>
      <w:r w:rsidR="00220A73">
        <w:rPr>
          <w:bCs/>
          <w:sz w:val="22"/>
          <w:szCs w:val="20"/>
        </w:rPr>
        <w:t>–</w:t>
      </w:r>
      <w:r w:rsidR="00EC4B47">
        <w:rPr>
          <w:bCs/>
          <w:sz w:val="22"/>
          <w:szCs w:val="20"/>
        </w:rPr>
        <w:t> </w:t>
      </w:r>
      <w:r w:rsidRPr="0040738C">
        <w:rPr>
          <w:bCs/>
          <w:sz w:val="22"/>
          <w:szCs w:val="20"/>
        </w:rPr>
        <w:t xml:space="preserve">80) minút, </w:t>
      </w:r>
      <w:r w:rsidR="00A13773">
        <w:rPr>
          <w:bCs/>
          <w:sz w:val="22"/>
          <w:szCs w:val="20"/>
        </w:rPr>
        <w:t xml:space="preserve">(zdanlivý) </w:t>
      </w:r>
      <w:r w:rsidRPr="0040738C">
        <w:rPr>
          <w:bCs/>
          <w:sz w:val="22"/>
          <w:szCs w:val="20"/>
        </w:rPr>
        <w:t xml:space="preserve">distribučný objem v rovnovážnom stave je 203 </w:t>
      </w:r>
    </w:p>
    <w:p w14:paraId="55086D7A" w14:textId="77777777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>(193</w:t>
      </w:r>
      <w:r w:rsidR="00EC4B47">
        <w:rPr>
          <w:bCs/>
          <w:sz w:val="22"/>
          <w:szCs w:val="20"/>
        </w:rPr>
        <w:t> – </w:t>
      </w:r>
      <w:r w:rsidRPr="0040738C">
        <w:rPr>
          <w:bCs/>
          <w:sz w:val="22"/>
          <w:szCs w:val="20"/>
        </w:rPr>
        <w:t xml:space="preserve">214) ml/kg a plazmatický </w:t>
      </w:r>
      <w:proofErr w:type="spellStart"/>
      <w:r w:rsidRPr="0040738C">
        <w:rPr>
          <w:bCs/>
          <w:sz w:val="22"/>
          <w:szCs w:val="20"/>
        </w:rPr>
        <w:t>klírens</w:t>
      </w:r>
      <w:proofErr w:type="spellEnd"/>
      <w:r w:rsidRPr="0040738C">
        <w:rPr>
          <w:bCs/>
          <w:sz w:val="22"/>
          <w:szCs w:val="20"/>
        </w:rPr>
        <w:t xml:space="preserve"> je 3,7 (3,5</w:t>
      </w:r>
      <w:r w:rsidR="00EC4B47">
        <w:rPr>
          <w:bCs/>
          <w:sz w:val="22"/>
          <w:szCs w:val="20"/>
        </w:rPr>
        <w:t> – </w:t>
      </w:r>
      <w:r w:rsidRPr="0040738C">
        <w:rPr>
          <w:bCs/>
          <w:sz w:val="22"/>
          <w:szCs w:val="20"/>
        </w:rPr>
        <w:t>3,9) ml/kg/min.</w:t>
      </w:r>
    </w:p>
    <w:p w14:paraId="3F5CD5C2" w14:textId="77777777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</w:p>
    <w:p w14:paraId="678157A7" w14:textId="4B6BAD02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  <w:proofErr w:type="spellStart"/>
      <w:r w:rsidRPr="00D11CDE">
        <w:rPr>
          <w:bCs/>
          <w:sz w:val="22"/>
          <w:szCs w:val="20"/>
        </w:rPr>
        <w:t>Rokurónium</w:t>
      </w:r>
      <w:proofErr w:type="spellEnd"/>
      <w:r w:rsidRPr="00D11CDE">
        <w:rPr>
          <w:bCs/>
          <w:sz w:val="22"/>
          <w:szCs w:val="20"/>
        </w:rPr>
        <w:t xml:space="preserve"> sa vylučuje močom a žlčou. </w:t>
      </w:r>
      <w:r w:rsidR="00220A73" w:rsidRPr="00D11CDE">
        <w:rPr>
          <w:bCs/>
          <w:sz w:val="22"/>
          <w:szCs w:val="20"/>
        </w:rPr>
        <w:t>M</w:t>
      </w:r>
      <w:r w:rsidRPr="00D11CDE">
        <w:rPr>
          <w:bCs/>
          <w:sz w:val="22"/>
          <w:szCs w:val="20"/>
        </w:rPr>
        <w:t xml:space="preserve">očom </w:t>
      </w:r>
      <w:r w:rsidR="00220A73" w:rsidRPr="00D11CDE">
        <w:rPr>
          <w:bCs/>
          <w:sz w:val="22"/>
          <w:szCs w:val="20"/>
        </w:rPr>
        <w:t>sa vylúči</w:t>
      </w:r>
      <w:r w:rsidRPr="00D11CDE">
        <w:rPr>
          <w:bCs/>
          <w:sz w:val="22"/>
          <w:szCs w:val="20"/>
        </w:rPr>
        <w:t xml:space="preserve"> približne 40</w:t>
      </w:r>
      <w:r w:rsidR="00EC4B47" w:rsidRPr="00D11CDE">
        <w:rPr>
          <w:bCs/>
          <w:sz w:val="22"/>
          <w:szCs w:val="20"/>
        </w:rPr>
        <w:t> </w:t>
      </w:r>
      <w:r w:rsidRPr="00D11CDE">
        <w:rPr>
          <w:bCs/>
          <w:sz w:val="22"/>
          <w:szCs w:val="20"/>
        </w:rPr>
        <w:t>% počas 12</w:t>
      </w:r>
      <w:r w:rsidR="00EC4B47" w:rsidRPr="00D11CDE">
        <w:rPr>
          <w:bCs/>
          <w:sz w:val="22"/>
          <w:szCs w:val="20"/>
        </w:rPr>
        <w:t> </w:t>
      </w:r>
      <w:r w:rsidR="00220A73" w:rsidRPr="00D11CDE">
        <w:rPr>
          <w:bCs/>
          <w:sz w:val="22"/>
          <w:szCs w:val="20"/>
        </w:rPr>
        <w:t>–</w:t>
      </w:r>
      <w:r w:rsidR="00EC4B47" w:rsidRPr="00D11CDE">
        <w:rPr>
          <w:bCs/>
          <w:sz w:val="22"/>
          <w:szCs w:val="20"/>
        </w:rPr>
        <w:t> </w:t>
      </w:r>
      <w:r w:rsidRPr="00D11CDE">
        <w:rPr>
          <w:bCs/>
          <w:sz w:val="22"/>
          <w:szCs w:val="20"/>
        </w:rPr>
        <w:t>24 hodín. Po</w:t>
      </w:r>
      <w:r w:rsidR="00970D33" w:rsidRPr="00D11CDE">
        <w:rPr>
          <w:bCs/>
          <w:sz w:val="22"/>
          <w:szCs w:val="20"/>
        </w:rPr>
        <w:t xml:space="preserve"> injekčnom</w:t>
      </w:r>
      <w:r w:rsidRPr="00D11CDE">
        <w:rPr>
          <w:bCs/>
          <w:sz w:val="22"/>
          <w:szCs w:val="20"/>
        </w:rPr>
        <w:t xml:space="preserve"> podaní izotopom označenej dávky </w:t>
      </w:r>
      <w:proofErr w:type="spellStart"/>
      <w:r w:rsidRPr="00D11CDE">
        <w:rPr>
          <w:bCs/>
          <w:sz w:val="22"/>
          <w:szCs w:val="20"/>
        </w:rPr>
        <w:t>rokuróniumbromidu</w:t>
      </w:r>
      <w:proofErr w:type="spellEnd"/>
      <w:r w:rsidRPr="00D11CDE">
        <w:rPr>
          <w:bCs/>
          <w:sz w:val="22"/>
          <w:szCs w:val="20"/>
        </w:rPr>
        <w:t xml:space="preserve"> sa zistilo, že vylučovanie izotopu je v priemere 47</w:t>
      </w:r>
      <w:r w:rsidR="00A13773" w:rsidRPr="00D11CDE">
        <w:rPr>
          <w:bCs/>
          <w:sz w:val="22"/>
          <w:szCs w:val="20"/>
        </w:rPr>
        <w:t> </w:t>
      </w:r>
      <w:r w:rsidRPr="00D11CDE">
        <w:rPr>
          <w:bCs/>
          <w:sz w:val="22"/>
          <w:szCs w:val="20"/>
        </w:rPr>
        <w:t>% močom a 43 % stolicou počas 9 dní. Približne 50 % sa vylučuje ako pôvodná látka.</w:t>
      </w:r>
    </w:p>
    <w:p w14:paraId="680C9C40" w14:textId="77777777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</w:p>
    <w:p w14:paraId="46D32362" w14:textId="77777777" w:rsidR="00CB2A09" w:rsidRPr="0040738C" w:rsidRDefault="00970D33" w:rsidP="003E54A9">
      <w:pPr>
        <w:pStyle w:val="Zkladntext"/>
        <w:keepNext/>
        <w:jc w:val="left"/>
        <w:rPr>
          <w:bCs/>
          <w:sz w:val="22"/>
          <w:szCs w:val="20"/>
          <w:u w:val="single"/>
        </w:rPr>
      </w:pPr>
      <w:r>
        <w:rPr>
          <w:bCs/>
          <w:sz w:val="22"/>
          <w:szCs w:val="20"/>
          <w:u w:val="single"/>
        </w:rPr>
        <w:t>Pediatrickí</w:t>
      </w:r>
      <w:r w:rsidR="00CB2A09" w:rsidRPr="0040738C">
        <w:rPr>
          <w:bCs/>
          <w:sz w:val="22"/>
          <w:szCs w:val="20"/>
          <w:u w:val="single"/>
        </w:rPr>
        <w:t xml:space="preserve"> pacienti</w:t>
      </w:r>
    </w:p>
    <w:p w14:paraId="2D01422A" w14:textId="77777777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  <w:proofErr w:type="spellStart"/>
      <w:r w:rsidRPr="0040738C">
        <w:rPr>
          <w:bCs/>
          <w:sz w:val="22"/>
          <w:szCs w:val="20"/>
        </w:rPr>
        <w:t>Farmakokinetika</w:t>
      </w:r>
      <w:proofErr w:type="spellEnd"/>
      <w:r w:rsidRPr="0040738C">
        <w:rPr>
          <w:bCs/>
          <w:sz w:val="22"/>
          <w:szCs w:val="20"/>
        </w:rPr>
        <w:t xml:space="preserve"> </w:t>
      </w:r>
      <w:proofErr w:type="spellStart"/>
      <w:r w:rsidRPr="0040738C">
        <w:rPr>
          <w:bCs/>
          <w:sz w:val="22"/>
          <w:szCs w:val="20"/>
        </w:rPr>
        <w:t>rokuróniumbromidu</w:t>
      </w:r>
      <w:proofErr w:type="spellEnd"/>
      <w:r w:rsidRPr="0040738C">
        <w:rPr>
          <w:bCs/>
          <w:sz w:val="22"/>
          <w:szCs w:val="20"/>
        </w:rPr>
        <w:t xml:space="preserve"> </w:t>
      </w:r>
      <w:r>
        <w:rPr>
          <w:bCs/>
          <w:sz w:val="22"/>
          <w:szCs w:val="20"/>
        </w:rPr>
        <w:t>u</w:t>
      </w:r>
      <w:r w:rsidR="00220A73">
        <w:rPr>
          <w:bCs/>
          <w:sz w:val="22"/>
          <w:szCs w:val="20"/>
        </w:rPr>
        <w:t> </w:t>
      </w:r>
      <w:r w:rsidR="00970D33">
        <w:rPr>
          <w:bCs/>
          <w:sz w:val="22"/>
          <w:szCs w:val="20"/>
        </w:rPr>
        <w:t>pediatrických</w:t>
      </w:r>
      <w:r>
        <w:rPr>
          <w:bCs/>
          <w:sz w:val="22"/>
          <w:szCs w:val="20"/>
        </w:rPr>
        <w:t xml:space="preserve"> pacientov (n</w:t>
      </w:r>
      <w:r w:rsidR="00220A73">
        <w:rPr>
          <w:bCs/>
          <w:sz w:val="22"/>
          <w:szCs w:val="20"/>
        </w:rPr>
        <w:t> </w:t>
      </w:r>
      <w:r>
        <w:rPr>
          <w:bCs/>
          <w:sz w:val="22"/>
          <w:szCs w:val="20"/>
        </w:rPr>
        <w:t>=</w:t>
      </w:r>
      <w:r w:rsidR="00220A73">
        <w:rPr>
          <w:bCs/>
          <w:sz w:val="22"/>
          <w:szCs w:val="20"/>
        </w:rPr>
        <w:t> </w:t>
      </w:r>
      <w:r>
        <w:rPr>
          <w:bCs/>
          <w:sz w:val="22"/>
          <w:szCs w:val="20"/>
        </w:rPr>
        <w:t xml:space="preserve">146) vo vekovom rozpätí od 0 do </w:t>
      </w:r>
      <w:r w:rsidR="00970D33">
        <w:rPr>
          <w:bCs/>
          <w:sz w:val="22"/>
          <w:szCs w:val="20"/>
        </w:rPr>
        <w:t>17 </w:t>
      </w:r>
      <w:r>
        <w:rPr>
          <w:bCs/>
          <w:sz w:val="22"/>
          <w:szCs w:val="20"/>
        </w:rPr>
        <w:t>rokov</w:t>
      </w:r>
      <w:r w:rsidRPr="0040738C">
        <w:rPr>
          <w:bCs/>
          <w:sz w:val="22"/>
          <w:szCs w:val="20"/>
        </w:rPr>
        <w:t xml:space="preserve"> sa hodnotila pomoc</w:t>
      </w:r>
      <w:r>
        <w:rPr>
          <w:bCs/>
          <w:sz w:val="22"/>
          <w:szCs w:val="20"/>
        </w:rPr>
        <w:t xml:space="preserve">ou </w:t>
      </w:r>
      <w:r w:rsidRPr="0040738C">
        <w:rPr>
          <w:bCs/>
          <w:sz w:val="22"/>
          <w:szCs w:val="20"/>
        </w:rPr>
        <w:t xml:space="preserve">populačnej analýzy </w:t>
      </w:r>
      <w:r w:rsidR="00674167">
        <w:rPr>
          <w:bCs/>
          <w:sz w:val="22"/>
          <w:szCs w:val="20"/>
        </w:rPr>
        <w:t xml:space="preserve">združených </w:t>
      </w:r>
      <w:proofErr w:type="spellStart"/>
      <w:r w:rsidRPr="0040738C">
        <w:rPr>
          <w:bCs/>
          <w:sz w:val="22"/>
          <w:szCs w:val="20"/>
        </w:rPr>
        <w:t>farmakokinetických</w:t>
      </w:r>
      <w:proofErr w:type="spellEnd"/>
      <w:r w:rsidRPr="0040738C">
        <w:rPr>
          <w:bCs/>
          <w:sz w:val="22"/>
          <w:szCs w:val="20"/>
        </w:rPr>
        <w:t xml:space="preserve"> údajov z dvoch klinických </w:t>
      </w:r>
      <w:r w:rsidR="00EC4B47">
        <w:rPr>
          <w:bCs/>
          <w:sz w:val="22"/>
          <w:szCs w:val="20"/>
        </w:rPr>
        <w:t>skúšaní</w:t>
      </w:r>
      <w:r w:rsidRPr="0040738C">
        <w:rPr>
          <w:bCs/>
          <w:sz w:val="22"/>
          <w:szCs w:val="20"/>
        </w:rPr>
        <w:t xml:space="preserve"> </w:t>
      </w:r>
      <w:r w:rsidR="00220A73">
        <w:rPr>
          <w:bCs/>
          <w:sz w:val="22"/>
          <w:szCs w:val="20"/>
        </w:rPr>
        <w:t xml:space="preserve">anestézie </w:t>
      </w:r>
      <w:proofErr w:type="spellStart"/>
      <w:r w:rsidRPr="0040738C">
        <w:rPr>
          <w:bCs/>
          <w:sz w:val="22"/>
          <w:szCs w:val="20"/>
        </w:rPr>
        <w:t>sevofluránom</w:t>
      </w:r>
      <w:proofErr w:type="spellEnd"/>
      <w:r w:rsidRPr="0040738C">
        <w:rPr>
          <w:bCs/>
          <w:sz w:val="22"/>
          <w:szCs w:val="20"/>
        </w:rPr>
        <w:t xml:space="preserve"> (</w:t>
      </w:r>
      <w:r>
        <w:rPr>
          <w:bCs/>
          <w:sz w:val="22"/>
          <w:szCs w:val="20"/>
        </w:rPr>
        <w:t>indukcia</w:t>
      </w:r>
      <w:r w:rsidRPr="0040738C">
        <w:rPr>
          <w:bCs/>
          <w:sz w:val="22"/>
          <w:szCs w:val="20"/>
        </w:rPr>
        <w:t>) a </w:t>
      </w:r>
      <w:proofErr w:type="spellStart"/>
      <w:r w:rsidRPr="0040738C">
        <w:rPr>
          <w:bCs/>
          <w:sz w:val="22"/>
          <w:szCs w:val="20"/>
        </w:rPr>
        <w:t>izofluránom</w:t>
      </w:r>
      <w:proofErr w:type="spellEnd"/>
      <w:r w:rsidRPr="0040738C">
        <w:rPr>
          <w:bCs/>
          <w:sz w:val="22"/>
          <w:szCs w:val="20"/>
        </w:rPr>
        <w:t>/oxidom dusným (udrž</w:t>
      </w:r>
      <w:r w:rsidR="008C3171">
        <w:rPr>
          <w:bCs/>
          <w:sz w:val="22"/>
          <w:szCs w:val="20"/>
        </w:rPr>
        <w:t>iav</w:t>
      </w:r>
      <w:r w:rsidRPr="0040738C">
        <w:rPr>
          <w:bCs/>
          <w:sz w:val="22"/>
          <w:szCs w:val="20"/>
        </w:rPr>
        <w:t xml:space="preserve">anie). </w:t>
      </w:r>
      <w:r>
        <w:rPr>
          <w:bCs/>
          <w:sz w:val="22"/>
          <w:szCs w:val="20"/>
        </w:rPr>
        <w:t>Zistilo sa, že v</w:t>
      </w:r>
      <w:r w:rsidRPr="0040738C">
        <w:rPr>
          <w:bCs/>
          <w:sz w:val="22"/>
          <w:szCs w:val="20"/>
        </w:rPr>
        <w:t xml:space="preserve">šetky </w:t>
      </w:r>
      <w:proofErr w:type="spellStart"/>
      <w:r w:rsidRPr="0040738C">
        <w:rPr>
          <w:bCs/>
          <w:sz w:val="22"/>
          <w:szCs w:val="20"/>
        </w:rPr>
        <w:t>farmakokinetické</w:t>
      </w:r>
      <w:proofErr w:type="spellEnd"/>
      <w:r w:rsidRPr="0040738C">
        <w:rPr>
          <w:bCs/>
          <w:sz w:val="22"/>
          <w:szCs w:val="20"/>
        </w:rPr>
        <w:t xml:space="preserve"> parametre boli lineárne </w:t>
      </w:r>
      <w:r>
        <w:rPr>
          <w:bCs/>
          <w:sz w:val="22"/>
          <w:szCs w:val="20"/>
        </w:rPr>
        <w:t xml:space="preserve">proporcionálne </w:t>
      </w:r>
      <w:r w:rsidRPr="0040738C">
        <w:rPr>
          <w:bCs/>
          <w:sz w:val="22"/>
          <w:szCs w:val="20"/>
        </w:rPr>
        <w:t xml:space="preserve">k telesnej hmotnosti znázornenej </w:t>
      </w:r>
      <w:r>
        <w:rPr>
          <w:bCs/>
          <w:sz w:val="22"/>
          <w:szCs w:val="20"/>
        </w:rPr>
        <w:t xml:space="preserve">pomocou </w:t>
      </w:r>
      <w:r w:rsidRPr="0040738C">
        <w:rPr>
          <w:bCs/>
          <w:sz w:val="22"/>
          <w:szCs w:val="20"/>
        </w:rPr>
        <w:t>podobn</w:t>
      </w:r>
      <w:r>
        <w:rPr>
          <w:bCs/>
          <w:sz w:val="22"/>
          <w:szCs w:val="20"/>
        </w:rPr>
        <w:t xml:space="preserve">ého </w:t>
      </w:r>
      <w:proofErr w:type="spellStart"/>
      <w:r w:rsidRPr="0040738C">
        <w:rPr>
          <w:bCs/>
          <w:sz w:val="22"/>
          <w:szCs w:val="20"/>
        </w:rPr>
        <w:t>klírens</w:t>
      </w:r>
      <w:r>
        <w:rPr>
          <w:bCs/>
          <w:sz w:val="22"/>
          <w:szCs w:val="20"/>
        </w:rPr>
        <w:t>u</w:t>
      </w:r>
      <w:proofErr w:type="spellEnd"/>
      <w:r w:rsidRPr="0040738C">
        <w:rPr>
          <w:bCs/>
          <w:sz w:val="22"/>
          <w:szCs w:val="20"/>
        </w:rPr>
        <w:t xml:space="preserve"> (l/h/kg). Distribučný objem (l/kg) a polčas eliminácie (h) sa znižuje s vekom (roky). </w:t>
      </w:r>
      <w:proofErr w:type="spellStart"/>
      <w:r w:rsidRPr="0040738C">
        <w:rPr>
          <w:bCs/>
          <w:sz w:val="22"/>
          <w:szCs w:val="20"/>
        </w:rPr>
        <w:t>Farmakokinetické</w:t>
      </w:r>
      <w:proofErr w:type="spellEnd"/>
      <w:r w:rsidRPr="0040738C">
        <w:rPr>
          <w:bCs/>
          <w:sz w:val="22"/>
          <w:szCs w:val="20"/>
        </w:rPr>
        <w:t xml:space="preserve"> parametre typických </w:t>
      </w:r>
      <w:r w:rsidR="00970D33">
        <w:rPr>
          <w:bCs/>
          <w:sz w:val="22"/>
          <w:szCs w:val="20"/>
        </w:rPr>
        <w:t>pediatrických</w:t>
      </w:r>
      <w:r w:rsidRPr="0040738C">
        <w:rPr>
          <w:bCs/>
          <w:sz w:val="22"/>
          <w:szCs w:val="20"/>
        </w:rPr>
        <w:t xml:space="preserve"> </w:t>
      </w:r>
      <w:r w:rsidR="00FE7F5D">
        <w:rPr>
          <w:bCs/>
          <w:sz w:val="22"/>
          <w:szCs w:val="20"/>
        </w:rPr>
        <w:t>pacientov</w:t>
      </w:r>
      <w:r w:rsidRPr="0040738C">
        <w:rPr>
          <w:bCs/>
          <w:sz w:val="22"/>
          <w:szCs w:val="20"/>
        </w:rPr>
        <w:t xml:space="preserve"> v rámci každej vekovej skupiny sú zhrnuté nižšie:</w:t>
      </w:r>
    </w:p>
    <w:p w14:paraId="24541DC0" w14:textId="77777777" w:rsidR="00CB2A09" w:rsidRDefault="00CB2A09" w:rsidP="00CD70B0">
      <w:pPr>
        <w:pStyle w:val="Zkladntext"/>
        <w:jc w:val="left"/>
        <w:rPr>
          <w:bCs/>
          <w:sz w:val="22"/>
          <w:szCs w:val="20"/>
        </w:rPr>
      </w:pPr>
    </w:p>
    <w:p w14:paraId="4A061615" w14:textId="663D4E0B" w:rsidR="00E37866" w:rsidRPr="003E54A9" w:rsidRDefault="00E37866" w:rsidP="003E54A9">
      <w:pPr>
        <w:pStyle w:val="Zkladntext"/>
        <w:keepNext/>
        <w:jc w:val="left"/>
        <w:rPr>
          <w:b/>
          <w:bCs/>
          <w:sz w:val="22"/>
          <w:szCs w:val="20"/>
        </w:rPr>
      </w:pPr>
      <w:r w:rsidRPr="003E54A9">
        <w:rPr>
          <w:b/>
          <w:bCs/>
          <w:sz w:val="22"/>
          <w:szCs w:val="20"/>
        </w:rPr>
        <w:t xml:space="preserve">Odhadované </w:t>
      </w:r>
      <w:proofErr w:type="spellStart"/>
      <w:r w:rsidRPr="003E54A9">
        <w:rPr>
          <w:b/>
          <w:bCs/>
          <w:sz w:val="22"/>
          <w:szCs w:val="20"/>
        </w:rPr>
        <w:t>farmakokinetické</w:t>
      </w:r>
      <w:proofErr w:type="spellEnd"/>
      <w:r w:rsidRPr="003E54A9">
        <w:rPr>
          <w:b/>
          <w:bCs/>
          <w:sz w:val="22"/>
          <w:szCs w:val="20"/>
        </w:rPr>
        <w:t xml:space="preserve"> </w:t>
      </w:r>
      <w:r>
        <w:rPr>
          <w:b/>
          <w:bCs/>
          <w:sz w:val="22"/>
          <w:szCs w:val="20"/>
        </w:rPr>
        <w:t xml:space="preserve">(PK) </w:t>
      </w:r>
      <w:r w:rsidRPr="003E54A9">
        <w:rPr>
          <w:b/>
          <w:bCs/>
          <w:sz w:val="22"/>
          <w:szCs w:val="20"/>
        </w:rPr>
        <w:t>parametre (priemer [</w:t>
      </w:r>
      <w:r w:rsidR="00674167">
        <w:rPr>
          <w:b/>
          <w:bCs/>
          <w:sz w:val="22"/>
          <w:szCs w:val="20"/>
        </w:rPr>
        <w:t>štandardná odchýlka</w:t>
      </w:r>
      <w:r w:rsidRPr="003E54A9">
        <w:rPr>
          <w:b/>
          <w:bCs/>
          <w:sz w:val="22"/>
          <w:szCs w:val="20"/>
        </w:rPr>
        <w:t xml:space="preserve">]) </w:t>
      </w:r>
      <w:proofErr w:type="spellStart"/>
      <w:r w:rsidRPr="003E54A9">
        <w:rPr>
          <w:b/>
          <w:bCs/>
          <w:sz w:val="22"/>
          <w:szCs w:val="20"/>
        </w:rPr>
        <w:t>rokuróniumbromidu</w:t>
      </w:r>
      <w:proofErr w:type="spellEnd"/>
      <w:r w:rsidRPr="003E54A9">
        <w:rPr>
          <w:b/>
          <w:bCs/>
          <w:sz w:val="22"/>
          <w:szCs w:val="20"/>
        </w:rPr>
        <w:t xml:space="preserve"> u typických </w:t>
      </w:r>
      <w:r w:rsidR="00FE7F5D">
        <w:rPr>
          <w:b/>
          <w:bCs/>
          <w:sz w:val="22"/>
          <w:szCs w:val="20"/>
        </w:rPr>
        <w:t>pediatrických</w:t>
      </w:r>
      <w:r w:rsidRPr="003E54A9">
        <w:rPr>
          <w:b/>
          <w:bCs/>
          <w:sz w:val="22"/>
          <w:szCs w:val="20"/>
        </w:rPr>
        <w:t xml:space="preserve"> pacientov počas anestézie </w:t>
      </w:r>
      <w:proofErr w:type="spellStart"/>
      <w:r w:rsidRPr="003E54A9">
        <w:rPr>
          <w:b/>
          <w:bCs/>
          <w:sz w:val="22"/>
          <w:szCs w:val="20"/>
        </w:rPr>
        <w:t>sevofluránom</w:t>
      </w:r>
      <w:proofErr w:type="spellEnd"/>
      <w:r w:rsidRPr="003E54A9">
        <w:rPr>
          <w:b/>
          <w:bCs/>
          <w:sz w:val="22"/>
          <w:szCs w:val="20"/>
        </w:rPr>
        <w:t xml:space="preserve"> a oxidom dusným (indukcia) a </w:t>
      </w:r>
      <w:proofErr w:type="spellStart"/>
      <w:r w:rsidRPr="003E54A9">
        <w:rPr>
          <w:b/>
          <w:bCs/>
          <w:sz w:val="22"/>
          <w:szCs w:val="20"/>
        </w:rPr>
        <w:t>izofluránom</w:t>
      </w:r>
      <w:proofErr w:type="spellEnd"/>
      <w:r w:rsidRPr="003E54A9">
        <w:rPr>
          <w:b/>
          <w:bCs/>
          <w:sz w:val="22"/>
          <w:szCs w:val="20"/>
        </w:rPr>
        <w:t xml:space="preserve"> a oxidom dusným (udržiava</w:t>
      </w:r>
      <w:r w:rsidR="00BA6F7D">
        <w:rPr>
          <w:b/>
          <w:bCs/>
          <w:sz w:val="22"/>
          <w:szCs w:val="20"/>
        </w:rPr>
        <w:t>c</w:t>
      </w:r>
      <w:r w:rsidR="00407A0E">
        <w:rPr>
          <w:b/>
          <w:bCs/>
          <w:sz w:val="22"/>
          <w:szCs w:val="20"/>
        </w:rPr>
        <w:t>i</w:t>
      </w:r>
      <w:r w:rsidR="00BA6F7D">
        <w:rPr>
          <w:b/>
          <w:bCs/>
          <w:sz w:val="22"/>
          <w:szCs w:val="20"/>
        </w:rPr>
        <w:t>a anestézia</w:t>
      </w:r>
      <w:r w:rsidRPr="003E54A9">
        <w:rPr>
          <w:b/>
          <w:bCs/>
          <w:sz w:val="22"/>
          <w:szCs w:val="20"/>
        </w:rPr>
        <w:t>)</w:t>
      </w:r>
    </w:p>
    <w:p w14:paraId="6689FA78" w14:textId="77777777" w:rsidR="00E37866" w:rsidRPr="0040738C" w:rsidRDefault="00E37866" w:rsidP="003E54A9">
      <w:pPr>
        <w:pStyle w:val="Zkladntext"/>
        <w:keepNext/>
        <w:jc w:val="left"/>
        <w:rPr>
          <w:bCs/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1451"/>
        <w:gridCol w:w="1315"/>
        <w:gridCol w:w="1880"/>
        <w:gridCol w:w="1523"/>
        <w:gridCol w:w="1666"/>
      </w:tblGrid>
      <w:tr w:rsidR="00E37866" w:rsidRPr="000A46EE" w14:paraId="2AE066D6" w14:textId="77777777" w:rsidTr="003C3608">
        <w:trPr>
          <w:tblHeader/>
        </w:trPr>
        <w:tc>
          <w:tcPr>
            <w:tcW w:w="782" w:type="pct"/>
            <w:tcBorders>
              <w:bottom w:val="nil"/>
            </w:tcBorders>
            <w:shd w:val="clear" w:color="auto" w:fill="auto"/>
          </w:tcPr>
          <w:p w14:paraId="565ABB70" w14:textId="77777777" w:rsidR="00E37866" w:rsidRPr="000A46EE" w:rsidRDefault="00E37866" w:rsidP="003E54A9">
            <w:pPr>
              <w:keepNext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18" w:type="pct"/>
            <w:gridSpan w:val="5"/>
            <w:shd w:val="clear" w:color="auto" w:fill="auto"/>
          </w:tcPr>
          <w:p w14:paraId="71D59C77" w14:textId="77777777" w:rsidR="00E37866" w:rsidRPr="000A46EE" w:rsidRDefault="00E37866" w:rsidP="003E54A9">
            <w:pPr>
              <w:keepNext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Vekové rozmedzie pacientov</w:t>
            </w:r>
          </w:p>
        </w:tc>
      </w:tr>
      <w:tr w:rsidR="00E37866" w:rsidRPr="000A46EE" w14:paraId="402854C9" w14:textId="77777777" w:rsidTr="003C3608">
        <w:trPr>
          <w:tblHeader/>
        </w:trPr>
        <w:tc>
          <w:tcPr>
            <w:tcW w:w="782" w:type="pct"/>
            <w:tcBorders>
              <w:top w:val="nil"/>
            </w:tcBorders>
            <w:shd w:val="clear" w:color="auto" w:fill="auto"/>
          </w:tcPr>
          <w:p w14:paraId="7DD5DEE7" w14:textId="77777777" w:rsidR="00CB2A09" w:rsidRPr="000A46EE" w:rsidRDefault="00E37866" w:rsidP="003E54A9">
            <w:pPr>
              <w:keepNext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PK </w:t>
            </w:r>
            <w:r w:rsidR="00CB2A09" w:rsidRPr="000A46EE">
              <w:rPr>
                <w:rFonts w:eastAsia="Times New Roman"/>
                <w:sz w:val="22"/>
                <w:szCs w:val="22"/>
              </w:rPr>
              <w:t>parametr</w:t>
            </w:r>
            <w:r>
              <w:rPr>
                <w:rFonts w:eastAsia="Times New Roman"/>
                <w:sz w:val="22"/>
                <w:szCs w:val="22"/>
              </w:rPr>
              <w:t>e</w:t>
            </w:r>
          </w:p>
        </w:tc>
        <w:tc>
          <w:tcPr>
            <w:tcW w:w="781" w:type="pct"/>
            <w:shd w:val="clear" w:color="auto" w:fill="auto"/>
          </w:tcPr>
          <w:p w14:paraId="10D548D8" w14:textId="77777777" w:rsidR="00CB2A09" w:rsidRPr="000A46EE" w:rsidRDefault="00EC4B47" w:rsidP="003E54A9">
            <w:pPr>
              <w:keepNext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Donosení n</w:t>
            </w:r>
            <w:r w:rsidR="00CB2A09" w:rsidRPr="000A46EE">
              <w:rPr>
                <w:rFonts w:eastAsia="Times New Roman"/>
                <w:sz w:val="22"/>
                <w:szCs w:val="22"/>
              </w:rPr>
              <w:t>ovorodenci</w:t>
            </w:r>
          </w:p>
          <w:p w14:paraId="615842C9" w14:textId="77777777" w:rsidR="00E37866" w:rsidRDefault="00E37866" w:rsidP="003E54A9">
            <w:pPr>
              <w:keepNext/>
              <w:jc w:val="center"/>
              <w:rPr>
                <w:rFonts w:eastAsia="Times New Roman"/>
                <w:sz w:val="22"/>
                <w:szCs w:val="22"/>
              </w:rPr>
            </w:pPr>
          </w:p>
          <w:p w14:paraId="1206FB54" w14:textId="77777777" w:rsidR="00CB2A09" w:rsidRPr="000A46EE" w:rsidRDefault="00CB2A09" w:rsidP="003E54A9">
            <w:pPr>
              <w:keepNext/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(0</w:t>
            </w:r>
            <w:r w:rsidR="00322B80">
              <w:rPr>
                <w:rFonts w:eastAsia="Times New Roman"/>
                <w:sz w:val="22"/>
                <w:szCs w:val="22"/>
              </w:rPr>
              <w:t> – </w:t>
            </w:r>
            <w:r w:rsidRPr="000A46EE">
              <w:rPr>
                <w:rFonts w:eastAsia="Times New Roman"/>
                <w:sz w:val="22"/>
                <w:szCs w:val="22"/>
              </w:rPr>
              <w:t>27 dní)</w:t>
            </w:r>
          </w:p>
        </w:tc>
        <w:tc>
          <w:tcPr>
            <w:tcW w:w="708" w:type="pct"/>
            <w:shd w:val="clear" w:color="auto" w:fill="auto"/>
          </w:tcPr>
          <w:p w14:paraId="30E484FB" w14:textId="77777777" w:rsidR="00CB2A09" w:rsidRPr="000A46EE" w:rsidRDefault="00CB2A09" w:rsidP="003E54A9">
            <w:pPr>
              <w:keepNext/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Dojčatá</w:t>
            </w:r>
          </w:p>
          <w:p w14:paraId="49CE6541" w14:textId="77777777" w:rsidR="00E37866" w:rsidRDefault="00E37866" w:rsidP="003E54A9">
            <w:pPr>
              <w:keepNext/>
              <w:jc w:val="center"/>
              <w:rPr>
                <w:rFonts w:eastAsia="Times New Roman"/>
                <w:sz w:val="22"/>
                <w:szCs w:val="22"/>
              </w:rPr>
            </w:pPr>
          </w:p>
          <w:p w14:paraId="0E0F40D0" w14:textId="77777777" w:rsidR="00CB2A09" w:rsidRPr="000A46EE" w:rsidRDefault="00CB2A09" w:rsidP="003E54A9">
            <w:pPr>
              <w:keepNext/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(28 dní až 2</w:t>
            </w:r>
            <w:r w:rsidR="00E37866">
              <w:rPr>
                <w:rFonts w:eastAsia="Times New Roman"/>
                <w:sz w:val="22"/>
                <w:szCs w:val="22"/>
              </w:rPr>
              <w:t> </w:t>
            </w:r>
            <w:r w:rsidRPr="000A46EE">
              <w:rPr>
                <w:rFonts w:eastAsia="Times New Roman"/>
                <w:sz w:val="22"/>
                <w:szCs w:val="22"/>
              </w:rPr>
              <w:t>mesiace)</w:t>
            </w:r>
          </w:p>
        </w:tc>
        <w:tc>
          <w:tcPr>
            <w:tcW w:w="1012" w:type="pct"/>
            <w:shd w:val="clear" w:color="auto" w:fill="auto"/>
          </w:tcPr>
          <w:p w14:paraId="7A362900" w14:textId="77777777" w:rsidR="00CB2A09" w:rsidRPr="000A46EE" w:rsidRDefault="00CB2A09" w:rsidP="003E54A9">
            <w:pPr>
              <w:keepNext/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Batoľatá</w:t>
            </w:r>
          </w:p>
          <w:p w14:paraId="0ACFE31C" w14:textId="77777777" w:rsidR="00E37866" w:rsidRDefault="00E37866" w:rsidP="003E54A9">
            <w:pPr>
              <w:keepNext/>
              <w:jc w:val="center"/>
              <w:rPr>
                <w:rFonts w:eastAsia="Times New Roman"/>
                <w:sz w:val="22"/>
                <w:szCs w:val="22"/>
              </w:rPr>
            </w:pPr>
          </w:p>
          <w:p w14:paraId="64485142" w14:textId="77777777" w:rsidR="00CB2A09" w:rsidRPr="000A46EE" w:rsidRDefault="00CB2A09" w:rsidP="003E54A9">
            <w:pPr>
              <w:keepNext/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(3</w:t>
            </w:r>
            <w:r w:rsidR="00322B80">
              <w:rPr>
                <w:rFonts w:eastAsia="Times New Roman"/>
                <w:sz w:val="22"/>
                <w:szCs w:val="22"/>
              </w:rPr>
              <w:t> </w:t>
            </w:r>
            <w:r w:rsidR="00322B80">
              <w:t>– </w:t>
            </w:r>
            <w:r w:rsidRPr="000A46EE">
              <w:rPr>
                <w:rFonts w:eastAsia="Times New Roman"/>
                <w:sz w:val="22"/>
                <w:szCs w:val="22"/>
              </w:rPr>
              <w:t>23 mesiacov)</w:t>
            </w:r>
          </w:p>
        </w:tc>
        <w:tc>
          <w:tcPr>
            <w:tcW w:w="820" w:type="pct"/>
            <w:shd w:val="clear" w:color="auto" w:fill="auto"/>
          </w:tcPr>
          <w:p w14:paraId="456231A2" w14:textId="77777777" w:rsidR="00CB2A09" w:rsidRPr="000A46EE" w:rsidRDefault="00CB2A09" w:rsidP="003E54A9">
            <w:pPr>
              <w:keepNext/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Deti</w:t>
            </w:r>
          </w:p>
          <w:p w14:paraId="6316F9D4" w14:textId="77777777" w:rsidR="00E37866" w:rsidRDefault="00E37866" w:rsidP="003E54A9">
            <w:pPr>
              <w:keepNext/>
              <w:jc w:val="center"/>
              <w:rPr>
                <w:rFonts w:eastAsia="Times New Roman"/>
                <w:sz w:val="22"/>
                <w:szCs w:val="22"/>
              </w:rPr>
            </w:pPr>
          </w:p>
          <w:p w14:paraId="037B1C07" w14:textId="77777777" w:rsidR="00CB2A09" w:rsidRPr="000A46EE" w:rsidRDefault="00CB2A09" w:rsidP="003E54A9">
            <w:pPr>
              <w:keepNext/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(2</w:t>
            </w:r>
            <w:r w:rsidR="00322B80">
              <w:rPr>
                <w:rFonts w:eastAsia="Times New Roman"/>
                <w:sz w:val="22"/>
                <w:szCs w:val="22"/>
              </w:rPr>
              <w:t> – </w:t>
            </w:r>
            <w:r w:rsidRPr="000A46EE">
              <w:rPr>
                <w:rFonts w:eastAsia="Times New Roman"/>
                <w:sz w:val="22"/>
                <w:szCs w:val="22"/>
              </w:rPr>
              <w:t>11 rokov)</w:t>
            </w:r>
          </w:p>
        </w:tc>
        <w:tc>
          <w:tcPr>
            <w:tcW w:w="897" w:type="pct"/>
            <w:shd w:val="clear" w:color="auto" w:fill="auto"/>
          </w:tcPr>
          <w:p w14:paraId="24EEDC23" w14:textId="77777777" w:rsidR="00CB2A09" w:rsidRPr="000A46EE" w:rsidRDefault="00CB2A09" w:rsidP="003E54A9">
            <w:pPr>
              <w:keepNext/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Dospievajúci</w:t>
            </w:r>
          </w:p>
          <w:p w14:paraId="7A7FE8E7" w14:textId="77777777" w:rsidR="00E37866" w:rsidRDefault="00E37866" w:rsidP="003E54A9">
            <w:pPr>
              <w:keepNext/>
              <w:jc w:val="center"/>
              <w:rPr>
                <w:rFonts w:eastAsia="Times New Roman"/>
                <w:sz w:val="22"/>
                <w:szCs w:val="22"/>
              </w:rPr>
            </w:pPr>
          </w:p>
          <w:p w14:paraId="1816DCFB" w14:textId="77777777" w:rsidR="00CB2A09" w:rsidRPr="000A46EE" w:rsidRDefault="00CB2A09" w:rsidP="003E54A9">
            <w:pPr>
              <w:keepNext/>
              <w:jc w:val="center"/>
              <w:rPr>
                <w:rFonts w:eastAsia="Times New Roman"/>
                <w:sz w:val="22"/>
                <w:szCs w:val="22"/>
              </w:rPr>
            </w:pPr>
            <w:r w:rsidRPr="00D5561F">
              <w:rPr>
                <w:rFonts w:eastAsia="Times New Roman"/>
                <w:sz w:val="22"/>
                <w:szCs w:val="22"/>
              </w:rPr>
              <w:t>(</w:t>
            </w:r>
            <w:r w:rsidR="00333BA1" w:rsidRPr="00D5561F">
              <w:rPr>
                <w:rFonts w:eastAsia="Times New Roman"/>
                <w:sz w:val="22"/>
                <w:szCs w:val="22"/>
              </w:rPr>
              <w:t>1</w:t>
            </w:r>
            <w:r w:rsidR="00333BA1" w:rsidRPr="003E54A9">
              <w:rPr>
                <w:rFonts w:eastAsia="Times New Roman"/>
                <w:sz w:val="22"/>
                <w:szCs w:val="22"/>
              </w:rPr>
              <w:t>2</w:t>
            </w:r>
            <w:r w:rsidR="00322B80">
              <w:rPr>
                <w:rFonts w:eastAsia="Times New Roman"/>
                <w:sz w:val="22"/>
                <w:szCs w:val="22"/>
              </w:rPr>
              <w:t> –</w:t>
            </w:r>
            <w:r w:rsidR="00322B80">
              <w:t> </w:t>
            </w:r>
            <w:r w:rsidRPr="00D5561F">
              <w:rPr>
                <w:rFonts w:eastAsia="Times New Roman"/>
                <w:sz w:val="22"/>
                <w:szCs w:val="22"/>
              </w:rPr>
              <w:t>17 rokov)</w:t>
            </w:r>
          </w:p>
        </w:tc>
      </w:tr>
      <w:tr w:rsidR="00E37866" w:rsidRPr="000A46EE" w14:paraId="572CCF82" w14:textId="77777777" w:rsidTr="003C3608">
        <w:tc>
          <w:tcPr>
            <w:tcW w:w="782" w:type="pct"/>
            <w:shd w:val="clear" w:color="auto" w:fill="auto"/>
          </w:tcPr>
          <w:p w14:paraId="6649876C" w14:textId="77777777" w:rsidR="00CB2A09" w:rsidRPr="000A46EE" w:rsidRDefault="00E37866" w:rsidP="00CD70B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CL </w:t>
            </w:r>
            <w:r w:rsidR="00CB2A09" w:rsidRPr="000A46EE">
              <w:rPr>
                <w:rFonts w:eastAsia="Times New Roman"/>
                <w:sz w:val="22"/>
                <w:szCs w:val="22"/>
              </w:rPr>
              <w:t>(l/h/kg)</w:t>
            </w:r>
          </w:p>
        </w:tc>
        <w:tc>
          <w:tcPr>
            <w:tcW w:w="781" w:type="pct"/>
            <w:shd w:val="clear" w:color="auto" w:fill="auto"/>
          </w:tcPr>
          <w:p w14:paraId="2DDD235C" w14:textId="77777777" w:rsidR="00CB2A09" w:rsidRPr="000A46EE" w:rsidRDefault="00CB2A09" w:rsidP="003E54A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0,</w:t>
            </w:r>
            <w:r w:rsidR="00E37866">
              <w:rPr>
                <w:rFonts w:eastAsia="Times New Roman"/>
                <w:sz w:val="22"/>
                <w:szCs w:val="22"/>
              </w:rPr>
              <w:t>31 (0,07)</w:t>
            </w:r>
          </w:p>
        </w:tc>
        <w:tc>
          <w:tcPr>
            <w:tcW w:w="708" w:type="pct"/>
            <w:shd w:val="clear" w:color="auto" w:fill="auto"/>
          </w:tcPr>
          <w:p w14:paraId="17A25432" w14:textId="77777777" w:rsidR="00CB2A09" w:rsidRPr="000A46EE" w:rsidRDefault="00CB2A09" w:rsidP="003E54A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0,</w:t>
            </w:r>
            <w:r w:rsidR="00E37866">
              <w:rPr>
                <w:rFonts w:eastAsia="Times New Roman"/>
                <w:sz w:val="22"/>
                <w:szCs w:val="22"/>
              </w:rPr>
              <w:t>30 (0,08)</w:t>
            </w:r>
          </w:p>
        </w:tc>
        <w:tc>
          <w:tcPr>
            <w:tcW w:w="1012" w:type="pct"/>
            <w:shd w:val="clear" w:color="auto" w:fill="auto"/>
          </w:tcPr>
          <w:p w14:paraId="4984B87D" w14:textId="77777777" w:rsidR="00CB2A09" w:rsidRPr="000A46EE" w:rsidRDefault="00CB2A09" w:rsidP="003E54A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0,</w:t>
            </w:r>
            <w:r w:rsidR="00E37866">
              <w:rPr>
                <w:rFonts w:eastAsia="Times New Roman"/>
                <w:sz w:val="22"/>
                <w:szCs w:val="22"/>
              </w:rPr>
              <w:t>33 (0,10)</w:t>
            </w:r>
          </w:p>
        </w:tc>
        <w:tc>
          <w:tcPr>
            <w:tcW w:w="820" w:type="pct"/>
            <w:shd w:val="clear" w:color="auto" w:fill="auto"/>
          </w:tcPr>
          <w:p w14:paraId="03A66157" w14:textId="77777777" w:rsidR="00CB2A09" w:rsidRPr="000A46EE" w:rsidRDefault="00CB2A09" w:rsidP="003E54A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0,</w:t>
            </w:r>
            <w:r w:rsidR="00E37866">
              <w:rPr>
                <w:rFonts w:eastAsia="Times New Roman"/>
                <w:sz w:val="22"/>
                <w:szCs w:val="22"/>
              </w:rPr>
              <w:t>35 (0,09)</w:t>
            </w:r>
          </w:p>
        </w:tc>
        <w:tc>
          <w:tcPr>
            <w:tcW w:w="897" w:type="pct"/>
            <w:shd w:val="clear" w:color="auto" w:fill="auto"/>
          </w:tcPr>
          <w:p w14:paraId="20F0F67D" w14:textId="77777777" w:rsidR="00CB2A09" w:rsidRPr="000A46EE" w:rsidRDefault="00CB2A09" w:rsidP="003E54A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0,29</w:t>
            </w:r>
            <w:r w:rsidR="00E37866">
              <w:rPr>
                <w:rFonts w:eastAsia="Times New Roman"/>
                <w:sz w:val="22"/>
                <w:szCs w:val="22"/>
              </w:rPr>
              <w:t xml:space="preserve"> (0,14)</w:t>
            </w:r>
          </w:p>
        </w:tc>
      </w:tr>
      <w:tr w:rsidR="00E37866" w:rsidRPr="000A46EE" w14:paraId="6534E985" w14:textId="77777777" w:rsidTr="003C3608">
        <w:tc>
          <w:tcPr>
            <w:tcW w:w="782" w:type="pct"/>
            <w:shd w:val="clear" w:color="auto" w:fill="auto"/>
          </w:tcPr>
          <w:p w14:paraId="6D218D9C" w14:textId="77777777" w:rsidR="00CB2A09" w:rsidRPr="000A46EE" w:rsidRDefault="00CB2A09" w:rsidP="00674167">
            <w:pPr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Distribučný objem (l/kg)</w:t>
            </w:r>
          </w:p>
        </w:tc>
        <w:tc>
          <w:tcPr>
            <w:tcW w:w="781" w:type="pct"/>
            <w:shd w:val="clear" w:color="auto" w:fill="auto"/>
          </w:tcPr>
          <w:p w14:paraId="3B427C47" w14:textId="77777777" w:rsidR="00CB2A09" w:rsidRPr="000A46EE" w:rsidRDefault="00CB2A09" w:rsidP="0067416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0,42</w:t>
            </w:r>
            <w:r w:rsidR="00E37866">
              <w:rPr>
                <w:rFonts w:eastAsia="Times New Roman"/>
                <w:sz w:val="22"/>
                <w:szCs w:val="22"/>
              </w:rPr>
              <w:t xml:space="preserve"> (0,06)</w:t>
            </w:r>
          </w:p>
        </w:tc>
        <w:tc>
          <w:tcPr>
            <w:tcW w:w="708" w:type="pct"/>
            <w:shd w:val="clear" w:color="auto" w:fill="auto"/>
          </w:tcPr>
          <w:p w14:paraId="00A68B22" w14:textId="77777777" w:rsidR="00CB2A09" w:rsidRPr="000A46EE" w:rsidRDefault="00CB2A09" w:rsidP="0067416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0,</w:t>
            </w:r>
            <w:r w:rsidR="00E37866">
              <w:rPr>
                <w:rFonts w:eastAsia="Times New Roman"/>
                <w:sz w:val="22"/>
                <w:szCs w:val="22"/>
              </w:rPr>
              <w:t>31 (0,03)</w:t>
            </w:r>
          </w:p>
        </w:tc>
        <w:tc>
          <w:tcPr>
            <w:tcW w:w="1012" w:type="pct"/>
            <w:shd w:val="clear" w:color="auto" w:fill="auto"/>
          </w:tcPr>
          <w:p w14:paraId="10345AF1" w14:textId="77777777" w:rsidR="00CB2A09" w:rsidRPr="000A46EE" w:rsidRDefault="00CB2A09" w:rsidP="0067416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0,23</w:t>
            </w:r>
            <w:r w:rsidR="00E37866">
              <w:rPr>
                <w:rFonts w:eastAsia="Times New Roman"/>
                <w:sz w:val="22"/>
                <w:szCs w:val="22"/>
              </w:rPr>
              <w:t xml:space="preserve"> (0,03)</w:t>
            </w:r>
          </w:p>
        </w:tc>
        <w:tc>
          <w:tcPr>
            <w:tcW w:w="820" w:type="pct"/>
            <w:shd w:val="clear" w:color="auto" w:fill="auto"/>
          </w:tcPr>
          <w:p w14:paraId="43917CE2" w14:textId="77777777" w:rsidR="00CB2A09" w:rsidRPr="000A46EE" w:rsidRDefault="00CB2A09" w:rsidP="0067416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0,1</w:t>
            </w:r>
            <w:r w:rsidR="00E37866">
              <w:rPr>
                <w:rFonts w:eastAsia="Times New Roman"/>
                <w:sz w:val="22"/>
                <w:szCs w:val="22"/>
              </w:rPr>
              <w:t>8 (0,02)</w:t>
            </w:r>
          </w:p>
        </w:tc>
        <w:tc>
          <w:tcPr>
            <w:tcW w:w="897" w:type="pct"/>
            <w:shd w:val="clear" w:color="auto" w:fill="auto"/>
          </w:tcPr>
          <w:p w14:paraId="3F70CB52" w14:textId="77777777" w:rsidR="00CB2A09" w:rsidRPr="000A46EE" w:rsidRDefault="00CB2A09" w:rsidP="0067416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0,1</w:t>
            </w:r>
            <w:r w:rsidR="00E37866">
              <w:rPr>
                <w:rFonts w:eastAsia="Times New Roman"/>
                <w:sz w:val="22"/>
                <w:szCs w:val="22"/>
              </w:rPr>
              <w:t>8 (0,01)</w:t>
            </w:r>
          </w:p>
        </w:tc>
      </w:tr>
      <w:tr w:rsidR="00E37866" w:rsidRPr="000A46EE" w14:paraId="0C58988B" w14:textId="77777777" w:rsidTr="003C3608">
        <w:tc>
          <w:tcPr>
            <w:tcW w:w="782" w:type="pct"/>
            <w:shd w:val="clear" w:color="auto" w:fill="auto"/>
          </w:tcPr>
          <w:p w14:paraId="39EF8043" w14:textId="77777777" w:rsidR="00CB2A09" w:rsidRPr="000A46EE" w:rsidRDefault="00E37866" w:rsidP="00CD70B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</w:t>
            </w:r>
            <w:r w:rsidRPr="003E54A9">
              <w:rPr>
                <w:rFonts w:eastAsia="Times New Roman"/>
                <w:sz w:val="22"/>
                <w:szCs w:val="22"/>
                <w:vertAlign w:val="subscript"/>
              </w:rPr>
              <w:t>1/2</w:t>
            </w:r>
            <w:r>
              <w:rPr>
                <w:rFonts w:eastAsia="Times New Roman"/>
                <w:sz w:val="22"/>
                <w:szCs w:val="22"/>
              </w:rPr>
              <w:t xml:space="preserve"> β</w:t>
            </w:r>
            <w:r w:rsidR="00CB2A09" w:rsidRPr="000A46EE">
              <w:rPr>
                <w:rFonts w:eastAsia="Times New Roman"/>
                <w:sz w:val="22"/>
                <w:szCs w:val="22"/>
              </w:rPr>
              <w:t xml:space="preserve"> (h)</w:t>
            </w:r>
          </w:p>
        </w:tc>
        <w:tc>
          <w:tcPr>
            <w:tcW w:w="781" w:type="pct"/>
            <w:shd w:val="clear" w:color="auto" w:fill="auto"/>
          </w:tcPr>
          <w:p w14:paraId="3418683A" w14:textId="77777777" w:rsidR="00CB2A09" w:rsidRPr="000A46EE" w:rsidRDefault="00CB2A09" w:rsidP="003E54A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1,1</w:t>
            </w:r>
            <w:r w:rsidR="00E37866">
              <w:rPr>
                <w:rFonts w:eastAsia="Times New Roman"/>
                <w:sz w:val="22"/>
                <w:szCs w:val="22"/>
              </w:rPr>
              <w:t xml:space="preserve"> (0,2)</w:t>
            </w:r>
          </w:p>
        </w:tc>
        <w:tc>
          <w:tcPr>
            <w:tcW w:w="708" w:type="pct"/>
            <w:shd w:val="clear" w:color="auto" w:fill="auto"/>
          </w:tcPr>
          <w:p w14:paraId="27634367" w14:textId="77777777" w:rsidR="00CB2A09" w:rsidRPr="000A46EE" w:rsidRDefault="00CB2A09" w:rsidP="003E54A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0,9</w:t>
            </w:r>
            <w:r w:rsidR="00E37866">
              <w:rPr>
                <w:rFonts w:eastAsia="Times New Roman"/>
                <w:sz w:val="22"/>
                <w:szCs w:val="22"/>
              </w:rPr>
              <w:t xml:space="preserve"> (0,3)</w:t>
            </w:r>
          </w:p>
        </w:tc>
        <w:tc>
          <w:tcPr>
            <w:tcW w:w="1012" w:type="pct"/>
            <w:shd w:val="clear" w:color="auto" w:fill="auto"/>
          </w:tcPr>
          <w:p w14:paraId="261D8117" w14:textId="77777777" w:rsidR="00CB2A09" w:rsidRPr="000A46EE" w:rsidRDefault="00CB2A09" w:rsidP="003E54A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0,8</w:t>
            </w:r>
            <w:r w:rsidR="00E37866">
              <w:rPr>
                <w:rFonts w:eastAsia="Times New Roman"/>
                <w:sz w:val="22"/>
                <w:szCs w:val="22"/>
              </w:rPr>
              <w:t xml:space="preserve"> (0,2)</w:t>
            </w:r>
          </w:p>
        </w:tc>
        <w:tc>
          <w:tcPr>
            <w:tcW w:w="820" w:type="pct"/>
            <w:shd w:val="clear" w:color="auto" w:fill="auto"/>
          </w:tcPr>
          <w:p w14:paraId="54EE0B72" w14:textId="77777777" w:rsidR="00CB2A09" w:rsidRPr="000A46EE" w:rsidRDefault="00CB2A09" w:rsidP="003E54A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0,7</w:t>
            </w:r>
            <w:r w:rsidR="00E37866">
              <w:rPr>
                <w:rFonts w:eastAsia="Times New Roman"/>
                <w:sz w:val="22"/>
                <w:szCs w:val="22"/>
              </w:rPr>
              <w:t xml:space="preserve"> (0,2)</w:t>
            </w:r>
          </w:p>
        </w:tc>
        <w:tc>
          <w:tcPr>
            <w:tcW w:w="897" w:type="pct"/>
            <w:shd w:val="clear" w:color="auto" w:fill="auto"/>
          </w:tcPr>
          <w:p w14:paraId="4B3A082E" w14:textId="77777777" w:rsidR="00CB2A09" w:rsidRPr="000A46EE" w:rsidRDefault="00CB2A09" w:rsidP="003E54A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A46EE">
              <w:rPr>
                <w:rFonts w:eastAsia="Times New Roman"/>
                <w:sz w:val="22"/>
                <w:szCs w:val="22"/>
              </w:rPr>
              <w:t>0,</w:t>
            </w:r>
            <w:r w:rsidR="00E37866">
              <w:rPr>
                <w:rFonts w:eastAsia="Times New Roman"/>
                <w:sz w:val="22"/>
                <w:szCs w:val="22"/>
              </w:rPr>
              <w:t>8 (0,3)</w:t>
            </w:r>
          </w:p>
        </w:tc>
      </w:tr>
    </w:tbl>
    <w:p w14:paraId="3DE0B914" w14:textId="77777777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</w:p>
    <w:p w14:paraId="71291106" w14:textId="77777777" w:rsidR="00CB2A09" w:rsidRPr="0040738C" w:rsidRDefault="00CB2A09" w:rsidP="003E54A9">
      <w:pPr>
        <w:keepNext/>
        <w:rPr>
          <w:sz w:val="22"/>
          <w:szCs w:val="20"/>
          <w:u w:val="single"/>
        </w:rPr>
      </w:pPr>
      <w:r w:rsidRPr="0040738C">
        <w:rPr>
          <w:sz w:val="22"/>
          <w:szCs w:val="20"/>
          <w:u w:val="single"/>
        </w:rPr>
        <w:t xml:space="preserve">Geriatrickí pacienti a pacienti s ochorením </w:t>
      </w:r>
      <w:r w:rsidR="00E37866">
        <w:rPr>
          <w:sz w:val="22"/>
          <w:szCs w:val="20"/>
          <w:u w:val="single"/>
        </w:rPr>
        <w:t>pečene</w:t>
      </w:r>
      <w:r w:rsidRPr="0040738C">
        <w:rPr>
          <w:sz w:val="22"/>
          <w:szCs w:val="20"/>
          <w:u w:val="single"/>
        </w:rPr>
        <w:t xml:space="preserve"> a/alebo žlčových ciest a/alebo zlyhaním obličiek</w:t>
      </w:r>
    </w:p>
    <w:p w14:paraId="4F7F0E70" w14:textId="4EC34A5D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 xml:space="preserve">V kontrolovaných </w:t>
      </w:r>
      <w:r w:rsidR="00B23B41">
        <w:rPr>
          <w:bCs/>
          <w:sz w:val="22"/>
          <w:szCs w:val="20"/>
        </w:rPr>
        <w:t>št</w:t>
      </w:r>
      <w:r w:rsidR="00E37866">
        <w:rPr>
          <w:bCs/>
          <w:sz w:val="22"/>
          <w:szCs w:val="20"/>
        </w:rPr>
        <w:t>ú</w:t>
      </w:r>
      <w:r w:rsidR="00B23B41">
        <w:rPr>
          <w:bCs/>
          <w:sz w:val="22"/>
          <w:szCs w:val="20"/>
        </w:rPr>
        <w:t>d</w:t>
      </w:r>
      <w:r w:rsidR="00E37866">
        <w:rPr>
          <w:bCs/>
          <w:sz w:val="22"/>
          <w:szCs w:val="20"/>
        </w:rPr>
        <w:t>i</w:t>
      </w:r>
      <w:r w:rsidR="00B23B41">
        <w:rPr>
          <w:bCs/>
          <w:sz w:val="22"/>
          <w:szCs w:val="20"/>
        </w:rPr>
        <w:t>á</w:t>
      </w:r>
      <w:r w:rsidR="00E37866">
        <w:rPr>
          <w:bCs/>
          <w:sz w:val="22"/>
          <w:szCs w:val="20"/>
        </w:rPr>
        <w:t>ch</w:t>
      </w:r>
      <w:r w:rsidRPr="0040738C">
        <w:rPr>
          <w:bCs/>
          <w:sz w:val="22"/>
          <w:szCs w:val="20"/>
        </w:rPr>
        <w:t xml:space="preserve"> bol </w:t>
      </w:r>
      <w:r w:rsidR="00E37866">
        <w:rPr>
          <w:bCs/>
          <w:sz w:val="22"/>
          <w:szCs w:val="20"/>
        </w:rPr>
        <w:t xml:space="preserve">plazmatický </w:t>
      </w:r>
      <w:proofErr w:type="spellStart"/>
      <w:r w:rsidRPr="0040738C">
        <w:rPr>
          <w:bCs/>
          <w:sz w:val="22"/>
          <w:szCs w:val="20"/>
        </w:rPr>
        <w:t>klírens</w:t>
      </w:r>
      <w:proofErr w:type="spellEnd"/>
      <w:r w:rsidR="00E37866">
        <w:rPr>
          <w:bCs/>
          <w:sz w:val="22"/>
          <w:szCs w:val="20"/>
        </w:rPr>
        <w:t xml:space="preserve"> </w:t>
      </w:r>
      <w:r w:rsidRPr="0040738C">
        <w:rPr>
          <w:bCs/>
          <w:sz w:val="22"/>
          <w:szCs w:val="20"/>
        </w:rPr>
        <w:t xml:space="preserve">u geriatrických pacientov a u pacientov s dysfunkciou obličiek znížený, vo väčšine </w:t>
      </w:r>
      <w:r w:rsidR="00B23B41">
        <w:rPr>
          <w:bCs/>
          <w:sz w:val="22"/>
          <w:szCs w:val="20"/>
        </w:rPr>
        <w:t>št</w:t>
      </w:r>
      <w:r w:rsidR="00E37866">
        <w:rPr>
          <w:bCs/>
          <w:sz w:val="22"/>
          <w:szCs w:val="20"/>
        </w:rPr>
        <w:t>ú</w:t>
      </w:r>
      <w:r w:rsidR="00B23B41">
        <w:rPr>
          <w:bCs/>
          <w:sz w:val="22"/>
          <w:szCs w:val="20"/>
        </w:rPr>
        <w:t>di</w:t>
      </w:r>
      <w:r w:rsidR="00E37866">
        <w:rPr>
          <w:bCs/>
          <w:sz w:val="22"/>
          <w:szCs w:val="20"/>
        </w:rPr>
        <w:t>í</w:t>
      </w:r>
      <w:r w:rsidRPr="0040738C">
        <w:rPr>
          <w:bCs/>
          <w:sz w:val="22"/>
          <w:szCs w:val="20"/>
        </w:rPr>
        <w:t xml:space="preserve"> však bez dosiahnutia hladiny štatistickej významnosti. U pacientov s ochorením pečene </w:t>
      </w:r>
      <w:r w:rsidR="00654B65">
        <w:rPr>
          <w:bCs/>
          <w:sz w:val="22"/>
          <w:szCs w:val="20"/>
        </w:rPr>
        <w:t>je</w:t>
      </w:r>
      <w:r w:rsidRPr="0040738C">
        <w:rPr>
          <w:bCs/>
          <w:sz w:val="22"/>
          <w:szCs w:val="20"/>
        </w:rPr>
        <w:t xml:space="preserve"> priemerný polčas eliminácie predĺž</w:t>
      </w:r>
      <w:r w:rsidR="00654B65">
        <w:rPr>
          <w:bCs/>
          <w:sz w:val="22"/>
          <w:szCs w:val="20"/>
        </w:rPr>
        <w:t>ený</w:t>
      </w:r>
      <w:r w:rsidRPr="0040738C">
        <w:rPr>
          <w:bCs/>
          <w:sz w:val="22"/>
          <w:szCs w:val="20"/>
        </w:rPr>
        <w:t xml:space="preserve"> </w:t>
      </w:r>
      <w:r w:rsidR="008F0F7F">
        <w:rPr>
          <w:bCs/>
          <w:sz w:val="22"/>
          <w:szCs w:val="20"/>
        </w:rPr>
        <w:t>o</w:t>
      </w:r>
      <w:r w:rsidR="00905926">
        <w:rPr>
          <w:bCs/>
          <w:sz w:val="22"/>
          <w:szCs w:val="20"/>
        </w:rPr>
        <w:t> </w:t>
      </w:r>
      <w:r w:rsidR="00905926" w:rsidRPr="0040738C">
        <w:rPr>
          <w:bCs/>
          <w:sz w:val="22"/>
          <w:szCs w:val="20"/>
        </w:rPr>
        <w:t>30</w:t>
      </w:r>
      <w:r w:rsidR="00905926">
        <w:rPr>
          <w:bCs/>
          <w:sz w:val="22"/>
          <w:szCs w:val="20"/>
        </w:rPr>
        <w:t> </w:t>
      </w:r>
      <w:r w:rsidRPr="0040738C">
        <w:rPr>
          <w:bCs/>
          <w:sz w:val="22"/>
          <w:szCs w:val="20"/>
        </w:rPr>
        <w:t xml:space="preserve">minút a priemerný </w:t>
      </w:r>
      <w:r w:rsidR="00CD70B0">
        <w:rPr>
          <w:bCs/>
          <w:sz w:val="22"/>
          <w:szCs w:val="20"/>
        </w:rPr>
        <w:t xml:space="preserve">plazmatický </w:t>
      </w:r>
      <w:proofErr w:type="spellStart"/>
      <w:r w:rsidRPr="0040738C">
        <w:rPr>
          <w:bCs/>
          <w:sz w:val="22"/>
          <w:szCs w:val="20"/>
        </w:rPr>
        <w:t>klírens</w:t>
      </w:r>
      <w:proofErr w:type="spellEnd"/>
      <w:r w:rsidRPr="0040738C">
        <w:rPr>
          <w:bCs/>
          <w:sz w:val="22"/>
          <w:szCs w:val="20"/>
        </w:rPr>
        <w:t xml:space="preserve"> zníž</w:t>
      </w:r>
      <w:r w:rsidR="00654B65">
        <w:rPr>
          <w:bCs/>
          <w:sz w:val="22"/>
          <w:szCs w:val="20"/>
        </w:rPr>
        <w:t>ený</w:t>
      </w:r>
      <w:r w:rsidRPr="0040738C">
        <w:rPr>
          <w:bCs/>
          <w:sz w:val="22"/>
          <w:szCs w:val="20"/>
        </w:rPr>
        <w:t xml:space="preserve"> </w:t>
      </w:r>
      <w:r w:rsidR="008F0F7F">
        <w:rPr>
          <w:bCs/>
          <w:sz w:val="22"/>
          <w:szCs w:val="20"/>
        </w:rPr>
        <w:t>o </w:t>
      </w:r>
      <w:r w:rsidRPr="0040738C">
        <w:rPr>
          <w:bCs/>
          <w:sz w:val="22"/>
          <w:szCs w:val="20"/>
        </w:rPr>
        <w:t>1</w:t>
      </w:r>
      <w:r w:rsidR="005A260F">
        <w:rPr>
          <w:bCs/>
          <w:sz w:val="22"/>
          <w:szCs w:val="20"/>
        </w:rPr>
        <w:t> </w:t>
      </w:r>
      <w:r w:rsidRPr="0040738C">
        <w:rPr>
          <w:bCs/>
          <w:sz w:val="22"/>
          <w:szCs w:val="20"/>
        </w:rPr>
        <w:t>ml/kg/min.</w:t>
      </w:r>
      <w:r w:rsidR="00CB4EFC">
        <w:rPr>
          <w:bCs/>
          <w:sz w:val="22"/>
          <w:szCs w:val="20"/>
        </w:rPr>
        <w:t xml:space="preserve"> (Pozri časť 4.2).</w:t>
      </w:r>
    </w:p>
    <w:p w14:paraId="5859B0E2" w14:textId="77777777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</w:p>
    <w:p w14:paraId="03E3B1E9" w14:textId="77777777" w:rsidR="00CB2A09" w:rsidRPr="0040738C" w:rsidRDefault="00CB2A09" w:rsidP="003E54A9">
      <w:pPr>
        <w:pStyle w:val="Zkladntext"/>
        <w:keepNext/>
        <w:jc w:val="left"/>
        <w:rPr>
          <w:bCs/>
          <w:sz w:val="22"/>
          <w:szCs w:val="20"/>
          <w:u w:val="single"/>
        </w:rPr>
      </w:pPr>
      <w:r>
        <w:rPr>
          <w:bCs/>
          <w:sz w:val="22"/>
          <w:szCs w:val="20"/>
          <w:u w:val="single"/>
        </w:rPr>
        <w:t>Jednotka intenzívnej starostlivosti</w:t>
      </w:r>
    </w:p>
    <w:p w14:paraId="512CE906" w14:textId="6CFADE0D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 xml:space="preserve">Ak sa podáva </w:t>
      </w:r>
      <w:r w:rsidR="00CD70B0">
        <w:rPr>
          <w:bCs/>
          <w:sz w:val="22"/>
          <w:szCs w:val="20"/>
        </w:rPr>
        <w:t xml:space="preserve">formou </w:t>
      </w:r>
      <w:r w:rsidRPr="0040738C">
        <w:rPr>
          <w:bCs/>
          <w:sz w:val="22"/>
          <w:szCs w:val="20"/>
        </w:rPr>
        <w:t>kontinuáln</w:t>
      </w:r>
      <w:r w:rsidR="00CD70B0">
        <w:rPr>
          <w:bCs/>
          <w:sz w:val="22"/>
          <w:szCs w:val="20"/>
        </w:rPr>
        <w:t xml:space="preserve">ej </w:t>
      </w:r>
      <w:r w:rsidRPr="0040738C">
        <w:rPr>
          <w:bCs/>
          <w:sz w:val="22"/>
          <w:szCs w:val="20"/>
        </w:rPr>
        <w:t>infúzi</w:t>
      </w:r>
      <w:r w:rsidR="00CD70B0">
        <w:rPr>
          <w:bCs/>
          <w:sz w:val="22"/>
          <w:szCs w:val="20"/>
        </w:rPr>
        <w:t>e</w:t>
      </w:r>
      <w:r w:rsidRPr="0040738C">
        <w:rPr>
          <w:bCs/>
          <w:sz w:val="22"/>
          <w:szCs w:val="20"/>
        </w:rPr>
        <w:t xml:space="preserve"> na uľahčenie mechanickej ventilácie </w:t>
      </w:r>
      <w:r w:rsidR="00CD70B0">
        <w:rPr>
          <w:bCs/>
          <w:sz w:val="22"/>
          <w:szCs w:val="20"/>
        </w:rPr>
        <w:t xml:space="preserve">počas </w:t>
      </w:r>
      <w:r w:rsidR="00654B65" w:rsidRPr="0040738C">
        <w:rPr>
          <w:bCs/>
          <w:sz w:val="22"/>
          <w:szCs w:val="20"/>
        </w:rPr>
        <w:t>20</w:t>
      </w:r>
      <w:r w:rsidR="00654B65">
        <w:rPr>
          <w:bCs/>
          <w:sz w:val="22"/>
          <w:szCs w:val="20"/>
        </w:rPr>
        <w:t> </w:t>
      </w:r>
      <w:r w:rsidRPr="0040738C">
        <w:rPr>
          <w:bCs/>
          <w:sz w:val="22"/>
          <w:szCs w:val="20"/>
        </w:rPr>
        <w:t>hodín a</w:t>
      </w:r>
      <w:r w:rsidR="00654B65">
        <w:rPr>
          <w:bCs/>
          <w:sz w:val="22"/>
          <w:szCs w:val="20"/>
        </w:rPr>
        <w:t>lebo</w:t>
      </w:r>
      <w:r w:rsidRPr="0040738C">
        <w:rPr>
          <w:bCs/>
          <w:sz w:val="22"/>
          <w:szCs w:val="20"/>
        </w:rPr>
        <w:t xml:space="preserve"> dlhšie, </w:t>
      </w:r>
      <w:r w:rsidR="00CD70B0">
        <w:rPr>
          <w:bCs/>
          <w:sz w:val="22"/>
          <w:szCs w:val="20"/>
        </w:rPr>
        <w:t>zvyšuje sa</w:t>
      </w:r>
      <w:r w:rsidRPr="0040738C">
        <w:rPr>
          <w:bCs/>
          <w:sz w:val="22"/>
          <w:szCs w:val="20"/>
        </w:rPr>
        <w:t xml:space="preserve"> priemerný polčas </w:t>
      </w:r>
      <w:r w:rsidR="00CD70B0">
        <w:rPr>
          <w:bCs/>
          <w:sz w:val="22"/>
          <w:szCs w:val="20"/>
        </w:rPr>
        <w:t xml:space="preserve">eliminácie </w:t>
      </w:r>
      <w:r w:rsidRPr="0040738C">
        <w:rPr>
          <w:bCs/>
          <w:sz w:val="22"/>
          <w:szCs w:val="20"/>
        </w:rPr>
        <w:t xml:space="preserve">a priemerný (zdanlivý) distribučný objem v rovnovážnom stave. V kontrolovaných klinických </w:t>
      </w:r>
      <w:r w:rsidR="001B3721">
        <w:rPr>
          <w:bCs/>
          <w:sz w:val="22"/>
          <w:szCs w:val="20"/>
        </w:rPr>
        <w:t>št</w:t>
      </w:r>
      <w:r w:rsidRPr="0040738C">
        <w:rPr>
          <w:bCs/>
          <w:sz w:val="22"/>
          <w:szCs w:val="20"/>
        </w:rPr>
        <w:t>ú</w:t>
      </w:r>
      <w:r w:rsidR="001B3721">
        <w:rPr>
          <w:bCs/>
          <w:sz w:val="22"/>
          <w:szCs w:val="20"/>
        </w:rPr>
        <w:t>d</w:t>
      </w:r>
      <w:r w:rsidRPr="0040738C">
        <w:rPr>
          <w:bCs/>
          <w:sz w:val="22"/>
          <w:szCs w:val="20"/>
        </w:rPr>
        <w:t>i</w:t>
      </w:r>
      <w:r w:rsidR="001B3721">
        <w:rPr>
          <w:bCs/>
          <w:sz w:val="22"/>
          <w:szCs w:val="20"/>
        </w:rPr>
        <w:t>á</w:t>
      </w:r>
      <w:r w:rsidRPr="0040738C">
        <w:rPr>
          <w:bCs/>
          <w:sz w:val="22"/>
          <w:szCs w:val="20"/>
        </w:rPr>
        <w:t>ch sa zistil veľký rozdiel medzi jednotlivými pacientmi súvisiaci s charakterom a rozsahom (</w:t>
      </w:r>
      <w:proofErr w:type="spellStart"/>
      <w:r w:rsidRPr="0040738C">
        <w:rPr>
          <w:bCs/>
          <w:sz w:val="22"/>
          <w:szCs w:val="20"/>
        </w:rPr>
        <w:t>multi</w:t>
      </w:r>
      <w:proofErr w:type="spellEnd"/>
      <w:r w:rsidRPr="0040738C">
        <w:rPr>
          <w:bCs/>
          <w:sz w:val="22"/>
          <w:szCs w:val="20"/>
        </w:rPr>
        <w:t xml:space="preserve">)orgánového zlyhania </w:t>
      </w:r>
      <w:r w:rsidRPr="00D5561F">
        <w:rPr>
          <w:bCs/>
          <w:sz w:val="22"/>
          <w:szCs w:val="20"/>
        </w:rPr>
        <w:t>a individuálnym</w:t>
      </w:r>
      <w:r w:rsidR="00333BA1" w:rsidRPr="00D5561F">
        <w:rPr>
          <w:bCs/>
          <w:sz w:val="22"/>
          <w:szCs w:val="20"/>
        </w:rPr>
        <w:t>i</w:t>
      </w:r>
      <w:r w:rsidRPr="00D5561F">
        <w:rPr>
          <w:bCs/>
          <w:sz w:val="22"/>
          <w:szCs w:val="20"/>
        </w:rPr>
        <w:t xml:space="preserve"> </w:t>
      </w:r>
      <w:r w:rsidR="00CD70B0" w:rsidRPr="00D5561F">
        <w:rPr>
          <w:bCs/>
          <w:sz w:val="22"/>
          <w:szCs w:val="20"/>
        </w:rPr>
        <w:t>charakteristikami</w:t>
      </w:r>
      <w:r w:rsidRPr="00D5561F">
        <w:rPr>
          <w:bCs/>
          <w:sz w:val="22"/>
          <w:szCs w:val="20"/>
        </w:rPr>
        <w:t xml:space="preserve"> pacienta. U pacientov s </w:t>
      </w:r>
      <w:proofErr w:type="spellStart"/>
      <w:r w:rsidRPr="00D5561F">
        <w:rPr>
          <w:bCs/>
          <w:sz w:val="22"/>
          <w:szCs w:val="20"/>
        </w:rPr>
        <w:t>multiorgánovým</w:t>
      </w:r>
      <w:proofErr w:type="spellEnd"/>
      <w:r w:rsidRPr="0040738C">
        <w:rPr>
          <w:bCs/>
          <w:sz w:val="22"/>
          <w:szCs w:val="20"/>
        </w:rPr>
        <w:t xml:space="preserve"> zlyhaním bol zistený priemerný (±</w:t>
      </w:r>
      <w:r w:rsidR="005A260F">
        <w:rPr>
          <w:bCs/>
          <w:sz w:val="22"/>
          <w:szCs w:val="20"/>
        </w:rPr>
        <w:t xml:space="preserve"> </w:t>
      </w:r>
      <w:r w:rsidR="00694795">
        <w:rPr>
          <w:bCs/>
          <w:sz w:val="22"/>
          <w:szCs w:val="20"/>
        </w:rPr>
        <w:t>SD</w:t>
      </w:r>
      <w:r w:rsidRPr="0040738C">
        <w:rPr>
          <w:bCs/>
          <w:sz w:val="22"/>
          <w:szCs w:val="20"/>
        </w:rPr>
        <w:t>) eliminačný polčas 21,5 (±</w:t>
      </w:r>
      <w:r w:rsidR="005A260F">
        <w:rPr>
          <w:bCs/>
          <w:sz w:val="22"/>
          <w:szCs w:val="20"/>
        </w:rPr>
        <w:t xml:space="preserve"> </w:t>
      </w:r>
      <w:r w:rsidRPr="0040738C">
        <w:rPr>
          <w:bCs/>
          <w:sz w:val="22"/>
          <w:szCs w:val="20"/>
        </w:rPr>
        <w:t>3,3) hodiny, (zdanlivý) distribučný objem v rovnovážnom stave 1,5 (±</w:t>
      </w:r>
      <w:r w:rsidR="005A260F">
        <w:rPr>
          <w:bCs/>
          <w:sz w:val="22"/>
          <w:szCs w:val="20"/>
        </w:rPr>
        <w:t xml:space="preserve"> </w:t>
      </w:r>
      <w:r w:rsidRPr="0040738C">
        <w:rPr>
          <w:bCs/>
          <w:sz w:val="22"/>
          <w:szCs w:val="20"/>
        </w:rPr>
        <w:t xml:space="preserve">0,8) l/kg a plazmatický </w:t>
      </w:r>
      <w:proofErr w:type="spellStart"/>
      <w:r w:rsidRPr="0040738C">
        <w:rPr>
          <w:bCs/>
          <w:sz w:val="22"/>
          <w:szCs w:val="20"/>
        </w:rPr>
        <w:t>klírens</w:t>
      </w:r>
      <w:proofErr w:type="spellEnd"/>
      <w:r w:rsidRPr="0040738C">
        <w:rPr>
          <w:bCs/>
          <w:sz w:val="22"/>
          <w:szCs w:val="20"/>
        </w:rPr>
        <w:t xml:space="preserve"> 2,1 (± 0,8) ml/kg/min.</w:t>
      </w:r>
    </w:p>
    <w:p w14:paraId="42F4598E" w14:textId="77777777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</w:p>
    <w:p w14:paraId="331C7647" w14:textId="4619EE26" w:rsidR="00CB2A09" w:rsidRPr="0040738C" w:rsidRDefault="00CB2A09" w:rsidP="00DD73F9">
      <w:pPr>
        <w:keepNext/>
        <w:ind w:left="567" w:hanging="567"/>
        <w:rPr>
          <w:b/>
          <w:sz w:val="22"/>
          <w:szCs w:val="20"/>
        </w:rPr>
      </w:pPr>
      <w:r w:rsidRPr="0040738C">
        <w:rPr>
          <w:b/>
          <w:sz w:val="22"/>
          <w:szCs w:val="20"/>
        </w:rPr>
        <w:t>5.3</w:t>
      </w:r>
      <w:r w:rsidRPr="0040738C">
        <w:rPr>
          <w:b/>
          <w:sz w:val="22"/>
          <w:szCs w:val="20"/>
        </w:rPr>
        <w:tab/>
        <w:t>Predklinické údaje o bezpečnosti</w:t>
      </w:r>
    </w:p>
    <w:p w14:paraId="65F24587" w14:textId="77777777" w:rsidR="00CB2A09" w:rsidRPr="0040738C" w:rsidRDefault="00CB2A09" w:rsidP="00DD73F9">
      <w:pPr>
        <w:keepNext/>
        <w:ind w:left="360" w:hanging="360"/>
        <w:rPr>
          <w:bCs/>
          <w:sz w:val="22"/>
          <w:szCs w:val="20"/>
        </w:rPr>
      </w:pPr>
    </w:p>
    <w:p w14:paraId="1A622DAD" w14:textId="4901BE4B" w:rsidR="00CB2A09" w:rsidRPr="0040738C" w:rsidRDefault="00F65819" w:rsidP="00CD70B0">
      <w:pPr>
        <w:pStyle w:val="Zkladntext"/>
        <w:jc w:val="left"/>
        <w:rPr>
          <w:noProof/>
          <w:sz w:val="22"/>
          <w:szCs w:val="22"/>
        </w:rPr>
      </w:pPr>
      <w:r>
        <w:rPr>
          <w:noProof/>
          <w:sz w:val="22"/>
          <w:szCs w:val="22"/>
        </w:rPr>
        <w:t>Účinky v</w:t>
      </w:r>
      <w:r w:rsidR="00CB2A09" w:rsidRPr="0040738C">
        <w:rPr>
          <w:noProof/>
          <w:sz w:val="22"/>
          <w:szCs w:val="22"/>
        </w:rPr>
        <w:t xml:space="preserve"> predklinických štúdiách sa pozorovali iba pri expozíciách považovaných za dostatočne </w:t>
      </w:r>
      <w:r>
        <w:rPr>
          <w:noProof/>
          <w:sz w:val="22"/>
          <w:szCs w:val="22"/>
        </w:rPr>
        <w:t>vyššie, ako je</w:t>
      </w:r>
      <w:r w:rsidR="00CB2A09" w:rsidRPr="0040738C">
        <w:rPr>
          <w:noProof/>
          <w:sz w:val="22"/>
          <w:szCs w:val="22"/>
        </w:rPr>
        <w:t xml:space="preserve"> maximáln</w:t>
      </w:r>
      <w:r>
        <w:rPr>
          <w:noProof/>
          <w:sz w:val="22"/>
          <w:szCs w:val="22"/>
        </w:rPr>
        <w:t>a</w:t>
      </w:r>
      <w:r w:rsidR="00CB2A09" w:rsidRPr="0040738C">
        <w:rPr>
          <w:noProof/>
          <w:sz w:val="22"/>
          <w:szCs w:val="22"/>
        </w:rPr>
        <w:t xml:space="preserve"> expozíci</w:t>
      </w:r>
      <w:r>
        <w:rPr>
          <w:noProof/>
          <w:sz w:val="22"/>
          <w:szCs w:val="22"/>
        </w:rPr>
        <w:t>a</w:t>
      </w:r>
      <w:r w:rsidR="00CB2A09" w:rsidRPr="0040738C">
        <w:rPr>
          <w:noProof/>
          <w:sz w:val="22"/>
          <w:szCs w:val="22"/>
        </w:rPr>
        <w:t xml:space="preserve"> u ľudí, čo poukazuje na malý význam </w:t>
      </w:r>
      <w:r>
        <w:rPr>
          <w:noProof/>
          <w:sz w:val="22"/>
          <w:szCs w:val="22"/>
        </w:rPr>
        <w:t xml:space="preserve">týchto zistení </w:t>
      </w:r>
      <w:r w:rsidR="00CB2A09" w:rsidRPr="0040738C">
        <w:rPr>
          <w:noProof/>
          <w:sz w:val="22"/>
          <w:szCs w:val="22"/>
        </w:rPr>
        <w:t>pre klinické použitie.</w:t>
      </w:r>
    </w:p>
    <w:p w14:paraId="437F1353" w14:textId="77777777" w:rsidR="00CB2A09" w:rsidRPr="0040738C" w:rsidRDefault="00CB2A09" w:rsidP="00CD70B0">
      <w:pPr>
        <w:pStyle w:val="Zkladntext"/>
        <w:jc w:val="left"/>
        <w:rPr>
          <w:noProof/>
          <w:sz w:val="22"/>
          <w:szCs w:val="22"/>
        </w:rPr>
      </w:pPr>
    </w:p>
    <w:p w14:paraId="7D1529F2" w14:textId="03AE8FDB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  <w:r w:rsidRPr="0040738C">
        <w:rPr>
          <w:sz w:val="22"/>
        </w:rPr>
        <w:t>Ne</w:t>
      </w:r>
      <w:r w:rsidR="00CD70B0">
        <w:rPr>
          <w:sz w:val="22"/>
        </w:rPr>
        <w:t>existuje</w:t>
      </w:r>
      <w:r w:rsidRPr="0040738C">
        <w:rPr>
          <w:sz w:val="22"/>
        </w:rPr>
        <w:t xml:space="preserve"> zodpovedajúci </w:t>
      </w:r>
      <w:r w:rsidR="00CD70B0">
        <w:rPr>
          <w:sz w:val="22"/>
        </w:rPr>
        <w:t>zvierací m</w:t>
      </w:r>
      <w:r w:rsidRPr="0040738C">
        <w:rPr>
          <w:sz w:val="22"/>
        </w:rPr>
        <w:t xml:space="preserve">odel, ktorý by napodobnil obvykle veľmi komplexnú klinickú situáciu u pacienta na JIS. Preto </w:t>
      </w:r>
      <w:r w:rsidR="00CD70B0">
        <w:rPr>
          <w:sz w:val="22"/>
        </w:rPr>
        <w:t xml:space="preserve">sa pri </w:t>
      </w:r>
      <w:r w:rsidRPr="0040738C">
        <w:rPr>
          <w:sz w:val="22"/>
        </w:rPr>
        <w:t>bezpečnos</w:t>
      </w:r>
      <w:r w:rsidR="00CD70B0">
        <w:rPr>
          <w:sz w:val="22"/>
        </w:rPr>
        <w:t>ti</w:t>
      </w:r>
      <w:r w:rsidRPr="0040738C">
        <w:rPr>
          <w:sz w:val="22"/>
        </w:rPr>
        <w:t xml:space="preserve"> </w:t>
      </w:r>
      <w:proofErr w:type="spellStart"/>
      <w:r w:rsidRPr="0040738C">
        <w:rPr>
          <w:sz w:val="22"/>
        </w:rPr>
        <w:t>Esmeron</w:t>
      </w:r>
      <w:r w:rsidR="00CD70B0">
        <w:rPr>
          <w:sz w:val="22"/>
        </w:rPr>
        <w:t>u</w:t>
      </w:r>
      <w:proofErr w:type="spellEnd"/>
      <w:r w:rsidRPr="0040738C">
        <w:rPr>
          <w:sz w:val="22"/>
        </w:rPr>
        <w:t xml:space="preserve"> pri použití na uľahčenie umelej pľúcnej ventilácie na jednotke intenzívnej starostlivosti </w:t>
      </w:r>
      <w:r w:rsidR="00CD70B0">
        <w:rPr>
          <w:sz w:val="22"/>
        </w:rPr>
        <w:t>vychádza</w:t>
      </w:r>
      <w:r w:rsidRPr="0040738C">
        <w:rPr>
          <w:sz w:val="22"/>
        </w:rPr>
        <w:t xml:space="preserve"> prevažne </w:t>
      </w:r>
      <w:r w:rsidR="00CD70B0">
        <w:rPr>
          <w:sz w:val="22"/>
        </w:rPr>
        <w:t>z</w:t>
      </w:r>
      <w:r w:rsidR="00EC3B15">
        <w:rPr>
          <w:sz w:val="22"/>
        </w:rPr>
        <w:t> </w:t>
      </w:r>
      <w:r w:rsidRPr="0040738C">
        <w:rPr>
          <w:sz w:val="22"/>
        </w:rPr>
        <w:t>výsledko</w:t>
      </w:r>
      <w:r w:rsidR="006855A1">
        <w:rPr>
          <w:sz w:val="22"/>
        </w:rPr>
        <w:t>v</w:t>
      </w:r>
      <w:r w:rsidRPr="0040738C">
        <w:rPr>
          <w:sz w:val="22"/>
        </w:rPr>
        <w:t xml:space="preserve"> klinických </w:t>
      </w:r>
      <w:r w:rsidR="001B3721">
        <w:rPr>
          <w:sz w:val="22"/>
        </w:rPr>
        <w:t>št</w:t>
      </w:r>
      <w:r w:rsidR="00CD70B0">
        <w:rPr>
          <w:sz w:val="22"/>
        </w:rPr>
        <w:t>ú</w:t>
      </w:r>
      <w:r w:rsidR="001B3721">
        <w:rPr>
          <w:sz w:val="22"/>
        </w:rPr>
        <w:t>di</w:t>
      </w:r>
      <w:r w:rsidR="00CD70B0">
        <w:rPr>
          <w:sz w:val="22"/>
        </w:rPr>
        <w:t>í</w:t>
      </w:r>
      <w:r w:rsidRPr="0040738C">
        <w:rPr>
          <w:sz w:val="22"/>
        </w:rPr>
        <w:t>.</w:t>
      </w:r>
    </w:p>
    <w:p w14:paraId="2FF71E1A" w14:textId="77777777" w:rsidR="00CB2A09" w:rsidRDefault="00CB2A09" w:rsidP="00CD70B0">
      <w:pPr>
        <w:pStyle w:val="Zkladntext"/>
        <w:jc w:val="left"/>
        <w:rPr>
          <w:bCs/>
          <w:sz w:val="22"/>
          <w:szCs w:val="20"/>
        </w:rPr>
      </w:pPr>
    </w:p>
    <w:p w14:paraId="364AA895" w14:textId="77777777" w:rsidR="00CD70B0" w:rsidRPr="0040738C" w:rsidRDefault="00CD70B0" w:rsidP="00CD70B0">
      <w:pPr>
        <w:pStyle w:val="Zkladntext"/>
        <w:jc w:val="left"/>
        <w:rPr>
          <w:bCs/>
          <w:sz w:val="22"/>
          <w:szCs w:val="20"/>
        </w:rPr>
      </w:pPr>
    </w:p>
    <w:p w14:paraId="69322D80" w14:textId="77777777" w:rsidR="00CB2A09" w:rsidRPr="0040738C" w:rsidRDefault="00CB2A09" w:rsidP="00DD73F9">
      <w:pPr>
        <w:keepNext/>
        <w:rPr>
          <w:b/>
          <w:noProof/>
          <w:sz w:val="22"/>
          <w:szCs w:val="22"/>
        </w:rPr>
      </w:pPr>
      <w:r w:rsidRPr="0040738C">
        <w:rPr>
          <w:b/>
          <w:noProof/>
          <w:sz w:val="22"/>
          <w:szCs w:val="22"/>
        </w:rPr>
        <w:t>6.</w:t>
      </w:r>
      <w:r w:rsidRPr="0040738C">
        <w:rPr>
          <w:b/>
          <w:noProof/>
          <w:sz w:val="22"/>
          <w:szCs w:val="22"/>
        </w:rPr>
        <w:tab/>
        <w:t>FARMACEUTICKÉ INFORMÁCIE</w:t>
      </w:r>
    </w:p>
    <w:p w14:paraId="45086B61" w14:textId="77777777" w:rsidR="00CB2A09" w:rsidRPr="0040738C" w:rsidRDefault="00CB2A09" w:rsidP="00DD73F9">
      <w:pPr>
        <w:keepNext/>
        <w:rPr>
          <w:noProof/>
          <w:sz w:val="22"/>
          <w:szCs w:val="22"/>
        </w:rPr>
      </w:pPr>
    </w:p>
    <w:p w14:paraId="6F0C46F2" w14:textId="5AD175A3" w:rsidR="00CB2A09" w:rsidRPr="0040738C" w:rsidRDefault="00CB2A09" w:rsidP="00DD73F9">
      <w:pPr>
        <w:keepNext/>
        <w:ind w:left="709" w:hanging="709"/>
        <w:rPr>
          <w:b/>
          <w:sz w:val="22"/>
          <w:szCs w:val="20"/>
        </w:rPr>
      </w:pPr>
      <w:r w:rsidRPr="0040738C">
        <w:rPr>
          <w:b/>
          <w:noProof/>
          <w:sz w:val="22"/>
          <w:szCs w:val="22"/>
        </w:rPr>
        <w:t>6.1</w:t>
      </w:r>
      <w:r w:rsidRPr="0040738C">
        <w:rPr>
          <w:b/>
          <w:noProof/>
          <w:sz w:val="22"/>
          <w:szCs w:val="22"/>
        </w:rPr>
        <w:tab/>
        <w:t>Zoznam pomocných látok</w:t>
      </w:r>
    </w:p>
    <w:p w14:paraId="450AA288" w14:textId="77777777" w:rsidR="00CB2A09" w:rsidRPr="0040738C" w:rsidRDefault="00CB2A09" w:rsidP="00DD73F9">
      <w:pPr>
        <w:keepNext/>
        <w:ind w:left="360" w:hanging="360"/>
        <w:rPr>
          <w:bCs/>
          <w:sz w:val="22"/>
          <w:szCs w:val="20"/>
        </w:rPr>
      </w:pPr>
    </w:p>
    <w:p w14:paraId="51E9630A" w14:textId="3CD43471" w:rsidR="00CB2A09" w:rsidRPr="0040738C" w:rsidRDefault="005A260F" w:rsidP="00DD73F9">
      <w:pPr>
        <w:keepNext/>
        <w:rPr>
          <w:bCs/>
          <w:sz w:val="22"/>
          <w:szCs w:val="20"/>
        </w:rPr>
      </w:pPr>
      <w:proofErr w:type="spellStart"/>
      <w:r>
        <w:rPr>
          <w:bCs/>
          <w:sz w:val="22"/>
          <w:szCs w:val="20"/>
        </w:rPr>
        <w:t>n</w:t>
      </w:r>
      <w:r w:rsidRPr="005A260F">
        <w:rPr>
          <w:bCs/>
          <w:sz w:val="22"/>
          <w:szCs w:val="20"/>
        </w:rPr>
        <w:t>átriumacetát</w:t>
      </w:r>
      <w:proofErr w:type="spellEnd"/>
      <w:r w:rsidR="00CB2A09" w:rsidRPr="0040738C">
        <w:rPr>
          <w:bCs/>
          <w:sz w:val="22"/>
          <w:szCs w:val="20"/>
        </w:rPr>
        <w:t xml:space="preserve"> (na úpravu pH)</w:t>
      </w:r>
    </w:p>
    <w:p w14:paraId="018965E8" w14:textId="77777777" w:rsidR="00CB2A09" w:rsidRPr="0040738C" w:rsidRDefault="00CB2A09" w:rsidP="00DD73F9">
      <w:pPr>
        <w:tabs>
          <w:tab w:val="left" w:pos="567"/>
        </w:tabs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 xml:space="preserve">chlorid sodný </w:t>
      </w:r>
    </w:p>
    <w:p w14:paraId="0F171EA5" w14:textId="77777777" w:rsidR="00CB2A09" w:rsidRPr="0040738C" w:rsidRDefault="00CB2A09" w:rsidP="00DD73F9">
      <w:pPr>
        <w:tabs>
          <w:tab w:val="left" w:pos="567"/>
        </w:tabs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>kyselina octová (na úpravu pH)</w:t>
      </w:r>
    </w:p>
    <w:p w14:paraId="04FF5D9D" w14:textId="3AEDD7EC" w:rsidR="00CB2A09" w:rsidRPr="0040738C" w:rsidRDefault="00CB2A09" w:rsidP="00DD73F9">
      <w:pPr>
        <w:tabs>
          <w:tab w:val="left" w:pos="567"/>
        </w:tabs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>voda</w:t>
      </w:r>
      <w:r w:rsidR="00694795">
        <w:rPr>
          <w:bCs/>
          <w:sz w:val="22"/>
          <w:szCs w:val="20"/>
        </w:rPr>
        <w:t xml:space="preserve"> na injekciu</w:t>
      </w:r>
    </w:p>
    <w:p w14:paraId="53B6FB75" w14:textId="77777777" w:rsidR="00CB2A09" w:rsidRPr="0040738C" w:rsidRDefault="00CB2A09" w:rsidP="00CD70B0">
      <w:pPr>
        <w:ind w:left="360" w:hanging="360"/>
        <w:rPr>
          <w:b/>
          <w:sz w:val="22"/>
          <w:szCs w:val="20"/>
        </w:rPr>
      </w:pPr>
    </w:p>
    <w:p w14:paraId="2DD9882A" w14:textId="77777777" w:rsidR="00CB2A09" w:rsidRPr="0040738C" w:rsidRDefault="00CB2A09" w:rsidP="00CD70B0">
      <w:pPr>
        <w:ind w:left="360" w:hanging="360"/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>Neboli pridané žiadne konzervačné látky.</w:t>
      </w:r>
    </w:p>
    <w:p w14:paraId="0D498E86" w14:textId="77777777" w:rsidR="00CB2A09" w:rsidRPr="0040738C" w:rsidRDefault="00CB2A09" w:rsidP="00CD70B0">
      <w:pPr>
        <w:ind w:left="360" w:hanging="360"/>
        <w:rPr>
          <w:bCs/>
          <w:sz w:val="22"/>
          <w:szCs w:val="20"/>
        </w:rPr>
      </w:pPr>
    </w:p>
    <w:p w14:paraId="59ED674C" w14:textId="33EC954A" w:rsidR="00CB2A09" w:rsidRPr="0040738C" w:rsidRDefault="00CB2A09" w:rsidP="00DD73F9">
      <w:pPr>
        <w:keepNext/>
        <w:ind w:left="709" w:hanging="709"/>
        <w:rPr>
          <w:b/>
          <w:sz w:val="22"/>
          <w:szCs w:val="20"/>
        </w:rPr>
      </w:pPr>
      <w:r w:rsidRPr="0040738C">
        <w:rPr>
          <w:b/>
          <w:sz w:val="22"/>
          <w:szCs w:val="20"/>
        </w:rPr>
        <w:t>6.2</w:t>
      </w:r>
      <w:r w:rsidRPr="0040738C">
        <w:rPr>
          <w:b/>
          <w:sz w:val="22"/>
          <w:szCs w:val="20"/>
        </w:rPr>
        <w:tab/>
        <w:t>Inkompatibility</w:t>
      </w:r>
    </w:p>
    <w:p w14:paraId="03A0A66E" w14:textId="77777777" w:rsidR="00CB2A09" w:rsidRPr="0040738C" w:rsidRDefault="00CB2A09" w:rsidP="00DD73F9">
      <w:pPr>
        <w:keepNext/>
        <w:ind w:left="360" w:hanging="360"/>
        <w:rPr>
          <w:bCs/>
          <w:sz w:val="22"/>
          <w:szCs w:val="20"/>
        </w:rPr>
      </w:pPr>
    </w:p>
    <w:p w14:paraId="451D78F1" w14:textId="4B4D27C9" w:rsidR="00CB2A09" w:rsidRPr="0040738C" w:rsidRDefault="00CB2A09" w:rsidP="00DD73F9">
      <w:pPr>
        <w:pStyle w:val="Zkladntext"/>
        <w:jc w:val="left"/>
        <w:rPr>
          <w:sz w:val="22"/>
        </w:rPr>
      </w:pPr>
      <w:r w:rsidRPr="0040738C">
        <w:rPr>
          <w:sz w:val="22"/>
        </w:rPr>
        <w:t xml:space="preserve">Fyzikálna inkompatibilita </w:t>
      </w:r>
      <w:proofErr w:type="spellStart"/>
      <w:r w:rsidRPr="0040738C">
        <w:rPr>
          <w:sz w:val="22"/>
        </w:rPr>
        <w:t>Esmeronu</w:t>
      </w:r>
      <w:proofErr w:type="spellEnd"/>
      <w:r w:rsidRPr="0040738C">
        <w:rPr>
          <w:sz w:val="22"/>
        </w:rPr>
        <w:t xml:space="preserve"> sa preukázala po jeho pridaní do roztokov obsahujúcich nasledovné liečivá: </w:t>
      </w:r>
      <w:proofErr w:type="spellStart"/>
      <w:r w:rsidRPr="0040738C">
        <w:rPr>
          <w:sz w:val="22"/>
        </w:rPr>
        <w:t>amfotericín</w:t>
      </w:r>
      <w:proofErr w:type="spellEnd"/>
      <w:r w:rsidRPr="0040738C">
        <w:rPr>
          <w:sz w:val="22"/>
        </w:rPr>
        <w:t xml:space="preserve">, </w:t>
      </w:r>
      <w:proofErr w:type="spellStart"/>
      <w:r w:rsidRPr="0040738C">
        <w:rPr>
          <w:sz w:val="22"/>
        </w:rPr>
        <w:t>amoxicilín</w:t>
      </w:r>
      <w:proofErr w:type="spellEnd"/>
      <w:r w:rsidRPr="0040738C">
        <w:rPr>
          <w:sz w:val="22"/>
        </w:rPr>
        <w:t xml:space="preserve">, </w:t>
      </w:r>
      <w:proofErr w:type="spellStart"/>
      <w:r w:rsidRPr="0040738C">
        <w:rPr>
          <w:sz w:val="22"/>
        </w:rPr>
        <w:t>azatioprin</w:t>
      </w:r>
      <w:proofErr w:type="spellEnd"/>
      <w:r w:rsidRPr="0040738C">
        <w:rPr>
          <w:sz w:val="22"/>
        </w:rPr>
        <w:t xml:space="preserve">, </w:t>
      </w:r>
      <w:proofErr w:type="spellStart"/>
      <w:r w:rsidRPr="0040738C">
        <w:rPr>
          <w:sz w:val="22"/>
        </w:rPr>
        <w:t>cefazolín</w:t>
      </w:r>
      <w:proofErr w:type="spellEnd"/>
      <w:r w:rsidRPr="0040738C">
        <w:rPr>
          <w:sz w:val="22"/>
        </w:rPr>
        <w:t xml:space="preserve">, </w:t>
      </w:r>
      <w:proofErr w:type="spellStart"/>
      <w:r w:rsidRPr="0040738C">
        <w:rPr>
          <w:sz w:val="22"/>
        </w:rPr>
        <w:t>kloxacilín</w:t>
      </w:r>
      <w:proofErr w:type="spellEnd"/>
      <w:r w:rsidRPr="0040738C">
        <w:rPr>
          <w:sz w:val="22"/>
        </w:rPr>
        <w:t xml:space="preserve">, </w:t>
      </w:r>
      <w:proofErr w:type="spellStart"/>
      <w:r w:rsidRPr="0040738C">
        <w:rPr>
          <w:sz w:val="22"/>
        </w:rPr>
        <w:t>dexametazón</w:t>
      </w:r>
      <w:proofErr w:type="spellEnd"/>
      <w:r w:rsidRPr="0040738C">
        <w:rPr>
          <w:sz w:val="22"/>
        </w:rPr>
        <w:t xml:space="preserve">, </w:t>
      </w:r>
      <w:proofErr w:type="spellStart"/>
      <w:r w:rsidRPr="0040738C">
        <w:rPr>
          <w:sz w:val="22"/>
        </w:rPr>
        <w:t>diazepam</w:t>
      </w:r>
      <w:proofErr w:type="spellEnd"/>
      <w:r w:rsidRPr="0040738C">
        <w:rPr>
          <w:sz w:val="22"/>
        </w:rPr>
        <w:t xml:space="preserve">, </w:t>
      </w:r>
      <w:proofErr w:type="spellStart"/>
      <w:r w:rsidRPr="0040738C">
        <w:rPr>
          <w:sz w:val="22"/>
        </w:rPr>
        <w:t>enoximón</w:t>
      </w:r>
      <w:proofErr w:type="spellEnd"/>
      <w:r w:rsidRPr="0040738C">
        <w:rPr>
          <w:sz w:val="22"/>
        </w:rPr>
        <w:t xml:space="preserve">, </w:t>
      </w:r>
      <w:proofErr w:type="spellStart"/>
      <w:r w:rsidRPr="0040738C">
        <w:rPr>
          <w:sz w:val="22"/>
        </w:rPr>
        <w:t>erytromycín</w:t>
      </w:r>
      <w:proofErr w:type="spellEnd"/>
      <w:r w:rsidRPr="0040738C">
        <w:rPr>
          <w:sz w:val="22"/>
        </w:rPr>
        <w:t xml:space="preserve">, </w:t>
      </w:r>
      <w:proofErr w:type="spellStart"/>
      <w:r w:rsidRPr="0040738C">
        <w:rPr>
          <w:sz w:val="22"/>
        </w:rPr>
        <w:t>famotidín</w:t>
      </w:r>
      <w:proofErr w:type="spellEnd"/>
      <w:r w:rsidRPr="0040738C">
        <w:rPr>
          <w:sz w:val="22"/>
        </w:rPr>
        <w:t xml:space="preserve">, </w:t>
      </w:r>
      <w:proofErr w:type="spellStart"/>
      <w:r w:rsidRPr="0040738C">
        <w:rPr>
          <w:sz w:val="22"/>
        </w:rPr>
        <w:t>furosemid</w:t>
      </w:r>
      <w:proofErr w:type="spellEnd"/>
      <w:r w:rsidRPr="0040738C">
        <w:rPr>
          <w:sz w:val="22"/>
        </w:rPr>
        <w:t xml:space="preserve">, sodná soľ </w:t>
      </w:r>
      <w:proofErr w:type="spellStart"/>
      <w:r w:rsidRPr="0040738C">
        <w:rPr>
          <w:sz w:val="22"/>
        </w:rPr>
        <w:t>hydrokortizón</w:t>
      </w:r>
      <w:r w:rsidR="00C43958" w:rsidRPr="0040738C">
        <w:rPr>
          <w:sz w:val="22"/>
        </w:rPr>
        <w:t>sukcinátu</w:t>
      </w:r>
      <w:proofErr w:type="spellEnd"/>
      <w:r w:rsidRPr="0040738C">
        <w:rPr>
          <w:sz w:val="22"/>
        </w:rPr>
        <w:t xml:space="preserve">, inzulín, </w:t>
      </w:r>
      <w:proofErr w:type="spellStart"/>
      <w:r w:rsidRPr="0040738C">
        <w:rPr>
          <w:sz w:val="22"/>
        </w:rPr>
        <w:t>metohexit</w:t>
      </w:r>
      <w:r w:rsidR="00C43958">
        <w:rPr>
          <w:sz w:val="22"/>
        </w:rPr>
        <w:t>al</w:t>
      </w:r>
      <w:proofErr w:type="spellEnd"/>
      <w:r w:rsidRPr="0040738C">
        <w:rPr>
          <w:sz w:val="22"/>
        </w:rPr>
        <w:t xml:space="preserve">, </w:t>
      </w:r>
      <w:proofErr w:type="spellStart"/>
      <w:r w:rsidRPr="0040738C">
        <w:rPr>
          <w:sz w:val="22"/>
        </w:rPr>
        <w:t>metylprednizolón</w:t>
      </w:r>
      <w:proofErr w:type="spellEnd"/>
      <w:r w:rsidRPr="0040738C">
        <w:rPr>
          <w:sz w:val="22"/>
        </w:rPr>
        <w:t xml:space="preserve">, sodná soľ </w:t>
      </w:r>
      <w:proofErr w:type="spellStart"/>
      <w:r w:rsidRPr="0040738C">
        <w:rPr>
          <w:sz w:val="22"/>
        </w:rPr>
        <w:t>prednizolón</w:t>
      </w:r>
      <w:r w:rsidR="00C43958" w:rsidRPr="0040738C">
        <w:rPr>
          <w:sz w:val="22"/>
        </w:rPr>
        <w:t>sukcinátu</w:t>
      </w:r>
      <w:proofErr w:type="spellEnd"/>
      <w:r w:rsidRPr="0040738C">
        <w:rPr>
          <w:sz w:val="22"/>
        </w:rPr>
        <w:t xml:space="preserve">, </w:t>
      </w:r>
      <w:proofErr w:type="spellStart"/>
      <w:r w:rsidRPr="0040738C">
        <w:rPr>
          <w:sz w:val="22"/>
        </w:rPr>
        <w:t>tiopent</w:t>
      </w:r>
      <w:r w:rsidR="00C43958">
        <w:rPr>
          <w:sz w:val="22"/>
        </w:rPr>
        <w:t>al</w:t>
      </w:r>
      <w:proofErr w:type="spellEnd"/>
      <w:r w:rsidR="0049294C">
        <w:rPr>
          <w:sz w:val="22"/>
        </w:rPr>
        <w:t xml:space="preserve">, </w:t>
      </w:r>
      <w:proofErr w:type="spellStart"/>
      <w:r w:rsidR="0049294C">
        <w:rPr>
          <w:sz w:val="22"/>
        </w:rPr>
        <w:t>trimetoprim</w:t>
      </w:r>
      <w:proofErr w:type="spellEnd"/>
      <w:r w:rsidR="0049294C">
        <w:rPr>
          <w:sz w:val="22"/>
        </w:rPr>
        <w:t xml:space="preserve"> a </w:t>
      </w:r>
      <w:proofErr w:type="spellStart"/>
      <w:r w:rsidRPr="0040738C">
        <w:rPr>
          <w:sz w:val="22"/>
        </w:rPr>
        <w:t>vankomycín</w:t>
      </w:r>
      <w:proofErr w:type="spellEnd"/>
      <w:r w:rsidRPr="0040738C">
        <w:rPr>
          <w:sz w:val="22"/>
        </w:rPr>
        <w:t xml:space="preserve">. </w:t>
      </w:r>
      <w:proofErr w:type="spellStart"/>
      <w:r w:rsidRPr="0040738C">
        <w:rPr>
          <w:sz w:val="22"/>
        </w:rPr>
        <w:t>E</w:t>
      </w:r>
      <w:r w:rsidR="0049294C">
        <w:rPr>
          <w:sz w:val="22"/>
        </w:rPr>
        <w:t>smeron</w:t>
      </w:r>
      <w:proofErr w:type="spellEnd"/>
      <w:r w:rsidR="0049294C">
        <w:rPr>
          <w:sz w:val="22"/>
        </w:rPr>
        <w:t xml:space="preserve"> je tiež inkompatibilný s </w:t>
      </w:r>
      <w:proofErr w:type="spellStart"/>
      <w:r w:rsidRPr="0040738C">
        <w:rPr>
          <w:sz w:val="22"/>
        </w:rPr>
        <w:t>Intralipidom</w:t>
      </w:r>
      <w:proofErr w:type="spellEnd"/>
      <w:r w:rsidRPr="0040738C">
        <w:rPr>
          <w:sz w:val="22"/>
        </w:rPr>
        <w:t>.</w:t>
      </w:r>
    </w:p>
    <w:p w14:paraId="16B58B1F" w14:textId="77777777" w:rsidR="00CB2A09" w:rsidRPr="0040738C" w:rsidRDefault="00CB2A09" w:rsidP="00DD73F9">
      <w:pPr>
        <w:rPr>
          <w:sz w:val="22"/>
        </w:rPr>
      </w:pPr>
    </w:p>
    <w:p w14:paraId="4DA6E85F" w14:textId="1A54B9DC" w:rsidR="00CB2A09" w:rsidRPr="0040738C" w:rsidRDefault="00CB2A09" w:rsidP="00DD73F9">
      <w:pPr>
        <w:rPr>
          <w:sz w:val="22"/>
        </w:rPr>
      </w:pPr>
      <w:r w:rsidRPr="0040738C">
        <w:rPr>
          <w:noProof/>
          <w:sz w:val="22"/>
          <w:szCs w:val="22"/>
        </w:rPr>
        <w:t>Esmeron sa nesmie miešať s</w:t>
      </w:r>
      <w:r w:rsidR="00EC3B15">
        <w:rPr>
          <w:noProof/>
          <w:sz w:val="22"/>
          <w:szCs w:val="22"/>
        </w:rPr>
        <w:t> </w:t>
      </w:r>
      <w:r w:rsidRPr="0040738C">
        <w:rPr>
          <w:noProof/>
          <w:sz w:val="22"/>
          <w:szCs w:val="22"/>
        </w:rPr>
        <w:t>inými liekmi okrem tých, ktoré sú uvedené v časti 6.6.</w:t>
      </w:r>
    </w:p>
    <w:p w14:paraId="172D62A0" w14:textId="77777777" w:rsidR="00CB2A09" w:rsidRPr="0040738C" w:rsidRDefault="00CB2A09" w:rsidP="00CD70B0">
      <w:pPr>
        <w:rPr>
          <w:sz w:val="22"/>
        </w:rPr>
      </w:pPr>
    </w:p>
    <w:p w14:paraId="432D4CFF" w14:textId="4CAD8640" w:rsidR="00CB2A09" w:rsidRPr="0040738C" w:rsidRDefault="00CB2A09" w:rsidP="00CD70B0">
      <w:pPr>
        <w:rPr>
          <w:bCs/>
          <w:sz w:val="22"/>
          <w:szCs w:val="20"/>
        </w:rPr>
      </w:pPr>
      <w:r w:rsidRPr="0040738C">
        <w:rPr>
          <w:sz w:val="22"/>
        </w:rPr>
        <w:t xml:space="preserve">Pokiaľ sa </w:t>
      </w:r>
      <w:proofErr w:type="spellStart"/>
      <w:r w:rsidRPr="0040738C">
        <w:rPr>
          <w:sz w:val="22"/>
        </w:rPr>
        <w:t>Esmeron</w:t>
      </w:r>
      <w:proofErr w:type="spellEnd"/>
      <w:r w:rsidRPr="0040738C">
        <w:rPr>
          <w:sz w:val="22"/>
        </w:rPr>
        <w:t xml:space="preserve"> podáva tou istou </w:t>
      </w:r>
      <w:proofErr w:type="spellStart"/>
      <w:r w:rsidRPr="0040738C">
        <w:rPr>
          <w:sz w:val="22"/>
        </w:rPr>
        <w:t>infúznou</w:t>
      </w:r>
      <w:proofErr w:type="spellEnd"/>
      <w:r w:rsidRPr="0040738C">
        <w:rPr>
          <w:sz w:val="22"/>
        </w:rPr>
        <w:t xml:space="preserve"> súpravou, ktorou sa podávajú aj iné liečivá, je nevyhnutné, aby sa táto </w:t>
      </w:r>
      <w:proofErr w:type="spellStart"/>
      <w:r w:rsidRPr="0040738C">
        <w:rPr>
          <w:sz w:val="22"/>
        </w:rPr>
        <w:t>infúzna</w:t>
      </w:r>
      <w:proofErr w:type="spellEnd"/>
      <w:r w:rsidRPr="0040738C">
        <w:rPr>
          <w:sz w:val="22"/>
        </w:rPr>
        <w:t xml:space="preserve"> súprava dôkladne prepláchla (napr. 0,9</w:t>
      </w:r>
      <w:r w:rsidR="00CD70B0">
        <w:rPr>
          <w:sz w:val="22"/>
        </w:rPr>
        <w:t> </w:t>
      </w:r>
      <w:r w:rsidRPr="0040738C">
        <w:rPr>
          <w:sz w:val="22"/>
        </w:rPr>
        <w:t xml:space="preserve">% </w:t>
      </w:r>
      <w:r w:rsidR="00CD70B0">
        <w:rPr>
          <w:sz w:val="22"/>
        </w:rPr>
        <w:t xml:space="preserve">roztokom </w:t>
      </w:r>
      <w:proofErr w:type="spellStart"/>
      <w:r w:rsidRPr="0040738C">
        <w:rPr>
          <w:sz w:val="22"/>
        </w:rPr>
        <w:t>NaCl</w:t>
      </w:r>
      <w:proofErr w:type="spellEnd"/>
      <w:r w:rsidRPr="0040738C">
        <w:rPr>
          <w:sz w:val="22"/>
        </w:rPr>
        <w:t xml:space="preserve">) medzi podaním </w:t>
      </w:r>
      <w:proofErr w:type="spellStart"/>
      <w:r w:rsidRPr="0040738C">
        <w:rPr>
          <w:sz w:val="22"/>
        </w:rPr>
        <w:t>Esmeronu</w:t>
      </w:r>
      <w:proofErr w:type="spellEnd"/>
      <w:r w:rsidRPr="0040738C">
        <w:rPr>
          <w:sz w:val="22"/>
        </w:rPr>
        <w:t xml:space="preserve"> a takých liečiv, u ktorých sa dokázala inkompatibilita s </w:t>
      </w:r>
      <w:proofErr w:type="spellStart"/>
      <w:r w:rsidRPr="0040738C">
        <w:rPr>
          <w:sz w:val="22"/>
        </w:rPr>
        <w:t>Esmeronom</w:t>
      </w:r>
      <w:proofErr w:type="spellEnd"/>
      <w:r w:rsidRPr="0040738C">
        <w:rPr>
          <w:sz w:val="22"/>
        </w:rPr>
        <w:t xml:space="preserve"> alebo u ktorých sa nestanovovala kompatibilita s </w:t>
      </w:r>
      <w:proofErr w:type="spellStart"/>
      <w:r w:rsidRPr="0040738C">
        <w:rPr>
          <w:sz w:val="22"/>
        </w:rPr>
        <w:t>Esmeronom</w:t>
      </w:r>
      <w:proofErr w:type="spellEnd"/>
      <w:r w:rsidRPr="0040738C">
        <w:rPr>
          <w:sz w:val="22"/>
        </w:rPr>
        <w:t>.</w:t>
      </w:r>
    </w:p>
    <w:p w14:paraId="3BEFA74E" w14:textId="77777777" w:rsidR="00CB2A09" w:rsidRPr="0040738C" w:rsidRDefault="00CB2A09" w:rsidP="00CD70B0">
      <w:pPr>
        <w:ind w:left="360" w:hanging="360"/>
        <w:rPr>
          <w:bCs/>
          <w:sz w:val="22"/>
          <w:szCs w:val="20"/>
        </w:rPr>
      </w:pPr>
    </w:p>
    <w:p w14:paraId="73F23EEA" w14:textId="38041B6B" w:rsidR="00CB2A09" w:rsidRPr="0040738C" w:rsidRDefault="00CB2A09" w:rsidP="00DD73F9">
      <w:pPr>
        <w:pStyle w:val="Zkladntext"/>
        <w:keepNext/>
        <w:tabs>
          <w:tab w:val="left" w:pos="709"/>
        </w:tabs>
        <w:jc w:val="left"/>
        <w:rPr>
          <w:b/>
          <w:sz w:val="22"/>
          <w:szCs w:val="20"/>
        </w:rPr>
      </w:pPr>
      <w:r w:rsidRPr="0040738C">
        <w:rPr>
          <w:b/>
          <w:sz w:val="22"/>
          <w:szCs w:val="20"/>
        </w:rPr>
        <w:t>6.3</w:t>
      </w:r>
      <w:r w:rsidRPr="0040738C">
        <w:rPr>
          <w:b/>
          <w:sz w:val="22"/>
          <w:szCs w:val="20"/>
        </w:rPr>
        <w:tab/>
        <w:t>Čas použiteľnosti</w:t>
      </w:r>
    </w:p>
    <w:p w14:paraId="2F648035" w14:textId="77777777" w:rsidR="00CB2A09" w:rsidRPr="0040738C" w:rsidRDefault="00CB2A09" w:rsidP="00DD73F9">
      <w:pPr>
        <w:keepNext/>
        <w:ind w:left="360" w:hanging="360"/>
        <w:rPr>
          <w:bCs/>
          <w:sz w:val="22"/>
          <w:szCs w:val="20"/>
        </w:rPr>
      </w:pPr>
    </w:p>
    <w:p w14:paraId="3D974BFE" w14:textId="1114BDCC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  <w:proofErr w:type="spellStart"/>
      <w:r w:rsidRPr="0040738C">
        <w:rPr>
          <w:bCs/>
          <w:sz w:val="22"/>
          <w:szCs w:val="20"/>
        </w:rPr>
        <w:t>Esmeron</w:t>
      </w:r>
      <w:proofErr w:type="spellEnd"/>
      <w:r w:rsidRPr="0040738C">
        <w:rPr>
          <w:bCs/>
          <w:sz w:val="22"/>
          <w:szCs w:val="20"/>
        </w:rPr>
        <w:t xml:space="preserve"> má čas použiteľnosti 3 roky</w:t>
      </w:r>
      <w:r w:rsidR="00CD70B0">
        <w:rPr>
          <w:bCs/>
          <w:sz w:val="22"/>
          <w:szCs w:val="20"/>
        </w:rPr>
        <w:t xml:space="preserve">, ak </w:t>
      </w:r>
      <w:r w:rsidRPr="0040738C">
        <w:rPr>
          <w:bCs/>
          <w:sz w:val="22"/>
          <w:szCs w:val="20"/>
        </w:rPr>
        <w:t xml:space="preserve">sa </w:t>
      </w:r>
      <w:r w:rsidR="00CD70B0">
        <w:rPr>
          <w:bCs/>
          <w:sz w:val="22"/>
          <w:szCs w:val="20"/>
        </w:rPr>
        <w:t>uchováva</w:t>
      </w:r>
      <w:r w:rsidRPr="0040738C">
        <w:rPr>
          <w:bCs/>
          <w:sz w:val="22"/>
          <w:szCs w:val="20"/>
        </w:rPr>
        <w:t xml:space="preserve"> podľa predpísaných podmienok (pozri Špeciálne upozornenia na uchovávanie). Dátum uv</w:t>
      </w:r>
      <w:r w:rsidR="00CD70B0">
        <w:rPr>
          <w:bCs/>
          <w:sz w:val="22"/>
          <w:szCs w:val="20"/>
        </w:rPr>
        <w:t>edený</w:t>
      </w:r>
      <w:r w:rsidRPr="0040738C">
        <w:rPr>
          <w:bCs/>
          <w:sz w:val="22"/>
          <w:szCs w:val="20"/>
        </w:rPr>
        <w:t xml:space="preserve"> na škatuli a na </w:t>
      </w:r>
      <w:r w:rsidR="00CD70B0">
        <w:rPr>
          <w:bCs/>
          <w:sz w:val="22"/>
          <w:szCs w:val="20"/>
        </w:rPr>
        <w:t>štítku</w:t>
      </w:r>
      <w:r w:rsidRPr="0040738C">
        <w:rPr>
          <w:bCs/>
          <w:sz w:val="22"/>
          <w:szCs w:val="20"/>
        </w:rPr>
        <w:t xml:space="preserve"> injekčnej liekovky je </w:t>
      </w:r>
      <w:r w:rsidR="00CD70B0">
        <w:rPr>
          <w:bCs/>
          <w:sz w:val="22"/>
          <w:szCs w:val="20"/>
        </w:rPr>
        <w:t xml:space="preserve">dátum </w:t>
      </w:r>
      <w:r w:rsidRPr="0040738C">
        <w:rPr>
          <w:bCs/>
          <w:sz w:val="22"/>
          <w:szCs w:val="20"/>
        </w:rPr>
        <w:t xml:space="preserve">exspirácie; to je dátum, do ktorého </w:t>
      </w:r>
      <w:r w:rsidR="00CD70B0">
        <w:rPr>
          <w:bCs/>
          <w:sz w:val="22"/>
          <w:szCs w:val="20"/>
        </w:rPr>
        <w:t>je možné</w:t>
      </w:r>
      <w:r w:rsidRPr="0040738C">
        <w:rPr>
          <w:bCs/>
          <w:sz w:val="22"/>
          <w:szCs w:val="20"/>
        </w:rPr>
        <w:t xml:space="preserve"> </w:t>
      </w:r>
      <w:proofErr w:type="spellStart"/>
      <w:r w:rsidRPr="0040738C">
        <w:rPr>
          <w:bCs/>
          <w:sz w:val="22"/>
          <w:szCs w:val="20"/>
        </w:rPr>
        <w:t>Esmeron</w:t>
      </w:r>
      <w:proofErr w:type="spellEnd"/>
      <w:r w:rsidRPr="0040738C">
        <w:rPr>
          <w:bCs/>
          <w:sz w:val="22"/>
          <w:szCs w:val="20"/>
        </w:rPr>
        <w:t xml:space="preserve"> použ</w:t>
      </w:r>
      <w:r w:rsidR="00CD70B0">
        <w:rPr>
          <w:bCs/>
          <w:sz w:val="22"/>
          <w:szCs w:val="20"/>
        </w:rPr>
        <w:t>íva</w:t>
      </w:r>
      <w:r w:rsidRPr="0040738C">
        <w:rPr>
          <w:bCs/>
          <w:sz w:val="22"/>
          <w:szCs w:val="20"/>
        </w:rPr>
        <w:t xml:space="preserve">ť. Keďže </w:t>
      </w:r>
      <w:proofErr w:type="spellStart"/>
      <w:r w:rsidRPr="0040738C">
        <w:rPr>
          <w:bCs/>
          <w:sz w:val="22"/>
          <w:szCs w:val="20"/>
        </w:rPr>
        <w:t>Esmeron</w:t>
      </w:r>
      <w:proofErr w:type="spellEnd"/>
      <w:r w:rsidRPr="0040738C">
        <w:rPr>
          <w:bCs/>
          <w:sz w:val="22"/>
          <w:szCs w:val="20"/>
        </w:rPr>
        <w:t xml:space="preserve"> neobsahuje konzervačné látky, roztok sa po otvorení injekčnej liekovky musí použiť</w:t>
      </w:r>
      <w:r w:rsidR="001B0834">
        <w:rPr>
          <w:bCs/>
          <w:sz w:val="22"/>
          <w:szCs w:val="20"/>
        </w:rPr>
        <w:t xml:space="preserve"> okamžite</w:t>
      </w:r>
      <w:r w:rsidRPr="0040738C">
        <w:rPr>
          <w:bCs/>
          <w:sz w:val="22"/>
          <w:szCs w:val="20"/>
        </w:rPr>
        <w:t>.</w:t>
      </w:r>
    </w:p>
    <w:p w14:paraId="704B27D6" w14:textId="77777777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</w:p>
    <w:p w14:paraId="0E443169" w14:textId="07D6F8D2" w:rsidR="00CB2A09" w:rsidRPr="0040738C" w:rsidRDefault="00CB2A09" w:rsidP="00CD70B0">
      <w:pPr>
        <w:pStyle w:val="Zkladntext"/>
        <w:jc w:val="left"/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lastRenderedPageBreak/>
        <w:t xml:space="preserve">Po </w:t>
      </w:r>
      <w:r w:rsidR="00CD70B0">
        <w:rPr>
          <w:bCs/>
          <w:sz w:val="22"/>
          <w:szCs w:val="20"/>
        </w:rPr>
        <w:t>na</w:t>
      </w:r>
      <w:r w:rsidRPr="0040738C">
        <w:rPr>
          <w:bCs/>
          <w:sz w:val="22"/>
          <w:szCs w:val="20"/>
        </w:rPr>
        <w:t xml:space="preserve">riedení </w:t>
      </w:r>
      <w:proofErr w:type="spellStart"/>
      <w:r w:rsidRPr="0040738C">
        <w:rPr>
          <w:bCs/>
          <w:sz w:val="22"/>
          <w:szCs w:val="20"/>
        </w:rPr>
        <w:t>Esmeronu</w:t>
      </w:r>
      <w:proofErr w:type="spellEnd"/>
      <w:r w:rsidRPr="0040738C">
        <w:rPr>
          <w:bCs/>
          <w:sz w:val="22"/>
          <w:szCs w:val="20"/>
        </w:rPr>
        <w:t xml:space="preserve"> </w:t>
      </w:r>
      <w:proofErr w:type="spellStart"/>
      <w:r w:rsidRPr="0040738C">
        <w:rPr>
          <w:bCs/>
          <w:sz w:val="22"/>
          <w:szCs w:val="20"/>
        </w:rPr>
        <w:t>infúznymi</w:t>
      </w:r>
      <w:proofErr w:type="spellEnd"/>
      <w:r w:rsidRPr="0040738C">
        <w:rPr>
          <w:bCs/>
          <w:sz w:val="22"/>
          <w:szCs w:val="20"/>
        </w:rPr>
        <w:t xml:space="preserve"> roztokmi (pozri časť 6.6) </w:t>
      </w:r>
      <w:r w:rsidR="00CD70B0">
        <w:rPr>
          <w:bCs/>
          <w:sz w:val="22"/>
          <w:szCs w:val="20"/>
        </w:rPr>
        <w:t>bola</w:t>
      </w:r>
      <w:r w:rsidRPr="0040738C">
        <w:rPr>
          <w:bCs/>
          <w:sz w:val="22"/>
          <w:szCs w:val="20"/>
        </w:rPr>
        <w:t xml:space="preserve"> chemick</w:t>
      </w:r>
      <w:r w:rsidR="00CD70B0">
        <w:rPr>
          <w:bCs/>
          <w:sz w:val="22"/>
          <w:szCs w:val="20"/>
        </w:rPr>
        <w:t>á</w:t>
      </w:r>
      <w:r w:rsidRPr="0040738C">
        <w:rPr>
          <w:bCs/>
          <w:sz w:val="22"/>
          <w:szCs w:val="20"/>
        </w:rPr>
        <w:t xml:space="preserve"> </w:t>
      </w:r>
      <w:r w:rsidR="006F6D02">
        <w:rPr>
          <w:bCs/>
          <w:sz w:val="22"/>
          <w:szCs w:val="20"/>
        </w:rPr>
        <w:t>a </w:t>
      </w:r>
      <w:r w:rsidR="006F6D02" w:rsidRPr="0040738C">
        <w:rPr>
          <w:bCs/>
          <w:sz w:val="22"/>
          <w:szCs w:val="20"/>
        </w:rPr>
        <w:t>fyzikáln</w:t>
      </w:r>
      <w:r w:rsidR="006F6D02">
        <w:rPr>
          <w:bCs/>
          <w:sz w:val="22"/>
          <w:szCs w:val="20"/>
        </w:rPr>
        <w:t>a</w:t>
      </w:r>
      <w:r w:rsidR="006F6D02" w:rsidRPr="0040738C">
        <w:rPr>
          <w:bCs/>
          <w:sz w:val="22"/>
          <w:szCs w:val="20"/>
        </w:rPr>
        <w:t xml:space="preserve"> </w:t>
      </w:r>
      <w:r w:rsidRPr="0040738C">
        <w:rPr>
          <w:bCs/>
          <w:sz w:val="22"/>
          <w:szCs w:val="20"/>
        </w:rPr>
        <w:t>stabilit</w:t>
      </w:r>
      <w:r w:rsidR="00CD70B0">
        <w:rPr>
          <w:bCs/>
          <w:sz w:val="22"/>
          <w:szCs w:val="20"/>
        </w:rPr>
        <w:t>a</w:t>
      </w:r>
      <w:r w:rsidRPr="0040738C">
        <w:rPr>
          <w:bCs/>
          <w:sz w:val="22"/>
          <w:szCs w:val="20"/>
        </w:rPr>
        <w:t xml:space="preserve"> </w:t>
      </w:r>
      <w:r w:rsidR="00CD70B0">
        <w:rPr>
          <w:bCs/>
          <w:sz w:val="22"/>
          <w:szCs w:val="20"/>
        </w:rPr>
        <w:t xml:space="preserve">preukázaná počas </w:t>
      </w:r>
      <w:r w:rsidRPr="0040738C">
        <w:rPr>
          <w:bCs/>
          <w:sz w:val="22"/>
          <w:szCs w:val="20"/>
        </w:rPr>
        <w:t>72</w:t>
      </w:r>
      <w:r w:rsidR="001B0834">
        <w:rPr>
          <w:bCs/>
          <w:sz w:val="22"/>
          <w:szCs w:val="20"/>
        </w:rPr>
        <w:t> </w:t>
      </w:r>
      <w:r w:rsidRPr="0040738C">
        <w:rPr>
          <w:bCs/>
          <w:sz w:val="22"/>
          <w:szCs w:val="20"/>
        </w:rPr>
        <w:t>hodín pri teplote 30</w:t>
      </w:r>
      <w:r w:rsidR="00CD70B0">
        <w:rPr>
          <w:bCs/>
          <w:sz w:val="22"/>
          <w:szCs w:val="20"/>
        </w:rPr>
        <w:t> </w:t>
      </w:r>
      <w:r w:rsidRPr="0040738C">
        <w:rPr>
          <w:bCs/>
          <w:sz w:val="22"/>
          <w:szCs w:val="20"/>
        </w:rPr>
        <w:t xml:space="preserve">°C. Z mikrobiologického hľadiska </w:t>
      </w:r>
      <w:r w:rsidR="00CD70B0">
        <w:rPr>
          <w:bCs/>
          <w:sz w:val="22"/>
          <w:szCs w:val="20"/>
        </w:rPr>
        <w:t xml:space="preserve">sa má nariedený </w:t>
      </w:r>
      <w:r w:rsidRPr="0040738C">
        <w:rPr>
          <w:bCs/>
          <w:sz w:val="22"/>
          <w:szCs w:val="20"/>
        </w:rPr>
        <w:t>liek použi</w:t>
      </w:r>
      <w:r w:rsidR="00CD70B0">
        <w:rPr>
          <w:bCs/>
          <w:sz w:val="22"/>
          <w:szCs w:val="20"/>
        </w:rPr>
        <w:t>ť</w:t>
      </w:r>
      <w:r w:rsidRPr="0040738C">
        <w:rPr>
          <w:bCs/>
          <w:sz w:val="22"/>
          <w:szCs w:val="20"/>
        </w:rPr>
        <w:t xml:space="preserve"> okamžite. Ak sa nepoužije </w:t>
      </w:r>
      <w:r w:rsidR="00CD70B0">
        <w:rPr>
          <w:bCs/>
          <w:sz w:val="22"/>
          <w:szCs w:val="20"/>
        </w:rPr>
        <w:t>okamžite</w:t>
      </w:r>
      <w:r w:rsidRPr="0040738C">
        <w:rPr>
          <w:bCs/>
          <w:sz w:val="22"/>
          <w:szCs w:val="20"/>
        </w:rPr>
        <w:t xml:space="preserve">, </w:t>
      </w:r>
      <w:r w:rsidR="00CD70B0">
        <w:rPr>
          <w:bCs/>
          <w:sz w:val="22"/>
          <w:szCs w:val="20"/>
        </w:rPr>
        <w:t xml:space="preserve">za </w:t>
      </w:r>
      <w:r w:rsidRPr="0040738C">
        <w:rPr>
          <w:bCs/>
          <w:sz w:val="22"/>
          <w:szCs w:val="20"/>
        </w:rPr>
        <w:t xml:space="preserve">čas uchovávania po otvorení a podmienky pred použitím </w:t>
      </w:r>
      <w:r w:rsidR="00CD70B0">
        <w:rPr>
          <w:bCs/>
          <w:sz w:val="22"/>
          <w:szCs w:val="20"/>
        </w:rPr>
        <w:t>je</w:t>
      </w:r>
      <w:r w:rsidRPr="0040738C">
        <w:rPr>
          <w:bCs/>
          <w:sz w:val="22"/>
          <w:szCs w:val="20"/>
        </w:rPr>
        <w:t xml:space="preserve"> zodpovedn</w:t>
      </w:r>
      <w:r w:rsidR="00CD70B0">
        <w:rPr>
          <w:bCs/>
          <w:sz w:val="22"/>
          <w:szCs w:val="20"/>
        </w:rPr>
        <w:t>ý</w:t>
      </w:r>
      <w:r w:rsidRPr="0040738C">
        <w:rPr>
          <w:bCs/>
          <w:sz w:val="22"/>
          <w:szCs w:val="20"/>
        </w:rPr>
        <w:t xml:space="preserve"> používateľ</w:t>
      </w:r>
      <w:r w:rsidR="00CD70B0">
        <w:rPr>
          <w:bCs/>
          <w:sz w:val="22"/>
          <w:szCs w:val="20"/>
        </w:rPr>
        <w:t>/ten kto liek podáva</w:t>
      </w:r>
      <w:r w:rsidRPr="0040738C">
        <w:rPr>
          <w:bCs/>
          <w:sz w:val="22"/>
          <w:szCs w:val="20"/>
        </w:rPr>
        <w:t xml:space="preserve"> a</w:t>
      </w:r>
      <w:r w:rsidR="00CD70B0">
        <w:rPr>
          <w:bCs/>
          <w:sz w:val="22"/>
          <w:szCs w:val="20"/>
        </w:rPr>
        <w:t xml:space="preserve"> zvyčajne by </w:t>
      </w:r>
      <w:r w:rsidRPr="0040738C">
        <w:rPr>
          <w:bCs/>
          <w:sz w:val="22"/>
          <w:szCs w:val="20"/>
        </w:rPr>
        <w:t>nemal</w:t>
      </w:r>
      <w:r w:rsidR="00CD70B0">
        <w:rPr>
          <w:bCs/>
          <w:sz w:val="22"/>
          <w:szCs w:val="20"/>
        </w:rPr>
        <w:t xml:space="preserve"> </w:t>
      </w:r>
      <w:r w:rsidRPr="0040738C">
        <w:rPr>
          <w:bCs/>
          <w:sz w:val="22"/>
          <w:szCs w:val="20"/>
        </w:rPr>
        <w:t xml:space="preserve">byť dlhší ako </w:t>
      </w:r>
      <w:r w:rsidR="001B0834" w:rsidRPr="0040738C">
        <w:rPr>
          <w:bCs/>
          <w:sz w:val="22"/>
          <w:szCs w:val="20"/>
        </w:rPr>
        <w:t>24</w:t>
      </w:r>
      <w:r w:rsidR="001B0834">
        <w:rPr>
          <w:bCs/>
          <w:sz w:val="22"/>
          <w:szCs w:val="20"/>
        </w:rPr>
        <w:t> </w:t>
      </w:r>
      <w:r w:rsidRPr="0040738C">
        <w:rPr>
          <w:bCs/>
          <w:sz w:val="22"/>
          <w:szCs w:val="20"/>
        </w:rPr>
        <w:t>hodín pri teplote 2</w:t>
      </w:r>
      <w:r w:rsidR="00EC3B15">
        <w:rPr>
          <w:bCs/>
          <w:sz w:val="22"/>
          <w:szCs w:val="20"/>
        </w:rPr>
        <w:t> °-</w:t>
      </w:r>
      <w:r w:rsidRPr="0040738C">
        <w:rPr>
          <w:bCs/>
          <w:sz w:val="22"/>
          <w:szCs w:val="20"/>
        </w:rPr>
        <w:t xml:space="preserve"> 8</w:t>
      </w:r>
      <w:r w:rsidR="006F6D02">
        <w:rPr>
          <w:bCs/>
          <w:sz w:val="22"/>
          <w:szCs w:val="20"/>
        </w:rPr>
        <w:t> </w:t>
      </w:r>
      <w:r w:rsidRPr="0040738C">
        <w:rPr>
          <w:bCs/>
          <w:sz w:val="22"/>
          <w:szCs w:val="20"/>
        </w:rPr>
        <w:t xml:space="preserve">°C, pokiaľ </w:t>
      </w:r>
      <w:r w:rsidR="00CD70B0">
        <w:rPr>
          <w:bCs/>
          <w:sz w:val="22"/>
          <w:szCs w:val="20"/>
        </w:rPr>
        <w:t>na</w:t>
      </w:r>
      <w:r w:rsidRPr="0040738C">
        <w:rPr>
          <w:bCs/>
          <w:sz w:val="22"/>
          <w:szCs w:val="20"/>
        </w:rPr>
        <w:t xml:space="preserve">riedenie </w:t>
      </w:r>
      <w:r w:rsidR="00CD70B0">
        <w:rPr>
          <w:bCs/>
          <w:sz w:val="22"/>
          <w:szCs w:val="20"/>
        </w:rPr>
        <w:t>neprebehlo</w:t>
      </w:r>
      <w:r w:rsidRPr="0040738C">
        <w:rPr>
          <w:bCs/>
          <w:sz w:val="22"/>
          <w:szCs w:val="20"/>
        </w:rPr>
        <w:t xml:space="preserve"> za kontrolovaných a </w:t>
      </w:r>
      <w:r w:rsidR="00CD70B0">
        <w:rPr>
          <w:bCs/>
          <w:sz w:val="22"/>
          <w:szCs w:val="20"/>
        </w:rPr>
        <w:t>validovaných</w:t>
      </w:r>
      <w:r w:rsidRPr="0040738C">
        <w:rPr>
          <w:bCs/>
          <w:sz w:val="22"/>
          <w:szCs w:val="20"/>
        </w:rPr>
        <w:t xml:space="preserve"> aseptických podmienok.</w:t>
      </w:r>
    </w:p>
    <w:p w14:paraId="69283593" w14:textId="77777777" w:rsidR="00CB2A09" w:rsidRPr="0040738C" w:rsidRDefault="00CB2A09" w:rsidP="00CD70B0">
      <w:pPr>
        <w:ind w:left="360" w:hanging="360"/>
        <w:rPr>
          <w:b/>
          <w:sz w:val="22"/>
          <w:szCs w:val="20"/>
        </w:rPr>
      </w:pPr>
    </w:p>
    <w:p w14:paraId="469C3D97" w14:textId="5D1454C6" w:rsidR="00CB2A09" w:rsidRPr="0040738C" w:rsidRDefault="00CB2A09" w:rsidP="00DD73F9">
      <w:pPr>
        <w:keepNext/>
        <w:ind w:left="567" w:hanging="567"/>
        <w:rPr>
          <w:b/>
          <w:sz w:val="22"/>
          <w:szCs w:val="20"/>
        </w:rPr>
      </w:pPr>
      <w:r w:rsidRPr="0040738C">
        <w:rPr>
          <w:b/>
          <w:noProof/>
          <w:sz w:val="22"/>
          <w:szCs w:val="22"/>
        </w:rPr>
        <w:t>6.4</w:t>
      </w:r>
      <w:r w:rsidRPr="0040738C">
        <w:rPr>
          <w:b/>
          <w:noProof/>
          <w:sz w:val="22"/>
          <w:szCs w:val="22"/>
        </w:rPr>
        <w:tab/>
        <w:t>Špeciálne upozornenia na uchovávanie</w:t>
      </w:r>
    </w:p>
    <w:p w14:paraId="72F3A6FD" w14:textId="77777777" w:rsidR="00CB2A09" w:rsidRPr="0040738C" w:rsidRDefault="00CB2A09" w:rsidP="00DD73F9">
      <w:pPr>
        <w:keepNext/>
        <w:ind w:left="360" w:hanging="360"/>
        <w:rPr>
          <w:bCs/>
          <w:sz w:val="22"/>
          <w:szCs w:val="20"/>
        </w:rPr>
      </w:pPr>
    </w:p>
    <w:p w14:paraId="085A2FA6" w14:textId="60427679" w:rsidR="00CB2A09" w:rsidRPr="003C3608" w:rsidRDefault="00CB2A09" w:rsidP="00CD70B0">
      <w:pPr>
        <w:pStyle w:val="Zkladntext"/>
        <w:jc w:val="left"/>
        <w:rPr>
          <w:rFonts w:eastAsia="Times New Roman"/>
          <w:bCs/>
          <w:sz w:val="22"/>
          <w:szCs w:val="20"/>
          <w:lang w:eastAsia="en-US"/>
        </w:rPr>
      </w:pPr>
      <w:r w:rsidRPr="0040738C">
        <w:rPr>
          <w:bCs/>
          <w:sz w:val="22"/>
          <w:szCs w:val="20"/>
        </w:rPr>
        <w:t>Uchovávajte v chladničke pri teplote 2</w:t>
      </w:r>
      <w:r w:rsidR="00EC3B15">
        <w:rPr>
          <w:bCs/>
          <w:sz w:val="22"/>
          <w:szCs w:val="20"/>
        </w:rPr>
        <w:t> °C</w:t>
      </w:r>
      <w:r w:rsidR="00267257">
        <w:rPr>
          <w:bCs/>
          <w:sz w:val="22"/>
          <w:szCs w:val="20"/>
        </w:rPr>
        <w:t> </w:t>
      </w:r>
      <w:r w:rsidRPr="0040738C">
        <w:rPr>
          <w:bCs/>
          <w:sz w:val="22"/>
          <w:szCs w:val="20"/>
        </w:rPr>
        <w:t>–</w:t>
      </w:r>
      <w:r w:rsidR="00267257">
        <w:rPr>
          <w:bCs/>
          <w:sz w:val="22"/>
          <w:szCs w:val="20"/>
        </w:rPr>
        <w:t> </w:t>
      </w:r>
      <w:r w:rsidRPr="0040738C">
        <w:rPr>
          <w:bCs/>
          <w:sz w:val="22"/>
          <w:szCs w:val="20"/>
        </w:rPr>
        <w:t>8</w:t>
      </w:r>
      <w:r w:rsidR="00CD70B0">
        <w:rPr>
          <w:bCs/>
          <w:sz w:val="22"/>
          <w:szCs w:val="20"/>
        </w:rPr>
        <w:t> </w:t>
      </w:r>
      <w:r w:rsidRPr="0040738C">
        <w:rPr>
          <w:bCs/>
          <w:sz w:val="22"/>
          <w:szCs w:val="20"/>
        </w:rPr>
        <w:t xml:space="preserve">°C. </w:t>
      </w:r>
      <w:r w:rsidR="00CD70B0">
        <w:rPr>
          <w:bCs/>
          <w:sz w:val="22"/>
          <w:szCs w:val="20"/>
        </w:rPr>
        <w:t>Liek</w:t>
      </w:r>
      <w:r w:rsidRPr="0040738C">
        <w:rPr>
          <w:bCs/>
          <w:sz w:val="22"/>
          <w:szCs w:val="20"/>
        </w:rPr>
        <w:t xml:space="preserve"> sa môže uchovávať mimo chladničky pri teplote do 30</w:t>
      </w:r>
      <w:r w:rsidR="00CD70B0">
        <w:rPr>
          <w:bCs/>
          <w:sz w:val="22"/>
          <w:szCs w:val="20"/>
        </w:rPr>
        <w:t> </w:t>
      </w:r>
      <w:r w:rsidRPr="0040738C">
        <w:rPr>
          <w:bCs/>
          <w:sz w:val="22"/>
          <w:szCs w:val="20"/>
        </w:rPr>
        <w:t xml:space="preserve">°C </w:t>
      </w:r>
      <w:r w:rsidR="006F6800">
        <w:rPr>
          <w:bCs/>
          <w:sz w:val="22"/>
          <w:szCs w:val="20"/>
        </w:rPr>
        <w:t xml:space="preserve">počas </w:t>
      </w:r>
      <w:r w:rsidRPr="0040738C">
        <w:rPr>
          <w:bCs/>
          <w:sz w:val="22"/>
          <w:szCs w:val="20"/>
        </w:rPr>
        <w:t>maximálne 12 týždňov</w:t>
      </w:r>
      <w:r w:rsidR="006A12CA" w:rsidRPr="006A12CA">
        <w:rPr>
          <w:rFonts w:eastAsia="Times New Roman"/>
          <w:bCs/>
          <w:sz w:val="22"/>
          <w:szCs w:val="20"/>
          <w:lang w:eastAsia="en-US"/>
        </w:rPr>
        <w:t xml:space="preserve"> Ak sa liek uchovával mimo chladničky, nesmie sa uložiť späť do chladničky.</w:t>
      </w:r>
      <w:r w:rsidR="006A12CA">
        <w:rPr>
          <w:rFonts w:eastAsia="Times New Roman"/>
          <w:bCs/>
          <w:sz w:val="22"/>
          <w:szCs w:val="20"/>
          <w:lang w:eastAsia="en-US"/>
        </w:rPr>
        <w:t xml:space="preserve"> </w:t>
      </w:r>
      <w:r w:rsidR="00304A25">
        <w:rPr>
          <w:bCs/>
          <w:sz w:val="22"/>
          <w:szCs w:val="20"/>
        </w:rPr>
        <w:t>Čas uch</w:t>
      </w:r>
      <w:r w:rsidR="006F6800">
        <w:rPr>
          <w:bCs/>
          <w:sz w:val="22"/>
          <w:szCs w:val="20"/>
        </w:rPr>
        <w:t>ovávania</w:t>
      </w:r>
      <w:r w:rsidR="00304A25">
        <w:rPr>
          <w:bCs/>
          <w:sz w:val="22"/>
          <w:szCs w:val="20"/>
        </w:rPr>
        <w:t xml:space="preserve"> nesmie presiahnuť čas použiteľnosti.</w:t>
      </w:r>
    </w:p>
    <w:p w14:paraId="06E2B0D3" w14:textId="77777777" w:rsidR="00CB2A09" w:rsidRPr="0040738C" w:rsidRDefault="00CB2A09" w:rsidP="00CD70B0">
      <w:pPr>
        <w:rPr>
          <w:bCs/>
          <w:sz w:val="22"/>
          <w:szCs w:val="20"/>
        </w:rPr>
      </w:pPr>
    </w:p>
    <w:p w14:paraId="41A64700" w14:textId="70C7F55E" w:rsidR="00CB2A09" w:rsidRPr="0040738C" w:rsidRDefault="00CB2A09" w:rsidP="00DD73F9">
      <w:pPr>
        <w:keepNext/>
        <w:ind w:left="567" w:hanging="567"/>
        <w:rPr>
          <w:b/>
          <w:sz w:val="22"/>
          <w:szCs w:val="22"/>
        </w:rPr>
      </w:pPr>
      <w:r w:rsidRPr="0040738C">
        <w:rPr>
          <w:b/>
          <w:noProof/>
          <w:sz w:val="22"/>
          <w:szCs w:val="22"/>
        </w:rPr>
        <w:t>6.5</w:t>
      </w:r>
      <w:r w:rsidRPr="0040738C">
        <w:rPr>
          <w:b/>
          <w:noProof/>
          <w:sz w:val="22"/>
          <w:szCs w:val="22"/>
        </w:rPr>
        <w:tab/>
        <w:t>Druh obalu a obsah balenia</w:t>
      </w:r>
    </w:p>
    <w:p w14:paraId="22FE9542" w14:textId="77777777" w:rsidR="00CB2A09" w:rsidRPr="0040738C" w:rsidRDefault="00CB2A09" w:rsidP="00DD73F9">
      <w:pPr>
        <w:keepNext/>
        <w:ind w:left="360" w:hanging="360"/>
        <w:rPr>
          <w:bCs/>
          <w:sz w:val="22"/>
          <w:szCs w:val="22"/>
        </w:rPr>
      </w:pPr>
    </w:p>
    <w:p w14:paraId="1BB0B8AE" w14:textId="46843609" w:rsidR="00CB2A09" w:rsidRPr="0040738C" w:rsidRDefault="00CB2A09" w:rsidP="00DD73F9">
      <w:pPr>
        <w:rPr>
          <w:sz w:val="22"/>
          <w:szCs w:val="22"/>
        </w:rPr>
      </w:pPr>
      <w:r w:rsidRPr="0040738C">
        <w:rPr>
          <w:sz w:val="22"/>
          <w:szCs w:val="22"/>
        </w:rPr>
        <w:t>Bezfarebné sklenené</w:t>
      </w:r>
      <w:r w:rsidR="006F6D02">
        <w:rPr>
          <w:sz w:val="22"/>
          <w:szCs w:val="22"/>
        </w:rPr>
        <w:t xml:space="preserve"> </w:t>
      </w:r>
      <w:r w:rsidRPr="0040738C">
        <w:rPr>
          <w:sz w:val="22"/>
          <w:szCs w:val="22"/>
        </w:rPr>
        <w:t xml:space="preserve">ampulky a injekčné liekovky (25R DIN, typ I – </w:t>
      </w:r>
      <w:proofErr w:type="spellStart"/>
      <w:r w:rsidRPr="0040738C">
        <w:rPr>
          <w:sz w:val="22"/>
          <w:szCs w:val="22"/>
        </w:rPr>
        <w:t>Ph.Eur</w:t>
      </w:r>
      <w:proofErr w:type="spellEnd"/>
      <w:r w:rsidRPr="0040738C">
        <w:rPr>
          <w:sz w:val="22"/>
          <w:szCs w:val="22"/>
        </w:rPr>
        <w:t>.) so sivým</w:t>
      </w:r>
      <w:r w:rsidR="006F6D02">
        <w:rPr>
          <w:sz w:val="22"/>
          <w:szCs w:val="22"/>
        </w:rPr>
        <w:t xml:space="preserve"> </w:t>
      </w:r>
      <w:r w:rsidRPr="0040738C">
        <w:rPr>
          <w:sz w:val="22"/>
          <w:szCs w:val="22"/>
        </w:rPr>
        <w:t>gumeným uzáverom (PH4</w:t>
      </w:r>
      <w:r w:rsidR="0049294C">
        <w:rPr>
          <w:sz w:val="22"/>
          <w:szCs w:val="22"/>
        </w:rPr>
        <w:t xml:space="preserve">405/50, 20 mm, </w:t>
      </w:r>
      <w:proofErr w:type="spellStart"/>
      <w:r w:rsidR="0049294C">
        <w:rPr>
          <w:sz w:val="22"/>
          <w:szCs w:val="22"/>
        </w:rPr>
        <w:t>Ph.Eur</w:t>
      </w:r>
      <w:proofErr w:type="spellEnd"/>
      <w:r w:rsidR="0049294C">
        <w:rPr>
          <w:sz w:val="22"/>
          <w:szCs w:val="22"/>
        </w:rPr>
        <w:t>. typ I) a </w:t>
      </w:r>
      <w:proofErr w:type="spellStart"/>
      <w:r w:rsidRPr="0040738C">
        <w:rPr>
          <w:sz w:val="22"/>
          <w:szCs w:val="22"/>
        </w:rPr>
        <w:t>flip-off</w:t>
      </w:r>
      <w:proofErr w:type="spellEnd"/>
      <w:r w:rsidRPr="0040738C">
        <w:rPr>
          <w:sz w:val="22"/>
          <w:szCs w:val="22"/>
        </w:rPr>
        <w:t xml:space="preserve"> vrchnákom umiestnené v papierovom kartóne.</w:t>
      </w:r>
    </w:p>
    <w:p w14:paraId="65A9AB6C" w14:textId="77777777" w:rsidR="00CB2A09" w:rsidRPr="0040738C" w:rsidRDefault="00CB2A09" w:rsidP="00DD73F9">
      <w:pPr>
        <w:rPr>
          <w:sz w:val="22"/>
          <w:szCs w:val="22"/>
        </w:rPr>
      </w:pPr>
    </w:p>
    <w:p w14:paraId="392241A0" w14:textId="44BF231A" w:rsidR="00CB2A09" w:rsidRPr="0040738C" w:rsidRDefault="00CB2A09" w:rsidP="00DD73F9">
      <w:pPr>
        <w:tabs>
          <w:tab w:val="left" w:pos="1701"/>
        </w:tabs>
        <w:rPr>
          <w:sz w:val="22"/>
          <w:szCs w:val="22"/>
        </w:rPr>
      </w:pPr>
      <w:r w:rsidRPr="0040738C">
        <w:rPr>
          <w:sz w:val="22"/>
          <w:szCs w:val="22"/>
        </w:rPr>
        <w:t>Veľkos</w:t>
      </w:r>
      <w:r w:rsidR="006662ED">
        <w:rPr>
          <w:sz w:val="22"/>
          <w:szCs w:val="22"/>
        </w:rPr>
        <w:t>ti</w:t>
      </w:r>
      <w:r w:rsidRPr="0040738C">
        <w:rPr>
          <w:sz w:val="22"/>
          <w:szCs w:val="22"/>
        </w:rPr>
        <w:t xml:space="preserve"> balenia</w:t>
      </w:r>
      <w:r w:rsidR="006F6D02">
        <w:rPr>
          <w:sz w:val="22"/>
          <w:szCs w:val="22"/>
        </w:rPr>
        <w:t>:</w:t>
      </w:r>
      <w:r w:rsidRPr="0040738C">
        <w:rPr>
          <w:sz w:val="22"/>
          <w:szCs w:val="22"/>
        </w:rPr>
        <w:tab/>
        <w:t>10 x 5 ml sklenené ampulky</w:t>
      </w:r>
    </w:p>
    <w:p w14:paraId="723C6679" w14:textId="73B2724F" w:rsidR="00CB2A09" w:rsidRPr="0040738C" w:rsidRDefault="00CB2A09" w:rsidP="00DD73F9">
      <w:pPr>
        <w:ind w:left="1701"/>
        <w:rPr>
          <w:sz w:val="22"/>
          <w:szCs w:val="22"/>
        </w:rPr>
      </w:pPr>
      <w:r w:rsidRPr="0040738C">
        <w:rPr>
          <w:sz w:val="22"/>
          <w:szCs w:val="22"/>
        </w:rPr>
        <w:t>10 x 5 ml injekčné liekovky</w:t>
      </w:r>
    </w:p>
    <w:p w14:paraId="12341783" w14:textId="4073D826" w:rsidR="00CB2A09" w:rsidRPr="0040738C" w:rsidRDefault="00CB2A09" w:rsidP="00DD73F9">
      <w:pPr>
        <w:ind w:left="1701"/>
        <w:rPr>
          <w:sz w:val="22"/>
          <w:szCs w:val="22"/>
        </w:rPr>
      </w:pPr>
      <w:r w:rsidRPr="0040738C">
        <w:rPr>
          <w:sz w:val="22"/>
          <w:szCs w:val="22"/>
        </w:rPr>
        <w:t>10 x 10 ml sklenené ampulky</w:t>
      </w:r>
    </w:p>
    <w:p w14:paraId="7376B11D" w14:textId="373812A1" w:rsidR="00CB2A09" w:rsidRPr="0040738C" w:rsidRDefault="00CB2A09" w:rsidP="00DD73F9">
      <w:pPr>
        <w:ind w:left="1701"/>
        <w:rPr>
          <w:sz w:val="22"/>
          <w:szCs w:val="22"/>
        </w:rPr>
      </w:pPr>
      <w:r w:rsidRPr="0040738C">
        <w:rPr>
          <w:sz w:val="22"/>
          <w:szCs w:val="22"/>
        </w:rPr>
        <w:t>10 x 10 ml injekčné liekovky</w:t>
      </w:r>
    </w:p>
    <w:p w14:paraId="2B758C0A" w14:textId="239DF48F" w:rsidR="00CB2A09" w:rsidRPr="0040738C" w:rsidRDefault="00CB2A09" w:rsidP="00DD73F9">
      <w:pPr>
        <w:ind w:left="1701"/>
        <w:rPr>
          <w:sz w:val="22"/>
          <w:szCs w:val="22"/>
        </w:rPr>
      </w:pPr>
      <w:r w:rsidRPr="0040738C">
        <w:rPr>
          <w:sz w:val="22"/>
          <w:szCs w:val="22"/>
        </w:rPr>
        <w:t>12 x 5 ml sklenené ampulky</w:t>
      </w:r>
    </w:p>
    <w:p w14:paraId="578A21B1" w14:textId="77777777" w:rsidR="00CB2A09" w:rsidRPr="0040738C" w:rsidRDefault="00CB2A09" w:rsidP="00DD73F9">
      <w:pPr>
        <w:ind w:left="1701"/>
        <w:rPr>
          <w:sz w:val="22"/>
          <w:szCs w:val="22"/>
        </w:rPr>
      </w:pPr>
      <w:r w:rsidRPr="0040738C">
        <w:rPr>
          <w:sz w:val="22"/>
          <w:szCs w:val="22"/>
        </w:rPr>
        <w:t>12 x 5 ml injekčné liekovky</w:t>
      </w:r>
    </w:p>
    <w:p w14:paraId="693B56C5" w14:textId="77777777" w:rsidR="00CB2A09" w:rsidRPr="0040738C" w:rsidRDefault="00CB2A09" w:rsidP="00DD73F9">
      <w:pPr>
        <w:rPr>
          <w:sz w:val="22"/>
          <w:szCs w:val="22"/>
        </w:rPr>
      </w:pPr>
    </w:p>
    <w:p w14:paraId="247CAABF" w14:textId="2B51CD14" w:rsidR="00CB2A09" w:rsidRPr="0040738C" w:rsidRDefault="00CB2A09" w:rsidP="00CD70B0">
      <w:pPr>
        <w:ind w:left="360" w:hanging="360"/>
        <w:rPr>
          <w:bCs/>
          <w:sz w:val="22"/>
          <w:szCs w:val="22"/>
        </w:rPr>
      </w:pPr>
      <w:r w:rsidRPr="0040738C">
        <w:rPr>
          <w:noProof/>
          <w:sz w:val="22"/>
          <w:szCs w:val="22"/>
        </w:rPr>
        <w:t>N</w:t>
      </w:r>
      <w:r w:rsidR="00EB1EB3">
        <w:rPr>
          <w:noProof/>
          <w:sz w:val="22"/>
          <w:szCs w:val="22"/>
        </w:rPr>
        <w:t>a trh nemusia byť uvedené</w:t>
      </w:r>
      <w:r w:rsidRPr="0040738C">
        <w:rPr>
          <w:noProof/>
          <w:sz w:val="22"/>
          <w:szCs w:val="22"/>
        </w:rPr>
        <w:t xml:space="preserve"> všetky veľkosti balenia.</w:t>
      </w:r>
    </w:p>
    <w:p w14:paraId="5DAF196E" w14:textId="77777777" w:rsidR="00CB2A09" w:rsidRPr="0040738C" w:rsidRDefault="00CB2A09" w:rsidP="00CD70B0">
      <w:pPr>
        <w:ind w:left="360" w:hanging="360"/>
        <w:rPr>
          <w:bCs/>
          <w:sz w:val="22"/>
          <w:szCs w:val="22"/>
        </w:rPr>
      </w:pPr>
    </w:p>
    <w:p w14:paraId="216F8C12" w14:textId="7C352FEF" w:rsidR="00CB2A09" w:rsidRPr="0040738C" w:rsidRDefault="00CB2A09" w:rsidP="00CD70B0">
      <w:pPr>
        <w:ind w:left="360" w:hanging="360"/>
        <w:rPr>
          <w:bCs/>
          <w:sz w:val="22"/>
          <w:szCs w:val="22"/>
        </w:rPr>
      </w:pPr>
      <w:r w:rsidRPr="0040738C">
        <w:rPr>
          <w:bCs/>
          <w:sz w:val="22"/>
          <w:szCs w:val="22"/>
        </w:rPr>
        <w:t xml:space="preserve">Gumové zátky na injekčných liekovkách </w:t>
      </w:r>
      <w:r w:rsidR="00260BC3">
        <w:rPr>
          <w:bCs/>
          <w:sz w:val="22"/>
          <w:szCs w:val="22"/>
        </w:rPr>
        <w:t>neobsahujú</w:t>
      </w:r>
      <w:r w:rsidRPr="0040738C">
        <w:rPr>
          <w:bCs/>
          <w:sz w:val="22"/>
          <w:szCs w:val="22"/>
        </w:rPr>
        <w:t xml:space="preserve"> latex.</w:t>
      </w:r>
    </w:p>
    <w:p w14:paraId="4F5D52B9" w14:textId="77777777" w:rsidR="00CB2A09" w:rsidRPr="0040738C" w:rsidRDefault="00CB2A09" w:rsidP="00CD70B0">
      <w:pPr>
        <w:ind w:left="360" w:hanging="360"/>
        <w:rPr>
          <w:bCs/>
          <w:sz w:val="22"/>
          <w:szCs w:val="22"/>
        </w:rPr>
      </w:pPr>
    </w:p>
    <w:p w14:paraId="4A3B6849" w14:textId="77777777" w:rsidR="00CB2A09" w:rsidRPr="0040738C" w:rsidRDefault="00CB2A09" w:rsidP="00CD70B0">
      <w:pPr>
        <w:ind w:left="360" w:hanging="360"/>
        <w:rPr>
          <w:bCs/>
          <w:sz w:val="22"/>
          <w:szCs w:val="20"/>
        </w:rPr>
      </w:pPr>
      <w:r w:rsidRPr="0040738C">
        <w:rPr>
          <w:bCs/>
          <w:sz w:val="22"/>
          <w:szCs w:val="20"/>
        </w:rPr>
        <w:t>Pri korešpondencii uvádzajte, prosím, číslo šarže lieku.</w:t>
      </w:r>
    </w:p>
    <w:p w14:paraId="641C93A1" w14:textId="77777777" w:rsidR="00CB2A09" w:rsidRPr="0040738C" w:rsidRDefault="00CB2A09" w:rsidP="00CD70B0">
      <w:pPr>
        <w:ind w:left="360" w:hanging="360"/>
        <w:rPr>
          <w:bCs/>
          <w:sz w:val="22"/>
          <w:szCs w:val="20"/>
        </w:rPr>
      </w:pPr>
    </w:p>
    <w:p w14:paraId="375882E5" w14:textId="7BB4D167" w:rsidR="00CB2A09" w:rsidRPr="0040738C" w:rsidRDefault="00CB2A09" w:rsidP="00DD73F9">
      <w:pPr>
        <w:keepNext/>
        <w:rPr>
          <w:b/>
          <w:sz w:val="22"/>
          <w:szCs w:val="20"/>
        </w:rPr>
      </w:pPr>
      <w:r w:rsidRPr="0040738C">
        <w:rPr>
          <w:b/>
          <w:sz w:val="22"/>
          <w:szCs w:val="20"/>
        </w:rPr>
        <w:t>6.6</w:t>
      </w:r>
      <w:r w:rsidRPr="0040738C">
        <w:rPr>
          <w:b/>
          <w:sz w:val="22"/>
          <w:szCs w:val="20"/>
        </w:rPr>
        <w:tab/>
      </w:r>
      <w:r w:rsidR="001B0834">
        <w:rPr>
          <w:b/>
          <w:sz w:val="22"/>
          <w:szCs w:val="20"/>
        </w:rPr>
        <w:t xml:space="preserve">Špeciálne </w:t>
      </w:r>
      <w:r w:rsidR="001B0834">
        <w:rPr>
          <w:b/>
          <w:sz w:val="22"/>
          <w:szCs w:val="22"/>
        </w:rPr>
        <w:t>opatrenia</w:t>
      </w:r>
      <w:r w:rsidRPr="0040738C">
        <w:rPr>
          <w:b/>
          <w:sz w:val="22"/>
          <w:szCs w:val="22"/>
        </w:rPr>
        <w:t xml:space="preserve"> na </w:t>
      </w:r>
      <w:r w:rsidR="001B0834">
        <w:rPr>
          <w:b/>
          <w:sz w:val="22"/>
          <w:szCs w:val="22"/>
        </w:rPr>
        <w:t>likvidáciu</w:t>
      </w:r>
      <w:r w:rsidRPr="0040738C">
        <w:rPr>
          <w:b/>
          <w:sz w:val="22"/>
          <w:szCs w:val="22"/>
        </w:rPr>
        <w:t xml:space="preserve"> a</w:t>
      </w:r>
      <w:r w:rsidR="001B0834">
        <w:rPr>
          <w:b/>
          <w:sz w:val="22"/>
          <w:szCs w:val="22"/>
        </w:rPr>
        <w:t xml:space="preserve"> iné</w:t>
      </w:r>
      <w:r w:rsidRPr="0040738C">
        <w:rPr>
          <w:b/>
          <w:sz w:val="22"/>
          <w:szCs w:val="22"/>
        </w:rPr>
        <w:t xml:space="preserve"> zaobchádzanie s liekom</w:t>
      </w:r>
    </w:p>
    <w:p w14:paraId="59A26B40" w14:textId="77777777" w:rsidR="00CB2A09" w:rsidRPr="0040738C" w:rsidRDefault="00CB2A09" w:rsidP="00DD73F9">
      <w:pPr>
        <w:keepNext/>
        <w:ind w:left="357" w:hanging="357"/>
        <w:rPr>
          <w:sz w:val="22"/>
          <w:szCs w:val="20"/>
        </w:rPr>
      </w:pPr>
    </w:p>
    <w:p w14:paraId="46F94AD8" w14:textId="304FE2DD" w:rsidR="00CB2A09" w:rsidRPr="0040738C" w:rsidRDefault="00CB2A09" w:rsidP="00CD70B0">
      <w:pPr>
        <w:rPr>
          <w:sz w:val="22"/>
        </w:rPr>
      </w:pPr>
      <w:r w:rsidRPr="0040738C">
        <w:rPr>
          <w:sz w:val="22"/>
        </w:rPr>
        <w:t>Uskutočnili sa štúdie kompatibility s</w:t>
      </w:r>
      <w:r w:rsidR="0049294C">
        <w:rPr>
          <w:sz w:val="22"/>
        </w:rPr>
        <w:t> </w:t>
      </w:r>
      <w:r w:rsidRPr="0040738C">
        <w:rPr>
          <w:sz w:val="22"/>
        </w:rPr>
        <w:t xml:space="preserve">nasledovnými </w:t>
      </w:r>
      <w:proofErr w:type="spellStart"/>
      <w:r w:rsidRPr="0040738C">
        <w:rPr>
          <w:sz w:val="22"/>
        </w:rPr>
        <w:t>infúznymi</w:t>
      </w:r>
      <w:proofErr w:type="spellEnd"/>
      <w:r w:rsidRPr="0040738C">
        <w:rPr>
          <w:sz w:val="22"/>
        </w:rPr>
        <w:t xml:space="preserve"> roztokmi:</w:t>
      </w:r>
      <w:r w:rsidRPr="0040738C">
        <w:t xml:space="preserve"> </w:t>
      </w:r>
      <w:r w:rsidR="00343A8C">
        <w:rPr>
          <w:sz w:val="22"/>
        </w:rPr>
        <w:t>p</w:t>
      </w:r>
      <w:r w:rsidRPr="0040738C">
        <w:rPr>
          <w:sz w:val="22"/>
        </w:rPr>
        <w:t>ri nominálnych koncentráciách 0,5</w:t>
      </w:r>
      <w:r w:rsidR="00343A8C">
        <w:rPr>
          <w:sz w:val="22"/>
        </w:rPr>
        <w:t> </w:t>
      </w:r>
      <w:r w:rsidRPr="0040738C">
        <w:rPr>
          <w:sz w:val="22"/>
        </w:rPr>
        <w:t>mg/ml a 2,0</w:t>
      </w:r>
      <w:r w:rsidR="00343A8C">
        <w:rPr>
          <w:sz w:val="22"/>
        </w:rPr>
        <w:t> </w:t>
      </w:r>
      <w:r w:rsidRPr="0040738C">
        <w:rPr>
          <w:sz w:val="22"/>
        </w:rPr>
        <w:t xml:space="preserve">mg/ml sa dokázala kompatibilita </w:t>
      </w:r>
      <w:proofErr w:type="spellStart"/>
      <w:r w:rsidRPr="0040738C">
        <w:rPr>
          <w:sz w:val="22"/>
        </w:rPr>
        <w:t>Esmeronu</w:t>
      </w:r>
      <w:proofErr w:type="spellEnd"/>
      <w:r w:rsidRPr="0040738C">
        <w:rPr>
          <w:sz w:val="22"/>
        </w:rPr>
        <w:t xml:space="preserve"> s: 0,9</w:t>
      </w:r>
      <w:r w:rsidR="00343A8C">
        <w:t> </w:t>
      </w:r>
      <w:r w:rsidRPr="0040738C">
        <w:rPr>
          <w:sz w:val="22"/>
        </w:rPr>
        <w:t>%</w:t>
      </w:r>
      <w:r w:rsidR="00EA6AC5">
        <w:rPr>
          <w:sz w:val="22"/>
        </w:rPr>
        <w:t xml:space="preserve"> roztokom</w:t>
      </w:r>
      <w:r w:rsidRPr="0040738C">
        <w:rPr>
          <w:sz w:val="22"/>
        </w:rPr>
        <w:t xml:space="preserve"> </w:t>
      </w:r>
      <w:proofErr w:type="spellStart"/>
      <w:r w:rsidRPr="0040738C">
        <w:rPr>
          <w:sz w:val="22"/>
        </w:rPr>
        <w:t>NaCl</w:t>
      </w:r>
      <w:proofErr w:type="spellEnd"/>
      <w:r w:rsidRPr="0040738C">
        <w:rPr>
          <w:sz w:val="22"/>
        </w:rPr>
        <w:t>, 5</w:t>
      </w:r>
      <w:r w:rsidR="00343A8C">
        <w:rPr>
          <w:sz w:val="22"/>
        </w:rPr>
        <w:t> </w:t>
      </w:r>
      <w:r w:rsidRPr="0040738C">
        <w:rPr>
          <w:sz w:val="22"/>
        </w:rPr>
        <w:t>%</w:t>
      </w:r>
      <w:r w:rsidR="00EA6AC5">
        <w:rPr>
          <w:sz w:val="22"/>
        </w:rPr>
        <w:t xml:space="preserve"> roztokom</w:t>
      </w:r>
      <w:r w:rsidR="00664BE1">
        <w:rPr>
          <w:sz w:val="22"/>
        </w:rPr>
        <w:t xml:space="preserve"> glukózy</w:t>
      </w:r>
      <w:r w:rsidRPr="0040738C">
        <w:rPr>
          <w:sz w:val="22"/>
        </w:rPr>
        <w:t>, 5</w:t>
      </w:r>
      <w:r w:rsidR="001463C3">
        <w:rPr>
          <w:sz w:val="22"/>
        </w:rPr>
        <w:t> </w:t>
      </w:r>
      <w:r w:rsidRPr="0040738C">
        <w:rPr>
          <w:sz w:val="22"/>
        </w:rPr>
        <w:t xml:space="preserve">% glukózou vo fyziologickom roztoku, sterilnou vodou na </w:t>
      </w:r>
      <w:r w:rsidR="00343A8C">
        <w:rPr>
          <w:sz w:val="22"/>
        </w:rPr>
        <w:t>injekciu</w:t>
      </w:r>
      <w:r w:rsidRPr="0040738C">
        <w:rPr>
          <w:sz w:val="22"/>
        </w:rPr>
        <w:t xml:space="preserve">, </w:t>
      </w:r>
      <w:proofErr w:type="spellStart"/>
      <w:r w:rsidRPr="0040738C">
        <w:rPr>
          <w:sz w:val="22"/>
        </w:rPr>
        <w:t>Ringerovým</w:t>
      </w:r>
      <w:proofErr w:type="spellEnd"/>
      <w:r w:rsidRPr="0040738C">
        <w:rPr>
          <w:sz w:val="22"/>
        </w:rPr>
        <w:t xml:space="preserve"> </w:t>
      </w:r>
      <w:proofErr w:type="spellStart"/>
      <w:r w:rsidRPr="0040738C">
        <w:rPr>
          <w:sz w:val="22"/>
        </w:rPr>
        <w:t>laktát</w:t>
      </w:r>
      <w:r w:rsidR="00EA6AC5">
        <w:rPr>
          <w:sz w:val="22"/>
        </w:rPr>
        <w:t>ovým</w:t>
      </w:r>
      <w:proofErr w:type="spellEnd"/>
      <w:r w:rsidR="00EA6AC5">
        <w:rPr>
          <w:sz w:val="22"/>
        </w:rPr>
        <w:t xml:space="preserve"> roztokom</w:t>
      </w:r>
      <w:r w:rsidRPr="0040738C">
        <w:rPr>
          <w:sz w:val="22"/>
        </w:rPr>
        <w:t xml:space="preserve"> a s </w:t>
      </w:r>
      <w:proofErr w:type="spellStart"/>
      <w:r w:rsidRPr="0040738C">
        <w:rPr>
          <w:sz w:val="22"/>
        </w:rPr>
        <w:t>Haemaccelom</w:t>
      </w:r>
      <w:proofErr w:type="spellEnd"/>
      <w:r w:rsidRPr="0040738C">
        <w:rPr>
          <w:sz w:val="22"/>
        </w:rPr>
        <w:t xml:space="preserve">. Podávanie sa má začať ihneď po zmiešaní a má byť ukončené do </w:t>
      </w:r>
      <w:r w:rsidR="0005771C" w:rsidRPr="0040738C">
        <w:rPr>
          <w:sz w:val="22"/>
        </w:rPr>
        <w:t>24</w:t>
      </w:r>
      <w:r w:rsidR="0005771C">
        <w:rPr>
          <w:sz w:val="22"/>
        </w:rPr>
        <w:t> </w:t>
      </w:r>
      <w:r w:rsidRPr="0040738C">
        <w:rPr>
          <w:sz w:val="22"/>
        </w:rPr>
        <w:t xml:space="preserve">hodín. </w:t>
      </w:r>
      <w:r w:rsidR="001A28A5">
        <w:rPr>
          <w:sz w:val="22"/>
        </w:rPr>
        <w:t>Všetok n</w:t>
      </w:r>
      <w:r w:rsidRPr="0040738C">
        <w:rPr>
          <w:sz w:val="22"/>
        </w:rPr>
        <w:t xml:space="preserve">epoužitý </w:t>
      </w:r>
      <w:r w:rsidR="00084872">
        <w:rPr>
          <w:sz w:val="22"/>
        </w:rPr>
        <w:t xml:space="preserve">liek alebo odpad vzniknutý z lieku </w:t>
      </w:r>
      <w:r w:rsidRPr="0040738C">
        <w:rPr>
          <w:sz w:val="22"/>
        </w:rPr>
        <w:t>sa má zlikvidovať</w:t>
      </w:r>
      <w:r w:rsidR="00084872">
        <w:rPr>
          <w:sz w:val="22"/>
        </w:rPr>
        <w:t xml:space="preserve"> v súlade s národnými požiadavkami</w:t>
      </w:r>
      <w:r w:rsidRPr="0040738C">
        <w:rPr>
          <w:sz w:val="22"/>
        </w:rPr>
        <w:t>.</w:t>
      </w:r>
    </w:p>
    <w:p w14:paraId="64B91D14" w14:textId="77777777" w:rsidR="00CB2A09" w:rsidRPr="0040738C" w:rsidRDefault="00CB2A09" w:rsidP="00CD70B0">
      <w:pPr>
        <w:pStyle w:val="Zkladntext3"/>
        <w:rPr>
          <w:szCs w:val="24"/>
        </w:rPr>
      </w:pPr>
    </w:p>
    <w:p w14:paraId="2C9D7596" w14:textId="77777777" w:rsidR="00CB2A09" w:rsidRPr="0040738C" w:rsidRDefault="00CB2A09" w:rsidP="00CD70B0">
      <w:pPr>
        <w:rPr>
          <w:sz w:val="22"/>
          <w:szCs w:val="20"/>
        </w:rPr>
      </w:pPr>
    </w:p>
    <w:p w14:paraId="2FB4D5DB" w14:textId="77777777" w:rsidR="00CB2A09" w:rsidRPr="0040738C" w:rsidRDefault="00CB2A09" w:rsidP="00DD73F9">
      <w:pPr>
        <w:keepNext/>
        <w:rPr>
          <w:noProof/>
          <w:sz w:val="22"/>
          <w:szCs w:val="22"/>
        </w:rPr>
      </w:pPr>
      <w:r w:rsidRPr="0040738C">
        <w:rPr>
          <w:b/>
          <w:noProof/>
          <w:sz w:val="22"/>
          <w:szCs w:val="22"/>
        </w:rPr>
        <w:t>7.</w:t>
      </w:r>
      <w:r w:rsidRPr="0040738C">
        <w:rPr>
          <w:b/>
          <w:noProof/>
          <w:sz w:val="22"/>
          <w:szCs w:val="22"/>
        </w:rPr>
        <w:tab/>
        <w:t>DRŽITEĽ ROZHODNUTIA O REGISTRÁCII</w:t>
      </w:r>
    </w:p>
    <w:p w14:paraId="477D0EA5" w14:textId="77777777" w:rsidR="00CB2A09" w:rsidRPr="0040738C" w:rsidRDefault="00CB2A09" w:rsidP="00DD73F9">
      <w:pPr>
        <w:keepNext/>
        <w:rPr>
          <w:noProof/>
          <w:sz w:val="22"/>
          <w:szCs w:val="22"/>
        </w:rPr>
      </w:pPr>
    </w:p>
    <w:p w14:paraId="4561859F" w14:textId="77777777" w:rsidR="0049294C" w:rsidRPr="00605E2C" w:rsidRDefault="0049294C" w:rsidP="0049294C">
      <w:pPr>
        <w:keepNext/>
        <w:adjustRightInd w:val="0"/>
        <w:snapToGrid w:val="0"/>
        <w:jc w:val="both"/>
        <w:rPr>
          <w:sz w:val="22"/>
          <w:szCs w:val="22"/>
        </w:rPr>
      </w:pPr>
      <w:bookmarkStart w:id="0" w:name="OLE_LINK7"/>
      <w:proofErr w:type="spellStart"/>
      <w:r w:rsidRPr="00605E2C">
        <w:rPr>
          <w:sz w:val="22"/>
          <w:szCs w:val="22"/>
        </w:rPr>
        <w:t>Merck</w:t>
      </w:r>
      <w:proofErr w:type="spellEnd"/>
      <w:r w:rsidRPr="00605E2C">
        <w:rPr>
          <w:sz w:val="22"/>
          <w:szCs w:val="22"/>
        </w:rPr>
        <w:t xml:space="preserve"> </w:t>
      </w:r>
      <w:proofErr w:type="spellStart"/>
      <w:r w:rsidRPr="00605E2C">
        <w:rPr>
          <w:sz w:val="22"/>
          <w:szCs w:val="22"/>
        </w:rPr>
        <w:t>Sharp</w:t>
      </w:r>
      <w:proofErr w:type="spellEnd"/>
      <w:r w:rsidRPr="00605E2C">
        <w:rPr>
          <w:sz w:val="22"/>
          <w:szCs w:val="22"/>
        </w:rPr>
        <w:t xml:space="preserve"> &amp; </w:t>
      </w:r>
      <w:proofErr w:type="spellStart"/>
      <w:r w:rsidRPr="00605E2C">
        <w:rPr>
          <w:sz w:val="22"/>
          <w:szCs w:val="22"/>
        </w:rPr>
        <w:t>Dohme</w:t>
      </w:r>
      <w:proofErr w:type="spellEnd"/>
      <w:r w:rsidRPr="00605E2C">
        <w:rPr>
          <w:sz w:val="22"/>
          <w:szCs w:val="22"/>
        </w:rPr>
        <w:t xml:space="preserve"> B.V.</w:t>
      </w:r>
    </w:p>
    <w:p w14:paraId="494FF2E9" w14:textId="77777777" w:rsidR="0049294C" w:rsidRPr="00605E2C" w:rsidRDefault="0049294C" w:rsidP="0049294C">
      <w:pPr>
        <w:keepNext/>
        <w:adjustRightInd w:val="0"/>
        <w:snapToGrid w:val="0"/>
        <w:jc w:val="both"/>
        <w:rPr>
          <w:sz w:val="22"/>
          <w:szCs w:val="22"/>
        </w:rPr>
      </w:pPr>
      <w:proofErr w:type="spellStart"/>
      <w:r w:rsidRPr="00605E2C">
        <w:rPr>
          <w:sz w:val="22"/>
          <w:szCs w:val="22"/>
        </w:rPr>
        <w:t>Waarderweg</w:t>
      </w:r>
      <w:proofErr w:type="spellEnd"/>
      <w:r w:rsidRPr="00605E2C">
        <w:rPr>
          <w:sz w:val="22"/>
          <w:szCs w:val="22"/>
        </w:rPr>
        <w:t xml:space="preserve"> 39, 2031 BN Haarlem</w:t>
      </w:r>
    </w:p>
    <w:p w14:paraId="1B26BFCB" w14:textId="77777777" w:rsidR="0049294C" w:rsidRPr="00605E2C" w:rsidRDefault="0049294C" w:rsidP="0049294C">
      <w:pPr>
        <w:keepNext/>
        <w:adjustRightInd w:val="0"/>
        <w:snapToGrid w:val="0"/>
        <w:jc w:val="both"/>
        <w:rPr>
          <w:sz w:val="22"/>
          <w:szCs w:val="22"/>
        </w:rPr>
      </w:pPr>
      <w:r w:rsidRPr="00605E2C">
        <w:rPr>
          <w:sz w:val="22"/>
          <w:szCs w:val="22"/>
        </w:rPr>
        <w:t>P.O. Box 581, 2003 PC Haarlem</w:t>
      </w:r>
    </w:p>
    <w:p w14:paraId="38989ED8" w14:textId="77777777" w:rsidR="0049294C" w:rsidRPr="00605E2C" w:rsidRDefault="0049294C" w:rsidP="0049294C">
      <w:pPr>
        <w:adjustRightInd w:val="0"/>
        <w:snapToGrid w:val="0"/>
        <w:jc w:val="both"/>
        <w:rPr>
          <w:sz w:val="22"/>
          <w:szCs w:val="22"/>
        </w:rPr>
      </w:pPr>
      <w:r w:rsidRPr="00605E2C">
        <w:rPr>
          <w:sz w:val="22"/>
          <w:szCs w:val="22"/>
        </w:rPr>
        <w:t>Holandsko</w:t>
      </w:r>
    </w:p>
    <w:bookmarkEnd w:id="0"/>
    <w:p w14:paraId="7384FFAD" w14:textId="77777777" w:rsidR="00CB2A09" w:rsidRPr="0040738C" w:rsidRDefault="00CB2A09" w:rsidP="00CD70B0">
      <w:pPr>
        <w:rPr>
          <w:noProof/>
          <w:sz w:val="22"/>
          <w:szCs w:val="22"/>
        </w:rPr>
      </w:pPr>
    </w:p>
    <w:p w14:paraId="50518FAD" w14:textId="77777777" w:rsidR="00CB2A09" w:rsidRPr="0040738C" w:rsidRDefault="00CB2A09" w:rsidP="00CD70B0">
      <w:pPr>
        <w:rPr>
          <w:b/>
          <w:noProof/>
          <w:sz w:val="22"/>
          <w:szCs w:val="22"/>
        </w:rPr>
      </w:pPr>
    </w:p>
    <w:p w14:paraId="6401B50A" w14:textId="233637C5" w:rsidR="00CB2A09" w:rsidRPr="0040738C" w:rsidRDefault="00CB2A09" w:rsidP="00DD73F9">
      <w:pPr>
        <w:keepNext/>
        <w:rPr>
          <w:b/>
          <w:noProof/>
          <w:sz w:val="22"/>
          <w:szCs w:val="22"/>
        </w:rPr>
      </w:pPr>
      <w:r w:rsidRPr="0040738C">
        <w:rPr>
          <w:b/>
          <w:noProof/>
          <w:sz w:val="22"/>
          <w:szCs w:val="22"/>
        </w:rPr>
        <w:t>8.</w:t>
      </w:r>
      <w:r w:rsidRPr="0040738C">
        <w:rPr>
          <w:b/>
          <w:noProof/>
          <w:sz w:val="22"/>
          <w:szCs w:val="22"/>
        </w:rPr>
        <w:tab/>
        <w:t>REGISTRAČNÉ ČÍSLO</w:t>
      </w:r>
    </w:p>
    <w:p w14:paraId="308B2EA1" w14:textId="77777777" w:rsidR="00CB2A09" w:rsidRPr="0040738C" w:rsidRDefault="00CB2A09" w:rsidP="00DD73F9">
      <w:pPr>
        <w:keepNext/>
        <w:rPr>
          <w:noProof/>
          <w:sz w:val="22"/>
          <w:szCs w:val="22"/>
        </w:rPr>
      </w:pPr>
    </w:p>
    <w:p w14:paraId="6688A2D7" w14:textId="77777777" w:rsidR="00CB2A09" w:rsidRPr="0040738C" w:rsidRDefault="00CB2A09" w:rsidP="00CD70B0">
      <w:pPr>
        <w:rPr>
          <w:noProof/>
          <w:sz w:val="22"/>
          <w:szCs w:val="22"/>
        </w:rPr>
      </w:pPr>
      <w:r w:rsidRPr="0040738C">
        <w:rPr>
          <w:noProof/>
          <w:sz w:val="22"/>
          <w:szCs w:val="22"/>
        </w:rPr>
        <w:t>63/0018/01-S</w:t>
      </w:r>
    </w:p>
    <w:p w14:paraId="22DBEF78" w14:textId="77777777" w:rsidR="00CB2A09" w:rsidRPr="0040738C" w:rsidRDefault="00CB2A09" w:rsidP="00CD70B0">
      <w:pPr>
        <w:rPr>
          <w:noProof/>
          <w:sz w:val="22"/>
          <w:szCs w:val="22"/>
        </w:rPr>
      </w:pPr>
    </w:p>
    <w:p w14:paraId="6A7E8E81" w14:textId="77777777" w:rsidR="00CB2A09" w:rsidRPr="0040738C" w:rsidRDefault="00CB2A09" w:rsidP="00CD70B0">
      <w:pPr>
        <w:rPr>
          <w:noProof/>
          <w:sz w:val="22"/>
          <w:szCs w:val="22"/>
        </w:rPr>
      </w:pPr>
    </w:p>
    <w:p w14:paraId="142DE8BF" w14:textId="77777777" w:rsidR="00CB2A09" w:rsidRPr="0040738C" w:rsidRDefault="00CB2A09" w:rsidP="00DD73F9">
      <w:pPr>
        <w:keepNext/>
        <w:rPr>
          <w:noProof/>
          <w:sz w:val="22"/>
          <w:szCs w:val="22"/>
        </w:rPr>
      </w:pPr>
      <w:r w:rsidRPr="0040738C">
        <w:rPr>
          <w:b/>
          <w:noProof/>
          <w:sz w:val="22"/>
          <w:szCs w:val="22"/>
        </w:rPr>
        <w:lastRenderedPageBreak/>
        <w:t>9.</w:t>
      </w:r>
      <w:r w:rsidRPr="0040738C">
        <w:rPr>
          <w:b/>
          <w:noProof/>
          <w:sz w:val="22"/>
          <w:szCs w:val="22"/>
        </w:rPr>
        <w:tab/>
        <w:t>DÁTUM PRVEJ REGISTRÁCIE/ PREDĹŽENIA REGISTRÁCIE</w:t>
      </w:r>
    </w:p>
    <w:p w14:paraId="4046A0DB" w14:textId="77777777" w:rsidR="00CB2A09" w:rsidRPr="0040738C" w:rsidRDefault="00CB2A09" w:rsidP="00DD73F9">
      <w:pPr>
        <w:keepNext/>
        <w:rPr>
          <w:noProof/>
          <w:sz w:val="22"/>
        </w:rPr>
      </w:pPr>
    </w:p>
    <w:p w14:paraId="7095D79C" w14:textId="72064A4B" w:rsidR="00CB2A09" w:rsidRDefault="004708C8" w:rsidP="00CD70B0">
      <w:pPr>
        <w:rPr>
          <w:noProof/>
          <w:sz w:val="22"/>
        </w:rPr>
      </w:pPr>
      <w:r>
        <w:rPr>
          <w:noProof/>
          <w:sz w:val="22"/>
        </w:rPr>
        <w:t xml:space="preserve">Dátum prvej registrácie: </w:t>
      </w:r>
      <w:r w:rsidR="00CB2A09" w:rsidRPr="0040738C">
        <w:rPr>
          <w:noProof/>
          <w:sz w:val="22"/>
        </w:rPr>
        <w:t>24.</w:t>
      </w:r>
      <w:r w:rsidR="005A260F">
        <w:rPr>
          <w:noProof/>
          <w:sz w:val="22"/>
        </w:rPr>
        <w:t xml:space="preserve"> január</w:t>
      </w:r>
      <w:r w:rsidR="00084872">
        <w:rPr>
          <w:noProof/>
          <w:sz w:val="22"/>
        </w:rPr>
        <w:t>a</w:t>
      </w:r>
      <w:r w:rsidR="005A260F">
        <w:rPr>
          <w:noProof/>
          <w:sz w:val="22"/>
        </w:rPr>
        <w:t xml:space="preserve"> </w:t>
      </w:r>
      <w:r w:rsidR="00CB2A09" w:rsidRPr="0040738C">
        <w:rPr>
          <w:noProof/>
          <w:sz w:val="22"/>
        </w:rPr>
        <w:t>2001</w:t>
      </w:r>
    </w:p>
    <w:p w14:paraId="3F7D64A6" w14:textId="77777777" w:rsidR="004708C8" w:rsidRPr="0040738C" w:rsidRDefault="004708C8" w:rsidP="00CD70B0">
      <w:pPr>
        <w:rPr>
          <w:noProof/>
          <w:sz w:val="22"/>
        </w:rPr>
      </w:pPr>
      <w:r>
        <w:rPr>
          <w:noProof/>
          <w:sz w:val="22"/>
        </w:rPr>
        <w:t>Dátum posledného predĺženia</w:t>
      </w:r>
      <w:r w:rsidR="00EF72E5">
        <w:rPr>
          <w:noProof/>
          <w:sz w:val="22"/>
        </w:rPr>
        <w:t xml:space="preserve"> registrácie</w:t>
      </w:r>
      <w:r>
        <w:rPr>
          <w:noProof/>
          <w:sz w:val="22"/>
        </w:rPr>
        <w:t xml:space="preserve">: </w:t>
      </w:r>
      <w:r w:rsidR="002C409B">
        <w:rPr>
          <w:noProof/>
          <w:sz w:val="22"/>
        </w:rPr>
        <w:t>27. august</w:t>
      </w:r>
      <w:r w:rsidR="00084872">
        <w:rPr>
          <w:noProof/>
          <w:sz w:val="22"/>
        </w:rPr>
        <w:t>a</w:t>
      </w:r>
      <w:r w:rsidR="002C409B">
        <w:rPr>
          <w:noProof/>
          <w:sz w:val="22"/>
        </w:rPr>
        <w:t xml:space="preserve"> 2009</w:t>
      </w:r>
    </w:p>
    <w:p w14:paraId="488AFA36" w14:textId="77777777" w:rsidR="00CB2A09" w:rsidRPr="0040738C" w:rsidRDefault="00CB2A09" w:rsidP="00CD70B0">
      <w:pPr>
        <w:rPr>
          <w:noProof/>
          <w:sz w:val="22"/>
        </w:rPr>
      </w:pPr>
    </w:p>
    <w:p w14:paraId="16ADD584" w14:textId="77777777" w:rsidR="00CB2A09" w:rsidRPr="0040738C" w:rsidRDefault="00CB2A09" w:rsidP="00CD70B0">
      <w:pPr>
        <w:rPr>
          <w:noProof/>
          <w:sz w:val="22"/>
          <w:szCs w:val="22"/>
        </w:rPr>
      </w:pPr>
    </w:p>
    <w:p w14:paraId="25E4F203" w14:textId="77777777" w:rsidR="00CB2A09" w:rsidRPr="0040738C" w:rsidRDefault="00CB2A09" w:rsidP="00DD73F9">
      <w:pPr>
        <w:keepNext/>
        <w:rPr>
          <w:b/>
          <w:noProof/>
          <w:sz w:val="22"/>
          <w:szCs w:val="22"/>
        </w:rPr>
      </w:pPr>
      <w:r w:rsidRPr="0040738C">
        <w:rPr>
          <w:b/>
          <w:noProof/>
          <w:sz w:val="22"/>
          <w:szCs w:val="22"/>
        </w:rPr>
        <w:t>10.</w:t>
      </w:r>
      <w:r w:rsidRPr="0040738C">
        <w:rPr>
          <w:b/>
          <w:noProof/>
          <w:sz w:val="22"/>
          <w:szCs w:val="22"/>
        </w:rPr>
        <w:tab/>
        <w:t>DÁTUM REVÍZIE TEXTU</w:t>
      </w:r>
    </w:p>
    <w:p w14:paraId="5B251463" w14:textId="77777777" w:rsidR="00CB2A09" w:rsidRPr="0040738C" w:rsidRDefault="00CB2A09" w:rsidP="00DD73F9">
      <w:pPr>
        <w:keepNext/>
        <w:rPr>
          <w:noProof/>
          <w:sz w:val="22"/>
          <w:szCs w:val="22"/>
        </w:rPr>
      </w:pPr>
    </w:p>
    <w:p w14:paraId="388BF5C1" w14:textId="15CD602A" w:rsidR="00CB2A09" w:rsidRPr="0040738C" w:rsidRDefault="00E46BDE" w:rsidP="00DF47C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03/2017</w:t>
      </w:r>
      <w:bookmarkStart w:id="1" w:name="_GoBack"/>
      <w:bookmarkEnd w:id="1"/>
    </w:p>
    <w:sectPr w:rsidR="00CB2A09" w:rsidRPr="0040738C" w:rsidSect="0049294C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D2555" w14:textId="77777777" w:rsidR="00F144FB" w:rsidRDefault="00F144FB">
      <w:r>
        <w:separator/>
      </w:r>
    </w:p>
  </w:endnote>
  <w:endnote w:type="continuationSeparator" w:id="0">
    <w:p w14:paraId="275F2992" w14:textId="77777777" w:rsidR="00F144FB" w:rsidRDefault="00F144FB">
      <w:r>
        <w:continuationSeparator/>
      </w:r>
    </w:p>
  </w:endnote>
  <w:endnote w:type="continuationNotice" w:id="1">
    <w:p w14:paraId="5AE98B85" w14:textId="77777777" w:rsidR="00F144FB" w:rsidRDefault="00F144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5282C" w14:textId="77777777" w:rsidR="00F4140B" w:rsidRDefault="00F4140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D030BA8" w14:textId="77777777" w:rsidR="00F4140B" w:rsidRDefault="00F4140B" w:rsidP="00DD73F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EEC84" w14:textId="77777777" w:rsidR="00F4140B" w:rsidRPr="008A62A8" w:rsidRDefault="00F4140B">
    <w:pPr>
      <w:pStyle w:val="Pta"/>
      <w:jc w:val="center"/>
      <w:rPr>
        <w:sz w:val="18"/>
        <w:szCs w:val="18"/>
      </w:rPr>
    </w:pPr>
    <w:r w:rsidRPr="008A62A8">
      <w:rPr>
        <w:sz w:val="18"/>
        <w:szCs w:val="18"/>
      </w:rPr>
      <w:fldChar w:fldCharType="begin"/>
    </w:r>
    <w:r w:rsidRPr="008A62A8">
      <w:rPr>
        <w:sz w:val="18"/>
        <w:szCs w:val="18"/>
      </w:rPr>
      <w:instrText>PAGE   \* MERGEFORMAT</w:instrText>
    </w:r>
    <w:r w:rsidRPr="008A62A8">
      <w:rPr>
        <w:sz w:val="18"/>
        <w:szCs w:val="18"/>
      </w:rPr>
      <w:fldChar w:fldCharType="separate"/>
    </w:r>
    <w:r w:rsidR="00E46BDE">
      <w:rPr>
        <w:noProof/>
        <w:sz w:val="18"/>
        <w:szCs w:val="18"/>
      </w:rPr>
      <w:t>2</w:t>
    </w:r>
    <w:r w:rsidRPr="008A62A8">
      <w:rPr>
        <w:sz w:val="18"/>
        <w:szCs w:val="18"/>
      </w:rPr>
      <w:fldChar w:fldCharType="end"/>
    </w:r>
  </w:p>
  <w:p w14:paraId="384484FB" w14:textId="77777777" w:rsidR="00F4140B" w:rsidRDefault="00F4140B" w:rsidP="00DD73F9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8622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60B7202E" w14:textId="62969122" w:rsidR="00E46BDE" w:rsidRPr="00E46BDE" w:rsidRDefault="00E46BDE">
        <w:pPr>
          <w:pStyle w:val="Pta"/>
          <w:jc w:val="center"/>
          <w:rPr>
            <w:sz w:val="18"/>
          </w:rPr>
        </w:pPr>
        <w:r w:rsidRPr="00E46BDE">
          <w:rPr>
            <w:sz w:val="18"/>
          </w:rPr>
          <w:fldChar w:fldCharType="begin"/>
        </w:r>
        <w:r w:rsidRPr="00E46BDE">
          <w:rPr>
            <w:sz w:val="18"/>
          </w:rPr>
          <w:instrText>PAGE   \* MERGEFORMAT</w:instrText>
        </w:r>
        <w:r w:rsidRPr="00E46BDE">
          <w:rPr>
            <w:sz w:val="18"/>
          </w:rPr>
          <w:fldChar w:fldCharType="separate"/>
        </w:r>
        <w:r>
          <w:rPr>
            <w:noProof/>
            <w:sz w:val="18"/>
          </w:rPr>
          <w:t>1</w:t>
        </w:r>
        <w:r w:rsidRPr="00E46BDE">
          <w:rPr>
            <w:sz w:val="18"/>
          </w:rPr>
          <w:fldChar w:fldCharType="end"/>
        </w:r>
      </w:p>
    </w:sdtContent>
  </w:sdt>
  <w:p w14:paraId="29B0D349" w14:textId="77777777" w:rsidR="00E46BDE" w:rsidRDefault="00E46BD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B2A8E" w14:textId="77777777" w:rsidR="00F144FB" w:rsidRDefault="00F144FB">
      <w:r>
        <w:separator/>
      </w:r>
    </w:p>
  </w:footnote>
  <w:footnote w:type="continuationSeparator" w:id="0">
    <w:p w14:paraId="05A55624" w14:textId="77777777" w:rsidR="00F144FB" w:rsidRDefault="00F144FB">
      <w:r>
        <w:continuationSeparator/>
      </w:r>
    </w:p>
  </w:footnote>
  <w:footnote w:type="continuationNotice" w:id="1">
    <w:p w14:paraId="4BD7FD22" w14:textId="77777777" w:rsidR="00F144FB" w:rsidRDefault="00F144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06514" w14:textId="6D21244B" w:rsidR="00F4140B" w:rsidRPr="00E46BDE" w:rsidRDefault="00DF47C9" w:rsidP="00DD73F9">
    <w:pPr>
      <w:pStyle w:val="Hlavika"/>
      <w:rPr>
        <w:sz w:val="18"/>
        <w:szCs w:val="18"/>
      </w:rPr>
    </w:pPr>
    <w:r>
      <w:rPr>
        <w:sz w:val="18"/>
        <w:szCs w:val="18"/>
      </w:rPr>
      <w:t xml:space="preserve">Schválený text k rozhodnutiu o prevode, ev. </w:t>
    </w:r>
    <w:r>
      <w:rPr>
        <w:sz w:val="18"/>
        <w:szCs w:val="18"/>
      </w:rPr>
      <w:t xml:space="preserve">č:  </w:t>
    </w:r>
    <w:r w:rsidR="00F96CE3" w:rsidRPr="00F96CE3">
      <w:rPr>
        <w:sz w:val="18"/>
        <w:szCs w:val="18"/>
      </w:rPr>
      <w:t>2017/00501</w:t>
    </w:r>
    <w:r w:rsidR="00F96CE3">
      <w:rPr>
        <w:sz w:val="18"/>
        <w:szCs w:val="18"/>
      </w:rPr>
      <w:t>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0A4AC2"/>
    <w:multiLevelType w:val="multilevel"/>
    <w:tmpl w:val="8384D2E8"/>
    <w:lvl w:ilvl="0">
      <w:start w:val="4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6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2">
    <w:nsid w:val="0CCA4267"/>
    <w:multiLevelType w:val="hybridMultilevel"/>
    <w:tmpl w:val="A44C8DD6"/>
    <w:lvl w:ilvl="0" w:tplc="F752B80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367B6F"/>
    <w:multiLevelType w:val="hybridMultilevel"/>
    <w:tmpl w:val="33DAC2E6"/>
    <w:lvl w:ilvl="0" w:tplc="35B25132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1F87093"/>
    <w:multiLevelType w:val="hybridMultilevel"/>
    <w:tmpl w:val="B66A835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846357"/>
    <w:multiLevelType w:val="hybridMultilevel"/>
    <w:tmpl w:val="A70AC7CA"/>
    <w:lvl w:ilvl="0" w:tplc="4D8C4C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91543"/>
    <w:multiLevelType w:val="hybridMultilevel"/>
    <w:tmpl w:val="141E239A"/>
    <w:lvl w:ilvl="0" w:tplc="35B25132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3432E3C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MS Mincho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4BF4D30"/>
    <w:multiLevelType w:val="hybridMultilevel"/>
    <w:tmpl w:val="98FA46B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965C73"/>
    <w:multiLevelType w:val="hybridMultilevel"/>
    <w:tmpl w:val="50F059C4"/>
    <w:lvl w:ilvl="0" w:tplc="97481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F4A2B"/>
    <w:multiLevelType w:val="hybridMultilevel"/>
    <w:tmpl w:val="4768BA5C"/>
    <w:lvl w:ilvl="0" w:tplc="35B251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E63752"/>
    <w:multiLevelType w:val="hybridMultilevel"/>
    <w:tmpl w:val="F2BCB36E"/>
    <w:lvl w:ilvl="0" w:tplc="35B25132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7D139E2"/>
    <w:multiLevelType w:val="hybridMultilevel"/>
    <w:tmpl w:val="852ED574"/>
    <w:lvl w:ilvl="0" w:tplc="35B25132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8AE0B98"/>
    <w:multiLevelType w:val="hybridMultilevel"/>
    <w:tmpl w:val="057CA8E6"/>
    <w:lvl w:ilvl="0" w:tplc="35B25132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6"/>
  </w:num>
  <w:num w:numId="7">
    <w:abstractNumId w:val="9"/>
  </w:num>
  <w:num w:numId="8">
    <w:abstractNumId w:val="12"/>
  </w:num>
  <w:num w:numId="9">
    <w:abstractNumId w:val="3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oNotTrackMoves/>
  <w:defaultTabStop w:val="567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7E53"/>
    <w:rsid w:val="000072EF"/>
    <w:rsid w:val="00025C46"/>
    <w:rsid w:val="00031C7B"/>
    <w:rsid w:val="00033668"/>
    <w:rsid w:val="00035E67"/>
    <w:rsid w:val="00054A6A"/>
    <w:rsid w:val="00057567"/>
    <w:rsid w:val="0005771C"/>
    <w:rsid w:val="0007538E"/>
    <w:rsid w:val="00077E25"/>
    <w:rsid w:val="00082DFF"/>
    <w:rsid w:val="00083122"/>
    <w:rsid w:val="00084872"/>
    <w:rsid w:val="00095567"/>
    <w:rsid w:val="0009751E"/>
    <w:rsid w:val="000A1E23"/>
    <w:rsid w:val="000A30E6"/>
    <w:rsid w:val="000A46EE"/>
    <w:rsid w:val="000B03D7"/>
    <w:rsid w:val="000B3986"/>
    <w:rsid w:val="000D4975"/>
    <w:rsid w:val="000D6792"/>
    <w:rsid w:val="000D7163"/>
    <w:rsid w:val="000E2E5C"/>
    <w:rsid w:val="000F2826"/>
    <w:rsid w:val="000F7F2E"/>
    <w:rsid w:val="00110816"/>
    <w:rsid w:val="0011765F"/>
    <w:rsid w:val="001221E9"/>
    <w:rsid w:val="00127811"/>
    <w:rsid w:val="001320DA"/>
    <w:rsid w:val="001378A4"/>
    <w:rsid w:val="001401A3"/>
    <w:rsid w:val="001463C3"/>
    <w:rsid w:val="001473BC"/>
    <w:rsid w:val="001520D1"/>
    <w:rsid w:val="0015784E"/>
    <w:rsid w:val="001630D4"/>
    <w:rsid w:val="001851FB"/>
    <w:rsid w:val="00192689"/>
    <w:rsid w:val="001932B7"/>
    <w:rsid w:val="00193D7A"/>
    <w:rsid w:val="00194860"/>
    <w:rsid w:val="00196926"/>
    <w:rsid w:val="001A28A5"/>
    <w:rsid w:val="001A2C2D"/>
    <w:rsid w:val="001A7F02"/>
    <w:rsid w:val="001B0834"/>
    <w:rsid w:val="001B3721"/>
    <w:rsid w:val="001E1449"/>
    <w:rsid w:val="001E21DC"/>
    <w:rsid w:val="001F1E52"/>
    <w:rsid w:val="001F2CF8"/>
    <w:rsid w:val="00203910"/>
    <w:rsid w:val="00207E61"/>
    <w:rsid w:val="00213810"/>
    <w:rsid w:val="00220A73"/>
    <w:rsid w:val="00230B61"/>
    <w:rsid w:val="00231256"/>
    <w:rsid w:val="00233C51"/>
    <w:rsid w:val="002364F6"/>
    <w:rsid w:val="00243E24"/>
    <w:rsid w:val="0024628E"/>
    <w:rsid w:val="00246E1F"/>
    <w:rsid w:val="00260BC3"/>
    <w:rsid w:val="00266C5D"/>
    <w:rsid w:val="00267257"/>
    <w:rsid w:val="00280B8D"/>
    <w:rsid w:val="00280C7B"/>
    <w:rsid w:val="002A4E25"/>
    <w:rsid w:val="002A50F0"/>
    <w:rsid w:val="002B4B77"/>
    <w:rsid w:val="002C210D"/>
    <w:rsid w:val="002C409B"/>
    <w:rsid w:val="002C44AB"/>
    <w:rsid w:val="002C46AB"/>
    <w:rsid w:val="002E2AFB"/>
    <w:rsid w:val="002F0471"/>
    <w:rsid w:val="002F508E"/>
    <w:rsid w:val="002F5713"/>
    <w:rsid w:val="002F6AE8"/>
    <w:rsid w:val="003024BB"/>
    <w:rsid w:val="00304A25"/>
    <w:rsid w:val="00312582"/>
    <w:rsid w:val="00313D61"/>
    <w:rsid w:val="00321C6C"/>
    <w:rsid w:val="00322B80"/>
    <w:rsid w:val="00333BA1"/>
    <w:rsid w:val="00343A8C"/>
    <w:rsid w:val="003460EF"/>
    <w:rsid w:val="00347306"/>
    <w:rsid w:val="00352AF3"/>
    <w:rsid w:val="00356097"/>
    <w:rsid w:val="00363B6E"/>
    <w:rsid w:val="0036677B"/>
    <w:rsid w:val="00367F11"/>
    <w:rsid w:val="00367F7B"/>
    <w:rsid w:val="00375D34"/>
    <w:rsid w:val="0039161F"/>
    <w:rsid w:val="00391B9A"/>
    <w:rsid w:val="00397E4D"/>
    <w:rsid w:val="003A6EE6"/>
    <w:rsid w:val="003A7257"/>
    <w:rsid w:val="003B7E2A"/>
    <w:rsid w:val="003C1A7A"/>
    <w:rsid w:val="003C3608"/>
    <w:rsid w:val="003C4A98"/>
    <w:rsid w:val="003D7EC9"/>
    <w:rsid w:val="003E2E9D"/>
    <w:rsid w:val="003E54A9"/>
    <w:rsid w:val="003F20A6"/>
    <w:rsid w:val="00403804"/>
    <w:rsid w:val="00403CA2"/>
    <w:rsid w:val="0040403C"/>
    <w:rsid w:val="0040738C"/>
    <w:rsid w:val="00407A0E"/>
    <w:rsid w:val="0041415E"/>
    <w:rsid w:val="0042344A"/>
    <w:rsid w:val="00430960"/>
    <w:rsid w:val="00436E06"/>
    <w:rsid w:val="0046477D"/>
    <w:rsid w:val="00464A8C"/>
    <w:rsid w:val="00464F32"/>
    <w:rsid w:val="004708C8"/>
    <w:rsid w:val="00471972"/>
    <w:rsid w:val="004841EB"/>
    <w:rsid w:val="004852AF"/>
    <w:rsid w:val="0049294C"/>
    <w:rsid w:val="004B1A90"/>
    <w:rsid w:val="004B5F02"/>
    <w:rsid w:val="004B7C39"/>
    <w:rsid w:val="004D0038"/>
    <w:rsid w:val="004D6466"/>
    <w:rsid w:val="004E0246"/>
    <w:rsid w:val="004E0493"/>
    <w:rsid w:val="004E0D97"/>
    <w:rsid w:val="004F7FEF"/>
    <w:rsid w:val="005059C2"/>
    <w:rsid w:val="0050636F"/>
    <w:rsid w:val="00521A03"/>
    <w:rsid w:val="00524CB4"/>
    <w:rsid w:val="005250FA"/>
    <w:rsid w:val="005345A3"/>
    <w:rsid w:val="005357C6"/>
    <w:rsid w:val="00535E7B"/>
    <w:rsid w:val="00537BE9"/>
    <w:rsid w:val="00537E53"/>
    <w:rsid w:val="00540847"/>
    <w:rsid w:val="00545117"/>
    <w:rsid w:val="00555727"/>
    <w:rsid w:val="0056199C"/>
    <w:rsid w:val="00562623"/>
    <w:rsid w:val="00567865"/>
    <w:rsid w:val="00580521"/>
    <w:rsid w:val="005942C2"/>
    <w:rsid w:val="00596766"/>
    <w:rsid w:val="005A260F"/>
    <w:rsid w:val="005B3585"/>
    <w:rsid w:val="005B37A6"/>
    <w:rsid w:val="005E071B"/>
    <w:rsid w:val="005E11C0"/>
    <w:rsid w:val="005E292A"/>
    <w:rsid w:val="005E48A3"/>
    <w:rsid w:val="005F5D94"/>
    <w:rsid w:val="00606197"/>
    <w:rsid w:val="006079D0"/>
    <w:rsid w:val="00611889"/>
    <w:rsid w:val="00611FB4"/>
    <w:rsid w:val="006160FA"/>
    <w:rsid w:val="00622060"/>
    <w:rsid w:val="00642CCE"/>
    <w:rsid w:val="006442D0"/>
    <w:rsid w:val="006446DF"/>
    <w:rsid w:val="00646C8F"/>
    <w:rsid w:val="00654B65"/>
    <w:rsid w:val="00660413"/>
    <w:rsid w:val="00663107"/>
    <w:rsid w:val="006647A7"/>
    <w:rsid w:val="00664BE1"/>
    <w:rsid w:val="006662ED"/>
    <w:rsid w:val="00674167"/>
    <w:rsid w:val="006767AF"/>
    <w:rsid w:val="006772EE"/>
    <w:rsid w:val="00683369"/>
    <w:rsid w:val="006855A1"/>
    <w:rsid w:val="00686210"/>
    <w:rsid w:val="006874DB"/>
    <w:rsid w:val="00687C34"/>
    <w:rsid w:val="006941C4"/>
    <w:rsid w:val="00694795"/>
    <w:rsid w:val="006A12CA"/>
    <w:rsid w:val="006A4676"/>
    <w:rsid w:val="006A478B"/>
    <w:rsid w:val="006A6383"/>
    <w:rsid w:val="006B4AF8"/>
    <w:rsid w:val="006B7349"/>
    <w:rsid w:val="006C4193"/>
    <w:rsid w:val="006E13FB"/>
    <w:rsid w:val="006F1026"/>
    <w:rsid w:val="006F6800"/>
    <w:rsid w:val="006F6D02"/>
    <w:rsid w:val="007048D0"/>
    <w:rsid w:val="00706044"/>
    <w:rsid w:val="00714975"/>
    <w:rsid w:val="00726910"/>
    <w:rsid w:val="0073261B"/>
    <w:rsid w:val="00746395"/>
    <w:rsid w:val="007502CB"/>
    <w:rsid w:val="00761678"/>
    <w:rsid w:val="00763249"/>
    <w:rsid w:val="0077220B"/>
    <w:rsid w:val="007745F0"/>
    <w:rsid w:val="00776525"/>
    <w:rsid w:val="00784C4D"/>
    <w:rsid w:val="00795A9F"/>
    <w:rsid w:val="007D3DEA"/>
    <w:rsid w:val="00806BCA"/>
    <w:rsid w:val="008129EB"/>
    <w:rsid w:val="0082031D"/>
    <w:rsid w:val="00833A6D"/>
    <w:rsid w:val="008342C5"/>
    <w:rsid w:val="00834E0E"/>
    <w:rsid w:val="00835BF7"/>
    <w:rsid w:val="00841A3B"/>
    <w:rsid w:val="008473E3"/>
    <w:rsid w:val="00847BA6"/>
    <w:rsid w:val="00851808"/>
    <w:rsid w:val="00895E57"/>
    <w:rsid w:val="008A62A8"/>
    <w:rsid w:val="008B24AA"/>
    <w:rsid w:val="008C3171"/>
    <w:rsid w:val="008D763F"/>
    <w:rsid w:val="008E4226"/>
    <w:rsid w:val="008F0F7F"/>
    <w:rsid w:val="008F406F"/>
    <w:rsid w:val="009024AE"/>
    <w:rsid w:val="0090266A"/>
    <w:rsid w:val="009027B1"/>
    <w:rsid w:val="00905926"/>
    <w:rsid w:val="00915A5E"/>
    <w:rsid w:val="00916C9E"/>
    <w:rsid w:val="009209F4"/>
    <w:rsid w:val="00922DB6"/>
    <w:rsid w:val="00923209"/>
    <w:rsid w:val="0093154A"/>
    <w:rsid w:val="00941977"/>
    <w:rsid w:val="00943F1A"/>
    <w:rsid w:val="009468AD"/>
    <w:rsid w:val="009617F1"/>
    <w:rsid w:val="00966DCD"/>
    <w:rsid w:val="00970D33"/>
    <w:rsid w:val="00973C22"/>
    <w:rsid w:val="009A2A9B"/>
    <w:rsid w:val="009A5FAB"/>
    <w:rsid w:val="009B1A25"/>
    <w:rsid w:val="009B3BFA"/>
    <w:rsid w:val="009B45A5"/>
    <w:rsid w:val="009D6C6A"/>
    <w:rsid w:val="009E4359"/>
    <w:rsid w:val="009F7A23"/>
    <w:rsid w:val="00A11BB7"/>
    <w:rsid w:val="00A13773"/>
    <w:rsid w:val="00A140E2"/>
    <w:rsid w:val="00A1680C"/>
    <w:rsid w:val="00A23830"/>
    <w:rsid w:val="00A331EC"/>
    <w:rsid w:val="00A365E8"/>
    <w:rsid w:val="00A43014"/>
    <w:rsid w:val="00A52929"/>
    <w:rsid w:val="00A60A60"/>
    <w:rsid w:val="00A612AF"/>
    <w:rsid w:val="00A63F0A"/>
    <w:rsid w:val="00A70A42"/>
    <w:rsid w:val="00A7418F"/>
    <w:rsid w:val="00A8623D"/>
    <w:rsid w:val="00A9367E"/>
    <w:rsid w:val="00AB0753"/>
    <w:rsid w:val="00AC787B"/>
    <w:rsid w:val="00AD63E6"/>
    <w:rsid w:val="00AE5623"/>
    <w:rsid w:val="00AE61AA"/>
    <w:rsid w:val="00AE7B72"/>
    <w:rsid w:val="00AF1FD8"/>
    <w:rsid w:val="00AF656E"/>
    <w:rsid w:val="00AF784C"/>
    <w:rsid w:val="00B00959"/>
    <w:rsid w:val="00B12167"/>
    <w:rsid w:val="00B144D7"/>
    <w:rsid w:val="00B23142"/>
    <w:rsid w:val="00B23B41"/>
    <w:rsid w:val="00B268B0"/>
    <w:rsid w:val="00B36B8B"/>
    <w:rsid w:val="00B3715E"/>
    <w:rsid w:val="00B47CB7"/>
    <w:rsid w:val="00B51F1A"/>
    <w:rsid w:val="00B53638"/>
    <w:rsid w:val="00B66B3B"/>
    <w:rsid w:val="00B6761C"/>
    <w:rsid w:val="00B67CAB"/>
    <w:rsid w:val="00B70405"/>
    <w:rsid w:val="00B732FA"/>
    <w:rsid w:val="00B869F1"/>
    <w:rsid w:val="00B92FDF"/>
    <w:rsid w:val="00BA431B"/>
    <w:rsid w:val="00BA4AED"/>
    <w:rsid w:val="00BA6ED6"/>
    <w:rsid w:val="00BA6F7D"/>
    <w:rsid w:val="00BD6C71"/>
    <w:rsid w:val="00BE1E38"/>
    <w:rsid w:val="00BE242B"/>
    <w:rsid w:val="00BF7692"/>
    <w:rsid w:val="00BF76EF"/>
    <w:rsid w:val="00C2214F"/>
    <w:rsid w:val="00C30CCE"/>
    <w:rsid w:val="00C35BD9"/>
    <w:rsid w:val="00C36FE1"/>
    <w:rsid w:val="00C4339A"/>
    <w:rsid w:val="00C4393C"/>
    <w:rsid w:val="00C43958"/>
    <w:rsid w:val="00C4441D"/>
    <w:rsid w:val="00C53EA8"/>
    <w:rsid w:val="00C71ED6"/>
    <w:rsid w:val="00C82CE9"/>
    <w:rsid w:val="00C90F5C"/>
    <w:rsid w:val="00C922CF"/>
    <w:rsid w:val="00C924DD"/>
    <w:rsid w:val="00CB10DD"/>
    <w:rsid w:val="00CB2A09"/>
    <w:rsid w:val="00CB4EFC"/>
    <w:rsid w:val="00CB65B2"/>
    <w:rsid w:val="00CC542B"/>
    <w:rsid w:val="00CD19F0"/>
    <w:rsid w:val="00CD70B0"/>
    <w:rsid w:val="00CE7D04"/>
    <w:rsid w:val="00CF4950"/>
    <w:rsid w:val="00CF5238"/>
    <w:rsid w:val="00D025D2"/>
    <w:rsid w:val="00D043F6"/>
    <w:rsid w:val="00D066D0"/>
    <w:rsid w:val="00D11A9F"/>
    <w:rsid w:val="00D11CDE"/>
    <w:rsid w:val="00D2727F"/>
    <w:rsid w:val="00D33BE3"/>
    <w:rsid w:val="00D41146"/>
    <w:rsid w:val="00D4288F"/>
    <w:rsid w:val="00D43597"/>
    <w:rsid w:val="00D44427"/>
    <w:rsid w:val="00D52ED2"/>
    <w:rsid w:val="00D53283"/>
    <w:rsid w:val="00D5561F"/>
    <w:rsid w:val="00D653B2"/>
    <w:rsid w:val="00D72F53"/>
    <w:rsid w:val="00D76952"/>
    <w:rsid w:val="00D7740C"/>
    <w:rsid w:val="00D902CC"/>
    <w:rsid w:val="00D975D9"/>
    <w:rsid w:val="00DA544B"/>
    <w:rsid w:val="00DA7A1F"/>
    <w:rsid w:val="00DC0343"/>
    <w:rsid w:val="00DC4155"/>
    <w:rsid w:val="00DC4D07"/>
    <w:rsid w:val="00DD321E"/>
    <w:rsid w:val="00DD411B"/>
    <w:rsid w:val="00DD5216"/>
    <w:rsid w:val="00DD73F9"/>
    <w:rsid w:val="00DF4748"/>
    <w:rsid w:val="00DF47C9"/>
    <w:rsid w:val="00DF7DA2"/>
    <w:rsid w:val="00E04A62"/>
    <w:rsid w:val="00E04FD0"/>
    <w:rsid w:val="00E076B6"/>
    <w:rsid w:val="00E17BAA"/>
    <w:rsid w:val="00E239A6"/>
    <w:rsid w:val="00E30F9E"/>
    <w:rsid w:val="00E33F22"/>
    <w:rsid w:val="00E37866"/>
    <w:rsid w:val="00E4570F"/>
    <w:rsid w:val="00E46BDE"/>
    <w:rsid w:val="00E51616"/>
    <w:rsid w:val="00E51D7F"/>
    <w:rsid w:val="00E538ED"/>
    <w:rsid w:val="00E63606"/>
    <w:rsid w:val="00E66C6B"/>
    <w:rsid w:val="00E83373"/>
    <w:rsid w:val="00E83716"/>
    <w:rsid w:val="00E95A09"/>
    <w:rsid w:val="00EA108E"/>
    <w:rsid w:val="00EA16A3"/>
    <w:rsid w:val="00EA6AC5"/>
    <w:rsid w:val="00EB0ADD"/>
    <w:rsid w:val="00EB1EB3"/>
    <w:rsid w:val="00EC096F"/>
    <w:rsid w:val="00EC3B15"/>
    <w:rsid w:val="00EC3B1B"/>
    <w:rsid w:val="00EC4B47"/>
    <w:rsid w:val="00EE38D6"/>
    <w:rsid w:val="00EF1B31"/>
    <w:rsid w:val="00EF493B"/>
    <w:rsid w:val="00EF72E5"/>
    <w:rsid w:val="00EF7930"/>
    <w:rsid w:val="00F11430"/>
    <w:rsid w:val="00F11C69"/>
    <w:rsid w:val="00F1262F"/>
    <w:rsid w:val="00F13F71"/>
    <w:rsid w:val="00F144FB"/>
    <w:rsid w:val="00F26854"/>
    <w:rsid w:val="00F36236"/>
    <w:rsid w:val="00F40F41"/>
    <w:rsid w:val="00F4140B"/>
    <w:rsid w:val="00F459D8"/>
    <w:rsid w:val="00F53D1B"/>
    <w:rsid w:val="00F6104A"/>
    <w:rsid w:val="00F65819"/>
    <w:rsid w:val="00F711C2"/>
    <w:rsid w:val="00F7217E"/>
    <w:rsid w:val="00F72C9D"/>
    <w:rsid w:val="00F73AE4"/>
    <w:rsid w:val="00F75600"/>
    <w:rsid w:val="00F93190"/>
    <w:rsid w:val="00F96CE3"/>
    <w:rsid w:val="00FA1212"/>
    <w:rsid w:val="00FA1D5C"/>
    <w:rsid w:val="00FA7BF8"/>
    <w:rsid w:val="00FB3E22"/>
    <w:rsid w:val="00FB7B7E"/>
    <w:rsid w:val="00FD277A"/>
    <w:rsid w:val="00FD344A"/>
    <w:rsid w:val="00FE0310"/>
    <w:rsid w:val="00FE4EC3"/>
    <w:rsid w:val="00FE7E78"/>
    <w:rsid w:val="00FE7F5D"/>
    <w:rsid w:val="00FF0E96"/>
    <w:rsid w:val="00FF105A"/>
    <w:rsid w:val="00FF21D2"/>
    <w:rsid w:val="00FF405E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ja-JP"/>
    </w:rPr>
  </w:style>
  <w:style w:type="paragraph" w:styleId="Nadpis1">
    <w:name w:val="heading 1"/>
    <w:basedOn w:val="Normlny"/>
    <w:next w:val="Normlny"/>
    <w:qFormat/>
    <w:pPr>
      <w:keepNext/>
      <w:ind w:left="360" w:hanging="360"/>
      <w:jc w:val="both"/>
      <w:outlineLvl w:val="0"/>
    </w:pPr>
    <w:rPr>
      <w:b/>
      <w:szCs w:val="28"/>
    </w:rPr>
  </w:style>
  <w:style w:type="paragraph" w:styleId="Nadpis2">
    <w:name w:val="heading 2"/>
    <w:basedOn w:val="Normlny"/>
    <w:next w:val="Normlny"/>
    <w:qFormat/>
    <w:pPr>
      <w:keepNext/>
      <w:ind w:left="360" w:hanging="360"/>
      <w:jc w:val="both"/>
      <w:outlineLvl w:val="1"/>
    </w:pPr>
    <w:rPr>
      <w:bCs/>
      <w:szCs w:val="28"/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</w:style>
  <w:style w:type="paragraph" w:styleId="Zarkazkladnhotextu">
    <w:name w:val="Body Text Indent"/>
    <w:basedOn w:val="Normlny"/>
    <w:pPr>
      <w:ind w:left="2340" w:hanging="2340"/>
      <w:jc w:val="both"/>
    </w:pPr>
    <w:rPr>
      <w:bCs/>
      <w:szCs w:val="28"/>
    </w:rPr>
  </w:style>
  <w:style w:type="paragraph" w:styleId="Zarkazkladnhotextu2">
    <w:name w:val="Body Text Indent 2"/>
    <w:basedOn w:val="Normlny"/>
    <w:pPr>
      <w:ind w:left="1260"/>
      <w:jc w:val="both"/>
    </w:pPr>
    <w:rPr>
      <w:bCs/>
      <w:szCs w:val="28"/>
    </w:rPr>
  </w:style>
  <w:style w:type="paragraph" w:styleId="Zarkazkladnhotextu3">
    <w:name w:val="Body Text Indent 3"/>
    <w:basedOn w:val="Normlny"/>
    <w:pPr>
      <w:ind w:left="720" w:hanging="360"/>
      <w:jc w:val="both"/>
    </w:pPr>
    <w:rPr>
      <w:bCs/>
      <w:szCs w:val="28"/>
    </w:r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Podtitul">
    <w:name w:val="Subtitle"/>
    <w:basedOn w:val="Normlny"/>
    <w:qFormat/>
    <w:pPr>
      <w:jc w:val="center"/>
    </w:pPr>
    <w:rPr>
      <w:rFonts w:eastAsia="Times New Roman"/>
      <w:b/>
      <w:sz w:val="22"/>
      <w:lang w:eastAsia="sk-SK"/>
    </w:rPr>
  </w:style>
  <w:style w:type="paragraph" w:styleId="Zkladntext3">
    <w:name w:val="Body Text 3"/>
    <w:basedOn w:val="Normlny"/>
    <w:rPr>
      <w:sz w:val="22"/>
      <w:szCs w:val="20"/>
    </w:rPr>
  </w:style>
  <w:style w:type="paragraph" w:styleId="Nzov">
    <w:name w:val="Title"/>
    <w:basedOn w:val="Normlny"/>
    <w:qFormat/>
    <w:pPr>
      <w:jc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table" w:styleId="Mriekatabuky">
    <w:name w:val="Table Grid"/>
    <w:basedOn w:val="Normlnatabuk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rsid w:val="00973C2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73C22"/>
    <w:rPr>
      <w:sz w:val="20"/>
      <w:szCs w:val="20"/>
    </w:rPr>
  </w:style>
  <w:style w:type="character" w:customStyle="1" w:styleId="TextkomentraChar">
    <w:name w:val="Text komentára Char"/>
    <w:link w:val="Textkomentra"/>
    <w:rsid w:val="00973C22"/>
    <w:rPr>
      <w:lang w:eastAsia="ja-JP"/>
    </w:rPr>
  </w:style>
  <w:style w:type="paragraph" w:styleId="Predmetkomentra">
    <w:name w:val="annotation subject"/>
    <w:basedOn w:val="Textkomentra"/>
    <w:next w:val="Textkomentra"/>
    <w:link w:val="PredmetkomentraChar"/>
    <w:rsid w:val="00973C22"/>
    <w:rPr>
      <w:b/>
      <w:bCs/>
    </w:rPr>
  </w:style>
  <w:style w:type="character" w:customStyle="1" w:styleId="PredmetkomentraChar">
    <w:name w:val="Predmet komentára Char"/>
    <w:link w:val="Predmetkomentra"/>
    <w:rsid w:val="00973C22"/>
    <w:rPr>
      <w:b/>
      <w:bCs/>
      <w:lang w:eastAsia="ja-JP"/>
    </w:rPr>
  </w:style>
  <w:style w:type="paragraph" w:customStyle="1" w:styleId="Revzia1">
    <w:name w:val="Revízia1"/>
    <w:hidden/>
    <w:uiPriority w:val="99"/>
    <w:semiHidden/>
    <w:rsid w:val="00333BA1"/>
    <w:rPr>
      <w:sz w:val="24"/>
      <w:szCs w:val="24"/>
      <w:lang w:eastAsia="ja-JP"/>
    </w:rPr>
  </w:style>
  <w:style w:type="paragraph" w:styleId="Revzia">
    <w:name w:val="Revision"/>
    <w:hidden/>
    <w:uiPriority w:val="99"/>
    <w:semiHidden/>
    <w:rsid w:val="00D653B2"/>
    <w:rPr>
      <w:sz w:val="24"/>
      <w:szCs w:val="24"/>
      <w:lang w:eastAsia="ja-JP"/>
    </w:rPr>
  </w:style>
  <w:style w:type="character" w:styleId="Hypertextovprepojenie">
    <w:name w:val="Hyperlink"/>
    <w:rsid w:val="0046477D"/>
    <w:rPr>
      <w:color w:val="0000FF"/>
      <w:u w:val="single"/>
    </w:rPr>
  </w:style>
  <w:style w:type="paragraph" w:styleId="Hlavika">
    <w:name w:val="header"/>
    <w:basedOn w:val="Normlny"/>
    <w:link w:val="HlavikaChar"/>
    <w:rsid w:val="00AF65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AF656E"/>
    <w:rPr>
      <w:sz w:val="24"/>
      <w:szCs w:val="24"/>
      <w:lang w:eastAsia="ja-JP"/>
    </w:rPr>
  </w:style>
  <w:style w:type="character" w:customStyle="1" w:styleId="PtaChar">
    <w:name w:val="Päta Char"/>
    <w:link w:val="Pta"/>
    <w:uiPriority w:val="99"/>
    <w:rsid w:val="00AF656E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ja-JP"/>
    </w:rPr>
  </w:style>
  <w:style w:type="paragraph" w:styleId="Nadpis1">
    <w:name w:val="heading 1"/>
    <w:basedOn w:val="Normlny"/>
    <w:next w:val="Normlny"/>
    <w:qFormat/>
    <w:pPr>
      <w:keepNext/>
      <w:ind w:left="360" w:hanging="360"/>
      <w:jc w:val="both"/>
      <w:outlineLvl w:val="0"/>
    </w:pPr>
    <w:rPr>
      <w:b/>
      <w:szCs w:val="28"/>
    </w:rPr>
  </w:style>
  <w:style w:type="paragraph" w:styleId="Nadpis2">
    <w:name w:val="heading 2"/>
    <w:basedOn w:val="Normlny"/>
    <w:next w:val="Normlny"/>
    <w:qFormat/>
    <w:pPr>
      <w:keepNext/>
      <w:ind w:left="360" w:hanging="360"/>
      <w:jc w:val="both"/>
      <w:outlineLvl w:val="1"/>
    </w:pPr>
    <w:rPr>
      <w:bCs/>
      <w:szCs w:val="28"/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</w:style>
  <w:style w:type="paragraph" w:styleId="Zarkazkladnhotextu">
    <w:name w:val="Body Text Indent"/>
    <w:basedOn w:val="Normlny"/>
    <w:pPr>
      <w:ind w:left="2340" w:hanging="2340"/>
      <w:jc w:val="both"/>
    </w:pPr>
    <w:rPr>
      <w:bCs/>
      <w:szCs w:val="28"/>
    </w:rPr>
  </w:style>
  <w:style w:type="paragraph" w:styleId="Zarkazkladnhotextu2">
    <w:name w:val="Body Text Indent 2"/>
    <w:basedOn w:val="Normlny"/>
    <w:pPr>
      <w:ind w:left="1260"/>
      <w:jc w:val="both"/>
    </w:pPr>
    <w:rPr>
      <w:bCs/>
      <w:szCs w:val="28"/>
    </w:rPr>
  </w:style>
  <w:style w:type="paragraph" w:styleId="Zarkazkladnhotextu3">
    <w:name w:val="Body Text Indent 3"/>
    <w:basedOn w:val="Normlny"/>
    <w:pPr>
      <w:ind w:left="720" w:hanging="360"/>
      <w:jc w:val="both"/>
    </w:pPr>
    <w:rPr>
      <w:bCs/>
      <w:szCs w:val="28"/>
    </w:r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Podtitul">
    <w:name w:val="Subtitle"/>
    <w:basedOn w:val="Normlny"/>
    <w:qFormat/>
    <w:pPr>
      <w:jc w:val="center"/>
    </w:pPr>
    <w:rPr>
      <w:rFonts w:eastAsia="Times New Roman"/>
      <w:b/>
      <w:sz w:val="22"/>
      <w:lang w:eastAsia="sk-SK"/>
    </w:rPr>
  </w:style>
  <w:style w:type="paragraph" w:styleId="Zkladntext3">
    <w:name w:val="Body Text 3"/>
    <w:basedOn w:val="Normlny"/>
    <w:rPr>
      <w:sz w:val="22"/>
      <w:szCs w:val="20"/>
    </w:rPr>
  </w:style>
  <w:style w:type="paragraph" w:styleId="Nzov">
    <w:name w:val="Title"/>
    <w:basedOn w:val="Normlny"/>
    <w:qFormat/>
    <w:pPr>
      <w:jc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table" w:styleId="Mriekatabuky">
    <w:name w:val="Table Grid"/>
    <w:basedOn w:val="Normlnatabuk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rsid w:val="00973C2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73C22"/>
    <w:rPr>
      <w:sz w:val="20"/>
      <w:szCs w:val="20"/>
    </w:rPr>
  </w:style>
  <w:style w:type="character" w:customStyle="1" w:styleId="TextkomentraChar">
    <w:name w:val="Text komentára Char"/>
    <w:link w:val="Textkomentra"/>
    <w:rsid w:val="00973C22"/>
    <w:rPr>
      <w:lang w:eastAsia="ja-JP"/>
    </w:rPr>
  </w:style>
  <w:style w:type="paragraph" w:styleId="Predmetkomentra">
    <w:name w:val="annotation subject"/>
    <w:basedOn w:val="Textkomentra"/>
    <w:next w:val="Textkomentra"/>
    <w:link w:val="PredmetkomentraChar"/>
    <w:rsid w:val="00973C22"/>
    <w:rPr>
      <w:b/>
      <w:bCs/>
    </w:rPr>
  </w:style>
  <w:style w:type="character" w:customStyle="1" w:styleId="PredmetkomentraChar">
    <w:name w:val="Predmet komentára Char"/>
    <w:link w:val="Predmetkomentra"/>
    <w:rsid w:val="00973C22"/>
    <w:rPr>
      <w:b/>
      <w:bCs/>
      <w:lang w:eastAsia="ja-JP"/>
    </w:rPr>
  </w:style>
  <w:style w:type="paragraph" w:customStyle="1" w:styleId="Revzia1">
    <w:name w:val="Revízia1"/>
    <w:hidden/>
    <w:uiPriority w:val="99"/>
    <w:semiHidden/>
    <w:rsid w:val="00333BA1"/>
    <w:rPr>
      <w:sz w:val="24"/>
      <w:szCs w:val="24"/>
      <w:lang w:eastAsia="ja-JP"/>
    </w:rPr>
  </w:style>
  <w:style w:type="paragraph" w:styleId="Revzia">
    <w:name w:val="Revision"/>
    <w:hidden/>
    <w:uiPriority w:val="99"/>
    <w:semiHidden/>
    <w:rsid w:val="00D653B2"/>
    <w:rPr>
      <w:sz w:val="24"/>
      <w:szCs w:val="24"/>
      <w:lang w:eastAsia="ja-JP"/>
    </w:rPr>
  </w:style>
  <w:style w:type="character" w:styleId="Hypertextovprepojenie">
    <w:name w:val="Hyperlink"/>
    <w:rsid w:val="0046477D"/>
    <w:rPr>
      <w:color w:val="0000FF"/>
      <w:u w:val="single"/>
    </w:rPr>
  </w:style>
  <w:style w:type="paragraph" w:styleId="Hlavika">
    <w:name w:val="header"/>
    <w:basedOn w:val="Normlny"/>
    <w:link w:val="HlavikaChar"/>
    <w:rsid w:val="00AF65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AF656E"/>
    <w:rPr>
      <w:sz w:val="24"/>
      <w:szCs w:val="24"/>
      <w:lang w:eastAsia="ja-JP"/>
    </w:rPr>
  </w:style>
  <w:style w:type="character" w:customStyle="1" w:styleId="PtaChar">
    <w:name w:val="Päta Char"/>
    <w:link w:val="Pta"/>
    <w:uiPriority w:val="99"/>
    <w:rsid w:val="00AF656E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E7D35-EBF4-46B1-B67D-190E0091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5004</Words>
  <Characters>31987</Characters>
  <Application>Microsoft Office Word</Application>
  <DocSecurity>0</DocSecurity>
  <Lines>266</Lines>
  <Paragraphs>73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Časť I B: Súhrn charakteristictík vlastností výrobku</vt:lpstr>
      <vt:lpstr>Časť I B: Súhrn charakteristictík vlastností výrobku</vt:lpstr>
    </vt:vector>
  </TitlesOfParts>
  <Company>Nová Dubnica</Company>
  <LinksUpToDate>false</LinksUpToDate>
  <CharactersWithSpaces>36918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Časť I B: Súhrn charakteristictík vlastností výrobku</dc:title>
  <dc:creator>kaim2a</dc:creator>
  <cp:lastModifiedBy>Dočolomanská, Petra</cp:lastModifiedBy>
  <cp:revision>2</cp:revision>
  <cp:lastPrinted>2015-03-04T07:25:00Z</cp:lastPrinted>
  <dcterms:created xsi:type="dcterms:W3CDTF">2017-03-27T13:46:00Z</dcterms:created>
  <dcterms:modified xsi:type="dcterms:W3CDTF">2017-03-27T13:46:00Z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-1850732573</vt:i4>
  </property>
  <property fmtid="{D5CDD505-2E9C-101B-9397-08002B2CF9AE}" pid="4" name="_EmailSubject">
    <vt:lpwstr>Esmeron - MAH transfer c. 2017/00501 a Notifikácia 61(3) c. 2017/00584</vt:lpwstr>
  </property>
  <property fmtid="{D5CDD505-2E9C-101B-9397-08002B2CF9AE}" pid="5" name="_AuthorEmail">
    <vt:lpwstr>denisa.biharyova@merck.com</vt:lpwstr>
  </property>
  <property fmtid="{D5CDD505-2E9C-101B-9397-08002B2CF9AE}" pid="6" name="_AuthorEmailDisplayName">
    <vt:lpwstr>Falatova, Denisa</vt:lpwstr>
  </property>
  <property fmtid="{D5CDD505-2E9C-101B-9397-08002B2CF9AE}" pid="7" name="_ReviewingToolsShownOnce">
    <vt:lpwstr/>
  </property>
</Properties>
</file>