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D7" w:rsidRPr="007175CC" w:rsidRDefault="006251D7" w:rsidP="006251D7">
      <w:pPr>
        <w:rPr>
          <w:noProof/>
          <w:sz w:val="18"/>
          <w:szCs w:val="22"/>
        </w:rPr>
      </w:pPr>
      <w:r w:rsidRPr="007175CC">
        <w:rPr>
          <w:noProof/>
          <w:sz w:val="18"/>
          <w:szCs w:val="22"/>
        </w:rPr>
        <w:t>Schválený text k rozhodnutiu o zmene, ev.č.: 2016/02958-ZME</w:t>
      </w:r>
    </w:p>
    <w:p w:rsidR="007F1CBF" w:rsidRDefault="007F1CBF" w:rsidP="007F1CBF">
      <w:pPr>
        <w:rPr>
          <w:noProof/>
          <w:sz w:val="18"/>
          <w:szCs w:val="22"/>
        </w:rPr>
      </w:pPr>
      <w:r w:rsidRPr="007175CC">
        <w:rPr>
          <w:noProof/>
          <w:sz w:val="18"/>
          <w:szCs w:val="22"/>
        </w:rPr>
        <w:t>Príloha č.1 k notifikácii o zmene, ev.č.: 2017/00100</w:t>
      </w:r>
      <w:r w:rsidR="00E5441A" w:rsidRPr="007175CC">
        <w:rPr>
          <w:noProof/>
          <w:sz w:val="18"/>
          <w:szCs w:val="22"/>
        </w:rPr>
        <w:t>-Z1A</w:t>
      </w:r>
    </w:p>
    <w:p w:rsidR="005412B9" w:rsidRDefault="005412B9">
      <w:pPr>
        <w:rPr>
          <w:lang w:val="sk-SK"/>
        </w:rPr>
      </w:pPr>
    </w:p>
    <w:p w:rsidR="005412B9" w:rsidRDefault="005412B9">
      <w:pPr>
        <w:jc w:val="center"/>
        <w:rPr>
          <w:b/>
          <w:sz w:val="22"/>
          <w:lang w:val="sk-SK"/>
        </w:rPr>
      </w:pPr>
    </w:p>
    <w:p w:rsidR="005412B9" w:rsidRPr="003C745E" w:rsidRDefault="005412B9">
      <w:pPr>
        <w:jc w:val="center"/>
        <w:rPr>
          <w:b/>
          <w:sz w:val="22"/>
          <w:szCs w:val="22"/>
          <w:lang w:val="sk-SK"/>
        </w:rPr>
      </w:pPr>
      <w:r w:rsidRPr="003C745E">
        <w:rPr>
          <w:b/>
          <w:sz w:val="22"/>
          <w:szCs w:val="22"/>
          <w:lang w:val="sk-SK"/>
        </w:rPr>
        <w:t>SÚHRN CHARAKTERISTICKÝCH VLASTNOSTÍ LIEKU</w:t>
      </w:r>
    </w:p>
    <w:p w:rsidR="005412B9" w:rsidRPr="00696835" w:rsidRDefault="005412B9">
      <w:pPr>
        <w:jc w:val="center"/>
        <w:rPr>
          <w:b/>
          <w:sz w:val="22"/>
          <w:szCs w:val="22"/>
          <w:lang w:val="sk-SK"/>
        </w:rPr>
      </w:pPr>
    </w:p>
    <w:p w:rsidR="005412B9" w:rsidRPr="00187E8F" w:rsidRDefault="005412B9">
      <w:pPr>
        <w:jc w:val="both"/>
        <w:rPr>
          <w:b/>
          <w:sz w:val="22"/>
          <w:szCs w:val="22"/>
          <w:lang w:val="sk-SK"/>
        </w:rPr>
      </w:pPr>
      <w:r w:rsidRPr="00187E8F">
        <w:rPr>
          <w:b/>
          <w:sz w:val="22"/>
          <w:szCs w:val="22"/>
          <w:lang w:val="sk-SK"/>
        </w:rPr>
        <w:t>1.</w:t>
      </w:r>
      <w:r w:rsidRPr="00187E8F">
        <w:rPr>
          <w:b/>
          <w:sz w:val="22"/>
          <w:szCs w:val="22"/>
          <w:lang w:val="sk-SK"/>
        </w:rPr>
        <w:tab/>
        <w:t>NÁZOV LIEKU</w:t>
      </w:r>
    </w:p>
    <w:p w:rsidR="005412B9" w:rsidRPr="0078279F" w:rsidRDefault="005412B9">
      <w:pPr>
        <w:jc w:val="both"/>
        <w:rPr>
          <w:b/>
          <w:sz w:val="22"/>
          <w:szCs w:val="22"/>
          <w:lang w:val="sk-SK"/>
        </w:rPr>
      </w:pPr>
    </w:p>
    <w:p w:rsidR="005412B9" w:rsidRPr="003C745E" w:rsidRDefault="005412B9">
      <w:pPr>
        <w:jc w:val="both"/>
        <w:rPr>
          <w:sz w:val="22"/>
          <w:szCs w:val="22"/>
          <w:lang w:val="sk-SK"/>
        </w:rPr>
      </w:pPr>
      <w:r w:rsidRPr="00706D1A">
        <w:rPr>
          <w:sz w:val="22"/>
          <w:szCs w:val="22"/>
          <w:lang w:val="sk-SK"/>
        </w:rPr>
        <w:t>G</w:t>
      </w:r>
      <w:r w:rsidR="00A93259" w:rsidRPr="00706D1A">
        <w:rPr>
          <w:sz w:val="22"/>
          <w:szCs w:val="22"/>
          <w:lang w:val="sk-SK"/>
        </w:rPr>
        <w:t>lucophage</w:t>
      </w:r>
      <w:r w:rsidRPr="003C745E">
        <w:rPr>
          <w:sz w:val="22"/>
          <w:szCs w:val="22"/>
          <w:lang w:val="sk-SK"/>
        </w:rPr>
        <w:t xml:space="preserve"> 1000 mg </w:t>
      </w:r>
    </w:p>
    <w:p w:rsidR="005A3198" w:rsidRPr="003C745E" w:rsidRDefault="005A3198">
      <w:pPr>
        <w:jc w:val="both"/>
        <w:rPr>
          <w:sz w:val="22"/>
          <w:szCs w:val="22"/>
          <w:lang w:val="sk-SK"/>
        </w:rPr>
      </w:pPr>
      <w:r w:rsidRPr="003C745E">
        <w:rPr>
          <w:sz w:val="22"/>
          <w:szCs w:val="22"/>
          <w:lang w:val="sk-SK"/>
        </w:rPr>
        <w:t>filmom obalené tablety</w:t>
      </w:r>
    </w:p>
    <w:p w:rsidR="005412B9" w:rsidRPr="003C745E" w:rsidRDefault="005412B9">
      <w:pPr>
        <w:jc w:val="both"/>
        <w:rPr>
          <w:b/>
          <w:sz w:val="22"/>
          <w:szCs w:val="22"/>
          <w:lang w:val="sk-SK"/>
        </w:rPr>
      </w:pPr>
    </w:p>
    <w:p w:rsidR="005412B9" w:rsidRPr="002E6FBD" w:rsidRDefault="005412B9">
      <w:pPr>
        <w:jc w:val="both"/>
        <w:rPr>
          <w:b/>
          <w:sz w:val="22"/>
          <w:szCs w:val="22"/>
          <w:lang w:val="sk-SK"/>
        </w:rPr>
      </w:pPr>
    </w:p>
    <w:p w:rsidR="005412B9" w:rsidRPr="002E6FBD" w:rsidRDefault="005412B9">
      <w:pPr>
        <w:jc w:val="both"/>
        <w:rPr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2.</w:t>
      </w:r>
      <w:r w:rsidRPr="002E6FBD">
        <w:rPr>
          <w:b/>
          <w:sz w:val="22"/>
          <w:szCs w:val="22"/>
          <w:lang w:val="sk-SK"/>
        </w:rPr>
        <w:tab/>
        <w:t>KVALITATÍVNE A KVANTITATÍVNE ZLOŽENIE</w:t>
      </w:r>
    </w:p>
    <w:p w:rsidR="005412B9" w:rsidRPr="002E6FBD" w:rsidRDefault="005412B9">
      <w:pPr>
        <w:jc w:val="both"/>
        <w:rPr>
          <w:b/>
          <w:sz w:val="22"/>
          <w:szCs w:val="22"/>
          <w:lang w:val="sk-SK"/>
        </w:rPr>
      </w:pPr>
    </w:p>
    <w:p w:rsidR="005412B9" w:rsidRPr="002E6FBD" w:rsidRDefault="005412B9">
      <w:pPr>
        <w:rPr>
          <w:sz w:val="22"/>
          <w:szCs w:val="22"/>
        </w:rPr>
      </w:pPr>
      <w:r w:rsidRPr="002E6FBD">
        <w:rPr>
          <w:sz w:val="22"/>
          <w:szCs w:val="22"/>
        </w:rPr>
        <w:t xml:space="preserve">Jedna filmom obalená tableta obsahuje 1000 mg metformíniumchloridu, čo </w:t>
      </w:r>
      <w:r w:rsidR="006E6E67" w:rsidRPr="002E6FBD">
        <w:rPr>
          <w:sz w:val="22"/>
          <w:szCs w:val="22"/>
        </w:rPr>
        <w:t>z</w:t>
      </w:r>
      <w:r w:rsidRPr="002E6FBD">
        <w:rPr>
          <w:sz w:val="22"/>
          <w:szCs w:val="22"/>
        </w:rPr>
        <w:t>odpovedá 780 mg   metformínu.</w:t>
      </w:r>
    </w:p>
    <w:p w:rsidR="005412B9" w:rsidRPr="002E6FBD" w:rsidRDefault="005412B9">
      <w:pPr>
        <w:jc w:val="both"/>
        <w:rPr>
          <w:sz w:val="22"/>
          <w:szCs w:val="22"/>
        </w:rPr>
      </w:pPr>
    </w:p>
    <w:p w:rsidR="005412B9" w:rsidRPr="002E6FBD" w:rsidRDefault="005412B9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2E6FBD">
        <w:rPr>
          <w:rFonts w:ascii="Times New Roman" w:hAnsi="Times New Roman" w:cs="Times New Roman"/>
          <w:sz w:val="22"/>
          <w:szCs w:val="22"/>
        </w:rPr>
        <w:t>Úplný zoznam pomocných látok,  pozri časť 6.1.</w:t>
      </w:r>
    </w:p>
    <w:p w:rsidR="005412B9" w:rsidRPr="002E6FBD" w:rsidRDefault="005412B9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:rsidR="005412B9" w:rsidRPr="002E6FBD" w:rsidRDefault="005412B9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:rsidR="005412B9" w:rsidRPr="002E6FBD" w:rsidRDefault="005412B9">
      <w:pPr>
        <w:jc w:val="both"/>
        <w:rPr>
          <w:caps/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3.</w:t>
      </w:r>
      <w:r w:rsidRPr="002E6FBD">
        <w:rPr>
          <w:b/>
          <w:sz w:val="22"/>
          <w:szCs w:val="22"/>
          <w:lang w:val="sk-SK"/>
        </w:rPr>
        <w:tab/>
        <w:t>LIEKOVÁ FORMA</w:t>
      </w:r>
    </w:p>
    <w:p w:rsidR="005412B9" w:rsidRPr="002E6FBD" w:rsidRDefault="005412B9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:rsidR="005412B9" w:rsidRPr="002E6FBD" w:rsidRDefault="005412B9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Filmom obalená tableta.</w:t>
      </w:r>
    </w:p>
    <w:p w:rsidR="005412B9" w:rsidRPr="002E6FBD" w:rsidRDefault="005412B9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2E6FBD">
        <w:rPr>
          <w:rFonts w:ascii="Times New Roman" w:hAnsi="Times New Roman" w:cs="Times New Roman"/>
          <w:sz w:val="22"/>
          <w:szCs w:val="22"/>
        </w:rPr>
        <w:t>Biela, oválna, bikonvexná filmom obalená tableta s deliacou ryhou na oboch stranách s označením „1000“ na jednej strane.</w:t>
      </w:r>
    </w:p>
    <w:p w:rsidR="005412B9" w:rsidRPr="002E6FBD" w:rsidRDefault="005412B9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2E6FBD">
        <w:rPr>
          <w:rFonts w:ascii="Times New Roman" w:hAnsi="Times New Roman" w:cs="Times New Roman"/>
          <w:sz w:val="22"/>
          <w:szCs w:val="22"/>
        </w:rPr>
        <w:t>Tableta sa môže rozdeliť na rovnaké polovice.</w:t>
      </w:r>
    </w:p>
    <w:p w:rsidR="005412B9" w:rsidRPr="002E6FBD" w:rsidRDefault="005412B9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:rsidR="005412B9" w:rsidRPr="002E6FBD" w:rsidRDefault="005412B9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:rsidR="005412B9" w:rsidRPr="002E6FBD" w:rsidRDefault="005412B9">
      <w:pPr>
        <w:jc w:val="both"/>
        <w:rPr>
          <w:caps/>
          <w:sz w:val="22"/>
          <w:szCs w:val="22"/>
          <w:lang w:val="sk-SK"/>
        </w:rPr>
      </w:pPr>
      <w:r w:rsidRPr="002E6FBD">
        <w:rPr>
          <w:b/>
          <w:caps/>
          <w:sz w:val="22"/>
          <w:szCs w:val="22"/>
          <w:lang w:val="sk-SK"/>
        </w:rPr>
        <w:t>4.</w:t>
      </w:r>
      <w:r w:rsidRPr="002E6FBD">
        <w:rPr>
          <w:b/>
          <w:caps/>
          <w:sz w:val="22"/>
          <w:szCs w:val="22"/>
          <w:lang w:val="sk-SK"/>
        </w:rPr>
        <w:tab/>
      </w:r>
      <w:r w:rsidRPr="002E6FBD">
        <w:rPr>
          <w:b/>
          <w:sz w:val="22"/>
          <w:szCs w:val="22"/>
          <w:lang w:val="sk-SK"/>
        </w:rPr>
        <w:t>KLINICKÉ</w:t>
      </w:r>
      <w:r w:rsidRPr="002E6FBD">
        <w:rPr>
          <w:b/>
          <w:caps/>
          <w:sz w:val="22"/>
          <w:szCs w:val="22"/>
          <w:lang w:val="sk-SK"/>
        </w:rPr>
        <w:t xml:space="preserve"> ÚDAJE</w:t>
      </w:r>
    </w:p>
    <w:p w:rsidR="005412B9" w:rsidRPr="002E6FBD" w:rsidRDefault="005412B9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:rsidR="005412B9" w:rsidRPr="002E6FBD" w:rsidRDefault="005412B9">
      <w:pPr>
        <w:jc w:val="both"/>
        <w:rPr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4.1</w:t>
      </w:r>
      <w:r w:rsidRPr="002E6FBD">
        <w:rPr>
          <w:b/>
          <w:sz w:val="22"/>
          <w:szCs w:val="22"/>
          <w:lang w:val="sk-SK"/>
        </w:rPr>
        <w:tab/>
        <w:t>Terapeutické indikácie</w:t>
      </w:r>
    </w:p>
    <w:p w:rsidR="005412B9" w:rsidRPr="002E6FBD" w:rsidRDefault="005412B9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:rsidR="001A6E77" w:rsidRPr="002E6FBD" w:rsidRDefault="001A6E77" w:rsidP="001A6E77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2E6FBD">
        <w:rPr>
          <w:rFonts w:ascii="Times New Roman" w:hAnsi="Times New Roman" w:cs="Times New Roman"/>
          <w:sz w:val="22"/>
          <w:szCs w:val="22"/>
        </w:rPr>
        <w:t>Liečba diabetes mellitus 2. typu, hlavne u obéznych pacientov, keď diéta a cvičenie nevedú k adekvátnej kontrole glykémie.</w:t>
      </w:r>
    </w:p>
    <w:p w:rsidR="001A6E77" w:rsidRPr="003C745E" w:rsidRDefault="001A6E77" w:rsidP="001A6E77">
      <w:pPr>
        <w:ind w:left="720" w:hanging="720"/>
        <w:jc w:val="both"/>
        <w:rPr>
          <w:sz w:val="22"/>
          <w:szCs w:val="22"/>
        </w:rPr>
      </w:pPr>
      <w:r w:rsidRPr="003C745E">
        <w:rPr>
          <w:sz w:val="22"/>
          <w:szCs w:val="22"/>
        </w:rPr>
        <w:sym w:font="Symbol" w:char="F0B7"/>
      </w:r>
      <w:r w:rsidRPr="003C745E">
        <w:rPr>
          <w:sz w:val="22"/>
          <w:szCs w:val="22"/>
        </w:rPr>
        <w:tab/>
        <w:t>U dospelých sa môže Glucophage použiť ako monoterapia, alebo v kombinácii s inými  perorálnymi antidiabetikami alebo s inzulínom.</w:t>
      </w:r>
    </w:p>
    <w:p w:rsidR="001A6E77" w:rsidRPr="00696835" w:rsidRDefault="001A6E77" w:rsidP="001A6E77">
      <w:pPr>
        <w:ind w:left="720" w:hanging="720"/>
        <w:jc w:val="both"/>
        <w:rPr>
          <w:sz w:val="22"/>
          <w:szCs w:val="22"/>
        </w:rPr>
      </w:pPr>
      <w:r w:rsidRPr="003C745E">
        <w:rPr>
          <w:sz w:val="22"/>
          <w:szCs w:val="22"/>
        </w:rPr>
        <w:sym w:font="Symbol" w:char="F0B7"/>
      </w:r>
      <w:r w:rsidRPr="003C745E">
        <w:rPr>
          <w:sz w:val="22"/>
          <w:szCs w:val="22"/>
        </w:rPr>
        <w:tab/>
        <w:t>U detí vo veku viac ako 10 rokov a u dospievajúcich sa môže Glucophage použiť ako monoterapia alebo v kombinácii s inzulínom.</w:t>
      </w:r>
    </w:p>
    <w:p w:rsidR="001A6E77" w:rsidRPr="00187E8F" w:rsidRDefault="001A6E77" w:rsidP="001A6E77">
      <w:pPr>
        <w:rPr>
          <w:sz w:val="22"/>
          <w:szCs w:val="22"/>
        </w:rPr>
      </w:pPr>
      <w:r w:rsidRPr="00187E8F">
        <w:rPr>
          <w:sz w:val="22"/>
          <w:szCs w:val="22"/>
        </w:rPr>
        <w:t>Použitie metformínu ako lieku prvej voľby u obéznych dospelých pacientov s diabetom 2.</w:t>
      </w:r>
      <w:r w:rsidR="007C359A" w:rsidRPr="00187E8F">
        <w:rPr>
          <w:sz w:val="22"/>
          <w:szCs w:val="22"/>
        </w:rPr>
        <w:t xml:space="preserve"> </w:t>
      </w:r>
      <w:r w:rsidRPr="00187E8F">
        <w:rPr>
          <w:sz w:val="22"/>
          <w:szCs w:val="22"/>
        </w:rPr>
        <w:t>typu po zlyhaní diéty, znižuje výskyt diabetických komplikácií (pozri časť 5.1).</w:t>
      </w:r>
    </w:p>
    <w:p w:rsidR="005412B9" w:rsidRPr="0078279F" w:rsidRDefault="005412B9">
      <w:pPr>
        <w:rPr>
          <w:sz w:val="22"/>
          <w:szCs w:val="22"/>
          <w:lang w:val="sk-SK"/>
        </w:rPr>
      </w:pPr>
    </w:p>
    <w:p w:rsidR="005412B9" w:rsidRPr="00706D1A" w:rsidRDefault="005412B9">
      <w:pPr>
        <w:keepNext/>
        <w:jc w:val="both"/>
        <w:rPr>
          <w:b/>
          <w:sz w:val="22"/>
          <w:szCs w:val="22"/>
          <w:lang w:val="sk-SK"/>
        </w:rPr>
      </w:pPr>
      <w:r w:rsidRPr="00706D1A">
        <w:rPr>
          <w:b/>
          <w:sz w:val="22"/>
          <w:szCs w:val="22"/>
          <w:lang w:val="sk-SK"/>
        </w:rPr>
        <w:t>4.2</w:t>
      </w:r>
      <w:r w:rsidRPr="00706D1A">
        <w:rPr>
          <w:b/>
          <w:sz w:val="22"/>
          <w:szCs w:val="22"/>
          <w:lang w:val="sk-SK"/>
        </w:rPr>
        <w:tab/>
        <w:t>Dávkovanie a spôsob podávania</w:t>
      </w:r>
    </w:p>
    <w:p w:rsidR="005412B9" w:rsidRPr="003C745E" w:rsidRDefault="005412B9">
      <w:pPr>
        <w:keepNext/>
        <w:rPr>
          <w:sz w:val="22"/>
          <w:szCs w:val="22"/>
          <w:lang w:val="sk-SK"/>
        </w:rPr>
      </w:pPr>
    </w:p>
    <w:p w:rsidR="003F66EC" w:rsidRPr="003C745E" w:rsidRDefault="003F66EC" w:rsidP="003F66EC">
      <w:pPr>
        <w:jc w:val="both"/>
        <w:rPr>
          <w:bCs/>
          <w:sz w:val="22"/>
          <w:szCs w:val="22"/>
          <w:u w:val="single"/>
        </w:rPr>
      </w:pPr>
      <w:r w:rsidRPr="003C745E">
        <w:rPr>
          <w:bCs/>
          <w:sz w:val="22"/>
          <w:szCs w:val="22"/>
          <w:u w:val="single"/>
        </w:rPr>
        <w:t>Dávkovanie</w:t>
      </w:r>
    </w:p>
    <w:p w:rsidR="003F66EC" w:rsidRPr="003C745E" w:rsidRDefault="003F66EC" w:rsidP="003F66EC">
      <w:pPr>
        <w:jc w:val="both"/>
        <w:rPr>
          <w:bCs/>
          <w:sz w:val="22"/>
          <w:szCs w:val="22"/>
          <w:u w:val="single"/>
        </w:rPr>
      </w:pPr>
    </w:p>
    <w:p w:rsidR="00C52A3E" w:rsidRPr="007175CC" w:rsidRDefault="00C52A3E" w:rsidP="00C52A3E">
      <w:pPr>
        <w:jc w:val="both"/>
        <w:rPr>
          <w:rFonts w:cs="QUOWUE+Verdana"/>
          <w:i/>
          <w:iCs/>
          <w:sz w:val="22"/>
          <w:szCs w:val="22"/>
        </w:rPr>
      </w:pPr>
      <w:r w:rsidRPr="007175CC">
        <w:rPr>
          <w:rFonts w:cs="QUOWUE+Verdana"/>
          <w:i/>
          <w:iCs/>
          <w:sz w:val="22"/>
          <w:szCs w:val="22"/>
        </w:rPr>
        <w:t>Dospelí s normálnou funkciou obličiek (GFR ≥ 90 ml/min)</w:t>
      </w:r>
    </w:p>
    <w:p w:rsidR="003F66EC" w:rsidRPr="002E6FBD" w:rsidRDefault="003F66EC">
      <w:pPr>
        <w:keepNext/>
        <w:rPr>
          <w:i/>
          <w:sz w:val="22"/>
          <w:szCs w:val="22"/>
          <w:u w:val="single"/>
          <w:lang w:val="sk-SK"/>
        </w:rPr>
      </w:pPr>
    </w:p>
    <w:p w:rsidR="001A6E77" w:rsidRPr="002E6FBD" w:rsidRDefault="001A6E77" w:rsidP="001A6E77">
      <w:pPr>
        <w:jc w:val="both"/>
        <w:rPr>
          <w:b/>
          <w:iCs/>
          <w:sz w:val="22"/>
          <w:szCs w:val="22"/>
        </w:rPr>
      </w:pPr>
      <w:r w:rsidRPr="002E6FBD">
        <w:rPr>
          <w:b/>
          <w:iCs/>
          <w:sz w:val="22"/>
          <w:szCs w:val="22"/>
        </w:rPr>
        <w:t>Monoterapia a kombinácia s inými perorálnymi antidiabetikami</w:t>
      </w:r>
    </w:p>
    <w:p w:rsidR="001A6E77" w:rsidRPr="003C745E" w:rsidRDefault="001A6E77" w:rsidP="001A6E7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 xml:space="preserve">Zvyčajná počiatočná dávka je 500 mg alebo 850 mg metformíniumchloridu 2 </w:t>
      </w:r>
      <w:proofErr w:type="gramStart"/>
      <w:r w:rsidRPr="003C745E">
        <w:rPr>
          <w:sz w:val="22"/>
          <w:szCs w:val="22"/>
        </w:rPr>
        <w:t>alebo 3-krát</w:t>
      </w:r>
      <w:proofErr w:type="gramEnd"/>
      <w:r w:rsidRPr="003C745E">
        <w:rPr>
          <w:sz w:val="22"/>
          <w:szCs w:val="22"/>
        </w:rPr>
        <w:t xml:space="preserve"> denne, podaná počas jedla alebo po jedle.</w:t>
      </w:r>
    </w:p>
    <w:p w:rsidR="001A6E77" w:rsidRPr="00187E8F" w:rsidRDefault="001A6E77" w:rsidP="001A6E77">
      <w:pPr>
        <w:jc w:val="both"/>
        <w:rPr>
          <w:sz w:val="22"/>
          <w:szCs w:val="22"/>
        </w:rPr>
      </w:pPr>
      <w:r w:rsidRPr="00696835">
        <w:rPr>
          <w:sz w:val="22"/>
          <w:szCs w:val="22"/>
        </w:rPr>
        <w:t xml:space="preserve">Po 10 až 15 dňoch môže byť dávka upravená na </w:t>
      </w:r>
      <w:proofErr w:type="gramStart"/>
      <w:r w:rsidRPr="00696835">
        <w:rPr>
          <w:sz w:val="22"/>
          <w:szCs w:val="22"/>
        </w:rPr>
        <w:t>základe</w:t>
      </w:r>
      <w:proofErr w:type="gramEnd"/>
      <w:r w:rsidRPr="00696835">
        <w:rPr>
          <w:sz w:val="22"/>
          <w:szCs w:val="22"/>
        </w:rPr>
        <w:t xml:space="preserve"> výsledkov glykémie. Postupné zvyšovanie dávky</w:t>
      </w:r>
      <w:r w:rsidRPr="00187E8F">
        <w:rPr>
          <w:sz w:val="22"/>
          <w:szCs w:val="22"/>
        </w:rPr>
        <w:t xml:space="preserve"> môže zlepšiť gastrointestinálnu toleranciu. </w:t>
      </w:r>
    </w:p>
    <w:p w:rsidR="005412B9" w:rsidRPr="00187E8F" w:rsidRDefault="005412B9">
      <w:pPr>
        <w:rPr>
          <w:sz w:val="22"/>
          <w:szCs w:val="22"/>
          <w:lang w:val="sk-SK"/>
        </w:rPr>
      </w:pPr>
      <w:r w:rsidRPr="00187E8F">
        <w:rPr>
          <w:sz w:val="22"/>
          <w:szCs w:val="22"/>
          <w:lang w:val="sk-SK"/>
        </w:rPr>
        <w:t>Pacienti, ktorí užívajú vysoké dávky metformíniumchloridu (2 až 3 g denne), môžu užívať namiesto dvoch filmom obalených tabliet Glucophage 500 mg jednu filmom obalenú tabletu Glucophage 1000 mg.</w:t>
      </w:r>
    </w:p>
    <w:p w:rsidR="004F7A02" w:rsidRPr="0078279F" w:rsidRDefault="004F7A02" w:rsidP="004F7A02">
      <w:pPr>
        <w:jc w:val="both"/>
        <w:rPr>
          <w:sz w:val="22"/>
          <w:szCs w:val="22"/>
        </w:rPr>
      </w:pPr>
      <w:r w:rsidRPr="0078279F">
        <w:rPr>
          <w:sz w:val="22"/>
          <w:szCs w:val="22"/>
        </w:rPr>
        <w:lastRenderedPageBreak/>
        <w:t>Najvyššia odporúčaná dávka metformínu je 3 g denne, podaná v troch rozdelených dávkach.</w:t>
      </w:r>
    </w:p>
    <w:p w:rsidR="005412B9" w:rsidRPr="003C745E" w:rsidRDefault="005412B9">
      <w:pPr>
        <w:pStyle w:val="SPCnormal"/>
        <w:rPr>
          <w:szCs w:val="22"/>
          <w:lang w:val="sk-SK"/>
        </w:rPr>
      </w:pPr>
      <w:r w:rsidRPr="00706D1A">
        <w:rPr>
          <w:szCs w:val="22"/>
          <w:lang w:val="sk-SK"/>
        </w:rPr>
        <w:t xml:space="preserve">Ak </w:t>
      </w:r>
      <w:r w:rsidR="00011D7E" w:rsidRPr="00706D1A">
        <w:rPr>
          <w:szCs w:val="22"/>
          <w:lang w:val="sk-SK"/>
        </w:rPr>
        <w:t xml:space="preserve">plánujete prechod </w:t>
      </w:r>
      <w:r w:rsidRPr="003C745E">
        <w:rPr>
          <w:szCs w:val="22"/>
          <w:lang w:val="sk-SK"/>
        </w:rPr>
        <w:t xml:space="preserve"> z iného perorálneho antidiabetik</w:t>
      </w:r>
      <w:r w:rsidR="004F7A02" w:rsidRPr="003C745E">
        <w:rPr>
          <w:szCs w:val="22"/>
          <w:lang w:val="sk-SK"/>
        </w:rPr>
        <w:t>a</w:t>
      </w:r>
      <w:r w:rsidRPr="003C745E">
        <w:rPr>
          <w:szCs w:val="22"/>
          <w:lang w:val="sk-SK"/>
        </w:rPr>
        <w:t xml:space="preserve">: ukončite liečbu </w:t>
      </w:r>
      <w:r w:rsidR="004F7A02" w:rsidRPr="003C745E">
        <w:rPr>
          <w:szCs w:val="22"/>
          <w:lang w:val="sk-SK"/>
        </w:rPr>
        <w:t>pôvodným liekom</w:t>
      </w:r>
      <w:r w:rsidRPr="003C745E">
        <w:rPr>
          <w:szCs w:val="22"/>
          <w:lang w:val="sk-SK"/>
        </w:rPr>
        <w:t xml:space="preserve"> a začnite liečbu metformínom vo vyššie uvedenej dávke.</w:t>
      </w:r>
    </w:p>
    <w:p w:rsidR="005412B9" w:rsidRPr="003C745E" w:rsidRDefault="005412B9">
      <w:pPr>
        <w:rPr>
          <w:sz w:val="22"/>
          <w:szCs w:val="22"/>
          <w:lang w:val="sk-SK"/>
        </w:rPr>
      </w:pPr>
    </w:p>
    <w:p w:rsidR="005412B9" w:rsidRPr="002E6FBD" w:rsidRDefault="005412B9">
      <w:pPr>
        <w:keepNext/>
        <w:rPr>
          <w:b/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Kombinácia s inzulínom</w:t>
      </w:r>
    </w:p>
    <w:p w:rsidR="006E6E67" w:rsidRPr="00696835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 xml:space="preserve">Metformín a inzulín je možné v liečbe kombinovať, aby sa dosiahla lepšia kontrola glykémie. Metformíniumchlorid sa podáva vo zvyčajnej počiatočnej dávke 500 mg alebo 850 mg 2 alebo 3-krát denne, zatiaľ čo dávkovanie inzulínu sa prispôsobí na </w:t>
      </w:r>
      <w:proofErr w:type="gramStart"/>
      <w:r w:rsidRPr="003C745E">
        <w:rPr>
          <w:sz w:val="22"/>
          <w:szCs w:val="22"/>
        </w:rPr>
        <w:t>základe</w:t>
      </w:r>
      <w:proofErr w:type="gramEnd"/>
      <w:r w:rsidRPr="003C745E">
        <w:rPr>
          <w:sz w:val="22"/>
          <w:szCs w:val="22"/>
        </w:rPr>
        <w:t xml:space="preserve"> výsledkov vyšetrení g</w:t>
      </w:r>
      <w:r w:rsidRPr="00696835">
        <w:rPr>
          <w:sz w:val="22"/>
          <w:szCs w:val="22"/>
        </w:rPr>
        <w:t>lykémie.</w:t>
      </w:r>
    </w:p>
    <w:p w:rsidR="006E6E67" w:rsidRPr="00187E8F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i/>
          <w:sz w:val="22"/>
          <w:szCs w:val="22"/>
          <w:u w:val="single"/>
        </w:rPr>
      </w:pPr>
      <w:r w:rsidRPr="002E6FBD">
        <w:rPr>
          <w:i/>
          <w:sz w:val="22"/>
          <w:szCs w:val="22"/>
          <w:u w:val="single"/>
        </w:rPr>
        <w:t>Starší pacienti</w:t>
      </w:r>
    </w:p>
    <w:p w:rsidR="006E6E67" w:rsidRPr="00696835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>Vzhľadom na možnosť zníženia funkcie obličiek u starších pacientov je potrebné dávkovanie metformínu prispôsobiť podľa výsledkov vyšetrenia renálnych funkcií. Pravidelné hodnotenie renálnych funkcií je nevyhnutné (pozri časť 4.4).</w:t>
      </w:r>
    </w:p>
    <w:p w:rsidR="006E6E67" w:rsidRPr="00187E8F" w:rsidRDefault="006E6E67" w:rsidP="006E6E67">
      <w:pPr>
        <w:jc w:val="both"/>
        <w:rPr>
          <w:sz w:val="22"/>
          <w:szCs w:val="22"/>
        </w:rPr>
      </w:pPr>
    </w:p>
    <w:p w:rsidR="00C52A3E" w:rsidRPr="007175CC" w:rsidRDefault="00C52A3E" w:rsidP="00C52A3E">
      <w:pPr>
        <w:pStyle w:val="Zkladntext2"/>
        <w:spacing w:after="0" w:line="240" w:lineRule="auto"/>
        <w:rPr>
          <w:i/>
          <w:sz w:val="22"/>
          <w:szCs w:val="22"/>
        </w:rPr>
      </w:pPr>
      <w:r w:rsidRPr="00037BBD">
        <w:rPr>
          <w:i/>
          <w:sz w:val="22"/>
          <w:szCs w:val="22"/>
        </w:rPr>
        <w:t>Porucha funkcie obličiek</w:t>
      </w:r>
    </w:p>
    <w:p w:rsidR="00C52A3E" w:rsidRPr="007175CC" w:rsidRDefault="00C52A3E" w:rsidP="00C52A3E">
      <w:pPr>
        <w:pStyle w:val="Zkladntext2"/>
        <w:spacing w:after="0" w:line="240" w:lineRule="auto"/>
        <w:rPr>
          <w:i/>
          <w:sz w:val="22"/>
          <w:szCs w:val="22"/>
        </w:rPr>
      </w:pPr>
    </w:p>
    <w:p w:rsidR="00C52A3E" w:rsidRPr="007175CC" w:rsidRDefault="00C52A3E" w:rsidP="00C52A3E">
      <w:pPr>
        <w:jc w:val="both"/>
        <w:rPr>
          <w:sz w:val="22"/>
          <w:szCs w:val="22"/>
        </w:rPr>
      </w:pPr>
      <w:r w:rsidRPr="007175CC">
        <w:rPr>
          <w:sz w:val="22"/>
          <w:szCs w:val="22"/>
        </w:rPr>
        <w:t xml:space="preserve">Pred začatím liečby metformínom a minimálne raz ročne po jej začatí je potrebné vyhodnotiť GFR. U pacientov so zvýšeným rizikom ďalšej progresie poruchy funkcie obličiek a u starších osôb je potrebné funkciu obličiek hodnotiť častejšie, napr. každé 3-6 mesiacov. </w:t>
      </w:r>
    </w:p>
    <w:p w:rsidR="00C52A3E" w:rsidRPr="007175CC" w:rsidRDefault="00C52A3E" w:rsidP="00C52A3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207"/>
        <w:gridCol w:w="4711"/>
      </w:tblGrid>
      <w:tr w:rsidR="00C52A3E" w:rsidRPr="007175CC" w:rsidTr="00614489">
        <w:trPr>
          <w:trHeight w:val="481"/>
        </w:trPr>
        <w:tc>
          <w:tcPr>
            <w:tcW w:w="1384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GFR ml/min</w:t>
            </w:r>
          </w:p>
        </w:tc>
        <w:tc>
          <w:tcPr>
            <w:tcW w:w="3260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Celková maximálna denná dávka</w:t>
            </w:r>
          </w:p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(rozdelená na 2-3 denné dávky</w:t>
            </w:r>
          </w:p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 xml:space="preserve">Ďalšie uváženie </w:t>
            </w:r>
          </w:p>
        </w:tc>
      </w:tr>
      <w:tr w:rsidR="00C52A3E" w:rsidRPr="007175CC" w:rsidTr="00614489">
        <w:tc>
          <w:tcPr>
            <w:tcW w:w="1384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60-89</w:t>
            </w:r>
          </w:p>
        </w:tc>
        <w:tc>
          <w:tcPr>
            <w:tcW w:w="3260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3 000 mg</w:t>
            </w:r>
          </w:p>
        </w:tc>
        <w:tc>
          <w:tcPr>
            <w:tcW w:w="4787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 xml:space="preserve">Je možné </w:t>
            </w:r>
            <w:proofErr w:type="spellStart"/>
            <w:r w:rsidRPr="007175CC">
              <w:rPr>
                <w:sz w:val="22"/>
                <w:szCs w:val="22"/>
              </w:rPr>
              <w:t>zvážiť</w:t>
            </w:r>
            <w:proofErr w:type="spellEnd"/>
            <w:r w:rsidRPr="007175CC">
              <w:rPr>
                <w:sz w:val="22"/>
                <w:szCs w:val="22"/>
              </w:rPr>
              <w:t xml:space="preserve"> </w:t>
            </w:r>
            <w:proofErr w:type="spellStart"/>
            <w:r w:rsidRPr="007175CC">
              <w:rPr>
                <w:sz w:val="22"/>
                <w:szCs w:val="22"/>
              </w:rPr>
              <w:t>zníž</w:t>
            </w:r>
            <w:r w:rsidR="00A138AB" w:rsidRPr="007175CC">
              <w:rPr>
                <w:sz w:val="22"/>
                <w:szCs w:val="22"/>
              </w:rPr>
              <w:t>enie</w:t>
            </w:r>
            <w:proofErr w:type="spellEnd"/>
            <w:r w:rsidRPr="007175CC">
              <w:rPr>
                <w:sz w:val="22"/>
                <w:szCs w:val="22"/>
              </w:rPr>
              <w:t xml:space="preserve"> dávky </w:t>
            </w:r>
            <w:proofErr w:type="spellStart"/>
            <w:r w:rsidRPr="007175CC">
              <w:rPr>
                <w:sz w:val="22"/>
                <w:szCs w:val="22"/>
              </w:rPr>
              <w:t>vzhľadom</w:t>
            </w:r>
            <w:proofErr w:type="spellEnd"/>
            <w:r w:rsidRPr="007175CC">
              <w:rPr>
                <w:sz w:val="22"/>
                <w:szCs w:val="22"/>
              </w:rPr>
              <w:t xml:space="preserve"> na pokles funkcie obličiek.</w:t>
            </w:r>
          </w:p>
        </w:tc>
      </w:tr>
      <w:tr w:rsidR="00C52A3E" w:rsidRPr="007175CC" w:rsidTr="00614489">
        <w:tc>
          <w:tcPr>
            <w:tcW w:w="1384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45-59</w:t>
            </w:r>
          </w:p>
        </w:tc>
        <w:tc>
          <w:tcPr>
            <w:tcW w:w="3260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2 000 mg</w:t>
            </w:r>
          </w:p>
        </w:tc>
        <w:tc>
          <w:tcPr>
            <w:tcW w:w="4787" w:type="dxa"/>
            <w:vMerge w:val="restart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Pred zvážením zahájenia liečby metformínom je potrebné posúdiť faktory, ktoré by mohli zvyšovať riziko laktátovej acidózy (pozri časť 4.4).</w:t>
            </w:r>
          </w:p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Úvodná dávka je nanajvýš polovica z maximálnej dávky.</w:t>
            </w:r>
          </w:p>
        </w:tc>
      </w:tr>
      <w:tr w:rsidR="00C52A3E" w:rsidRPr="007175CC" w:rsidTr="00614489">
        <w:tc>
          <w:tcPr>
            <w:tcW w:w="1384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30-44</w:t>
            </w:r>
          </w:p>
        </w:tc>
        <w:tc>
          <w:tcPr>
            <w:tcW w:w="3260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1 000 mg</w:t>
            </w:r>
          </w:p>
        </w:tc>
        <w:tc>
          <w:tcPr>
            <w:tcW w:w="4787" w:type="dxa"/>
            <w:vMerge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</w:p>
        </w:tc>
      </w:tr>
      <w:tr w:rsidR="00C52A3E" w:rsidRPr="007175CC" w:rsidTr="00614489">
        <w:tc>
          <w:tcPr>
            <w:tcW w:w="1384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&lt; 30</w:t>
            </w:r>
          </w:p>
        </w:tc>
        <w:tc>
          <w:tcPr>
            <w:tcW w:w="3260" w:type="dxa"/>
            <w:shd w:val="clear" w:color="auto" w:fill="auto"/>
          </w:tcPr>
          <w:p w:rsidR="00C52A3E" w:rsidRPr="007175CC" w:rsidRDefault="00C52A3E" w:rsidP="00614489">
            <w:pPr>
              <w:jc w:val="both"/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-----</w:t>
            </w:r>
          </w:p>
        </w:tc>
        <w:tc>
          <w:tcPr>
            <w:tcW w:w="4787" w:type="dxa"/>
            <w:shd w:val="clear" w:color="auto" w:fill="auto"/>
          </w:tcPr>
          <w:p w:rsidR="00C52A3E" w:rsidRPr="007175CC" w:rsidRDefault="00C52A3E" w:rsidP="00614489">
            <w:pPr>
              <w:rPr>
                <w:sz w:val="22"/>
                <w:szCs w:val="22"/>
              </w:rPr>
            </w:pPr>
            <w:r w:rsidRPr="007175CC">
              <w:rPr>
                <w:sz w:val="22"/>
                <w:szCs w:val="22"/>
              </w:rPr>
              <w:t>Metformín je kontraindikovaný.</w:t>
            </w:r>
          </w:p>
        </w:tc>
      </w:tr>
    </w:tbl>
    <w:p w:rsidR="003F66EC" w:rsidRPr="002E6FBD" w:rsidRDefault="003F66EC" w:rsidP="006E6E67">
      <w:pPr>
        <w:jc w:val="both"/>
        <w:rPr>
          <w:sz w:val="22"/>
          <w:szCs w:val="22"/>
        </w:rPr>
      </w:pPr>
    </w:p>
    <w:p w:rsidR="003F66EC" w:rsidRPr="002E6FBD" w:rsidRDefault="003F66EC" w:rsidP="003F66EC">
      <w:pPr>
        <w:jc w:val="both"/>
        <w:rPr>
          <w:i/>
          <w:sz w:val="22"/>
          <w:szCs w:val="22"/>
        </w:rPr>
      </w:pPr>
      <w:r w:rsidRPr="002E6FBD">
        <w:rPr>
          <w:i/>
          <w:sz w:val="22"/>
          <w:szCs w:val="22"/>
        </w:rPr>
        <w:t>Pediatrická populácia</w:t>
      </w:r>
    </w:p>
    <w:p w:rsidR="006E6E67" w:rsidRPr="002E6FBD" w:rsidRDefault="006E6E67" w:rsidP="006E6E67">
      <w:pPr>
        <w:jc w:val="both"/>
        <w:rPr>
          <w:b/>
          <w:iCs/>
          <w:sz w:val="22"/>
          <w:szCs w:val="22"/>
        </w:rPr>
      </w:pPr>
      <w:r w:rsidRPr="002E6FBD">
        <w:rPr>
          <w:b/>
          <w:iCs/>
          <w:sz w:val="22"/>
          <w:szCs w:val="22"/>
        </w:rPr>
        <w:t>Monoterapia a kombinácia s inzulínom</w:t>
      </w:r>
    </w:p>
    <w:p w:rsidR="006E6E67" w:rsidRPr="003C745E" w:rsidRDefault="006E6E67" w:rsidP="006E6E67">
      <w:pPr>
        <w:ind w:left="720" w:hanging="720"/>
        <w:jc w:val="both"/>
        <w:rPr>
          <w:sz w:val="22"/>
          <w:szCs w:val="22"/>
        </w:rPr>
      </w:pPr>
      <w:r w:rsidRPr="003C745E">
        <w:rPr>
          <w:sz w:val="22"/>
          <w:szCs w:val="22"/>
        </w:rPr>
        <w:t>Glucophage sa môže podávať deťom starším ako 10 rokov a dospievajúcim.</w:t>
      </w:r>
    </w:p>
    <w:p w:rsidR="007C359A" w:rsidRPr="000B62A0" w:rsidRDefault="006E6E67" w:rsidP="006E6E67">
      <w:pPr>
        <w:ind w:left="720" w:hanging="720"/>
        <w:jc w:val="both"/>
        <w:rPr>
          <w:sz w:val="22"/>
          <w:szCs w:val="22"/>
        </w:rPr>
      </w:pPr>
      <w:r w:rsidRPr="00696835">
        <w:rPr>
          <w:sz w:val="22"/>
          <w:szCs w:val="22"/>
        </w:rPr>
        <w:t xml:space="preserve">Zvyčajná počiatočná dávka je 500 </w:t>
      </w:r>
      <w:r w:rsidR="007C359A" w:rsidRPr="00696835">
        <w:rPr>
          <w:sz w:val="22"/>
          <w:szCs w:val="22"/>
        </w:rPr>
        <w:t xml:space="preserve">mg </w:t>
      </w:r>
      <w:r w:rsidRPr="000B62A0">
        <w:rPr>
          <w:sz w:val="22"/>
          <w:szCs w:val="22"/>
        </w:rPr>
        <w:t xml:space="preserve">alebo 850 mg </w:t>
      </w:r>
      <w:r w:rsidR="007C359A" w:rsidRPr="000B62A0">
        <w:rPr>
          <w:sz w:val="22"/>
          <w:szCs w:val="22"/>
        </w:rPr>
        <w:t xml:space="preserve">metformíniumchloridu raz denne, podaná počas </w:t>
      </w:r>
    </w:p>
    <w:p w:rsidR="006E6E67" w:rsidRPr="00187E8F" w:rsidRDefault="006E6E67" w:rsidP="006E6E67">
      <w:pPr>
        <w:ind w:left="720" w:hanging="720"/>
        <w:jc w:val="both"/>
        <w:rPr>
          <w:sz w:val="22"/>
          <w:szCs w:val="22"/>
        </w:rPr>
      </w:pPr>
      <w:r w:rsidRPr="00187E8F">
        <w:rPr>
          <w:sz w:val="22"/>
          <w:szCs w:val="22"/>
        </w:rPr>
        <w:t>alebo po jedle.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78279F">
        <w:rPr>
          <w:sz w:val="22"/>
          <w:szCs w:val="22"/>
        </w:rPr>
        <w:t xml:space="preserve">Po 10 až 15 dňoch môže byť dávka upravená na </w:t>
      </w:r>
      <w:proofErr w:type="gramStart"/>
      <w:r w:rsidRPr="0078279F">
        <w:rPr>
          <w:sz w:val="22"/>
          <w:szCs w:val="22"/>
        </w:rPr>
        <w:t>základe</w:t>
      </w:r>
      <w:proofErr w:type="gramEnd"/>
      <w:r w:rsidRPr="0078279F">
        <w:rPr>
          <w:sz w:val="22"/>
          <w:szCs w:val="22"/>
        </w:rPr>
        <w:t xml:space="preserve"> výsledkov glykémie. Postupné zvyšovanie dávky môže zlepšiť gastrointestinálnu toleranciu. Najvyššia odporúčaná denná dávka metformíniumchloridu je 2 g, </w:t>
      </w:r>
      <w:r w:rsidR="003F66EC" w:rsidRPr="00706D1A">
        <w:rPr>
          <w:sz w:val="22"/>
          <w:szCs w:val="22"/>
        </w:rPr>
        <w:t xml:space="preserve">rozdelená </w:t>
      </w:r>
      <w:r w:rsidR="003F66EC" w:rsidRPr="003C745E">
        <w:rPr>
          <w:sz w:val="22"/>
          <w:szCs w:val="22"/>
        </w:rPr>
        <w:t>do </w:t>
      </w:r>
      <w:r w:rsidRPr="003C745E">
        <w:rPr>
          <w:sz w:val="22"/>
          <w:szCs w:val="22"/>
        </w:rPr>
        <w:t>2 alebo 3 dáv</w:t>
      </w:r>
      <w:r w:rsidR="003F66EC" w:rsidRPr="003C745E">
        <w:rPr>
          <w:sz w:val="22"/>
          <w:szCs w:val="22"/>
        </w:rPr>
        <w:t>ok.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7175CC" w:rsidRDefault="006E6E67" w:rsidP="006E6E67">
      <w:pPr>
        <w:jc w:val="both"/>
        <w:rPr>
          <w:b/>
          <w:bCs/>
          <w:sz w:val="22"/>
          <w:szCs w:val="22"/>
        </w:rPr>
      </w:pPr>
      <w:r w:rsidRPr="007175CC">
        <w:rPr>
          <w:b/>
          <w:bCs/>
          <w:sz w:val="22"/>
          <w:szCs w:val="22"/>
        </w:rPr>
        <w:t>4.3</w:t>
      </w:r>
      <w:r w:rsidRPr="007175CC">
        <w:rPr>
          <w:b/>
          <w:bCs/>
          <w:sz w:val="22"/>
          <w:szCs w:val="22"/>
        </w:rPr>
        <w:tab/>
        <w:t>Kontraindikácie</w:t>
      </w:r>
    </w:p>
    <w:p w:rsidR="006E6E67" w:rsidRPr="007175CC" w:rsidRDefault="006E6E67" w:rsidP="006E6E67">
      <w:pPr>
        <w:jc w:val="both"/>
        <w:rPr>
          <w:b/>
          <w:bCs/>
          <w:sz w:val="22"/>
          <w:szCs w:val="22"/>
        </w:rPr>
      </w:pPr>
    </w:p>
    <w:p w:rsidR="006E6E67" w:rsidRPr="007175CC" w:rsidRDefault="006E6E67" w:rsidP="008A0BBC">
      <w:pPr>
        <w:numPr>
          <w:ilvl w:val="0"/>
          <w:numId w:val="6"/>
        </w:numPr>
        <w:jc w:val="both"/>
        <w:rPr>
          <w:sz w:val="22"/>
          <w:szCs w:val="22"/>
        </w:rPr>
      </w:pPr>
      <w:r w:rsidRPr="007175CC">
        <w:rPr>
          <w:sz w:val="22"/>
          <w:szCs w:val="22"/>
        </w:rPr>
        <w:t>Precitlivenosť na metformín alebo na ktorúkoľvek z pomocných látok</w:t>
      </w:r>
      <w:r w:rsidR="003F66EC" w:rsidRPr="007175CC">
        <w:rPr>
          <w:sz w:val="22"/>
          <w:szCs w:val="22"/>
        </w:rPr>
        <w:t xml:space="preserve"> uvedených v časti 6.1.</w:t>
      </w:r>
    </w:p>
    <w:p w:rsidR="00C52A3E" w:rsidRPr="007175CC" w:rsidRDefault="00C52A3E" w:rsidP="00C52A3E">
      <w:pPr>
        <w:numPr>
          <w:ilvl w:val="0"/>
          <w:numId w:val="6"/>
        </w:numPr>
        <w:jc w:val="both"/>
        <w:rPr>
          <w:sz w:val="22"/>
          <w:szCs w:val="22"/>
        </w:rPr>
      </w:pPr>
      <w:r w:rsidRPr="007175CC">
        <w:rPr>
          <w:sz w:val="22"/>
          <w:szCs w:val="22"/>
        </w:rPr>
        <w:t>Akýkoľvek typ akútnej metabolickej acidózy (ako napríklad laktátová acidóza, diabetická ketoacidóza).</w:t>
      </w:r>
    </w:p>
    <w:p w:rsidR="00C52A3E" w:rsidRPr="007175CC" w:rsidRDefault="00C52A3E" w:rsidP="00C52A3E">
      <w:pPr>
        <w:numPr>
          <w:ilvl w:val="0"/>
          <w:numId w:val="6"/>
        </w:numPr>
        <w:jc w:val="both"/>
        <w:rPr>
          <w:sz w:val="22"/>
          <w:szCs w:val="22"/>
        </w:rPr>
      </w:pPr>
      <w:r w:rsidRPr="007175CC">
        <w:rPr>
          <w:sz w:val="22"/>
          <w:szCs w:val="22"/>
        </w:rPr>
        <w:t xml:space="preserve">Diabetická pre-kóma. </w:t>
      </w:r>
    </w:p>
    <w:p w:rsidR="00C52A3E" w:rsidRPr="007175CC" w:rsidRDefault="00C52A3E" w:rsidP="00C52A3E">
      <w:pPr>
        <w:numPr>
          <w:ilvl w:val="0"/>
          <w:numId w:val="6"/>
        </w:numPr>
        <w:jc w:val="both"/>
        <w:rPr>
          <w:sz w:val="22"/>
          <w:szCs w:val="22"/>
        </w:rPr>
      </w:pPr>
      <w:r w:rsidRPr="007175CC">
        <w:rPr>
          <w:sz w:val="22"/>
          <w:szCs w:val="22"/>
        </w:rPr>
        <w:t>Závažné zlyhanie obličiek (GFR &lt; 30 ml/min).</w:t>
      </w:r>
    </w:p>
    <w:p w:rsidR="006E6E67" w:rsidRPr="007175CC" w:rsidRDefault="006E6E67" w:rsidP="006E6E67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7175CC">
        <w:rPr>
          <w:sz w:val="22"/>
          <w:szCs w:val="22"/>
        </w:rPr>
        <w:t>Akútne</w:t>
      </w:r>
      <w:proofErr w:type="spellEnd"/>
      <w:r w:rsidRPr="007175CC">
        <w:rPr>
          <w:sz w:val="22"/>
          <w:szCs w:val="22"/>
        </w:rPr>
        <w:t xml:space="preserve"> </w:t>
      </w:r>
      <w:proofErr w:type="spellStart"/>
      <w:r w:rsidRPr="007175CC">
        <w:rPr>
          <w:sz w:val="22"/>
          <w:szCs w:val="22"/>
        </w:rPr>
        <w:t>ochorenia</w:t>
      </w:r>
      <w:proofErr w:type="spellEnd"/>
      <w:r w:rsidRPr="007175CC">
        <w:rPr>
          <w:sz w:val="22"/>
          <w:szCs w:val="22"/>
        </w:rPr>
        <w:t xml:space="preserve">, </w:t>
      </w:r>
      <w:proofErr w:type="spellStart"/>
      <w:r w:rsidRPr="007175CC">
        <w:rPr>
          <w:sz w:val="22"/>
          <w:szCs w:val="22"/>
        </w:rPr>
        <w:t>ktoré</w:t>
      </w:r>
      <w:proofErr w:type="spellEnd"/>
      <w:r w:rsidRPr="007175CC">
        <w:rPr>
          <w:sz w:val="22"/>
          <w:szCs w:val="22"/>
        </w:rPr>
        <w:t xml:space="preserve"> </w:t>
      </w:r>
      <w:proofErr w:type="spellStart"/>
      <w:r w:rsidRPr="007175CC">
        <w:rPr>
          <w:sz w:val="22"/>
          <w:szCs w:val="22"/>
        </w:rPr>
        <w:t>môžu</w:t>
      </w:r>
      <w:proofErr w:type="spellEnd"/>
      <w:r w:rsidRPr="007175CC">
        <w:rPr>
          <w:sz w:val="22"/>
          <w:szCs w:val="22"/>
        </w:rPr>
        <w:t xml:space="preserve"> potenciálne ovplyvniť renálne funkcie ako: dehydratácia, závažná infekcia, šok. </w:t>
      </w:r>
    </w:p>
    <w:p w:rsidR="006E6E67" w:rsidRPr="007175CC" w:rsidRDefault="003F66EC" w:rsidP="008A0BBC">
      <w:pPr>
        <w:numPr>
          <w:ilvl w:val="0"/>
          <w:numId w:val="6"/>
        </w:numPr>
        <w:jc w:val="both"/>
        <w:rPr>
          <w:sz w:val="22"/>
          <w:szCs w:val="22"/>
        </w:rPr>
      </w:pPr>
      <w:r w:rsidRPr="007175CC">
        <w:rPr>
          <w:sz w:val="22"/>
          <w:szCs w:val="22"/>
        </w:rPr>
        <w:t>O</w:t>
      </w:r>
      <w:r w:rsidR="006E6E67" w:rsidRPr="007175CC">
        <w:rPr>
          <w:sz w:val="22"/>
          <w:szCs w:val="22"/>
        </w:rPr>
        <w:t>chorenie, ktoré môže spôsobiť tkanivovú hypoxiu</w:t>
      </w:r>
      <w:r w:rsidR="00FF1D64" w:rsidRPr="007175CC">
        <w:rPr>
          <w:sz w:val="22"/>
          <w:szCs w:val="22"/>
        </w:rPr>
        <w:t xml:space="preserve"> (predovšetkým akútne alebo zhoršujúce sa chronické ochorenie), napr. dekompenzované srdcové zlyhanie, respiračné zlyhanie, nedávny infarkt myokardu, šok.</w:t>
      </w:r>
    </w:p>
    <w:p w:rsidR="006E6E67" w:rsidRPr="007175CC" w:rsidRDefault="006E6E67" w:rsidP="006E6E67">
      <w:pPr>
        <w:numPr>
          <w:ilvl w:val="0"/>
          <w:numId w:val="6"/>
        </w:numPr>
        <w:jc w:val="both"/>
        <w:rPr>
          <w:sz w:val="22"/>
          <w:szCs w:val="22"/>
        </w:rPr>
      </w:pPr>
      <w:bookmarkStart w:id="0" w:name="_GoBack"/>
      <w:bookmarkEnd w:id="0"/>
      <w:r w:rsidRPr="007175CC">
        <w:rPr>
          <w:sz w:val="22"/>
          <w:szCs w:val="22"/>
        </w:rPr>
        <w:t>Hepatálna insuficiencia, akútna intoxikácia alkoholom, alkoholizmus.</w:t>
      </w:r>
    </w:p>
    <w:p w:rsidR="006E6E67" w:rsidRPr="007175CC" w:rsidRDefault="006E6E67" w:rsidP="006E6E67">
      <w:pPr>
        <w:jc w:val="both"/>
        <w:rPr>
          <w:sz w:val="22"/>
          <w:szCs w:val="22"/>
        </w:rPr>
      </w:pPr>
    </w:p>
    <w:p w:rsidR="006E6E67" w:rsidRPr="007175CC" w:rsidRDefault="006E6E67" w:rsidP="006E6E67">
      <w:pPr>
        <w:jc w:val="both"/>
        <w:rPr>
          <w:b/>
          <w:bCs/>
          <w:sz w:val="22"/>
          <w:szCs w:val="22"/>
        </w:rPr>
      </w:pPr>
      <w:r w:rsidRPr="007175CC">
        <w:rPr>
          <w:b/>
          <w:bCs/>
          <w:sz w:val="22"/>
          <w:szCs w:val="22"/>
        </w:rPr>
        <w:t>4.4</w:t>
      </w:r>
      <w:r w:rsidRPr="007175CC">
        <w:rPr>
          <w:b/>
          <w:bCs/>
          <w:sz w:val="22"/>
          <w:szCs w:val="22"/>
        </w:rPr>
        <w:tab/>
        <w:t xml:space="preserve">Osobitné upozornenia a opatrenia </w:t>
      </w:r>
      <w:r w:rsidR="001638C4" w:rsidRPr="007175CC">
        <w:rPr>
          <w:b/>
          <w:bCs/>
          <w:sz w:val="22"/>
          <w:szCs w:val="22"/>
        </w:rPr>
        <w:t>pri používaní</w:t>
      </w:r>
    </w:p>
    <w:p w:rsidR="00C52A3E" w:rsidRPr="007175CC" w:rsidRDefault="00C52A3E" w:rsidP="006E6E67">
      <w:pPr>
        <w:jc w:val="both"/>
        <w:rPr>
          <w:b/>
          <w:bCs/>
          <w:sz w:val="22"/>
          <w:szCs w:val="22"/>
        </w:rPr>
      </w:pPr>
    </w:p>
    <w:p w:rsidR="006E6E67" w:rsidRPr="007175CC" w:rsidRDefault="006E6E67" w:rsidP="006E6E67">
      <w:pPr>
        <w:jc w:val="both"/>
        <w:rPr>
          <w:sz w:val="22"/>
          <w:szCs w:val="22"/>
          <w:u w:val="single"/>
        </w:rPr>
      </w:pPr>
      <w:r w:rsidRPr="007175CC">
        <w:rPr>
          <w:sz w:val="22"/>
          <w:szCs w:val="22"/>
          <w:u w:val="single"/>
        </w:rPr>
        <w:t>Laktátová acidóza</w:t>
      </w:r>
    </w:p>
    <w:p w:rsidR="00C52A3E" w:rsidRPr="007175CC" w:rsidRDefault="00C52A3E" w:rsidP="006E6E67">
      <w:pPr>
        <w:jc w:val="both"/>
        <w:rPr>
          <w:sz w:val="22"/>
          <w:szCs w:val="22"/>
          <w:u w:val="single"/>
        </w:rPr>
      </w:pPr>
    </w:p>
    <w:p w:rsidR="00C52A3E" w:rsidRPr="00037BBD" w:rsidRDefault="00C52A3E" w:rsidP="00C52A3E">
      <w:pPr>
        <w:pStyle w:val="CM16"/>
        <w:spacing w:after="137" w:line="283" w:lineRule="atLeast"/>
        <w:rPr>
          <w:rFonts w:ascii="Times New Roman" w:hAnsi="Times New Roman"/>
          <w:sz w:val="22"/>
          <w:szCs w:val="22"/>
          <w:lang w:val="cs-CZ"/>
        </w:rPr>
      </w:pPr>
      <w:r w:rsidRPr="00037BBD">
        <w:rPr>
          <w:rFonts w:ascii="Times New Roman" w:hAnsi="Times New Roman"/>
          <w:sz w:val="22"/>
          <w:szCs w:val="22"/>
          <w:lang w:val="cs-CZ"/>
        </w:rPr>
        <w:t xml:space="preserve">Laktátová acidóza,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veľmi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zriedkavá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ale závažná metabolická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komplikácia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ktorá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najčastejšie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vyskytuje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akútnom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zhoršení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funkcie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obličiek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alebo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kardiorespiračnom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ochorení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či sepse.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Akumulácia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metformínu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objavuje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akútnom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zhoršení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funkcie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obličiek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zvyšuje riziko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laktátovej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acidózy. </w:t>
      </w:r>
    </w:p>
    <w:p w:rsidR="00C52A3E" w:rsidRPr="00037BBD" w:rsidRDefault="00C52A3E" w:rsidP="00C52A3E">
      <w:pPr>
        <w:pStyle w:val="CM16"/>
        <w:spacing w:after="137" w:line="280" w:lineRule="atLeast"/>
        <w:rPr>
          <w:rFonts w:ascii="Times New Roman" w:hAnsi="Times New Roman"/>
          <w:sz w:val="22"/>
          <w:szCs w:val="22"/>
          <w:lang w:val="cs-CZ"/>
        </w:rPr>
      </w:pPr>
      <w:r w:rsidRPr="00037BBD">
        <w:rPr>
          <w:rFonts w:ascii="Times New Roman" w:hAnsi="Times New Roman"/>
          <w:sz w:val="22"/>
          <w:szCs w:val="22"/>
          <w:lang w:val="cs-CZ"/>
        </w:rPr>
        <w:t xml:space="preserve">V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prípade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dehydratácie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(závažná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hnačka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alebo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vracanie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horúčka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alebo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znížený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príjem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tekutín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) je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potrebné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dočasne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prerušiť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podávanie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metformínu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odporúča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kontaktovať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zdravotníckeho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pracovníka. </w:t>
      </w:r>
    </w:p>
    <w:p w:rsidR="00C52A3E" w:rsidRPr="00037BBD" w:rsidRDefault="00C52A3E" w:rsidP="00C52A3E">
      <w:pPr>
        <w:pStyle w:val="CM16"/>
        <w:spacing w:after="137" w:line="280" w:lineRule="atLeast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Lieky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ktoré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môžu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akútne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narušiť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funkciu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obličiek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(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napríklad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antihypertenzíva,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diuretiká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NSAID)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majú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u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pacientov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liečených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metformínom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začať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podávať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s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opatrnosťou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.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Ďalšie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rizikové faktory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laktátovej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acidózy sú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nadmerné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požívanie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alkoholu,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hepatálna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insuficiencia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nedostatočne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kontrolovaný diabetes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mellitus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ketóza,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dlhotrvajúce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hladovanie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akékoľvek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stavy spojené s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hypoxiou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aj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súbežné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používanie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liekov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ktoré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môžu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spôsobiť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laktátovú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acidózu (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pozri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časti 4.3 a 4.5). </w:t>
      </w:r>
    </w:p>
    <w:p w:rsidR="00C52A3E" w:rsidRPr="007175CC" w:rsidRDefault="00C52A3E" w:rsidP="00C52A3E">
      <w:pPr>
        <w:pStyle w:val="CM5"/>
        <w:rPr>
          <w:rFonts w:ascii="Times New Roman" w:hAnsi="Times New Roman"/>
          <w:sz w:val="22"/>
          <w:szCs w:val="22"/>
        </w:rPr>
      </w:pPr>
      <w:proofErr w:type="spellStart"/>
      <w:r w:rsidRPr="00037BBD">
        <w:rPr>
          <w:rFonts w:ascii="Times New Roman" w:hAnsi="Times New Roman"/>
          <w:sz w:val="22"/>
          <w:szCs w:val="22"/>
        </w:rPr>
        <w:t>Pacienti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a/</w:t>
      </w:r>
      <w:proofErr w:type="spellStart"/>
      <w:r w:rsidRPr="00037BBD">
        <w:rPr>
          <w:rFonts w:ascii="Times New Roman" w:hAnsi="Times New Roman"/>
          <w:sz w:val="22"/>
          <w:szCs w:val="22"/>
        </w:rPr>
        <w:t>alebo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ošetrovatelia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musia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byť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informovaní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037BBD">
        <w:rPr>
          <w:rFonts w:ascii="Times New Roman" w:hAnsi="Times New Roman"/>
          <w:sz w:val="22"/>
          <w:szCs w:val="22"/>
        </w:rPr>
        <w:t>riziku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laktátovej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acidózy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37BBD">
        <w:rPr>
          <w:rFonts w:ascii="Times New Roman" w:hAnsi="Times New Roman"/>
          <w:sz w:val="22"/>
          <w:szCs w:val="22"/>
        </w:rPr>
        <w:t>Laktátová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acidóza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037BBD">
        <w:rPr>
          <w:rFonts w:ascii="Times New Roman" w:hAnsi="Times New Roman"/>
          <w:sz w:val="22"/>
          <w:szCs w:val="22"/>
        </w:rPr>
        <w:t>charakterizovaná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acidotickým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dyspnoe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</w:rPr>
        <w:t>bolesťou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brucha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</w:rPr>
        <w:t>svalovými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kŕčmi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</w:rPr>
        <w:t>asténiou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037BBD">
        <w:rPr>
          <w:rFonts w:ascii="Times New Roman" w:hAnsi="Times New Roman"/>
          <w:sz w:val="22"/>
          <w:szCs w:val="22"/>
        </w:rPr>
        <w:t>hypotermiou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</w:rPr>
        <w:t>po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ktorých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nasleduje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kóma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. V </w:t>
      </w:r>
      <w:proofErr w:type="spellStart"/>
      <w:r w:rsidRPr="00037BBD">
        <w:rPr>
          <w:rFonts w:ascii="Times New Roman" w:hAnsi="Times New Roman"/>
          <w:sz w:val="22"/>
          <w:szCs w:val="22"/>
        </w:rPr>
        <w:t>prípade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podozrenia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na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výskyt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príznakov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musí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pacient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prestať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užívať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metformín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037BBD">
        <w:rPr>
          <w:rFonts w:ascii="Times New Roman" w:hAnsi="Times New Roman"/>
          <w:sz w:val="22"/>
          <w:szCs w:val="22"/>
        </w:rPr>
        <w:t>vyhľadať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okamžité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lekárske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ošetrenie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37BBD">
        <w:rPr>
          <w:rFonts w:ascii="Times New Roman" w:hAnsi="Times New Roman"/>
          <w:sz w:val="22"/>
          <w:szCs w:val="22"/>
        </w:rPr>
        <w:t>Diagnostickými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laboratórnymi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nálezmi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sú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znížená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hodnota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pH </w:t>
      </w:r>
      <w:proofErr w:type="spellStart"/>
      <w:r w:rsidRPr="00037BBD">
        <w:rPr>
          <w:rFonts w:ascii="Times New Roman" w:hAnsi="Times New Roman"/>
          <w:sz w:val="22"/>
          <w:szCs w:val="22"/>
        </w:rPr>
        <w:t>krvi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(&lt; 7,35), </w:t>
      </w:r>
      <w:proofErr w:type="spellStart"/>
      <w:r w:rsidRPr="00037BBD">
        <w:rPr>
          <w:rFonts w:ascii="Times New Roman" w:hAnsi="Times New Roman"/>
          <w:sz w:val="22"/>
          <w:szCs w:val="22"/>
        </w:rPr>
        <w:t>zvýšené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plazmatické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hladiny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laktátu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(&gt;5 </w:t>
      </w:r>
      <w:proofErr w:type="spellStart"/>
      <w:r w:rsidRPr="00037BBD">
        <w:rPr>
          <w:rFonts w:ascii="Times New Roman" w:hAnsi="Times New Roman"/>
          <w:sz w:val="22"/>
          <w:szCs w:val="22"/>
        </w:rPr>
        <w:t>mmol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/l) a </w:t>
      </w:r>
      <w:proofErr w:type="spellStart"/>
      <w:r w:rsidRPr="00037BBD">
        <w:rPr>
          <w:rFonts w:ascii="Times New Roman" w:hAnsi="Times New Roman"/>
          <w:sz w:val="22"/>
          <w:szCs w:val="22"/>
        </w:rPr>
        <w:t>zvýšená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aniónová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medzera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037BBD">
        <w:rPr>
          <w:rFonts w:ascii="Times New Roman" w:hAnsi="Times New Roman"/>
          <w:sz w:val="22"/>
          <w:szCs w:val="22"/>
        </w:rPr>
        <w:t>pomer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</w:rPr>
        <w:t>laktátu</w:t>
      </w:r>
      <w:proofErr w:type="spellEnd"/>
      <w:r w:rsidRPr="00037BBD">
        <w:rPr>
          <w:rFonts w:ascii="Times New Roman" w:hAnsi="Times New Roman"/>
          <w:sz w:val="22"/>
          <w:szCs w:val="22"/>
        </w:rPr>
        <w:t>/</w:t>
      </w:r>
      <w:proofErr w:type="spellStart"/>
      <w:r w:rsidRPr="00037BBD">
        <w:rPr>
          <w:rFonts w:ascii="Times New Roman" w:hAnsi="Times New Roman"/>
          <w:sz w:val="22"/>
          <w:szCs w:val="22"/>
        </w:rPr>
        <w:t>pyruvátu</w:t>
      </w:r>
      <w:proofErr w:type="spellEnd"/>
      <w:r w:rsidRPr="00037BBD">
        <w:rPr>
          <w:rFonts w:ascii="Times New Roman" w:hAnsi="Times New Roman"/>
          <w:sz w:val="22"/>
          <w:szCs w:val="22"/>
        </w:rPr>
        <w:t xml:space="preserve">. </w:t>
      </w:r>
    </w:p>
    <w:p w:rsidR="00C52A3E" w:rsidRPr="007175CC" w:rsidRDefault="00C52A3E" w:rsidP="00C52A3E">
      <w:pPr>
        <w:jc w:val="both"/>
        <w:rPr>
          <w:sz w:val="22"/>
          <w:szCs w:val="22"/>
        </w:rPr>
      </w:pPr>
    </w:p>
    <w:p w:rsidR="00C52A3E" w:rsidRPr="007175CC" w:rsidRDefault="00C52A3E" w:rsidP="00C52A3E">
      <w:pPr>
        <w:jc w:val="both"/>
        <w:rPr>
          <w:i/>
          <w:sz w:val="22"/>
          <w:szCs w:val="22"/>
          <w:u w:val="single"/>
        </w:rPr>
      </w:pPr>
      <w:r w:rsidRPr="007175CC">
        <w:rPr>
          <w:i/>
          <w:sz w:val="22"/>
          <w:szCs w:val="22"/>
          <w:u w:val="single"/>
        </w:rPr>
        <w:t>Funkcia obličiek</w:t>
      </w:r>
    </w:p>
    <w:p w:rsidR="00C52A3E" w:rsidRPr="00037BBD" w:rsidRDefault="00C52A3E" w:rsidP="00C52A3E">
      <w:pPr>
        <w:pStyle w:val="CM4"/>
        <w:rPr>
          <w:rFonts w:ascii="Times New Roman" w:hAnsi="Times New Roman"/>
          <w:sz w:val="22"/>
          <w:szCs w:val="22"/>
          <w:lang w:val="cs-CZ"/>
        </w:rPr>
      </w:pPr>
      <w:r w:rsidRPr="00037BBD">
        <w:rPr>
          <w:rFonts w:ascii="Times New Roman" w:hAnsi="Times New Roman"/>
          <w:sz w:val="22"/>
          <w:szCs w:val="22"/>
          <w:lang w:val="cs-CZ"/>
        </w:rPr>
        <w:t xml:space="preserve">GFR je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potrebné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vyhodnotiť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pred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začiatkom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liečby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pravidelne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po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ňom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pozri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časť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4.2.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Metformín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je kontraindikovaný u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pacientov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s GFR &lt; 30 ml/min a v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prípade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výskytu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stavov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ktorých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dochádza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k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zmene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funkcie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obličiek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je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potrebné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ho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dočasne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prestať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podávať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pozri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časť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4.3. </w:t>
      </w:r>
    </w:p>
    <w:p w:rsidR="007F37B9" w:rsidRPr="002E6FBD" w:rsidRDefault="007F37B9" w:rsidP="007F37B9">
      <w:pPr>
        <w:jc w:val="both"/>
        <w:rPr>
          <w:sz w:val="22"/>
          <w:szCs w:val="22"/>
          <w:u w:val="single"/>
        </w:rPr>
      </w:pPr>
    </w:p>
    <w:p w:rsidR="007F37B9" w:rsidRPr="002E6FBD" w:rsidRDefault="007F37B9" w:rsidP="007F37B9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Srdcové funkcie</w:t>
      </w:r>
    </w:p>
    <w:p w:rsidR="007F37B9" w:rsidRPr="002E6FBD" w:rsidRDefault="007F37B9" w:rsidP="007F37B9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U pacientov so srdcovým zlyhaním je väčšie riziko hypoxie a renálnej insuficiencie. Pacienti so stabilným chronickým srdcovým zlyhaním môžu užívať</w:t>
      </w:r>
      <w:r w:rsidR="00026CB6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 xml:space="preserve">metformín iba vtedy, ak sa pravidelne monitorujú ich srdcové a renálne funkcie. </w:t>
      </w:r>
    </w:p>
    <w:p w:rsidR="007F37B9" w:rsidRPr="007175CC" w:rsidRDefault="007F37B9" w:rsidP="007F37B9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U pacientov s akútnym a nestabilným srdcovým zlyhaním je metformím </w:t>
      </w:r>
      <w:proofErr w:type="gramStart"/>
      <w:r w:rsidRPr="002E6FBD">
        <w:rPr>
          <w:sz w:val="22"/>
          <w:szCs w:val="22"/>
        </w:rPr>
        <w:t>kontraindikovaný  (pozri</w:t>
      </w:r>
      <w:proofErr w:type="gramEnd"/>
      <w:r w:rsidRPr="002E6FBD">
        <w:rPr>
          <w:sz w:val="22"/>
          <w:szCs w:val="22"/>
        </w:rPr>
        <w:t xml:space="preserve"> časť 4</w:t>
      </w:r>
      <w:r w:rsidRPr="007175CC">
        <w:rPr>
          <w:sz w:val="22"/>
          <w:szCs w:val="22"/>
        </w:rPr>
        <w:t>.3).</w:t>
      </w:r>
    </w:p>
    <w:p w:rsidR="00C52A3E" w:rsidRPr="007175CC" w:rsidRDefault="00C52A3E" w:rsidP="007F37B9">
      <w:pPr>
        <w:jc w:val="both"/>
        <w:rPr>
          <w:sz w:val="22"/>
          <w:szCs w:val="22"/>
        </w:rPr>
      </w:pPr>
    </w:p>
    <w:p w:rsidR="00C52A3E" w:rsidRPr="007175CC" w:rsidRDefault="00C52A3E" w:rsidP="00C52A3E">
      <w:pPr>
        <w:jc w:val="both"/>
        <w:rPr>
          <w:i/>
          <w:sz w:val="22"/>
          <w:szCs w:val="22"/>
          <w:u w:val="single"/>
        </w:rPr>
      </w:pPr>
      <w:r w:rsidRPr="007175CC">
        <w:rPr>
          <w:i/>
          <w:sz w:val="22"/>
          <w:szCs w:val="22"/>
          <w:u w:val="single"/>
        </w:rPr>
        <w:t>Podanie jódovej kontrastnej látky</w:t>
      </w:r>
    </w:p>
    <w:p w:rsidR="00C52A3E" w:rsidRPr="00037BBD" w:rsidRDefault="00C52A3E" w:rsidP="00C52A3E">
      <w:pPr>
        <w:pStyle w:val="CM3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Intravaskulárne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podávanie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jódových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kontrastných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látok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môže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viesť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k nefropatii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vyvolanej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kontrastnou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látkou,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čo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spôsobuje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akumuláciu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metformínu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zvýšené riziko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laktátovej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acidózy.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Pred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alebo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v čase postupu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zobrazovania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je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potrebné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prerušiť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podávanie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metformínu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v podávaní pokračujte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skôr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po uplynutí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minimálne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48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hodín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za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predpokladu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že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funkcia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obličiek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bola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opätovne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posúdená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považovaná za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stabilnú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pozrite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časti 4.2 a 4.5. </w:t>
      </w:r>
    </w:p>
    <w:p w:rsidR="00C52A3E" w:rsidRPr="007175CC" w:rsidRDefault="00C52A3E" w:rsidP="00C52A3E">
      <w:pPr>
        <w:jc w:val="both"/>
        <w:rPr>
          <w:sz w:val="22"/>
          <w:szCs w:val="22"/>
        </w:rPr>
      </w:pPr>
    </w:p>
    <w:p w:rsidR="00C52A3E" w:rsidRPr="007175CC" w:rsidRDefault="00C52A3E" w:rsidP="00C52A3E">
      <w:pPr>
        <w:jc w:val="both"/>
        <w:rPr>
          <w:i/>
          <w:sz w:val="22"/>
          <w:szCs w:val="22"/>
          <w:u w:val="single"/>
        </w:rPr>
      </w:pPr>
      <w:r w:rsidRPr="007175CC">
        <w:rPr>
          <w:i/>
          <w:sz w:val="22"/>
          <w:szCs w:val="22"/>
          <w:u w:val="single"/>
        </w:rPr>
        <w:t>Chirurgický zákrok</w:t>
      </w:r>
    </w:p>
    <w:p w:rsidR="00C52A3E" w:rsidRPr="00037BBD" w:rsidRDefault="00C52A3E" w:rsidP="00C52A3E">
      <w:pPr>
        <w:pStyle w:val="CM5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Metformín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musí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vysadiť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v čase chirurgického zákroku s celkovou,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spinálnou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alebo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epidurálnou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anestéziou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.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Liečba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nesmie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opätovne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nasadiť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skôr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ako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48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hodín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po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chirurgickom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zákroku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alebo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po obnovení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perorálnej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výživy a za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predpoklad</w:t>
      </w:r>
      <w:r w:rsidR="004C5F2B" w:rsidRPr="00037BBD">
        <w:rPr>
          <w:rFonts w:ascii="Times New Roman" w:hAnsi="Times New Roman"/>
          <w:sz w:val="22"/>
          <w:szCs w:val="22"/>
          <w:lang w:val="cs-CZ"/>
        </w:rPr>
        <w:t>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že došlo k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opätovnému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vyhodnoteniu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funkcie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obličiek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a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pri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zistení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, že je </w:t>
      </w:r>
      <w:proofErr w:type="spellStart"/>
      <w:r w:rsidRPr="00037BBD">
        <w:rPr>
          <w:rFonts w:ascii="Times New Roman" w:hAnsi="Times New Roman"/>
          <w:sz w:val="22"/>
          <w:szCs w:val="22"/>
          <w:lang w:val="cs-CZ"/>
        </w:rPr>
        <w:t>stabilná</w:t>
      </w:r>
      <w:proofErr w:type="spellEnd"/>
      <w:r w:rsidRPr="00037BBD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:rsidR="00C52A3E" w:rsidRPr="00037BBD" w:rsidRDefault="00C52A3E" w:rsidP="00037BBD"/>
    <w:p w:rsidR="007F37B9" w:rsidRPr="002E6FBD" w:rsidRDefault="007F37B9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lastRenderedPageBreak/>
        <w:t xml:space="preserve">Pediatrická </w:t>
      </w:r>
      <w:proofErr w:type="spellStart"/>
      <w:r w:rsidRPr="002E6FBD">
        <w:rPr>
          <w:sz w:val="22"/>
          <w:szCs w:val="22"/>
          <w:u w:val="single"/>
        </w:rPr>
        <w:t>populácia</w:t>
      </w:r>
      <w:proofErr w:type="spellEnd"/>
      <w:r w:rsidRPr="002E6FBD" w:rsidDel="007F37B9">
        <w:rPr>
          <w:sz w:val="22"/>
          <w:szCs w:val="22"/>
          <w:u w:val="single"/>
        </w:rPr>
        <w:t xml:space="preserve">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Diagnóza diabetes mellitus 2. typu musí byť potvrdená skôr, ako sa začne liečba metformínom. Počas kontrolovaných klinických štúdií trvajúcich jeden rok sa nezistil žiaden vplyv metformínu na rast a pubertu, ale nie sú k dispozícii žiadne dlhodobé údaje o týchto špecifických ukazovateľoch. Z tohto dôvodu sa u detí liečených metformínom, najmä u predpubertálnych detí, odporúča pozorné sledovanie vplyvu metformínu na tieto parametre. </w:t>
      </w:r>
    </w:p>
    <w:p w:rsidR="00D55027" w:rsidRPr="002E6FBD" w:rsidRDefault="00D5502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iCs/>
          <w:sz w:val="22"/>
          <w:szCs w:val="22"/>
        </w:rPr>
      </w:pPr>
      <w:r w:rsidRPr="002E6FBD">
        <w:rPr>
          <w:b/>
          <w:iCs/>
          <w:sz w:val="22"/>
          <w:szCs w:val="22"/>
        </w:rPr>
        <w:t>Deti vo veku 10 až 12 rokov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 xml:space="preserve">Iba 15 detí vo veku 10 až 12 rokov bolo zahrnutých do kontrolovaných klinických štúdií s deťmi </w:t>
      </w:r>
    </w:p>
    <w:p w:rsidR="006E6E67" w:rsidRPr="00187E8F" w:rsidRDefault="006E6E67" w:rsidP="006E6E67">
      <w:pPr>
        <w:jc w:val="both"/>
        <w:rPr>
          <w:sz w:val="22"/>
          <w:szCs w:val="22"/>
        </w:rPr>
      </w:pPr>
      <w:r w:rsidRPr="00696835">
        <w:rPr>
          <w:sz w:val="22"/>
          <w:szCs w:val="22"/>
        </w:rPr>
        <w:t>a s dospievajúcimi. Špeciálna pozornosť sa má venovať predpisovaniu metformínu deťom od 10 do 12 rokov, hoci účinnosť a bezpečnosť metformínu sa u týchto detí nelíšila od účinnosti a bezpečnosti u starších detí a dospievajúcich.</w:t>
      </w:r>
      <w:r w:rsidRPr="00187E8F">
        <w:rPr>
          <w:sz w:val="22"/>
          <w:szCs w:val="22"/>
        </w:rPr>
        <w:t xml:space="preserve"> </w:t>
      </w:r>
    </w:p>
    <w:p w:rsidR="006E6E67" w:rsidRPr="0078279F" w:rsidRDefault="006E6E67" w:rsidP="006E6E67">
      <w:pPr>
        <w:jc w:val="both"/>
        <w:rPr>
          <w:sz w:val="22"/>
          <w:szCs w:val="22"/>
        </w:rPr>
      </w:pPr>
    </w:p>
    <w:p w:rsidR="006E6E67" w:rsidRPr="00706D1A" w:rsidRDefault="006E6E67" w:rsidP="006E6E67">
      <w:pPr>
        <w:jc w:val="both"/>
        <w:rPr>
          <w:sz w:val="22"/>
          <w:szCs w:val="22"/>
          <w:u w:val="single"/>
        </w:rPr>
      </w:pPr>
      <w:r w:rsidRPr="00706D1A">
        <w:rPr>
          <w:sz w:val="22"/>
          <w:szCs w:val="22"/>
          <w:u w:val="single"/>
        </w:rPr>
        <w:t>Ďalšie upozornenia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>Všetci pacienti by mali pokračovať vo svojej diéte s pravidelným rozdelením príjmu sacharidov počas dňa. Pacienti s nadváhou by mali pokračovať v redukčnej diéte.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 xml:space="preserve">Zvyčajné laboratórne vyšetrenia na sledovanie diabetu je potrebné vykonávať pravidelne. 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 xml:space="preserve">Metformín samotný nespôsobuje hypoglykémiu, ale opatrnosť sa odporúča pri jeho užívaní v kombinácii s inzulínom alebo inými perorálnymi antidiabetikami (napr. </w:t>
      </w:r>
      <w:r w:rsidR="005738D5">
        <w:rPr>
          <w:sz w:val="22"/>
          <w:szCs w:val="22"/>
        </w:rPr>
        <w:t xml:space="preserve">deriváty </w:t>
      </w:r>
      <w:r w:rsidRPr="003C745E">
        <w:rPr>
          <w:sz w:val="22"/>
          <w:szCs w:val="22"/>
        </w:rPr>
        <w:t xml:space="preserve">sulfonylurey alebo meglitinidy). 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  <w:r w:rsidRPr="002E6FBD">
        <w:rPr>
          <w:b/>
          <w:bCs/>
          <w:sz w:val="22"/>
          <w:szCs w:val="22"/>
        </w:rPr>
        <w:t>4.5</w:t>
      </w:r>
      <w:r w:rsidRPr="002E6FBD">
        <w:rPr>
          <w:b/>
          <w:bCs/>
          <w:sz w:val="22"/>
          <w:szCs w:val="22"/>
        </w:rPr>
        <w:tab/>
        <w:t>Liekové a iné interakcie</w:t>
      </w: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</w:p>
    <w:p w:rsidR="00C52A3E" w:rsidRPr="007175CC" w:rsidRDefault="00C52A3E" w:rsidP="00C52A3E">
      <w:pPr>
        <w:jc w:val="both"/>
        <w:rPr>
          <w:rFonts w:cs="QUOWUE+Verdana"/>
          <w:iCs/>
          <w:sz w:val="22"/>
          <w:szCs w:val="22"/>
          <w:u w:val="single"/>
        </w:rPr>
      </w:pPr>
      <w:r w:rsidRPr="00037BBD">
        <w:rPr>
          <w:rFonts w:cs="QUOWUE+Verdana"/>
          <w:iCs/>
          <w:sz w:val="22"/>
          <w:szCs w:val="22"/>
          <w:u w:val="single"/>
        </w:rPr>
        <w:t xml:space="preserve">Súbežné používanie, ktoré sa neodporúča </w:t>
      </w:r>
    </w:p>
    <w:p w:rsidR="00C52A3E" w:rsidRPr="007175CC" w:rsidRDefault="00C52A3E" w:rsidP="00C52A3E">
      <w:pPr>
        <w:jc w:val="both"/>
        <w:rPr>
          <w:sz w:val="22"/>
          <w:szCs w:val="22"/>
        </w:rPr>
      </w:pPr>
      <w:r w:rsidRPr="00037BBD">
        <w:rPr>
          <w:i/>
          <w:iCs/>
          <w:sz w:val="22"/>
          <w:szCs w:val="22"/>
        </w:rPr>
        <w:t>Alkohol</w:t>
      </w:r>
      <w:r w:rsidRPr="00037BBD">
        <w:rPr>
          <w:sz w:val="22"/>
          <w:szCs w:val="22"/>
        </w:rPr>
        <w:t xml:space="preserve"> </w:t>
      </w:r>
    </w:p>
    <w:p w:rsidR="00C52A3E" w:rsidRPr="007175CC" w:rsidRDefault="00C52A3E" w:rsidP="00C52A3E">
      <w:pPr>
        <w:jc w:val="both"/>
        <w:rPr>
          <w:sz w:val="22"/>
          <w:szCs w:val="22"/>
        </w:rPr>
      </w:pPr>
      <w:r w:rsidRPr="00037BBD">
        <w:rPr>
          <w:sz w:val="22"/>
          <w:szCs w:val="22"/>
        </w:rPr>
        <w:t xml:space="preserve">Intoxikácia alkoholom je spojená so zvýšeným rizikom laktátovej acidózy najmä v prípadoch hladovania, nedostatočnej výživy alebo poškodenia funkcie pečene. </w:t>
      </w:r>
    </w:p>
    <w:p w:rsidR="00C52A3E" w:rsidRPr="007175CC" w:rsidRDefault="00C52A3E" w:rsidP="00C52A3E">
      <w:pPr>
        <w:jc w:val="both"/>
        <w:rPr>
          <w:sz w:val="22"/>
          <w:szCs w:val="22"/>
        </w:rPr>
      </w:pPr>
    </w:p>
    <w:p w:rsidR="00C52A3E" w:rsidRPr="007175CC" w:rsidRDefault="00C52A3E" w:rsidP="00C52A3E">
      <w:pPr>
        <w:jc w:val="both"/>
        <w:rPr>
          <w:i/>
          <w:iCs/>
          <w:sz w:val="22"/>
          <w:szCs w:val="22"/>
        </w:rPr>
      </w:pPr>
      <w:r w:rsidRPr="00037BBD">
        <w:rPr>
          <w:i/>
          <w:iCs/>
          <w:sz w:val="22"/>
          <w:szCs w:val="22"/>
        </w:rPr>
        <w:t>Jódové kontrastné látky</w:t>
      </w:r>
    </w:p>
    <w:p w:rsidR="00C52A3E" w:rsidRPr="007175CC" w:rsidRDefault="00C52A3E" w:rsidP="00C52A3E">
      <w:pPr>
        <w:pStyle w:val="CM11"/>
        <w:rPr>
          <w:rFonts w:ascii="Times New Roman" w:eastAsia="Batang" w:hAnsi="Times New Roman"/>
          <w:sz w:val="22"/>
          <w:szCs w:val="22"/>
          <w:lang w:val="sk-SK"/>
        </w:rPr>
      </w:pPr>
      <w:r w:rsidRPr="007175CC">
        <w:rPr>
          <w:rFonts w:ascii="Times New Roman" w:eastAsia="Batang" w:hAnsi="Times New Roman"/>
          <w:sz w:val="22"/>
          <w:szCs w:val="22"/>
          <w:lang w:val="sk-SK"/>
        </w:rPr>
        <w:t xml:space="preserve">Pred zobrazovacím vyšetrením alebo v čase zobrazovacieho vyšetrenia sa metformín musí vysadiť a nesmie sa opätovne nasadiť, kým neuplynie minimálne 48 hodín potom, za predpokladu, že došlo k opätovnému vyhodnoteniu funkcie obličiek a zistilo sa, že je stabilná, pozri časti 4.2 a 4.4. </w:t>
      </w:r>
    </w:p>
    <w:p w:rsidR="00C52A3E" w:rsidRPr="007175CC" w:rsidRDefault="00C52A3E" w:rsidP="00C52A3E">
      <w:pPr>
        <w:ind w:firstLine="720"/>
        <w:jc w:val="both"/>
        <w:rPr>
          <w:sz w:val="22"/>
          <w:szCs w:val="22"/>
        </w:rPr>
      </w:pPr>
    </w:p>
    <w:p w:rsidR="00C52A3E" w:rsidRPr="007175CC" w:rsidRDefault="00C52A3E" w:rsidP="00C52A3E">
      <w:pPr>
        <w:jc w:val="both"/>
        <w:rPr>
          <w:rFonts w:cs="QUOWUE+Verdana"/>
          <w:iCs/>
          <w:sz w:val="22"/>
          <w:szCs w:val="22"/>
          <w:u w:val="single"/>
        </w:rPr>
      </w:pPr>
      <w:r w:rsidRPr="00037BBD">
        <w:rPr>
          <w:rFonts w:cs="QUOWUE+Verdana"/>
          <w:iCs/>
          <w:sz w:val="22"/>
          <w:szCs w:val="22"/>
          <w:u w:val="single"/>
        </w:rPr>
        <w:t xml:space="preserve">Kombinácia, pri ktorej sa vyžaduje opatrnosť pri používaní </w:t>
      </w:r>
    </w:p>
    <w:p w:rsidR="00C52A3E" w:rsidRPr="007175CC" w:rsidRDefault="00C52A3E" w:rsidP="006E6E67">
      <w:pPr>
        <w:jc w:val="both"/>
        <w:rPr>
          <w:rFonts w:eastAsia="Batang"/>
          <w:sz w:val="22"/>
          <w:szCs w:val="22"/>
          <w:lang w:val="sk-SK"/>
        </w:rPr>
      </w:pPr>
      <w:r w:rsidRPr="00037BBD">
        <w:rPr>
          <w:rFonts w:eastAsia="Batang"/>
          <w:sz w:val="22"/>
          <w:szCs w:val="22"/>
          <w:lang w:val="sk-SK"/>
        </w:rPr>
        <w:t>Niektoré lieky môžu nežiaduco ovplyvňovať funkciu obličiek, čo môže zv</w:t>
      </w:r>
      <w:r w:rsidR="004D6351" w:rsidRPr="00037BBD">
        <w:rPr>
          <w:rFonts w:eastAsia="Batang"/>
          <w:sz w:val="22"/>
          <w:szCs w:val="22"/>
          <w:lang w:val="sk-SK"/>
        </w:rPr>
        <w:t>ý</w:t>
      </w:r>
      <w:r w:rsidRPr="00037BBD">
        <w:rPr>
          <w:rFonts w:eastAsia="Batang"/>
          <w:sz w:val="22"/>
          <w:szCs w:val="22"/>
          <w:lang w:val="sk-SK"/>
        </w:rPr>
        <w:t xml:space="preserve">šiť riziko </w:t>
      </w:r>
      <w:proofErr w:type="spellStart"/>
      <w:r w:rsidRPr="00037BBD">
        <w:rPr>
          <w:rFonts w:eastAsia="Batang"/>
          <w:sz w:val="22"/>
          <w:szCs w:val="22"/>
          <w:lang w:val="sk-SK"/>
        </w:rPr>
        <w:t>laktátovej</w:t>
      </w:r>
      <w:proofErr w:type="spellEnd"/>
      <w:r w:rsidRPr="00037BBD">
        <w:rPr>
          <w:rFonts w:eastAsia="Batang"/>
          <w:sz w:val="22"/>
          <w:szCs w:val="22"/>
          <w:lang w:val="sk-SK"/>
        </w:rPr>
        <w:t xml:space="preserve"> </w:t>
      </w:r>
      <w:proofErr w:type="spellStart"/>
      <w:r w:rsidRPr="00037BBD">
        <w:rPr>
          <w:rFonts w:eastAsia="Batang"/>
          <w:sz w:val="22"/>
          <w:szCs w:val="22"/>
          <w:lang w:val="sk-SK"/>
        </w:rPr>
        <w:t>acidózy</w:t>
      </w:r>
      <w:proofErr w:type="spellEnd"/>
      <w:r w:rsidRPr="00037BBD">
        <w:rPr>
          <w:rFonts w:eastAsia="Batang"/>
          <w:sz w:val="22"/>
          <w:szCs w:val="22"/>
          <w:lang w:val="sk-SK"/>
        </w:rPr>
        <w:t xml:space="preserve">, napr. NSAID vrátane selektívnych inhibítorov cyklooxygenázy II (COX), inhibítorov ACE, antagonistov receptora angiotenzínu II a diuretík, obzvlášť </w:t>
      </w:r>
      <w:proofErr w:type="spellStart"/>
      <w:r w:rsidRPr="00037BBD">
        <w:rPr>
          <w:rFonts w:eastAsia="Batang"/>
          <w:sz w:val="22"/>
          <w:szCs w:val="22"/>
          <w:lang w:val="sk-SK"/>
        </w:rPr>
        <w:t>kľ</w:t>
      </w:r>
      <w:r w:rsidR="004D6351" w:rsidRPr="00037BBD">
        <w:rPr>
          <w:rFonts w:eastAsia="Batang"/>
          <w:sz w:val="22"/>
          <w:szCs w:val="22"/>
          <w:lang w:val="sk-SK"/>
        </w:rPr>
        <w:t>u</w:t>
      </w:r>
      <w:r w:rsidRPr="00037BBD">
        <w:rPr>
          <w:rFonts w:eastAsia="Batang"/>
          <w:sz w:val="22"/>
          <w:szCs w:val="22"/>
          <w:lang w:val="sk-SK"/>
        </w:rPr>
        <w:t>čkových</w:t>
      </w:r>
      <w:proofErr w:type="spellEnd"/>
      <w:r w:rsidRPr="00037BBD">
        <w:rPr>
          <w:rFonts w:eastAsia="Batang"/>
          <w:sz w:val="22"/>
          <w:szCs w:val="22"/>
          <w:lang w:val="sk-SK"/>
        </w:rPr>
        <w:t xml:space="preserve"> diuretík. Ak sa začína používať alebo používa takýto liek v kombinácii s metformínom, je potrebné dôkladné monitorovanie funkcie obličiek</w:t>
      </w:r>
    </w:p>
    <w:p w:rsidR="006E6E67" w:rsidRPr="007175CC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i/>
          <w:iCs/>
          <w:sz w:val="22"/>
          <w:szCs w:val="22"/>
        </w:rPr>
      </w:pPr>
      <w:r w:rsidRPr="002E6FBD">
        <w:rPr>
          <w:i/>
          <w:iCs/>
          <w:sz w:val="22"/>
          <w:szCs w:val="22"/>
        </w:rPr>
        <w:t xml:space="preserve">Lieky s vnútornou hyperglykemickou aktivitou (napr. glukokortikoidy (podávané systémovo a lokálne), a sympatomimetiká)  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Môže byť potrebné vykonávať častejšie glykemické kontroly, najmä na začiatku liečby. Ak je to potrebné, upravte dávkovanie metformínu počas liečby uvedenými liekmi a po jej skončení. </w:t>
      </w:r>
    </w:p>
    <w:p w:rsidR="006E6E67" w:rsidRPr="007175CC" w:rsidRDefault="006E6E67" w:rsidP="006E6E67">
      <w:pPr>
        <w:jc w:val="both"/>
        <w:rPr>
          <w:sz w:val="22"/>
          <w:szCs w:val="22"/>
        </w:rPr>
      </w:pPr>
    </w:p>
    <w:p w:rsidR="006251D7" w:rsidRPr="007175CC" w:rsidRDefault="006251D7" w:rsidP="006251D7">
      <w:pPr>
        <w:pStyle w:val="SPCnormal"/>
        <w:rPr>
          <w:lang w:val="sk-SK" w:eastAsia="en-US"/>
        </w:rPr>
      </w:pPr>
      <w:r w:rsidRPr="00037BBD">
        <w:rPr>
          <w:i/>
          <w:lang w:val="sk-SK" w:eastAsia="en-US"/>
        </w:rPr>
        <w:t>Transportéry pre organické katióny (OCT)</w:t>
      </w:r>
      <w:r w:rsidRPr="00037BBD">
        <w:rPr>
          <w:i/>
          <w:lang w:val="sk-SK" w:eastAsia="en-US"/>
        </w:rPr>
        <w:br/>
      </w:r>
      <w:r w:rsidRPr="00037BBD">
        <w:rPr>
          <w:lang w:val="sk-SK" w:eastAsia="en-US"/>
        </w:rPr>
        <w:br/>
        <w:t>Metformín je substrátom pre oba transportéry OCT1 a OCT2.</w:t>
      </w:r>
      <w:r w:rsidRPr="00037BBD">
        <w:rPr>
          <w:lang w:val="sk-SK" w:eastAsia="en-US"/>
        </w:rPr>
        <w:br/>
      </w:r>
      <w:r w:rsidRPr="00037BBD">
        <w:rPr>
          <w:lang w:val="sk-SK" w:eastAsia="en-US"/>
        </w:rPr>
        <w:br/>
        <w:t>Súbežné podávanie metformínu s</w:t>
      </w:r>
      <w:r w:rsidRPr="00037BBD">
        <w:rPr>
          <w:lang w:val="sk-SK" w:eastAsia="en-US"/>
        </w:rPr>
        <w:br/>
        <w:t>• inhibítormi OCT1 (ako je verapamil) môže znížiť účinnosť metformínu.</w:t>
      </w:r>
      <w:r w:rsidRPr="00037BBD">
        <w:rPr>
          <w:lang w:val="sk-SK" w:eastAsia="en-US"/>
        </w:rPr>
        <w:br/>
        <w:t xml:space="preserve">• induktormi OCT1 (ako je rifampicín) môže zvýšiť gastrointestinálnu absorpciu a účinnosť   </w:t>
      </w:r>
    </w:p>
    <w:p w:rsidR="006251D7" w:rsidRPr="007175CC" w:rsidRDefault="006251D7" w:rsidP="006251D7">
      <w:pPr>
        <w:pStyle w:val="SPCnormal"/>
        <w:rPr>
          <w:lang w:val="sk-SK" w:eastAsia="en-US"/>
        </w:rPr>
      </w:pPr>
      <w:r w:rsidRPr="00037BBD">
        <w:rPr>
          <w:lang w:val="sk-SK" w:eastAsia="en-US"/>
        </w:rPr>
        <w:t xml:space="preserve">  metformínu.</w:t>
      </w:r>
      <w:r w:rsidRPr="00037BBD">
        <w:rPr>
          <w:lang w:val="sk-SK" w:eastAsia="en-US"/>
        </w:rPr>
        <w:br/>
        <w:t xml:space="preserve">• inhibítormi OCT2 (ako je cimetidín, dolutegravir, ranolazín, trimetoprim, vandetanib, isavukonazol)  </w:t>
      </w:r>
    </w:p>
    <w:p w:rsidR="006251D7" w:rsidRPr="007175CC" w:rsidRDefault="006251D7" w:rsidP="006251D7">
      <w:pPr>
        <w:pStyle w:val="SPCnormal"/>
        <w:rPr>
          <w:lang w:val="sk-SK" w:eastAsia="en-US"/>
        </w:rPr>
      </w:pPr>
      <w:r w:rsidRPr="00037BBD">
        <w:rPr>
          <w:lang w:val="sk-SK" w:eastAsia="en-US"/>
        </w:rPr>
        <w:lastRenderedPageBreak/>
        <w:t xml:space="preserve">  môže znížiť renálne vylučovanie metformínu, čo vedie k zvýšenej koncentrácii metformínu v plazme.</w:t>
      </w:r>
      <w:r w:rsidRPr="00037BBD">
        <w:rPr>
          <w:lang w:val="sk-SK" w:eastAsia="en-US"/>
        </w:rPr>
        <w:br/>
        <w:t xml:space="preserve">• inhibítormi oboch OCT1 a OCT2 (ako </w:t>
      </w:r>
      <w:proofErr w:type="spellStart"/>
      <w:r w:rsidR="00A657CB" w:rsidRPr="00037BBD">
        <w:rPr>
          <w:lang w:val="sk-SK" w:eastAsia="en-US"/>
        </w:rPr>
        <w:t>k</w:t>
      </w:r>
      <w:r w:rsidRPr="00037BBD">
        <w:rPr>
          <w:lang w:val="sk-SK" w:eastAsia="en-US"/>
        </w:rPr>
        <w:t>rizotinib</w:t>
      </w:r>
      <w:proofErr w:type="spellEnd"/>
      <w:r w:rsidRPr="00037BBD">
        <w:rPr>
          <w:lang w:val="sk-SK" w:eastAsia="en-US"/>
        </w:rPr>
        <w:t xml:space="preserve">, </w:t>
      </w:r>
      <w:proofErr w:type="spellStart"/>
      <w:r w:rsidRPr="00037BBD">
        <w:rPr>
          <w:lang w:val="sk-SK" w:eastAsia="en-US"/>
        </w:rPr>
        <w:t>olaparib</w:t>
      </w:r>
      <w:proofErr w:type="spellEnd"/>
      <w:r w:rsidRPr="00037BBD">
        <w:rPr>
          <w:lang w:val="sk-SK" w:eastAsia="en-US"/>
        </w:rPr>
        <w:t xml:space="preserve">) môže ovplyvniť účinnosť a renálnu </w:t>
      </w:r>
    </w:p>
    <w:p w:rsidR="006251D7" w:rsidRPr="007175CC" w:rsidRDefault="006251D7" w:rsidP="006251D7">
      <w:pPr>
        <w:pStyle w:val="SPCnormal"/>
        <w:rPr>
          <w:lang w:val="sk-SK" w:eastAsia="en-US"/>
        </w:rPr>
      </w:pPr>
      <w:r w:rsidRPr="00037BBD">
        <w:rPr>
          <w:lang w:val="sk-SK" w:eastAsia="en-US"/>
        </w:rPr>
        <w:t xml:space="preserve">  elimináciu metformínu.</w:t>
      </w:r>
      <w:r w:rsidRPr="00037BBD">
        <w:rPr>
          <w:lang w:val="sk-SK" w:eastAsia="en-US"/>
        </w:rPr>
        <w:br/>
        <w:t xml:space="preserve">Opatrnosť sa preto odporúča, a to najmä u pacientov s poruchou funkcie obličiek, kedy </w:t>
      </w:r>
      <w:r w:rsidR="00A657CB" w:rsidRPr="00037BBD">
        <w:rPr>
          <w:lang w:val="sk-SK" w:eastAsia="en-US"/>
        </w:rPr>
        <w:t xml:space="preserve">sa </w:t>
      </w:r>
      <w:r w:rsidRPr="00037BBD">
        <w:rPr>
          <w:lang w:val="sk-SK" w:eastAsia="en-US"/>
        </w:rPr>
        <w:t xml:space="preserve">tieto lieky podávajú súbežne s </w:t>
      </w:r>
      <w:proofErr w:type="spellStart"/>
      <w:r w:rsidRPr="00037BBD">
        <w:rPr>
          <w:lang w:val="sk-SK" w:eastAsia="en-US"/>
        </w:rPr>
        <w:t>metformínom</w:t>
      </w:r>
      <w:proofErr w:type="spellEnd"/>
      <w:r w:rsidRPr="00037BBD">
        <w:rPr>
          <w:lang w:val="sk-SK" w:eastAsia="en-US"/>
        </w:rPr>
        <w:t xml:space="preserve">, pretože koncentrácia </w:t>
      </w:r>
      <w:proofErr w:type="spellStart"/>
      <w:r w:rsidRPr="00037BBD">
        <w:rPr>
          <w:lang w:val="sk-SK" w:eastAsia="en-US"/>
        </w:rPr>
        <w:t>metformínu</w:t>
      </w:r>
      <w:proofErr w:type="spellEnd"/>
      <w:r w:rsidRPr="00037BBD">
        <w:rPr>
          <w:lang w:val="sk-SK" w:eastAsia="en-US"/>
        </w:rPr>
        <w:t xml:space="preserve"> v plazme sa môže zvýšiť. </w:t>
      </w:r>
    </w:p>
    <w:p w:rsidR="006251D7" w:rsidRPr="007175CC" w:rsidRDefault="006251D7" w:rsidP="006251D7">
      <w:pPr>
        <w:pStyle w:val="SPCnormal"/>
        <w:rPr>
          <w:lang w:val="sk-SK" w:eastAsia="en-US"/>
        </w:rPr>
      </w:pPr>
      <w:r w:rsidRPr="00037BBD">
        <w:rPr>
          <w:lang w:val="sk-SK" w:eastAsia="en-US"/>
        </w:rPr>
        <w:t>Ak je to potrebné, môže sa zvážiť úprava dávky</w:t>
      </w:r>
      <w:r w:rsidR="007175CC" w:rsidRPr="00037BBD">
        <w:rPr>
          <w:lang w:val="sk-SK" w:eastAsia="en-US"/>
        </w:rPr>
        <w:t xml:space="preserve"> </w:t>
      </w:r>
      <w:proofErr w:type="spellStart"/>
      <w:r w:rsidR="007175CC" w:rsidRPr="00037BBD">
        <w:rPr>
          <w:lang w:val="sk-SK" w:eastAsia="en-US"/>
        </w:rPr>
        <w:t>metformínu</w:t>
      </w:r>
      <w:proofErr w:type="spellEnd"/>
      <w:r w:rsidRPr="00037BBD">
        <w:rPr>
          <w:lang w:val="sk-SK" w:eastAsia="en-US"/>
        </w:rPr>
        <w:t>, nakoľko inhibítory</w:t>
      </w:r>
      <w:r w:rsidR="00A657CB" w:rsidRPr="00037BBD">
        <w:rPr>
          <w:lang w:val="sk-SK" w:eastAsia="en-US"/>
        </w:rPr>
        <w:t>/induktory</w:t>
      </w:r>
      <w:r w:rsidRPr="00037BBD">
        <w:rPr>
          <w:lang w:val="sk-SK" w:eastAsia="en-US"/>
        </w:rPr>
        <w:t xml:space="preserve"> OCT môžu mať vplyv na účinnosť metformínu.</w:t>
      </w:r>
    </w:p>
    <w:p w:rsidR="006251D7" w:rsidRPr="007175CC" w:rsidRDefault="006251D7" w:rsidP="006E6E67">
      <w:pPr>
        <w:jc w:val="both"/>
        <w:rPr>
          <w:sz w:val="22"/>
          <w:szCs w:val="22"/>
        </w:rPr>
      </w:pPr>
    </w:p>
    <w:p w:rsidR="006E6E67" w:rsidRPr="007175CC" w:rsidRDefault="006E6E67" w:rsidP="006E6E67">
      <w:pPr>
        <w:jc w:val="both"/>
        <w:rPr>
          <w:b/>
          <w:bCs/>
          <w:sz w:val="22"/>
          <w:szCs w:val="22"/>
        </w:rPr>
      </w:pPr>
      <w:r w:rsidRPr="00037BBD">
        <w:rPr>
          <w:b/>
          <w:bCs/>
          <w:sz w:val="22"/>
          <w:szCs w:val="22"/>
        </w:rPr>
        <w:t>4.6</w:t>
      </w:r>
      <w:r w:rsidRPr="00037BBD">
        <w:rPr>
          <w:b/>
          <w:bCs/>
          <w:sz w:val="22"/>
          <w:szCs w:val="22"/>
        </w:rPr>
        <w:tab/>
        <w:t>Fertilita, gravidita a laktácia</w:t>
      </w:r>
    </w:p>
    <w:p w:rsidR="006E6E67" w:rsidRPr="007175CC" w:rsidRDefault="006E6E67" w:rsidP="006E6E67">
      <w:pPr>
        <w:jc w:val="both"/>
        <w:rPr>
          <w:b/>
          <w:bCs/>
          <w:sz w:val="22"/>
          <w:szCs w:val="22"/>
        </w:rPr>
      </w:pPr>
    </w:p>
    <w:p w:rsidR="006E6E67" w:rsidRPr="007175CC" w:rsidRDefault="006E6E67" w:rsidP="006E6E67">
      <w:pPr>
        <w:jc w:val="both"/>
        <w:rPr>
          <w:sz w:val="22"/>
          <w:szCs w:val="22"/>
          <w:u w:val="single"/>
        </w:rPr>
      </w:pPr>
      <w:r w:rsidRPr="00037BBD">
        <w:rPr>
          <w:sz w:val="22"/>
          <w:szCs w:val="22"/>
          <w:u w:val="single"/>
        </w:rPr>
        <w:t xml:space="preserve">Gravidita </w:t>
      </w:r>
    </w:p>
    <w:p w:rsidR="006E6E67" w:rsidRPr="007175CC" w:rsidRDefault="006E6E67" w:rsidP="006E6E67">
      <w:pPr>
        <w:rPr>
          <w:noProof/>
          <w:sz w:val="22"/>
          <w:szCs w:val="22"/>
        </w:rPr>
      </w:pPr>
      <w:r w:rsidRPr="00037BBD">
        <w:rPr>
          <w:noProof/>
          <w:sz w:val="22"/>
          <w:szCs w:val="22"/>
        </w:rPr>
        <w:t>Nekontrolovaný diabetes počas gravidity (gestačný alebo trvalý) je spojený so zvýšeným rizikom kongenitálnych abnormalít a perinatálnej mortality.</w:t>
      </w:r>
    </w:p>
    <w:p w:rsidR="006E6E67" w:rsidRPr="007175CC" w:rsidRDefault="006E6E67" w:rsidP="006E6E67">
      <w:pPr>
        <w:jc w:val="both"/>
        <w:rPr>
          <w:noProof/>
          <w:sz w:val="22"/>
          <w:szCs w:val="22"/>
        </w:rPr>
      </w:pPr>
      <w:r w:rsidRPr="00037BBD">
        <w:rPr>
          <w:noProof/>
          <w:sz w:val="22"/>
          <w:szCs w:val="22"/>
        </w:rPr>
        <w:t>Obmedzené množstvo údajov o používaní metformínu u gravidných žien nepoukazuje na zvýšené riziko kongenitálnych  abnormalít.</w:t>
      </w:r>
    </w:p>
    <w:p w:rsidR="006E6E67" w:rsidRPr="007175CC" w:rsidRDefault="006E6E67" w:rsidP="006E6E67">
      <w:pPr>
        <w:jc w:val="both"/>
        <w:rPr>
          <w:sz w:val="22"/>
          <w:szCs w:val="22"/>
        </w:rPr>
      </w:pPr>
      <w:r w:rsidRPr="00037BBD">
        <w:rPr>
          <w:sz w:val="22"/>
          <w:szCs w:val="22"/>
        </w:rPr>
        <w:t>Štúdie na zvieratách nenaznačujú škodlivé účinky na graviditu, embryonálny alebo fetálny vývoj, na pôrod alebo na postnatálny vývoj (pozri časť 5.3).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037BBD">
        <w:rPr>
          <w:sz w:val="22"/>
          <w:szCs w:val="22"/>
        </w:rPr>
        <w:t>Keď pacientka plánuje otehotnieť</w:t>
      </w:r>
      <w:r w:rsidRPr="00037BBD">
        <w:rPr>
          <w:color w:val="FF0000"/>
          <w:sz w:val="22"/>
          <w:szCs w:val="22"/>
        </w:rPr>
        <w:t xml:space="preserve"> </w:t>
      </w:r>
      <w:r w:rsidRPr="00037BBD">
        <w:rPr>
          <w:sz w:val="22"/>
          <w:szCs w:val="22"/>
        </w:rPr>
        <w:t>a počas gravidity, diabetes sa neodporúča liečiť metformínom, ale na udržanie hladiny glukózy v krvi čo najbližšej k fyziologickým hodnotám sa má použiť inzulín, aby sa znížilo riziko malformácií</w:t>
      </w:r>
      <w:r w:rsidRPr="002E6FBD">
        <w:rPr>
          <w:sz w:val="22"/>
          <w:szCs w:val="22"/>
        </w:rPr>
        <w:t xml:space="preserve"> plodu.</w:t>
      </w:r>
    </w:p>
    <w:p w:rsidR="006E6E67" w:rsidRPr="002E6FBD" w:rsidRDefault="00C52A3E" w:rsidP="006E6E67">
      <w:pPr>
        <w:jc w:val="both"/>
        <w:rPr>
          <w:sz w:val="22"/>
          <w:szCs w:val="22"/>
          <w:u w:val="single"/>
        </w:rPr>
      </w:pPr>
      <w:proofErr w:type="spellStart"/>
      <w:r w:rsidRPr="00364F12">
        <w:rPr>
          <w:sz w:val="22"/>
          <w:szCs w:val="22"/>
          <w:u w:val="single"/>
        </w:rPr>
        <w:t>Dojčenie</w:t>
      </w:r>
      <w:proofErr w:type="spellEnd"/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Metformín sa  vylučuje do ľudského materského mlieka. Neboli pozorované žiadne nežiaduce účinky u dojčených novorodencov/detí. Keďže je dostupné limitované množstvo údajov, dojčenie počas liečby metformínom sa neodporúča. Pri rozhodovaní či prerušiť dojčenie  je potrebné zohľadniť prínos dojčenia a možné riziko nežiaduceho účinku na dieťa.</w:t>
      </w:r>
    </w:p>
    <w:p w:rsidR="006E6E67" w:rsidRPr="002E6FBD" w:rsidRDefault="006E6E67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Fertilita</w:t>
      </w:r>
      <w:r w:rsidR="0038333E" w:rsidRPr="002E6FBD">
        <w:rPr>
          <w:sz w:val="22"/>
          <w:szCs w:val="22"/>
          <w:u w:val="single"/>
        </w:rPr>
        <w:t xml:space="preserve">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Podávanie metformínu potkanom v dávkach vyšších ako 600 mg/kg/deň, ktoré sú približne trikrát vyššie ako je maximálna odporúčaná denná dávka pre ľudí na základe plochy povrchu tela, nemalo žiaden vplyv na fertilitu.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  <w:r w:rsidRPr="002E6FBD">
        <w:rPr>
          <w:b/>
          <w:bCs/>
          <w:sz w:val="22"/>
          <w:szCs w:val="22"/>
        </w:rPr>
        <w:t>4.7</w:t>
      </w:r>
      <w:r w:rsidRPr="002E6FBD">
        <w:rPr>
          <w:b/>
          <w:bCs/>
          <w:sz w:val="22"/>
          <w:szCs w:val="22"/>
        </w:rPr>
        <w:tab/>
        <w:t>Ovplyvnenie schopnosti viesť vozidlá a obsluhovať stroje</w:t>
      </w: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Monoterapia metformínom nespôsobuje hypoglykémiu a teda nemá vplyv na schopnosť viesť motorové vozidlá a obsluhovať stroje. Pacientov je však potrebné upozorniť na riziko hypoglykémie pri užívaní metformínu v kombinácii s inými antidiabetickými liekmi (napr. </w:t>
      </w:r>
      <w:r w:rsidR="00695B31">
        <w:rPr>
          <w:sz w:val="22"/>
          <w:szCs w:val="22"/>
        </w:rPr>
        <w:t xml:space="preserve">deriváty </w:t>
      </w:r>
      <w:r w:rsidRPr="003C745E">
        <w:rPr>
          <w:sz w:val="22"/>
          <w:szCs w:val="22"/>
        </w:rPr>
        <w:t>sulfonylurey, inzulín alebo meglitinidy).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  <w:r w:rsidRPr="002E6FBD">
        <w:rPr>
          <w:b/>
          <w:bCs/>
          <w:sz w:val="22"/>
          <w:szCs w:val="22"/>
        </w:rPr>
        <w:t>4.8.</w:t>
      </w:r>
      <w:r w:rsidRPr="002E6FBD">
        <w:rPr>
          <w:b/>
          <w:bCs/>
          <w:sz w:val="22"/>
          <w:szCs w:val="22"/>
        </w:rPr>
        <w:tab/>
        <w:t>Nežiaduce účinky</w:t>
      </w: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Na začiatku liečby sú najčastejšími nežiaducimi účinkami nauzea, vracanie, hnačka, bolesť brucha a strata chuti do jedla, ktoré vo väčšine prípadov spontánne ustúpia. Na zabránenie ich vzniku sa odporúča užívať metformín v dvoch alebo troch denných dávkach a postupne zvyšovať dávky.</w:t>
      </w:r>
    </w:p>
    <w:p w:rsidR="0038333E" w:rsidRPr="002E6FBD" w:rsidRDefault="0038333E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Počas liečby metformínom sa môžu vyskytnúť nasledujúce nežiaduce účinky. </w:t>
      </w:r>
    </w:p>
    <w:p w:rsidR="006E6E67" w:rsidRPr="00FF19CC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Ich frekvencie sú definované nasledovne: veľmi časté: </w:t>
      </w:r>
      <w:r w:rsidR="00A67521" w:rsidRPr="003F354B">
        <w:rPr>
          <w:bCs/>
          <w:noProof/>
          <w:szCs w:val="22"/>
        </w:rPr>
        <w:sym w:font="Symbol" w:char="F0B3"/>
      </w:r>
      <w:r w:rsidRPr="00A67521">
        <w:rPr>
          <w:sz w:val="22"/>
          <w:szCs w:val="22"/>
        </w:rPr>
        <w:t xml:space="preserve">1/10; časté: </w:t>
      </w:r>
      <w:r w:rsidR="00A67521" w:rsidRPr="003E0066">
        <w:rPr>
          <w:szCs w:val="22"/>
          <w:u w:val="single"/>
        </w:rPr>
        <w:t>&gt;</w:t>
      </w:r>
      <w:r w:rsidRPr="003C745E">
        <w:rPr>
          <w:sz w:val="22"/>
          <w:szCs w:val="22"/>
        </w:rPr>
        <w:t xml:space="preserve">1/100, </w:t>
      </w:r>
      <w:r w:rsidR="00A67521" w:rsidRPr="003E0066">
        <w:rPr>
          <w:szCs w:val="22"/>
        </w:rPr>
        <w:t>&lt;</w:t>
      </w:r>
      <w:r w:rsidRPr="00696835">
        <w:rPr>
          <w:sz w:val="22"/>
          <w:szCs w:val="22"/>
        </w:rPr>
        <w:t xml:space="preserve">1/10; menej časté </w:t>
      </w:r>
      <w:r w:rsidR="00A67521" w:rsidRPr="0011177B">
        <w:rPr>
          <w:szCs w:val="22"/>
          <w:u w:val="single"/>
        </w:rPr>
        <w:t>&gt;</w:t>
      </w:r>
      <w:r w:rsidRPr="003C745E">
        <w:rPr>
          <w:sz w:val="22"/>
          <w:szCs w:val="22"/>
        </w:rPr>
        <w:t>1/1</w:t>
      </w:r>
      <w:r w:rsidR="00D36F8C" w:rsidRPr="00696835">
        <w:rPr>
          <w:sz w:val="22"/>
          <w:szCs w:val="22"/>
        </w:rPr>
        <w:t> </w:t>
      </w:r>
      <w:r w:rsidRPr="00696835">
        <w:rPr>
          <w:sz w:val="22"/>
          <w:szCs w:val="22"/>
        </w:rPr>
        <w:t xml:space="preserve">000, </w:t>
      </w:r>
      <w:r w:rsidR="00A67521" w:rsidRPr="0011177B">
        <w:rPr>
          <w:szCs w:val="22"/>
        </w:rPr>
        <w:t>&lt;</w:t>
      </w:r>
      <w:r w:rsidRPr="003C745E">
        <w:rPr>
          <w:sz w:val="22"/>
          <w:szCs w:val="22"/>
        </w:rPr>
        <w:t>1/100; zriedkavé ≥1/10</w:t>
      </w:r>
      <w:r w:rsidR="00D36F8C" w:rsidRPr="00696835">
        <w:rPr>
          <w:sz w:val="22"/>
          <w:szCs w:val="22"/>
        </w:rPr>
        <w:t> </w:t>
      </w:r>
      <w:r w:rsidRPr="000B62A0">
        <w:rPr>
          <w:sz w:val="22"/>
          <w:szCs w:val="22"/>
        </w:rPr>
        <w:t xml:space="preserve">000, </w:t>
      </w:r>
      <w:r w:rsidR="00A67521" w:rsidRPr="00E1678F">
        <w:rPr>
          <w:szCs w:val="22"/>
        </w:rPr>
        <w:t>&lt;</w:t>
      </w:r>
      <w:r w:rsidRPr="003C745E">
        <w:rPr>
          <w:sz w:val="22"/>
          <w:szCs w:val="22"/>
        </w:rPr>
        <w:t>1/1</w:t>
      </w:r>
      <w:r w:rsidR="00D36F8C" w:rsidRPr="00696835">
        <w:rPr>
          <w:sz w:val="22"/>
          <w:szCs w:val="22"/>
        </w:rPr>
        <w:t> </w:t>
      </w:r>
      <w:r w:rsidRPr="00696835">
        <w:rPr>
          <w:sz w:val="22"/>
          <w:szCs w:val="22"/>
        </w:rPr>
        <w:t>000; veľmi zriedkavé &lt;</w:t>
      </w:r>
      <w:r w:rsidRPr="00FF19CC">
        <w:rPr>
          <w:sz w:val="22"/>
          <w:szCs w:val="22"/>
        </w:rPr>
        <w:t>1/10 000.</w:t>
      </w:r>
    </w:p>
    <w:p w:rsidR="006E6E67" w:rsidRPr="00187E8F" w:rsidRDefault="006E6E67" w:rsidP="006E6E67">
      <w:pPr>
        <w:jc w:val="both"/>
        <w:rPr>
          <w:sz w:val="22"/>
          <w:szCs w:val="22"/>
        </w:rPr>
      </w:pPr>
      <w:r w:rsidRPr="00187E8F">
        <w:rPr>
          <w:sz w:val="22"/>
          <w:szCs w:val="22"/>
        </w:rPr>
        <w:t>V rámci jednotlivých skupín frekvencií sú nežiaduce účinky usporiadané v poradí klesajúcej závažnosti.</w:t>
      </w:r>
    </w:p>
    <w:p w:rsidR="006E6E67" w:rsidRPr="0078279F" w:rsidRDefault="006E6E67" w:rsidP="006E6E67">
      <w:pPr>
        <w:jc w:val="both"/>
        <w:rPr>
          <w:sz w:val="22"/>
          <w:szCs w:val="22"/>
        </w:rPr>
      </w:pPr>
    </w:p>
    <w:p w:rsidR="006E6E67" w:rsidRPr="00706D1A" w:rsidRDefault="006E6E67" w:rsidP="006E6E67">
      <w:pPr>
        <w:jc w:val="both"/>
        <w:rPr>
          <w:sz w:val="22"/>
          <w:szCs w:val="22"/>
          <w:u w:val="single"/>
        </w:rPr>
      </w:pPr>
      <w:r w:rsidRPr="00706D1A">
        <w:rPr>
          <w:sz w:val="22"/>
          <w:szCs w:val="22"/>
          <w:u w:val="single"/>
        </w:rPr>
        <w:t>Poruchy metabolizmu a výživy</w:t>
      </w:r>
    </w:p>
    <w:p w:rsidR="006E6E67" w:rsidRPr="00706D1A" w:rsidRDefault="006E6E67" w:rsidP="006E6E67">
      <w:pPr>
        <w:jc w:val="both"/>
        <w:rPr>
          <w:sz w:val="22"/>
          <w:szCs w:val="22"/>
        </w:rPr>
      </w:pPr>
      <w:r w:rsidRPr="00706D1A">
        <w:rPr>
          <w:i/>
          <w:iCs/>
          <w:sz w:val="22"/>
          <w:szCs w:val="22"/>
        </w:rPr>
        <w:t>Veľmi zriedkavé:</w:t>
      </w:r>
      <w:r w:rsidRPr="00706D1A">
        <w:rPr>
          <w:sz w:val="22"/>
          <w:szCs w:val="22"/>
        </w:rPr>
        <w:t xml:space="preserve"> laktátová acidóza (pozri časť 4.4).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>Zníženie absorpcie vitamínu B</w:t>
      </w:r>
      <w:r w:rsidRPr="003C745E">
        <w:rPr>
          <w:sz w:val="22"/>
          <w:szCs w:val="22"/>
          <w:vertAlign w:val="subscript"/>
        </w:rPr>
        <w:t>12</w:t>
      </w:r>
      <w:r w:rsidRPr="003C745E">
        <w:rPr>
          <w:sz w:val="22"/>
          <w:szCs w:val="22"/>
        </w:rPr>
        <w:t xml:space="preserve"> s poklesom sérových hladín počas dlhodobej liečby metformínom.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>Odporúča sa zvážiť túto etiológiu v prípade, že pacient má megaloblastickú anémiu.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lastRenderedPageBreak/>
        <w:t>Poruchy nervového systému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i/>
          <w:iCs/>
          <w:sz w:val="22"/>
          <w:szCs w:val="22"/>
        </w:rPr>
        <w:t>Časté:</w:t>
      </w:r>
      <w:r w:rsidRPr="002E6FBD">
        <w:rPr>
          <w:sz w:val="22"/>
          <w:szCs w:val="22"/>
        </w:rPr>
        <w:t xml:space="preserve"> porucha chuti.</w:t>
      </w:r>
    </w:p>
    <w:p w:rsidR="00D36F8C" w:rsidRPr="002E6FBD" w:rsidRDefault="00D36F8C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pStyle w:val="Nzov"/>
        <w:jc w:val="both"/>
        <w:rPr>
          <w:b w:val="0"/>
          <w:bCs w:val="0"/>
          <w:u w:val="single"/>
          <w:lang w:val="pl-PL"/>
        </w:rPr>
      </w:pPr>
      <w:r w:rsidRPr="002E6FBD">
        <w:rPr>
          <w:b w:val="0"/>
          <w:bCs w:val="0"/>
          <w:u w:val="single"/>
          <w:lang w:val="it-IT"/>
        </w:rPr>
        <w:t>Poruchy gastrointestinálneho traktu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i/>
          <w:iCs/>
          <w:sz w:val="22"/>
          <w:szCs w:val="22"/>
        </w:rPr>
        <w:t xml:space="preserve">Veľmi časté: </w:t>
      </w:r>
      <w:r w:rsidRPr="002E6FBD">
        <w:rPr>
          <w:sz w:val="22"/>
          <w:szCs w:val="22"/>
        </w:rPr>
        <w:t>gastrointestinálne poruchy ako</w:t>
      </w:r>
      <w:r w:rsidRPr="002E6FBD">
        <w:rPr>
          <w:i/>
          <w:iCs/>
          <w:sz w:val="22"/>
          <w:szCs w:val="22"/>
        </w:rPr>
        <w:t xml:space="preserve"> </w:t>
      </w:r>
      <w:r w:rsidRPr="002E6FBD">
        <w:rPr>
          <w:iCs/>
          <w:sz w:val="22"/>
          <w:szCs w:val="22"/>
        </w:rPr>
        <w:t>n</w:t>
      </w:r>
      <w:r w:rsidRPr="002E6FBD">
        <w:rPr>
          <w:sz w:val="22"/>
          <w:szCs w:val="22"/>
        </w:rPr>
        <w:t xml:space="preserve">auzea, vracanie, hnačka, bolesť brucha a strata chuti do jedla. Tieto nežiaduce účinky sa vyskytujú najčastejšie na začiatku liečby a vo väčšine prípadov sa spontánne upravia. Na zabránenie vzniku týchto ťažkostí sa odporúča užívať metformín v 2 alebo 3 denných dávkach počas jedla alebo po jedle. Postupné zvyšovanie dávky môže tiež zlepšiť gastrointestinálnu znášanlivosť lieku. </w:t>
      </w:r>
    </w:p>
    <w:p w:rsidR="00A97477" w:rsidRPr="002E6FBD" w:rsidRDefault="00A9747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keepNext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Poruchy pečene a žlčových ciest</w:t>
      </w:r>
    </w:p>
    <w:p w:rsidR="006E6E67" w:rsidRPr="002E6FBD" w:rsidRDefault="006E6E67" w:rsidP="006E6E67">
      <w:pPr>
        <w:keepNext/>
        <w:rPr>
          <w:sz w:val="22"/>
          <w:szCs w:val="22"/>
        </w:rPr>
      </w:pPr>
      <w:r w:rsidRPr="002E6FBD">
        <w:rPr>
          <w:i/>
          <w:iCs/>
          <w:sz w:val="22"/>
          <w:szCs w:val="22"/>
        </w:rPr>
        <w:t>Veľmi zriedkavé:</w:t>
      </w:r>
      <w:r w:rsidRPr="002E6FBD">
        <w:rPr>
          <w:sz w:val="22"/>
          <w:szCs w:val="22"/>
        </w:rPr>
        <w:t xml:space="preserve"> izolované hlásenia abnormalít funkcií pečeňových testov alebo hepatitídy, ktoré ustúpili po prerušení liečby metformínom.</w:t>
      </w:r>
    </w:p>
    <w:p w:rsidR="006E6E67" w:rsidRPr="002E6FBD" w:rsidRDefault="006E6E67" w:rsidP="006E6E67">
      <w:pPr>
        <w:keepNext/>
        <w:rPr>
          <w:i/>
          <w:iCs/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Poruchy kože a podkožného tkaniva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i/>
          <w:iCs/>
          <w:sz w:val="22"/>
          <w:szCs w:val="22"/>
        </w:rPr>
        <w:t>Veľmi zriedkavé:</w:t>
      </w:r>
      <w:r w:rsidRPr="002E6FBD">
        <w:rPr>
          <w:sz w:val="22"/>
          <w:szCs w:val="22"/>
        </w:rPr>
        <w:t xml:space="preserve"> kožné reakcie ako erytém, pruritus, urtikária.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  <w:r w:rsidRPr="002E6FBD">
        <w:rPr>
          <w:b/>
          <w:bCs/>
          <w:sz w:val="22"/>
          <w:szCs w:val="22"/>
        </w:rPr>
        <w:t>Pediatrická populácia</w:t>
      </w:r>
    </w:p>
    <w:p w:rsidR="006E6E67" w:rsidRPr="00696835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 xml:space="preserve">V publikovaných a postmarketingových údajoch  a v kontrolovaných klinických štúdiách na limitovanej pediatrickej populácii vo veku 10 - 16 rokov, liečenej počas 1 roka sa hlásené nežiaduce účinky povahou a závažnosťou podobali nežiaducim účinkom hláseným u dospelých. </w:t>
      </w:r>
    </w:p>
    <w:p w:rsidR="007F37B9" w:rsidRPr="00187E8F" w:rsidRDefault="007F37B9" w:rsidP="006E6E67">
      <w:pPr>
        <w:jc w:val="both"/>
        <w:rPr>
          <w:sz w:val="22"/>
          <w:szCs w:val="22"/>
        </w:rPr>
      </w:pPr>
    </w:p>
    <w:p w:rsidR="007F37B9" w:rsidRPr="0078279F" w:rsidRDefault="007F37B9" w:rsidP="007F37B9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78279F">
        <w:rPr>
          <w:sz w:val="22"/>
          <w:szCs w:val="22"/>
          <w:u w:val="single"/>
          <w:lang w:eastAsia="sk-SK"/>
        </w:rPr>
        <w:t>Hlásenie podozrení na nežiaduce reakcie</w:t>
      </w:r>
    </w:p>
    <w:p w:rsidR="006251D7" w:rsidRPr="007175CC" w:rsidRDefault="007F37B9" w:rsidP="006251D7">
      <w:pPr>
        <w:suppressLineNumbers/>
        <w:autoSpaceDE w:val="0"/>
        <w:autoSpaceDN w:val="0"/>
        <w:adjustRightInd w:val="0"/>
        <w:rPr>
          <w:sz w:val="22"/>
          <w:szCs w:val="22"/>
        </w:rPr>
      </w:pPr>
      <w:r w:rsidRPr="00706D1A">
        <w:rPr>
          <w:sz w:val="22"/>
          <w:szCs w:val="22"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</w:t>
      </w:r>
      <w:proofErr w:type="spellStart"/>
      <w:r w:rsidRPr="00037BBD">
        <w:rPr>
          <w:sz w:val="22"/>
          <w:szCs w:val="22"/>
          <w:lang w:eastAsia="sk-SK"/>
        </w:rPr>
        <w:t>akékoľvek</w:t>
      </w:r>
      <w:proofErr w:type="spellEnd"/>
      <w:r w:rsidRPr="00037BBD">
        <w:rPr>
          <w:sz w:val="22"/>
          <w:szCs w:val="22"/>
          <w:lang w:eastAsia="sk-SK"/>
        </w:rPr>
        <w:t xml:space="preserve"> </w:t>
      </w:r>
      <w:proofErr w:type="spellStart"/>
      <w:r w:rsidRPr="00037BBD">
        <w:rPr>
          <w:sz w:val="22"/>
          <w:szCs w:val="22"/>
          <w:lang w:eastAsia="sk-SK"/>
        </w:rPr>
        <w:t>podozrenia</w:t>
      </w:r>
      <w:proofErr w:type="spellEnd"/>
      <w:r w:rsidRPr="00037BBD">
        <w:rPr>
          <w:sz w:val="22"/>
          <w:szCs w:val="22"/>
          <w:lang w:eastAsia="sk-SK"/>
        </w:rPr>
        <w:t xml:space="preserve"> na </w:t>
      </w:r>
      <w:proofErr w:type="spellStart"/>
      <w:r w:rsidRPr="00037BBD">
        <w:rPr>
          <w:sz w:val="22"/>
          <w:szCs w:val="22"/>
          <w:lang w:eastAsia="sk-SK"/>
        </w:rPr>
        <w:t>nežiaduce</w:t>
      </w:r>
      <w:proofErr w:type="spellEnd"/>
      <w:r w:rsidRPr="00037BBD">
        <w:rPr>
          <w:sz w:val="22"/>
          <w:szCs w:val="22"/>
          <w:lang w:eastAsia="sk-SK"/>
        </w:rPr>
        <w:t xml:space="preserve"> </w:t>
      </w:r>
      <w:proofErr w:type="spellStart"/>
      <w:r w:rsidRPr="00037BBD">
        <w:rPr>
          <w:sz w:val="22"/>
          <w:szCs w:val="22"/>
          <w:lang w:eastAsia="sk-SK"/>
        </w:rPr>
        <w:t>reakcie</w:t>
      </w:r>
      <w:proofErr w:type="spellEnd"/>
      <w:r w:rsidRPr="00037BBD">
        <w:rPr>
          <w:sz w:val="22"/>
          <w:szCs w:val="22"/>
          <w:lang w:eastAsia="sk-SK"/>
        </w:rPr>
        <w:t xml:space="preserve"> </w:t>
      </w:r>
      <w:r w:rsidR="006251D7" w:rsidRPr="00037BBD">
        <w:rPr>
          <w:sz w:val="22"/>
        </w:rPr>
        <w:t xml:space="preserve">na </w:t>
      </w:r>
      <w:proofErr w:type="spellStart"/>
      <w:r w:rsidR="006251D7" w:rsidRPr="00037BBD">
        <w:rPr>
          <w:sz w:val="22"/>
          <w:highlight w:val="lightGray"/>
        </w:rPr>
        <w:t>národné</w:t>
      </w:r>
      <w:proofErr w:type="spellEnd"/>
      <w:r w:rsidR="006251D7" w:rsidRPr="00037BBD">
        <w:rPr>
          <w:sz w:val="22"/>
          <w:highlight w:val="lightGray"/>
        </w:rPr>
        <w:t xml:space="preserve"> centrum </w:t>
      </w:r>
      <w:proofErr w:type="spellStart"/>
      <w:r w:rsidR="006251D7" w:rsidRPr="00037BBD">
        <w:rPr>
          <w:sz w:val="22"/>
          <w:highlight w:val="lightGray"/>
        </w:rPr>
        <w:t>hlásenia</w:t>
      </w:r>
      <w:proofErr w:type="spellEnd"/>
      <w:r w:rsidR="006251D7" w:rsidRPr="00037BBD">
        <w:rPr>
          <w:sz w:val="22"/>
          <w:highlight w:val="lightGray"/>
        </w:rPr>
        <w:t xml:space="preserve"> uvedené </w:t>
      </w:r>
      <w:r w:rsidR="006251D7" w:rsidRPr="00037BBD">
        <w:rPr>
          <w:sz w:val="22"/>
          <w:szCs w:val="22"/>
          <w:highlight w:val="lightGray"/>
          <w:shd w:val="clear" w:color="auto" w:fill="C0C0C0"/>
        </w:rPr>
        <w:t>v</w:t>
      </w:r>
      <w:r w:rsidR="006251D7" w:rsidRPr="00037BBD">
        <w:rPr>
          <w:sz w:val="22"/>
          <w:szCs w:val="22"/>
          <w:shd w:val="clear" w:color="auto" w:fill="C0C0C0"/>
        </w:rPr>
        <w:t> </w:t>
      </w:r>
      <w:proofErr w:type="spellStart"/>
      <w:r w:rsidR="006251D7" w:rsidRPr="00037BBD">
        <w:rPr>
          <w:sz w:val="22"/>
          <w:szCs w:val="22"/>
        </w:rPr>
        <w:fldChar w:fldCharType="begin"/>
      </w:r>
      <w:r w:rsidR="006251D7" w:rsidRPr="00037BBD">
        <w:rPr>
          <w:sz w:val="22"/>
          <w:szCs w:val="22"/>
        </w:rPr>
        <w:instrText xml:space="preserve"> HYPERLINK "http://www.ema.europa.eu/docs/en_GB/document_library/Template_or_form/2013/03/WC500139752.doc"</w:instrText>
      </w:r>
      <w:r w:rsidR="006251D7" w:rsidRPr="00037BBD">
        <w:rPr>
          <w:sz w:val="22"/>
          <w:szCs w:val="22"/>
        </w:rPr>
        <w:fldChar w:fldCharType="separate"/>
      </w:r>
      <w:r w:rsidR="006251D7" w:rsidRPr="00037BBD">
        <w:rPr>
          <w:rStyle w:val="Hypertextovprepojenie"/>
          <w:sz w:val="22"/>
          <w:szCs w:val="22"/>
          <w:shd w:val="clear" w:color="auto" w:fill="C0C0C0"/>
        </w:rPr>
        <w:t>Prílohe</w:t>
      </w:r>
      <w:proofErr w:type="spellEnd"/>
      <w:r w:rsidR="006251D7" w:rsidRPr="00037BBD">
        <w:rPr>
          <w:rStyle w:val="Hypertextovprepojenie"/>
          <w:sz w:val="22"/>
          <w:szCs w:val="22"/>
          <w:shd w:val="clear" w:color="auto" w:fill="C0C0C0"/>
        </w:rPr>
        <w:t xml:space="preserve"> V</w:t>
      </w:r>
      <w:r w:rsidR="006251D7" w:rsidRPr="00037BBD">
        <w:rPr>
          <w:sz w:val="22"/>
          <w:szCs w:val="22"/>
        </w:rPr>
        <w:fldChar w:fldCharType="end"/>
      </w:r>
      <w:r w:rsidR="006251D7" w:rsidRPr="00037BBD">
        <w:rPr>
          <w:sz w:val="22"/>
          <w:szCs w:val="22"/>
        </w:rPr>
        <w:t>.</w:t>
      </w:r>
    </w:p>
    <w:p w:rsidR="006E6E67" w:rsidRPr="00187E8F" w:rsidRDefault="006E6E67" w:rsidP="006251D7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6E6E67" w:rsidRPr="0078279F" w:rsidRDefault="006E6E67" w:rsidP="006E6E67">
      <w:pPr>
        <w:jc w:val="both"/>
        <w:rPr>
          <w:b/>
          <w:bCs/>
          <w:sz w:val="22"/>
          <w:szCs w:val="22"/>
        </w:rPr>
      </w:pPr>
      <w:r w:rsidRPr="0078279F">
        <w:rPr>
          <w:b/>
          <w:bCs/>
          <w:sz w:val="22"/>
          <w:szCs w:val="22"/>
        </w:rPr>
        <w:t>4.9</w:t>
      </w:r>
      <w:r w:rsidRPr="0078279F">
        <w:rPr>
          <w:b/>
          <w:bCs/>
          <w:sz w:val="22"/>
          <w:szCs w:val="22"/>
        </w:rPr>
        <w:tab/>
        <w:t>Predávkovanie</w:t>
      </w:r>
    </w:p>
    <w:p w:rsidR="006E6E67" w:rsidRPr="00706D1A" w:rsidRDefault="006E6E67" w:rsidP="006E6E67">
      <w:pPr>
        <w:jc w:val="both"/>
        <w:rPr>
          <w:b/>
          <w:bCs/>
          <w:sz w:val="22"/>
          <w:szCs w:val="22"/>
        </w:rPr>
      </w:pPr>
    </w:p>
    <w:p w:rsidR="006E6E67" w:rsidRPr="003C745E" w:rsidRDefault="006E6E67" w:rsidP="006E6E67">
      <w:pPr>
        <w:jc w:val="both"/>
        <w:rPr>
          <w:sz w:val="22"/>
          <w:szCs w:val="22"/>
        </w:rPr>
      </w:pPr>
      <w:r w:rsidRPr="003C745E">
        <w:rPr>
          <w:sz w:val="22"/>
          <w:szCs w:val="22"/>
        </w:rPr>
        <w:t>Hypoglykémia sa nepozorovala ani pri dávkach do 85 g metformíniumchloridu, hoci laktátová acidóza sa za takýchto okolností vyskytla. Závažné predávkovanie metformínom alebo súbežné riziká môžu viesť k laktátovej acidóze. Laktátová acidóza je urgentný stav a pacient musí byť hospitalizovaný. Najúčinnejšou metódou odstránenia laktátu a metformínu je hemodialýza.</w:t>
      </w:r>
    </w:p>
    <w:p w:rsidR="006E6E67" w:rsidRPr="003C745E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caps/>
          <w:sz w:val="22"/>
          <w:szCs w:val="22"/>
        </w:rPr>
      </w:pPr>
      <w:r w:rsidRPr="002E6FBD">
        <w:rPr>
          <w:b/>
          <w:bCs/>
          <w:caps/>
          <w:sz w:val="22"/>
          <w:szCs w:val="22"/>
        </w:rPr>
        <w:t>5.</w:t>
      </w:r>
      <w:r w:rsidRPr="002E6FBD">
        <w:rPr>
          <w:b/>
          <w:bCs/>
          <w:caps/>
          <w:sz w:val="22"/>
          <w:szCs w:val="22"/>
        </w:rPr>
        <w:tab/>
        <w:t>Farmakologické vlastnosti</w:t>
      </w:r>
    </w:p>
    <w:p w:rsidR="006E6E67" w:rsidRPr="002E6FBD" w:rsidRDefault="006E6E67" w:rsidP="006E6E67">
      <w:pPr>
        <w:jc w:val="both"/>
        <w:rPr>
          <w:b/>
          <w:bCs/>
          <w:caps/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  <w:r w:rsidRPr="002E6FBD">
        <w:rPr>
          <w:b/>
          <w:bCs/>
          <w:sz w:val="22"/>
          <w:szCs w:val="22"/>
        </w:rPr>
        <w:t>5.1</w:t>
      </w:r>
      <w:r w:rsidRPr="002E6FBD">
        <w:rPr>
          <w:b/>
          <w:bCs/>
          <w:sz w:val="22"/>
          <w:szCs w:val="22"/>
        </w:rPr>
        <w:tab/>
        <w:t>Farmakodynamické vlastnosti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Farmakoterapeutická skupina: liečivá znižujúce hladinu glukózy v krvi, biguanidy.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ATC kód: A10BA02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7F37B9" w:rsidRPr="002E6FBD" w:rsidRDefault="007F37B9" w:rsidP="007F37B9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Mechanizmus účinku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Metformín je biguanid s antihyperglykemickými účinkami, znižujúci bazálnu aj postprandiálnu glykémiu. Nestimuluje sekréciu inzulínu, preto nevyvoláva hypoglykémiu.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Metformín môže pôsobiť pomocou 3 mechanizmov:</w:t>
      </w:r>
    </w:p>
    <w:p w:rsidR="006E6E67" w:rsidRPr="002E6FBD" w:rsidRDefault="006E6E67" w:rsidP="002E6FBD">
      <w:pPr>
        <w:numPr>
          <w:ilvl w:val="0"/>
          <w:numId w:val="7"/>
        </w:num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znížením produkcie glukózy v pečeni inhibíciou glukoneogenézy a glykogenolýzy,</w:t>
      </w:r>
    </w:p>
    <w:p w:rsidR="006E6E67" w:rsidRPr="002E6FBD" w:rsidRDefault="006E6E67" w:rsidP="002E6FBD">
      <w:pPr>
        <w:numPr>
          <w:ilvl w:val="0"/>
          <w:numId w:val="7"/>
        </w:num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zvýšením citlivosti na inzulín vo svaloch, zlepšením periférneho vychytávania a utilizácie glukózy,</w:t>
      </w:r>
    </w:p>
    <w:p w:rsidR="006E6E67" w:rsidRPr="002E6FBD" w:rsidRDefault="006E6E67" w:rsidP="002E6FBD">
      <w:pPr>
        <w:numPr>
          <w:ilvl w:val="0"/>
          <w:numId w:val="7"/>
        </w:num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spomalením vstrebávania glukózy v  črevách.</w:t>
      </w:r>
    </w:p>
    <w:p w:rsidR="007F37B9" w:rsidRPr="002E6FBD" w:rsidRDefault="007F37B9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Metformín stimuluje syntézu intracelulárneho glykogénu posôbením na glykogénsyntetázu. Metformín zvyšuje transportnú kapacitu všetkých doteraz známych typov membránových prenášačov glukózy (GLUT</w:t>
      </w:r>
      <w:r w:rsidR="009C7B99" w:rsidRPr="002E6FBD">
        <w:rPr>
          <w:sz w:val="22"/>
          <w:szCs w:val="22"/>
        </w:rPr>
        <w:t>s</w:t>
      </w:r>
      <w:r w:rsidRPr="002E6FBD">
        <w:rPr>
          <w:sz w:val="22"/>
          <w:szCs w:val="22"/>
        </w:rPr>
        <w:t>).</w:t>
      </w:r>
    </w:p>
    <w:p w:rsidR="009C25B9" w:rsidRPr="002E6FBD" w:rsidRDefault="009C25B9" w:rsidP="006E6E67">
      <w:pPr>
        <w:jc w:val="both"/>
        <w:rPr>
          <w:sz w:val="22"/>
          <w:szCs w:val="22"/>
        </w:rPr>
      </w:pPr>
    </w:p>
    <w:p w:rsidR="009C25B9" w:rsidRPr="002E6FBD" w:rsidRDefault="009C25B9" w:rsidP="009C25B9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Farmakodynamické účinky</w:t>
      </w:r>
    </w:p>
    <w:p w:rsidR="009C25B9" w:rsidRPr="002E6FBD" w:rsidRDefault="009C25B9" w:rsidP="006E6E67">
      <w:pPr>
        <w:jc w:val="both"/>
        <w:rPr>
          <w:sz w:val="22"/>
          <w:szCs w:val="22"/>
        </w:rPr>
      </w:pPr>
    </w:p>
    <w:p w:rsidR="00ED10C1" w:rsidRPr="002E6FBD" w:rsidRDefault="00ED10C1" w:rsidP="00ED10C1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2E6FBD">
        <w:rPr>
          <w:sz w:val="22"/>
          <w:szCs w:val="22"/>
          <w:lang w:val="sk-SK"/>
        </w:rPr>
        <w:t>V klinických skúšaniach je užívanie metformínu spojené buď s udržiavaním stabilnej váhy alebo ju mierne znižuje.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Nezávisle od účinku na glykémiu má metformín u ľudí priaznivé vplyvy na lipidový metabolizmus. Tento vplyv bol preukázaný pri terapeutických dávkach v kontrolovaných strednodobých alebo dlhodobých klinických skúšaniach: metformín znižuje hladiny celkového cholesterolu, LDL cholesterolu a triacylglycerolov.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Klinická účinnosť</w:t>
      </w:r>
      <w:r w:rsidR="00DE3E7A" w:rsidRPr="002E6FBD">
        <w:rPr>
          <w:sz w:val="22"/>
          <w:szCs w:val="22"/>
          <w:u w:val="single"/>
        </w:rPr>
        <w:t xml:space="preserve"> a bezpečnosť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Prospektívna randomizovaná štúdia (UKPDS) potvrdila dlhodobý priaznivý vplyv intenzívnej kontroly glykémie u dospelých pacientov s diabetom 2. typu.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Analýza výsledkov pacientov  s nadváhou liečených metformínom po zlyhaní diéty dokázala:</w:t>
      </w:r>
    </w:p>
    <w:p w:rsidR="006E6E67" w:rsidRPr="002E6FBD" w:rsidRDefault="006E6E67" w:rsidP="006E6E67">
      <w:pPr>
        <w:numPr>
          <w:ilvl w:val="0"/>
          <w:numId w:val="5"/>
        </w:num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významný pokles absolútneho rizika diabetických komplikácií v skupine liečenej metformínom (29,8 prípadov/1</w:t>
      </w:r>
      <w:r w:rsidR="007A6686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 pacientorokov) oproti skupine liečenej diétou (43,3 prípadov na 1</w:t>
      </w:r>
      <w:r w:rsidR="007A6686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 pacientorokov), p = 0,0023, a oproti skupinám liečených kombináciou sulfonylurey a inzulínom v monoterapii (40,1 prípadov na 1</w:t>
      </w:r>
      <w:r w:rsidR="007A6686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 pacientorokov), p = 0,0034;</w:t>
      </w:r>
    </w:p>
    <w:p w:rsidR="006E6E67" w:rsidRPr="002E6FBD" w:rsidRDefault="006E6E67" w:rsidP="006E6E67">
      <w:pPr>
        <w:numPr>
          <w:ilvl w:val="0"/>
          <w:numId w:val="5"/>
        </w:num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významný pokles absolútneho rizika s diabetom súvisiacej mortality: metformín 7,5 prípadov </w:t>
      </w:r>
      <w:proofErr w:type="gramStart"/>
      <w:r w:rsidRPr="002E6FBD">
        <w:rPr>
          <w:sz w:val="22"/>
          <w:szCs w:val="22"/>
        </w:rPr>
        <w:t>na  1</w:t>
      </w:r>
      <w:r w:rsidR="007A6686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</w:t>
      </w:r>
      <w:proofErr w:type="gramEnd"/>
      <w:r w:rsidRPr="002E6FBD">
        <w:rPr>
          <w:sz w:val="22"/>
          <w:szCs w:val="22"/>
        </w:rPr>
        <w:t xml:space="preserve"> pacientorokov, diéta samotná 12,7 prípadov na 1</w:t>
      </w:r>
      <w:r w:rsidR="007A6686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 pacientorokov, p = 0,017;</w:t>
      </w:r>
    </w:p>
    <w:p w:rsidR="006E6E67" w:rsidRPr="002E6FBD" w:rsidRDefault="006E6E67" w:rsidP="006E6E67">
      <w:pPr>
        <w:numPr>
          <w:ilvl w:val="0"/>
          <w:numId w:val="5"/>
        </w:num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významný pokles absolútneho rizika celkovej mortality: metformín 13,5 prípadov na 1</w:t>
      </w:r>
      <w:r w:rsidR="00573A00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 pacientorokov, oproti diéte samotnej 20,6 prípadov na 1</w:t>
      </w:r>
      <w:r w:rsidR="007A6686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 pacientorokov (p=0,011) a oproti skupinám kombinovanej terapie sulfonylurea a inzulín v monoterapii 18,9 prípadov na 1</w:t>
      </w:r>
      <w:r w:rsidR="00573A00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000 pacientorokov (p=0,021);</w:t>
      </w:r>
    </w:p>
    <w:p w:rsidR="006E6E67" w:rsidRPr="002E6FBD" w:rsidRDefault="00573A00" w:rsidP="006E6E67">
      <w:pPr>
        <w:ind w:left="720" w:hanging="630"/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     </w:t>
      </w:r>
      <w:r w:rsidR="006E6E67" w:rsidRPr="002E6FBD">
        <w:rPr>
          <w:sz w:val="22"/>
          <w:szCs w:val="22"/>
        </w:rPr>
        <w:t>-</w:t>
      </w:r>
      <w:r w:rsidR="006E6E67" w:rsidRPr="002E6FBD">
        <w:rPr>
          <w:sz w:val="22"/>
          <w:szCs w:val="22"/>
        </w:rPr>
        <w:tab/>
        <w:t>významný pokles absolútneho rizika infarktu myokardu: metformín 11 prípadov na 1</w:t>
      </w:r>
      <w:r w:rsidRPr="002E6FBD">
        <w:rPr>
          <w:sz w:val="22"/>
          <w:szCs w:val="22"/>
        </w:rPr>
        <w:t xml:space="preserve"> </w:t>
      </w:r>
      <w:r w:rsidR="006E6E67" w:rsidRPr="002E6FBD">
        <w:rPr>
          <w:sz w:val="22"/>
          <w:szCs w:val="22"/>
        </w:rPr>
        <w:t>000 pacientorokov, diéta samotná 18 prípadov na 1</w:t>
      </w:r>
      <w:r w:rsidR="007A6686" w:rsidRPr="002E6FBD">
        <w:rPr>
          <w:sz w:val="22"/>
          <w:szCs w:val="22"/>
        </w:rPr>
        <w:t xml:space="preserve"> </w:t>
      </w:r>
      <w:r w:rsidR="006E6E67" w:rsidRPr="002E6FBD">
        <w:rPr>
          <w:sz w:val="22"/>
          <w:szCs w:val="22"/>
        </w:rPr>
        <w:t>000 pacientorokov (p=0,01).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Prínos klinickej účinnosti metformínu používaného ako liek druhej voľby v kombinácii so sulfonylureou nie je dokázaný.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Kombinácia metformínu s inzulínom sa použila u vybraných pacientov s diabetom 1. typu, no klinický prínos tejto kombinácie sa formálne nepotvrdil.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outlineLvl w:val="0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Pediatrická populácia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Kontrolované klinické štúdie na limitovanej pediatrickej populácii vo veku 10 – 16 rokov liečenej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1 rok preukázali v kontrole glykémie podobnú odpoveď, aká bola pozorovaná u dospelých pacientov.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  <w:r w:rsidRPr="002E6FBD">
        <w:rPr>
          <w:b/>
          <w:bCs/>
          <w:sz w:val="22"/>
          <w:szCs w:val="22"/>
        </w:rPr>
        <w:t>5.2</w:t>
      </w:r>
      <w:r w:rsidRPr="002E6FBD">
        <w:rPr>
          <w:b/>
          <w:bCs/>
          <w:sz w:val="22"/>
          <w:szCs w:val="22"/>
        </w:rPr>
        <w:tab/>
        <w:t>Farmakokinetické vlastnosti</w:t>
      </w: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Absorpcia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Po perorálnej dávke tablety metformíniumchloridu sa dosiahne maximálna plazmatická koncentrácia (C</w:t>
      </w:r>
      <w:r w:rsidRPr="002E6FBD">
        <w:rPr>
          <w:sz w:val="22"/>
          <w:szCs w:val="22"/>
          <w:vertAlign w:val="subscript"/>
        </w:rPr>
        <w:t>max</w:t>
      </w:r>
      <w:r w:rsidRPr="002E6FBD">
        <w:rPr>
          <w:sz w:val="22"/>
          <w:szCs w:val="22"/>
        </w:rPr>
        <w:t xml:space="preserve">) </w:t>
      </w:r>
      <w:r w:rsidR="00D55027" w:rsidRPr="002E6FBD">
        <w:rPr>
          <w:sz w:val="22"/>
          <w:szCs w:val="22"/>
        </w:rPr>
        <w:t xml:space="preserve">približne </w:t>
      </w:r>
      <w:r w:rsidRPr="002E6FBD">
        <w:rPr>
          <w:sz w:val="22"/>
          <w:szCs w:val="22"/>
        </w:rPr>
        <w:t>za 2,5 hodiny (t</w:t>
      </w:r>
      <w:r w:rsidRPr="002E6FBD">
        <w:rPr>
          <w:sz w:val="22"/>
          <w:szCs w:val="22"/>
          <w:vertAlign w:val="subscript"/>
        </w:rPr>
        <w:t>max</w:t>
      </w:r>
      <w:r w:rsidRPr="002E6FBD">
        <w:rPr>
          <w:sz w:val="22"/>
          <w:szCs w:val="22"/>
        </w:rPr>
        <w:t>). Absolútna biologická dostupnosť metformíniumchloridovej tablety 500 mg alebo 850 mg je u zdravých jedincov približne 50</w:t>
      </w:r>
      <w:r w:rsidR="00D55027" w:rsidRPr="002E6FBD">
        <w:rPr>
          <w:sz w:val="22"/>
          <w:szCs w:val="22"/>
        </w:rPr>
        <w:t xml:space="preserve"> - </w:t>
      </w:r>
      <w:r w:rsidRPr="002E6FBD">
        <w:rPr>
          <w:sz w:val="22"/>
          <w:szCs w:val="22"/>
        </w:rPr>
        <w:t xml:space="preserve">60 %. Neabsorbovaná frakcia zistená v stolici po perorálnom </w:t>
      </w:r>
      <w:proofErr w:type="gramStart"/>
      <w:r w:rsidRPr="002E6FBD">
        <w:rPr>
          <w:sz w:val="22"/>
          <w:szCs w:val="22"/>
        </w:rPr>
        <w:t>podaní</w:t>
      </w:r>
      <w:proofErr w:type="gramEnd"/>
      <w:r w:rsidRPr="002E6FBD">
        <w:rPr>
          <w:sz w:val="22"/>
          <w:szCs w:val="22"/>
        </w:rPr>
        <w:t xml:space="preserve"> bola 20 -</w:t>
      </w:r>
      <w:r w:rsidR="00D55027" w:rsidRPr="002E6FBD">
        <w:rPr>
          <w:sz w:val="22"/>
          <w:szCs w:val="22"/>
        </w:rPr>
        <w:t xml:space="preserve"> </w:t>
      </w:r>
      <w:r w:rsidRPr="002E6FBD">
        <w:rPr>
          <w:sz w:val="22"/>
          <w:szCs w:val="22"/>
        </w:rPr>
        <w:t>30 %.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Absorpcia metformínu je po perorálnom podaní  saturovateľná a neúplná. Predpokladá sa, že farmakokinetika absorpcie metformínu je nelineárna.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Pri odporúčaných dávkovacích schémach metformínu sa rovnovážna plazmatická koncentrácia dosiahne počas 24 až 48 hodín a je zvyčajne nižšia než 1 mikrogram/ml. V kontrolovaných klinických skúšaniach neprekročili maximálne plazmatické hladiny metformínu (C</w:t>
      </w:r>
      <w:r w:rsidRPr="002E6FBD">
        <w:rPr>
          <w:sz w:val="22"/>
          <w:szCs w:val="22"/>
          <w:vertAlign w:val="subscript"/>
        </w:rPr>
        <w:t>max</w:t>
      </w:r>
      <w:r w:rsidRPr="002E6FBD">
        <w:rPr>
          <w:sz w:val="22"/>
          <w:szCs w:val="22"/>
        </w:rPr>
        <w:t>) 5 μg/ml, ani pri maximálnych dávkach.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Jedlo znižuje rozsah absorpcie metformínu a zároveň ju aj mierne spomaľuje. Po perorálnom podaní 850 mg tablety sa pozorovala o 40 % nižšia maximálna plazmatická koncentrácia, 25 % pokles AUC (plocha pod krivkou) a  predĺženie času potrebného na dosiahnutie maximálnej plazmatickej koncentrácie o 35 minút. Klinický význam týchto nálezov nie je známy. 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Distribúcia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Väzba na plazmatické bielkoviny je zanedbateľná. Metformín prechádza do erytrocytov. Najvyššia hladina v krvi je nižšia </w:t>
      </w:r>
      <w:proofErr w:type="gramStart"/>
      <w:r w:rsidRPr="002E6FBD">
        <w:rPr>
          <w:sz w:val="22"/>
          <w:szCs w:val="22"/>
        </w:rPr>
        <w:t>než v plazme</w:t>
      </w:r>
      <w:proofErr w:type="gramEnd"/>
      <w:r w:rsidRPr="002E6FBD">
        <w:rPr>
          <w:sz w:val="22"/>
          <w:szCs w:val="22"/>
        </w:rPr>
        <w:t xml:space="preserve"> a maximum sa dosiahne približne v rovnakom čase. Erytrocyty </w:t>
      </w:r>
      <w:r w:rsidRPr="002E6FBD">
        <w:rPr>
          <w:sz w:val="22"/>
          <w:szCs w:val="22"/>
        </w:rPr>
        <w:lastRenderedPageBreak/>
        <w:t>predstavujú s  najväčšou pravdepodobnosťou sekundárny kompartment distribúcie. Priemerný distribučný objem ( Vd) sa pohyboval medzi 63 až 276 l.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DE3E7A" w:rsidRPr="002E6FBD" w:rsidRDefault="00DE3E7A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Biotransformácia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Metformín sa vylučuje v nezmenenej forme močom. U ľudí neboli identifikované žiadne metabolity.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</w:p>
    <w:p w:rsidR="00DE3E7A" w:rsidRPr="002E6FBD" w:rsidRDefault="00DE3E7A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Eliminácia</w:t>
      </w:r>
    </w:p>
    <w:p w:rsidR="006E6E67" w:rsidRPr="0078279F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Renálny klírens metformínu je &gt; 400 ml/min, čo nasvedčuje, že metformín sa vylučuje glomerulárnou filtráciou a tubulárnou sekréciou. Po perorálnom podaní je zdanlivý terminálny polčas eliminácie približne 6,5 hodiny. Pri poškodení funkcie </w:t>
      </w:r>
      <w:r w:rsidRPr="0078279F">
        <w:rPr>
          <w:sz w:val="22"/>
          <w:szCs w:val="22"/>
        </w:rPr>
        <w:t xml:space="preserve">obličiek je renálny klírens znížený proporcionálne ku  kreatinínu, preto sa polčas eliminácie predĺži, čo vedie k zvýšeným koncentráciám metformín v plazme. </w:t>
      </w:r>
    </w:p>
    <w:p w:rsidR="00DE3E7A" w:rsidRPr="00706D1A" w:rsidRDefault="00DE3E7A" w:rsidP="006E6E67">
      <w:pPr>
        <w:jc w:val="both"/>
        <w:rPr>
          <w:sz w:val="22"/>
          <w:szCs w:val="22"/>
        </w:rPr>
      </w:pPr>
    </w:p>
    <w:p w:rsidR="00DE3E7A" w:rsidRPr="003C745E" w:rsidRDefault="00DE3E7A" w:rsidP="00DE3E7A">
      <w:pPr>
        <w:jc w:val="both"/>
        <w:rPr>
          <w:sz w:val="22"/>
          <w:szCs w:val="22"/>
          <w:u w:val="single"/>
        </w:rPr>
      </w:pPr>
      <w:r w:rsidRPr="003C745E">
        <w:rPr>
          <w:sz w:val="22"/>
          <w:szCs w:val="22"/>
          <w:u w:val="single"/>
        </w:rPr>
        <w:t>Charakteristiky v špecifických skupinách pacientov</w:t>
      </w:r>
    </w:p>
    <w:p w:rsidR="00DE3E7A" w:rsidRPr="003C745E" w:rsidRDefault="00DE3E7A" w:rsidP="00DE3E7A">
      <w:pPr>
        <w:jc w:val="both"/>
        <w:rPr>
          <w:sz w:val="22"/>
          <w:szCs w:val="22"/>
          <w:u w:val="single"/>
        </w:rPr>
      </w:pPr>
    </w:p>
    <w:p w:rsidR="00DE3E7A" w:rsidRPr="003C745E" w:rsidRDefault="00DE3E7A" w:rsidP="00DE3E7A">
      <w:pPr>
        <w:jc w:val="both"/>
        <w:rPr>
          <w:sz w:val="22"/>
          <w:szCs w:val="22"/>
          <w:u w:val="single"/>
        </w:rPr>
      </w:pPr>
      <w:r w:rsidRPr="003C745E">
        <w:rPr>
          <w:sz w:val="22"/>
          <w:szCs w:val="22"/>
          <w:u w:val="single"/>
        </w:rPr>
        <w:t>Poškodenie obličiek</w:t>
      </w:r>
    </w:p>
    <w:p w:rsidR="00DE3E7A" w:rsidRPr="002E6FBD" w:rsidRDefault="00DE3E7A" w:rsidP="00DE3E7A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Dostupné údaje týkajúce sa pacientov s miernou renálnou insuficienciou sú nedostatočné a v tejto podskupine sa nedá spoľahlivo určiť systémovú expozíciu metformínu na rozdiel od subjektov s normálnymi renálnymi funkciami. Preto je treba prispôsobiť dávkovanie s prihliadnutím na klinickú účinnosť/znášanlivosť (pozri časť 4.2).</w:t>
      </w:r>
    </w:p>
    <w:p w:rsidR="00DE3E7A" w:rsidRPr="002E6FBD" w:rsidRDefault="00DE3E7A" w:rsidP="00DE3E7A">
      <w:pPr>
        <w:jc w:val="both"/>
        <w:rPr>
          <w:sz w:val="22"/>
          <w:szCs w:val="22"/>
          <w:u w:val="single"/>
        </w:rPr>
      </w:pPr>
    </w:p>
    <w:p w:rsidR="006E6E67" w:rsidRPr="002E6FBD" w:rsidRDefault="006E6E67" w:rsidP="006E6E67">
      <w:pPr>
        <w:jc w:val="both"/>
        <w:rPr>
          <w:sz w:val="22"/>
          <w:szCs w:val="22"/>
          <w:u w:val="single"/>
        </w:rPr>
      </w:pPr>
      <w:r w:rsidRPr="002E6FBD">
        <w:rPr>
          <w:sz w:val="22"/>
          <w:szCs w:val="22"/>
          <w:u w:val="single"/>
        </w:rPr>
        <w:t>Pediatrická populácia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Štúdia s jednorazovou dávkou: Po podaní jednorazových dávok 500 mg metformínu vykazovali pediatrickí pacienti podobný farmakokinetický profil, aký bol pozorovaný u zdravých dospelých pacientov.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Štúdia s opakovaným podávaním: Údaje sú obmedzené na jednu štúdiu. Po opakovanom podávaní 500 mg dvakrát denne počas 7 dní pediatrickým pacientom bola maximálna plazmatická koncentrácia</w:t>
      </w: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>(C</w:t>
      </w:r>
      <w:r w:rsidRPr="002E6FBD">
        <w:rPr>
          <w:sz w:val="22"/>
          <w:szCs w:val="22"/>
          <w:vertAlign w:val="subscript"/>
        </w:rPr>
        <w:t>max</w:t>
      </w:r>
      <w:r w:rsidRPr="002E6FBD">
        <w:rPr>
          <w:sz w:val="22"/>
          <w:szCs w:val="22"/>
        </w:rPr>
        <w:t xml:space="preserve">) znížená o približne 33 % a systémová expozícia (AUC0-t) približne o 40 %, v porovnaní s dospelými, ktorí dostávali 500 mg dvakrát denne počas 14 dní. Keďže dávka bola individuálne titrovaná na základe kontroly glykémie, majú tieto údaje iba obmedzený klinický význam. </w:t>
      </w:r>
    </w:p>
    <w:p w:rsidR="00D10047" w:rsidRPr="002E6FBD" w:rsidRDefault="00D10047" w:rsidP="006E6E67">
      <w:pPr>
        <w:jc w:val="both"/>
        <w:rPr>
          <w:sz w:val="22"/>
          <w:szCs w:val="22"/>
        </w:rPr>
      </w:pP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  <w:r w:rsidRPr="002E6FBD">
        <w:rPr>
          <w:b/>
          <w:bCs/>
          <w:sz w:val="22"/>
          <w:szCs w:val="22"/>
        </w:rPr>
        <w:t>5.3</w:t>
      </w:r>
      <w:r w:rsidRPr="002E6FBD">
        <w:rPr>
          <w:b/>
          <w:bCs/>
          <w:sz w:val="22"/>
          <w:szCs w:val="22"/>
        </w:rPr>
        <w:tab/>
        <w:t>Predklinické údaje o bezpečnosti</w:t>
      </w:r>
    </w:p>
    <w:p w:rsidR="006E6E67" w:rsidRPr="002E6FBD" w:rsidRDefault="006E6E67" w:rsidP="006E6E67">
      <w:pPr>
        <w:jc w:val="both"/>
        <w:rPr>
          <w:b/>
          <w:bCs/>
          <w:sz w:val="22"/>
          <w:szCs w:val="22"/>
        </w:rPr>
      </w:pPr>
    </w:p>
    <w:p w:rsidR="006E6E67" w:rsidRPr="002E6FBD" w:rsidRDefault="006E6E67" w:rsidP="006E6E67">
      <w:pPr>
        <w:jc w:val="both"/>
        <w:rPr>
          <w:sz w:val="22"/>
          <w:szCs w:val="22"/>
        </w:rPr>
      </w:pPr>
      <w:r w:rsidRPr="002E6FBD">
        <w:rPr>
          <w:sz w:val="22"/>
          <w:szCs w:val="22"/>
        </w:rPr>
        <w:t xml:space="preserve">Predklinické údaje na základe obvyklých </w:t>
      </w:r>
      <w:r w:rsidR="002C41FC" w:rsidRPr="002E6FBD">
        <w:rPr>
          <w:sz w:val="22"/>
          <w:szCs w:val="22"/>
        </w:rPr>
        <w:t xml:space="preserve">farmakologických štúdií </w:t>
      </w:r>
      <w:r w:rsidRPr="002E6FBD">
        <w:rPr>
          <w:sz w:val="22"/>
          <w:szCs w:val="22"/>
        </w:rPr>
        <w:t xml:space="preserve">bezpečnosti, toxicity po opakovanom </w:t>
      </w:r>
      <w:r w:rsidR="002C41FC" w:rsidRPr="002E6FBD">
        <w:rPr>
          <w:sz w:val="22"/>
          <w:szCs w:val="22"/>
        </w:rPr>
        <w:t>podávaní</w:t>
      </w:r>
      <w:r w:rsidRPr="002E6FBD">
        <w:rPr>
          <w:sz w:val="22"/>
          <w:szCs w:val="22"/>
        </w:rPr>
        <w:t xml:space="preserve">, genotoxicity, karcinogénneho potenciálu a reprodukčnej toxicity neodhalili žiadne osobitné </w:t>
      </w:r>
      <w:r w:rsidR="002C41FC" w:rsidRPr="002E6FBD">
        <w:rPr>
          <w:sz w:val="22"/>
          <w:szCs w:val="22"/>
        </w:rPr>
        <w:t xml:space="preserve">riziko </w:t>
      </w:r>
      <w:r w:rsidRPr="002E6FBD">
        <w:rPr>
          <w:sz w:val="22"/>
          <w:szCs w:val="22"/>
        </w:rPr>
        <w:t xml:space="preserve">pre ľudí. </w:t>
      </w:r>
    </w:p>
    <w:p w:rsidR="005412B9" w:rsidRPr="002E6FBD" w:rsidRDefault="005412B9">
      <w:pPr>
        <w:outlineLvl w:val="0"/>
        <w:rPr>
          <w:sz w:val="22"/>
          <w:szCs w:val="22"/>
          <w:lang w:val="sk-SK"/>
        </w:rPr>
      </w:pPr>
    </w:p>
    <w:p w:rsidR="005412B9" w:rsidRPr="002E6FBD" w:rsidRDefault="005412B9">
      <w:pPr>
        <w:outlineLvl w:val="0"/>
        <w:rPr>
          <w:sz w:val="22"/>
          <w:szCs w:val="22"/>
          <w:lang w:val="sk-SK"/>
        </w:rPr>
      </w:pPr>
    </w:p>
    <w:p w:rsidR="005412B9" w:rsidRPr="002E6FBD" w:rsidRDefault="005412B9">
      <w:pPr>
        <w:keepNext/>
        <w:jc w:val="both"/>
        <w:rPr>
          <w:b/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6.</w:t>
      </w:r>
      <w:r w:rsidRPr="002E6FBD">
        <w:rPr>
          <w:b/>
          <w:sz w:val="22"/>
          <w:szCs w:val="22"/>
          <w:lang w:val="sk-SK"/>
        </w:rPr>
        <w:tab/>
        <w:t>FARMACEUTICKÉ INFORMÁCIE</w:t>
      </w:r>
    </w:p>
    <w:p w:rsidR="005412B9" w:rsidRPr="002E6FBD" w:rsidRDefault="005412B9">
      <w:pPr>
        <w:keepNext/>
        <w:rPr>
          <w:sz w:val="22"/>
          <w:szCs w:val="22"/>
          <w:lang w:val="sk-SK"/>
        </w:rPr>
      </w:pPr>
    </w:p>
    <w:p w:rsidR="005412B9" w:rsidRPr="002E6FBD" w:rsidRDefault="005412B9">
      <w:pPr>
        <w:keepNext/>
        <w:jc w:val="both"/>
        <w:rPr>
          <w:b/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6.1</w:t>
      </w:r>
      <w:r w:rsidRPr="002E6FBD">
        <w:rPr>
          <w:b/>
          <w:sz w:val="22"/>
          <w:szCs w:val="22"/>
          <w:lang w:val="sk-SK"/>
        </w:rPr>
        <w:tab/>
        <w:t>Zoznam pomocných látok</w:t>
      </w:r>
    </w:p>
    <w:p w:rsidR="003F189B" w:rsidRPr="002E6FBD" w:rsidRDefault="003F189B">
      <w:pPr>
        <w:keepNext/>
        <w:jc w:val="both"/>
        <w:rPr>
          <w:sz w:val="22"/>
          <w:szCs w:val="22"/>
          <w:lang w:val="sk-SK"/>
        </w:rPr>
      </w:pPr>
    </w:p>
    <w:p w:rsidR="005412B9" w:rsidRPr="002E6FBD" w:rsidRDefault="003F189B">
      <w:pPr>
        <w:keepNext/>
        <w:rPr>
          <w:sz w:val="22"/>
          <w:szCs w:val="22"/>
          <w:u w:val="single"/>
          <w:lang w:val="sk-SK"/>
        </w:rPr>
      </w:pPr>
      <w:r w:rsidRPr="002E6FBD">
        <w:rPr>
          <w:sz w:val="22"/>
          <w:szCs w:val="22"/>
          <w:u w:val="single"/>
          <w:lang w:val="sk-SK"/>
        </w:rPr>
        <w:t>Jadro tablety</w:t>
      </w:r>
    </w:p>
    <w:p w:rsidR="003F189B" w:rsidRPr="000B62A0" w:rsidRDefault="004C5F2B">
      <w:pPr>
        <w:pStyle w:val="SPCnormal"/>
        <w:rPr>
          <w:szCs w:val="22"/>
          <w:lang w:val="cs-CZ" w:eastAsia="cs-CZ"/>
        </w:rPr>
      </w:pPr>
      <w:proofErr w:type="spellStart"/>
      <w:r>
        <w:rPr>
          <w:szCs w:val="22"/>
          <w:lang w:val="cs-CZ" w:eastAsia="cs-CZ"/>
        </w:rPr>
        <w:t>p</w:t>
      </w:r>
      <w:r w:rsidR="005412B9" w:rsidRPr="003C745E">
        <w:rPr>
          <w:szCs w:val="22"/>
          <w:lang w:val="cs-CZ" w:eastAsia="cs-CZ"/>
        </w:rPr>
        <w:t>ovidón</w:t>
      </w:r>
      <w:proofErr w:type="spellEnd"/>
      <w:r w:rsidR="005412B9" w:rsidRPr="003C745E">
        <w:rPr>
          <w:szCs w:val="22"/>
          <w:lang w:val="cs-CZ" w:eastAsia="cs-CZ"/>
        </w:rPr>
        <w:t xml:space="preserve"> K</w:t>
      </w:r>
      <w:r w:rsidR="003F189B" w:rsidRPr="00696835">
        <w:rPr>
          <w:szCs w:val="22"/>
          <w:lang w:val="cs-CZ" w:eastAsia="cs-CZ"/>
        </w:rPr>
        <w:t> </w:t>
      </w:r>
      <w:r w:rsidR="005412B9" w:rsidRPr="00696835">
        <w:rPr>
          <w:szCs w:val="22"/>
          <w:lang w:val="cs-CZ" w:eastAsia="cs-CZ"/>
        </w:rPr>
        <w:t>30</w:t>
      </w:r>
    </w:p>
    <w:p w:rsidR="003F189B" w:rsidRPr="00187E8F" w:rsidRDefault="004C5F2B">
      <w:pPr>
        <w:pStyle w:val="SPCnormal"/>
        <w:rPr>
          <w:szCs w:val="22"/>
          <w:lang w:val="cs-CZ" w:eastAsia="cs-CZ"/>
        </w:rPr>
      </w:pPr>
      <w:proofErr w:type="spellStart"/>
      <w:r>
        <w:rPr>
          <w:szCs w:val="22"/>
          <w:lang w:val="cs-CZ" w:eastAsia="cs-CZ"/>
        </w:rPr>
        <w:t>m</w:t>
      </w:r>
      <w:r w:rsidR="005412B9" w:rsidRPr="00187E8F">
        <w:rPr>
          <w:szCs w:val="22"/>
          <w:lang w:val="cs-CZ" w:eastAsia="cs-CZ"/>
        </w:rPr>
        <w:t>agnéziumstearát</w:t>
      </w:r>
      <w:proofErr w:type="spellEnd"/>
    </w:p>
    <w:p w:rsidR="003F189B" w:rsidRPr="0078279F" w:rsidRDefault="003F189B">
      <w:pPr>
        <w:pStyle w:val="SPCnormal"/>
        <w:rPr>
          <w:szCs w:val="22"/>
          <w:lang w:val="cs-CZ" w:eastAsia="cs-CZ"/>
        </w:rPr>
      </w:pPr>
    </w:p>
    <w:p w:rsidR="003F189B" w:rsidRPr="002E6FBD" w:rsidRDefault="003F189B">
      <w:pPr>
        <w:pStyle w:val="SPCnormal"/>
        <w:rPr>
          <w:szCs w:val="22"/>
          <w:u w:val="single"/>
          <w:lang w:val="cs-CZ" w:eastAsia="cs-CZ"/>
        </w:rPr>
      </w:pPr>
      <w:r w:rsidRPr="002E6FBD">
        <w:rPr>
          <w:szCs w:val="22"/>
          <w:u w:val="single"/>
          <w:lang w:val="cs-CZ" w:eastAsia="cs-CZ"/>
        </w:rPr>
        <w:t>Obal</w:t>
      </w:r>
    </w:p>
    <w:p w:rsidR="003F189B" w:rsidRPr="000B62A0" w:rsidRDefault="004C5F2B">
      <w:pPr>
        <w:pStyle w:val="SPCnormal"/>
        <w:rPr>
          <w:szCs w:val="22"/>
          <w:lang w:val="cs-CZ" w:eastAsia="cs-CZ"/>
        </w:rPr>
      </w:pPr>
      <w:proofErr w:type="spellStart"/>
      <w:r>
        <w:rPr>
          <w:szCs w:val="22"/>
          <w:lang w:val="cs-CZ" w:eastAsia="cs-CZ"/>
        </w:rPr>
        <w:t>h</w:t>
      </w:r>
      <w:r w:rsidR="005412B9" w:rsidRPr="00696835">
        <w:rPr>
          <w:szCs w:val="22"/>
          <w:lang w:val="cs-CZ" w:eastAsia="cs-CZ"/>
        </w:rPr>
        <w:t>ypromelóza</w:t>
      </w:r>
      <w:proofErr w:type="spellEnd"/>
    </w:p>
    <w:p w:rsidR="003F189B" w:rsidRPr="00187E8F" w:rsidRDefault="004C5F2B">
      <w:pPr>
        <w:pStyle w:val="SPCnormal"/>
        <w:rPr>
          <w:szCs w:val="22"/>
          <w:lang w:val="cs-CZ" w:eastAsia="cs-CZ"/>
        </w:rPr>
      </w:pPr>
      <w:proofErr w:type="spellStart"/>
      <w:r>
        <w:rPr>
          <w:szCs w:val="22"/>
          <w:lang w:val="cs-CZ" w:eastAsia="cs-CZ"/>
        </w:rPr>
        <w:t>m</w:t>
      </w:r>
      <w:r w:rsidR="005412B9" w:rsidRPr="00187E8F">
        <w:rPr>
          <w:szCs w:val="22"/>
          <w:lang w:val="cs-CZ" w:eastAsia="cs-CZ"/>
        </w:rPr>
        <w:t>akrogol</w:t>
      </w:r>
      <w:proofErr w:type="spellEnd"/>
      <w:r w:rsidR="005412B9" w:rsidRPr="00187E8F">
        <w:rPr>
          <w:szCs w:val="22"/>
          <w:lang w:val="cs-CZ" w:eastAsia="cs-CZ"/>
        </w:rPr>
        <w:t xml:space="preserve"> 400</w:t>
      </w:r>
    </w:p>
    <w:p w:rsidR="005412B9" w:rsidRPr="0078279F" w:rsidRDefault="004C5F2B">
      <w:pPr>
        <w:pStyle w:val="SPCnormal"/>
        <w:rPr>
          <w:szCs w:val="22"/>
          <w:lang w:val="cs-CZ" w:eastAsia="cs-CZ"/>
        </w:rPr>
      </w:pPr>
      <w:proofErr w:type="spellStart"/>
      <w:r>
        <w:rPr>
          <w:szCs w:val="22"/>
          <w:lang w:val="cs-CZ" w:eastAsia="cs-CZ"/>
        </w:rPr>
        <w:t>m</w:t>
      </w:r>
      <w:r w:rsidR="005412B9" w:rsidRPr="0078279F">
        <w:rPr>
          <w:szCs w:val="22"/>
          <w:lang w:val="cs-CZ" w:eastAsia="cs-CZ"/>
        </w:rPr>
        <w:t>akrogol</w:t>
      </w:r>
      <w:proofErr w:type="spellEnd"/>
      <w:r w:rsidR="005412B9" w:rsidRPr="0078279F">
        <w:rPr>
          <w:szCs w:val="22"/>
          <w:lang w:val="cs-CZ" w:eastAsia="cs-CZ"/>
        </w:rPr>
        <w:t xml:space="preserve"> 8000</w:t>
      </w:r>
    </w:p>
    <w:p w:rsidR="005412B9" w:rsidRPr="00706D1A" w:rsidRDefault="005412B9">
      <w:pPr>
        <w:keepNext/>
        <w:outlineLvl w:val="0"/>
        <w:rPr>
          <w:sz w:val="22"/>
          <w:szCs w:val="22"/>
          <w:lang w:val="sk-SK"/>
        </w:rPr>
      </w:pPr>
    </w:p>
    <w:p w:rsidR="005412B9" w:rsidRPr="003C745E" w:rsidRDefault="005412B9">
      <w:pPr>
        <w:keepNext/>
        <w:jc w:val="both"/>
        <w:rPr>
          <w:sz w:val="22"/>
          <w:szCs w:val="22"/>
          <w:lang w:val="sk-SK"/>
        </w:rPr>
      </w:pPr>
      <w:r w:rsidRPr="003C745E">
        <w:rPr>
          <w:b/>
          <w:sz w:val="22"/>
          <w:szCs w:val="22"/>
          <w:lang w:val="sk-SK"/>
        </w:rPr>
        <w:t>6.2</w:t>
      </w:r>
      <w:r w:rsidRPr="003C745E">
        <w:rPr>
          <w:b/>
          <w:sz w:val="22"/>
          <w:szCs w:val="22"/>
          <w:lang w:val="sk-SK"/>
        </w:rPr>
        <w:tab/>
        <w:t>Inkompatibility</w:t>
      </w:r>
    </w:p>
    <w:p w:rsidR="005412B9" w:rsidRPr="003C745E" w:rsidRDefault="005412B9">
      <w:pPr>
        <w:keepNext/>
        <w:rPr>
          <w:sz w:val="22"/>
          <w:szCs w:val="22"/>
          <w:lang w:val="sk-SK"/>
        </w:rPr>
      </w:pPr>
    </w:p>
    <w:p w:rsidR="005412B9" w:rsidRPr="002E6FBD" w:rsidRDefault="005412B9">
      <w:pPr>
        <w:rPr>
          <w:sz w:val="22"/>
          <w:szCs w:val="22"/>
          <w:lang w:val="sk-SK"/>
        </w:rPr>
      </w:pPr>
      <w:r w:rsidRPr="002E6FBD">
        <w:rPr>
          <w:sz w:val="22"/>
          <w:szCs w:val="22"/>
          <w:lang w:val="sk-SK"/>
        </w:rPr>
        <w:t>Neaplikovateľné.</w:t>
      </w:r>
    </w:p>
    <w:p w:rsidR="005412B9" w:rsidRPr="002E6FBD" w:rsidRDefault="005412B9">
      <w:pPr>
        <w:rPr>
          <w:sz w:val="22"/>
          <w:szCs w:val="22"/>
          <w:lang w:val="sk-SK"/>
        </w:rPr>
      </w:pPr>
    </w:p>
    <w:p w:rsidR="005412B9" w:rsidRPr="002E6FBD" w:rsidRDefault="005412B9">
      <w:pPr>
        <w:keepNext/>
        <w:jc w:val="both"/>
        <w:rPr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lastRenderedPageBreak/>
        <w:t>6.3</w:t>
      </w:r>
      <w:r w:rsidRPr="002E6FBD">
        <w:rPr>
          <w:b/>
          <w:sz w:val="22"/>
          <w:szCs w:val="22"/>
          <w:lang w:val="sk-SK"/>
        </w:rPr>
        <w:tab/>
        <w:t>Čas použiteľnosti</w:t>
      </w:r>
    </w:p>
    <w:p w:rsidR="005412B9" w:rsidRPr="002E6FBD" w:rsidRDefault="005412B9">
      <w:pPr>
        <w:keepNext/>
        <w:rPr>
          <w:sz w:val="22"/>
          <w:szCs w:val="22"/>
          <w:lang w:val="sk-SK"/>
        </w:rPr>
      </w:pPr>
    </w:p>
    <w:p w:rsidR="005412B9" w:rsidRPr="002E6FBD" w:rsidRDefault="00ED10C1">
      <w:pPr>
        <w:rPr>
          <w:sz w:val="22"/>
          <w:szCs w:val="22"/>
          <w:lang w:val="sk-SK"/>
        </w:rPr>
      </w:pPr>
      <w:r w:rsidRPr="002E6FBD">
        <w:rPr>
          <w:sz w:val="22"/>
          <w:szCs w:val="22"/>
          <w:lang w:val="sk-SK"/>
        </w:rPr>
        <w:t xml:space="preserve">3 </w:t>
      </w:r>
      <w:r w:rsidR="005412B9" w:rsidRPr="002E6FBD">
        <w:rPr>
          <w:sz w:val="22"/>
          <w:szCs w:val="22"/>
          <w:lang w:val="sk-SK"/>
        </w:rPr>
        <w:t>roky</w:t>
      </w:r>
    </w:p>
    <w:p w:rsidR="005412B9" w:rsidRPr="002E6FBD" w:rsidRDefault="005412B9">
      <w:pPr>
        <w:rPr>
          <w:sz w:val="22"/>
          <w:szCs w:val="22"/>
          <w:lang w:val="sk-SK"/>
        </w:rPr>
      </w:pPr>
    </w:p>
    <w:p w:rsidR="005412B9" w:rsidRPr="002E6FBD" w:rsidRDefault="005412B9">
      <w:pPr>
        <w:keepNext/>
        <w:jc w:val="both"/>
        <w:rPr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6.4</w:t>
      </w:r>
      <w:r w:rsidRPr="002E6FBD">
        <w:rPr>
          <w:b/>
          <w:sz w:val="22"/>
          <w:szCs w:val="22"/>
          <w:lang w:val="sk-SK"/>
        </w:rPr>
        <w:tab/>
        <w:t>Špeciálne upozornenia na uchovávanie</w:t>
      </w:r>
    </w:p>
    <w:p w:rsidR="005412B9" w:rsidRPr="002E6FBD" w:rsidRDefault="005412B9">
      <w:pPr>
        <w:keepNext/>
        <w:rPr>
          <w:sz w:val="22"/>
          <w:szCs w:val="22"/>
          <w:lang w:val="sk-SK"/>
        </w:rPr>
      </w:pPr>
    </w:p>
    <w:p w:rsidR="005412B9" w:rsidRPr="002E6FBD" w:rsidRDefault="005412B9">
      <w:pPr>
        <w:rPr>
          <w:sz w:val="22"/>
          <w:szCs w:val="22"/>
          <w:lang w:val="sk-SK"/>
        </w:rPr>
      </w:pPr>
      <w:r w:rsidRPr="002E6FBD">
        <w:rPr>
          <w:sz w:val="22"/>
          <w:szCs w:val="22"/>
          <w:lang w:val="sk-SK"/>
        </w:rPr>
        <w:t>Tento liek nevyžaduje žiadne zvláštne podmienky na uchovávanie.</w:t>
      </w:r>
    </w:p>
    <w:p w:rsidR="005412B9" w:rsidRPr="002E6FBD" w:rsidRDefault="005412B9">
      <w:pPr>
        <w:rPr>
          <w:sz w:val="22"/>
          <w:szCs w:val="22"/>
          <w:lang w:val="sk-SK"/>
        </w:rPr>
      </w:pPr>
    </w:p>
    <w:p w:rsidR="005412B9" w:rsidRPr="002E6FBD" w:rsidRDefault="005412B9">
      <w:pPr>
        <w:keepNext/>
        <w:jc w:val="both"/>
        <w:rPr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6.5</w:t>
      </w:r>
      <w:r w:rsidRPr="002E6FBD">
        <w:rPr>
          <w:b/>
          <w:sz w:val="22"/>
          <w:szCs w:val="22"/>
          <w:lang w:val="sk-SK"/>
        </w:rPr>
        <w:tab/>
        <w:t>Druh obalu a obsah balenia</w:t>
      </w:r>
      <w:r w:rsidRPr="002E6FBD">
        <w:rPr>
          <w:b/>
          <w:color w:val="0000FF"/>
          <w:sz w:val="22"/>
          <w:szCs w:val="22"/>
          <w:lang w:val="sk-SK"/>
        </w:rPr>
        <w:t xml:space="preserve"> </w:t>
      </w:r>
    </w:p>
    <w:p w:rsidR="005412B9" w:rsidRPr="002E6FBD" w:rsidRDefault="005412B9">
      <w:pPr>
        <w:keepNext/>
        <w:rPr>
          <w:sz w:val="22"/>
          <w:szCs w:val="22"/>
          <w:lang w:val="sk-SK"/>
        </w:rPr>
      </w:pPr>
    </w:p>
    <w:p w:rsidR="002F7976" w:rsidRPr="002E6FBD" w:rsidRDefault="002F7976" w:rsidP="002F7976">
      <w:pPr>
        <w:pStyle w:val="SPCnormal"/>
        <w:rPr>
          <w:szCs w:val="22"/>
          <w:lang w:val="cs-CZ" w:eastAsia="cs-CZ"/>
        </w:rPr>
      </w:pPr>
      <w:r w:rsidRPr="002E6FBD">
        <w:rPr>
          <w:szCs w:val="22"/>
          <w:lang w:val="cs-CZ" w:eastAsia="cs-CZ"/>
        </w:rPr>
        <w:t>1(x30), 20, 30, 50, 60, 90, 100, 120, 180 alebo 600 tabliet v blistrovom balení (PVC/Al).</w:t>
      </w:r>
    </w:p>
    <w:p w:rsidR="002F7976" w:rsidRPr="00696835" w:rsidRDefault="002F7976">
      <w:pPr>
        <w:keepNext/>
        <w:rPr>
          <w:sz w:val="22"/>
          <w:szCs w:val="22"/>
          <w:lang w:val="sk-SK"/>
        </w:rPr>
      </w:pPr>
      <w:r w:rsidRPr="002E6FBD">
        <w:rPr>
          <w:sz w:val="22"/>
          <w:szCs w:val="22"/>
        </w:rPr>
        <w:t xml:space="preserve">20, 30, 50, 60, 90, 100, 120, 180 alebo 600 tabliet vo </w:t>
      </w:r>
      <w:r w:rsidRPr="003C745E">
        <w:rPr>
          <w:sz w:val="22"/>
          <w:szCs w:val="22"/>
        </w:rPr>
        <w:t>fľaši z plastu (polyetylén) s uzáverom s detskou poistkou (polypropylén).</w:t>
      </w:r>
    </w:p>
    <w:p w:rsidR="005412B9" w:rsidRPr="00187E8F" w:rsidRDefault="005412B9">
      <w:pPr>
        <w:rPr>
          <w:sz w:val="22"/>
          <w:szCs w:val="22"/>
          <w:lang w:val="sk-SK"/>
        </w:rPr>
      </w:pPr>
    </w:p>
    <w:p w:rsidR="00DE3E7A" w:rsidRPr="0078279F" w:rsidRDefault="00DE3E7A" w:rsidP="00DE3E7A">
      <w:pPr>
        <w:jc w:val="both"/>
        <w:rPr>
          <w:sz w:val="22"/>
          <w:szCs w:val="22"/>
        </w:rPr>
      </w:pPr>
      <w:r w:rsidRPr="0078279F">
        <w:rPr>
          <w:sz w:val="22"/>
          <w:szCs w:val="22"/>
        </w:rPr>
        <w:t>Na trh nemusia byť uvedené všetky veľkosti balenia.</w:t>
      </w:r>
    </w:p>
    <w:p w:rsidR="00DE3E7A" w:rsidRPr="00706D1A" w:rsidRDefault="00DE3E7A" w:rsidP="00DE3E7A">
      <w:pPr>
        <w:jc w:val="both"/>
        <w:rPr>
          <w:sz w:val="22"/>
          <w:szCs w:val="22"/>
        </w:rPr>
      </w:pPr>
    </w:p>
    <w:p w:rsidR="005412B9" w:rsidRPr="003C745E" w:rsidRDefault="00DE3E7A">
      <w:pPr>
        <w:keepNext/>
        <w:jc w:val="both"/>
        <w:rPr>
          <w:b/>
          <w:sz w:val="22"/>
          <w:szCs w:val="22"/>
          <w:lang w:val="sk-SK"/>
        </w:rPr>
      </w:pPr>
      <w:r w:rsidRPr="00706D1A">
        <w:rPr>
          <w:sz w:val="22"/>
          <w:szCs w:val="22"/>
        </w:rPr>
        <w:t xml:space="preserve"> </w:t>
      </w:r>
      <w:r w:rsidR="005412B9" w:rsidRPr="003C745E">
        <w:rPr>
          <w:b/>
          <w:sz w:val="22"/>
          <w:szCs w:val="22"/>
          <w:lang w:val="sk-SK"/>
        </w:rPr>
        <w:t>6.6</w:t>
      </w:r>
      <w:r w:rsidR="005412B9" w:rsidRPr="003C745E">
        <w:rPr>
          <w:b/>
          <w:sz w:val="22"/>
          <w:szCs w:val="22"/>
          <w:lang w:val="sk-SK"/>
        </w:rPr>
        <w:tab/>
        <w:t xml:space="preserve">Špeciálne opatrenia na likvidáciu </w:t>
      </w:r>
    </w:p>
    <w:p w:rsidR="005412B9" w:rsidRPr="003C745E" w:rsidRDefault="005412B9">
      <w:pPr>
        <w:keepNext/>
        <w:rPr>
          <w:b/>
          <w:sz w:val="22"/>
          <w:szCs w:val="22"/>
          <w:lang w:val="sk-SK"/>
        </w:rPr>
      </w:pPr>
    </w:p>
    <w:p w:rsidR="00997D2F" w:rsidRPr="002E6FBD" w:rsidRDefault="003C5C61" w:rsidP="00997D2F">
      <w:pPr>
        <w:rPr>
          <w:sz w:val="22"/>
          <w:szCs w:val="22"/>
        </w:rPr>
      </w:pPr>
      <w:r>
        <w:rPr>
          <w:sz w:val="22"/>
          <w:szCs w:val="22"/>
          <w:lang w:val="sk-SK"/>
        </w:rPr>
        <w:t>Všetok n</w:t>
      </w:r>
      <w:r w:rsidRPr="002E6FBD">
        <w:rPr>
          <w:sz w:val="22"/>
          <w:szCs w:val="22"/>
          <w:lang w:val="sk-SK"/>
        </w:rPr>
        <w:t xml:space="preserve">epoužitý </w:t>
      </w:r>
      <w:r w:rsidR="005412B9" w:rsidRPr="002E6FBD">
        <w:rPr>
          <w:sz w:val="22"/>
          <w:szCs w:val="22"/>
          <w:lang w:val="sk-SK"/>
        </w:rPr>
        <w:t xml:space="preserve">liek alebo odpad vzniknutý z lieku má byť </w:t>
      </w:r>
      <w:r w:rsidR="00D10047" w:rsidRPr="002E6FBD">
        <w:rPr>
          <w:sz w:val="22"/>
          <w:szCs w:val="22"/>
          <w:lang w:val="sk-SK"/>
        </w:rPr>
        <w:t xml:space="preserve">zlikvidovaný v súlade </w:t>
      </w:r>
      <w:r w:rsidR="00997D2F" w:rsidRPr="002E6FBD">
        <w:rPr>
          <w:sz w:val="22"/>
          <w:szCs w:val="22"/>
        </w:rPr>
        <w:t>s národnými požiadavkami.</w:t>
      </w:r>
    </w:p>
    <w:p w:rsidR="005412B9" w:rsidRPr="002E6FBD" w:rsidRDefault="005412B9">
      <w:pPr>
        <w:rPr>
          <w:sz w:val="22"/>
          <w:szCs w:val="22"/>
          <w:lang w:val="sk-SK"/>
        </w:rPr>
      </w:pPr>
    </w:p>
    <w:p w:rsidR="005412B9" w:rsidRPr="002E6FBD" w:rsidRDefault="005412B9">
      <w:pPr>
        <w:rPr>
          <w:sz w:val="22"/>
          <w:szCs w:val="22"/>
          <w:lang w:val="sk-SK"/>
        </w:rPr>
      </w:pPr>
    </w:p>
    <w:p w:rsidR="005412B9" w:rsidRPr="002E6FBD" w:rsidRDefault="005412B9">
      <w:pPr>
        <w:jc w:val="both"/>
        <w:rPr>
          <w:b/>
          <w:sz w:val="22"/>
          <w:szCs w:val="22"/>
          <w:lang w:val="sk-SK"/>
        </w:rPr>
      </w:pPr>
      <w:r w:rsidRPr="002E6FBD">
        <w:rPr>
          <w:b/>
          <w:sz w:val="22"/>
          <w:szCs w:val="22"/>
          <w:lang w:val="sk-SK"/>
        </w:rPr>
        <w:t>7.</w:t>
      </w:r>
      <w:r w:rsidRPr="002E6FBD">
        <w:rPr>
          <w:b/>
          <w:sz w:val="22"/>
          <w:szCs w:val="22"/>
          <w:lang w:val="sk-SK"/>
        </w:rPr>
        <w:tab/>
        <w:t>DRŽITEĽ ROZHODNUTIA O REGISTRÁCII</w:t>
      </w:r>
    </w:p>
    <w:p w:rsidR="005412B9" w:rsidRPr="002E6FBD" w:rsidRDefault="005412B9">
      <w:pPr>
        <w:rPr>
          <w:sz w:val="22"/>
          <w:szCs w:val="22"/>
          <w:lang w:val="sk-SK"/>
        </w:rPr>
      </w:pPr>
    </w:p>
    <w:p w:rsidR="00997D2F" w:rsidRPr="003C745E" w:rsidRDefault="00997D2F" w:rsidP="00997D2F">
      <w:pPr>
        <w:pStyle w:val="Zkladntext"/>
        <w:rPr>
          <w:rFonts w:ascii="Times New Roman" w:hAnsi="Times New Roman" w:cs="Times New Roman"/>
          <w:sz w:val="22"/>
          <w:szCs w:val="22"/>
          <w:lang w:val="fr-FR"/>
        </w:rPr>
      </w:pPr>
      <w:r w:rsidRPr="002E6FBD">
        <w:rPr>
          <w:rFonts w:ascii="Times New Roman" w:hAnsi="Times New Roman" w:cs="Times New Roman"/>
          <w:sz w:val="22"/>
          <w:szCs w:val="22"/>
          <w:lang w:val="fr-FR"/>
        </w:rPr>
        <w:t xml:space="preserve">Merck Santé s.a.s., </w:t>
      </w:r>
      <w:r w:rsidR="00974E6E" w:rsidRPr="002E6FBD">
        <w:rPr>
          <w:rFonts w:ascii="Times New Roman" w:hAnsi="Times New Roman" w:cs="Times New Roman"/>
          <w:sz w:val="22"/>
          <w:szCs w:val="22"/>
          <w:lang w:val="fr-FR"/>
        </w:rPr>
        <w:t>37 rue Saint Romain,</w:t>
      </w:r>
      <w:r w:rsidR="00974E6E">
        <w:rPr>
          <w:sz w:val="22"/>
        </w:rPr>
        <w:t xml:space="preserve"> </w:t>
      </w:r>
      <w:r w:rsidRPr="003C745E">
        <w:rPr>
          <w:rFonts w:ascii="Times New Roman" w:hAnsi="Times New Roman" w:cs="Times New Roman"/>
          <w:sz w:val="22"/>
          <w:szCs w:val="22"/>
          <w:lang w:val="fr-FR"/>
        </w:rPr>
        <w:t>Lyon, Francúzsko</w:t>
      </w:r>
    </w:p>
    <w:p w:rsidR="00997D2F" w:rsidRPr="00696835" w:rsidRDefault="00997D2F">
      <w:pPr>
        <w:rPr>
          <w:sz w:val="22"/>
          <w:szCs w:val="22"/>
          <w:lang w:val="sk-SK"/>
        </w:rPr>
      </w:pPr>
    </w:p>
    <w:p w:rsidR="001F77B5" w:rsidRPr="00FF19CC" w:rsidRDefault="001F77B5">
      <w:pPr>
        <w:rPr>
          <w:sz w:val="22"/>
          <w:szCs w:val="22"/>
          <w:lang w:val="sk-SK"/>
        </w:rPr>
      </w:pPr>
    </w:p>
    <w:p w:rsidR="005412B9" w:rsidRPr="00187E8F" w:rsidRDefault="005412B9">
      <w:pPr>
        <w:jc w:val="both"/>
        <w:rPr>
          <w:b/>
          <w:sz w:val="22"/>
          <w:szCs w:val="22"/>
          <w:lang w:val="sk-SK"/>
        </w:rPr>
      </w:pPr>
      <w:r w:rsidRPr="00187E8F">
        <w:rPr>
          <w:b/>
          <w:sz w:val="22"/>
          <w:szCs w:val="22"/>
          <w:lang w:val="sk-SK"/>
        </w:rPr>
        <w:t>8.</w:t>
      </w:r>
      <w:r w:rsidRPr="00187E8F">
        <w:rPr>
          <w:b/>
          <w:sz w:val="22"/>
          <w:szCs w:val="22"/>
          <w:lang w:val="sk-SK"/>
        </w:rPr>
        <w:tab/>
        <w:t xml:space="preserve">REGISTRAČNÉ ČÍSLO </w:t>
      </w:r>
    </w:p>
    <w:p w:rsidR="005412B9" w:rsidRPr="0078279F" w:rsidRDefault="005412B9">
      <w:pPr>
        <w:rPr>
          <w:i/>
          <w:sz w:val="22"/>
          <w:szCs w:val="22"/>
          <w:lang w:val="sk-SK"/>
        </w:rPr>
      </w:pPr>
    </w:p>
    <w:p w:rsidR="005412B9" w:rsidRPr="00706D1A" w:rsidRDefault="005412B9">
      <w:pPr>
        <w:rPr>
          <w:sz w:val="22"/>
          <w:szCs w:val="22"/>
          <w:lang w:val="sk-SK"/>
        </w:rPr>
      </w:pPr>
      <w:r w:rsidRPr="00706D1A">
        <w:rPr>
          <w:sz w:val="22"/>
          <w:szCs w:val="22"/>
          <w:lang w:val="sk-SK"/>
        </w:rPr>
        <w:t>18/0589/08-S</w:t>
      </w:r>
    </w:p>
    <w:p w:rsidR="009C7B99" w:rsidRPr="003C745E" w:rsidRDefault="009C7B99">
      <w:pPr>
        <w:rPr>
          <w:sz w:val="22"/>
          <w:szCs w:val="22"/>
          <w:lang w:val="sk-SK"/>
        </w:rPr>
      </w:pPr>
    </w:p>
    <w:p w:rsidR="009C7B99" w:rsidRPr="003C745E" w:rsidRDefault="009C7B99">
      <w:pPr>
        <w:rPr>
          <w:sz w:val="22"/>
          <w:szCs w:val="22"/>
          <w:lang w:val="sk-SK"/>
        </w:rPr>
      </w:pPr>
    </w:p>
    <w:p w:rsidR="005412B9" w:rsidRPr="003C745E" w:rsidRDefault="005412B9">
      <w:pPr>
        <w:jc w:val="both"/>
        <w:rPr>
          <w:b/>
          <w:sz w:val="22"/>
          <w:szCs w:val="22"/>
          <w:lang w:val="sk-SK"/>
        </w:rPr>
      </w:pPr>
      <w:r w:rsidRPr="003C745E">
        <w:rPr>
          <w:b/>
          <w:sz w:val="22"/>
          <w:szCs w:val="22"/>
          <w:lang w:val="sk-SK"/>
        </w:rPr>
        <w:t>9.</w:t>
      </w:r>
      <w:r w:rsidRPr="003C745E">
        <w:rPr>
          <w:b/>
          <w:sz w:val="22"/>
          <w:szCs w:val="22"/>
          <w:lang w:val="sk-SK"/>
        </w:rPr>
        <w:tab/>
        <w:t>DÁTUM PRVEJ REGISTRÁCIE/ PREDĹŽENIA REGISTRÁCIE</w:t>
      </w:r>
    </w:p>
    <w:p w:rsidR="005412B9" w:rsidRPr="002E6FBD" w:rsidRDefault="005412B9">
      <w:pPr>
        <w:rPr>
          <w:sz w:val="22"/>
          <w:szCs w:val="22"/>
          <w:lang w:val="sk-SK"/>
        </w:rPr>
      </w:pPr>
    </w:p>
    <w:p w:rsidR="005412B9" w:rsidRPr="00696835" w:rsidRDefault="00DE3E7A">
      <w:pPr>
        <w:rPr>
          <w:sz w:val="22"/>
          <w:szCs w:val="22"/>
          <w:lang w:val="sk-SK"/>
        </w:rPr>
      </w:pPr>
      <w:r w:rsidRPr="002E6FBD">
        <w:rPr>
          <w:noProof/>
          <w:sz w:val="22"/>
          <w:szCs w:val="22"/>
          <w:lang w:val="es-AR"/>
        </w:rPr>
        <w:t>Dátum prvej registrácie</w:t>
      </w:r>
      <w:r w:rsidRPr="002E6FBD">
        <w:rPr>
          <w:sz w:val="22"/>
          <w:szCs w:val="22"/>
        </w:rPr>
        <w:t xml:space="preserve">: </w:t>
      </w:r>
      <w:r w:rsidR="005412B9" w:rsidRPr="003C745E">
        <w:rPr>
          <w:sz w:val="22"/>
          <w:szCs w:val="22"/>
          <w:lang w:val="sk-SK"/>
        </w:rPr>
        <w:t>5.</w:t>
      </w:r>
      <w:r w:rsidR="00E5441A">
        <w:rPr>
          <w:sz w:val="22"/>
          <w:szCs w:val="22"/>
          <w:lang w:val="sk-SK"/>
        </w:rPr>
        <w:t xml:space="preserve"> novembr</w:t>
      </w:r>
      <w:r w:rsidR="007175CC">
        <w:rPr>
          <w:sz w:val="22"/>
          <w:szCs w:val="22"/>
          <w:lang w:val="sk-SK"/>
        </w:rPr>
        <w:t>a</w:t>
      </w:r>
      <w:r w:rsidR="00E5441A">
        <w:rPr>
          <w:sz w:val="22"/>
          <w:szCs w:val="22"/>
          <w:lang w:val="sk-SK"/>
        </w:rPr>
        <w:t xml:space="preserve"> </w:t>
      </w:r>
      <w:r w:rsidR="005412B9" w:rsidRPr="003C745E">
        <w:rPr>
          <w:sz w:val="22"/>
          <w:szCs w:val="22"/>
          <w:lang w:val="sk-SK"/>
        </w:rPr>
        <w:t>2008</w:t>
      </w:r>
    </w:p>
    <w:p w:rsidR="00636B1B" w:rsidRPr="0078279F" w:rsidRDefault="00636B1B">
      <w:pPr>
        <w:rPr>
          <w:sz w:val="22"/>
          <w:szCs w:val="22"/>
          <w:lang w:val="sk-SK"/>
        </w:rPr>
      </w:pPr>
      <w:r w:rsidRPr="00187E8F">
        <w:rPr>
          <w:noProof/>
          <w:sz w:val="22"/>
          <w:szCs w:val="22"/>
          <w:lang w:val="es-AR"/>
        </w:rPr>
        <w:t>Dátum posledného predĺženia registrácie</w:t>
      </w:r>
      <w:r w:rsidRPr="00187E8F">
        <w:rPr>
          <w:sz w:val="22"/>
          <w:szCs w:val="22"/>
        </w:rPr>
        <w:t>:</w:t>
      </w:r>
      <w:r w:rsidR="006711F7">
        <w:rPr>
          <w:sz w:val="22"/>
          <w:szCs w:val="22"/>
        </w:rPr>
        <w:t xml:space="preserve"> 20.</w:t>
      </w:r>
      <w:r w:rsidR="00E5441A">
        <w:rPr>
          <w:sz w:val="22"/>
          <w:szCs w:val="22"/>
        </w:rPr>
        <w:t xml:space="preserve"> </w:t>
      </w:r>
      <w:proofErr w:type="spellStart"/>
      <w:r w:rsidR="00E5441A">
        <w:rPr>
          <w:sz w:val="22"/>
          <w:szCs w:val="22"/>
        </w:rPr>
        <w:t>apríl</w:t>
      </w:r>
      <w:r w:rsidR="007175CC">
        <w:rPr>
          <w:sz w:val="22"/>
          <w:szCs w:val="22"/>
        </w:rPr>
        <w:t>a</w:t>
      </w:r>
      <w:proofErr w:type="spellEnd"/>
      <w:r w:rsidR="00E5441A">
        <w:rPr>
          <w:sz w:val="22"/>
          <w:szCs w:val="22"/>
        </w:rPr>
        <w:t xml:space="preserve"> </w:t>
      </w:r>
      <w:r w:rsidR="006711F7">
        <w:rPr>
          <w:sz w:val="22"/>
          <w:szCs w:val="22"/>
        </w:rPr>
        <w:t>2015</w:t>
      </w:r>
    </w:p>
    <w:p w:rsidR="00DE3E7A" w:rsidRPr="00706D1A" w:rsidRDefault="00DE3E7A">
      <w:pPr>
        <w:rPr>
          <w:sz w:val="22"/>
          <w:szCs w:val="22"/>
          <w:lang w:val="sk-SK"/>
        </w:rPr>
      </w:pPr>
    </w:p>
    <w:p w:rsidR="005412B9" w:rsidRPr="003C745E" w:rsidRDefault="005412B9">
      <w:pPr>
        <w:rPr>
          <w:sz w:val="22"/>
          <w:szCs w:val="22"/>
          <w:lang w:val="sk-SK"/>
        </w:rPr>
      </w:pPr>
    </w:p>
    <w:p w:rsidR="005412B9" w:rsidRPr="003C745E" w:rsidRDefault="005412B9">
      <w:pPr>
        <w:jc w:val="both"/>
        <w:rPr>
          <w:b/>
          <w:sz w:val="22"/>
          <w:szCs w:val="22"/>
          <w:lang w:val="sk-SK"/>
        </w:rPr>
      </w:pPr>
      <w:r w:rsidRPr="003C745E">
        <w:rPr>
          <w:b/>
          <w:sz w:val="22"/>
          <w:szCs w:val="22"/>
          <w:lang w:val="sk-SK"/>
        </w:rPr>
        <w:t>10.</w:t>
      </w:r>
      <w:r w:rsidRPr="003C745E">
        <w:rPr>
          <w:b/>
          <w:sz w:val="22"/>
          <w:szCs w:val="22"/>
          <w:lang w:val="sk-SK"/>
        </w:rPr>
        <w:tab/>
        <w:t>DÁTUM REVÍZIE TEXTU</w:t>
      </w:r>
    </w:p>
    <w:p w:rsidR="009C7B99" w:rsidRPr="003C745E" w:rsidRDefault="009C7B99">
      <w:pPr>
        <w:jc w:val="both"/>
        <w:rPr>
          <w:b/>
          <w:sz w:val="22"/>
          <w:szCs w:val="22"/>
          <w:lang w:val="sk-SK"/>
        </w:rPr>
      </w:pPr>
    </w:p>
    <w:p w:rsidR="005412B9" w:rsidRPr="002E6FBD" w:rsidRDefault="00E5441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A657CB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/2017</w:t>
      </w:r>
    </w:p>
    <w:sectPr w:rsidR="005412B9" w:rsidRPr="002E6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CB" w:rsidRDefault="00A657CB">
      <w:r>
        <w:separator/>
      </w:r>
    </w:p>
  </w:endnote>
  <w:endnote w:type="continuationSeparator" w:id="0">
    <w:p w:rsidR="00A657CB" w:rsidRDefault="00A6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OWUE+Verdana">
    <w:altName w:val="Verda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CB" w:rsidRDefault="00A657C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8</w:t>
    </w:r>
    <w:r>
      <w:rPr>
        <w:rStyle w:val="slostrany"/>
      </w:rPr>
      <w:fldChar w:fldCharType="end"/>
    </w:r>
  </w:p>
  <w:p w:rsidR="00A657CB" w:rsidRDefault="00A657C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CB" w:rsidRPr="006E6E67" w:rsidRDefault="00A657CB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6E6E67">
      <w:rPr>
        <w:rStyle w:val="slostrany"/>
        <w:sz w:val="18"/>
        <w:szCs w:val="18"/>
      </w:rPr>
      <w:fldChar w:fldCharType="begin"/>
    </w:r>
    <w:r w:rsidRPr="006E6E67">
      <w:rPr>
        <w:rStyle w:val="slostrany"/>
        <w:sz w:val="18"/>
        <w:szCs w:val="18"/>
      </w:rPr>
      <w:instrText xml:space="preserve">PAGE  </w:instrText>
    </w:r>
    <w:r w:rsidRPr="006E6E67">
      <w:rPr>
        <w:rStyle w:val="slostrany"/>
        <w:sz w:val="18"/>
        <w:szCs w:val="18"/>
      </w:rPr>
      <w:fldChar w:fldCharType="separate"/>
    </w:r>
    <w:r w:rsidR="00364F12">
      <w:rPr>
        <w:rStyle w:val="slostrany"/>
        <w:noProof/>
        <w:sz w:val="18"/>
        <w:szCs w:val="18"/>
      </w:rPr>
      <w:t>9</w:t>
    </w:r>
    <w:r w:rsidRPr="006E6E67">
      <w:rPr>
        <w:rStyle w:val="slostrany"/>
        <w:sz w:val="18"/>
        <w:szCs w:val="18"/>
      </w:rPr>
      <w:fldChar w:fldCharType="end"/>
    </w:r>
  </w:p>
  <w:p w:rsidR="00A657CB" w:rsidRDefault="00A657C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CB" w:rsidRDefault="00A657C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CB" w:rsidRDefault="00A657CB">
      <w:r>
        <w:separator/>
      </w:r>
    </w:p>
  </w:footnote>
  <w:footnote w:type="continuationSeparator" w:id="0">
    <w:p w:rsidR="00A657CB" w:rsidRDefault="00A65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CB" w:rsidRDefault="00A657C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CB" w:rsidRDefault="00A657C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CB" w:rsidRDefault="00A657C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55B6"/>
    <w:multiLevelType w:val="hybridMultilevel"/>
    <w:tmpl w:val="BF0E36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9441AB"/>
    <w:multiLevelType w:val="hybridMultilevel"/>
    <w:tmpl w:val="7B06F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4748DC"/>
    <w:multiLevelType w:val="hybridMultilevel"/>
    <w:tmpl w:val="CF162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7731FF"/>
    <w:multiLevelType w:val="hybridMultilevel"/>
    <w:tmpl w:val="76E477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9433E4"/>
    <w:multiLevelType w:val="hybridMultilevel"/>
    <w:tmpl w:val="F9B8B2BA"/>
    <w:lvl w:ilvl="0" w:tplc="FFFFFFFF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5">
    <w:nsid w:val="77584A34"/>
    <w:multiLevelType w:val="hybridMultilevel"/>
    <w:tmpl w:val="5E8C73E0"/>
    <w:lvl w:ilvl="0" w:tplc="1276B5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374155"/>
    <w:multiLevelType w:val="hybridMultilevel"/>
    <w:tmpl w:val="78B2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čolomanská, Petra">
    <w15:presenceInfo w15:providerId="None" w15:userId="Dočolomanská, Pet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B9"/>
    <w:rsid w:val="00007BDB"/>
    <w:rsid w:val="00011D7E"/>
    <w:rsid w:val="00026293"/>
    <w:rsid w:val="00026CB6"/>
    <w:rsid w:val="0003241C"/>
    <w:rsid w:val="00037BBD"/>
    <w:rsid w:val="000536DE"/>
    <w:rsid w:val="00073A1D"/>
    <w:rsid w:val="00095C5D"/>
    <w:rsid w:val="000B62A0"/>
    <w:rsid w:val="0011351E"/>
    <w:rsid w:val="00121827"/>
    <w:rsid w:val="00123CE7"/>
    <w:rsid w:val="001329D2"/>
    <w:rsid w:val="001638C4"/>
    <w:rsid w:val="00187E8F"/>
    <w:rsid w:val="001A4AA6"/>
    <w:rsid w:val="001A6E77"/>
    <w:rsid w:val="001E6544"/>
    <w:rsid w:val="001E7D0C"/>
    <w:rsid w:val="001F77B5"/>
    <w:rsid w:val="002042AC"/>
    <w:rsid w:val="00220D3B"/>
    <w:rsid w:val="002C41FC"/>
    <w:rsid w:val="002E6FBD"/>
    <w:rsid w:val="002F7976"/>
    <w:rsid w:val="00364F12"/>
    <w:rsid w:val="00371EAC"/>
    <w:rsid w:val="0038333E"/>
    <w:rsid w:val="003C5C61"/>
    <w:rsid w:val="003C745E"/>
    <w:rsid w:val="003F189B"/>
    <w:rsid w:val="003F66EC"/>
    <w:rsid w:val="00437CA6"/>
    <w:rsid w:val="004A1D04"/>
    <w:rsid w:val="004C5F2B"/>
    <w:rsid w:val="004D6351"/>
    <w:rsid w:val="004F4EA6"/>
    <w:rsid w:val="004F7A02"/>
    <w:rsid w:val="00533C60"/>
    <w:rsid w:val="0053482B"/>
    <w:rsid w:val="005412B9"/>
    <w:rsid w:val="005738D5"/>
    <w:rsid w:val="00573A00"/>
    <w:rsid w:val="005830ED"/>
    <w:rsid w:val="005A3198"/>
    <w:rsid w:val="0061332F"/>
    <w:rsid w:val="00614489"/>
    <w:rsid w:val="006251D7"/>
    <w:rsid w:val="00636B1B"/>
    <w:rsid w:val="00652367"/>
    <w:rsid w:val="006711F7"/>
    <w:rsid w:val="00695B31"/>
    <w:rsid w:val="00696835"/>
    <w:rsid w:val="00697E2B"/>
    <w:rsid w:val="006A5429"/>
    <w:rsid w:val="006E6E67"/>
    <w:rsid w:val="00706D1A"/>
    <w:rsid w:val="007175CC"/>
    <w:rsid w:val="00763AC8"/>
    <w:rsid w:val="00766575"/>
    <w:rsid w:val="0078279F"/>
    <w:rsid w:val="007A6686"/>
    <w:rsid w:val="007C1060"/>
    <w:rsid w:val="007C359A"/>
    <w:rsid w:val="007F1CBF"/>
    <w:rsid w:val="007F37B9"/>
    <w:rsid w:val="00843127"/>
    <w:rsid w:val="0089190D"/>
    <w:rsid w:val="008A0BBC"/>
    <w:rsid w:val="008B1607"/>
    <w:rsid w:val="008C1DAA"/>
    <w:rsid w:val="008D107B"/>
    <w:rsid w:val="00903C5A"/>
    <w:rsid w:val="009072FF"/>
    <w:rsid w:val="00926F0B"/>
    <w:rsid w:val="0097233A"/>
    <w:rsid w:val="00974E6E"/>
    <w:rsid w:val="00997D2F"/>
    <w:rsid w:val="009C25B9"/>
    <w:rsid w:val="009C7B99"/>
    <w:rsid w:val="00A138AB"/>
    <w:rsid w:val="00A3083D"/>
    <w:rsid w:val="00A46EAD"/>
    <w:rsid w:val="00A657CB"/>
    <w:rsid w:val="00A67521"/>
    <w:rsid w:val="00A76CC4"/>
    <w:rsid w:val="00A93259"/>
    <w:rsid w:val="00A955A5"/>
    <w:rsid w:val="00A97477"/>
    <w:rsid w:val="00AE3C62"/>
    <w:rsid w:val="00B1700F"/>
    <w:rsid w:val="00B718C1"/>
    <w:rsid w:val="00B8373E"/>
    <w:rsid w:val="00BD3AA9"/>
    <w:rsid w:val="00C51BEA"/>
    <w:rsid w:val="00C52A3E"/>
    <w:rsid w:val="00CF2D60"/>
    <w:rsid w:val="00D10047"/>
    <w:rsid w:val="00D3006D"/>
    <w:rsid w:val="00D36F8C"/>
    <w:rsid w:val="00D42616"/>
    <w:rsid w:val="00D55027"/>
    <w:rsid w:val="00D6743C"/>
    <w:rsid w:val="00D81570"/>
    <w:rsid w:val="00D95284"/>
    <w:rsid w:val="00DE3E7A"/>
    <w:rsid w:val="00E039AF"/>
    <w:rsid w:val="00E1333E"/>
    <w:rsid w:val="00E40459"/>
    <w:rsid w:val="00E43783"/>
    <w:rsid w:val="00E5441A"/>
    <w:rsid w:val="00E90187"/>
    <w:rsid w:val="00EB3AF3"/>
    <w:rsid w:val="00ED10C1"/>
    <w:rsid w:val="00F02A78"/>
    <w:rsid w:val="00F2306E"/>
    <w:rsid w:val="00F46801"/>
    <w:rsid w:val="00F64FC9"/>
    <w:rsid w:val="00F7009F"/>
    <w:rsid w:val="00F771B7"/>
    <w:rsid w:val="00FC21DC"/>
    <w:rsid w:val="00FD4F3A"/>
    <w:rsid w:val="00FF19CC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ormal">
    <w:name w:val="SPC_normal"/>
    <w:uiPriority w:val="99"/>
    <w:rPr>
      <w:sz w:val="22"/>
      <w:lang w:val="en-GB" w:eastAsia="sv-SE"/>
    </w:rPr>
  </w:style>
  <w:style w:type="paragraph" w:customStyle="1" w:styleId="SPCHeading2">
    <w:name w:val="SPC_Heading2"/>
    <w:basedOn w:val="SPCnormal"/>
    <w:pPr>
      <w:keepNext/>
      <w:ind w:left="567" w:hanging="567"/>
    </w:pPr>
    <w:rPr>
      <w:b/>
      <w:lang w:eastAsia="en-US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 w:cs="Arial"/>
      <w:sz w:val="20"/>
      <w:szCs w:val="20"/>
      <w:lang w:val="sk-SK" w:eastAsia="en-US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5412B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12B9"/>
    <w:rPr>
      <w:rFonts w:ascii="Tahoma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6E6E67"/>
    <w:pPr>
      <w:jc w:val="center"/>
    </w:pPr>
    <w:rPr>
      <w:rFonts w:eastAsia="Batang"/>
      <w:b/>
      <w:bCs/>
      <w:sz w:val="22"/>
      <w:szCs w:val="22"/>
      <w:lang w:val="en-GB" w:eastAsia="x-none"/>
    </w:rPr>
  </w:style>
  <w:style w:type="character" w:customStyle="1" w:styleId="NzovChar">
    <w:name w:val="Názov Char"/>
    <w:link w:val="Nzov"/>
    <w:uiPriority w:val="99"/>
    <w:rsid w:val="006E6E67"/>
    <w:rPr>
      <w:rFonts w:eastAsia="Batang"/>
      <w:b/>
      <w:bCs/>
      <w:sz w:val="22"/>
      <w:szCs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6E6E6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6E6E67"/>
    <w:rPr>
      <w:sz w:val="24"/>
      <w:szCs w:val="24"/>
      <w:lang w:val="cs-CZ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F66EC"/>
    <w:pPr>
      <w:spacing w:after="120" w:line="480" w:lineRule="auto"/>
    </w:pPr>
    <w:rPr>
      <w:rFonts w:eastAsia="Batang"/>
      <w:lang w:val="sk-SK" w:eastAsia="x-none"/>
    </w:rPr>
  </w:style>
  <w:style w:type="character" w:customStyle="1" w:styleId="Zkladntext2Char">
    <w:name w:val="Základný text 2 Char"/>
    <w:link w:val="Zkladntext2"/>
    <w:uiPriority w:val="99"/>
    <w:semiHidden/>
    <w:rsid w:val="003F66EC"/>
    <w:rPr>
      <w:rFonts w:eastAsia="Batang"/>
      <w:sz w:val="24"/>
      <w:szCs w:val="24"/>
      <w:lang w:val="sk-SK"/>
    </w:rPr>
  </w:style>
  <w:style w:type="character" w:styleId="Odkaznakomentr">
    <w:name w:val="annotation reference"/>
    <w:uiPriority w:val="99"/>
    <w:semiHidden/>
    <w:unhideWhenUsed/>
    <w:rsid w:val="003F18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189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F189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189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F189B"/>
    <w:rPr>
      <w:b/>
      <w:bCs/>
      <w:lang w:val="cs-CZ" w:eastAsia="cs-CZ"/>
    </w:rPr>
  </w:style>
  <w:style w:type="character" w:styleId="Hypertextovprepojenie">
    <w:name w:val="Hyperlink"/>
    <w:uiPriority w:val="99"/>
    <w:unhideWhenUsed/>
    <w:rsid w:val="006251D7"/>
    <w:rPr>
      <w:color w:val="0563C1"/>
      <w:u w:val="single"/>
    </w:rPr>
  </w:style>
  <w:style w:type="paragraph" w:customStyle="1" w:styleId="CM16">
    <w:name w:val="CM16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</w:pPr>
    <w:rPr>
      <w:rFonts w:ascii="QUOWUE+Verdana" w:hAnsi="QUOWUE+Verdana"/>
      <w:lang w:val="en-US" w:eastAsia="en-US"/>
    </w:rPr>
  </w:style>
  <w:style w:type="paragraph" w:customStyle="1" w:styleId="CM5">
    <w:name w:val="CM5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lang w:val="en-US" w:eastAsia="en-US"/>
    </w:rPr>
  </w:style>
  <w:style w:type="paragraph" w:customStyle="1" w:styleId="CM4">
    <w:name w:val="CM4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lang w:val="en-US" w:eastAsia="en-US"/>
    </w:rPr>
  </w:style>
  <w:style w:type="paragraph" w:customStyle="1" w:styleId="CM3">
    <w:name w:val="CM3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lang w:val="en-US" w:eastAsia="en-US"/>
    </w:rPr>
  </w:style>
  <w:style w:type="paragraph" w:customStyle="1" w:styleId="CM11">
    <w:name w:val="CM11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3" w:lineRule="atLeast"/>
    </w:pPr>
    <w:rPr>
      <w:rFonts w:ascii="QUOWUE+Verdana" w:hAnsi="QUOWUE+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ormal">
    <w:name w:val="SPC_normal"/>
    <w:uiPriority w:val="99"/>
    <w:rPr>
      <w:sz w:val="22"/>
      <w:lang w:val="en-GB" w:eastAsia="sv-SE"/>
    </w:rPr>
  </w:style>
  <w:style w:type="paragraph" w:customStyle="1" w:styleId="SPCHeading2">
    <w:name w:val="SPC_Heading2"/>
    <w:basedOn w:val="SPCnormal"/>
    <w:pPr>
      <w:keepNext/>
      <w:ind w:left="567" w:hanging="567"/>
    </w:pPr>
    <w:rPr>
      <w:b/>
      <w:lang w:eastAsia="en-US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 w:cs="Arial"/>
      <w:sz w:val="20"/>
      <w:szCs w:val="20"/>
      <w:lang w:val="sk-SK" w:eastAsia="en-US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5412B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12B9"/>
    <w:rPr>
      <w:rFonts w:ascii="Tahoma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6E6E67"/>
    <w:pPr>
      <w:jc w:val="center"/>
    </w:pPr>
    <w:rPr>
      <w:rFonts w:eastAsia="Batang"/>
      <w:b/>
      <w:bCs/>
      <w:sz w:val="22"/>
      <w:szCs w:val="22"/>
      <w:lang w:val="en-GB" w:eastAsia="x-none"/>
    </w:rPr>
  </w:style>
  <w:style w:type="character" w:customStyle="1" w:styleId="NzovChar">
    <w:name w:val="Názov Char"/>
    <w:link w:val="Nzov"/>
    <w:uiPriority w:val="99"/>
    <w:rsid w:val="006E6E67"/>
    <w:rPr>
      <w:rFonts w:eastAsia="Batang"/>
      <w:b/>
      <w:bCs/>
      <w:sz w:val="22"/>
      <w:szCs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6E6E6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6E6E67"/>
    <w:rPr>
      <w:sz w:val="24"/>
      <w:szCs w:val="24"/>
      <w:lang w:val="cs-CZ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F66EC"/>
    <w:pPr>
      <w:spacing w:after="120" w:line="480" w:lineRule="auto"/>
    </w:pPr>
    <w:rPr>
      <w:rFonts w:eastAsia="Batang"/>
      <w:lang w:val="sk-SK" w:eastAsia="x-none"/>
    </w:rPr>
  </w:style>
  <w:style w:type="character" w:customStyle="1" w:styleId="Zkladntext2Char">
    <w:name w:val="Základný text 2 Char"/>
    <w:link w:val="Zkladntext2"/>
    <w:uiPriority w:val="99"/>
    <w:semiHidden/>
    <w:rsid w:val="003F66EC"/>
    <w:rPr>
      <w:rFonts w:eastAsia="Batang"/>
      <w:sz w:val="24"/>
      <w:szCs w:val="24"/>
      <w:lang w:val="sk-SK"/>
    </w:rPr>
  </w:style>
  <w:style w:type="character" w:styleId="Odkaznakomentr">
    <w:name w:val="annotation reference"/>
    <w:uiPriority w:val="99"/>
    <w:semiHidden/>
    <w:unhideWhenUsed/>
    <w:rsid w:val="003F18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189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F189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189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F189B"/>
    <w:rPr>
      <w:b/>
      <w:bCs/>
      <w:lang w:val="cs-CZ" w:eastAsia="cs-CZ"/>
    </w:rPr>
  </w:style>
  <w:style w:type="character" w:styleId="Hypertextovprepojenie">
    <w:name w:val="Hyperlink"/>
    <w:uiPriority w:val="99"/>
    <w:unhideWhenUsed/>
    <w:rsid w:val="006251D7"/>
    <w:rPr>
      <w:color w:val="0563C1"/>
      <w:u w:val="single"/>
    </w:rPr>
  </w:style>
  <w:style w:type="paragraph" w:customStyle="1" w:styleId="CM16">
    <w:name w:val="CM16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</w:pPr>
    <w:rPr>
      <w:rFonts w:ascii="QUOWUE+Verdana" w:hAnsi="QUOWUE+Verdana"/>
      <w:lang w:val="en-US" w:eastAsia="en-US"/>
    </w:rPr>
  </w:style>
  <w:style w:type="paragraph" w:customStyle="1" w:styleId="CM5">
    <w:name w:val="CM5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lang w:val="en-US" w:eastAsia="en-US"/>
    </w:rPr>
  </w:style>
  <w:style w:type="paragraph" w:customStyle="1" w:styleId="CM4">
    <w:name w:val="CM4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lang w:val="en-US" w:eastAsia="en-US"/>
    </w:rPr>
  </w:style>
  <w:style w:type="paragraph" w:customStyle="1" w:styleId="CM3">
    <w:name w:val="CM3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lang w:val="en-US" w:eastAsia="en-US"/>
    </w:rPr>
  </w:style>
  <w:style w:type="paragraph" w:customStyle="1" w:styleId="CM11">
    <w:name w:val="CM11"/>
    <w:basedOn w:val="Normlny"/>
    <w:next w:val="Normlny"/>
    <w:uiPriority w:val="99"/>
    <w:rsid w:val="00C52A3E"/>
    <w:pPr>
      <w:widowControl w:val="0"/>
      <w:autoSpaceDE w:val="0"/>
      <w:autoSpaceDN w:val="0"/>
      <w:adjustRightInd w:val="0"/>
      <w:spacing w:line="283" w:lineRule="atLeast"/>
    </w:pPr>
    <w:rPr>
      <w:rFonts w:ascii="QUOWUE+Verdana" w:hAnsi="QUOWUE+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3076</Words>
  <Characters>20007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SUKL</Company>
  <LinksUpToDate>false</LinksUpToDate>
  <CharactersWithSpaces>23037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Uhnakova</dc:creator>
  <cp:lastModifiedBy>Dočolomanská, Petra</cp:lastModifiedBy>
  <cp:revision>3</cp:revision>
  <cp:lastPrinted>2017-04-10T08:31:00Z</cp:lastPrinted>
  <dcterms:created xsi:type="dcterms:W3CDTF">2017-04-27T06:33:00Z</dcterms:created>
  <dcterms:modified xsi:type="dcterms:W3CDTF">2017-04-27T06:44:00Z</dcterms:modified>
</cp:coreProperties>
</file>