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B9" w:rsidRPr="00BD79BE" w:rsidRDefault="00E455B9" w:rsidP="00721DB3">
      <w:pPr>
        <w:spacing w:line="240" w:lineRule="auto"/>
        <w:jc w:val="center"/>
        <w:rPr>
          <w:szCs w:val="22"/>
        </w:rPr>
      </w:pPr>
      <w:r w:rsidRPr="00BD79BE">
        <w:rPr>
          <w:b/>
          <w:szCs w:val="22"/>
        </w:rPr>
        <w:t>SÚHRN CHARAKTERISTICKÝCH VLASTNOSTÍ LIEKU</w:t>
      </w:r>
    </w:p>
    <w:p w:rsidR="00E455B9" w:rsidRPr="00BD79BE" w:rsidRDefault="00E455B9" w:rsidP="00721DB3">
      <w:pPr>
        <w:spacing w:line="240" w:lineRule="auto"/>
        <w:jc w:val="center"/>
        <w:rPr>
          <w:szCs w:val="22"/>
        </w:rPr>
      </w:pPr>
    </w:p>
    <w:p w:rsidR="00E455B9" w:rsidRPr="00BD79BE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szCs w:val="22"/>
        </w:rPr>
      </w:pPr>
      <w:r w:rsidRPr="00BD79BE">
        <w:rPr>
          <w:b/>
          <w:szCs w:val="22"/>
        </w:rPr>
        <w:t>NÁZOV LIEKU</w:t>
      </w:r>
    </w:p>
    <w:p w:rsidR="00363290" w:rsidRPr="00BD79BE" w:rsidRDefault="00363290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726677" w:rsidRPr="00BD79B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BD79BE">
        <w:rPr>
          <w:szCs w:val="22"/>
          <w:lang w:eastAsia="en-US" w:bidi="ar-SA"/>
        </w:rPr>
        <w:t>E</w:t>
      </w:r>
      <w:r w:rsidR="00FA09A4" w:rsidRPr="00BD79BE">
        <w:rPr>
          <w:szCs w:val="22"/>
          <w:lang w:eastAsia="en-US" w:bidi="ar-SA"/>
        </w:rPr>
        <w:t>piduo</w:t>
      </w:r>
      <w:proofErr w:type="spellEnd"/>
      <w:r w:rsidRPr="005E0665">
        <w:rPr>
          <w:szCs w:val="22"/>
          <w:lang w:eastAsia="en-US" w:bidi="ar-SA"/>
        </w:rPr>
        <w:t xml:space="preserve"> </w:t>
      </w:r>
      <w:bookmarkStart w:id="0" w:name="_GoBack"/>
      <w:bookmarkEnd w:id="0"/>
    </w:p>
    <w:p w:rsidR="00E455B9" w:rsidRPr="00BD79BE" w:rsidRDefault="00363290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BD79BE">
        <w:rPr>
          <w:szCs w:val="22"/>
          <w:lang w:eastAsia="en-US" w:bidi="ar-SA"/>
        </w:rPr>
        <w:t>1 mg/g + 25 mg/g gél</w:t>
      </w:r>
    </w:p>
    <w:p w:rsidR="00E455B9" w:rsidRPr="00BD79B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35A2D" w:rsidRDefault="00E455B9" w:rsidP="00721DB3">
      <w:pPr>
        <w:spacing w:line="240" w:lineRule="auto"/>
        <w:rPr>
          <w:szCs w:val="22"/>
        </w:rPr>
      </w:pPr>
    </w:p>
    <w:p w:rsidR="00E455B9" w:rsidRPr="00A200FA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szCs w:val="22"/>
        </w:rPr>
      </w:pPr>
      <w:r w:rsidRPr="00356C86">
        <w:rPr>
          <w:b/>
          <w:szCs w:val="22"/>
        </w:rPr>
        <w:t>KVALITATÍVNE A KVANTITATÍVNE ZLOŽENIE</w:t>
      </w:r>
    </w:p>
    <w:p w:rsidR="00363290" w:rsidRPr="00A200FA" w:rsidRDefault="00363290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1 g</w:t>
      </w:r>
      <w:r w:rsidR="007E33B6" w:rsidRPr="007D394E">
        <w:rPr>
          <w:szCs w:val="22"/>
          <w:lang w:eastAsia="en-US" w:bidi="ar-SA"/>
        </w:rPr>
        <w:t xml:space="preserve"> </w:t>
      </w:r>
      <w:r w:rsidRPr="007D394E">
        <w:rPr>
          <w:szCs w:val="22"/>
          <w:lang w:eastAsia="en-US" w:bidi="ar-SA"/>
        </w:rPr>
        <w:t>gélu obsahuje:</w:t>
      </w:r>
      <w:r w:rsidR="00726677" w:rsidRPr="007D394E">
        <w:rPr>
          <w:szCs w:val="22"/>
          <w:lang w:eastAsia="en-US" w:bidi="ar-SA"/>
        </w:rPr>
        <w:t xml:space="preserve"> </w:t>
      </w:r>
      <w:r w:rsidRPr="007D394E">
        <w:rPr>
          <w:szCs w:val="22"/>
          <w:lang w:eastAsia="en-US" w:bidi="ar-SA"/>
        </w:rPr>
        <w:t xml:space="preserve">1 mg </w:t>
      </w:r>
      <w:r w:rsidR="00726677" w:rsidRPr="007D394E">
        <w:rPr>
          <w:szCs w:val="22"/>
          <w:lang w:eastAsia="en-US" w:bidi="ar-SA"/>
        </w:rPr>
        <w:t>adapalénu</w:t>
      </w:r>
      <w:r w:rsidRPr="007D394E">
        <w:rPr>
          <w:szCs w:val="22"/>
          <w:lang w:eastAsia="en-US" w:bidi="ar-SA"/>
        </w:rPr>
        <w:t xml:space="preserve">(0,1 %) </w:t>
      </w:r>
      <w:r w:rsidR="00726677" w:rsidRPr="007D394E">
        <w:rPr>
          <w:szCs w:val="22"/>
          <w:lang w:eastAsia="en-US" w:bidi="ar-SA"/>
        </w:rPr>
        <w:t xml:space="preserve">a 25 mg </w:t>
      </w:r>
      <w:proofErr w:type="spellStart"/>
      <w:r w:rsidRPr="007D394E">
        <w:rPr>
          <w:szCs w:val="22"/>
          <w:lang w:eastAsia="en-US" w:bidi="ar-SA"/>
        </w:rPr>
        <w:t>benzoylperoxid</w:t>
      </w:r>
      <w:r w:rsidR="00726677" w:rsidRPr="007D394E">
        <w:rPr>
          <w:szCs w:val="22"/>
          <w:lang w:eastAsia="en-US" w:bidi="ar-SA"/>
        </w:rPr>
        <w:t>u</w:t>
      </w:r>
      <w:proofErr w:type="spellEnd"/>
      <w:r w:rsidRPr="007D394E">
        <w:rPr>
          <w:szCs w:val="22"/>
          <w:lang w:eastAsia="en-US" w:bidi="ar-SA"/>
        </w:rPr>
        <w:t xml:space="preserve"> (2,5 %)</w:t>
      </w:r>
      <w:r w:rsidR="00726677" w:rsidRPr="007D394E">
        <w:rPr>
          <w:szCs w:val="22"/>
          <w:lang w:eastAsia="en-US" w:bidi="ar-SA"/>
        </w:rPr>
        <w:t>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u w:val="single"/>
          <w:lang w:eastAsia="en-US" w:bidi="ar-SA"/>
        </w:rPr>
        <w:t>Pomocná látka so známym účinkom</w:t>
      </w:r>
      <w:r w:rsidRPr="007D394E">
        <w:rPr>
          <w:szCs w:val="22"/>
          <w:lang w:eastAsia="en-US" w:bidi="ar-SA"/>
        </w:rPr>
        <w:t xml:space="preserve">: </w:t>
      </w:r>
      <w:proofErr w:type="spellStart"/>
      <w:r w:rsidRPr="007D394E">
        <w:rPr>
          <w:szCs w:val="22"/>
          <w:lang w:eastAsia="en-US" w:bidi="ar-SA"/>
        </w:rPr>
        <w:t>propylénglykol</w:t>
      </w:r>
      <w:proofErr w:type="spellEnd"/>
      <w:r w:rsidRPr="007D394E">
        <w:rPr>
          <w:szCs w:val="22"/>
          <w:lang w:eastAsia="en-US" w:bidi="ar-SA"/>
        </w:rPr>
        <w:t>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537B0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Úplný zoznam pomocných látok</w:t>
      </w:r>
      <w:r w:rsidR="005E0665">
        <w:rPr>
          <w:szCs w:val="22"/>
          <w:lang w:eastAsia="en-US" w:bidi="ar-SA"/>
        </w:rPr>
        <w:t>,</w:t>
      </w:r>
      <w:r w:rsidRPr="005E0665">
        <w:rPr>
          <w:szCs w:val="22"/>
          <w:lang w:eastAsia="en-US" w:bidi="ar-SA"/>
        </w:rPr>
        <w:t xml:space="preserve"> pozri časť 6.1.</w:t>
      </w:r>
    </w:p>
    <w:p w:rsidR="00E455B9" w:rsidRPr="00C35A2D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caps/>
          <w:szCs w:val="22"/>
        </w:rPr>
      </w:pPr>
      <w:r w:rsidRPr="007D394E">
        <w:rPr>
          <w:b/>
          <w:szCs w:val="22"/>
        </w:rPr>
        <w:t>LIEKOVÁ FORMA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Gél.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Biely až </w:t>
      </w:r>
      <w:r w:rsidR="007E33B6" w:rsidRPr="007D394E">
        <w:rPr>
          <w:szCs w:val="22"/>
          <w:lang w:eastAsia="en-US" w:bidi="ar-SA"/>
        </w:rPr>
        <w:t>slab</w:t>
      </w:r>
      <w:r w:rsidRPr="007D394E">
        <w:rPr>
          <w:szCs w:val="22"/>
          <w:lang w:eastAsia="en-US" w:bidi="ar-SA"/>
        </w:rPr>
        <w:t>ožltý nepriehľadný gél.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caps/>
          <w:szCs w:val="22"/>
        </w:rPr>
      </w:pPr>
      <w:r w:rsidRPr="007D394E">
        <w:rPr>
          <w:b/>
          <w:szCs w:val="22"/>
        </w:rPr>
        <w:t>KLINICKÉ ÚDAJE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Terapeutické indikácie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2A4EB5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Kožná liečba </w:t>
      </w:r>
      <w:proofErr w:type="spellStart"/>
      <w:r w:rsidRPr="007D394E">
        <w:rPr>
          <w:i/>
          <w:iCs/>
          <w:szCs w:val="22"/>
        </w:rPr>
        <w:t>acne</w:t>
      </w:r>
      <w:proofErr w:type="spellEnd"/>
      <w:r w:rsidRPr="007D394E">
        <w:rPr>
          <w:i/>
          <w:iCs/>
          <w:szCs w:val="22"/>
        </w:rPr>
        <w:t xml:space="preserve"> </w:t>
      </w:r>
      <w:proofErr w:type="spellStart"/>
      <w:r w:rsidRPr="007D394E">
        <w:rPr>
          <w:i/>
          <w:iCs/>
          <w:szCs w:val="22"/>
        </w:rPr>
        <w:t>vulgaris</w:t>
      </w:r>
      <w:proofErr w:type="spellEnd"/>
      <w:r w:rsidRPr="007D394E">
        <w:rPr>
          <w:i/>
          <w:iCs/>
          <w:szCs w:val="22"/>
        </w:rPr>
        <w:t xml:space="preserve"> </w:t>
      </w:r>
      <w:r w:rsidRPr="007D394E">
        <w:rPr>
          <w:iCs/>
          <w:szCs w:val="22"/>
        </w:rPr>
        <w:t xml:space="preserve">v prípade prítomnosti </w:t>
      </w:r>
      <w:proofErr w:type="spellStart"/>
      <w:r w:rsidRPr="007D394E">
        <w:rPr>
          <w:iCs/>
          <w:szCs w:val="22"/>
        </w:rPr>
        <w:t>komedónov</w:t>
      </w:r>
      <w:proofErr w:type="spellEnd"/>
      <w:r w:rsidRPr="007D394E">
        <w:rPr>
          <w:iCs/>
          <w:szCs w:val="22"/>
        </w:rPr>
        <w:t xml:space="preserve">, </w:t>
      </w:r>
      <w:proofErr w:type="spellStart"/>
      <w:r w:rsidRPr="007D394E">
        <w:rPr>
          <w:iCs/>
          <w:szCs w:val="22"/>
        </w:rPr>
        <w:t>pap</w:t>
      </w:r>
      <w:r w:rsidR="00C537B0">
        <w:rPr>
          <w:iCs/>
          <w:szCs w:val="22"/>
        </w:rPr>
        <w:t>úl</w:t>
      </w:r>
      <w:proofErr w:type="spellEnd"/>
      <w:r w:rsidRPr="00C537B0">
        <w:rPr>
          <w:iCs/>
          <w:szCs w:val="22"/>
        </w:rPr>
        <w:t xml:space="preserve"> a </w:t>
      </w:r>
      <w:proofErr w:type="spellStart"/>
      <w:r w:rsidRPr="00C537B0">
        <w:rPr>
          <w:iCs/>
          <w:szCs w:val="22"/>
        </w:rPr>
        <w:t>pust</w:t>
      </w:r>
      <w:r w:rsidR="00C537B0">
        <w:rPr>
          <w:iCs/>
          <w:szCs w:val="22"/>
        </w:rPr>
        <w:t>úl</w:t>
      </w:r>
      <w:proofErr w:type="spellEnd"/>
      <w:r w:rsidRPr="00C537B0">
        <w:rPr>
          <w:iCs/>
          <w:szCs w:val="22"/>
        </w:rPr>
        <w:t xml:space="preserve"> </w:t>
      </w:r>
      <w:r w:rsidRPr="002A189A">
        <w:rPr>
          <w:szCs w:val="22"/>
        </w:rPr>
        <w:t xml:space="preserve">(pozri časť </w:t>
      </w:r>
      <w:r w:rsidRPr="002A4EB5">
        <w:rPr>
          <w:szCs w:val="22"/>
        </w:rPr>
        <w:t>5.1).</w:t>
      </w:r>
    </w:p>
    <w:p w:rsidR="00E455B9" w:rsidRPr="00C35A2D" w:rsidRDefault="00E455B9" w:rsidP="00721DB3">
      <w:pPr>
        <w:spacing w:line="240" w:lineRule="auto"/>
        <w:rPr>
          <w:szCs w:val="22"/>
        </w:rPr>
      </w:pPr>
    </w:p>
    <w:p w:rsidR="00E455B9" w:rsidRPr="00A200F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356C86">
        <w:rPr>
          <w:b/>
          <w:szCs w:val="22"/>
        </w:rPr>
        <w:t>Dávkovanie a spôsob podávania</w:t>
      </w:r>
    </w:p>
    <w:p w:rsidR="00E455B9" w:rsidRPr="00A200F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A200F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A200FA">
        <w:rPr>
          <w:szCs w:val="22"/>
          <w:lang w:eastAsia="en-US" w:bidi="ar-SA"/>
        </w:rPr>
        <w:t>E</w:t>
      </w:r>
      <w:r w:rsidR="002A4EB5">
        <w:rPr>
          <w:szCs w:val="22"/>
          <w:lang w:eastAsia="en-US" w:bidi="ar-SA"/>
        </w:rPr>
        <w:t>piduo</w:t>
      </w:r>
      <w:proofErr w:type="spellEnd"/>
      <w:r w:rsidRPr="00960CF1">
        <w:rPr>
          <w:szCs w:val="22"/>
          <w:lang w:eastAsia="en-US" w:bidi="ar-SA"/>
        </w:rPr>
        <w:t xml:space="preserve"> sa aplikuje na celú oblasť postihnutú akné raz denne, večer, na čistú a suchú kožu. Gél sa aplikuje v tenkej vrstve br</w:t>
      </w:r>
      <w:r w:rsidR="00DA6395" w:rsidRPr="00C35A2D">
        <w:rPr>
          <w:szCs w:val="22"/>
          <w:lang w:eastAsia="en-US" w:bidi="ar-SA"/>
        </w:rPr>
        <w:t xml:space="preserve">uškami prstov, treba sa vyhnúť </w:t>
      </w:r>
      <w:r w:rsidRPr="00356C86">
        <w:rPr>
          <w:szCs w:val="22"/>
          <w:lang w:eastAsia="en-US" w:bidi="ar-SA"/>
        </w:rPr>
        <w:t>očiam a perám (pozri časť 4.4).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Pokiaľ sa objaví podráždenie, pacient má byť poučený, aby používal zvlhčujúce prípravky, ktoré nepodporujú tvorbu </w:t>
      </w:r>
      <w:proofErr w:type="spellStart"/>
      <w:r w:rsidRPr="007D394E">
        <w:rPr>
          <w:szCs w:val="22"/>
          <w:lang w:eastAsia="en-US" w:bidi="ar-SA"/>
        </w:rPr>
        <w:t>komedónov</w:t>
      </w:r>
      <w:proofErr w:type="spellEnd"/>
      <w:r w:rsidRPr="007D394E">
        <w:rPr>
          <w:szCs w:val="22"/>
          <w:lang w:eastAsia="en-US" w:bidi="ar-SA"/>
        </w:rPr>
        <w:t>, aby liek používal menej často (napr. každý druhý deň), dočasne prerušil liečbu alebo ju ukončil.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35A2D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Dĺžku trvania liečby určí lekár na základe klinického stavu. Prvé </w:t>
      </w:r>
      <w:r w:rsidR="00960CF1">
        <w:rPr>
          <w:szCs w:val="22"/>
          <w:lang w:eastAsia="en-US" w:bidi="ar-SA"/>
        </w:rPr>
        <w:t>prejav</w:t>
      </w:r>
      <w:r w:rsidRPr="00960CF1">
        <w:rPr>
          <w:szCs w:val="22"/>
          <w:lang w:eastAsia="en-US" w:bidi="ar-SA"/>
        </w:rPr>
        <w:t xml:space="preserve">y klinického zlepšenia sa obvykle objavujú po 1 až 4 týždňoch liečby. 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36586F" w:rsidRDefault="00E455B9" w:rsidP="00721DB3">
      <w:pPr>
        <w:tabs>
          <w:tab w:val="clear" w:pos="567"/>
        </w:tabs>
        <w:spacing w:line="240" w:lineRule="auto"/>
        <w:rPr>
          <w:szCs w:val="22"/>
        </w:rPr>
      </w:pPr>
      <w:r w:rsidRPr="007D394E">
        <w:rPr>
          <w:szCs w:val="22"/>
          <w:lang w:eastAsia="en-US" w:bidi="ar-SA"/>
        </w:rPr>
        <w:t>Bezpečnosť</w:t>
      </w:r>
      <w:r w:rsidRPr="007D394E">
        <w:rPr>
          <w:szCs w:val="22"/>
        </w:rPr>
        <w:t xml:space="preserve"> a účinnosť lieku </w:t>
      </w:r>
      <w:proofErr w:type="spellStart"/>
      <w:r w:rsidRPr="007D394E">
        <w:rPr>
          <w:szCs w:val="22"/>
        </w:rPr>
        <w:t>E</w:t>
      </w:r>
      <w:r w:rsidR="0036586F">
        <w:rPr>
          <w:szCs w:val="22"/>
        </w:rPr>
        <w:t>piduo</w:t>
      </w:r>
      <w:proofErr w:type="spellEnd"/>
      <w:r w:rsidRPr="0036586F">
        <w:rPr>
          <w:szCs w:val="22"/>
        </w:rPr>
        <w:t xml:space="preserve"> u detí </w:t>
      </w:r>
      <w:r w:rsidR="0036586F">
        <w:rPr>
          <w:szCs w:val="22"/>
        </w:rPr>
        <w:t xml:space="preserve">vo veku </w:t>
      </w:r>
      <w:r w:rsidR="00726677" w:rsidRPr="0036586F">
        <w:rPr>
          <w:szCs w:val="22"/>
        </w:rPr>
        <w:t>m</w:t>
      </w:r>
      <w:r w:rsidR="0036586F">
        <w:rPr>
          <w:szCs w:val="22"/>
        </w:rPr>
        <w:t>enej</w:t>
      </w:r>
      <w:r w:rsidR="00726677" w:rsidRPr="0036586F">
        <w:rPr>
          <w:szCs w:val="22"/>
        </w:rPr>
        <w:t xml:space="preserve"> ako</w:t>
      </w:r>
      <w:r w:rsidRPr="0036586F">
        <w:rPr>
          <w:szCs w:val="22"/>
        </w:rPr>
        <w:t xml:space="preserve"> 9 rokov nebol</w:t>
      </w:r>
      <w:r w:rsidR="0036586F">
        <w:rPr>
          <w:szCs w:val="22"/>
        </w:rPr>
        <w:t>i</w:t>
      </w:r>
      <w:r w:rsidRPr="0036586F">
        <w:rPr>
          <w:szCs w:val="22"/>
        </w:rPr>
        <w:t xml:space="preserve"> skúman</w:t>
      </w:r>
      <w:r w:rsidR="0036586F">
        <w:rPr>
          <w:szCs w:val="22"/>
        </w:rPr>
        <w:t>é</w:t>
      </w:r>
      <w:r w:rsidRPr="0036586F">
        <w:rPr>
          <w:szCs w:val="22"/>
        </w:rPr>
        <w:t>.</w:t>
      </w:r>
    </w:p>
    <w:p w:rsidR="00E455B9" w:rsidRPr="00C35A2D" w:rsidRDefault="00E455B9" w:rsidP="00721DB3">
      <w:pPr>
        <w:spacing w:line="240" w:lineRule="auto"/>
        <w:rPr>
          <w:szCs w:val="22"/>
        </w:rPr>
      </w:pPr>
    </w:p>
    <w:p w:rsidR="00E455B9" w:rsidRPr="00A200FA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356C86">
        <w:rPr>
          <w:b/>
          <w:szCs w:val="22"/>
        </w:rPr>
        <w:t>Kontraindikácie</w:t>
      </w:r>
    </w:p>
    <w:p w:rsidR="00E455B9" w:rsidRPr="00A200F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Precitlivenosť na liečiv</w:t>
      </w:r>
      <w:r w:rsidR="00047E28" w:rsidRPr="007D394E">
        <w:rPr>
          <w:szCs w:val="22"/>
          <w:lang w:eastAsia="en-US" w:bidi="ar-SA"/>
        </w:rPr>
        <w:t xml:space="preserve">á </w:t>
      </w:r>
      <w:r w:rsidRPr="007D394E">
        <w:rPr>
          <w:szCs w:val="22"/>
          <w:lang w:eastAsia="en-US" w:bidi="ar-SA"/>
        </w:rPr>
        <w:t>alebo na ktorúkoľvek</w:t>
      </w:r>
      <w:r w:rsidR="00047E28" w:rsidRPr="007D394E">
        <w:rPr>
          <w:szCs w:val="22"/>
          <w:lang w:eastAsia="en-US" w:bidi="ar-SA"/>
        </w:rPr>
        <w:t xml:space="preserve"> z</w:t>
      </w:r>
      <w:r w:rsidRPr="007D394E">
        <w:rPr>
          <w:szCs w:val="22"/>
          <w:lang w:eastAsia="en-US" w:bidi="ar-SA"/>
        </w:rPr>
        <w:t xml:space="preserve"> pomocn</w:t>
      </w:r>
      <w:r w:rsidR="00047E28" w:rsidRPr="007D394E">
        <w:rPr>
          <w:szCs w:val="22"/>
          <w:lang w:eastAsia="en-US" w:bidi="ar-SA"/>
        </w:rPr>
        <w:t>ých</w:t>
      </w:r>
      <w:r w:rsidRPr="007D394E">
        <w:rPr>
          <w:szCs w:val="22"/>
          <w:lang w:eastAsia="en-US" w:bidi="ar-SA"/>
        </w:rPr>
        <w:t xml:space="preserve"> lát</w:t>
      </w:r>
      <w:r w:rsidR="00047E28" w:rsidRPr="007D394E">
        <w:rPr>
          <w:szCs w:val="22"/>
          <w:lang w:eastAsia="en-US" w:bidi="ar-SA"/>
        </w:rPr>
        <w:t>ok</w:t>
      </w:r>
      <w:r w:rsidRPr="007D394E">
        <w:rPr>
          <w:szCs w:val="22"/>
          <w:lang w:eastAsia="en-US" w:bidi="ar-SA"/>
        </w:rPr>
        <w:t xml:space="preserve"> uveden</w:t>
      </w:r>
      <w:r w:rsidR="00047E28" w:rsidRPr="007D394E">
        <w:rPr>
          <w:szCs w:val="22"/>
          <w:lang w:eastAsia="en-US" w:bidi="ar-SA"/>
        </w:rPr>
        <w:t>ých</w:t>
      </w:r>
      <w:r w:rsidRPr="007D394E">
        <w:rPr>
          <w:szCs w:val="22"/>
          <w:lang w:eastAsia="en-US" w:bidi="ar-SA"/>
        </w:rPr>
        <w:t xml:space="preserve"> v časti 6.1.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7D394E">
        <w:rPr>
          <w:b/>
          <w:szCs w:val="22"/>
        </w:rPr>
        <w:t>Osobitné upozornenia a opatrenia pri používaní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35A2D" w:rsidRDefault="00DA6395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Liek </w:t>
      </w:r>
      <w:proofErr w:type="spellStart"/>
      <w:r w:rsidR="00E455B9" w:rsidRPr="007D394E">
        <w:rPr>
          <w:szCs w:val="22"/>
          <w:lang w:eastAsia="en-US" w:bidi="ar-SA"/>
        </w:rPr>
        <w:t>E</w:t>
      </w:r>
      <w:r w:rsidR="00F54F22">
        <w:rPr>
          <w:szCs w:val="22"/>
          <w:lang w:eastAsia="en-US" w:bidi="ar-SA"/>
        </w:rPr>
        <w:t>piduo</w:t>
      </w:r>
      <w:proofErr w:type="spellEnd"/>
      <w:r w:rsidR="00E455B9" w:rsidRPr="00F54F22">
        <w:rPr>
          <w:szCs w:val="22"/>
          <w:lang w:eastAsia="en-US" w:bidi="ar-SA"/>
        </w:rPr>
        <w:t xml:space="preserve"> </w:t>
      </w:r>
      <w:r w:rsidR="00A200FA">
        <w:rPr>
          <w:szCs w:val="22"/>
          <w:lang w:eastAsia="en-US" w:bidi="ar-SA"/>
        </w:rPr>
        <w:t xml:space="preserve">gél </w:t>
      </w:r>
      <w:r w:rsidR="00E455B9" w:rsidRPr="00F54F22">
        <w:rPr>
          <w:szCs w:val="22"/>
          <w:lang w:eastAsia="en-US" w:bidi="ar-SA"/>
        </w:rPr>
        <w:t>sa nemá aplikovať na poškodenú kožu, porušenú (porezani</w:t>
      </w:r>
      <w:r w:rsidR="00D77408">
        <w:rPr>
          <w:szCs w:val="22"/>
          <w:lang w:eastAsia="en-US" w:bidi="ar-SA"/>
        </w:rPr>
        <w:t>a</w:t>
      </w:r>
      <w:r w:rsidR="00E455B9" w:rsidRPr="00F54F22">
        <w:rPr>
          <w:szCs w:val="22"/>
          <w:lang w:eastAsia="en-US" w:bidi="ar-SA"/>
        </w:rPr>
        <w:t xml:space="preserve"> alebo od</w:t>
      </w:r>
      <w:r w:rsidR="00D77408">
        <w:rPr>
          <w:szCs w:val="22"/>
          <w:lang w:eastAsia="en-US" w:bidi="ar-SA"/>
        </w:rPr>
        <w:t>reniny</w:t>
      </w:r>
      <w:r w:rsidR="00E455B9" w:rsidRPr="00F54F22">
        <w:rPr>
          <w:szCs w:val="22"/>
          <w:lang w:eastAsia="en-US" w:bidi="ar-SA"/>
        </w:rPr>
        <w:t xml:space="preserve">) ani </w:t>
      </w:r>
      <w:proofErr w:type="spellStart"/>
      <w:r w:rsidR="00E455B9" w:rsidRPr="00F54F22">
        <w:rPr>
          <w:szCs w:val="22"/>
          <w:lang w:eastAsia="en-US" w:bidi="ar-SA"/>
        </w:rPr>
        <w:t>ekzematóznu</w:t>
      </w:r>
      <w:proofErr w:type="spellEnd"/>
      <w:r w:rsidR="00E455B9" w:rsidRPr="00F54F22">
        <w:rPr>
          <w:szCs w:val="22"/>
          <w:lang w:eastAsia="en-US" w:bidi="ar-SA"/>
        </w:rPr>
        <w:t xml:space="preserve"> kožu. 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35A2D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Liek </w:t>
      </w:r>
      <w:proofErr w:type="spellStart"/>
      <w:r w:rsidRPr="007D394E">
        <w:rPr>
          <w:szCs w:val="22"/>
          <w:lang w:eastAsia="en-US" w:bidi="ar-SA"/>
        </w:rPr>
        <w:t>E</w:t>
      </w:r>
      <w:r w:rsidR="00F54F22">
        <w:rPr>
          <w:szCs w:val="22"/>
          <w:lang w:eastAsia="en-US" w:bidi="ar-SA"/>
        </w:rPr>
        <w:t>piduo</w:t>
      </w:r>
      <w:proofErr w:type="spellEnd"/>
      <w:r w:rsidRPr="00F54F22">
        <w:rPr>
          <w:szCs w:val="22"/>
          <w:lang w:eastAsia="en-US" w:bidi="ar-SA"/>
        </w:rPr>
        <w:t xml:space="preserve"> </w:t>
      </w:r>
      <w:r w:rsidR="00B07B61">
        <w:rPr>
          <w:szCs w:val="22"/>
          <w:lang w:eastAsia="en-US" w:bidi="ar-SA"/>
        </w:rPr>
        <w:t>nemá</w:t>
      </w:r>
      <w:r w:rsidRPr="00F54F22">
        <w:rPr>
          <w:szCs w:val="22"/>
          <w:lang w:eastAsia="en-US" w:bidi="ar-SA"/>
        </w:rPr>
        <w:t xml:space="preserve"> prísť do kontaktu s očami, ústami, nosovými dierkami alebo sliznicami. Pri</w:t>
      </w:r>
      <w:r w:rsidR="00550C3F">
        <w:rPr>
          <w:szCs w:val="22"/>
          <w:lang w:eastAsia="en-US" w:bidi="ar-SA"/>
        </w:rPr>
        <w:t> </w:t>
      </w:r>
      <w:r w:rsidRPr="00F54F22">
        <w:rPr>
          <w:szCs w:val="22"/>
          <w:lang w:eastAsia="en-US" w:bidi="ar-SA"/>
        </w:rPr>
        <w:t>zasiahnutí očí je nutné liek okamžite vymyť teplou vodou.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35A2D" w:rsidRDefault="00550C3F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>
        <w:rPr>
          <w:szCs w:val="22"/>
          <w:lang w:eastAsia="en-US" w:bidi="ar-SA"/>
        </w:rPr>
        <w:t>Tento l</w:t>
      </w:r>
      <w:r w:rsidR="00E455B9" w:rsidRPr="00550C3F">
        <w:rPr>
          <w:szCs w:val="22"/>
          <w:lang w:eastAsia="en-US" w:bidi="ar-SA"/>
        </w:rPr>
        <w:t>iek</w:t>
      </w:r>
      <w:r w:rsidR="00E455B9" w:rsidRPr="00F54F22">
        <w:rPr>
          <w:szCs w:val="22"/>
          <w:lang w:eastAsia="en-US" w:bidi="ar-SA"/>
        </w:rPr>
        <w:t xml:space="preserve"> obsahuje </w:t>
      </w:r>
      <w:proofErr w:type="spellStart"/>
      <w:r w:rsidR="00E455B9" w:rsidRPr="00F54F22">
        <w:rPr>
          <w:szCs w:val="22"/>
          <w:lang w:eastAsia="en-US" w:bidi="ar-SA"/>
        </w:rPr>
        <w:t>propylénglykol</w:t>
      </w:r>
      <w:proofErr w:type="spellEnd"/>
      <w:r w:rsidR="00E455B9" w:rsidRPr="00F54F22">
        <w:rPr>
          <w:szCs w:val="22"/>
          <w:lang w:eastAsia="en-US" w:bidi="ar-SA"/>
        </w:rPr>
        <w:t xml:space="preserve"> (E1520), ktorý môže spôsobiť podráždenie kože.</w:t>
      </w:r>
    </w:p>
    <w:p w:rsidR="00E455B9" w:rsidRPr="00C35A2D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6C3990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6C3990">
        <w:rPr>
          <w:szCs w:val="22"/>
          <w:lang w:eastAsia="en-US" w:bidi="ar-SA"/>
        </w:rPr>
        <w:t xml:space="preserve">Ak sa objaví reakcia naznačujúca citlivosť na ktorúkoľvek zložku, treba liečbu liekom </w:t>
      </w:r>
      <w:proofErr w:type="spellStart"/>
      <w:r w:rsidRPr="006C3990">
        <w:rPr>
          <w:szCs w:val="22"/>
          <w:lang w:eastAsia="en-US" w:bidi="ar-SA"/>
        </w:rPr>
        <w:t>E</w:t>
      </w:r>
      <w:r w:rsidR="006C3990">
        <w:rPr>
          <w:szCs w:val="22"/>
          <w:lang w:eastAsia="en-US" w:bidi="ar-SA"/>
        </w:rPr>
        <w:t>piduo</w:t>
      </w:r>
      <w:proofErr w:type="spellEnd"/>
      <w:r w:rsidRPr="006C3990">
        <w:rPr>
          <w:szCs w:val="22"/>
          <w:lang w:eastAsia="en-US" w:bidi="ar-SA"/>
        </w:rPr>
        <w:t xml:space="preserve"> ukončiť.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0E26A2" w:rsidRDefault="000E26A2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>
        <w:rPr>
          <w:szCs w:val="22"/>
          <w:lang w:eastAsia="en-US" w:bidi="ar-SA"/>
        </w:rPr>
        <w:t>Je potrebné sa</w:t>
      </w:r>
      <w:r w:rsidR="00BA2C12">
        <w:rPr>
          <w:szCs w:val="22"/>
          <w:lang w:eastAsia="en-US" w:bidi="ar-SA"/>
        </w:rPr>
        <w:t xml:space="preserve"> </w:t>
      </w:r>
      <w:r w:rsidR="00E455B9" w:rsidRPr="000E26A2">
        <w:rPr>
          <w:szCs w:val="22"/>
          <w:lang w:eastAsia="en-US" w:bidi="ar-SA"/>
        </w:rPr>
        <w:t>vyhýbať nadmernému pobytu na slnku a pôsobeniu UV žiarenia.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C35A2D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Liek </w:t>
      </w:r>
      <w:proofErr w:type="spellStart"/>
      <w:r w:rsidRPr="007D394E">
        <w:rPr>
          <w:szCs w:val="22"/>
          <w:lang w:eastAsia="en-US" w:bidi="ar-SA"/>
        </w:rPr>
        <w:t>E</w:t>
      </w:r>
      <w:r w:rsidR="00F54F22">
        <w:rPr>
          <w:szCs w:val="22"/>
          <w:lang w:eastAsia="en-US" w:bidi="ar-SA"/>
        </w:rPr>
        <w:t>piduo</w:t>
      </w:r>
      <w:proofErr w:type="spellEnd"/>
      <w:r w:rsidRPr="00C35A2D">
        <w:rPr>
          <w:szCs w:val="22"/>
          <w:lang w:eastAsia="en-US" w:bidi="ar-SA"/>
        </w:rPr>
        <w:t xml:space="preserve"> </w:t>
      </w:r>
      <w:r w:rsidR="00D010B1">
        <w:rPr>
          <w:szCs w:val="22"/>
          <w:lang w:eastAsia="en-US" w:bidi="ar-SA"/>
        </w:rPr>
        <w:t>nemá</w:t>
      </w:r>
      <w:r w:rsidRPr="00C35A2D">
        <w:rPr>
          <w:szCs w:val="22"/>
          <w:lang w:eastAsia="en-US" w:bidi="ar-SA"/>
        </w:rPr>
        <w:t xml:space="preserve"> prísť do kontaktu so žiadnym farebným materiálom vrátane vlasov a farbených tkanín, pretože môže dôjsť k vybieleniu a strate farby.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Liekové a iné interakcie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32D6F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Neuskutočnili sa žiadne interakčné štúdie s liekom </w:t>
      </w:r>
      <w:proofErr w:type="spellStart"/>
      <w:r w:rsidRPr="007D394E">
        <w:rPr>
          <w:szCs w:val="22"/>
          <w:lang w:eastAsia="en-US" w:bidi="ar-SA"/>
        </w:rPr>
        <w:t>E</w:t>
      </w:r>
      <w:r w:rsidR="00E773A5">
        <w:rPr>
          <w:szCs w:val="22"/>
          <w:lang w:eastAsia="en-US" w:bidi="ar-SA"/>
        </w:rPr>
        <w:t>piduo</w:t>
      </w:r>
      <w:proofErr w:type="spellEnd"/>
      <w:r w:rsidRPr="00EE2E95">
        <w:rPr>
          <w:szCs w:val="22"/>
          <w:lang w:eastAsia="en-US" w:bidi="ar-SA"/>
        </w:rPr>
        <w:t>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D51392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Pri predchádzajúcich skúsenostiach s </w:t>
      </w:r>
      <w:proofErr w:type="spellStart"/>
      <w:r w:rsidRPr="007D394E">
        <w:rPr>
          <w:szCs w:val="22"/>
          <w:lang w:eastAsia="en-US" w:bidi="ar-SA"/>
        </w:rPr>
        <w:t>adapalénom</w:t>
      </w:r>
      <w:proofErr w:type="spellEnd"/>
      <w:r w:rsidRPr="007D394E">
        <w:rPr>
          <w:szCs w:val="22"/>
          <w:lang w:eastAsia="en-US" w:bidi="ar-SA"/>
        </w:rPr>
        <w:t xml:space="preserve"> a </w:t>
      </w:r>
      <w:proofErr w:type="spellStart"/>
      <w:r w:rsidRPr="007D394E">
        <w:rPr>
          <w:szCs w:val="22"/>
          <w:lang w:eastAsia="en-US" w:bidi="ar-SA"/>
        </w:rPr>
        <w:t>benzoylperoxidom</w:t>
      </w:r>
      <w:proofErr w:type="spellEnd"/>
      <w:r w:rsidRPr="007D394E">
        <w:rPr>
          <w:szCs w:val="22"/>
          <w:lang w:eastAsia="en-US" w:bidi="ar-SA"/>
        </w:rPr>
        <w:t xml:space="preserve"> neboli zistené žiadne interakcie s inými liekmi, ktoré </w:t>
      </w:r>
      <w:r w:rsidR="00732D6F">
        <w:rPr>
          <w:szCs w:val="22"/>
          <w:lang w:eastAsia="en-US" w:bidi="ar-SA"/>
        </w:rPr>
        <w:t>sa</w:t>
      </w:r>
      <w:r w:rsidRPr="00732D6F">
        <w:rPr>
          <w:szCs w:val="22"/>
          <w:lang w:eastAsia="en-US" w:bidi="ar-SA"/>
        </w:rPr>
        <w:t xml:space="preserve"> m</w:t>
      </w:r>
      <w:r w:rsidR="00732D6F">
        <w:rPr>
          <w:szCs w:val="22"/>
          <w:lang w:eastAsia="en-US" w:bidi="ar-SA"/>
        </w:rPr>
        <w:t>ôžu</w:t>
      </w:r>
      <w:r w:rsidRPr="00732D6F">
        <w:rPr>
          <w:szCs w:val="22"/>
          <w:lang w:eastAsia="en-US" w:bidi="ar-SA"/>
        </w:rPr>
        <w:t xml:space="preserve"> používať </w:t>
      </w:r>
      <w:r w:rsidR="00D51392">
        <w:rPr>
          <w:szCs w:val="22"/>
          <w:lang w:eastAsia="en-US" w:bidi="ar-SA"/>
        </w:rPr>
        <w:t xml:space="preserve">na kožu </w:t>
      </w:r>
      <w:r w:rsidRPr="00732D6F">
        <w:rPr>
          <w:szCs w:val="22"/>
          <w:lang w:eastAsia="en-US" w:bidi="ar-SA"/>
        </w:rPr>
        <w:t>sú</w:t>
      </w:r>
      <w:r w:rsidR="00D7059B">
        <w:rPr>
          <w:szCs w:val="22"/>
          <w:lang w:eastAsia="en-US" w:bidi="ar-SA"/>
        </w:rPr>
        <w:t>bež</w:t>
      </w:r>
      <w:r w:rsidRPr="00732D6F">
        <w:rPr>
          <w:szCs w:val="22"/>
          <w:lang w:eastAsia="en-US" w:bidi="ar-SA"/>
        </w:rPr>
        <w:t xml:space="preserve">ne s liekom </w:t>
      </w:r>
      <w:proofErr w:type="spellStart"/>
      <w:r w:rsidRPr="00732D6F">
        <w:rPr>
          <w:szCs w:val="22"/>
          <w:lang w:eastAsia="en-US" w:bidi="ar-SA"/>
        </w:rPr>
        <w:t>E</w:t>
      </w:r>
      <w:r w:rsidR="00CA62AD">
        <w:rPr>
          <w:szCs w:val="22"/>
          <w:lang w:eastAsia="en-US" w:bidi="ar-SA"/>
        </w:rPr>
        <w:t>piduo</w:t>
      </w:r>
      <w:proofErr w:type="spellEnd"/>
      <w:r w:rsidRPr="00732D6F">
        <w:rPr>
          <w:szCs w:val="22"/>
          <w:lang w:eastAsia="en-US" w:bidi="ar-SA"/>
        </w:rPr>
        <w:t xml:space="preserve">. Napriek tomu </w:t>
      </w:r>
      <w:r w:rsidR="009F5C66">
        <w:rPr>
          <w:szCs w:val="22"/>
          <w:lang w:eastAsia="en-US" w:bidi="ar-SA"/>
        </w:rPr>
        <w:t>sa</w:t>
      </w:r>
      <w:r w:rsidRPr="00D7059B">
        <w:rPr>
          <w:szCs w:val="22"/>
          <w:lang w:eastAsia="en-US" w:bidi="ar-SA"/>
        </w:rPr>
        <w:t xml:space="preserve"> nema</w:t>
      </w:r>
      <w:r w:rsidR="009F5C66">
        <w:rPr>
          <w:szCs w:val="22"/>
          <w:lang w:eastAsia="en-US" w:bidi="ar-SA"/>
        </w:rPr>
        <w:t>jú</w:t>
      </w:r>
      <w:r w:rsidRPr="00D7059B">
        <w:rPr>
          <w:szCs w:val="22"/>
          <w:lang w:eastAsia="en-US" w:bidi="ar-SA"/>
        </w:rPr>
        <w:t xml:space="preserve"> sú</w:t>
      </w:r>
      <w:r w:rsidR="009F5C66">
        <w:rPr>
          <w:szCs w:val="22"/>
          <w:lang w:eastAsia="en-US" w:bidi="ar-SA"/>
        </w:rPr>
        <w:t>bež</w:t>
      </w:r>
      <w:r w:rsidRPr="00D7059B">
        <w:rPr>
          <w:szCs w:val="22"/>
          <w:lang w:eastAsia="en-US" w:bidi="ar-SA"/>
        </w:rPr>
        <w:t xml:space="preserve">ne používať iné </w:t>
      </w:r>
      <w:proofErr w:type="spellStart"/>
      <w:r w:rsidRPr="00D7059B">
        <w:rPr>
          <w:szCs w:val="22"/>
          <w:lang w:eastAsia="en-US" w:bidi="ar-SA"/>
        </w:rPr>
        <w:t>retinoidy</w:t>
      </w:r>
      <w:proofErr w:type="spellEnd"/>
      <w:r w:rsidRPr="00D7059B">
        <w:rPr>
          <w:szCs w:val="22"/>
          <w:lang w:eastAsia="en-US" w:bidi="ar-SA"/>
        </w:rPr>
        <w:t xml:space="preserve">, </w:t>
      </w:r>
      <w:proofErr w:type="spellStart"/>
      <w:r w:rsidRPr="00D7059B">
        <w:rPr>
          <w:szCs w:val="22"/>
          <w:lang w:eastAsia="en-US" w:bidi="ar-SA"/>
        </w:rPr>
        <w:t>benzoylperoxid</w:t>
      </w:r>
      <w:proofErr w:type="spellEnd"/>
      <w:r w:rsidRPr="00D7059B">
        <w:rPr>
          <w:szCs w:val="22"/>
          <w:lang w:eastAsia="en-US" w:bidi="ar-SA"/>
        </w:rPr>
        <w:t xml:space="preserve"> alebo lieky s podobným mechanizmom účinku. Pri</w:t>
      </w:r>
      <w:r w:rsidR="00820E45">
        <w:rPr>
          <w:szCs w:val="22"/>
          <w:lang w:eastAsia="en-US" w:bidi="ar-SA"/>
        </w:rPr>
        <w:t> </w:t>
      </w:r>
      <w:r w:rsidRPr="00D7059B">
        <w:rPr>
          <w:szCs w:val="22"/>
          <w:lang w:eastAsia="en-US" w:bidi="ar-SA"/>
        </w:rPr>
        <w:t>používaní kozmetických pr</w:t>
      </w:r>
      <w:r w:rsidR="0012310E">
        <w:rPr>
          <w:szCs w:val="22"/>
          <w:lang w:eastAsia="en-US" w:bidi="ar-SA"/>
        </w:rPr>
        <w:t>ípravkov</w:t>
      </w:r>
      <w:r w:rsidRPr="00D7059B">
        <w:rPr>
          <w:szCs w:val="22"/>
          <w:lang w:eastAsia="en-US" w:bidi="ar-SA"/>
        </w:rPr>
        <w:t xml:space="preserve"> s </w:t>
      </w:r>
      <w:r w:rsidR="00AF426C">
        <w:rPr>
          <w:szCs w:val="22"/>
          <w:lang w:eastAsia="en-US" w:bidi="ar-SA"/>
        </w:rPr>
        <w:t>o</w:t>
      </w:r>
      <w:r w:rsidRPr="00D7059B">
        <w:rPr>
          <w:szCs w:val="22"/>
          <w:lang w:eastAsia="en-US" w:bidi="ar-SA"/>
        </w:rPr>
        <w:t>lupujúcim, dráždivým alebo vysušujúcim účinkom treba postupovať opatrne, pretože môže dochádzať ku kumulácii dráž</w:t>
      </w:r>
      <w:r w:rsidRPr="00D51392">
        <w:rPr>
          <w:szCs w:val="22"/>
          <w:lang w:eastAsia="en-US" w:bidi="ar-SA"/>
        </w:rPr>
        <w:t xml:space="preserve">divého účinku s liekom </w:t>
      </w:r>
      <w:proofErr w:type="spellStart"/>
      <w:r w:rsidRPr="00D51392">
        <w:rPr>
          <w:szCs w:val="22"/>
          <w:lang w:eastAsia="en-US" w:bidi="ar-SA"/>
        </w:rPr>
        <w:t>E</w:t>
      </w:r>
      <w:r w:rsidR="00820E45">
        <w:rPr>
          <w:szCs w:val="22"/>
          <w:lang w:eastAsia="en-US" w:bidi="ar-SA"/>
        </w:rPr>
        <w:t>piduo</w:t>
      </w:r>
      <w:proofErr w:type="spellEnd"/>
      <w:r w:rsidRPr="00D51392">
        <w:rPr>
          <w:szCs w:val="22"/>
          <w:lang w:eastAsia="en-US" w:bidi="ar-SA"/>
        </w:rPr>
        <w:t>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833D9A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Absorpcia </w:t>
      </w:r>
      <w:proofErr w:type="spellStart"/>
      <w:r w:rsidRPr="007D394E">
        <w:rPr>
          <w:szCs w:val="22"/>
          <w:lang w:eastAsia="en-US" w:bidi="ar-SA"/>
        </w:rPr>
        <w:t>adapalénu</w:t>
      </w:r>
      <w:proofErr w:type="spellEnd"/>
      <w:r w:rsidRPr="007D394E">
        <w:rPr>
          <w:szCs w:val="22"/>
          <w:lang w:eastAsia="en-US" w:bidi="ar-SA"/>
        </w:rPr>
        <w:t xml:space="preserve"> ľudskou kožou je </w:t>
      </w:r>
      <w:r w:rsidR="00AB2E71">
        <w:rPr>
          <w:szCs w:val="22"/>
          <w:lang w:eastAsia="en-US" w:bidi="ar-SA"/>
        </w:rPr>
        <w:t>nízka</w:t>
      </w:r>
      <w:r w:rsidRPr="00AB2E71">
        <w:rPr>
          <w:szCs w:val="22"/>
          <w:lang w:eastAsia="en-US" w:bidi="ar-SA"/>
        </w:rPr>
        <w:t xml:space="preserve"> (pozri časť 5.2), a preto </w:t>
      </w:r>
      <w:r w:rsidR="00DA6395" w:rsidRPr="00833D9A">
        <w:rPr>
          <w:szCs w:val="22"/>
          <w:lang w:eastAsia="en-US" w:bidi="ar-SA"/>
        </w:rPr>
        <w:t>sú</w:t>
      </w:r>
      <w:r w:rsidRPr="00833D9A">
        <w:rPr>
          <w:szCs w:val="22"/>
          <w:lang w:eastAsia="en-US" w:bidi="ar-SA"/>
        </w:rPr>
        <w:t xml:space="preserve"> interakci</w:t>
      </w:r>
      <w:r w:rsidR="00DA6395" w:rsidRPr="00833D9A">
        <w:rPr>
          <w:szCs w:val="22"/>
          <w:lang w:eastAsia="en-US" w:bidi="ar-SA"/>
        </w:rPr>
        <w:t>e</w:t>
      </w:r>
      <w:r w:rsidRPr="00833D9A">
        <w:rPr>
          <w:szCs w:val="22"/>
          <w:lang w:eastAsia="en-US" w:bidi="ar-SA"/>
        </w:rPr>
        <w:t xml:space="preserve"> s</w:t>
      </w:r>
      <w:r w:rsidR="00833D9A">
        <w:rPr>
          <w:szCs w:val="22"/>
          <w:lang w:eastAsia="en-US" w:bidi="ar-SA"/>
        </w:rPr>
        <w:t>o systém</w:t>
      </w:r>
      <w:r w:rsidRPr="00833D9A">
        <w:rPr>
          <w:szCs w:val="22"/>
          <w:lang w:eastAsia="en-US" w:bidi="ar-SA"/>
        </w:rPr>
        <w:t>ovo podávanými liekmi nepravdepodobn</w:t>
      </w:r>
      <w:r w:rsidR="00DA6395" w:rsidRPr="00833D9A">
        <w:rPr>
          <w:szCs w:val="22"/>
          <w:lang w:eastAsia="en-US" w:bidi="ar-SA"/>
        </w:rPr>
        <w:t>é</w:t>
      </w:r>
      <w:r w:rsidRPr="00833D9A">
        <w:rPr>
          <w:szCs w:val="22"/>
          <w:lang w:eastAsia="en-US" w:bidi="ar-SA"/>
        </w:rPr>
        <w:t>.</w:t>
      </w:r>
      <w:r w:rsidR="00BB219C" w:rsidRPr="00833D9A">
        <w:rPr>
          <w:szCs w:val="22"/>
          <w:lang w:eastAsia="en-US" w:bidi="ar-SA"/>
        </w:rPr>
        <w:t xml:space="preserve"> 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4B3A00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Prienik </w:t>
      </w:r>
      <w:proofErr w:type="spellStart"/>
      <w:r w:rsidRPr="007D394E">
        <w:rPr>
          <w:szCs w:val="22"/>
          <w:lang w:eastAsia="en-US" w:bidi="ar-SA"/>
        </w:rPr>
        <w:t>benzoylperoxidu</w:t>
      </w:r>
      <w:proofErr w:type="spellEnd"/>
      <w:r w:rsidRPr="007D394E">
        <w:rPr>
          <w:szCs w:val="22"/>
          <w:lang w:eastAsia="en-US" w:bidi="ar-SA"/>
        </w:rPr>
        <w:t xml:space="preserve"> kožou je </w:t>
      </w:r>
      <w:r w:rsidR="00833D9A">
        <w:rPr>
          <w:szCs w:val="22"/>
          <w:lang w:eastAsia="en-US" w:bidi="ar-SA"/>
        </w:rPr>
        <w:t>nízky</w:t>
      </w:r>
      <w:r w:rsidRPr="00833D9A">
        <w:rPr>
          <w:szCs w:val="22"/>
          <w:lang w:eastAsia="en-US" w:bidi="ar-SA"/>
        </w:rPr>
        <w:t xml:space="preserve"> a liečiv</w:t>
      </w:r>
      <w:r w:rsidR="00833D9A">
        <w:rPr>
          <w:szCs w:val="22"/>
          <w:lang w:eastAsia="en-US" w:bidi="ar-SA"/>
        </w:rPr>
        <w:t>o</w:t>
      </w:r>
      <w:r w:rsidRPr="00833D9A">
        <w:rPr>
          <w:szCs w:val="22"/>
          <w:lang w:eastAsia="en-US" w:bidi="ar-SA"/>
        </w:rPr>
        <w:t xml:space="preserve"> je celkom metabolizovan</w:t>
      </w:r>
      <w:r w:rsidR="00AF69DA">
        <w:rPr>
          <w:szCs w:val="22"/>
          <w:lang w:eastAsia="en-US" w:bidi="ar-SA"/>
        </w:rPr>
        <w:t>é</w:t>
      </w:r>
      <w:r w:rsidRPr="00833D9A">
        <w:rPr>
          <w:szCs w:val="22"/>
          <w:lang w:eastAsia="en-US" w:bidi="ar-SA"/>
        </w:rPr>
        <w:t xml:space="preserve"> na kyselinu </w:t>
      </w:r>
      <w:proofErr w:type="spellStart"/>
      <w:r w:rsidRPr="00833D9A">
        <w:rPr>
          <w:szCs w:val="22"/>
          <w:lang w:eastAsia="en-US" w:bidi="ar-SA"/>
        </w:rPr>
        <w:t>benz</w:t>
      </w:r>
      <w:r w:rsidR="004B3A00">
        <w:rPr>
          <w:szCs w:val="22"/>
          <w:lang w:eastAsia="en-US" w:bidi="ar-SA"/>
        </w:rPr>
        <w:t>oovú</w:t>
      </w:r>
      <w:proofErr w:type="spellEnd"/>
      <w:r w:rsidRPr="004B3A00">
        <w:rPr>
          <w:szCs w:val="22"/>
          <w:lang w:eastAsia="en-US" w:bidi="ar-SA"/>
        </w:rPr>
        <w:t xml:space="preserve">, ktorá je rýchlo eliminovaná. Je preto nepravdepodobné, že </w:t>
      </w:r>
      <w:r w:rsidR="00E5168B">
        <w:rPr>
          <w:szCs w:val="22"/>
          <w:lang w:eastAsia="en-US" w:bidi="ar-SA"/>
        </w:rPr>
        <w:t>dôjde</w:t>
      </w:r>
      <w:r w:rsidRPr="004B3A00">
        <w:rPr>
          <w:szCs w:val="22"/>
          <w:lang w:eastAsia="en-US" w:bidi="ar-SA"/>
        </w:rPr>
        <w:t xml:space="preserve"> k potenciáln</w:t>
      </w:r>
      <w:r w:rsidR="00DA6395" w:rsidRPr="004B3A00">
        <w:rPr>
          <w:szCs w:val="22"/>
          <w:lang w:eastAsia="en-US" w:bidi="ar-SA"/>
        </w:rPr>
        <w:t>ym</w:t>
      </w:r>
      <w:r w:rsidRPr="004B3A00">
        <w:rPr>
          <w:szCs w:val="22"/>
          <w:lang w:eastAsia="en-US" w:bidi="ar-SA"/>
        </w:rPr>
        <w:t xml:space="preserve"> interakci</w:t>
      </w:r>
      <w:r w:rsidR="00DA6395" w:rsidRPr="004B3A00">
        <w:rPr>
          <w:szCs w:val="22"/>
          <w:lang w:eastAsia="en-US" w:bidi="ar-SA"/>
        </w:rPr>
        <w:t>ám</w:t>
      </w:r>
      <w:r w:rsidRPr="004B3A00">
        <w:rPr>
          <w:szCs w:val="22"/>
          <w:lang w:eastAsia="en-US" w:bidi="ar-SA"/>
        </w:rPr>
        <w:t xml:space="preserve"> kyseliny </w:t>
      </w:r>
      <w:proofErr w:type="spellStart"/>
      <w:r w:rsidRPr="004B3A00">
        <w:rPr>
          <w:szCs w:val="22"/>
          <w:lang w:eastAsia="en-US" w:bidi="ar-SA"/>
        </w:rPr>
        <w:t>benz</w:t>
      </w:r>
      <w:r w:rsidR="00351585">
        <w:rPr>
          <w:szCs w:val="22"/>
          <w:lang w:eastAsia="en-US" w:bidi="ar-SA"/>
        </w:rPr>
        <w:t>oovej</w:t>
      </w:r>
      <w:proofErr w:type="spellEnd"/>
      <w:r w:rsidRPr="004B3A00">
        <w:rPr>
          <w:szCs w:val="22"/>
          <w:lang w:eastAsia="en-US" w:bidi="ar-SA"/>
        </w:rPr>
        <w:t xml:space="preserve"> s</w:t>
      </w:r>
      <w:r w:rsidR="00351585">
        <w:rPr>
          <w:szCs w:val="22"/>
          <w:lang w:eastAsia="en-US" w:bidi="ar-SA"/>
        </w:rPr>
        <w:t>o</w:t>
      </w:r>
      <w:r w:rsidRPr="004B3A00">
        <w:rPr>
          <w:szCs w:val="22"/>
          <w:lang w:eastAsia="en-US" w:bidi="ar-SA"/>
        </w:rPr>
        <w:t> </w:t>
      </w:r>
      <w:r w:rsidR="00351585">
        <w:rPr>
          <w:szCs w:val="22"/>
          <w:lang w:eastAsia="en-US" w:bidi="ar-SA"/>
        </w:rPr>
        <w:t>systémo</w:t>
      </w:r>
      <w:r w:rsidRPr="004B3A00">
        <w:rPr>
          <w:szCs w:val="22"/>
          <w:lang w:eastAsia="en-US" w:bidi="ar-SA"/>
        </w:rPr>
        <w:t>vo podávanými liekmi.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proofErr w:type="spellStart"/>
      <w:r w:rsidRPr="007D394E">
        <w:rPr>
          <w:b/>
          <w:szCs w:val="22"/>
        </w:rPr>
        <w:t>Fertilita</w:t>
      </w:r>
      <w:proofErr w:type="spellEnd"/>
      <w:r w:rsidRPr="007D394E">
        <w:rPr>
          <w:b/>
          <w:szCs w:val="22"/>
        </w:rPr>
        <w:t>, gravidita a laktácia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  <w:u w:val="single"/>
        </w:rPr>
        <w:t>Gravidita</w:t>
      </w:r>
    </w:p>
    <w:p w:rsidR="00E455B9" w:rsidRPr="007D394E" w:rsidRDefault="0068233D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8D1B69">
        <w:rPr>
          <w:szCs w:val="22"/>
        </w:rPr>
        <w:t>Š</w:t>
      </w:r>
      <w:r w:rsidR="00E455B9" w:rsidRPr="008D1B69">
        <w:rPr>
          <w:szCs w:val="22"/>
        </w:rPr>
        <w:t>túdi</w:t>
      </w:r>
      <w:r w:rsidRPr="008D1B69">
        <w:rPr>
          <w:szCs w:val="22"/>
        </w:rPr>
        <w:t>e</w:t>
      </w:r>
      <w:r w:rsidR="00E455B9" w:rsidRPr="00AF3BFC">
        <w:rPr>
          <w:szCs w:val="22"/>
        </w:rPr>
        <w:t xml:space="preserve"> </w:t>
      </w:r>
      <w:r w:rsidRPr="00AF3BFC">
        <w:rPr>
          <w:szCs w:val="22"/>
        </w:rPr>
        <w:t>na</w:t>
      </w:r>
      <w:r w:rsidR="00E455B9" w:rsidRPr="00AF3BFC">
        <w:rPr>
          <w:szCs w:val="22"/>
        </w:rPr>
        <w:t xml:space="preserve"> zvierat</w:t>
      </w:r>
      <w:r w:rsidRPr="00AF3BFC">
        <w:rPr>
          <w:szCs w:val="22"/>
        </w:rPr>
        <w:t>ách</w:t>
      </w:r>
      <w:r w:rsidR="00E455B9" w:rsidRPr="00AF3BFC">
        <w:rPr>
          <w:szCs w:val="22"/>
        </w:rPr>
        <w:t xml:space="preserve"> </w:t>
      </w:r>
      <w:r w:rsidR="00726677" w:rsidRPr="00AF3BFC">
        <w:rPr>
          <w:szCs w:val="22"/>
        </w:rPr>
        <w:t xml:space="preserve">preukázali </w:t>
      </w:r>
      <w:r w:rsidR="00E455B9" w:rsidRPr="00AF3BFC">
        <w:rPr>
          <w:szCs w:val="22"/>
        </w:rPr>
        <w:t>p</w:t>
      </w:r>
      <w:r w:rsidR="00726677" w:rsidRPr="00AF3BFC">
        <w:rPr>
          <w:szCs w:val="22"/>
        </w:rPr>
        <w:t>o</w:t>
      </w:r>
      <w:r w:rsidR="00E455B9" w:rsidRPr="00AF3BFC">
        <w:rPr>
          <w:szCs w:val="22"/>
        </w:rPr>
        <w:t xml:space="preserve"> perorálnom podaní reprodukčn</w:t>
      </w:r>
      <w:r w:rsidRPr="00AF3BFC">
        <w:rPr>
          <w:szCs w:val="22"/>
        </w:rPr>
        <w:t>ú</w:t>
      </w:r>
      <w:r w:rsidR="00E455B9" w:rsidRPr="00AF3BFC">
        <w:rPr>
          <w:szCs w:val="22"/>
        </w:rPr>
        <w:t xml:space="preserve"> toxicit</w:t>
      </w:r>
      <w:r w:rsidRPr="00AF3BFC">
        <w:rPr>
          <w:szCs w:val="22"/>
        </w:rPr>
        <w:t>u</w:t>
      </w:r>
      <w:r w:rsidR="00E455B9" w:rsidRPr="00AC11D6">
        <w:rPr>
          <w:szCs w:val="22"/>
        </w:rPr>
        <w:t xml:space="preserve"> pri vysokej systémovej expozícii (pozri časť 5.3). </w:t>
      </w:r>
    </w:p>
    <w:p w:rsidR="00E455B9" w:rsidRPr="00AF3BFC" w:rsidRDefault="00E455B9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trike/>
          <w:szCs w:val="22"/>
        </w:rPr>
      </w:pPr>
      <w:r w:rsidRPr="007D394E">
        <w:rPr>
          <w:szCs w:val="22"/>
        </w:rPr>
        <w:t xml:space="preserve">Klinické skúsenosti s lokálne používaným 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a </w:t>
      </w:r>
      <w:proofErr w:type="spellStart"/>
      <w:r w:rsidRPr="007D394E">
        <w:rPr>
          <w:szCs w:val="22"/>
        </w:rPr>
        <w:t>benzoylperoxidom</w:t>
      </w:r>
      <w:proofErr w:type="spellEnd"/>
      <w:r w:rsidRPr="007D394E">
        <w:rPr>
          <w:szCs w:val="22"/>
        </w:rPr>
        <w:t xml:space="preserve"> v gravidite sú obmedzené, ale dostupné údaje nepreukazujú škodlivé účinky</w:t>
      </w:r>
      <w:r w:rsidR="00AF3BFC">
        <w:rPr>
          <w:szCs w:val="22"/>
        </w:rPr>
        <w:t xml:space="preserve"> u pacientov</w:t>
      </w:r>
      <w:r w:rsidRPr="00AF3BFC">
        <w:rPr>
          <w:szCs w:val="22"/>
        </w:rPr>
        <w:t xml:space="preserve"> pri expozícii vo včasn</w:t>
      </w:r>
      <w:r w:rsidR="00542356" w:rsidRPr="00AF3BFC">
        <w:rPr>
          <w:szCs w:val="22"/>
        </w:rPr>
        <w:t>om štádiu</w:t>
      </w:r>
      <w:r w:rsidRPr="00AF3BFC">
        <w:rPr>
          <w:szCs w:val="22"/>
        </w:rPr>
        <w:t xml:space="preserve"> gravidit</w:t>
      </w:r>
      <w:r w:rsidR="00542356" w:rsidRPr="00AF3BFC">
        <w:rPr>
          <w:szCs w:val="22"/>
        </w:rPr>
        <w:t>y</w:t>
      </w:r>
      <w:r w:rsidRPr="00AF3BFC">
        <w:rPr>
          <w:szCs w:val="22"/>
        </w:rPr>
        <w:t>.</w:t>
      </w:r>
    </w:p>
    <w:p w:rsidR="00E455B9" w:rsidRPr="00A65E80" w:rsidRDefault="00E455B9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C11D6">
        <w:rPr>
          <w:szCs w:val="22"/>
        </w:rPr>
        <w:t>Vzhľadom na obmedzené dostupné údaje a preto, že</w:t>
      </w:r>
      <w:r w:rsidR="00542356" w:rsidRPr="00AC11D6">
        <w:rPr>
          <w:szCs w:val="22"/>
        </w:rPr>
        <w:t xml:space="preserve"> je možný</w:t>
      </w:r>
      <w:r w:rsidRPr="00533C42">
        <w:rPr>
          <w:szCs w:val="22"/>
        </w:rPr>
        <w:t xml:space="preserve"> veľmi slabý prienik </w:t>
      </w:r>
      <w:proofErr w:type="spellStart"/>
      <w:r w:rsidRPr="00533C42">
        <w:rPr>
          <w:szCs w:val="22"/>
        </w:rPr>
        <w:t>adapalénu</w:t>
      </w:r>
      <w:proofErr w:type="spellEnd"/>
      <w:r w:rsidRPr="00533C42">
        <w:rPr>
          <w:szCs w:val="22"/>
        </w:rPr>
        <w:t xml:space="preserve"> cez</w:t>
      </w:r>
      <w:r w:rsidR="00AC11D6">
        <w:rPr>
          <w:szCs w:val="22"/>
        </w:rPr>
        <w:t> </w:t>
      </w:r>
      <w:r w:rsidRPr="00533C42">
        <w:rPr>
          <w:szCs w:val="22"/>
        </w:rPr>
        <w:t xml:space="preserve">kožu, sa liek </w:t>
      </w:r>
      <w:proofErr w:type="spellStart"/>
      <w:r w:rsidRPr="00533C42">
        <w:rPr>
          <w:szCs w:val="22"/>
        </w:rPr>
        <w:t>E</w:t>
      </w:r>
      <w:r w:rsidR="00AC11D6">
        <w:rPr>
          <w:szCs w:val="22"/>
        </w:rPr>
        <w:t>piduo</w:t>
      </w:r>
      <w:proofErr w:type="spellEnd"/>
      <w:r w:rsidR="00542356" w:rsidRPr="00AC11D6">
        <w:rPr>
          <w:szCs w:val="22"/>
        </w:rPr>
        <w:t xml:space="preserve"> </w:t>
      </w:r>
      <w:r w:rsidR="0068233D" w:rsidRPr="00AC11D6">
        <w:rPr>
          <w:szCs w:val="22"/>
        </w:rPr>
        <w:t>nemá</w:t>
      </w:r>
      <w:r w:rsidRPr="00AC11D6">
        <w:rPr>
          <w:szCs w:val="22"/>
        </w:rPr>
        <w:t xml:space="preserve"> používať </w:t>
      </w:r>
      <w:r w:rsidR="0068233D" w:rsidRPr="00533C42">
        <w:rPr>
          <w:szCs w:val="22"/>
        </w:rPr>
        <w:t>počas</w:t>
      </w:r>
      <w:r w:rsidRPr="00533C42">
        <w:rPr>
          <w:szCs w:val="22"/>
        </w:rPr>
        <w:t> gravidit</w:t>
      </w:r>
      <w:r w:rsidR="0068233D" w:rsidRPr="00A65E80">
        <w:rPr>
          <w:szCs w:val="22"/>
        </w:rPr>
        <w:t>y</w:t>
      </w:r>
      <w:r w:rsidRPr="00A65E80">
        <w:rPr>
          <w:szCs w:val="22"/>
        </w:rPr>
        <w:t>.</w:t>
      </w:r>
    </w:p>
    <w:p w:rsidR="00E455B9" w:rsidRPr="00AA3A8D" w:rsidRDefault="00E455B9" w:rsidP="00721DB3">
      <w:pPr>
        <w:spacing w:line="240" w:lineRule="auto"/>
        <w:rPr>
          <w:szCs w:val="22"/>
        </w:rPr>
      </w:pPr>
      <w:r w:rsidRPr="00A65E80">
        <w:rPr>
          <w:szCs w:val="22"/>
        </w:rPr>
        <w:t>V prípade nečakan</w:t>
      </w:r>
      <w:r w:rsidR="00726677" w:rsidRPr="00A65E80">
        <w:rPr>
          <w:szCs w:val="22"/>
        </w:rPr>
        <w:t>ej</w:t>
      </w:r>
      <w:r w:rsidRPr="00A65E80">
        <w:rPr>
          <w:szCs w:val="22"/>
        </w:rPr>
        <w:t xml:space="preserve"> </w:t>
      </w:r>
      <w:r w:rsidR="00726677" w:rsidRPr="00A65E80">
        <w:rPr>
          <w:szCs w:val="22"/>
        </w:rPr>
        <w:t>gravidity</w:t>
      </w:r>
      <w:r w:rsidRPr="00A65E80">
        <w:rPr>
          <w:szCs w:val="22"/>
        </w:rPr>
        <w:t xml:space="preserve"> sa</w:t>
      </w:r>
      <w:r w:rsidR="00726677" w:rsidRPr="00A65E80">
        <w:rPr>
          <w:szCs w:val="22"/>
        </w:rPr>
        <w:t xml:space="preserve"> má</w:t>
      </w:r>
      <w:r w:rsidRPr="00A65E80">
        <w:rPr>
          <w:szCs w:val="22"/>
        </w:rPr>
        <w:t xml:space="preserve"> liečba </w:t>
      </w:r>
      <w:r w:rsidR="00A65E80">
        <w:rPr>
          <w:szCs w:val="22"/>
        </w:rPr>
        <w:t>ukonči</w:t>
      </w:r>
      <w:r w:rsidRPr="00AA3A8D">
        <w:rPr>
          <w:szCs w:val="22"/>
        </w:rPr>
        <w:t>ť.</w:t>
      </w:r>
    </w:p>
    <w:p w:rsidR="00E455B9" w:rsidRPr="007D394E" w:rsidRDefault="00E455B9" w:rsidP="00721DB3">
      <w:pPr>
        <w:spacing w:line="240" w:lineRule="auto"/>
        <w:rPr>
          <w:szCs w:val="22"/>
          <w:u w:val="single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  <w:u w:val="single"/>
        </w:rPr>
        <w:t>Dojčenie</w:t>
      </w:r>
    </w:p>
    <w:p w:rsidR="00E455B9" w:rsidRPr="00AA3A8D" w:rsidRDefault="00AA3A8D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Neuskutočnili sa ž</w:t>
      </w:r>
      <w:r w:rsidR="00E455B9" w:rsidRPr="00AA3A8D">
        <w:rPr>
          <w:szCs w:val="22"/>
        </w:rPr>
        <w:t>iadne štúdie o</w:t>
      </w:r>
      <w:r w:rsidR="00542356" w:rsidRPr="00AA3A8D">
        <w:rPr>
          <w:szCs w:val="22"/>
        </w:rPr>
        <w:t> </w:t>
      </w:r>
      <w:r w:rsidR="00E455B9" w:rsidRPr="00AA3A8D">
        <w:rPr>
          <w:szCs w:val="22"/>
        </w:rPr>
        <w:t>vylučovaní</w:t>
      </w:r>
      <w:r w:rsidR="00542356" w:rsidRPr="00AA3A8D">
        <w:rPr>
          <w:szCs w:val="22"/>
        </w:rPr>
        <w:t xml:space="preserve"> lieku </w:t>
      </w:r>
      <w:proofErr w:type="spellStart"/>
      <w:r w:rsidR="00542356" w:rsidRPr="00AA3A8D">
        <w:rPr>
          <w:szCs w:val="22"/>
        </w:rPr>
        <w:t>E</w:t>
      </w:r>
      <w:r w:rsidR="002329A0">
        <w:rPr>
          <w:szCs w:val="22"/>
        </w:rPr>
        <w:t>piduo</w:t>
      </w:r>
      <w:proofErr w:type="spellEnd"/>
      <w:r w:rsidR="00542356" w:rsidRPr="00AA3A8D">
        <w:rPr>
          <w:szCs w:val="22"/>
        </w:rPr>
        <w:t xml:space="preserve"> (</w:t>
      </w:r>
      <w:proofErr w:type="spellStart"/>
      <w:r w:rsidR="00542356" w:rsidRPr="00AA3A8D">
        <w:rPr>
          <w:szCs w:val="22"/>
        </w:rPr>
        <w:t>adapalén</w:t>
      </w:r>
      <w:proofErr w:type="spellEnd"/>
      <w:r w:rsidR="00542356" w:rsidRPr="00AA3A8D">
        <w:rPr>
          <w:szCs w:val="22"/>
        </w:rPr>
        <w:t>/</w:t>
      </w:r>
      <w:proofErr w:type="spellStart"/>
      <w:r w:rsidR="00542356" w:rsidRPr="00AA3A8D">
        <w:rPr>
          <w:szCs w:val="22"/>
        </w:rPr>
        <w:t>benzoylperoxid</w:t>
      </w:r>
      <w:proofErr w:type="spellEnd"/>
      <w:r w:rsidR="00542356" w:rsidRPr="00AA3A8D">
        <w:rPr>
          <w:szCs w:val="22"/>
        </w:rPr>
        <w:t>)</w:t>
      </w:r>
      <w:r w:rsidR="00E455B9" w:rsidRPr="00AA3A8D">
        <w:rPr>
          <w:szCs w:val="22"/>
        </w:rPr>
        <w:t xml:space="preserve"> do mlieka</w:t>
      </w:r>
      <w:r w:rsidR="00542356" w:rsidRPr="00AA3A8D">
        <w:rPr>
          <w:szCs w:val="22"/>
        </w:rPr>
        <w:t xml:space="preserve"> u</w:t>
      </w:r>
      <w:r w:rsidR="002329A0">
        <w:rPr>
          <w:szCs w:val="22"/>
        </w:rPr>
        <w:t> </w:t>
      </w:r>
      <w:r w:rsidR="00E455B9" w:rsidRPr="00AA3A8D">
        <w:rPr>
          <w:szCs w:val="22"/>
        </w:rPr>
        <w:t>zvierat alebo ľudí p</w:t>
      </w:r>
      <w:r w:rsidR="00542356" w:rsidRPr="00AA3A8D">
        <w:rPr>
          <w:szCs w:val="22"/>
        </w:rPr>
        <w:t>o</w:t>
      </w:r>
      <w:r w:rsidR="00E455B9" w:rsidRPr="00AA3A8D">
        <w:rPr>
          <w:szCs w:val="22"/>
        </w:rPr>
        <w:t xml:space="preserve"> aplikácii na kož</w:t>
      </w:r>
      <w:r w:rsidR="00542356" w:rsidRPr="00AA3A8D">
        <w:rPr>
          <w:szCs w:val="22"/>
        </w:rPr>
        <w:t>u</w:t>
      </w:r>
      <w:r w:rsidR="00E455B9" w:rsidRPr="00AA3A8D">
        <w:rPr>
          <w:szCs w:val="22"/>
        </w:rPr>
        <w:t>.</w:t>
      </w:r>
    </w:p>
    <w:p w:rsidR="00E455B9" w:rsidRPr="002329A0" w:rsidRDefault="002329A0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Nepredpokladajú sa ž</w:t>
      </w:r>
      <w:r w:rsidR="00E455B9" w:rsidRPr="002329A0">
        <w:rPr>
          <w:szCs w:val="22"/>
        </w:rPr>
        <w:t xml:space="preserve">iadne účinky na dojčatá, </w:t>
      </w:r>
      <w:r w:rsidR="00726677" w:rsidRPr="002329A0">
        <w:rPr>
          <w:szCs w:val="22"/>
        </w:rPr>
        <w:t xml:space="preserve">pretože </w:t>
      </w:r>
      <w:r w:rsidR="00E455B9" w:rsidRPr="002329A0">
        <w:rPr>
          <w:szCs w:val="22"/>
        </w:rPr>
        <w:t xml:space="preserve">systémová expozícia dojčiacej ženy lieku </w:t>
      </w:r>
      <w:proofErr w:type="spellStart"/>
      <w:r w:rsidR="00E455B9" w:rsidRPr="002329A0">
        <w:rPr>
          <w:szCs w:val="22"/>
        </w:rPr>
        <w:t>E</w:t>
      </w:r>
      <w:r w:rsidR="007D394E">
        <w:rPr>
          <w:szCs w:val="22"/>
        </w:rPr>
        <w:t>piduo</w:t>
      </w:r>
      <w:proofErr w:type="spellEnd"/>
      <w:r w:rsidR="00E455B9" w:rsidRPr="002329A0">
        <w:rPr>
          <w:szCs w:val="22"/>
        </w:rPr>
        <w:t xml:space="preserve"> je zanedbateľná. Liek </w:t>
      </w:r>
      <w:proofErr w:type="spellStart"/>
      <w:r w:rsidR="00E455B9" w:rsidRPr="002329A0">
        <w:rPr>
          <w:szCs w:val="22"/>
        </w:rPr>
        <w:t>E</w:t>
      </w:r>
      <w:r w:rsidR="000E5ECA">
        <w:rPr>
          <w:szCs w:val="22"/>
        </w:rPr>
        <w:t>piduo</w:t>
      </w:r>
      <w:proofErr w:type="spellEnd"/>
      <w:r w:rsidR="00E455B9" w:rsidRPr="002329A0">
        <w:rPr>
          <w:szCs w:val="22"/>
        </w:rPr>
        <w:t xml:space="preserve"> sa môže používať </w:t>
      </w:r>
      <w:r w:rsidR="00726677" w:rsidRPr="002329A0">
        <w:rPr>
          <w:szCs w:val="22"/>
        </w:rPr>
        <w:t xml:space="preserve">počas </w:t>
      </w:r>
      <w:r w:rsidR="007C1870">
        <w:rPr>
          <w:szCs w:val="22"/>
        </w:rPr>
        <w:t>dojčenia</w:t>
      </w:r>
      <w:r w:rsidR="00E455B9" w:rsidRPr="002329A0">
        <w:rPr>
          <w:szCs w:val="22"/>
        </w:rPr>
        <w:t>.</w:t>
      </w:r>
    </w:p>
    <w:p w:rsidR="00E455B9" w:rsidRPr="007D394E" w:rsidRDefault="00ED2C2E" w:rsidP="00721D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Počas dojčenia sa nemá</w:t>
      </w:r>
      <w:r w:rsidR="00E455B9" w:rsidRPr="007D394E">
        <w:rPr>
          <w:szCs w:val="22"/>
        </w:rPr>
        <w:t xml:space="preserve"> aplikovať liek </w:t>
      </w:r>
      <w:proofErr w:type="spellStart"/>
      <w:r w:rsidR="00E455B9" w:rsidRPr="007D394E">
        <w:rPr>
          <w:szCs w:val="22"/>
        </w:rPr>
        <w:t>E</w:t>
      </w:r>
      <w:r w:rsidR="000E5ECA">
        <w:rPr>
          <w:szCs w:val="22"/>
        </w:rPr>
        <w:t>piduo</w:t>
      </w:r>
      <w:proofErr w:type="spellEnd"/>
      <w:r w:rsidR="00E455B9" w:rsidRPr="007D394E">
        <w:rPr>
          <w:szCs w:val="22"/>
        </w:rPr>
        <w:t xml:space="preserve"> na hrudník, aby nedošlo ku kontaktnej expozícii dojčaťa.</w:t>
      </w:r>
    </w:p>
    <w:p w:rsidR="00E455B9" w:rsidRPr="007D394E" w:rsidRDefault="00E455B9" w:rsidP="00721DB3">
      <w:pPr>
        <w:spacing w:line="240" w:lineRule="auto"/>
        <w:rPr>
          <w:i/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Ovplyvnenie schopnosti viesť vozidlá a obsluhovať stroje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>Netýka sa.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7D394E">
        <w:rPr>
          <w:b/>
          <w:szCs w:val="22"/>
        </w:rPr>
        <w:t>Nežiaduce účinky</w:t>
      </w:r>
    </w:p>
    <w:p w:rsidR="001565CF" w:rsidRPr="007D394E" w:rsidRDefault="001565CF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7D394E">
        <w:rPr>
          <w:szCs w:val="22"/>
          <w:lang w:eastAsia="en-US" w:bidi="ar-SA"/>
        </w:rPr>
        <w:t>E</w:t>
      </w:r>
      <w:r w:rsidR="00E24A5A">
        <w:rPr>
          <w:szCs w:val="22"/>
          <w:lang w:eastAsia="en-US" w:bidi="ar-SA"/>
        </w:rPr>
        <w:t>piduo</w:t>
      </w:r>
      <w:proofErr w:type="spellEnd"/>
      <w:r w:rsidRPr="007D394E">
        <w:rPr>
          <w:szCs w:val="22"/>
          <w:lang w:eastAsia="en-US" w:bidi="ar-SA"/>
        </w:rPr>
        <w:t xml:space="preserve"> môže spôsobiť nasled</w:t>
      </w:r>
      <w:r w:rsidR="00E24A5A">
        <w:rPr>
          <w:szCs w:val="22"/>
          <w:lang w:eastAsia="en-US" w:bidi="ar-SA"/>
        </w:rPr>
        <w:t>ovné</w:t>
      </w:r>
      <w:r w:rsidRPr="007D394E">
        <w:rPr>
          <w:szCs w:val="22"/>
          <w:lang w:eastAsia="en-US" w:bidi="ar-SA"/>
        </w:rPr>
        <w:t xml:space="preserve"> nežiaduce </w:t>
      </w:r>
      <w:r w:rsidR="00922FB9">
        <w:rPr>
          <w:szCs w:val="22"/>
          <w:lang w:eastAsia="en-US" w:bidi="ar-SA"/>
        </w:rPr>
        <w:t>reakcie</w:t>
      </w:r>
      <w:r w:rsidR="001565CF" w:rsidRPr="007D394E">
        <w:rPr>
          <w:szCs w:val="22"/>
          <w:lang w:eastAsia="en-US" w:bidi="ar-SA"/>
        </w:rPr>
        <w:t xml:space="preserve"> </w:t>
      </w:r>
      <w:r w:rsidRPr="007D394E">
        <w:rPr>
          <w:szCs w:val="22"/>
          <w:lang w:eastAsia="en-US" w:bidi="ar-SA"/>
        </w:rPr>
        <w:t>v mieste aplikácie: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869"/>
        <w:gridCol w:w="5112"/>
      </w:tblGrid>
      <w:tr w:rsidR="00E455B9" w:rsidRPr="007D394E" w:rsidTr="004F06CB">
        <w:tc>
          <w:tcPr>
            <w:tcW w:w="1197" w:type="pct"/>
            <w:shd w:val="clear" w:color="auto" w:fill="auto"/>
          </w:tcPr>
          <w:p w:rsidR="00E455B9" w:rsidRPr="007D394E" w:rsidRDefault="00E455B9" w:rsidP="00C35A2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D394E">
              <w:rPr>
                <w:i/>
                <w:szCs w:val="22"/>
                <w:lang w:eastAsia="en-US" w:bidi="ar-SA"/>
              </w:rPr>
              <w:t>Orgánový systém (</w:t>
            </w:r>
            <w:proofErr w:type="spellStart"/>
            <w:r w:rsidRPr="007D394E">
              <w:rPr>
                <w:i/>
                <w:szCs w:val="22"/>
                <w:lang w:eastAsia="en-US" w:bidi="ar-SA"/>
              </w:rPr>
              <w:t>MedDRA</w:t>
            </w:r>
            <w:proofErr w:type="spellEnd"/>
            <w:r w:rsidRPr="007D394E">
              <w:rPr>
                <w:i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018" w:type="pct"/>
            <w:shd w:val="clear" w:color="auto" w:fill="auto"/>
          </w:tcPr>
          <w:p w:rsidR="00E455B9" w:rsidRPr="007D394E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i/>
                <w:szCs w:val="22"/>
              </w:rPr>
              <w:t>Frekvencia</w:t>
            </w:r>
          </w:p>
        </w:tc>
        <w:tc>
          <w:tcPr>
            <w:tcW w:w="2785" w:type="pct"/>
            <w:shd w:val="clear" w:color="auto" w:fill="auto"/>
          </w:tcPr>
          <w:p w:rsidR="00E455B9" w:rsidRPr="007D394E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i/>
                <w:szCs w:val="22"/>
              </w:rPr>
              <w:t>Nežiaduc</w:t>
            </w:r>
            <w:r w:rsidR="00A1699A">
              <w:rPr>
                <w:i/>
                <w:szCs w:val="22"/>
              </w:rPr>
              <w:t>a reakcia na liek</w:t>
            </w:r>
          </w:p>
        </w:tc>
      </w:tr>
      <w:tr w:rsidR="00E455B9" w:rsidRPr="007D394E" w:rsidTr="004F06CB">
        <w:tc>
          <w:tcPr>
            <w:tcW w:w="1197" w:type="pct"/>
            <w:shd w:val="clear" w:color="auto" w:fill="auto"/>
          </w:tcPr>
          <w:p w:rsidR="00E455B9" w:rsidRPr="007D394E" w:rsidRDefault="00E455B9" w:rsidP="00C35A2D">
            <w:pPr>
              <w:tabs>
                <w:tab w:val="clear" w:pos="567"/>
              </w:tabs>
              <w:spacing w:line="240" w:lineRule="auto"/>
              <w:rPr>
                <w:szCs w:val="22"/>
                <w:lang w:eastAsia="en-US" w:bidi="ar-SA"/>
              </w:rPr>
            </w:pPr>
            <w:r w:rsidRPr="007D394E">
              <w:rPr>
                <w:szCs w:val="22"/>
                <w:lang w:eastAsia="en-US" w:bidi="ar-SA"/>
              </w:rPr>
              <w:lastRenderedPageBreak/>
              <w:t>Poruchy oka</w:t>
            </w:r>
          </w:p>
        </w:tc>
        <w:tc>
          <w:tcPr>
            <w:tcW w:w="1018" w:type="pct"/>
            <w:shd w:val="clear" w:color="auto" w:fill="auto"/>
          </w:tcPr>
          <w:p w:rsidR="00E455B9" w:rsidRPr="007D394E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Neznáme*</w:t>
            </w:r>
          </w:p>
        </w:tc>
        <w:tc>
          <w:tcPr>
            <w:tcW w:w="2785" w:type="pct"/>
            <w:shd w:val="clear" w:color="auto" w:fill="auto"/>
          </w:tcPr>
          <w:p w:rsidR="00E455B9" w:rsidRPr="007D394E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Opuch očného viečka</w:t>
            </w:r>
          </w:p>
        </w:tc>
      </w:tr>
      <w:tr w:rsidR="00E455B9" w:rsidRPr="007D394E" w:rsidTr="004F06CB">
        <w:tc>
          <w:tcPr>
            <w:tcW w:w="1197" w:type="pct"/>
            <w:shd w:val="clear" w:color="auto" w:fill="auto"/>
          </w:tcPr>
          <w:p w:rsidR="00E455B9" w:rsidRPr="007D394E" w:rsidRDefault="00E455B9" w:rsidP="00C35A2D">
            <w:pPr>
              <w:tabs>
                <w:tab w:val="clear" w:pos="567"/>
              </w:tabs>
              <w:spacing w:line="240" w:lineRule="auto"/>
              <w:rPr>
                <w:szCs w:val="22"/>
                <w:lang w:eastAsia="en-US" w:bidi="ar-SA"/>
              </w:rPr>
            </w:pPr>
            <w:r w:rsidRPr="007D394E">
              <w:rPr>
                <w:szCs w:val="22"/>
                <w:lang w:eastAsia="en-US" w:bidi="ar-SA"/>
              </w:rPr>
              <w:t xml:space="preserve">Poruchy dýchacej sústavy, hrudníka a </w:t>
            </w:r>
            <w:proofErr w:type="spellStart"/>
            <w:r w:rsidRPr="007D394E">
              <w:rPr>
                <w:szCs w:val="22"/>
                <w:lang w:eastAsia="en-US" w:bidi="ar-SA"/>
              </w:rPr>
              <w:t>mediastína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E455B9" w:rsidRPr="007D394E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Neznáme*</w:t>
            </w:r>
          </w:p>
        </w:tc>
        <w:tc>
          <w:tcPr>
            <w:tcW w:w="2785" w:type="pct"/>
            <w:shd w:val="clear" w:color="auto" w:fill="auto"/>
          </w:tcPr>
          <w:p w:rsidR="00E455B9" w:rsidRPr="007D394E" w:rsidRDefault="00E455B9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Zovretie hrdla</w:t>
            </w:r>
          </w:p>
        </w:tc>
      </w:tr>
      <w:tr w:rsidR="00047E28" w:rsidRPr="007D394E" w:rsidTr="004F06CB">
        <w:tc>
          <w:tcPr>
            <w:tcW w:w="1197" w:type="pct"/>
            <w:vMerge w:val="restart"/>
            <w:shd w:val="clear" w:color="auto" w:fill="auto"/>
          </w:tcPr>
          <w:p w:rsidR="00047E28" w:rsidRPr="007D394E" w:rsidRDefault="00047E28" w:rsidP="00C35A2D">
            <w:pPr>
              <w:tabs>
                <w:tab w:val="clear" w:pos="567"/>
              </w:tabs>
              <w:spacing w:line="240" w:lineRule="auto"/>
              <w:rPr>
                <w:szCs w:val="22"/>
                <w:lang w:eastAsia="en-US" w:bidi="ar-SA"/>
              </w:rPr>
            </w:pPr>
            <w:r w:rsidRPr="007D394E">
              <w:rPr>
                <w:szCs w:val="22"/>
                <w:lang w:eastAsia="en-US" w:bidi="ar-SA"/>
              </w:rPr>
              <w:t>Poruchy kože a podkožného tkaniva</w:t>
            </w:r>
          </w:p>
        </w:tc>
        <w:tc>
          <w:tcPr>
            <w:tcW w:w="1018" w:type="pct"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 xml:space="preserve">Časté (≥ 1/100 až &lt; 1/10) </w:t>
            </w:r>
          </w:p>
        </w:tc>
        <w:tc>
          <w:tcPr>
            <w:tcW w:w="2785" w:type="pct"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 xml:space="preserve">Suchá koža, iritačná kontaktná dermatitída, podráždenie kože, pocit pálenia na koži, </w:t>
            </w:r>
            <w:proofErr w:type="spellStart"/>
            <w:r w:rsidRPr="007D394E">
              <w:rPr>
                <w:szCs w:val="22"/>
              </w:rPr>
              <w:t>erytém</w:t>
            </w:r>
            <w:proofErr w:type="spellEnd"/>
            <w:r w:rsidRPr="007D394E">
              <w:rPr>
                <w:szCs w:val="22"/>
              </w:rPr>
              <w:t>, olupovanie kože (</w:t>
            </w:r>
            <w:proofErr w:type="spellStart"/>
            <w:r w:rsidRPr="007D394E">
              <w:rPr>
                <w:szCs w:val="22"/>
              </w:rPr>
              <w:t>exfoliácia</w:t>
            </w:r>
            <w:proofErr w:type="spellEnd"/>
            <w:r w:rsidRPr="007D394E">
              <w:rPr>
                <w:szCs w:val="22"/>
              </w:rPr>
              <w:t xml:space="preserve">) </w:t>
            </w:r>
          </w:p>
        </w:tc>
      </w:tr>
      <w:tr w:rsidR="00047E28" w:rsidRPr="007D394E" w:rsidTr="004F06CB">
        <w:tc>
          <w:tcPr>
            <w:tcW w:w="1197" w:type="pct"/>
            <w:vMerge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17D4C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 xml:space="preserve">Menej časté </w:t>
            </w:r>
          </w:p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(≥ 1/1</w:t>
            </w:r>
            <w:r w:rsidR="00A17D4C">
              <w:rPr>
                <w:szCs w:val="22"/>
              </w:rPr>
              <w:t> </w:t>
            </w:r>
            <w:r w:rsidRPr="007D394E">
              <w:rPr>
                <w:szCs w:val="22"/>
              </w:rPr>
              <w:t xml:space="preserve">000 až &lt; 1/100) </w:t>
            </w:r>
          </w:p>
        </w:tc>
        <w:tc>
          <w:tcPr>
            <w:tcW w:w="2785" w:type="pct"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7D394E">
              <w:rPr>
                <w:szCs w:val="22"/>
              </w:rPr>
              <w:t>Pruritus</w:t>
            </w:r>
            <w:proofErr w:type="spellEnd"/>
            <w:r w:rsidRPr="007D394E">
              <w:rPr>
                <w:szCs w:val="22"/>
              </w:rPr>
              <w:t xml:space="preserve">, spálenie od slnka </w:t>
            </w:r>
          </w:p>
        </w:tc>
      </w:tr>
      <w:tr w:rsidR="00047E28" w:rsidRPr="007D394E" w:rsidTr="004F06CB">
        <w:tc>
          <w:tcPr>
            <w:tcW w:w="1197" w:type="pct"/>
            <w:vMerge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Neznáme*</w:t>
            </w:r>
          </w:p>
        </w:tc>
        <w:tc>
          <w:tcPr>
            <w:tcW w:w="2785" w:type="pct"/>
            <w:shd w:val="clear" w:color="auto" w:fill="auto"/>
          </w:tcPr>
          <w:p w:rsidR="00047E28" w:rsidRPr="007D394E" w:rsidRDefault="00047E28" w:rsidP="00721DB3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7D394E">
              <w:rPr>
                <w:szCs w:val="22"/>
              </w:rPr>
              <w:t>Alergická kontaktná dermatitída, opuch tváre, bolesť kože (bodavá bolesť), pľuzgieriky (v</w:t>
            </w:r>
            <w:r w:rsidR="00A17D4C">
              <w:rPr>
                <w:szCs w:val="22"/>
              </w:rPr>
              <w:t>riedk</w:t>
            </w:r>
            <w:r w:rsidRPr="007D394E">
              <w:rPr>
                <w:szCs w:val="22"/>
              </w:rPr>
              <w:t>y)</w:t>
            </w:r>
          </w:p>
        </w:tc>
      </w:tr>
    </w:tbl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*Údaje hlásené po uvedení na trh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Pokiaľ sa po aplikácii lieku </w:t>
      </w:r>
      <w:proofErr w:type="spellStart"/>
      <w:r w:rsidRPr="007D394E">
        <w:rPr>
          <w:szCs w:val="22"/>
          <w:lang w:eastAsia="en-US" w:bidi="ar-SA"/>
        </w:rPr>
        <w:t>E</w:t>
      </w:r>
      <w:r w:rsidR="00453A3B">
        <w:rPr>
          <w:szCs w:val="22"/>
          <w:lang w:eastAsia="en-US" w:bidi="ar-SA"/>
        </w:rPr>
        <w:t>piduo</w:t>
      </w:r>
      <w:proofErr w:type="spellEnd"/>
      <w:r w:rsidRPr="007D394E">
        <w:rPr>
          <w:szCs w:val="22"/>
          <w:lang w:eastAsia="en-US" w:bidi="ar-SA"/>
        </w:rPr>
        <w:t xml:space="preserve"> objaví podráždenie, zvyčajne býva mierne až stredne závažné, s</w:t>
      </w:r>
      <w:r w:rsidR="000B31FF">
        <w:rPr>
          <w:szCs w:val="22"/>
          <w:lang w:eastAsia="en-US" w:bidi="ar-SA"/>
        </w:rPr>
        <w:t> prejav</w:t>
      </w:r>
      <w:r w:rsidRPr="007D394E">
        <w:rPr>
          <w:szCs w:val="22"/>
          <w:lang w:eastAsia="en-US" w:bidi="ar-SA"/>
        </w:rPr>
        <w:t xml:space="preserve">mi a príznakmi lokálnej znášanlivosti </w:t>
      </w:r>
      <w:r w:rsidR="002A4FF6" w:rsidRPr="007D394E">
        <w:rPr>
          <w:szCs w:val="22"/>
          <w:lang w:eastAsia="en-US" w:bidi="ar-SA"/>
        </w:rPr>
        <w:t>(</w:t>
      </w:r>
      <w:proofErr w:type="spellStart"/>
      <w:r w:rsidR="002A4FF6" w:rsidRPr="007D394E">
        <w:rPr>
          <w:szCs w:val="22"/>
          <w:lang w:eastAsia="en-US" w:bidi="ar-SA"/>
        </w:rPr>
        <w:t>erytém</w:t>
      </w:r>
      <w:proofErr w:type="spellEnd"/>
      <w:r w:rsidRPr="007D394E">
        <w:rPr>
          <w:szCs w:val="22"/>
          <w:lang w:eastAsia="en-US" w:bidi="ar-SA"/>
        </w:rPr>
        <w:t>, such</w:t>
      </w:r>
      <w:r w:rsidR="00536D71">
        <w:rPr>
          <w:szCs w:val="22"/>
          <w:lang w:eastAsia="en-US" w:bidi="ar-SA"/>
        </w:rPr>
        <w:t>osť,</w:t>
      </w:r>
      <w:r w:rsidRPr="007D394E">
        <w:rPr>
          <w:szCs w:val="22"/>
          <w:lang w:eastAsia="en-US" w:bidi="ar-SA"/>
        </w:rPr>
        <w:t xml:space="preserve"> olup</w:t>
      </w:r>
      <w:r w:rsidR="00536D71">
        <w:rPr>
          <w:szCs w:val="22"/>
          <w:lang w:eastAsia="en-US" w:bidi="ar-SA"/>
        </w:rPr>
        <w:t>ovanie</w:t>
      </w:r>
      <w:r w:rsidRPr="007D394E">
        <w:rPr>
          <w:szCs w:val="22"/>
          <w:lang w:eastAsia="en-US" w:bidi="ar-SA"/>
        </w:rPr>
        <w:t xml:space="preserve"> kož</w:t>
      </w:r>
      <w:r w:rsidR="00536D71">
        <w:rPr>
          <w:szCs w:val="22"/>
          <w:lang w:eastAsia="en-US" w:bidi="ar-SA"/>
        </w:rPr>
        <w:t>e</w:t>
      </w:r>
      <w:r w:rsidRPr="007D394E">
        <w:rPr>
          <w:szCs w:val="22"/>
          <w:lang w:eastAsia="en-US" w:bidi="ar-SA"/>
        </w:rPr>
        <w:t>, pocit pálenia a bolesť kože (bodavá bolesť)</w:t>
      </w:r>
      <w:r w:rsidR="002A4FF6" w:rsidRPr="007D394E">
        <w:rPr>
          <w:szCs w:val="22"/>
          <w:lang w:eastAsia="en-US" w:bidi="ar-SA"/>
        </w:rPr>
        <w:t>)</w:t>
      </w:r>
      <w:r w:rsidRPr="007D394E">
        <w:rPr>
          <w:szCs w:val="22"/>
          <w:lang w:eastAsia="en-US" w:bidi="ar-SA"/>
        </w:rPr>
        <w:t>, ktoré vrcholia počas prvého týždňa a spontánne ustupujú.</w:t>
      </w:r>
    </w:p>
    <w:p w:rsidR="00E455B9" w:rsidRPr="007D394E" w:rsidRDefault="00E455B9" w:rsidP="00721DB3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D394E">
        <w:rPr>
          <w:szCs w:val="22"/>
          <w:u w:val="single"/>
        </w:rPr>
        <w:t>Hlásenie podozrení na nežiaduce reakcie</w:t>
      </w:r>
    </w:p>
    <w:p w:rsidR="00E455B9" w:rsidRPr="00BD79BE" w:rsidRDefault="00E455B9" w:rsidP="00721DB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7D394E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7D394E">
        <w:rPr>
          <w:szCs w:val="22"/>
          <w:highlight w:val="lightGray"/>
        </w:rPr>
        <w:t>národné centrum hlásenia uvedené v </w:t>
      </w:r>
      <w:hyperlink r:id="rId8">
        <w:r w:rsidRPr="00BD79BE">
          <w:rPr>
            <w:rStyle w:val="Hypertextovprepojenie"/>
            <w:szCs w:val="22"/>
            <w:highlight w:val="lightGray"/>
          </w:rPr>
          <w:t>Prílohe V</w:t>
        </w:r>
      </w:hyperlink>
      <w:r w:rsidRPr="00BD79BE">
        <w:rPr>
          <w:color w:val="008000"/>
          <w:szCs w:val="22"/>
        </w:rPr>
        <w:t>.</w:t>
      </w:r>
    </w:p>
    <w:p w:rsidR="00E455B9" w:rsidRPr="00BD79BE" w:rsidRDefault="00E455B9" w:rsidP="00721DB3">
      <w:pPr>
        <w:spacing w:line="240" w:lineRule="auto"/>
        <w:rPr>
          <w:szCs w:val="22"/>
        </w:rPr>
      </w:pPr>
    </w:p>
    <w:p w:rsidR="00E455B9" w:rsidRPr="006C3990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C35A2D">
        <w:rPr>
          <w:b/>
          <w:szCs w:val="22"/>
        </w:rPr>
        <w:t>Predávkovanie</w:t>
      </w:r>
    </w:p>
    <w:p w:rsidR="00E455B9" w:rsidRPr="006C3990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8D1B69">
        <w:rPr>
          <w:szCs w:val="22"/>
        </w:rPr>
        <w:t xml:space="preserve">Liek </w:t>
      </w:r>
      <w:proofErr w:type="spellStart"/>
      <w:r w:rsidRPr="008D1B69">
        <w:rPr>
          <w:szCs w:val="22"/>
        </w:rPr>
        <w:t>E</w:t>
      </w:r>
      <w:r w:rsidR="00AF426C">
        <w:rPr>
          <w:szCs w:val="22"/>
        </w:rPr>
        <w:t>piduo</w:t>
      </w:r>
      <w:proofErr w:type="spellEnd"/>
      <w:r w:rsidRPr="008D1B69">
        <w:rPr>
          <w:szCs w:val="22"/>
        </w:rPr>
        <w:t xml:space="preserve"> je určený</w:t>
      </w:r>
      <w:r w:rsidR="002A4FF6" w:rsidRPr="00AF3BFC">
        <w:rPr>
          <w:szCs w:val="22"/>
        </w:rPr>
        <w:t xml:space="preserve"> </w:t>
      </w:r>
      <w:r w:rsidR="009D5658">
        <w:rPr>
          <w:szCs w:val="22"/>
        </w:rPr>
        <w:t xml:space="preserve">len </w:t>
      </w:r>
      <w:r w:rsidRPr="007D394E">
        <w:rPr>
          <w:szCs w:val="22"/>
        </w:rPr>
        <w:t xml:space="preserve">na </w:t>
      </w:r>
      <w:proofErr w:type="spellStart"/>
      <w:r w:rsidR="00AF426C">
        <w:rPr>
          <w:szCs w:val="22"/>
        </w:rPr>
        <w:t>dermálne</w:t>
      </w:r>
      <w:proofErr w:type="spellEnd"/>
      <w:r w:rsidR="008F124E" w:rsidRPr="007D394E">
        <w:rPr>
          <w:szCs w:val="22"/>
        </w:rPr>
        <w:t xml:space="preserve"> </w:t>
      </w:r>
      <w:r w:rsidR="00132766" w:rsidRPr="007D394E">
        <w:rPr>
          <w:szCs w:val="22"/>
        </w:rPr>
        <w:t xml:space="preserve">použitie </w:t>
      </w:r>
      <w:r w:rsidRPr="007D394E">
        <w:rPr>
          <w:szCs w:val="22"/>
        </w:rPr>
        <w:t>jedenkrát denne.</w:t>
      </w:r>
      <w:r w:rsidR="00BB219C" w:rsidRPr="007D394E">
        <w:rPr>
          <w:szCs w:val="22"/>
        </w:rPr>
        <w:t xml:space="preserve"> 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9D5658" w:rsidP="00721DB3">
      <w:pPr>
        <w:spacing w:line="240" w:lineRule="auto"/>
        <w:rPr>
          <w:szCs w:val="22"/>
        </w:rPr>
      </w:pPr>
      <w:r>
        <w:rPr>
          <w:szCs w:val="22"/>
        </w:rPr>
        <w:t>V prípade</w:t>
      </w:r>
      <w:r w:rsidR="00E455B9" w:rsidRPr="007D394E">
        <w:rPr>
          <w:szCs w:val="22"/>
        </w:rPr>
        <w:t xml:space="preserve"> náhodn</w:t>
      </w:r>
      <w:r>
        <w:rPr>
          <w:szCs w:val="22"/>
        </w:rPr>
        <w:t>ého</w:t>
      </w:r>
      <w:r w:rsidR="00E455B9" w:rsidRPr="007D394E">
        <w:rPr>
          <w:szCs w:val="22"/>
        </w:rPr>
        <w:t xml:space="preserve"> požit</w:t>
      </w:r>
      <w:r>
        <w:rPr>
          <w:szCs w:val="22"/>
        </w:rPr>
        <w:t>ia</w:t>
      </w:r>
      <w:r w:rsidR="00E455B9" w:rsidRPr="007D394E">
        <w:rPr>
          <w:szCs w:val="22"/>
        </w:rPr>
        <w:t xml:space="preserve"> je potreba nasadiť vhodnú symptomatickú liečbu.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FARMAKOLOGICKÉ VLASTNOSTI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proofErr w:type="spellStart"/>
      <w:r w:rsidRPr="007D394E">
        <w:rPr>
          <w:b/>
          <w:szCs w:val="22"/>
        </w:rPr>
        <w:t>Farmakodynamické</w:t>
      </w:r>
      <w:proofErr w:type="spellEnd"/>
      <w:r w:rsidRPr="007D394E">
        <w:rPr>
          <w:b/>
          <w:szCs w:val="22"/>
        </w:rPr>
        <w:t xml:space="preserve"> vlastnosti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Farmakoterapeutická</w:t>
      </w:r>
      <w:proofErr w:type="spellEnd"/>
      <w:r w:rsidRPr="007D394E">
        <w:rPr>
          <w:szCs w:val="22"/>
        </w:rPr>
        <w:t xml:space="preserve"> skupina: D10A Liečivá </w:t>
      </w:r>
      <w:r w:rsidR="001565CF" w:rsidRPr="007D394E">
        <w:rPr>
          <w:szCs w:val="22"/>
        </w:rPr>
        <w:t>proti</w:t>
      </w:r>
      <w:r w:rsidRPr="007D394E">
        <w:rPr>
          <w:szCs w:val="22"/>
        </w:rPr>
        <w:t xml:space="preserve"> akné </w:t>
      </w:r>
      <w:r w:rsidR="001565CF" w:rsidRPr="007D394E">
        <w:rPr>
          <w:szCs w:val="22"/>
        </w:rPr>
        <w:t xml:space="preserve">na </w:t>
      </w:r>
      <w:r w:rsidRPr="007D394E">
        <w:rPr>
          <w:szCs w:val="22"/>
        </w:rPr>
        <w:t>lokáln</w:t>
      </w:r>
      <w:r w:rsidR="001565CF" w:rsidRPr="007D394E">
        <w:rPr>
          <w:szCs w:val="22"/>
        </w:rPr>
        <w:t>e</w:t>
      </w:r>
      <w:r w:rsidRPr="007D394E">
        <w:rPr>
          <w:szCs w:val="22"/>
        </w:rPr>
        <w:t xml:space="preserve"> </w:t>
      </w:r>
      <w:r w:rsidR="001565CF" w:rsidRPr="007D394E">
        <w:rPr>
          <w:szCs w:val="22"/>
        </w:rPr>
        <w:t>použitie</w:t>
      </w:r>
      <w:r w:rsidR="005B6394">
        <w:rPr>
          <w:szCs w:val="22"/>
        </w:rPr>
        <w:t xml:space="preserve">, </w:t>
      </w:r>
      <w:r w:rsidRPr="007D394E">
        <w:rPr>
          <w:szCs w:val="22"/>
        </w:rPr>
        <w:t>ATC kód: D10AD53</w:t>
      </w:r>
    </w:p>
    <w:p w:rsidR="00E455B9" w:rsidRPr="007D394E" w:rsidRDefault="00E455B9" w:rsidP="00721DB3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E455B9" w:rsidRPr="007D394E" w:rsidRDefault="00E455B9" w:rsidP="00721DB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7D394E">
        <w:rPr>
          <w:szCs w:val="22"/>
          <w:u w:val="single"/>
        </w:rPr>
        <w:t>Mechanizmus účinku</w:t>
      </w:r>
      <w:r w:rsidR="00C40584" w:rsidRPr="007D394E">
        <w:rPr>
          <w:szCs w:val="22"/>
          <w:u w:val="single"/>
        </w:rPr>
        <w:t xml:space="preserve"> a </w:t>
      </w:r>
      <w:proofErr w:type="spellStart"/>
      <w:r w:rsidR="00C40584" w:rsidRPr="007D394E">
        <w:rPr>
          <w:szCs w:val="22"/>
          <w:u w:val="single"/>
        </w:rPr>
        <w:t>farmakodynamické</w:t>
      </w:r>
      <w:proofErr w:type="spellEnd"/>
      <w:r w:rsidR="00C40584" w:rsidRPr="007D394E">
        <w:rPr>
          <w:szCs w:val="22"/>
          <w:u w:val="single"/>
        </w:rPr>
        <w:t xml:space="preserve"> účinky:</w:t>
      </w:r>
    </w:p>
    <w:p w:rsidR="00C40584" w:rsidRPr="007D394E" w:rsidRDefault="00C40584" w:rsidP="00721DB3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E</w:t>
      </w:r>
      <w:r w:rsidR="005B6394">
        <w:rPr>
          <w:szCs w:val="22"/>
        </w:rPr>
        <w:t>piduo</w:t>
      </w:r>
      <w:proofErr w:type="spellEnd"/>
      <w:r w:rsidRPr="007D394E">
        <w:rPr>
          <w:szCs w:val="22"/>
        </w:rPr>
        <w:t xml:space="preserve"> </w:t>
      </w:r>
      <w:r w:rsidR="007E33B6" w:rsidRPr="007D394E">
        <w:rPr>
          <w:szCs w:val="22"/>
        </w:rPr>
        <w:t xml:space="preserve">obsahuje </w:t>
      </w:r>
      <w:r w:rsidRPr="007D394E">
        <w:rPr>
          <w:szCs w:val="22"/>
        </w:rPr>
        <w:t>dve účinné látky, ktoré pôsobia rôznymi, ale komplementárnymi mechanizmami účinku.</w:t>
      </w:r>
      <w:r w:rsidR="00BB219C" w:rsidRPr="007D394E">
        <w:rPr>
          <w:szCs w:val="22"/>
        </w:rPr>
        <w:t xml:space="preserve"> 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szCs w:val="22"/>
        </w:rPr>
      </w:pPr>
      <w:r w:rsidRPr="007D394E">
        <w:rPr>
          <w:b/>
          <w:i/>
          <w:iCs/>
          <w:szCs w:val="22"/>
        </w:rPr>
        <w:t xml:space="preserve">- </w:t>
      </w:r>
      <w:proofErr w:type="spellStart"/>
      <w:r w:rsidRPr="007D394E">
        <w:rPr>
          <w:b/>
          <w:i/>
          <w:iCs/>
          <w:szCs w:val="22"/>
        </w:rPr>
        <w:t>adapalén</w:t>
      </w:r>
      <w:proofErr w:type="spellEnd"/>
      <w:r w:rsidRPr="007D394E">
        <w:rPr>
          <w:b/>
          <w:szCs w:val="22"/>
        </w:rPr>
        <w:t>:</w:t>
      </w:r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adapalén</w:t>
      </w:r>
      <w:proofErr w:type="spellEnd"/>
      <w:r w:rsidRPr="007D394E">
        <w:rPr>
          <w:szCs w:val="22"/>
        </w:rPr>
        <w:t xml:space="preserve"> je chemicky stabilný </w:t>
      </w:r>
      <w:r w:rsidRPr="00DD79B4">
        <w:rPr>
          <w:szCs w:val="22"/>
        </w:rPr>
        <w:t xml:space="preserve">derivát kyseliny </w:t>
      </w:r>
      <w:proofErr w:type="spellStart"/>
      <w:r w:rsidR="00374D1D" w:rsidRPr="00DD79B4">
        <w:rPr>
          <w:szCs w:val="22"/>
        </w:rPr>
        <w:t>naftalénkarboxylovej</w:t>
      </w:r>
      <w:proofErr w:type="spellEnd"/>
      <w:r w:rsidR="00374D1D" w:rsidRPr="00DD79B4">
        <w:rPr>
          <w:szCs w:val="22"/>
        </w:rPr>
        <w:t xml:space="preserve"> </w:t>
      </w:r>
      <w:r w:rsidRPr="00DD79B4">
        <w:rPr>
          <w:szCs w:val="22"/>
        </w:rPr>
        <w:t>s</w:t>
      </w:r>
      <w:r w:rsidRPr="007D394E">
        <w:rPr>
          <w:szCs w:val="22"/>
        </w:rPr>
        <w:t xml:space="preserve"> aktivitou podobnou </w:t>
      </w:r>
      <w:proofErr w:type="spellStart"/>
      <w:r w:rsidRPr="007D394E">
        <w:rPr>
          <w:szCs w:val="22"/>
        </w:rPr>
        <w:t>retinoidu</w:t>
      </w:r>
      <w:proofErr w:type="spellEnd"/>
      <w:r w:rsidRPr="007D394E">
        <w:rPr>
          <w:szCs w:val="22"/>
        </w:rPr>
        <w:t xml:space="preserve">. Štúdie biochemického a farmakologického profilu </w:t>
      </w:r>
      <w:r w:rsidR="00192AD5">
        <w:rPr>
          <w:szCs w:val="22"/>
        </w:rPr>
        <w:t>pre</w:t>
      </w:r>
      <w:r w:rsidRPr="007D394E">
        <w:rPr>
          <w:szCs w:val="22"/>
        </w:rPr>
        <w:t xml:space="preserve">ukázali, že </w:t>
      </w:r>
      <w:proofErr w:type="spellStart"/>
      <w:r w:rsidRPr="007D394E">
        <w:rPr>
          <w:szCs w:val="22"/>
        </w:rPr>
        <w:t>adapalén</w:t>
      </w:r>
      <w:proofErr w:type="spellEnd"/>
      <w:r w:rsidRPr="007D394E">
        <w:rPr>
          <w:szCs w:val="22"/>
        </w:rPr>
        <w:t xml:space="preserve"> pôsobí v patológii </w:t>
      </w:r>
      <w:proofErr w:type="spellStart"/>
      <w:r w:rsidRPr="007D394E">
        <w:rPr>
          <w:i/>
          <w:szCs w:val="22"/>
        </w:rPr>
        <w:t>acne</w:t>
      </w:r>
      <w:proofErr w:type="spellEnd"/>
      <w:r w:rsidRPr="007D394E">
        <w:rPr>
          <w:i/>
          <w:szCs w:val="22"/>
        </w:rPr>
        <w:t xml:space="preserve"> </w:t>
      </w:r>
      <w:proofErr w:type="spellStart"/>
      <w:r w:rsidRPr="007D394E">
        <w:rPr>
          <w:i/>
          <w:szCs w:val="22"/>
        </w:rPr>
        <w:t>vulgaris</w:t>
      </w:r>
      <w:proofErr w:type="spellEnd"/>
      <w:r w:rsidRPr="007D394E">
        <w:rPr>
          <w:szCs w:val="22"/>
        </w:rPr>
        <w:t xml:space="preserve">: je silným modulátorom bunkovej diferenciácie a </w:t>
      </w:r>
      <w:proofErr w:type="spellStart"/>
      <w:r w:rsidRPr="007D394E">
        <w:rPr>
          <w:szCs w:val="22"/>
        </w:rPr>
        <w:t>keratinizácie</w:t>
      </w:r>
      <w:proofErr w:type="spellEnd"/>
      <w:r w:rsidRPr="007D394E">
        <w:rPr>
          <w:szCs w:val="22"/>
        </w:rPr>
        <w:t xml:space="preserve"> a má protizápalové vlastnosti. Mechanicky sa </w:t>
      </w:r>
      <w:proofErr w:type="spellStart"/>
      <w:r w:rsidRPr="007D394E">
        <w:rPr>
          <w:szCs w:val="22"/>
        </w:rPr>
        <w:t>adapalén</w:t>
      </w:r>
      <w:proofErr w:type="spellEnd"/>
      <w:r w:rsidRPr="007D394E">
        <w:rPr>
          <w:szCs w:val="22"/>
        </w:rPr>
        <w:t xml:space="preserve"> viaže na špecifické jadrové </w:t>
      </w:r>
      <w:r w:rsidRPr="00DD79B4">
        <w:rPr>
          <w:szCs w:val="22"/>
        </w:rPr>
        <w:t xml:space="preserve">receptory kyseliny </w:t>
      </w:r>
      <w:proofErr w:type="spellStart"/>
      <w:r w:rsidRPr="00DD79B4">
        <w:rPr>
          <w:szCs w:val="22"/>
        </w:rPr>
        <w:t>retinovej</w:t>
      </w:r>
      <w:proofErr w:type="spellEnd"/>
      <w:r w:rsidRPr="00DD79B4">
        <w:rPr>
          <w:szCs w:val="22"/>
        </w:rPr>
        <w:t>.</w:t>
      </w:r>
      <w:r w:rsidRPr="007D394E">
        <w:rPr>
          <w:szCs w:val="22"/>
        </w:rPr>
        <w:t xml:space="preserve"> Súčasné dôkazy naznačujú, že lokálne aplikovaný </w:t>
      </w:r>
      <w:proofErr w:type="spellStart"/>
      <w:r w:rsidRPr="007D394E">
        <w:rPr>
          <w:szCs w:val="22"/>
        </w:rPr>
        <w:t>adapalén</w:t>
      </w:r>
      <w:proofErr w:type="spellEnd"/>
      <w:r w:rsidRPr="007D394E">
        <w:rPr>
          <w:szCs w:val="22"/>
        </w:rPr>
        <w:t xml:space="preserve"> normalizuje diferenciáciu </w:t>
      </w:r>
      <w:proofErr w:type="spellStart"/>
      <w:r w:rsidRPr="007D394E">
        <w:rPr>
          <w:szCs w:val="22"/>
        </w:rPr>
        <w:t>folikul</w:t>
      </w:r>
      <w:r w:rsidR="00400E27">
        <w:rPr>
          <w:szCs w:val="22"/>
        </w:rPr>
        <w:t>árnych</w:t>
      </w:r>
      <w:proofErr w:type="spellEnd"/>
      <w:r w:rsidRPr="007D394E">
        <w:rPr>
          <w:szCs w:val="22"/>
        </w:rPr>
        <w:t xml:space="preserve"> epitelových buniek s následným znížením tvorby </w:t>
      </w:r>
      <w:proofErr w:type="spellStart"/>
      <w:r w:rsidRPr="007D394E">
        <w:rPr>
          <w:szCs w:val="22"/>
        </w:rPr>
        <w:t>mikrokomedónov</w:t>
      </w:r>
      <w:proofErr w:type="spellEnd"/>
      <w:r w:rsidRPr="007D394E">
        <w:rPr>
          <w:szCs w:val="22"/>
        </w:rPr>
        <w:t xml:space="preserve">. </w:t>
      </w:r>
      <w:proofErr w:type="spellStart"/>
      <w:r w:rsidRPr="007D394E">
        <w:rPr>
          <w:szCs w:val="22"/>
        </w:rPr>
        <w:t>Adapalén</w:t>
      </w:r>
      <w:proofErr w:type="spellEnd"/>
      <w:r w:rsidRPr="007D394E">
        <w:rPr>
          <w:szCs w:val="22"/>
        </w:rPr>
        <w:t xml:space="preserve"> pri</w:t>
      </w:r>
      <w:r w:rsidR="002A7CA0">
        <w:rPr>
          <w:szCs w:val="22"/>
        </w:rPr>
        <w:t> </w:t>
      </w:r>
      <w:r w:rsidRPr="007D394E">
        <w:rPr>
          <w:szCs w:val="22"/>
        </w:rPr>
        <w:t xml:space="preserve">testovaní </w:t>
      </w:r>
      <w:r w:rsidRPr="007D394E">
        <w:rPr>
          <w:i/>
          <w:szCs w:val="22"/>
        </w:rPr>
        <w:t xml:space="preserve">in </w:t>
      </w:r>
      <w:proofErr w:type="spellStart"/>
      <w:r w:rsidRPr="007D394E">
        <w:rPr>
          <w:i/>
          <w:szCs w:val="22"/>
        </w:rPr>
        <w:t>vitro</w:t>
      </w:r>
      <w:proofErr w:type="spellEnd"/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inhibuje</w:t>
      </w:r>
      <w:proofErr w:type="spellEnd"/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chemotaktick</w:t>
      </w:r>
      <w:r w:rsidR="00370BDE">
        <w:rPr>
          <w:szCs w:val="22"/>
        </w:rPr>
        <w:t>é</w:t>
      </w:r>
      <w:proofErr w:type="spellEnd"/>
      <w:r w:rsidRPr="007D394E">
        <w:rPr>
          <w:szCs w:val="22"/>
        </w:rPr>
        <w:t xml:space="preserve"> (</w:t>
      </w:r>
      <w:r w:rsidR="002A7CA0">
        <w:rPr>
          <w:szCs w:val="22"/>
        </w:rPr>
        <w:t>riaden</w:t>
      </w:r>
      <w:r w:rsidR="00370BDE">
        <w:rPr>
          <w:szCs w:val="22"/>
        </w:rPr>
        <w:t>é</w:t>
      </w:r>
      <w:r w:rsidRPr="007D394E">
        <w:rPr>
          <w:szCs w:val="22"/>
        </w:rPr>
        <w:t xml:space="preserve">) a </w:t>
      </w:r>
      <w:proofErr w:type="spellStart"/>
      <w:r w:rsidRPr="007D394E">
        <w:rPr>
          <w:szCs w:val="22"/>
        </w:rPr>
        <w:t>chemokinetick</w:t>
      </w:r>
      <w:r w:rsidR="00370BDE">
        <w:rPr>
          <w:szCs w:val="22"/>
        </w:rPr>
        <w:t>é</w:t>
      </w:r>
      <w:proofErr w:type="spellEnd"/>
      <w:r w:rsidRPr="007D394E">
        <w:rPr>
          <w:szCs w:val="22"/>
        </w:rPr>
        <w:t xml:space="preserve"> (náhodn</w:t>
      </w:r>
      <w:r w:rsidR="00370BDE">
        <w:rPr>
          <w:szCs w:val="22"/>
        </w:rPr>
        <w:t>é</w:t>
      </w:r>
      <w:r w:rsidRPr="007D394E">
        <w:rPr>
          <w:szCs w:val="22"/>
        </w:rPr>
        <w:t>) odpove</w:t>
      </w:r>
      <w:r w:rsidR="00370BDE">
        <w:rPr>
          <w:szCs w:val="22"/>
        </w:rPr>
        <w:t>de</w:t>
      </w:r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polymorfonukleárnych</w:t>
      </w:r>
      <w:proofErr w:type="spellEnd"/>
      <w:r w:rsidRPr="007D394E">
        <w:rPr>
          <w:szCs w:val="22"/>
        </w:rPr>
        <w:t xml:space="preserve"> leukocytov </w:t>
      </w:r>
      <w:r w:rsidR="00370BDE">
        <w:rPr>
          <w:szCs w:val="22"/>
        </w:rPr>
        <w:t xml:space="preserve">u ľudí </w:t>
      </w:r>
      <w:r w:rsidRPr="007D394E">
        <w:rPr>
          <w:szCs w:val="22"/>
        </w:rPr>
        <w:t xml:space="preserve">a </w:t>
      </w:r>
      <w:proofErr w:type="spellStart"/>
      <w:r w:rsidRPr="007D394E">
        <w:rPr>
          <w:szCs w:val="22"/>
        </w:rPr>
        <w:t>inhibuje</w:t>
      </w:r>
      <w:proofErr w:type="spellEnd"/>
      <w:r w:rsidRPr="007D394E">
        <w:rPr>
          <w:szCs w:val="22"/>
        </w:rPr>
        <w:t xml:space="preserve"> tiež metabolizmus kyseliny </w:t>
      </w:r>
      <w:proofErr w:type="spellStart"/>
      <w:r w:rsidRPr="007D394E">
        <w:rPr>
          <w:szCs w:val="22"/>
        </w:rPr>
        <w:t>arachidónovej</w:t>
      </w:r>
      <w:proofErr w:type="spellEnd"/>
      <w:r w:rsidRPr="007D394E">
        <w:rPr>
          <w:szCs w:val="22"/>
        </w:rPr>
        <w:t xml:space="preserve"> na</w:t>
      </w:r>
      <w:r w:rsidR="00370BDE">
        <w:rPr>
          <w:szCs w:val="22"/>
        </w:rPr>
        <w:t> </w:t>
      </w:r>
      <w:proofErr w:type="spellStart"/>
      <w:r w:rsidRPr="007D394E">
        <w:rPr>
          <w:szCs w:val="22"/>
        </w:rPr>
        <w:t>mediátory</w:t>
      </w:r>
      <w:proofErr w:type="spellEnd"/>
      <w:r w:rsidRPr="007D394E">
        <w:rPr>
          <w:szCs w:val="22"/>
        </w:rPr>
        <w:t xml:space="preserve"> zápalu. Štúdie </w:t>
      </w:r>
      <w:r w:rsidRPr="007D394E">
        <w:rPr>
          <w:i/>
          <w:szCs w:val="22"/>
        </w:rPr>
        <w:t xml:space="preserve">in </w:t>
      </w:r>
      <w:proofErr w:type="spellStart"/>
      <w:r w:rsidRPr="007D394E">
        <w:rPr>
          <w:i/>
          <w:szCs w:val="22"/>
        </w:rPr>
        <w:t>vitro</w:t>
      </w:r>
      <w:proofErr w:type="spellEnd"/>
      <w:r w:rsidRPr="007D394E">
        <w:rPr>
          <w:szCs w:val="22"/>
        </w:rPr>
        <w:t xml:space="preserve"> </w:t>
      </w:r>
      <w:r w:rsidR="00DC3C00">
        <w:rPr>
          <w:szCs w:val="22"/>
        </w:rPr>
        <w:t>pre</w:t>
      </w:r>
      <w:r w:rsidRPr="007D394E">
        <w:rPr>
          <w:szCs w:val="22"/>
        </w:rPr>
        <w:t xml:space="preserve">ukázali inhibíciu faktorov AP-1 a inhibíciu </w:t>
      </w:r>
      <w:proofErr w:type="spellStart"/>
      <w:r w:rsidRPr="007D394E">
        <w:rPr>
          <w:szCs w:val="22"/>
        </w:rPr>
        <w:t>expresie</w:t>
      </w:r>
      <w:proofErr w:type="spellEnd"/>
      <w:r w:rsidRPr="007D394E">
        <w:rPr>
          <w:szCs w:val="22"/>
        </w:rPr>
        <w:t xml:space="preserve"> </w:t>
      </w:r>
      <w:r w:rsidR="00DC3C00">
        <w:rPr>
          <w:szCs w:val="22"/>
        </w:rPr>
        <w:t>„</w:t>
      </w:r>
      <w:proofErr w:type="spellStart"/>
      <w:r w:rsidRPr="007D394E">
        <w:rPr>
          <w:szCs w:val="22"/>
        </w:rPr>
        <w:t>toll-like</w:t>
      </w:r>
      <w:proofErr w:type="spellEnd"/>
      <w:r w:rsidR="00DC3C00">
        <w:rPr>
          <w:szCs w:val="22"/>
        </w:rPr>
        <w:t>“</w:t>
      </w:r>
      <w:r w:rsidRPr="007D394E">
        <w:rPr>
          <w:szCs w:val="22"/>
        </w:rPr>
        <w:t xml:space="preserve"> receptorov 2. Tento profil naznačuje, že </w:t>
      </w:r>
      <w:proofErr w:type="spellStart"/>
      <w:r w:rsidRPr="007D394E">
        <w:rPr>
          <w:szCs w:val="22"/>
        </w:rPr>
        <w:t>adapalén</w:t>
      </w:r>
      <w:proofErr w:type="spellEnd"/>
      <w:r w:rsidRPr="007D394E">
        <w:rPr>
          <w:szCs w:val="22"/>
        </w:rPr>
        <w:t xml:space="preserve"> zmierňuje bunkami sprostredkovanú zápalovú</w:t>
      </w:r>
      <w:r w:rsidR="00BB219C" w:rsidRPr="007D394E">
        <w:rPr>
          <w:szCs w:val="22"/>
        </w:rPr>
        <w:t xml:space="preserve"> </w:t>
      </w:r>
      <w:r w:rsidRPr="007D394E">
        <w:rPr>
          <w:szCs w:val="22"/>
        </w:rPr>
        <w:t>zložku akné.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b/>
          <w:szCs w:val="22"/>
        </w:rPr>
        <w:t xml:space="preserve">- </w:t>
      </w:r>
      <w:proofErr w:type="spellStart"/>
      <w:r w:rsidRPr="007D394E">
        <w:rPr>
          <w:b/>
          <w:i/>
          <w:iCs/>
          <w:szCs w:val="22"/>
        </w:rPr>
        <w:t>benzoylperoxid</w:t>
      </w:r>
      <w:proofErr w:type="spellEnd"/>
      <w:r w:rsidRPr="007D394E">
        <w:rPr>
          <w:szCs w:val="22"/>
        </w:rPr>
        <w:t xml:space="preserve">: </w:t>
      </w:r>
      <w:proofErr w:type="spellStart"/>
      <w:r w:rsidRPr="007D394E">
        <w:rPr>
          <w:szCs w:val="22"/>
        </w:rPr>
        <w:t>benzoylperoxid</w:t>
      </w:r>
      <w:proofErr w:type="spellEnd"/>
      <w:r w:rsidRPr="007D394E">
        <w:rPr>
          <w:szCs w:val="22"/>
        </w:rPr>
        <w:t xml:space="preserve"> má preukázaný </w:t>
      </w:r>
      <w:proofErr w:type="spellStart"/>
      <w:r w:rsidRPr="007D394E">
        <w:rPr>
          <w:szCs w:val="22"/>
        </w:rPr>
        <w:t>antimikrobiálny</w:t>
      </w:r>
      <w:proofErr w:type="spellEnd"/>
      <w:r w:rsidRPr="007D394E">
        <w:rPr>
          <w:szCs w:val="22"/>
        </w:rPr>
        <w:t xml:space="preserve"> účinok, najmä proti </w:t>
      </w:r>
      <w:r w:rsidRPr="007D394E">
        <w:rPr>
          <w:i/>
          <w:iCs/>
          <w:szCs w:val="22"/>
        </w:rPr>
        <w:t xml:space="preserve">P. </w:t>
      </w:r>
      <w:proofErr w:type="spellStart"/>
      <w:r w:rsidRPr="007D394E">
        <w:rPr>
          <w:i/>
          <w:iCs/>
          <w:szCs w:val="22"/>
        </w:rPr>
        <w:t>acnes</w:t>
      </w:r>
      <w:proofErr w:type="spellEnd"/>
      <w:r w:rsidRPr="007D394E">
        <w:rPr>
          <w:szCs w:val="22"/>
        </w:rPr>
        <w:t>, ktor</w:t>
      </w:r>
      <w:r w:rsidR="00487FEB" w:rsidRPr="007D394E">
        <w:rPr>
          <w:szCs w:val="22"/>
        </w:rPr>
        <w:t>ý</w:t>
      </w:r>
      <w:r w:rsidRPr="007D394E">
        <w:rPr>
          <w:szCs w:val="22"/>
        </w:rPr>
        <w:t xml:space="preserve"> je abnormálne prítomn</w:t>
      </w:r>
      <w:r w:rsidR="00487FEB" w:rsidRPr="007D394E">
        <w:rPr>
          <w:szCs w:val="22"/>
        </w:rPr>
        <w:t>ý</w:t>
      </w:r>
      <w:r w:rsidRPr="007D394E">
        <w:rPr>
          <w:szCs w:val="22"/>
        </w:rPr>
        <w:t xml:space="preserve"> v</w:t>
      </w:r>
      <w:r w:rsidR="00246338">
        <w:rPr>
          <w:szCs w:val="22"/>
        </w:rPr>
        <w:t> </w:t>
      </w:r>
      <w:proofErr w:type="spellStart"/>
      <w:r w:rsidRPr="007D394E">
        <w:rPr>
          <w:szCs w:val="22"/>
        </w:rPr>
        <w:t>pilosebaceóznej</w:t>
      </w:r>
      <w:proofErr w:type="spellEnd"/>
      <w:r w:rsidRPr="007D394E">
        <w:rPr>
          <w:szCs w:val="22"/>
        </w:rPr>
        <w:t xml:space="preserve"> jednotke postihnutej akné. </w:t>
      </w:r>
      <w:proofErr w:type="spellStart"/>
      <w:r w:rsidRPr="007D394E">
        <w:rPr>
          <w:szCs w:val="22"/>
        </w:rPr>
        <w:t>Benzoylperoxid</w:t>
      </w:r>
      <w:proofErr w:type="spellEnd"/>
      <w:r w:rsidRPr="007D394E">
        <w:rPr>
          <w:szCs w:val="22"/>
        </w:rPr>
        <w:t xml:space="preserve"> má ďalej </w:t>
      </w:r>
      <w:r w:rsidRPr="007D394E">
        <w:rPr>
          <w:szCs w:val="22"/>
        </w:rPr>
        <w:lastRenderedPageBreak/>
        <w:t xml:space="preserve">preukázaný </w:t>
      </w:r>
      <w:proofErr w:type="spellStart"/>
      <w:r w:rsidRPr="007D394E">
        <w:rPr>
          <w:szCs w:val="22"/>
        </w:rPr>
        <w:t>exfoliačný</w:t>
      </w:r>
      <w:proofErr w:type="spellEnd"/>
      <w:r w:rsidRPr="007D394E">
        <w:rPr>
          <w:szCs w:val="22"/>
        </w:rPr>
        <w:t xml:space="preserve"> a </w:t>
      </w:r>
      <w:proofErr w:type="spellStart"/>
      <w:r w:rsidRPr="007D394E">
        <w:rPr>
          <w:szCs w:val="22"/>
        </w:rPr>
        <w:t>keratolytický</w:t>
      </w:r>
      <w:proofErr w:type="spellEnd"/>
      <w:r w:rsidRPr="007D394E">
        <w:rPr>
          <w:szCs w:val="22"/>
        </w:rPr>
        <w:t xml:space="preserve"> účinok. </w:t>
      </w:r>
      <w:proofErr w:type="spellStart"/>
      <w:r w:rsidRPr="007D394E">
        <w:rPr>
          <w:szCs w:val="22"/>
        </w:rPr>
        <w:t>Benzoylperoxid</w:t>
      </w:r>
      <w:proofErr w:type="spellEnd"/>
      <w:r w:rsidRPr="007D394E">
        <w:rPr>
          <w:szCs w:val="22"/>
        </w:rPr>
        <w:t xml:space="preserve"> je taktiež </w:t>
      </w:r>
      <w:proofErr w:type="spellStart"/>
      <w:r w:rsidRPr="007D394E">
        <w:rPr>
          <w:szCs w:val="22"/>
        </w:rPr>
        <w:t>sebostatický</w:t>
      </w:r>
      <w:proofErr w:type="spellEnd"/>
      <w:r w:rsidRPr="007D394E">
        <w:rPr>
          <w:szCs w:val="22"/>
        </w:rPr>
        <w:t>, čím</w:t>
      </w:r>
      <w:r w:rsidR="00BB219C" w:rsidRPr="007D394E">
        <w:rPr>
          <w:szCs w:val="22"/>
        </w:rPr>
        <w:t xml:space="preserve"> </w:t>
      </w:r>
      <w:r w:rsidRPr="007D394E">
        <w:rPr>
          <w:szCs w:val="22"/>
        </w:rPr>
        <w:t>pôsobí proti nadmernej tvorbe kožného mazu súvisiacej s akné.</w:t>
      </w:r>
    </w:p>
    <w:p w:rsidR="00E455B9" w:rsidRPr="007D394E" w:rsidRDefault="00E455B9" w:rsidP="00721DB3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  <w:u w:val="single"/>
        </w:rPr>
      </w:pPr>
      <w:r w:rsidRPr="007D394E">
        <w:rPr>
          <w:bCs/>
          <w:iCs/>
          <w:szCs w:val="22"/>
          <w:u w:val="single"/>
        </w:rPr>
        <w:t xml:space="preserve">Klinická účinnosť lieku </w:t>
      </w:r>
      <w:proofErr w:type="spellStart"/>
      <w:r w:rsidRPr="007D394E">
        <w:rPr>
          <w:bCs/>
          <w:iCs/>
          <w:szCs w:val="22"/>
          <w:u w:val="single"/>
        </w:rPr>
        <w:t>E</w:t>
      </w:r>
      <w:r w:rsidR="003749CC">
        <w:rPr>
          <w:bCs/>
          <w:iCs/>
          <w:szCs w:val="22"/>
          <w:u w:val="single"/>
        </w:rPr>
        <w:t>piduo</w:t>
      </w:r>
      <w:proofErr w:type="spellEnd"/>
      <w:r w:rsidRPr="007D394E">
        <w:rPr>
          <w:bCs/>
          <w:iCs/>
          <w:szCs w:val="22"/>
          <w:u w:val="single"/>
        </w:rPr>
        <w:t xml:space="preserve"> u pacientov vo veku 12 rokov</w:t>
      </w:r>
      <w:r w:rsidR="003749CC">
        <w:rPr>
          <w:bCs/>
          <w:iCs/>
          <w:szCs w:val="22"/>
          <w:u w:val="single"/>
        </w:rPr>
        <w:t xml:space="preserve"> a viac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Bezpečnosť a účinnosť lieku </w:t>
      </w:r>
      <w:proofErr w:type="spellStart"/>
      <w:r w:rsidRPr="007D394E">
        <w:rPr>
          <w:szCs w:val="22"/>
        </w:rPr>
        <w:t>E</w:t>
      </w:r>
      <w:r w:rsidR="002F1006">
        <w:rPr>
          <w:szCs w:val="22"/>
        </w:rPr>
        <w:t>piduo</w:t>
      </w:r>
      <w:proofErr w:type="spellEnd"/>
      <w:r w:rsidRPr="007D394E">
        <w:rPr>
          <w:szCs w:val="22"/>
        </w:rPr>
        <w:t xml:space="preserve"> aplikovaného jedenkrát denne pri liečbe </w:t>
      </w:r>
      <w:proofErr w:type="spellStart"/>
      <w:r w:rsidRPr="007D394E">
        <w:rPr>
          <w:i/>
          <w:szCs w:val="22"/>
        </w:rPr>
        <w:t>acne</w:t>
      </w:r>
      <w:proofErr w:type="spellEnd"/>
      <w:r w:rsidRPr="007D394E">
        <w:rPr>
          <w:i/>
          <w:szCs w:val="22"/>
        </w:rPr>
        <w:t xml:space="preserve"> </w:t>
      </w:r>
      <w:proofErr w:type="spellStart"/>
      <w:r w:rsidRPr="007D394E">
        <w:rPr>
          <w:i/>
          <w:szCs w:val="22"/>
        </w:rPr>
        <w:t>vulgaris</w:t>
      </w:r>
      <w:proofErr w:type="spellEnd"/>
      <w:r w:rsidRPr="007D394E">
        <w:rPr>
          <w:szCs w:val="22"/>
        </w:rPr>
        <w:t xml:space="preserve"> sa posudzovala v dvoch 12-týždňových, </w:t>
      </w:r>
      <w:proofErr w:type="spellStart"/>
      <w:r w:rsidRPr="007D394E">
        <w:rPr>
          <w:szCs w:val="22"/>
        </w:rPr>
        <w:t>multicentrických</w:t>
      </w:r>
      <w:proofErr w:type="spellEnd"/>
      <w:r w:rsidRPr="007D394E">
        <w:rPr>
          <w:szCs w:val="22"/>
        </w:rPr>
        <w:t xml:space="preserve">, kontrolovaných klinických štúdiách s podobným plánom, v ktorých sa liek </w:t>
      </w:r>
      <w:proofErr w:type="spellStart"/>
      <w:r w:rsidRPr="007D394E">
        <w:rPr>
          <w:szCs w:val="22"/>
        </w:rPr>
        <w:t>E</w:t>
      </w:r>
      <w:r w:rsidR="003D5025">
        <w:rPr>
          <w:szCs w:val="22"/>
        </w:rPr>
        <w:t>piduo</w:t>
      </w:r>
      <w:proofErr w:type="spellEnd"/>
      <w:r w:rsidRPr="007D394E">
        <w:rPr>
          <w:szCs w:val="22"/>
        </w:rPr>
        <w:t xml:space="preserve"> u pacientov s akné porovnával s jednotlivými účinnými zložkami lieku, 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a </w:t>
      </w:r>
      <w:proofErr w:type="spellStart"/>
      <w:r w:rsidRPr="007D394E">
        <w:rPr>
          <w:szCs w:val="22"/>
        </w:rPr>
        <w:t>benzoylperoxidom</w:t>
      </w:r>
      <w:proofErr w:type="spellEnd"/>
      <w:r w:rsidRPr="007D394E">
        <w:rPr>
          <w:szCs w:val="22"/>
        </w:rPr>
        <w:t xml:space="preserve">, a s gélovým </w:t>
      </w:r>
      <w:proofErr w:type="spellStart"/>
      <w:r w:rsidRPr="007D394E">
        <w:rPr>
          <w:szCs w:val="22"/>
        </w:rPr>
        <w:t>vehikulom</w:t>
      </w:r>
      <w:proofErr w:type="spellEnd"/>
      <w:r w:rsidRPr="007D394E">
        <w:rPr>
          <w:szCs w:val="22"/>
        </w:rPr>
        <w:t>. Do Štúdie 1 a Štúdie 2 bolo zaradených celkom 2 185 pacientov. Populáciu pacientov v oboch štúdiách tvorilo približne 49 % mužov a 51 % žien vo veku 12 rokov</w:t>
      </w:r>
      <w:r w:rsidR="00D518BB">
        <w:rPr>
          <w:szCs w:val="22"/>
        </w:rPr>
        <w:t xml:space="preserve"> a viac</w:t>
      </w:r>
      <w:r w:rsidRPr="007D394E">
        <w:rPr>
          <w:szCs w:val="22"/>
        </w:rPr>
        <w:t xml:space="preserve"> (priemerný vek: 18,3 rokov; rozpätie 12</w:t>
      </w:r>
      <w:r w:rsidR="006D08E5">
        <w:rPr>
          <w:szCs w:val="22"/>
        </w:rPr>
        <w:t xml:space="preserve"> </w:t>
      </w:r>
      <w:r w:rsidRPr="007D394E">
        <w:rPr>
          <w:szCs w:val="22"/>
        </w:rPr>
        <w:t>–</w:t>
      </w:r>
      <w:r w:rsidR="006D08E5">
        <w:rPr>
          <w:szCs w:val="22"/>
        </w:rPr>
        <w:t xml:space="preserve"> </w:t>
      </w:r>
      <w:r w:rsidRPr="007D394E">
        <w:rPr>
          <w:szCs w:val="22"/>
        </w:rPr>
        <w:t xml:space="preserve">50 rokov) s 20 až 50 zápalovými léziami a 30 až 100 nezápalovými léziami na začiatku štúdie. Pacienti si ošetrovali tvár a podľa potreby ďalšie oblasti postihnuté akné jedenkrát denne, večer. </w:t>
      </w:r>
    </w:p>
    <w:p w:rsidR="00E455B9" w:rsidRPr="007D394E" w:rsidRDefault="00E455B9" w:rsidP="00721DB3">
      <w:pPr>
        <w:spacing w:line="240" w:lineRule="auto"/>
        <w:rPr>
          <w:bCs/>
          <w:szCs w:val="22"/>
        </w:rPr>
      </w:pPr>
    </w:p>
    <w:p w:rsidR="00E455B9" w:rsidRPr="007D394E" w:rsidRDefault="00E455B9" w:rsidP="00721DB3">
      <w:pPr>
        <w:spacing w:line="240" w:lineRule="auto"/>
        <w:rPr>
          <w:bCs/>
          <w:szCs w:val="22"/>
        </w:rPr>
      </w:pPr>
      <w:r w:rsidRPr="007D394E">
        <w:rPr>
          <w:bCs/>
          <w:szCs w:val="22"/>
        </w:rPr>
        <w:t>Kritériá účinnosti</w:t>
      </w:r>
      <w:r w:rsidR="005E01F8">
        <w:rPr>
          <w:bCs/>
          <w:szCs w:val="22"/>
        </w:rPr>
        <w:t xml:space="preserve"> boli</w:t>
      </w:r>
      <w:r w:rsidRPr="007D394E">
        <w:rPr>
          <w:bCs/>
          <w:szCs w:val="22"/>
        </w:rPr>
        <w:t>:</w:t>
      </w:r>
    </w:p>
    <w:p w:rsidR="00E9455D" w:rsidRDefault="00E455B9" w:rsidP="00721DB3">
      <w:pPr>
        <w:numPr>
          <w:ilvl w:val="0"/>
          <w:numId w:val="10"/>
        </w:numPr>
        <w:tabs>
          <w:tab w:val="clear" w:pos="111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7D394E">
        <w:rPr>
          <w:bCs/>
          <w:szCs w:val="22"/>
        </w:rPr>
        <w:t xml:space="preserve">Úspešnosť, percentuálny podiel pacientov s hodnotením „bez lézií“ a „takmer bez lézií“ 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r w:rsidRPr="007D394E">
        <w:rPr>
          <w:bCs/>
          <w:szCs w:val="22"/>
        </w:rPr>
        <w:t>v 12. týždni na základe celkového hodnotenia skúšajúcim (</w:t>
      </w:r>
      <w:proofErr w:type="spellStart"/>
      <w:r w:rsidRPr="007D394E">
        <w:rPr>
          <w:bCs/>
          <w:szCs w:val="22"/>
        </w:rPr>
        <w:t>Investigator’s</w:t>
      </w:r>
      <w:proofErr w:type="spellEnd"/>
      <w:r w:rsidRPr="007D394E">
        <w:rPr>
          <w:bCs/>
          <w:szCs w:val="22"/>
        </w:rPr>
        <w:t xml:space="preserve"> </w:t>
      </w:r>
      <w:proofErr w:type="spellStart"/>
      <w:r w:rsidRPr="007D394E">
        <w:rPr>
          <w:bCs/>
          <w:szCs w:val="22"/>
        </w:rPr>
        <w:t>Global</w:t>
      </w:r>
      <w:proofErr w:type="spellEnd"/>
      <w:r w:rsidRPr="007D394E">
        <w:rPr>
          <w:bCs/>
          <w:szCs w:val="22"/>
        </w:rPr>
        <w:t xml:space="preserve"> </w:t>
      </w:r>
      <w:proofErr w:type="spellStart"/>
      <w:r w:rsidRPr="007D394E">
        <w:rPr>
          <w:bCs/>
          <w:szCs w:val="22"/>
        </w:rPr>
        <w:t>Assessment</w:t>
      </w:r>
      <w:proofErr w:type="spellEnd"/>
      <w:r w:rsidRPr="007D394E">
        <w:rPr>
          <w:bCs/>
          <w:szCs w:val="22"/>
        </w:rPr>
        <w:t>, IGA);</w:t>
      </w:r>
      <w:r w:rsidR="00BB219C" w:rsidRPr="007D394E">
        <w:rPr>
          <w:bCs/>
          <w:szCs w:val="22"/>
        </w:rPr>
        <w:t xml:space="preserve"> </w:t>
      </w:r>
    </w:p>
    <w:p w:rsidR="00E455B9" w:rsidRPr="007D394E" w:rsidRDefault="00E455B9" w:rsidP="00721DB3">
      <w:pPr>
        <w:numPr>
          <w:ilvl w:val="0"/>
          <w:numId w:val="10"/>
        </w:numPr>
        <w:tabs>
          <w:tab w:val="clear" w:pos="1110"/>
          <w:tab w:val="num" w:pos="567"/>
        </w:tabs>
        <w:spacing w:line="240" w:lineRule="auto"/>
        <w:ind w:left="0" w:firstLine="0"/>
        <w:rPr>
          <w:bCs/>
          <w:szCs w:val="22"/>
        </w:rPr>
      </w:pPr>
      <w:r w:rsidRPr="007D394E">
        <w:rPr>
          <w:bCs/>
          <w:szCs w:val="22"/>
        </w:rPr>
        <w:t>Zmena a percentuálna zmena v 12. týždni oproti začiatku štúdie z hľadiska</w:t>
      </w:r>
    </w:p>
    <w:p w:rsidR="00E455B9" w:rsidRPr="007D394E" w:rsidRDefault="00E455B9" w:rsidP="00721DB3">
      <w:pPr>
        <w:numPr>
          <w:ilvl w:val="1"/>
          <w:numId w:val="10"/>
        </w:numPr>
        <w:tabs>
          <w:tab w:val="clear" w:pos="567"/>
        </w:tabs>
        <w:spacing w:line="240" w:lineRule="auto"/>
        <w:ind w:left="0" w:firstLine="1134"/>
        <w:rPr>
          <w:bCs/>
          <w:szCs w:val="22"/>
        </w:rPr>
      </w:pPr>
      <w:r w:rsidRPr="007D394E">
        <w:rPr>
          <w:bCs/>
          <w:szCs w:val="22"/>
        </w:rPr>
        <w:t>počtu zápalových lézií</w:t>
      </w:r>
    </w:p>
    <w:p w:rsidR="00E455B9" w:rsidRPr="007D394E" w:rsidRDefault="00E455B9" w:rsidP="00721DB3">
      <w:pPr>
        <w:numPr>
          <w:ilvl w:val="1"/>
          <w:numId w:val="10"/>
        </w:numPr>
        <w:tabs>
          <w:tab w:val="clear" w:pos="567"/>
        </w:tabs>
        <w:spacing w:line="240" w:lineRule="auto"/>
        <w:ind w:left="0" w:firstLine="1134"/>
        <w:rPr>
          <w:bCs/>
          <w:szCs w:val="22"/>
        </w:rPr>
      </w:pPr>
      <w:r w:rsidRPr="007D394E">
        <w:rPr>
          <w:bCs/>
          <w:szCs w:val="22"/>
        </w:rPr>
        <w:t>počtu nezápalových lézií</w:t>
      </w:r>
    </w:p>
    <w:p w:rsidR="00E455B9" w:rsidRPr="007D394E" w:rsidRDefault="00E455B9" w:rsidP="00721DB3">
      <w:pPr>
        <w:numPr>
          <w:ilvl w:val="1"/>
          <w:numId w:val="10"/>
        </w:numPr>
        <w:tabs>
          <w:tab w:val="clear" w:pos="567"/>
        </w:tabs>
        <w:spacing w:line="240" w:lineRule="auto"/>
        <w:ind w:left="0" w:firstLine="1134"/>
        <w:rPr>
          <w:bCs/>
          <w:szCs w:val="22"/>
        </w:rPr>
      </w:pPr>
      <w:r w:rsidRPr="007D394E">
        <w:rPr>
          <w:bCs/>
          <w:szCs w:val="22"/>
        </w:rPr>
        <w:t>celkového počtu lézií</w:t>
      </w:r>
    </w:p>
    <w:p w:rsidR="00E455B9" w:rsidRPr="007D394E" w:rsidRDefault="00E455B9" w:rsidP="00721DB3">
      <w:pPr>
        <w:spacing w:line="240" w:lineRule="auto"/>
        <w:rPr>
          <w:bCs/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bCs/>
          <w:szCs w:val="22"/>
        </w:rPr>
        <w:t xml:space="preserve">Výsledky týkajúce sa účinnosti v jednotlivých štúdiách sú uvedené v tabuľke 1 a kombinované výsledky v tabuľke 2. V oboch štúdiách bol liek </w:t>
      </w:r>
      <w:proofErr w:type="spellStart"/>
      <w:r w:rsidRPr="007D394E">
        <w:rPr>
          <w:bCs/>
          <w:szCs w:val="22"/>
        </w:rPr>
        <w:t>E</w:t>
      </w:r>
      <w:r w:rsidR="00EA6EC7">
        <w:rPr>
          <w:bCs/>
          <w:szCs w:val="22"/>
        </w:rPr>
        <w:t>piduo</w:t>
      </w:r>
      <w:proofErr w:type="spellEnd"/>
      <w:r w:rsidRPr="007D394E">
        <w:rPr>
          <w:bCs/>
          <w:szCs w:val="22"/>
        </w:rPr>
        <w:t xml:space="preserve"> preukázateľne účinnejší než jeho </w:t>
      </w:r>
      <w:r w:rsidR="007E33B6" w:rsidRPr="007D394E">
        <w:rPr>
          <w:bCs/>
          <w:szCs w:val="22"/>
        </w:rPr>
        <w:t xml:space="preserve">jednotlivé zložky </w:t>
      </w:r>
      <w:r w:rsidRPr="007D394E">
        <w:rPr>
          <w:bCs/>
          <w:szCs w:val="22"/>
        </w:rPr>
        <w:t xml:space="preserve">a gélové </w:t>
      </w:r>
      <w:proofErr w:type="spellStart"/>
      <w:r w:rsidRPr="007D394E">
        <w:rPr>
          <w:bCs/>
          <w:szCs w:val="22"/>
        </w:rPr>
        <w:t>vehikulum</w:t>
      </w:r>
      <w:proofErr w:type="spellEnd"/>
      <w:r w:rsidRPr="007D394E">
        <w:rPr>
          <w:bCs/>
          <w:szCs w:val="22"/>
        </w:rPr>
        <w:t>. Celkov</w:t>
      </w:r>
      <w:r w:rsidR="00CA71B6" w:rsidRPr="007D394E">
        <w:rPr>
          <w:bCs/>
          <w:szCs w:val="22"/>
        </w:rPr>
        <w:t>o</w:t>
      </w:r>
      <w:r w:rsidRPr="007D394E">
        <w:rPr>
          <w:bCs/>
          <w:szCs w:val="22"/>
        </w:rPr>
        <w:t xml:space="preserve"> bol čistý priaznivý účinok (účinn</w:t>
      </w:r>
      <w:r w:rsidR="00374D1D" w:rsidRPr="007D394E">
        <w:rPr>
          <w:bCs/>
          <w:szCs w:val="22"/>
        </w:rPr>
        <w:t>é</w:t>
      </w:r>
      <w:r w:rsidRPr="007D394E">
        <w:rPr>
          <w:bCs/>
          <w:szCs w:val="22"/>
        </w:rPr>
        <w:t xml:space="preserve"> látk</w:t>
      </w:r>
      <w:r w:rsidR="00374D1D" w:rsidRPr="007D394E">
        <w:rPr>
          <w:bCs/>
          <w:szCs w:val="22"/>
        </w:rPr>
        <w:t>y</w:t>
      </w:r>
      <w:r w:rsidRPr="007D394E">
        <w:rPr>
          <w:bCs/>
          <w:szCs w:val="22"/>
        </w:rPr>
        <w:t xml:space="preserve"> mínus </w:t>
      </w:r>
      <w:proofErr w:type="spellStart"/>
      <w:r w:rsidRPr="007D394E">
        <w:rPr>
          <w:bCs/>
          <w:szCs w:val="22"/>
        </w:rPr>
        <w:t>vehikulum</w:t>
      </w:r>
      <w:proofErr w:type="spellEnd"/>
      <w:r w:rsidRPr="007D394E">
        <w:rPr>
          <w:bCs/>
          <w:szCs w:val="22"/>
        </w:rPr>
        <w:t xml:space="preserve">) dosiahnutý s liekom </w:t>
      </w:r>
      <w:proofErr w:type="spellStart"/>
      <w:r w:rsidRPr="007D394E">
        <w:rPr>
          <w:bCs/>
          <w:szCs w:val="22"/>
        </w:rPr>
        <w:t>E</w:t>
      </w:r>
      <w:r w:rsidR="0081428E">
        <w:rPr>
          <w:bCs/>
          <w:szCs w:val="22"/>
        </w:rPr>
        <w:t>piduo</w:t>
      </w:r>
      <w:proofErr w:type="spellEnd"/>
      <w:r w:rsidRPr="007D394E">
        <w:rPr>
          <w:bCs/>
          <w:szCs w:val="22"/>
        </w:rPr>
        <w:t xml:space="preserve"> väčší než súčet čistých priaznivých účinkov dosiahnutých s jednotlivými zložkami, čo poukazuje na </w:t>
      </w:r>
      <w:proofErr w:type="spellStart"/>
      <w:r w:rsidRPr="007D394E">
        <w:rPr>
          <w:bCs/>
          <w:szCs w:val="22"/>
        </w:rPr>
        <w:t>potenciáciu</w:t>
      </w:r>
      <w:proofErr w:type="spellEnd"/>
      <w:r w:rsidRPr="007D394E">
        <w:rPr>
          <w:bCs/>
          <w:szCs w:val="22"/>
        </w:rPr>
        <w:t xml:space="preserve"> </w:t>
      </w:r>
      <w:r w:rsidR="00203F2A">
        <w:rPr>
          <w:bCs/>
          <w:szCs w:val="22"/>
        </w:rPr>
        <w:t>terapeutickej</w:t>
      </w:r>
      <w:r w:rsidRPr="007D394E">
        <w:rPr>
          <w:bCs/>
          <w:szCs w:val="22"/>
        </w:rPr>
        <w:t xml:space="preserve"> aktivity týchto látok pri ich použití vo fixnej kombinácii dávok. </w:t>
      </w:r>
      <w:r w:rsidRPr="007D394E">
        <w:rPr>
          <w:szCs w:val="22"/>
        </w:rPr>
        <w:t xml:space="preserve">V Štúdii 1 a Štúdii 2 bol konzistentne pozorovaný skorý účinok liečby liekom </w:t>
      </w:r>
      <w:proofErr w:type="spellStart"/>
      <w:r w:rsidRPr="007D394E">
        <w:rPr>
          <w:szCs w:val="22"/>
        </w:rPr>
        <w:t>E</w:t>
      </w:r>
      <w:r w:rsidR="003B7A65">
        <w:rPr>
          <w:szCs w:val="22"/>
        </w:rPr>
        <w:t>piduo</w:t>
      </w:r>
      <w:proofErr w:type="spellEnd"/>
      <w:r w:rsidRPr="007D394E">
        <w:rPr>
          <w:szCs w:val="22"/>
        </w:rPr>
        <w:t xml:space="preserve"> na zápalové lézie v prvom týždni liečby. Poz</w:t>
      </w:r>
      <w:r w:rsidR="00D809E4">
        <w:rPr>
          <w:szCs w:val="22"/>
        </w:rPr>
        <w:t>orovateľ</w:t>
      </w:r>
      <w:r w:rsidRPr="007D394E">
        <w:rPr>
          <w:szCs w:val="22"/>
        </w:rPr>
        <w:t xml:space="preserve">ná odpoveď nezápalových lézií (otvorených a uzavretých </w:t>
      </w:r>
      <w:proofErr w:type="spellStart"/>
      <w:r w:rsidRPr="007D394E">
        <w:rPr>
          <w:szCs w:val="22"/>
        </w:rPr>
        <w:t>komedónov</w:t>
      </w:r>
      <w:proofErr w:type="spellEnd"/>
      <w:r w:rsidRPr="007D394E">
        <w:rPr>
          <w:szCs w:val="22"/>
        </w:rPr>
        <w:t xml:space="preserve">) sa prejavila medzi prvým a štvrtým týždňom liečby. Priaznivý účinok na </w:t>
      </w:r>
      <w:proofErr w:type="spellStart"/>
      <w:r w:rsidRPr="007D394E">
        <w:rPr>
          <w:szCs w:val="22"/>
        </w:rPr>
        <w:t>noduly</w:t>
      </w:r>
      <w:proofErr w:type="spellEnd"/>
      <w:r w:rsidRPr="007D394E">
        <w:rPr>
          <w:szCs w:val="22"/>
        </w:rPr>
        <w:t xml:space="preserve"> pri akné nebol stanovený.</w:t>
      </w:r>
    </w:p>
    <w:p w:rsidR="00E455B9" w:rsidRPr="007D394E" w:rsidRDefault="00E455B9" w:rsidP="00721DB3">
      <w:pPr>
        <w:spacing w:line="240" w:lineRule="auto"/>
        <w:rPr>
          <w:b/>
          <w:i/>
          <w:szCs w:val="22"/>
        </w:rPr>
      </w:pPr>
    </w:p>
    <w:p w:rsidR="00E455B9" w:rsidRPr="007D394E" w:rsidRDefault="00E455B9" w:rsidP="00721DB3">
      <w:pPr>
        <w:spacing w:line="240" w:lineRule="auto"/>
        <w:rPr>
          <w:b/>
          <w:i/>
          <w:szCs w:val="22"/>
        </w:rPr>
      </w:pPr>
      <w:r w:rsidRPr="007D394E">
        <w:rPr>
          <w:b/>
          <w:i/>
          <w:szCs w:val="22"/>
        </w:rPr>
        <w:t xml:space="preserve">Tabuľka 1 Klinická účinnosť v dvoch porovnávacích štúdiách </w:t>
      </w:r>
    </w:p>
    <w:p w:rsidR="00E455B9" w:rsidRPr="007D394E" w:rsidRDefault="00E455B9" w:rsidP="00721DB3">
      <w:pPr>
        <w:spacing w:line="240" w:lineRule="auto"/>
        <w:rPr>
          <w:b/>
          <w:i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1"/>
        <w:gridCol w:w="1816"/>
        <w:gridCol w:w="1198"/>
        <w:gridCol w:w="1198"/>
        <w:gridCol w:w="1207"/>
      </w:tblGrid>
      <w:tr w:rsidR="00E455B9" w:rsidRPr="007D394E" w:rsidTr="004F06C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Štúdia 1</w:t>
            </w:r>
          </w:p>
        </w:tc>
      </w:tr>
      <w:tr w:rsidR="0016645C" w:rsidRPr="007D394E" w:rsidTr="0016645C"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Štúdia 1</w:t>
            </w:r>
          </w:p>
          <w:p w:rsidR="00E455B9" w:rsidRPr="007D394E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12. týždeň LOCF, ITT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+ BPO</w:t>
            </w:r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149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148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BPO</w:t>
            </w:r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149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Vehikulum</w:t>
            </w:r>
            <w:proofErr w:type="spellEnd"/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71</w:t>
            </w:r>
          </w:p>
        </w:tc>
      </w:tr>
      <w:tr w:rsidR="0016645C" w:rsidRPr="007D394E" w:rsidTr="0016645C">
        <w:trPr>
          <w:trHeight w:val="380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Úspech (bez lézií, takmer bez lézií)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 xml:space="preserve">41 </w:t>
            </w:r>
            <w:r w:rsidRPr="007D394E">
              <w:rPr>
                <w:rFonts w:eastAsia="MS Mincho"/>
                <w:bCs/>
                <w:szCs w:val="22"/>
                <w:lang w:eastAsia="ja-JP"/>
              </w:rPr>
              <w:t>(</w:t>
            </w:r>
            <w:r w:rsidRPr="007D394E">
              <w:rPr>
                <w:rFonts w:eastAsia="MS Mincho"/>
                <w:szCs w:val="22"/>
                <w:lang w:eastAsia="ja-JP"/>
              </w:rPr>
              <w:t>27,5 %)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23 (15,5 %)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 = 0,008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23 (15,4 %)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 = 0,003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7 (9,9 %)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 = 0,002</w:t>
            </w:r>
          </w:p>
        </w:tc>
      </w:tr>
      <w:tr w:rsidR="0016645C" w:rsidRPr="007D394E" w:rsidTr="0016645C">
        <w:trPr>
          <w:trHeight w:val="47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Priemerné zníženie (% zníženie)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</w:tr>
      <w:tr w:rsidR="0016645C" w:rsidRPr="007D394E" w:rsidTr="0016645C">
        <w:trPr>
          <w:trHeight w:val="290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Počet 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17 (62,8 %)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13 (45,7 %)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13 (43,6 %)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11 (37,8 %)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</w:tr>
      <w:tr w:rsidR="0016645C" w:rsidRPr="007D394E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Počet nezápalových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22 (51,2 %)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17 (33,3 %)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16 (36,4 %)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14 (37,5 %)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</w:tr>
      <w:tr w:rsidR="0016645C" w:rsidRPr="007D394E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Celkový počet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40 (51,0 %)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29 (35,4 %)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27 (35,6 %)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26 (31,0 %)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</w:tr>
      <w:tr w:rsidR="00E455B9" w:rsidRPr="007D394E" w:rsidTr="004F06CB">
        <w:trPr>
          <w:trHeight w:val="34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Štúdia 2</w:t>
            </w:r>
          </w:p>
        </w:tc>
      </w:tr>
      <w:tr w:rsidR="0016645C" w:rsidRPr="007D394E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Štúdia 2</w:t>
            </w:r>
          </w:p>
          <w:p w:rsidR="00E455B9" w:rsidRPr="007D394E" w:rsidRDefault="00E455B9" w:rsidP="00721DB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12. týždeň LOCF, ITT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+ BPO</w:t>
            </w:r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415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420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BPO</w:t>
            </w:r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415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Vehikulum</w:t>
            </w:r>
            <w:proofErr w:type="spellEnd"/>
          </w:p>
          <w:p w:rsidR="00E455B9" w:rsidRPr="007D394E" w:rsidRDefault="00E02712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418</w:t>
            </w:r>
          </w:p>
        </w:tc>
      </w:tr>
      <w:tr w:rsidR="0016645C" w:rsidRPr="007D394E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Úspech (bez lézií, takmer bez lézií)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125 (30,1 %)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83 (19,8 %)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92 (22,2 %)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szCs w:val="22"/>
              </w:rPr>
              <w:t>p = 0,006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47 (11,3 %)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szCs w:val="22"/>
              </w:rPr>
              <w:t>p &lt; 0,001</w:t>
            </w:r>
          </w:p>
        </w:tc>
      </w:tr>
      <w:tr w:rsidR="00E455B9" w:rsidRPr="007D394E" w:rsidTr="004F06CB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Priemerné zníženie (% zníženie)</w:t>
            </w:r>
          </w:p>
        </w:tc>
        <w:tc>
          <w:tcPr>
            <w:tcW w:w="29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</w:p>
        </w:tc>
      </w:tr>
      <w:tr w:rsidR="0016645C" w:rsidRPr="007D394E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Počet 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16 (62,1 %)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14 (50,0 %)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16 (55,6 %)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= 0,068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10 (34,3 %)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</w:tr>
      <w:tr w:rsidR="0016645C" w:rsidRPr="007D394E" w:rsidTr="0016645C">
        <w:trPr>
          <w:trHeight w:val="538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lastRenderedPageBreak/>
              <w:t>Počet nezápalových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24 (53,8 %)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22 (49,1 %)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= 0,048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20 (44,1 %)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14 (29,5 %)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</w:tr>
      <w:tr w:rsidR="0016645C" w:rsidRPr="007D394E" w:rsidTr="0016645C">
        <w:trPr>
          <w:trHeight w:val="344"/>
        </w:trPr>
        <w:tc>
          <w:tcPr>
            <w:tcW w:w="20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Celkový počet lézií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45 (56,3 %)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39 (46,9 %)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 = 0,002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38 (48,1 %)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24 (28,0 %)</w:t>
            </w:r>
          </w:p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bCs/>
                <w:szCs w:val="22"/>
              </w:rPr>
              <w:t>p &lt; 0,001</w:t>
            </w:r>
          </w:p>
        </w:tc>
      </w:tr>
    </w:tbl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b/>
          <w:i/>
          <w:szCs w:val="22"/>
        </w:rPr>
      </w:pPr>
      <w:r w:rsidRPr="007D394E">
        <w:rPr>
          <w:b/>
          <w:i/>
          <w:szCs w:val="22"/>
        </w:rPr>
        <w:t xml:space="preserve">Tabuľka 2 Klinická účinnosť v porovnávacích </w:t>
      </w:r>
      <w:r w:rsidR="00E02712">
        <w:rPr>
          <w:b/>
          <w:i/>
          <w:szCs w:val="22"/>
        </w:rPr>
        <w:t>štúdiách</w:t>
      </w:r>
      <w:r w:rsidRPr="007D394E">
        <w:rPr>
          <w:b/>
          <w:i/>
          <w:szCs w:val="22"/>
        </w:rPr>
        <w:t xml:space="preserve"> spolu 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7"/>
        <w:gridCol w:w="1699"/>
        <w:gridCol w:w="1319"/>
        <w:gridCol w:w="1321"/>
        <w:gridCol w:w="1648"/>
      </w:tblGrid>
      <w:tr w:rsidR="00CA71B6" w:rsidRPr="007D394E" w:rsidTr="004F06CB"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+ BPO</w:t>
            </w:r>
          </w:p>
          <w:p w:rsidR="00E455B9" w:rsidRPr="007D394E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564</w:t>
            </w:r>
          </w:p>
        </w:tc>
        <w:tc>
          <w:tcPr>
            <w:tcW w:w="718" w:type="pct"/>
            <w:tcBorders>
              <w:top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Adapalén</w:t>
            </w:r>
            <w:proofErr w:type="spellEnd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</w:p>
          <w:p w:rsidR="00E455B9" w:rsidRPr="007D394E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568</w:t>
            </w: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BPO</w:t>
            </w:r>
          </w:p>
          <w:p w:rsidR="00E455B9" w:rsidRPr="007D394E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564</w:t>
            </w:r>
          </w:p>
        </w:tc>
        <w:tc>
          <w:tcPr>
            <w:tcW w:w="8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proofErr w:type="spellStart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Vehikulum</w:t>
            </w:r>
            <w:proofErr w:type="spellEnd"/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gélu</w:t>
            </w:r>
          </w:p>
          <w:p w:rsidR="00E455B9" w:rsidRPr="007D394E" w:rsidRDefault="005734D7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n</w:t>
            </w:r>
            <w:r w:rsidR="00E455B9" w:rsidRPr="007D394E">
              <w:rPr>
                <w:rFonts w:eastAsia="MS Mincho"/>
                <w:b/>
                <w:bCs/>
                <w:szCs w:val="22"/>
                <w:lang w:eastAsia="ja-JP"/>
              </w:rPr>
              <w:t xml:space="preserve"> = 489</w:t>
            </w:r>
          </w:p>
        </w:tc>
      </w:tr>
      <w:tr w:rsidR="00CA71B6" w:rsidRPr="007D394E" w:rsidTr="004F06CB"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Úspech (bez lézií, takmer bez lézií)</w:t>
            </w:r>
          </w:p>
        </w:tc>
        <w:tc>
          <w:tcPr>
            <w:tcW w:w="925" w:type="pct"/>
            <w:tcBorders>
              <w:top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 xml:space="preserve">166 (29,4 %) </w:t>
            </w:r>
          </w:p>
        </w:tc>
        <w:tc>
          <w:tcPr>
            <w:tcW w:w="718" w:type="pct"/>
            <w:tcBorders>
              <w:top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106 (18,7 %)</w:t>
            </w: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115 (20,4 %)</w:t>
            </w:r>
          </w:p>
        </w:tc>
        <w:tc>
          <w:tcPr>
            <w:tcW w:w="8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rFonts w:eastAsia="MS Mincho"/>
                <w:szCs w:val="22"/>
                <w:lang w:eastAsia="ja-JP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54 (11,1 %)</w:t>
            </w:r>
          </w:p>
        </w:tc>
      </w:tr>
      <w:tr w:rsidR="00CA71B6" w:rsidRPr="007D394E" w:rsidTr="004F06CB">
        <w:tc>
          <w:tcPr>
            <w:tcW w:w="1741" w:type="pct"/>
            <w:tcBorders>
              <w:top w:val="single" w:sz="6" w:space="0" w:color="auto"/>
              <w:lef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7D394E">
              <w:rPr>
                <w:rFonts w:eastAsia="MS Mincho"/>
                <w:b/>
                <w:bCs/>
                <w:szCs w:val="22"/>
                <w:lang w:eastAsia="ja-JP"/>
              </w:rPr>
              <w:t>Priemerné zníženie (% zníženie)</w:t>
            </w:r>
            <w:r w:rsidRPr="007D394E">
              <w:rPr>
                <w:b/>
                <w:szCs w:val="22"/>
              </w:rPr>
              <w:t xml:space="preserve"> </w:t>
            </w:r>
          </w:p>
        </w:tc>
        <w:tc>
          <w:tcPr>
            <w:tcW w:w="3259" w:type="pct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</w:p>
        </w:tc>
      </w:tr>
      <w:tr w:rsidR="00CA71B6" w:rsidRPr="007D394E" w:rsidTr="004F06CB">
        <w:tc>
          <w:tcPr>
            <w:tcW w:w="1741" w:type="pct"/>
            <w:tcBorders>
              <w:lef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Počet zápalových lézií</w:t>
            </w:r>
          </w:p>
        </w:tc>
        <w:tc>
          <w:tcPr>
            <w:tcW w:w="925" w:type="pct"/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16,0 (62,1)</w:t>
            </w:r>
          </w:p>
        </w:tc>
        <w:tc>
          <w:tcPr>
            <w:tcW w:w="718" w:type="pct"/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14,0 (50,0)</w:t>
            </w:r>
          </w:p>
        </w:tc>
        <w:tc>
          <w:tcPr>
            <w:tcW w:w="719" w:type="pct"/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15,0(54,0)</w:t>
            </w:r>
          </w:p>
        </w:tc>
        <w:tc>
          <w:tcPr>
            <w:tcW w:w="898" w:type="pct"/>
            <w:tcBorders>
              <w:right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10,0 (35,0)</w:t>
            </w:r>
          </w:p>
        </w:tc>
      </w:tr>
      <w:tr w:rsidR="00CA71B6" w:rsidRPr="007D394E" w:rsidTr="004F06CB">
        <w:tc>
          <w:tcPr>
            <w:tcW w:w="1741" w:type="pct"/>
            <w:tcBorders>
              <w:left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Počet nezápalových lézií</w:t>
            </w:r>
          </w:p>
        </w:tc>
        <w:tc>
          <w:tcPr>
            <w:tcW w:w="925" w:type="pct"/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23,5 (52.8)</w:t>
            </w:r>
          </w:p>
        </w:tc>
        <w:tc>
          <w:tcPr>
            <w:tcW w:w="718" w:type="pct"/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21,0 (45,0)</w:t>
            </w:r>
          </w:p>
        </w:tc>
        <w:tc>
          <w:tcPr>
            <w:tcW w:w="719" w:type="pct"/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19,0 (42,5)</w:t>
            </w:r>
          </w:p>
        </w:tc>
        <w:tc>
          <w:tcPr>
            <w:tcW w:w="898" w:type="pct"/>
            <w:tcBorders>
              <w:right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14,0 (30,7)</w:t>
            </w:r>
          </w:p>
        </w:tc>
      </w:tr>
      <w:tr w:rsidR="00CA71B6" w:rsidRPr="007D394E" w:rsidTr="004F06CB">
        <w:tc>
          <w:tcPr>
            <w:tcW w:w="1741" w:type="pct"/>
            <w:tcBorders>
              <w:left w:val="single" w:sz="6" w:space="0" w:color="auto"/>
              <w:bottom w:val="single" w:sz="6" w:space="0" w:color="auto"/>
            </w:tcBorders>
          </w:tcPr>
          <w:p w:rsidR="00E455B9" w:rsidRPr="007D394E" w:rsidRDefault="00E455B9" w:rsidP="00721DB3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</w:rPr>
            </w:pPr>
            <w:r w:rsidRPr="007D394E">
              <w:rPr>
                <w:rFonts w:eastAsia="MS Mincho"/>
                <w:szCs w:val="22"/>
                <w:lang w:eastAsia="ja-JP"/>
              </w:rPr>
              <w:t>Celkový počet lézií</w:t>
            </w:r>
          </w:p>
        </w:tc>
        <w:tc>
          <w:tcPr>
            <w:tcW w:w="925" w:type="pct"/>
            <w:tcBorders>
              <w:bottom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41,0 (54,8)</w:t>
            </w:r>
          </w:p>
        </w:tc>
        <w:tc>
          <w:tcPr>
            <w:tcW w:w="718" w:type="pct"/>
            <w:tcBorders>
              <w:bottom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34,0 (44,0)</w:t>
            </w:r>
          </w:p>
        </w:tc>
        <w:tc>
          <w:tcPr>
            <w:tcW w:w="719" w:type="pct"/>
            <w:tcBorders>
              <w:bottom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33,0 (44,9)</w:t>
            </w:r>
          </w:p>
        </w:tc>
        <w:tc>
          <w:tcPr>
            <w:tcW w:w="898" w:type="pct"/>
            <w:tcBorders>
              <w:bottom w:val="single" w:sz="6" w:space="0" w:color="auto"/>
              <w:right w:val="single" w:sz="6" w:space="0" w:color="auto"/>
            </w:tcBorders>
          </w:tcPr>
          <w:p w:rsidR="00E455B9" w:rsidRPr="007D394E" w:rsidRDefault="00E455B9" w:rsidP="00721DB3">
            <w:pPr>
              <w:spacing w:line="240" w:lineRule="auto"/>
              <w:rPr>
                <w:b/>
                <w:szCs w:val="22"/>
              </w:rPr>
            </w:pPr>
            <w:r w:rsidRPr="007D394E">
              <w:rPr>
                <w:szCs w:val="22"/>
              </w:rPr>
              <w:t>23,0 (29,1)</w:t>
            </w:r>
          </w:p>
        </w:tc>
      </w:tr>
    </w:tbl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bCs/>
          <w:iCs/>
          <w:szCs w:val="22"/>
          <w:u w:val="single"/>
        </w:rPr>
      </w:pPr>
      <w:r w:rsidRPr="007D394E">
        <w:rPr>
          <w:bCs/>
          <w:iCs/>
          <w:szCs w:val="22"/>
          <w:u w:val="single"/>
        </w:rPr>
        <w:t xml:space="preserve">Klinická účinnosť lieku </w:t>
      </w:r>
      <w:proofErr w:type="spellStart"/>
      <w:r w:rsidRPr="007D394E">
        <w:rPr>
          <w:bCs/>
          <w:iCs/>
          <w:szCs w:val="22"/>
          <w:u w:val="single"/>
        </w:rPr>
        <w:t>E</w:t>
      </w:r>
      <w:r w:rsidR="00C27F59">
        <w:rPr>
          <w:bCs/>
          <w:iCs/>
          <w:szCs w:val="22"/>
          <w:u w:val="single"/>
        </w:rPr>
        <w:t>piduo</w:t>
      </w:r>
      <w:proofErr w:type="spellEnd"/>
      <w:r w:rsidRPr="007D394E">
        <w:rPr>
          <w:bCs/>
          <w:iCs/>
          <w:szCs w:val="22"/>
          <w:u w:val="single"/>
        </w:rPr>
        <w:t xml:space="preserve"> u detí vo veku 9 až 11 rokov</w:t>
      </w:r>
    </w:p>
    <w:p w:rsidR="00E455B9" w:rsidRPr="007D394E" w:rsidRDefault="00E455B9" w:rsidP="00721DB3">
      <w:pPr>
        <w:spacing w:line="240" w:lineRule="auto"/>
        <w:rPr>
          <w:b/>
          <w:bCs/>
          <w:i/>
          <w:iCs/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V pediatrickom klinickom skúšaní bolo liekom </w:t>
      </w:r>
      <w:proofErr w:type="spellStart"/>
      <w:r w:rsidRPr="007D394E">
        <w:rPr>
          <w:szCs w:val="22"/>
        </w:rPr>
        <w:t>E</w:t>
      </w:r>
      <w:r w:rsidR="00C27F59">
        <w:rPr>
          <w:szCs w:val="22"/>
        </w:rPr>
        <w:t>piduo</w:t>
      </w:r>
      <w:proofErr w:type="spellEnd"/>
      <w:r w:rsidR="00C27F59">
        <w:rPr>
          <w:szCs w:val="22"/>
        </w:rPr>
        <w:t xml:space="preserve"> gél</w:t>
      </w:r>
      <w:r w:rsidR="00CA71B6" w:rsidRPr="007D394E">
        <w:rPr>
          <w:szCs w:val="22"/>
        </w:rPr>
        <w:t xml:space="preserve">, </w:t>
      </w:r>
      <w:r w:rsidRPr="007D394E">
        <w:rPr>
          <w:szCs w:val="22"/>
        </w:rPr>
        <w:t>aplikovaným jedenkrát denne po dobu 12 týždňov</w:t>
      </w:r>
      <w:r w:rsidR="00CA71B6" w:rsidRPr="007D394E">
        <w:rPr>
          <w:szCs w:val="22"/>
        </w:rPr>
        <w:t>,</w:t>
      </w:r>
      <w:r w:rsidRPr="007D394E">
        <w:rPr>
          <w:szCs w:val="22"/>
        </w:rPr>
        <w:t xml:space="preserve"> liečených 285 detí vo veku 9</w:t>
      </w:r>
      <w:r w:rsidR="00C27F59">
        <w:rPr>
          <w:szCs w:val="22"/>
        </w:rPr>
        <w:t xml:space="preserve"> </w:t>
      </w:r>
      <w:r w:rsidRPr="007D394E">
        <w:rPr>
          <w:szCs w:val="22"/>
        </w:rPr>
        <w:t>–</w:t>
      </w:r>
      <w:r w:rsidR="00C27F59">
        <w:rPr>
          <w:szCs w:val="22"/>
        </w:rPr>
        <w:t xml:space="preserve"> </w:t>
      </w:r>
      <w:r w:rsidRPr="007D394E">
        <w:rPr>
          <w:szCs w:val="22"/>
        </w:rPr>
        <w:t xml:space="preserve">11 rokov (53 % </w:t>
      </w:r>
      <w:r w:rsidR="002B670F">
        <w:rPr>
          <w:szCs w:val="22"/>
        </w:rPr>
        <w:t>jedinc</w:t>
      </w:r>
      <w:r w:rsidRPr="007D394E">
        <w:rPr>
          <w:szCs w:val="22"/>
        </w:rPr>
        <w:t>ov bolo vo veku 11 rokov, 33 % vo</w:t>
      </w:r>
      <w:r w:rsidR="002B670F">
        <w:rPr>
          <w:szCs w:val="22"/>
        </w:rPr>
        <w:t> </w:t>
      </w:r>
      <w:r w:rsidRPr="007D394E">
        <w:rPr>
          <w:szCs w:val="22"/>
        </w:rPr>
        <w:t>veku 10 rokov a 14 % vo veku 9 rokov) s </w:t>
      </w:r>
      <w:proofErr w:type="spellStart"/>
      <w:r w:rsidRPr="007D394E">
        <w:rPr>
          <w:i/>
          <w:szCs w:val="22"/>
        </w:rPr>
        <w:t>acne</w:t>
      </w:r>
      <w:proofErr w:type="spellEnd"/>
      <w:r w:rsidRPr="007D394E">
        <w:rPr>
          <w:i/>
          <w:szCs w:val="22"/>
        </w:rPr>
        <w:t xml:space="preserve"> </w:t>
      </w:r>
      <w:proofErr w:type="spellStart"/>
      <w:r w:rsidRPr="007D394E">
        <w:rPr>
          <w:i/>
          <w:szCs w:val="22"/>
        </w:rPr>
        <w:t>vulgaris</w:t>
      </w:r>
      <w:proofErr w:type="spellEnd"/>
      <w:r w:rsidRPr="007D394E">
        <w:rPr>
          <w:szCs w:val="22"/>
        </w:rPr>
        <w:t xml:space="preserve"> s</w:t>
      </w:r>
      <w:r w:rsidR="002B670F">
        <w:rPr>
          <w:szCs w:val="22"/>
        </w:rPr>
        <w:t>o</w:t>
      </w:r>
      <w:r w:rsidRPr="007D394E">
        <w:rPr>
          <w:szCs w:val="22"/>
        </w:rPr>
        <w:t xml:space="preserve"> skóre 3 (stredne závažné) na stupnici hodnotenia IGA a s celkovým počtom lézií (nezápalových a/alebo zápalových) na tvári (vrátane nos</w:t>
      </w:r>
      <w:r w:rsidR="002B670F">
        <w:rPr>
          <w:szCs w:val="22"/>
        </w:rPr>
        <w:t>a</w:t>
      </w:r>
      <w:r w:rsidRPr="007D394E">
        <w:rPr>
          <w:szCs w:val="22"/>
        </w:rPr>
        <w:t>) minimálne 20 ale nie viac</w:t>
      </w:r>
      <w:r w:rsidR="00BB219C" w:rsidRPr="007D394E">
        <w:rPr>
          <w:szCs w:val="22"/>
        </w:rPr>
        <w:t xml:space="preserve"> </w:t>
      </w:r>
      <w:r w:rsidRPr="007D394E">
        <w:rPr>
          <w:szCs w:val="22"/>
        </w:rPr>
        <w:t>ako 100 na začiatku štúdie.</w:t>
      </w: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Zo záverov štúdie vyplýva, že profily účinnosti a bezpečnosti lieku </w:t>
      </w:r>
      <w:proofErr w:type="spellStart"/>
      <w:r w:rsidRPr="007D394E">
        <w:rPr>
          <w:szCs w:val="22"/>
        </w:rPr>
        <w:t>E</w:t>
      </w:r>
      <w:r w:rsidR="004A6A9E">
        <w:rPr>
          <w:szCs w:val="22"/>
        </w:rPr>
        <w:t>piduo</w:t>
      </w:r>
      <w:proofErr w:type="spellEnd"/>
      <w:r w:rsidRPr="007D394E">
        <w:rPr>
          <w:szCs w:val="22"/>
        </w:rPr>
        <w:t xml:space="preserve"> pri liečbe akné na tvári v</w:t>
      </w:r>
      <w:r w:rsidR="004A6A9E">
        <w:rPr>
          <w:szCs w:val="22"/>
        </w:rPr>
        <w:t> </w:t>
      </w:r>
      <w:r w:rsidRPr="007D394E">
        <w:rPr>
          <w:szCs w:val="22"/>
        </w:rPr>
        <w:t xml:space="preserve">tejto špecifickej mladšej vekovej skupine sú v súlade s výsledkami iných </w:t>
      </w:r>
      <w:r w:rsidR="004A6A9E">
        <w:rPr>
          <w:szCs w:val="22"/>
        </w:rPr>
        <w:t>hlav</w:t>
      </w:r>
      <w:r w:rsidR="003E74DF" w:rsidRPr="007D394E">
        <w:rPr>
          <w:szCs w:val="22"/>
        </w:rPr>
        <w:t xml:space="preserve">ných </w:t>
      </w:r>
      <w:r w:rsidRPr="007D394E">
        <w:rPr>
          <w:szCs w:val="22"/>
        </w:rPr>
        <w:t>štúdií s </w:t>
      </w:r>
      <w:r w:rsidR="00223982">
        <w:rPr>
          <w:szCs w:val="22"/>
        </w:rPr>
        <w:t>jedinca</w:t>
      </w:r>
      <w:r w:rsidRPr="007D394E">
        <w:rPr>
          <w:szCs w:val="22"/>
        </w:rPr>
        <w:t>mi v</w:t>
      </w:r>
      <w:r w:rsidR="00BF2177" w:rsidRPr="007D394E">
        <w:rPr>
          <w:szCs w:val="22"/>
        </w:rPr>
        <w:t>o</w:t>
      </w:r>
      <w:r w:rsidRPr="007D394E">
        <w:rPr>
          <w:szCs w:val="22"/>
        </w:rPr>
        <w:t xml:space="preserve"> veku 12 rokov </w:t>
      </w:r>
      <w:r w:rsidR="00D027C4">
        <w:rPr>
          <w:szCs w:val="22"/>
        </w:rPr>
        <w:t xml:space="preserve">a viac </w:t>
      </w:r>
      <w:r w:rsidRPr="007D394E">
        <w:rPr>
          <w:szCs w:val="22"/>
        </w:rPr>
        <w:t>s </w:t>
      </w:r>
      <w:proofErr w:type="spellStart"/>
      <w:r w:rsidRPr="007D394E">
        <w:rPr>
          <w:i/>
          <w:szCs w:val="22"/>
        </w:rPr>
        <w:t>acne</w:t>
      </w:r>
      <w:proofErr w:type="spellEnd"/>
      <w:r w:rsidRPr="007D394E">
        <w:rPr>
          <w:i/>
          <w:szCs w:val="22"/>
        </w:rPr>
        <w:t xml:space="preserve"> </w:t>
      </w:r>
      <w:proofErr w:type="spellStart"/>
      <w:r w:rsidRPr="007D394E">
        <w:rPr>
          <w:i/>
          <w:szCs w:val="22"/>
        </w:rPr>
        <w:t>vulgaris</w:t>
      </w:r>
      <w:proofErr w:type="spellEnd"/>
      <w:r w:rsidRPr="007D394E">
        <w:rPr>
          <w:szCs w:val="22"/>
        </w:rPr>
        <w:t xml:space="preserve"> a ukazujú na významnú účinnosť s prijateľnou znášanlivosťou. Trvalý skorý účinok liečby liekom </w:t>
      </w:r>
      <w:proofErr w:type="spellStart"/>
      <w:r w:rsidRPr="007D394E">
        <w:rPr>
          <w:szCs w:val="22"/>
        </w:rPr>
        <w:t>E</w:t>
      </w:r>
      <w:r w:rsidR="00D027C4">
        <w:rPr>
          <w:szCs w:val="22"/>
        </w:rPr>
        <w:t>piduo</w:t>
      </w:r>
      <w:proofErr w:type="spellEnd"/>
      <w:r w:rsidRPr="007D394E">
        <w:rPr>
          <w:szCs w:val="22"/>
        </w:rPr>
        <w:t xml:space="preserve"> bol v porovnaní s </w:t>
      </w:r>
      <w:proofErr w:type="spellStart"/>
      <w:r w:rsidRPr="007D394E">
        <w:rPr>
          <w:szCs w:val="22"/>
        </w:rPr>
        <w:t>vehikulom</w:t>
      </w:r>
      <w:proofErr w:type="spellEnd"/>
      <w:r w:rsidRPr="007D394E">
        <w:rPr>
          <w:szCs w:val="22"/>
        </w:rPr>
        <w:t xml:space="preserve"> gélu konzistentne pozorovaný pri všetkých léziách (zápalových, nezápalových a léziách celkom) v 1. týždni a pokračoval do 12. týždňa.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4"/>
        <w:gridCol w:w="2588"/>
        <w:gridCol w:w="2493"/>
      </w:tblGrid>
      <w:tr w:rsidR="00E455B9" w:rsidRPr="007D394E" w:rsidTr="004F06CB">
        <w:trPr>
          <w:trHeight w:val="137"/>
          <w:jc w:val="center"/>
        </w:trPr>
        <w:tc>
          <w:tcPr>
            <w:tcW w:w="8535" w:type="dxa"/>
            <w:gridSpan w:val="3"/>
          </w:tcPr>
          <w:p w:rsidR="00E455B9" w:rsidRPr="007D394E" w:rsidRDefault="00E455B9" w:rsidP="00721DB3">
            <w:pPr>
              <w:pStyle w:val="Default"/>
              <w:tabs>
                <w:tab w:val="left" w:pos="567"/>
              </w:tabs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7D394E">
              <w:rPr>
                <w:b/>
                <w:bCs/>
                <w:color w:val="auto"/>
                <w:sz w:val="22"/>
                <w:szCs w:val="22"/>
                <w:lang w:val="sk-SK"/>
              </w:rPr>
              <w:t>Štúdia 3</w:t>
            </w:r>
          </w:p>
        </w:tc>
      </w:tr>
      <w:tr w:rsidR="00E455B9" w:rsidRPr="007D394E" w:rsidTr="004F06CB">
        <w:trPr>
          <w:trHeight w:val="267"/>
          <w:jc w:val="center"/>
        </w:trPr>
        <w:tc>
          <w:tcPr>
            <w:tcW w:w="3454" w:type="dxa"/>
          </w:tcPr>
          <w:p w:rsidR="00E455B9" w:rsidRPr="00BD79BE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rFonts w:eastAsia="MS Mincho"/>
                <w:b/>
                <w:bCs/>
                <w:sz w:val="22"/>
                <w:szCs w:val="22"/>
                <w:lang w:val="sk-SK" w:eastAsia="ja-JP"/>
              </w:rPr>
              <w:t>12. týždeň LOCF, ITT</w:t>
            </w:r>
          </w:p>
        </w:tc>
        <w:tc>
          <w:tcPr>
            <w:tcW w:w="2588" w:type="dxa"/>
          </w:tcPr>
          <w:p w:rsidR="007872B0" w:rsidRDefault="00E455B9" w:rsidP="007D394E">
            <w:pPr>
              <w:pStyle w:val="Default"/>
              <w:rPr>
                <w:b/>
                <w:bCs/>
                <w:color w:val="auto"/>
                <w:sz w:val="22"/>
                <w:szCs w:val="22"/>
                <w:lang w:val="sk-SK"/>
              </w:rPr>
            </w:pPr>
            <w:proofErr w:type="spellStart"/>
            <w:r w:rsidRPr="00BD79BE">
              <w:rPr>
                <w:b/>
                <w:bCs/>
                <w:color w:val="auto"/>
                <w:sz w:val="22"/>
                <w:szCs w:val="22"/>
                <w:lang w:val="sk-SK"/>
              </w:rPr>
              <w:t>Adapalén</w:t>
            </w:r>
            <w:proofErr w:type="spellEnd"/>
            <w:r w:rsidRPr="00BD79BE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+ BPO </w:t>
            </w:r>
          </w:p>
          <w:p w:rsidR="00E455B9" w:rsidRPr="00BD79BE" w:rsidRDefault="007872B0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k-SK"/>
              </w:rPr>
              <w:t>n</w:t>
            </w:r>
            <w:r w:rsidR="00E455B9" w:rsidRPr="00BD79BE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= 142</w:t>
            </w:r>
          </w:p>
        </w:tc>
        <w:tc>
          <w:tcPr>
            <w:tcW w:w="2493" w:type="dxa"/>
          </w:tcPr>
          <w:p w:rsidR="007872B0" w:rsidRDefault="00E455B9" w:rsidP="007D394E">
            <w:pPr>
              <w:pStyle w:val="Default"/>
              <w:rPr>
                <w:b/>
                <w:bCs/>
                <w:color w:val="auto"/>
                <w:sz w:val="22"/>
                <w:szCs w:val="22"/>
                <w:lang w:val="sk-SK"/>
              </w:rPr>
            </w:pPr>
            <w:proofErr w:type="spellStart"/>
            <w:r w:rsidRPr="00BD79BE">
              <w:rPr>
                <w:b/>
                <w:bCs/>
                <w:color w:val="auto"/>
                <w:sz w:val="22"/>
                <w:szCs w:val="22"/>
                <w:lang w:val="sk-SK"/>
              </w:rPr>
              <w:t>Vehikulum</w:t>
            </w:r>
            <w:proofErr w:type="spellEnd"/>
            <w:r w:rsidRPr="00BD79BE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gélu </w:t>
            </w:r>
          </w:p>
          <w:p w:rsidR="00E455B9" w:rsidRPr="00BD79BE" w:rsidRDefault="007872B0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k-SK"/>
              </w:rPr>
              <w:t>n</w:t>
            </w:r>
            <w:r w:rsidR="00E455B9" w:rsidRPr="00BD79BE">
              <w:rPr>
                <w:b/>
                <w:bCs/>
                <w:color w:val="auto"/>
                <w:sz w:val="22"/>
                <w:szCs w:val="22"/>
                <w:lang w:val="sk-SK"/>
              </w:rPr>
              <w:t xml:space="preserve"> = 143</w:t>
            </w:r>
          </w:p>
        </w:tc>
      </w:tr>
      <w:tr w:rsidR="00E455B9" w:rsidRPr="007D394E" w:rsidTr="004F06CB">
        <w:trPr>
          <w:trHeight w:val="267"/>
          <w:jc w:val="center"/>
        </w:trPr>
        <w:tc>
          <w:tcPr>
            <w:tcW w:w="3454" w:type="dxa"/>
          </w:tcPr>
          <w:p w:rsidR="00E455B9" w:rsidRPr="00BD79BE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rFonts w:eastAsia="MS Mincho"/>
                <w:b/>
                <w:bCs/>
                <w:sz w:val="22"/>
                <w:szCs w:val="22"/>
                <w:lang w:val="sk-SK" w:eastAsia="ja-JP"/>
              </w:rPr>
              <w:t>Úspech (bez lézií, takmer bez lézií)</w:t>
            </w:r>
          </w:p>
        </w:tc>
        <w:tc>
          <w:tcPr>
            <w:tcW w:w="2588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67 (47,2 %)</w:t>
            </w:r>
          </w:p>
        </w:tc>
        <w:tc>
          <w:tcPr>
            <w:tcW w:w="2493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22 (15,4 %)</w:t>
            </w:r>
          </w:p>
        </w:tc>
      </w:tr>
      <w:tr w:rsidR="00E455B9" w:rsidRPr="007D394E" w:rsidTr="004F06CB">
        <w:trPr>
          <w:trHeight w:val="268"/>
          <w:jc w:val="center"/>
        </w:trPr>
        <w:tc>
          <w:tcPr>
            <w:tcW w:w="3454" w:type="dxa"/>
          </w:tcPr>
          <w:p w:rsidR="00E455B9" w:rsidRPr="00BD79BE" w:rsidRDefault="00E455B9" w:rsidP="00C35A2D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2"/>
                <w:szCs w:val="22"/>
                <w:lang w:val="sk-SK"/>
              </w:rPr>
            </w:pPr>
            <w:r w:rsidRPr="00BD79BE">
              <w:rPr>
                <w:rFonts w:eastAsia="MS Mincho"/>
                <w:b/>
                <w:bCs/>
                <w:sz w:val="22"/>
                <w:szCs w:val="22"/>
                <w:lang w:val="sk-SK" w:eastAsia="ja-JP"/>
              </w:rPr>
              <w:t>Priemerné zníženie (% zníženie)</w:t>
            </w:r>
          </w:p>
        </w:tc>
        <w:tc>
          <w:tcPr>
            <w:tcW w:w="5081" w:type="dxa"/>
            <w:gridSpan w:val="2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 w:bidi="sk-SK"/>
              </w:rPr>
            </w:pPr>
          </w:p>
        </w:tc>
      </w:tr>
      <w:tr w:rsidR="00E455B9" w:rsidRPr="007D394E" w:rsidTr="004F06CB">
        <w:trPr>
          <w:trHeight w:val="268"/>
          <w:jc w:val="center"/>
        </w:trPr>
        <w:tc>
          <w:tcPr>
            <w:tcW w:w="3454" w:type="dxa"/>
          </w:tcPr>
          <w:p w:rsidR="00E455B9" w:rsidRPr="00BD79BE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rFonts w:eastAsia="MS Mincho"/>
                <w:sz w:val="22"/>
                <w:szCs w:val="22"/>
                <w:lang w:val="sk-SK" w:eastAsia="ja-JP"/>
              </w:rPr>
              <w:t>Počet zápalových lézií</w:t>
            </w:r>
          </w:p>
        </w:tc>
        <w:tc>
          <w:tcPr>
            <w:tcW w:w="2588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6 (62,5 %)</w:t>
            </w:r>
          </w:p>
        </w:tc>
        <w:tc>
          <w:tcPr>
            <w:tcW w:w="2493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1 (11,5 %)</w:t>
            </w:r>
          </w:p>
        </w:tc>
      </w:tr>
      <w:tr w:rsidR="00E455B9" w:rsidRPr="007D394E" w:rsidTr="004F06CB">
        <w:trPr>
          <w:trHeight w:val="267"/>
          <w:jc w:val="center"/>
        </w:trPr>
        <w:tc>
          <w:tcPr>
            <w:tcW w:w="3454" w:type="dxa"/>
          </w:tcPr>
          <w:p w:rsidR="00E455B9" w:rsidRPr="00BD79BE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rFonts w:eastAsia="MS Mincho"/>
                <w:sz w:val="22"/>
                <w:szCs w:val="22"/>
                <w:lang w:val="sk-SK" w:eastAsia="ja-JP"/>
              </w:rPr>
              <w:t>Počet nezápalových lézií</w:t>
            </w:r>
          </w:p>
        </w:tc>
        <w:tc>
          <w:tcPr>
            <w:tcW w:w="2588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19 (67,6 %)</w:t>
            </w:r>
          </w:p>
        </w:tc>
        <w:tc>
          <w:tcPr>
            <w:tcW w:w="2493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5 (13,2 %)</w:t>
            </w:r>
          </w:p>
        </w:tc>
      </w:tr>
      <w:tr w:rsidR="00E455B9" w:rsidRPr="007D394E" w:rsidTr="004F06CB">
        <w:trPr>
          <w:trHeight w:val="137"/>
          <w:jc w:val="center"/>
        </w:trPr>
        <w:tc>
          <w:tcPr>
            <w:tcW w:w="3454" w:type="dxa"/>
          </w:tcPr>
          <w:p w:rsidR="00E455B9" w:rsidRPr="00BD79BE" w:rsidRDefault="00E455B9" w:rsidP="00C35A2D">
            <w:pPr>
              <w:pStyle w:val="Default"/>
              <w:tabs>
                <w:tab w:val="left" w:pos="567"/>
              </w:tabs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rFonts w:eastAsia="MS Mincho"/>
                <w:sz w:val="22"/>
                <w:szCs w:val="22"/>
                <w:lang w:val="sk-SK" w:eastAsia="ja-JP"/>
              </w:rPr>
              <w:t>Celkový počet lézií</w:t>
            </w:r>
          </w:p>
        </w:tc>
        <w:tc>
          <w:tcPr>
            <w:tcW w:w="2588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26 (66,9 %)</w:t>
            </w:r>
          </w:p>
        </w:tc>
        <w:tc>
          <w:tcPr>
            <w:tcW w:w="2493" w:type="dxa"/>
          </w:tcPr>
          <w:p w:rsidR="00E455B9" w:rsidRPr="00BD79BE" w:rsidRDefault="00E455B9" w:rsidP="007D394E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D79BE">
              <w:rPr>
                <w:color w:val="auto"/>
                <w:sz w:val="22"/>
                <w:szCs w:val="22"/>
                <w:lang w:val="sk-SK"/>
              </w:rPr>
              <w:t>8 (18,4 %)</w:t>
            </w:r>
          </w:p>
        </w:tc>
      </w:tr>
    </w:tbl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proofErr w:type="spellStart"/>
      <w:r w:rsidRPr="007D394E">
        <w:rPr>
          <w:b/>
          <w:szCs w:val="22"/>
        </w:rPr>
        <w:t>Farmakokinetické</w:t>
      </w:r>
      <w:proofErr w:type="spellEnd"/>
      <w:r w:rsidRPr="007D394E">
        <w:rPr>
          <w:b/>
          <w:szCs w:val="22"/>
        </w:rPr>
        <w:t xml:space="preserve"> vlastnosti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b/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Farmakokinetické</w:t>
      </w:r>
      <w:proofErr w:type="spellEnd"/>
      <w:r w:rsidRPr="007D394E">
        <w:rPr>
          <w:szCs w:val="22"/>
        </w:rPr>
        <w:t xml:space="preserve"> vlastnosti lieku </w:t>
      </w:r>
      <w:proofErr w:type="spellStart"/>
      <w:r w:rsidRPr="007D394E">
        <w:rPr>
          <w:szCs w:val="22"/>
        </w:rPr>
        <w:t>E</w:t>
      </w:r>
      <w:r w:rsidR="00DE48D4">
        <w:rPr>
          <w:szCs w:val="22"/>
        </w:rPr>
        <w:t>piduo</w:t>
      </w:r>
      <w:proofErr w:type="spellEnd"/>
      <w:r w:rsidRPr="007D394E">
        <w:rPr>
          <w:szCs w:val="22"/>
        </w:rPr>
        <w:t xml:space="preserve"> sú podobné </w:t>
      </w:r>
      <w:proofErr w:type="spellStart"/>
      <w:r w:rsidRPr="007D394E">
        <w:rPr>
          <w:szCs w:val="22"/>
        </w:rPr>
        <w:t>farmakokinetickému</w:t>
      </w:r>
      <w:proofErr w:type="spellEnd"/>
      <w:r w:rsidRPr="007D394E">
        <w:rPr>
          <w:szCs w:val="22"/>
        </w:rPr>
        <w:t xml:space="preserve"> profilu samotného gélu s 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0,1</w:t>
      </w:r>
      <w:r w:rsidR="00E42B57">
        <w:rPr>
          <w:szCs w:val="22"/>
        </w:rPr>
        <w:t xml:space="preserve"> </w:t>
      </w:r>
      <w:r w:rsidRPr="007D394E">
        <w:rPr>
          <w:szCs w:val="22"/>
        </w:rPr>
        <w:t>%.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V 30-dennej </w:t>
      </w:r>
      <w:r w:rsidR="001E22C5">
        <w:rPr>
          <w:szCs w:val="22"/>
        </w:rPr>
        <w:t xml:space="preserve">klinickej </w:t>
      </w:r>
      <w:proofErr w:type="spellStart"/>
      <w:r w:rsidRPr="007D394E">
        <w:rPr>
          <w:szCs w:val="22"/>
        </w:rPr>
        <w:t>farmakokinetickej</w:t>
      </w:r>
      <w:proofErr w:type="spellEnd"/>
      <w:r w:rsidRPr="007D394E">
        <w:rPr>
          <w:szCs w:val="22"/>
        </w:rPr>
        <w:t xml:space="preserve"> štúdii </w:t>
      </w:r>
      <w:r w:rsidR="007D56F4">
        <w:rPr>
          <w:szCs w:val="22"/>
        </w:rPr>
        <w:t>vykon</w:t>
      </w:r>
      <w:r w:rsidRPr="007D394E">
        <w:rPr>
          <w:szCs w:val="22"/>
        </w:rPr>
        <w:t xml:space="preserve">anej u pacientov s akné, u ktorých sa testoval gél s fixnou kombináciu alebo gél s 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0,1</w:t>
      </w:r>
      <w:r w:rsidR="0049098B">
        <w:rPr>
          <w:szCs w:val="22"/>
        </w:rPr>
        <w:t xml:space="preserve"> </w:t>
      </w:r>
      <w:r w:rsidRPr="007D394E">
        <w:rPr>
          <w:szCs w:val="22"/>
        </w:rPr>
        <w:t xml:space="preserve">% v zodpovedajúcom zložení v maximalizovaných podmienkach (aplikácia 2 g gélu denne), nebolo množstvo </w:t>
      </w:r>
      <w:proofErr w:type="spellStart"/>
      <w:r w:rsidRPr="007D394E">
        <w:rPr>
          <w:szCs w:val="22"/>
        </w:rPr>
        <w:t>adapalénu</w:t>
      </w:r>
      <w:proofErr w:type="spellEnd"/>
      <w:r w:rsidRPr="007D394E">
        <w:rPr>
          <w:szCs w:val="22"/>
        </w:rPr>
        <w:t xml:space="preserve"> vo väčšine vzoriek plazmy stanoviteľné (hranica stanoviteľnosti 0,1 </w:t>
      </w:r>
      <w:proofErr w:type="spellStart"/>
      <w:r w:rsidRPr="007D394E">
        <w:rPr>
          <w:szCs w:val="22"/>
        </w:rPr>
        <w:t>ng</w:t>
      </w:r>
      <w:proofErr w:type="spellEnd"/>
      <w:r w:rsidRPr="007D394E">
        <w:rPr>
          <w:szCs w:val="22"/>
        </w:rPr>
        <w:t xml:space="preserve">/ml). Nízke hladiny </w:t>
      </w:r>
      <w:proofErr w:type="spellStart"/>
      <w:r w:rsidRPr="007D394E">
        <w:rPr>
          <w:szCs w:val="22"/>
        </w:rPr>
        <w:t>adapalénu</w:t>
      </w:r>
      <w:proofErr w:type="spellEnd"/>
      <w:r w:rsidRPr="007D394E">
        <w:rPr>
          <w:szCs w:val="22"/>
        </w:rPr>
        <w:t xml:space="preserve"> (</w:t>
      </w:r>
      <w:proofErr w:type="spellStart"/>
      <w:r w:rsidRPr="007D394E">
        <w:rPr>
          <w:szCs w:val="22"/>
        </w:rPr>
        <w:t>C</w:t>
      </w:r>
      <w:r w:rsidRPr="007D394E">
        <w:rPr>
          <w:szCs w:val="22"/>
          <w:vertAlign w:val="subscript"/>
        </w:rPr>
        <w:t>max</w:t>
      </w:r>
      <w:proofErr w:type="spellEnd"/>
      <w:r w:rsidRPr="007D394E">
        <w:rPr>
          <w:szCs w:val="22"/>
        </w:rPr>
        <w:t xml:space="preserve"> v rozpätí 0,1 až 0,2 </w:t>
      </w:r>
      <w:proofErr w:type="spellStart"/>
      <w:r w:rsidRPr="007D394E">
        <w:rPr>
          <w:szCs w:val="22"/>
        </w:rPr>
        <w:t>ng</w:t>
      </w:r>
      <w:proofErr w:type="spellEnd"/>
      <w:r w:rsidRPr="007D394E">
        <w:rPr>
          <w:szCs w:val="22"/>
        </w:rPr>
        <w:t xml:space="preserve">/ml) boli namerané v dvoch </w:t>
      </w:r>
      <w:r w:rsidR="0049098B">
        <w:rPr>
          <w:szCs w:val="22"/>
        </w:rPr>
        <w:t xml:space="preserve">krvných </w:t>
      </w:r>
      <w:r w:rsidRPr="007D394E">
        <w:rPr>
          <w:szCs w:val="22"/>
        </w:rPr>
        <w:t xml:space="preserve">vzorkách získaných od </w:t>
      </w:r>
      <w:r w:rsidR="0049098B">
        <w:rPr>
          <w:szCs w:val="22"/>
        </w:rPr>
        <w:t>jedinc</w:t>
      </w:r>
      <w:r w:rsidRPr="007D394E">
        <w:rPr>
          <w:szCs w:val="22"/>
        </w:rPr>
        <w:t xml:space="preserve">ov liečených liekom </w:t>
      </w:r>
      <w:proofErr w:type="spellStart"/>
      <w:r w:rsidRPr="007D394E">
        <w:rPr>
          <w:szCs w:val="22"/>
        </w:rPr>
        <w:t>E</w:t>
      </w:r>
      <w:r w:rsidR="00705D95">
        <w:rPr>
          <w:szCs w:val="22"/>
        </w:rPr>
        <w:t>piduo</w:t>
      </w:r>
      <w:proofErr w:type="spellEnd"/>
      <w:r w:rsidRPr="007D394E">
        <w:rPr>
          <w:szCs w:val="22"/>
        </w:rPr>
        <w:t xml:space="preserve"> a v troch vzorkách získaných od </w:t>
      </w:r>
      <w:r w:rsidR="00705D95">
        <w:rPr>
          <w:szCs w:val="22"/>
        </w:rPr>
        <w:t>jedinc</w:t>
      </w:r>
      <w:r w:rsidRPr="007D394E">
        <w:rPr>
          <w:szCs w:val="22"/>
        </w:rPr>
        <w:t>ov liečených gélom s 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0,1</w:t>
      </w:r>
      <w:r w:rsidR="00705D95">
        <w:rPr>
          <w:szCs w:val="22"/>
        </w:rPr>
        <w:t xml:space="preserve"> </w:t>
      </w:r>
      <w:r w:rsidRPr="007D394E">
        <w:rPr>
          <w:szCs w:val="22"/>
        </w:rPr>
        <w:t xml:space="preserve">%. Najvyššia zistená AUC </w:t>
      </w:r>
      <w:r w:rsidRPr="007D394E">
        <w:rPr>
          <w:szCs w:val="22"/>
          <w:vertAlign w:val="subscript"/>
        </w:rPr>
        <w:t>0-24h</w:t>
      </w:r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adapalénu</w:t>
      </w:r>
      <w:proofErr w:type="spellEnd"/>
      <w:r w:rsidRPr="007D394E">
        <w:rPr>
          <w:szCs w:val="22"/>
        </w:rPr>
        <w:t xml:space="preserve"> v skupine liečenej fixnou kombináciou bola 1,99 </w:t>
      </w:r>
      <w:proofErr w:type="spellStart"/>
      <w:r w:rsidRPr="007D394E">
        <w:rPr>
          <w:szCs w:val="22"/>
        </w:rPr>
        <w:t>ng.h</w:t>
      </w:r>
      <w:proofErr w:type="spellEnd"/>
      <w:r w:rsidRPr="007D394E">
        <w:rPr>
          <w:szCs w:val="22"/>
        </w:rPr>
        <w:t>/ml.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lastRenderedPageBreak/>
        <w:t xml:space="preserve">Uvedené výsledky sú porovnateľné s výsledkami získanými v predchádzajúcich klinických </w:t>
      </w:r>
      <w:proofErr w:type="spellStart"/>
      <w:r w:rsidRPr="007D394E">
        <w:rPr>
          <w:szCs w:val="22"/>
        </w:rPr>
        <w:t>farmakokinetických</w:t>
      </w:r>
      <w:proofErr w:type="spellEnd"/>
      <w:r w:rsidRPr="007D394E">
        <w:rPr>
          <w:szCs w:val="22"/>
        </w:rPr>
        <w:t xml:space="preserve"> štúdiách s rôznymi liekmi s 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0,1</w:t>
      </w:r>
      <w:r w:rsidR="00067A84">
        <w:rPr>
          <w:szCs w:val="22"/>
        </w:rPr>
        <w:t xml:space="preserve"> </w:t>
      </w:r>
      <w:r w:rsidRPr="007D394E">
        <w:rPr>
          <w:szCs w:val="22"/>
        </w:rPr>
        <w:t xml:space="preserve">%, v ktorých bola systémová expozícia </w:t>
      </w:r>
      <w:proofErr w:type="spellStart"/>
      <w:r w:rsidRPr="007D394E">
        <w:rPr>
          <w:szCs w:val="22"/>
        </w:rPr>
        <w:t>adapalénu</w:t>
      </w:r>
      <w:proofErr w:type="spellEnd"/>
      <w:r w:rsidRPr="007D394E">
        <w:rPr>
          <w:szCs w:val="22"/>
        </w:rPr>
        <w:t xml:space="preserve"> konzistentne nízka.</w:t>
      </w:r>
      <w:r w:rsidR="00BB219C" w:rsidRPr="007D394E">
        <w:rPr>
          <w:szCs w:val="22"/>
        </w:rPr>
        <w:t xml:space="preserve"> 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Prienik </w:t>
      </w:r>
      <w:proofErr w:type="spellStart"/>
      <w:r w:rsidRPr="007D394E">
        <w:rPr>
          <w:szCs w:val="22"/>
        </w:rPr>
        <w:t>benzoylperoxidu</w:t>
      </w:r>
      <w:proofErr w:type="spellEnd"/>
      <w:r w:rsidRPr="007D394E">
        <w:rPr>
          <w:szCs w:val="22"/>
        </w:rPr>
        <w:t xml:space="preserve"> cez kožu je </w:t>
      </w:r>
      <w:r w:rsidR="00067A84">
        <w:rPr>
          <w:szCs w:val="22"/>
        </w:rPr>
        <w:t>nízky</w:t>
      </w:r>
      <w:r w:rsidRPr="007D394E">
        <w:rPr>
          <w:szCs w:val="22"/>
        </w:rPr>
        <w:t xml:space="preserve">. Po aplikácii na kožu sa </w:t>
      </w:r>
      <w:r w:rsidR="00067A84">
        <w:rPr>
          <w:szCs w:val="22"/>
        </w:rPr>
        <w:t>kompletne</w:t>
      </w:r>
      <w:r w:rsidRPr="007D394E">
        <w:rPr>
          <w:szCs w:val="22"/>
        </w:rPr>
        <w:t xml:space="preserve"> mení na kyselinu </w:t>
      </w:r>
      <w:proofErr w:type="spellStart"/>
      <w:r w:rsidR="003E74DF" w:rsidRPr="007D394E">
        <w:rPr>
          <w:szCs w:val="22"/>
        </w:rPr>
        <w:t>benz</w:t>
      </w:r>
      <w:r w:rsidR="00067A84">
        <w:rPr>
          <w:szCs w:val="22"/>
        </w:rPr>
        <w:t>oovú</w:t>
      </w:r>
      <w:proofErr w:type="spellEnd"/>
      <w:r w:rsidRPr="007D394E">
        <w:rPr>
          <w:szCs w:val="22"/>
        </w:rPr>
        <w:t>, ktorá je rýchlo eliminovaná.</w:t>
      </w:r>
    </w:p>
    <w:p w:rsidR="00E455B9" w:rsidRPr="007D394E" w:rsidRDefault="00E455B9" w:rsidP="00721DB3">
      <w:pPr>
        <w:numPr>
          <w:ilvl w:val="12"/>
          <w:numId w:val="0"/>
        </w:num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Predklinické údaje o bezpečnosti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 xml:space="preserve">Predklinické údaje získané na základe obvyklých farmakologických štúdií bezpečnosti, toxicity po opakovanom podávaní, </w:t>
      </w:r>
      <w:proofErr w:type="spellStart"/>
      <w:r w:rsidRPr="007D394E">
        <w:rPr>
          <w:szCs w:val="22"/>
        </w:rPr>
        <w:t>genotoxicity</w:t>
      </w:r>
      <w:proofErr w:type="spellEnd"/>
      <w:r w:rsidRPr="007D394E">
        <w:rPr>
          <w:szCs w:val="22"/>
        </w:rPr>
        <w:t xml:space="preserve">, </w:t>
      </w:r>
      <w:proofErr w:type="spellStart"/>
      <w:r w:rsidRPr="007D394E">
        <w:rPr>
          <w:szCs w:val="22"/>
        </w:rPr>
        <w:t>fototoxicity</w:t>
      </w:r>
      <w:proofErr w:type="spellEnd"/>
      <w:r w:rsidRPr="007D394E">
        <w:rPr>
          <w:szCs w:val="22"/>
        </w:rPr>
        <w:t xml:space="preserve"> a karcinogénneho potenciálu neodhalili žiadne osobitné riziko pre ľudí.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>Štúdie reprodukčnej toxicity s </w:t>
      </w:r>
      <w:proofErr w:type="spellStart"/>
      <w:r w:rsidRPr="007D394E">
        <w:rPr>
          <w:szCs w:val="22"/>
        </w:rPr>
        <w:t>adapalénom</w:t>
      </w:r>
      <w:proofErr w:type="spellEnd"/>
      <w:r w:rsidRPr="007D394E">
        <w:rPr>
          <w:szCs w:val="22"/>
        </w:rPr>
        <w:t xml:space="preserve"> podávaným perorálne a </w:t>
      </w:r>
      <w:proofErr w:type="spellStart"/>
      <w:r w:rsidRPr="007D394E">
        <w:rPr>
          <w:szCs w:val="22"/>
        </w:rPr>
        <w:t>dermálne</w:t>
      </w:r>
      <w:proofErr w:type="spellEnd"/>
      <w:r w:rsidRPr="007D394E">
        <w:rPr>
          <w:szCs w:val="22"/>
        </w:rPr>
        <w:t xml:space="preserve"> sa uskutočnili</w:t>
      </w:r>
      <w:r w:rsidR="00BB219C" w:rsidRPr="007D394E">
        <w:rPr>
          <w:szCs w:val="22"/>
        </w:rPr>
        <w:t xml:space="preserve"> </w:t>
      </w:r>
      <w:r w:rsidRPr="007D394E">
        <w:rPr>
          <w:szCs w:val="22"/>
        </w:rPr>
        <w:t>s potkanmi a králikmi. Pri vysok</w:t>
      </w:r>
      <w:r w:rsidR="00520A20">
        <w:rPr>
          <w:szCs w:val="22"/>
        </w:rPr>
        <w:t>ých</w:t>
      </w:r>
      <w:r w:rsidRPr="007D394E">
        <w:rPr>
          <w:szCs w:val="22"/>
        </w:rPr>
        <w:t xml:space="preserve"> systémov</w:t>
      </w:r>
      <w:r w:rsidR="00520A20">
        <w:rPr>
          <w:szCs w:val="22"/>
        </w:rPr>
        <w:t>ých</w:t>
      </w:r>
      <w:r w:rsidRPr="007D394E">
        <w:rPr>
          <w:szCs w:val="22"/>
        </w:rPr>
        <w:t xml:space="preserve"> expozíci</w:t>
      </w:r>
      <w:r w:rsidR="00520A20">
        <w:rPr>
          <w:szCs w:val="22"/>
        </w:rPr>
        <w:t>ách</w:t>
      </w:r>
      <w:r w:rsidRPr="007D394E">
        <w:rPr>
          <w:szCs w:val="22"/>
        </w:rPr>
        <w:t xml:space="preserve"> (perorálne dávky od 25 mg/kg/deň) bol preukázan</w:t>
      </w:r>
      <w:r w:rsidR="00520A20">
        <w:rPr>
          <w:szCs w:val="22"/>
        </w:rPr>
        <w:t>ý</w:t>
      </w:r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teratog</w:t>
      </w:r>
      <w:r w:rsidR="00520A20">
        <w:rPr>
          <w:szCs w:val="22"/>
        </w:rPr>
        <w:t>énny</w:t>
      </w:r>
      <w:proofErr w:type="spellEnd"/>
      <w:r w:rsidR="00520A20">
        <w:rPr>
          <w:szCs w:val="22"/>
        </w:rPr>
        <w:t xml:space="preserve"> účinok</w:t>
      </w:r>
      <w:r w:rsidRPr="007D394E">
        <w:rPr>
          <w:szCs w:val="22"/>
        </w:rPr>
        <w:t>. Pri nižš</w:t>
      </w:r>
      <w:r w:rsidR="00520A20">
        <w:rPr>
          <w:szCs w:val="22"/>
        </w:rPr>
        <w:t>ích</w:t>
      </w:r>
      <w:r w:rsidRPr="007D394E">
        <w:rPr>
          <w:szCs w:val="22"/>
        </w:rPr>
        <w:t xml:space="preserve"> expozíci</w:t>
      </w:r>
      <w:r w:rsidR="00520A20">
        <w:rPr>
          <w:szCs w:val="22"/>
        </w:rPr>
        <w:t>ách</w:t>
      </w:r>
      <w:r w:rsidRPr="007D394E">
        <w:rPr>
          <w:szCs w:val="22"/>
        </w:rPr>
        <w:t xml:space="preserve"> (</w:t>
      </w:r>
      <w:proofErr w:type="spellStart"/>
      <w:r w:rsidRPr="007D394E">
        <w:rPr>
          <w:szCs w:val="22"/>
        </w:rPr>
        <w:t>dermálna</w:t>
      </w:r>
      <w:proofErr w:type="spellEnd"/>
      <w:r w:rsidRPr="007D394E">
        <w:rPr>
          <w:szCs w:val="22"/>
        </w:rPr>
        <w:t xml:space="preserve"> dávka 6 mg/kg/deň) boli pozorované zmeny v počte rebier alebo stavcov.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3E74DF" w:rsidP="00721DB3">
      <w:pPr>
        <w:tabs>
          <w:tab w:val="clear" w:pos="567"/>
        </w:tabs>
        <w:spacing w:line="240" w:lineRule="auto"/>
        <w:rPr>
          <w:szCs w:val="22"/>
        </w:rPr>
      </w:pPr>
      <w:r w:rsidRPr="007D394E">
        <w:rPr>
          <w:szCs w:val="22"/>
        </w:rPr>
        <w:t>Š</w:t>
      </w:r>
      <w:r w:rsidR="00E455B9" w:rsidRPr="007D394E">
        <w:rPr>
          <w:szCs w:val="22"/>
        </w:rPr>
        <w:t>túdi</w:t>
      </w:r>
      <w:r w:rsidRPr="007D394E">
        <w:rPr>
          <w:szCs w:val="22"/>
        </w:rPr>
        <w:t>e</w:t>
      </w:r>
      <w:r w:rsidR="00E455B9" w:rsidRPr="007D394E">
        <w:rPr>
          <w:szCs w:val="22"/>
        </w:rPr>
        <w:t xml:space="preserve"> </w:t>
      </w:r>
      <w:r w:rsidRPr="007D394E">
        <w:rPr>
          <w:szCs w:val="22"/>
        </w:rPr>
        <w:t>na</w:t>
      </w:r>
      <w:r w:rsidR="00E455B9" w:rsidRPr="007D394E">
        <w:rPr>
          <w:szCs w:val="22"/>
        </w:rPr>
        <w:t xml:space="preserve"> zvierat</w:t>
      </w:r>
      <w:r w:rsidRPr="007D394E">
        <w:rPr>
          <w:szCs w:val="22"/>
        </w:rPr>
        <w:t>ách</w:t>
      </w:r>
      <w:r w:rsidR="00E455B9" w:rsidRPr="007D394E">
        <w:rPr>
          <w:szCs w:val="22"/>
        </w:rPr>
        <w:t xml:space="preserve"> s liekom </w:t>
      </w:r>
      <w:proofErr w:type="spellStart"/>
      <w:r w:rsidR="00E455B9" w:rsidRPr="007D394E">
        <w:rPr>
          <w:szCs w:val="22"/>
        </w:rPr>
        <w:t>E</w:t>
      </w:r>
      <w:r w:rsidR="00520A20">
        <w:rPr>
          <w:szCs w:val="22"/>
        </w:rPr>
        <w:t>piduo</w:t>
      </w:r>
      <w:proofErr w:type="spellEnd"/>
      <w:r w:rsidR="00E455B9" w:rsidRPr="007D394E">
        <w:rPr>
          <w:szCs w:val="22"/>
        </w:rPr>
        <w:t xml:space="preserve"> zahrňujúc</w:t>
      </w:r>
      <w:r w:rsidRPr="007D394E">
        <w:rPr>
          <w:szCs w:val="22"/>
        </w:rPr>
        <w:t>e</w:t>
      </w:r>
      <w:r w:rsidR="00E455B9" w:rsidRPr="007D394E">
        <w:rPr>
          <w:szCs w:val="22"/>
        </w:rPr>
        <w:t xml:space="preserve"> štúdie lokálnej znášanlivosti a štúdie toxicity po</w:t>
      </w:r>
      <w:r w:rsidR="00520A20">
        <w:rPr>
          <w:szCs w:val="22"/>
        </w:rPr>
        <w:t> </w:t>
      </w:r>
      <w:r w:rsidR="00E455B9" w:rsidRPr="007D394E">
        <w:rPr>
          <w:szCs w:val="22"/>
        </w:rPr>
        <w:t xml:space="preserve">opakovanom podávaní na kožu u potkanov, psov a </w:t>
      </w:r>
      <w:proofErr w:type="spellStart"/>
      <w:r w:rsidR="00E455B9" w:rsidRPr="007D394E">
        <w:rPr>
          <w:szCs w:val="22"/>
        </w:rPr>
        <w:t>miniprasiat</w:t>
      </w:r>
      <w:proofErr w:type="spellEnd"/>
      <w:r w:rsidR="00E455B9" w:rsidRPr="007D394E">
        <w:rPr>
          <w:szCs w:val="22"/>
        </w:rPr>
        <w:t xml:space="preserve"> v dĺžke až 13 týždňov preukáza</w:t>
      </w:r>
      <w:r w:rsidR="001C33A9" w:rsidRPr="007D394E">
        <w:rPr>
          <w:szCs w:val="22"/>
        </w:rPr>
        <w:t>li</w:t>
      </w:r>
      <w:r w:rsidR="00E455B9" w:rsidRPr="007D394E">
        <w:rPr>
          <w:szCs w:val="22"/>
        </w:rPr>
        <w:t xml:space="preserve"> lokálne podráždenie a potenciál pre </w:t>
      </w:r>
      <w:proofErr w:type="spellStart"/>
      <w:r w:rsidR="00E455B9" w:rsidRPr="007D394E">
        <w:rPr>
          <w:szCs w:val="22"/>
        </w:rPr>
        <w:t>senzitizáciu</w:t>
      </w:r>
      <w:proofErr w:type="spellEnd"/>
      <w:r w:rsidR="00E455B9" w:rsidRPr="007D394E">
        <w:rPr>
          <w:szCs w:val="22"/>
        </w:rPr>
        <w:t xml:space="preserve">, čo sa v prípade kombinácie obsahujúcej </w:t>
      </w:r>
      <w:proofErr w:type="spellStart"/>
      <w:r w:rsidR="00E455B9" w:rsidRPr="007D394E">
        <w:rPr>
          <w:szCs w:val="22"/>
        </w:rPr>
        <w:t>benzoylperoxid</w:t>
      </w:r>
      <w:proofErr w:type="spellEnd"/>
      <w:r w:rsidR="00E455B9" w:rsidRPr="007D394E">
        <w:rPr>
          <w:szCs w:val="22"/>
        </w:rPr>
        <w:t xml:space="preserve"> očakáva. Systémová expozícia </w:t>
      </w:r>
      <w:proofErr w:type="spellStart"/>
      <w:r w:rsidR="00E455B9" w:rsidRPr="007D394E">
        <w:rPr>
          <w:szCs w:val="22"/>
        </w:rPr>
        <w:t>adapalénu</w:t>
      </w:r>
      <w:proofErr w:type="spellEnd"/>
      <w:r w:rsidR="00E455B9" w:rsidRPr="007D394E">
        <w:rPr>
          <w:szCs w:val="22"/>
        </w:rPr>
        <w:t xml:space="preserve"> pri opakovanej aplikácii fixnej kombinácie na kožu zvierat je veľmi nízka, v súlade s klinickými </w:t>
      </w:r>
      <w:proofErr w:type="spellStart"/>
      <w:r w:rsidR="00E455B9" w:rsidRPr="007D394E">
        <w:rPr>
          <w:szCs w:val="22"/>
        </w:rPr>
        <w:t>farmakokinetickými</w:t>
      </w:r>
      <w:proofErr w:type="spellEnd"/>
      <w:r w:rsidR="00E455B9" w:rsidRPr="007D394E">
        <w:rPr>
          <w:szCs w:val="22"/>
        </w:rPr>
        <w:t xml:space="preserve"> údajmi. </w:t>
      </w:r>
      <w:proofErr w:type="spellStart"/>
      <w:r w:rsidR="00E455B9" w:rsidRPr="007D394E">
        <w:rPr>
          <w:szCs w:val="22"/>
        </w:rPr>
        <w:t>Benzoylperoxid</w:t>
      </w:r>
      <w:proofErr w:type="spellEnd"/>
      <w:r w:rsidR="00E455B9" w:rsidRPr="007D394E">
        <w:rPr>
          <w:szCs w:val="22"/>
        </w:rPr>
        <w:t xml:space="preserve"> sa v koži rýchlo a </w:t>
      </w:r>
      <w:r w:rsidR="00A12D7D">
        <w:rPr>
          <w:szCs w:val="22"/>
        </w:rPr>
        <w:t>kompletne</w:t>
      </w:r>
      <w:r w:rsidR="00E455B9" w:rsidRPr="007D394E">
        <w:rPr>
          <w:szCs w:val="22"/>
        </w:rPr>
        <w:t xml:space="preserve"> mení na kyselinu </w:t>
      </w:r>
      <w:proofErr w:type="spellStart"/>
      <w:r w:rsidR="00E455B9" w:rsidRPr="007D394E">
        <w:rPr>
          <w:szCs w:val="22"/>
        </w:rPr>
        <w:t>benz</w:t>
      </w:r>
      <w:r w:rsidR="00A12D7D">
        <w:rPr>
          <w:szCs w:val="22"/>
        </w:rPr>
        <w:t>oovú</w:t>
      </w:r>
      <w:proofErr w:type="spellEnd"/>
      <w:r w:rsidR="00E455B9" w:rsidRPr="007D394E">
        <w:rPr>
          <w:szCs w:val="22"/>
        </w:rPr>
        <w:t xml:space="preserve"> a po absorpcii sa vylučuje močom pri</w:t>
      </w:r>
      <w:r w:rsidR="00A12D7D">
        <w:rPr>
          <w:szCs w:val="22"/>
        </w:rPr>
        <w:t> </w:t>
      </w:r>
      <w:r w:rsidR="00E455B9" w:rsidRPr="007D394E">
        <w:rPr>
          <w:szCs w:val="22"/>
        </w:rPr>
        <w:t>obmedzenej systémovej expozícii.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uppressAutoHyphens/>
        <w:spacing w:line="240" w:lineRule="auto"/>
        <w:ind w:left="0" w:firstLine="0"/>
        <w:rPr>
          <w:b/>
          <w:szCs w:val="22"/>
        </w:rPr>
      </w:pPr>
      <w:r w:rsidRPr="007D394E">
        <w:rPr>
          <w:b/>
          <w:szCs w:val="22"/>
        </w:rPr>
        <w:t>FARMACEUTICKÉ INFORMÁCIE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Zoznam pomocných látok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i/>
          <w:szCs w:val="22"/>
        </w:rPr>
      </w:pPr>
    </w:p>
    <w:p w:rsidR="00E455B9" w:rsidRPr="007D394E" w:rsidRDefault="00A12D7D" w:rsidP="00721DB3">
      <w:pPr>
        <w:tabs>
          <w:tab w:val="clear" w:pos="567"/>
        </w:tabs>
        <w:spacing w:line="240" w:lineRule="auto"/>
        <w:rPr>
          <w:szCs w:val="22"/>
        </w:rPr>
      </w:pPr>
      <w:bookmarkStart w:id="1" w:name="OLE_LINK4"/>
      <w:proofErr w:type="spellStart"/>
      <w:r>
        <w:rPr>
          <w:szCs w:val="22"/>
        </w:rPr>
        <w:t>edetan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disodný</w:t>
      </w:r>
      <w:proofErr w:type="spellEnd"/>
    </w:p>
    <w:p w:rsidR="00E455B9" w:rsidRPr="007D394E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d</w:t>
      </w:r>
      <w:r w:rsidR="00E455B9" w:rsidRPr="007D394E">
        <w:rPr>
          <w:szCs w:val="22"/>
        </w:rPr>
        <w:t>okusát</w:t>
      </w:r>
      <w:proofErr w:type="spellEnd"/>
      <w:r w:rsidR="00E6071B">
        <w:rPr>
          <w:szCs w:val="22"/>
        </w:rPr>
        <w:t>,</w:t>
      </w:r>
      <w:r w:rsidR="00E455B9" w:rsidRPr="007D394E">
        <w:rPr>
          <w:szCs w:val="22"/>
        </w:rPr>
        <w:t xml:space="preserve"> sodn</w:t>
      </w:r>
      <w:r w:rsidR="00E6071B">
        <w:rPr>
          <w:szCs w:val="22"/>
        </w:rPr>
        <w:t>á soľ</w:t>
      </w:r>
    </w:p>
    <w:p w:rsidR="00E455B9" w:rsidRPr="007D394E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r w:rsidRPr="007D394E">
        <w:rPr>
          <w:szCs w:val="22"/>
        </w:rPr>
        <w:t>g</w:t>
      </w:r>
      <w:r w:rsidR="00E455B9" w:rsidRPr="007D394E">
        <w:rPr>
          <w:szCs w:val="22"/>
        </w:rPr>
        <w:t>lycer</w:t>
      </w:r>
      <w:r w:rsidR="00E6071B">
        <w:rPr>
          <w:szCs w:val="22"/>
        </w:rPr>
        <w:t>ín</w:t>
      </w:r>
    </w:p>
    <w:p w:rsidR="00E455B9" w:rsidRPr="007D394E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p</w:t>
      </w:r>
      <w:r w:rsidR="00E455B9" w:rsidRPr="007D394E">
        <w:rPr>
          <w:szCs w:val="22"/>
        </w:rPr>
        <w:t>oloxamér</w:t>
      </w:r>
      <w:proofErr w:type="spellEnd"/>
      <w:r w:rsidR="00E455B9" w:rsidRPr="007D394E">
        <w:rPr>
          <w:szCs w:val="22"/>
        </w:rPr>
        <w:t xml:space="preserve"> </w:t>
      </w:r>
    </w:p>
    <w:p w:rsidR="00E455B9" w:rsidRPr="007D394E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p</w:t>
      </w:r>
      <w:r w:rsidR="00E455B9" w:rsidRPr="007D394E">
        <w:rPr>
          <w:szCs w:val="22"/>
        </w:rPr>
        <w:t>ropylénglykol</w:t>
      </w:r>
      <w:proofErr w:type="spellEnd"/>
      <w:r w:rsidR="00E455B9" w:rsidRPr="007D394E">
        <w:rPr>
          <w:szCs w:val="22"/>
        </w:rPr>
        <w:t xml:space="preserve"> (E1520)</w:t>
      </w:r>
    </w:p>
    <w:bookmarkEnd w:id="1"/>
    <w:p w:rsidR="00E455B9" w:rsidRPr="007D394E" w:rsidRDefault="006A58A9" w:rsidP="00721DB3">
      <w:pPr>
        <w:tabs>
          <w:tab w:val="clear" w:pos="567"/>
        </w:tabs>
        <w:spacing w:line="240" w:lineRule="auto"/>
        <w:rPr>
          <w:szCs w:val="22"/>
          <w:lang w:eastAsia="nl-NL"/>
        </w:rPr>
      </w:pPr>
      <w:proofErr w:type="spellStart"/>
      <w:r w:rsidRPr="00DD79B4">
        <w:rPr>
          <w:szCs w:val="22"/>
          <w:lang w:eastAsia="nl-NL"/>
        </w:rPr>
        <w:t>s</w:t>
      </w:r>
      <w:r w:rsidR="00E455B9" w:rsidRPr="00DD79B4">
        <w:rPr>
          <w:szCs w:val="22"/>
          <w:lang w:eastAsia="nl-NL"/>
        </w:rPr>
        <w:t>imulgel</w:t>
      </w:r>
      <w:proofErr w:type="spellEnd"/>
      <w:r w:rsidR="00E455B9" w:rsidRPr="00DD79B4">
        <w:rPr>
          <w:szCs w:val="22"/>
          <w:lang w:eastAsia="nl-NL"/>
        </w:rPr>
        <w:t xml:space="preserve"> 600</w:t>
      </w:r>
      <w:r w:rsidR="002B77FA" w:rsidRPr="00721DB3">
        <w:rPr>
          <w:szCs w:val="22"/>
          <w:lang w:eastAsia="nl-NL"/>
        </w:rPr>
        <w:t xml:space="preserve"> </w:t>
      </w:r>
      <w:r w:rsidR="00E455B9" w:rsidRPr="00DD79B4">
        <w:rPr>
          <w:szCs w:val="22"/>
          <w:lang w:eastAsia="nl-NL"/>
        </w:rPr>
        <w:t>PHA (</w:t>
      </w:r>
      <w:proofErr w:type="spellStart"/>
      <w:r w:rsidR="00E455B9" w:rsidRPr="00DD79B4">
        <w:rPr>
          <w:szCs w:val="22"/>
        </w:rPr>
        <w:t>kopolymér</w:t>
      </w:r>
      <w:proofErr w:type="spellEnd"/>
      <w:r w:rsidR="00E455B9" w:rsidRPr="00DD79B4">
        <w:rPr>
          <w:szCs w:val="22"/>
        </w:rPr>
        <w:t xml:space="preserve"> </w:t>
      </w:r>
      <w:proofErr w:type="spellStart"/>
      <w:r w:rsidR="00E455B9" w:rsidRPr="00DD79B4">
        <w:rPr>
          <w:szCs w:val="22"/>
        </w:rPr>
        <w:t>akrylamidu</w:t>
      </w:r>
      <w:proofErr w:type="spellEnd"/>
      <w:r w:rsidR="00E455B9" w:rsidRPr="00DD79B4">
        <w:rPr>
          <w:szCs w:val="22"/>
        </w:rPr>
        <w:t xml:space="preserve"> a </w:t>
      </w:r>
      <w:proofErr w:type="spellStart"/>
      <w:r w:rsidR="00E455B9" w:rsidRPr="00DD79B4">
        <w:rPr>
          <w:szCs w:val="22"/>
        </w:rPr>
        <w:t>akryloyl</w:t>
      </w:r>
      <w:proofErr w:type="spellEnd"/>
      <w:r w:rsidR="00E455B9" w:rsidRPr="00DD79B4">
        <w:rPr>
          <w:szCs w:val="22"/>
        </w:rPr>
        <w:t xml:space="preserve"> </w:t>
      </w:r>
      <w:proofErr w:type="spellStart"/>
      <w:r w:rsidR="00E455B9" w:rsidRPr="00DD79B4">
        <w:rPr>
          <w:szCs w:val="22"/>
        </w:rPr>
        <w:t>dimetyltaurátu</w:t>
      </w:r>
      <w:proofErr w:type="spellEnd"/>
      <w:r w:rsidR="00E455B9" w:rsidRPr="00DD79B4">
        <w:rPr>
          <w:szCs w:val="22"/>
        </w:rPr>
        <w:t xml:space="preserve"> sodného, </w:t>
      </w:r>
      <w:proofErr w:type="spellStart"/>
      <w:r w:rsidR="00E455B9" w:rsidRPr="00DD79B4">
        <w:rPr>
          <w:szCs w:val="22"/>
        </w:rPr>
        <w:t>izohexadek</w:t>
      </w:r>
      <w:r w:rsidR="0050437E" w:rsidRPr="00DD79B4">
        <w:rPr>
          <w:szCs w:val="22"/>
        </w:rPr>
        <w:t>á</w:t>
      </w:r>
      <w:r w:rsidR="00E455B9" w:rsidRPr="00DD79B4">
        <w:rPr>
          <w:szCs w:val="22"/>
        </w:rPr>
        <w:t>nu</w:t>
      </w:r>
      <w:proofErr w:type="spellEnd"/>
      <w:r w:rsidR="00E455B9" w:rsidRPr="00DD79B4">
        <w:rPr>
          <w:szCs w:val="22"/>
        </w:rPr>
        <w:t xml:space="preserve">, </w:t>
      </w:r>
      <w:proofErr w:type="spellStart"/>
      <w:r w:rsidR="00E455B9" w:rsidRPr="00DD79B4">
        <w:rPr>
          <w:szCs w:val="22"/>
        </w:rPr>
        <w:t>polysorbátu</w:t>
      </w:r>
      <w:proofErr w:type="spellEnd"/>
      <w:r w:rsidR="00E455B9" w:rsidRPr="00DD79B4">
        <w:rPr>
          <w:szCs w:val="22"/>
        </w:rPr>
        <w:t xml:space="preserve"> 80, </w:t>
      </w:r>
      <w:proofErr w:type="spellStart"/>
      <w:r w:rsidR="00E455B9" w:rsidRPr="00DD79B4">
        <w:rPr>
          <w:szCs w:val="22"/>
        </w:rPr>
        <w:t>sorbit</w:t>
      </w:r>
      <w:r w:rsidR="00E6071B" w:rsidRPr="00DD79B4">
        <w:rPr>
          <w:szCs w:val="22"/>
        </w:rPr>
        <w:t>á</w:t>
      </w:r>
      <w:r w:rsidR="00E455B9" w:rsidRPr="00DD79B4">
        <w:rPr>
          <w:szCs w:val="22"/>
        </w:rPr>
        <w:t>noleátu</w:t>
      </w:r>
      <w:proofErr w:type="spellEnd"/>
      <w:r w:rsidR="00E455B9" w:rsidRPr="00DD79B4">
        <w:rPr>
          <w:szCs w:val="22"/>
          <w:lang w:eastAsia="nl-NL"/>
        </w:rPr>
        <w:t>)</w:t>
      </w:r>
      <w:r w:rsidR="00E455B9" w:rsidRPr="007D394E">
        <w:rPr>
          <w:szCs w:val="22"/>
          <w:lang w:eastAsia="nl-NL"/>
        </w:rPr>
        <w:t xml:space="preserve"> </w:t>
      </w:r>
    </w:p>
    <w:p w:rsidR="00E455B9" w:rsidRPr="007D394E" w:rsidRDefault="006A58A9" w:rsidP="00721DB3">
      <w:pPr>
        <w:tabs>
          <w:tab w:val="clear" w:pos="567"/>
          <w:tab w:val="left" w:pos="2370"/>
        </w:tabs>
        <w:spacing w:line="240" w:lineRule="auto"/>
        <w:rPr>
          <w:szCs w:val="22"/>
        </w:rPr>
      </w:pPr>
      <w:r w:rsidRPr="007D394E">
        <w:rPr>
          <w:szCs w:val="22"/>
        </w:rPr>
        <w:t xml:space="preserve">čistená </w:t>
      </w:r>
      <w:r w:rsidR="00E455B9" w:rsidRPr="007D394E">
        <w:rPr>
          <w:szCs w:val="22"/>
        </w:rPr>
        <w:t>voda</w:t>
      </w:r>
      <w:r w:rsidR="00DD79B4">
        <w:rPr>
          <w:szCs w:val="22"/>
        </w:rPr>
        <w:tab/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Inkompatibility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>Neaplikovateľné.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Čas použiteľnosti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2 roky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Stabilita lieku </w:t>
      </w:r>
      <w:proofErr w:type="spellStart"/>
      <w:r w:rsidRPr="007D394E">
        <w:rPr>
          <w:szCs w:val="22"/>
          <w:lang w:eastAsia="en-US" w:bidi="ar-SA"/>
        </w:rPr>
        <w:t>E</w:t>
      </w:r>
      <w:r w:rsidR="00E6071B">
        <w:rPr>
          <w:szCs w:val="22"/>
          <w:lang w:eastAsia="en-US" w:bidi="ar-SA"/>
        </w:rPr>
        <w:t>piduo</w:t>
      </w:r>
      <w:proofErr w:type="spellEnd"/>
      <w:r w:rsidRPr="007D394E">
        <w:rPr>
          <w:szCs w:val="22"/>
          <w:lang w:eastAsia="en-US" w:bidi="ar-SA"/>
        </w:rPr>
        <w:t xml:space="preserve"> pri používaní je najmenej 6 mesiacov po prvom otvorení.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b/>
          <w:szCs w:val="22"/>
        </w:rPr>
      </w:pPr>
      <w:r w:rsidRPr="007D394E">
        <w:rPr>
          <w:b/>
          <w:szCs w:val="22"/>
        </w:rPr>
        <w:t>Špeciálne upozornenia na uchovávanie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Uchovávajte pri teplote </w:t>
      </w:r>
      <w:r w:rsidR="006F6076">
        <w:rPr>
          <w:szCs w:val="22"/>
          <w:lang w:eastAsia="en-US" w:bidi="ar-SA"/>
        </w:rPr>
        <w:t>neprevyšujúcej</w:t>
      </w:r>
      <w:r w:rsidRPr="007D394E">
        <w:rPr>
          <w:szCs w:val="22"/>
          <w:lang w:eastAsia="en-US" w:bidi="ar-SA"/>
        </w:rPr>
        <w:t xml:space="preserve"> 25 °C. 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 xml:space="preserve">Druh obalu a obsah balenia 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 xml:space="preserve">Liek </w:t>
      </w:r>
      <w:proofErr w:type="spellStart"/>
      <w:r w:rsidRPr="007D394E">
        <w:rPr>
          <w:szCs w:val="22"/>
          <w:lang w:eastAsia="en-US" w:bidi="ar-SA"/>
        </w:rPr>
        <w:t>E</w:t>
      </w:r>
      <w:r w:rsidR="00E0141F">
        <w:rPr>
          <w:szCs w:val="22"/>
          <w:lang w:eastAsia="en-US" w:bidi="ar-SA"/>
        </w:rPr>
        <w:t>piduo</w:t>
      </w:r>
      <w:proofErr w:type="spellEnd"/>
      <w:r w:rsidRPr="007D394E">
        <w:rPr>
          <w:szCs w:val="22"/>
          <w:lang w:eastAsia="en-US" w:bidi="ar-SA"/>
        </w:rPr>
        <w:t xml:space="preserve"> sa uchováva v</w:t>
      </w:r>
      <w:r w:rsidR="00BB219C" w:rsidRPr="007D394E">
        <w:rPr>
          <w:szCs w:val="22"/>
          <w:lang w:eastAsia="en-US" w:bidi="ar-SA"/>
        </w:rPr>
        <w:t xml:space="preserve"> </w:t>
      </w:r>
      <w:r w:rsidRPr="007D394E">
        <w:rPr>
          <w:szCs w:val="22"/>
          <w:lang w:eastAsia="en-US" w:bidi="ar-SA"/>
        </w:rPr>
        <w:t>dvoch typoch obalu: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Tuba: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lastRenderedPageBreak/>
        <w:t>Biela plastová tuba 5 g, 15 g, 30 g, 45 g, 60 g a 90 g s telom z polyetylénu s vysokou hustotou a hlavičkou z polyetylénu s vysokou hustotou uzavretá bielym polypropylénovým závitovým uzáverom.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Viacdávkov</w:t>
      </w:r>
      <w:r w:rsidR="00BC3C08">
        <w:rPr>
          <w:szCs w:val="22"/>
          <w:lang w:eastAsia="en-US" w:bidi="ar-SA"/>
        </w:rPr>
        <w:t>ý</w:t>
      </w:r>
      <w:r w:rsidRPr="007D394E">
        <w:rPr>
          <w:szCs w:val="22"/>
          <w:lang w:eastAsia="en-US" w:bidi="ar-SA"/>
        </w:rPr>
        <w:t xml:space="preserve"> </w:t>
      </w:r>
      <w:r w:rsidR="00BC3C08">
        <w:rPr>
          <w:szCs w:val="22"/>
          <w:lang w:eastAsia="en-US" w:bidi="ar-SA"/>
        </w:rPr>
        <w:t>obal</w:t>
      </w:r>
      <w:r w:rsidRPr="007D394E">
        <w:rPr>
          <w:szCs w:val="22"/>
          <w:lang w:eastAsia="en-US" w:bidi="ar-SA"/>
        </w:rPr>
        <w:t xml:space="preserve"> s </w:t>
      </w:r>
      <w:r w:rsidR="00132BEC">
        <w:rPr>
          <w:szCs w:val="22"/>
          <w:lang w:eastAsia="en-US" w:bidi="ar-SA"/>
        </w:rPr>
        <w:t>odvzdušňovacou</w:t>
      </w:r>
      <w:r w:rsidRPr="007D394E">
        <w:rPr>
          <w:szCs w:val="22"/>
          <w:lang w:eastAsia="en-US" w:bidi="ar-SA"/>
        </w:rPr>
        <w:t xml:space="preserve"> pumpou: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Biel</w:t>
      </w:r>
      <w:r w:rsidR="00BC3C08">
        <w:rPr>
          <w:szCs w:val="22"/>
          <w:lang w:eastAsia="en-US" w:bidi="ar-SA"/>
        </w:rPr>
        <w:t>y</w:t>
      </w:r>
      <w:r w:rsidRPr="007D394E">
        <w:rPr>
          <w:szCs w:val="22"/>
          <w:lang w:eastAsia="en-US" w:bidi="ar-SA"/>
        </w:rPr>
        <w:t xml:space="preserve"> viacdávkov</w:t>
      </w:r>
      <w:r w:rsidR="00BC3C08">
        <w:rPr>
          <w:szCs w:val="22"/>
          <w:lang w:eastAsia="en-US" w:bidi="ar-SA"/>
        </w:rPr>
        <w:t>ý</w:t>
      </w:r>
      <w:r w:rsidRPr="007D394E">
        <w:rPr>
          <w:szCs w:val="22"/>
          <w:lang w:eastAsia="en-US" w:bidi="ar-SA"/>
        </w:rPr>
        <w:t xml:space="preserve"> </w:t>
      </w:r>
      <w:r w:rsidR="00BC3C08">
        <w:rPr>
          <w:szCs w:val="22"/>
          <w:lang w:eastAsia="en-US" w:bidi="ar-SA"/>
        </w:rPr>
        <w:t>obal</w:t>
      </w:r>
      <w:r w:rsidRPr="007D394E">
        <w:rPr>
          <w:szCs w:val="22"/>
          <w:lang w:eastAsia="en-US" w:bidi="ar-SA"/>
        </w:rPr>
        <w:t xml:space="preserve"> 15 g, 30 g, 45 g a 60 g s </w:t>
      </w:r>
      <w:r w:rsidR="00132BEC">
        <w:rPr>
          <w:szCs w:val="22"/>
          <w:lang w:eastAsia="en-US" w:bidi="ar-SA"/>
        </w:rPr>
        <w:t>odvzdušňovacou</w:t>
      </w:r>
      <w:r w:rsidR="00132BEC" w:rsidRPr="007D394E">
        <w:rPr>
          <w:szCs w:val="22"/>
          <w:lang w:eastAsia="en-US" w:bidi="ar-SA"/>
        </w:rPr>
        <w:t xml:space="preserve"> pumpou</w:t>
      </w:r>
      <w:r w:rsidR="00132BEC" w:rsidRPr="007D394E" w:rsidDel="00132BEC">
        <w:rPr>
          <w:szCs w:val="22"/>
          <w:lang w:eastAsia="en-US" w:bidi="ar-SA"/>
        </w:rPr>
        <w:t xml:space="preserve"> </w:t>
      </w:r>
      <w:r w:rsidRPr="007D394E">
        <w:rPr>
          <w:szCs w:val="22"/>
          <w:lang w:eastAsia="en-US" w:bidi="ar-SA"/>
        </w:rPr>
        <w:t>a stláčacím uzáverom vyroben</w:t>
      </w:r>
      <w:r w:rsidR="00BC3C08">
        <w:rPr>
          <w:szCs w:val="22"/>
          <w:lang w:eastAsia="en-US" w:bidi="ar-SA"/>
        </w:rPr>
        <w:t>ý</w:t>
      </w:r>
      <w:r w:rsidRPr="007D394E">
        <w:rPr>
          <w:szCs w:val="22"/>
          <w:lang w:eastAsia="en-US" w:bidi="ar-SA"/>
        </w:rPr>
        <w:t xml:space="preserve"> z polypropylénu, polyetylénu s nízkou hustotou a polyetylénu s vysokou hustotou.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7D394E">
        <w:rPr>
          <w:szCs w:val="22"/>
          <w:lang w:eastAsia="en-US" w:bidi="ar-SA"/>
        </w:rPr>
        <w:t>Na trh nemusia byť uvedené všetky veľkosti balenia.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1"/>
          <w:numId w:val="4"/>
        </w:numPr>
        <w:spacing w:line="240" w:lineRule="auto"/>
        <w:ind w:left="0" w:firstLine="0"/>
        <w:rPr>
          <w:szCs w:val="22"/>
        </w:rPr>
      </w:pPr>
      <w:bookmarkStart w:id="2" w:name="OLE_LINK1"/>
      <w:r w:rsidRPr="007D394E">
        <w:rPr>
          <w:b/>
          <w:szCs w:val="22"/>
        </w:rPr>
        <w:t>Špeciálne opatrenia na likvidáciu a iné zaobchádzanie s liekom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>Žiadne zvláštne požiadavky.</w:t>
      </w: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  <w:r w:rsidRPr="007D394E">
        <w:rPr>
          <w:szCs w:val="22"/>
        </w:rPr>
        <w:t>Všetok nepoužitý liek alebo odpad vzniknutý z lieku sa má zlikvidovať v súlade s národnými požiadavkami.</w:t>
      </w:r>
    </w:p>
    <w:bookmarkEnd w:id="2"/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DRŽITEĽ ROZHODNUTIA O REGISTRÁCII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50437E" w:rsidRPr="007D394E" w:rsidRDefault="0050437E" w:rsidP="00721DB3">
      <w:pPr>
        <w:tabs>
          <w:tab w:val="clear" w:pos="567"/>
        </w:tabs>
        <w:spacing w:line="240" w:lineRule="auto"/>
        <w:rPr>
          <w:szCs w:val="22"/>
        </w:rPr>
      </w:pPr>
      <w:r w:rsidRPr="007D394E">
        <w:rPr>
          <w:szCs w:val="22"/>
        </w:rPr>
        <w:t>GALDERMA INTERNATIONAL</w:t>
      </w:r>
    </w:p>
    <w:p w:rsidR="0050437E" w:rsidRPr="007D394E" w:rsidRDefault="006A58A9" w:rsidP="00721DB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D394E">
        <w:rPr>
          <w:szCs w:val="22"/>
        </w:rPr>
        <w:t>Tour</w:t>
      </w:r>
      <w:proofErr w:type="spellEnd"/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Europlaza</w:t>
      </w:r>
      <w:proofErr w:type="spellEnd"/>
      <w:r w:rsidR="00A75402">
        <w:rPr>
          <w:szCs w:val="22"/>
        </w:rPr>
        <w:t>,</w:t>
      </w:r>
      <w:r w:rsidRPr="007D394E">
        <w:rPr>
          <w:szCs w:val="22"/>
        </w:rPr>
        <w:t xml:space="preserve"> </w:t>
      </w:r>
      <w:r w:rsidR="0050437E" w:rsidRPr="007D394E">
        <w:rPr>
          <w:szCs w:val="22"/>
        </w:rPr>
        <w:t>20 ave</w:t>
      </w:r>
      <w:r w:rsidRPr="007D394E">
        <w:rPr>
          <w:szCs w:val="22"/>
        </w:rPr>
        <w:t xml:space="preserve">nue </w:t>
      </w:r>
      <w:proofErr w:type="spellStart"/>
      <w:r w:rsidRPr="007D394E">
        <w:rPr>
          <w:szCs w:val="22"/>
        </w:rPr>
        <w:t>André</w:t>
      </w:r>
      <w:proofErr w:type="spellEnd"/>
      <w:r w:rsidRPr="007D394E">
        <w:rPr>
          <w:szCs w:val="22"/>
        </w:rPr>
        <w:t xml:space="preserve"> </w:t>
      </w:r>
      <w:proofErr w:type="spellStart"/>
      <w:r w:rsidRPr="007D394E">
        <w:rPr>
          <w:szCs w:val="22"/>
        </w:rPr>
        <w:t>Prothin</w:t>
      </w:r>
      <w:proofErr w:type="spellEnd"/>
      <w:r w:rsidRPr="007D394E">
        <w:rPr>
          <w:szCs w:val="22"/>
        </w:rPr>
        <w:t xml:space="preserve">, La </w:t>
      </w:r>
      <w:proofErr w:type="spellStart"/>
      <w:r w:rsidRPr="007D394E">
        <w:rPr>
          <w:szCs w:val="22"/>
        </w:rPr>
        <w:t>Défense</w:t>
      </w:r>
      <w:proofErr w:type="spellEnd"/>
      <w:r w:rsidRPr="007D394E">
        <w:rPr>
          <w:szCs w:val="22"/>
        </w:rPr>
        <w:t xml:space="preserve"> 4</w:t>
      </w:r>
    </w:p>
    <w:p w:rsidR="0050437E" w:rsidRPr="007D394E" w:rsidRDefault="0050437E" w:rsidP="00721DB3">
      <w:pPr>
        <w:tabs>
          <w:tab w:val="clear" w:pos="567"/>
        </w:tabs>
        <w:spacing w:line="240" w:lineRule="auto"/>
        <w:rPr>
          <w:szCs w:val="22"/>
        </w:rPr>
      </w:pPr>
      <w:r w:rsidRPr="007D394E">
        <w:rPr>
          <w:szCs w:val="22"/>
        </w:rPr>
        <w:t xml:space="preserve">92 927 </w:t>
      </w:r>
      <w:proofErr w:type="spellStart"/>
      <w:r w:rsidR="00A75402">
        <w:rPr>
          <w:szCs w:val="22"/>
        </w:rPr>
        <w:t>Paris</w:t>
      </w:r>
      <w:proofErr w:type="spellEnd"/>
      <w:r w:rsidR="00A75402">
        <w:rPr>
          <w:szCs w:val="22"/>
        </w:rPr>
        <w:t xml:space="preserve"> </w:t>
      </w:r>
      <w:r w:rsidRPr="007D394E">
        <w:rPr>
          <w:szCs w:val="22"/>
        </w:rPr>
        <w:t xml:space="preserve">La </w:t>
      </w:r>
      <w:proofErr w:type="spellStart"/>
      <w:r w:rsidRPr="007D394E">
        <w:rPr>
          <w:szCs w:val="22"/>
        </w:rPr>
        <w:t>Défense</w:t>
      </w:r>
      <w:proofErr w:type="spellEnd"/>
      <w:r w:rsidRPr="007D394E">
        <w:rPr>
          <w:szCs w:val="22"/>
        </w:rPr>
        <w:t xml:space="preserve"> </w:t>
      </w:r>
      <w:r w:rsidR="00A75402">
        <w:rPr>
          <w:szCs w:val="22"/>
        </w:rPr>
        <w:t>C</w:t>
      </w:r>
      <w:r w:rsidR="001A797F">
        <w:rPr>
          <w:szCs w:val="22"/>
        </w:rPr>
        <w:t>EDEX</w:t>
      </w:r>
    </w:p>
    <w:p w:rsidR="003E74DF" w:rsidRPr="007D394E" w:rsidRDefault="006A58A9" w:rsidP="00721DB3">
      <w:pPr>
        <w:spacing w:line="240" w:lineRule="auto"/>
        <w:rPr>
          <w:szCs w:val="22"/>
        </w:rPr>
      </w:pPr>
      <w:r w:rsidRPr="007D394E">
        <w:rPr>
          <w:szCs w:val="22"/>
        </w:rPr>
        <w:t>Francúzsko</w:t>
      </w:r>
    </w:p>
    <w:p w:rsidR="003E74DF" w:rsidRPr="007D394E" w:rsidRDefault="003E74DF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b/>
          <w:szCs w:val="22"/>
        </w:rPr>
      </w:pPr>
      <w:r w:rsidRPr="007D394E">
        <w:rPr>
          <w:b/>
          <w:szCs w:val="22"/>
        </w:rPr>
        <w:t>REGISTRAČNÉ ČÍSLO</w:t>
      </w:r>
    </w:p>
    <w:p w:rsidR="00642571" w:rsidRDefault="00642571" w:rsidP="00721DB3">
      <w:pPr>
        <w:spacing w:line="240" w:lineRule="auto"/>
        <w:rPr>
          <w:szCs w:val="22"/>
        </w:rPr>
      </w:pPr>
    </w:p>
    <w:p w:rsidR="00642571" w:rsidRPr="007D394E" w:rsidRDefault="00642571" w:rsidP="00721DB3">
      <w:pPr>
        <w:keepNext/>
        <w:spacing w:line="240" w:lineRule="auto"/>
        <w:rPr>
          <w:szCs w:val="22"/>
        </w:rPr>
      </w:pPr>
      <w:r w:rsidRPr="00642571">
        <w:rPr>
          <w:szCs w:val="22"/>
        </w:rPr>
        <w:t>46/0114/17-S</w:t>
      </w:r>
    </w:p>
    <w:p w:rsidR="00345416" w:rsidRPr="007D394E" w:rsidRDefault="00345416" w:rsidP="00721DB3">
      <w:pPr>
        <w:spacing w:line="240" w:lineRule="auto"/>
        <w:rPr>
          <w:szCs w:val="22"/>
        </w:rPr>
      </w:pPr>
    </w:p>
    <w:p w:rsidR="003E74DF" w:rsidRPr="007D394E" w:rsidRDefault="003E74DF" w:rsidP="00721DB3">
      <w:pPr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szCs w:val="22"/>
        </w:rPr>
      </w:pPr>
      <w:r w:rsidRPr="007D394E">
        <w:rPr>
          <w:b/>
          <w:szCs w:val="22"/>
        </w:rPr>
        <w:t>DÁTUM PRVEJ REGISTRÁCIE/PREDĹŽENIA REGISTRÁCIE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  <w:r w:rsidRPr="007D394E">
        <w:rPr>
          <w:szCs w:val="22"/>
        </w:rPr>
        <w:t xml:space="preserve">Dátum prvej registrácie: 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E455B9" w:rsidP="00721DB3">
      <w:pPr>
        <w:keepNext/>
        <w:numPr>
          <w:ilvl w:val="0"/>
          <w:numId w:val="4"/>
        </w:numPr>
        <w:spacing w:line="240" w:lineRule="auto"/>
        <w:ind w:left="0" w:firstLine="0"/>
        <w:rPr>
          <w:b/>
          <w:szCs w:val="22"/>
        </w:rPr>
      </w:pPr>
      <w:r w:rsidRPr="007D394E">
        <w:rPr>
          <w:b/>
          <w:szCs w:val="22"/>
        </w:rPr>
        <w:t>DÁTUM REVÍZIE TEXTU</w:t>
      </w:r>
    </w:p>
    <w:p w:rsidR="00E455B9" w:rsidRPr="007D394E" w:rsidRDefault="00E455B9" w:rsidP="00721DB3">
      <w:pPr>
        <w:tabs>
          <w:tab w:val="clear" w:pos="567"/>
        </w:tabs>
        <w:spacing w:line="240" w:lineRule="auto"/>
        <w:rPr>
          <w:szCs w:val="22"/>
        </w:rPr>
      </w:pPr>
    </w:p>
    <w:p w:rsidR="00E455B9" w:rsidRPr="007D394E" w:rsidRDefault="00D114C9" w:rsidP="00721DB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</w:t>
      </w:r>
      <w:r w:rsidR="00C16EBD" w:rsidRPr="007D394E">
        <w:rPr>
          <w:szCs w:val="22"/>
        </w:rPr>
        <w:t>/2017</w:t>
      </w:r>
    </w:p>
    <w:p w:rsidR="009702F8" w:rsidRPr="007D394E" w:rsidRDefault="009702F8" w:rsidP="00721DB3">
      <w:pPr>
        <w:tabs>
          <w:tab w:val="clear" w:pos="567"/>
        </w:tabs>
        <w:spacing w:line="240" w:lineRule="auto"/>
        <w:rPr>
          <w:szCs w:val="22"/>
        </w:rPr>
      </w:pPr>
    </w:p>
    <w:p w:rsidR="00523640" w:rsidRPr="007D394E" w:rsidRDefault="00523640" w:rsidP="00721DB3">
      <w:pPr>
        <w:tabs>
          <w:tab w:val="clear" w:pos="567"/>
        </w:tabs>
        <w:spacing w:line="240" w:lineRule="auto"/>
        <w:rPr>
          <w:szCs w:val="22"/>
        </w:rPr>
      </w:pPr>
    </w:p>
    <w:sectPr w:rsidR="00523640" w:rsidRPr="007D394E" w:rsidSect="00721D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2F" w:rsidRDefault="00A8452F" w:rsidP="00B563BD">
      <w:pPr>
        <w:spacing w:line="240" w:lineRule="auto"/>
      </w:pPr>
      <w:r>
        <w:separator/>
      </w:r>
    </w:p>
  </w:endnote>
  <w:endnote w:type="continuationSeparator" w:id="0">
    <w:p w:rsidR="00A8452F" w:rsidRDefault="00A8452F" w:rsidP="00B56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1132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D79BE" w:rsidRPr="00721DB3" w:rsidRDefault="00BD79B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21DB3">
          <w:rPr>
            <w:rFonts w:ascii="Times New Roman" w:hAnsi="Times New Roman"/>
            <w:sz w:val="18"/>
            <w:szCs w:val="18"/>
          </w:rPr>
          <w:fldChar w:fldCharType="begin"/>
        </w:r>
        <w:r w:rsidRPr="00721DB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21DB3">
          <w:rPr>
            <w:rFonts w:ascii="Times New Roman" w:hAnsi="Times New Roman"/>
            <w:sz w:val="18"/>
            <w:szCs w:val="18"/>
          </w:rPr>
          <w:fldChar w:fldCharType="separate"/>
        </w:r>
        <w:r w:rsidR="00721DB3">
          <w:rPr>
            <w:rFonts w:ascii="Times New Roman" w:hAnsi="Times New Roman"/>
            <w:sz w:val="18"/>
            <w:szCs w:val="18"/>
          </w:rPr>
          <w:t>7</w:t>
        </w:r>
        <w:r w:rsidRPr="00721DB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D79BE" w:rsidRDefault="00BD79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6058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D79BE" w:rsidRPr="00721DB3" w:rsidRDefault="00BD79B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21DB3">
          <w:rPr>
            <w:rFonts w:ascii="Times New Roman" w:hAnsi="Times New Roman"/>
            <w:sz w:val="18"/>
            <w:szCs w:val="18"/>
          </w:rPr>
          <w:fldChar w:fldCharType="begin"/>
        </w:r>
        <w:r w:rsidRPr="00721DB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21DB3">
          <w:rPr>
            <w:rFonts w:ascii="Times New Roman" w:hAnsi="Times New Roman"/>
            <w:sz w:val="18"/>
            <w:szCs w:val="18"/>
          </w:rPr>
          <w:fldChar w:fldCharType="separate"/>
        </w:r>
        <w:r w:rsidR="00721DB3">
          <w:rPr>
            <w:rFonts w:ascii="Times New Roman" w:hAnsi="Times New Roman"/>
            <w:sz w:val="18"/>
            <w:szCs w:val="18"/>
          </w:rPr>
          <w:t>1</w:t>
        </w:r>
        <w:r w:rsidRPr="00721DB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D79BE" w:rsidRDefault="00BD79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2F" w:rsidRDefault="00A8452F" w:rsidP="00B563BD">
      <w:pPr>
        <w:spacing w:line="240" w:lineRule="auto"/>
      </w:pPr>
      <w:r>
        <w:separator/>
      </w:r>
    </w:p>
  </w:footnote>
  <w:footnote w:type="continuationSeparator" w:id="0">
    <w:p w:rsidR="00A8452F" w:rsidRDefault="00A8452F" w:rsidP="00B56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BD" w:rsidRPr="00721DB3" w:rsidRDefault="00B563BD" w:rsidP="00721DB3">
    <w:pPr>
      <w:outlineLvl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18" w:rsidRPr="00054684" w:rsidRDefault="00406D18" w:rsidP="00406D18">
    <w:pPr>
      <w:outlineLvl w:val="0"/>
      <w:rPr>
        <w:sz w:val="18"/>
        <w:szCs w:val="18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r w:rsidRPr="00601450">
      <w:rPr>
        <w:sz w:val="18"/>
        <w:szCs w:val="18"/>
      </w:rPr>
      <w:t>ozhodnutiu o </w:t>
    </w:r>
    <w:r w:rsidRPr="0017401B"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>, ev</w:t>
    </w:r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2016/05946-REG</w:t>
    </w:r>
  </w:p>
  <w:p w:rsidR="00406D18" w:rsidRDefault="00406D1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50B59"/>
    <w:multiLevelType w:val="hybridMultilevel"/>
    <w:tmpl w:val="17D24CC2"/>
    <w:lvl w:ilvl="0" w:tplc="7CC6233E">
      <w:start w:val="1"/>
      <w:numFmt w:val="bullet"/>
      <w:lvlText w:val=""/>
      <w:lvlJc w:val="left"/>
      <w:pPr>
        <w:tabs>
          <w:tab w:val="num" w:pos="341"/>
        </w:tabs>
        <w:ind w:left="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3D42B12"/>
    <w:multiLevelType w:val="hybridMultilevel"/>
    <w:tmpl w:val="21B80EE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D2885"/>
    <w:multiLevelType w:val="hybridMultilevel"/>
    <w:tmpl w:val="86201F10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355CB"/>
    <w:multiLevelType w:val="hybridMultilevel"/>
    <w:tmpl w:val="9AF09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02C8C"/>
    <w:multiLevelType w:val="hybridMultilevel"/>
    <w:tmpl w:val="84704B3A"/>
    <w:lvl w:ilvl="0" w:tplc="941C89D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5360DD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B30B92"/>
    <w:multiLevelType w:val="hybridMultilevel"/>
    <w:tmpl w:val="C1883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C723856"/>
    <w:multiLevelType w:val="hybridMultilevel"/>
    <w:tmpl w:val="DF66F4B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9"/>
    <w:rsid w:val="00047E28"/>
    <w:rsid w:val="00067A84"/>
    <w:rsid w:val="000B2C4C"/>
    <w:rsid w:val="000B31FF"/>
    <w:rsid w:val="000E26A2"/>
    <w:rsid w:val="000E5ECA"/>
    <w:rsid w:val="001226B7"/>
    <w:rsid w:val="0012310E"/>
    <w:rsid w:val="00132766"/>
    <w:rsid w:val="00132BEC"/>
    <w:rsid w:val="001565CF"/>
    <w:rsid w:val="0016645C"/>
    <w:rsid w:val="00192AD5"/>
    <w:rsid w:val="00197349"/>
    <w:rsid w:val="001A512B"/>
    <w:rsid w:val="001A797F"/>
    <w:rsid w:val="001C33A9"/>
    <w:rsid w:val="001E22C5"/>
    <w:rsid w:val="001F3138"/>
    <w:rsid w:val="00203F2A"/>
    <w:rsid w:val="00223982"/>
    <w:rsid w:val="002329A0"/>
    <w:rsid w:val="00246338"/>
    <w:rsid w:val="002917F3"/>
    <w:rsid w:val="002A189A"/>
    <w:rsid w:val="002A4EB5"/>
    <w:rsid w:val="002A4FF6"/>
    <w:rsid w:val="002A7CA0"/>
    <w:rsid w:val="002B3068"/>
    <w:rsid w:val="002B670F"/>
    <w:rsid w:val="002B77FA"/>
    <w:rsid w:val="002F1006"/>
    <w:rsid w:val="00345416"/>
    <w:rsid w:val="00351585"/>
    <w:rsid w:val="003551B2"/>
    <w:rsid w:val="00356C86"/>
    <w:rsid w:val="00363290"/>
    <w:rsid w:val="0036586F"/>
    <w:rsid w:val="00370BDE"/>
    <w:rsid w:val="003749CC"/>
    <w:rsid w:val="00374D1D"/>
    <w:rsid w:val="003A75F7"/>
    <w:rsid w:val="003B7A65"/>
    <w:rsid w:val="003D5025"/>
    <w:rsid w:val="003D7048"/>
    <w:rsid w:val="003E56D1"/>
    <w:rsid w:val="003E74DF"/>
    <w:rsid w:val="00400E27"/>
    <w:rsid w:val="00406D18"/>
    <w:rsid w:val="00423CA3"/>
    <w:rsid w:val="00430AC4"/>
    <w:rsid w:val="00453A3B"/>
    <w:rsid w:val="00482417"/>
    <w:rsid w:val="00487FEB"/>
    <w:rsid w:val="0049098B"/>
    <w:rsid w:val="004A6A9E"/>
    <w:rsid w:val="004B3A00"/>
    <w:rsid w:val="004C44C9"/>
    <w:rsid w:val="004D53F6"/>
    <w:rsid w:val="004F06CB"/>
    <w:rsid w:val="0050437E"/>
    <w:rsid w:val="00520A20"/>
    <w:rsid w:val="00523640"/>
    <w:rsid w:val="005324F5"/>
    <w:rsid w:val="00533C42"/>
    <w:rsid w:val="00536D71"/>
    <w:rsid w:val="00542356"/>
    <w:rsid w:val="00550C3F"/>
    <w:rsid w:val="00570469"/>
    <w:rsid w:val="005734D7"/>
    <w:rsid w:val="005763D2"/>
    <w:rsid w:val="005B6394"/>
    <w:rsid w:val="005E01F8"/>
    <w:rsid w:val="005E0665"/>
    <w:rsid w:val="005E6935"/>
    <w:rsid w:val="00642571"/>
    <w:rsid w:val="00652D61"/>
    <w:rsid w:val="0068233D"/>
    <w:rsid w:val="00683B96"/>
    <w:rsid w:val="006857A9"/>
    <w:rsid w:val="00693459"/>
    <w:rsid w:val="006A58A9"/>
    <w:rsid w:val="006C3990"/>
    <w:rsid w:val="006D08E5"/>
    <w:rsid w:val="006F6076"/>
    <w:rsid w:val="00705D95"/>
    <w:rsid w:val="00721DB3"/>
    <w:rsid w:val="00726677"/>
    <w:rsid w:val="00732D6F"/>
    <w:rsid w:val="007766CE"/>
    <w:rsid w:val="007872B0"/>
    <w:rsid w:val="007C1168"/>
    <w:rsid w:val="007C1870"/>
    <w:rsid w:val="007D394E"/>
    <w:rsid w:val="007D56F4"/>
    <w:rsid w:val="007E33B6"/>
    <w:rsid w:val="008126C1"/>
    <w:rsid w:val="0081428E"/>
    <w:rsid w:val="0082048C"/>
    <w:rsid w:val="00820E45"/>
    <w:rsid w:val="00833D9A"/>
    <w:rsid w:val="00873898"/>
    <w:rsid w:val="008B67B5"/>
    <w:rsid w:val="008D1B69"/>
    <w:rsid w:val="008F124E"/>
    <w:rsid w:val="00922FB9"/>
    <w:rsid w:val="00960CF1"/>
    <w:rsid w:val="009702F8"/>
    <w:rsid w:val="009D2DB9"/>
    <w:rsid w:val="009D5658"/>
    <w:rsid w:val="009F5C66"/>
    <w:rsid w:val="00A12D7D"/>
    <w:rsid w:val="00A1699A"/>
    <w:rsid w:val="00A17D4C"/>
    <w:rsid w:val="00A200FA"/>
    <w:rsid w:val="00A417AE"/>
    <w:rsid w:val="00A65E80"/>
    <w:rsid w:val="00A75402"/>
    <w:rsid w:val="00A8452F"/>
    <w:rsid w:val="00AA3A8D"/>
    <w:rsid w:val="00AB2E71"/>
    <w:rsid w:val="00AC11D6"/>
    <w:rsid w:val="00AF3BFC"/>
    <w:rsid w:val="00AF426C"/>
    <w:rsid w:val="00AF69DA"/>
    <w:rsid w:val="00B07B61"/>
    <w:rsid w:val="00B32C44"/>
    <w:rsid w:val="00B563BD"/>
    <w:rsid w:val="00B60BFB"/>
    <w:rsid w:val="00B876B8"/>
    <w:rsid w:val="00BA2C12"/>
    <w:rsid w:val="00BA55E6"/>
    <w:rsid w:val="00BB219C"/>
    <w:rsid w:val="00BC1FB9"/>
    <w:rsid w:val="00BC3C08"/>
    <w:rsid w:val="00BD79BE"/>
    <w:rsid w:val="00BE19B0"/>
    <w:rsid w:val="00BF2177"/>
    <w:rsid w:val="00C16EBD"/>
    <w:rsid w:val="00C27F59"/>
    <w:rsid w:val="00C35A2D"/>
    <w:rsid w:val="00C40584"/>
    <w:rsid w:val="00C537B0"/>
    <w:rsid w:val="00CA62AD"/>
    <w:rsid w:val="00CA71B6"/>
    <w:rsid w:val="00CD1AD7"/>
    <w:rsid w:val="00CF5261"/>
    <w:rsid w:val="00D010B1"/>
    <w:rsid w:val="00D027C4"/>
    <w:rsid w:val="00D114C9"/>
    <w:rsid w:val="00D51392"/>
    <w:rsid w:val="00D518BB"/>
    <w:rsid w:val="00D7059B"/>
    <w:rsid w:val="00D77408"/>
    <w:rsid w:val="00D809E4"/>
    <w:rsid w:val="00D94505"/>
    <w:rsid w:val="00DA6395"/>
    <w:rsid w:val="00DB4491"/>
    <w:rsid w:val="00DB48D7"/>
    <w:rsid w:val="00DC3C00"/>
    <w:rsid w:val="00DD4E73"/>
    <w:rsid w:val="00DD79B4"/>
    <w:rsid w:val="00DE48D4"/>
    <w:rsid w:val="00E0141F"/>
    <w:rsid w:val="00E02712"/>
    <w:rsid w:val="00E12BB7"/>
    <w:rsid w:val="00E223D9"/>
    <w:rsid w:val="00E24A5A"/>
    <w:rsid w:val="00E321F3"/>
    <w:rsid w:val="00E42B57"/>
    <w:rsid w:val="00E455B9"/>
    <w:rsid w:val="00E5168B"/>
    <w:rsid w:val="00E6071B"/>
    <w:rsid w:val="00E773A5"/>
    <w:rsid w:val="00E9455D"/>
    <w:rsid w:val="00EA6EC7"/>
    <w:rsid w:val="00ED2C2E"/>
    <w:rsid w:val="00EE2E95"/>
    <w:rsid w:val="00EE75FA"/>
    <w:rsid w:val="00F025FE"/>
    <w:rsid w:val="00F122B1"/>
    <w:rsid w:val="00F33806"/>
    <w:rsid w:val="00F54F22"/>
    <w:rsid w:val="00FA09A4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5B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455B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E455B9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E455B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E455B9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E455B9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E455B9"/>
  </w:style>
  <w:style w:type="paragraph" w:styleId="Zkladntext">
    <w:name w:val="Body Text"/>
    <w:basedOn w:val="Normlny"/>
    <w:link w:val="ZkladntextChar"/>
    <w:rsid w:val="00E455B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E455B9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E455B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55B9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E455B9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455B9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E455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455B9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E455B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E455B9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E455B9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E455B9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E455B9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E455B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E455B9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E455B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455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455B9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E455B9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E455B9"/>
    <w:pPr>
      <w:ind w:left="720"/>
      <w:contextualSpacing/>
    </w:pPr>
  </w:style>
  <w:style w:type="character" w:customStyle="1" w:styleId="FooterChar">
    <w:name w:val="Footer Char"/>
    <w:uiPriority w:val="99"/>
    <w:rsid w:val="00E455B9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E455B9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E455B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455B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455B9"/>
    <w:rPr>
      <w:color w:val="0000FF"/>
    </w:rPr>
  </w:style>
  <w:style w:type="character" w:customStyle="1" w:styleId="tw4winPopup">
    <w:name w:val="tw4winPopup"/>
    <w:uiPriority w:val="99"/>
    <w:rsid w:val="00E455B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455B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455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455B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455B9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E455B9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E455B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E45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E455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5B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455B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E455B9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E455B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E455B9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E455B9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E455B9"/>
  </w:style>
  <w:style w:type="paragraph" w:styleId="Zkladntext">
    <w:name w:val="Body Text"/>
    <w:basedOn w:val="Normlny"/>
    <w:link w:val="ZkladntextChar"/>
    <w:rsid w:val="00E455B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E455B9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E455B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55B9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E455B9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455B9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E455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455B9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E455B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E455B9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E455B9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E455B9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E455B9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E455B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E455B9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E455B9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E455B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455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455B9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E455B9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E455B9"/>
    <w:pPr>
      <w:ind w:left="720"/>
      <w:contextualSpacing/>
    </w:pPr>
  </w:style>
  <w:style w:type="character" w:customStyle="1" w:styleId="FooterChar">
    <w:name w:val="Footer Char"/>
    <w:uiPriority w:val="99"/>
    <w:rsid w:val="00E455B9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E455B9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E455B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455B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455B9"/>
    <w:rPr>
      <w:color w:val="0000FF"/>
    </w:rPr>
  </w:style>
  <w:style w:type="character" w:customStyle="1" w:styleId="tw4winPopup">
    <w:name w:val="tw4winPopup"/>
    <w:uiPriority w:val="99"/>
    <w:rsid w:val="00E455B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455B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455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455B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455B9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E455B9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E455B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E45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E455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2381</Words>
  <Characters>13574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Galderma</Company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Tulejova</dc:creator>
  <cp:lastModifiedBy>Košuthová, Katarína</cp:lastModifiedBy>
  <cp:revision>152</cp:revision>
  <dcterms:created xsi:type="dcterms:W3CDTF">2017-03-24T12:23:00Z</dcterms:created>
  <dcterms:modified xsi:type="dcterms:W3CDTF">2017-05-02T06:52:00Z</dcterms:modified>
</cp:coreProperties>
</file>