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F6911" w14:textId="77777777" w:rsidR="00666220" w:rsidRPr="00681D23" w:rsidRDefault="00666220" w:rsidP="00023766">
      <w:pPr>
        <w:widowControl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Súhrn charakteristických vlastností lieku</w:t>
      </w:r>
    </w:p>
    <w:p w14:paraId="745EA2FD" w14:textId="77777777" w:rsidR="00666220" w:rsidRPr="00681D23" w:rsidRDefault="00666220" w:rsidP="00023766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6D9FC0BD" w14:textId="77777777" w:rsidR="00FA7D33" w:rsidRPr="00681D23" w:rsidRDefault="00FA7D33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24B20407" w14:textId="77777777" w:rsidR="00666220" w:rsidRPr="00681D23" w:rsidRDefault="00666220" w:rsidP="00023766">
      <w:pPr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1.</w:t>
      </w:r>
      <w:r w:rsidR="00A85DD4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NÁZOV LIEKU</w:t>
      </w:r>
    </w:p>
    <w:p w14:paraId="5C5153A3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37027EEA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10</w:t>
      </w:r>
      <w:r w:rsidR="00A85DD4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75CBA3A8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30</w:t>
      </w:r>
      <w:r w:rsidR="00A85DD4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20525D44" w14:textId="77777777" w:rsidR="00666220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60</w:t>
      </w:r>
      <w:r w:rsidR="00A85DD4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</w:t>
      </w:r>
    </w:p>
    <w:p w14:paraId="12D0CF80" w14:textId="77777777" w:rsidR="00F412C4" w:rsidRPr="00681D23" w:rsidRDefault="00F412C4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filmom obalené tablety</w:t>
      </w:r>
    </w:p>
    <w:p w14:paraId="6FB51426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10D2EDEB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6FE0A72" w14:textId="77777777" w:rsidR="00666220" w:rsidRPr="00681D23" w:rsidRDefault="00666220" w:rsidP="00023766">
      <w:pPr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2.</w:t>
      </w:r>
      <w:r w:rsidR="00A85DD4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KVALITATÍVNE A</w:t>
      </w:r>
      <w:r w:rsidR="00A85DD4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KVANTITATÍVNE ZLOŽENIE</w:t>
      </w:r>
    </w:p>
    <w:p w14:paraId="5AE3621F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60382DA1" w14:textId="2CEDD3CF" w:rsidR="00666220" w:rsidRPr="00681D23" w:rsidRDefault="00555BB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Každá 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tableta obsahuje 10</w:t>
      </w:r>
      <w:r w:rsidR="001363C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71202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, 30</w:t>
      </w:r>
      <w:r w:rsidR="001363C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71202">
        <w:rPr>
          <w:rFonts w:ascii="Times New Roman" w:hAnsi="Times New Roman" w:cs="Times New Roman"/>
          <w:sz w:val="22"/>
          <w:szCs w:val="22"/>
          <w:lang w:val="sk-SK"/>
        </w:rPr>
        <w:t>mg,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alebo 60</w:t>
      </w:r>
      <w:r w:rsidR="00A85DD4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mg </w:t>
      </w:r>
      <w:proofErr w:type="spellStart"/>
      <w:r w:rsidR="00585587" w:rsidRPr="00681D23">
        <w:rPr>
          <w:rFonts w:ascii="Times New Roman" w:hAnsi="Times New Roman" w:cs="Times New Roman"/>
          <w:sz w:val="22"/>
          <w:szCs w:val="22"/>
          <w:lang w:val="sk-SK"/>
        </w:rPr>
        <w:t>mianserínium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chloridu</w:t>
      </w:r>
      <w:proofErr w:type="spellEnd"/>
      <w:r w:rsidR="009716F1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="009716F1" w:rsidRPr="009716F1">
        <w:rPr>
          <w:rFonts w:ascii="Times New Roman" w:hAnsi="Times New Roman" w:cs="Times New Roman"/>
          <w:sz w:val="22"/>
          <w:szCs w:val="22"/>
          <w:lang w:val="sk-SK"/>
        </w:rPr>
        <w:t>mianserini</w:t>
      </w:r>
      <w:proofErr w:type="spellEnd"/>
      <w:r w:rsidR="009716F1" w:rsidRPr="009716F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9716F1" w:rsidRPr="009716F1">
        <w:rPr>
          <w:rFonts w:ascii="Times New Roman" w:hAnsi="Times New Roman" w:cs="Times New Roman"/>
          <w:sz w:val="22"/>
          <w:szCs w:val="22"/>
          <w:lang w:val="sk-SK"/>
        </w:rPr>
        <w:t>hydrochloridum</w:t>
      </w:r>
      <w:proofErr w:type="spellEnd"/>
      <w:r w:rsidR="009716F1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63B68AE" w14:textId="77777777" w:rsidR="00666220" w:rsidRPr="00681D23" w:rsidRDefault="00666220" w:rsidP="00F1725B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102BCA55" w14:textId="77777777" w:rsidR="00666220" w:rsidRPr="00681D23" w:rsidRDefault="00666220" w:rsidP="00023766">
      <w:pPr>
        <w:outlineLvl w:val="0"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Úplný zoznam pomocných látok, pozri časť 6.1.</w:t>
      </w:r>
    </w:p>
    <w:p w14:paraId="7AFDE0AA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78A0C607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AD9E684" w14:textId="77777777" w:rsidR="00666220" w:rsidRPr="00681D23" w:rsidRDefault="00666220" w:rsidP="0072505D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3.</w:t>
      </w:r>
      <w:r w:rsidR="00A85DD4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LIEKOVÁ FORMA</w:t>
      </w:r>
    </w:p>
    <w:p w14:paraId="246D260E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A59A13C" w14:textId="77777777" w:rsidR="00666220" w:rsidRPr="00681D23" w:rsidRDefault="00666220" w:rsidP="0072505D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Filmom obalen</w:t>
      </w:r>
      <w:r w:rsidR="006D2450" w:rsidRPr="00681D23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tablet</w:t>
      </w:r>
      <w:r w:rsidR="006D2450"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1B70E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B8B2C7A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15360835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bookmarkStart w:id="0" w:name="_GoBack"/>
      <w:bookmarkEnd w:id="0"/>
    </w:p>
    <w:p w14:paraId="54E5A275" w14:textId="77777777" w:rsidR="00666220" w:rsidRPr="00681D23" w:rsidRDefault="00666220" w:rsidP="0072505D">
      <w:pPr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4.</w:t>
      </w:r>
      <w:r w:rsidR="00A85DD4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KLlNICKÉ</w:t>
      </w:r>
      <w:proofErr w:type="spellEnd"/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ÚDAJE</w:t>
      </w:r>
    </w:p>
    <w:p w14:paraId="08964E1B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93F0EFE" w14:textId="77777777" w:rsidR="00666220" w:rsidRPr="00681D23" w:rsidRDefault="00666220" w:rsidP="0072505D">
      <w:pPr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4.1</w:t>
      </w:r>
      <w:r w:rsidR="00A85DD4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Terapeutické indikácie</w:t>
      </w:r>
    </w:p>
    <w:p w14:paraId="532EEE0E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4A6F6960" w14:textId="7496EEB8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Na úľavu </w:t>
      </w:r>
      <w:r w:rsidR="00B260BB">
        <w:rPr>
          <w:rFonts w:ascii="Times New Roman" w:hAnsi="Times New Roman" w:cs="Times New Roman"/>
          <w:sz w:val="22"/>
          <w:szCs w:val="22"/>
          <w:lang w:val="sk-SK"/>
        </w:rPr>
        <w:t>príznakov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depresie v</w:t>
      </w:r>
      <w:r w:rsidR="00A85DD4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tých prípadoch depresívnych ochorení, pri ktorých je indikovaná medikamentózna 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liečba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F2A5CFF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73E634E" w14:textId="77777777" w:rsidR="00666220" w:rsidRPr="00681D23" w:rsidRDefault="00666220" w:rsidP="0072505D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4.2</w:t>
      </w:r>
      <w:r w:rsidR="00A85DD4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Dávkovanie a</w:t>
      </w:r>
      <w:r w:rsidR="00A85DD4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spôsob podávania </w:t>
      </w:r>
    </w:p>
    <w:p w14:paraId="7F745171" w14:textId="77777777" w:rsidR="00666220" w:rsidRPr="006C27D9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477A48F" w14:textId="77777777" w:rsidR="00492E02" w:rsidRDefault="001B70ED" w:rsidP="00D142E5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D142E5">
        <w:rPr>
          <w:rFonts w:ascii="Times New Roman" w:hAnsi="Times New Roman" w:cs="Times New Roman"/>
          <w:sz w:val="22"/>
          <w:szCs w:val="22"/>
          <w:u w:val="single"/>
          <w:lang w:val="sk-SK"/>
        </w:rPr>
        <w:t>Dávkovanie</w:t>
      </w:r>
    </w:p>
    <w:p w14:paraId="4809B5EE" w14:textId="305C0252" w:rsidR="001B70ED" w:rsidRPr="00681D23" w:rsidRDefault="001B70ED" w:rsidP="00D142E5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5EA483D0" w14:textId="54D1C25A" w:rsidR="00492E02" w:rsidRPr="00681D23" w:rsidRDefault="00492E02" w:rsidP="00492E02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F515B4">
        <w:rPr>
          <w:rFonts w:ascii="Times New Roman" w:hAnsi="Times New Roman" w:cs="Times New Roman"/>
          <w:b/>
          <w:sz w:val="22"/>
          <w:szCs w:val="22"/>
          <w:lang w:val="sk-SK"/>
        </w:rPr>
        <w:t>Pediatrická populácia</w:t>
      </w:r>
      <w:r w:rsidR="00174DCE">
        <w:rPr>
          <w:rFonts w:ascii="Times New Roman" w:hAnsi="Times New Roman" w:cs="Times New Roman"/>
          <w:b/>
          <w:sz w:val="22"/>
          <w:szCs w:val="22"/>
          <w:lang w:val="sk-SK"/>
        </w:rPr>
        <w:t xml:space="preserve">: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sa nemá používať u detí a dospievajúcich do 18 rokov (pozri časť 4.4).</w:t>
      </w:r>
    </w:p>
    <w:p w14:paraId="6861A158" w14:textId="77777777" w:rsidR="00492E02" w:rsidRPr="00681D23" w:rsidRDefault="00492E02" w:rsidP="00492E02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37953830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 xml:space="preserve">Dospelí: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Dávku je potrebné stanoviť individuálne. Odporúča sa začiatočná dávka 30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 denne. Dávku možno postupne zvyšovať každých niekoľko dní, aby sa dosiahla optimálna klinická odpoveď. Účinná denná dávka je zvyčajne medzi 60 a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90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mg.</w:t>
      </w:r>
    </w:p>
    <w:p w14:paraId="72996346" w14:textId="77777777" w:rsidR="00666220" w:rsidRPr="00681D23" w:rsidRDefault="00666220" w:rsidP="00F1725B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1826C78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 xml:space="preserve">Starší pacienti: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Dávku je potrebné stanoviť individuálne. </w:t>
      </w:r>
      <w:r w:rsidR="00950422" w:rsidRPr="00681D23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ačiatočná dávka </w:t>
      </w:r>
      <w:r w:rsidR="00950422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má byť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30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 denne. Dávku možno postupne zvyšovať každých niekoľko dní. Väčšinou pre uspokojivú klinickú odpoveď postačuje nižšia dávka ako u</w:t>
      </w:r>
      <w:r w:rsidR="00775694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dospelých</w:t>
      </w:r>
      <w:r w:rsidR="00775694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387EAA0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1D403DE3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Dennú dávku možno užívať v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rozdelených dávkach, alebo vhodnejšie je (vzhľadom na priaznivý účinok na spánok) užiť jednorazovú dávku večer.</w:t>
      </w:r>
    </w:p>
    <w:p w14:paraId="4492E865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52EA525B" w14:textId="1CB390EA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Liečba adekvátnou dávkou má vyústiť do pozitívnej odpovede v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priebehu 2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4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týždňov. V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prípade nedostatočnej odpovede možno dávku zvýšiť. Ak nie je žiadna odpoveď v priebehu ďalších 2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E73F00">
        <w:rPr>
          <w:rFonts w:ascii="Times New Roman" w:hAnsi="Times New Roman" w:cs="Times New Roman"/>
          <w:sz w:val="22"/>
          <w:szCs w:val="22"/>
          <w:lang w:val="sk-SK"/>
        </w:rPr>
        <w:noBreakHyphen/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4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týždňo</w:t>
      </w:r>
      <w:r w:rsidR="00950422" w:rsidRPr="00681D23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, liečba sa má ukončiť.</w:t>
      </w:r>
    </w:p>
    <w:p w14:paraId="02663F42" w14:textId="77777777" w:rsidR="00EB1774" w:rsidRPr="00681D23" w:rsidRDefault="00EB1774" w:rsidP="00F1725B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2795846B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Antidepresívnu liečbu sa odporúča udržovať 4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6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mesiacov po klinickom zlepšení ochorenia.</w:t>
      </w:r>
    </w:p>
    <w:p w14:paraId="2E05D49E" w14:textId="77777777" w:rsidR="00EB1774" w:rsidRPr="00681D23" w:rsidRDefault="00EB1774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30BA706A" w14:textId="1EEBB30E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Náhle 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ukončenie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liečby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veľmi zriedkavo spôsobu</w:t>
      </w:r>
      <w:r w:rsidR="00F515B4">
        <w:rPr>
          <w:rFonts w:ascii="Times New Roman" w:hAnsi="Times New Roman" w:cs="Times New Roman"/>
          <w:sz w:val="22"/>
          <w:szCs w:val="22"/>
          <w:lang w:val="sk-SK"/>
        </w:rPr>
        <w:t>j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e </w:t>
      </w:r>
      <w:r w:rsidR="00B260BB">
        <w:rPr>
          <w:rFonts w:ascii="Times New Roman" w:hAnsi="Times New Roman" w:cs="Times New Roman"/>
          <w:sz w:val="22"/>
          <w:szCs w:val="22"/>
          <w:lang w:val="sk-SK"/>
        </w:rPr>
        <w:t>príznaky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z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vysadenia.</w:t>
      </w:r>
    </w:p>
    <w:p w14:paraId="2E22D3EA" w14:textId="77777777" w:rsidR="001B70ED" w:rsidRPr="00D142E5" w:rsidRDefault="001B70ED" w:rsidP="00D142E5">
      <w:pPr>
        <w:keepNext/>
        <w:widowControl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D142E5">
        <w:rPr>
          <w:rFonts w:ascii="Times New Roman" w:hAnsi="Times New Roman" w:cs="Times New Roman"/>
          <w:sz w:val="22"/>
          <w:szCs w:val="22"/>
          <w:u w:val="single"/>
          <w:lang w:val="sk-SK"/>
        </w:rPr>
        <w:lastRenderedPageBreak/>
        <w:t>Spôsob podávania</w:t>
      </w:r>
    </w:p>
    <w:p w14:paraId="09287348" w14:textId="1A960C07" w:rsidR="001B70ED" w:rsidRPr="00681D23" w:rsidRDefault="001B70ED" w:rsidP="00D142E5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Tablety sa majú u</w:t>
      </w:r>
      <w:r w:rsidR="00A62DBC">
        <w:rPr>
          <w:rFonts w:ascii="Times New Roman" w:hAnsi="Times New Roman" w:cs="Times New Roman"/>
          <w:sz w:val="22"/>
          <w:szCs w:val="22"/>
          <w:lang w:val="sk-SK"/>
        </w:rPr>
        <w:t>žívať perorálne, ak je potrebné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možno ich zapiť malým množstvom vody a prehltnúť bez rozhryzenia.</w:t>
      </w:r>
    </w:p>
    <w:p w14:paraId="6FDB3844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80A81DD" w14:textId="77777777" w:rsidR="00666220" w:rsidRPr="00681D23" w:rsidRDefault="00666220" w:rsidP="0072505D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4.3</w:t>
      </w:r>
      <w:r w:rsidR="005B2FBA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Kontraindikácie</w:t>
      </w:r>
    </w:p>
    <w:p w14:paraId="5624CA2F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5C6D512D" w14:textId="77777777" w:rsidR="00666220" w:rsidRPr="00681D23" w:rsidRDefault="00666220" w:rsidP="00023766">
      <w:pPr>
        <w:widowControl/>
        <w:numPr>
          <w:ilvl w:val="0"/>
          <w:numId w:val="2"/>
        </w:numPr>
        <w:tabs>
          <w:tab w:val="clear" w:pos="780"/>
          <w:tab w:val="num" w:pos="360"/>
        </w:tabs>
        <w:ind w:left="360"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Mánia</w:t>
      </w:r>
      <w:r w:rsidR="00EE6B37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8D01EF6" w14:textId="7AE6D720" w:rsidR="00666220" w:rsidRPr="00681D23" w:rsidRDefault="00666220" w:rsidP="00023766">
      <w:pPr>
        <w:widowControl/>
        <w:numPr>
          <w:ilvl w:val="0"/>
          <w:numId w:val="2"/>
        </w:numPr>
        <w:tabs>
          <w:tab w:val="clear" w:pos="780"/>
          <w:tab w:val="num" w:pos="360"/>
        </w:tabs>
        <w:ind w:left="360"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Závažné ochoreni</w:t>
      </w:r>
      <w:r w:rsidR="006E065C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pečene</w:t>
      </w:r>
      <w:r w:rsidR="00EE6B37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340A7A0" w14:textId="56A4F58A" w:rsidR="00666220" w:rsidRPr="00681D23" w:rsidRDefault="00666220" w:rsidP="00023766">
      <w:pPr>
        <w:widowControl/>
        <w:numPr>
          <w:ilvl w:val="0"/>
          <w:numId w:val="2"/>
        </w:numPr>
        <w:tabs>
          <w:tab w:val="clear" w:pos="780"/>
          <w:tab w:val="num" w:pos="360"/>
        </w:tabs>
        <w:ind w:left="360"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Precitlivenosť na </w:t>
      </w:r>
      <w:proofErr w:type="spellStart"/>
      <w:r w:rsidR="00585587" w:rsidRPr="00681D23">
        <w:rPr>
          <w:rFonts w:ascii="Times New Roman" w:hAnsi="Times New Roman" w:cs="Times New Roman"/>
          <w:sz w:val="22"/>
          <w:szCs w:val="22"/>
          <w:lang w:val="sk-SK"/>
        </w:rPr>
        <w:t>mianserín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alebo na </w:t>
      </w:r>
      <w:r w:rsidR="00EB1774" w:rsidRPr="00681D23">
        <w:rPr>
          <w:rFonts w:ascii="Times New Roman" w:hAnsi="Times New Roman" w:cs="Times New Roman"/>
          <w:sz w:val="22"/>
          <w:szCs w:val="22"/>
          <w:lang w:val="sk-SK"/>
        </w:rPr>
        <w:t>ktorúkoľvek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z</w:t>
      </w:r>
      <w:r w:rsidR="005B2FBA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pomocných látok</w:t>
      </w:r>
      <w:r w:rsidR="006E065C">
        <w:rPr>
          <w:rFonts w:ascii="Times New Roman" w:hAnsi="Times New Roman" w:cs="Times New Roman"/>
          <w:sz w:val="22"/>
          <w:szCs w:val="22"/>
          <w:lang w:val="sk-SK"/>
        </w:rPr>
        <w:t xml:space="preserve"> uvedených v časti 6.1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26B59F3" w14:textId="331FBC82" w:rsidR="00EB1774" w:rsidRPr="00681D23" w:rsidRDefault="00EB1774" w:rsidP="00023766">
      <w:pPr>
        <w:widowControl/>
        <w:numPr>
          <w:ilvl w:val="0"/>
          <w:numId w:val="2"/>
        </w:numPr>
        <w:tabs>
          <w:tab w:val="clear" w:pos="780"/>
          <w:tab w:val="num" w:pos="360"/>
        </w:tabs>
        <w:ind w:left="360"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Súbežné používanie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mianser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 inhibítormi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monoam</w:t>
      </w:r>
      <w:r w:rsidR="00990C92">
        <w:rPr>
          <w:rFonts w:ascii="Times New Roman" w:hAnsi="Times New Roman" w:cs="Times New Roman"/>
          <w:sz w:val="22"/>
          <w:szCs w:val="22"/>
          <w:lang w:val="sk-SK"/>
        </w:rPr>
        <w:t>i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noxidázy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(MAO) (pozri časť 4.5)</w:t>
      </w:r>
      <w:r w:rsidR="008455B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B669B4A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0A6041D3" w14:textId="77777777" w:rsidR="00666220" w:rsidRPr="00681D23" w:rsidRDefault="00666220" w:rsidP="0072505D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4.4</w:t>
      </w:r>
      <w:r w:rsidR="005B2FBA" w:rsidRPr="00681D23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Osobitné upozornenia a opatrenia pri používaní</w:t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14:paraId="29C9EA42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1C590030" w14:textId="77777777" w:rsidR="00492E02" w:rsidRDefault="00492E02" w:rsidP="00023766">
      <w:pPr>
        <w:pStyle w:val="Nadpis2"/>
        <w:keepNext w:val="0"/>
        <w:rPr>
          <w:rFonts w:ascii="Times New Roman" w:hAnsi="Times New Roman" w:cs="Times New Roman"/>
          <w:iCs/>
          <w:color w:val="auto"/>
          <w:sz w:val="22"/>
          <w:szCs w:val="22"/>
          <w:lang w:val="sk-SK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  <w:lang w:val="sk-SK"/>
        </w:rPr>
        <w:t>Pediatrická populácia</w:t>
      </w:r>
    </w:p>
    <w:p w14:paraId="49AAC7E4" w14:textId="64B94CE8" w:rsidR="00666220" w:rsidRPr="00681D23" w:rsidRDefault="00666220" w:rsidP="00023766">
      <w:pPr>
        <w:pStyle w:val="Nadpis2"/>
        <w:keepNext w:val="0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</w:t>
      </w:r>
      <w:r w:rsidR="0095042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nemá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používať na liečbu detí a dospievajúcich mladších ako 18</w:t>
      </w:r>
      <w:r w:rsidR="004B0100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rokov. Samovražedné správanie (pokusy o samovraždu a samovražedné myšlienky) a </w:t>
      </w:r>
      <w:proofErr w:type="spellStart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hostilita</w:t>
      </w:r>
      <w:proofErr w:type="spellEnd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(predovšetkým agresia, protichodné správanie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</w:t>
      </w:r>
      <w:r w:rsidR="004B0100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r w:rsidR="00CE262F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zlosť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) 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sa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v klinických </w:t>
      </w:r>
      <w:r w:rsidR="0095042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skúšaniach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pozorovali 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častejšie 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u</w:t>
      </w:r>
      <w:r w:rsidR="004B0100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detí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 dospievajúci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ch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liečený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ch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antidepresívami</w:t>
      </w:r>
      <w:proofErr w:type="spellEnd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, než u pacientov, ktorí </w:t>
      </w:r>
      <w:r w:rsidR="007C183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dostávali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placebo</w:t>
      </w:r>
      <w:proofErr w:type="spellEnd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. Ak sa </w:t>
      </w:r>
      <w:r w:rsidR="00B97C7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predsa len </w:t>
      </w:r>
      <w:r w:rsidR="00C914D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prijme</w:t>
      </w:r>
      <w:r w:rsidR="00B97C7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rozhodnutie o liečbe založené na objektívnej potrebe, pacient má byť starostlivo sledovaný kvôli výskytu samovražedných </w:t>
      </w:r>
      <w:r w:rsidR="00B260BB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príznakov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. </w:t>
      </w:r>
      <w:r w:rsidR="00990C92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Okrem toho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chýbajú dlhodobé údaje o bezpečnosti u detí a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dospievajúcich</w:t>
      </w:r>
      <w:r w:rsidR="005F2912"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,</w:t>
      </w:r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týkajúce sa rastu, dospievania a kognitívneho a </w:t>
      </w:r>
      <w:proofErr w:type="spellStart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behaviorálneho</w:t>
      </w:r>
      <w:proofErr w:type="spellEnd"/>
      <w:r w:rsidRPr="00681D2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vývoja.</w:t>
      </w:r>
    </w:p>
    <w:p w14:paraId="37C35211" w14:textId="77777777" w:rsidR="00775694" w:rsidRPr="00681D23" w:rsidRDefault="00775694" w:rsidP="0002376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3020A7" w14:textId="77777777" w:rsidR="00775694" w:rsidRPr="00681D23" w:rsidRDefault="00666220" w:rsidP="00023766">
      <w:pPr>
        <w:keepNext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Samovražda/ samovražedné myšlienky alebo klinické zhoršenie</w:t>
      </w:r>
    </w:p>
    <w:p w14:paraId="606195A3" w14:textId="1C878CCA" w:rsidR="005F2912" w:rsidRPr="00681D23" w:rsidRDefault="00666220" w:rsidP="00023766">
      <w:pPr>
        <w:rPr>
          <w:rFonts w:ascii="Times New Roman" w:eastAsia="Arial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Depresia sa dáva do súvislosti so zvýšeným rizikom samovražedných myšlienok,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ebapoškodzovaním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samovraždou (</w:t>
      </w:r>
      <w:r w:rsidR="000C7511">
        <w:rPr>
          <w:rFonts w:ascii="Times New Roman" w:hAnsi="Times New Roman" w:cs="Times New Roman"/>
          <w:sz w:val="22"/>
          <w:szCs w:val="22"/>
          <w:lang w:val="sk-SK"/>
        </w:rPr>
        <w:t>príhody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spojené so samovraždou). Toto riziko pretrváva až do nástupu zjavnej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remisie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Nakoľko sa zlepšenie nemusí ukázať počas prvých niekoľkých týždňo</w:t>
      </w:r>
      <w:r w:rsidR="005F2912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v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liečby, pacienti </w:t>
      </w:r>
      <w:r w:rsidR="00950422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majú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byť starostlivo </w:t>
      </w:r>
      <w:r w:rsidR="005F2912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sledovaní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, až kým nenastane zlepšenie. Vo všeobecnosti klinické skúsenosti ukazujú, že riziko samovraždy sa môže zvýšiť v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skorých štádiách zotavovania.</w:t>
      </w:r>
    </w:p>
    <w:p w14:paraId="1AB6686E" w14:textId="2355FF48" w:rsidR="00666220" w:rsidRPr="00681D23" w:rsidRDefault="00666220" w:rsidP="00023766">
      <w:pPr>
        <w:rPr>
          <w:rFonts w:ascii="Times New Roman" w:eastAsia="Arial" w:hAnsi="Times New Roman" w:cs="Times New Roman"/>
          <w:sz w:val="22"/>
          <w:szCs w:val="22"/>
          <w:lang w:val="sk-SK"/>
        </w:rPr>
      </w:pP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Pacienti s príhod</w:t>
      </w:r>
      <w:r w:rsidR="007B46FD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ami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</w:t>
      </w:r>
      <w:r w:rsidR="00B97C78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spojenými so samovraždou </w:t>
      </w:r>
      <w:r w:rsidR="007B46FD"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v anamnéze 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alebo významnými prejavmi samovražedných myšlienok pred začatím liečby, majú väčšie riziko samovražedných myšlienok alebo pokusov</w:t>
      </w:r>
      <w:r w:rsidR="00174DCE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o </w:t>
      </w:r>
      <w:r w:rsidR="00B97C78">
        <w:rPr>
          <w:rFonts w:ascii="Times New Roman" w:eastAsia="Arial" w:hAnsi="Times New Roman" w:cs="Times New Roman"/>
          <w:sz w:val="22"/>
          <w:szCs w:val="22"/>
          <w:lang w:val="sk-SK"/>
        </w:rPr>
        <w:t>samovraždu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, a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preto majú byť starostlivo sledovaní počas liečby. </w:t>
      </w:r>
      <w:proofErr w:type="spellStart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Metaanalýza</w:t>
      </w:r>
      <w:proofErr w:type="spellEnd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placebom</w:t>
      </w:r>
      <w:proofErr w:type="spellEnd"/>
      <w:r w:rsidR="005F2912"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kontrolovaných klinických skúšaní </w:t>
      </w:r>
      <w:proofErr w:type="spellStart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antidepres</w:t>
      </w:r>
      <w:proofErr w:type="spellEnd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u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dospelých pacientov s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psychi</w:t>
      </w:r>
      <w:r w:rsidR="0072505D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ckými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poruchami ukázala zvýšené riziko samovražedného správania </w:t>
      </w:r>
      <w:r w:rsidR="00B97C78">
        <w:rPr>
          <w:rFonts w:ascii="Times New Roman" w:eastAsia="Arial" w:hAnsi="Times New Roman" w:cs="Times New Roman"/>
          <w:sz w:val="22"/>
          <w:szCs w:val="22"/>
          <w:lang w:val="sk-SK"/>
        </w:rPr>
        <w:t>pri</w:t>
      </w:r>
      <w:r w:rsidR="00174DCE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antidepresíva</w:t>
      </w:r>
      <w:r w:rsidR="00B97C78">
        <w:rPr>
          <w:rFonts w:ascii="Times New Roman" w:eastAsia="Arial" w:hAnsi="Times New Roman" w:cs="Times New Roman"/>
          <w:sz w:val="22"/>
          <w:szCs w:val="22"/>
          <w:lang w:val="sk-SK"/>
        </w:rPr>
        <w:t>ch</w:t>
      </w:r>
      <w:proofErr w:type="spellEnd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v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porovnaní s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proofErr w:type="spellStart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placebom</w:t>
      </w:r>
      <w:proofErr w:type="spellEnd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u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pacientov mladších ako 25 rokov. Pacientov, obzvlášť </w:t>
      </w:r>
      <w:r w:rsidR="00B97C78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tých 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s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vysokým rizikom </w:t>
      </w:r>
      <w:r w:rsidR="00B97C78">
        <w:rPr>
          <w:rFonts w:ascii="Times New Roman" w:eastAsia="Arial" w:hAnsi="Times New Roman" w:cs="Times New Roman"/>
          <w:sz w:val="22"/>
          <w:szCs w:val="22"/>
          <w:lang w:val="sk-SK"/>
        </w:rPr>
        <w:t>samovražedných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 myšlienok, je potrebné hlavne na začiatku liečby a po zmene dávkovania starostlivo </w:t>
      </w:r>
      <w:r w:rsidR="00F35D57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sledovať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. Pacienti (a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ich opatrovatelia) majú byť upozornení na potrebu sledovania výskytu klinického zhoršenia, samovražedného správania alebo myšlienok a neobyčajných zmien v správaní a</w:t>
      </w:r>
      <w:r w:rsidR="004B0100" w:rsidRPr="00681D23">
        <w:rPr>
          <w:rFonts w:ascii="Times New Roman" w:eastAsia="Arial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vyhľadať lekársku pomoc hneď, ako sa tieto príznaky objavia.</w:t>
      </w:r>
    </w:p>
    <w:p w14:paraId="62D1121C" w14:textId="77777777" w:rsidR="00F35D57" w:rsidRPr="00681D23" w:rsidRDefault="00F35D57" w:rsidP="00023766">
      <w:pPr>
        <w:rPr>
          <w:rFonts w:ascii="Times New Roman" w:eastAsia="Arial" w:hAnsi="Times New Roman" w:cs="Times New Roman"/>
          <w:sz w:val="22"/>
          <w:szCs w:val="22"/>
          <w:lang w:val="sk-SK"/>
        </w:rPr>
      </w:pPr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 xml:space="preserve">Vzhľadom na riziko samovraždy, obzvlášť na začiatku liečby, majú pacienti dostať iba obmedzený počet tabliet </w:t>
      </w:r>
      <w:proofErr w:type="spellStart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Lerivonu</w:t>
      </w:r>
      <w:proofErr w:type="spellEnd"/>
      <w:r w:rsidRPr="00681D23">
        <w:rPr>
          <w:rFonts w:ascii="Times New Roman" w:eastAsia="Arial" w:hAnsi="Times New Roman" w:cs="Times New Roman"/>
          <w:sz w:val="22"/>
          <w:szCs w:val="22"/>
          <w:lang w:val="sk-SK"/>
        </w:rPr>
        <w:t>.</w:t>
      </w:r>
    </w:p>
    <w:p w14:paraId="09B0A753" w14:textId="77777777" w:rsidR="00775694" w:rsidRPr="00681D23" w:rsidRDefault="00775694" w:rsidP="00023766">
      <w:pPr>
        <w:rPr>
          <w:rFonts w:ascii="Times New Roman" w:eastAsia="Arial" w:hAnsi="Times New Roman" w:cs="Times New Roman"/>
          <w:sz w:val="22"/>
          <w:szCs w:val="22"/>
          <w:lang w:val="sk-SK"/>
        </w:rPr>
      </w:pPr>
    </w:p>
    <w:p w14:paraId="590FC4E3" w14:textId="352F2787" w:rsidR="00775694" w:rsidRPr="00681D23" w:rsidRDefault="00666220" w:rsidP="0002376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Počas liečby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sa hlásil výskyt útlmu kostnej drene, ktorý sa zvyčajne prejavuje </w:t>
      </w:r>
      <w:r w:rsidR="00F35D57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ako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granulocytopéni</w:t>
      </w:r>
      <w:r w:rsidR="00F35D57"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F35D57" w:rsidRPr="00681D23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agranulocytóz</w:t>
      </w:r>
      <w:r w:rsidR="00F35D57"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>. Tieto reakcie sa vyskytli najčastejšie po 4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6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týždňoch liečby a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F35D57" w:rsidRPr="00681D23">
        <w:rPr>
          <w:rFonts w:ascii="Times New Roman" w:hAnsi="Times New Roman" w:cs="Times New Roman"/>
          <w:sz w:val="22"/>
          <w:szCs w:val="22"/>
          <w:lang w:val="sk-SK"/>
        </w:rPr>
        <w:t>obvykle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sa upravili po ukončení liečby. Pozorovali sa vo všetkých vekových skupinách, ale častejšie sa vyskytli u starších pacientov. Ak sa u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pacienta vyskytne horúčka, bolesti hrdla,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stomatitída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alebo iné </w:t>
      </w:r>
      <w:r w:rsidR="00B97C78">
        <w:rPr>
          <w:rFonts w:ascii="Times New Roman" w:hAnsi="Times New Roman" w:cs="Times New Roman"/>
          <w:sz w:val="22"/>
          <w:szCs w:val="22"/>
          <w:lang w:val="sk-SK"/>
        </w:rPr>
        <w:t>prejavy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infekcie, liečb</w:t>
      </w:r>
      <w:r w:rsidR="007B46FD"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ukončiť a</w:t>
      </w:r>
      <w:r w:rsidR="007B46FD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 má sa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vyšetriť úplný krvný obraz.</w:t>
      </w:r>
    </w:p>
    <w:p w14:paraId="4D0118F9" w14:textId="77777777" w:rsidR="00666220" w:rsidRPr="00681D23" w:rsidRDefault="00666220" w:rsidP="0002376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E27E080" w14:textId="6D0C2C9F" w:rsidR="00666220" w:rsidRPr="00681D23" w:rsidRDefault="00666220" w:rsidP="00023766">
      <w:pPr>
        <w:widowControl/>
        <w:tabs>
          <w:tab w:val="left" w:pos="3119"/>
        </w:tabs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tak ako iné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antidepresíva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>, môže u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náchylných </w:t>
      </w:r>
      <w:r w:rsidR="00B97C78">
        <w:rPr>
          <w:rFonts w:ascii="Times New Roman" w:hAnsi="Times New Roman" w:cs="Times New Roman"/>
          <w:sz w:val="22"/>
          <w:szCs w:val="22"/>
          <w:lang w:val="sk-SK"/>
        </w:rPr>
        <w:t>osôb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bipolárnym depresívnym ochorením navodiť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hypomániu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. V tomto prípade 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liečb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ukončiť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ADC5263" w14:textId="77777777" w:rsidR="00775694" w:rsidRPr="00681D23" w:rsidRDefault="00775694" w:rsidP="00023766">
      <w:pPr>
        <w:widowControl/>
        <w:tabs>
          <w:tab w:val="left" w:pos="3119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1151692C" w14:textId="77777777" w:rsidR="00666220" w:rsidRPr="00681D23" w:rsidRDefault="00666220" w:rsidP="00023766">
      <w:pPr>
        <w:widowControl/>
        <w:tabs>
          <w:tab w:val="left" w:pos="3119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Ak ide o pacientov, ktorí sa liečia na diabetes alebo kardiovaskulárne ochorenia, s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hepatálnou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renálnou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insuficienciou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majú sa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vykonať príslušné vyšetrenia a zohľadniť dávky </w:t>
      </w:r>
      <w:r w:rsidR="00F35D57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všetkých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súbežne užívaných liekov.</w:t>
      </w:r>
    </w:p>
    <w:p w14:paraId="7B3C8237" w14:textId="77777777" w:rsidR="00775694" w:rsidRPr="00681D23" w:rsidRDefault="00775694" w:rsidP="00023766">
      <w:pPr>
        <w:widowControl/>
        <w:tabs>
          <w:tab w:val="left" w:pos="3119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5B5C71E3" w14:textId="78FF66C5" w:rsidR="00F937D2" w:rsidRPr="00681D23" w:rsidRDefault="00F937D2" w:rsidP="00023766">
      <w:pPr>
        <w:widowControl/>
        <w:tabs>
          <w:tab w:val="left" w:pos="3119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Počas používania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po jeho uvedení na trh sa hlásilo predĺženie QT intervalu a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ventrikulárne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arytmie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(vrátane </w:t>
      </w:r>
      <w:proofErr w:type="spellStart"/>
      <w:r w:rsidR="001B7DDA">
        <w:rPr>
          <w:rFonts w:ascii="Times New Roman" w:hAnsi="Times New Roman" w:cs="Times New Roman"/>
          <w:i/>
          <w:sz w:val="22"/>
          <w:szCs w:val="22"/>
          <w:lang w:val="sk-SK"/>
        </w:rPr>
        <w:t>T</w:t>
      </w:r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>orsades</w:t>
      </w:r>
      <w:proofErr w:type="spellEnd"/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>de</w:t>
      </w:r>
      <w:proofErr w:type="spellEnd"/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1B7DDA">
        <w:rPr>
          <w:rFonts w:ascii="Times New Roman" w:hAnsi="Times New Roman" w:cs="Times New Roman"/>
          <w:i/>
          <w:sz w:val="22"/>
          <w:szCs w:val="22"/>
          <w:lang w:val="sk-SK"/>
        </w:rPr>
        <w:t>P</w:t>
      </w:r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>ointes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) (pozri časť 4.8).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sa má používať s opatrnosťou u pacientov s rizikovými faktormi pre predĺženie QT/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TdP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vrátane vrodeného syndrómu dlhého </w:t>
      </w:r>
      <w:r w:rsidR="00681D23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QT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intervalu, </w:t>
      </w:r>
      <w:r w:rsidR="00D7541D">
        <w:rPr>
          <w:rFonts w:ascii="Times New Roman" w:hAnsi="Times New Roman" w:cs="Times New Roman"/>
          <w:sz w:val="22"/>
          <w:szCs w:val="22"/>
          <w:lang w:val="sk-SK"/>
        </w:rPr>
        <w:t xml:space="preserve">vo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veku &gt; 65 rokov, ženského pohlavia, štrukturálnych </w:t>
      </w:r>
      <w:r w:rsidR="00681D23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ochorení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srdc</w:t>
      </w:r>
      <w:r w:rsidR="00681D23"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/ľavej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ventrikulárnej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(LV) dysfunkcie, ochorenia obličiek alebo pečene, užívania liekov, ktoré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inhibujú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metabolizmus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 súbežného užívania iných liekov, ktoré predlžujú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QTc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interval (pozri časť 4.5). Pred liečbou sa má upraviť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hypokaliémia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hypomagneziémia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. Ak je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QTc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interval &gt; 500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ms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alebo sa zvyšuje o</w:t>
      </w:r>
      <w:r w:rsidR="001B7DD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&gt; 60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ms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má sa zvážiť </w:t>
      </w:r>
      <w:r w:rsidR="005B2AA4">
        <w:rPr>
          <w:rFonts w:ascii="Times New Roman" w:hAnsi="Times New Roman" w:cs="Times New Roman"/>
          <w:sz w:val="22"/>
          <w:szCs w:val="22"/>
          <w:lang w:val="sk-SK"/>
        </w:rPr>
        <w:t>ukončenie</w:t>
      </w:r>
      <w:r w:rsidR="005B2AA4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liečby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Lerivonom</w:t>
      </w:r>
      <w:proofErr w:type="spellEnd"/>
      <w:r w:rsidRPr="00DE2FA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489FFB0" w14:textId="77777777" w:rsidR="00F937D2" w:rsidRPr="00681D23" w:rsidRDefault="00F937D2" w:rsidP="00023766">
      <w:pPr>
        <w:widowControl/>
        <w:tabs>
          <w:tab w:val="left" w:pos="3119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3D22BDD5" w14:textId="77777777" w:rsidR="00666220" w:rsidRPr="00681D23" w:rsidRDefault="002A0B68" w:rsidP="00023766">
      <w:pPr>
        <w:widowControl/>
        <w:tabs>
          <w:tab w:val="left" w:pos="3119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Majú sa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tiež </w:t>
      </w:r>
      <w:r w:rsidR="000B497A" w:rsidRPr="00681D23">
        <w:rPr>
          <w:rFonts w:ascii="Times New Roman" w:hAnsi="Times New Roman" w:cs="Times New Roman"/>
          <w:sz w:val="22"/>
          <w:szCs w:val="22"/>
          <w:lang w:val="sk-SK"/>
        </w:rPr>
        <w:t>sledovať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pacient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glaukómom</w:t>
      </w:r>
      <w:proofErr w:type="spellEnd"/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 </w:t>
      </w:r>
      <w:r w:rsidR="000B497A" w:rsidRPr="00681D23">
        <w:rPr>
          <w:rFonts w:ascii="Times New Roman" w:hAnsi="Times New Roman" w:cs="Times New Roman"/>
          <w:sz w:val="22"/>
          <w:szCs w:val="22"/>
          <w:lang w:val="sk-SK"/>
        </w:rPr>
        <w:t>uzavretým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uhlom alebo so </w:t>
      </w:r>
      <w:proofErr w:type="spellStart"/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suspektnými</w:t>
      </w:r>
      <w:proofErr w:type="spellEnd"/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príznakmi hypertrofie prostaty, </w:t>
      </w:r>
      <w:r w:rsidR="001F30DA">
        <w:rPr>
          <w:rFonts w:ascii="Times New Roman" w:hAnsi="Times New Roman" w:cs="Times New Roman"/>
          <w:sz w:val="22"/>
          <w:szCs w:val="22"/>
          <w:lang w:val="sk-SK"/>
        </w:rPr>
        <w:t xml:space="preserve">aj keď 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sa pri 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>liečb</w:t>
      </w:r>
      <w:r w:rsidR="00B80370" w:rsidRPr="00681D23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72505D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Lerivonom</w:t>
      </w:r>
      <w:proofErr w:type="spellEnd"/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F30DA">
        <w:rPr>
          <w:rFonts w:ascii="Times New Roman" w:hAnsi="Times New Roman" w:cs="Times New Roman"/>
          <w:sz w:val="22"/>
          <w:szCs w:val="22"/>
          <w:lang w:val="sk-SK"/>
        </w:rPr>
        <w:t xml:space="preserve">nepredpokladajú </w:t>
      </w:r>
      <w:proofErr w:type="spellStart"/>
      <w:r w:rsidR="001F30DA">
        <w:rPr>
          <w:rFonts w:ascii="Times New Roman" w:hAnsi="Times New Roman" w:cs="Times New Roman"/>
          <w:sz w:val="22"/>
          <w:szCs w:val="22"/>
          <w:lang w:val="sk-SK"/>
        </w:rPr>
        <w:t>anticholinergné</w:t>
      </w:r>
      <w:proofErr w:type="spellEnd"/>
      <w:r w:rsidR="001F30DA">
        <w:rPr>
          <w:rFonts w:ascii="Times New Roman" w:hAnsi="Times New Roman" w:cs="Times New Roman"/>
          <w:sz w:val="22"/>
          <w:szCs w:val="22"/>
          <w:lang w:val="sk-SK"/>
        </w:rPr>
        <w:t xml:space="preserve"> nežiaduce účinky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8D96560" w14:textId="77777777" w:rsidR="00775694" w:rsidRPr="00681D23" w:rsidRDefault="00775694" w:rsidP="00023766">
      <w:pPr>
        <w:widowControl/>
        <w:tabs>
          <w:tab w:val="left" w:pos="3119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4712FB47" w14:textId="08A3CD7D" w:rsidR="00775694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Ak sa objaví žltačka, liečb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ukončiť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E3E9FBF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3832AC5" w14:textId="43A0FA3B" w:rsidR="00666220" w:rsidRPr="00681D23" w:rsidRDefault="000367D1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Ak sa objavia záchvaty kŕčov, l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iečb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sa má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ukončiť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A0C8CE0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2E8547E4" w14:textId="77777777" w:rsidR="00666220" w:rsidRPr="00681D23" w:rsidRDefault="00666220" w:rsidP="007851A0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4.5</w:t>
      </w:r>
      <w:r w:rsidR="004B0100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Liekové a</w:t>
      </w:r>
      <w:r w:rsidR="004B0100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iné interakcie</w:t>
      </w:r>
    </w:p>
    <w:p w14:paraId="4A23B97D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78FCB13" w14:textId="77777777" w:rsidR="00775694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môže zosilniť tlmivý účinok alkoholu na centrálny nervový systém, preto pacientom treba dôrazne odporučiť, aby </w:t>
      </w:r>
      <w:r w:rsidR="007E77EF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počas liečby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nepožívali </w:t>
      </w:r>
      <w:r w:rsidR="007E77EF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žiadny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alkohol.</w:t>
      </w:r>
    </w:p>
    <w:p w14:paraId="426E6980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20D225EC" w14:textId="11AC7963" w:rsidR="00775694" w:rsidRPr="00681D23" w:rsidRDefault="007E77EF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Mianser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2A0B68" w:rsidRPr="00681D23">
        <w:rPr>
          <w:rFonts w:ascii="Times New Roman" w:hAnsi="Times New Roman" w:cs="Times New Roman"/>
          <w:sz w:val="22"/>
          <w:szCs w:val="22"/>
          <w:lang w:val="sk-SK"/>
        </w:rPr>
        <w:t>nemá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podávať súbežne s inhibítormi MAO (ako je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moklobemid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tranylcypromín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linezolid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) alebo počas dvoch týždňov po 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ukončení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liečby inhibítorom MAO. </w:t>
      </w:r>
      <w:r w:rsidR="00DE2FA1">
        <w:rPr>
          <w:rFonts w:ascii="Times New Roman" w:hAnsi="Times New Roman" w:cs="Times New Roman"/>
          <w:sz w:val="22"/>
          <w:szCs w:val="22"/>
          <w:lang w:val="sk-SK"/>
        </w:rPr>
        <w:t>V opačnom prípade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32158" w:rsidRPr="00681D23">
        <w:rPr>
          <w:rFonts w:ascii="Times New Roman" w:hAnsi="Times New Roman" w:cs="Times New Roman"/>
          <w:sz w:val="22"/>
          <w:szCs w:val="22"/>
          <w:lang w:val="sk-SK"/>
        </w:rPr>
        <w:t>majú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C263A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uplynúť dva týždne, než pacient liečený </w:t>
      </w:r>
      <w:proofErr w:type="spellStart"/>
      <w:r w:rsidR="00BC263A" w:rsidRPr="00681D23">
        <w:rPr>
          <w:rFonts w:ascii="Times New Roman" w:hAnsi="Times New Roman" w:cs="Times New Roman"/>
          <w:sz w:val="22"/>
          <w:szCs w:val="22"/>
          <w:lang w:val="sk-SK"/>
        </w:rPr>
        <w:t>mianserínom</w:t>
      </w:r>
      <w:proofErr w:type="spellEnd"/>
      <w:r w:rsidR="00BC263A" w:rsidRPr="00681D23">
        <w:rPr>
          <w:rFonts w:ascii="Times New Roman" w:hAnsi="Times New Roman" w:cs="Times New Roman"/>
          <w:sz w:val="22"/>
          <w:szCs w:val="22"/>
          <w:lang w:val="sk-SK"/>
        </w:rPr>
        <w:t>, môže byť liečený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639FD" w:rsidRPr="00681D23">
        <w:rPr>
          <w:rFonts w:ascii="Times New Roman" w:hAnsi="Times New Roman" w:cs="Times New Roman"/>
          <w:sz w:val="22"/>
          <w:szCs w:val="22"/>
          <w:lang w:val="sk-SK"/>
        </w:rPr>
        <w:t>inhibítormi MAO (pozri časť 4.3).</w:t>
      </w:r>
    </w:p>
    <w:p w14:paraId="3905A115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28016E02" w14:textId="77777777" w:rsidR="00775694" w:rsidRPr="00681D23" w:rsidRDefault="00666220" w:rsidP="007851A0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nevstupuje do interakcie s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betanidínom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klonidínom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metyldopou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guanetidínom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propranololom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(samotným alebo v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kombinácii s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hydralazínom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). Napriek tomu sa odporúča </w:t>
      </w:r>
      <w:r w:rsidR="00DA556D" w:rsidRPr="00681D23">
        <w:rPr>
          <w:rFonts w:ascii="Times New Roman" w:hAnsi="Times New Roman" w:cs="Times New Roman"/>
          <w:sz w:val="22"/>
          <w:szCs w:val="22"/>
          <w:lang w:val="sk-SK"/>
        </w:rPr>
        <w:t>sledovať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tlak krvi u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pacientov, ktorí sa </w:t>
      </w:r>
      <w:r w:rsidR="00632158" w:rsidRPr="00681D23">
        <w:rPr>
          <w:rFonts w:ascii="Times New Roman" w:hAnsi="Times New Roman" w:cs="Times New Roman"/>
          <w:sz w:val="22"/>
          <w:szCs w:val="22"/>
          <w:lang w:val="sk-SK"/>
        </w:rPr>
        <w:t>súbežne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liečia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antihypertenzívami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9E61239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6A560A31" w14:textId="061DB345" w:rsidR="00DA556D" w:rsidRPr="00681D23" w:rsidRDefault="00DA556D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Súbežná liečba s</w:t>
      </w:r>
      <w:r w:rsidR="0063215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antiepileptikami</w:t>
      </w:r>
      <w:proofErr w:type="spellEnd"/>
      <w:r w:rsidR="00632158" w:rsidRPr="00681D23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E2FA1">
        <w:rPr>
          <w:rFonts w:ascii="Times New Roman" w:hAnsi="Times New Roman" w:cs="Times New Roman"/>
          <w:sz w:val="22"/>
          <w:szCs w:val="22"/>
          <w:lang w:val="sk-SK"/>
        </w:rPr>
        <w:t xml:space="preserve">ktoré sú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inhibítor</w:t>
      </w:r>
      <w:r w:rsidR="00DE2FA1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CYP3A4 (ako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fenytoín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karbamazepín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632158" w:rsidRPr="00681D23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môže viesť k zníženiu hladín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mianser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nu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v plazme. </w:t>
      </w:r>
      <w:r w:rsidR="0010732C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Pri začatí alebo </w:t>
      </w:r>
      <w:r w:rsidR="004011C1" w:rsidRPr="00681D23">
        <w:rPr>
          <w:rFonts w:ascii="Times New Roman" w:hAnsi="Times New Roman" w:cs="Times New Roman"/>
          <w:sz w:val="22"/>
          <w:szCs w:val="22"/>
          <w:lang w:val="sk-SK"/>
        </w:rPr>
        <w:t>ukončení</w:t>
      </w:r>
      <w:r w:rsidR="0010732C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súbežnej liečby s týmito liekmi sa má zvážiť úprava dávky.</w:t>
      </w:r>
    </w:p>
    <w:p w14:paraId="01D1F2D0" w14:textId="77777777" w:rsidR="00775694" w:rsidRPr="00681D23" w:rsidRDefault="00775694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6E5CD673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Podobne ako iné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antidepresíva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môže ovplyvniť metabolizmus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kumarínových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derivátov, ako napr.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warfarínu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>, preto sú potrebné príslušné kontroly.</w:t>
      </w:r>
    </w:p>
    <w:p w14:paraId="7A9BDF28" w14:textId="77777777" w:rsidR="00666220" w:rsidRPr="00681D23" w:rsidRDefault="00666220" w:rsidP="00023766">
      <w:pPr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48CCE928" w14:textId="27CD9824" w:rsidR="00845798" w:rsidRPr="00681D23" w:rsidRDefault="00845798" w:rsidP="0002376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Riziko predĺženia QT intervalu a/alebo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ventrikulárnych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arytmií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(napr. </w:t>
      </w:r>
      <w:proofErr w:type="spellStart"/>
      <w:r w:rsidR="00C269B4">
        <w:rPr>
          <w:rFonts w:ascii="Times New Roman" w:hAnsi="Times New Roman" w:cs="Times New Roman"/>
          <w:i/>
          <w:sz w:val="22"/>
          <w:szCs w:val="22"/>
          <w:lang w:val="sk-SK"/>
        </w:rPr>
        <w:t>T</w:t>
      </w:r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>orsades</w:t>
      </w:r>
      <w:proofErr w:type="spellEnd"/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>de</w:t>
      </w:r>
      <w:proofErr w:type="spellEnd"/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C269B4">
        <w:rPr>
          <w:rFonts w:ascii="Times New Roman" w:hAnsi="Times New Roman" w:cs="Times New Roman"/>
          <w:i/>
          <w:sz w:val="22"/>
          <w:szCs w:val="22"/>
          <w:lang w:val="sk-SK"/>
        </w:rPr>
        <w:t>P</w:t>
      </w:r>
      <w:r w:rsidRPr="00681D23">
        <w:rPr>
          <w:rFonts w:ascii="Times New Roman" w:hAnsi="Times New Roman" w:cs="Times New Roman"/>
          <w:i/>
          <w:sz w:val="22"/>
          <w:szCs w:val="22"/>
          <w:lang w:val="sk-SK"/>
        </w:rPr>
        <w:t>ointes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) je zvýšené pri súbežnom užívaní iných liekov, ktoré predlžujú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QTc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interval (napr. niektoré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antipsychotiká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 antibiotiká). Pozrite si, prosím, </w:t>
      </w:r>
      <w:r w:rsidR="00681D23" w:rsidRPr="00681D23">
        <w:rPr>
          <w:rFonts w:ascii="Times New Roman" w:hAnsi="Times New Roman" w:cs="Times New Roman"/>
          <w:sz w:val="22"/>
          <w:szCs w:val="22"/>
          <w:lang w:val="sk-SK"/>
        </w:rPr>
        <w:t>súhrn charakteristických vlastností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ostatných podávaných liekov kvôli informáciám o ich účinkoch na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QTc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interval.</w:t>
      </w:r>
    </w:p>
    <w:p w14:paraId="78198576" w14:textId="77777777" w:rsidR="00845798" w:rsidRPr="00681D23" w:rsidRDefault="00845798" w:rsidP="00023766">
      <w:pPr>
        <w:rPr>
          <w:rFonts w:ascii="Times New Roman" w:hAnsi="Times New Roman" w:cs="Times New Roman"/>
          <w:b/>
          <w:sz w:val="22"/>
          <w:szCs w:val="22"/>
          <w:lang w:val="sk-SK"/>
        </w:rPr>
      </w:pPr>
    </w:p>
    <w:p w14:paraId="0621E938" w14:textId="15526529" w:rsidR="00666220" w:rsidRPr="00681D23" w:rsidRDefault="00981D31" w:rsidP="00304087">
      <w:pPr>
        <w:keepNext/>
        <w:tabs>
          <w:tab w:val="left" w:pos="0"/>
          <w:tab w:val="left" w:pos="567"/>
        </w:tabs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4.6</w:t>
      </w: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proofErr w:type="spellStart"/>
      <w:r w:rsidR="00DE2FA1">
        <w:rPr>
          <w:rFonts w:ascii="Times New Roman" w:hAnsi="Times New Roman" w:cs="Times New Roman"/>
          <w:b/>
          <w:sz w:val="22"/>
          <w:szCs w:val="22"/>
          <w:lang w:val="sk-SK"/>
        </w:rPr>
        <w:t>Fertilita</w:t>
      </w:r>
      <w:proofErr w:type="spellEnd"/>
      <w:r w:rsidR="00DE2FA1">
        <w:rPr>
          <w:rFonts w:ascii="Times New Roman" w:hAnsi="Times New Roman" w:cs="Times New Roman"/>
          <w:b/>
          <w:sz w:val="22"/>
          <w:szCs w:val="22"/>
          <w:lang w:val="sk-SK"/>
        </w:rPr>
        <w:t>, g</w:t>
      </w:r>
      <w:r w:rsidR="00666220" w:rsidRPr="00681D23">
        <w:rPr>
          <w:rFonts w:ascii="Times New Roman" w:hAnsi="Times New Roman" w:cs="Times New Roman"/>
          <w:b/>
          <w:sz w:val="22"/>
          <w:szCs w:val="22"/>
          <w:lang w:val="sk-SK"/>
        </w:rPr>
        <w:t>ravidita a</w:t>
      </w:r>
      <w:r w:rsidR="004B0100" w:rsidRPr="00681D23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="00666220" w:rsidRPr="00681D23">
        <w:rPr>
          <w:rFonts w:ascii="Times New Roman" w:hAnsi="Times New Roman" w:cs="Times New Roman"/>
          <w:b/>
          <w:sz w:val="22"/>
          <w:szCs w:val="22"/>
          <w:lang w:val="sk-SK"/>
        </w:rPr>
        <w:t>laktácia</w:t>
      </w:r>
    </w:p>
    <w:p w14:paraId="5DFCCBA7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461DBC5B" w14:textId="14FFA5B2" w:rsidR="00666220" w:rsidRPr="00681D23" w:rsidRDefault="00666220" w:rsidP="00023766">
      <w:pPr>
        <w:pStyle w:val="Zkladntext2"/>
        <w:rPr>
          <w:szCs w:val="22"/>
        </w:rPr>
      </w:pPr>
      <w:r w:rsidRPr="00681D23">
        <w:rPr>
          <w:szCs w:val="22"/>
        </w:rPr>
        <w:t>Z</w:t>
      </w:r>
      <w:r w:rsidR="004B0100" w:rsidRPr="00681D23">
        <w:rPr>
          <w:szCs w:val="22"/>
        </w:rPr>
        <w:t> </w:t>
      </w:r>
      <w:r w:rsidRPr="00681D23">
        <w:rPr>
          <w:szCs w:val="22"/>
        </w:rPr>
        <w:t>experimentov na zvieratách a</w:t>
      </w:r>
      <w:r w:rsidR="004B0100" w:rsidRPr="00681D23">
        <w:rPr>
          <w:szCs w:val="22"/>
        </w:rPr>
        <w:t> </w:t>
      </w:r>
      <w:r w:rsidRPr="00681D23">
        <w:rPr>
          <w:szCs w:val="22"/>
        </w:rPr>
        <w:t>obmedzených údajov u</w:t>
      </w:r>
      <w:r w:rsidR="004B0100" w:rsidRPr="00681D23">
        <w:rPr>
          <w:szCs w:val="22"/>
        </w:rPr>
        <w:t> </w:t>
      </w:r>
      <w:r w:rsidRPr="00681D23">
        <w:rPr>
          <w:szCs w:val="22"/>
        </w:rPr>
        <w:t xml:space="preserve">ľudí vyplýva, že </w:t>
      </w:r>
      <w:proofErr w:type="spellStart"/>
      <w:r w:rsidRPr="00681D23">
        <w:rPr>
          <w:szCs w:val="22"/>
        </w:rPr>
        <w:t>mianserín</w:t>
      </w:r>
      <w:proofErr w:type="spellEnd"/>
      <w:r w:rsidRPr="00681D23">
        <w:rPr>
          <w:szCs w:val="22"/>
        </w:rPr>
        <w:t xml:space="preserve"> nespôsobuje poškodenie plodu alebo novorodenca. Zároveň sa </w:t>
      </w:r>
      <w:proofErr w:type="spellStart"/>
      <w:r w:rsidRPr="00681D23">
        <w:rPr>
          <w:szCs w:val="22"/>
        </w:rPr>
        <w:t>mianserín</w:t>
      </w:r>
      <w:proofErr w:type="spellEnd"/>
      <w:r w:rsidRPr="00681D23">
        <w:rPr>
          <w:szCs w:val="22"/>
        </w:rPr>
        <w:t xml:space="preserve"> vylučuje do materského mlieka vo veľmi malých množstvách, no prínos užívania </w:t>
      </w:r>
      <w:proofErr w:type="spellStart"/>
      <w:r w:rsidRPr="00681D23">
        <w:rPr>
          <w:szCs w:val="22"/>
        </w:rPr>
        <w:t>Lerivonu</w:t>
      </w:r>
      <w:proofErr w:type="spellEnd"/>
      <w:r w:rsidRPr="00681D23">
        <w:rPr>
          <w:szCs w:val="22"/>
        </w:rPr>
        <w:t xml:space="preserve"> počas gravidity a</w:t>
      </w:r>
      <w:r w:rsidR="004B0100" w:rsidRPr="00681D23">
        <w:rPr>
          <w:szCs w:val="22"/>
        </w:rPr>
        <w:t> </w:t>
      </w:r>
      <w:r w:rsidRPr="00681D23">
        <w:rPr>
          <w:szCs w:val="22"/>
        </w:rPr>
        <w:t xml:space="preserve">dojčenia </w:t>
      </w:r>
      <w:r w:rsidR="00632158" w:rsidRPr="00681D23">
        <w:rPr>
          <w:szCs w:val="22"/>
        </w:rPr>
        <w:t>sa má</w:t>
      </w:r>
      <w:r w:rsidRPr="00681D23">
        <w:rPr>
          <w:szCs w:val="22"/>
        </w:rPr>
        <w:t xml:space="preserve"> zvážiť </w:t>
      </w:r>
      <w:r w:rsidR="006766DD" w:rsidRPr="00681D23">
        <w:rPr>
          <w:szCs w:val="22"/>
        </w:rPr>
        <w:t xml:space="preserve">vzhľadom </w:t>
      </w:r>
      <w:r w:rsidRPr="00681D23">
        <w:rPr>
          <w:szCs w:val="22"/>
        </w:rPr>
        <w:t>k</w:t>
      </w:r>
      <w:r w:rsidR="004B0100" w:rsidRPr="00681D23">
        <w:rPr>
          <w:szCs w:val="22"/>
        </w:rPr>
        <w:t> </w:t>
      </w:r>
      <w:r w:rsidRPr="00681D23">
        <w:rPr>
          <w:szCs w:val="22"/>
        </w:rPr>
        <w:t>možným rizikám pre plod alebo novorodenca.</w:t>
      </w:r>
    </w:p>
    <w:p w14:paraId="7DCFBE1B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25BD03DA" w14:textId="77777777" w:rsidR="00666220" w:rsidRPr="00681D23" w:rsidRDefault="00981D31" w:rsidP="00304087">
      <w:pPr>
        <w:keepNext/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4.7</w:t>
      </w: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="00666220" w:rsidRPr="00681D23">
        <w:rPr>
          <w:rFonts w:ascii="Times New Roman" w:hAnsi="Times New Roman" w:cs="Times New Roman"/>
          <w:b/>
          <w:sz w:val="22"/>
          <w:szCs w:val="22"/>
          <w:lang w:val="sk-SK"/>
        </w:rPr>
        <w:t>Ovplyvnenie schopnosti viesť vozidlá a</w:t>
      </w:r>
      <w:r w:rsidR="004B0100" w:rsidRPr="00681D23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="00666220" w:rsidRPr="00681D23">
        <w:rPr>
          <w:rFonts w:ascii="Times New Roman" w:hAnsi="Times New Roman" w:cs="Times New Roman"/>
          <w:b/>
          <w:sz w:val="22"/>
          <w:szCs w:val="22"/>
          <w:lang w:val="sk-SK"/>
        </w:rPr>
        <w:t>obsluhovať stroje</w:t>
      </w:r>
    </w:p>
    <w:p w14:paraId="5F498734" w14:textId="77777777" w:rsidR="00666220" w:rsidRPr="00681D23" w:rsidRDefault="00666220" w:rsidP="00304087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22D4BAE5" w14:textId="27BBE623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môže zhoršiť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psychomotorické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E2FA1">
        <w:rPr>
          <w:rFonts w:ascii="Times New Roman" w:hAnsi="Times New Roman" w:cs="Times New Roman"/>
          <w:sz w:val="22"/>
          <w:szCs w:val="22"/>
          <w:lang w:val="sk-SK"/>
        </w:rPr>
        <w:t>schopnosti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počas prvých pár dní liečby. Vo všeobecnosti sa pacienti s depresiou liečení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antidepresívami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majú vyhnúť činnostiam s</w:t>
      </w:r>
      <w:r w:rsidR="004B0100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potenciálne nebezpečnými dôsledkami, ako je vedenie vozid</w:t>
      </w:r>
      <w:r w:rsidR="00DE2FA1">
        <w:rPr>
          <w:rFonts w:ascii="Times New Roman" w:hAnsi="Times New Roman" w:cs="Times New Roman"/>
          <w:sz w:val="22"/>
          <w:szCs w:val="22"/>
          <w:lang w:val="sk-SK"/>
        </w:rPr>
        <w:t>ie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l alebo obsluha strojov.</w:t>
      </w:r>
    </w:p>
    <w:p w14:paraId="5612B756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7103769" w14:textId="77777777" w:rsidR="00666220" w:rsidRPr="00681D23" w:rsidRDefault="00666220" w:rsidP="00304087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4.8</w:t>
      </w:r>
      <w:r w:rsidR="004B0100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Nežiaduce účinky </w:t>
      </w:r>
    </w:p>
    <w:p w14:paraId="342A7077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B295D58" w14:textId="5B60B0A9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U pacientov s depresiou sa prejavujú mnohé </w:t>
      </w:r>
      <w:r w:rsidR="00C269B4">
        <w:rPr>
          <w:rFonts w:ascii="Times New Roman" w:hAnsi="Times New Roman" w:cs="Times New Roman"/>
          <w:sz w:val="22"/>
          <w:szCs w:val="22"/>
          <w:lang w:val="sk-SK"/>
        </w:rPr>
        <w:t>príznaky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súvisiace so samotným ochorením (sucho v ústach, </w:t>
      </w:r>
      <w:r w:rsidR="00DE2FA1">
        <w:rPr>
          <w:rFonts w:ascii="Times New Roman" w:hAnsi="Times New Roman" w:cs="Times New Roman"/>
          <w:sz w:val="22"/>
          <w:szCs w:val="22"/>
          <w:lang w:val="sk-SK"/>
        </w:rPr>
        <w:t>zápcha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poruchy akomodácie). Preto je niekedy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obtiažne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stanoviť, ktoré </w:t>
      </w:r>
      <w:r w:rsidR="00245E04">
        <w:rPr>
          <w:rFonts w:ascii="Times New Roman" w:hAnsi="Times New Roman" w:cs="Times New Roman"/>
          <w:sz w:val="22"/>
          <w:szCs w:val="22"/>
          <w:lang w:val="sk-SK"/>
        </w:rPr>
        <w:t>príznaky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sú dôsledkom ochorenia a ktoré sú následkom liečby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Lerivonom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CEEEA2F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549AF885" w14:textId="77777777" w:rsidR="009950F9" w:rsidRPr="00681D23" w:rsidRDefault="009950F9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Tabuľka 1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9950F9" w:rsidRPr="00681D23" w14:paraId="53862DD2" w14:textId="77777777">
        <w:trPr>
          <w:cantSplit/>
          <w:tblHeader/>
        </w:trPr>
        <w:tc>
          <w:tcPr>
            <w:tcW w:w="2905" w:type="dxa"/>
            <w:vMerge w:val="restart"/>
          </w:tcPr>
          <w:p w14:paraId="583CF249" w14:textId="77777777" w:rsidR="009950F9" w:rsidRPr="00681D23" w:rsidRDefault="009950F9" w:rsidP="00023766">
            <w:pPr>
              <w:keepNext/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6521" w:type="dxa"/>
          </w:tcPr>
          <w:p w14:paraId="3527D0E8" w14:textId="77777777" w:rsidR="009950F9" w:rsidRPr="00681D23" w:rsidRDefault="009950F9" w:rsidP="00D142E5">
            <w:pPr>
              <w:keepNext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Odhadovaná frekvencia nežiaducich účinkov</w:t>
            </w:r>
          </w:p>
        </w:tc>
      </w:tr>
      <w:tr w:rsidR="00454245" w:rsidRPr="00681D23" w14:paraId="36301965" w14:textId="77777777">
        <w:trPr>
          <w:cantSplit/>
          <w:tblHeader/>
        </w:trPr>
        <w:tc>
          <w:tcPr>
            <w:tcW w:w="2905" w:type="dxa"/>
            <w:vMerge/>
          </w:tcPr>
          <w:p w14:paraId="5D98AD73" w14:textId="77777777" w:rsidR="00454245" w:rsidRPr="00681D23" w:rsidRDefault="00454245" w:rsidP="00023766">
            <w:pPr>
              <w:keepNext/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6521" w:type="dxa"/>
          </w:tcPr>
          <w:p w14:paraId="4542FEA7" w14:textId="77777777" w:rsidR="00454245" w:rsidRPr="00681D23" w:rsidRDefault="00454245" w:rsidP="00D142E5">
            <w:pPr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Frekvencia neznáma</w:t>
            </w:r>
          </w:p>
        </w:tc>
      </w:tr>
      <w:tr w:rsidR="00454245" w:rsidRPr="00681D23" w14:paraId="172EB8A8" w14:textId="77777777">
        <w:trPr>
          <w:cantSplit/>
        </w:trPr>
        <w:tc>
          <w:tcPr>
            <w:tcW w:w="2905" w:type="dxa"/>
          </w:tcPr>
          <w:p w14:paraId="6E4B1187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6521" w:type="dxa"/>
          </w:tcPr>
          <w:p w14:paraId="50EC6014" w14:textId="77777777" w:rsidR="00454245" w:rsidRPr="00681D23" w:rsidRDefault="00454245" w:rsidP="00245EFD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Krvná </w:t>
            </w: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dyskrázia</w:t>
            </w:r>
            <w:proofErr w:type="spellEnd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zvyčajne </w:t>
            </w:r>
            <w:r w:rsidR="00245EF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prejavujúca sa</w:t>
            </w: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ako </w:t>
            </w: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granulocytopénia</w:t>
            </w:r>
            <w:proofErr w:type="spellEnd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(pozri tiež časť 4.4 </w:t>
            </w:r>
            <w:r w:rsidRPr="00681D23"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>Osobitné upozornenia a opatrenia pri používaní)</w:t>
            </w:r>
          </w:p>
        </w:tc>
      </w:tr>
      <w:tr w:rsidR="00454245" w:rsidRPr="00681D23" w14:paraId="0C2B0FFD" w14:textId="77777777">
        <w:trPr>
          <w:cantSplit/>
        </w:trPr>
        <w:tc>
          <w:tcPr>
            <w:tcW w:w="2905" w:type="dxa"/>
          </w:tcPr>
          <w:p w14:paraId="766ED341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metabolizmu a výživy</w:t>
            </w:r>
          </w:p>
        </w:tc>
        <w:tc>
          <w:tcPr>
            <w:tcW w:w="6521" w:type="dxa"/>
          </w:tcPr>
          <w:p w14:paraId="14AB56BB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Zvýšenie telesnej hmotnosti</w:t>
            </w:r>
          </w:p>
        </w:tc>
      </w:tr>
      <w:tr w:rsidR="00454245" w:rsidRPr="00681D23" w14:paraId="359FDB3C" w14:textId="77777777">
        <w:trPr>
          <w:cantSplit/>
        </w:trPr>
        <w:tc>
          <w:tcPr>
            <w:tcW w:w="2905" w:type="dxa"/>
          </w:tcPr>
          <w:p w14:paraId="6B111E65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6521" w:type="dxa"/>
          </w:tcPr>
          <w:p w14:paraId="0AC7FF75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Hypománia</w:t>
            </w:r>
            <w:proofErr w:type="spellEnd"/>
          </w:p>
        </w:tc>
      </w:tr>
      <w:tr w:rsidR="00454245" w:rsidRPr="00681D23" w14:paraId="1FF53709" w14:textId="77777777">
        <w:trPr>
          <w:cantSplit/>
        </w:trPr>
        <w:tc>
          <w:tcPr>
            <w:tcW w:w="2905" w:type="dxa"/>
          </w:tcPr>
          <w:p w14:paraId="50AA5B52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6521" w:type="dxa"/>
          </w:tcPr>
          <w:p w14:paraId="327E406B" w14:textId="77777777" w:rsidR="00454245" w:rsidRPr="00681D23" w:rsidRDefault="00454245" w:rsidP="00BA43E5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Sedácia</w:t>
            </w:r>
            <w:proofErr w:type="spellEnd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</w:t>
            </w:r>
            <w:r w:rsidR="00BA43E5"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yskytuje sa na začiatku liečby a pokračovaním v liečbe sa znižuje. </w:t>
            </w:r>
            <w:r w:rsidR="00615B54"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Okrem toho</w:t>
            </w:r>
            <w:r w:rsidR="00774698"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="00615B54"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níženie dávky zvyčajne nevedie k zníženiu </w:t>
            </w: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sedácie</w:t>
            </w:r>
            <w:proofErr w:type="spellEnd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ale môže ohroziť antidepresívnu účinnosť</w:t>
            </w:r>
            <w:r w:rsidR="00BC263A"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)</w:t>
            </w:r>
          </w:p>
          <w:p w14:paraId="307A045E" w14:textId="18368206" w:rsidR="00454245" w:rsidRPr="00681D23" w:rsidRDefault="00245E04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Záchvaty kŕčov</w:t>
            </w:r>
          </w:p>
          <w:p w14:paraId="5406462A" w14:textId="7E26F0F3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Hyperkinéza</w:t>
            </w:r>
            <w:proofErr w:type="spellEnd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(syndróm nepokojných nôh) </w:t>
            </w:r>
          </w:p>
          <w:p w14:paraId="0FBEA60F" w14:textId="36F69323" w:rsidR="00454245" w:rsidRPr="00681D23" w:rsidRDefault="00454245" w:rsidP="00DE2FA1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Neuroleptický</w:t>
            </w:r>
            <w:proofErr w:type="spellEnd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malígny syndróm (NMS)</w:t>
            </w:r>
          </w:p>
        </w:tc>
      </w:tr>
      <w:tr w:rsidR="00454245" w:rsidRPr="00681D23" w14:paraId="08729CD8" w14:textId="77777777">
        <w:trPr>
          <w:cantSplit/>
        </w:trPr>
        <w:tc>
          <w:tcPr>
            <w:tcW w:w="2905" w:type="dxa"/>
          </w:tcPr>
          <w:p w14:paraId="1D4D26D8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6521" w:type="dxa"/>
          </w:tcPr>
          <w:p w14:paraId="33D7E664" w14:textId="2C777F1B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Bradykardia (po </w:t>
            </w:r>
            <w:r w:rsidR="00245E0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začiatočnej</w:t>
            </w: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dávke)</w:t>
            </w:r>
          </w:p>
          <w:p w14:paraId="7CAE4D76" w14:textId="77777777" w:rsidR="00845798" w:rsidRPr="00681D23" w:rsidRDefault="0044240C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Predĺženie QT intervalu na elektrokardiograme</w:t>
            </w:r>
          </w:p>
          <w:p w14:paraId="45DE9E7B" w14:textId="7F53FD08" w:rsidR="0044240C" w:rsidRPr="00681D23" w:rsidRDefault="0044240C" w:rsidP="00023766">
            <w:pPr>
              <w:widowControl/>
              <w:rPr>
                <w:rFonts w:ascii="Times New Roman" w:hAnsi="Times New Roman"/>
                <w:i/>
                <w:sz w:val="22"/>
                <w:lang w:val="sk-SK"/>
              </w:rPr>
            </w:pPr>
            <w:proofErr w:type="spellStart"/>
            <w:r w:rsidRPr="00681D23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Torsades</w:t>
            </w:r>
            <w:proofErr w:type="spellEnd"/>
            <w:r w:rsidRPr="00681D23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81D23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de</w:t>
            </w:r>
            <w:proofErr w:type="spellEnd"/>
            <w:r w:rsidRPr="00681D23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="00245E04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P</w:t>
            </w:r>
            <w:r w:rsidRPr="00681D23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ointes</w:t>
            </w:r>
            <w:proofErr w:type="spellEnd"/>
          </w:p>
        </w:tc>
      </w:tr>
      <w:tr w:rsidR="00454245" w:rsidRPr="00681D23" w14:paraId="2EDB645E" w14:textId="77777777">
        <w:trPr>
          <w:cantSplit/>
        </w:trPr>
        <w:tc>
          <w:tcPr>
            <w:tcW w:w="2905" w:type="dxa"/>
          </w:tcPr>
          <w:p w14:paraId="2FF7BAE0" w14:textId="77777777" w:rsidR="00454245" w:rsidRPr="00681D23" w:rsidRDefault="00454245" w:rsidP="00023766">
            <w:pPr>
              <w:pStyle w:val="Nadpis3"/>
              <w:keepNext w:val="0"/>
              <w:rPr>
                <w:szCs w:val="22"/>
              </w:rPr>
            </w:pPr>
            <w:r w:rsidRPr="00681D23">
              <w:rPr>
                <w:szCs w:val="22"/>
              </w:rPr>
              <w:t>Poruchy ciev</w:t>
            </w:r>
          </w:p>
        </w:tc>
        <w:tc>
          <w:tcPr>
            <w:tcW w:w="6521" w:type="dxa"/>
          </w:tcPr>
          <w:p w14:paraId="4DC8E3E3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Hypotenzia</w:t>
            </w:r>
          </w:p>
        </w:tc>
      </w:tr>
      <w:tr w:rsidR="00454245" w:rsidRPr="00681D23" w14:paraId="115E9BFD" w14:textId="77777777">
        <w:trPr>
          <w:cantSplit/>
        </w:trPr>
        <w:tc>
          <w:tcPr>
            <w:tcW w:w="2905" w:type="dxa"/>
          </w:tcPr>
          <w:p w14:paraId="31A62904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6521" w:type="dxa"/>
          </w:tcPr>
          <w:p w14:paraId="4E804124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Zvýšené pečeňové enzýmy</w:t>
            </w:r>
          </w:p>
          <w:p w14:paraId="294FCEE2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Žltačka</w:t>
            </w:r>
          </w:p>
          <w:p w14:paraId="75C06E8B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Hepatitída</w:t>
            </w:r>
          </w:p>
          <w:p w14:paraId="725DBE68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Abnormálna funkcia pečene</w:t>
            </w:r>
          </w:p>
        </w:tc>
      </w:tr>
      <w:tr w:rsidR="00454245" w:rsidRPr="00681D23" w14:paraId="65DD9169" w14:textId="77777777">
        <w:trPr>
          <w:cantSplit/>
        </w:trPr>
        <w:tc>
          <w:tcPr>
            <w:tcW w:w="2905" w:type="dxa"/>
          </w:tcPr>
          <w:p w14:paraId="7592E44A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6521" w:type="dxa"/>
          </w:tcPr>
          <w:p w14:paraId="1F4CF19B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Exantém</w:t>
            </w:r>
          </w:p>
        </w:tc>
      </w:tr>
      <w:tr w:rsidR="00454245" w:rsidRPr="00681D23" w14:paraId="5F1F46C3" w14:textId="77777777">
        <w:trPr>
          <w:cantSplit/>
        </w:trPr>
        <w:tc>
          <w:tcPr>
            <w:tcW w:w="2905" w:type="dxa"/>
          </w:tcPr>
          <w:p w14:paraId="00205BA4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6521" w:type="dxa"/>
          </w:tcPr>
          <w:p w14:paraId="746844AB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</w:p>
        </w:tc>
      </w:tr>
      <w:tr w:rsidR="00454245" w:rsidRPr="00681D23" w14:paraId="6FEE6F86" w14:textId="77777777">
        <w:trPr>
          <w:cantSplit/>
        </w:trPr>
        <w:tc>
          <w:tcPr>
            <w:tcW w:w="2905" w:type="dxa"/>
          </w:tcPr>
          <w:p w14:paraId="4DEA8B9E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6521" w:type="dxa"/>
          </w:tcPr>
          <w:p w14:paraId="39FB1200" w14:textId="77777777" w:rsidR="00454245" w:rsidRPr="00681D23" w:rsidRDefault="00454245" w:rsidP="00023766">
            <w:pPr>
              <w:widowControl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1D2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Edém</w:t>
            </w:r>
          </w:p>
        </w:tc>
      </w:tr>
    </w:tbl>
    <w:p w14:paraId="29396C9B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1B0832A1" w14:textId="4669C83B" w:rsidR="00666220" w:rsidRPr="00681D23" w:rsidRDefault="00F67616" w:rsidP="00023766">
      <w:pPr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</w:pPr>
      <w:r w:rsidRPr="00681D2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 xml:space="preserve">Počas liečby alebo skoro po ukončení liečby </w:t>
      </w:r>
      <w:proofErr w:type="spellStart"/>
      <w:r w:rsidRPr="00681D2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>mia</w:t>
      </w:r>
      <w:r w:rsidR="00ED655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>n</w:t>
      </w:r>
      <w:r w:rsidRPr="00681D2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>serínom</w:t>
      </w:r>
      <w:proofErr w:type="spellEnd"/>
      <w:r w:rsidRPr="00681D2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 xml:space="preserve"> sa hlásili p</w:t>
      </w:r>
      <w:r w:rsidR="00666220" w:rsidRPr="00681D2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 xml:space="preserve">rípady </w:t>
      </w:r>
      <w:r w:rsidR="00245E04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>samovražedných</w:t>
      </w:r>
      <w:r w:rsidR="00666220" w:rsidRPr="00681D2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 xml:space="preserve"> myšlienok a</w:t>
      </w:r>
      <w:r w:rsidR="00A30B98" w:rsidRPr="00681D2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> </w:t>
      </w:r>
      <w:r w:rsidR="00245E04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>samovražedného</w:t>
      </w:r>
      <w:r w:rsidR="00666220" w:rsidRPr="00681D23">
        <w:rPr>
          <w:rFonts w:ascii="Times New Roman" w:eastAsia="Arial" w:hAnsi="Times New Roman" w:cs="Times New Roman"/>
          <w:color w:val="000000"/>
          <w:sz w:val="22"/>
          <w:szCs w:val="22"/>
          <w:lang w:val="sk-SK"/>
        </w:rPr>
        <w:t xml:space="preserve"> správania (pozri časť 4.4).</w:t>
      </w:r>
    </w:p>
    <w:p w14:paraId="248B066F" w14:textId="77777777" w:rsidR="00666220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4828FCB" w14:textId="77777777" w:rsidR="00BD034A" w:rsidRPr="00BD034A" w:rsidRDefault="00BD034A" w:rsidP="00BD034A">
      <w:pPr>
        <w:suppressLineNumbers/>
        <w:rPr>
          <w:rFonts w:ascii="Times New Roman" w:hAnsi="Times New Roman" w:cs="Times New Roman"/>
          <w:sz w:val="22"/>
          <w:szCs w:val="22"/>
          <w:u w:val="single"/>
        </w:rPr>
      </w:pPr>
      <w:r w:rsidRPr="00BD034A">
        <w:rPr>
          <w:rFonts w:ascii="Times New Roman" w:hAnsi="Times New Roman" w:cs="Times New Roman"/>
          <w:noProof/>
          <w:sz w:val="22"/>
          <w:szCs w:val="22"/>
          <w:u w:val="single"/>
        </w:rPr>
        <w:t>Hlásenie podozrení na nežiaduce reakcie</w:t>
      </w:r>
    </w:p>
    <w:p w14:paraId="1FD30C74" w14:textId="6F5F8D46" w:rsidR="00BD034A" w:rsidRPr="00BD034A" w:rsidRDefault="00BD034A" w:rsidP="00BD034A">
      <w:pPr>
        <w:suppressLineNumbers/>
        <w:rPr>
          <w:rFonts w:ascii="Times New Roman" w:hAnsi="Times New Roman" w:cs="Times New Roman"/>
          <w:noProof/>
          <w:sz w:val="22"/>
          <w:szCs w:val="22"/>
        </w:rPr>
      </w:pPr>
      <w:r w:rsidRPr="00BD034A">
        <w:rPr>
          <w:rFonts w:ascii="Times New Roman" w:hAnsi="Times New Roman" w:cs="Times New Roman"/>
          <w:noProof/>
          <w:sz w:val="22"/>
          <w:szCs w:val="22"/>
        </w:rPr>
        <w:t>Hlásenie podozrení na nežiaduce reakcie po registrácii lieku je dôležité.</w:t>
      </w:r>
      <w:r w:rsidRPr="00BD034A">
        <w:rPr>
          <w:rFonts w:ascii="Times New Roman" w:hAnsi="Times New Roman" w:cs="Times New Roman"/>
          <w:sz w:val="22"/>
          <w:szCs w:val="22"/>
        </w:rPr>
        <w:t xml:space="preserve"> </w:t>
      </w:r>
      <w:r w:rsidRPr="00BD034A">
        <w:rPr>
          <w:rFonts w:ascii="Times New Roman" w:hAnsi="Times New Roman" w:cs="Times New Roman"/>
          <w:noProof/>
          <w:sz w:val="22"/>
          <w:szCs w:val="22"/>
        </w:rPr>
        <w:t>Umožňuje priebežné monitorovanie pomeru prínosu a rizika lieku.</w:t>
      </w:r>
      <w:r w:rsidRPr="00BD034A">
        <w:rPr>
          <w:rFonts w:ascii="Times New Roman" w:hAnsi="Times New Roman" w:cs="Times New Roman"/>
          <w:sz w:val="22"/>
          <w:szCs w:val="22"/>
        </w:rPr>
        <w:t xml:space="preserve"> Od </w:t>
      </w:r>
      <w:r w:rsidRPr="00BD034A">
        <w:rPr>
          <w:rFonts w:ascii="Times New Roman" w:hAnsi="Times New Roman" w:cs="Times New Roman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3A2345">
        <w:rPr>
          <w:rFonts w:ascii="Times New Roman" w:hAnsi="Times New Roman" w:cs="Times New Roman"/>
          <w:noProof/>
          <w:sz w:val="22"/>
          <w:szCs w:val="22"/>
        </w:rPr>
        <w:t xml:space="preserve">na </w:t>
      </w:r>
      <w:r w:rsidRPr="00BD034A">
        <w:rPr>
          <w:rFonts w:ascii="Times New Roman" w:hAnsi="Times New Roman" w:cs="Times New Roman"/>
          <w:noProof/>
          <w:sz w:val="22"/>
          <w:szCs w:val="22"/>
          <w:highlight w:val="lightGray"/>
        </w:rPr>
        <w:t>národné</w:t>
      </w:r>
      <w:r w:rsidR="003A2345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 centrum</w:t>
      </w:r>
      <w:r w:rsidRPr="00BD034A">
        <w:rPr>
          <w:rFonts w:ascii="Times New Roman" w:hAnsi="Times New Roman" w:cs="Times New Roman"/>
          <w:noProof/>
          <w:sz w:val="22"/>
          <w:szCs w:val="22"/>
          <w:highlight w:val="lightGray"/>
        </w:rPr>
        <w:t xml:space="preserve"> hlásenia uvedené v </w:t>
      </w:r>
      <w:hyperlink r:id="rId10" w:history="1">
        <w:r w:rsidRPr="00BD034A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</w:rPr>
          <w:t>Prílohe V</w:t>
        </w:r>
      </w:hyperlink>
      <w:r w:rsidRPr="00BD034A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7E919055" w14:textId="77777777" w:rsidR="00BD034A" w:rsidRPr="00681D23" w:rsidRDefault="00BD034A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315B170C" w14:textId="77777777" w:rsidR="00666220" w:rsidRPr="00681D23" w:rsidRDefault="00666220" w:rsidP="00BA43E5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4.9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Predávkovanie</w:t>
      </w:r>
    </w:p>
    <w:p w14:paraId="0E8FFF1B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453A56D2" w14:textId="295D3FE3" w:rsidR="00666220" w:rsidRPr="00681D23" w:rsidRDefault="00245E04" w:rsidP="00023766">
      <w:pPr>
        <w:pStyle w:val="Zkladntext2"/>
        <w:rPr>
          <w:szCs w:val="22"/>
        </w:rPr>
      </w:pPr>
      <w:r>
        <w:rPr>
          <w:szCs w:val="22"/>
        </w:rPr>
        <w:t>Príznaky</w:t>
      </w:r>
      <w:r w:rsidR="00666220" w:rsidRPr="00681D23">
        <w:rPr>
          <w:szCs w:val="22"/>
        </w:rPr>
        <w:t xml:space="preserve"> akútneho predávkovania sú obvykle obmedzené na </w:t>
      </w:r>
      <w:r>
        <w:rPr>
          <w:szCs w:val="22"/>
        </w:rPr>
        <w:t>predĺženú</w:t>
      </w:r>
      <w:r w:rsidR="00666220" w:rsidRPr="00681D23">
        <w:rPr>
          <w:szCs w:val="22"/>
        </w:rPr>
        <w:t xml:space="preserve"> </w:t>
      </w:r>
      <w:proofErr w:type="spellStart"/>
      <w:r w:rsidR="00666220" w:rsidRPr="00681D23">
        <w:rPr>
          <w:szCs w:val="22"/>
        </w:rPr>
        <w:t>sedáciu</w:t>
      </w:r>
      <w:proofErr w:type="spellEnd"/>
      <w:r w:rsidR="00666220" w:rsidRPr="00681D23">
        <w:rPr>
          <w:szCs w:val="22"/>
        </w:rPr>
        <w:t xml:space="preserve">. Srdcové </w:t>
      </w:r>
      <w:proofErr w:type="spellStart"/>
      <w:r w:rsidR="00666220" w:rsidRPr="00681D23">
        <w:rPr>
          <w:szCs w:val="22"/>
        </w:rPr>
        <w:t>arytmie</w:t>
      </w:r>
      <w:proofErr w:type="spellEnd"/>
      <w:r w:rsidR="00666220" w:rsidRPr="00681D23">
        <w:rPr>
          <w:szCs w:val="22"/>
        </w:rPr>
        <w:t>, záchvaty</w:t>
      </w:r>
      <w:r w:rsidR="007B46FD" w:rsidRPr="00681D23">
        <w:rPr>
          <w:szCs w:val="22"/>
        </w:rPr>
        <w:t xml:space="preserve"> kŕčov</w:t>
      </w:r>
      <w:r w:rsidR="00666220" w:rsidRPr="00681D23">
        <w:rPr>
          <w:szCs w:val="22"/>
        </w:rPr>
        <w:t>, závažná hypotenzia a</w:t>
      </w:r>
      <w:r w:rsidR="00A30B98" w:rsidRPr="00681D23">
        <w:rPr>
          <w:szCs w:val="22"/>
        </w:rPr>
        <w:t> </w:t>
      </w:r>
      <w:r w:rsidR="00666220" w:rsidRPr="00681D23">
        <w:rPr>
          <w:szCs w:val="22"/>
        </w:rPr>
        <w:t xml:space="preserve">útlm dýchania sa vyskytujú zriedkavo. </w:t>
      </w:r>
      <w:r w:rsidR="00681D23" w:rsidRPr="00681D23">
        <w:rPr>
          <w:szCs w:val="22"/>
        </w:rPr>
        <w:t>Hlásilo</w:t>
      </w:r>
      <w:r w:rsidR="0044240C" w:rsidRPr="00681D23">
        <w:rPr>
          <w:szCs w:val="22"/>
        </w:rPr>
        <w:t xml:space="preserve"> sa tiež predĺženie QT intervalu na elektrokardiograme a </w:t>
      </w:r>
      <w:proofErr w:type="spellStart"/>
      <w:r w:rsidR="00E47666">
        <w:rPr>
          <w:i/>
          <w:szCs w:val="22"/>
        </w:rPr>
        <w:t>T</w:t>
      </w:r>
      <w:r w:rsidR="0044240C" w:rsidRPr="00681D23">
        <w:rPr>
          <w:i/>
          <w:szCs w:val="22"/>
        </w:rPr>
        <w:t>orsades</w:t>
      </w:r>
      <w:proofErr w:type="spellEnd"/>
      <w:r w:rsidR="0044240C" w:rsidRPr="00681D23">
        <w:rPr>
          <w:i/>
          <w:szCs w:val="22"/>
        </w:rPr>
        <w:t xml:space="preserve"> </w:t>
      </w:r>
      <w:proofErr w:type="spellStart"/>
      <w:r w:rsidR="0044240C" w:rsidRPr="00681D23">
        <w:rPr>
          <w:i/>
          <w:szCs w:val="22"/>
        </w:rPr>
        <w:t>de</w:t>
      </w:r>
      <w:proofErr w:type="spellEnd"/>
      <w:r w:rsidR="0044240C" w:rsidRPr="00681D23">
        <w:rPr>
          <w:i/>
          <w:szCs w:val="22"/>
        </w:rPr>
        <w:t xml:space="preserve"> </w:t>
      </w:r>
      <w:proofErr w:type="spellStart"/>
      <w:r w:rsidR="00E47666">
        <w:rPr>
          <w:i/>
          <w:szCs w:val="22"/>
        </w:rPr>
        <w:t>P</w:t>
      </w:r>
      <w:r w:rsidR="0044240C" w:rsidRPr="00681D23">
        <w:rPr>
          <w:i/>
          <w:szCs w:val="22"/>
        </w:rPr>
        <w:t>ointes</w:t>
      </w:r>
      <w:proofErr w:type="spellEnd"/>
      <w:r w:rsidR="0044240C" w:rsidRPr="00681D23">
        <w:rPr>
          <w:szCs w:val="22"/>
        </w:rPr>
        <w:t xml:space="preserve">. Má sa vykonať sledovanie EKG. </w:t>
      </w:r>
      <w:r w:rsidR="00666220" w:rsidRPr="00681D23">
        <w:rPr>
          <w:szCs w:val="22"/>
        </w:rPr>
        <w:t xml:space="preserve">Neexistuje špecifické </w:t>
      </w:r>
      <w:proofErr w:type="spellStart"/>
      <w:r w:rsidR="00666220" w:rsidRPr="00681D23">
        <w:rPr>
          <w:szCs w:val="22"/>
        </w:rPr>
        <w:t>antidotum</w:t>
      </w:r>
      <w:proofErr w:type="spellEnd"/>
      <w:r w:rsidR="00666220" w:rsidRPr="00681D23">
        <w:rPr>
          <w:szCs w:val="22"/>
        </w:rPr>
        <w:t>. V</w:t>
      </w:r>
      <w:r w:rsidR="00A30B98" w:rsidRPr="00681D23">
        <w:rPr>
          <w:szCs w:val="22"/>
        </w:rPr>
        <w:t> </w:t>
      </w:r>
      <w:r w:rsidR="00666220" w:rsidRPr="00681D23">
        <w:rPr>
          <w:szCs w:val="22"/>
        </w:rPr>
        <w:t>liečbe prichádza do úvahy výplach žalúdka s</w:t>
      </w:r>
      <w:r w:rsidR="00A30B98" w:rsidRPr="00681D23">
        <w:rPr>
          <w:szCs w:val="22"/>
        </w:rPr>
        <w:t> </w:t>
      </w:r>
      <w:r w:rsidR="00666220" w:rsidRPr="00681D23">
        <w:rPr>
          <w:szCs w:val="22"/>
        </w:rPr>
        <w:t>vhodnou symptomatickou a</w:t>
      </w:r>
      <w:r w:rsidR="00A30B98" w:rsidRPr="00681D23">
        <w:rPr>
          <w:szCs w:val="22"/>
        </w:rPr>
        <w:t> </w:t>
      </w:r>
      <w:r w:rsidR="00666220" w:rsidRPr="00681D23">
        <w:rPr>
          <w:szCs w:val="22"/>
        </w:rPr>
        <w:t>podpornou liečbou vitálnych funkcií.</w:t>
      </w:r>
    </w:p>
    <w:p w14:paraId="6A218FFA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49D53EC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2A94001" w14:textId="77777777" w:rsidR="00666220" w:rsidRPr="00681D23" w:rsidRDefault="00666220" w:rsidP="00BA43E5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5.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FARMAKOLOGICKÉ VLASTNOSTI</w:t>
      </w:r>
    </w:p>
    <w:p w14:paraId="720933D6" w14:textId="77777777" w:rsidR="00F67616" w:rsidRPr="00681D23" w:rsidRDefault="00F67616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661691E6" w14:textId="77777777" w:rsidR="00666220" w:rsidRPr="00681D23" w:rsidRDefault="00666220" w:rsidP="00BA43E5">
      <w:pPr>
        <w:keepNext/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5.1.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vlastnosti</w:t>
      </w:r>
    </w:p>
    <w:p w14:paraId="0AE819D2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5334B09" w14:textId="03294AA5" w:rsidR="00981D31" w:rsidRPr="00681D23" w:rsidRDefault="00981D31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Farmakoterapeutická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skupina: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Antidepresíva</w:t>
      </w:r>
      <w:proofErr w:type="spellEnd"/>
      <w:r w:rsidR="00737F39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37F39" w:rsidRPr="00737F3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37F39" w:rsidRPr="00681D23">
        <w:rPr>
          <w:rFonts w:ascii="Times New Roman" w:hAnsi="Times New Roman" w:cs="Times New Roman"/>
          <w:sz w:val="22"/>
          <w:szCs w:val="22"/>
          <w:lang w:val="sk-SK"/>
        </w:rPr>
        <w:t>ATC kód: N06AX03</w:t>
      </w:r>
    </w:p>
    <w:p w14:paraId="1BD23F29" w14:textId="77777777" w:rsidR="00981D31" w:rsidRPr="00681D23" w:rsidRDefault="00981D31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BCDC5C8" w14:textId="34085AAC" w:rsidR="00666220" w:rsidRPr="00681D23" w:rsidRDefault="00666220" w:rsidP="00023766">
      <w:pPr>
        <w:pStyle w:val="Zkladntext"/>
        <w:spacing w:before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</w:rPr>
        <w:t>Mianserín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, liečivo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Lerivonu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, patrí do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piperaz</w:t>
      </w:r>
      <w:r w:rsidR="00292DF3" w:rsidRPr="00681D23">
        <w:rPr>
          <w:rFonts w:ascii="Times New Roman" w:hAnsi="Times New Roman" w:cs="Times New Roman"/>
          <w:sz w:val="22"/>
          <w:szCs w:val="22"/>
        </w:rPr>
        <w:t>í</w:t>
      </w:r>
      <w:r w:rsidRPr="00681D23">
        <w:rPr>
          <w:rFonts w:ascii="Times New Roman" w:hAnsi="Times New Roman" w:cs="Times New Roman"/>
          <w:sz w:val="22"/>
          <w:szCs w:val="22"/>
        </w:rPr>
        <w:t>no-azepínovej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 skupiny zl</w:t>
      </w:r>
      <w:r w:rsidR="00C914D8">
        <w:rPr>
          <w:rFonts w:ascii="Times New Roman" w:hAnsi="Times New Roman" w:cs="Times New Roman"/>
          <w:sz w:val="22"/>
          <w:szCs w:val="22"/>
        </w:rPr>
        <w:t>účenín</w:t>
      </w:r>
      <w:r w:rsidRPr="00681D23">
        <w:rPr>
          <w:rFonts w:ascii="Times New Roman" w:hAnsi="Times New Roman" w:cs="Times New Roman"/>
          <w:sz w:val="22"/>
          <w:szCs w:val="22"/>
        </w:rPr>
        <w:t xml:space="preserve">, ktoré nie sú chemicky príbuzné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tricyklickým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antidepresívam</w:t>
      </w:r>
      <w:proofErr w:type="spellEnd"/>
      <w:r w:rsidR="00292DF3" w:rsidRPr="00681D23">
        <w:rPr>
          <w:rFonts w:ascii="Times New Roman" w:hAnsi="Times New Roman" w:cs="Times New Roman"/>
          <w:sz w:val="22"/>
          <w:szCs w:val="22"/>
        </w:rPr>
        <w:t xml:space="preserve"> (TCA)</w:t>
      </w:r>
      <w:r w:rsidRPr="00681D23">
        <w:rPr>
          <w:rFonts w:ascii="Times New Roman" w:hAnsi="Times New Roman" w:cs="Times New Roman"/>
          <w:sz w:val="22"/>
          <w:szCs w:val="22"/>
        </w:rPr>
        <w:t xml:space="preserve">. </w:t>
      </w:r>
      <w:r w:rsidR="00C914D8">
        <w:rPr>
          <w:rFonts w:ascii="Times New Roman" w:hAnsi="Times New Roman" w:cs="Times New Roman"/>
          <w:sz w:val="22"/>
          <w:szCs w:val="22"/>
        </w:rPr>
        <w:t>Jeho</w:t>
      </w:r>
      <w:r w:rsidRPr="00681D23">
        <w:rPr>
          <w:rFonts w:ascii="Times New Roman" w:hAnsi="Times New Roman" w:cs="Times New Roman"/>
          <w:sz w:val="22"/>
          <w:szCs w:val="22"/>
        </w:rPr>
        <w:t xml:space="preserve"> štruktúre chýba základný</w:t>
      </w:r>
      <w:r w:rsidR="00C914D8">
        <w:rPr>
          <w:rFonts w:ascii="Times New Roman" w:hAnsi="Times New Roman" w:cs="Times New Roman"/>
          <w:sz w:val="22"/>
          <w:szCs w:val="22"/>
        </w:rPr>
        <w:t xml:space="preserve"> </w:t>
      </w:r>
      <w:r w:rsidRPr="00681D23">
        <w:rPr>
          <w:rFonts w:ascii="Times New Roman" w:hAnsi="Times New Roman" w:cs="Times New Roman"/>
          <w:sz w:val="22"/>
          <w:szCs w:val="22"/>
        </w:rPr>
        <w:t xml:space="preserve">vedľajší reťazec, ktorý </w:t>
      </w:r>
      <w:r w:rsidR="00C914D8">
        <w:rPr>
          <w:rFonts w:ascii="Times New Roman" w:hAnsi="Times New Roman" w:cs="Times New Roman"/>
          <w:sz w:val="22"/>
          <w:szCs w:val="22"/>
        </w:rPr>
        <w:t>sa považuje za</w:t>
      </w:r>
      <w:r w:rsidRPr="00681D23">
        <w:rPr>
          <w:rFonts w:ascii="Times New Roman" w:hAnsi="Times New Roman" w:cs="Times New Roman"/>
          <w:sz w:val="22"/>
          <w:szCs w:val="22"/>
        </w:rPr>
        <w:t xml:space="preserve"> zodpovedný za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anticholinergnú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 aktivitu </w:t>
      </w:r>
      <w:r w:rsidR="00292DF3" w:rsidRPr="00681D23">
        <w:rPr>
          <w:rFonts w:ascii="Times New Roman" w:hAnsi="Times New Roman" w:cs="Times New Roman"/>
          <w:sz w:val="22"/>
          <w:szCs w:val="22"/>
        </w:rPr>
        <w:t>TCA</w:t>
      </w:r>
      <w:r w:rsidRPr="00681D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Lerivon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 zvyšuje centrálnu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noradrenerg</w:t>
      </w:r>
      <w:r w:rsidR="00C914D8" w:rsidRPr="00B14F55">
        <w:rPr>
          <w:rFonts w:ascii="Times New Roman" w:hAnsi="Times New Roman" w:cs="Times New Roman"/>
          <w:sz w:val="22"/>
          <w:szCs w:val="22"/>
        </w:rPr>
        <w:t>n</w:t>
      </w:r>
      <w:r w:rsidRPr="00B14F55">
        <w:rPr>
          <w:rFonts w:ascii="Times New Roman" w:hAnsi="Times New Roman" w:cs="Times New Roman"/>
          <w:sz w:val="22"/>
          <w:szCs w:val="22"/>
        </w:rPr>
        <w:t>ú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neurotransmisiu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 blokádou alfa</w:t>
      </w:r>
      <w:r w:rsidRPr="00B14F55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B14F55">
        <w:rPr>
          <w:rFonts w:ascii="Times New Roman" w:hAnsi="Times New Roman" w:cs="Times New Roman"/>
          <w:sz w:val="22"/>
          <w:szCs w:val="22"/>
        </w:rPr>
        <w:t>-autoreceptora a inhibíciou spätného vychytávania (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reuptake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noradrenalínu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. Ďalej sa zistili interakcie so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sérotonínovými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 receptormi v</w:t>
      </w:r>
      <w:r w:rsidR="00A30B98" w:rsidRPr="00B14F55">
        <w:rPr>
          <w:rFonts w:ascii="Times New Roman" w:hAnsi="Times New Roman" w:cs="Times New Roman"/>
          <w:sz w:val="22"/>
          <w:szCs w:val="22"/>
        </w:rPr>
        <w:t> </w:t>
      </w:r>
      <w:r w:rsidRPr="00B14F55">
        <w:rPr>
          <w:rFonts w:ascii="Times New Roman" w:hAnsi="Times New Roman" w:cs="Times New Roman"/>
          <w:sz w:val="22"/>
          <w:szCs w:val="22"/>
        </w:rPr>
        <w:t xml:space="preserve">centrálnom nervovom systéme.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Farmako-EEG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 štúdie u ľudí potvrdili antidepresívny profil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Lerivonu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. Antidepresívna účinnosť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Lerivonu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 sa dokázala v</w:t>
      </w:r>
      <w:r w:rsidR="00A30B98" w:rsidRPr="00B14F55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placebom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 kontrolovaných skúšaniach a ukázalo sa, že je podobná iným v</w:t>
      </w:r>
      <w:r w:rsidR="00A30B98" w:rsidRPr="00B14F55">
        <w:rPr>
          <w:rFonts w:ascii="Times New Roman" w:hAnsi="Times New Roman" w:cs="Times New Roman"/>
          <w:sz w:val="22"/>
          <w:szCs w:val="22"/>
        </w:rPr>
        <w:t> </w:t>
      </w:r>
      <w:r w:rsidRPr="00B14F55">
        <w:rPr>
          <w:rFonts w:ascii="Times New Roman" w:hAnsi="Times New Roman" w:cs="Times New Roman"/>
          <w:sz w:val="22"/>
          <w:szCs w:val="22"/>
        </w:rPr>
        <w:t xml:space="preserve">súčasnosti používaným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antidepresívam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. Okrem toho má </w:t>
      </w:r>
      <w:proofErr w:type="spellStart"/>
      <w:r w:rsidRPr="00B14F55">
        <w:rPr>
          <w:rFonts w:ascii="Times New Roman" w:hAnsi="Times New Roman" w:cs="Times New Roman"/>
          <w:sz w:val="22"/>
          <w:szCs w:val="22"/>
        </w:rPr>
        <w:t>anxiolytické</w:t>
      </w:r>
      <w:proofErr w:type="spellEnd"/>
      <w:r w:rsidRPr="00B14F55">
        <w:rPr>
          <w:rFonts w:ascii="Times New Roman" w:hAnsi="Times New Roman" w:cs="Times New Roman"/>
          <w:sz w:val="22"/>
          <w:szCs w:val="22"/>
        </w:rPr>
        <w:t xml:space="preserve"> vlastnosti a</w:t>
      </w:r>
      <w:r w:rsidR="00A30B98" w:rsidRPr="00B14F55">
        <w:rPr>
          <w:rFonts w:ascii="Times New Roman" w:hAnsi="Times New Roman" w:cs="Times New Roman"/>
          <w:sz w:val="22"/>
          <w:szCs w:val="22"/>
        </w:rPr>
        <w:t> </w:t>
      </w:r>
      <w:r w:rsidRPr="00B14F55">
        <w:rPr>
          <w:rFonts w:ascii="Times New Roman" w:hAnsi="Times New Roman" w:cs="Times New Roman"/>
          <w:sz w:val="22"/>
          <w:szCs w:val="22"/>
        </w:rPr>
        <w:t>zlepšuje zaspávanie. Tieto vlastnosti majú význam v</w:t>
      </w:r>
      <w:r w:rsidR="00A30B98" w:rsidRPr="00B14F55">
        <w:rPr>
          <w:rFonts w:ascii="Times New Roman" w:hAnsi="Times New Roman" w:cs="Times New Roman"/>
          <w:sz w:val="22"/>
          <w:szCs w:val="22"/>
        </w:rPr>
        <w:t> </w:t>
      </w:r>
      <w:r w:rsidRPr="00B14F55">
        <w:rPr>
          <w:rFonts w:ascii="Times New Roman" w:hAnsi="Times New Roman" w:cs="Times New Roman"/>
          <w:sz w:val="22"/>
          <w:szCs w:val="22"/>
        </w:rPr>
        <w:t>liečbe pacientov s</w:t>
      </w:r>
      <w:r w:rsidR="00A30B98" w:rsidRPr="00B14F55">
        <w:rPr>
          <w:rFonts w:ascii="Times New Roman" w:hAnsi="Times New Roman" w:cs="Times New Roman"/>
          <w:sz w:val="22"/>
          <w:szCs w:val="22"/>
        </w:rPr>
        <w:t> </w:t>
      </w:r>
      <w:r w:rsidR="009F7694" w:rsidRPr="00B14F55">
        <w:rPr>
          <w:rFonts w:ascii="Times New Roman" w:hAnsi="Times New Roman" w:cs="Times New Roman"/>
          <w:sz w:val="22"/>
          <w:szCs w:val="22"/>
        </w:rPr>
        <w:t>úzkosťou</w:t>
      </w:r>
      <w:r w:rsidRPr="00B14F55">
        <w:rPr>
          <w:rFonts w:ascii="Times New Roman" w:hAnsi="Times New Roman" w:cs="Times New Roman"/>
          <w:sz w:val="22"/>
          <w:szCs w:val="22"/>
        </w:rPr>
        <w:t xml:space="preserve"> alebo poruchami spánku spojenými s</w:t>
      </w:r>
      <w:r w:rsidR="00A30B98" w:rsidRPr="00B14F55">
        <w:rPr>
          <w:rFonts w:ascii="Times New Roman" w:hAnsi="Times New Roman" w:cs="Times New Roman"/>
          <w:sz w:val="22"/>
          <w:szCs w:val="22"/>
        </w:rPr>
        <w:t> </w:t>
      </w:r>
      <w:r w:rsidRPr="00B14F55">
        <w:rPr>
          <w:rFonts w:ascii="Times New Roman" w:hAnsi="Times New Roman" w:cs="Times New Roman"/>
          <w:sz w:val="22"/>
          <w:szCs w:val="22"/>
        </w:rPr>
        <w:t xml:space="preserve">depresívnou chorobou. </w:t>
      </w:r>
      <w:r w:rsidR="00C914D8" w:rsidRPr="00B14F55">
        <w:rPr>
          <w:rFonts w:ascii="Times New Roman" w:hAnsi="Times New Roman" w:cs="Times New Roman"/>
          <w:sz w:val="22"/>
          <w:szCs w:val="22"/>
        </w:rPr>
        <w:t xml:space="preserve">Antagonistický účinok </w:t>
      </w:r>
      <w:proofErr w:type="spellStart"/>
      <w:r w:rsidR="00C914D8" w:rsidRPr="00B14F55">
        <w:rPr>
          <w:rFonts w:ascii="Times New Roman" w:hAnsi="Times New Roman" w:cs="Times New Roman"/>
          <w:sz w:val="22"/>
          <w:szCs w:val="22"/>
        </w:rPr>
        <w:t>Lerivonu</w:t>
      </w:r>
      <w:proofErr w:type="spellEnd"/>
      <w:r w:rsidR="00C914D8" w:rsidRPr="00B14F55">
        <w:rPr>
          <w:rFonts w:ascii="Times New Roman" w:hAnsi="Times New Roman" w:cs="Times New Roman"/>
          <w:sz w:val="22"/>
          <w:szCs w:val="22"/>
        </w:rPr>
        <w:t xml:space="preserve"> na h</w:t>
      </w:r>
      <w:r w:rsidRPr="00B14F55">
        <w:rPr>
          <w:rFonts w:ascii="Times New Roman" w:hAnsi="Times New Roman" w:cs="Times New Roman"/>
          <w:sz w:val="22"/>
          <w:szCs w:val="22"/>
        </w:rPr>
        <w:t>istamín</w:t>
      </w:r>
      <w:r w:rsidR="00C914D8" w:rsidRPr="00B14F55">
        <w:rPr>
          <w:rFonts w:ascii="Times New Roman" w:hAnsi="Times New Roman" w:cs="Times New Roman"/>
          <w:sz w:val="22"/>
          <w:szCs w:val="22"/>
        </w:rPr>
        <w:t>ové</w:t>
      </w:r>
      <w:r w:rsidRPr="00B14F55">
        <w:rPr>
          <w:rFonts w:ascii="Times New Roman" w:hAnsi="Times New Roman" w:cs="Times New Roman"/>
          <w:sz w:val="22"/>
          <w:szCs w:val="22"/>
        </w:rPr>
        <w:t xml:space="preserve"> H</w:t>
      </w:r>
      <w:r w:rsidRPr="00B14F55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="00C914D8" w:rsidRPr="00B14F55">
        <w:rPr>
          <w:rFonts w:ascii="Times New Roman" w:hAnsi="Times New Roman" w:cs="Times New Roman"/>
          <w:sz w:val="22"/>
          <w:szCs w:val="22"/>
        </w:rPr>
        <w:t>-receptory</w:t>
      </w:r>
      <w:r w:rsidRPr="00B14F55">
        <w:rPr>
          <w:rFonts w:ascii="Times New Roman" w:hAnsi="Times New Roman" w:cs="Times New Roman"/>
          <w:sz w:val="22"/>
          <w:szCs w:val="22"/>
        </w:rPr>
        <w:t xml:space="preserve"> a</w:t>
      </w:r>
      <w:r w:rsidR="00A30B98" w:rsidRPr="00B14F55">
        <w:rPr>
          <w:rFonts w:ascii="Times New Roman" w:hAnsi="Times New Roman" w:cs="Times New Roman"/>
          <w:sz w:val="22"/>
          <w:szCs w:val="22"/>
        </w:rPr>
        <w:t> </w:t>
      </w:r>
      <w:r w:rsidRPr="00B14F55">
        <w:rPr>
          <w:rFonts w:ascii="Times New Roman" w:hAnsi="Times New Roman" w:cs="Times New Roman"/>
          <w:sz w:val="22"/>
          <w:szCs w:val="22"/>
        </w:rPr>
        <w:t>alfa</w:t>
      </w:r>
      <w:r w:rsidRPr="00B14F55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B14F55">
        <w:rPr>
          <w:rFonts w:ascii="Times New Roman" w:hAnsi="Times New Roman" w:cs="Times New Roman"/>
          <w:sz w:val="22"/>
          <w:szCs w:val="22"/>
        </w:rPr>
        <w:t>-</w:t>
      </w:r>
      <w:r w:rsidR="00C914D8" w:rsidRPr="00B14F55">
        <w:rPr>
          <w:rFonts w:ascii="Times New Roman" w:hAnsi="Times New Roman" w:cs="Times New Roman"/>
          <w:sz w:val="22"/>
          <w:szCs w:val="22"/>
        </w:rPr>
        <w:t>receptory</w:t>
      </w:r>
      <w:r w:rsidRPr="00B14F55">
        <w:rPr>
          <w:rFonts w:ascii="Times New Roman" w:hAnsi="Times New Roman" w:cs="Times New Roman"/>
          <w:sz w:val="22"/>
          <w:szCs w:val="22"/>
        </w:rPr>
        <w:t xml:space="preserve"> sa považuj</w:t>
      </w:r>
      <w:r w:rsidR="00C914D8" w:rsidRPr="00B14F55">
        <w:rPr>
          <w:rFonts w:ascii="Times New Roman" w:hAnsi="Times New Roman" w:cs="Times New Roman"/>
          <w:sz w:val="22"/>
          <w:szCs w:val="22"/>
        </w:rPr>
        <w:t>e</w:t>
      </w:r>
      <w:r w:rsidRPr="00B14F55">
        <w:rPr>
          <w:rFonts w:ascii="Times New Roman" w:hAnsi="Times New Roman" w:cs="Times New Roman"/>
          <w:sz w:val="22"/>
          <w:szCs w:val="22"/>
        </w:rPr>
        <w:t xml:space="preserve"> za zodpovedn</w:t>
      </w:r>
      <w:r w:rsidR="00C914D8" w:rsidRPr="00B14F55">
        <w:rPr>
          <w:rFonts w:ascii="Times New Roman" w:hAnsi="Times New Roman" w:cs="Times New Roman"/>
          <w:sz w:val="22"/>
          <w:szCs w:val="22"/>
        </w:rPr>
        <w:t>ý</w:t>
      </w:r>
      <w:r w:rsidRPr="00B14F55">
        <w:rPr>
          <w:rFonts w:ascii="Times New Roman" w:hAnsi="Times New Roman" w:cs="Times New Roman"/>
          <w:sz w:val="22"/>
          <w:szCs w:val="22"/>
        </w:rPr>
        <w:t xml:space="preserve"> za jeho sedatívne vlastnosti.</w:t>
      </w:r>
    </w:p>
    <w:p w14:paraId="50298B35" w14:textId="77777777" w:rsidR="00666220" w:rsidRPr="00681D23" w:rsidRDefault="00666220" w:rsidP="00023766">
      <w:pPr>
        <w:pStyle w:val="Zkladntext"/>
        <w:spacing w:before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4CE4C57" w14:textId="5AF6D8F5" w:rsidR="00666220" w:rsidRPr="00681D23" w:rsidRDefault="00666220" w:rsidP="00023766">
      <w:pPr>
        <w:pStyle w:val="Zkladntext3"/>
        <w:jc w:val="left"/>
        <w:rPr>
          <w:szCs w:val="22"/>
        </w:rPr>
      </w:pPr>
      <w:proofErr w:type="spellStart"/>
      <w:r w:rsidRPr="00681D23">
        <w:rPr>
          <w:szCs w:val="22"/>
        </w:rPr>
        <w:t>Lerivon</w:t>
      </w:r>
      <w:proofErr w:type="spellEnd"/>
      <w:r w:rsidRPr="00681D23">
        <w:rPr>
          <w:szCs w:val="22"/>
        </w:rPr>
        <w:t xml:space="preserve"> dobre znášajú aj starší pacienti ako aj pacienti s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>kardiovaskulárnymi ochoreniami. V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 xml:space="preserve">terapeuticky účinných dávkach nemá </w:t>
      </w:r>
      <w:proofErr w:type="spellStart"/>
      <w:r w:rsidRPr="00681D23">
        <w:rPr>
          <w:szCs w:val="22"/>
        </w:rPr>
        <w:t>Lerivon</w:t>
      </w:r>
      <w:proofErr w:type="spellEnd"/>
      <w:r w:rsidRPr="00681D23">
        <w:rPr>
          <w:szCs w:val="22"/>
        </w:rPr>
        <w:t xml:space="preserve"> skutočne žiadnu </w:t>
      </w:r>
      <w:proofErr w:type="spellStart"/>
      <w:r w:rsidRPr="00681D23">
        <w:rPr>
          <w:szCs w:val="22"/>
        </w:rPr>
        <w:t>anticholinergnú</w:t>
      </w:r>
      <w:proofErr w:type="spellEnd"/>
      <w:r w:rsidRPr="00681D23">
        <w:rPr>
          <w:szCs w:val="22"/>
        </w:rPr>
        <w:t xml:space="preserve"> aktivitu a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>prakticky žiadny účinok na kardiovaskulárny systém. Pri predávkovaní má v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>porovnaní s</w:t>
      </w:r>
      <w:r w:rsidR="00A30B98" w:rsidRPr="00681D23">
        <w:rPr>
          <w:szCs w:val="22"/>
        </w:rPr>
        <w:t> </w:t>
      </w:r>
      <w:r w:rsidR="00D028CB" w:rsidRPr="00681D23">
        <w:rPr>
          <w:szCs w:val="22"/>
        </w:rPr>
        <w:t>TCA</w:t>
      </w:r>
      <w:r w:rsidRPr="00681D23">
        <w:rPr>
          <w:szCs w:val="22"/>
        </w:rPr>
        <w:t xml:space="preserve"> menšiu </w:t>
      </w:r>
      <w:proofErr w:type="spellStart"/>
      <w:r w:rsidRPr="00681D23">
        <w:rPr>
          <w:szCs w:val="22"/>
        </w:rPr>
        <w:t>kardiotoxicitu</w:t>
      </w:r>
      <w:proofErr w:type="spellEnd"/>
      <w:r w:rsidRPr="00681D23">
        <w:rPr>
          <w:szCs w:val="22"/>
        </w:rPr>
        <w:t xml:space="preserve">. </w:t>
      </w:r>
      <w:proofErr w:type="spellStart"/>
      <w:r w:rsidRPr="00681D23">
        <w:rPr>
          <w:szCs w:val="22"/>
        </w:rPr>
        <w:t>Lerivon</w:t>
      </w:r>
      <w:proofErr w:type="spellEnd"/>
      <w:r w:rsidRPr="00681D23">
        <w:rPr>
          <w:szCs w:val="22"/>
        </w:rPr>
        <w:t xml:space="preserve"> nepôsobí antagonisticky proti účinku </w:t>
      </w:r>
      <w:proofErr w:type="spellStart"/>
      <w:r w:rsidRPr="00681D23">
        <w:rPr>
          <w:szCs w:val="22"/>
        </w:rPr>
        <w:t>sympatomimet</w:t>
      </w:r>
      <w:r w:rsidR="00C914D8">
        <w:rPr>
          <w:szCs w:val="22"/>
        </w:rPr>
        <w:t>í</w:t>
      </w:r>
      <w:r w:rsidRPr="00681D23">
        <w:rPr>
          <w:szCs w:val="22"/>
        </w:rPr>
        <w:t>k</w:t>
      </w:r>
      <w:proofErr w:type="spellEnd"/>
      <w:r w:rsidRPr="00681D23">
        <w:rPr>
          <w:szCs w:val="22"/>
        </w:rPr>
        <w:t xml:space="preserve"> a</w:t>
      </w:r>
      <w:r w:rsidR="00A30B98" w:rsidRPr="00681D23">
        <w:rPr>
          <w:szCs w:val="22"/>
        </w:rPr>
        <w:t> </w:t>
      </w:r>
      <w:proofErr w:type="spellStart"/>
      <w:r w:rsidRPr="00681D23">
        <w:rPr>
          <w:szCs w:val="22"/>
        </w:rPr>
        <w:t>antihypertenzív</w:t>
      </w:r>
      <w:proofErr w:type="spellEnd"/>
      <w:r w:rsidRPr="00681D23">
        <w:rPr>
          <w:szCs w:val="22"/>
        </w:rPr>
        <w:t>, ktoré sú v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>interakcii s</w:t>
      </w:r>
      <w:r w:rsidR="00A30B98" w:rsidRPr="00681D23">
        <w:rPr>
          <w:szCs w:val="22"/>
        </w:rPr>
        <w:t> </w:t>
      </w:r>
      <w:proofErr w:type="spellStart"/>
      <w:r w:rsidRPr="00681D23">
        <w:rPr>
          <w:szCs w:val="22"/>
        </w:rPr>
        <w:t>adrenergnými</w:t>
      </w:r>
      <w:proofErr w:type="spellEnd"/>
      <w:r w:rsidRPr="00681D23">
        <w:rPr>
          <w:szCs w:val="22"/>
        </w:rPr>
        <w:t xml:space="preserve"> receptormi (napr. </w:t>
      </w:r>
      <w:proofErr w:type="spellStart"/>
      <w:r w:rsidRPr="00681D23">
        <w:rPr>
          <w:szCs w:val="22"/>
        </w:rPr>
        <w:t>betanidín</w:t>
      </w:r>
      <w:proofErr w:type="spellEnd"/>
      <w:r w:rsidRPr="00681D23">
        <w:rPr>
          <w:szCs w:val="22"/>
        </w:rPr>
        <w:t>) alebo alfa</w:t>
      </w:r>
      <w:r w:rsidRPr="00681D23">
        <w:rPr>
          <w:szCs w:val="22"/>
          <w:vertAlign w:val="subscript"/>
        </w:rPr>
        <w:t>2</w:t>
      </w:r>
      <w:r w:rsidRPr="00681D23">
        <w:rPr>
          <w:szCs w:val="22"/>
        </w:rPr>
        <w:t xml:space="preserve">-receptormi (napr. </w:t>
      </w:r>
      <w:proofErr w:type="spellStart"/>
      <w:r w:rsidRPr="00681D23">
        <w:rPr>
          <w:szCs w:val="22"/>
        </w:rPr>
        <w:t>klonidín</w:t>
      </w:r>
      <w:proofErr w:type="spellEnd"/>
      <w:r w:rsidRPr="00681D23">
        <w:rPr>
          <w:szCs w:val="22"/>
        </w:rPr>
        <w:t xml:space="preserve">, </w:t>
      </w:r>
      <w:proofErr w:type="spellStart"/>
      <w:r w:rsidRPr="00681D23">
        <w:rPr>
          <w:szCs w:val="22"/>
        </w:rPr>
        <w:t>metyldopa</w:t>
      </w:r>
      <w:proofErr w:type="spellEnd"/>
      <w:r w:rsidRPr="00681D23">
        <w:rPr>
          <w:szCs w:val="22"/>
        </w:rPr>
        <w:t>).</w:t>
      </w:r>
    </w:p>
    <w:p w14:paraId="59538882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74A8DA6F" w14:textId="77777777" w:rsidR="00666220" w:rsidRPr="00681D23" w:rsidRDefault="00666220" w:rsidP="00BA43E5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5.2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vlastnosti</w:t>
      </w:r>
    </w:p>
    <w:p w14:paraId="0CD0D428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267B15D" w14:textId="4AEE1B33" w:rsidR="00666220" w:rsidRPr="00681D23" w:rsidRDefault="00666220" w:rsidP="00023766">
      <w:pPr>
        <w:pStyle w:val="Zkladntext3"/>
        <w:jc w:val="left"/>
        <w:rPr>
          <w:szCs w:val="22"/>
        </w:rPr>
      </w:pPr>
      <w:r w:rsidRPr="00681D23">
        <w:rPr>
          <w:szCs w:val="22"/>
        </w:rPr>
        <w:t xml:space="preserve">Po perorálnom podaní </w:t>
      </w:r>
      <w:proofErr w:type="spellStart"/>
      <w:r w:rsidRPr="00681D23">
        <w:rPr>
          <w:szCs w:val="22"/>
        </w:rPr>
        <w:t>Lerivonu</w:t>
      </w:r>
      <w:proofErr w:type="spellEnd"/>
      <w:r w:rsidRPr="00681D23">
        <w:rPr>
          <w:szCs w:val="22"/>
        </w:rPr>
        <w:t xml:space="preserve"> sa liečivo </w:t>
      </w:r>
      <w:proofErr w:type="spellStart"/>
      <w:r w:rsidRPr="00681D23">
        <w:rPr>
          <w:szCs w:val="22"/>
        </w:rPr>
        <w:t>mianserín</w:t>
      </w:r>
      <w:proofErr w:type="spellEnd"/>
      <w:r w:rsidRPr="00681D23">
        <w:rPr>
          <w:szCs w:val="22"/>
        </w:rPr>
        <w:t xml:space="preserve"> rýchl</w:t>
      </w:r>
      <w:r w:rsidR="00D028CB" w:rsidRPr="00681D23">
        <w:rPr>
          <w:szCs w:val="22"/>
        </w:rPr>
        <w:t>o</w:t>
      </w:r>
      <w:r w:rsidRPr="00681D23">
        <w:rPr>
          <w:szCs w:val="22"/>
        </w:rPr>
        <w:t xml:space="preserve"> a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 xml:space="preserve">dobre absorbuje, maximálne plazmatické koncentrácie </w:t>
      </w:r>
      <w:r w:rsidR="00D028CB" w:rsidRPr="00681D23">
        <w:rPr>
          <w:szCs w:val="22"/>
        </w:rPr>
        <w:t xml:space="preserve">dosahuje </w:t>
      </w:r>
      <w:r w:rsidRPr="00681D23">
        <w:rPr>
          <w:szCs w:val="22"/>
        </w:rPr>
        <w:t>do 3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>hodín. Biologická dostupnosť je približne 20</w:t>
      </w:r>
      <w:r w:rsidR="00D028CB" w:rsidRPr="00681D23">
        <w:rPr>
          <w:szCs w:val="22"/>
        </w:rPr>
        <w:t> </w:t>
      </w:r>
      <w:r w:rsidRPr="00681D23">
        <w:rPr>
          <w:szCs w:val="22"/>
        </w:rPr>
        <w:t xml:space="preserve">%. Väzba </w:t>
      </w:r>
      <w:proofErr w:type="spellStart"/>
      <w:r w:rsidRPr="00681D23">
        <w:rPr>
          <w:szCs w:val="22"/>
        </w:rPr>
        <w:t>mianserínu</w:t>
      </w:r>
      <w:proofErr w:type="spellEnd"/>
      <w:r w:rsidRPr="00681D23">
        <w:rPr>
          <w:szCs w:val="22"/>
        </w:rPr>
        <w:t xml:space="preserve"> na plazmatické proteíny je približne 95</w:t>
      </w:r>
      <w:r w:rsidR="00D028CB" w:rsidRPr="00681D23">
        <w:rPr>
          <w:szCs w:val="22"/>
        </w:rPr>
        <w:t> </w:t>
      </w:r>
      <w:r w:rsidRPr="00681D23">
        <w:rPr>
          <w:szCs w:val="22"/>
        </w:rPr>
        <w:t>%. Polčas eliminácie (21-61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>hodín) je dostatočný na to, aby sa mohlo použiť dávkovanie raz denne. Rovnovážne plazmatické koncentrácie sa dosahujú za 6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 xml:space="preserve">dní. </w:t>
      </w:r>
      <w:proofErr w:type="spellStart"/>
      <w:r w:rsidRPr="00681D23">
        <w:rPr>
          <w:szCs w:val="22"/>
        </w:rPr>
        <w:t>Mianserín</w:t>
      </w:r>
      <w:proofErr w:type="spellEnd"/>
      <w:r w:rsidRPr="00681D23">
        <w:rPr>
          <w:szCs w:val="22"/>
        </w:rPr>
        <w:t xml:space="preserve"> sa </w:t>
      </w:r>
      <w:r w:rsidR="00BF6AB1">
        <w:rPr>
          <w:szCs w:val="22"/>
        </w:rPr>
        <w:t>v </w:t>
      </w:r>
      <w:r w:rsidRPr="00681D23">
        <w:rPr>
          <w:szCs w:val="22"/>
        </w:rPr>
        <w:t>značne</w:t>
      </w:r>
      <w:r w:rsidR="00BF6AB1">
        <w:rPr>
          <w:szCs w:val="22"/>
        </w:rPr>
        <w:t>j miere</w:t>
      </w:r>
      <w:r w:rsidRPr="00681D23">
        <w:rPr>
          <w:szCs w:val="22"/>
        </w:rPr>
        <w:t xml:space="preserve"> metabolizuje a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>vylučuje močom a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 xml:space="preserve">stolicou </w:t>
      </w:r>
      <w:r w:rsidR="00BF6AB1">
        <w:rPr>
          <w:szCs w:val="22"/>
        </w:rPr>
        <w:t>v priebehu</w:t>
      </w:r>
      <w:r w:rsidRPr="00681D23">
        <w:rPr>
          <w:szCs w:val="22"/>
        </w:rPr>
        <w:t xml:space="preserve"> 7</w:t>
      </w:r>
      <w:r w:rsidR="00BA43E5" w:rsidRPr="00681D23">
        <w:rPr>
          <w:szCs w:val="22"/>
        </w:rPr>
        <w:t> </w:t>
      </w:r>
      <w:r w:rsidRPr="00681D23">
        <w:rPr>
          <w:szCs w:val="22"/>
        </w:rPr>
        <w:t>-</w:t>
      </w:r>
      <w:r w:rsidR="00BA43E5" w:rsidRPr="00681D23">
        <w:rPr>
          <w:szCs w:val="22"/>
        </w:rPr>
        <w:t> </w:t>
      </w:r>
      <w:r w:rsidRPr="00681D23">
        <w:rPr>
          <w:szCs w:val="22"/>
        </w:rPr>
        <w:t>9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 xml:space="preserve">dní. Hlavnými </w:t>
      </w:r>
      <w:proofErr w:type="spellStart"/>
      <w:r w:rsidRPr="00681D23">
        <w:rPr>
          <w:szCs w:val="22"/>
        </w:rPr>
        <w:t>biotransformačnými</w:t>
      </w:r>
      <w:proofErr w:type="spellEnd"/>
      <w:r w:rsidRPr="00681D23">
        <w:rPr>
          <w:szCs w:val="22"/>
        </w:rPr>
        <w:t xml:space="preserve"> cestami sú </w:t>
      </w:r>
      <w:proofErr w:type="spellStart"/>
      <w:r w:rsidRPr="00681D23">
        <w:rPr>
          <w:szCs w:val="22"/>
        </w:rPr>
        <w:t>demetylácia</w:t>
      </w:r>
      <w:proofErr w:type="spellEnd"/>
      <w:r w:rsidRPr="00681D23">
        <w:rPr>
          <w:szCs w:val="22"/>
        </w:rPr>
        <w:t xml:space="preserve"> a</w:t>
      </w:r>
      <w:r w:rsidR="00A30B98" w:rsidRPr="00681D23">
        <w:rPr>
          <w:szCs w:val="22"/>
        </w:rPr>
        <w:t> </w:t>
      </w:r>
      <w:r w:rsidRPr="00681D23">
        <w:rPr>
          <w:szCs w:val="22"/>
        </w:rPr>
        <w:t>oxidácia, nasledovan</w:t>
      </w:r>
      <w:r w:rsidR="00D028CB" w:rsidRPr="00681D23">
        <w:rPr>
          <w:szCs w:val="22"/>
        </w:rPr>
        <w:t>é</w:t>
      </w:r>
      <w:r w:rsidRPr="00681D23">
        <w:rPr>
          <w:szCs w:val="22"/>
        </w:rPr>
        <w:t xml:space="preserve"> konjugáciou.</w:t>
      </w:r>
    </w:p>
    <w:p w14:paraId="1F0C046B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B12493A" w14:textId="77777777" w:rsidR="00666220" w:rsidRPr="00681D23" w:rsidRDefault="00666220" w:rsidP="00BA43E5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5.3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Predklinické údaje o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bezpečnosti</w:t>
      </w:r>
    </w:p>
    <w:p w14:paraId="778FED11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67868B73" w14:textId="308F28F7" w:rsidR="00666220" w:rsidRPr="00681D23" w:rsidRDefault="009F7694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Žiadne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zvláštne údaje.</w:t>
      </w:r>
    </w:p>
    <w:p w14:paraId="2FA0B8BC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3DBC4BC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117423A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6.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FARMACEUTICKÉ INFORMÁCIE</w:t>
      </w:r>
    </w:p>
    <w:p w14:paraId="5454946B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BCEB58C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6.1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Zoznam pomocných látok</w:t>
      </w:r>
    </w:p>
    <w:p w14:paraId="54178C2E" w14:textId="77777777" w:rsidR="00666220" w:rsidRPr="00681D23" w:rsidRDefault="00666220" w:rsidP="00023766">
      <w:pPr>
        <w:pStyle w:val="Zarkazkladnhotextu"/>
        <w:keepNext/>
        <w:spacing w:before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669B620" w14:textId="62D2E0DF" w:rsidR="00887FA9" w:rsidRPr="00681D23" w:rsidRDefault="00887FA9" w:rsidP="00023766">
      <w:pPr>
        <w:pStyle w:val="Zarkazkladnhotextu"/>
        <w:spacing w:before="0" w:line="240" w:lineRule="auto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D23">
        <w:rPr>
          <w:rFonts w:ascii="Times New Roman" w:hAnsi="Times New Roman" w:cs="Times New Roman"/>
          <w:sz w:val="22"/>
          <w:szCs w:val="22"/>
        </w:rPr>
        <w:t xml:space="preserve">Tablety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Lerivonu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 </w:t>
      </w:r>
      <w:r w:rsidR="00433722" w:rsidRPr="00681D23">
        <w:rPr>
          <w:rFonts w:ascii="Times New Roman" w:hAnsi="Times New Roman" w:cs="Times New Roman"/>
          <w:sz w:val="22"/>
          <w:szCs w:val="22"/>
        </w:rPr>
        <w:t>10</w:t>
      </w:r>
      <w:r w:rsidR="00020377">
        <w:rPr>
          <w:rFonts w:ascii="Times New Roman" w:hAnsi="Times New Roman" w:cs="Times New Roman"/>
          <w:sz w:val="22"/>
          <w:szCs w:val="22"/>
        </w:rPr>
        <w:t xml:space="preserve"> mg</w:t>
      </w:r>
      <w:r w:rsidR="00433722" w:rsidRPr="00681D23">
        <w:rPr>
          <w:rFonts w:ascii="Times New Roman" w:hAnsi="Times New Roman" w:cs="Times New Roman"/>
          <w:sz w:val="22"/>
          <w:szCs w:val="22"/>
        </w:rPr>
        <w:t>, 3</w:t>
      </w:r>
      <w:r w:rsidRPr="00681D23">
        <w:rPr>
          <w:rFonts w:ascii="Times New Roman" w:hAnsi="Times New Roman" w:cs="Times New Roman"/>
          <w:sz w:val="22"/>
          <w:szCs w:val="22"/>
        </w:rPr>
        <w:t>0</w:t>
      </w:r>
      <w:r w:rsidR="00020377">
        <w:rPr>
          <w:rFonts w:ascii="Times New Roman" w:hAnsi="Times New Roman" w:cs="Times New Roman"/>
          <w:sz w:val="22"/>
          <w:szCs w:val="22"/>
        </w:rPr>
        <w:t xml:space="preserve"> mg</w:t>
      </w:r>
      <w:r w:rsidRPr="00681D23">
        <w:rPr>
          <w:rFonts w:ascii="Times New Roman" w:hAnsi="Times New Roman" w:cs="Times New Roman"/>
          <w:sz w:val="22"/>
          <w:szCs w:val="22"/>
        </w:rPr>
        <w:t xml:space="preserve"> a 60 mg obsahujú:</w:t>
      </w:r>
    </w:p>
    <w:p w14:paraId="407CB54E" w14:textId="7F234D10" w:rsidR="00981D31" w:rsidRPr="00681D23" w:rsidRDefault="00666220" w:rsidP="00023766">
      <w:pPr>
        <w:pStyle w:val="Zarkazkladnhotextu"/>
        <w:spacing w:before="0" w:line="240" w:lineRule="auto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D23">
        <w:rPr>
          <w:rFonts w:ascii="Times New Roman" w:hAnsi="Times New Roman" w:cs="Times New Roman"/>
          <w:b/>
          <w:sz w:val="22"/>
          <w:szCs w:val="22"/>
        </w:rPr>
        <w:t>Jadro:</w:t>
      </w:r>
      <w:r w:rsidRPr="00681D23">
        <w:rPr>
          <w:rFonts w:ascii="Times New Roman" w:hAnsi="Times New Roman" w:cs="Times New Roman"/>
          <w:sz w:val="22"/>
          <w:szCs w:val="22"/>
        </w:rPr>
        <w:t xml:space="preserve"> zemiakový škrob, </w:t>
      </w:r>
      <w:r w:rsidR="009F7694" w:rsidRPr="00681D23">
        <w:rPr>
          <w:rFonts w:ascii="Times New Roman" w:hAnsi="Times New Roman" w:cs="Times New Roman"/>
          <w:sz w:val="22"/>
          <w:szCs w:val="22"/>
        </w:rPr>
        <w:t xml:space="preserve">bezvodý </w:t>
      </w:r>
      <w:r w:rsidRPr="00681D23">
        <w:rPr>
          <w:rFonts w:ascii="Times New Roman" w:hAnsi="Times New Roman" w:cs="Times New Roman"/>
          <w:sz w:val="22"/>
          <w:szCs w:val="22"/>
        </w:rPr>
        <w:t xml:space="preserve">koloidný oxid kremičitý,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magnéziumstearát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metylcelulóz</w:t>
      </w:r>
      <w:r w:rsidR="003C11F7" w:rsidRPr="00681D23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81D23">
        <w:rPr>
          <w:rFonts w:ascii="Times New Roman" w:hAnsi="Times New Roman" w:cs="Times New Roman"/>
          <w:sz w:val="22"/>
          <w:szCs w:val="22"/>
        </w:rPr>
        <w:t>dihydrát</w:t>
      </w:r>
      <w:proofErr w:type="spellEnd"/>
      <w:r w:rsidRPr="00681D23">
        <w:rPr>
          <w:rFonts w:ascii="Times New Roman" w:hAnsi="Times New Roman" w:cs="Times New Roman"/>
          <w:sz w:val="22"/>
          <w:szCs w:val="22"/>
        </w:rPr>
        <w:t xml:space="preserve"> fosforečnanu vápenatého</w:t>
      </w:r>
      <w:r w:rsidR="005673E9" w:rsidRPr="00681D23">
        <w:rPr>
          <w:rFonts w:ascii="Times New Roman" w:hAnsi="Times New Roman" w:cs="Times New Roman"/>
          <w:sz w:val="22"/>
          <w:szCs w:val="22"/>
        </w:rPr>
        <w:t>.</w:t>
      </w:r>
    </w:p>
    <w:p w14:paraId="0B443659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Obalová vrstva: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hypromelóza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makrogol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8000, oxid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titaničitý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(E171).</w:t>
      </w:r>
    </w:p>
    <w:p w14:paraId="52E5B2F9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10FCE9A" w14:textId="77777777" w:rsidR="00666220" w:rsidRPr="00681D23" w:rsidRDefault="00666220" w:rsidP="00BA43E5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6.2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proofErr w:type="spellStart"/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lnkompatibility</w:t>
      </w:r>
      <w:proofErr w:type="spellEnd"/>
    </w:p>
    <w:p w14:paraId="6675C31C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4ECAE8DB" w14:textId="77777777" w:rsidR="00666220" w:rsidRPr="00681D23" w:rsidRDefault="00803C51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bookmarkStart w:id="1" w:name="OLE_LINK1"/>
      <w:r w:rsidRPr="00681D23">
        <w:rPr>
          <w:rFonts w:ascii="Times New Roman" w:hAnsi="Times New Roman" w:cs="Times New Roman"/>
          <w:sz w:val="22"/>
          <w:szCs w:val="22"/>
          <w:lang w:val="sk-SK"/>
        </w:rPr>
        <w:t>Neaplikovateľné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bookmarkEnd w:id="1"/>
    <w:p w14:paraId="5953F1AC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46B44B4" w14:textId="77777777" w:rsidR="00666220" w:rsidRPr="00681D23" w:rsidRDefault="00666220" w:rsidP="00BA43E5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6.3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Čas použiteľnosti</w:t>
      </w:r>
    </w:p>
    <w:p w14:paraId="2237727A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442F77EE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5</w:t>
      </w:r>
      <w:r w:rsidR="00BA43E5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rokov</w:t>
      </w:r>
    </w:p>
    <w:p w14:paraId="6C18B57B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AF72F97" w14:textId="77777777" w:rsidR="00666220" w:rsidRPr="00681D23" w:rsidRDefault="00666220" w:rsidP="00F1725B">
      <w:pPr>
        <w:keepNext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>6.4</w:t>
      </w:r>
      <w:r w:rsidR="00A30B98" w:rsidRPr="00681D23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Špeciálne upozornenia na uchovávanie</w:t>
      </w:r>
    </w:p>
    <w:p w14:paraId="47E969BB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6089F569" w14:textId="55CCE97F" w:rsidR="00F1725B" w:rsidRPr="00681D23" w:rsidRDefault="001B2B90" w:rsidP="00023766">
      <w:pPr>
        <w:pStyle w:val="Zkladntext2"/>
        <w:widowControl w:val="0"/>
        <w:rPr>
          <w:szCs w:val="22"/>
        </w:rPr>
      </w:pPr>
      <w:r w:rsidRPr="00A27C8F">
        <w:rPr>
          <w:szCs w:val="22"/>
        </w:rPr>
        <w:t xml:space="preserve">Uchovávajte </w:t>
      </w:r>
      <w:r w:rsidR="004A144F" w:rsidRPr="00A27C8F">
        <w:rPr>
          <w:szCs w:val="22"/>
        </w:rPr>
        <w:t xml:space="preserve">pri teplote </w:t>
      </w:r>
      <w:r w:rsidR="00C914D8" w:rsidRPr="00A27C8F">
        <w:rPr>
          <w:szCs w:val="22"/>
        </w:rPr>
        <w:t xml:space="preserve">do </w:t>
      </w:r>
      <w:r w:rsidR="004A144F" w:rsidRPr="00A27C8F">
        <w:rPr>
          <w:szCs w:val="22"/>
        </w:rPr>
        <w:t>30 °C</w:t>
      </w:r>
      <w:r w:rsidR="00BA43E5" w:rsidRPr="00A27C8F">
        <w:rPr>
          <w:szCs w:val="22"/>
        </w:rPr>
        <w:t>.</w:t>
      </w:r>
    </w:p>
    <w:p w14:paraId="2798AC1D" w14:textId="77777777" w:rsidR="00666220" w:rsidRPr="00681D23" w:rsidRDefault="00F1725B" w:rsidP="00023766">
      <w:pPr>
        <w:pStyle w:val="Zkladntext2"/>
        <w:widowControl w:val="0"/>
        <w:rPr>
          <w:szCs w:val="22"/>
        </w:rPr>
      </w:pPr>
      <w:r w:rsidRPr="00681D23">
        <w:rPr>
          <w:noProof/>
        </w:rPr>
        <w:t>Uchovávajte v</w:t>
      </w:r>
      <w:r w:rsidR="00B80370" w:rsidRPr="00681D23">
        <w:rPr>
          <w:noProof/>
        </w:rPr>
        <w:t xml:space="preserve"> pôvodnom </w:t>
      </w:r>
      <w:r w:rsidR="004A144F" w:rsidRPr="00681D23">
        <w:rPr>
          <w:szCs w:val="22"/>
        </w:rPr>
        <w:t>obale na ochranu pred svetlom a vlhkosťou</w:t>
      </w:r>
      <w:r w:rsidR="001B2B90" w:rsidRPr="00681D23">
        <w:rPr>
          <w:szCs w:val="22"/>
        </w:rPr>
        <w:t>.</w:t>
      </w:r>
    </w:p>
    <w:p w14:paraId="270FAEC0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1FAFC9E7" w14:textId="77777777" w:rsidR="00666220" w:rsidRPr="00681D23" w:rsidRDefault="00666220" w:rsidP="00F1725B">
      <w:pPr>
        <w:keepNext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6.5</w:t>
      </w:r>
      <w:r w:rsidR="00A30B98" w:rsidRPr="00681D23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Druh obalu a</w:t>
      </w:r>
      <w:r w:rsidR="00A30B98" w:rsidRPr="00681D23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obsah balenia</w:t>
      </w:r>
    </w:p>
    <w:p w14:paraId="35E167B4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2354347E" w14:textId="1098D457" w:rsidR="001B2B90" w:rsidRPr="00681D23" w:rsidRDefault="001B2B9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Tablety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Lerivonu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sú okrúhle</w:t>
      </w:r>
      <w:r w:rsidR="009F769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bikonvexné (10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mg tablety) alebo oválne bikonvexné </w:t>
      </w:r>
      <w:r w:rsidR="00FD4E44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s deliacou ryhou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(30</w:t>
      </w:r>
      <w:r w:rsidR="0040200D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60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mg tablety). </w:t>
      </w:r>
      <w:r w:rsidR="0040200D">
        <w:rPr>
          <w:rFonts w:ascii="Times New Roman" w:hAnsi="Times New Roman" w:cs="Times New Roman"/>
          <w:sz w:val="22"/>
          <w:szCs w:val="22"/>
          <w:lang w:val="sk-SK"/>
        </w:rPr>
        <w:t>T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ablety sú označené nápisom </w:t>
      </w:r>
      <w:r w:rsidR="0040200D">
        <w:rPr>
          <w:rFonts w:ascii="Times New Roman" w:hAnsi="Times New Roman" w:cs="Times New Roman"/>
          <w:sz w:val="22"/>
          <w:szCs w:val="22"/>
          <w:lang w:val="sk-SK"/>
        </w:rPr>
        <w:t>„</w:t>
      </w:r>
      <w:proofErr w:type="spellStart"/>
      <w:r w:rsidR="0040200D">
        <w:rPr>
          <w:rFonts w:ascii="Times New Roman" w:hAnsi="Times New Roman" w:cs="Times New Roman"/>
          <w:sz w:val="22"/>
          <w:szCs w:val="22"/>
          <w:lang w:val="sk-SK"/>
        </w:rPr>
        <w:t>Organon</w:t>
      </w:r>
      <w:proofErr w:type="spellEnd"/>
      <w:r w:rsidR="0040200D">
        <w:rPr>
          <w:rFonts w:ascii="Times New Roman" w:hAnsi="Times New Roman" w:cs="Times New Roman"/>
          <w:sz w:val="22"/>
          <w:szCs w:val="22"/>
          <w:lang w:val="sk-SK"/>
        </w:rPr>
        <w:t xml:space="preserve">*“ (10 mg tablety) alebo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„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Organon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“ </w:t>
      </w:r>
      <w:r w:rsidR="0040200D">
        <w:rPr>
          <w:rFonts w:ascii="Times New Roman" w:hAnsi="Times New Roman" w:cs="Times New Roman"/>
          <w:sz w:val="22"/>
          <w:szCs w:val="22"/>
          <w:lang w:val="sk-SK"/>
        </w:rPr>
        <w:t xml:space="preserve">(30 a 60 mg tablety)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na jednej strane a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kódom</w:t>
      </w:r>
      <w:r w:rsidR="007B46FD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na druhej strane.</w:t>
      </w:r>
    </w:p>
    <w:p w14:paraId="706E7FEA" w14:textId="77777777" w:rsidR="001B2B90" w:rsidRPr="00681D23" w:rsidRDefault="001B2B90" w:rsidP="0002376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A2E3269" w14:textId="77777777" w:rsidR="00666220" w:rsidRPr="00681D23" w:rsidRDefault="00666220" w:rsidP="00023766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Balenie 10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1B2B9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(kód CT/4)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tabliet:</w:t>
      </w:r>
    </w:p>
    <w:p w14:paraId="3950D078" w14:textId="77777777" w:rsidR="00666220" w:rsidRPr="00681D23" w:rsidRDefault="001B2B90" w:rsidP="0002376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Pretláčací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b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lister</w:t>
      </w:r>
      <w:proofErr w:type="spellEnd"/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z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PVC fólie a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B46FD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hliníkovej 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fólie </w:t>
      </w:r>
      <w:r w:rsidR="00FF366D" w:rsidRPr="00681D23">
        <w:rPr>
          <w:rFonts w:ascii="Times New Roman" w:hAnsi="Times New Roman" w:cs="Times New Roman"/>
          <w:sz w:val="22"/>
          <w:szCs w:val="22"/>
          <w:lang w:val="sk-SK"/>
        </w:rPr>
        <w:t>s 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tepelne </w:t>
      </w:r>
      <w:r w:rsidR="00FF366D" w:rsidRPr="00681D23">
        <w:rPr>
          <w:rFonts w:ascii="Times New Roman" w:hAnsi="Times New Roman" w:cs="Times New Roman"/>
          <w:sz w:val="22"/>
          <w:szCs w:val="22"/>
          <w:lang w:val="sk-SK"/>
        </w:rPr>
        <w:t>nanesenou vrstvou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na strane kontaktu s tablet</w:t>
      </w:r>
      <w:r w:rsidR="00FD4E44" w:rsidRPr="00681D23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C5A5BC4" w14:textId="77777777" w:rsidR="00666220" w:rsidRPr="00681D23" w:rsidRDefault="00666220" w:rsidP="0002376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17F55AD" w14:textId="77777777" w:rsidR="00666220" w:rsidRPr="00681D23" w:rsidRDefault="00666220" w:rsidP="00023766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Balenia 30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1B2B9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(kód CT/7)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a 60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</w:t>
      </w:r>
      <w:r w:rsidR="001B2B9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(kód CT/9)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tabliet:</w:t>
      </w:r>
    </w:p>
    <w:p w14:paraId="6D06C834" w14:textId="77777777" w:rsidR="00666220" w:rsidRPr="00681D23" w:rsidRDefault="00666220" w:rsidP="00023766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Balenie </w:t>
      </w:r>
      <w:r w:rsidR="007B46FD" w:rsidRPr="00681D23">
        <w:rPr>
          <w:rFonts w:ascii="Times New Roman" w:hAnsi="Times New Roman" w:cs="Times New Roman"/>
          <w:sz w:val="22"/>
          <w:szCs w:val="22"/>
          <w:lang w:val="sk-SK"/>
        </w:rPr>
        <w:t>za</w:t>
      </w:r>
      <w:r w:rsidR="001B2B90" w:rsidRPr="00681D23">
        <w:rPr>
          <w:rFonts w:ascii="Times New Roman" w:hAnsi="Times New Roman" w:cs="Times New Roman"/>
          <w:sz w:val="22"/>
          <w:szCs w:val="22"/>
          <w:lang w:val="sk-SK"/>
        </w:rPr>
        <w:t>bezpeč</w:t>
      </w:r>
      <w:r w:rsidR="007B46FD" w:rsidRPr="00681D23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1B2B9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né pred </w:t>
      </w:r>
      <w:r w:rsidR="007B46FD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použitím </w:t>
      </w:r>
      <w:r w:rsidR="001B2B90" w:rsidRPr="00681D23">
        <w:rPr>
          <w:rFonts w:ascii="Times New Roman" w:hAnsi="Times New Roman" w:cs="Times New Roman"/>
          <w:sz w:val="22"/>
          <w:szCs w:val="22"/>
          <w:lang w:val="sk-SK"/>
        </w:rPr>
        <w:t>deťmi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1B2B9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pretláčací </w:t>
      </w: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blister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z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nepriehľadnej bielej PVC fólie a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7B46FD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hliníkovej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fólie </w:t>
      </w:r>
      <w:r w:rsidR="00FF366D" w:rsidRPr="00681D23">
        <w:rPr>
          <w:rFonts w:ascii="Times New Roman" w:hAnsi="Times New Roman" w:cs="Times New Roman"/>
          <w:sz w:val="22"/>
          <w:szCs w:val="22"/>
          <w:lang w:val="sk-SK"/>
        </w:rPr>
        <w:t>s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tepelne </w:t>
      </w:r>
      <w:r w:rsidR="00FF366D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nanesenou vrstvou 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na strane kontaktu s tabletami.</w:t>
      </w:r>
    </w:p>
    <w:p w14:paraId="383B647C" w14:textId="77777777" w:rsidR="00666220" w:rsidRPr="00681D23" w:rsidRDefault="00666220" w:rsidP="0002376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98AAA9C" w14:textId="77777777" w:rsidR="00666220" w:rsidRPr="00681D23" w:rsidRDefault="00666220" w:rsidP="00F1725B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Veľkosti balenia:</w:t>
      </w:r>
    </w:p>
    <w:p w14:paraId="37BFFA0A" w14:textId="77777777" w:rsidR="00666220" w:rsidRPr="00681D23" w:rsidRDefault="00666220" w:rsidP="00F1725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30</w:t>
      </w:r>
      <w:r w:rsidR="00F1725B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x</w:t>
      </w:r>
      <w:r w:rsidR="00F1725B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10</w:t>
      </w:r>
      <w:r w:rsidR="00A30B98" w:rsidRPr="00681D2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mg tablety</w:t>
      </w:r>
    </w:p>
    <w:p w14:paraId="5AE82387" w14:textId="77777777" w:rsidR="00666220" w:rsidRPr="0097370E" w:rsidRDefault="00666220" w:rsidP="00F1725B">
      <w:pPr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  <w:r w:rsidRPr="00D142E5">
        <w:rPr>
          <w:rFonts w:ascii="Times New Roman" w:hAnsi="Times New Roman"/>
          <w:sz w:val="22"/>
          <w:lang w:val="sk-SK"/>
        </w:rPr>
        <w:t>20</w:t>
      </w:r>
      <w:r w:rsidR="00F1725B" w:rsidRPr="00D142E5">
        <w:rPr>
          <w:rFonts w:ascii="Times New Roman" w:hAnsi="Times New Roman"/>
          <w:sz w:val="22"/>
          <w:lang w:val="sk-SK"/>
        </w:rPr>
        <w:t> </w:t>
      </w:r>
      <w:r w:rsidRPr="00D142E5">
        <w:rPr>
          <w:rFonts w:ascii="Times New Roman" w:hAnsi="Times New Roman"/>
          <w:sz w:val="22"/>
          <w:lang w:val="sk-SK"/>
        </w:rPr>
        <w:t>x</w:t>
      </w:r>
      <w:r w:rsidR="00F1725B" w:rsidRPr="00D142E5">
        <w:rPr>
          <w:rFonts w:ascii="Times New Roman" w:hAnsi="Times New Roman"/>
          <w:sz w:val="22"/>
          <w:lang w:val="sk-SK"/>
        </w:rPr>
        <w:t> </w:t>
      </w:r>
      <w:r w:rsidRPr="00D142E5">
        <w:rPr>
          <w:rFonts w:ascii="Times New Roman" w:hAnsi="Times New Roman"/>
          <w:sz w:val="22"/>
          <w:lang w:val="sk-SK"/>
        </w:rPr>
        <w:t>30</w:t>
      </w:r>
      <w:r w:rsidR="00A30B98" w:rsidRPr="00D142E5">
        <w:rPr>
          <w:rFonts w:ascii="Times New Roman" w:hAnsi="Times New Roman"/>
          <w:sz w:val="22"/>
          <w:lang w:val="sk-SK"/>
        </w:rPr>
        <w:t> </w:t>
      </w:r>
      <w:r w:rsidRPr="00D142E5">
        <w:rPr>
          <w:rFonts w:ascii="Times New Roman" w:hAnsi="Times New Roman"/>
          <w:sz w:val="22"/>
          <w:lang w:val="sk-SK"/>
        </w:rPr>
        <w:t>mg tablety</w:t>
      </w:r>
    </w:p>
    <w:p w14:paraId="16A7E057" w14:textId="77777777" w:rsidR="00666220" w:rsidRPr="00681D23" w:rsidRDefault="00666220" w:rsidP="00F1725B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D142E5">
        <w:rPr>
          <w:rFonts w:ascii="Times New Roman" w:hAnsi="Times New Roman"/>
          <w:sz w:val="22"/>
          <w:lang w:val="sk-SK"/>
        </w:rPr>
        <w:t>30</w:t>
      </w:r>
      <w:r w:rsidR="00F1725B" w:rsidRPr="00D142E5">
        <w:rPr>
          <w:rFonts w:ascii="Times New Roman" w:hAnsi="Times New Roman"/>
          <w:sz w:val="22"/>
          <w:lang w:val="sk-SK"/>
        </w:rPr>
        <w:t> </w:t>
      </w:r>
      <w:r w:rsidRPr="00D142E5">
        <w:rPr>
          <w:rFonts w:ascii="Times New Roman" w:hAnsi="Times New Roman"/>
          <w:sz w:val="22"/>
          <w:lang w:val="sk-SK"/>
        </w:rPr>
        <w:t>x</w:t>
      </w:r>
      <w:r w:rsidR="00F1725B" w:rsidRPr="00D142E5">
        <w:rPr>
          <w:rFonts w:ascii="Times New Roman" w:hAnsi="Times New Roman"/>
          <w:sz w:val="22"/>
          <w:lang w:val="sk-SK"/>
        </w:rPr>
        <w:t> </w:t>
      </w:r>
      <w:r w:rsidRPr="00D142E5">
        <w:rPr>
          <w:rFonts w:ascii="Times New Roman" w:hAnsi="Times New Roman"/>
          <w:sz w:val="22"/>
          <w:lang w:val="sk-SK"/>
        </w:rPr>
        <w:t>60</w:t>
      </w:r>
      <w:r w:rsidR="00A30B98" w:rsidRPr="00D142E5">
        <w:rPr>
          <w:rFonts w:ascii="Times New Roman" w:hAnsi="Times New Roman"/>
          <w:sz w:val="22"/>
          <w:lang w:val="sk-SK"/>
        </w:rPr>
        <w:t> </w:t>
      </w:r>
      <w:r w:rsidRPr="00D142E5">
        <w:rPr>
          <w:rFonts w:ascii="Times New Roman" w:hAnsi="Times New Roman"/>
          <w:sz w:val="22"/>
          <w:lang w:val="sk-SK"/>
        </w:rPr>
        <w:t>mg tablety</w:t>
      </w:r>
    </w:p>
    <w:p w14:paraId="41562B78" w14:textId="77777777" w:rsidR="00D40F87" w:rsidRPr="00681D23" w:rsidRDefault="00D40F87" w:rsidP="00023766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1CE6779" w14:textId="5216B504" w:rsidR="00D40F87" w:rsidRPr="00681D23" w:rsidRDefault="004B0847" w:rsidP="00023766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a trh </w:t>
      </w:r>
      <w:r>
        <w:rPr>
          <w:rFonts w:ascii="Times New Roman" w:hAnsi="Times New Roman" w:cs="Times New Roman"/>
          <w:sz w:val="22"/>
          <w:szCs w:val="22"/>
          <w:lang w:val="sk-SK"/>
        </w:rPr>
        <w:t>ne</w:t>
      </w:r>
      <w:r w:rsidRPr="00681D23">
        <w:rPr>
          <w:rFonts w:ascii="Times New Roman" w:hAnsi="Times New Roman" w:cs="Times New Roman"/>
          <w:sz w:val="22"/>
          <w:szCs w:val="22"/>
          <w:lang w:val="sk-SK"/>
        </w:rPr>
        <w:t>musia byť uvedené</w:t>
      </w:r>
      <w:r w:rsidRPr="00681D23" w:rsidDel="004B08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40F87" w:rsidRPr="00681D23">
        <w:rPr>
          <w:rFonts w:ascii="Times New Roman" w:hAnsi="Times New Roman" w:cs="Times New Roman"/>
          <w:sz w:val="22"/>
          <w:szCs w:val="22"/>
          <w:lang w:val="sk-SK"/>
        </w:rPr>
        <w:t>všetky veľkosti balenia.</w:t>
      </w:r>
    </w:p>
    <w:p w14:paraId="06644E60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11F5BF1" w14:textId="77777777" w:rsidR="00666220" w:rsidRPr="00681D23" w:rsidRDefault="00666220" w:rsidP="00F1725B">
      <w:pPr>
        <w:keepNext/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sz w:val="22"/>
          <w:szCs w:val="22"/>
          <w:lang w:val="sk-SK"/>
        </w:rPr>
        <w:t>6.6</w:t>
      </w:r>
      <w:r w:rsidR="00A30B98" w:rsidRPr="00681D23">
        <w:rPr>
          <w:rFonts w:ascii="Times New Roman" w:hAnsi="Times New Roman" w:cs="Times New Roman"/>
          <w:b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Špeciálne opatrenia na likvidáciu a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iné zaobchádzanie s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liekom</w:t>
      </w:r>
    </w:p>
    <w:p w14:paraId="3B1706B1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7D687B7B" w14:textId="77777777" w:rsidR="00666220" w:rsidRPr="00681D23" w:rsidRDefault="007D31EB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Neaplikovateľné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C560CF4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7C3BBC70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1AB8FFB0" w14:textId="77777777" w:rsidR="00666220" w:rsidRPr="00681D23" w:rsidRDefault="00666220" w:rsidP="00F1725B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7.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DRŽITEĽ ROZHODNUTIA O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REGISTRÁCII</w:t>
      </w:r>
    </w:p>
    <w:p w14:paraId="4635C519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22E38646" w14:textId="77777777" w:rsidR="001D17B4" w:rsidRPr="001D17B4" w:rsidRDefault="001D17B4" w:rsidP="001D17B4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1D17B4">
        <w:rPr>
          <w:rFonts w:ascii="Times New Roman" w:hAnsi="Times New Roman" w:cs="Times New Roman"/>
          <w:sz w:val="22"/>
          <w:szCs w:val="22"/>
          <w:lang w:val="sk-SK"/>
        </w:rPr>
        <w:t>Merck</w:t>
      </w:r>
      <w:proofErr w:type="spellEnd"/>
      <w:r w:rsidRPr="001D17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1D17B4">
        <w:rPr>
          <w:rFonts w:ascii="Times New Roman" w:hAnsi="Times New Roman" w:cs="Times New Roman"/>
          <w:sz w:val="22"/>
          <w:szCs w:val="22"/>
          <w:lang w:val="sk-SK"/>
        </w:rPr>
        <w:t>Sharp</w:t>
      </w:r>
      <w:proofErr w:type="spellEnd"/>
      <w:r w:rsidRPr="001D17B4">
        <w:rPr>
          <w:rFonts w:ascii="Times New Roman" w:hAnsi="Times New Roman" w:cs="Times New Roman"/>
          <w:sz w:val="22"/>
          <w:szCs w:val="22"/>
          <w:lang w:val="sk-SK"/>
        </w:rPr>
        <w:t xml:space="preserve"> &amp; </w:t>
      </w:r>
      <w:proofErr w:type="spellStart"/>
      <w:r w:rsidRPr="001D17B4">
        <w:rPr>
          <w:rFonts w:ascii="Times New Roman" w:hAnsi="Times New Roman" w:cs="Times New Roman"/>
          <w:sz w:val="22"/>
          <w:szCs w:val="22"/>
          <w:lang w:val="sk-SK"/>
        </w:rPr>
        <w:t>Dohme</w:t>
      </w:r>
      <w:proofErr w:type="spellEnd"/>
      <w:r w:rsidRPr="001D17B4">
        <w:rPr>
          <w:rFonts w:ascii="Times New Roman" w:hAnsi="Times New Roman" w:cs="Times New Roman"/>
          <w:sz w:val="22"/>
          <w:szCs w:val="22"/>
          <w:lang w:val="sk-SK"/>
        </w:rPr>
        <w:t xml:space="preserve"> B.V.</w:t>
      </w:r>
    </w:p>
    <w:p w14:paraId="0DA2E820" w14:textId="77777777" w:rsidR="001D17B4" w:rsidRPr="001D17B4" w:rsidRDefault="001D17B4" w:rsidP="001D17B4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1D17B4">
        <w:rPr>
          <w:rFonts w:ascii="Times New Roman" w:hAnsi="Times New Roman" w:cs="Times New Roman"/>
          <w:sz w:val="22"/>
          <w:szCs w:val="22"/>
          <w:lang w:val="sk-SK"/>
        </w:rPr>
        <w:t>Waarderweg</w:t>
      </w:r>
      <w:proofErr w:type="spellEnd"/>
      <w:r w:rsidRPr="001D17B4">
        <w:rPr>
          <w:rFonts w:ascii="Times New Roman" w:hAnsi="Times New Roman" w:cs="Times New Roman"/>
          <w:sz w:val="22"/>
          <w:szCs w:val="22"/>
          <w:lang w:val="sk-SK"/>
        </w:rPr>
        <w:t xml:space="preserve"> 39, 2031 BN </w:t>
      </w:r>
      <w:proofErr w:type="spellStart"/>
      <w:r w:rsidRPr="001D17B4">
        <w:rPr>
          <w:rFonts w:ascii="Times New Roman" w:hAnsi="Times New Roman" w:cs="Times New Roman"/>
          <w:sz w:val="22"/>
          <w:szCs w:val="22"/>
          <w:lang w:val="sk-SK"/>
        </w:rPr>
        <w:t>Haarlem</w:t>
      </w:r>
      <w:proofErr w:type="spellEnd"/>
    </w:p>
    <w:p w14:paraId="3DAFCC0C" w14:textId="77777777" w:rsidR="001D17B4" w:rsidRPr="001D17B4" w:rsidRDefault="001D17B4" w:rsidP="001D17B4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1D17B4">
        <w:rPr>
          <w:rFonts w:ascii="Times New Roman" w:hAnsi="Times New Roman" w:cs="Times New Roman"/>
          <w:sz w:val="22"/>
          <w:szCs w:val="22"/>
          <w:lang w:val="sk-SK"/>
        </w:rPr>
        <w:t xml:space="preserve">P.O. Box 581, 2003 PC </w:t>
      </w:r>
      <w:proofErr w:type="spellStart"/>
      <w:r w:rsidRPr="001D17B4">
        <w:rPr>
          <w:rFonts w:ascii="Times New Roman" w:hAnsi="Times New Roman" w:cs="Times New Roman"/>
          <w:sz w:val="22"/>
          <w:szCs w:val="22"/>
          <w:lang w:val="sk-SK"/>
        </w:rPr>
        <w:t>Haarlem</w:t>
      </w:r>
      <w:proofErr w:type="spellEnd"/>
    </w:p>
    <w:p w14:paraId="07635F13" w14:textId="77777777" w:rsidR="001D17B4" w:rsidRDefault="001D17B4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1D17B4">
        <w:rPr>
          <w:rFonts w:ascii="Times New Roman" w:hAnsi="Times New Roman" w:cs="Times New Roman"/>
          <w:sz w:val="22"/>
          <w:szCs w:val="22"/>
          <w:lang w:val="sk-SK"/>
        </w:rPr>
        <w:t>Holandsko</w:t>
      </w:r>
    </w:p>
    <w:p w14:paraId="2362E6CD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43D16DF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6A33F07" w14:textId="77777777" w:rsidR="00666220" w:rsidRPr="00681D23" w:rsidRDefault="00666220" w:rsidP="00F1725B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8.</w:t>
      </w:r>
      <w:r w:rsidR="00A30B98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REGISTRAČNÉ ČÍSL</w:t>
      </w:r>
      <w:r w:rsidR="00F1725B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A</w:t>
      </w:r>
    </w:p>
    <w:p w14:paraId="4FB5DD76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0EFDE39E" w14:textId="77777777" w:rsidR="00666220" w:rsidRPr="00681D23" w:rsidRDefault="00F1725B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10 mg: 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30/0150/80-C/S </w:t>
      </w:r>
    </w:p>
    <w:p w14:paraId="3D11DF84" w14:textId="77777777" w:rsidR="00F1725B" w:rsidRPr="00681D23" w:rsidRDefault="00F1725B" w:rsidP="00F1725B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30 mg:</w:t>
      </w:r>
      <w:r w:rsidR="00B8037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30/0156/13-S</w:t>
      </w:r>
    </w:p>
    <w:p w14:paraId="71B8B0DA" w14:textId="77777777" w:rsidR="00F1725B" w:rsidRPr="00681D23" w:rsidRDefault="00F1725B" w:rsidP="00F1725B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681D23">
        <w:rPr>
          <w:rFonts w:ascii="Times New Roman" w:hAnsi="Times New Roman" w:cs="Times New Roman"/>
          <w:sz w:val="22"/>
          <w:szCs w:val="22"/>
          <w:lang w:val="sk-SK"/>
        </w:rPr>
        <w:t>Lerivon</w:t>
      </w:r>
      <w:proofErr w:type="spellEnd"/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60 mg:</w:t>
      </w:r>
      <w:r w:rsidR="00B80370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30/0157/13-S</w:t>
      </w:r>
    </w:p>
    <w:p w14:paraId="55659C98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363567BC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39D95C15" w14:textId="77777777" w:rsidR="00666220" w:rsidRPr="00681D23" w:rsidRDefault="00666220" w:rsidP="00F1725B">
      <w:pPr>
        <w:keepNext/>
        <w:widowControl/>
        <w:tabs>
          <w:tab w:val="left" w:pos="567"/>
        </w:tabs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9.</w:t>
      </w:r>
      <w:r w:rsidR="00A30B98" w:rsidRPr="00681D23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 xml:space="preserve">DÁTUM </w:t>
      </w:r>
      <w:r w:rsidR="00433722" w:rsidRPr="00681D23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 xml:space="preserve">PRVEJ </w:t>
      </w:r>
      <w:r w:rsidRPr="00681D23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 xml:space="preserve">registrácie/PREDĹŽENIA REGISTRÁCIE </w:t>
      </w:r>
    </w:p>
    <w:p w14:paraId="62AE61BA" w14:textId="77777777" w:rsidR="00666220" w:rsidRPr="00681D23" w:rsidRDefault="00666220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6E7FD14" w14:textId="611EB268" w:rsidR="00433722" w:rsidRPr="00681D23" w:rsidRDefault="00433722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>Dátum prvej registrácie:</w:t>
      </w:r>
      <w:r w:rsidR="00F1725B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27.</w:t>
      </w:r>
      <w:r w:rsidR="00981D31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jún</w:t>
      </w:r>
      <w:r w:rsidR="00745D2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981D31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1980</w:t>
      </w:r>
    </w:p>
    <w:p w14:paraId="1CE4C04F" w14:textId="31268C72" w:rsidR="00666220" w:rsidRPr="00681D23" w:rsidRDefault="00433722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Dátum posledného predĺženia: 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8.</w:t>
      </w:r>
      <w:r w:rsidR="00981D31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novemb</w:t>
      </w:r>
      <w:r w:rsidR="00745D2C">
        <w:rPr>
          <w:rFonts w:ascii="Times New Roman" w:hAnsi="Times New Roman" w:cs="Times New Roman"/>
          <w:sz w:val="22"/>
          <w:szCs w:val="22"/>
          <w:lang w:val="sk-SK"/>
        </w:rPr>
        <w:t>ra</w:t>
      </w:r>
      <w:r w:rsidR="00981D31" w:rsidRPr="00681D2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66220" w:rsidRPr="00681D23">
        <w:rPr>
          <w:rFonts w:ascii="Times New Roman" w:hAnsi="Times New Roman" w:cs="Times New Roman"/>
          <w:sz w:val="22"/>
          <w:szCs w:val="22"/>
          <w:lang w:val="sk-SK"/>
        </w:rPr>
        <w:t>2006</w:t>
      </w:r>
    </w:p>
    <w:p w14:paraId="0EB25A96" w14:textId="77777777" w:rsidR="00666220" w:rsidRPr="00681D23" w:rsidRDefault="00666220" w:rsidP="00023766">
      <w:pPr>
        <w:widowControl/>
        <w:rPr>
          <w:rFonts w:ascii="Times New Roman" w:hAnsi="Times New Roman" w:cs="Times New Roman"/>
          <w:sz w:val="22"/>
          <w:szCs w:val="22"/>
          <w:lang w:val="sk-SK"/>
        </w:rPr>
      </w:pPr>
    </w:p>
    <w:p w14:paraId="6B49F5B2" w14:textId="77777777" w:rsidR="00666220" w:rsidRPr="00681D23" w:rsidRDefault="00666220" w:rsidP="00023766">
      <w:pPr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F639944" w14:textId="77777777" w:rsidR="00666220" w:rsidRDefault="00666220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10.</w:t>
      </w:r>
      <w:r w:rsidR="00872C4C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DÁTUM REVÍZIE </w:t>
      </w:r>
      <w:r w:rsidR="007D31EB" w:rsidRPr="00681D23">
        <w:rPr>
          <w:rFonts w:ascii="Times New Roman" w:hAnsi="Times New Roman" w:cs="Times New Roman"/>
          <w:b/>
          <w:bCs/>
          <w:sz w:val="22"/>
          <w:szCs w:val="22"/>
          <w:lang w:val="sk-SK"/>
        </w:rPr>
        <w:t>TEXTU</w:t>
      </w:r>
    </w:p>
    <w:p w14:paraId="56135110" w14:textId="77777777" w:rsidR="00481B4A" w:rsidRDefault="00481B4A" w:rsidP="00023766">
      <w:pPr>
        <w:keepNext/>
        <w:widowControl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27A23878" w14:textId="75FAFA13" w:rsidR="00681D23" w:rsidRPr="00681D23" w:rsidRDefault="0086709C" w:rsidP="00D142E5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05/2017</w:t>
      </w:r>
    </w:p>
    <w:sectPr w:rsidR="00681D23" w:rsidRPr="00681D23" w:rsidSect="00A27C8F"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1134" w:right="1418" w:bottom="1134" w:left="1418" w:header="737" w:footer="737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3CCD2" w14:textId="77777777" w:rsidR="00D16061" w:rsidRDefault="00D16061">
      <w:r>
        <w:separator/>
      </w:r>
    </w:p>
  </w:endnote>
  <w:endnote w:type="continuationSeparator" w:id="0">
    <w:p w14:paraId="2BA0965F" w14:textId="77777777" w:rsidR="00D16061" w:rsidRDefault="00D16061">
      <w:r>
        <w:continuationSeparator/>
      </w:r>
    </w:p>
  </w:endnote>
  <w:endnote w:type="continuationNotice" w:id="1">
    <w:p w14:paraId="32179D3B" w14:textId="77777777" w:rsidR="00D16061" w:rsidRDefault="00D16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EF873" w14:textId="77777777" w:rsidR="0018280C" w:rsidRDefault="0018280C" w:rsidP="00981D3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EE30C4" w14:textId="77777777" w:rsidR="0018280C" w:rsidRDefault="0018280C" w:rsidP="00FA7D3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36357" w14:textId="77777777" w:rsidR="0018280C" w:rsidRPr="00981D31" w:rsidRDefault="0018280C" w:rsidP="00A27C8F">
    <w:pPr>
      <w:pStyle w:val="Pta"/>
      <w:framePr w:wrap="around" w:vAnchor="text" w:hAnchor="page" w:x="5692" w:y="-9"/>
      <w:rPr>
        <w:rStyle w:val="slostrany"/>
        <w:sz w:val="16"/>
        <w:szCs w:val="16"/>
      </w:rPr>
    </w:pPr>
    <w:r w:rsidRPr="00981D31">
      <w:rPr>
        <w:rStyle w:val="slostrany"/>
        <w:sz w:val="16"/>
        <w:szCs w:val="16"/>
      </w:rPr>
      <w:fldChar w:fldCharType="begin"/>
    </w:r>
    <w:r w:rsidRPr="00981D31">
      <w:rPr>
        <w:rStyle w:val="slostrany"/>
        <w:sz w:val="16"/>
        <w:szCs w:val="16"/>
      </w:rPr>
      <w:instrText xml:space="preserve">PAGE  </w:instrText>
    </w:r>
    <w:r w:rsidRPr="00981D31">
      <w:rPr>
        <w:rStyle w:val="slostrany"/>
        <w:sz w:val="16"/>
        <w:szCs w:val="16"/>
      </w:rPr>
      <w:fldChar w:fldCharType="separate"/>
    </w:r>
    <w:r w:rsidR="00954B54">
      <w:rPr>
        <w:rStyle w:val="slostrany"/>
        <w:noProof/>
        <w:sz w:val="16"/>
        <w:szCs w:val="16"/>
      </w:rPr>
      <w:t>6</w:t>
    </w:r>
    <w:r w:rsidRPr="00981D31">
      <w:rPr>
        <w:rStyle w:val="slostrany"/>
        <w:sz w:val="16"/>
        <w:szCs w:val="16"/>
      </w:rPr>
      <w:fldChar w:fldCharType="end"/>
    </w:r>
  </w:p>
  <w:p w14:paraId="1C36B834" w14:textId="77777777" w:rsidR="0018280C" w:rsidRPr="00981D31" w:rsidRDefault="0018280C" w:rsidP="00981D3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80603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CB59DF" w14:textId="2C27D7C3" w:rsidR="00745D2C" w:rsidRPr="00A27C8F" w:rsidRDefault="00745D2C">
        <w:pPr>
          <w:pStyle w:val="Pta"/>
          <w:jc w:val="center"/>
          <w:rPr>
            <w:sz w:val="16"/>
            <w:szCs w:val="16"/>
          </w:rPr>
        </w:pPr>
        <w:r w:rsidRPr="00A27C8F">
          <w:rPr>
            <w:sz w:val="16"/>
            <w:szCs w:val="16"/>
          </w:rPr>
          <w:fldChar w:fldCharType="begin"/>
        </w:r>
        <w:r w:rsidRPr="00A27C8F">
          <w:rPr>
            <w:sz w:val="16"/>
            <w:szCs w:val="16"/>
          </w:rPr>
          <w:instrText>PAGE   \* MERGEFORMAT</w:instrText>
        </w:r>
        <w:r w:rsidRPr="00A27C8F">
          <w:rPr>
            <w:sz w:val="16"/>
            <w:szCs w:val="16"/>
          </w:rPr>
          <w:fldChar w:fldCharType="separate"/>
        </w:r>
        <w:r w:rsidR="00954B54" w:rsidRPr="00954B54">
          <w:rPr>
            <w:noProof/>
            <w:sz w:val="16"/>
            <w:szCs w:val="16"/>
            <w:lang w:val="sk-SK"/>
          </w:rPr>
          <w:t>1</w:t>
        </w:r>
        <w:r w:rsidRPr="00A27C8F">
          <w:rPr>
            <w:sz w:val="16"/>
            <w:szCs w:val="16"/>
          </w:rPr>
          <w:fldChar w:fldCharType="end"/>
        </w:r>
      </w:p>
    </w:sdtContent>
  </w:sdt>
  <w:p w14:paraId="4BD5925A" w14:textId="77777777" w:rsidR="00745D2C" w:rsidRDefault="00745D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9B835" w14:textId="77777777" w:rsidR="00D16061" w:rsidRDefault="00D16061">
      <w:r>
        <w:separator/>
      </w:r>
    </w:p>
  </w:footnote>
  <w:footnote w:type="continuationSeparator" w:id="0">
    <w:p w14:paraId="5CF93590" w14:textId="77777777" w:rsidR="00D16061" w:rsidRDefault="00D16061">
      <w:r>
        <w:continuationSeparator/>
      </w:r>
    </w:p>
  </w:footnote>
  <w:footnote w:type="continuationNotice" w:id="1">
    <w:p w14:paraId="1DFE4B71" w14:textId="77777777" w:rsidR="00D16061" w:rsidRDefault="00D160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FA4B" w14:textId="4AC5C14E" w:rsidR="00D0383D" w:rsidRPr="00954B54" w:rsidRDefault="001D17B4" w:rsidP="00A27C8F">
    <w:pPr>
      <w:widowControl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Schválený text k </w:t>
    </w:r>
    <w:proofErr w:type="spellStart"/>
    <w:r>
      <w:rPr>
        <w:rFonts w:ascii="Times New Roman" w:hAnsi="Times New Roman" w:cs="Times New Roman"/>
        <w:sz w:val="18"/>
        <w:szCs w:val="18"/>
      </w:rPr>
      <w:t>rozhodnutiu</w:t>
    </w:r>
    <w:proofErr w:type="spellEnd"/>
    <w:r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>
      <w:rPr>
        <w:rFonts w:ascii="Times New Roman" w:hAnsi="Times New Roman" w:cs="Times New Roman"/>
        <w:sz w:val="18"/>
        <w:szCs w:val="18"/>
      </w:rPr>
      <w:t>prevode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ev.č</w:t>
    </w:r>
    <w:proofErr w:type="spellEnd"/>
    <w:r>
      <w:rPr>
        <w:rFonts w:ascii="Times New Roman" w:hAnsi="Times New Roman" w:cs="Times New Roman"/>
        <w:sz w:val="18"/>
        <w:szCs w:val="18"/>
      </w:rPr>
      <w:t xml:space="preserve">.: </w:t>
    </w:r>
    <w:r w:rsidR="0097380F">
      <w:rPr>
        <w:rFonts w:ascii="Times New Roman" w:hAnsi="Times New Roman" w:cs="Times New Roman"/>
        <w:sz w:val="18"/>
        <w:szCs w:val="18"/>
      </w:rPr>
      <w:t>2017/01906</w:t>
    </w:r>
    <w:r w:rsidR="009F6522">
      <w:rPr>
        <w:rFonts w:ascii="Times New Roman" w:hAnsi="Times New Roman" w:cs="Times New Roman"/>
        <w:sz w:val="18"/>
        <w:szCs w:val="18"/>
      </w:rPr>
      <w:t>-TR; 2017/01908-TR; 2017/0190</w:t>
    </w:r>
    <w:r w:rsidR="0097380F">
      <w:rPr>
        <w:rFonts w:ascii="Times New Roman" w:hAnsi="Times New Roman" w:cs="Times New Roman"/>
        <w:sz w:val="18"/>
        <w:szCs w:val="18"/>
      </w:rPr>
      <w:t>9</w:t>
    </w:r>
    <w:r w:rsidR="009F6522">
      <w:rPr>
        <w:rFonts w:ascii="Times New Roman" w:hAnsi="Times New Roman" w:cs="Times New Roman"/>
        <w:sz w:val="18"/>
        <w:szCs w:val="18"/>
      </w:rPr>
      <w:t>-</w:t>
    </w:r>
    <w:r w:rsidR="0097380F">
      <w:rPr>
        <w:rFonts w:ascii="Times New Roman" w:hAnsi="Times New Roman" w:cs="Times New Roman"/>
        <w:sz w:val="18"/>
        <w:szCs w:val="18"/>
      </w:rPr>
      <w:t>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5BEA"/>
    <w:multiLevelType w:val="multilevel"/>
    <w:tmpl w:val="BBCABADE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5111834"/>
    <w:multiLevelType w:val="hybridMultilevel"/>
    <w:tmpl w:val="94CE5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37920997"/>
    <w:multiLevelType w:val="hybridMultilevel"/>
    <w:tmpl w:val="43E2B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3CB34D03"/>
    <w:multiLevelType w:val="hybridMultilevel"/>
    <w:tmpl w:val="877888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5904EC"/>
    <w:multiLevelType w:val="hybridMultilevel"/>
    <w:tmpl w:val="0764CA4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5">
    <w:nsid w:val="68AE1C0C"/>
    <w:multiLevelType w:val="hybridMultilevel"/>
    <w:tmpl w:val="49300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7C0"/>
    <w:rsid w:val="00013146"/>
    <w:rsid w:val="00020377"/>
    <w:rsid w:val="00023766"/>
    <w:rsid w:val="00033467"/>
    <w:rsid w:val="000367D1"/>
    <w:rsid w:val="000418A0"/>
    <w:rsid w:val="00077C7B"/>
    <w:rsid w:val="000844C8"/>
    <w:rsid w:val="00092204"/>
    <w:rsid w:val="000957DB"/>
    <w:rsid w:val="000978B4"/>
    <w:rsid w:val="000A687C"/>
    <w:rsid w:val="000B497A"/>
    <w:rsid w:val="000C7511"/>
    <w:rsid w:val="000D0C42"/>
    <w:rsid w:val="000D6044"/>
    <w:rsid w:val="0010732C"/>
    <w:rsid w:val="00111BF5"/>
    <w:rsid w:val="00111F79"/>
    <w:rsid w:val="001363CA"/>
    <w:rsid w:val="00171856"/>
    <w:rsid w:val="00174DCE"/>
    <w:rsid w:val="0018280C"/>
    <w:rsid w:val="001854F9"/>
    <w:rsid w:val="00194485"/>
    <w:rsid w:val="001A7502"/>
    <w:rsid w:val="001B0387"/>
    <w:rsid w:val="001B1149"/>
    <w:rsid w:val="001B2B90"/>
    <w:rsid w:val="001B3447"/>
    <w:rsid w:val="001B70ED"/>
    <w:rsid w:val="001B7DDA"/>
    <w:rsid w:val="001D17B4"/>
    <w:rsid w:val="001F1D68"/>
    <w:rsid w:val="001F30DA"/>
    <w:rsid w:val="00207C4E"/>
    <w:rsid w:val="00217A9A"/>
    <w:rsid w:val="00233E55"/>
    <w:rsid w:val="00237980"/>
    <w:rsid w:val="00245E04"/>
    <w:rsid w:val="00245EFD"/>
    <w:rsid w:val="00271202"/>
    <w:rsid w:val="0027443F"/>
    <w:rsid w:val="00291FBC"/>
    <w:rsid w:val="00292DF3"/>
    <w:rsid w:val="002A0B68"/>
    <w:rsid w:val="002B28E6"/>
    <w:rsid w:val="002F7CF2"/>
    <w:rsid w:val="00304087"/>
    <w:rsid w:val="0033025A"/>
    <w:rsid w:val="003639FD"/>
    <w:rsid w:val="003A2345"/>
    <w:rsid w:val="003A3015"/>
    <w:rsid w:val="003C11F7"/>
    <w:rsid w:val="003D08E9"/>
    <w:rsid w:val="003E2B07"/>
    <w:rsid w:val="004011C1"/>
    <w:rsid w:val="0040200D"/>
    <w:rsid w:val="004038DE"/>
    <w:rsid w:val="00416E9F"/>
    <w:rsid w:val="00433722"/>
    <w:rsid w:val="0044240C"/>
    <w:rsid w:val="0044489A"/>
    <w:rsid w:val="00454245"/>
    <w:rsid w:val="0046068C"/>
    <w:rsid w:val="00476946"/>
    <w:rsid w:val="00481B4A"/>
    <w:rsid w:val="00487460"/>
    <w:rsid w:val="00492E02"/>
    <w:rsid w:val="004A144F"/>
    <w:rsid w:val="004B0100"/>
    <w:rsid w:val="004B0847"/>
    <w:rsid w:val="004B0E29"/>
    <w:rsid w:val="004C00BA"/>
    <w:rsid w:val="004C203F"/>
    <w:rsid w:val="004E6FAA"/>
    <w:rsid w:val="004F271C"/>
    <w:rsid w:val="004F7B66"/>
    <w:rsid w:val="00537040"/>
    <w:rsid w:val="0055061F"/>
    <w:rsid w:val="00555BB0"/>
    <w:rsid w:val="005673E9"/>
    <w:rsid w:val="0057297B"/>
    <w:rsid w:val="00585587"/>
    <w:rsid w:val="005B2AA4"/>
    <w:rsid w:val="005B2FBA"/>
    <w:rsid w:val="005B32C6"/>
    <w:rsid w:val="005B3815"/>
    <w:rsid w:val="005B649E"/>
    <w:rsid w:val="005F2912"/>
    <w:rsid w:val="00607E55"/>
    <w:rsid w:val="00615B54"/>
    <w:rsid w:val="00632158"/>
    <w:rsid w:val="00641961"/>
    <w:rsid w:val="0066110E"/>
    <w:rsid w:val="00665FC9"/>
    <w:rsid w:val="00666220"/>
    <w:rsid w:val="00670175"/>
    <w:rsid w:val="00672FCC"/>
    <w:rsid w:val="006766DD"/>
    <w:rsid w:val="00681D23"/>
    <w:rsid w:val="006A1AC2"/>
    <w:rsid w:val="006A47C0"/>
    <w:rsid w:val="006C24CA"/>
    <w:rsid w:val="006C27D9"/>
    <w:rsid w:val="006D2450"/>
    <w:rsid w:val="006E065C"/>
    <w:rsid w:val="006E0CB4"/>
    <w:rsid w:val="006E239A"/>
    <w:rsid w:val="006E5276"/>
    <w:rsid w:val="006F3E6E"/>
    <w:rsid w:val="0072505D"/>
    <w:rsid w:val="00726B00"/>
    <w:rsid w:val="00737F39"/>
    <w:rsid w:val="00745D2C"/>
    <w:rsid w:val="00760E38"/>
    <w:rsid w:val="00761098"/>
    <w:rsid w:val="00766E8F"/>
    <w:rsid w:val="00767358"/>
    <w:rsid w:val="00774698"/>
    <w:rsid w:val="00775694"/>
    <w:rsid w:val="007851A0"/>
    <w:rsid w:val="007B1543"/>
    <w:rsid w:val="007B46FD"/>
    <w:rsid w:val="007B78DA"/>
    <w:rsid w:val="007C0735"/>
    <w:rsid w:val="007C1833"/>
    <w:rsid w:val="007C7CEF"/>
    <w:rsid w:val="007D31EB"/>
    <w:rsid w:val="007D7559"/>
    <w:rsid w:val="007E77EF"/>
    <w:rsid w:val="007F7B92"/>
    <w:rsid w:val="00802C5F"/>
    <w:rsid w:val="00803C51"/>
    <w:rsid w:val="008222BD"/>
    <w:rsid w:val="00827798"/>
    <w:rsid w:val="008455B1"/>
    <w:rsid w:val="00845798"/>
    <w:rsid w:val="008527B1"/>
    <w:rsid w:val="0086709C"/>
    <w:rsid w:val="00872C4C"/>
    <w:rsid w:val="00887FA9"/>
    <w:rsid w:val="0089061C"/>
    <w:rsid w:val="0089270B"/>
    <w:rsid w:val="008B146D"/>
    <w:rsid w:val="008F18EB"/>
    <w:rsid w:val="00900DD6"/>
    <w:rsid w:val="00922FEF"/>
    <w:rsid w:val="009377A6"/>
    <w:rsid w:val="00944D92"/>
    <w:rsid w:val="00950422"/>
    <w:rsid w:val="00954696"/>
    <w:rsid w:val="00954717"/>
    <w:rsid w:val="00954B54"/>
    <w:rsid w:val="009716F1"/>
    <w:rsid w:val="0097370E"/>
    <w:rsid w:val="0097380F"/>
    <w:rsid w:val="00981D31"/>
    <w:rsid w:val="00990C92"/>
    <w:rsid w:val="009950F9"/>
    <w:rsid w:val="009B291F"/>
    <w:rsid w:val="009B4F59"/>
    <w:rsid w:val="009C5569"/>
    <w:rsid w:val="009E3D78"/>
    <w:rsid w:val="009F6522"/>
    <w:rsid w:val="009F70E9"/>
    <w:rsid w:val="009F7694"/>
    <w:rsid w:val="00A000D8"/>
    <w:rsid w:val="00A27C8F"/>
    <w:rsid w:val="00A30B98"/>
    <w:rsid w:val="00A62DBC"/>
    <w:rsid w:val="00A85DD4"/>
    <w:rsid w:val="00A95B66"/>
    <w:rsid w:val="00AA54D5"/>
    <w:rsid w:val="00AA7DF4"/>
    <w:rsid w:val="00AB0C14"/>
    <w:rsid w:val="00B02416"/>
    <w:rsid w:val="00B14F55"/>
    <w:rsid w:val="00B15145"/>
    <w:rsid w:val="00B2238C"/>
    <w:rsid w:val="00B260BB"/>
    <w:rsid w:val="00B556DA"/>
    <w:rsid w:val="00B60F01"/>
    <w:rsid w:val="00B64637"/>
    <w:rsid w:val="00B667F9"/>
    <w:rsid w:val="00B80370"/>
    <w:rsid w:val="00B86AFA"/>
    <w:rsid w:val="00B97C78"/>
    <w:rsid w:val="00BA43E5"/>
    <w:rsid w:val="00BA44A8"/>
    <w:rsid w:val="00BA49EB"/>
    <w:rsid w:val="00BC263A"/>
    <w:rsid w:val="00BC3469"/>
    <w:rsid w:val="00BD034A"/>
    <w:rsid w:val="00BD20BD"/>
    <w:rsid w:val="00BD2315"/>
    <w:rsid w:val="00BD4019"/>
    <w:rsid w:val="00BE7FCF"/>
    <w:rsid w:val="00BF6AB1"/>
    <w:rsid w:val="00C00C0E"/>
    <w:rsid w:val="00C03E9D"/>
    <w:rsid w:val="00C20C05"/>
    <w:rsid w:val="00C269B4"/>
    <w:rsid w:val="00C3010B"/>
    <w:rsid w:val="00C42651"/>
    <w:rsid w:val="00C63D68"/>
    <w:rsid w:val="00C84FB6"/>
    <w:rsid w:val="00C914D8"/>
    <w:rsid w:val="00CC335A"/>
    <w:rsid w:val="00CD399B"/>
    <w:rsid w:val="00CE262F"/>
    <w:rsid w:val="00CE7E79"/>
    <w:rsid w:val="00D028CB"/>
    <w:rsid w:val="00D0383D"/>
    <w:rsid w:val="00D142E5"/>
    <w:rsid w:val="00D16061"/>
    <w:rsid w:val="00D346E0"/>
    <w:rsid w:val="00D366F1"/>
    <w:rsid w:val="00D40F87"/>
    <w:rsid w:val="00D5136B"/>
    <w:rsid w:val="00D51883"/>
    <w:rsid w:val="00D55051"/>
    <w:rsid w:val="00D621E9"/>
    <w:rsid w:val="00D719BE"/>
    <w:rsid w:val="00D7541D"/>
    <w:rsid w:val="00D8448A"/>
    <w:rsid w:val="00D913DD"/>
    <w:rsid w:val="00D94AD1"/>
    <w:rsid w:val="00DA32FA"/>
    <w:rsid w:val="00DA556D"/>
    <w:rsid w:val="00DD304D"/>
    <w:rsid w:val="00DE099C"/>
    <w:rsid w:val="00DE2FA1"/>
    <w:rsid w:val="00E11020"/>
    <w:rsid w:val="00E1206E"/>
    <w:rsid w:val="00E2186C"/>
    <w:rsid w:val="00E300B3"/>
    <w:rsid w:val="00E37DDB"/>
    <w:rsid w:val="00E4750E"/>
    <w:rsid w:val="00E47666"/>
    <w:rsid w:val="00E61EE1"/>
    <w:rsid w:val="00E65CB4"/>
    <w:rsid w:val="00E73F00"/>
    <w:rsid w:val="00E83302"/>
    <w:rsid w:val="00E93832"/>
    <w:rsid w:val="00EA3080"/>
    <w:rsid w:val="00EB1774"/>
    <w:rsid w:val="00EC4CA0"/>
    <w:rsid w:val="00ED6553"/>
    <w:rsid w:val="00EE2E2B"/>
    <w:rsid w:val="00EE6B37"/>
    <w:rsid w:val="00F00A96"/>
    <w:rsid w:val="00F05761"/>
    <w:rsid w:val="00F1725B"/>
    <w:rsid w:val="00F35D57"/>
    <w:rsid w:val="00F412C4"/>
    <w:rsid w:val="00F50EA7"/>
    <w:rsid w:val="00F515B4"/>
    <w:rsid w:val="00F53A4D"/>
    <w:rsid w:val="00F5666D"/>
    <w:rsid w:val="00F67616"/>
    <w:rsid w:val="00F937D2"/>
    <w:rsid w:val="00FA36DE"/>
    <w:rsid w:val="00FA7D33"/>
    <w:rsid w:val="00FD1CBD"/>
    <w:rsid w:val="00FD4E44"/>
    <w:rsid w:val="00FF366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71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widowControl/>
      <w:jc w:val="center"/>
      <w:outlineLvl w:val="0"/>
    </w:pPr>
    <w:rPr>
      <w:rFonts w:ascii="Times New Roman" w:hAnsi="Times New Roman" w:cs="Times New Roman"/>
      <w:b/>
      <w:bCs/>
      <w:sz w:val="22"/>
      <w:lang w:val="sk-SK"/>
    </w:rPr>
  </w:style>
  <w:style w:type="paragraph" w:styleId="Nadpis2">
    <w:name w:val="heading 2"/>
    <w:basedOn w:val="Normlny"/>
    <w:next w:val="Normlny"/>
    <w:qFormat/>
    <w:pPr>
      <w:keepNext/>
      <w:widowControl/>
      <w:outlineLvl w:val="1"/>
    </w:pPr>
    <w:rPr>
      <w:b/>
      <w:bCs/>
      <w:color w:val="000000"/>
      <w:lang w:val="en-US"/>
    </w:rPr>
  </w:style>
  <w:style w:type="paragraph" w:styleId="Nadpis3">
    <w:name w:val="heading 3"/>
    <w:basedOn w:val="Normlny"/>
    <w:next w:val="Normlny"/>
    <w:qFormat/>
    <w:pPr>
      <w:keepNext/>
      <w:widowControl/>
      <w:outlineLvl w:val="2"/>
    </w:pPr>
    <w:rPr>
      <w:rFonts w:ascii="Times New Roman" w:hAnsi="Times New Roman" w:cs="Times New Roman"/>
      <w:b/>
      <w:bCs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/>
      <w:spacing w:before="216" w:line="268" w:lineRule="exact"/>
      <w:jc w:val="both"/>
    </w:pPr>
    <w:rPr>
      <w:lang w:val="sk-SK"/>
    </w:rPr>
  </w:style>
  <w:style w:type="paragraph" w:styleId="Zarkazkladnhotextu">
    <w:name w:val="Body Text Indent"/>
    <w:basedOn w:val="Normlny"/>
    <w:pPr>
      <w:widowControl/>
      <w:spacing w:before="523" w:line="259" w:lineRule="exact"/>
      <w:ind w:left="1440" w:hanging="1440"/>
      <w:jc w:val="both"/>
    </w:pPr>
    <w:rPr>
      <w:lang w:val="sk-SK"/>
    </w:rPr>
  </w:style>
  <w:style w:type="paragraph" w:styleId="Zarkazkladnhotextu2">
    <w:name w:val="Body Text Indent 2"/>
    <w:basedOn w:val="Normlny"/>
    <w:pPr>
      <w:widowControl/>
      <w:spacing w:line="360" w:lineRule="exact"/>
      <w:ind w:firstLine="720"/>
    </w:pPr>
    <w:rPr>
      <w:lang w:val="sk-SK"/>
    </w:rPr>
  </w:style>
  <w:style w:type="paragraph" w:styleId="Zkladntext2">
    <w:name w:val="Body Text 2"/>
    <w:basedOn w:val="Normlny"/>
    <w:pPr>
      <w:widowControl/>
    </w:pPr>
    <w:rPr>
      <w:rFonts w:ascii="Times New Roman" w:hAnsi="Times New Roman" w:cs="Times New Roman"/>
      <w:sz w:val="22"/>
      <w:lang w:val="sk-SK"/>
    </w:rPr>
  </w:style>
  <w:style w:type="paragraph" w:styleId="Zkladntext3">
    <w:name w:val="Body Text 3"/>
    <w:basedOn w:val="Normlny"/>
    <w:pPr>
      <w:widowControl/>
      <w:jc w:val="both"/>
    </w:pPr>
    <w:rPr>
      <w:rFonts w:ascii="Times New Roman" w:hAnsi="Times New Roman" w:cs="Times New Roman"/>
      <w:sz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FA7D3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A7D33"/>
  </w:style>
  <w:style w:type="paragraph" w:styleId="Hlavika">
    <w:name w:val="header"/>
    <w:basedOn w:val="Normlny"/>
    <w:rsid w:val="00981D31"/>
    <w:pPr>
      <w:tabs>
        <w:tab w:val="center" w:pos="4536"/>
        <w:tab w:val="right" w:pos="9072"/>
      </w:tabs>
    </w:pPr>
  </w:style>
  <w:style w:type="character" w:styleId="Odkaznakomentr">
    <w:name w:val="annotation reference"/>
    <w:rsid w:val="00E1102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1020"/>
  </w:style>
  <w:style w:type="character" w:customStyle="1" w:styleId="TextkomentraChar">
    <w:name w:val="Text komentára Char"/>
    <w:link w:val="Textkomentra"/>
    <w:rsid w:val="00E11020"/>
    <w:rPr>
      <w:rFonts w:ascii="Arial" w:hAnsi="Arial" w:cs="Arial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E11020"/>
    <w:rPr>
      <w:b/>
      <w:bCs/>
    </w:rPr>
  </w:style>
  <w:style w:type="character" w:customStyle="1" w:styleId="PredmetkomentraChar">
    <w:name w:val="Predmet komentára Char"/>
    <w:link w:val="Predmetkomentra"/>
    <w:rsid w:val="00E11020"/>
    <w:rPr>
      <w:rFonts w:ascii="Arial" w:hAnsi="Arial" w:cs="Arial"/>
      <w:b/>
      <w:bCs/>
      <w:lang w:val="cs-CZ" w:eastAsia="en-US"/>
    </w:rPr>
  </w:style>
  <w:style w:type="character" w:styleId="Hypertextovprepojenie">
    <w:name w:val="Hyperlink"/>
    <w:rsid w:val="00BD034A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745D2C"/>
    <w:rPr>
      <w:rFonts w:ascii="Arial" w:hAnsi="Arial" w:cs="Arial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widowControl/>
      <w:jc w:val="center"/>
      <w:outlineLvl w:val="0"/>
    </w:pPr>
    <w:rPr>
      <w:rFonts w:ascii="Times New Roman" w:hAnsi="Times New Roman" w:cs="Times New Roman"/>
      <w:b/>
      <w:bCs/>
      <w:sz w:val="22"/>
      <w:lang w:val="sk-SK"/>
    </w:rPr>
  </w:style>
  <w:style w:type="paragraph" w:styleId="Nadpis2">
    <w:name w:val="heading 2"/>
    <w:basedOn w:val="Normlny"/>
    <w:next w:val="Normlny"/>
    <w:qFormat/>
    <w:pPr>
      <w:keepNext/>
      <w:widowControl/>
      <w:outlineLvl w:val="1"/>
    </w:pPr>
    <w:rPr>
      <w:b/>
      <w:bCs/>
      <w:color w:val="000000"/>
      <w:lang w:val="en-US"/>
    </w:rPr>
  </w:style>
  <w:style w:type="paragraph" w:styleId="Nadpis3">
    <w:name w:val="heading 3"/>
    <w:basedOn w:val="Normlny"/>
    <w:next w:val="Normlny"/>
    <w:qFormat/>
    <w:pPr>
      <w:keepNext/>
      <w:widowControl/>
      <w:outlineLvl w:val="2"/>
    </w:pPr>
    <w:rPr>
      <w:rFonts w:ascii="Times New Roman" w:hAnsi="Times New Roman" w:cs="Times New Roman"/>
      <w:b/>
      <w:bCs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/>
      <w:spacing w:before="216" w:line="268" w:lineRule="exact"/>
      <w:jc w:val="both"/>
    </w:pPr>
    <w:rPr>
      <w:lang w:val="sk-SK"/>
    </w:rPr>
  </w:style>
  <w:style w:type="paragraph" w:styleId="Zarkazkladnhotextu">
    <w:name w:val="Body Text Indent"/>
    <w:basedOn w:val="Normlny"/>
    <w:pPr>
      <w:widowControl/>
      <w:spacing w:before="523" w:line="259" w:lineRule="exact"/>
      <w:ind w:left="1440" w:hanging="1440"/>
      <w:jc w:val="both"/>
    </w:pPr>
    <w:rPr>
      <w:lang w:val="sk-SK"/>
    </w:rPr>
  </w:style>
  <w:style w:type="paragraph" w:styleId="Zarkazkladnhotextu2">
    <w:name w:val="Body Text Indent 2"/>
    <w:basedOn w:val="Normlny"/>
    <w:pPr>
      <w:widowControl/>
      <w:spacing w:line="360" w:lineRule="exact"/>
      <w:ind w:firstLine="720"/>
    </w:pPr>
    <w:rPr>
      <w:lang w:val="sk-SK"/>
    </w:rPr>
  </w:style>
  <w:style w:type="paragraph" w:styleId="Zkladntext2">
    <w:name w:val="Body Text 2"/>
    <w:basedOn w:val="Normlny"/>
    <w:pPr>
      <w:widowControl/>
    </w:pPr>
    <w:rPr>
      <w:rFonts w:ascii="Times New Roman" w:hAnsi="Times New Roman" w:cs="Times New Roman"/>
      <w:sz w:val="22"/>
      <w:lang w:val="sk-SK"/>
    </w:rPr>
  </w:style>
  <w:style w:type="paragraph" w:styleId="Zkladntext3">
    <w:name w:val="Body Text 3"/>
    <w:basedOn w:val="Normlny"/>
    <w:pPr>
      <w:widowControl/>
      <w:jc w:val="both"/>
    </w:pPr>
    <w:rPr>
      <w:rFonts w:ascii="Times New Roman" w:hAnsi="Times New Roman" w:cs="Times New Roman"/>
      <w:sz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FA7D3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A7D33"/>
  </w:style>
  <w:style w:type="paragraph" w:styleId="Hlavika">
    <w:name w:val="header"/>
    <w:basedOn w:val="Normlny"/>
    <w:rsid w:val="00981D31"/>
    <w:pPr>
      <w:tabs>
        <w:tab w:val="center" w:pos="4536"/>
        <w:tab w:val="right" w:pos="9072"/>
      </w:tabs>
    </w:pPr>
  </w:style>
  <w:style w:type="character" w:styleId="Odkaznakomentr">
    <w:name w:val="annotation reference"/>
    <w:rsid w:val="00E1102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1020"/>
  </w:style>
  <w:style w:type="character" w:customStyle="1" w:styleId="TextkomentraChar">
    <w:name w:val="Text komentára Char"/>
    <w:link w:val="Textkomentra"/>
    <w:rsid w:val="00E11020"/>
    <w:rPr>
      <w:rFonts w:ascii="Arial" w:hAnsi="Arial" w:cs="Arial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E11020"/>
    <w:rPr>
      <w:b/>
      <w:bCs/>
    </w:rPr>
  </w:style>
  <w:style w:type="character" w:customStyle="1" w:styleId="PredmetkomentraChar">
    <w:name w:val="Predmet komentára Char"/>
    <w:link w:val="Predmetkomentra"/>
    <w:rsid w:val="00E11020"/>
    <w:rPr>
      <w:rFonts w:ascii="Arial" w:hAnsi="Arial" w:cs="Arial"/>
      <w:b/>
      <w:bCs/>
      <w:lang w:val="cs-CZ" w:eastAsia="en-US"/>
    </w:rPr>
  </w:style>
  <w:style w:type="character" w:styleId="Hypertextovprepojenie">
    <w:name w:val="Hyperlink"/>
    <w:rsid w:val="00BD034A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745D2C"/>
    <w:rPr>
      <w:rFonts w:ascii="Arial" w:hAnsi="Arial" w:cs="Arial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9910-C45B-4423-BFA1-97CFD840A9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5D4474-945B-4FB2-8128-56C1E5E7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2210</Words>
  <Characters>12603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PHARMA SERVIS</Company>
  <LinksUpToDate>false</LinksUpToDate>
  <CharactersWithSpaces>14784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Dana Ťažká</dc:creator>
  <cp:lastModifiedBy>Marciová, Antónia</cp:lastModifiedBy>
  <cp:revision>3</cp:revision>
  <cp:lastPrinted>2008-03-28T06:19:00Z</cp:lastPrinted>
  <dcterms:created xsi:type="dcterms:W3CDTF">2017-05-12T09:00:00Z</dcterms:created>
  <dcterms:modified xsi:type="dcterms:W3CDTF">2017-05-12T09:00:00Z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e4723a61-8650-4cb0-98c4-e39c51855fff</vt:lpwstr>
  </property>
  <property fmtid="{D5CDD505-2E9C-101B-9397-08002B2CF9AE}" pid="4" name="bjSaver">
    <vt:lpwstr>KTEuNHwiosozlakBEZdpqYGfkG05MS+t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6" name="bjDocumentLabelXML-0">
    <vt:lpwstr>nternal/label"&gt;&lt;element uid="9920fcc9-9f43-4d43-9e3e-b98a219cfd55" value="" /&gt;&lt;/sisl&gt;</vt:lpwstr>
  </property>
  <property fmtid="{D5CDD505-2E9C-101B-9397-08002B2CF9AE}" pid="7" name="bjDocumentSecurityLabel">
    <vt:lpwstr>Not Classified</vt:lpwstr>
  </property>
  <property fmtid="{D5CDD505-2E9C-101B-9397-08002B2CF9AE}" pid="8" name="_AdHocReviewCycleID">
    <vt:i4>1409581455</vt:i4>
  </property>
  <property fmtid="{D5CDD505-2E9C-101B-9397-08002B2CF9AE}" pid="9" name="_EmailSubject">
    <vt:lpwstr>Lerivon - MAH transfer (2017/01906,8,9-TR); Art 61(3) (2017/02107,8,9-ZP)</vt:lpwstr>
  </property>
  <property fmtid="{D5CDD505-2E9C-101B-9397-08002B2CF9AE}" pid="10" name="_AuthorEmail">
    <vt:lpwstr>barbora.mikasova@merck.com</vt:lpwstr>
  </property>
  <property fmtid="{D5CDD505-2E9C-101B-9397-08002B2CF9AE}" pid="11" name="_AuthorEmailDisplayName">
    <vt:lpwstr>Mikasová, Barbora</vt:lpwstr>
  </property>
  <property fmtid="{D5CDD505-2E9C-101B-9397-08002B2CF9AE}" pid="12" name="_ReviewingToolsShownOnce">
    <vt:lpwstr/>
  </property>
</Properties>
</file>