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95" w:rsidRPr="00866363" w:rsidRDefault="00613695" w:rsidP="00613695">
      <w:pPr>
        <w:spacing w:line="240" w:lineRule="auto"/>
        <w:jc w:val="center"/>
        <w:outlineLvl w:val="0"/>
        <w:rPr>
          <w:szCs w:val="22"/>
        </w:rPr>
      </w:pPr>
      <w:r w:rsidRPr="00866363">
        <w:rPr>
          <w:b/>
          <w:szCs w:val="22"/>
        </w:rPr>
        <w:t>SÚHRN CHARAKTERISTICKÝCH VLASTNOSTÍ LIEKU</w:t>
      </w:r>
    </w:p>
    <w:p w:rsidR="00613695" w:rsidRPr="00866363" w:rsidRDefault="00613695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NÁZOV LIEKU</w:t>
      </w:r>
    </w:p>
    <w:p w:rsidR="00613695" w:rsidRPr="00866363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B144D6" w:rsidRPr="00866363" w:rsidRDefault="00B144D6" w:rsidP="00613695">
      <w:pPr>
        <w:widowControl w:val="0"/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Parapyrex</w:t>
      </w:r>
      <w:proofErr w:type="spellEnd"/>
      <w:r w:rsidRPr="00866363">
        <w:rPr>
          <w:szCs w:val="22"/>
        </w:rPr>
        <w:t xml:space="preserve"> </w:t>
      </w:r>
      <w:proofErr w:type="spellStart"/>
      <w:r w:rsidRPr="00866363">
        <w:rPr>
          <w:szCs w:val="22"/>
        </w:rPr>
        <w:t>Combi</w:t>
      </w:r>
      <w:proofErr w:type="spellEnd"/>
      <w:r w:rsidR="00BF63A7" w:rsidRPr="00866363">
        <w:rPr>
          <w:szCs w:val="22"/>
        </w:rPr>
        <w:t xml:space="preserve"> </w:t>
      </w:r>
    </w:p>
    <w:p w:rsidR="00613695" w:rsidRPr="00866363" w:rsidRDefault="00BF63A7" w:rsidP="00613695">
      <w:pPr>
        <w:widowControl w:val="0"/>
        <w:spacing w:line="240" w:lineRule="auto"/>
        <w:rPr>
          <w:szCs w:val="22"/>
        </w:rPr>
      </w:pPr>
      <w:r w:rsidRPr="00866363">
        <w:rPr>
          <w:szCs w:val="22"/>
        </w:rPr>
        <w:t>500 mg/65 mg</w:t>
      </w:r>
    </w:p>
    <w:p w:rsidR="00BF63A7" w:rsidRPr="00866363" w:rsidRDefault="00BF63A7" w:rsidP="00613695">
      <w:pPr>
        <w:widowControl w:val="0"/>
        <w:spacing w:line="240" w:lineRule="auto"/>
        <w:rPr>
          <w:noProof/>
          <w:szCs w:val="22"/>
        </w:rPr>
      </w:pPr>
      <w:r w:rsidRPr="00866363">
        <w:rPr>
          <w:szCs w:val="22"/>
        </w:rPr>
        <w:t>tablety</w:t>
      </w:r>
    </w:p>
    <w:p w:rsidR="00613695" w:rsidRPr="00866363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KVALITATÍVNE A KVANTITATÍVNE ZLOŽENIE</w:t>
      </w:r>
    </w:p>
    <w:p w:rsidR="00613695" w:rsidRPr="00866363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613695" w:rsidRPr="00866363" w:rsidRDefault="00BF63A7" w:rsidP="00613695">
      <w:pPr>
        <w:keepNext/>
        <w:spacing w:line="240" w:lineRule="auto"/>
        <w:rPr>
          <w:szCs w:val="22"/>
        </w:rPr>
      </w:pPr>
      <w:r w:rsidRPr="00866363">
        <w:rPr>
          <w:szCs w:val="22"/>
        </w:rPr>
        <w:t xml:space="preserve">Každá tableta obsahuje 500 mg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a 65 mg kofeínu.</w:t>
      </w:r>
    </w:p>
    <w:p w:rsidR="00613695" w:rsidRPr="00866363" w:rsidRDefault="00613695" w:rsidP="00613695">
      <w:pPr>
        <w:spacing w:line="240" w:lineRule="auto"/>
        <w:outlineLvl w:val="0"/>
        <w:rPr>
          <w:noProof/>
          <w:szCs w:val="22"/>
        </w:rPr>
      </w:pPr>
      <w:r w:rsidRPr="00866363">
        <w:rPr>
          <w:szCs w:val="22"/>
        </w:rPr>
        <w:t>Úplný zoznam p</w:t>
      </w:r>
      <w:r w:rsidR="00BF63A7" w:rsidRPr="00866363">
        <w:rPr>
          <w:szCs w:val="22"/>
        </w:rPr>
        <w:t>omocných látok, pozri časť 6.1.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866363">
        <w:rPr>
          <w:b/>
          <w:noProof/>
          <w:szCs w:val="22"/>
        </w:rPr>
        <w:t>LIEKOVÁ FORMA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F63A7" w:rsidP="00613695">
      <w:pPr>
        <w:spacing w:line="240" w:lineRule="auto"/>
        <w:rPr>
          <w:szCs w:val="22"/>
        </w:rPr>
      </w:pPr>
      <w:r w:rsidRPr="00866363">
        <w:rPr>
          <w:szCs w:val="22"/>
        </w:rPr>
        <w:t>Tableta</w:t>
      </w:r>
    </w:p>
    <w:p w:rsidR="00BF63A7" w:rsidRPr="00866363" w:rsidRDefault="00BF63A7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Biela až takmer biela podlhovastá tableta s dĺžkou 16 mm.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866363">
        <w:rPr>
          <w:b/>
          <w:noProof/>
          <w:szCs w:val="22"/>
        </w:rPr>
        <w:t>KLINICKÉ ÚDAJE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Terapeutické indikácie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144D6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Parapyrex Combi</w:t>
      </w:r>
      <w:r w:rsidR="00BF63A7" w:rsidRPr="00866363">
        <w:rPr>
          <w:noProof/>
          <w:szCs w:val="22"/>
        </w:rPr>
        <w:t xml:space="preserve"> sa používa na symptomatickú liečbu miernej až stredne ťažkej bolesti, a</w:t>
      </w:r>
      <w:r w:rsidR="00593E27" w:rsidRPr="00866363">
        <w:rPr>
          <w:noProof/>
          <w:szCs w:val="22"/>
        </w:rPr>
        <w:t>ko je bolesť hlavy, vrátane migrény, bolesť</w:t>
      </w:r>
      <w:r w:rsidR="00BF63A7" w:rsidRPr="00866363">
        <w:rPr>
          <w:noProof/>
          <w:szCs w:val="22"/>
        </w:rPr>
        <w:t xml:space="preserve"> zubov, neuralgia rôzneho pôvodu, menštruačná bolesť, reumatická bolesť, napr. osteoartritída, bolesť</w:t>
      </w:r>
      <w:r w:rsidR="00CE66C3" w:rsidRPr="00866363">
        <w:rPr>
          <w:noProof/>
          <w:szCs w:val="22"/>
        </w:rPr>
        <w:t xml:space="preserve"> </w:t>
      </w:r>
      <w:r w:rsidR="00BF63A7" w:rsidRPr="00866363">
        <w:rPr>
          <w:noProof/>
          <w:szCs w:val="22"/>
        </w:rPr>
        <w:t xml:space="preserve">chrbta, bolesť svalov a kĺbov, bolesť hrdla, </w:t>
      </w:r>
      <w:r w:rsidR="00B3758B" w:rsidRPr="00866363">
        <w:rPr>
          <w:noProof/>
          <w:szCs w:val="22"/>
        </w:rPr>
        <w:t>chrípka</w:t>
      </w:r>
      <w:r w:rsidR="00BF63A7" w:rsidRPr="00866363">
        <w:rPr>
          <w:noProof/>
          <w:szCs w:val="22"/>
        </w:rPr>
        <w:t xml:space="preserve"> alebo akútny zápal horných dýchacích ciest. </w:t>
      </w:r>
    </w:p>
    <w:p w:rsidR="00BF63A7" w:rsidRPr="00866363" w:rsidRDefault="00BF63A7" w:rsidP="005B5FAB">
      <w:pPr>
        <w:spacing w:line="240" w:lineRule="auto"/>
        <w:rPr>
          <w:noProof/>
          <w:szCs w:val="22"/>
        </w:rPr>
      </w:pPr>
    </w:p>
    <w:p w:rsidR="00F97D56" w:rsidRPr="00866363" w:rsidRDefault="00B144D6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Parapyrex Combi</w:t>
      </w:r>
      <w:r w:rsidR="001F2D42" w:rsidRPr="00866363">
        <w:rPr>
          <w:noProof/>
          <w:szCs w:val="22"/>
        </w:rPr>
        <w:t xml:space="preserve"> má tiež antipyretický účinok.</w:t>
      </w:r>
      <w:r w:rsidR="00F97D56" w:rsidRPr="00866363">
        <w:rPr>
          <w:noProof/>
          <w:szCs w:val="22"/>
        </w:rPr>
        <w:t xml:space="preserve">  </w:t>
      </w:r>
    </w:p>
    <w:p w:rsidR="005B5FAB" w:rsidRPr="00866363" w:rsidRDefault="005B5FAB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Dávkovanie a spôsob podávania</w:t>
      </w:r>
    </w:p>
    <w:p w:rsidR="00613695" w:rsidRPr="00866363" w:rsidRDefault="00613695" w:rsidP="00554B72">
      <w:pPr>
        <w:spacing w:line="240" w:lineRule="auto"/>
        <w:rPr>
          <w:szCs w:val="22"/>
        </w:rPr>
      </w:pPr>
    </w:p>
    <w:p w:rsidR="00613695" w:rsidRPr="00866363" w:rsidRDefault="00613695" w:rsidP="00554B72">
      <w:pPr>
        <w:spacing w:line="240" w:lineRule="auto"/>
        <w:rPr>
          <w:szCs w:val="22"/>
          <w:u w:val="single"/>
        </w:rPr>
      </w:pPr>
      <w:r w:rsidRPr="00866363">
        <w:rPr>
          <w:szCs w:val="22"/>
          <w:u w:val="single"/>
        </w:rPr>
        <w:t>Dávkovanie</w:t>
      </w:r>
    </w:p>
    <w:p w:rsidR="00613695" w:rsidRPr="00866363" w:rsidRDefault="00613695" w:rsidP="00554B72">
      <w:pPr>
        <w:spacing w:line="240" w:lineRule="auto"/>
        <w:rPr>
          <w:szCs w:val="22"/>
        </w:rPr>
      </w:pPr>
    </w:p>
    <w:p w:rsidR="008D35B4" w:rsidRPr="00866363" w:rsidRDefault="008D35B4" w:rsidP="00554B72">
      <w:pPr>
        <w:spacing w:line="240" w:lineRule="auto"/>
        <w:rPr>
          <w:i/>
          <w:szCs w:val="22"/>
        </w:rPr>
      </w:pPr>
      <w:r w:rsidRPr="00866363">
        <w:rPr>
          <w:i/>
          <w:szCs w:val="22"/>
        </w:rPr>
        <w:t>Dospelí (vrátane starších pacientov) a dospievajúci od 15 rokov</w:t>
      </w:r>
    </w:p>
    <w:p w:rsidR="008D35B4" w:rsidRPr="00866363" w:rsidRDefault="008D35B4" w:rsidP="00554B72">
      <w:pPr>
        <w:spacing w:line="240" w:lineRule="auto"/>
        <w:rPr>
          <w:szCs w:val="22"/>
        </w:rPr>
      </w:pPr>
      <w:r w:rsidRPr="00866363">
        <w:rPr>
          <w:szCs w:val="22"/>
        </w:rPr>
        <w:t xml:space="preserve">1 – 2 tablety podľa potreby až 4-krát denne v časových intervaloch aspoň </w:t>
      </w:r>
      <w:r w:rsidR="006838DD" w:rsidRPr="00866363">
        <w:rPr>
          <w:szCs w:val="22"/>
        </w:rPr>
        <w:t>4 hodiny.</w:t>
      </w:r>
      <w:r w:rsidRPr="00866363">
        <w:rPr>
          <w:szCs w:val="22"/>
        </w:rPr>
        <w:t xml:space="preserve"> Jedna tableta je vhodná pre pacientov s hmotnosťou 34 – 60 kg; dve tablety pre pacientov s hmotnosťou nad 60 kg. Maximálna jednotlivá dávka je 1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(2 tablety), maximálna denná dávka sú 4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(8 tabliet). Pri dlhodobej liečbe (viac ako 10 dní) nemá denná dávka presiahnuť 2,5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.  </w:t>
      </w:r>
    </w:p>
    <w:p w:rsidR="008D35B4" w:rsidRPr="00866363" w:rsidRDefault="008D35B4" w:rsidP="00554B72">
      <w:pPr>
        <w:spacing w:line="240" w:lineRule="auto"/>
        <w:rPr>
          <w:szCs w:val="22"/>
        </w:rPr>
      </w:pPr>
    </w:p>
    <w:p w:rsidR="00613695" w:rsidRPr="00866363" w:rsidRDefault="00613695" w:rsidP="00554B72">
      <w:pPr>
        <w:spacing w:line="240" w:lineRule="auto"/>
        <w:rPr>
          <w:i/>
          <w:szCs w:val="22"/>
        </w:rPr>
      </w:pPr>
      <w:r w:rsidRPr="00866363">
        <w:rPr>
          <w:i/>
          <w:szCs w:val="22"/>
        </w:rPr>
        <w:t>Pediatrická populácia</w:t>
      </w:r>
      <w:r w:rsidR="001721D6" w:rsidRPr="00866363">
        <w:rPr>
          <w:i/>
          <w:szCs w:val="22"/>
        </w:rPr>
        <w:t xml:space="preserve"> (12 – 15 rokov)</w:t>
      </w:r>
    </w:p>
    <w:p w:rsidR="001721D6" w:rsidRPr="00866363" w:rsidRDefault="001721D6" w:rsidP="00554B72">
      <w:pPr>
        <w:spacing w:line="240" w:lineRule="auto"/>
        <w:rPr>
          <w:szCs w:val="22"/>
        </w:rPr>
      </w:pPr>
      <w:r w:rsidRPr="00866363">
        <w:rPr>
          <w:szCs w:val="22"/>
        </w:rPr>
        <w:t xml:space="preserve">1 tableta podľa potreby až 3-krát denne v časových intervaloch aspoň 6 hodín. Maximálna jednotlivá dávka je jedna tableta. Maximálna denná dávka sú 3 tablety za 24 hodín. </w:t>
      </w:r>
    </w:p>
    <w:p w:rsidR="001721D6" w:rsidRPr="00866363" w:rsidRDefault="001721D6" w:rsidP="00554B72">
      <w:pPr>
        <w:spacing w:line="240" w:lineRule="auto"/>
        <w:rPr>
          <w:bCs/>
          <w:iCs/>
          <w:szCs w:val="22"/>
        </w:rPr>
      </w:pPr>
      <w:r w:rsidRPr="00866363">
        <w:rPr>
          <w:szCs w:val="22"/>
        </w:rPr>
        <w:t>Liek nie je určený pre deti do 12 rokov.</w:t>
      </w:r>
    </w:p>
    <w:p w:rsidR="00613695" w:rsidRPr="00866363" w:rsidRDefault="00613695" w:rsidP="00554B72">
      <w:pPr>
        <w:spacing w:line="240" w:lineRule="auto"/>
        <w:rPr>
          <w:szCs w:val="22"/>
        </w:rPr>
      </w:pPr>
    </w:p>
    <w:p w:rsidR="001721D6" w:rsidRPr="00866363" w:rsidRDefault="001721D6" w:rsidP="00554B72">
      <w:pPr>
        <w:spacing w:line="240" w:lineRule="auto"/>
        <w:rPr>
          <w:i/>
          <w:szCs w:val="22"/>
        </w:rPr>
      </w:pPr>
      <w:r w:rsidRPr="00866363">
        <w:rPr>
          <w:i/>
          <w:szCs w:val="22"/>
        </w:rPr>
        <w:t>Pacienti s po</w:t>
      </w:r>
      <w:r w:rsidR="000E6BB1" w:rsidRPr="00866363">
        <w:rPr>
          <w:i/>
          <w:szCs w:val="22"/>
        </w:rPr>
        <w:t>ruch</w:t>
      </w:r>
      <w:r w:rsidRPr="00866363">
        <w:rPr>
          <w:i/>
          <w:szCs w:val="22"/>
        </w:rPr>
        <w:t>ou funkci</w:t>
      </w:r>
      <w:r w:rsidR="000E6BB1" w:rsidRPr="00866363">
        <w:rPr>
          <w:i/>
          <w:szCs w:val="22"/>
        </w:rPr>
        <w:t>e</w:t>
      </w:r>
      <w:r w:rsidRPr="00866363">
        <w:rPr>
          <w:i/>
          <w:szCs w:val="22"/>
        </w:rPr>
        <w:t xml:space="preserve"> obličiek</w:t>
      </w:r>
    </w:p>
    <w:p w:rsidR="001721D6" w:rsidRPr="00866363" w:rsidRDefault="001721D6" w:rsidP="00554B72">
      <w:pPr>
        <w:spacing w:line="240" w:lineRule="auto"/>
        <w:rPr>
          <w:szCs w:val="22"/>
        </w:rPr>
      </w:pPr>
      <w:r w:rsidRPr="00866363">
        <w:rPr>
          <w:szCs w:val="22"/>
        </w:rPr>
        <w:t>Nasledovná úprava dávkovania je potrebná v prípade poruchy funkcie obličiek:</w:t>
      </w:r>
    </w:p>
    <w:p w:rsidR="001721D6" w:rsidRPr="00866363" w:rsidRDefault="00447AFD" w:rsidP="00554B72">
      <w:pPr>
        <w:spacing w:line="240" w:lineRule="auto"/>
        <w:ind w:left="567"/>
        <w:rPr>
          <w:szCs w:val="22"/>
        </w:rPr>
      </w:pPr>
      <w:r w:rsidRPr="00866363">
        <w:rPr>
          <w:szCs w:val="22"/>
        </w:rPr>
        <w:t xml:space="preserve">- </w:t>
      </w:r>
      <w:proofErr w:type="spellStart"/>
      <w:r w:rsidRPr="00866363">
        <w:rPr>
          <w:szCs w:val="22"/>
        </w:rPr>
        <w:t>glomerulárna</w:t>
      </w:r>
      <w:proofErr w:type="spellEnd"/>
      <w:r w:rsidRPr="00866363">
        <w:rPr>
          <w:szCs w:val="22"/>
        </w:rPr>
        <w:t xml:space="preserve"> filtrácia v rozmedzí 50 – 10 ml/min – 1 tableta každých 6 hodín</w:t>
      </w:r>
    </w:p>
    <w:p w:rsidR="00447AFD" w:rsidRPr="00866363" w:rsidRDefault="006B07A8" w:rsidP="00554B72">
      <w:pPr>
        <w:spacing w:line="240" w:lineRule="auto"/>
        <w:ind w:left="567"/>
        <w:rPr>
          <w:szCs w:val="22"/>
        </w:rPr>
      </w:pPr>
      <w:r w:rsidRPr="00866363">
        <w:rPr>
          <w:szCs w:val="22"/>
        </w:rPr>
        <w:t xml:space="preserve">- </w:t>
      </w:r>
      <w:proofErr w:type="spellStart"/>
      <w:r w:rsidRPr="00866363">
        <w:rPr>
          <w:szCs w:val="22"/>
        </w:rPr>
        <w:t>glomerulárna</w:t>
      </w:r>
      <w:proofErr w:type="spellEnd"/>
      <w:r w:rsidRPr="00866363">
        <w:rPr>
          <w:szCs w:val="22"/>
        </w:rPr>
        <w:t xml:space="preserve"> filtrácia menej ako 10 ml/min – 1 tableta každých 8 hodín</w:t>
      </w:r>
    </w:p>
    <w:p w:rsidR="001721D6" w:rsidRPr="00866363" w:rsidRDefault="001721D6" w:rsidP="00554B72">
      <w:pPr>
        <w:spacing w:line="240" w:lineRule="auto"/>
        <w:rPr>
          <w:szCs w:val="22"/>
        </w:rPr>
      </w:pPr>
    </w:p>
    <w:p w:rsidR="006B07A8" w:rsidRPr="00866363" w:rsidRDefault="006B07A8" w:rsidP="00554B72">
      <w:pPr>
        <w:spacing w:line="240" w:lineRule="auto"/>
        <w:rPr>
          <w:i/>
          <w:szCs w:val="22"/>
        </w:rPr>
      </w:pPr>
      <w:r w:rsidRPr="00866363">
        <w:rPr>
          <w:i/>
          <w:szCs w:val="22"/>
        </w:rPr>
        <w:t>Pacienti s po</w:t>
      </w:r>
      <w:r w:rsidR="000E6BB1" w:rsidRPr="00866363">
        <w:rPr>
          <w:i/>
          <w:szCs w:val="22"/>
        </w:rPr>
        <w:t>ruch</w:t>
      </w:r>
      <w:r w:rsidRPr="00866363">
        <w:rPr>
          <w:i/>
          <w:szCs w:val="22"/>
        </w:rPr>
        <w:t>ou funkci</w:t>
      </w:r>
      <w:r w:rsidR="000E6BB1" w:rsidRPr="00866363">
        <w:rPr>
          <w:i/>
          <w:szCs w:val="22"/>
        </w:rPr>
        <w:t>e</w:t>
      </w:r>
      <w:r w:rsidRPr="00866363">
        <w:rPr>
          <w:i/>
          <w:szCs w:val="22"/>
        </w:rPr>
        <w:t xml:space="preserve"> pečene</w:t>
      </w:r>
    </w:p>
    <w:p w:rsidR="006B07A8" w:rsidRPr="00866363" w:rsidRDefault="006B07A8" w:rsidP="00554B72">
      <w:pPr>
        <w:spacing w:line="240" w:lineRule="auto"/>
        <w:rPr>
          <w:szCs w:val="22"/>
        </w:rPr>
      </w:pPr>
      <w:r w:rsidRPr="00866363">
        <w:rPr>
          <w:szCs w:val="22"/>
        </w:rPr>
        <w:lastRenderedPageBreak/>
        <w:t>Pacienti s miernym až stredne závažným poškodením pečene majú užívať tento liek s opatrnosťou. Pacienti so závažným poškodením pečene nemajú užívať tento liek.</w:t>
      </w:r>
    </w:p>
    <w:p w:rsidR="006B07A8" w:rsidRPr="00866363" w:rsidRDefault="006B07A8" w:rsidP="00554B72">
      <w:pPr>
        <w:spacing w:line="240" w:lineRule="auto"/>
        <w:rPr>
          <w:szCs w:val="22"/>
        </w:rPr>
      </w:pPr>
    </w:p>
    <w:p w:rsidR="00613695" w:rsidRPr="00866363" w:rsidRDefault="00613695" w:rsidP="00554B72">
      <w:pPr>
        <w:spacing w:line="240" w:lineRule="auto"/>
        <w:rPr>
          <w:szCs w:val="22"/>
          <w:u w:val="single"/>
        </w:rPr>
      </w:pPr>
      <w:r w:rsidRPr="00866363">
        <w:rPr>
          <w:szCs w:val="22"/>
          <w:u w:val="single"/>
        </w:rPr>
        <w:t xml:space="preserve">Spôsob podávania </w:t>
      </w:r>
    </w:p>
    <w:p w:rsidR="00613695" w:rsidRPr="00866363" w:rsidRDefault="006B07A8" w:rsidP="00554B72">
      <w:pPr>
        <w:spacing w:line="240" w:lineRule="auto"/>
        <w:rPr>
          <w:szCs w:val="22"/>
        </w:rPr>
      </w:pPr>
      <w:r w:rsidRPr="00866363">
        <w:rPr>
          <w:szCs w:val="22"/>
        </w:rPr>
        <w:t>Na vnútorné užitie.</w:t>
      </w:r>
    </w:p>
    <w:p w:rsidR="00613695" w:rsidRPr="00866363" w:rsidRDefault="00613695" w:rsidP="005B5FAB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Kontraindikácie</w:t>
      </w:r>
    </w:p>
    <w:p w:rsidR="00613695" w:rsidRPr="00866363" w:rsidRDefault="00613695" w:rsidP="00554B72">
      <w:pPr>
        <w:spacing w:line="240" w:lineRule="auto"/>
        <w:rPr>
          <w:noProof/>
          <w:szCs w:val="22"/>
        </w:rPr>
      </w:pPr>
    </w:p>
    <w:p w:rsidR="00613695" w:rsidRPr="00866363" w:rsidRDefault="006B07A8" w:rsidP="005B5FAB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p</w:t>
      </w:r>
      <w:r w:rsidR="00613695" w:rsidRPr="00866363">
        <w:rPr>
          <w:szCs w:val="22"/>
        </w:rPr>
        <w:t>recitlivenosť na liečivo (liečivá) alebo na ktorúkoľvek z pomocn</w:t>
      </w:r>
      <w:r w:rsidR="00F97D56" w:rsidRPr="00866363">
        <w:rPr>
          <w:szCs w:val="22"/>
        </w:rPr>
        <w:t>ých látok uvedených v časti 6.1</w:t>
      </w:r>
      <w:r w:rsidR="00613695" w:rsidRPr="00866363">
        <w:rPr>
          <w:szCs w:val="22"/>
        </w:rPr>
        <w:t xml:space="preserve"> </w:t>
      </w:r>
    </w:p>
    <w:p w:rsidR="006B07A8" w:rsidRPr="00866363" w:rsidRDefault="006B07A8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závažné poškodenie pečene</w:t>
      </w:r>
    </w:p>
    <w:p w:rsidR="006B07A8" w:rsidRPr="00866363" w:rsidRDefault="006B07A8">
      <w:pPr>
        <w:pStyle w:val="Odsekzoznamu"/>
        <w:numPr>
          <w:ilvl w:val="0"/>
          <w:numId w:val="4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akútna hepatitída</w:t>
      </w:r>
    </w:p>
    <w:p w:rsidR="006B07A8" w:rsidRPr="00866363" w:rsidRDefault="00CE66C3">
      <w:pPr>
        <w:pStyle w:val="Odsekzoznamu"/>
        <w:numPr>
          <w:ilvl w:val="0"/>
          <w:numId w:val="4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abúzus</w:t>
      </w:r>
      <w:r w:rsidR="006838DD" w:rsidRPr="00866363">
        <w:rPr>
          <w:szCs w:val="22"/>
        </w:rPr>
        <w:t xml:space="preserve"> alkoholu</w:t>
      </w:r>
    </w:p>
    <w:p w:rsidR="006B07A8" w:rsidRPr="00866363" w:rsidRDefault="006B07A8">
      <w:pPr>
        <w:pStyle w:val="Odsekzoznamu"/>
        <w:numPr>
          <w:ilvl w:val="0"/>
          <w:numId w:val="4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závažná hemolytická anémia</w:t>
      </w:r>
    </w:p>
    <w:p w:rsidR="00613695" w:rsidRPr="00866363" w:rsidRDefault="00613695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Osobitné upozornenia a opatrenia pri používaní</w:t>
      </w:r>
    </w:p>
    <w:p w:rsidR="00613695" w:rsidRPr="00866363" w:rsidRDefault="00613695" w:rsidP="00554B72">
      <w:pPr>
        <w:spacing w:line="240" w:lineRule="auto"/>
        <w:ind w:left="567" w:hanging="567"/>
        <w:rPr>
          <w:b/>
          <w:noProof/>
          <w:szCs w:val="22"/>
        </w:rPr>
      </w:pPr>
    </w:p>
    <w:p w:rsidR="00613695" w:rsidRPr="00866363" w:rsidRDefault="006B07A8" w:rsidP="005B5FAB">
      <w:pPr>
        <w:spacing w:line="240" w:lineRule="auto"/>
        <w:rPr>
          <w:szCs w:val="22"/>
        </w:rPr>
      </w:pPr>
      <w:r w:rsidRPr="00866363">
        <w:rPr>
          <w:szCs w:val="22"/>
        </w:rPr>
        <w:t xml:space="preserve">Odporúča sa pravidelné monitorovanie funkcie pečene u pacientov s miernym až stredne závažným poškodením pečene a u pacientov, ktorí dlhodobo užívajú </w:t>
      </w: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>. Riziko predávkovania je vyššie u pacientov s ochorením pečene.</w:t>
      </w:r>
    </w:p>
    <w:p w:rsidR="006B07A8" w:rsidRPr="00866363" w:rsidRDefault="006B07A8">
      <w:pPr>
        <w:spacing w:line="240" w:lineRule="auto"/>
        <w:rPr>
          <w:szCs w:val="22"/>
        </w:rPr>
      </w:pPr>
    </w:p>
    <w:p w:rsidR="006B07A8" w:rsidRPr="00866363" w:rsidRDefault="006B07A8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môže byť </w:t>
      </w:r>
      <w:proofErr w:type="spellStart"/>
      <w:r w:rsidRPr="00866363">
        <w:rPr>
          <w:szCs w:val="22"/>
        </w:rPr>
        <w:t>hepatotoxický</w:t>
      </w:r>
      <w:proofErr w:type="spellEnd"/>
      <w:r w:rsidRPr="00866363">
        <w:rPr>
          <w:szCs w:val="22"/>
        </w:rPr>
        <w:t xml:space="preserve"> pri dávkach prekračujúcich 6 – 8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denne. Vzhľadom na post-marketingové skúsenosti s </w:t>
      </w:r>
      <w:proofErr w:type="spellStart"/>
      <w:r w:rsidRPr="00866363">
        <w:rPr>
          <w:szCs w:val="22"/>
        </w:rPr>
        <w:t>paracetamolom</w:t>
      </w:r>
      <w:proofErr w:type="spellEnd"/>
      <w:r w:rsidRPr="00866363">
        <w:rPr>
          <w:szCs w:val="22"/>
        </w:rPr>
        <w:t xml:space="preserve"> sa </w:t>
      </w:r>
      <w:proofErr w:type="spellStart"/>
      <w:r w:rsidRPr="00866363">
        <w:rPr>
          <w:szCs w:val="22"/>
        </w:rPr>
        <w:t>hepatotoxicita</w:t>
      </w:r>
      <w:proofErr w:type="spellEnd"/>
      <w:r w:rsidRPr="00866363">
        <w:rPr>
          <w:szCs w:val="22"/>
        </w:rPr>
        <w:t xml:space="preserve"> môže objaviť aj pri nižších dávkach alebo pri krátkodobej liečbe u pacientov bez predchádzajúceho</w:t>
      </w:r>
      <w:r w:rsidR="001A6850" w:rsidRPr="00866363">
        <w:rPr>
          <w:szCs w:val="22"/>
        </w:rPr>
        <w:t xml:space="preserve"> poškodenia pečene, ak je prítomný alkohol, induktory pečeňových enzýmov alebo iné látky toxické pre pečeň (pozri časť 4.5). Dlhodobá konzumácia alkoholu významne zvyšuje riziko </w:t>
      </w:r>
      <w:proofErr w:type="spellStart"/>
      <w:r w:rsidR="001A6850" w:rsidRPr="00866363">
        <w:rPr>
          <w:szCs w:val="22"/>
        </w:rPr>
        <w:t>hepatotoxicity</w:t>
      </w:r>
      <w:proofErr w:type="spellEnd"/>
      <w:r w:rsidR="001A6850" w:rsidRPr="00866363">
        <w:rPr>
          <w:szCs w:val="22"/>
        </w:rPr>
        <w:t xml:space="preserve"> vyvolanej </w:t>
      </w:r>
      <w:proofErr w:type="spellStart"/>
      <w:r w:rsidR="001A6850" w:rsidRPr="00866363">
        <w:rPr>
          <w:szCs w:val="22"/>
        </w:rPr>
        <w:t>paracetamolom</w:t>
      </w:r>
      <w:proofErr w:type="spellEnd"/>
      <w:r w:rsidR="001A6850" w:rsidRPr="00866363">
        <w:rPr>
          <w:szCs w:val="22"/>
        </w:rPr>
        <w:t>. Najväčšie riziko je u chronických alkoholikov, ktorí krátkodobo abstinujú (12 hodín).</w:t>
      </w:r>
    </w:p>
    <w:p w:rsidR="001A6850" w:rsidRPr="00866363" w:rsidRDefault="001A6850">
      <w:pPr>
        <w:spacing w:line="240" w:lineRule="auto"/>
        <w:rPr>
          <w:szCs w:val="22"/>
        </w:rPr>
      </w:pPr>
    </w:p>
    <w:p w:rsidR="001A6850" w:rsidRPr="00866363" w:rsidRDefault="001A6850">
      <w:pPr>
        <w:spacing w:line="240" w:lineRule="auto"/>
        <w:rPr>
          <w:szCs w:val="22"/>
        </w:rPr>
      </w:pPr>
      <w:r w:rsidRPr="00866363">
        <w:rPr>
          <w:szCs w:val="22"/>
        </w:rPr>
        <w:t xml:space="preserve">Počas užívania </w:t>
      </w:r>
      <w:proofErr w:type="spellStart"/>
      <w:r w:rsidR="00866363" w:rsidRPr="00866363">
        <w:rPr>
          <w:szCs w:val="22"/>
        </w:rPr>
        <w:t>Parapyrex</w:t>
      </w:r>
      <w:proofErr w:type="spellEnd"/>
      <w:r w:rsidR="00866363" w:rsidRPr="00866363">
        <w:rPr>
          <w:szCs w:val="22"/>
        </w:rPr>
        <w:t xml:space="preserve"> </w:t>
      </w:r>
      <w:proofErr w:type="spellStart"/>
      <w:r w:rsidR="00866363" w:rsidRPr="00866363">
        <w:rPr>
          <w:szCs w:val="22"/>
        </w:rPr>
        <w:t>combi</w:t>
      </w:r>
      <w:proofErr w:type="spellEnd"/>
      <w:r w:rsidR="00866363" w:rsidRPr="00866363">
        <w:rPr>
          <w:szCs w:val="22"/>
        </w:rPr>
        <w:t xml:space="preserve"> </w:t>
      </w:r>
      <w:r w:rsidRPr="00866363">
        <w:rPr>
          <w:szCs w:val="22"/>
        </w:rPr>
        <w:t xml:space="preserve">sa treba vyhnúť konzumácii alkoholu. </w:t>
      </w:r>
    </w:p>
    <w:p w:rsidR="001A6850" w:rsidRPr="00866363" w:rsidRDefault="001A6850">
      <w:pPr>
        <w:spacing w:line="240" w:lineRule="auto"/>
        <w:rPr>
          <w:szCs w:val="22"/>
        </w:rPr>
      </w:pPr>
    </w:p>
    <w:p w:rsidR="001A6850" w:rsidRPr="00866363" w:rsidRDefault="00F97D56">
      <w:pPr>
        <w:spacing w:line="240" w:lineRule="auto"/>
        <w:rPr>
          <w:szCs w:val="22"/>
        </w:rPr>
      </w:pPr>
      <w:r w:rsidRPr="00866363">
        <w:rPr>
          <w:szCs w:val="22"/>
        </w:rPr>
        <w:t>Pacientov liečených</w:t>
      </w:r>
      <w:r w:rsidR="001A6850" w:rsidRPr="00866363">
        <w:rPr>
          <w:szCs w:val="22"/>
        </w:rPr>
        <w:t xml:space="preserve"> perorálnymi </w:t>
      </w:r>
      <w:proofErr w:type="spellStart"/>
      <w:r w:rsidR="001A6850" w:rsidRPr="00866363">
        <w:rPr>
          <w:szCs w:val="22"/>
        </w:rPr>
        <w:t>antikoagulanciami</w:t>
      </w:r>
      <w:proofErr w:type="spellEnd"/>
      <w:r w:rsidR="001A6850" w:rsidRPr="00866363">
        <w:rPr>
          <w:szCs w:val="22"/>
        </w:rPr>
        <w:t xml:space="preserve"> a vyššími dávkami </w:t>
      </w:r>
      <w:proofErr w:type="spellStart"/>
      <w:r w:rsidR="001A6850" w:rsidRPr="00866363">
        <w:rPr>
          <w:szCs w:val="22"/>
        </w:rPr>
        <w:t>par</w:t>
      </w:r>
      <w:r w:rsidRPr="00866363">
        <w:rPr>
          <w:szCs w:val="22"/>
        </w:rPr>
        <w:t>acetamolu</w:t>
      </w:r>
      <w:proofErr w:type="spellEnd"/>
      <w:r w:rsidRPr="00866363">
        <w:rPr>
          <w:szCs w:val="22"/>
        </w:rPr>
        <w:t xml:space="preserve"> sa odporúča pravidelne monitorovať </w:t>
      </w:r>
      <w:proofErr w:type="spellStart"/>
      <w:r w:rsidRPr="00866363">
        <w:rPr>
          <w:szCs w:val="22"/>
        </w:rPr>
        <w:t>protrombínový</w:t>
      </w:r>
      <w:proofErr w:type="spellEnd"/>
      <w:r w:rsidRPr="00866363">
        <w:rPr>
          <w:szCs w:val="22"/>
        </w:rPr>
        <w:t xml:space="preserve"> čas</w:t>
      </w:r>
      <w:r w:rsidR="001A6850" w:rsidRPr="00866363">
        <w:rPr>
          <w:szCs w:val="22"/>
        </w:rPr>
        <w:t xml:space="preserve">. </w:t>
      </w:r>
    </w:p>
    <w:p w:rsidR="001A6850" w:rsidRPr="00866363" w:rsidRDefault="001A6850">
      <w:pPr>
        <w:spacing w:line="240" w:lineRule="auto"/>
        <w:rPr>
          <w:szCs w:val="22"/>
        </w:rPr>
      </w:pPr>
    </w:p>
    <w:p w:rsidR="001A6850" w:rsidRPr="00866363" w:rsidRDefault="00F47D61" w:rsidP="00613695">
      <w:pPr>
        <w:spacing w:line="240" w:lineRule="auto"/>
        <w:rPr>
          <w:szCs w:val="22"/>
        </w:rPr>
      </w:pPr>
      <w:r w:rsidRPr="00866363">
        <w:rPr>
          <w:szCs w:val="22"/>
        </w:rPr>
        <w:t>Opatrnosť</w:t>
      </w:r>
      <w:r w:rsidR="001A6850" w:rsidRPr="00866363">
        <w:rPr>
          <w:szCs w:val="22"/>
        </w:rPr>
        <w:t xml:space="preserve"> sa odporúča tiež u pacientov s po</w:t>
      </w:r>
      <w:r w:rsidR="00DB18C0" w:rsidRPr="00866363">
        <w:rPr>
          <w:szCs w:val="22"/>
        </w:rPr>
        <w:t>ruchou</w:t>
      </w:r>
      <w:r w:rsidR="001A6850" w:rsidRPr="00866363">
        <w:rPr>
          <w:szCs w:val="22"/>
        </w:rPr>
        <w:t xml:space="preserve"> </w:t>
      </w:r>
      <w:r w:rsidRPr="00866363">
        <w:rPr>
          <w:szCs w:val="22"/>
        </w:rPr>
        <w:t xml:space="preserve">funkcie obličiek, odporúča sa </w:t>
      </w:r>
      <w:r w:rsidR="00D9002A" w:rsidRPr="00866363">
        <w:rPr>
          <w:szCs w:val="22"/>
        </w:rPr>
        <w:t xml:space="preserve">postupná úprava dávkovania (pozri časť 4.2). </w:t>
      </w:r>
      <w:proofErr w:type="spellStart"/>
      <w:r w:rsidR="00D9002A" w:rsidRPr="00866363">
        <w:rPr>
          <w:szCs w:val="22"/>
        </w:rPr>
        <w:t>Renálnu</w:t>
      </w:r>
      <w:proofErr w:type="spellEnd"/>
      <w:r w:rsidR="00D9002A" w:rsidRPr="00866363">
        <w:rPr>
          <w:szCs w:val="22"/>
        </w:rPr>
        <w:t xml:space="preserve"> nedostatočnosť nie je možné vylúčiť pri dlhodobej liečbe </w:t>
      </w:r>
      <w:proofErr w:type="spellStart"/>
      <w:r w:rsidR="003819E1">
        <w:rPr>
          <w:szCs w:val="22"/>
        </w:rPr>
        <w:t>Parapyrex</w:t>
      </w:r>
      <w:proofErr w:type="spellEnd"/>
      <w:r w:rsidR="003819E1">
        <w:rPr>
          <w:szCs w:val="22"/>
        </w:rPr>
        <w:t xml:space="preserve"> </w:t>
      </w:r>
      <w:proofErr w:type="spellStart"/>
      <w:r w:rsidR="003819E1">
        <w:rPr>
          <w:szCs w:val="22"/>
        </w:rPr>
        <w:t>Combi</w:t>
      </w:r>
      <w:bookmarkStart w:id="0" w:name="_GoBack"/>
      <w:bookmarkEnd w:id="0"/>
      <w:proofErr w:type="spellEnd"/>
      <w:r w:rsidR="00D9002A" w:rsidRPr="00866363">
        <w:rPr>
          <w:szCs w:val="22"/>
        </w:rPr>
        <w:t xml:space="preserve">. </w:t>
      </w:r>
    </w:p>
    <w:p w:rsidR="00D9002A" w:rsidRPr="00866363" w:rsidRDefault="00D9002A" w:rsidP="00613695">
      <w:pPr>
        <w:spacing w:line="240" w:lineRule="auto"/>
        <w:rPr>
          <w:szCs w:val="22"/>
        </w:rPr>
      </w:pPr>
    </w:p>
    <w:p w:rsidR="00D9002A" w:rsidRPr="00866363" w:rsidRDefault="00D9002A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Zvýšená opatrnosť je potrebná u pacientov s nedostatkom glukóza-6-fosfátdehydrogenázy a u pacientov s hemolytickou anémiou. </w:t>
      </w:r>
    </w:p>
    <w:p w:rsidR="00D9002A" w:rsidRPr="00866363" w:rsidRDefault="00D9002A" w:rsidP="00613695">
      <w:pPr>
        <w:spacing w:line="240" w:lineRule="auto"/>
        <w:rPr>
          <w:szCs w:val="22"/>
        </w:rPr>
      </w:pPr>
    </w:p>
    <w:p w:rsidR="00D9002A" w:rsidRPr="00866363" w:rsidRDefault="00B144D6" w:rsidP="00D9002A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Parapyrex</w:t>
      </w:r>
      <w:proofErr w:type="spellEnd"/>
      <w:r w:rsidRPr="00866363">
        <w:rPr>
          <w:szCs w:val="22"/>
        </w:rPr>
        <w:t xml:space="preserve"> </w:t>
      </w:r>
      <w:proofErr w:type="spellStart"/>
      <w:r w:rsidRPr="00866363">
        <w:rPr>
          <w:szCs w:val="22"/>
        </w:rPr>
        <w:t>Combi</w:t>
      </w:r>
      <w:proofErr w:type="spellEnd"/>
      <w:r w:rsidR="00D9002A" w:rsidRPr="00866363">
        <w:rPr>
          <w:szCs w:val="22"/>
        </w:rPr>
        <w:t xml:space="preserve"> sa neodporúča pre deti do 12 rokov.</w:t>
      </w:r>
    </w:p>
    <w:p w:rsidR="00D9002A" w:rsidRPr="00866363" w:rsidRDefault="00D9002A" w:rsidP="00D9002A">
      <w:pPr>
        <w:spacing w:line="240" w:lineRule="auto"/>
        <w:rPr>
          <w:szCs w:val="22"/>
        </w:rPr>
      </w:pPr>
    </w:p>
    <w:p w:rsidR="00D9002A" w:rsidRPr="00866363" w:rsidRDefault="00D9002A" w:rsidP="00D9002A">
      <w:pPr>
        <w:spacing w:line="240" w:lineRule="auto"/>
        <w:rPr>
          <w:szCs w:val="22"/>
        </w:rPr>
      </w:pPr>
      <w:r w:rsidRPr="00866363">
        <w:rPr>
          <w:szCs w:val="22"/>
        </w:rPr>
        <w:t xml:space="preserve">Nadmerné pitie kávy alebo čaju počas </w:t>
      </w:r>
      <w:r w:rsidR="0019595E" w:rsidRPr="00866363">
        <w:rPr>
          <w:szCs w:val="22"/>
        </w:rPr>
        <w:t>užívania</w:t>
      </w:r>
      <w:r w:rsidRPr="00866363">
        <w:rPr>
          <w:szCs w:val="22"/>
        </w:rPr>
        <w:t xml:space="preserve"> </w:t>
      </w:r>
      <w:proofErr w:type="spellStart"/>
      <w:r w:rsidR="003819E1">
        <w:rPr>
          <w:szCs w:val="22"/>
        </w:rPr>
        <w:t>Parapyrex</w:t>
      </w:r>
      <w:proofErr w:type="spellEnd"/>
      <w:r w:rsidR="003819E1">
        <w:rPr>
          <w:szCs w:val="22"/>
        </w:rPr>
        <w:t xml:space="preserve"> </w:t>
      </w:r>
      <w:proofErr w:type="spellStart"/>
      <w:r w:rsidR="003819E1">
        <w:rPr>
          <w:szCs w:val="22"/>
        </w:rPr>
        <w:t>Combi</w:t>
      </w:r>
      <w:proofErr w:type="spellEnd"/>
      <w:r w:rsidR="003819E1">
        <w:rPr>
          <w:szCs w:val="22"/>
        </w:rPr>
        <w:t xml:space="preserve"> </w:t>
      </w:r>
      <w:r w:rsidR="008E1F27" w:rsidRPr="00866363">
        <w:rPr>
          <w:szCs w:val="22"/>
        </w:rPr>
        <w:t xml:space="preserve"> môže viesť k pocitu</w:t>
      </w:r>
      <w:r w:rsidRPr="00866363">
        <w:rPr>
          <w:szCs w:val="22"/>
        </w:rPr>
        <w:t xml:space="preserve"> napätie a podráždenosti. </w:t>
      </w:r>
    </w:p>
    <w:p w:rsidR="00D9002A" w:rsidRPr="00866363" w:rsidRDefault="00D9002A" w:rsidP="00D9002A">
      <w:pPr>
        <w:spacing w:line="240" w:lineRule="auto"/>
        <w:rPr>
          <w:szCs w:val="22"/>
        </w:rPr>
      </w:pPr>
    </w:p>
    <w:p w:rsidR="00D9002A" w:rsidRPr="00866363" w:rsidRDefault="00D9002A" w:rsidP="00D9002A">
      <w:pPr>
        <w:spacing w:line="240" w:lineRule="auto"/>
        <w:rPr>
          <w:szCs w:val="22"/>
        </w:rPr>
      </w:pPr>
      <w:r w:rsidRPr="00866363">
        <w:rPr>
          <w:szCs w:val="22"/>
        </w:rPr>
        <w:t xml:space="preserve">Pacienti majú byť upozornení, aby neprekračovali odporúčané dávky a neužívali iné lieky s obsahom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. </w:t>
      </w:r>
    </w:p>
    <w:p w:rsidR="00613695" w:rsidRPr="00866363" w:rsidRDefault="00D9002A" w:rsidP="00D9002A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 xml:space="preserve"> </w:t>
      </w: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Liekové a iné interakcie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ED3989" w:rsidP="00613695">
      <w:pPr>
        <w:spacing w:line="240" w:lineRule="auto"/>
        <w:rPr>
          <w:szCs w:val="22"/>
          <w:u w:val="single"/>
        </w:rPr>
      </w:pPr>
      <w:proofErr w:type="spellStart"/>
      <w:r w:rsidRPr="00866363">
        <w:rPr>
          <w:szCs w:val="22"/>
          <w:u w:val="single"/>
        </w:rPr>
        <w:t>Paracetamol</w:t>
      </w:r>
      <w:proofErr w:type="spellEnd"/>
    </w:p>
    <w:p w:rsidR="00ED3989" w:rsidRPr="00866363" w:rsidRDefault="00ED3989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Absorpcia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môže byť zvýšená </w:t>
      </w:r>
      <w:proofErr w:type="spellStart"/>
      <w:r w:rsidRPr="00866363">
        <w:rPr>
          <w:i/>
          <w:szCs w:val="22"/>
        </w:rPr>
        <w:t>metoklopramidom</w:t>
      </w:r>
      <w:proofErr w:type="spellEnd"/>
      <w:r w:rsidRPr="00866363">
        <w:rPr>
          <w:szCs w:val="22"/>
        </w:rPr>
        <w:t xml:space="preserve"> alebo </w:t>
      </w:r>
      <w:proofErr w:type="spellStart"/>
      <w:r w:rsidRPr="00866363">
        <w:rPr>
          <w:i/>
          <w:szCs w:val="22"/>
        </w:rPr>
        <w:t>domperid</w:t>
      </w:r>
      <w:r w:rsidR="00DB18C0" w:rsidRPr="00866363">
        <w:rPr>
          <w:i/>
          <w:szCs w:val="22"/>
        </w:rPr>
        <w:t>ó</w:t>
      </w:r>
      <w:r w:rsidRPr="00866363">
        <w:rPr>
          <w:i/>
          <w:szCs w:val="22"/>
        </w:rPr>
        <w:t>nom</w:t>
      </w:r>
      <w:proofErr w:type="spellEnd"/>
      <w:r w:rsidRPr="00866363">
        <w:rPr>
          <w:szCs w:val="22"/>
        </w:rPr>
        <w:t xml:space="preserve"> a znížená </w:t>
      </w:r>
      <w:proofErr w:type="spellStart"/>
      <w:r w:rsidRPr="00866363">
        <w:rPr>
          <w:i/>
          <w:szCs w:val="22"/>
        </w:rPr>
        <w:t>cholestyramínom</w:t>
      </w:r>
      <w:proofErr w:type="spellEnd"/>
      <w:r w:rsidRPr="00866363">
        <w:rPr>
          <w:szCs w:val="22"/>
        </w:rPr>
        <w:t>.</w:t>
      </w:r>
    </w:p>
    <w:p w:rsidR="00ED3989" w:rsidRPr="00866363" w:rsidRDefault="00ED3989" w:rsidP="00613695">
      <w:pPr>
        <w:spacing w:line="240" w:lineRule="auto"/>
        <w:rPr>
          <w:szCs w:val="22"/>
        </w:rPr>
      </w:pPr>
    </w:p>
    <w:p w:rsidR="00ED3989" w:rsidRPr="00866363" w:rsidRDefault="00ED3989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Súbežné užívanie liekov predlžujúcich vyprázdňovanie</w:t>
      </w:r>
      <w:r w:rsidR="00FC14A2" w:rsidRPr="00866363">
        <w:rPr>
          <w:noProof/>
          <w:szCs w:val="22"/>
        </w:rPr>
        <w:t xml:space="preserve"> </w:t>
      </w:r>
      <w:r w:rsidR="006838DD" w:rsidRPr="00866363">
        <w:rPr>
          <w:noProof/>
          <w:szCs w:val="22"/>
        </w:rPr>
        <w:t>zo žalúdka</w:t>
      </w:r>
      <w:r w:rsidRPr="00866363">
        <w:rPr>
          <w:noProof/>
          <w:szCs w:val="22"/>
        </w:rPr>
        <w:t xml:space="preserve">, ako je </w:t>
      </w:r>
      <w:r w:rsidRPr="00866363">
        <w:rPr>
          <w:i/>
          <w:noProof/>
          <w:szCs w:val="22"/>
        </w:rPr>
        <w:t>propantelin</w:t>
      </w:r>
      <w:r w:rsidRPr="00866363">
        <w:rPr>
          <w:noProof/>
          <w:szCs w:val="22"/>
        </w:rPr>
        <w:t>, môže viesť k spomaleniu absor</w:t>
      </w:r>
      <w:r w:rsidR="00DB18C0" w:rsidRPr="00866363">
        <w:rPr>
          <w:noProof/>
          <w:szCs w:val="22"/>
        </w:rPr>
        <w:t>p</w:t>
      </w:r>
      <w:r w:rsidRPr="00866363">
        <w:rPr>
          <w:noProof/>
          <w:szCs w:val="22"/>
        </w:rPr>
        <w:t xml:space="preserve">cie a k oddialeniu účinku paracetamolu. </w:t>
      </w:r>
    </w:p>
    <w:p w:rsidR="00ED3989" w:rsidRPr="00866363" w:rsidRDefault="00ED3989" w:rsidP="00613695">
      <w:pPr>
        <w:spacing w:line="240" w:lineRule="auto"/>
        <w:rPr>
          <w:noProof/>
          <w:szCs w:val="22"/>
        </w:rPr>
      </w:pPr>
    </w:p>
    <w:p w:rsidR="00ED3989" w:rsidRPr="00866363" w:rsidRDefault="001F363E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Antikoagulačný účinok </w:t>
      </w:r>
      <w:r w:rsidRPr="00866363">
        <w:rPr>
          <w:i/>
          <w:noProof/>
          <w:szCs w:val="22"/>
        </w:rPr>
        <w:t>warfarínu</w:t>
      </w:r>
      <w:r w:rsidRPr="00866363">
        <w:rPr>
          <w:noProof/>
          <w:szCs w:val="22"/>
        </w:rPr>
        <w:t xml:space="preserve"> alebo </w:t>
      </w:r>
      <w:r w:rsidRPr="00866363">
        <w:rPr>
          <w:i/>
          <w:noProof/>
          <w:szCs w:val="22"/>
        </w:rPr>
        <w:t>iných kumarínov</w:t>
      </w:r>
      <w:r w:rsidRPr="00866363">
        <w:rPr>
          <w:noProof/>
          <w:szCs w:val="22"/>
        </w:rPr>
        <w:t xml:space="preserve"> môže byť zosilnený </w:t>
      </w:r>
      <w:r w:rsidR="004D2254" w:rsidRPr="00866363">
        <w:rPr>
          <w:noProof/>
          <w:szCs w:val="22"/>
        </w:rPr>
        <w:t xml:space="preserve">predĺženým pravidelným </w:t>
      </w:r>
      <w:r w:rsidR="00DB18C0" w:rsidRPr="00866363">
        <w:rPr>
          <w:noProof/>
          <w:szCs w:val="22"/>
        </w:rPr>
        <w:t xml:space="preserve">denným </w:t>
      </w:r>
      <w:r w:rsidR="004D2254" w:rsidRPr="00866363">
        <w:rPr>
          <w:noProof/>
          <w:szCs w:val="22"/>
        </w:rPr>
        <w:t xml:space="preserve">užívaním paracetamolu so zvýšeným rizikom krvácania. Príležitostné užívanie nemá žiadny signifikantný účinok. </w:t>
      </w: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  <w:r w:rsidRPr="00866363">
        <w:rPr>
          <w:i/>
          <w:noProof/>
          <w:szCs w:val="22"/>
        </w:rPr>
        <w:t>Hepatotoxické látky</w:t>
      </w:r>
      <w:r w:rsidRPr="00866363">
        <w:rPr>
          <w:noProof/>
          <w:szCs w:val="22"/>
        </w:rPr>
        <w:t xml:space="preserve"> môžu zvyšovať riziko akumulácie a predávkovania sa paracetamolom. </w:t>
      </w: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Paracetamol zvyšuje plazmatické koncentrácie </w:t>
      </w:r>
      <w:r w:rsidRPr="00866363">
        <w:rPr>
          <w:i/>
          <w:noProof/>
          <w:szCs w:val="22"/>
        </w:rPr>
        <w:t>kyseliny acetylsalicylovej</w:t>
      </w:r>
      <w:r w:rsidRPr="00866363">
        <w:rPr>
          <w:noProof/>
          <w:szCs w:val="22"/>
        </w:rPr>
        <w:t xml:space="preserve"> a </w:t>
      </w:r>
      <w:r w:rsidRPr="00866363">
        <w:rPr>
          <w:i/>
          <w:noProof/>
          <w:szCs w:val="22"/>
        </w:rPr>
        <w:t>chloramfenikolu</w:t>
      </w:r>
      <w:r w:rsidRPr="00866363">
        <w:rPr>
          <w:noProof/>
          <w:szCs w:val="22"/>
        </w:rPr>
        <w:t xml:space="preserve">. </w:t>
      </w: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  <w:r w:rsidRPr="00866363">
        <w:rPr>
          <w:i/>
          <w:noProof/>
          <w:szCs w:val="22"/>
        </w:rPr>
        <w:t>Probenecid</w:t>
      </w:r>
      <w:r w:rsidRPr="00866363">
        <w:rPr>
          <w:noProof/>
          <w:szCs w:val="22"/>
        </w:rPr>
        <w:t xml:space="preserve"> a </w:t>
      </w:r>
      <w:r w:rsidRPr="00866363">
        <w:rPr>
          <w:i/>
          <w:noProof/>
          <w:szCs w:val="22"/>
        </w:rPr>
        <w:t>salicylamid</w:t>
      </w:r>
      <w:r w:rsidRPr="00866363">
        <w:rPr>
          <w:noProof/>
          <w:szCs w:val="22"/>
        </w:rPr>
        <w:t xml:space="preserve"> ovplyvňujú vylučovanie a koncentráciu paracetamolu v plazme. </w:t>
      </w: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Súbežné užívanie </w:t>
      </w:r>
      <w:r w:rsidRPr="00866363">
        <w:rPr>
          <w:i/>
          <w:noProof/>
          <w:szCs w:val="22"/>
        </w:rPr>
        <w:t>induktorov hepatálnych enzýmov</w:t>
      </w:r>
      <w:r w:rsidRPr="00866363">
        <w:rPr>
          <w:noProof/>
          <w:szCs w:val="22"/>
        </w:rPr>
        <w:t xml:space="preserve">, ako </w:t>
      </w:r>
      <w:r w:rsidR="0019595E" w:rsidRPr="00866363">
        <w:rPr>
          <w:noProof/>
          <w:szCs w:val="22"/>
        </w:rPr>
        <w:t xml:space="preserve">sú </w:t>
      </w:r>
      <w:r w:rsidRPr="00866363">
        <w:rPr>
          <w:noProof/>
          <w:szCs w:val="22"/>
        </w:rPr>
        <w:t>napr.</w:t>
      </w:r>
      <w:r w:rsidR="0019595E" w:rsidRPr="00866363">
        <w:rPr>
          <w:noProof/>
          <w:szCs w:val="22"/>
        </w:rPr>
        <w:t xml:space="preserve"> barbituráty, inhibítory monoami</w:t>
      </w:r>
      <w:r w:rsidRPr="00866363">
        <w:rPr>
          <w:noProof/>
          <w:szCs w:val="22"/>
        </w:rPr>
        <w:t>n</w:t>
      </w:r>
      <w:r w:rsidR="0019595E" w:rsidRPr="00866363">
        <w:rPr>
          <w:noProof/>
          <w:szCs w:val="22"/>
        </w:rPr>
        <w:t>o</w:t>
      </w:r>
      <w:r w:rsidRPr="00866363">
        <w:rPr>
          <w:noProof/>
          <w:szCs w:val="22"/>
        </w:rPr>
        <w:t>oxidázy, tricyklické antidepresíva, ľubovník bodkovaný, antiepileptiká (</w:t>
      </w:r>
      <w:r w:rsidR="00335C69" w:rsidRPr="00866363">
        <w:rPr>
          <w:noProof/>
          <w:szCs w:val="22"/>
        </w:rPr>
        <w:t>vrátane</w:t>
      </w:r>
      <w:r w:rsidR="0019595E" w:rsidRPr="00866363">
        <w:rPr>
          <w:noProof/>
          <w:szCs w:val="22"/>
        </w:rPr>
        <w:t xml:space="preserve"> glutetimi</w:t>
      </w:r>
      <w:r w:rsidRPr="00866363">
        <w:rPr>
          <w:noProof/>
          <w:szCs w:val="22"/>
        </w:rPr>
        <w:t>du, fenobarbitalu, fenytoínu, karbamazepínu) a </w:t>
      </w:r>
      <w:r w:rsidRPr="00866363">
        <w:rPr>
          <w:i/>
          <w:noProof/>
          <w:szCs w:val="22"/>
        </w:rPr>
        <w:t>rifampicínu</w:t>
      </w:r>
      <w:r w:rsidRPr="00866363">
        <w:rPr>
          <w:noProof/>
          <w:szCs w:val="22"/>
        </w:rPr>
        <w:t xml:space="preserve"> môže </w:t>
      </w:r>
      <w:r w:rsidR="0019595E" w:rsidRPr="00866363">
        <w:rPr>
          <w:noProof/>
          <w:szCs w:val="22"/>
        </w:rPr>
        <w:t>spôsobiť</w:t>
      </w:r>
      <w:r w:rsidRPr="00866363">
        <w:rPr>
          <w:noProof/>
          <w:szCs w:val="22"/>
        </w:rPr>
        <w:t xml:space="preserve">, že inak bezpečné dávky paracetamolu môžu viesť k poruche funkcie pečene. To isté platí aj pre </w:t>
      </w:r>
      <w:r w:rsidRPr="00866363">
        <w:rPr>
          <w:i/>
          <w:noProof/>
          <w:szCs w:val="22"/>
        </w:rPr>
        <w:t>alkohol</w:t>
      </w:r>
      <w:r w:rsidRPr="00866363">
        <w:rPr>
          <w:noProof/>
          <w:szCs w:val="22"/>
        </w:rPr>
        <w:t xml:space="preserve">. </w:t>
      </w: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Zníženie účinnosti </w:t>
      </w:r>
      <w:r w:rsidRPr="00866363">
        <w:rPr>
          <w:i/>
          <w:noProof/>
          <w:szCs w:val="22"/>
        </w:rPr>
        <w:t>lamotrigínu</w:t>
      </w:r>
      <w:r w:rsidRPr="00866363">
        <w:rPr>
          <w:noProof/>
          <w:szCs w:val="22"/>
        </w:rPr>
        <w:t xml:space="preserve"> spolu so zvýšeným hepatálnym klírensom sa hlásilo u pacientov súbežn</w:t>
      </w:r>
      <w:r w:rsidR="0019595E" w:rsidRPr="00866363">
        <w:rPr>
          <w:noProof/>
          <w:szCs w:val="22"/>
        </w:rPr>
        <w:t>e</w:t>
      </w:r>
      <w:r w:rsidRPr="00866363">
        <w:rPr>
          <w:noProof/>
          <w:szCs w:val="22"/>
        </w:rPr>
        <w:t xml:space="preserve"> lieč</w:t>
      </w:r>
      <w:r w:rsidR="0019595E" w:rsidRPr="00866363">
        <w:rPr>
          <w:noProof/>
          <w:szCs w:val="22"/>
        </w:rPr>
        <w:t>ených</w:t>
      </w:r>
      <w:r w:rsidRPr="00866363">
        <w:rPr>
          <w:noProof/>
          <w:szCs w:val="22"/>
        </w:rPr>
        <w:t xml:space="preserve"> paracetamolom. </w:t>
      </w: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Spolupodávanie paracetamolu a </w:t>
      </w:r>
      <w:r w:rsidRPr="00866363">
        <w:rPr>
          <w:i/>
          <w:noProof/>
          <w:szCs w:val="22"/>
        </w:rPr>
        <w:t>izoniazidu</w:t>
      </w:r>
      <w:r w:rsidRPr="00866363">
        <w:rPr>
          <w:noProof/>
          <w:szCs w:val="22"/>
        </w:rPr>
        <w:t xml:space="preserve"> môže zvyšovať riziko hepatotoxicity. </w:t>
      </w: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</w:p>
    <w:p w:rsidR="004D2254" w:rsidRPr="00866363" w:rsidRDefault="004D2254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Rozvoj neutropénie a hepatotoxicity sa hlásil pri súbežnom užívaní paracetamolu a </w:t>
      </w:r>
      <w:r w:rsidRPr="00866363">
        <w:rPr>
          <w:i/>
          <w:noProof/>
          <w:szCs w:val="22"/>
        </w:rPr>
        <w:t>zidovudínu</w:t>
      </w:r>
      <w:r w:rsidRPr="00866363">
        <w:rPr>
          <w:noProof/>
          <w:szCs w:val="22"/>
        </w:rPr>
        <w:t xml:space="preserve">. </w:t>
      </w:r>
      <w:r w:rsidR="00B144D6" w:rsidRPr="00866363">
        <w:rPr>
          <w:noProof/>
          <w:szCs w:val="22"/>
        </w:rPr>
        <w:t>Parapyrex Combi</w:t>
      </w:r>
      <w:r w:rsidRPr="00866363">
        <w:rPr>
          <w:noProof/>
          <w:szCs w:val="22"/>
        </w:rPr>
        <w:t xml:space="preserve"> sa má užívať po starostlivom zvážení </w:t>
      </w:r>
      <w:r w:rsidR="00116F5F" w:rsidRPr="00866363">
        <w:rPr>
          <w:noProof/>
          <w:szCs w:val="22"/>
        </w:rPr>
        <w:t xml:space="preserve">prínosov a rizík. </w:t>
      </w:r>
    </w:p>
    <w:p w:rsidR="00116F5F" w:rsidRPr="00866363" w:rsidRDefault="00116F5F" w:rsidP="00613695">
      <w:pPr>
        <w:spacing w:line="240" w:lineRule="auto"/>
        <w:rPr>
          <w:noProof/>
          <w:szCs w:val="22"/>
        </w:rPr>
      </w:pPr>
    </w:p>
    <w:p w:rsidR="00116F5F" w:rsidRPr="00866363" w:rsidRDefault="00116F5F" w:rsidP="00613695">
      <w:pPr>
        <w:spacing w:line="240" w:lineRule="auto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Kofeín</w:t>
      </w:r>
    </w:p>
    <w:p w:rsidR="00116F5F" w:rsidRPr="00866363" w:rsidRDefault="00116F5F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Súbežné užívanie </w:t>
      </w:r>
      <w:r w:rsidRPr="00866363">
        <w:rPr>
          <w:i/>
          <w:noProof/>
          <w:szCs w:val="22"/>
        </w:rPr>
        <w:t>klozapínu</w:t>
      </w:r>
      <w:r w:rsidRPr="00866363">
        <w:rPr>
          <w:noProof/>
          <w:szCs w:val="22"/>
        </w:rPr>
        <w:t xml:space="preserve"> a kofeínu môže viesť k zvýšenej toxicite klozapínu.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proofErr w:type="spellStart"/>
      <w:r w:rsidRPr="00866363">
        <w:rPr>
          <w:b/>
          <w:szCs w:val="22"/>
        </w:rPr>
        <w:t>Fertilita</w:t>
      </w:r>
      <w:proofErr w:type="spellEnd"/>
      <w:r w:rsidRPr="00866363">
        <w:rPr>
          <w:b/>
          <w:szCs w:val="22"/>
        </w:rPr>
        <w:t>, gravidita a laktácia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  <w:u w:val="single"/>
        </w:rPr>
        <w:t>Gravidita</w:t>
      </w:r>
    </w:p>
    <w:p w:rsidR="00116F5F" w:rsidRPr="00866363" w:rsidRDefault="00116F5F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Epidemiologické štúdie vykonané počas tehotenstva nepreukázali žiaden škodlivý účinok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a kofeínu užívaných v terapeutických dávkach. </w:t>
      </w:r>
    </w:p>
    <w:p w:rsidR="00116F5F" w:rsidRPr="00866363" w:rsidRDefault="00116F5F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Kombinácia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a kofeínu sa neodporúča počas tehotenstva kvôli zvýšenému riziku spontánnych potratov spojených s užívaním kofeínu. </w:t>
      </w:r>
    </w:p>
    <w:p w:rsidR="00116F5F" w:rsidRPr="00866363" w:rsidRDefault="00116F5F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Neodporúča sa užívať </w:t>
      </w:r>
      <w:proofErr w:type="spellStart"/>
      <w:r w:rsidR="00B144D6" w:rsidRPr="00866363">
        <w:rPr>
          <w:szCs w:val="22"/>
        </w:rPr>
        <w:t>Parapyrex</w:t>
      </w:r>
      <w:proofErr w:type="spellEnd"/>
      <w:r w:rsidR="00B144D6" w:rsidRPr="00866363">
        <w:rPr>
          <w:szCs w:val="22"/>
        </w:rPr>
        <w:t xml:space="preserve"> </w:t>
      </w:r>
      <w:proofErr w:type="spellStart"/>
      <w:r w:rsidR="00B144D6" w:rsidRPr="00866363">
        <w:rPr>
          <w:szCs w:val="22"/>
        </w:rPr>
        <w:t>Combi</w:t>
      </w:r>
      <w:proofErr w:type="spellEnd"/>
      <w:r w:rsidRPr="00866363">
        <w:rPr>
          <w:szCs w:val="22"/>
        </w:rPr>
        <w:t xml:space="preserve"> počas tehotenstva. </w:t>
      </w:r>
    </w:p>
    <w:p w:rsidR="00116F5F" w:rsidRPr="00866363" w:rsidRDefault="00116F5F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szCs w:val="22"/>
          <w:u w:val="single"/>
        </w:rPr>
        <w:t>Dojčenie</w:t>
      </w:r>
    </w:p>
    <w:p w:rsidR="00116F5F" w:rsidRPr="00866363" w:rsidRDefault="00116F5F" w:rsidP="00613695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sa vylučuje do materského mlieka, ale v množstvách ktoré nie sú klinicky významné.</w:t>
      </w:r>
    </w:p>
    <w:p w:rsidR="00116F5F" w:rsidRPr="00866363" w:rsidRDefault="00C45EDF" w:rsidP="00613695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a jeho </w:t>
      </w:r>
      <w:proofErr w:type="spellStart"/>
      <w:r w:rsidRPr="00866363">
        <w:rPr>
          <w:szCs w:val="22"/>
        </w:rPr>
        <w:t>metabolity</w:t>
      </w:r>
      <w:proofErr w:type="spellEnd"/>
      <w:r w:rsidRPr="00866363">
        <w:rPr>
          <w:szCs w:val="22"/>
        </w:rPr>
        <w:t xml:space="preserve"> sa nestanovili v moči dojčaťa. Nehlásili sa patologické zmeny</w:t>
      </w:r>
      <w:r w:rsidR="0019595E" w:rsidRPr="00866363">
        <w:rPr>
          <w:szCs w:val="22"/>
        </w:rPr>
        <w:t xml:space="preserve"> u</w:t>
      </w:r>
      <w:r w:rsidRPr="00866363">
        <w:rPr>
          <w:szCs w:val="22"/>
        </w:rPr>
        <w:t xml:space="preserve"> dojčiat. </w:t>
      </w:r>
    </w:p>
    <w:p w:rsidR="00C45EDF" w:rsidRPr="00866363" w:rsidRDefault="00C45EDF" w:rsidP="00C45EDF">
      <w:pPr>
        <w:spacing w:line="240" w:lineRule="auto"/>
        <w:rPr>
          <w:szCs w:val="22"/>
        </w:rPr>
      </w:pPr>
      <w:r w:rsidRPr="00866363">
        <w:rPr>
          <w:szCs w:val="22"/>
        </w:rPr>
        <w:t xml:space="preserve">Kofeín sa vylučuje do materského mlieka a má stimulačný účinok na dojča, ale nepozorovala sa významná intoxikácia. Neodporúča sa užívať </w:t>
      </w:r>
      <w:proofErr w:type="spellStart"/>
      <w:r w:rsidR="00B144D6" w:rsidRPr="00866363">
        <w:rPr>
          <w:szCs w:val="22"/>
        </w:rPr>
        <w:t>Parapyrex</w:t>
      </w:r>
      <w:proofErr w:type="spellEnd"/>
      <w:r w:rsidR="00B144D6" w:rsidRPr="00866363">
        <w:rPr>
          <w:szCs w:val="22"/>
        </w:rPr>
        <w:t xml:space="preserve"> </w:t>
      </w:r>
      <w:proofErr w:type="spellStart"/>
      <w:r w:rsidR="00B144D6" w:rsidRPr="00866363">
        <w:rPr>
          <w:szCs w:val="22"/>
        </w:rPr>
        <w:t>Combi</w:t>
      </w:r>
      <w:proofErr w:type="spellEnd"/>
      <w:r w:rsidRPr="00866363">
        <w:rPr>
          <w:szCs w:val="22"/>
        </w:rPr>
        <w:t xml:space="preserve"> počas dojčenia. </w:t>
      </w:r>
    </w:p>
    <w:p w:rsidR="00C45EDF" w:rsidRPr="00866363" w:rsidRDefault="00C45EDF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Fertilita</w:t>
      </w:r>
    </w:p>
    <w:p w:rsidR="00C45EDF" w:rsidRPr="00866363" w:rsidRDefault="00C45EDF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Nie sú dostupné relevantné údaje.</w:t>
      </w:r>
    </w:p>
    <w:p w:rsidR="00613695" w:rsidRPr="00866363" w:rsidRDefault="00613695" w:rsidP="00613695">
      <w:pPr>
        <w:spacing w:line="240" w:lineRule="auto"/>
        <w:rPr>
          <w:i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Ovplyvnenie schopnosti viesť vozidlá a obsluhovať stroje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144D6" w:rsidP="00613695">
      <w:pPr>
        <w:spacing w:line="240" w:lineRule="auto"/>
        <w:rPr>
          <w:noProof/>
          <w:szCs w:val="22"/>
        </w:rPr>
      </w:pPr>
      <w:proofErr w:type="spellStart"/>
      <w:r w:rsidRPr="00866363">
        <w:rPr>
          <w:szCs w:val="22"/>
        </w:rPr>
        <w:t>Parapyrex</w:t>
      </w:r>
      <w:proofErr w:type="spellEnd"/>
      <w:r w:rsidRPr="00866363">
        <w:rPr>
          <w:szCs w:val="22"/>
        </w:rPr>
        <w:t xml:space="preserve"> </w:t>
      </w:r>
      <w:proofErr w:type="spellStart"/>
      <w:r w:rsidRPr="00866363">
        <w:rPr>
          <w:szCs w:val="22"/>
        </w:rPr>
        <w:t>Combi</w:t>
      </w:r>
      <w:proofErr w:type="spellEnd"/>
      <w:r w:rsidR="00613695" w:rsidRPr="00866363">
        <w:rPr>
          <w:szCs w:val="22"/>
        </w:rPr>
        <w:t xml:space="preserve"> nemá žiadny alebo má zanedbateľný vplyv na schopnosť vie</w:t>
      </w:r>
      <w:r w:rsidR="00794F54" w:rsidRPr="00866363">
        <w:rPr>
          <w:szCs w:val="22"/>
        </w:rPr>
        <w:t>sť vozidlá a obsluhovať stroje.</w:t>
      </w:r>
      <w:r w:rsidR="00613695" w:rsidRPr="00866363">
        <w:rPr>
          <w:szCs w:val="22"/>
        </w:rPr>
        <w:t xml:space="preserve">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Nežiaduce účinky</w:t>
      </w:r>
    </w:p>
    <w:p w:rsidR="00613695" w:rsidRPr="00866363" w:rsidRDefault="00613695" w:rsidP="00613695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613695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Nežiaduce udalosti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sú zriedkavé, ak sa užíva v odporúčaných dávkach. 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szCs w:val="22"/>
        </w:rPr>
        <w:lastRenderedPageBreak/>
        <w:t xml:space="preserve">Nežiaduce reakcie sú rozdelené podľa terminológie </w:t>
      </w:r>
      <w:proofErr w:type="spellStart"/>
      <w:r w:rsidRPr="00866363">
        <w:rPr>
          <w:szCs w:val="22"/>
        </w:rPr>
        <w:t>MedDRA</w:t>
      </w:r>
      <w:proofErr w:type="spellEnd"/>
      <w:r w:rsidRPr="00866363">
        <w:rPr>
          <w:szCs w:val="22"/>
        </w:rPr>
        <w:t xml:space="preserve"> </w:t>
      </w:r>
      <w:r w:rsidR="00CE66C3" w:rsidRPr="00866363">
        <w:rPr>
          <w:szCs w:val="22"/>
        </w:rPr>
        <w:t xml:space="preserve">a </w:t>
      </w:r>
      <w:r w:rsidR="006838DD" w:rsidRPr="00866363">
        <w:rPr>
          <w:szCs w:val="22"/>
        </w:rPr>
        <w:t xml:space="preserve">frekvencie výskytu </w:t>
      </w:r>
      <w:r w:rsidR="00CE66C3" w:rsidRPr="00866363">
        <w:rPr>
          <w:szCs w:val="22"/>
        </w:rPr>
        <w:t>s použitím nasledovnej konvencie</w:t>
      </w:r>
      <w:r w:rsidR="006838DD" w:rsidRPr="00866363">
        <w:rPr>
          <w:szCs w:val="22"/>
        </w:rPr>
        <w:t>:</w:t>
      </w:r>
      <w:r w:rsidRPr="00866363">
        <w:rPr>
          <w:szCs w:val="22"/>
        </w:rPr>
        <w:t xml:space="preserve"> zriedkavé (≥ 1/10 000 až &lt; 1/1 000); veľmi zriedkavé (&lt; 1/10 000)</w:t>
      </w:r>
      <w:r w:rsidR="00521EB8" w:rsidRPr="00866363">
        <w:rPr>
          <w:szCs w:val="22"/>
        </w:rPr>
        <w:t>.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proofErr w:type="spellStart"/>
      <w:r w:rsidRPr="00866363">
        <w:rPr>
          <w:b/>
          <w:szCs w:val="22"/>
        </w:rPr>
        <w:t>Paracetamol</w:t>
      </w:r>
      <w:proofErr w:type="spellEnd"/>
    </w:p>
    <w:p w:rsidR="00794F54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</w:t>
      </w:r>
      <w:r w:rsidR="00794F54" w:rsidRPr="00866363">
        <w:rPr>
          <w:szCs w:val="22"/>
          <w:u w:val="single"/>
        </w:rPr>
        <w:t>oruchy krvi a </w:t>
      </w:r>
      <w:r w:rsidRPr="00866363">
        <w:rPr>
          <w:szCs w:val="22"/>
          <w:u w:val="single"/>
        </w:rPr>
        <w:t>lym</w:t>
      </w:r>
      <w:r w:rsidR="00794F54" w:rsidRPr="00866363">
        <w:rPr>
          <w:szCs w:val="22"/>
          <w:u w:val="single"/>
        </w:rPr>
        <w:t>fatického systému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poruchy krvných doštičiek, poruchy kmeňových buniek, hemolytická anémia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srdca a srdcovej činnosti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edém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oka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abnormálne videnie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ciev</w:t>
      </w:r>
    </w:p>
    <w:p w:rsidR="0019595E" w:rsidRPr="00866363" w:rsidRDefault="0019595E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edém</w:t>
      </w:r>
    </w:p>
    <w:p w:rsidR="0019595E" w:rsidRPr="00866363" w:rsidRDefault="0019595E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</w:p>
    <w:p w:rsidR="0019595E" w:rsidRPr="00866363" w:rsidRDefault="0019595E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imunitného systému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alergia (okrem </w:t>
      </w:r>
      <w:proofErr w:type="spellStart"/>
      <w:r w:rsidRPr="00866363">
        <w:rPr>
          <w:szCs w:val="22"/>
        </w:rPr>
        <w:t>angioedému</w:t>
      </w:r>
      <w:proofErr w:type="spellEnd"/>
      <w:r w:rsidRPr="00866363">
        <w:rPr>
          <w:szCs w:val="22"/>
        </w:rPr>
        <w:t xml:space="preserve">), </w:t>
      </w:r>
      <w:proofErr w:type="spellStart"/>
      <w:r w:rsidRPr="00866363">
        <w:rPr>
          <w:szCs w:val="22"/>
        </w:rPr>
        <w:t>anafylaktická</w:t>
      </w:r>
      <w:proofErr w:type="spellEnd"/>
      <w:r w:rsidRPr="00866363">
        <w:rPr>
          <w:szCs w:val="22"/>
        </w:rPr>
        <w:t xml:space="preserve"> reakcia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Psychické  poruchy</w:t>
      </w:r>
    </w:p>
    <w:p w:rsidR="00794F54" w:rsidRPr="00866363" w:rsidRDefault="00794F54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</w:t>
      </w:r>
      <w:r w:rsidR="00FD6D8C" w:rsidRPr="00866363">
        <w:rPr>
          <w:szCs w:val="22"/>
        </w:rPr>
        <w:t>depresia, zmätenosť, halucinácie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nervového systému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triaška, bolesť hlavy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gastrointestinálneho traktu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krvácanie, bolesť brucha, hnačka, nevoľnosť, vracanie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pečene a žlčových ciest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abnormálne pečeňové testy, zlyhanie pečene, nekróza pečene, žltačka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kože a podkožného tkaniva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svrbenie, vyrážka, potenie, </w:t>
      </w:r>
      <w:proofErr w:type="spellStart"/>
      <w:r w:rsidRPr="00866363">
        <w:rPr>
          <w:szCs w:val="22"/>
        </w:rPr>
        <w:t>purp</w:t>
      </w:r>
      <w:r w:rsidR="0019595E" w:rsidRPr="00866363">
        <w:rPr>
          <w:szCs w:val="22"/>
        </w:rPr>
        <w:t>u</w:t>
      </w:r>
      <w:r w:rsidRPr="00866363">
        <w:rPr>
          <w:szCs w:val="22"/>
        </w:rPr>
        <w:t>ra</w:t>
      </w:r>
      <w:proofErr w:type="spellEnd"/>
      <w:r w:rsidRPr="00866363">
        <w:rPr>
          <w:szCs w:val="22"/>
        </w:rPr>
        <w:t xml:space="preserve">, </w:t>
      </w:r>
      <w:proofErr w:type="spellStart"/>
      <w:r w:rsidRPr="00866363">
        <w:rPr>
          <w:szCs w:val="22"/>
        </w:rPr>
        <w:t>angioedém</w:t>
      </w:r>
      <w:proofErr w:type="spellEnd"/>
      <w:r w:rsidRPr="00866363">
        <w:rPr>
          <w:szCs w:val="22"/>
        </w:rPr>
        <w:t xml:space="preserve">, žihľavka, </w:t>
      </w:r>
      <w:proofErr w:type="spellStart"/>
      <w:r w:rsidRPr="00866363">
        <w:rPr>
          <w:szCs w:val="22"/>
        </w:rPr>
        <w:t>Stevens</w:t>
      </w:r>
      <w:r w:rsidR="00521EB8" w:rsidRPr="00866363">
        <w:rPr>
          <w:szCs w:val="22"/>
        </w:rPr>
        <w:t>ov</w:t>
      </w:r>
      <w:r w:rsidRPr="00866363">
        <w:rPr>
          <w:szCs w:val="22"/>
        </w:rPr>
        <w:t>-Johnsonov</w:t>
      </w:r>
      <w:proofErr w:type="spellEnd"/>
      <w:r w:rsidRPr="00866363">
        <w:rPr>
          <w:szCs w:val="22"/>
        </w:rPr>
        <w:t xml:space="preserve"> syndróm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Celkové poruchy a reakcie v mieste podania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</w:t>
      </w:r>
      <w:proofErr w:type="spellStart"/>
      <w:r w:rsidRPr="00866363">
        <w:rPr>
          <w:szCs w:val="22"/>
        </w:rPr>
        <w:t>vertigo</w:t>
      </w:r>
      <w:proofErr w:type="spellEnd"/>
      <w:r w:rsidRPr="00866363">
        <w:rPr>
          <w:szCs w:val="22"/>
        </w:rPr>
        <w:t xml:space="preserve">, nevoľnosť, horúčka, </w:t>
      </w:r>
      <w:proofErr w:type="spellStart"/>
      <w:r w:rsidRPr="00866363">
        <w:rPr>
          <w:szCs w:val="22"/>
        </w:rPr>
        <w:t>sedácia</w:t>
      </w:r>
      <w:proofErr w:type="spellEnd"/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dýchacej sústavy, hrudníka a </w:t>
      </w:r>
      <w:proofErr w:type="spellStart"/>
      <w:r w:rsidRPr="00866363">
        <w:rPr>
          <w:szCs w:val="22"/>
          <w:u w:val="single"/>
        </w:rPr>
        <w:t>mediastína</w:t>
      </w:r>
      <w:proofErr w:type="spellEnd"/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bronchospazmus u pacientov citlivých na kyselinu acetylsalicylovú a iné NSAID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866363">
        <w:rPr>
          <w:b/>
          <w:szCs w:val="22"/>
        </w:rPr>
        <w:t>Kofeín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Psychické poruchy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veľmi zriedkavé</w:t>
      </w:r>
      <w:r w:rsidRPr="00866363">
        <w:rPr>
          <w:szCs w:val="22"/>
        </w:rPr>
        <w:t xml:space="preserve">: nespavosť, </w:t>
      </w:r>
      <w:r w:rsidR="00521EB8" w:rsidRPr="00866363">
        <w:rPr>
          <w:szCs w:val="22"/>
        </w:rPr>
        <w:t>nepokoj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 w:rsidP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gastrointestinálneho traktu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 xml:space="preserve">veľmi zriedkavé: </w:t>
      </w:r>
      <w:r w:rsidRPr="00866363">
        <w:rPr>
          <w:szCs w:val="22"/>
        </w:rPr>
        <w:t>nevoľnosť</w:t>
      </w:r>
    </w:p>
    <w:p w:rsidR="00FD6D8C" w:rsidRPr="00866363" w:rsidRDefault="00FD6D8C" w:rsidP="00613695">
      <w:pPr>
        <w:autoSpaceDE w:val="0"/>
        <w:autoSpaceDN w:val="0"/>
        <w:adjustRightInd w:val="0"/>
        <w:spacing w:line="240" w:lineRule="auto"/>
        <w:jc w:val="both"/>
        <w:rPr>
          <w:i/>
          <w:szCs w:val="22"/>
        </w:rPr>
      </w:pPr>
    </w:p>
    <w:p w:rsidR="00613695" w:rsidRPr="00866363" w:rsidRDefault="00613695" w:rsidP="00613695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866363">
        <w:rPr>
          <w:szCs w:val="22"/>
          <w:u w:val="single"/>
        </w:rPr>
        <w:t>Hlásenie podozrení na nežiaduce reakcie</w:t>
      </w:r>
    </w:p>
    <w:p w:rsidR="009F3582" w:rsidRPr="00866363" w:rsidRDefault="00613695" w:rsidP="009F3582">
      <w:pPr>
        <w:tabs>
          <w:tab w:val="clear" w:pos="567"/>
        </w:tabs>
        <w:spacing w:line="240" w:lineRule="auto"/>
        <w:rPr>
          <w:rFonts w:eastAsia="SimSun"/>
          <w:szCs w:val="22"/>
          <w:lang w:bidi="ar-SA"/>
        </w:rPr>
      </w:pPr>
      <w:r w:rsidRPr="00866363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</w:t>
      </w:r>
      <w:r w:rsidR="009F3582" w:rsidRPr="00866363">
        <w:rPr>
          <w:szCs w:val="22"/>
        </w:rPr>
        <w:t xml:space="preserve">na </w:t>
      </w:r>
      <w:r w:rsidR="009F3582" w:rsidRPr="00866363">
        <w:rPr>
          <w:szCs w:val="22"/>
          <w:highlight w:val="lightGray"/>
        </w:rPr>
        <w:t xml:space="preserve">národné centrum hlásenia uvedené </w:t>
      </w:r>
    </w:p>
    <w:p w:rsidR="002D14B3" w:rsidRPr="00866363" w:rsidRDefault="009F3582" w:rsidP="009F3582">
      <w:pPr>
        <w:autoSpaceDE w:val="0"/>
        <w:autoSpaceDN w:val="0"/>
        <w:adjustRightInd w:val="0"/>
        <w:spacing w:line="240" w:lineRule="auto"/>
        <w:rPr>
          <w:color w:val="008000"/>
          <w:szCs w:val="22"/>
        </w:rPr>
      </w:pPr>
      <w:r w:rsidRPr="00866363" w:rsidDel="009F3582">
        <w:rPr>
          <w:szCs w:val="22"/>
        </w:rPr>
        <w:t xml:space="preserve"> </w:t>
      </w:r>
      <w:r w:rsidR="00613695" w:rsidRPr="00866363">
        <w:rPr>
          <w:szCs w:val="22"/>
          <w:highlight w:val="lightGray"/>
        </w:rPr>
        <w:t>v </w:t>
      </w:r>
      <w:hyperlink r:id="rId8" w:history="1">
        <w:r w:rsidR="00613695" w:rsidRPr="00866363">
          <w:rPr>
            <w:rStyle w:val="Hypertextovprepojenie"/>
            <w:szCs w:val="22"/>
            <w:highlight w:val="lightGray"/>
          </w:rPr>
          <w:t>Prílohe V</w:t>
        </w:r>
      </w:hyperlink>
      <w:r w:rsidR="00FD6D8C" w:rsidRPr="00866363">
        <w:rPr>
          <w:color w:val="008000"/>
          <w:szCs w:val="22"/>
        </w:rPr>
        <w:t>.</w:t>
      </w:r>
    </w:p>
    <w:p w:rsidR="00613695" w:rsidRPr="00866363" w:rsidRDefault="00613695" w:rsidP="00613695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lastRenderedPageBreak/>
        <w:t>Predávkovanie</w:t>
      </w:r>
    </w:p>
    <w:p w:rsidR="00FD6D8C" w:rsidRPr="00866363" w:rsidRDefault="00FD6D8C" w:rsidP="00FD6D8C">
      <w:pPr>
        <w:keepNext/>
        <w:spacing w:line="240" w:lineRule="auto"/>
        <w:outlineLvl w:val="0"/>
        <w:rPr>
          <w:b/>
          <w:noProof/>
          <w:szCs w:val="22"/>
        </w:rPr>
      </w:pPr>
    </w:p>
    <w:p w:rsidR="00FD6D8C" w:rsidRPr="00866363" w:rsidRDefault="00FD6D8C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V prípade predávkovania sa vyžaduje okamžitá hospitalizácia a to aj vtedy</w:t>
      </w:r>
      <w:r w:rsidR="00EE4E94" w:rsidRPr="00866363">
        <w:rPr>
          <w:noProof/>
          <w:szCs w:val="22"/>
        </w:rPr>
        <w:t>,</w:t>
      </w:r>
      <w:r w:rsidRPr="00866363">
        <w:rPr>
          <w:noProof/>
          <w:szCs w:val="22"/>
        </w:rPr>
        <w:t xml:space="preserve"> ak nie sú prítomné žiadne skoré príznaky predávkovania. </w:t>
      </w:r>
    </w:p>
    <w:p w:rsidR="00FD6D8C" w:rsidRPr="00866363" w:rsidRDefault="00FD6D8C" w:rsidP="00FD6D8C">
      <w:pPr>
        <w:keepNext/>
        <w:spacing w:line="240" w:lineRule="auto"/>
        <w:outlineLvl w:val="0"/>
        <w:rPr>
          <w:noProof/>
          <w:szCs w:val="22"/>
        </w:rPr>
      </w:pPr>
    </w:p>
    <w:p w:rsidR="00FD6D8C" w:rsidRPr="00866363" w:rsidRDefault="00FD6D8C" w:rsidP="00FD6D8C">
      <w:pPr>
        <w:keepNext/>
        <w:spacing w:line="240" w:lineRule="auto"/>
        <w:outlineLvl w:val="0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Symptómy</w:t>
      </w:r>
    </w:p>
    <w:p w:rsidR="00FD6D8C" w:rsidRPr="00866363" w:rsidRDefault="00EE4E94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P</w:t>
      </w:r>
      <w:r w:rsidR="00C5054C" w:rsidRPr="00866363">
        <w:rPr>
          <w:noProof/>
          <w:szCs w:val="22"/>
        </w:rPr>
        <w:t>redávkovanie aj relatívne nízkymi dávkami paracetamolu (8 – 15 g v závislosti na telesnej hmotnosti pacienta) môže viesť k závažnej poruche funkcie pečene a niekedy k akútnej renálnej tubulárnej nekróze.</w:t>
      </w:r>
    </w:p>
    <w:p w:rsidR="00C5054C" w:rsidRPr="00866363" w:rsidRDefault="00C5054C" w:rsidP="00FD6D8C">
      <w:pPr>
        <w:keepNext/>
        <w:spacing w:line="240" w:lineRule="auto"/>
        <w:outlineLvl w:val="0"/>
        <w:rPr>
          <w:noProof/>
          <w:szCs w:val="22"/>
        </w:rPr>
      </w:pPr>
    </w:p>
    <w:p w:rsidR="00D55C01" w:rsidRPr="00866363" w:rsidRDefault="00C5054C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Príznaky predávkovani</w:t>
      </w:r>
      <w:r w:rsidR="00521EB8" w:rsidRPr="00866363">
        <w:rPr>
          <w:noProof/>
          <w:szCs w:val="22"/>
        </w:rPr>
        <w:t>a paracetamolom</w:t>
      </w:r>
      <w:r w:rsidRPr="00866363">
        <w:rPr>
          <w:noProof/>
          <w:szCs w:val="22"/>
        </w:rPr>
        <w:t xml:space="preserve"> počas prvých 24 hodín môžu zah</w:t>
      </w:r>
      <w:r w:rsidR="00EE4E94" w:rsidRPr="00866363">
        <w:rPr>
          <w:noProof/>
          <w:szCs w:val="22"/>
        </w:rPr>
        <w:t>ŕňať nevoľnosť, vracanie, stratu</w:t>
      </w:r>
      <w:r w:rsidRPr="00866363">
        <w:rPr>
          <w:noProof/>
          <w:szCs w:val="22"/>
        </w:rPr>
        <w:t xml:space="preserve"> chuti do jedla, potenie a bolesť </w:t>
      </w:r>
      <w:r w:rsidR="00D55C01" w:rsidRPr="00866363">
        <w:rPr>
          <w:noProof/>
          <w:szCs w:val="22"/>
        </w:rPr>
        <w:t>brucha. Príznaky zlyhania pečene sa môžu objaviť 12 – 24 hod</w:t>
      </w:r>
      <w:r w:rsidR="007D3482" w:rsidRPr="00866363">
        <w:rPr>
          <w:noProof/>
          <w:szCs w:val="22"/>
        </w:rPr>
        <w:t>ín</w:t>
      </w:r>
      <w:r w:rsidR="00D55C01" w:rsidRPr="00866363">
        <w:rPr>
          <w:noProof/>
          <w:szCs w:val="22"/>
        </w:rPr>
        <w:t xml:space="preserve"> od užitia lieku. Môžu sa objaviť abnormality glukózového metabolitu, metabolická acidóza, krvácanie a hypotenzia. </w:t>
      </w:r>
    </w:p>
    <w:p w:rsidR="00D55C01" w:rsidRPr="00866363" w:rsidRDefault="00D55C01" w:rsidP="00FD6D8C">
      <w:pPr>
        <w:keepNext/>
        <w:spacing w:line="240" w:lineRule="auto"/>
        <w:outlineLvl w:val="0"/>
        <w:rPr>
          <w:noProof/>
          <w:szCs w:val="22"/>
        </w:rPr>
      </w:pPr>
    </w:p>
    <w:p w:rsidR="000C17F2" w:rsidRPr="00866363" w:rsidRDefault="00D55C01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Aj pri neprítomnosti závažného poškodenia pečene sa môže objaviť akútne zlyhanie obli</w:t>
      </w:r>
      <w:r w:rsidR="005E51BF" w:rsidRPr="00866363">
        <w:rPr>
          <w:noProof/>
          <w:szCs w:val="22"/>
        </w:rPr>
        <w:t xml:space="preserve">čiek s tubulárnou nekrózou. Hlásila sa pankreatitída a srdcová arytmia. </w:t>
      </w:r>
      <w:r w:rsidR="000C17F2" w:rsidRPr="00866363">
        <w:rPr>
          <w:noProof/>
          <w:szCs w:val="22"/>
        </w:rPr>
        <w:t xml:space="preserve">V prípade závažného predávkovania môže zlyhanie pečene progredovať </w:t>
      </w:r>
      <w:r w:rsidR="008F1908" w:rsidRPr="00866363">
        <w:rPr>
          <w:noProof/>
          <w:szCs w:val="22"/>
        </w:rPr>
        <w:t xml:space="preserve">až </w:t>
      </w:r>
      <w:r w:rsidR="000C17F2" w:rsidRPr="00866363">
        <w:rPr>
          <w:noProof/>
          <w:szCs w:val="22"/>
        </w:rPr>
        <w:t xml:space="preserve">do encefalopatie, kómy a smrti. </w:t>
      </w:r>
    </w:p>
    <w:p w:rsidR="000C17F2" w:rsidRPr="00866363" w:rsidRDefault="000C17F2" w:rsidP="00FD6D8C">
      <w:pPr>
        <w:keepNext/>
        <w:spacing w:line="240" w:lineRule="auto"/>
        <w:outlineLvl w:val="0"/>
        <w:rPr>
          <w:noProof/>
          <w:szCs w:val="22"/>
        </w:rPr>
      </w:pPr>
    </w:p>
    <w:p w:rsidR="00D55C01" w:rsidRPr="00866363" w:rsidRDefault="000C17F2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Predĺženie protrombínového času je jedným z</w:t>
      </w:r>
      <w:r w:rsidR="00593DBC" w:rsidRPr="00866363">
        <w:rPr>
          <w:noProof/>
          <w:szCs w:val="22"/>
        </w:rPr>
        <w:t> indikátorov poruchy funkcie pečene</w:t>
      </w:r>
      <w:r w:rsidR="008F1908" w:rsidRPr="00866363">
        <w:rPr>
          <w:noProof/>
          <w:szCs w:val="22"/>
        </w:rPr>
        <w:t>,</w:t>
      </w:r>
      <w:r w:rsidR="00593DBC" w:rsidRPr="00866363">
        <w:rPr>
          <w:noProof/>
          <w:szCs w:val="22"/>
        </w:rPr>
        <w:t xml:space="preserve"> a preto sa odporúča jeho sledovanie. Pacienti užívajúci induktory pečeňových enzýmov (karbamazepín, fenytoín, barbituráty, rifampicín) alebo s históriou alkoh</w:t>
      </w:r>
      <w:r w:rsidR="008F1908" w:rsidRPr="00866363">
        <w:rPr>
          <w:noProof/>
          <w:szCs w:val="22"/>
        </w:rPr>
        <w:t>o</w:t>
      </w:r>
      <w:r w:rsidR="00593DBC" w:rsidRPr="00866363">
        <w:rPr>
          <w:noProof/>
          <w:szCs w:val="22"/>
        </w:rPr>
        <w:t xml:space="preserve">lizmu sú viac náchylní na poškodenie pečene. </w:t>
      </w:r>
    </w:p>
    <w:p w:rsidR="00593DBC" w:rsidRPr="00866363" w:rsidRDefault="00593DBC" w:rsidP="00FD6D8C">
      <w:pPr>
        <w:keepNext/>
        <w:spacing w:line="240" w:lineRule="auto"/>
        <w:outlineLvl w:val="0"/>
        <w:rPr>
          <w:noProof/>
          <w:szCs w:val="22"/>
        </w:rPr>
      </w:pPr>
    </w:p>
    <w:p w:rsidR="00593DBC" w:rsidRPr="00866363" w:rsidRDefault="00593DBC" w:rsidP="00FD6D8C">
      <w:pPr>
        <w:keepNext/>
        <w:spacing w:line="240" w:lineRule="auto"/>
        <w:outlineLvl w:val="0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Manažment</w:t>
      </w:r>
    </w:p>
    <w:p w:rsidR="00772F84" w:rsidRPr="00866363" w:rsidRDefault="00593DBC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Nevyhnutná je okamžitá hospitaliz</w:t>
      </w:r>
      <w:r w:rsidR="008F1908" w:rsidRPr="00866363">
        <w:rPr>
          <w:noProof/>
          <w:szCs w:val="22"/>
        </w:rPr>
        <w:t>ácia. Vyvolanie vracania, laváž</w:t>
      </w:r>
      <w:r w:rsidRPr="00866363">
        <w:rPr>
          <w:noProof/>
          <w:szCs w:val="22"/>
        </w:rPr>
        <w:t xml:space="preserve"> žalúdka sa má vykonať u pacientov, ktorí užili paracetamol v predchádzajúcich 4 hodinách. Potom sa má podať metionín (2,5 g orálne) alebo špecifické antidotum. </w:t>
      </w:r>
      <w:r w:rsidR="00772F84" w:rsidRPr="00866363">
        <w:rPr>
          <w:noProof/>
          <w:szCs w:val="22"/>
        </w:rPr>
        <w:t>Použitie aktívne uhlia s cieľom zníženia gastrointestinálnej resorpcie je diskutabilné. Odporúča sa monitorovanie plazmatických koncentrácií paracetamolu. Špecifické antidotum N-acetylcysteín sa má použiť 8 – 15 hodín od predávkovania sa paracetamolom. Účinnosť klesá progresívne po tomto čase, avšak N-acetylcysteín môže poskytovať nejaký účinok až do 24 hodín. N</w:t>
      </w:r>
      <w:r w:rsidR="008F1908" w:rsidRPr="00866363">
        <w:rPr>
          <w:noProof/>
          <w:szCs w:val="22"/>
        </w:rPr>
        <w:t>-acetylcysteín sa podáva dospelý</w:t>
      </w:r>
      <w:r w:rsidR="00772F84" w:rsidRPr="00866363">
        <w:rPr>
          <w:noProof/>
          <w:szCs w:val="22"/>
        </w:rPr>
        <w:t xml:space="preserve">m a deťom i.v. v 5% roztoku glukózy s počiatočnou dávkou 150 mg/kg každých 15 minút. Počiatočná infúzia sa nahrádza kontinuálnou infúziou s 50 mg/kg N-acetylcysteínu v 5% </w:t>
      </w:r>
      <w:r w:rsidR="008F1908" w:rsidRPr="00866363">
        <w:rPr>
          <w:noProof/>
          <w:szCs w:val="22"/>
        </w:rPr>
        <w:t>roztoku glukózy nasledujúce 4 ho</w:t>
      </w:r>
      <w:r w:rsidR="00772F84" w:rsidRPr="00866363">
        <w:rPr>
          <w:noProof/>
          <w:szCs w:val="22"/>
        </w:rPr>
        <w:t>diny. Následne sa podáva kontinuálna infúzia so 100 mg/kg N-acetylcysteínu nasledujúcich 16-20 hodín. N-acetylcysteín sa môže podávať aj orálne, 10 – 140 mg/kg 3-krát za deň, do 10 hodín po predávkovaní sa paracetamolom. V prípade veľmi závažnej intoxikácie je možné vykonať hemodialýzu a hemoperfúziu.</w:t>
      </w:r>
    </w:p>
    <w:p w:rsidR="00772F84" w:rsidRPr="00866363" w:rsidRDefault="00772F84" w:rsidP="00FD6D8C">
      <w:pPr>
        <w:keepNext/>
        <w:spacing w:line="240" w:lineRule="auto"/>
        <w:outlineLvl w:val="0"/>
        <w:rPr>
          <w:noProof/>
          <w:szCs w:val="22"/>
        </w:rPr>
      </w:pPr>
    </w:p>
    <w:p w:rsidR="00772F84" w:rsidRPr="00866363" w:rsidRDefault="00772F84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 xml:space="preserve">Vysoké dávky kofeínu môžu vyvolať bolesť hlavy, triašku, nervozitu a podráždenosť. </w:t>
      </w:r>
    </w:p>
    <w:p w:rsidR="00593DBC" w:rsidRPr="00866363" w:rsidRDefault="00772F84" w:rsidP="00FD6D8C">
      <w:pPr>
        <w:keepNext/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 xml:space="preserve">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866363">
        <w:rPr>
          <w:b/>
          <w:szCs w:val="22"/>
        </w:rPr>
        <w:t>FARMAKOLOGICKÉ VLASTNOSTI</w:t>
      </w:r>
    </w:p>
    <w:p w:rsidR="00613695" w:rsidRPr="00866363" w:rsidRDefault="00613695" w:rsidP="00613695">
      <w:pPr>
        <w:keepNext/>
        <w:spacing w:line="240" w:lineRule="auto"/>
        <w:rPr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866363">
        <w:rPr>
          <w:b/>
          <w:szCs w:val="22"/>
        </w:rPr>
        <w:t>Farmakodynamické</w:t>
      </w:r>
      <w:proofErr w:type="spellEnd"/>
      <w:r w:rsidRPr="00866363">
        <w:rPr>
          <w:b/>
          <w:szCs w:val="22"/>
        </w:rPr>
        <w:t xml:space="preserve"> vlastnosti</w:t>
      </w:r>
    </w:p>
    <w:p w:rsidR="00613695" w:rsidRPr="00866363" w:rsidRDefault="00613695" w:rsidP="00613695">
      <w:pPr>
        <w:keepNext/>
        <w:spacing w:line="240" w:lineRule="auto"/>
        <w:rPr>
          <w:szCs w:val="22"/>
        </w:rPr>
      </w:pPr>
    </w:p>
    <w:p w:rsidR="00613695" w:rsidRPr="00866363" w:rsidRDefault="00613695" w:rsidP="00613695">
      <w:pPr>
        <w:spacing w:line="240" w:lineRule="auto"/>
        <w:outlineLvl w:val="0"/>
        <w:rPr>
          <w:noProof/>
          <w:szCs w:val="22"/>
        </w:rPr>
      </w:pPr>
      <w:proofErr w:type="spellStart"/>
      <w:r w:rsidRPr="00866363">
        <w:rPr>
          <w:szCs w:val="22"/>
        </w:rPr>
        <w:t>Farmakoterapeutická</w:t>
      </w:r>
      <w:proofErr w:type="spellEnd"/>
      <w:r w:rsidRPr="00866363">
        <w:rPr>
          <w:szCs w:val="22"/>
        </w:rPr>
        <w:t xml:space="preserve"> skupina: </w:t>
      </w:r>
      <w:proofErr w:type="spellStart"/>
      <w:r w:rsidR="009E1748" w:rsidRPr="00866363">
        <w:rPr>
          <w:szCs w:val="22"/>
        </w:rPr>
        <w:t>paracetamol</w:t>
      </w:r>
      <w:proofErr w:type="spellEnd"/>
      <w:r w:rsidR="00CE66C3" w:rsidRPr="00866363">
        <w:rPr>
          <w:szCs w:val="22"/>
        </w:rPr>
        <w:t>,</w:t>
      </w:r>
      <w:r w:rsidR="009E1748" w:rsidRPr="00866363">
        <w:rPr>
          <w:szCs w:val="22"/>
        </w:rPr>
        <w:t xml:space="preserve"> kombinácie s výnimkou </w:t>
      </w:r>
      <w:proofErr w:type="spellStart"/>
      <w:r w:rsidR="009E1748" w:rsidRPr="00866363">
        <w:rPr>
          <w:szCs w:val="22"/>
        </w:rPr>
        <w:t>psycholeptík</w:t>
      </w:r>
      <w:proofErr w:type="spellEnd"/>
      <w:r w:rsidRPr="00866363">
        <w:rPr>
          <w:szCs w:val="22"/>
        </w:rPr>
        <w:t xml:space="preserve">, ATC kód: </w:t>
      </w:r>
      <w:r w:rsidR="009E1748" w:rsidRPr="00866363">
        <w:rPr>
          <w:szCs w:val="22"/>
        </w:rPr>
        <w:t>N02BE51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9E1748" w:rsidP="00613695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  <w:proofErr w:type="spellStart"/>
      <w:r w:rsidRPr="00866363">
        <w:rPr>
          <w:szCs w:val="22"/>
          <w:u w:val="single"/>
        </w:rPr>
        <w:t>Paracetamol</w:t>
      </w:r>
      <w:proofErr w:type="spellEnd"/>
      <w:r w:rsidRPr="00866363">
        <w:rPr>
          <w:szCs w:val="22"/>
          <w:u w:val="single"/>
        </w:rPr>
        <w:t xml:space="preserve"> </w:t>
      </w:r>
    </w:p>
    <w:p w:rsidR="00882A75" w:rsidRPr="00866363" w:rsidRDefault="009E1748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je analgetikum a </w:t>
      </w:r>
      <w:proofErr w:type="spellStart"/>
      <w:r w:rsidRPr="00866363">
        <w:rPr>
          <w:szCs w:val="22"/>
        </w:rPr>
        <w:t>antipyretikum</w:t>
      </w:r>
      <w:proofErr w:type="spellEnd"/>
      <w:r w:rsidRPr="00866363">
        <w:rPr>
          <w:szCs w:val="22"/>
        </w:rPr>
        <w:t xml:space="preserve"> bez protizápalového účinku a s dobrou gastrointestinálnou toleranciou. Je vhodný pre dospelých a rovnako aj pre pediatrickú populáciu. </w:t>
      </w:r>
      <w:r w:rsidR="00882A75" w:rsidRPr="00866363">
        <w:rPr>
          <w:szCs w:val="22"/>
        </w:rPr>
        <w:t xml:space="preserve">Mechanizmus účinku je podobný kyseline acetylsalicylovej a závisí na inhibícii </w:t>
      </w:r>
      <w:proofErr w:type="spellStart"/>
      <w:r w:rsidR="00882A75" w:rsidRPr="00866363">
        <w:rPr>
          <w:szCs w:val="22"/>
        </w:rPr>
        <w:t>prostaglandínov</w:t>
      </w:r>
      <w:proofErr w:type="spellEnd"/>
      <w:r w:rsidR="00882A75" w:rsidRPr="00866363">
        <w:rPr>
          <w:szCs w:val="22"/>
        </w:rPr>
        <w:t xml:space="preserve"> v centrálnej nervovej sústave. </w:t>
      </w:r>
    </w:p>
    <w:p w:rsidR="00DF0F87" w:rsidRPr="00866363" w:rsidRDefault="00882A75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866363">
        <w:rPr>
          <w:szCs w:val="22"/>
        </w:rPr>
        <w:t xml:space="preserve">Neprítomnosť </w:t>
      </w:r>
      <w:proofErr w:type="spellStart"/>
      <w:r w:rsidRPr="00866363">
        <w:rPr>
          <w:szCs w:val="22"/>
        </w:rPr>
        <w:t>prostaglandínovej</w:t>
      </w:r>
      <w:proofErr w:type="spellEnd"/>
      <w:r w:rsidRPr="00866363">
        <w:rPr>
          <w:szCs w:val="22"/>
        </w:rPr>
        <w:t xml:space="preserve"> periférnej inhibície </w:t>
      </w:r>
      <w:r w:rsidR="00DF0F87" w:rsidRPr="00866363">
        <w:rPr>
          <w:szCs w:val="22"/>
        </w:rPr>
        <w:t xml:space="preserve">zabezpečuje </w:t>
      </w:r>
      <w:proofErr w:type="spellStart"/>
      <w:r w:rsidR="00DF0F87" w:rsidRPr="00866363">
        <w:rPr>
          <w:szCs w:val="22"/>
        </w:rPr>
        <w:t>paracetamolu</w:t>
      </w:r>
      <w:proofErr w:type="spellEnd"/>
      <w:r w:rsidR="00DF0F87" w:rsidRPr="00866363">
        <w:rPr>
          <w:szCs w:val="22"/>
        </w:rPr>
        <w:t xml:space="preserve"> dôležité farmakologické vlastnosti ako je udržiavanie ochranných </w:t>
      </w:r>
      <w:proofErr w:type="spellStart"/>
      <w:r w:rsidR="00DF0F87" w:rsidRPr="00866363">
        <w:rPr>
          <w:szCs w:val="22"/>
        </w:rPr>
        <w:t>prostaglandínov</w:t>
      </w:r>
      <w:proofErr w:type="spellEnd"/>
      <w:r w:rsidR="00DF0F87" w:rsidRPr="00866363">
        <w:rPr>
          <w:szCs w:val="22"/>
        </w:rPr>
        <w:t xml:space="preserve"> v </w:t>
      </w:r>
      <w:proofErr w:type="spellStart"/>
      <w:r w:rsidR="00DF0F87" w:rsidRPr="00866363">
        <w:rPr>
          <w:szCs w:val="22"/>
        </w:rPr>
        <w:t>gastrointestinálnom</w:t>
      </w:r>
      <w:proofErr w:type="spellEnd"/>
      <w:r w:rsidR="00DF0F87" w:rsidRPr="00866363">
        <w:rPr>
          <w:szCs w:val="22"/>
        </w:rPr>
        <w:t xml:space="preserve"> trakte. </w:t>
      </w:r>
      <w:proofErr w:type="spellStart"/>
      <w:r w:rsidR="00DF0F87" w:rsidRPr="00866363">
        <w:rPr>
          <w:szCs w:val="22"/>
        </w:rPr>
        <w:t>Paracetamol</w:t>
      </w:r>
      <w:proofErr w:type="spellEnd"/>
      <w:r w:rsidR="00DF0F87" w:rsidRPr="00866363">
        <w:rPr>
          <w:szCs w:val="22"/>
        </w:rPr>
        <w:t xml:space="preserve"> je preto vhodný najmä pre pacientov s</w:t>
      </w:r>
      <w:r w:rsidR="008F1908" w:rsidRPr="00866363">
        <w:rPr>
          <w:szCs w:val="22"/>
        </w:rPr>
        <w:t xml:space="preserve"> týmto </w:t>
      </w:r>
      <w:r w:rsidR="00DF0F87" w:rsidRPr="00866363">
        <w:rPr>
          <w:szCs w:val="22"/>
        </w:rPr>
        <w:t xml:space="preserve">ochorením v anamnéze alebo u pacientov </w:t>
      </w:r>
      <w:r w:rsidR="00DF0F87" w:rsidRPr="00866363">
        <w:rPr>
          <w:szCs w:val="22"/>
        </w:rPr>
        <w:lastRenderedPageBreak/>
        <w:t>podstupujúcich inú liečbu</w:t>
      </w:r>
      <w:r w:rsidR="008F1908" w:rsidRPr="00866363">
        <w:rPr>
          <w:szCs w:val="22"/>
        </w:rPr>
        <w:t>,</w:t>
      </w:r>
      <w:r w:rsidR="00DF0F87" w:rsidRPr="00866363">
        <w:rPr>
          <w:szCs w:val="22"/>
        </w:rPr>
        <w:t xml:space="preserve"> kde je inhibícia periférnych </w:t>
      </w:r>
      <w:proofErr w:type="spellStart"/>
      <w:r w:rsidR="00DF0F87" w:rsidRPr="00866363">
        <w:rPr>
          <w:szCs w:val="22"/>
        </w:rPr>
        <w:t>prostaglandínov</w:t>
      </w:r>
      <w:proofErr w:type="spellEnd"/>
      <w:r w:rsidR="00DF0F87" w:rsidRPr="00866363">
        <w:rPr>
          <w:szCs w:val="22"/>
        </w:rPr>
        <w:t xml:space="preserve"> nežiaduca (napr. pacienti s krvácaním do gastrointestinálneho traktu v anamnéze alebo starší pacienti). </w:t>
      </w:r>
    </w:p>
    <w:p w:rsidR="00DF0F87" w:rsidRPr="00866363" w:rsidRDefault="00DF0F87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8759E5" w:rsidRPr="00866363" w:rsidRDefault="00CE66C3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866363">
        <w:rPr>
          <w:szCs w:val="22"/>
        </w:rPr>
        <w:t>Keďže</w:t>
      </w:r>
      <w:r w:rsidR="00DF0F87" w:rsidRPr="00866363">
        <w:rPr>
          <w:szCs w:val="22"/>
        </w:rPr>
        <w:t xml:space="preserve"> </w:t>
      </w:r>
      <w:proofErr w:type="spellStart"/>
      <w:r w:rsidR="00DF0F87" w:rsidRPr="00866363">
        <w:rPr>
          <w:szCs w:val="22"/>
        </w:rPr>
        <w:t>paracetamol</w:t>
      </w:r>
      <w:proofErr w:type="spellEnd"/>
      <w:r w:rsidR="00DF0F87" w:rsidRPr="00866363">
        <w:rPr>
          <w:szCs w:val="22"/>
        </w:rPr>
        <w:t xml:space="preserve"> neovplyvňuje glykémiu, je vhodný pre diabetických pacientov. </w:t>
      </w:r>
      <w:r w:rsidR="008759E5" w:rsidRPr="00866363">
        <w:rPr>
          <w:szCs w:val="22"/>
        </w:rPr>
        <w:t xml:space="preserve">Neovplyvňuje krvné zrážanie (2 g </w:t>
      </w:r>
      <w:proofErr w:type="spellStart"/>
      <w:r w:rsidR="008759E5" w:rsidRPr="00866363">
        <w:rPr>
          <w:szCs w:val="22"/>
        </w:rPr>
        <w:t>paracetamolu</w:t>
      </w:r>
      <w:proofErr w:type="spellEnd"/>
      <w:r w:rsidR="008759E5" w:rsidRPr="00866363">
        <w:rPr>
          <w:szCs w:val="22"/>
        </w:rPr>
        <w:t xml:space="preserve"> za deň) ani úroveň vylučovania kyseliny močovej počas krátkodobej liečby. </w:t>
      </w:r>
      <w:proofErr w:type="spellStart"/>
      <w:r w:rsidR="008759E5" w:rsidRPr="00866363">
        <w:rPr>
          <w:szCs w:val="22"/>
        </w:rPr>
        <w:t>Paracetamol</w:t>
      </w:r>
      <w:proofErr w:type="spellEnd"/>
      <w:r w:rsidR="008759E5" w:rsidRPr="00866363">
        <w:rPr>
          <w:szCs w:val="22"/>
        </w:rPr>
        <w:t xml:space="preserve"> sa môže podávať vo všetkých prípadoch</w:t>
      </w:r>
      <w:r w:rsidR="008F1908" w:rsidRPr="00866363">
        <w:rPr>
          <w:szCs w:val="22"/>
        </w:rPr>
        <w:t>,</w:t>
      </w:r>
      <w:r w:rsidR="008759E5" w:rsidRPr="00866363">
        <w:rPr>
          <w:szCs w:val="22"/>
        </w:rPr>
        <w:t xml:space="preserve"> k</w:t>
      </w:r>
      <w:r w:rsidRPr="00866363">
        <w:rPr>
          <w:szCs w:val="22"/>
        </w:rPr>
        <w:t>de</w:t>
      </w:r>
      <w:r w:rsidR="008759E5" w:rsidRPr="00866363">
        <w:rPr>
          <w:szCs w:val="22"/>
        </w:rPr>
        <w:t xml:space="preserve"> sú </w:t>
      </w:r>
      <w:proofErr w:type="spellStart"/>
      <w:r w:rsidR="008759E5" w:rsidRPr="00866363">
        <w:rPr>
          <w:szCs w:val="22"/>
        </w:rPr>
        <w:t>salicy</w:t>
      </w:r>
      <w:r w:rsidRPr="00866363">
        <w:rPr>
          <w:szCs w:val="22"/>
        </w:rPr>
        <w:t>l</w:t>
      </w:r>
      <w:r w:rsidR="008759E5" w:rsidRPr="00866363">
        <w:rPr>
          <w:szCs w:val="22"/>
        </w:rPr>
        <w:t>á</w:t>
      </w:r>
      <w:r w:rsidRPr="00866363">
        <w:rPr>
          <w:szCs w:val="22"/>
        </w:rPr>
        <w:t>t</w:t>
      </w:r>
      <w:r w:rsidR="008759E5" w:rsidRPr="00866363">
        <w:rPr>
          <w:szCs w:val="22"/>
        </w:rPr>
        <w:t>y</w:t>
      </w:r>
      <w:proofErr w:type="spellEnd"/>
      <w:r w:rsidR="008759E5" w:rsidRPr="00866363">
        <w:rPr>
          <w:szCs w:val="22"/>
        </w:rPr>
        <w:t xml:space="preserve"> </w:t>
      </w:r>
      <w:r w:rsidRPr="00866363">
        <w:rPr>
          <w:szCs w:val="22"/>
        </w:rPr>
        <w:t>kontraindikované</w:t>
      </w:r>
      <w:r w:rsidR="008759E5" w:rsidRPr="00866363">
        <w:rPr>
          <w:szCs w:val="22"/>
        </w:rPr>
        <w:t>.</w:t>
      </w:r>
    </w:p>
    <w:p w:rsidR="008759E5" w:rsidRPr="00866363" w:rsidRDefault="008759E5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8759E5" w:rsidRPr="00866363" w:rsidRDefault="008759E5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866363">
        <w:rPr>
          <w:szCs w:val="22"/>
        </w:rPr>
        <w:t xml:space="preserve">Analgetický účinok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po jednotlivej dávke 0,5 – 1 g trvá 3 – 6 hodín, </w:t>
      </w:r>
      <w:proofErr w:type="spellStart"/>
      <w:r w:rsidRPr="00866363">
        <w:rPr>
          <w:szCs w:val="22"/>
        </w:rPr>
        <w:t>antipyretický</w:t>
      </w:r>
      <w:proofErr w:type="spellEnd"/>
      <w:r w:rsidRPr="00866363">
        <w:rPr>
          <w:szCs w:val="22"/>
        </w:rPr>
        <w:t xml:space="preserve"> účinok 3 – 4 hodiny. Oba účinky sú porovnateľné s kyselinou acetylsalicylovou užitou v rovnakých dávkach. </w:t>
      </w:r>
    </w:p>
    <w:p w:rsidR="008759E5" w:rsidRPr="00866363" w:rsidRDefault="008759E5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8759E5" w:rsidRPr="00866363" w:rsidRDefault="008759E5" w:rsidP="00613695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  <w:r w:rsidRPr="00866363">
        <w:rPr>
          <w:szCs w:val="22"/>
          <w:u w:val="single"/>
        </w:rPr>
        <w:t>Kofeín</w:t>
      </w:r>
    </w:p>
    <w:p w:rsidR="008759E5" w:rsidRPr="00866363" w:rsidRDefault="008759E5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866363">
        <w:rPr>
          <w:szCs w:val="22"/>
        </w:rPr>
        <w:t xml:space="preserve">Kofeín zosilňuje analgetický účinok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stimuláciou centrálneho nervového systému a môže zmierňovať depresiu</w:t>
      </w:r>
      <w:r w:rsidR="008F1908" w:rsidRPr="00866363">
        <w:rPr>
          <w:szCs w:val="22"/>
        </w:rPr>
        <w:t>,</w:t>
      </w:r>
      <w:r w:rsidRPr="00866363">
        <w:rPr>
          <w:szCs w:val="22"/>
        </w:rPr>
        <w:t xml:space="preserve"> ktorá sa často objavuje s bolesťou. </w:t>
      </w:r>
    </w:p>
    <w:p w:rsidR="00A05548" w:rsidRPr="00866363" w:rsidRDefault="008759E5" w:rsidP="0061369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866363">
        <w:rPr>
          <w:szCs w:val="22"/>
        </w:rPr>
        <w:t>Metaanalýza 30 klinických štúdií s</w:t>
      </w:r>
      <w:r w:rsidR="00A05548" w:rsidRPr="00866363">
        <w:rPr>
          <w:szCs w:val="22"/>
        </w:rPr>
        <w:t> analgetikami a</w:t>
      </w:r>
      <w:r w:rsidR="008F1908" w:rsidRPr="00866363">
        <w:rPr>
          <w:szCs w:val="22"/>
        </w:rPr>
        <w:t> </w:t>
      </w:r>
      <w:r w:rsidR="00A05548" w:rsidRPr="00866363">
        <w:rPr>
          <w:szCs w:val="22"/>
        </w:rPr>
        <w:t>kofeínom</w:t>
      </w:r>
      <w:r w:rsidR="008F1908" w:rsidRPr="00866363">
        <w:rPr>
          <w:szCs w:val="22"/>
        </w:rPr>
        <w:t>,</w:t>
      </w:r>
      <w:r w:rsidR="00A05548" w:rsidRPr="00866363">
        <w:rPr>
          <w:szCs w:val="22"/>
        </w:rPr>
        <w:t xml:space="preserve"> ktorá zahŕňala 6 štúdií s rôznymi dávkami </w:t>
      </w:r>
      <w:proofErr w:type="spellStart"/>
      <w:r w:rsidR="00A05548" w:rsidRPr="00866363">
        <w:rPr>
          <w:szCs w:val="22"/>
        </w:rPr>
        <w:t>paracetamolu</w:t>
      </w:r>
      <w:proofErr w:type="spellEnd"/>
      <w:r w:rsidR="00A05548" w:rsidRPr="00866363">
        <w:rPr>
          <w:szCs w:val="22"/>
        </w:rPr>
        <w:t xml:space="preserve"> a kofeínu preukázala, že kombinácia </w:t>
      </w:r>
      <w:proofErr w:type="spellStart"/>
      <w:r w:rsidR="00A05548" w:rsidRPr="00866363">
        <w:rPr>
          <w:szCs w:val="22"/>
        </w:rPr>
        <w:t>paracetamol</w:t>
      </w:r>
      <w:proofErr w:type="spellEnd"/>
      <w:r w:rsidR="00A05548" w:rsidRPr="00866363">
        <w:rPr>
          <w:szCs w:val="22"/>
        </w:rPr>
        <w:t xml:space="preserve"> a kofeín je 1,37-krát účinnejšia ako </w:t>
      </w:r>
      <w:proofErr w:type="spellStart"/>
      <w:r w:rsidR="00A05548" w:rsidRPr="00866363">
        <w:rPr>
          <w:szCs w:val="22"/>
        </w:rPr>
        <w:t>paracetamol</w:t>
      </w:r>
      <w:proofErr w:type="spellEnd"/>
      <w:r w:rsidR="00A05548" w:rsidRPr="00866363">
        <w:rPr>
          <w:szCs w:val="22"/>
        </w:rPr>
        <w:t xml:space="preserve"> samotný (p&lt;0,05).</w:t>
      </w:r>
    </w:p>
    <w:p w:rsidR="009E1748" w:rsidRPr="00866363" w:rsidRDefault="00882A7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866363">
        <w:rPr>
          <w:szCs w:val="22"/>
        </w:rPr>
        <w:t xml:space="preserve"> </w:t>
      </w:r>
    </w:p>
    <w:p w:rsidR="00613695" w:rsidRPr="00866363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Farmakokinetické vlastnosti</w:t>
      </w:r>
    </w:p>
    <w:p w:rsidR="00613695" w:rsidRPr="00866363" w:rsidRDefault="00613695" w:rsidP="00613695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613695" w:rsidRPr="00866363" w:rsidRDefault="00A05548" w:rsidP="00613695">
      <w:pPr>
        <w:spacing w:line="240" w:lineRule="auto"/>
        <w:rPr>
          <w:szCs w:val="22"/>
          <w:u w:val="single"/>
        </w:rPr>
      </w:pPr>
      <w:proofErr w:type="spellStart"/>
      <w:r w:rsidRPr="00866363">
        <w:rPr>
          <w:szCs w:val="22"/>
          <w:u w:val="single"/>
        </w:rPr>
        <w:t>Paracetamol</w:t>
      </w:r>
      <w:proofErr w:type="spellEnd"/>
    </w:p>
    <w:p w:rsidR="00A05548" w:rsidRPr="00866363" w:rsidRDefault="00A05548" w:rsidP="00613695">
      <w:pPr>
        <w:spacing w:line="240" w:lineRule="auto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Paracetamol sa rýchlo a takmer úplne absorbuje z gastrointestinálneho traktu. </w:t>
      </w:r>
    </w:p>
    <w:p w:rsidR="00815326" w:rsidRPr="00866363" w:rsidRDefault="00A05548" w:rsidP="00613695">
      <w:pPr>
        <w:spacing w:line="240" w:lineRule="auto"/>
        <w:rPr>
          <w:iCs/>
          <w:noProof/>
          <w:szCs w:val="22"/>
        </w:rPr>
      </w:pPr>
      <w:r w:rsidRPr="00866363">
        <w:rPr>
          <w:iCs/>
          <w:noProof/>
          <w:szCs w:val="22"/>
        </w:rPr>
        <w:t>Maximálne plazmatické koncentrá</w:t>
      </w:r>
      <w:r w:rsidR="007421F1" w:rsidRPr="00866363">
        <w:rPr>
          <w:iCs/>
          <w:noProof/>
          <w:szCs w:val="22"/>
        </w:rPr>
        <w:t>c</w:t>
      </w:r>
      <w:r w:rsidRPr="00866363">
        <w:rPr>
          <w:iCs/>
          <w:noProof/>
          <w:szCs w:val="22"/>
        </w:rPr>
        <w:t>ie sa dosiahn</w:t>
      </w:r>
      <w:r w:rsidR="007421F1" w:rsidRPr="00866363">
        <w:rPr>
          <w:iCs/>
          <w:noProof/>
          <w:szCs w:val="22"/>
        </w:rPr>
        <w:t>u</w:t>
      </w:r>
      <w:r w:rsidRPr="00866363">
        <w:rPr>
          <w:iCs/>
          <w:noProof/>
          <w:szCs w:val="22"/>
        </w:rPr>
        <w:t xml:space="preserve"> po pol hodine od </w:t>
      </w:r>
      <w:r w:rsidR="00F9041D" w:rsidRPr="00866363">
        <w:rPr>
          <w:iCs/>
          <w:noProof/>
          <w:szCs w:val="22"/>
        </w:rPr>
        <w:t xml:space="preserve">perorálneho </w:t>
      </w:r>
      <w:r w:rsidRPr="00866363">
        <w:rPr>
          <w:iCs/>
          <w:noProof/>
          <w:szCs w:val="22"/>
        </w:rPr>
        <w:t xml:space="preserve">užitia. Plazmatický biologický polčas po perorálnom užití je 1 – 4 hodiny (priemer 2,3 hodiny). Pri závažnej hepatálnej insuficiencii je predĺžený až na 5 hodín. Hoci pri renálnej nedostatočnosti nie je predĺžený polčas, avšak </w:t>
      </w:r>
      <w:r w:rsidR="00F9041D" w:rsidRPr="00866363">
        <w:rPr>
          <w:iCs/>
          <w:noProof/>
          <w:szCs w:val="22"/>
        </w:rPr>
        <w:t>keďže</w:t>
      </w:r>
      <w:r w:rsidRPr="00866363">
        <w:rPr>
          <w:iCs/>
          <w:noProof/>
          <w:szCs w:val="22"/>
        </w:rPr>
        <w:t xml:space="preserve"> je vylučovanie obličkami limitované, odporúča sa úprava dávkovania paracetamolu. Väzba na plazmatické proteíny pri terapeutických dávkach je minimálna. </w:t>
      </w:r>
      <w:r w:rsidR="00815326" w:rsidRPr="00866363">
        <w:rPr>
          <w:iCs/>
          <w:noProof/>
          <w:szCs w:val="22"/>
        </w:rPr>
        <w:t>Paracetamol sa metabolizuje v p</w:t>
      </w:r>
      <w:r w:rsidR="008F1908" w:rsidRPr="00866363">
        <w:rPr>
          <w:iCs/>
          <w:noProof/>
          <w:szCs w:val="22"/>
        </w:rPr>
        <w:t>ečeni a vylučuje sa obličkami a</w:t>
      </w:r>
      <w:r w:rsidR="00815326" w:rsidRPr="00866363">
        <w:rPr>
          <w:iCs/>
          <w:noProof/>
          <w:szCs w:val="22"/>
        </w:rPr>
        <w:t>ko gluk</w:t>
      </w:r>
      <w:r w:rsidR="007421F1" w:rsidRPr="00866363">
        <w:rPr>
          <w:iCs/>
          <w:noProof/>
          <w:szCs w:val="22"/>
        </w:rPr>
        <w:t>u</w:t>
      </w:r>
      <w:r w:rsidR="00815326" w:rsidRPr="00866363">
        <w:rPr>
          <w:iCs/>
          <w:noProof/>
          <w:szCs w:val="22"/>
        </w:rPr>
        <w:t xml:space="preserve">ronidový alebo sulfátový konjugát. Menej ako 5 % paracetamolu sa vylučuje v nezmenenej forme. </w:t>
      </w:r>
    </w:p>
    <w:p w:rsidR="00815326" w:rsidRPr="00866363" w:rsidRDefault="00815326" w:rsidP="00613695">
      <w:pPr>
        <w:spacing w:line="240" w:lineRule="auto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Paracetamol prechádza placentárnou bariérou a vylučuje sa do materského mlieka. </w:t>
      </w:r>
    </w:p>
    <w:p w:rsidR="00815326" w:rsidRPr="00866363" w:rsidRDefault="00815326" w:rsidP="00613695">
      <w:pPr>
        <w:spacing w:line="240" w:lineRule="auto"/>
        <w:rPr>
          <w:iCs/>
          <w:noProof/>
          <w:szCs w:val="22"/>
        </w:rPr>
      </w:pPr>
    </w:p>
    <w:p w:rsidR="00815326" w:rsidRPr="00866363" w:rsidRDefault="00815326" w:rsidP="00613695">
      <w:pPr>
        <w:spacing w:line="240" w:lineRule="auto"/>
        <w:rPr>
          <w:iCs/>
          <w:noProof/>
          <w:szCs w:val="22"/>
          <w:u w:val="single"/>
        </w:rPr>
      </w:pPr>
      <w:r w:rsidRPr="00866363">
        <w:rPr>
          <w:iCs/>
          <w:noProof/>
          <w:szCs w:val="22"/>
          <w:u w:val="single"/>
        </w:rPr>
        <w:t>Kofeín</w:t>
      </w:r>
    </w:p>
    <w:p w:rsidR="00A05548" w:rsidRPr="00866363" w:rsidRDefault="00815326" w:rsidP="00613695">
      <w:pPr>
        <w:spacing w:line="240" w:lineRule="auto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Kofeín sa absorbuje rýchlo po perorálnom podaní a distribuuje sa do tkanív. Maximálne plazmatické koncentrácie sa dosiahnu do hodiny </w:t>
      </w:r>
      <w:r w:rsidR="008F1908" w:rsidRPr="00866363">
        <w:rPr>
          <w:iCs/>
          <w:noProof/>
          <w:szCs w:val="22"/>
        </w:rPr>
        <w:t>po perorálnom p</w:t>
      </w:r>
      <w:r w:rsidRPr="00866363">
        <w:rPr>
          <w:iCs/>
          <w:noProof/>
          <w:szCs w:val="22"/>
        </w:rPr>
        <w:t>odaní. Plazmatický polčas po perorálnom podaní je okolo 4,9 hodiny. Kofeín sa t</w:t>
      </w:r>
      <w:r w:rsidR="008F1908" w:rsidRPr="00866363">
        <w:rPr>
          <w:iCs/>
          <w:noProof/>
          <w:szCs w:val="22"/>
        </w:rPr>
        <w:t>a</w:t>
      </w:r>
      <w:r w:rsidRPr="00866363">
        <w:rPr>
          <w:iCs/>
          <w:noProof/>
          <w:szCs w:val="22"/>
        </w:rPr>
        <w:t>kmer úplne metabolizuje v pečeni oxidáciou a demetyláciou na rôzne xantínové deriváty</w:t>
      </w:r>
      <w:r w:rsidR="008F1908" w:rsidRPr="00866363">
        <w:rPr>
          <w:iCs/>
          <w:noProof/>
          <w:szCs w:val="22"/>
        </w:rPr>
        <w:t>,</w:t>
      </w:r>
      <w:r w:rsidRPr="00866363">
        <w:rPr>
          <w:iCs/>
          <w:noProof/>
          <w:szCs w:val="22"/>
        </w:rPr>
        <w:t xml:space="preserve"> ktoré sa vylučujú močom.</w:t>
      </w:r>
      <w:r w:rsidR="00A05548" w:rsidRPr="00866363">
        <w:rPr>
          <w:iCs/>
          <w:noProof/>
          <w:szCs w:val="22"/>
        </w:rPr>
        <w:t xml:space="preserve">    </w:t>
      </w:r>
    </w:p>
    <w:p w:rsidR="00613695" w:rsidRPr="00866363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Predklinické údaje o bezpečnosti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2B46BE" w:rsidRPr="00866363" w:rsidRDefault="008001A7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Toxicita paracetamolu sa sledoval</w:t>
      </w:r>
      <w:r w:rsidR="008F1908" w:rsidRPr="00866363">
        <w:rPr>
          <w:noProof/>
          <w:szCs w:val="22"/>
        </w:rPr>
        <w:t>a</w:t>
      </w:r>
      <w:r w:rsidRPr="00866363">
        <w:rPr>
          <w:noProof/>
          <w:szCs w:val="22"/>
        </w:rPr>
        <w:t xml:space="preserve"> na mnohých zvieracích druhoch. Predklinické štúdie na potkanoch a myšiach preukázali po jednor</w:t>
      </w:r>
      <w:r w:rsidR="00F9041D" w:rsidRPr="00866363">
        <w:rPr>
          <w:noProof/>
          <w:szCs w:val="22"/>
        </w:rPr>
        <w:t>a</w:t>
      </w:r>
      <w:r w:rsidRPr="00866363">
        <w:rPr>
          <w:noProof/>
          <w:szCs w:val="22"/>
        </w:rPr>
        <w:t>zovom perorálnom podaní hodnoty LD</w:t>
      </w:r>
      <w:r w:rsidRPr="00866363">
        <w:rPr>
          <w:noProof/>
          <w:szCs w:val="22"/>
          <w:vertAlign w:val="subscript"/>
        </w:rPr>
        <w:t>50</w:t>
      </w:r>
      <w:r w:rsidRPr="00866363">
        <w:rPr>
          <w:noProof/>
          <w:szCs w:val="22"/>
        </w:rPr>
        <w:t xml:space="preserve"> 3,7 g/kg</w:t>
      </w:r>
      <w:r w:rsidR="00F9041D" w:rsidRPr="00866363">
        <w:rPr>
          <w:noProof/>
          <w:szCs w:val="22"/>
        </w:rPr>
        <w:t xml:space="preserve"> a</w:t>
      </w:r>
      <w:r w:rsidRPr="00866363">
        <w:rPr>
          <w:noProof/>
          <w:szCs w:val="22"/>
        </w:rPr>
        <w:t xml:space="preserve"> 388 mg/kg</w:t>
      </w:r>
      <w:r w:rsidR="00F9041D" w:rsidRPr="00866363">
        <w:rPr>
          <w:noProof/>
          <w:szCs w:val="22"/>
        </w:rPr>
        <w:t>, v uvedenom poradí</w:t>
      </w:r>
      <w:r w:rsidRPr="00866363">
        <w:rPr>
          <w:noProof/>
          <w:szCs w:val="22"/>
        </w:rPr>
        <w:t>. Chronická toxicita u týchto druhov, ktorá niekoľkonásobne prekračoval</w:t>
      </w:r>
      <w:r w:rsidR="008F1908" w:rsidRPr="00866363">
        <w:rPr>
          <w:noProof/>
          <w:szCs w:val="22"/>
        </w:rPr>
        <w:t>a terapeutické dávky u ľ</w:t>
      </w:r>
      <w:r w:rsidRPr="00866363">
        <w:rPr>
          <w:noProof/>
          <w:szCs w:val="22"/>
        </w:rPr>
        <w:t>udí, manifestovala ako degenerácia a nekróza pečene, obličiek alebo lymfatického tkaniva a abnormalitami krvného obrazu. Meta</w:t>
      </w:r>
      <w:r w:rsidR="002B46BE" w:rsidRPr="00866363">
        <w:rPr>
          <w:noProof/>
          <w:szCs w:val="22"/>
        </w:rPr>
        <w:t>bolity, ktoré sa pokladajú</w:t>
      </w:r>
      <w:r w:rsidR="00F9041D" w:rsidRPr="00866363">
        <w:rPr>
          <w:noProof/>
          <w:szCs w:val="22"/>
        </w:rPr>
        <w:t xml:space="preserve"> za</w:t>
      </w:r>
      <w:r w:rsidRPr="00866363">
        <w:rPr>
          <w:noProof/>
          <w:szCs w:val="22"/>
        </w:rPr>
        <w:t xml:space="preserve"> zodpovedné za </w:t>
      </w:r>
      <w:r w:rsidR="002B46BE" w:rsidRPr="00866363">
        <w:rPr>
          <w:noProof/>
          <w:szCs w:val="22"/>
        </w:rPr>
        <w:t>tieto účinky sa stanovili aj u ľudí. Preto sa paracetamol nemá</w:t>
      </w:r>
      <w:r w:rsidR="008F1908" w:rsidRPr="00866363">
        <w:rPr>
          <w:noProof/>
          <w:szCs w:val="22"/>
        </w:rPr>
        <w:t xml:space="preserve"> užívať dlhodobo a v na</w:t>
      </w:r>
      <w:r w:rsidR="002B46BE" w:rsidRPr="00866363">
        <w:rPr>
          <w:noProof/>
          <w:szCs w:val="22"/>
        </w:rPr>
        <w:t xml:space="preserve">dmerných dávkach. V normálnych terapeutických dávkach </w:t>
      </w:r>
      <w:r w:rsidR="008F1908" w:rsidRPr="00866363">
        <w:rPr>
          <w:noProof/>
          <w:szCs w:val="22"/>
        </w:rPr>
        <w:t xml:space="preserve">sa </w:t>
      </w:r>
      <w:r w:rsidR="002B46BE" w:rsidRPr="00866363">
        <w:rPr>
          <w:noProof/>
          <w:szCs w:val="22"/>
        </w:rPr>
        <w:t>paracetamol nespája s rizikom genotoxicity a kan</w:t>
      </w:r>
      <w:r w:rsidR="008F1908" w:rsidRPr="00866363">
        <w:rPr>
          <w:noProof/>
          <w:szCs w:val="22"/>
        </w:rPr>
        <w:t>cerogenity. Nie sú žiadne dôkazy o embryotoxicite a fetotoxicite</w:t>
      </w:r>
      <w:r w:rsidR="002B46BE" w:rsidRPr="00866363">
        <w:rPr>
          <w:noProof/>
          <w:szCs w:val="22"/>
        </w:rPr>
        <w:t xml:space="preserve"> paracetamolu v štúdiách s laboratórnymi zvieratami. </w:t>
      </w:r>
    </w:p>
    <w:p w:rsidR="002B46BE" w:rsidRPr="00866363" w:rsidRDefault="002B46BE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Liečivá boli rokmi preverené v klinickej praxi. </w:t>
      </w:r>
    </w:p>
    <w:p w:rsidR="00613695" w:rsidRPr="00866363" w:rsidRDefault="002B46BE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 </w:t>
      </w:r>
      <w:r w:rsidR="008001A7" w:rsidRPr="00866363">
        <w:rPr>
          <w:noProof/>
          <w:szCs w:val="22"/>
        </w:rPr>
        <w:t xml:space="preserve">  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lastRenderedPageBreak/>
        <w:t>FARMACEUTICKÉ INFORMÁCIE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Zoznam pomocných látok</w:t>
      </w:r>
    </w:p>
    <w:p w:rsidR="00613695" w:rsidRPr="00866363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Pr="00866363" w:rsidRDefault="002B46BE" w:rsidP="00613695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predželatinovaný</w:t>
      </w:r>
      <w:proofErr w:type="spellEnd"/>
      <w:r w:rsidRPr="00866363">
        <w:rPr>
          <w:szCs w:val="22"/>
        </w:rPr>
        <w:t xml:space="preserve"> kukuričný škrob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povidón</w:t>
      </w:r>
      <w:proofErr w:type="spellEnd"/>
      <w:r w:rsidRPr="00866363">
        <w:rPr>
          <w:szCs w:val="22"/>
        </w:rPr>
        <w:t xml:space="preserve"> K25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sodná soľ </w:t>
      </w:r>
      <w:proofErr w:type="spellStart"/>
      <w:r w:rsidRPr="00866363">
        <w:rPr>
          <w:szCs w:val="22"/>
        </w:rPr>
        <w:t>kroskarmelózy</w:t>
      </w:r>
      <w:proofErr w:type="spellEnd"/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mikrokryštalická celulóza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koloidný bezvodý oxid kremičitý</w:t>
      </w:r>
    </w:p>
    <w:p w:rsidR="002B46BE" w:rsidRPr="00866363" w:rsidRDefault="002B46BE" w:rsidP="00613695">
      <w:pPr>
        <w:spacing w:line="240" w:lineRule="auto"/>
        <w:rPr>
          <w:noProof/>
          <w:szCs w:val="22"/>
        </w:rPr>
      </w:pPr>
      <w:proofErr w:type="spellStart"/>
      <w:r w:rsidRPr="00866363">
        <w:rPr>
          <w:szCs w:val="22"/>
        </w:rPr>
        <w:t>magnéziumstearát</w:t>
      </w:r>
      <w:proofErr w:type="spellEnd"/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Inkompatibility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 xml:space="preserve">Neaplikovateľné.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Čas použiteľnosti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2B46BE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5 rokov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Špeciálne upozornenia na uchovávanie</w:t>
      </w:r>
    </w:p>
    <w:p w:rsidR="00613695" w:rsidRPr="00866363" w:rsidRDefault="00613695" w:rsidP="00613695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6F0E3A" w:rsidRPr="00866363" w:rsidRDefault="006F0E3A" w:rsidP="00613695">
      <w:pPr>
        <w:spacing w:line="240" w:lineRule="auto"/>
        <w:rPr>
          <w:szCs w:val="22"/>
        </w:rPr>
      </w:pPr>
      <w:r w:rsidRPr="00866363">
        <w:rPr>
          <w:noProof/>
          <w:szCs w:val="22"/>
        </w:rPr>
        <w:t>Tento liek nevyžaduje žiadne zvláštne podmienky na uchovávanie</w:t>
      </w:r>
      <w:r w:rsidRPr="00866363">
        <w:rPr>
          <w:szCs w:val="22"/>
        </w:rPr>
        <w:t>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 xml:space="preserve">Druh obalu a obsah balenia </w:t>
      </w: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noProof/>
          <w:szCs w:val="22"/>
        </w:rPr>
      </w:pP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PVC/PVdC/ALU blister, škatuľka a písomná informácia pre používateľa</w:t>
      </w: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</w:p>
    <w:p w:rsidR="002B46BE" w:rsidRPr="00866363" w:rsidRDefault="006F0E3A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V</w:t>
      </w:r>
      <w:r w:rsidR="002B46BE" w:rsidRPr="00866363">
        <w:rPr>
          <w:noProof/>
          <w:szCs w:val="22"/>
        </w:rPr>
        <w:t>eľkosť balenia: 10, 12, 20, 24, 30 tabliet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Na trh nemusia byť u</w:t>
      </w:r>
      <w:r w:rsidR="002B46BE" w:rsidRPr="00866363">
        <w:rPr>
          <w:szCs w:val="22"/>
        </w:rPr>
        <w:t>vedené všetky veľkosti balenia.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2B46BE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bookmarkStart w:id="1" w:name="OLE_LINK1"/>
      <w:r w:rsidRPr="00866363">
        <w:rPr>
          <w:b/>
          <w:noProof/>
          <w:szCs w:val="22"/>
        </w:rPr>
        <w:t xml:space="preserve">Špeciálne opatrenia na likvidáciu </w:t>
      </w:r>
    </w:p>
    <w:p w:rsidR="002B46BE" w:rsidRPr="00866363" w:rsidRDefault="002B46BE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spacing w:line="240" w:lineRule="auto"/>
        <w:rPr>
          <w:szCs w:val="22"/>
        </w:rPr>
      </w:pPr>
      <w:r w:rsidRPr="00866363">
        <w:rPr>
          <w:szCs w:val="22"/>
        </w:rPr>
        <w:t>Žiadne zvláš</w:t>
      </w:r>
      <w:r w:rsidR="002B46BE" w:rsidRPr="00866363">
        <w:rPr>
          <w:szCs w:val="22"/>
        </w:rPr>
        <w:t>tne požiadavky na likvidáciu.</w:t>
      </w:r>
    </w:p>
    <w:p w:rsidR="00613695" w:rsidRPr="00866363" w:rsidRDefault="00613695" w:rsidP="00613695">
      <w:pPr>
        <w:spacing w:line="240" w:lineRule="auto"/>
        <w:rPr>
          <w:szCs w:val="22"/>
        </w:rPr>
      </w:pPr>
    </w:p>
    <w:bookmarkEnd w:id="1"/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DRŽITEĽ ROZHODNUTIA O REGISTRÁCII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3E28F8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 xml:space="preserve">Dr. Max Pharma </w:t>
      </w:r>
      <w:r w:rsidR="00C9033F" w:rsidRPr="00866363">
        <w:rPr>
          <w:szCs w:val="22"/>
        </w:rPr>
        <w:t>s.r.o.</w:t>
      </w:r>
      <w:r w:rsidR="00FC6BDA" w:rsidRPr="00866363">
        <w:rPr>
          <w:szCs w:val="22"/>
        </w:rPr>
        <w:t xml:space="preserve">, </w:t>
      </w:r>
      <w:r w:rsidR="004E033E" w:rsidRPr="00866363">
        <w:rPr>
          <w:szCs w:val="22"/>
        </w:rPr>
        <w:t xml:space="preserve">Na </w:t>
      </w:r>
      <w:proofErr w:type="spellStart"/>
      <w:r w:rsidR="004E033E" w:rsidRPr="00866363">
        <w:rPr>
          <w:szCs w:val="22"/>
        </w:rPr>
        <w:t>Florenci</w:t>
      </w:r>
      <w:proofErr w:type="spellEnd"/>
      <w:r w:rsidR="004E033E" w:rsidRPr="00866363">
        <w:rPr>
          <w:szCs w:val="22"/>
        </w:rPr>
        <w:t xml:space="preserve"> 2116/15, </w:t>
      </w:r>
      <w:r w:rsidR="00181F50" w:rsidRPr="00866363">
        <w:rPr>
          <w:szCs w:val="22"/>
        </w:rPr>
        <w:t xml:space="preserve">Nové </w:t>
      </w:r>
      <w:proofErr w:type="spellStart"/>
      <w:r w:rsidR="00181F50" w:rsidRPr="00866363">
        <w:rPr>
          <w:szCs w:val="22"/>
        </w:rPr>
        <w:t>Město</w:t>
      </w:r>
      <w:proofErr w:type="spellEnd"/>
      <w:r w:rsidR="00181F50" w:rsidRPr="00866363">
        <w:rPr>
          <w:szCs w:val="22"/>
        </w:rPr>
        <w:t xml:space="preserve">, </w:t>
      </w:r>
      <w:r w:rsidR="00C9033F" w:rsidRPr="00866363">
        <w:rPr>
          <w:szCs w:val="22"/>
        </w:rPr>
        <w:t>110 00 Praha 1</w:t>
      </w:r>
      <w:r w:rsidR="00FC6BDA" w:rsidRPr="00866363">
        <w:rPr>
          <w:szCs w:val="22"/>
        </w:rPr>
        <w:t xml:space="preserve">, </w:t>
      </w:r>
      <w:r w:rsidR="00C9033F" w:rsidRPr="00866363">
        <w:rPr>
          <w:szCs w:val="22"/>
        </w:rPr>
        <w:t>Česká republika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t xml:space="preserve">REGISTRAČNÉ ČÍSLO 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3E28F8" w:rsidRPr="00866363" w:rsidRDefault="003E28F8" w:rsidP="00613695">
      <w:pPr>
        <w:keepNext/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07/0311/16-S</w:t>
      </w:r>
    </w:p>
    <w:p w:rsidR="00554B72" w:rsidRPr="00866363" w:rsidRDefault="00554B72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DÁTUM PRVEJ REGISTRÁCIE/PREDĹŽENIA REGISTRÁCIE</w:t>
      </w:r>
    </w:p>
    <w:p w:rsidR="00613695" w:rsidRPr="00866363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Pr="00866363" w:rsidRDefault="00613695" w:rsidP="002B46BE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 xml:space="preserve">Dátum prvej registrácie: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t>DÁTUM REVÍZIE TEXTU</w:t>
      </w:r>
    </w:p>
    <w:p w:rsidR="00613695" w:rsidRPr="00866363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1B11D5" w:rsidRPr="00866363" w:rsidRDefault="00866363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866363">
        <w:rPr>
          <w:iCs/>
          <w:noProof/>
          <w:szCs w:val="22"/>
        </w:rPr>
        <w:t>05</w:t>
      </w:r>
      <w:r w:rsidR="001B11D5" w:rsidRPr="00866363">
        <w:rPr>
          <w:iCs/>
          <w:noProof/>
          <w:szCs w:val="22"/>
        </w:rPr>
        <w:t>/2017</w:t>
      </w:r>
    </w:p>
    <w:sectPr w:rsidR="001B11D5" w:rsidRPr="00866363" w:rsidSect="008663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F2" w:rsidRDefault="00A814F2" w:rsidP="00D55C01">
      <w:pPr>
        <w:spacing w:line="240" w:lineRule="auto"/>
      </w:pPr>
      <w:r>
        <w:separator/>
      </w:r>
    </w:p>
  </w:endnote>
  <w:endnote w:type="continuationSeparator" w:id="0">
    <w:p w:rsidR="00A814F2" w:rsidRDefault="00A814F2" w:rsidP="00D55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64" w:rsidRDefault="0031536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9286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55C01" w:rsidRPr="00866363" w:rsidRDefault="006838DD">
        <w:pPr>
          <w:pStyle w:val="Pta"/>
          <w:jc w:val="center"/>
          <w:rPr>
            <w:sz w:val="18"/>
            <w:szCs w:val="18"/>
          </w:rPr>
        </w:pPr>
        <w:r w:rsidRPr="00866363">
          <w:rPr>
            <w:sz w:val="18"/>
            <w:szCs w:val="18"/>
          </w:rPr>
          <w:fldChar w:fldCharType="begin"/>
        </w:r>
        <w:r w:rsidR="00D55C01" w:rsidRPr="00866363">
          <w:rPr>
            <w:sz w:val="18"/>
            <w:szCs w:val="18"/>
          </w:rPr>
          <w:instrText>PAGE   \* MERGEFORMAT</w:instrText>
        </w:r>
        <w:r w:rsidRPr="00866363">
          <w:rPr>
            <w:sz w:val="18"/>
            <w:szCs w:val="18"/>
          </w:rPr>
          <w:fldChar w:fldCharType="separate"/>
        </w:r>
        <w:r w:rsidR="003819E1">
          <w:rPr>
            <w:noProof/>
            <w:sz w:val="18"/>
            <w:szCs w:val="18"/>
          </w:rPr>
          <w:t>3</w:t>
        </w:r>
        <w:r w:rsidRPr="00866363">
          <w:rPr>
            <w:sz w:val="18"/>
            <w:szCs w:val="18"/>
          </w:rPr>
          <w:fldChar w:fldCharType="end"/>
        </w:r>
      </w:p>
    </w:sdtContent>
  </w:sdt>
  <w:p w:rsidR="00D55C01" w:rsidRDefault="00D55C0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64" w:rsidRDefault="003153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F2" w:rsidRDefault="00A814F2" w:rsidP="00D55C01">
      <w:pPr>
        <w:spacing w:line="240" w:lineRule="auto"/>
      </w:pPr>
      <w:r>
        <w:separator/>
      </w:r>
    </w:p>
  </w:footnote>
  <w:footnote w:type="continuationSeparator" w:id="0">
    <w:p w:rsidR="00A814F2" w:rsidRDefault="00A814F2" w:rsidP="00D55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64" w:rsidRDefault="0031536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64" w:rsidRDefault="0031536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3F" w:rsidRPr="00B07659" w:rsidRDefault="00B144D6">
    <w:pPr>
      <w:pStyle w:val="Hlavika"/>
      <w:rPr>
        <w:sz w:val="18"/>
        <w:szCs w:val="18"/>
        <w:lang w:val="cs-CZ"/>
      </w:rPr>
    </w:pPr>
    <w:proofErr w:type="spellStart"/>
    <w:r>
      <w:rPr>
        <w:sz w:val="18"/>
        <w:szCs w:val="18"/>
        <w:lang w:val="cs-CZ"/>
      </w:rPr>
      <w:t>Príloha</w:t>
    </w:r>
    <w:proofErr w:type="spellEnd"/>
    <w:r>
      <w:rPr>
        <w:sz w:val="18"/>
        <w:szCs w:val="18"/>
        <w:lang w:val="cs-CZ"/>
      </w:rPr>
      <w:t xml:space="preserve"> č.</w:t>
    </w:r>
    <w:r w:rsidR="00315364">
      <w:rPr>
        <w:sz w:val="18"/>
        <w:szCs w:val="18"/>
        <w:lang w:val="cs-CZ"/>
      </w:rPr>
      <w:t>2</w:t>
    </w:r>
    <w:r w:rsidRPr="00D53F0A">
      <w:rPr>
        <w:sz w:val="18"/>
        <w:szCs w:val="18"/>
        <w:lang w:val="cs-CZ"/>
      </w:rPr>
      <w:t xml:space="preserve"> k </w:t>
    </w:r>
    <w:proofErr w:type="spellStart"/>
    <w:r w:rsidRPr="00D53F0A">
      <w:rPr>
        <w:sz w:val="18"/>
        <w:szCs w:val="18"/>
        <w:lang w:val="cs-CZ"/>
      </w:rPr>
      <w:t>žiadosti</w:t>
    </w:r>
    <w:proofErr w:type="spellEnd"/>
    <w:r w:rsidRPr="00D53F0A">
      <w:rPr>
        <w:sz w:val="18"/>
        <w:szCs w:val="18"/>
        <w:lang w:val="cs-CZ"/>
      </w:rPr>
      <w:t xml:space="preserve"> o</w:t>
    </w:r>
    <w:r>
      <w:rPr>
        <w:sz w:val="18"/>
        <w:szCs w:val="18"/>
        <w:lang w:val="cs-CZ"/>
      </w:rPr>
      <w:t xml:space="preserve"> </w:t>
    </w:r>
    <w:proofErr w:type="spellStart"/>
    <w:r>
      <w:rPr>
        <w:sz w:val="18"/>
        <w:szCs w:val="18"/>
        <w:lang w:val="cs-CZ"/>
      </w:rPr>
      <w:t>zmenu</w:t>
    </w:r>
    <w:proofErr w:type="spellEnd"/>
    <w:r>
      <w:rPr>
        <w:sz w:val="18"/>
        <w:szCs w:val="18"/>
        <w:lang w:val="cs-CZ"/>
      </w:rPr>
      <w:t xml:space="preserve"> v </w:t>
    </w:r>
    <w:proofErr w:type="spellStart"/>
    <w:r>
      <w:rPr>
        <w:sz w:val="18"/>
        <w:szCs w:val="18"/>
        <w:lang w:val="cs-CZ"/>
      </w:rPr>
      <w:t>registrácii</w:t>
    </w:r>
    <w:proofErr w:type="spellEnd"/>
    <w:r>
      <w:rPr>
        <w:sz w:val="18"/>
        <w:szCs w:val="18"/>
        <w:lang w:val="cs-CZ"/>
      </w:rPr>
      <w:t xml:space="preserve">, </w:t>
    </w:r>
    <w:proofErr w:type="spellStart"/>
    <w:r>
      <w:rPr>
        <w:sz w:val="18"/>
        <w:szCs w:val="18"/>
        <w:lang w:val="cs-CZ"/>
      </w:rPr>
      <w:t>ev.č</w:t>
    </w:r>
    <w:proofErr w:type="spellEnd"/>
    <w:r>
      <w:rPr>
        <w:sz w:val="18"/>
        <w:szCs w:val="18"/>
        <w:lang w:val="cs-CZ"/>
      </w:rPr>
      <w:t>.: 2017/01502-Z1B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3640C"/>
    <w:multiLevelType w:val="hybridMultilevel"/>
    <w:tmpl w:val="BD84F17E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F725867"/>
    <w:multiLevelType w:val="hybridMultilevel"/>
    <w:tmpl w:val="56CE912C"/>
    <w:lvl w:ilvl="0" w:tplc="CDE69A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A816B2C"/>
    <w:multiLevelType w:val="hybridMultilevel"/>
    <w:tmpl w:val="FD2076CC"/>
    <w:lvl w:ilvl="0" w:tplc="CDE69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95"/>
    <w:rsid w:val="000C17F2"/>
    <w:rsid w:val="000E6BB1"/>
    <w:rsid w:val="00104A47"/>
    <w:rsid w:val="00116F5F"/>
    <w:rsid w:val="00122D54"/>
    <w:rsid w:val="001716F3"/>
    <w:rsid w:val="001721D6"/>
    <w:rsid w:val="00181F50"/>
    <w:rsid w:val="00193641"/>
    <w:rsid w:val="0019595E"/>
    <w:rsid w:val="00197474"/>
    <w:rsid w:val="001A6850"/>
    <w:rsid w:val="001B11D5"/>
    <w:rsid w:val="001F2D42"/>
    <w:rsid w:val="001F363E"/>
    <w:rsid w:val="002B46BE"/>
    <w:rsid w:val="002D14B3"/>
    <w:rsid w:val="00300688"/>
    <w:rsid w:val="00315364"/>
    <w:rsid w:val="00327076"/>
    <w:rsid w:val="00335C69"/>
    <w:rsid w:val="003819E1"/>
    <w:rsid w:val="003837A8"/>
    <w:rsid w:val="003E28F8"/>
    <w:rsid w:val="003F3760"/>
    <w:rsid w:val="00447AFD"/>
    <w:rsid w:val="004D0E18"/>
    <w:rsid w:val="004D2254"/>
    <w:rsid w:val="004E033E"/>
    <w:rsid w:val="00514333"/>
    <w:rsid w:val="00521EB8"/>
    <w:rsid w:val="00554B72"/>
    <w:rsid w:val="0056448D"/>
    <w:rsid w:val="00593DBC"/>
    <w:rsid w:val="00593E27"/>
    <w:rsid w:val="005B5FAB"/>
    <w:rsid w:val="005D4BBB"/>
    <w:rsid w:val="005E51BF"/>
    <w:rsid w:val="00606E47"/>
    <w:rsid w:val="00613695"/>
    <w:rsid w:val="00643A12"/>
    <w:rsid w:val="006838DD"/>
    <w:rsid w:val="006B07A8"/>
    <w:rsid w:val="006F0E3A"/>
    <w:rsid w:val="007421F1"/>
    <w:rsid w:val="00772F84"/>
    <w:rsid w:val="00794F54"/>
    <w:rsid w:val="007D3482"/>
    <w:rsid w:val="008001A7"/>
    <w:rsid w:val="00815326"/>
    <w:rsid w:val="00826B3A"/>
    <w:rsid w:val="0083672E"/>
    <w:rsid w:val="00866363"/>
    <w:rsid w:val="008759E5"/>
    <w:rsid w:val="00882563"/>
    <w:rsid w:val="00882A75"/>
    <w:rsid w:val="008D35B4"/>
    <w:rsid w:val="008E1F27"/>
    <w:rsid w:val="008F1908"/>
    <w:rsid w:val="00900795"/>
    <w:rsid w:val="00980C12"/>
    <w:rsid w:val="009A2E92"/>
    <w:rsid w:val="009E1748"/>
    <w:rsid w:val="009F3582"/>
    <w:rsid w:val="00A05548"/>
    <w:rsid w:val="00A0659E"/>
    <w:rsid w:val="00A120C6"/>
    <w:rsid w:val="00A814F2"/>
    <w:rsid w:val="00B07659"/>
    <w:rsid w:val="00B144D6"/>
    <w:rsid w:val="00B3758B"/>
    <w:rsid w:val="00B521CB"/>
    <w:rsid w:val="00BF63A7"/>
    <w:rsid w:val="00C45EDF"/>
    <w:rsid w:val="00C5054C"/>
    <w:rsid w:val="00C677A9"/>
    <w:rsid w:val="00C9033F"/>
    <w:rsid w:val="00CE66C3"/>
    <w:rsid w:val="00D22560"/>
    <w:rsid w:val="00D55C01"/>
    <w:rsid w:val="00D9002A"/>
    <w:rsid w:val="00DB18C0"/>
    <w:rsid w:val="00DF0F87"/>
    <w:rsid w:val="00E46C3F"/>
    <w:rsid w:val="00E65E7C"/>
    <w:rsid w:val="00ED3989"/>
    <w:rsid w:val="00EE4E94"/>
    <w:rsid w:val="00F066A4"/>
    <w:rsid w:val="00F47D61"/>
    <w:rsid w:val="00F9041D"/>
    <w:rsid w:val="00F97D56"/>
    <w:rsid w:val="00FC14A2"/>
    <w:rsid w:val="00FC6816"/>
    <w:rsid w:val="00FC6BD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EAFB25-0BB4-40E7-88EE-C501FBD8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69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13695"/>
    <w:rPr>
      <w:color w:val="0000FF"/>
      <w:u w:val="single"/>
    </w:rPr>
  </w:style>
  <w:style w:type="paragraph" w:customStyle="1" w:styleId="EMEAEnBodyText">
    <w:name w:val="EMEA En Body Text"/>
    <w:basedOn w:val="Normlny"/>
    <w:rsid w:val="00613695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613695"/>
    <w:rPr>
      <w:b/>
      <w:bCs w:val="0"/>
      <w:noProof/>
      <w:szCs w:val="22"/>
    </w:rPr>
  </w:style>
  <w:style w:type="paragraph" w:styleId="Odsekzoznamu">
    <w:name w:val="List Paragraph"/>
    <w:basedOn w:val="Normlny"/>
    <w:uiPriority w:val="34"/>
    <w:qFormat/>
    <w:rsid w:val="006B07A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BB1"/>
    <w:rPr>
      <w:rFonts w:ascii="Tahoma" w:eastAsia="Times New Roman" w:hAnsi="Tahoma" w:cs="Tahoma"/>
      <w:sz w:val="16"/>
      <w:szCs w:val="16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58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3582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9F35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A4C0-B4A3-4CB7-A647-277A4DD3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2321</Words>
  <Characters>13236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Molnárová, Zuzana</cp:lastModifiedBy>
  <cp:revision>6</cp:revision>
  <cp:lastPrinted>2017-06-01T09:17:00Z</cp:lastPrinted>
  <dcterms:created xsi:type="dcterms:W3CDTF">2017-05-30T11:13:00Z</dcterms:created>
  <dcterms:modified xsi:type="dcterms:W3CDTF">2017-06-01T09:19:00Z</dcterms:modified>
</cp:coreProperties>
</file>