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BFCC3" w14:textId="77777777" w:rsidR="005560AA" w:rsidRPr="00D226A5" w:rsidRDefault="005560AA" w:rsidP="005B0372">
      <w:pPr>
        <w:widowControl w:val="0"/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</w:p>
    <w:p w14:paraId="225C8594" w14:textId="77777777" w:rsidR="00387B36" w:rsidRPr="00D226A5" w:rsidRDefault="00387B36" w:rsidP="005B0372">
      <w:pPr>
        <w:widowControl w:val="0"/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D226A5">
        <w:rPr>
          <w:rFonts w:ascii="Times New Roman" w:hAnsi="Times New Roman"/>
          <w:b/>
          <w:caps/>
          <w:sz w:val="22"/>
          <w:szCs w:val="22"/>
          <w:lang w:val="sk-SK"/>
        </w:rPr>
        <w:t>S</w:t>
      </w:r>
      <w:r w:rsidR="00AC5922" w:rsidRPr="00D226A5">
        <w:rPr>
          <w:rFonts w:ascii="Times New Roman" w:hAnsi="Times New Roman"/>
          <w:b/>
          <w:caps/>
          <w:sz w:val="22"/>
          <w:szCs w:val="22"/>
          <w:lang w:val="sk-SK"/>
        </w:rPr>
        <w:t>Ú</w:t>
      </w:r>
      <w:r w:rsidRPr="00D226A5">
        <w:rPr>
          <w:rFonts w:ascii="Times New Roman" w:hAnsi="Times New Roman"/>
          <w:b/>
          <w:caps/>
          <w:sz w:val="22"/>
          <w:szCs w:val="22"/>
          <w:lang w:val="sk-SK"/>
        </w:rPr>
        <w:t>hrn charakteristick</w:t>
      </w:r>
      <w:r w:rsidR="00AC5922" w:rsidRPr="00D226A5">
        <w:rPr>
          <w:rFonts w:ascii="Times New Roman" w:hAnsi="Times New Roman"/>
          <w:b/>
          <w:caps/>
          <w:sz w:val="22"/>
          <w:szCs w:val="22"/>
          <w:lang w:val="sk-SK"/>
        </w:rPr>
        <w:t>Ý</w:t>
      </w:r>
      <w:r w:rsidRPr="00D226A5">
        <w:rPr>
          <w:rFonts w:ascii="Times New Roman" w:hAnsi="Times New Roman"/>
          <w:b/>
          <w:caps/>
          <w:sz w:val="22"/>
          <w:szCs w:val="22"/>
          <w:lang w:val="sk-SK"/>
        </w:rPr>
        <w:t>ch vlastnost</w:t>
      </w:r>
      <w:r w:rsidR="00AC5922" w:rsidRPr="00D226A5">
        <w:rPr>
          <w:rFonts w:ascii="Times New Roman" w:hAnsi="Times New Roman"/>
          <w:b/>
          <w:caps/>
          <w:sz w:val="22"/>
          <w:szCs w:val="22"/>
          <w:lang w:val="sk-SK"/>
        </w:rPr>
        <w:t>Í</w:t>
      </w:r>
      <w:r w:rsidRPr="00D226A5">
        <w:rPr>
          <w:rFonts w:ascii="Times New Roman" w:hAnsi="Times New Roman"/>
          <w:b/>
          <w:caps/>
          <w:sz w:val="22"/>
          <w:szCs w:val="22"/>
          <w:lang w:val="sk-SK"/>
        </w:rPr>
        <w:t xml:space="preserve"> lieku</w:t>
      </w:r>
    </w:p>
    <w:p w14:paraId="527D5635" w14:textId="77777777" w:rsidR="00387B36" w:rsidRPr="00D226A5" w:rsidRDefault="00387B36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2D61081F" w14:textId="77777777" w:rsidR="00387B36" w:rsidRPr="00D226A5" w:rsidRDefault="00387B36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7E815111" w14:textId="77777777" w:rsidR="00387B36" w:rsidRPr="00D226A5" w:rsidRDefault="00387B36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D226A5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D226A5">
        <w:rPr>
          <w:rFonts w:ascii="Times New Roman" w:hAnsi="Times New Roman"/>
          <w:b/>
          <w:sz w:val="22"/>
          <w:szCs w:val="22"/>
          <w:lang w:val="sk-SK"/>
        </w:rPr>
        <w:tab/>
        <w:t>N</w:t>
      </w:r>
      <w:r w:rsidR="00AC5922" w:rsidRPr="00D226A5">
        <w:rPr>
          <w:rFonts w:ascii="Times New Roman" w:hAnsi="Times New Roman"/>
          <w:b/>
          <w:sz w:val="22"/>
          <w:szCs w:val="22"/>
          <w:lang w:val="sk-SK"/>
        </w:rPr>
        <w:t>Á</w:t>
      </w:r>
      <w:r w:rsidRPr="00D226A5">
        <w:rPr>
          <w:rFonts w:ascii="Times New Roman" w:hAnsi="Times New Roman"/>
          <w:b/>
          <w:sz w:val="22"/>
          <w:szCs w:val="22"/>
          <w:lang w:val="sk-SK"/>
        </w:rPr>
        <w:t>ZOV LIEKU</w:t>
      </w:r>
    </w:p>
    <w:p w14:paraId="42100824" w14:textId="77777777" w:rsidR="00395DA1" w:rsidRPr="00D226A5" w:rsidRDefault="00395DA1" w:rsidP="005B0372">
      <w:pPr>
        <w:widowControl w:val="0"/>
        <w:ind w:left="709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7C15166E" w14:textId="77777777" w:rsidR="00FA1043" w:rsidRPr="00D226A5" w:rsidRDefault="00E000CA" w:rsidP="007C14AD">
      <w:pPr>
        <w:pStyle w:val="Nzov"/>
        <w:ind w:hanging="11"/>
        <w:jc w:val="both"/>
        <w:rPr>
          <w:b w:val="0"/>
          <w:bCs/>
          <w:sz w:val="22"/>
          <w:szCs w:val="22"/>
          <w:lang w:val="sk-SK"/>
        </w:rPr>
      </w:pPr>
      <w:r>
        <w:rPr>
          <w:b w:val="0"/>
          <w:bCs/>
          <w:sz w:val="22"/>
          <w:szCs w:val="22"/>
          <w:lang w:val="sk-SK"/>
        </w:rPr>
        <w:t>VINER 50 mg žuvacie tablety</w:t>
      </w:r>
    </w:p>
    <w:p w14:paraId="500A737E" w14:textId="77777777" w:rsidR="00B15F9C" w:rsidRPr="00D226A5" w:rsidRDefault="00E000CA" w:rsidP="000923FD">
      <w:pPr>
        <w:pStyle w:val="Nzov"/>
        <w:ind w:hanging="11"/>
        <w:jc w:val="both"/>
        <w:rPr>
          <w:b w:val="0"/>
          <w:bCs/>
          <w:sz w:val="22"/>
          <w:szCs w:val="22"/>
          <w:lang w:val="sk-SK"/>
        </w:rPr>
      </w:pPr>
      <w:r>
        <w:rPr>
          <w:b w:val="0"/>
          <w:bCs/>
          <w:sz w:val="22"/>
          <w:szCs w:val="22"/>
          <w:lang w:val="sk-SK"/>
        </w:rPr>
        <w:t>VINER 100 mg žuvacie tablety</w:t>
      </w:r>
    </w:p>
    <w:p w14:paraId="3BFD9A97" w14:textId="77777777" w:rsidR="00387B36" w:rsidRPr="00D226A5" w:rsidRDefault="00387B36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B206954" w14:textId="77777777" w:rsidR="00395DA1" w:rsidRPr="00D226A5" w:rsidRDefault="00395DA1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75756027" w14:textId="77777777" w:rsidR="00387B36" w:rsidRPr="00D226A5" w:rsidRDefault="00E000C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2.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KVALITATÍVNE A KVANTITATÍVNE ZLOŽENIE</w:t>
      </w:r>
    </w:p>
    <w:p w14:paraId="32F6B18E" w14:textId="77777777" w:rsidR="00395DA1" w:rsidRPr="00D226A5" w:rsidRDefault="00E000CA" w:rsidP="005B0372">
      <w:pPr>
        <w:widowControl w:val="0"/>
        <w:ind w:left="54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</w:p>
    <w:p w14:paraId="3D0651F4" w14:textId="77777777" w:rsidR="0074741F" w:rsidRPr="00D226A5" w:rsidRDefault="00E000C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VINER 50</w:t>
      </w:r>
      <w:r w:rsidR="00D226A5">
        <w:rPr>
          <w:rFonts w:ascii="Times New Roman" w:hAnsi="Times New Roman"/>
          <w:sz w:val="22"/>
          <w:szCs w:val="22"/>
          <w:lang w:val="sk-SK"/>
        </w:rPr>
        <w:t> </w:t>
      </w:r>
      <w:r w:rsidR="00DC3D35" w:rsidRPr="00D226A5">
        <w:rPr>
          <w:rFonts w:ascii="Times New Roman" w:hAnsi="Times New Roman"/>
          <w:sz w:val="22"/>
          <w:szCs w:val="22"/>
          <w:lang w:val="sk-SK"/>
        </w:rPr>
        <w:t>mg</w:t>
      </w:r>
      <w:r w:rsidR="00E525F7" w:rsidRPr="00D226A5">
        <w:rPr>
          <w:rFonts w:ascii="Times New Roman" w:hAnsi="Times New Roman"/>
          <w:sz w:val="22"/>
          <w:szCs w:val="22"/>
          <w:lang w:val="sk-SK"/>
        </w:rPr>
        <w:t xml:space="preserve"> žuvacie tablety</w:t>
      </w:r>
      <w:r w:rsidR="008C24FD" w:rsidRPr="00D226A5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B15F9C" w:rsidRPr="00D226A5">
        <w:rPr>
          <w:rFonts w:ascii="Times New Roman" w:hAnsi="Times New Roman"/>
          <w:sz w:val="22"/>
          <w:szCs w:val="22"/>
          <w:lang w:val="sk-SK" w:eastAsia="sk-SK"/>
        </w:rPr>
        <w:t>K</w:t>
      </w:r>
      <w:r w:rsidR="008C24FD" w:rsidRPr="00D226A5">
        <w:rPr>
          <w:rFonts w:ascii="Times New Roman" w:hAnsi="Times New Roman"/>
          <w:sz w:val="22"/>
          <w:szCs w:val="22"/>
          <w:lang w:val="sk-SK" w:eastAsia="sk-SK"/>
        </w:rPr>
        <w:t>a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ždá žuvacia tableta obsahuje 50 mg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(čo zodpovedá 70,24</w:t>
      </w:r>
      <w:r w:rsidR="00D226A5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 xml:space="preserve">mg </w:t>
      </w:r>
      <w:proofErr w:type="spellStart"/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>citrátu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).</w:t>
      </w:r>
    </w:p>
    <w:p w14:paraId="3682CE6A" w14:textId="77777777" w:rsidR="008C24FD" w:rsidRPr="00D226A5" w:rsidRDefault="00E000C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VINER 100</w:t>
      </w:r>
      <w:r w:rsidR="00D226A5">
        <w:rPr>
          <w:rFonts w:ascii="Times New Roman" w:hAnsi="Times New Roman"/>
          <w:sz w:val="22"/>
          <w:szCs w:val="22"/>
          <w:lang w:val="sk-SK"/>
        </w:rPr>
        <w:t> </w:t>
      </w:r>
      <w:r w:rsidR="00DC3D35" w:rsidRPr="00D226A5">
        <w:rPr>
          <w:rFonts w:ascii="Times New Roman" w:hAnsi="Times New Roman"/>
          <w:sz w:val="22"/>
          <w:szCs w:val="22"/>
          <w:lang w:val="sk-SK"/>
        </w:rPr>
        <w:t>mg</w:t>
      </w:r>
      <w:r w:rsidR="00E525F7" w:rsidRPr="00D226A5">
        <w:rPr>
          <w:rFonts w:ascii="Times New Roman" w:hAnsi="Times New Roman"/>
          <w:sz w:val="22"/>
          <w:szCs w:val="22"/>
          <w:lang w:val="sk-SK"/>
        </w:rPr>
        <w:t xml:space="preserve"> žuvacie tablety</w:t>
      </w:r>
      <w:r w:rsidR="008C24FD" w:rsidRPr="00D226A5">
        <w:rPr>
          <w:rFonts w:ascii="Times New Roman" w:hAnsi="Times New Roman"/>
          <w:sz w:val="22"/>
          <w:szCs w:val="22"/>
          <w:lang w:val="sk-SK"/>
        </w:rPr>
        <w:t>:</w:t>
      </w:r>
      <w:r w:rsidR="00896E16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aždá žuvacia tableta obsahuje 100 mg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(čo zodpovedá 140,48</w:t>
      </w:r>
      <w:r w:rsidR="00D226A5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 xml:space="preserve">mg </w:t>
      </w:r>
      <w:proofErr w:type="spellStart"/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>citrátu</w:t>
      </w:r>
      <w:proofErr w:type="spellEnd"/>
      <w:r w:rsidR="00B15F9C" w:rsidRPr="00D226A5">
        <w:rPr>
          <w:rFonts w:ascii="Times New Roman" w:hAnsi="Times New Roman"/>
          <w:sz w:val="22"/>
          <w:szCs w:val="22"/>
          <w:lang w:val="sk-SK" w:eastAsia="sk-SK"/>
        </w:rPr>
        <w:t>)</w:t>
      </w:r>
      <w:r w:rsidR="008C24FD" w:rsidRPr="00D226A5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53358B01" w14:textId="77777777" w:rsidR="008C24FD" w:rsidRPr="00D226A5" w:rsidRDefault="008C24FD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8227EAD" w14:textId="77777777" w:rsidR="00424A5F" w:rsidRDefault="000C7391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Pomocné látky </w:t>
      </w:r>
      <w:r w:rsidR="00E000CA">
        <w:rPr>
          <w:rFonts w:ascii="Times New Roman" w:hAnsi="Times New Roman"/>
          <w:sz w:val="22"/>
          <w:szCs w:val="22"/>
          <w:lang w:val="sk-SK"/>
        </w:rPr>
        <w:t xml:space="preserve">so známym účinkom: </w:t>
      </w:r>
      <w:proofErr w:type="spellStart"/>
      <w:r w:rsidR="00E000CA">
        <w:rPr>
          <w:rFonts w:ascii="Times New Roman" w:hAnsi="Times New Roman"/>
          <w:sz w:val="22"/>
          <w:szCs w:val="22"/>
          <w:lang w:val="sk-SK"/>
        </w:rPr>
        <w:t>monohydrát</w:t>
      </w:r>
      <w:proofErr w:type="spellEnd"/>
      <w:r w:rsidR="00E000CA">
        <w:rPr>
          <w:rFonts w:ascii="Times New Roman" w:hAnsi="Times New Roman"/>
          <w:sz w:val="22"/>
          <w:szCs w:val="22"/>
          <w:lang w:val="sk-SK"/>
        </w:rPr>
        <w:t xml:space="preserve"> laktózy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aspartám</w:t>
      </w:r>
      <w:proofErr w:type="spellEnd"/>
      <w:r w:rsidR="00E000CA">
        <w:rPr>
          <w:rFonts w:ascii="Times New Roman" w:hAnsi="Times New Roman"/>
          <w:sz w:val="22"/>
          <w:szCs w:val="22"/>
          <w:lang w:val="sk-SK"/>
        </w:rPr>
        <w:t>.</w:t>
      </w:r>
    </w:p>
    <w:p w14:paraId="6E62A077" w14:textId="77777777" w:rsidR="008A316A" w:rsidRDefault="008A316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8B2EB77" w14:textId="77777777" w:rsidR="008A316A" w:rsidRPr="00667B9F" w:rsidRDefault="00836222" w:rsidP="005B0372">
      <w:pPr>
        <w:widowControl w:val="0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667B9F">
        <w:rPr>
          <w:rFonts w:ascii="Times New Roman" w:hAnsi="Times New Roman"/>
          <w:sz w:val="22"/>
          <w:szCs w:val="22"/>
          <w:lang w:val="sk-SK"/>
        </w:rPr>
        <w:t>VINER 50</w:t>
      </w:r>
      <w:r w:rsidR="00CF6E6C" w:rsidRPr="00CF6E6C">
        <w:rPr>
          <w:rFonts w:ascii="Times New Roman" w:hAnsi="Times New Roman"/>
          <w:sz w:val="22"/>
          <w:szCs w:val="22"/>
          <w:lang w:val="sk-SK"/>
        </w:rPr>
        <w:t> </w:t>
      </w:r>
      <w:r w:rsidRPr="00667B9F">
        <w:rPr>
          <w:rFonts w:ascii="Times New Roman" w:hAnsi="Times New Roman"/>
          <w:sz w:val="22"/>
          <w:szCs w:val="22"/>
          <w:lang w:val="sk-SK"/>
        </w:rPr>
        <w:t>mg žuvacie tablety</w:t>
      </w:r>
      <w:r w:rsidR="00CF6E6C" w:rsidRPr="00CF6E6C">
        <w:rPr>
          <w:rFonts w:ascii="Times New Roman" w:hAnsi="Times New Roman"/>
          <w:sz w:val="22"/>
          <w:szCs w:val="22"/>
          <w:lang w:val="sk-SK"/>
        </w:rPr>
        <w:t>:</w:t>
      </w:r>
      <w:r w:rsidR="00896E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47F1B">
        <w:rPr>
          <w:rFonts w:ascii="Times New Roman" w:hAnsi="Times New Roman"/>
          <w:sz w:val="22"/>
          <w:szCs w:val="22"/>
          <w:lang w:val="sk-SK" w:eastAsia="sk-SK"/>
        </w:rPr>
        <w:t xml:space="preserve">Každá 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>žuvacia tableta obsahuje 140,915</w:t>
      </w:r>
      <w:r w:rsidR="001A0063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>mg</w:t>
      </w:r>
      <w:r w:rsidR="001B17B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1B17BC">
        <w:rPr>
          <w:rFonts w:ascii="Times New Roman" w:hAnsi="Times New Roman"/>
          <w:sz w:val="22"/>
          <w:szCs w:val="22"/>
          <w:lang w:val="sk-SK" w:eastAsia="sk-SK"/>
        </w:rPr>
        <w:t>monohydrátu</w:t>
      </w:r>
      <w:proofErr w:type="spellEnd"/>
      <w:r w:rsidR="001B17B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>laktózy a 4,3</w:t>
      </w:r>
      <w:r w:rsidR="001A0063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 xml:space="preserve">mg </w:t>
      </w:r>
      <w:proofErr w:type="spellStart"/>
      <w:r w:rsidR="008A316A">
        <w:rPr>
          <w:rFonts w:ascii="Times New Roman" w:hAnsi="Times New Roman"/>
          <w:sz w:val="22"/>
          <w:szCs w:val="22"/>
          <w:lang w:val="sk-SK" w:eastAsia="sk-SK"/>
        </w:rPr>
        <w:t>aspartámu</w:t>
      </w:r>
      <w:proofErr w:type="spellEnd"/>
      <w:r w:rsidR="00896E16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63002658" w14:textId="77777777" w:rsidR="008A316A" w:rsidRDefault="008A316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7CBF050" w14:textId="77777777" w:rsidR="008A316A" w:rsidRPr="00667B9F" w:rsidRDefault="00836222" w:rsidP="005B0372">
      <w:pPr>
        <w:widowControl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667B9F">
        <w:rPr>
          <w:rFonts w:ascii="Times New Roman" w:hAnsi="Times New Roman"/>
          <w:sz w:val="22"/>
          <w:szCs w:val="22"/>
          <w:lang w:val="sk-SK" w:eastAsia="sk-SK"/>
        </w:rPr>
        <w:t>VINER 100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> </w:t>
      </w:r>
      <w:r w:rsidRPr="00667B9F">
        <w:rPr>
          <w:rFonts w:ascii="Times New Roman" w:hAnsi="Times New Roman"/>
          <w:sz w:val="22"/>
          <w:szCs w:val="22"/>
          <w:lang w:val="sk-SK" w:eastAsia="sk-SK"/>
        </w:rPr>
        <w:t>mg žuvacie tablety</w:t>
      </w:r>
      <w:r w:rsidR="00667B9F" w:rsidRPr="00747F1B">
        <w:rPr>
          <w:rFonts w:ascii="Times New Roman" w:hAnsi="Times New Roman"/>
          <w:sz w:val="22"/>
          <w:szCs w:val="22"/>
          <w:lang w:val="sk-SK" w:eastAsia="sk-SK"/>
        </w:rPr>
        <w:t>:</w:t>
      </w:r>
      <w:r w:rsidR="00896E16" w:rsidRPr="00747F1B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747F1B">
        <w:rPr>
          <w:rFonts w:ascii="Times New Roman" w:hAnsi="Times New Roman"/>
          <w:sz w:val="22"/>
          <w:szCs w:val="22"/>
          <w:lang w:val="sk-SK" w:eastAsia="sk-SK"/>
        </w:rPr>
        <w:t xml:space="preserve">Každá 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>žuvacia tableta obsahuje 281,83</w:t>
      </w:r>
      <w:r w:rsidR="001A0063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 xml:space="preserve">mg </w:t>
      </w:r>
      <w:proofErr w:type="spellStart"/>
      <w:r w:rsidR="001B17BC">
        <w:rPr>
          <w:rFonts w:ascii="Times New Roman" w:hAnsi="Times New Roman"/>
          <w:sz w:val="22"/>
          <w:szCs w:val="22"/>
          <w:lang w:val="sk-SK" w:eastAsia="sk-SK"/>
        </w:rPr>
        <w:t>monohydrátu</w:t>
      </w:r>
      <w:proofErr w:type="spellEnd"/>
      <w:r w:rsidR="001B17B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>laktózy</w:t>
      </w:r>
      <w:r w:rsidR="00B34661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>a</w:t>
      </w:r>
      <w:r w:rsidR="001A0063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>8,6</w:t>
      </w:r>
      <w:r w:rsidR="001A0063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8A316A">
        <w:rPr>
          <w:rFonts w:ascii="Times New Roman" w:hAnsi="Times New Roman"/>
          <w:sz w:val="22"/>
          <w:szCs w:val="22"/>
          <w:lang w:val="sk-SK" w:eastAsia="sk-SK"/>
        </w:rPr>
        <w:t xml:space="preserve">mg </w:t>
      </w:r>
      <w:proofErr w:type="spellStart"/>
      <w:r w:rsidR="008A316A">
        <w:rPr>
          <w:rFonts w:ascii="Times New Roman" w:hAnsi="Times New Roman"/>
          <w:sz w:val="22"/>
          <w:szCs w:val="22"/>
          <w:lang w:val="sk-SK" w:eastAsia="sk-SK"/>
        </w:rPr>
        <w:t>aspartámu</w:t>
      </w:r>
      <w:proofErr w:type="spellEnd"/>
      <w:r w:rsidR="00896E16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05CEE796" w14:textId="77777777" w:rsidR="008A316A" w:rsidRPr="008A316A" w:rsidRDefault="008A316A" w:rsidP="005B0372">
      <w:pPr>
        <w:widowControl w:val="0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6D9713A5" w14:textId="77777777" w:rsidR="00A252D5" w:rsidRPr="00D226A5" w:rsidRDefault="00AC5922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D226A5">
        <w:rPr>
          <w:rFonts w:ascii="Times New Roman" w:hAnsi="Times New Roman"/>
          <w:sz w:val="22"/>
          <w:szCs w:val="22"/>
          <w:lang w:val="sk-SK"/>
        </w:rPr>
        <w:t>Ú</w:t>
      </w:r>
      <w:r w:rsidR="00387B36" w:rsidRPr="00D226A5">
        <w:rPr>
          <w:rFonts w:ascii="Times New Roman" w:hAnsi="Times New Roman"/>
          <w:sz w:val="22"/>
          <w:szCs w:val="22"/>
          <w:lang w:val="sk-SK"/>
        </w:rPr>
        <w:t>pln</w:t>
      </w:r>
      <w:r w:rsidRPr="00D226A5">
        <w:rPr>
          <w:rFonts w:ascii="Times New Roman" w:hAnsi="Times New Roman"/>
          <w:sz w:val="22"/>
          <w:szCs w:val="22"/>
          <w:lang w:val="sk-SK"/>
        </w:rPr>
        <w:t>ý</w:t>
      </w:r>
      <w:r w:rsidR="00387B36" w:rsidRPr="00D226A5">
        <w:rPr>
          <w:rFonts w:ascii="Times New Roman" w:hAnsi="Times New Roman"/>
          <w:sz w:val="22"/>
          <w:szCs w:val="22"/>
          <w:lang w:val="sk-SK"/>
        </w:rPr>
        <w:t xml:space="preserve"> zoznam pomocn</w:t>
      </w:r>
      <w:r w:rsidRPr="00D226A5">
        <w:rPr>
          <w:rFonts w:ascii="Times New Roman" w:hAnsi="Times New Roman"/>
          <w:sz w:val="22"/>
          <w:szCs w:val="22"/>
          <w:lang w:val="sk-SK"/>
        </w:rPr>
        <w:t>ý</w:t>
      </w:r>
      <w:r w:rsidR="00387B36" w:rsidRPr="00D226A5">
        <w:rPr>
          <w:rFonts w:ascii="Times New Roman" w:hAnsi="Times New Roman"/>
          <w:sz w:val="22"/>
          <w:szCs w:val="22"/>
          <w:lang w:val="sk-SK"/>
        </w:rPr>
        <w:t>ch l</w:t>
      </w:r>
      <w:r w:rsidRPr="00D226A5">
        <w:rPr>
          <w:rFonts w:ascii="Times New Roman" w:hAnsi="Times New Roman"/>
          <w:sz w:val="22"/>
          <w:szCs w:val="22"/>
          <w:lang w:val="sk-SK"/>
        </w:rPr>
        <w:t>á</w:t>
      </w:r>
      <w:r w:rsidR="00387B36" w:rsidRPr="00D226A5">
        <w:rPr>
          <w:rFonts w:ascii="Times New Roman" w:hAnsi="Times New Roman"/>
          <w:sz w:val="22"/>
          <w:szCs w:val="22"/>
          <w:lang w:val="sk-SK"/>
        </w:rPr>
        <w:t xml:space="preserve">tok, pozri </w:t>
      </w:r>
      <w:r w:rsidRPr="00D226A5">
        <w:rPr>
          <w:rFonts w:ascii="Times New Roman" w:hAnsi="Times New Roman"/>
          <w:sz w:val="22"/>
          <w:szCs w:val="22"/>
          <w:lang w:val="sk-SK"/>
        </w:rPr>
        <w:t>č</w:t>
      </w:r>
      <w:r w:rsidR="00387B36" w:rsidRPr="00D226A5">
        <w:rPr>
          <w:rFonts w:ascii="Times New Roman" w:hAnsi="Times New Roman"/>
          <w:sz w:val="22"/>
          <w:szCs w:val="22"/>
          <w:lang w:val="sk-SK"/>
        </w:rPr>
        <w:t>as</w:t>
      </w:r>
      <w:r w:rsidRPr="00D226A5">
        <w:rPr>
          <w:rFonts w:ascii="Times New Roman" w:hAnsi="Times New Roman"/>
          <w:sz w:val="22"/>
          <w:szCs w:val="22"/>
          <w:lang w:val="sk-SK"/>
        </w:rPr>
        <w:t>ť</w:t>
      </w:r>
      <w:r w:rsidR="00387B36" w:rsidRPr="00D226A5">
        <w:rPr>
          <w:rFonts w:ascii="Times New Roman" w:hAnsi="Times New Roman"/>
          <w:sz w:val="22"/>
          <w:szCs w:val="22"/>
          <w:lang w:val="sk-SK"/>
        </w:rPr>
        <w:t xml:space="preserve"> 6.1.</w:t>
      </w:r>
    </w:p>
    <w:p w14:paraId="57D99CF2" w14:textId="77777777" w:rsidR="00387B36" w:rsidRPr="00D226A5" w:rsidRDefault="00387B36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266E16E" w14:textId="77777777" w:rsidR="00395DA1" w:rsidRPr="00D226A5" w:rsidRDefault="00395DA1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FE319EB" w14:textId="77777777" w:rsidR="00387B36" w:rsidRPr="00D226A5" w:rsidRDefault="00E000C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3.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LIEKOVÁ FORMA</w:t>
      </w:r>
    </w:p>
    <w:p w14:paraId="566627DC" w14:textId="77777777" w:rsidR="00395DA1" w:rsidRPr="00D226A5" w:rsidRDefault="00395DA1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813F472" w14:textId="77777777" w:rsidR="00B15F9C" w:rsidRPr="00D226A5" w:rsidRDefault="00E000C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Žuvacia tableta</w:t>
      </w:r>
    </w:p>
    <w:p w14:paraId="209584DE" w14:textId="77777777" w:rsidR="00387B36" w:rsidRPr="00D226A5" w:rsidRDefault="00E000C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3170F1E" w14:textId="77777777" w:rsidR="00FC2CA9" w:rsidRPr="00D226A5" w:rsidRDefault="00E000CA" w:rsidP="005B0372">
      <w:pPr>
        <w:widowContro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VINER 50 mg žuvacie tablety: biele bikonvexné žuvacie tablety trojuholníkového tvaru s vyrytou číslicou „50“ na jednej strane.</w:t>
      </w:r>
    </w:p>
    <w:p w14:paraId="46ABBCE7" w14:textId="77777777" w:rsidR="00093A4C" w:rsidRPr="00D226A5" w:rsidRDefault="00E000CA" w:rsidP="005B0372">
      <w:pPr>
        <w:widowContro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VINER 100 mg žuvacie tablety: biele bikonvexné žuvacie tablety trojuholníkového tvaru s vyrytou číslicou „100“ na jednej strane.</w:t>
      </w:r>
    </w:p>
    <w:p w14:paraId="457ABCF0" w14:textId="77777777" w:rsidR="0062349A" w:rsidRPr="00D226A5" w:rsidRDefault="0062349A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10AF26EC" w14:textId="77777777" w:rsidR="0078487B" w:rsidRPr="00D226A5" w:rsidRDefault="0078487B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2A74D625" w14:textId="77777777" w:rsidR="00387B36" w:rsidRPr="00D226A5" w:rsidRDefault="00E000CA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caps/>
          <w:sz w:val="22"/>
          <w:szCs w:val="22"/>
          <w:lang w:val="sk-SK"/>
        </w:rPr>
        <w:t>KLINICKÉ ÚDAJE</w:t>
      </w:r>
    </w:p>
    <w:p w14:paraId="5F481BF0" w14:textId="77777777" w:rsidR="00387B36" w:rsidRPr="00D226A5" w:rsidRDefault="00387B36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6C649F80" w14:textId="77777777" w:rsidR="00F91471" w:rsidRPr="00D226A5" w:rsidRDefault="00E000CA" w:rsidP="005B0372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4.1</w:t>
      </w:r>
      <w:r>
        <w:rPr>
          <w:rFonts w:ascii="Times New Roman" w:hAnsi="Times New Roman"/>
          <w:b/>
          <w:sz w:val="22"/>
          <w:szCs w:val="22"/>
          <w:lang w:val="sk-SK"/>
        </w:rPr>
        <w:tab/>
        <w:t xml:space="preserve">Terapeutické indikácie </w:t>
      </w:r>
    </w:p>
    <w:p w14:paraId="6B47DF1E" w14:textId="77777777" w:rsidR="00A252D5" w:rsidRPr="00D226A5" w:rsidRDefault="00A252D5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3F477836" w14:textId="77777777" w:rsidR="009F1D9D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Liečba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dysfunkcie u mužov, čo je neschopnosť dosiahnuť alebo udržať dostatočnú erekciu penisu na vykonanie uspokojivého pohlavného styku.</w:t>
      </w:r>
    </w:p>
    <w:p w14:paraId="33DB8244" w14:textId="77777777" w:rsidR="00387B36" w:rsidRPr="00D226A5" w:rsidRDefault="00E000CA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Aby bol VINER účinný, je potrebná sexuálna stimulácia.</w:t>
      </w:r>
    </w:p>
    <w:p w14:paraId="07212B98" w14:textId="77777777" w:rsidR="009F1D9D" w:rsidRPr="00D226A5" w:rsidRDefault="009F1D9D" w:rsidP="005B0372">
      <w:pPr>
        <w:widowControl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E92253C" w14:textId="77777777" w:rsidR="00387B36" w:rsidRPr="00D226A5" w:rsidRDefault="00E000CA" w:rsidP="005B0372">
      <w:pPr>
        <w:widowControl w:val="0"/>
        <w:jc w:val="both"/>
        <w:rPr>
          <w:rFonts w:ascii="Times New Roman" w:hAnsi="Times New Roman"/>
          <w:cap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4.2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Dávkovanie a spôsob podávania</w:t>
      </w:r>
    </w:p>
    <w:p w14:paraId="67AB3F6B" w14:textId="77777777" w:rsidR="00A252D5" w:rsidRPr="00D226A5" w:rsidRDefault="00A252D5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FACD6CC" w14:textId="77777777" w:rsidR="009F1D9D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iCs/>
          <w:sz w:val="22"/>
          <w:szCs w:val="22"/>
          <w:lang w:val="sk-SK" w:eastAsia="sk-SK"/>
        </w:rPr>
        <w:t>Použitie u dospelých</w:t>
      </w:r>
    </w:p>
    <w:p w14:paraId="14B90B4E" w14:textId="77777777" w:rsidR="004B71D0" w:rsidRDefault="00896E16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VINER 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sa má užívať podľa potreby približne </w:t>
      </w:r>
      <w:r w:rsidR="00833A13" w:rsidRPr="00D226A5">
        <w:rPr>
          <w:rFonts w:ascii="Times New Roman" w:hAnsi="Times New Roman"/>
          <w:sz w:val="22"/>
          <w:szCs w:val="22"/>
          <w:lang w:val="sk-SK" w:eastAsia="sk-SK"/>
        </w:rPr>
        <w:t xml:space="preserve">1 hodinu </w:t>
      </w:r>
      <w:r w:rsidR="009F1D9D" w:rsidRPr="00D226A5">
        <w:rPr>
          <w:rFonts w:ascii="Times New Roman" w:hAnsi="Times New Roman"/>
          <w:sz w:val="22"/>
          <w:szCs w:val="22"/>
          <w:lang w:val="sk-SK" w:eastAsia="sk-SK"/>
        </w:rPr>
        <w:t>pred sexu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="009F1D9D" w:rsidRPr="00D226A5">
        <w:rPr>
          <w:rFonts w:ascii="Times New Roman" w:hAnsi="Times New Roman"/>
          <w:sz w:val="22"/>
          <w:szCs w:val="22"/>
          <w:lang w:val="sk-SK" w:eastAsia="sk-SK"/>
        </w:rPr>
        <w:t xml:space="preserve">lnou aktivitou. </w:t>
      </w:r>
      <w:r w:rsidR="005D28C7" w:rsidRPr="00D226A5">
        <w:rPr>
          <w:rFonts w:ascii="Times New Roman" w:hAnsi="Times New Roman"/>
          <w:sz w:val="22"/>
          <w:szCs w:val="22"/>
          <w:lang w:val="sk-SK" w:eastAsia="sk-SK"/>
        </w:rPr>
        <w:t xml:space="preserve">Odporúčaná dávka je </w:t>
      </w:r>
    </w:p>
    <w:p w14:paraId="19F375D9" w14:textId="77777777" w:rsidR="009025FA" w:rsidRPr="00D226A5" w:rsidRDefault="005D28C7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50 mg užitá nalačno, nakoľko súčasné užitie s jedlom oneskoruje účinok žuvacej tablety (pozri časť 5.2</w:t>
      </w:r>
      <w:r w:rsidR="004B71D0">
        <w:rPr>
          <w:rFonts w:ascii="Times New Roman" w:hAnsi="Times New Roman"/>
          <w:sz w:val="22"/>
          <w:szCs w:val="22"/>
          <w:lang w:val="sk-SK" w:eastAsia="sk-SK"/>
        </w:rPr>
        <w:t>)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18EDC26B" w14:textId="1076D9E5" w:rsidR="007C14AD" w:rsidRPr="00D226A5" w:rsidRDefault="009F1D9D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Pod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a 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innosti a tolerancie sa m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ôž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e d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vka zv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i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ť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na 100 mg</w:t>
      </w:r>
      <w:r w:rsidR="007F7ACD" w:rsidRPr="00D226A5">
        <w:rPr>
          <w:rFonts w:ascii="Times New Roman" w:hAnsi="Times New Roman"/>
          <w:sz w:val="22"/>
          <w:szCs w:val="22"/>
          <w:lang w:val="sk-SK" w:eastAsia="sk-SK"/>
        </w:rPr>
        <w:t>.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Maxim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lna odpor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an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d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vka je 100 mg. 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>Maximálna odporúčaná frekvencia dávkovania je jedenkrát denne.</w:t>
      </w:r>
      <w:r w:rsidR="001232AF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1232AF" w:rsidRPr="001E226F">
        <w:rPr>
          <w:rFonts w:ascii="Times New Roman" w:hAnsi="Times New Roman"/>
          <w:sz w:val="22"/>
          <w:szCs w:val="22"/>
          <w:lang w:val="sk-SK" w:eastAsia="sk-SK"/>
        </w:rPr>
        <w:t>Ak sa</w:t>
      </w:r>
      <w:r w:rsidR="001232AF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1232AF" w:rsidRPr="001E226F">
        <w:rPr>
          <w:rFonts w:ascii="Times New Roman" w:hAnsi="Times New Roman"/>
          <w:sz w:val="22"/>
          <w:szCs w:val="22"/>
          <w:lang w:val="sk-SK" w:eastAsia="sk-SK"/>
        </w:rPr>
        <w:t xml:space="preserve">požaduje dávka 25 mg, tak sa odporúča užiť </w:t>
      </w:r>
      <w:r w:rsidR="001232AF">
        <w:rPr>
          <w:rFonts w:ascii="Times New Roman" w:hAnsi="Times New Roman"/>
          <w:sz w:val="22"/>
          <w:szCs w:val="22"/>
          <w:lang w:val="sk-SK" w:eastAsia="sk-SK"/>
        </w:rPr>
        <w:t xml:space="preserve">iný liek s obsahom </w:t>
      </w:r>
      <w:proofErr w:type="spellStart"/>
      <w:r w:rsidR="001232AF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1232AF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1232AF" w:rsidRPr="001E226F">
        <w:rPr>
          <w:rFonts w:ascii="Times New Roman" w:hAnsi="Times New Roman"/>
          <w:sz w:val="22"/>
          <w:szCs w:val="22"/>
          <w:lang w:val="sk-SK" w:eastAsia="sk-SK"/>
        </w:rPr>
        <w:t>25 mg</w:t>
      </w:r>
      <w:r w:rsidR="001232AF">
        <w:rPr>
          <w:rFonts w:ascii="Times New Roman" w:hAnsi="Times New Roman"/>
          <w:sz w:val="22"/>
          <w:szCs w:val="22"/>
          <w:lang w:val="sk-SK" w:eastAsia="sk-SK"/>
        </w:rPr>
        <w:t>.</w:t>
      </w:r>
      <w:r w:rsidR="001232AF" w:rsidRPr="001E226F">
        <w:rPr>
          <w:rFonts w:ascii="Times New Roman" w:hAnsi="Times New Roman"/>
          <w:sz w:val="22"/>
          <w:szCs w:val="22"/>
          <w:lang w:val="sk-SK" w:eastAsia="sk-SK"/>
        </w:rPr>
        <w:cr/>
      </w:r>
    </w:p>
    <w:p w14:paraId="125F5A3D" w14:textId="77777777" w:rsidR="00A46DAC" w:rsidRPr="00D226A5" w:rsidRDefault="00A46DAC" w:rsidP="005B037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F1591E0" w14:textId="77777777" w:rsidR="009F1D9D" w:rsidRPr="00D226A5" w:rsidRDefault="00E000CA" w:rsidP="005B0372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iCs/>
          <w:sz w:val="22"/>
          <w:szCs w:val="22"/>
          <w:lang w:val="sk-SK" w:eastAsia="sk-SK"/>
        </w:rPr>
        <w:t>Použitie u starších ľudí</w:t>
      </w:r>
    </w:p>
    <w:p w14:paraId="298A35AA" w14:textId="77777777" w:rsidR="009F1D9D" w:rsidRPr="00D226A5" w:rsidRDefault="00E000CA" w:rsidP="005B037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U starších ľudí sa nevyžaduje úprava dávkovania </w:t>
      </w:r>
      <w:r>
        <w:rPr>
          <w:rFonts w:ascii="Times New Roman" w:hAnsi="Times New Roman"/>
          <w:sz w:val="22"/>
          <w:szCs w:val="22"/>
          <w:lang w:eastAsia="sk-SK"/>
        </w:rPr>
        <w:t xml:space="preserve">(≥ 65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rokov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>)</w:t>
      </w:r>
      <w:r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363974D4" w14:textId="77777777" w:rsidR="009F1D9D" w:rsidRPr="00D226A5" w:rsidRDefault="009F1D9D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543BA16" w14:textId="77777777" w:rsidR="009F1D9D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iCs/>
          <w:sz w:val="22"/>
          <w:szCs w:val="22"/>
          <w:lang w:val="sk-SK" w:eastAsia="sk-SK"/>
        </w:rPr>
        <w:t>Použitie u pacientov s poškodením funkcie obličiek</w:t>
      </w:r>
    </w:p>
    <w:p w14:paraId="2246CC5D" w14:textId="77777777" w:rsidR="009F1D9D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U pacientov s miernym a stredne ťažkým poškodením funkcie obličiek (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kreatinínu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= 30 - 80 ml/min) sa odporúča rovnaké dávkovanie, ako je opísané v odseku „Použitie u dospelých“.</w:t>
      </w:r>
    </w:p>
    <w:p w14:paraId="111AD49E" w14:textId="77777777" w:rsidR="00896E16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Keďže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je u pacientov s ťažkým poškodením funkcie obličiek (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kreatinínu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&lt; 30 ml/min) znížený, má sa zvážiť dávka 25 mg. Podľa účinnosti a tolerancie je možné dávku zvýšiť na 50 mg </w:t>
      </w:r>
    </w:p>
    <w:p w14:paraId="4D5B7A27" w14:textId="77777777" w:rsidR="009F1D9D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a 100 mg.</w:t>
      </w:r>
    </w:p>
    <w:p w14:paraId="496A1251" w14:textId="77777777" w:rsidR="009F1D9D" w:rsidRPr="00D226A5" w:rsidRDefault="009F1D9D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</w:p>
    <w:p w14:paraId="054D99B3" w14:textId="77777777" w:rsidR="009F1D9D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iCs/>
          <w:sz w:val="22"/>
          <w:szCs w:val="22"/>
          <w:lang w:val="sk-SK" w:eastAsia="sk-SK"/>
        </w:rPr>
        <w:t>Použitie u pacientov s poškodením funkcie pečene</w:t>
      </w:r>
    </w:p>
    <w:p w14:paraId="0D0E2D90" w14:textId="77777777" w:rsidR="00A96ABB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Keďže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je u pacientov s poškodením funkcie pečene (napr. s cirhózou) znížený, má sa zvážiť dávka 25 mg. Podľa účinnosti a tolerancie je možné dávku zvýšiť na 50 mg a 100 mg.</w:t>
      </w:r>
    </w:p>
    <w:p w14:paraId="73F6B65D" w14:textId="77777777" w:rsidR="00582678" w:rsidRPr="00D226A5" w:rsidRDefault="00582678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</w:p>
    <w:p w14:paraId="5ABF11CF" w14:textId="77777777" w:rsidR="00582678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iCs/>
          <w:sz w:val="22"/>
          <w:szCs w:val="22"/>
          <w:lang w:val="sk-SK" w:eastAsia="sk-SK"/>
        </w:rPr>
        <w:t>Pediatrická populácia</w:t>
      </w:r>
    </w:p>
    <w:p w14:paraId="6F1B0E22" w14:textId="77777777" w:rsidR="00582678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VINER nie je indikovaný u osôb mladších ako 18 rokov.</w:t>
      </w:r>
    </w:p>
    <w:p w14:paraId="7BFA29AE" w14:textId="77777777" w:rsidR="00582678" w:rsidRPr="00D226A5" w:rsidRDefault="00582678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71DF7D0" w14:textId="77777777" w:rsidR="00582678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iCs/>
          <w:sz w:val="22"/>
          <w:szCs w:val="22"/>
          <w:lang w:val="sk-SK" w:eastAsia="sk-SK"/>
        </w:rPr>
        <w:t>Použitie u pacientov, ktorí užívajú iné lieky</w:t>
      </w:r>
    </w:p>
    <w:p w14:paraId="63B8CD4A" w14:textId="77777777" w:rsidR="00896E16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 výnimkou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ritonaviru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kedy sa súčasné podávanie so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neodporúča (pozri časť 4.4), má sa</w:t>
      </w:r>
    </w:p>
    <w:p w14:paraId="43A86AD9" w14:textId="77777777" w:rsidR="00582678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u pacientov súčasne užívajúcich inhibítory CYP3A4 zvážiť úvodná dávka 25 mg (pozri časť 4.5).</w:t>
      </w:r>
    </w:p>
    <w:p w14:paraId="2F17CDF1" w14:textId="77777777" w:rsidR="005E3513" w:rsidRPr="00D226A5" w:rsidRDefault="005E3513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3F44587D" w14:textId="77777777" w:rsidR="0062349A" w:rsidRPr="00D226A5" w:rsidRDefault="00E000CA" w:rsidP="005B037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Pacienti liečení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alfablokátormi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musia byť pred začatím liečby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stabilizovaní, aby sa minimalizovala možnosť vzniku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posturálnej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hypotenzie. Navyše sa má zvážiť úvodná dávka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25 mg (pozri časti 4.4 a 4.5).</w:t>
      </w:r>
    </w:p>
    <w:p w14:paraId="3C038741" w14:textId="77777777" w:rsidR="00D03D43" w:rsidRPr="00D226A5" w:rsidRDefault="00D03D43" w:rsidP="000E03C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E68AC44" w14:textId="77777777" w:rsidR="00D03D43" w:rsidRPr="00D226A5" w:rsidRDefault="00D03D43" w:rsidP="000E03CE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D226A5">
        <w:rPr>
          <w:rFonts w:ascii="Times New Roman" w:hAnsi="Times New Roman"/>
          <w:sz w:val="22"/>
          <w:szCs w:val="22"/>
          <w:lang w:val="sk-SK"/>
        </w:rPr>
        <w:t>Spôsob podávania:</w:t>
      </w:r>
    </w:p>
    <w:p w14:paraId="40A59CDF" w14:textId="77777777" w:rsidR="00D03D43" w:rsidRPr="00D226A5" w:rsidRDefault="00D03D43" w:rsidP="00D03D4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Na perorálne použitie. Tablety sa majú kompletne rozžuť a prehltnúť. </w:t>
      </w:r>
      <w:r w:rsidR="008909E0" w:rsidRPr="00D226A5">
        <w:rPr>
          <w:rFonts w:ascii="Times New Roman" w:hAnsi="Times New Roman"/>
          <w:sz w:val="22"/>
          <w:szCs w:val="22"/>
          <w:lang w:val="sk-SK" w:eastAsia="sk-SK"/>
        </w:rPr>
        <w:t xml:space="preserve">Rozžutá tableta sa môže (ale nemusí) zapiť vodou. </w:t>
      </w:r>
    </w:p>
    <w:p w14:paraId="2C7FEDB5" w14:textId="77777777" w:rsidR="00D03D43" w:rsidRPr="00D226A5" w:rsidRDefault="00D03D43" w:rsidP="000E03C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2CEF24D" w14:textId="77777777" w:rsidR="00387B36" w:rsidRPr="00D226A5" w:rsidRDefault="00BC6B57" w:rsidP="000E03CE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D226A5">
        <w:rPr>
          <w:rFonts w:ascii="Times New Roman" w:hAnsi="Times New Roman"/>
          <w:b/>
          <w:sz w:val="22"/>
          <w:szCs w:val="22"/>
          <w:lang w:val="sk-SK"/>
        </w:rPr>
        <w:t>4.3</w:t>
      </w:r>
      <w:r w:rsidRPr="00D226A5">
        <w:rPr>
          <w:rFonts w:ascii="Times New Roman" w:hAnsi="Times New Roman"/>
          <w:b/>
          <w:sz w:val="22"/>
          <w:szCs w:val="22"/>
          <w:lang w:val="sk-SK"/>
        </w:rPr>
        <w:tab/>
      </w:r>
      <w:r w:rsidR="00E000CA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14:paraId="18323AA2" w14:textId="77777777" w:rsidR="00A96ABB" w:rsidRPr="00D226A5" w:rsidRDefault="00A96ABB" w:rsidP="000E03CE">
      <w:pPr>
        <w:jc w:val="both"/>
        <w:rPr>
          <w:rFonts w:ascii="Times New Roman" w:hAnsi="Times New Roman"/>
          <w:caps/>
          <w:sz w:val="22"/>
          <w:szCs w:val="22"/>
          <w:lang w:val="sk-SK"/>
        </w:rPr>
      </w:pPr>
    </w:p>
    <w:p w14:paraId="5A001757" w14:textId="77777777" w:rsidR="00582678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Precitlivenosť 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na ktorúkoľvek z pomocných látok (pozri časť 6.1).</w:t>
      </w:r>
    </w:p>
    <w:p w14:paraId="508C512D" w14:textId="77777777" w:rsidR="00582678" w:rsidRPr="00D226A5" w:rsidRDefault="00582678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32130CC1" w14:textId="77777777" w:rsidR="00582678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súlade so známym účinkom na metabolickú cestu oxidu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dusnatého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/cyklického</w:t>
      </w:r>
    </w:p>
    <w:p w14:paraId="1FDD270D" w14:textId="77777777" w:rsidR="00896E16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guanozínmonofosfátu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 (pozri časť 5.1) sa preukázalo, že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potencuje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hypotenzívny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účinok nitrátov, a preto jeho podanie spolu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donormi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oxidu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dusnatého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(ako je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amylnitrit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 alebo nitrátmi </w:t>
      </w:r>
    </w:p>
    <w:p w14:paraId="022FD686" w14:textId="77777777" w:rsidR="00582678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v akejkoľvek forme je kontraindikované.</w:t>
      </w:r>
    </w:p>
    <w:p w14:paraId="00457A05" w14:textId="77777777" w:rsidR="0080773E" w:rsidRPr="00D226A5" w:rsidRDefault="008077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466D329" w14:textId="77777777" w:rsidR="0080773E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eastAsia="sk-SK"/>
        </w:rPr>
        <w:t>Súbežné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podanie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PDE5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inhibítorov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vrátane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, so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stimulátormi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guanylátcyklázy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akým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je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napr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eastAsia="sk-SK"/>
        </w:rPr>
        <w:t>riociguát</w:t>
      </w:r>
      <w:proofErr w:type="spellEnd"/>
      <w:proofErr w:type="gramEnd"/>
      <w:r>
        <w:rPr>
          <w:rFonts w:ascii="Times New Roman" w:hAnsi="Times New Roman"/>
          <w:sz w:val="22"/>
          <w:szCs w:val="22"/>
          <w:lang w:eastAsia="sk-SK"/>
        </w:rPr>
        <w:t xml:space="preserve">, je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kontraindikované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pretože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môže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viesť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k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symptomatickej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hypotenzii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pozri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časť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4.5).</w:t>
      </w:r>
    </w:p>
    <w:p w14:paraId="77BF7EFD" w14:textId="77777777" w:rsidR="00582678" w:rsidRPr="00D226A5" w:rsidRDefault="00582678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8779B38" w14:textId="77777777" w:rsidR="00582678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Látky určené na liečbu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dysfunkcie vrátane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nemajú používať muži, u ktorých sa sexuálna aktivita neodporúča (napr. pacienti s ťažkými kardiovaskulárnymi poruchami, ako nestabilná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angina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pectoris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ťažké srdcové zlyhávanie).</w:t>
      </w:r>
    </w:p>
    <w:p w14:paraId="6F8A7A4C" w14:textId="77777777" w:rsidR="00582678" w:rsidRPr="00D226A5" w:rsidRDefault="00582678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E82B656" w14:textId="77777777" w:rsidR="00582678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VINER je kontraindikovaný u pacientov, ktorí majú stratu videnia v jednom oku v dôsledku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nearteritickej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prednej ischemickej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neuropatie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zrakového nervu (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non-arteritic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anterior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ischaemic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optic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neuropathy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NAION) bez ohľadu na to, či táto príhoda súvisela alebo nesúvisela s predchádzajúcou expozíciou inhibítoru PDE5 (pozri časť 4.4).</w:t>
      </w:r>
    </w:p>
    <w:p w14:paraId="6799DD7A" w14:textId="77777777" w:rsidR="00582678" w:rsidRPr="00D226A5" w:rsidRDefault="00582678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4D2822A" w14:textId="77777777" w:rsidR="00896E16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Bezpečnosť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sa neštudovala u nasledujúcich podskupín pacientov, a preto jeho použitie je </w:t>
      </w:r>
    </w:p>
    <w:p w14:paraId="6AD84DDC" w14:textId="77777777" w:rsidR="0043142B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u týchto pacientov kontraindikované: ťažké poškodenie funkcie pečene, hypotenzia (krvný tlak &lt; 90/50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), nedávno prekonaný infarkt myokardu alebo náhla cievna mozgová príhoda, hereditárne degeneratívne </w:t>
      </w:r>
      <w:r>
        <w:rPr>
          <w:rFonts w:ascii="Times New Roman" w:hAnsi="Times New Roman"/>
          <w:sz w:val="22"/>
          <w:szCs w:val="22"/>
          <w:lang w:val="sk-SK" w:eastAsia="sk-SK"/>
        </w:rPr>
        <w:lastRenderedPageBreak/>
        <w:t xml:space="preserve">ochorenia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retiny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ako sú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retinitis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pigmentosa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(menšina z týchto pacientov má genetickú poruchu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retinálnej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fosfodiesterázy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).</w:t>
      </w:r>
    </w:p>
    <w:p w14:paraId="072FF181" w14:textId="77777777" w:rsidR="0080773E" w:rsidRPr="00D226A5" w:rsidRDefault="008077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55089A6" w14:textId="77777777" w:rsidR="00404CDB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Osobitné upozornenia a opatrenia pri používaní</w:t>
      </w:r>
    </w:p>
    <w:p w14:paraId="0DBD9075" w14:textId="77777777" w:rsidR="00A96ABB" w:rsidRPr="00D226A5" w:rsidRDefault="00A96ABB" w:rsidP="000E03CE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C5B823D" w14:textId="77777777" w:rsidR="00896E16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Na stanovenie diagnózy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dysfunkcie a určenie jej možných príčin má sa pred rozhodnutím </w:t>
      </w:r>
    </w:p>
    <w:p w14:paraId="1DA03EAC" w14:textId="77777777" w:rsidR="00D91E3E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o farmakologickej liečbe zistiť anamnéza a urobiť fyzikálne vyšetrenie.</w:t>
      </w:r>
    </w:p>
    <w:p w14:paraId="2790FE2A" w14:textId="77777777" w:rsidR="0080773E" w:rsidRPr="00D226A5" w:rsidRDefault="008077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0735526" w14:textId="77777777" w:rsidR="0080773E" w:rsidRPr="00D226A5" w:rsidRDefault="00CF6E6C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proofErr w:type="spellStart"/>
      <w:r w:rsidRPr="00CF6E6C">
        <w:rPr>
          <w:rFonts w:ascii="Times New Roman" w:hAnsi="Times New Roman"/>
          <w:sz w:val="22"/>
          <w:szCs w:val="22"/>
          <w:u w:val="single"/>
          <w:lang w:eastAsia="sk-SK"/>
        </w:rPr>
        <w:t>Kardiovaskulárne</w:t>
      </w:r>
      <w:proofErr w:type="spellEnd"/>
      <w:r w:rsidRPr="00CF6E6C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CF6E6C">
        <w:rPr>
          <w:rFonts w:ascii="Times New Roman" w:hAnsi="Times New Roman"/>
          <w:sz w:val="22"/>
          <w:szCs w:val="22"/>
          <w:u w:val="single"/>
          <w:lang w:eastAsia="sk-SK"/>
        </w:rPr>
        <w:t>rizikové</w:t>
      </w:r>
      <w:proofErr w:type="spellEnd"/>
      <w:r w:rsidRPr="00CF6E6C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CF6E6C">
        <w:rPr>
          <w:rFonts w:ascii="Times New Roman" w:hAnsi="Times New Roman"/>
          <w:sz w:val="22"/>
          <w:szCs w:val="22"/>
          <w:u w:val="single"/>
          <w:lang w:eastAsia="sk-SK"/>
        </w:rPr>
        <w:t>faktory</w:t>
      </w:r>
      <w:proofErr w:type="spellEnd"/>
    </w:p>
    <w:p w14:paraId="639635A5" w14:textId="77777777" w:rsidR="00D91E3E" w:rsidRPr="00D226A5" w:rsidRDefault="00D91E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494E68B" w14:textId="77777777" w:rsidR="00D91E3E" w:rsidRPr="00D226A5" w:rsidRDefault="00D91E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Pred za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at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m akejko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vek lie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by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dysfunkcie m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lek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r zoh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adni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ť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kardiovaskulárny status pacienta, lebo sexuálna aktivita je spojená s istým stupňom kardiálneho rizika.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má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vazodilatačné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vlastnosti, ktoré vedú k miernemu a prechodnému zníženiu tlaku krvi (pozri časť 5.1). Pred predpísaním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má lekár dôkladne zvážiť, či pacient netrpí takým ochorením, ktorého priebeh by mohli uvedené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vazodilatačné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účinky nepriaznivo ovplyvniť, najmä v kombinácii so sexuálnou aktivitou. Medzi pacientov so zvýšenou citlivosťou pri podaní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vazodilatátorov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patria najmä pacienti s obštrukciou výtoku z ľavej komory (napr. aortálna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stenóza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, hypertrofická obštrukčná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kardiomyopatia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) alebo pacienti so zriedkavým syndrómom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multisystémovej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atrofie, ktorý sa manifestuje ako ťažké poškodenie autonómnej kontroly krvného tlaku.</w:t>
      </w:r>
    </w:p>
    <w:p w14:paraId="2F5D1B25" w14:textId="77777777" w:rsidR="00D91E3E" w:rsidRPr="00D226A5" w:rsidRDefault="00D91E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1E71A35" w14:textId="77777777" w:rsidR="00D91E3E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potencuje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hypotenzívny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účinok nitrátov (pozri časť 4.3).</w:t>
      </w:r>
    </w:p>
    <w:p w14:paraId="39E52CD6" w14:textId="77777777" w:rsidR="00D91E3E" w:rsidRPr="00D226A5" w:rsidRDefault="00D91E3E" w:rsidP="000E03CE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7F5CF75" w14:textId="77777777" w:rsidR="00D91E3E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Po uvedení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na trh boli v časovej súvislosti s užitím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hlásené závažné kardiovaskulárne príhody vrátane infarktu myokardu, nestabilnej </w:t>
      </w:r>
      <w:proofErr w:type="spellStart"/>
      <w:r w:rsidR="00896E16">
        <w:rPr>
          <w:rFonts w:ascii="Times New Roman" w:hAnsi="Times New Roman"/>
          <w:sz w:val="22"/>
          <w:szCs w:val="22"/>
          <w:lang w:val="sk-SK" w:eastAsia="sk-SK"/>
        </w:rPr>
        <w:t>anginy</w:t>
      </w:r>
      <w:proofErr w:type="spellEnd"/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pectoris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náhlej srdcovej smrti, komorovej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arytmie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cerebrovaskulárnej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hemorágie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tranzitórneho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ischemického ataku, hypertenzie a hypotenzie. U väčšiny týchto pacientov, ale nie u všetkých, boli prítomné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preexistujúce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kardiovaskulárne rizikové faktory. Mnohé z týchto hlásených príhod vznikli počas alebo krátko po sexuálnom styku a niekoľko z nich sa vyskytlo krátko po užití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ale bez sexuálnej aktivity. Nie je možné určiť, či tieto príhody priamo súvisia s uvedenými alebo inými faktormi.</w:t>
      </w:r>
    </w:p>
    <w:p w14:paraId="1C247A72" w14:textId="77777777" w:rsidR="00D91E3E" w:rsidRPr="00D226A5" w:rsidRDefault="00D91E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3E7A3112" w14:textId="77777777" w:rsidR="0080773E" w:rsidRPr="00D226A5" w:rsidRDefault="00CF6E6C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eastAsia="sk-SK"/>
        </w:rPr>
      </w:pPr>
      <w:proofErr w:type="spellStart"/>
      <w:r w:rsidRPr="00CF6E6C">
        <w:rPr>
          <w:rFonts w:ascii="Times New Roman" w:hAnsi="Times New Roman"/>
          <w:sz w:val="22"/>
          <w:szCs w:val="22"/>
          <w:u w:val="single"/>
          <w:lang w:eastAsia="sk-SK"/>
        </w:rPr>
        <w:t>Priapizmus</w:t>
      </w:r>
      <w:proofErr w:type="spellEnd"/>
    </w:p>
    <w:p w14:paraId="70B94838" w14:textId="77777777" w:rsidR="0080773E" w:rsidRPr="00D226A5" w:rsidRDefault="008077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F146D87" w14:textId="77777777" w:rsidR="00896E16" w:rsidRDefault="00D91E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L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tky na lie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bu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dysfunkcie, vr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tane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>, sa maj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pou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ží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va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ť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s opatrnos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ť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ou u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 pacientov </w:t>
      </w:r>
    </w:p>
    <w:p w14:paraId="1DBA9E26" w14:textId="77777777" w:rsidR="00896E16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 anatomickou deformáciou penisu (ako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angulácia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kavernózna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fibróza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Peyronieho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choroba) alebo</w:t>
      </w:r>
    </w:p>
    <w:p w14:paraId="1B51E3EF" w14:textId="77777777" w:rsidR="00D91E3E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u pacientov s ochoreniami, ktoré predisponujú k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priapizmu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(ako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kosáčiková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anémia, mnohonásobný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myelóm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leukémia).</w:t>
      </w:r>
    </w:p>
    <w:p w14:paraId="2FA21048" w14:textId="77777777" w:rsidR="006F7E78" w:rsidRPr="00D226A5" w:rsidRDefault="006F7E78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757666E" w14:textId="77777777" w:rsidR="006F7E78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eastAsia="sk-SK"/>
        </w:rPr>
        <w:t>Z post-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marketingových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skúseností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so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boli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hlásené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predĺžené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erekcie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priapizmus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. V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prípade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erekcie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ktorá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pretrváva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dlhšie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než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4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hodiny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má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pacient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vyhľadať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okamžitú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zdravotnú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pomoc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eastAsia="sk-SK"/>
        </w:rPr>
        <w:t>Ak</w:t>
      </w:r>
      <w:proofErr w:type="spellEnd"/>
      <w:proofErr w:type="gram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priapizmus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nie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je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liečený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okamžite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môže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to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mať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za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následok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poškodenie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tkaniva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penisu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trvalú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stratu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potencie</w:t>
      </w:r>
      <w:proofErr w:type="spellEnd"/>
      <w:r w:rsidR="00896E16">
        <w:rPr>
          <w:rFonts w:ascii="Times New Roman" w:hAnsi="Times New Roman"/>
          <w:sz w:val="22"/>
          <w:szCs w:val="22"/>
          <w:lang w:eastAsia="sk-SK"/>
        </w:rPr>
        <w:t>.</w:t>
      </w:r>
    </w:p>
    <w:p w14:paraId="6F0186B7" w14:textId="77777777" w:rsidR="00D91E3E" w:rsidRPr="00D226A5" w:rsidRDefault="00D91E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89A04F5" w14:textId="77777777" w:rsidR="006F7E78" w:rsidRPr="004B71D0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eastAsia="sk-SK"/>
        </w:rPr>
      </w:pP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Kombinovanie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sildenafilu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s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inými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PDE5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inhibítormi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alebo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inými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liečebnými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postupmi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proofErr w:type="gram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na</w:t>
      </w:r>
      <w:proofErr w:type="spellEnd"/>
      <w:proofErr w:type="gram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liečbu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erektilnej</w:t>
      </w:r>
      <w:proofErr w:type="spellEnd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 xml:space="preserve"> 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eastAsia="sk-SK"/>
        </w:rPr>
        <w:t>dysfunkcie</w:t>
      </w:r>
      <w:proofErr w:type="spellEnd"/>
    </w:p>
    <w:p w14:paraId="37BCE2D4" w14:textId="77777777" w:rsidR="006F7E78" w:rsidRPr="00D226A5" w:rsidRDefault="006F7E78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4569EDA" w14:textId="77777777" w:rsidR="00D91E3E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eastAsia="sk-SK"/>
        </w:rPr>
        <w:t>Bezpečnosť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účinnosť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kombinácií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s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inými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PDE5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inhibítormi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alebo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inými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liečebnými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postupmi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eastAsia="sk-SK"/>
        </w:rPr>
        <w:t>na</w:t>
      </w:r>
      <w:proofErr w:type="spellEnd"/>
      <w:proofErr w:type="gram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liečbu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pľúcnej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artériovej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hypertenzie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(PAH)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obsahujúcimi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sildenafil (REVATIO)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alebo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inými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liečebnými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postupmi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na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liečbu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erektilnej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dysfunkcie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nebola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študovaná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Preto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eastAsia="sk-SK"/>
        </w:rPr>
        <w:t>sa</w:t>
      </w:r>
      <w:proofErr w:type="spellEnd"/>
      <w:proofErr w:type="gram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použitie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takýchto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kombinácií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sk-SK"/>
        </w:rPr>
        <w:t>neodporúča</w:t>
      </w:r>
      <w:proofErr w:type="spellEnd"/>
      <w:r>
        <w:rPr>
          <w:rFonts w:ascii="Times New Roman" w:hAnsi="Times New Roman"/>
          <w:sz w:val="22"/>
          <w:szCs w:val="22"/>
          <w:lang w:eastAsia="sk-SK"/>
        </w:rPr>
        <w:t xml:space="preserve">. </w:t>
      </w:r>
    </w:p>
    <w:p w14:paraId="6A19081B" w14:textId="77777777" w:rsidR="00896E16" w:rsidRDefault="00896E16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</w:p>
    <w:p w14:paraId="5D58D7C3" w14:textId="77777777" w:rsidR="00F26C75" w:rsidRDefault="00CF6E6C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Účinky na zrak</w:t>
      </w:r>
    </w:p>
    <w:p w14:paraId="345A3985" w14:textId="77777777" w:rsidR="004B71D0" w:rsidRPr="00D226A5" w:rsidRDefault="004B71D0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</w:p>
    <w:p w14:paraId="045D6974" w14:textId="77777777" w:rsidR="00896E16" w:rsidRDefault="00D91E3E" w:rsidP="00D03D4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V s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vislosti s u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it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m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a ostatn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ch inhib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torov PDE5 boli </w:t>
      </w:r>
      <w:r w:rsidR="00D03D43" w:rsidRPr="00D226A5">
        <w:rPr>
          <w:rFonts w:ascii="Times New Roman" w:hAnsi="Times New Roman"/>
          <w:sz w:val="22"/>
          <w:szCs w:val="22"/>
          <w:lang w:val="sk-SK" w:eastAsia="sk-SK"/>
        </w:rPr>
        <w:t xml:space="preserve">spontánne 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hl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sen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é prípady porúch zraku (pozri časť 4.8). V súvislosti s užitím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a ostatných inhibítorov PDE5 boli spontánne </w:t>
      </w:r>
    </w:p>
    <w:p w14:paraId="0EA33B38" w14:textId="77777777" w:rsidR="00D91E3E" w:rsidRPr="00D226A5" w:rsidRDefault="00E000CA" w:rsidP="00D03D4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a z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observačných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štúdií hlásené prípady zriedkavého ochorenia,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nearterickej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prednej ischemickej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neuropatie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zrakového nervu (pozri časť 4.8). Pacient má byť poučený, aby v prípade náhlej poruchy videnia prestal užívať VINER a ihneď sa poradil s lekárom (pozri časť 4.3).</w:t>
      </w:r>
    </w:p>
    <w:p w14:paraId="2723900A" w14:textId="77777777" w:rsidR="004A23C6" w:rsidRPr="00D226A5" w:rsidRDefault="004A23C6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A59880E" w14:textId="77777777" w:rsidR="002D5A22" w:rsidRPr="00D226A5" w:rsidRDefault="00CF6E6C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lastRenderedPageBreak/>
        <w:t xml:space="preserve">Súčasné podávanie </w:t>
      </w:r>
      <w:proofErr w:type="spellStart"/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sildenafilu</w:t>
      </w:r>
      <w:proofErr w:type="spellEnd"/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 xml:space="preserve"> a</w:t>
      </w:r>
      <w:r w:rsidR="002D5A22" w:rsidRPr="00D226A5">
        <w:rPr>
          <w:rFonts w:ascii="Times New Roman" w:hAnsi="Times New Roman"/>
          <w:sz w:val="22"/>
          <w:szCs w:val="22"/>
          <w:u w:val="single"/>
          <w:lang w:val="sk-SK" w:eastAsia="sk-SK"/>
        </w:rPr>
        <w:t> </w:t>
      </w:r>
      <w:proofErr w:type="spellStart"/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ritonaviru</w:t>
      </w:r>
      <w:proofErr w:type="spellEnd"/>
    </w:p>
    <w:p w14:paraId="77C5524E" w14:textId="77777777" w:rsidR="002D5A22" w:rsidRPr="00D226A5" w:rsidRDefault="002D5A22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</w:p>
    <w:p w14:paraId="67F376A4" w14:textId="77777777" w:rsidR="00D91E3E" w:rsidRPr="00D226A5" w:rsidRDefault="00D91E3E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S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asn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é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pod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vanie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ritonaviru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sa neodpor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a (pozri 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as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ť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4.5).</w:t>
      </w:r>
    </w:p>
    <w:p w14:paraId="021B589C" w14:textId="77777777" w:rsidR="00D30F43" w:rsidRPr="00D226A5" w:rsidRDefault="00D30F43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E2302C7" w14:textId="77777777" w:rsidR="002D5A22" w:rsidRPr="004B71D0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4B71D0">
        <w:rPr>
          <w:rFonts w:ascii="Times New Roman" w:hAnsi="Times New Roman"/>
          <w:sz w:val="22"/>
          <w:szCs w:val="22"/>
          <w:u w:val="single"/>
          <w:lang w:val="sk-SK" w:eastAsia="sk-SK"/>
        </w:rPr>
        <w:t>Súčasné podávanie s </w:t>
      </w:r>
      <w:proofErr w:type="spellStart"/>
      <w:r w:rsidRPr="004B71D0">
        <w:rPr>
          <w:rFonts w:ascii="Times New Roman" w:hAnsi="Times New Roman"/>
          <w:sz w:val="22"/>
          <w:szCs w:val="22"/>
          <w:u w:val="single"/>
          <w:lang w:val="sk-SK" w:eastAsia="sk-SK"/>
        </w:rPr>
        <w:t>alfablokátormi</w:t>
      </w:r>
      <w:proofErr w:type="spellEnd"/>
    </w:p>
    <w:p w14:paraId="502E8FA5" w14:textId="77777777" w:rsidR="002D5A22" w:rsidRPr="00D226A5" w:rsidRDefault="002D5A22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5498762" w14:textId="77777777" w:rsidR="00D91E3E" w:rsidRPr="00D226A5" w:rsidRDefault="00E000CA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Opatrnosť sa odporúča, keď sa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podáva pacientom užívajúcim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alfablokátory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vzhľadom na to, že súčasné podávanie môže viesť u niektorých citlivých jedincov k symptomatickej hypotenzii (pozri časť 4.5). Najpravdepodobnejší čas jej výskytu je do 4 hodín po podaní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Pacienti liečení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alfablokátormi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musia byť pred začatím liečby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hemodynamicky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stabilizovaní, aby sa minimalizovala možnosť vzniku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posturálnej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hypotenzie. Má sa zvážiť úvodná dávka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25 mg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(pozri časť 4.2). Lekári majú okrem toho poradiť pacientom čo robiť v prípade príznakov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posturálnej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hypotenzie.</w:t>
      </w:r>
    </w:p>
    <w:p w14:paraId="10DB774C" w14:textId="77777777" w:rsidR="00CF2059" w:rsidRPr="00D226A5" w:rsidRDefault="00CF2059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E7C5708" w14:textId="77777777" w:rsidR="00F26C75" w:rsidRPr="00D226A5" w:rsidRDefault="00CF6E6C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Účinky na krvácanie</w:t>
      </w:r>
    </w:p>
    <w:p w14:paraId="13239F22" w14:textId="77777777" w:rsidR="00F26C75" w:rsidRPr="00D226A5" w:rsidRDefault="00F26C75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89C8AEE" w14:textId="77777777" w:rsidR="00032F56" w:rsidRPr="00D226A5" w:rsidRDefault="00AC5922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Š</w:t>
      </w:r>
      <w:r w:rsidR="00D91E3E" w:rsidRPr="00D226A5">
        <w:rPr>
          <w:rFonts w:ascii="Times New Roman" w:hAnsi="Times New Roman"/>
          <w:sz w:val="22"/>
          <w:szCs w:val="22"/>
          <w:lang w:val="sk-SK" w:eastAsia="sk-SK"/>
        </w:rPr>
        <w:t>t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ú</w:t>
      </w:r>
      <w:r w:rsidR="00D91E3E" w:rsidRPr="00D226A5">
        <w:rPr>
          <w:rFonts w:ascii="Times New Roman" w:hAnsi="Times New Roman"/>
          <w:sz w:val="22"/>
          <w:szCs w:val="22"/>
          <w:lang w:val="sk-SK" w:eastAsia="sk-SK"/>
        </w:rPr>
        <w:t xml:space="preserve">die </w:t>
      </w:r>
      <w:r w:rsidR="00D91E3E" w:rsidRPr="00D226A5">
        <w:rPr>
          <w:rFonts w:ascii="Times New Roman" w:hAnsi="Times New Roman"/>
          <w:i/>
          <w:sz w:val="22"/>
          <w:szCs w:val="22"/>
          <w:lang w:val="sk-SK" w:eastAsia="sk-SK"/>
        </w:rPr>
        <w:t>in vitro</w:t>
      </w:r>
      <w:r w:rsidR="00D91E3E" w:rsidRPr="00D226A5">
        <w:rPr>
          <w:rFonts w:ascii="Times New Roman" w:hAnsi="Times New Roman"/>
          <w:sz w:val="22"/>
          <w:szCs w:val="22"/>
          <w:lang w:val="sk-SK" w:eastAsia="sk-SK"/>
        </w:rPr>
        <w:t xml:space="preserve"> s hum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="00D91E3E" w:rsidRPr="00D226A5">
        <w:rPr>
          <w:rFonts w:ascii="Times New Roman" w:hAnsi="Times New Roman"/>
          <w:sz w:val="22"/>
          <w:szCs w:val="22"/>
          <w:lang w:val="sk-SK" w:eastAsia="sk-SK"/>
        </w:rPr>
        <w:t>nnymi krvn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="00D91E3E" w:rsidRPr="00D226A5">
        <w:rPr>
          <w:rFonts w:ascii="Times New Roman" w:hAnsi="Times New Roman"/>
          <w:sz w:val="22"/>
          <w:szCs w:val="22"/>
          <w:lang w:val="sk-SK" w:eastAsia="sk-SK"/>
        </w:rPr>
        <w:t>mi do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š</w:t>
      </w:r>
      <w:r w:rsidR="00D91E3E" w:rsidRPr="00D226A5">
        <w:rPr>
          <w:rFonts w:ascii="Times New Roman" w:hAnsi="Times New Roman"/>
          <w:sz w:val="22"/>
          <w:szCs w:val="22"/>
          <w:lang w:val="sk-SK" w:eastAsia="sk-SK"/>
        </w:rPr>
        <w:t>ti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čkami naznačujú, že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potencuje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antiagregačný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účinok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nitroprusidu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sodného. Nie sú žiadne údaje o bezpečnosti podania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pacientom s poruchami krvácania alebo s aktívnym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peptickým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vredom. Preto sa má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u týchto pacientov podávať iba po dôslednom zvážení prínosu a rizika liečby.</w:t>
      </w:r>
    </w:p>
    <w:p w14:paraId="088AB36B" w14:textId="77777777" w:rsidR="002D5A22" w:rsidRPr="00D226A5" w:rsidRDefault="002D5A22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C11B303" w14:textId="5B4358AD" w:rsidR="000C7391" w:rsidRDefault="00480EFC" w:rsidP="00D03D4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VINER 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>obsahuje laktózu</w:t>
      </w:r>
      <w:r w:rsidR="000C7391"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 w:rsidR="000C7391">
        <w:rPr>
          <w:rFonts w:ascii="Times New Roman" w:hAnsi="Times New Roman"/>
          <w:sz w:val="22"/>
          <w:szCs w:val="22"/>
          <w:lang w:val="sk-SK" w:eastAsia="sk-SK"/>
        </w:rPr>
        <w:t>aspartám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. </w:t>
      </w:r>
      <w:r w:rsidR="000C7391">
        <w:rPr>
          <w:rFonts w:ascii="Times New Roman" w:hAnsi="Times New Roman"/>
          <w:sz w:val="22"/>
          <w:szCs w:val="22"/>
          <w:lang w:val="sk-SK" w:eastAsia="sk-SK"/>
        </w:rPr>
        <w:t xml:space="preserve">Jedna 50 mg žuvacia tableta obsahuje 140,915 mg </w:t>
      </w:r>
      <w:proofErr w:type="spellStart"/>
      <w:r w:rsidR="00032F56">
        <w:rPr>
          <w:rFonts w:ascii="Times New Roman" w:hAnsi="Times New Roman"/>
          <w:sz w:val="22"/>
          <w:szCs w:val="22"/>
          <w:lang w:val="sk-SK" w:eastAsia="sk-SK"/>
        </w:rPr>
        <w:t>monohydrátu</w:t>
      </w:r>
      <w:proofErr w:type="spellEnd"/>
      <w:r w:rsidR="00032F5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C7391">
        <w:rPr>
          <w:rFonts w:ascii="Times New Roman" w:hAnsi="Times New Roman"/>
          <w:sz w:val="22"/>
          <w:szCs w:val="22"/>
          <w:lang w:val="sk-SK" w:eastAsia="sk-SK"/>
        </w:rPr>
        <w:t xml:space="preserve">laktózy a 4,3 mg </w:t>
      </w:r>
      <w:proofErr w:type="spellStart"/>
      <w:r w:rsidR="000C7391">
        <w:rPr>
          <w:rFonts w:ascii="Times New Roman" w:hAnsi="Times New Roman"/>
          <w:sz w:val="22"/>
          <w:szCs w:val="22"/>
          <w:lang w:val="sk-SK" w:eastAsia="sk-SK"/>
        </w:rPr>
        <w:t>aspartámu</w:t>
      </w:r>
      <w:proofErr w:type="spellEnd"/>
      <w:r w:rsidR="000C7391">
        <w:rPr>
          <w:rFonts w:ascii="Times New Roman" w:hAnsi="Times New Roman"/>
          <w:sz w:val="22"/>
          <w:szCs w:val="22"/>
          <w:lang w:val="sk-SK" w:eastAsia="sk-SK"/>
        </w:rPr>
        <w:t xml:space="preserve">. Jedna 100 mg žuvacia tableta obsahuje 281, 83 mg </w:t>
      </w:r>
      <w:proofErr w:type="spellStart"/>
      <w:r w:rsidR="00032F56">
        <w:rPr>
          <w:rFonts w:ascii="Times New Roman" w:hAnsi="Times New Roman"/>
          <w:sz w:val="22"/>
          <w:szCs w:val="22"/>
          <w:lang w:val="sk-SK" w:eastAsia="sk-SK"/>
        </w:rPr>
        <w:t>monohydrátu</w:t>
      </w:r>
      <w:proofErr w:type="spellEnd"/>
      <w:r w:rsidR="00032F5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C7391">
        <w:rPr>
          <w:rFonts w:ascii="Times New Roman" w:hAnsi="Times New Roman"/>
          <w:sz w:val="22"/>
          <w:szCs w:val="22"/>
          <w:lang w:val="sk-SK" w:eastAsia="sk-SK"/>
        </w:rPr>
        <w:t>laktózy</w:t>
      </w:r>
      <w:r w:rsidR="00B34661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7F69FF">
        <w:rPr>
          <w:rFonts w:ascii="Times New Roman" w:hAnsi="Times New Roman"/>
          <w:sz w:val="22"/>
          <w:szCs w:val="22"/>
          <w:lang w:val="sk-SK" w:eastAsia="sk-SK"/>
        </w:rPr>
        <w:t xml:space="preserve">a 8,6 mg </w:t>
      </w:r>
      <w:proofErr w:type="spellStart"/>
      <w:r w:rsidR="007F69FF">
        <w:rPr>
          <w:rFonts w:ascii="Times New Roman" w:hAnsi="Times New Roman"/>
          <w:sz w:val="22"/>
          <w:szCs w:val="22"/>
          <w:lang w:val="sk-SK" w:eastAsia="sk-SK"/>
        </w:rPr>
        <w:t>aspartámu</w:t>
      </w:r>
      <w:proofErr w:type="spellEnd"/>
      <w:r w:rsidR="000C7391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5E0D5B32" w14:textId="77777777" w:rsidR="00032F56" w:rsidRDefault="00032F56" w:rsidP="00D03D4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1707697" w14:textId="41ADC1E9" w:rsidR="00D03D43" w:rsidRPr="00D226A5" w:rsidRDefault="00480EFC" w:rsidP="00D03D43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VINER 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sa nemá podávať mužom so zriedkavou vrodenou intoleranciou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galaktózy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, laponským deficitom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laktázy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alebo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glukózo-galaktózovou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malabsorpciou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>.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cr/>
      </w:r>
    </w:p>
    <w:p w14:paraId="12824823" w14:textId="77777777" w:rsidR="001324C3" w:rsidRPr="00D226A5" w:rsidRDefault="00CF6E6C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Žen</w:t>
      </w:r>
      <w:r w:rsidR="001324C3" w:rsidRPr="00D226A5">
        <w:rPr>
          <w:rFonts w:ascii="Times New Roman" w:hAnsi="Times New Roman"/>
          <w:sz w:val="22"/>
          <w:szCs w:val="22"/>
          <w:u w:val="single"/>
          <w:lang w:val="sk-SK" w:eastAsia="sk-SK"/>
        </w:rPr>
        <w:t>y</w:t>
      </w:r>
    </w:p>
    <w:p w14:paraId="2B1632EB" w14:textId="77777777" w:rsidR="001324C3" w:rsidRPr="00D226A5" w:rsidRDefault="001324C3" w:rsidP="000E03C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DAC30CC" w14:textId="77777777" w:rsidR="00A96ABB" w:rsidRPr="00D226A5" w:rsidRDefault="001324C3" w:rsidP="00E523F1">
      <w:pPr>
        <w:pStyle w:val="Zkladntext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VINER nie je indikovaný na použitie u žien.</w:t>
      </w:r>
    </w:p>
    <w:p w14:paraId="21D8CA44" w14:textId="77777777" w:rsidR="001324C3" w:rsidRPr="00D226A5" w:rsidRDefault="001324C3" w:rsidP="00E523F1">
      <w:pPr>
        <w:pStyle w:val="Zkladntext"/>
        <w:jc w:val="both"/>
        <w:rPr>
          <w:rFonts w:ascii="Times New Roman" w:hAnsi="Times New Roman"/>
          <w:bCs/>
          <w:i/>
          <w:sz w:val="22"/>
          <w:szCs w:val="22"/>
          <w:lang w:val="sk-SK"/>
        </w:rPr>
      </w:pPr>
    </w:p>
    <w:p w14:paraId="14D46979" w14:textId="77777777" w:rsidR="00387B36" w:rsidRPr="00D226A5" w:rsidRDefault="00E000CA" w:rsidP="00E523F1">
      <w:pPr>
        <w:ind w:left="709" w:hanging="709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4.5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Liekové a iné interakcie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33DF0779" w14:textId="77777777" w:rsidR="00387B36" w:rsidRPr="00D226A5" w:rsidRDefault="00387B36" w:rsidP="00E523F1">
      <w:pPr>
        <w:ind w:left="709" w:hanging="709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E2E6F7F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Účinky iných liekov na </w:t>
      </w:r>
      <w:proofErr w:type="spellStart"/>
      <w:r>
        <w:rPr>
          <w:rFonts w:ascii="Times New Roman" w:hAnsi="Times New Roman"/>
          <w:i/>
          <w:sz w:val="22"/>
          <w:szCs w:val="22"/>
          <w:lang w:val="sk-SK" w:eastAsia="sk-SK"/>
        </w:rPr>
        <w:t>sildenafil</w:t>
      </w:r>
      <w:proofErr w:type="spellEnd"/>
    </w:p>
    <w:p w14:paraId="26781A01" w14:textId="77777777" w:rsidR="00B0527A" w:rsidRPr="00D226A5" w:rsidRDefault="00B0527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88A5B0C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Štúdie in vitro:</w:t>
      </w:r>
    </w:p>
    <w:p w14:paraId="1ED3CE87" w14:textId="77777777" w:rsidR="00896E16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je v rozhodujúcej miere metabolizovaný (CYP)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izoenzýmami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3A4 (hlavná metabolická cesta) </w:t>
      </w:r>
    </w:p>
    <w:p w14:paraId="3EA6CB7D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a 2C9 (vedľajšia metabolická cesta)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cytochrómu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P450. Inhibítory týchto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izoenzýmov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môžu preto znížiť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induktory týchto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izoenzýmov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môžu zvýšiť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1FD947F7" w14:textId="77777777" w:rsidR="00B0527A" w:rsidRPr="00D226A5" w:rsidRDefault="00B0527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DAA8221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 xml:space="preserve">Štúdie in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vivo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:</w:t>
      </w:r>
    </w:p>
    <w:p w14:paraId="414F1D0E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Analýzy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farmakokinetických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údajov rôznych skupín pacientov, ktorí boli sledovaní v klinických štúdiách, naznačujú, že dochádza k zníženiu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ak sa podáva súčasne s inhibítormi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izoenzýmu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CYP3A4 (ako sú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ketokonazol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erytromycín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cimetidín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).</w:t>
      </w:r>
    </w:p>
    <w:p w14:paraId="131A7FAD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Hoci sa u týchto pacientov nezaznamenalo žiadne zvýšenie výskytu nežiaducich účinkov, aj napriek tomu, ak sa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podáva súčasne s inhibítormi CYP3A4, má sa zvážiť úvodná dávka 25 mg.</w:t>
      </w:r>
    </w:p>
    <w:p w14:paraId="7AA0BE4D" w14:textId="77777777" w:rsidR="00B0527A" w:rsidRPr="00D226A5" w:rsidRDefault="00B0527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3B1817E" w14:textId="77777777" w:rsidR="00896E16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Súčasné podávanie inhibítora HIV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proteázy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ritonaviru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ktorý je veľmi silný inhibítor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cytochrómu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P450,</w:t>
      </w:r>
    </w:p>
    <w:p w14:paraId="4BC17971" w14:textId="77777777" w:rsidR="00376587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rovnovážnom stave (500 mg dvakrát denne)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(100 mg jednorazová dávka) viedlo k 300 % </w:t>
      </w:r>
    </w:p>
    <w:p w14:paraId="585CC681" w14:textId="77777777" w:rsidR="00896E16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(4-násobnému) vzostupu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</w:t>
      </w:r>
      <w:r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k 1 000 % (11-násobnému) vzostupu AUC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 plazme. Po uplynutí 24 hodín boli plazmatické koncentrácie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ešte stále približne 200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/ml, v porovnaní </w:t>
      </w:r>
    </w:p>
    <w:p w14:paraId="7A3836A0" w14:textId="77777777" w:rsidR="00896E16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 približne 5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/ml, ak bol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podaný samostatne. Tieto údaje sú v súlade s výraznými účinkami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ritonaviru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na široké spektrum substrátov P450.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neovplyvňuje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farmakokinetiku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ritonaviru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Vzhľadom na tieto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farmakokinetické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výsledky, súčasné podávanie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ritonaviru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sa neodporúča (pozri časť 4.4) a v žiadnom prípade maximálna dávka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nesmie za žiadnych okolností prekročiť </w:t>
      </w:r>
    </w:p>
    <w:p w14:paraId="59948A51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lastRenderedPageBreak/>
        <w:t>25 mg za 48 hodín.</w:t>
      </w:r>
    </w:p>
    <w:p w14:paraId="328B185F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D32D147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Súčasné podávanie inhibítora HIV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proteázy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sakvinaviru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inhibítora CYP3A4 v rovnovážnom stave (1 200 mg trikrát denne)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(100 mg jednorazová dávka) viedlo k 140 % vzostupu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</w:t>
      </w:r>
      <w:r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k 210 % vzostupu AUC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neovplyvňuje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farmakokinetiku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sakvinaviru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(pozri časť 4.2). Predpokladá sa, že silnejšie inhibítory CYP3A4, ako sú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ketonazol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itrakonazol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by mali výraznejšie účinky.</w:t>
      </w:r>
    </w:p>
    <w:p w14:paraId="41933F53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8F12546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Ak sa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podával jednorazovo v dávke 100 mg spolu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erytromycínom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špecifickým inhibítorom CYP3A4 v rovnovážnom stave (500 mg dvakrát denne 5 dní), zaznamenal sa 182 % vzostup systémovej expozície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(AUC). U zdravých dobrovoľníkov mužského pohlavia sa nedokázal vplyv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azitromicínu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(500 mg denne počas 3 dní) na AUC,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</w:t>
      </w:r>
      <w:r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</w:t>
      </w:r>
      <w:r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eliminačnú rýchlostnú konštantu alebo následne na polčas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jeho hlavný cirkulujúci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metabolit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Pri súčasnom podávaní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(50 mg)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cimetidínu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(800 mg), ktorý je inhibítorom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cytochrómu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P450 a nešpecifickým inhibítorom CYP3A4, zdravým dobrovoľníkom sa zaznamenal 56 % vzostup plazmatickej koncentrácie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662FCB44" w14:textId="77777777" w:rsidR="002859EC" w:rsidRPr="00D226A5" w:rsidRDefault="002859EC" w:rsidP="00E523F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295CB90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Grapefruitová šťava je slabým inhibítorom CYP3A4 metabolizmu v črevnej stene a môže vyvolať mierny vzostup plazmatických hladín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57AF47AD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A5D950E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Biologická dostupnosť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nebola ovplyvnená podaním jednorazových dávok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antacíd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(hydroxidu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horečnatého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/hydroxidu hlinitého).</w:t>
      </w:r>
    </w:p>
    <w:p w14:paraId="732C38C9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28B7D38" w14:textId="77777777" w:rsidR="00896E16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Aj keď sa špecifické interakčné štúdie nerobili so všetkými liekmi, analýzy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farmakokinetických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údajov rôznych skupín pacientov nepreukázali žiadny vplyv inhibítorov CYP2C9 (ako sú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tolbutamid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warfarín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fenytoín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), inhibítorov CYP2D6 (ako sú selektívne inhibítory spätného vychytávania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serotonínu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tricyklické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antidepresíva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tiazidov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príbuzných diuretík, slučkových diuretík a draslík šetriacich diuretík, inhibítorov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angiotenzín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konvertujúceho enzýmu,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blokátorov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vápnikových kanálov,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betablokátorov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induktorov metabolizmu CYP450 (ako sú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rifampicín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barbituráty) 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farmakokinetiku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pri ich súčasnom podaní. V štúdii so zdravými dobrovoľníkmi mužského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pohlavia viedlo súčasné podávanie antagonistu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endotelínu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bosentanu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(stredne silný induktor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>CYP3A4,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induktor CYP2C9 a pravdepodobne CYP2C19) </w:t>
      </w:r>
    </w:p>
    <w:p w14:paraId="3C4F8D1C" w14:textId="77777777" w:rsidR="00896E16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v rovnovážnom stave (125 mg dvakrát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denne) so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 rovnovážnom stave (80 mg trikrát denne) </w:t>
      </w:r>
    </w:p>
    <w:p w14:paraId="52E534C1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k 62,6 % zníženiu AUC a k 55,4 %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zníženiu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</w:t>
      </w:r>
      <w:r w:rsidR="00CF6E6C" w:rsidRPr="00CF6E6C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 xml:space="preserve">. Preto súčasné podávanie silných CYP3A4 induktorov ako </w:t>
      </w:r>
      <w:proofErr w:type="spellStart"/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>rifampicín</w:t>
      </w:r>
      <w:proofErr w:type="spellEnd"/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 xml:space="preserve"> môže</w:t>
      </w:r>
      <w:r w:rsidR="00896E16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 xml:space="preserve">spôsobiť väčší pokles plazmatickej koncentrácie </w:t>
      </w:r>
      <w:proofErr w:type="spellStart"/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2D5A22" w:rsidRPr="00D226A5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3E25A8D4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5CAA941" w14:textId="77777777" w:rsidR="004F6D43" w:rsidRPr="00D226A5" w:rsidRDefault="004F6D43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Nikorandil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hybrid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aktivátora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draslíkových kanálov a nitrátu. Vzhľadom na nitrátovú zložku má potenciál pre závažné interakcie so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0ACBED18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C537A53" w14:textId="77777777" w:rsidR="00896E16" w:rsidRDefault="00CF6E6C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 xml:space="preserve">Účinky </w:t>
      </w:r>
      <w:proofErr w:type="spellStart"/>
      <w:r w:rsidRPr="00CF6E6C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sildenafilu</w:t>
      </w:r>
      <w:proofErr w:type="spellEnd"/>
      <w:r w:rsidRPr="00CF6E6C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 xml:space="preserve"> na iné lieky</w:t>
      </w:r>
    </w:p>
    <w:p w14:paraId="39889C5E" w14:textId="77777777" w:rsidR="001F7941" w:rsidRDefault="001F7941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</w:p>
    <w:p w14:paraId="48E3904C" w14:textId="77777777" w:rsidR="004F6D43" w:rsidRPr="00D226A5" w:rsidRDefault="00AC5922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r w:rsidRPr="00D226A5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Š</w:t>
      </w:r>
      <w:r w:rsidR="004F6D43" w:rsidRPr="00D226A5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t</w:t>
      </w:r>
      <w:r w:rsidRPr="00D226A5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ú</w:t>
      </w:r>
      <w:r w:rsidR="004F6D43" w:rsidRPr="00D226A5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die in vitro:</w:t>
      </w:r>
    </w:p>
    <w:p w14:paraId="5D239EC1" w14:textId="77777777" w:rsidR="00896E16" w:rsidRDefault="004F6D43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slab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m inhib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torom (IC50 &gt; 150 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µmol/l)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izoforiem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1A2, 2C9, 2C19, 2D6, 2E1 a 3A4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cytochrómu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P450. Je však nepravdepodobné, že by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ovplyvňoval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substrátov týchto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izoenzýmov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, keďže vrcholová koncentrácia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pri podávaní v odporúčaných dávkach je približne</w:t>
      </w:r>
    </w:p>
    <w:p w14:paraId="3A8E4893" w14:textId="77777777" w:rsidR="004F6D43" w:rsidRPr="00D226A5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1 µmol/l.</w:t>
      </w:r>
    </w:p>
    <w:p w14:paraId="7F830FE8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20635AF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Nie sú žiadne údaje o interakcii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 nešpecifickými inhibítormi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fosfodiesterázy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ako sú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teofylín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dipyridamol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234664E6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E999BBA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 xml:space="preserve">Štúdie in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vivo</w:t>
      </w:r>
      <w:proofErr w:type="spellEnd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:</w:t>
      </w:r>
    </w:p>
    <w:p w14:paraId="45F8160C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súlade so známym účinkom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na metabolickú cestu oxid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dusnatý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/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(pozri časť 5.1) sa preukázalo, že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potencuje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hypotenzívny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účinok nitrátov, a preto je jeho súčasné podanie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donormi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oxidu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dusnatého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nitrátmi v akejkoľvek forme kontraindikované (pozri časť 4.3).</w:t>
      </w:r>
    </w:p>
    <w:p w14:paraId="59729E47" w14:textId="77777777" w:rsidR="002859EC" w:rsidRPr="00D226A5" w:rsidRDefault="002859E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D2EF46B" w14:textId="77777777" w:rsidR="002D5A22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 w:eastAsia="sk-SK"/>
        </w:rPr>
        <w:t>Riociguát</w:t>
      </w:r>
      <w:proofErr w:type="spellEnd"/>
    </w:p>
    <w:p w14:paraId="2D63728E" w14:textId="77777777" w:rsidR="002D5A22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Predklinické štúdie ukázali aditívny systémový účinok znižujúci krvný tlak, keď sa inhibítory PDE5</w:t>
      </w:r>
    </w:p>
    <w:p w14:paraId="5B2E8894" w14:textId="77777777" w:rsidR="002D5A22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podávali súčasne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riociguátom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Klinické štúdie preukázali, že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riociguát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zosilňuje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hypotenzívne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účinky</w:t>
      </w:r>
    </w:p>
    <w:p w14:paraId="233A6B30" w14:textId="77777777" w:rsidR="002D5A22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lastRenderedPageBreak/>
        <w:t>inhibítorov PDE5. V skúšanej populácii nebol nájdený žiadny dôkaz o priaznivom klinickom účinku</w:t>
      </w:r>
    </w:p>
    <w:p w14:paraId="132EC69D" w14:textId="77777777" w:rsidR="002D5A22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spomínanej kombinácie. Súčasné užívanie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riociguátu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 PDE5 inhibítormi, vrátane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je</w:t>
      </w:r>
    </w:p>
    <w:p w14:paraId="04863507" w14:textId="77777777" w:rsidR="002D5A22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kontraindikované (pozri časť 4.3).</w:t>
      </w:r>
    </w:p>
    <w:p w14:paraId="2BAD05AA" w14:textId="77777777" w:rsidR="002D5A22" w:rsidRPr="00D226A5" w:rsidRDefault="002D5A22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7BF2679" w14:textId="77777777" w:rsidR="001F7941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Súbežné podávanie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pacientom užívajúcim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alfablokátory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môže viesť u niektorých citlivých jedincov k symptomatickej hypotenzii. Najpravdepodobnejší čas jej výskytu je do 4 hodín po podaní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(pozri časti 4.2 a 4.4). V troch špecifických liekových interakčných štúdiách sa pacientom </w:t>
      </w:r>
    </w:p>
    <w:p w14:paraId="6B33B005" w14:textId="77777777" w:rsidR="001F7941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 benígnou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hyperpláziou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prostaty (BPH), stabilizovaným na liečbe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doxazosínom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súčasne podával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alfablokátor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doxazosín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(4 mg a 8 mg)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(25 mg, 50 mg alebo 100 mg). V týchto štúdiách sa </w:t>
      </w:r>
    </w:p>
    <w:p w14:paraId="38F49545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u sledovanej populácie pozorovalo priemerné dodatočné zníženie tlaku krvi v ľahu o 7/7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</w:t>
      </w:r>
      <w:r w:rsidR="001F7941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9/5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8/4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priemerné dodatočné zníženie tlaku krvi v stoji o 6/6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11/4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4/5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Keď sa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doxazosín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podávali súčasne pacientom stabilizovaným na liečbe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doxazosínom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hlásenia o výskyte symptomatickej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posturálnej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hypotenzie u pacientov boli ojedinelé. Tieto hlásenia zahŕňali závraty a stratu rovnováhy, ale nie synkopu.</w:t>
      </w:r>
    </w:p>
    <w:p w14:paraId="1A0F4FCF" w14:textId="77777777" w:rsidR="00267637" w:rsidRPr="00D226A5" w:rsidRDefault="00267637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8758693" w14:textId="77777777" w:rsidR="001F7941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Nezaznamenali sa žiadne signifikantné interakcie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(50 mg) ani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tolbutamidom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(250 mg), ani </w:t>
      </w:r>
    </w:p>
    <w:p w14:paraId="2FB88F18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warfarínom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(40 mg), liekmi, ktoré sú metabolizované CYP2C9.</w:t>
      </w:r>
    </w:p>
    <w:p w14:paraId="56564F74" w14:textId="77777777" w:rsidR="005E0A7C" w:rsidRPr="00D226A5" w:rsidRDefault="005E0A7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832F6C6" w14:textId="77777777" w:rsidR="001F7941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(50 mg)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nepotencoval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predĺženie času krvácania zapríčineného kyselinou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acetylsalicylovou</w:t>
      </w:r>
      <w:proofErr w:type="spellEnd"/>
    </w:p>
    <w:p w14:paraId="6631D767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(150 mg).</w:t>
      </w:r>
    </w:p>
    <w:p w14:paraId="21218394" w14:textId="77777777" w:rsidR="005E0A7C" w:rsidRPr="00D226A5" w:rsidRDefault="005E0A7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DC19398" w14:textId="77777777" w:rsidR="004F6D4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(50 mg)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nepotencoval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hypotenzívny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účinok alkoholu u zdravých dobrovoľníkov, ktorí mali priemernú maximálnu koncentráciu alkoholu v krvi 80 mg/dl.</w:t>
      </w:r>
    </w:p>
    <w:p w14:paraId="2647E4FE" w14:textId="77777777" w:rsidR="0005490F" w:rsidRPr="00D226A5" w:rsidRDefault="0005490F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F28B5A6" w14:textId="77777777" w:rsidR="001F7941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Analýza výsledkov o podávaní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antihypertenzívami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ako sú diuretiká,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betablokátory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ACE inhibítory, antagonisti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angiotenzínu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II, iné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antihypertenzíva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vazodilatátory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centrálne pôsobiace),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blokátory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adrenergných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neurónov,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blokátory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vápnikových kanálov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alfablokátory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nepreukázala žiadny rozdiel </w:t>
      </w:r>
    </w:p>
    <w:p w14:paraId="47CD5ED2" w14:textId="77777777" w:rsidR="001F7941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profile nežiaducich účinkov medzi pacientmi, ktorí užívali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 pacientmi, ktorí užívali placebo. </w:t>
      </w:r>
    </w:p>
    <w:p w14:paraId="2CBB7D00" w14:textId="77777777" w:rsidR="000923FD" w:rsidRPr="00D226A5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špecifickej interakčnej štúdii u pacientov s hypertenziou, ktorí súčasne užívali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amplodipín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(100 mg), sa zaznamenalo ďalšie zníženie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systolického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tlaku krvi v ľahu o 8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Zodpovedajúce ďalšie zníženie diastolického tlaku krvi v ľahu bolo o 7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Toto ďalšie zníženie tlaku krvi malo podobný rozsah, ako keď sa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podával zdravým dobrovoľníkom samostatne (pozri časť 5.1). </w:t>
      </w:r>
    </w:p>
    <w:p w14:paraId="2FB73341" w14:textId="77777777" w:rsidR="000923FD" w:rsidRPr="00D226A5" w:rsidRDefault="000923FD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2361EAE" w14:textId="77777777" w:rsidR="004F6D43" w:rsidRPr="00D226A5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(100 mg) neovplyvnil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farmakokinetiku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inhibítorov HIV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proteáz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 rovnovážnom stave,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sakvinaviru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ritonaviru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ktoré sú oba substrátmi CYP3A4.</w:t>
      </w:r>
    </w:p>
    <w:p w14:paraId="1143B96D" w14:textId="77777777" w:rsidR="00175B51" w:rsidRPr="00D226A5" w:rsidRDefault="00175B51" w:rsidP="00E523F1">
      <w:pPr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E2D579F" w14:textId="77777777" w:rsidR="006755BD" w:rsidRPr="00D226A5" w:rsidRDefault="00E000CA" w:rsidP="006755BD">
      <w:pPr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U zdravých dobrovoľníkov mužského pohlavia viedol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 rovnovážnom stave (80 mg trikrát</w:t>
      </w:r>
    </w:p>
    <w:p w14:paraId="5C876479" w14:textId="77777777" w:rsidR="00711243" w:rsidRPr="00D226A5" w:rsidRDefault="00E000CA" w:rsidP="006755BD">
      <w:pPr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denne) k 49,8 % zvýšeniu AUC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bosentanu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k 42 % zvýšeniu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</w:t>
      </w:r>
      <w:r w:rsidR="00CF6E6C" w:rsidRPr="00CF6E6C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6755BD"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6755BD" w:rsidRPr="00D226A5">
        <w:rPr>
          <w:rFonts w:ascii="Times New Roman" w:hAnsi="Times New Roman"/>
          <w:sz w:val="22"/>
          <w:szCs w:val="22"/>
          <w:lang w:val="sk-SK" w:eastAsia="sk-SK"/>
        </w:rPr>
        <w:t>bosentanu</w:t>
      </w:r>
      <w:proofErr w:type="spellEnd"/>
      <w:r w:rsidR="006755BD" w:rsidRPr="00D226A5">
        <w:rPr>
          <w:rFonts w:ascii="Times New Roman" w:hAnsi="Times New Roman"/>
          <w:sz w:val="22"/>
          <w:szCs w:val="22"/>
          <w:lang w:val="sk-SK" w:eastAsia="sk-SK"/>
        </w:rPr>
        <w:t xml:space="preserve"> (125 mg dvakrát denne).</w:t>
      </w:r>
    </w:p>
    <w:p w14:paraId="51265D95" w14:textId="77777777" w:rsidR="00711243" w:rsidRPr="00D226A5" w:rsidRDefault="00711243" w:rsidP="00E523F1">
      <w:pPr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7E0FEFC" w14:textId="77777777" w:rsidR="00387B36" w:rsidRPr="00D226A5" w:rsidRDefault="00387B36" w:rsidP="00E523F1">
      <w:pPr>
        <w:jc w:val="both"/>
        <w:rPr>
          <w:rFonts w:ascii="Times New Roman" w:hAnsi="Times New Roman"/>
          <w:caps/>
          <w:sz w:val="22"/>
          <w:szCs w:val="22"/>
          <w:lang w:val="sk-SK"/>
        </w:rPr>
      </w:pPr>
      <w:r w:rsidRPr="00D226A5">
        <w:rPr>
          <w:rFonts w:ascii="Times New Roman" w:hAnsi="Times New Roman"/>
          <w:b/>
          <w:sz w:val="22"/>
          <w:szCs w:val="22"/>
          <w:lang w:val="sk-SK"/>
        </w:rPr>
        <w:t>4.6</w:t>
      </w:r>
      <w:r w:rsidRPr="00D226A5"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="004F47F9" w:rsidRPr="00D226A5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="004F47F9" w:rsidRPr="00D226A5">
        <w:rPr>
          <w:rFonts w:ascii="Times New Roman" w:hAnsi="Times New Roman"/>
          <w:b/>
          <w:sz w:val="22"/>
          <w:szCs w:val="22"/>
          <w:lang w:val="sk-SK"/>
        </w:rPr>
        <w:t>, g</w:t>
      </w:r>
      <w:r w:rsidRPr="00D226A5">
        <w:rPr>
          <w:rFonts w:ascii="Times New Roman" w:hAnsi="Times New Roman"/>
          <w:b/>
          <w:sz w:val="22"/>
          <w:szCs w:val="22"/>
          <w:lang w:val="sk-SK"/>
        </w:rPr>
        <w:t>ravidita a lakt</w:t>
      </w:r>
      <w:r w:rsidR="00AC5922" w:rsidRPr="00D226A5">
        <w:rPr>
          <w:rFonts w:ascii="Times New Roman" w:hAnsi="Times New Roman"/>
          <w:b/>
          <w:sz w:val="22"/>
          <w:szCs w:val="22"/>
          <w:lang w:val="sk-SK"/>
        </w:rPr>
        <w:t>á</w:t>
      </w:r>
      <w:r w:rsidRPr="00D226A5">
        <w:rPr>
          <w:rFonts w:ascii="Times New Roman" w:hAnsi="Times New Roman"/>
          <w:b/>
          <w:sz w:val="22"/>
          <w:szCs w:val="22"/>
          <w:lang w:val="sk-SK"/>
        </w:rPr>
        <w:t>cia</w:t>
      </w:r>
    </w:p>
    <w:p w14:paraId="1DA2EBEE" w14:textId="77777777" w:rsidR="002E4E01" w:rsidRPr="00D226A5" w:rsidRDefault="002E4E01" w:rsidP="00E523F1">
      <w:pPr>
        <w:pStyle w:val="Nadpis3"/>
        <w:ind w:firstLine="0"/>
        <w:rPr>
          <w:b/>
          <w:sz w:val="22"/>
          <w:szCs w:val="22"/>
          <w:lang w:val="sk-SK"/>
        </w:rPr>
      </w:pPr>
    </w:p>
    <w:p w14:paraId="0E41CFE6" w14:textId="77777777" w:rsidR="006B5A11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VINER nie je indikovaný na použitie u žien.</w:t>
      </w:r>
    </w:p>
    <w:p w14:paraId="0DD15425" w14:textId="77777777" w:rsidR="008F7527" w:rsidRPr="00D226A5" w:rsidRDefault="008F7527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3295BBA6" w14:textId="77777777" w:rsidR="008F7527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Nie sú k dispozícii adekvátne a kontrolované štúdie u gravidných alebo dojčiacich žien.</w:t>
      </w:r>
    </w:p>
    <w:p w14:paraId="354CAF97" w14:textId="77777777" w:rsidR="008F7527" w:rsidRPr="00D226A5" w:rsidRDefault="008F7527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9F8F6FD" w14:textId="77777777" w:rsidR="00410808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reprodukčných štúdiách u potkanov a zajacov sa po perorálnom podávaní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nepozoroval žiaden relevantný nežiaduci účinok.</w:t>
      </w:r>
    </w:p>
    <w:p w14:paraId="3F283E86" w14:textId="77777777" w:rsidR="008F7527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Nebol prítomný žiaden efekt na mobilitu spermií alebo ich morfológiu po podaní jednotlivej perorálnej dávky 100 mg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u zdravých dobrovoľníkov (pozri časť 5.1).</w:t>
      </w:r>
    </w:p>
    <w:p w14:paraId="05F362C4" w14:textId="77777777" w:rsidR="00410808" w:rsidRPr="00D226A5" w:rsidRDefault="00410808" w:rsidP="00E523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520A2A3" w14:textId="77777777" w:rsidR="00387B36" w:rsidRPr="00D226A5" w:rsidRDefault="00E000CA" w:rsidP="00E523F1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4.7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Ovplyvnenie schopnosti viesť vozidlá a obsluhovať stroje</w:t>
      </w:r>
    </w:p>
    <w:p w14:paraId="300C3237" w14:textId="77777777" w:rsidR="00A96ABB" w:rsidRPr="00D226A5" w:rsidRDefault="00A96ABB" w:rsidP="00E523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EEF2A24" w14:textId="77777777" w:rsidR="00234B7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Neuskutočnili sa žiadne štúdie o účinkoch na schopnosť viesť vozidlá a obsluhovať stroje.</w:t>
      </w:r>
    </w:p>
    <w:p w14:paraId="18308FD5" w14:textId="77777777" w:rsidR="00234B73" w:rsidRPr="00D226A5" w:rsidRDefault="00234B73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A0A8F4F" w14:textId="77777777" w:rsidR="001727FA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lastRenderedPageBreak/>
        <w:t xml:space="preserve">Keďže závrat a zmenené videnie boli hlásené v klinických štúdiách so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pacienti predtým, ako budú viesť vozidlá a obsluhovať stroje, majú poznať, ako reagujú na podanie VINERU.</w:t>
      </w:r>
    </w:p>
    <w:p w14:paraId="222894A1" w14:textId="77777777" w:rsidR="00234B73" w:rsidRPr="00D226A5" w:rsidRDefault="00234B73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9DAB08B" w14:textId="77777777" w:rsidR="00387B36" w:rsidRPr="00D226A5" w:rsidRDefault="00E000CA" w:rsidP="00E523F1">
      <w:pPr>
        <w:jc w:val="both"/>
        <w:rPr>
          <w:rFonts w:ascii="Times New Roman" w:hAnsi="Times New Roman"/>
          <w:cap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4.8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Nežiaduce účinky</w:t>
      </w:r>
    </w:p>
    <w:p w14:paraId="25B385FC" w14:textId="77777777" w:rsidR="00A96ABB" w:rsidRPr="00D226A5" w:rsidRDefault="00A96ABB" w:rsidP="00E523F1">
      <w:pPr>
        <w:ind w:left="72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327E4F1" w14:textId="77777777" w:rsidR="008F7527" w:rsidRPr="00D226A5" w:rsidRDefault="00E000CA" w:rsidP="00E523F1">
      <w:pPr>
        <w:rPr>
          <w:rFonts w:ascii="Times New Roman" w:hAnsi="Times New Roman"/>
          <w:sz w:val="22"/>
          <w:szCs w:val="22"/>
          <w:u w:val="single"/>
          <w:lang w:val="sk-SK" w:eastAsia="sk-SK"/>
        </w:rPr>
      </w:pPr>
      <w:r>
        <w:rPr>
          <w:rFonts w:ascii="Times New Roman" w:hAnsi="Times New Roman"/>
          <w:sz w:val="22"/>
          <w:szCs w:val="22"/>
          <w:u w:val="single"/>
          <w:lang w:val="sk-SK" w:eastAsia="sk-SK"/>
        </w:rPr>
        <w:t>Súhrn bezpečnostného profilu</w:t>
      </w:r>
    </w:p>
    <w:p w14:paraId="5C86EDEE" w14:textId="77777777" w:rsidR="008F7527" w:rsidRPr="00D226A5" w:rsidRDefault="00E000CA" w:rsidP="00E523F1">
      <w:pPr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Bezpečnostný profil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je založený na 9 570 pacientoch, ktorí sa zúčastnili 74 dvojito</w:t>
      </w:r>
    </w:p>
    <w:p w14:paraId="3F62B162" w14:textId="77777777" w:rsidR="008F7527" w:rsidRPr="00D226A5" w:rsidRDefault="00E000CA" w:rsidP="00E523F1">
      <w:pPr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zaslepených placebom kontrolovaných klinických štúdií. Najčastejšie hlásené nežiaduce reakcie</w:t>
      </w:r>
    </w:p>
    <w:p w14:paraId="483BC1FC" w14:textId="77777777" w:rsidR="008F7527" w:rsidRPr="00D226A5" w:rsidRDefault="00E000CA" w:rsidP="00E523F1">
      <w:pPr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klinických štúdiách u pacientov liečených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boli bolesť hlavy, návaly,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dyspepsia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nazálna</w:t>
      </w:r>
    </w:p>
    <w:p w14:paraId="378DC208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kongescia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závraty, nevoľnosť, návaly horúčavy, poruchy zraku,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cyanopsia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rozmazané videnie.</w:t>
      </w:r>
    </w:p>
    <w:p w14:paraId="54596C72" w14:textId="77777777" w:rsidR="00234B73" w:rsidRPr="00D226A5" w:rsidRDefault="00234B73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5A22C75" w14:textId="77777777" w:rsidR="001F7941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Nežiaduce reakcie v rámci sledovania po uvedení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na trh boli zhromaždené počas obdobia približne &gt; 10 rokov. Vzhľadom na to, že nie všetky nežiaduce reakcie sú hlásené držiteľovi rozhodnutia </w:t>
      </w:r>
    </w:p>
    <w:p w14:paraId="39902C37" w14:textId="77777777" w:rsidR="00234B73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o registrácii, a tým zahrnuté do bezpečnostnej databázy, frekvencie týchto reakcií sa nedajú spoľahlivo určiť.</w:t>
      </w:r>
    </w:p>
    <w:p w14:paraId="6AFD1E28" w14:textId="77777777" w:rsidR="00964237" w:rsidRPr="00D226A5" w:rsidRDefault="00964237" w:rsidP="00E523F1">
      <w:pPr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B7ADF1E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>
        <w:rPr>
          <w:rFonts w:ascii="Times New Roman" w:hAnsi="Times New Roman"/>
          <w:sz w:val="22"/>
          <w:szCs w:val="22"/>
          <w:u w:val="single"/>
          <w:lang w:val="sk-SK" w:eastAsia="sk-SK"/>
        </w:rPr>
        <w:t xml:space="preserve">Zoznam nežiaducich reakcií </w:t>
      </w:r>
    </w:p>
    <w:p w14:paraId="03CE3BAC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Nižšie sú všetky klinicky dôležité nežiaduce reakcie, ktoré sa vyskytli v rámci klinických</w:t>
      </w:r>
    </w:p>
    <w:p w14:paraId="19D3EAB0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štúdií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incidenciou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väčšou ako pri placebe, uvedené podľa triedy orgánových systémov a frekvencie</w:t>
      </w:r>
    </w:p>
    <w:p w14:paraId="71DF1410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(veľmi časté (≥ 1/10), časté (≥ 1/100 až &lt; 1/10), menej časté (≥ 1/1 000 až &lt; 1/100), zriedkavé</w:t>
      </w:r>
    </w:p>
    <w:p w14:paraId="16119783" w14:textId="77777777" w:rsidR="00057F91" w:rsidRPr="00D226A5" w:rsidRDefault="00E000CA" w:rsidP="00E523F1">
      <w:pPr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(≥ 1/10 000 až &lt; 1/1 000).</w:t>
      </w:r>
    </w:p>
    <w:p w14:paraId="3BEE2D12" w14:textId="77777777" w:rsidR="00057F91" w:rsidRPr="00D226A5" w:rsidRDefault="00057F91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3B43D305" w14:textId="77777777" w:rsidR="00AD02DC" w:rsidRDefault="00E000CA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V rámci jednotlivých skupín frekvencií sú nežiaduce účinky usporiadané v poradí klesajúcej závažnosti.</w:t>
      </w:r>
    </w:p>
    <w:p w14:paraId="34034B99" w14:textId="77777777" w:rsidR="00AD02DC" w:rsidRDefault="00AD02D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D77EBD1" w14:textId="77777777" w:rsidR="00AD02DC" w:rsidRDefault="00CF6E6C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Infekcie a nákazy</w:t>
      </w:r>
    </w:p>
    <w:p w14:paraId="7C9EBCD0" w14:textId="77777777" w:rsidR="00057F91" w:rsidRPr="00D226A5" w:rsidRDefault="00057F91" w:rsidP="00E523F1">
      <w:pPr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i/>
          <w:sz w:val="22"/>
          <w:szCs w:val="22"/>
          <w:lang w:val="sk-SK" w:eastAsia="sk-SK"/>
        </w:rPr>
        <w:t>Menej časté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: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rinitída</w:t>
      </w:r>
      <w:proofErr w:type="spellEnd"/>
    </w:p>
    <w:p w14:paraId="70BE7C8F" w14:textId="77777777" w:rsidR="00057F91" w:rsidRPr="00D226A5" w:rsidRDefault="00057F91" w:rsidP="00E523F1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6BD63AC" w14:textId="77777777" w:rsidR="00742ACD" w:rsidRPr="00D226A5" w:rsidRDefault="00742ACD" w:rsidP="00E523F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 w:rsidRPr="00D226A5"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imunitn</w:t>
      </w:r>
      <w:r w:rsidR="00E000CA"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ého systému</w:t>
      </w:r>
    </w:p>
    <w:p w14:paraId="3AA5A2B7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: 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hypersenzitivita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</w:p>
    <w:p w14:paraId="7F60092A" w14:textId="77777777" w:rsidR="00742ACD" w:rsidRPr="00D226A5" w:rsidRDefault="00742AC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24C836D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nervového systému</w:t>
      </w:r>
    </w:p>
    <w:p w14:paraId="6C5AA71D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Veľmi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bolesť hlavy</w:t>
      </w:r>
    </w:p>
    <w:p w14:paraId="6CC9FE6A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Časté: </w:t>
      </w:r>
      <w:r>
        <w:rPr>
          <w:rFonts w:ascii="Times New Roman" w:hAnsi="Times New Roman"/>
          <w:sz w:val="22"/>
          <w:szCs w:val="22"/>
          <w:lang w:val="sk-SK" w:eastAsia="sk-SK"/>
        </w:rPr>
        <w:t>závrat</w:t>
      </w:r>
    </w:p>
    <w:p w14:paraId="1C322484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: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somnolencia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hypoestézia</w:t>
      </w:r>
      <w:proofErr w:type="spellEnd"/>
    </w:p>
    <w:p w14:paraId="4AAFA71B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Zriedkavé: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cerebrovaskulárna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príhoda,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tranzitórny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ischemický atak, záchvat*, opätovný výskyt záchvatov*, synkopa</w:t>
      </w:r>
    </w:p>
    <w:p w14:paraId="4FAA97C4" w14:textId="77777777" w:rsidR="00742ACD" w:rsidRPr="00D226A5" w:rsidRDefault="00742AC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E8D15B0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oka</w:t>
      </w:r>
    </w:p>
    <w:p w14:paraId="6585F8D2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Časté: </w:t>
      </w:r>
      <w:r>
        <w:rPr>
          <w:rFonts w:ascii="Times New Roman" w:hAnsi="Times New Roman"/>
          <w:sz w:val="22"/>
          <w:szCs w:val="22"/>
          <w:lang w:val="sk-SK" w:eastAsia="sk-SK"/>
        </w:rPr>
        <w:t>poruchy farebného videnia**, porucha zraku, rozmazané videnie</w:t>
      </w:r>
    </w:p>
    <w:p w14:paraId="5FA7821B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Menej časté: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poruchy slzenia***</w:t>
      </w:r>
      <w:r w:rsidR="001F7941">
        <w:rPr>
          <w:rFonts w:ascii="Times New Roman" w:hAnsi="Times New Roman"/>
          <w:sz w:val="22"/>
          <w:szCs w:val="22"/>
          <w:lang w:val="sk-SK" w:eastAsia="sk-SK"/>
        </w:rPr>
        <w:t>,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bolesť oka,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fotofóbia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fotopsia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hyperémia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oka, porucha jasného videnia,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konjunktivitída</w:t>
      </w:r>
      <w:proofErr w:type="spellEnd"/>
    </w:p>
    <w:p w14:paraId="38371C47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Zriedkavé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: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nearteritická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predná ischemická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neuropatia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zrakového nervu (NAION)*,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oklúzia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ciev sietnice*, poruchy v zornom poli, krvácanie </w:t>
      </w:r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sietnice,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artériosklerotická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retinopatia</w:t>
      </w:r>
      <w:proofErr w:type="spellEnd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porucha sietnice,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glaukóm</w:t>
      </w:r>
      <w:proofErr w:type="spellEnd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diplopia</w:t>
      </w:r>
      <w:proofErr w:type="spellEnd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znížená ostrosť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zraku,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myopia</w:t>
      </w:r>
      <w:proofErr w:type="spellEnd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astenopia</w:t>
      </w:r>
      <w:proofErr w:type="spellEnd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opacity</w:t>
      </w:r>
      <w:proofErr w:type="spellEnd"/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sklovca</w:t>
      </w:r>
      <w:proofErr w:type="spellEnd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,</w:t>
      </w:r>
      <w:r w:rsidR="00CF6E6C" w:rsidRPr="00CF6E6C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porucha</w:t>
      </w:r>
      <w:r w:rsidR="001F7941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 xml:space="preserve">dúhovky, </w:t>
      </w:r>
      <w:proofErr w:type="spellStart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>mydriáza</w:t>
      </w:r>
      <w:proofErr w:type="spellEnd"/>
      <w:r w:rsidR="00057F91" w:rsidRPr="00D226A5">
        <w:rPr>
          <w:rFonts w:ascii="Times New Roman" w:hAnsi="Times New Roman"/>
          <w:sz w:val="22"/>
          <w:szCs w:val="22"/>
          <w:lang w:val="sk-SK" w:eastAsia="sk-SK"/>
        </w:rPr>
        <w:t xml:space="preserve">, videnie žiary, edém oka, opuch oka,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porucha oka,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hyperémia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spojoviek, podráždenie oka, abnormálny pocit v oku, edém očného viečka, zmena zafarbenia bielka</w:t>
      </w:r>
    </w:p>
    <w:p w14:paraId="35449ACC" w14:textId="77777777" w:rsidR="00742ACD" w:rsidRPr="00D226A5" w:rsidRDefault="00742AC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3F35722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ucha a labyrintu</w:t>
      </w:r>
    </w:p>
    <w:p w14:paraId="496270B8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vertigo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tinitus</w:t>
      </w:r>
      <w:proofErr w:type="spellEnd"/>
    </w:p>
    <w:p w14:paraId="608B139D" w14:textId="77777777" w:rsidR="00742AC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Zriedkavé: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hluchota</w:t>
      </w:r>
    </w:p>
    <w:p w14:paraId="527C66E5" w14:textId="77777777" w:rsidR="00742ACD" w:rsidRPr="00D226A5" w:rsidRDefault="00742AC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09843882" w14:textId="77777777" w:rsidR="009222DE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srdca a srdcovej činnosti</w:t>
      </w:r>
    </w:p>
    <w:p w14:paraId="30789A7C" w14:textId="77777777" w:rsidR="009222DE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tachykardia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palpitácie</w:t>
      </w:r>
      <w:proofErr w:type="spellEnd"/>
    </w:p>
    <w:p w14:paraId="1DCB56EC" w14:textId="77777777" w:rsidR="009222DE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Zriedkavé: </w:t>
      </w:r>
      <w:r>
        <w:rPr>
          <w:rFonts w:ascii="Times New Roman" w:hAnsi="Times New Roman"/>
          <w:sz w:val="22"/>
          <w:szCs w:val="22"/>
          <w:lang w:val="sk-SK" w:eastAsia="sk-SK"/>
        </w:rPr>
        <w:t>náhla srdcová smrť*</w:t>
      </w:r>
      <w:r w:rsidR="001F7941">
        <w:rPr>
          <w:rFonts w:ascii="Times New Roman" w:hAnsi="Times New Roman"/>
          <w:sz w:val="22"/>
          <w:szCs w:val="22"/>
          <w:lang w:val="sk-SK" w:eastAsia="sk-SK"/>
        </w:rPr>
        <w:t>,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infarkt myokardu, komorová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arytmia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*,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fibrilácia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predsiení, nestabilná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angina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pectoris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</w:p>
    <w:p w14:paraId="1CD26757" w14:textId="77777777" w:rsidR="009222DE" w:rsidRPr="00D226A5" w:rsidRDefault="009222DE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ED332A5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lastRenderedPageBreak/>
        <w:t xml:space="preserve">Poruchy ciev </w:t>
      </w:r>
    </w:p>
    <w:p w14:paraId="174ACD12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Časté</w:t>
      </w:r>
      <w:r>
        <w:rPr>
          <w:rFonts w:ascii="Times New Roman" w:hAnsi="Times New Roman"/>
          <w:sz w:val="22"/>
          <w:szCs w:val="22"/>
          <w:lang w:val="sk-SK" w:eastAsia="sk-SK"/>
        </w:rPr>
        <w:t>: sčervenanie, návaly, horúčavy</w:t>
      </w:r>
    </w:p>
    <w:p w14:paraId="2BA9D8F2" w14:textId="77777777" w:rsidR="00057F91" w:rsidRPr="00D226A5" w:rsidRDefault="00E000CA" w:rsidP="00E523F1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Menej časté:  </w:t>
      </w:r>
      <w:r>
        <w:rPr>
          <w:rFonts w:ascii="Times New Roman" w:hAnsi="Times New Roman"/>
          <w:sz w:val="22"/>
          <w:szCs w:val="22"/>
          <w:lang w:val="sk-SK" w:eastAsia="sk-SK"/>
        </w:rPr>
        <w:t>hypertenzia, hypotenzia</w:t>
      </w:r>
    </w:p>
    <w:p w14:paraId="2DF4989A" w14:textId="77777777" w:rsidR="005B2768" w:rsidRPr="00D226A5" w:rsidRDefault="005B2768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B8F19E0" w14:textId="77777777" w:rsidR="005B2768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 xml:space="preserve">Poruchy dýchacej sústavy, hrudníka a </w:t>
      </w:r>
      <w:proofErr w:type="spellStart"/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mediastína</w:t>
      </w:r>
      <w:proofErr w:type="spellEnd"/>
    </w:p>
    <w:p w14:paraId="5BE05641" w14:textId="77777777" w:rsidR="005B2768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Časté: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nazálna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kongescia</w:t>
      </w:r>
      <w:proofErr w:type="spellEnd"/>
    </w:p>
    <w:p w14:paraId="4859D813" w14:textId="77777777" w:rsidR="00C12E73" w:rsidRPr="00D226A5" w:rsidRDefault="00E000CA" w:rsidP="00FD7D5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epistaxa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sínusová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kongescia</w:t>
      </w:r>
      <w:proofErr w:type="spellEnd"/>
    </w:p>
    <w:p w14:paraId="39C33049" w14:textId="77777777" w:rsidR="00C12E73" w:rsidRPr="00D226A5" w:rsidRDefault="00E000CA" w:rsidP="00FD7D5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Zriedkavé: 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zvieranie hrdla, opuch nosa, sucho v nose</w:t>
      </w:r>
    </w:p>
    <w:p w14:paraId="10204321" w14:textId="77777777" w:rsidR="00C12E73" w:rsidRPr="00D226A5" w:rsidRDefault="00C12E73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</w:p>
    <w:p w14:paraId="40BBFDF6" w14:textId="77777777" w:rsidR="005B2768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 xml:space="preserve">Poruchy </w:t>
      </w:r>
      <w:proofErr w:type="spellStart"/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gastrointestinálneho</w:t>
      </w:r>
      <w:proofErr w:type="spellEnd"/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 xml:space="preserve"> traktu</w:t>
      </w:r>
    </w:p>
    <w:p w14:paraId="070AB052" w14:textId="77777777" w:rsidR="009222DE" w:rsidRPr="00D226A5" w:rsidRDefault="00E000CA" w:rsidP="00FD7D56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Časté: </w:t>
      </w:r>
      <w:r>
        <w:rPr>
          <w:rFonts w:ascii="Times New Roman" w:hAnsi="Times New Roman"/>
          <w:sz w:val="22"/>
          <w:szCs w:val="22"/>
          <w:lang w:val="sk-SK" w:eastAsia="sk-SK"/>
        </w:rPr>
        <w:t>nevoľnosť,</w:t>
      </w:r>
      <w:r w:rsidR="001F7941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dyspepsia</w:t>
      </w:r>
      <w:proofErr w:type="spellEnd"/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 </w:t>
      </w:r>
    </w:p>
    <w:p w14:paraId="401AE71F" w14:textId="77777777" w:rsidR="00C12E73" w:rsidRPr="00D226A5" w:rsidRDefault="00E000CA" w:rsidP="00FD7D5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gastroezofageálna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refluxná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choroba, vracanie, bolesť v hornej časti brucha, sucho v ústach</w:t>
      </w:r>
    </w:p>
    <w:p w14:paraId="632165FA" w14:textId="77777777" w:rsidR="00C12E73" w:rsidRPr="00D226A5" w:rsidRDefault="00E000CA" w:rsidP="00FD7D5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Zriedkavé: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hypoestézia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úst</w:t>
      </w:r>
    </w:p>
    <w:p w14:paraId="1352203C" w14:textId="77777777" w:rsidR="005B2768" w:rsidRPr="00D226A5" w:rsidRDefault="005B2768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0AB4D4D" w14:textId="77777777" w:rsidR="005B2768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kože a podkožného tkaniva</w:t>
      </w:r>
    </w:p>
    <w:p w14:paraId="56C162F4" w14:textId="77777777" w:rsidR="003C55E3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vyrážka</w:t>
      </w:r>
    </w:p>
    <w:p w14:paraId="53FE1EA1" w14:textId="77777777" w:rsidR="006C209A" w:rsidRPr="00D226A5" w:rsidRDefault="00E000CA" w:rsidP="00FD7D5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Zriedkavé: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Stevensov-Johnsonov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syndróm (SJS)*, toxická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epidermálna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nekrolýza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(TEN)*</w:t>
      </w:r>
    </w:p>
    <w:p w14:paraId="56E9E738" w14:textId="77777777" w:rsidR="003C49BA" w:rsidRPr="00D226A5" w:rsidRDefault="003C49B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</w:p>
    <w:p w14:paraId="66583C4A" w14:textId="77777777" w:rsidR="005B2768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kostrovej a svalovej sústavy a spojivového tkaniva</w:t>
      </w:r>
    </w:p>
    <w:p w14:paraId="620DC0C4" w14:textId="77777777" w:rsidR="003C49BA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myalgia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bolesť v končatine</w:t>
      </w:r>
    </w:p>
    <w:p w14:paraId="44A90FE5" w14:textId="77777777" w:rsidR="001324C3" w:rsidRPr="00D226A5" w:rsidRDefault="001324C3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4D3A53A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Poruchy obličiek  a močových ciest</w:t>
      </w:r>
    </w:p>
    <w:p w14:paraId="66765E29" w14:textId="77777777" w:rsidR="001324C3" w:rsidRPr="00D226A5" w:rsidRDefault="00E000CA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Menej časté: </w:t>
      </w:r>
      <w:proofErr w:type="spellStart"/>
      <w:r>
        <w:rPr>
          <w:rFonts w:ascii="Times New Roman" w:hAnsi="Times New Roman"/>
          <w:i/>
          <w:sz w:val="22"/>
          <w:szCs w:val="22"/>
          <w:lang w:val="sk-SK" w:eastAsia="sk-SK"/>
        </w:rPr>
        <w:t>hematúria</w:t>
      </w:r>
      <w:proofErr w:type="spellEnd"/>
    </w:p>
    <w:p w14:paraId="66073EA8" w14:textId="77777777" w:rsidR="001324C3" w:rsidRPr="00D226A5" w:rsidRDefault="001324C3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3EFBA539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Poruchy reprodukčného systému a prsníkov</w:t>
      </w:r>
    </w:p>
    <w:p w14:paraId="56FE4EA7" w14:textId="77777777" w:rsidR="001324C3" w:rsidRPr="00D226A5" w:rsidRDefault="00E000CA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Zriedkavé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: 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hemorágie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 penise,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priapizmus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*,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hematospermia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zvýšená erekcia</w:t>
      </w:r>
    </w:p>
    <w:p w14:paraId="751C396D" w14:textId="77777777" w:rsidR="001324C3" w:rsidRPr="00D226A5" w:rsidRDefault="001324C3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6D405DB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Celkové poruchy a reakcie v mieste podania</w:t>
      </w:r>
    </w:p>
    <w:p w14:paraId="1EF174C2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bolesť hrudníka, únava, pocit horúčavy</w:t>
      </w:r>
    </w:p>
    <w:p w14:paraId="3018F3EB" w14:textId="77777777" w:rsidR="001324C3" w:rsidRPr="00D226A5" w:rsidRDefault="00E000CA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Zriedkavé</w:t>
      </w:r>
      <w:r>
        <w:rPr>
          <w:rFonts w:ascii="Times New Roman" w:hAnsi="Times New Roman"/>
          <w:sz w:val="22"/>
          <w:szCs w:val="22"/>
          <w:lang w:val="sk-SK" w:eastAsia="sk-SK"/>
        </w:rPr>
        <w:t>: podráždenosť</w:t>
      </w:r>
    </w:p>
    <w:p w14:paraId="4852561D" w14:textId="77777777" w:rsidR="001324C3" w:rsidRPr="00D226A5" w:rsidRDefault="001324C3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9BE64EA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</w:pPr>
      <w:r>
        <w:rPr>
          <w:rFonts w:ascii="Times New Roman" w:hAnsi="Times New Roman"/>
          <w:bCs/>
          <w:i/>
          <w:iCs/>
          <w:sz w:val="22"/>
          <w:szCs w:val="22"/>
          <w:u w:val="single"/>
          <w:lang w:val="sk-SK" w:eastAsia="hr-HR"/>
        </w:rPr>
        <w:t>Laboratórne a funkčné vyšetrenia</w:t>
      </w:r>
    </w:p>
    <w:p w14:paraId="38321856" w14:textId="77777777" w:rsidR="001324C3" w:rsidRPr="00D226A5" w:rsidRDefault="00E000CA" w:rsidP="001324C3">
      <w:pPr>
        <w:widowControl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Menej časté: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zvýšená frekvencia srdca</w:t>
      </w:r>
    </w:p>
    <w:p w14:paraId="74DC5EF9" w14:textId="77777777" w:rsidR="001324C3" w:rsidRPr="00D226A5" w:rsidRDefault="001324C3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</w:p>
    <w:p w14:paraId="45347E74" w14:textId="77777777" w:rsidR="001324C3" w:rsidRPr="00D226A5" w:rsidRDefault="00E000CA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* Hlásené len počas dohľadu po uvedení lieku na trh</w:t>
      </w:r>
    </w:p>
    <w:p w14:paraId="09E3F5B2" w14:textId="77777777" w:rsidR="001324C3" w:rsidRPr="00D226A5" w:rsidRDefault="00E000CA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** Porucha farebného videnia: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chloropsia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chromatopsia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cyanopsia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erytropsia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xantopsia</w:t>
      </w:r>
      <w:proofErr w:type="spellEnd"/>
    </w:p>
    <w:p w14:paraId="09556112" w14:textId="77777777" w:rsidR="001324C3" w:rsidRPr="00D226A5" w:rsidRDefault="00E000CA" w:rsidP="001324C3">
      <w:pPr>
        <w:widowControl w:val="0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*** Poruchy slzenia: suché oko, porucha slzenia a zvýšené slzenie</w:t>
      </w:r>
    </w:p>
    <w:p w14:paraId="2B7993E2" w14:textId="77777777" w:rsidR="001324C3" w:rsidRPr="00D226A5" w:rsidRDefault="001324C3" w:rsidP="001324C3">
      <w:pPr>
        <w:widowControl w:val="0"/>
        <w:rPr>
          <w:rFonts w:ascii="Times New Roman" w:hAnsi="Times New Roman"/>
          <w:b/>
          <w:sz w:val="22"/>
          <w:szCs w:val="22"/>
          <w:lang w:val="sk-SK"/>
        </w:rPr>
      </w:pPr>
    </w:p>
    <w:p w14:paraId="722AFC3F" w14:textId="77777777" w:rsidR="001324C3" w:rsidRPr="00D226A5" w:rsidRDefault="001324C3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D226A5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14:paraId="761BF119" w14:textId="77777777" w:rsidR="001324C3" w:rsidRPr="00D226A5" w:rsidRDefault="001324C3" w:rsidP="001324C3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9452C">
        <w:rPr>
          <w:rFonts w:ascii="Times New Roman" w:hAnsi="Times New Roman"/>
          <w:sz w:val="22"/>
          <w:szCs w:val="22"/>
          <w:highlight w:val="lightGray"/>
          <w:lang w:val="sk-SK" w:eastAsia="sk-SK"/>
        </w:rPr>
        <w:t xml:space="preserve">na národné centrum </w:t>
      </w:r>
      <w:r w:rsidR="00E000CA">
        <w:rPr>
          <w:rFonts w:ascii="Times New Roman" w:hAnsi="Times New Roman"/>
          <w:sz w:val="22"/>
          <w:szCs w:val="22"/>
          <w:highlight w:val="lightGray"/>
          <w:lang w:val="sk-SK" w:eastAsia="sk-SK"/>
        </w:rPr>
        <w:t>hlásenia uvedené v prílohe V.</w:t>
      </w:r>
    </w:p>
    <w:p w14:paraId="28FD41CC" w14:textId="77777777" w:rsidR="001324C3" w:rsidRPr="00D226A5" w:rsidRDefault="001324C3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6D1F060" w14:textId="77777777" w:rsidR="001324C3" w:rsidRPr="00D226A5" w:rsidRDefault="00E000CA" w:rsidP="001324C3">
      <w:pPr>
        <w:widowControl w:val="0"/>
        <w:jc w:val="both"/>
        <w:rPr>
          <w:rFonts w:ascii="Times New Roman" w:hAnsi="Times New Roman"/>
          <w:cap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4.9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Predávkovanie</w:t>
      </w:r>
    </w:p>
    <w:p w14:paraId="0EFF4E5F" w14:textId="77777777" w:rsidR="001324C3" w:rsidRPr="00D226A5" w:rsidRDefault="001324C3" w:rsidP="001324C3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36E4E87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štúdiách so zdravými dobrovoľníkmi boli po podaní jednorazovej dávky do 800 mg nežiaduce účinky podobné ako pri podaní nižších dávok, ale vyskytovali sa častejšie a boli závažnejšie. Dávky 200 mg neviedli k väčšej účinnosti, ale viedli k vyššiemu výskytu nežiaducich účinkov (bolesť hlavy, návaly, závrat,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dyspepsia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nazálna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kongescia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zmena videnia).</w:t>
      </w:r>
    </w:p>
    <w:p w14:paraId="69C77DD6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prípade predávkovania sa majú podľa potreby zaviesť štandardné podporné opatrenia. Keďže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je pevne viazaný na bielkoviny plazmy a neeliminuje sa močom, nie je pravdepodobné, že by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renálna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dialýza mala urýchliť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2533710E" w14:textId="77777777" w:rsidR="0016098D" w:rsidRPr="00D226A5" w:rsidRDefault="0016098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184F8A8" w14:textId="77777777" w:rsidR="00AC3069" w:rsidRPr="00D226A5" w:rsidRDefault="00AC3069" w:rsidP="00E523F1">
      <w:pPr>
        <w:pStyle w:val="Zarkazkladnhotextu3"/>
        <w:ind w:left="0"/>
        <w:jc w:val="both"/>
        <w:rPr>
          <w:sz w:val="22"/>
          <w:szCs w:val="22"/>
          <w:lang w:val="sk-SK"/>
        </w:rPr>
      </w:pPr>
    </w:p>
    <w:p w14:paraId="25442551" w14:textId="77777777" w:rsidR="00387B36" w:rsidRPr="00D226A5" w:rsidRDefault="00E000CA" w:rsidP="00E523F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5.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FARMAKOLOGICKÉ VLASTNOSTI</w:t>
      </w:r>
    </w:p>
    <w:p w14:paraId="42585790" w14:textId="77777777" w:rsidR="00387B36" w:rsidRPr="00D226A5" w:rsidRDefault="00387B36" w:rsidP="00E523F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5223FF8F" w14:textId="77777777" w:rsidR="00387B36" w:rsidRPr="00D226A5" w:rsidRDefault="00E000CA" w:rsidP="00E523F1">
      <w:pPr>
        <w:jc w:val="both"/>
        <w:rPr>
          <w:rFonts w:ascii="Times New Roman" w:hAnsi="Times New Roman"/>
          <w:b/>
          <w:cap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4A0FFF65" w14:textId="77777777" w:rsidR="00A252D5" w:rsidRPr="00D226A5" w:rsidRDefault="00A252D5" w:rsidP="00E523F1">
      <w:pPr>
        <w:suppressAutoHyphens/>
        <w:ind w:left="709" w:right="-34"/>
        <w:jc w:val="both"/>
        <w:rPr>
          <w:rFonts w:ascii="Times New Roman" w:hAnsi="Times New Roman"/>
          <w:i/>
          <w:iCs/>
          <w:sz w:val="22"/>
          <w:szCs w:val="22"/>
          <w:lang w:val="sk-SK"/>
        </w:rPr>
      </w:pPr>
    </w:p>
    <w:p w14:paraId="62C5957D" w14:textId="77777777" w:rsidR="0016098D" w:rsidRPr="00D226A5" w:rsidRDefault="00E000CA" w:rsidP="00E523F1">
      <w:pPr>
        <w:suppressAutoHyphens/>
        <w:ind w:right="-34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i/>
          <w:iCs/>
          <w:sz w:val="22"/>
          <w:szCs w:val="22"/>
          <w:lang w:val="sk-SK"/>
        </w:rPr>
        <w:t>Farmakoterapeutická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sk-SK"/>
        </w:rPr>
        <w:t xml:space="preserve"> skupina: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urologiká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lieky určené na liečbu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dysfunkcie</w:t>
      </w:r>
    </w:p>
    <w:p w14:paraId="5104C768" w14:textId="77777777" w:rsidR="00387B36" w:rsidRPr="00D226A5" w:rsidRDefault="00E000CA" w:rsidP="00E523F1">
      <w:pPr>
        <w:suppressAutoHyphens/>
        <w:ind w:right="-34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ATC kód</w:t>
      </w:r>
      <w:r>
        <w:rPr>
          <w:rFonts w:ascii="Times New Roman" w:hAnsi="Times New Roman"/>
          <w:sz w:val="22"/>
          <w:szCs w:val="22"/>
          <w:lang w:val="sk-SK"/>
        </w:rPr>
        <w:t xml:space="preserve">: </w:t>
      </w:r>
      <w:r>
        <w:rPr>
          <w:rFonts w:ascii="Times New Roman" w:hAnsi="Times New Roman"/>
          <w:sz w:val="22"/>
          <w:szCs w:val="22"/>
          <w:lang w:val="sk-SK" w:eastAsia="sk-SK"/>
        </w:rPr>
        <w:t>G04BE03</w:t>
      </w:r>
    </w:p>
    <w:p w14:paraId="3F62C94E" w14:textId="77777777" w:rsidR="0054298B" w:rsidRPr="00D226A5" w:rsidRDefault="0054298B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BD19E16" w14:textId="77777777" w:rsidR="009222DE" w:rsidRPr="00D226A5" w:rsidRDefault="00CF6E6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Mechanizmus účinku</w:t>
      </w:r>
    </w:p>
    <w:p w14:paraId="43AA8949" w14:textId="77777777" w:rsidR="0016098D" w:rsidRPr="00D226A5" w:rsidRDefault="0016098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peror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lna forma lie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by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dysfunkcie. Za prirodzen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ch podmienok,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t.j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>. po sexu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lnej stimul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cii, obnovuje narušenú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erektilnú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funkciu zvýšením prítoku krvi do penisu.</w:t>
      </w:r>
    </w:p>
    <w:p w14:paraId="00618074" w14:textId="77777777" w:rsidR="00DC3D35" w:rsidRPr="00D226A5" w:rsidRDefault="00DC3D35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378987D5" w14:textId="77777777" w:rsidR="001F7941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Fyziologický mechanizmus, ktorý je zodpovedný za erekciu penisu, zahrňuje uvoľňovanie oxidu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dusnatého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(NO) v kavernóznom telese penisu počas sexuálnej stimulácie. Oxid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dusnatý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potom aktivuje enzým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guanylátcyklázu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čo nakoniec vedie ku zvýšeniu koncentrácie cyklického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guanozínmonofosfátu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 </w:t>
      </w:r>
    </w:p>
    <w:p w14:paraId="322CB7DE" w14:textId="77777777" w:rsidR="0043142B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>a relaxácii hladkých svalov v kavernóznom telese, čo umožní prítok krvi.</w:t>
      </w:r>
    </w:p>
    <w:p w14:paraId="78969E6E" w14:textId="77777777" w:rsidR="003C49BA" w:rsidRPr="00D226A5" w:rsidRDefault="003C49B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548D98C" w14:textId="77777777" w:rsidR="0016098D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je silný a selektívny inhibítor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špecifickej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fosfodiesterázy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typu 5 (PDE5) v kavernóznom telese, kde je PDE5 zodpovedná za degradáciu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Účinok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na erekciu je založený na periférnom pôsobení.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nemá priamy relaxačný účinok na izolované humánne kavernózne teleso, ale účinne zvyšuje relaxačný účinok oxidu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dusnatého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(NO) na toto tkanivo. Ak je aktivovaná metabolická cesta NO/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ako je to v prípade sexuálnej stimulácie, tak inhibícia PDE5 účinkom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vedie k zvýšeniu koncentrácie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 kavernóznom telese. Preto dochádza k očakávanému priaznivému farmakologickému účinku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iba v prípade sexuálnej stimulácie.</w:t>
      </w:r>
    </w:p>
    <w:p w14:paraId="16CEA5CE" w14:textId="77777777" w:rsidR="001F7941" w:rsidRPr="00D226A5" w:rsidRDefault="001F7941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0BB906D" w14:textId="77777777" w:rsidR="009222DE" w:rsidRPr="00D226A5" w:rsidRDefault="00CF6E6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proofErr w:type="spellStart"/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Farmakodynamické</w:t>
      </w:r>
      <w:proofErr w:type="spellEnd"/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 xml:space="preserve"> účinky</w:t>
      </w:r>
    </w:p>
    <w:p w14:paraId="06A06F1B" w14:textId="77777777" w:rsidR="0016098D" w:rsidRPr="00D226A5" w:rsidRDefault="00AC5922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Š</w:t>
      </w:r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>t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ú</w:t>
      </w:r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>die</w:t>
      </w:r>
      <w:r w:rsidR="0016098D" w:rsidRPr="00D226A5">
        <w:rPr>
          <w:rFonts w:ascii="Times New Roman" w:hAnsi="Times New Roman"/>
          <w:i/>
          <w:sz w:val="22"/>
          <w:szCs w:val="22"/>
          <w:lang w:val="sk-SK" w:eastAsia="sk-SK"/>
        </w:rPr>
        <w:t xml:space="preserve"> in vitro</w:t>
      </w:r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 xml:space="preserve"> preuk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 xml:space="preserve">zali, 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ž</w:t>
      </w:r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 xml:space="preserve">e </w:t>
      </w:r>
      <w:proofErr w:type="spellStart"/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selekt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="0016098D" w:rsidRPr="00D226A5">
        <w:rPr>
          <w:rFonts w:ascii="Times New Roman" w:hAnsi="Times New Roman"/>
          <w:sz w:val="22"/>
          <w:szCs w:val="22"/>
          <w:lang w:val="sk-SK" w:eastAsia="sk-SK"/>
        </w:rPr>
        <w:t>vny pre PDE5, ktor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á sa podieľa na procese erekcie. Jeho účinok je výraznejší na PDE5 ako na ostatné známe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fosfodiesterázy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.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je 10-krát selektívnejší pre PDE5 ako pre PDE6, ktorá sa podieľa na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fototransdukcii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v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retine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. Pri maximálnych odporučených dávkach má 80-krát vyššiu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selektivitu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pre PDE5 než pre PDE1 a viac ako 700-krát vyššiu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selektivitu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pre PDE5 než pre PDE2, 3, 4, 7, 8, 9, 10 a 11. Obzvlášť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má 4 000-krát vyššiu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selektivitu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pre PDE5 ako pre PDE3,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cAMP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špecifickú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izoformu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fosfodiesterázy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, ktorá sa podieľa na kontrole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kontraktility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srdcového svalu.</w:t>
      </w:r>
    </w:p>
    <w:p w14:paraId="53D3198D" w14:textId="77777777" w:rsidR="00382B0C" w:rsidRPr="00D226A5" w:rsidRDefault="00382B0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4881FA5" w14:textId="77777777" w:rsidR="009222DE" w:rsidRPr="00D226A5" w:rsidRDefault="00CF6E6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Klinická účinnosť a bezpečnosť</w:t>
      </w:r>
    </w:p>
    <w:p w14:paraId="5532EC95" w14:textId="77777777" w:rsidR="008224E4" w:rsidRPr="00D226A5" w:rsidRDefault="0016098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Dve klinick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é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t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die sa 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peci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lne zaoberali t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m, aby sa určil časový úsek po podaní dávky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>, počas ktorého dochádza k erekcii ako odpovedi na sexuálnu stimuláciu. V štúdii s 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falopletyzmografiou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(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RigiScan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) u pacientov pri podávaní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nalačno bol priemerný čas po dosiahnutie erekcie u tých, ktorí dosiahli erekciu so 60 %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rigiditou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(dostačujúci stupeň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rigidity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na vykonanie pohlavného styku) 25 minút (rozsah 12 – 37 minút). V druhej štúdii, v ktorej sa tiež používal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RigiScan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, bol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schopný vyvolať erekciu ako odpoveď na sexuálnu stimuláciu ešte 4 – 5 hodín po podaní dávky.</w:t>
      </w:r>
    </w:p>
    <w:p w14:paraId="1DAB02B2" w14:textId="77777777" w:rsidR="000E769E" w:rsidRPr="00D226A5" w:rsidRDefault="000E769E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44933617" w14:textId="77777777" w:rsidR="000E769E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spôsobuje mierny a prechodný pokles tlaku krvi, vo väčšine prípadov bez klinického významu. Priemerné maximálne zníženie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systolického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tlaku krvi v ľahu po podaní 100 mg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perorálne bolo 8,4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Korešpondujúca zmena diastolického tlaku krvi v ľahu bola 5,5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mmHg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Toto zníženie hodnôt tlaku krvi je v súlade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vazodilatačným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účinkom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pravdepodobne v dôsledku zvýšenia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cGMP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v hladkých svaloch ciev. Podávanie jednorazových dávok až do 100 mg u zdravých dobrovoľníkov neviedlo k žiadnemu klinicky relevantnému účinku na EKG.</w:t>
      </w:r>
    </w:p>
    <w:p w14:paraId="5E8ED883" w14:textId="77777777" w:rsidR="000E769E" w:rsidRPr="00D226A5" w:rsidRDefault="000E769E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914F05C" w14:textId="77777777" w:rsidR="000E769E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štúdii zameranej 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hemodynamické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účinky jednorazovej perorálnej dávky 100 mg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u 14 pacientov s ťažkou koronárnou artériovou chorobou (CAD) (&gt; 70 %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stenóza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aspoň jednej koronárnej artérie) poklesol stredný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kľudový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systolický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diastolický krvný tlak o 7 % resp. o 6 % v porovnaní s východiskovými hodnotami. Stredný pľúcny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systolický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tlak krvi poklesol o 9 %.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nemal vplyv na srdcový výdaj a neviedol ku zhoršeniu krvného prietoku cez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stenózne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koronárne artérie.</w:t>
      </w:r>
    </w:p>
    <w:p w14:paraId="2355B9F0" w14:textId="77777777" w:rsidR="006641A4" w:rsidRPr="00D226A5" w:rsidRDefault="006641A4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ACAEEBA" w14:textId="77777777" w:rsidR="006755BD" w:rsidRPr="00D226A5" w:rsidRDefault="00E000CA" w:rsidP="006755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Dvojito zaslepená, placebom kontrolovaná záťažová štúdia hodnotila 144 pacientov s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erektilnou</w:t>
      </w:r>
      <w:proofErr w:type="spellEnd"/>
    </w:p>
    <w:p w14:paraId="4635146F" w14:textId="77777777" w:rsidR="006755BD" w:rsidRPr="00D226A5" w:rsidRDefault="00E000CA" w:rsidP="006755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dysfunkciou a chronickou stabilnou angínou, ktorí pravidelne dostávali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anti-anginózne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lieky (s</w:t>
      </w:r>
    </w:p>
    <w:p w14:paraId="7D5DCF5F" w14:textId="77777777" w:rsidR="006755BD" w:rsidRPr="00D226A5" w:rsidRDefault="00E000CA" w:rsidP="006755B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výnimkou nitrátov). Výsledky nepreukázali žiaden klinicky relevantný rozdiel medzi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</w:t>
      </w:r>
    </w:p>
    <w:p w14:paraId="12E962AE" w14:textId="77777777" w:rsidR="0033035B" w:rsidRPr="00D226A5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lastRenderedPageBreak/>
        <w:t xml:space="preserve">placebom v čase do vzniku limitujúcej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anginy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.</w:t>
      </w:r>
      <w:r>
        <w:rPr>
          <w:rFonts w:ascii="Times New Roman" w:hAnsi="Times New Roman"/>
          <w:sz w:val="22"/>
          <w:szCs w:val="22"/>
          <w:lang w:val="sk-SK" w:eastAsia="sk-SK"/>
        </w:rPr>
        <w:cr/>
        <w:t xml:space="preserve">U niektorých pacientov sa jednu hodinu po podaní dávky 100 mg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pri použití</w:t>
      </w:r>
    </w:p>
    <w:p w14:paraId="1E7B67BB" w14:textId="77777777" w:rsidR="001F7941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Farnsworth-Munsellovho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testu so 100 farebnými odtieňmi pozorovali mierne a prechodné rozdiely v rozlišovaní farieb (modrá/zelená). Dve hodiny po podaní sa nezaznamenali už žiadne účinky. Možný mechanizmus tejto zmeny v rozlišovaní farieb súvisí s inhibíciou PDE6, ktorý hrá úlohu vo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fototransdukčnej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kaskáde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retiny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neovplyvňuje ani ostrosť, ani kontrast videnia. V placebom kontrolovanej štúdii</w:t>
      </w:r>
    </w:p>
    <w:p w14:paraId="7F474573" w14:textId="77777777" w:rsidR="003C49BA" w:rsidRPr="00D226A5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s malým počtom pacientov s dokumentovaným včasným štádiom vekom podmienenej makulárnej degenerácie (n = 9) neboli vo vykonaných testoch videnia (ostrosť videnia,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Amslerova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mriežka, rozlíšenie farieb pri simulovanom dopravnom osvetlení,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Humpreyho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perimeter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fotostres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 dokázané žiadne významné zmeny vplyvom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(jednorazová dávka 100 mg).</w:t>
      </w:r>
    </w:p>
    <w:p w14:paraId="6C4048C8" w14:textId="77777777" w:rsidR="001324C3" w:rsidRPr="00D226A5" w:rsidRDefault="001324C3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935122B" w14:textId="77777777" w:rsidR="001324C3" w:rsidRPr="00D226A5" w:rsidRDefault="00E000CA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Po podaní jednorazovej perorálnej dávky 100 mg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zdravým dobrovoľníkom sa</w:t>
      </w:r>
      <w:r w:rsidR="001F7941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nezaznamenal žiaden vplyv 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motilitu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alebo na morfológiu spermií (pozri časť 4.6).</w:t>
      </w:r>
    </w:p>
    <w:p w14:paraId="04070305" w14:textId="77777777" w:rsidR="00FD7D56" w:rsidRPr="00D226A5" w:rsidRDefault="00FD7D56" w:rsidP="001324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C0B92FD" w14:textId="77777777" w:rsidR="00FD7D56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lang w:val="sk-SK" w:eastAsia="sk-SK"/>
        </w:rPr>
        <w:t>Ďalšie informácie o klinických skúškach</w:t>
      </w:r>
    </w:p>
    <w:p w14:paraId="0312A1EC" w14:textId="77777777" w:rsidR="00FD7D56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klinických skúškach sa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podával viac ako 8 000 pacientom vo veku 19 – 87 rokov. Zastúpené boli nasledovné skupiny pacientov: starší pacienti (19,9 %), pacienti s hypertenziou (30,9 %), diabetes mellitus (20,3 %), ischemickou chorobou srdca (5,8 %),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hyperlipidémiou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(19,8 %), poranením miechy (0,6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%), depresiou (5,2 %),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transuretrálnou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resekciou prostaty (3,7 %), pacienti po radikálnej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prostatektómii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(3,3 %). Nasledovné skupiny neboli dostatočne zastúpené alebo boli vyradené z klinických skúšok: pacienti po chirurgickom výkone v oblasti panvy, pacienti po rádioterapii, pacienti s ťažkým poškodením funkcie obličiek alebo pečene a pacienti s niektorými kardiovaskulárnymi poruchami (pozri časť 4.3).</w:t>
      </w:r>
    </w:p>
    <w:p w14:paraId="7CDA7C13" w14:textId="77777777" w:rsidR="00FD7D56" w:rsidRPr="00D226A5" w:rsidRDefault="00FD7D56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64D6DE96" w14:textId="77777777" w:rsidR="00FD7D56" w:rsidRPr="00D226A5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Podiel pacientov, ktorí v štúdiách s fixnými dávkami udávali, že liečba viedla k zlepšeniu erekcie, bol 62 % (25 mg), 74 % (50 mg) a 82 % (100 mg) v porovnaní s 25 % u pacientov, ktorí užívali placebo. V kontrolovaných klinických skúškach bolo prerušenie liečby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sildenafilom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zriedkavé a v podobnej miere ako u pacientov, ktorí užívali placebo.</w:t>
      </w:r>
    </w:p>
    <w:p w14:paraId="222610D0" w14:textId="77777777" w:rsidR="00FD7D56" w:rsidRPr="00D226A5" w:rsidRDefault="00FD7D56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95FB9C1" w14:textId="77777777" w:rsidR="00FD7D56" w:rsidRDefault="00E000CA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Zhrnutie údajov zo všetkých skúšok ukazuje, že podiel pacientov, ktorí udávali zlepšenie po podaní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bol nasledujúci: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psychogénna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erektilná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dysfunkcia (84 %), zmiešaná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erektilná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dysfunkcia (77 %), organická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erektilná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dysfunkcia (68 %), staršie osoby (67 %), diabetes mellitus (59 %), ischemická choroba srdca (69 %), hypertenzia (68 %), TURP (61 %), radikálna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prostatektómia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(43 %), poranenie miechy (83 %), depresia (75 %). Bezpečnosť a účinnosť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bola preukázaná v dlhodobých štúdiách.</w:t>
      </w:r>
    </w:p>
    <w:p w14:paraId="5865F1CF" w14:textId="77777777" w:rsidR="003B7F67" w:rsidRDefault="003B7F67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9FA8417" w14:textId="77777777" w:rsidR="003B7F67" w:rsidRPr="00D6686C" w:rsidRDefault="003B7F67" w:rsidP="003B7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D6686C">
        <w:rPr>
          <w:rFonts w:ascii="Times New Roman" w:hAnsi="Times New Roman"/>
          <w:sz w:val="22"/>
          <w:szCs w:val="22"/>
          <w:u w:val="single"/>
          <w:lang w:val="sk-SK" w:eastAsia="sk-SK"/>
        </w:rPr>
        <w:t>Pediatrická populácia</w:t>
      </w:r>
    </w:p>
    <w:p w14:paraId="7AAA43CA" w14:textId="77777777" w:rsidR="003B7F67" w:rsidRPr="001E226F" w:rsidRDefault="003B7F67" w:rsidP="003B7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1E226F">
        <w:rPr>
          <w:rFonts w:ascii="Times New Roman" w:hAnsi="Times New Roman"/>
          <w:sz w:val="22"/>
          <w:szCs w:val="22"/>
          <w:lang w:val="sk-SK" w:eastAsia="sk-SK"/>
        </w:rPr>
        <w:t>Európska agentúra pre lieky udelila výnimku z povinnosti predložiť výsledky štúdií s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 referenčným </w:t>
      </w:r>
      <w:r w:rsidRPr="001E226F">
        <w:rPr>
          <w:rFonts w:ascii="Times New Roman" w:hAnsi="Times New Roman"/>
          <w:sz w:val="22"/>
          <w:szCs w:val="22"/>
          <w:lang w:val="sk-SK" w:eastAsia="sk-SK"/>
        </w:rPr>
        <w:t>liekom</w:t>
      </w:r>
    </w:p>
    <w:p w14:paraId="70F789A0" w14:textId="77777777" w:rsidR="003B7F67" w:rsidRPr="00D226A5" w:rsidRDefault="003B7F67" w:rsidP="003B7F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obsahujúcim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1E226F">
        <w:rPr>
          <w:rFonts w:ascii="Times New Roman" w:hAnsi="Times New Roman"/>
          <w:sz w:val="22"/>
          <w:szCs w:val="22"/>
          <w:lang w:val="sk-SK" w:eastAsia="sk-SK"/>
        </w:rPr>
        <w:t xml:space="preserve">vo všetkých podskupinách pediatrickej populácie na liečbu </w:t>
      </w:r>
      <w:proofErr w:type="spellStart"/>
      <w:r w:rsidRPr="001E226F">
        <w:rPr>
          <w:rFonts w:ascii="Times New Roman" w:hAnsi="Times New Roman"/>
          <w:sz w:val="22"/>
          <w:szCs w:val="22"/>
          <w:lang w:val="sk-SK" w:eastAsia="sk-SK"/>
        </w:rPr>
        <w:t>erektilnej</w:t>
      </w:r>
      <w:proofErr w:type="spellEnd"/>
      <w:r w:rsidRPr="001E226F">
        <w:rPr>
          <w:rFonts w:ascii="Times New Roman" w:hAnsi="Times New Roman"/>
          <w:sz w:val="22"/>
          <w:szCs w:val="22"/>
          <w:lang w:val="sk-SK" w:eastAsia="sk-SK"/>
        </w:rPr>
        <w:t xml:space="preserve"> dysfunkcie (pozri časť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1E226F">
        <w:rPr>
          <w:rFonts w:ascii="Times New Roman" w:hAnsi="Times New Roman"/>
          <w:sz w:val="22"/>
          <w:szCs w:val="22"/>
          <w:lang w:val="sk-SK" w:eastAsia="sk-SK"/>
        </w:rPr>
        <w:t>4.2 ).</w:t>
      </w:r>
    </w:p>
    <w:p w14:paraId="6367B908" w14:textId="77777777" w:rsidR="003B7F67" w:rsidRPr="00D226A5" w:rsidRDefault="003B7F67" w:rsidP="00FD7D5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D325621" w14:textId="77777777" w:rsidR="0033035B" w:rsidRPr="00D226A5" w:rsidRDefault="0033035B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F1EEAE2" w14:textId="77777777" w:rsidR="00387B36" w:rsidRPr="00D226A5" w:rsidRDefault="00E000CA" w:rsidP="00E523F1">
      <w:pPr>
        <w:jc w:val="both"/>
        <w:rPr>
          <w:rFonts w:ascii="Times New Roman" w:hAnsi="Times New Roman"/>
          <w:cap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5025B119" w14:textId="77777777" w:rsidR="00124125" w:rsidRPr="00D226A5" w:rsidRDefault="00124125" w:rsidP="00E523F1">
      <w:pPr>
        <w:ind w:left="72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107F37B" w14:textId="77777777" w:rsidR="002206FD" w:rsidRPr="00D226A5" w:rsidRDefault="00CF6E6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Absorpcia</w:t>
      </w:r>
    </w:p>
    <w:p w14:paraId="3914A900" w14:textId="77777777" w:rsidR="002206FD" w:rsidRPr="00D226A5" w:rsidRDefault="002206F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sa r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chlo vstreb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va. Maxim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lne plazmatick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é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koncentr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ácie sa dosahujú 30 – 120 minút (v priemere 60 minút) po perorálnom užití lieku nalačno. Priemerná absolútna perorálna biologická dostupnosť je 41 % (rozsah 25 – 63 %). AUC 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C</w:t>
      </w:r>
      <w:r w:rsidR="00E000CA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sa po perorálnom podaní odporučených dávok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(25 – 100 mg) zvyšujú proporcionálne s dávkou.</w:t>
      </w:r>
    </w:p>
    <w:p w14:paraId="68A42D61" w14:textId="77777777" w:rsidR="002206F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Ak sa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3B7F67">
        <w:rPr>
          <w:rFonts w:ascii="Times New Roman" w:hAnsi="Times New Roman"/>
          <w:sz w:val="22"/>
          <w:szCs w:val="22"/>
          <w:lang w:val="sk-SK" w:eastAsia="sk-SK"/>
        </w:rPr>
        <w:t xml:space="preserve"> vo forme obalených tabliet</w:t>
      </w:r>
      <w:r>
        <w:rPr>
          <w:rFonts w:ascii="Times New Roman" w:hAnsi="Times New Roman"/>
          <w:sz w:val="22"/>
          <w:szCs w:val="22"/>
          <w:lang w:val="sk-SK" w:eastAsia="sk-SK"/>
        </w:rPr>
        <w:t xml:space="preserve"> užije súčasne s jedlom, tak sa rýchlosť absorpcie zníži, pričom priemerné oneskorenie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t</w:t>
      </w:r>
      <w:r w:rsidR="00CF6E6C" w:rsidRPr="00CF6E6C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2206FD"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60 min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ú</w:t>
      </w:r>
      <w:r w:rsidR="002206FD" w:rsidRPr="00D226A5">
        <w:rPr>
          <w:rFonts w:ascii="Times New Roman" w:hAnsi="Times New Roman"/>
          <w:sz w:val="22"/>
          <w:szCs w:val="22"/>
          <w:lang w:val="sk-SK" w:eastAsia="sk-SK"/>
        </w:rPr>
        <w:t>t a priemern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é</w:t>
      </w:r>
      <w:r w:rsidR="002206FD" w:rsidRPr="00D226A5">
        <w:rPr>
          <w:rFonts w:ascii="Times New Roman" w:hAnsi="Times New Roman"/>
          <w:sz w:val="22"/>
          <w:szCs w:val="22"/>
          <w:lang w:val="sk-SK" w:eastAsia="sk-SK"/>
        </w:rPr>
        <w:t xml:space="preserve"> zn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íž</w:t>
      </w:r>
      <w:r w:rsidR="002206FD" w:rsidRPr="00D226A5">
        <w:rPr>
          <w:rFonts w:ascii="Times New Roman" w:hAnsi="Times New Roman"/>
          <w:sz w:val="22"/>
          <w:szCs w:val="22"/>
          <w:lang w:val="sk-SK" w:eastAsia="sk-SK"/>
        </w:rPr>
        <w:t xml:space="preserve">enie </w:t>
      </w:r>
      <w:proofErr w:type="spellStart"/>
      <w:r w:rsidR="002206FD" w:rsidRPr="00D226A5">
        <w:rPr>
          <w:rFonts w:ascii="Times New Roman" w:hAnsi="Times New Roman"/>
          <w:sz w:val="22"/>
          <w:szCs w:val="22"/>
          <w:lang w:val="sk-SK" w:eastAsia="sk-SK"/>
        </w:rPr>
        <w:t>C</w:t>
      </w:r>
      <w:r w:rsidR="008C38AC" w:rsidRPr="00D226A5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2206FD" w:rsidRPr="00D226A5">
        <w:rPr>
          <w:rFonts w:ascii="Times New Roman" w:hAnsi="Times New Roman"/>
          <w:sz w:val="22"/>
          <w:szCs w:val="22"/>
          <w:lang w:val="sk-SK" w:eastAsia="sk-SK"/>
        </w:rPr>
        <w:t xml:space="preserve"> o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 </w:t>
      </w:r>
      <w:r w:rsidR="002206FD" w:rsidRPr="00D226A5">
        <w:rPr>
          <w:rFonts w:ascii="Times New Roman" w:hAnsi="Times New Roman"/>
          <w:sz w:val="22"/>
          <w:szCs w:val="22"/>
          <w:lang w:val="sk-SK" w:eastAsia="sk-SK"/>
        </w:rPr>
        <w:t>29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 </w:t>
      </w:r>
      <w:r>
        <w:rPr>
          <w:rFonts w:ascii="Times New Roman" w:hAnsi="Times New Roman"/>
          <w:sz w:val="22"/>
          <w:szCs w:val="22"/>
          <w:lang w:val="sk-SK" w:eastAsia="sk-SK"/>
        </w:rPr>
        <w:t>%.</w:t>
      </w:r>
    </w:p>
    <w:p w14:paraId="7D6DCDE8" w14:textId="77777777" w:rsidR="002206FD" w:rsidRPr="00D226A5" w:rsidRDefault="002206F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8813E28" w14:textId="77777777" w:rsidR="002206FD" w:rsidRPr="00D226A5" w:rsidRDefault="00CF6E6C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Distribúcia</w:t>
      </w:r>
    </w:p>
    <w:p w14:paraId="113A6E8F" w14:textId="77777777" w:rsidR="002206FD" w:rsidRPr="00D226A5" w:rsidRDefault="002206F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Priemern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stabilizovan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distribu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objem (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Vd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)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105 l, 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čo naznačuje distribúciu do tkanív. Po jednorazovom perorálnom podaní dávky 100 mg dosahuje priemerná maximálna celková plazmatická koncentrácia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približne 440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ng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/ml (CV 40 %). Keďže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(a jeho hlavný cirkulujúci N-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desmetyl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) sa viaže v 96 % na plazmatické bielkoviny, dosahuje priemerná maximálna plazmatická 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lastRenderedPageBreak/>
        <w:t xml:space="preserve">koncentrácia voľného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18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ng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/ml (38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nmol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>). Väzba na bielkoviny nie je závislá od celkových koncentrácií lieku.</w:t>
      </w:r>
    </w:p>
    <w:p w14:paraId="09B01854" w14:textId="77777777" w:rsidR="001F7941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U zdravých dobrovoľníkov, ktorí užili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(100 mg jednorazovú dávku), bolo po 90 minútach</w:t>
      </w:r>
    </w:p>
    <w:p w14:paraId="43A200B8" w14:textId="77777777" w:rsidR="002206FD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v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ejakuláte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menej ako 0,0002 % užitej dávky (priemerne 188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ng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).</w:t>
      </w:r>
    </w:p>
    <w:p w14:paraId="39026125" w14:textId="77777777" w:rsidR="002206FD" w:rsidRPr="00D226A5" w:rsidRDefault="002206F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2B559B2A" w14:textId="77777777" w:rsidR="002206FD" w:rsidRPr="00D226A5" w:rsidRDefault="009222DE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u w:val="single"/>
          <w:lang w:val="sk-SK" w:eastAsia="sk-SK"/>
        </w:rPr>
      </w:pPr>
      <w:proofErr w:type="spellStart"/>
      <w:r w:rsidRPr="00D226A5">
        <w:rPr>
          <w:rFonts w:ascii="Times New Roman" w:hAnsi="Times New Roman"/>
          <w:sz w:val="22"/>
          <w:szCs w:val="22"/>
          <w:u w:val="single"/>
          <w:lang w:val="sk-SK" w:eastAsia="sk-SK"/>
        </w:rPr>
        <w:t>Biotransformácia</w:t>
      </w:r>
      <w:proofErr w:type="spellEnd"/>
    </w:p>
    <w:p w14:paraId="0E2E621E" w14:textId="77777777" w:rsidR="00FF5673" w:rsidRPr="00D226A5" w:rsidRDefault="002206FD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metabolizovan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predov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etk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m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hepat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lnymi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mikrozom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>álnymi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izoenzýmami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CYP3A4 (hlavná metabolická cesta) a CYP2C9 (vedľajšia metabolická cesta). Hlavný cirkulujúci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je výsledkom N-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demetylácie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. Tento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má profil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selektivity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na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fosfodiesterázu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podobný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a účinnosť </w:t>
      </w:r>
      <w:r w:rsidR="00E000CA">
        <w:rPr>
          <w:rFonts w:ascii="Times New Roman" w:hAnsi="Times New Roman"/>
          <w:i/>
          <w:sz w:val="22"/>
          <w:szCs w:val="22"/>
          <w:lang w:val="sk-SK" w:eastAsia="sk-SK"/>
        </w:rPr>
        <w:t>in vitro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na PDE5 približne 50 % v porovnaní s materským liečivom. Plazmatické koncentrácie tohto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zodpovedajú približne 40 % koncentrácie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>. N-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desmetyl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je ďalej metabolizovaný a terminálny polčas je približne 4 h.</w:t>
      </w:r>
    </w:p>
    <w:p w14:paraId="2476D3CB" w14:textId="77777777" w:rsidR="006944E1" w:rsidRPr="00D226A5" w:rsidRDefault="006944E1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DA7E3BD" w14:textId="77777777" w:rsidR="006944E1" w:rsidRPr="00D226A5" w:rsidRDefault="00CF6E6C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 w:rsidRPr="00CF6E6C">
        <w:rPr>
          <w:rFonts w:ascii="Times New Roman" w:hAnsi="Times New Roman"/>
          <w:sz w:val="22"/>
          <w:szCs w:val="22"/>
          <w:u w:val="single"/>
          <w:lang w:val="sk-SK" w:eastAsia="sk-SK"/>
        </w:rPr>
        <w:t>Eliminácia</w:t>
      </w:r>
    </w:p>
    <w:p w14:paraId="2CD8D76D" w14:textId="77777777" w:rsidR="006944E1" w:rsidRPr="00D226A5" w:rsidRDefault="006944E1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Celkov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telov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kl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rens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Pr="00D226A5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 je 41 l/h a termin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lny f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á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zov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polčas 3 – 5 h. Tak po perorálnom, ako aj po intravenóznom podaní sa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vylučuje vo forme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metabolitov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predovšetkým do stolice (približne 80 % podanej perorálnej dávky) a v menšej miere do moču (približne 13 % podanej perorálnej dávky).</w:t>
      </w:r>
    </w:p>
    <w:p w14:paraId="15CD3D8D" w14:textId="77777777" w:rsidR="00BB4C54" w:rsidRPr="00D226A5" w:rsidRDefault="00BB4C54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DBF129A" w14:textId="77777777" w:rsidR="006944E1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i/>
          <w:sz w:val="22"/>
          <w:szCs w:val="22"/>
          <w:lang w:val="sk-SK" w:eastAsia="sk-SK"/>
        </w:rPr>
        <w:t>Farmakokinetika</w:t>
      </w:r>
      <w:proofErr w:type="spellEnd"/>
      <w:r>
        <w:rPr>
          <w:rFonts w:ascii="Times New Roman" w:hAnsi="Times New Roman"/>
          <w:i/>
          <w:sz w:val="22"/>
          <w:szCs w:val="22"/>
          <w:lang w:val="sk-SK" w:eastAsia="sk-SK"/>
        </w:rPr>
        <w:t xml:space="preserve"> v špeciálnych skupinách pacientov</w:t>
      </w:r>
    </w:p>
    <w:p w14:paraId="2639899F" w14:textId="77777777" w:rsidR="009222DE" w:rsidRPr="00D226A5" w:rsidRDefault="009222DE" w:rsidP="00E523F1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  <w:lang w:val="sk-SK" w:eastAsia="sk-SK"/>
        </w:rPr>
      </w:pPr>
    </w:p>
    <w:p w14:paraId="08614CFE" w14:textId="77777777" w:rsidR="006944E1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Starší ľudia</w:t>
      </w:r>
    </w:p>
    <w:p w14:paraId="17D3508B" w14:textId="77777777" w:rsidR="006944E1" w:rsidRPr="00D226A5" w:rsidRDefault="006944E1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U zdrav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ch star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ší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ch dobrovo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kov (65-ro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č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ch a starších) bol znížený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, čo viedlo k zvýšeniu plazmatických koncentrácií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a aktívneho N-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desmetyl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o približne 90 % v porovnaní s hodnotami u mladších zdravých dobrovoľníkov (18 – 45-ročných). Vzhľadom na rozdiely vo väzbe na plazmatické bielkoviny, ktoré sú podmienené vekom, bolo zodpovedajúce zvýšenie plazmatických koncentrácií voľného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približne 40 %.</w:t>
      </w:r>
    </w:p>
    <w:p w14:paraId="20C594AD" w14:textId="77777777" w:rsidR="00BB4C54" w:rsidRPr="00D226A5" w:rsidRDefault="00BB4C54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56E582D1" w14:textId="77777777" w:rsidR="006944E1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u w:val="single"/>
          <w:lang w:val="sk-SK" w:eastAsia="sk-SK"/>
        </w:rPr>
      </w:pPr>
      <w:proofErr w:type="spellStart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Renálna</w:t>
      </w:r>
      <w:proofErr w:type="spellEnd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insuficiencia</w:t>
      </w:r>
      <w:proofErr w:type="spellEnd"/>
    </w:p>
    <w:p w14:paraId="3DD88130" w14:textId="77777777" w:rsidR="006944E1" w:rsidRPr="00D226A5" w:rsidRDefault="006944E1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 w:rsidRPr="00D226A5">
        <w:rPr>
          <w:rFonts w:ascii="Times New Roman" w:hAnsi="Times New Roman"/>
          <w:sz w:val="22"/>
          <w:szCs w:val="22"/>
          <w:lang w:val="sk-SK" w:eastAsia="sk-SK"/>
        </w:rPr>
        <w:t>U dobrovo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n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í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 xml:space="preserve">kov s miernym a stredne 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ť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a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ž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k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ý</w:t>
      </w:r>
      <w:r w:rsidRPr="00D226A5">
        <w:rPr>
          <w:rFonts w:ascii="Times New Roman" w:hAnsi="Times New Roman"/>
          <w:sz w:val="22"/>
          <w:szCs w:val="22"/>
          <w:lang w:val="sk-SK" w:eastAsia="sk-SK"/>
        </w:rPr>
        <w:t>m po</w:t>
      </w:r>
      <w:r w:rsidR="00AC5922" w:rsidRPr="00D226A5">
        <w:rPr>
          <w:rFonts w:ascii="Times New Roman" w:hAnsi="Times New Roman"/>
          <w:sz w:val="22"/>
          <w:szCs w:val="22"/>
          <w:lang w:val="sk-SK" w:eastAsia="sk-SK"/>
        </w:rPr>
        <w:t>š</w:t>
      </w:r>
      <w:r w:rsidR="00E000CA">
        <w:rPr>
          <w:rFonts w:ascii="Times New Roman" w:hAnsi="Times New Roman"/>
          <w:sz w:val="22"/>
          <w:szCs w:val="22"/>
          <w:lang w:val="sk-SK" w:eastAsia="sk-SK"/>
        </w:rPr>
        <w:t>kodením funkcie obličiek (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kreatinínu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= 30 - 80 ml/min) nebola zmenená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farmakokinetika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po podaní jednorazovej perorálnej dávky 50 mg. Priemerná AUC 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C</w:t>
      </w:r>
      <w:r w:rsidR="00E000CA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N-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desmetyl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sa zvýšila o 126 %,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resp.o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73 % v porovnaní s dobrovoľníkmi zodpovedajúceho veku bez poškodenia funkcie obličiek. Vzhľadom na vysokú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interindividuálnu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variabilitu však tieto rozdiely neboli štatisticky signifikantné. U dobrovoľníkov s ťažkým poškodením funkcie obličiek (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kreatinínu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&lt; 30 ml/min) bol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znížený a v porovnaní s dobrovoľníkmi rovnakého veku, ale bez poškodenia funkcie obličiek, sa AUC zvýšila o 100 % 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C</w:t>
      </w:r>
      <w:r w:rsidR="00E000CA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o 88 %. Okrem toho hodnoty AUC a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C</w:t>
      </w:r>
      <w:r w:rsidR="00E000CA"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N-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desmetyl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 w:rsidR="00E000CA">
        <w:rPr>
          <w:rFonts w:ascii="Times New Roman" w:hAnsi="Times New Roman"/>
          <w:sz w:val="22"/>
          <w:szCs w:val="22"/>
          <w:lang w:val="sk-SK" w:eastAsia="sk-SK"/>
        </w:rPr>
        <w:t>metabolitu</w:t>
      </w:r>
      <w:proofErr w:type="spellEnd"/>
      <w:r w:rsidR="00E000CA">
        <w:rPr>
          <w:rFonts w:ascii="Times New Roman" w:hAnsi="Times New Roman"/>
          <w:sz w:val="22"/>
          <w:szCs w:val="22"/>
          <w:lang w:val="sk-SK" w:eastAsia="sk-SK"/>
        </w:rPr>
        <w:t xml:space="preserve"> sa signifikantne zvýšili o 200 % a o 79 %</w:t>
      </w:r>
      <w:r w:rsidR="00CE2EE9"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35E0F28B" w14:textId="77777777" w:rsidR="00B11246" w:rsidRPr="00D226A5" w:rsidRDefault="00B11246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11C58BC0" w14:textId="77777777" w:rsidR="00B11246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proofErr w:type="spellStart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Hepatálna</w:t>
      </w:r>
      <w:proofErr w:type="spellEnd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u w:val="single"/>
          <w:lang w:val="sk-SK" w:eastAsia="sk-SK"/>
        </w:rPr>
        <w:t>insuficiencia</w:t>
      </w:r>
      <w:proofErr w:type="spellEnd"/>
    </w:p>
    <w:p w14:paraId="628F02A4" w14:textId="77777777" w:rsidR="006944E1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U dobrovoľníkov s miernou a stredne ťažkou cirhózou pečene (A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B podľa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Childa-Pugha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) bol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klírens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znížený a v porovnaní s dobrovoľníkmi rovnakého veku, ale bez poškodenia funkcie pečene, sa AUC zvýšila o 84 % a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C</w:t>
      </w:r>
      <w:r>
        <w:rPr>
          <w:rFonts w:ascii="Times New Roman" w:hAnsi="Times New Roman"/>
          <w:sz w:val="22"/>
          <w:szCs w:val="22"/>
          <w:vertAlign w:val="subscript"/>
          <w:lang w:val="sk-SK" w:eastAsia="sk-SK"/>
        </w:rPr>
        <w:t>max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o 47 %.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Farmakokinetika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sildenafilu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u pacientov s ťažkým poškodením funkcie pečene nebola študovaná.</w:t>
      </w:r>
    </w:p>
    <w:p w14:paraId="236528C5" w14:textId="77777777" w:rsidR="006944E1" w:rsidRPr="00D226A5" w:rsidRDefault="006944E1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</w:p>
    <w:p w14:paraId="7AD9C336" w14:textId="77777777" w:rsidR="00387B36" w:rsidRPr="00D226A5" w:rsidRDefault="00E000CA" w:rsidP="00E523F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5.3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Predklinické údaje o bezpečnosti</w:t>
      </w:r>
    </w:p>
    <w:p w14:paraId="0F22F0EC" w14:textId="77777777" w:rsidR="00B11246" w:rsidRPr="00D226A5" w:rsidRDefault="00B11246" w:rsidP="00E523F1">
      <w:pPr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A813C6A" w14:textId="77777777" w:rsidR="005431FE" w:rsidRPr="00D226A5" w:rsidRDefault="00E000CA" w:rsidP="00E523F1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Predklinické údaje na základe obvyklých štúdií farmakologickej bezpečnosti, toxicity po opakovanom podávaní,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genotoxicity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, karcinogénneho potenciálu a reprodukčnej toxicity neodhalili žiadne osobitné riziko pre ľudí.</w:t>
      </w:r>
    </w:p>
    <w:p w14:paraId="5AF78E91" w14:textId="77777777" w:rsidR="005F4CAF" w:rsidRPr="00D226A5" w:rsidRDefault="005F4CAF" w:rsidP="000923FD">
      <w:pPr>
        <w:pStyle w:val="Zarkazkladnhotextu3"/>
        <w:widowControl w:val="0"/>
        <w:ind w:left="0"/>
        <w:jc w:val="both"/>
        <w:rPr>
          <w:sz w:val="22"/>
          <w:szCs w:val="22"/>
          <w:lang w:val="sk-SK"/>
        </w:rPr>
      </w:pPr>
    </w:p>
    <w:p w14:paraId="66252545" w14:textId="77777777" w:rsidR="005F4CAF" w:rsidRPr="00D226A5" w:rsidRDefault="005F4CAF" w:rsidP="000923FD">
      <w:pPr>
        <w:pStyle w:val="Zarkazkladnhotextu3"/>
        <w:widowControl w:val="0"/>
        <w:ind w:left="0"/>
        <w:jc w:val="both"/>
        <w:rPr>
          <w:sz w:val="22"/>
          <w:szCs w:val="22"/>
          <w:lang w:val="sk-SK"/>
        </w:rPr>
      </w:pPr>
    </w:p>
    <w:p w14:paraId="3A13A4AE" w14:textId="77777777" w:rsidR="00387B36" w:rsidRPr="00D226A5" w:rsidRDefault="00E000CA" w:rsidP="000923FD">
      <w:pPr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FARMACEUTICKÉ INFORMÁCIE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</w:p>
    <w:p w14:paraId="1EA16E2C" w14:textId="77777777" w:rsidR="00387B36" w:rsidRPr="00D226A5" w:rsidRDefault="00387B36" w:rsidP="000923FD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320C41FC" w14:textId="77777777" w:rsidR="00387B36" w:rsidRPr="00D226A5" w:rsidRDefault="00E000CA" w:rsidP="000923FD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6.1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Zoznam pomocných látok</w:t>
      </w:r>
    </w:p>
    <w:p w14:paraId="1B4C3CA3" w14:textId="77777777" w:rsidR="005431FE" w:rsidRPr="00D226A5" w:rsidRDefault="005431FE" w:rsidP="000923FD">
      <w:pPr>
        <w:widowControl w:val="0"/>
        <w:ind w:left="720"/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56BEF5C1" w14:textId="77777777" w:rsidR="00B11246" w:rsidRPr="00D226A5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 w:eastAsia="sk-SK"/>
        </w:rPr>
      </w:pPr>
      <w:r>
        <w:rPr>
          <w:rFonts w:ascii="Times New Roman" w:hAnsi="Times New Roman"/>
          <w:sz w:val="22"/>
          <w:szCs w:val="22"/>
          <w:lang w:val="sk-SK" w:eastAsia="sk-SK"/>
        </w:rPr>
        <w:t xml:space="preserve">Draselná soľ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polakrilinu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čistená voda, hydroxid draselný alebo kyselina chlorovodíková,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magnéziumstearát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</w:t>
      </w:r>
      <w:r>
        <w:rPr>
          <w:rFonts w:ascii="Times New Roman" w:hAnsi="Times New Roman"/>
          <w:sz w:val="22"/>
          <w:szCs w:val="22"/>
          <w:lang w:val="sk-SK" w:eastAsia="sk-SK"/>
        </w:rPr>
        <w:lastRenderedPageBreak/>
        <w:t xml:space="preserve">koloidný oxid kremičitý,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aspartám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sodná soľ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kroskarmelózy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, aróma mäty piepornej,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monohydrát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 xml:space="preserve"> laktózy,  </w:t>
      </w:r>
      <w:proofErr w:type="spellStart"/>
      <w:r>
        <w:rPr>
          <w:rFonts w:ascii="Times New Roman" w:hAnsi="Times New Roman"/>
          <w:sz w:val="22"/>
          <w:szCs w:val="22"/>
          <w:lang w:val="sk-SK" w:eastAsia="sk-SK"/>
        </w:rPr>
        <w:t>povidón</w:t>
      </w:r>
      <w:proofErr w:type="spellEnd"/>
      <w:r>
        <w:rPr>
          <w:rFonts w:ascii="Times New Roman" w:hAnsi="Times New Roman"/>
          <w:sz w:val="22"/>
          <w:szCs w:val="22"/>
          <w:lang w:val="sk-SK" w:eastAsia="sk-SK"/>
        </w:rPr>
        <w:t>.</w:t>
      </w:r>
    </w:p>
    <w:p w14:paraId="76E6E452" w14:textId="77777777" w:rsidR="003C49BA" w:rsidRPr="00D226A5" w:rsidRDefault="003C49B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12D21D9F" w14:textId="77777777" w:rsidR="00387B36" w:rsidRPr="00D226A5" w:rsidRDefault="00E000CA" w:rsidP="000923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6.2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Inkompatibility</w:t>
      </w:r>
    </w:p>
    <w:p w14:paraId="21C70BBE" w14:textId="77777777" w:rsidR="005431FE" w:rsidRPr="00D226A5" w:rsidRDefault="005431FE" w:rsidP="000923FD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6C1A4D97" w14:textId="77777777" w:rsidR="003C49BA" w:rsidRPr="00D226A5" w:rsidRDefault="00E000CA" w:rsidP="000923FD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Neaplikovateľné.</w:t>
      </w:r>
    </w:p>
    <w:p w14:paraId="481F8454" w14:textId="77777777" w:rsidR="00FD7D56" w:rsidRPr="00D226A5" w:rsidRDefault="00FD7D56" w:rsidP="000923FD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C2468B2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6.3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Čas použiteľnosti</w:t>
      </w:r>
    </w:p>
    <w:p w14:paraId="1BD1813B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F5784FB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cap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3 roky</w:t>
      </w:r>
    </w:p>
    <w:p w14:paraId="6B957523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5FBBA564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6.4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Špeciálne upozornenia na uchovávanie</w:t>
      </w:r>
    </w:p>
    <w:p w14:paraId="3CC4D9E6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66E82DF6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 w:eastAsia="sk-SK"/>
        </w:rPr>
      </w:pPr>
      <w:r>
        <w:rPr>
          <w:rFonts w:ascii="Times New Roman" w:hAnsi="Times New Roman"/>
          <w:color w:val="000000"/>
          <w:sz w:val="22"/>
          <w:szCs w:val="22"/>
          <w:lang w:val="sk-SK" w:eastAsia="sk-SK"/>
        </w:rPr>
        <w:t xml:space="preserve">Tento liek nevyžaduje žiadne zvláštne podmienky na uchovávanie. </w:t>
      </w:r>
    </w:p>
    <w:p w14:paraId="7438154C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cap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 w:eastAsia="sk-SK"/>
        </w:rPr>
        <w:t>Uchovávajte v pôvodnom obale na ochranu pred slnečným žiarením.</w:t>
      </w:r>
    </w:p>
    <w:p w14:paraId="26960A22" w14:textId="77777777" w:rsidR="00FD7D56" w:rsidRPr="00D226A5" w:rsidRDefault="00FD7D56" w:rsidP="00FD7D56">
      <w:pPr>
        <w:pStyle w:val="Pta"/>
        <w:widowControl w:val="0"/>
        <w:tabs>
          <w:tab w:val="clear" w:pos="4153"/>
          <w:tab w:val="clear" w:pos="8306"/>
        </w:tabs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50F8833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6.5.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Druh obalu a obsah balenia</w:t>
      </w:r>
    </w:p>
    <w:p w14:paraId="1FE9022B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4904E5D7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VINER 50 mg žuvacie tablety: 4 alebo 8 žuvacích tabliet v PVC/PCTFE/Al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blistri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BF2481D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VINER 100 mg žuvacie tablety: 4 alebo 8 žuvacích tabliet v PVC/PCTFE/Al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blistri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78C566A9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8005156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Na trh nemusia byť uvedené všetky veľkosti balenia.</w:t>
      </w:r>
    </w:p>
    <w:p w14:paraId="4F3D3878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7AAC2078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6.6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Špeciálne opatrenia na likvidáciu</w:t>
      </w:r>
    </w:p>
    <w:p w14:paraId="3866835F" w14:textId="77777777" w:rsidR="00FD7D56" w:rsidRPr="00D226A5" w:rsidRDefault="00FD7D56" w:rsidP="00FD7D56">
      <w:pPr>
        <w:widowControl w:val="0"/>
        <w:ind w:firstLine="72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FCA9D04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Žiadne zvláštne požiadavky.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</w:p>
    <w:p w14:paraId="2AF68390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4E21EE5F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06C2A229" w14:textId="77777777" w:rsidR="00FD7D56" w:rsidRPr="00D226A5" w:rsidRDefault="00E000CA" w:rsidP="00FD7D56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DRŽITEĽ ROZHODNUTIA O REGISTRÁCII</w:t>
      </w:r>
    </w:p>
    <w:p w14:paraId="73D3A4BB" w14:textId="77777777" w:rsidR="00FD7D56" w:rsidRPr="00D226A5" w:rsidRDefault="00FD7D56" w:rsidP="00FD7D56">
      <w:pPr>
        <w:widowControl w:val="0"/>
        <w:ind w:left="72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9638FB9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BELUPO, </w:t>
      </w:r>
      <w:proofErr w:type="spellStart"/>
      <w:r>
        <w:rPr>
          <w:rFonts w:ascii="Times New Roman" w:hAnsi="Times New Roman"/>
          <w:color w:val="000000"/>
          <w:sz w:val="22"/>
          <w:szCs w:val="22"/>
          <w:lang w:val="sk-SK"/>
        </w:rPr>
        <w:t>s.r.o</w:t>
      </w:r>
      <w:proofErr w:type="spellEnd"/>
      <w:r>
        <w:rPr>
          <w:rFonts w:ascii="Times New Roman" w:hAnsi="Times New Roman"/>
          <w:color w:val="000000"/>
          <w:sz w:val="22"/>
          <w:szCs w:val="22"/>
          <w:lang w:val="sk-SK"/>
        </w:rPr>
        <w:t>., Cukrová 14, 811 08 Bratislava, Slovenská republika</w:t>
      </w:r>
    </w:p>
    <w:p w14:paraId="1B8D745E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CB5EA8E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09F40A1A" w14:textId="77777777" w:rsidR="00FD7D56" w:rsidRPr="00D226A5" w:rsidRDefault="00E000CA" w:rsidP="00FD7D56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REGISTRAČNÉ ČÍSLO</w:t>
      </w:r>
    </w:p>
    <w:p w14:paraId="723449FB" w14:textId="77777777" w:rsidR="00FD7D56" w:rsidRDefault="00FD7D56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03799239" w14:textId="05BC141E" w:rsidR="002121A4" w:rsidRPr="002121A4" w:rsidRDefault="002121A4" w:rsidP="00FD7D56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2121A4">
        <w:rPr>
          <w:rFonts w:ascii="Times New Roman" w:hAnsi="Times New Roman"/>
          <w:sz w:val="22"/>
          <w:szCs w:val="22"/>
          <w:lang w:val="sk-SK"/>
        </w:rPr>
        <w:t>VINER 50mg žuvacie tablety:</w:t>
      </w:r>
      <w:r w:rsidRPr="002121A4">
        <w:rPr>
          <w:rFonts w:ascii="Times New Roman" w:hAnsi="Times New Roman"/>
          <w:sz w:val="22"/>
          <w:szCs w:val="22"/>
          <w:lang w:val="sk-SK"/>
        </w:rPr>
        <w:tab/>
      </w:r>
      <w:r w:rsidRPr="002121A4">
        <w:rPr>
          <w:rFonts w:ascii="Times New Roman" w:hAnsi="Times New Roman"/>
          <w:sz w:val="22"/>
          <w:szCs w:val="22"/>
          <w:lang w:val="sk-SK"/>
        </w:rPr>
        <w:tab/>
        <w:t>83/182/17-S</w:t>
      </w:r>
    </w:p>
    <w:p w14:paraId="6DBEAD8C" w14:textId="6A940355" w:rsidR="002121A4" w:rsidRPr="002121A4" w:rsidRDefault="002121A4" w:rsidP="00FD7D56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2121A4">
        <w:rPr>
          <w:rFonts w:ascii="Times New Roman" w:hAnsi="Times New Roman"/>
          <w:sz w:val="22"/>
          <w:szCs w:val="22"/>
          <w:lang w:val="sk-SK"/>
        </w:rPr>
        <w:t>VINER 100mg žuvacie tablety:</w:t>
      </w:r>
      <w:r w:rsidRPr="002121A4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2121A4">
        <w:rPr>
          <w:rFonts w:ascii="Times New Roman" w:hAnsi="Times New Roman"/>
          <w:sz w:val="22"/>
          <w:szCs w:val="22"/>
          <w:lang w:val="sk-SK"/>
        </w:rPr>
        <w:t>83/183/17-S</w:t>
      </w:r>
    </w:p>
    <w:p w14:paraId="5B070769" w14:textId="77777777" w:rsidR="00FD7D56" w:rsidRDefault="00FD7D56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1B5C7135" w14:textId="77777777" w:rsidR="002121A4" w:rsidRPr="00D226A5" w:rsidRDefault="002121A4" w:rsidP="00FD7D56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37B43045" w14:textId="77777777" w:rsidR="00FD7D56" w:rsidRPr="00D226A5" w:rsidRDefault="00E000CA" w:rsidP="00FD7D56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DÁTUM PRVEJ REGISTRÁCIE/ PREDĹŽENIA REGISTRÁCIE</w:t>
      </w:r>
    </w:p>
    <w:p w14:paraId="16AC9AD7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76BCE06D" w14:textId="77777777" w:rsidR="00FD7D56" w:rsidRPr="00D226A5" w:rsidRDefault="00E000CA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Dátum prvej registrácie: </w:t>
      </w:r>
    </w:p>
    <w:p w14:paraId="19543FB6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01CDF37" w14:textId="77777777" w:rsidR="00FD7D56" w:rsidRPr="00D226A5" w:rsidRDefault="00FD7D56" w:rsidP="00FD7D56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EAC205C" w14:textId="77777777" w:rsidR="00FD7D56" w:rsidRPr="00D226A5" w:rsidRDefault="00E000CA" w:rsidP="00FD7D56">
      <w:pPr>
        <w:widowControl w:val="0"/>
        <w:numPr>
          <w:ilvl w:val="0"/>
          <w:numId w:val="8"/>
        </w:numPr>
        <w:jc w:val="both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DÁTUM REVÍZIE TEXTU</w:t>
      </w:r>
    </w:p>
    <w:p w14:paraId="4B50CCF6" w14:textId="77777777" w:rsidR="002121A4" w:rsidRDefault="002121A4" w:rsidP="002121A4">
      <w:pPr>
        <w:widowControl w:val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27A5A433" w14:textId="18990841" w:rsidR="005F034E" w:rsidRPr="002121A4" w:rsidRDefault="005F034E" w:rsidP="002121A4">
      <w:pPr>
        <w:widowControl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2121A4">
        <w:rPr>
          <w:rFonts w:ascii="Times New Roman" w:hAnsi="Times New Roman"/>
          <w:sz w:val="22"/>
          <w:szCs w:val="22"/>
          <w:lang w:val="sk-SK"/>
        </w:rPr>
        <w:t>06/2017</w:t>
      </w:r>
      <w:bookmarkStart w:id="0" w:name="_GoBack"/>
      <w:bookmarkEnd w:id="0"/>
    </w:p>
    <w:sectPr w:rsidR="005F034E" w:rsidRPr="002121A4" w:rsidSect="00D226A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1418" w:left="1134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D6849" w14:textId="77777777" w:rsidR="00772A47" w:rsidRPr="00AC5922" w:rsidRDefault="00772A47">
      <w:pPr>
        <w:rPr>
          <w:rFonts w:cs="Arial"/>
          <w:lang w:val="sk-SK"/>
        </w:rPr>
      </w:pPr>
      <w:r w:rsidRPr="00AC5922">
        <w:rPr>
          <w:rFonts w:cs="Arial"/>
          <w:lang w:val="sk-SK"/>
        </w:rPr>
        <w:separator/>
      </w:r>
    </w:p>
  </w:endnote>
  <w:endnote w:type="continuationSeparator" w:id="0">
    <w:p w14:paraId="55DF45A0" w14:textId="77777777" w:rsidR="00772A47" w:rsidRPr="00AC5922" w:rsidRDefault="00772A47">
      <w:pPr>
        <w:rPr>
          <w:rFonts w:cs="Arial"/>
          <w:lang w:val="sk-SK"/>
        </w:rPr>
      </w:pPr>
      <w:r w:rsidRPr="00AC5922">
        <w:rPr>
          <w:rFonts w:cs="Arial"/>
          <w:lang w:val="sk-S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53696" w14:textId="77777777" w:rsidR="00667B9F" w:rsidRPr="00AC5922" w:rsidRDefault="00AD02DC" w:rsidP="00ED0DB9">
    <w:pPr>
      <w:pStyle w:val="Pta"/>
      <w:framePr w:wrap="around" w:vAnchor="text" w:hAnchor="margin" w:xAlign="right" w:y="1"/>
      <w:rPr>
        <w:rStyle w:val="slostrany"/>
        <w:rFonts w:cs="Arial"/>
        <w:sz w:val="9"/>
        <w:lang w:val="sk-SK"/>
      </w:rPr>
    </w:pPr>
    <w:r w:rsidRPr="00AC5922">
      <w:rPr>
        <w:rStyle w:val="slostrany"/>
        <w:rFonts w:cs="Arial"/>
        <w:sz w:val="9"/>
        <w:lang w:val="sk-SK"/>
      </w:rPr>
      <w:fldChar w:fldCharType="begin"/>
    </w:r>
    <w:r w:rsidR="00667B9F" w:rsidRPr="00AC5922">
      <w:rPr>
        <w:rStyle w:val="slostrany"/>
        <w:rFonts w:cs="Arial"/>
        <w:sz w:val="9"/>
        <w:lang w:val="sk-SK"/>
      </w:rPr>
      <w:instrText xml:space="preserve">PAGE  </w:instrText>
    </w:r>
    <w:r w:rsidRPr="00AC5922">
      <w:rPr>
        <w:rStyle w:val="slostrany"/>
        <w:rFonts w:cs="Arial"/>
        <w:sz w:val="9"/>
        <w:lang w:val="sk-SK"/>
      </w:rPr>
      <w:fldChar w:fldCharType="separate"/>
    </w:r>
    <w:r w:rsidR="00667B9F" w:rsidRPr="00AC5922">
      <w:rPr>
        <w:rStyle w:val="slostrany"/>
        <w:rFonts w:cs="Arial"/>
        <w:noProof/>
        <w:sz w:val="9"/>
        <w:lang w:val="sk-SK"/>
      </w:rPr>
      <w:t>9</w:t>
    </w:r>
    <w:r w:rsidRPr="00AC5922">
      <w:rPr>
        <w:rStyle w:val="slostrany"/>
        <w:rFonts w:cs="Arial"/>
        <w:sz w:val="9"/>
        <w:lang w:val="sk-SK"/>
      </w:rPr>
      <w:fldChar w:fldCharType="end"/>
    </w:r>
  </w:p>
  <w:p w14:paraId="619C04FD" w14:textId="77777777" w:rsidR="00667B9F" w:rsidRPr="00AC5922" w:rsidRDefault="00667B9F">
    <w:pPr>
      <w:pStyle w:val="Pta"/>
      <w:ind w:right="360"/>
      <w:rPr>
        <w:rFonts w:cs="Arial"/>
        <w:sz w:val="9"/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9163" w14:textId="77777777" w:rsidR="00667B9F" w:rsidRPr="00D226A5" w:rsidRDefault="00AD02DC">
    <w:pPr>
      <w:pStyle w:val="Pta"/>
      <w:jc w:val="center"/>
      <w:rPr>
        <w:rFonts w:ascii="Times New Roman" w:hAnsi="Times New Roman"/>
        <w:sz w:val="18"/>
        <w:szCs w:val="18"/>
      </w:rPr>
    </w:pPr>
    <w:r w:rsidRPr="00CF6E6C">
      <w:rPr>
        <w:rFonts w:ascii="Times New Roman" w:hAnsi="Times New Roman"/>
        <w:sz w:val="18"/>
        <w:szCs w:val="18"/>
      </w:rPr>
      <w:fldChar w:fldCharType="begin"/>
    </w:r>
    <w:r w:rsidR="00CF6E6C" w:rsidRPr="00CF6E6C">
      <w:rPr>
        <w:rFonts w:ascii="Times New Roman" w:hAnsi="Times New Roman"/>
        <w:sz w:val="18"/>
        <w:szCs w:val="18"/>
      </w:rPr>
      <w:instrText xml:space="preserve"> PAGE   \* MERGEFORMAT </w:instrText>
    </w:r>
    <w:r w:rsidRPr="00CF6E6C">
      <w:rPr>
        <w:rFonts w:ascii="Times New Roman" w:hAnsi="Times New Roman"/>
        <w:sz w:val="18"/>
        <w:szCs w:val="18"/>
      </w:rPr>
      <w:fldChar w:fldCharType="separate"/>
    </w:r>
    <w:r w:rsidR="002121A4">
      <w:rPr>
        <w:rFonts w:ascii="Times New Roman" w:hAnsi="Times New Roman"/>
        <w:noProof/>
        <w:sz w:val="18"/>
        <w:szCs w:val="18"/>
      </w:rPr>
      <w:t>10</w:t>
    </w:r>
    <w:r w:rsidRPr="00CF6E6C">
      <w:rPr>
        <w:rFonts w:ascii="Times New Roman" w:hAnsi="Times New Roman"/>
        <w:sz w:val="18"/>
        <w:szCs w:val="18"/>
      </w:rPr>
      <w:fldChar w:fldCharType="end"/>
    </w:r>
  </w:p>
  <w:p w14:paraId="00D461C1" w14:textId="77777777" w:rsidR="00667B9F" w:rsidRPr="00AC5922" w:rsidRDefault="00667B9F">
    <w:pPr>
      <w:pStyle w:val="Pta"/>
      <w:ind w:right="360"/>
      <w:rPr>
        <w:rFonts w:cs="Arial"/>
        <w:lang w:val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00743" w14:textId="77777777" w:rsidR="00667B9F" w:rsidRPr="00D226A5" w:rsidRDefault="00AD02DC">
    <w:pPr>
      <w:pStyle w:val="Pta"/>
      <w:jc w:val="center"/>
      <w:rPr>
        <w:rFonts w:ascii="Times New Roman" w:hAnsi="Times New Roman"/>
        <w:sz w:val="18"/>
        <w:szCs w:val="18"/>
      </w:rPr>
    </w:pPr>
    <w:r w:rsidRPr="00CF6E6C">
      <w:rPr>
        <w:rFonts w:ascii="Times New Roman" w:hAnsi="Times New Roman"/>
        <w:sz w:val="18"/>
        <w:szCs w:val="18"/>
      </w:rPr>
      <w:fldChar w:fldCharType="begin"/>
    </w:r>
    <w:r w:rsidR="00CF6E6C" w:rsidRPr="00CF6E6C">
      <w:rPr>
        <w:rFonts w:ascii="Times New Roman" w:hAnsi="Times New Roman"/>
        <w:sz w:val="18"/>
        <w:szCs w:val="18"/>
      </w:rPr>
      <w:instrText xml:space="preserve"> PAGE   \* MERGEFORMAT </w:instrText>
    </w:r>
    <w:r w:rsidRPr="00CF6E6C">
      <w:rPr>
        <w:rFonts w:ascii="Times New Roman" w:hAnsi="Times New Roman"/>
        <w:sz w:val="18"/>
        <w:szCs w:val="18"/>
      </w:rPr>
      <w:fldChar w:fldCharType="separate"/>
    </w:r>
    <w:r w:rsidR="002121A4">
      <w:rPr>
        <w:rFonts w:ascii="Times New Roman" w:hAnsi="Times New Roman"/>
        <w:noProof/>
        <w:sz w:val="18"/>
        <w:szCs w:val="18"/>
      </w:rPr>
      <w:t>1</w:t>
    </w:r>
    <w:r w:rsidRPr="00CF6E6C">
      <w:rPr>
        <w:rFonts w:ascii="Times New Roman" w:hAnsi="Times New Roman"/>
        <w:sz w:val="18"/>
        <w:szCs w:val="18"/>
      </w:rPr>
      <w:fldChar w:fldCharType="end"/>
    </w:r>
  </w:p>
  <w:p w14:paraId="67236476" w14:textId="77777777" w:rsidR="00667B9F" w:rsidRDefault="00667B9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952EB" w14:textId="77777777" w:rsidR="00772A47" w:rsidRPr="00AC5922" w:rsidRDefault="00772A47">
      <w:pPr>
        <w:rPr>
          <w:rFonts w:cs="Arial"/>
          <w:lang w:val="sk-SK"/>
        </w:rPr>
      </w:pPr>
      <w:r w:rsidRPr="00AC5922">
        <w:rPr>
          <w:rFonts w:cs="Arial"/>
          <w:lang w:val="sk-SK"/>
        </w:rPr>
        <w:separator/>
      </w:r>
    </w:p>
  </w:footnote>
  <w:footnote w:type="continuationSeparator" w:id="0">
    <w:p w14:paraId="5E7869BF" w14:textId="77777777" w:rsidR="00772A47" w:rsidRPr="00AC5922" w:rsidRDefault="00772A47">
      <w:pPr>
        <w:rPr>
          <w:rFonts w:cs="Arial"/>
          <w:lang w:val="sk-SK"/>
        </w:rPr>
      </w:pPr>
      <w:r w:rsidRPr="00AC5922">
        <w:rPr>
          <w:rFonts w:cs="Arial"/>
          <w:lang w:val="sk-S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CD66" w14:textId="77777777" w:rsidR="00667B9F" w:rsidRPr="006E1430" w:rsidRDefault="00667B9F" w:rsidP="00D226A5">
    <w:pPr>
      <w:widowControl w:val="0"/>
      <w:spacing w:line="240" w:lineRule="exact"/>
      <w:rPr>
        <w:rFonts w:ascii="Times New Roman" w:hAnsi="Times New Roman"/>
        <w:noProof/>
        <w:sz w:val="18"/>
        <w:szCs w:val="18"/>
        <w:lang w:val="sk-SK"/>
      </w:rPr>
    </w:pPr>
    <w:r w:rsidRPr="006E1430">
      <w:rPr>
        <w:rFonts w:ascii="Times New Roman" w:hAnsi="Times New Roman"/>
        <w:noProof/>
        <w:sz w:val="18"/>
        <w:szCs w:val="18"/>
        <w:lang w:val="sk-SK"/>
      </w:rPr>
      <w:t>Schválený text k rozhodnutiu o registrácii, ev. č.:</w:t>
    </w:r>
    <w:r>
      <w:rPr>
        <w:rFonts w:ascii="Times New Roman" w:hAnsi="Times New Roman"/>
        <w:noProof/>
        <w:sz w:val="18"/>
        <w:szCs w:val="18"/>
        <w:lang w:val="sk-SK"/>
      </w:rPr>
      <w:t xml:space="preserve"> 2014/06812</w:t>
    </w:r>
    <w:r w:rsidR="00793F18">
      <w:rPr>
        <w:rFonts w:ascii="Times New Roman" w:hAnsi="Times New Roman"/>
        <w:noProof/>
        <w:sz w:val="18"/>
        <w:szCs w:val="18"/>
        <w:lang w:val="sk-SK"/>
      </w:rPr>
      <w:t>-REG</w:t>
    </w:r>
    <w:r>
      <w:rPr>
        <w:rFonts w:ascii="Times New Roman" w:hAnsi="Times New Roman"/>
        <w:noProof/>
        <w:sz w:val="18"/>
        <w:szCs w:val="18"/>
        <w:lang w:val="sk-SK"/>
      </w:rPr>
      <w:t>, 2014/06814</w:t>
    </w:r>
    <w:r w:rsidR="00793F18">
      <w:rPr>
        <w:rFonts w:ascii="Times New Roman" w:hAnsi="Times New Roman"/>
        <w:noProof/>
        <w:sz w:val="18"/>
        <w:szCs w:val="18"/>
        <w:lang w:val="sk-SK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3B2B90"/>
    <w:multiLevelType w:val="multilevel"/>
    <w:tmpl w:val="D17636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9E799B"/>
    <w:multiLevelType w:val="multilevel"/>
    <w:tmpl w:val="1414C8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F6B7E89"/>
    <w:multiLevelType w:val="hybridMultilevel"/>
    <w:tmpl w:val="24BED484"/>
    <w:lvl w:ilvl="0" w:tplc="5498DBC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A28D5"/>
    <w:multiLevelType w:val="hybridMultilevel"/>
    <w:tmpl w:val="7D9A2466"/>
    <w:lvl w:ilvl="0" w:tplc="EBB6243C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AD7EDD"/>
    <w:multiLevelType w:val="hybridMultilevel"/>
    <w:tmpl w:val="6F9E6DB4"/>
    <w:lvl w:ilvl="0" w:tplc="5498DBC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C30A0"/>
    <w:multiLevelType w:val="hybridMultilevel"/>
    <w:tmpl w:val="5A527F88"/>
    <w:lvl w:ilvl="0" w:tplc="E3C23396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E6DC1FA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2" w:tplc="C2DCF7C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 w:tplc="C79426DC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84BA9"/>
    <w:multiLevelType w:val="hybridMultilevel"/>
    <w:tmpl w:val="B6EAC01A"/>
    <w:lvl w:ilvl="0" w:tplc="E3C23396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E6DC1FA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2" w:tplc="C2DCF7C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C385A"/>
    <w:multiLevelType w:val="hybridMultilevel"/>
    <w:tmpl w:val="0C4E4B26"/>
    <w:lvl w:ilvl="0" w:tplc="709C813A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414A44"/>
    <w:multiLevelType w:val="hybridMultilevel"/>
    <w:tmpl w:val="B150FB66"/>
    <w:lvl w:ilvl="0" w:tplc="EBB6243C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A03550"/>
    <w:multiLevelType w:val="multilevel"/>
    <w:tmpl w:val="35AC8A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F01CEE"/>
    <w:multiLevelType w:val="hybridMultilevel"/>
    <w:tmpl w:val="28580F9C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DB4C5C"/>
    <w:multiLevelType w:val="hybridMultilevel"/>
    <w:tmpl w:val="8FE4A4E4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6FB5032"/>
    <w:multiLevelType w:val="hybridMultilevel"/>
    <w:tmpl w:val="CFE62E1E"/>
    <w:lvl w:ilvl="0" w:tplc="EBB6243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F73C6"/>
    <w:multiLevelType w:val="multilevel"/>
    <w:tmpl w:val="6C4C3A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53D53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530E22"/>
    <w:multiLevelType w:val="multilevel"/>
    <w:tmpl w:val="B1F21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CF2736"/>
    <w:multiLevelType w:val="multilevel"/>
    <w:tmpl w:val="000E7C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A74C7"/>
    <w:multiLevelType w:val="hybridMultilevel"/>
    <w:tmpl w:val="B1E63BCE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732F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3D795F"/>
    <w:multiLevelType w:val="hybridMultilevel"/>
    <w:tmpl w:val="F634DF20"/>
    <w:lvl w:ilvl="0" w:tplc="EBB6243C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</w:rPr>
    </w:lvl>
    <w:lvl w:ilvl="1" w:tplc="25CA0832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1039C7"/>
    <w:multiLevelType w:val="hybridMultilevel"/>
    <w:tmpl w:val="AA7278D6"/>
    <w:lvl w:ilvl="0" w:tplc="E3C23396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32D91"/>
    <w:multiLevelType w:val="hybridMultilevel"/>
    <w:tmpl w:val="CBCE2F38"/>
    <w:lvl w:ilvl="0" w:tplc="041B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EB727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7D67F6"/>
    <w:multiLevelType w:val="hybridMultilevel"/>
    <w:tmpl w:val="3AAA0B4A"/>
    <w:lvl w:ilvl="0" w:tplc="E3C23396">
      <w:start w:val="1"/>
      <w:numFmt w:val="bullet"/>
      <w:lvlText w:val="-"/>
      <w:lvlJc w:val="left"/>
      <w:pPr>
        <w:tabs>
          <w:tab w:val="num" w:pos="1789"/>
        </w:tabs>
        <w:ind w:left="1786" w:hanging="357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D6330F"/>
    <w:multiLevelType w:val="hybridMultilevel"/>
    <w:tmpl w:val="08D2B17E"/>
    <w:lvl w:ilvl="0" w:tplc="EBB6243C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A4509E"/>
    <w:multiLevelType w:val="hybridMultilevel"/>
    <w:tmpl w:val="62328F48"/>
    <w:lvl w:ilvl="0" w:tplc="E30A99D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15"/>
  </w:num>
  <w:num w:numId="4">
    <w:abstractNumId w:val="23"/>
  </w:num>
  <w:num w:numId="5">
    <w:abstractNumId w:val="14"/>
  </w:num>
  <w:num w:numId="6">
    <w:abstractNumId w:val="10"/>
  </w:num>
  <w:num w:numId="7">
    <w:abstractNumId w:val="2"/>
  </w:num>
  <w:num w:numId="8">
    <w:abstractNumId w:val="8"/>
  </w:num>
  <w:num w:numId="9">
    <w:abstractNumId w:val="13"/>
  </w:num>
  <w:num w:numId="10">
    <w:abstractNumId w:val="4"/>
  </w:num>
  <w:num w:numId="11">
    <w:abstractNumId w:val="25"/>
  </w:num>
  <w:num w:numId="12">
    <w:abstractNumId w:val="20"/>
  </w:num>
  <w:num w:numId="13">
    <w:abstractNumId w:val="9"/>
  </w:num>
  <w:num w:numId="14">
    <w:abstractNumId w:val="16"/>
  </w:num>
  <w:num w:numId="15">
    <w:abstractNumId w:val="6"/>
  </w:num>
  <w:num w:numId="16">
    <w:abstractNumId w:val="1"/>
  </w:num>
  <w:num w:numId="17">
    <w:abstractNumId w:val="7"/>
  </w:num>
  <w:num w:numId="18">
    <w:abstractNumId w:val="24"/>
  </w:num>
  <w:num w:numId="19">
    <w:abstractNumId w:val="21"/>
  </w:num>
  <w:num w:numId="20">
    <w:abstractNumId w:val="3"/>
  </w:num>
  <w:num w:numId="21">
    <w:abstractNumId w:val="5"/>
  </w:num>
  <w:num w:numId="22">
    <w:abstractNumId w:val="12"/>
  </w:num>
  <w:num w:numId="23">
    <w:abstractNumId w:val="18"/>
  </w:num>
  <w:num w:numId="24">
    <w:abstractNumId w:val="11"/>
  </w:num>
  <w:num w:numId="25">
    <w:abstractNumId w:val="22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60"/>
    <w:rsid w:val="00013B3F"/>
    <w:rsid w:val="0002310B"/>
    <w:rsid w:val="00032F56"/>
    <w:rsid w:val="000507A3"/>
    <w:rsid w:val="000516F4"/>
    <w:rsid w:val="0005490F"/>
    <w:rsid w:val="00057F91"/>
    <w:rsid w:val="00063786"/>
    <w:rsid w:val="000923FD"/>
    <w:rsid w:val="00093A4C"/>
    <w:rsid w:val="00096BD5"/>
    <w:rsid w:val="000A597D"/>
    <w:rsid w:val="000C5B4B"/>
    <w:rsid w:val="000C7391"/>
    <w:rsid w:val="000D139A"/>
    <w:rsid w:val="000D196B"/>
    <w:rsid w:val="000D3DC2"/>
    <w:rsid w:val="000D728E"/>
    <w:rsid w:val="000E03CE"/>
    <w:rsid w:val="000E769E"/>
    <w:rsid w:val="000F0A4C"/>
    <w:rsid w:val="000F526E"/>
    <w:rsid w:val="0010438F"/>
    <w:rsid w:val="00106E88"/>
    <w:rsid w:val="0010752F"/>
    <w:rsid w:val="0011181F"/>
    <w:rsid w:val="00113485"/>
    <w:rsid w:val="001232AF"/>
    <w:rsid w:val="00124125"/>
    <w:rsid w:val="00131ED6"/>
    <w:rsid w:val="001324C3"/>
    <w:rsid w:val="00146630"/>
    <w:rsid w:val="0016098D"/>
    <w:rsid w:val="00162C26"/>
    <w:rsid w:val="0016499C"/>
    <w:rsid w:val="001727FA"/>
    <w:rsid w:val="00175B51"/>
    <w:rsid w:val="00180681"/>
    <w:rsid w:val="001849E4"/>
    <w:rsid w:val="001A0063"/>
    <w:rsid w:val="001B17BC"/>
    <w:rsid w:val="001C4448"/>
    <w:rsid w:val="001D02CC"/>
    <w:rsid w:val="001F3CE8"/>
    <w:rsid w:val="001F56CE"/>
    <w:rsid w:val="001F7941"/>
    <w:rsid w:val="00205C63"/>
    <w:rsid w:val="002121A4"/>
    <w:rsid w:val="00216099"/>
    <w:rsid w:val="002206FD"/>
    <w:rsid w:val="002247C0"/>
    <w:rsid w:val="00233A3D"/>
    <w:rsid w:val="00234B73"/>
    <w:rsid w:val="0023599C"/>
    <w:rsid w:val="00253732"/>
    <w:rsid w:val="002631B5"/>
    <w:rsid w:val="00267637"/>
    <w:rsid w:val="0027677C"/>
    <w:rsid w:val="002807D0"/>
    <w:rsid w:val="00281CC7"/>
    <w:rsid w:val="002859EC"/>
    <w:rsid w:val="0029098B"/>
    <w:rsid w:val="002A03A9"/>
    <w:rsid w:val="002A22C2"/>
    <w:rsid w:val="002B3253"/>
    <w:rsid w:val="002D5906"/>
    <w:rsid w:val="002D5A22"/>
    <w:rsid w:val="002E4E01"/>
    <w:rsid w:val="002F0ED7"/>
    <w:rsid w:val="003005A2"/>
    <w:rsid w:val="003134E2"/>
    <w:rsid w:val="0033035B"/>
    <w:rsid w:val="003309C3"/>
    <w:rsid w:val="00331B21"/>
    <w:rsid w:val="003416AA"/>
    <w:rsid w:val="0034550B"/>
    <w:rsid w:val="00354631"/>
    <w:rsid w:val="00372941"/>
    <w:rsid w:val="00376587"/>
    <w:rsid w:val="0038259B"/>
    <w:rsid w:val="00382B0C"/>
    <w:rsid w:val="00387B36"/>
    <w:rsid w:val="00393A95"/>
    <w:rsid w:val="00395DA1"/>
    <w:rsid w:val="003A19A9"/>
    <w:rsid w:val="003B7F67"/>
    <w:rsid w:val="003C2EE2"/>
    <w:rsid w:val="003C49BA"/>
    <w:rsid w:val="003C55E3"/>
    <w:rsid w:val="003E28E9"/>
    <w:rsid w:val="003E2EC0"/>
    <w:rsid w:val="00404CDB"/>
    <w:rsid w:val="00404CF7"/>
    <w:rsid w:val="00410808"/>
    <w:rsid w:val="00424356"/>
    <w:rsid w:val="00424A5F"/>
    <w:rsid w:val="00427201"/>
    <w:rsid w:val="0043142B"/>
    <w:rsid w:val="00447225"/>
    <w:rsid w:val="00480ECC"/>
    <w:rsid w:val="00480EFC"/>
    <w:rsid w:val="0048524C"/>
    <w:rsid w:val="00486DF9"/>
    <w:rsid w:val="0049596B"/>
    <w:rsid w:val="0049669F"/>
    <w:rsid w:val="004A07DB"/>
    <w:rsid w:val="004A23C6"/>
    <w:rsid w:val="004A4B2C"/>
    <w:rsid w:val="004B71D0"/>
    <w:rsid w:val="004C0B45"/>
    <w:rsid w:val="004C40E6"/>
    <w:rsid w:val="004F47F9"/>
    <w:rsid w:val="004F6D43"/>
    <w:rsid w:val="0050307B"/>
    <w:rsid w:val="00505581"/>
    <w:rsid w:val="00510F56"/>
    <w:rsid w:val="00516826"/>
    <w:rsid w:val="00516A23"/>
    <w:rsid w:val="0052628D"/>
    <w:rsid w:val="00541AF3"/>
    <w:rsid w:val="0054298B"/>
    <w:rsid w:val="005431FE"/>
    <w:rsid w:val="005560AA"/>
    <w:rsid w:val="00581780"/>
    <w:rsid w:val="00582678"/>
    <w:rsid w:val="005969F9"/>
    <w:rsid w:val="005B0372"/>
    <w:rsid w:val="005B2768"/>
    <w:rsid w:val="005B61DA"/>
    <w:rsid w:val="005C4046"/>
    <w:rsid w:val="005D28C7"/>
    <w:rsid w:val="005D2E62"/>
    <w:rsid w:val="005D521B"/>
    <w:rsid w:val="005D7B05"/>
    <w:rsid w:val="005E0A7C"/>
    <w:rsid w:val="005E3513"/>
    <w:rsid w:val="005F034E"/>
    <w:rsid w:val="005F4C1B"/>
    <w:rsid w:val="005F4CAF"/>
    <w:rsid w:val="00610898"/>
    <w:rsid w:val="006121B7"/>
    <w:rsid w:val="0061428F"/>
    <w:rsid w:val="006212B5"/>
    <w:rsid w:val="0062349A"/>
    <w:rsid w:val="0062515C"/>
    <w:rsid w:val="00625760"/>
    <w:rsid w:val="00630CB7"/>
    <w:rsid w:val="00645883"/>
    <w:rsid w:val="006641A4"/>
    <w:rsid w:val="00667B9F"/>
    <w:rsid w:val="006729EF"/>
    <w:rsid w:val="006752FD"/>
    <w:rsid w:val="006755BD"/>
    <w:rsid w:val="00675F12"/>
    <w:rsid w:val="006944E1"/>
    <w:rsid w:val="00697720"/>
    <w:rsid w:val="006A15F2"/>
    <w:rsid w:val="006B5A11"/>
    <w:rsid w:val="006C209A"/>
    <w:rsid w:val="006E1251"/>
    <w:rsid w:val="006E1430"/>
    <w:rsid w:val="006E4312"/>
    <w:rsid w:val="006F5B50"/>
    <w:rsid w:val="006F7E78"/>
    <w:rsid w:val="00700C5D"/>
    <w:rsid w:val="0070753B"/>
    <w:rsid w:val="00707EC5"/>
    <w:rsid w:val="00711243"/>
    <w:rsid w:val="00712460"/>
    <w:rsid w:val="00717D3C"/>
    <w:rsid w:val="007314FF"/>
    <w:rsid w:val="0074266E"/>
    <w:rsid w:val="00742ACD"/>
    <w:rsid w:val="007443EA"/>
    <w:rsid w:val="0074741F"/>
    <w:rsid w:val="00747F1B"/>
    <w:rsid w:val="0075383A"/>
    <w:rsid w:val="007538D8"/>
    <w:rsid w:val="0077076B"/>
    <w:rsid w:val="00772A47"/>
    <w:rsid w:val="007741B4"/>
    <w:rsid w:val="0078421C"/>
    <w:rsid w:val="0078487B"/>
    <w:rsid w:val="00793F18"/>
    <w:rsid w:val="007C14AD"/>
    <w:rsid w:val="007D11A0"/>
    <w:rsid w:val="007D7940"/>
    <w:rsid w:val="007D7C78"/>
    <w:rsid w:val="007F57E6"/>
    <w:rsid w:val="007F69FF"/>
    <w:rsid w:val="007F7ACD"/>
    <w:rsid w:val="0080773E"/>
    <w:rsid w:val="00815ADC"/>
    <w:rsid w:val="008224E4"/>
    <w:rsid w:val="008253EA"/>
    <w:rsid w:val="008272B3"/>
    <w:rsid w:val="00831B61"/>
    <w:rsid w:val="00833A13"/>
    <w:rsid w:val="00835E58"/>
    <w:rsid w:val="00836222"/>
    <w:rsid w:val="00840D96"/>
    <w:rsid w:val="008503C8"/>
    <w:rsid w:val="00851884"/>
    <w:rsid w:val="00862EFC"/>
    <w:rsid w:val="00870363"/>
    <w:rsid w:val="00874C6D"/>
    <w:rsid w:val="00880D82"/>
    <w:rsid w:val="00883E6F"/>
    <w:rsid w:val="00884151"/>
    <w:rsid w:val="008909E0"/>
    <w:rsid w:val="00891B8F"/>
    <w:rsid w:val="00896E16"/>
    <w:rsid w:val="008A316A"/>
    <w:rsid w:val="008C24FD"/>
    <w:rsid w:val="008C2682"/>
    <w:rsid w:val="008C38AC"/>
    <w:rsid w:val="008F65BB"/>
    <w:rsid w:val="008F7527"/>
    <w:rsid w:val="009025FA"/>
    <w:rsid w:val="0090774D"/>
    <w:rsid w:val="009222DE"/>
    <w:rsid w:val="009319F7"/>
    <w:rsid w:val="00934F05"/>
    <w:rsid w:val="00953AC3"/>
    <w:rsid w:val="00964237"/>
    <w:rsid w:val="0097300A"/>
    <w:rsid w:val="0097555E"/>
    <w:rsid w:val="009802E2"/>
    <w:rsid w:val="00981CD1"/>
    <w:rsid w:val="00992B08"/>
    <w:rsid w:val="009A6AE7"/>
    <w:rsid w:val="009B359F"/>
    <w:rsid w:val="009D4F89"/>
    <w:rsid w:val="009E2BFE"/>
    <w:rsid w:val="009F1D9D"/>
    <w:rsid w:val="00A006D9"/>
    <w:rsid w:val="00A00B65"/>
    <w:rsid w:val="00A05240"/>
    <w:rsid w:val="00A12B02"/>
    <w:rsid w:val="00A16727"/>
    <w:rsid w:val="00A252D5"/>
    <w:rsid w:val="00A304F4"/>
    <w:rsid w:val="00A373EC"/>
    <w:rsid w:val="00A46DAC"/>
    <w:rsid w:val="00A52635"/>
    <w:rsid w:val="00A7699E"/>
    <w:rsid w:val="00A96ABB"/>
    <w:rsid w:val="00AB7C52"/>
    <w:rsid w:val="00AC3069"/>
    <w:rsid w:val="00AC5922"/>
    <w:rsid w:val="00AD02DC"/>
    <w:rsid w:val="00AE2E98"/>
    <w:rsid w:val="00AE52BD"/>
    <w:rsid w:val="00AE5C80"/>
    <w:rsid w:val="00B0527A"/>
    <w:rsid w:val="00B11246"/>
    <w:rsid w:val="00B15F9C"/>
    <w:rsid w:val="00B34661"/>
    <w:rsid w:val="00B437EF"/>
    <w:rsid w:val="00B562E4"/>
    <w:rsid w:val="00B9227F"/>
    <w:rsid w:val="00BA3773"/>
    <w:rsid w:val="00BA3ADA"/>
    <w:rsid w:val="00BA5BD6"/>
    <w:rsid w:val="00BB382D"/>
    <w:rsid w:val="00BB4C54"/>
    <w:rsid w:val="00BB7E50"/>
    <w:rsid w:val="00BC0802"/>
    <w:rsid w:val="00BC3B59"/>
    <w:rsid w:val="00BC52A3"/>
    <w:rsid w:val="00BC6B57"/>
    <w:rsid w:val="00BD379F"/>
    <w:rsid w:val="00C03846"/>
    <w:rsid w:val="00C12E73"/>
    <w:rsid w:val="00C22DA8"/>
    <w:rsid w:val="00C35BDA"/>
    <w:rsid w:val="00C42ADB"/>
    <w:rsid w:val="00C54B17"/>
    <w:rsid w:val="00C62755"/>
    <w:rsid w:val="00C81333"/>
    <w:rsid w:val="00C85969"/>
    <w:rsid w:val="00C9452C"/>
    <w:rsid w:val="00C979CE"/>
    <w:rsid w:val="00CB3892"/>
    <w:rsid w:val="00CC2709"/>
    <w:rsid w:val="00CC39E1"/>
    <w:rsid w:val="00CD5484"/>
    <w:rsid w:val="00CE2EE9"/>
    <w:rsid w:val="00CF0479"/>
    <w:rsid w:val="00CF2059"/>
    <w:rsid w:val="00CF4956"/>
    <w:rsid w:val="00CF5D16"/>
    <w:rsid w:val="00CF6E6C"/>
    <w:rsid w:val="00D03D43"/>
    <w:rsid w:val="00D226A5"/>
    <w:rsid w:val="00D30F43"/>
    <w:rsid w:val="00D6090E"/>
    <w:rsid w:val="00D6686C"/>
    <w:rsid w:val="00D8415D"/>
    <w:rsid w:val="00D91E3E"/>
    <w:rsid w:val="00DA7614"/>
    <w:rsid w:val="00DC1D24"/>
    <w:rsid w:val="00DC3D35"/>
    <w:rsid w:val="00DD0B1D"/>
    <w:rsid w:val="00DE4113"/>
    <w:rsid w:val="00DE4E0D"/>
    <w:rsid w:val="00DF4F25"/>
    <w:rsid w:val="00E000CA"/>
    <w:rsid w:val="00E14496"/>
    <w:rsid w:val="00E15AEC"/>
    <w:rsid w:val="00E20413"/>
    <w:rsid w:val="00E2484D"/>
    <w:rsid w:val="00E35CDB"/>
    <w:rsid w:val="00E517DA"/>
    <w:rsid w:val="00E523F1"/>
    <w:rsid w:val="00E525F7"/>
    <w:rsid w:val="00E600B0"/>
    <w:rsid w:val="00E82C29"/>
    <w:rsid w:val="00E86C7A"/>
    <w:rsid w:val="00E96965"/>
    <w:rsid w:val="00EA3A07"/>
    <w:rsid w:val="00EA55F8"/>
    <w:rsid w:val="00EB7D56"/>
    <w:rsid w:val="00EC1484"/>
    <w:rsid w:val="00ED0DB9"/>
    <w:rsid w:val="00ED1560"/>
    <w:rsid w:val="00ED7057"/>
    <w:rsid w:val="00EE1616"/>
    <w:rsid w:val="00EE3BB9"/>
    <w:rsid w:val="00EE6B95"/>
    <w:rsid w:val="00EF6D25"/>
    <w:rsid w:val="00EF72CA"/>
    <w:rsid w:val="00F14DE5"/>
    <w:rsid w:val="00F17BC2"/>
    <w:rsid w:val="00F17FF3"/>
    <w:rsid w:val="00F26C75"/>
    <w:rsid w:val="00F51866"/>
    <w:rsid w:val="00F57B86"/>
    <w:rsid w:val="00F60A5F"/>
    <w:rsid w:val="00F71E03"/>
    <w:rsid w:val="00F7337D"/>
    <w:rsid w:val="00F80256"/>
    <w:rsid w:val="00F85906"/>
    <w:rsid w:val="00F8633C"/>
    <w:rsid w:val="00F91471"/>
    <w:rsid w:val="00FA1043"/>
    <w:rsid w:val="00FA4BE5"/>
    <w:rsid w:val="00FB429C"/>
    <w:rsid w:val="00FB5E99"/>
    <w:rsid w:val="00FC2CA9"/>
    <w:rsid w:val="00FD4ADD"/>
    <w:rsid w:val="00FD5B76"/>
    <w:rsid w:val="00FD5BDB"/>
    <w:rsid w:val="00FD7D56"/>
    <w:rsid w:val="00F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ECEDA7"/>
  <w15:docId w15:val="{46993594-2526-4E02-BAA0-BC14C57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79CE"/>
    <w:rPr>
      <w:rFonts w:ascii="Arial" w:hAnsi="Arial"/>
      <w:sz w:val="24"/>
      <w:lang w:val="en-GB" w:eastAsia="en-US"/>
    </w:rPr>
  </w:style>
  <w:style w:type="paragraph" w:styleId="Nadpis1">
    <w:name w:val="heading 1"/>
    <w:basedOn w:val="Normlny"/>
    <w:next w:val="Normlny"/>
    <w:qFormat/>
    <w:rsid w:val="00C979CE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C979CE"/>
    <w:pPr>
      <w:keepNext/>
      <w:ind w:left="709"/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C979CE"/>
    <w:pPr>
      <w:keepNext/>
      <w:ind w:firstLine="720"/>
      <w:jc w:val="both"/>
      <w:outlineLvl w:val="2"/>
    </w:pPr>
    <w:rPr>
      <w:rFonts w:ascii="Times New Roman" w:hAnsi="Times New Roman"/>
      <w:bCs/>
      <w:i/>
    </w:rPr>
  </w:style>
  <w:style w:type="paragraph" w:styleId="Nadpis4">
    <w:name w:val="heading 4"/>
    <w:basedOn w:val="Normlny"/>
    <w:next w:val="Normlny"/>
    <w:qFormat/>
    <w:rsid w:val="00C979CE"/>
    <w:pPr>
      <w:keepNext/>
      <w:ind w:firstLine="709"/>
      <w:jc w:val="both"/>
      <w:outlineLvl w:val="3"/>
    </w:pPr>
    <w:rPr>
      <w:rFonts w:ascii="Times New Roman" w:hAnsi="Times New Roman"/>
      <w:bCs/>
      <w:i/>
    </w:rPr>
  </w:style>
  <w:style w:type="paragraph" w:styleId="Nadpis5">
    <w:name w:val="heading 5"/>
    <w:basedOn w:val="Normlny"/>
    <w:next w:val="Normlny"/>
    <w:qFormat/>
    <w:rsid w:val="00C979CE"/>
    <w:pPr>
      <w:keepNext/>
      <w:ind w:left="720"/>
      <w:outlineLvl w:val="4"/>
    </w:pPr>
    <w:rPr>
      <w:rFonts w:ascii="Times New Roman" w:hAnsi="Times New Roman"/>
      <w:i/>
      <w:iCs/>
      <w:u w:val="single"/>
    </w:rPr>
  </w:style>
  <w:style w:type="paragraph" w:styleId="Nadpis6">
    <w:name w:val="heading 6"/>
    <w:basedOn w:val="Normlny"/>
    <w:next w:val="Normlny"/>
    <w:qFormat/>
    <w:rsid w:val="00C979CE"/>
    <w:pPr>
      <w:keepNext/>
      <w:ind w:left="720"/>
      <w:jc w:val="both"/>
      <w:outlineLvl w:val="5"/>
    </w:pPr>
    <w:rPr>
      <w:rFonts w:ascii="Times New Roman" w:hAnsi="Times New Roman"/>
      <w:bCs/>
      <w:i/>
      <w:iCs/>
      <w:u w:val="single"/>
    </w:rPr>
  </w:style>
  <w:style w:type="paragraph" w:styleId="Nadpis7">
    <w:name w:val="heading 7"/>
    <w:basedOn w:val="Normlny"/>
    <w:next w:val="Normlny"/>
    <w:qFormat/>
    <w:rsid w:val="00C979CE"/>
    <w:pPr>
      <w:keepNext/>
      <w:ind w:firstLine="709"/>
      <w:jc w:val="both"/>
      <w:outlineLvl w:val="6"/>
    </w:pPr>
    <w:rPr>
      <w:rFonts w:ascii="Times New Roman" w:hAnsi="Times New Roman"/>
      <w:i/>
      <w:iCs/>
      <w:u w:val="single"/>
    </w:rPr>
  </w:style>
  <w:style w:type="paragraph" w:styleId="Nadpis9">
    <w:name w:val="heading 9"/>
    <w:basedOn w:val="Normlny"/>
    <w:next w:val="Normlny"/>
    <w:qFormat/>
    <w:rsid w:val="008503C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979CE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C979CE"/>
  </w:style>
  <w:style w:type="paragraph" w:styleId="Hlavika">
    <w:name w:val="header"/>
    <w:basedOn w:val="Normlny"/>
    <w:rsid w:val="00C979CE"/>
    <w:pPr>
      <w:tabs>
        <w:tab w:val="center" w:pos="4320"/>
        <w:tab w:val="right" w:pos="8640"/>
      </w:tabs>
    </w:pPr>
  </w:style>
  <w:style w:type="paragraph" w:styleId="Zarkazkladnhotextu">
    <w:name w:val="Body Text Indent"/>
    <w:basedOn w:val="Normlny"/>
    <w:rsid w:val="00C979CE"/>
    <w:pPr>
      <w:ind w:left="709"/>
    </w:pPr>
  </w:style>
  <w:style w:type="paragraph" w:styleId="Zarkazkladnhotextu2">
    <w:name w:val="Body Text Indent 2"/>
    <w:aliases w:val="  uvlaka 2"/>
    <w:basedOn w:val="Normlny"/>
    <w:rsid w:val="00C979CE"/>
    <w:pPr>
      <w:ind w:left="709"/>
      <w:jc w:val="both"/>
    </w:pPr>
    <w:rPr>
      <w:sz w:val="22"/>
    </w:rPr>
  </w:style>
  <w:style w:type="paragraph" w:styleId="Normlnywebov">
    <w:name w:val="Normal (Web)"/>
    <w:basedOn w:val="Normlny"/>
    <w:rsid w:val="00C979C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Zarkazkladnhotextu3">
    <w:name w:val="Body Text Indent 3"/>
    <w:basedOn w:val="Normlny"/>
    <w:rsid w:val="00C979CE"/>
    <w:pPr>
      <w:ind w:left="720"/>
    </w:pPr>
    <w:rPr>
      <w:rFonts w:ascii="Times New Roman" w:hAnsi="Times New Roman"/>
    </w:rPr>
  </w:style>
  <w:style w:type="paragraph" w:styleId="Zkladntext">
    <w:name w:val="Body Text"/>
    <w:basedOn w:val="Normlny"/>
    <w:rsid w:val="00C979CE"/>
    <w:rPr>
      <w:rFonts w:ascii="Geneva" w:hAnsi="Geneva"/>
      <w:sz w:val="20"/>
    </w:rPr>
  </w:style>
  <w:style w:type="paragraph" w:styleId="truktradokumentu">
    <w:name w:val="Document Map"/>
    <w:basedOn w:val="Normlny"/>
    <w:semiHidden/>
    <w:rsid w:val="00C979CE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y"/>
    <w:rsid w:val="005B61DA"/>
    <w:pPr>
      <w:spacing w:after="120" w:line="480" w:lineRule="auto"/>
    </w:pPr>
  </w:style>
  <w:style w:type="paragraph" w:styleId="Zkladntext3">
    <w:name w:val="Body Text 3"/>
    <w:basedOn w:val="Normlny"/>
    <w:rsid w:val="00E15AEC"/>
    <w:pPr>
      <w:spacing w:after="120"/>
    </w:pPr>
    <w:rPr>
      <w:sz w:val="16"/>
      <w:szCs w:val="16"/>
    </w:rPr>
  </w:style>
  <w:style w:type="paragraph" w:customStyle="1" w:styleId="a">
    <w:name w:val="("/>
    <w:rsid w:val="00AC3069"/>
    <w:pPr>
      <w:tabs>
        <w:tab w:val="center" w:pos="4819"/>
        <w:tab w:val="right" w:pos="9071"/>
      </w:tabs>
    </w:pPr>
    <w:rPr>
      <w:lang w:val="fr-FR" w:eastAsia="en-US"/>
    </w:rPr>
  </w:style>
  <w:style w:type="paragraph" w:styleId="Nzov">
    <w:name w:val="Title"/>
    <w:basedOn w:val="Normlny"/>
    <w:qFormat/>
    <w:rsid w:val="00FA1043"/>
    <w:pPr>
      <w:widowControl w:val="0"/>
      <w:jc w:val="center"/>
    </w:pPr>
    <w:rPr>
      <w:rFonts w:ascii="Times New Roman" w:hAnsi="Times New Roman"/>
      <w:b/>
      <w:lang w:val="hr-HR" w:eastAsia="hr-HR"/>
    </w:rPr>
  </w:style>
  <w:style w:type="paragraph" w:styleId="Textbubliny">
    <w:name w:val="Balloon Text"/>
    <w:basedOn w:val="Normlny"/>
    <w:semiHidden/>
    <w:rsid w:val="00F71E03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562E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562E4"/>
    <w:rPr>
      <w:sz w:val="20"/>
    </w:rPr>
  </w:style>
  <w:style w:type="character" w:customStyle="1" w:styleId="TextkomentraChar">
    <w:name w:val="Text komentára Char"/>
    <w:link w:val="Textkomentra"/>
    <w:rsid w:val="00B562E4"/>
    <w:rPr>
      <w:rFonts w:ascii="Arial" w:hAnsi="Arial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rsid w:val="00B562E4"/>
    <w:rPr>
      <w:b/>
      <w:bCs/>
    </w:rPr>
  </w:style>
  <w:style w:type="character" w:customStyle="1" w:styleId="PredmetkomentraChar">
    <w:name w:val="Predmet komentára Char"/>
    <w:link w:val="Predmetkomentra"/>
    <w:rsid w:val="00B562E4"/>
    <w:rPr>
      <w:rFonts w:ascii="Arial" w:hAnsi="Arial"/>
      <w:b/>
      <w:bCs/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D226A5"/>
    <w:rPr>
      <w:rFonts w:ascii="Arial" w:hAnsi="Arial"/>
      <w:sz w:val="24"/>
      <w:lang w:val="en-GB" w:eastAsia="en-US"/>
    </w:rPr>
  </w:style>
  <w:style w:type="paragraph" w:styleId="Revzia">
    <w:name w:val="Revision"/>
    <w:hidden/>
    <w:uiPriority w:val="99"/>
    <w:semiHidden/>
    <w:rsid w:val="00667B9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001F-0CE2-498B-9CF8-EBD2F121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5318</Words>
  <Characters>30315</Characters>
  <Application>Microsoft Office Word</Application>
  <DocSecurity>0</DocSecurity>
  <Lines>252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/>
  <LinksUpToDate>false</LinksUpToDate>
  <CharactersWithSpaces>35562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sillova</dc:creator>
  <cp:lastModifiedBy>Kristína Ráczová</cp:lastModifiedBy>
  <cp:revision>4</cp:revision>
  <cp:lastPrinted>2016-06-15T13:35:00Z</cp:lastPrinted>
  <dcterms:created xsi:type="dcterms:W3CDTF">2017-06-15T11:09:00Z</dcterms:created>
  <dcterms:modified xsi:type="dcterms:W3CDTF">2017-06-19T07:36:00Z</dcterms:modified>
</cp:coreProperties>
</file>