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50792" w14:textId="77777777" w:rsidR="009F2C15" w:rsidRPr="00A77D60" w:rsidRDefault="009F2C1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64204BA5" w14:textId="77777777" w:rsidR="004258A1" w:rsidRPr="00A77D60" w:rsidRDefault="004258A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7D60">
        <w:rPr>
          <w:rFonts w:ascii="Times New Roman" w:hAnsi="Times New Roman" w:cs="Times New Roman"/>
          <w:b/>
          <w:sz w:val="22"/>
          <w:szCs w:val="22"/>
        </w:rPr>
        <w:t>SÚHRN CHARAKTERISTICKÝCH VLASTNOSTÍ LIEKU</w:t>
      </w:r>
    </w:p>
    <w:p w14:paraId="4602F074" w14:textId="06C0F17C" w:rsidR="00A11B19" w:rsidRPr="00534791" w:rsidRDefault="00A11B1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2105C7C" w14:textId="77777777" w:rsidR="00A77D60" w:rsidRPr="00534791" w:rsidRDefault="00A77D6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9CF611D" w14:textId="77777777" w:rsidR="004258A1" w:rsidRPr="00534791" w:rsidRDefault="004258A1" w:rsidP="00D95D30">
      <w:pPr>
        <w:pStyle w:val="Nadpis2"/>
      </w:pPr>
      <w:r w:rsidRPr="00534791">
        <w:t>1.</w:t>
      </w:r>
      <w:r w:rsidRPr="00534791">
        <w:tab/>
        <w:t>NÁZOV LIEKU</w:t>
      </w:r>
    </w:p>
    <w:p w14:paraId="23CD809C" w14:textId="77777777" w:rsidR="002F11A6" w:rsidRPr="00534791" w:rsidRDefault="002F11A6">
      <w:pPr>
        <w:rPr>
          <w:rFonts w:ascii="Times New Roman" w:hAnsi="Times New Roman" w:cs="Times New Roman"/>
          <w:b/>
          <w:sz w:val="22"/>
          <w:szCs w:val="22"/>
        </w:rPr>
      </w:pPr>
    </w:p>
    <w:p w14:paraId="4B91AE7C" w14:textId="77777777" w:rsidR="00534791" w:rsidRDefault="00F80D37" w:rsidP="00D95D30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IASOflu 2</w:t>
      </w:r>
      <w:r w:rsidR="00C57055" w:rsidRPr="00534791">
        <w:rPr>
          <w:rFonts w:ascii="Times New Roman" w:hAnsi="Times New Roman" w:cs="Times New Roman"/>
          <w:sz w:val="22"/>
          <w:szCs w:val="22"/>
        </w:rPr>
        <w:t>,</w:t>
      </w:r>
      <w:r w:rsidRPr="00534791">
        <w:rPr>
          <w:rFonts w:ascii="Times New Roman" w:hAnsi="Times New Roman" w:cs="Times New Roman"/>
          <w:sz w:val="22"/>
          <w:szCs w:val="22"/>
        </w:rPr>
        <w:t xml:space="preserve">0 GBq/ml </w:t>
      </w:r>
    </w:p>
    <w:p w14:paraId="2940E1F9" w14:textId="2EDFB226" w:rsidR="004258A1" w:rsidRPr="00534791" w:rsidRDefault="00F80D37" w:rsidP="00D95D30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injekčný roztok</w:t>
      </w:r>
    </w:p>
    <w:p w14:paraId="11158BD0" w14:textId="77777777" w:rsidR="00154D59" w:rsidRPr="00534791" w:rsidRDefault="00154D59" w:rsidP="00154D59">
      <w:pPr>
        <w:rPr>
          <w:rFonts w:ascii="Times New Roman" w:hAnsi="Times New Roman" w:cs="Times New Roman"/>
          <w:sz w:val="22"/>
          <w:szCs w:val="22"/>
        </w:rPr>
      </w:pPr>
    </w:p>
    <w:p w14:paraId="3929E101" w14:textId="77777777" w:rsidR="00A11B19" w:rsidRPr="00534791" w:rsidRDefault="00A11B19" w:rsidP="00D95D30">
      <w:pPr>
        <w:rPr>
          <w:rFonts w:ascii="Times New Roman" w:hAnsi="Times New Roman" w:cs="Times New Roman"/>
          <w:sz w:val="22"/>
          <w:szCs w:val="22"/>
        </w:rPr>
      </w:pPr>
    </w:p>
    <w:p w14:paraId="16A9AB26" w14:textId="7488B38C" w:rsidR="004258A1" w:rsidRPr="00534791" w:rsidRDefault="004258A1" w:rsidP="00D95D30">
      <w:pPr>
        <w:pStyle w:val="Nadpis2"/>
      </w:pPr>
      <w:r w:rsidRPr="00534791">
        <w:t xml:space="preserve">2. </w:t>
      </w:r>
      <w:r w:rsidRPr="00534791">
        <w:tab/>
        <w:t>KVALITATÍVNE A KVANTITATÍVNE ZLOŽENIE</w:t>
      </w:r>
    </w:p>
    <w:p w14:paraId="061784BC" w14:textId="77777777" w:rsidR="00A11B19" w:rsidRPr="00534791" w:rsidRDefault="00A11B19" w:rsidP="00D95D30">
      <w:pPr>
        <w:tabs>
          <w:tab w:val="left" w:pos="4820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14:paraId="4F4BCF0D" w14:textId="78039305" w:rsidR="004258A1" w:rsidRPr="00534791" w:rsidRDefault="004258A1" w:rsidP="00D95D30">
      <w:pPr>
        <w:tabs>
          <w:tab w:val="left" w:pos="4820"/>
          <w:tab w:val="left" w:pos="5103"/>
        </w:tabs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Jeden ml </w:t>
      </w:r>
      <w:r w:rsidR="00BE13A6">
        <w:rPr>
          <w:rFonts w:ascii="Times New Roman" w:hAnsi="Times New Roman" w:cs="Times New Roman"/>
          <w:sz w:val="22"/>
          <w:szCs w:val="22"/>
        </w:rPr>
        <w:t xml:space="preserve">injekčného roztoku </w:t>
      </w:r>
      <w:r w:rsidRPr="00534791">
        <w:rPr>
          <w:rFonts w:ascii="Times New Roman" w:hAnsi="Times New Roman" w:cs="Times New Roman"/>
          <w:sz w:val="22"/>
          <w:szCs w:val="22"/>
        </w:rPr>
        <w:t>obsahuje 2 GBq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</w:t>
      </w:r>
      <w:r w:rsidR="00BE13A6">
        <w:rPr>
          <w:rFonts w:ascii="Times New Roman" w:hAnsi="Times New Roman" w:cs="Times New Roman"/>
          <w:sz w:val="22"/>
          <w:szCs w:val="22"/>
        </w:rPr>
        <w:t xml:space="preserve"> dátumu a času kalibrácie</w:t>
      </w:r>
      <w:r w:rsidRPr="00534791">
        <w:rPr>
          <w:rFonts w:ascii="Times New Roman" w:hAnsi="Times New Roman" w:cs="Times New Roman"/>
          <w:sz w:val="22"/>
          <w:szCs w:val="22"/>
        </w:rPr>
        <w:t>.</w:t>
      </w:r>
    </w:p>
    <w:p w14:paraId="2A530CC0" w14:textId="77777777" w:rsidR="00A11B19" w:rsidRPr="00534791" w:rsidRDefault="00A11B19" w:rsidP="00D95D30">
      <w:pPr>
        <w:tabs>
          <w:tab w:val="left" w:pos="4820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14:paraId="4F1CF239" w14:textId="012AA921" w:rsidR="004258A1" w:rsidRPr="00534791" w:rsidRDefault="00CA5141" w:rsidP="00D95D30">
      <w:pPr>
        <w:tabs>
          <w:tab w:val="left" w:pos="4820"/>
          <w:tab w:val="left" w:pos="510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Celková aktivita</w:t>
      </w:r>
      <w:r w:rsidR="004258A1" w:rsidRPr="00534791">
        <w:rPr>
          <w:rFonts w:ascii="Times New Roman" w:hAnsi="Times New Roman" w:cs="Times New Roman"/>
          <w:sz w:val="22"/>
          <w:szCs w:val="22"/>
        </w:rPr>
        <w:t xml:space="preserve"> injekčnej liekovky</w:t>
      </w:r>
      <w:r>
        <w:rPr>
          <w:rFonts w:ascii="Times New Roman" w:hAnsi="Times New Roman" w:cs="Times New Roman"/>
          <w:sz w:val="22"/>
          <w:szCs w:val="22"/>
        </w:rPr>
        <w:t xml:space="preserve"> v danom čase je preto  medzi</w:t>
      </w:r>
      <w:r w:rsidR="004258A1" w:rsidRPr="00534791">
        <w:rPr>
          <w:rFonts w:ascii="Times New Roman" w:hAnsi="Times New Roman" w:cs="Times New Roman"/>
          <w:sz w:val="22"/>
          <w:szCs w:val="22"/>
        </w:rPr>
        <w:t xml:space="preserve"> 0,37 GBq do 22,0 GBq .</w:t>
      </w:r>
    </w:p>
    <w:p w14:paraId="248551B2" w14:textId="77777777" w:rsidR="00A11B19" w:rsidRPr="00534791" w:rsidRDefault="00A11B19" w:rsidP="00D95D30">
      <w:pPr>
        <w:tabs>
          <w:tab w:val="left" w:pos="4820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14:paraId="299BDD1A" w14:textId="2B9534D8" w:rsidR="004258A1" w:rsidRPr="00534791" w:rsidRDefault="004258A1" w:rsidP="00D95D30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Fluór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sa rozkladá na stabilný kyslík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O) s polčasom 110 minút emitujúc pozitrónové žiarenie o maximálnej energii 634 keV s následným vyžiarením anihilačných fotónov s energiou 511 keV.</w:t>
      </w:r>
    </w:p>
    <w:p w14:paraId="5B7DF434" w14:textId="77777777" w:rsidR="004701C0" w:rsidRPr="00534791" w:rsidRDefault="004701C0" w:rsidP="00D95D30">
      <w:pPr>
        <w:rPr>
          <w:rFonts w:ascii="Times New Roman" w:hAnsi="Times New Roman" w:cs="Times New Roman"/>
          <w:sz w:val="22"/>
          <w:szCs w:val="22"/>
        </w:rPr>
      </w:pPr>
    </w:p>
    <w:p w14:paraId="0A0E4CDB" w14:textId="1619151E" w:rsidR="00B22490" w:rsidRPr="00534791" w:rsidRDefault="00B22490" w:rsidP="00D95D30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Pomocné látky so známym účinkom:</w:t>
      </w:r>
    </w:p>
    <w:p w14:paraId="61A7187E" w14:textId="5B4BE0C9" w:rsidR="00AB4DC5" w:rsidRPr="00534791" w:rsidRDefault="00AB4DC5" w:rsidP="00D95D30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Každý ml obsahuje 3,57 mg sodíka.</w:t>
      </w:r>
    </w:p>
    <w:p w14:paraId="626376AF" w14:textId="1E8B1DF0" w:rsidR="004258A1" w:rsidRPr="00534791" w:rsidRDefault="004258A1" w:rsidP="00D95D30">
      <w:pPr>
        <w:tabs>
          <w:tab w:val="left" w:pos="4253"/>
          <w:tab w:val="left" w:pos="4536"/>
        </w:tabs>
        <w:rPr>
          <w:rFonts w:ascii="Times New Roman" w:hAnsi="Times New Roman" w:cs="Times New Roman"/>
          <w:strike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14:paraId="1CCCFA68" w14:textId="77777777" w:rsidR="004258A1" w:rsidRPr="00534791" w:rsidRDefault="004258A1">
      <w:pPr>
        <w:rPr>
          <w:rFonts w:ascii="Times New Roman" w:hAnsi="Times New Roman" w:cs="Times New Roman"/>
          <w:b/>
          <w:sz w:val="22"/>
          <w:szCs w:val="22"/>
        </w:rPr>
      </w:pPr>
    </w:p>
    <w:p w14:paraId="7EAF31A8" w14:textId="77777777" w:rsidR="00A11B19" w:rsidRPr="00534791" w:rsidRDefault="00A11B19">
      <w:pPr>
        <w:rPr>
          <w:rFonts w:ascii="Times New Roman" w:hAnsi="Times New Roman" w:cs="Times New Roman"/>
          <w:b/>
          <w:sz w:val="22"/>
          <w:szCs w:val="22"/>
        </w:rPr>
      </w:pPr>
    </w:p>
    <w:p w14:paraId="2210FDFB" w14:textId="77777777" w:rsidR="004258A1" w:rsidRPr="00534791" w:rsidRDefault="004258A1" w:rsidP="00D95D30">
      <w:pPr>
        <w:pStyle w:val="Nadpis2"/>
      </w:pPr>
      <w:r w:rsidRPr="00534791">
        <w:t xml:space="preserve">3. </w:t>
      </w:r>
      <w:r w:rsidRPr="00534791">
        <w:tab/>
        <w:t>LIEKOVÁ FORMA</w:t>
      </w:r>
    </w:p>
    <w:p w14:paraId="00EC5B15" w14:textId="77777777" w:rsidR="00A11B19" w:rsidRPr="00534791" w:rsidRDefault="00A11B19">
      <w:pPr>
        <w:rPr>
          <w:rFonts w:ascii="Times New Roman" w:hAnsi="Times New Roman" w:cs="Times New Roman"/>
          <w:sz w:val="22"/>
          <w:szCs w:val="22"/>
        </w:rPr>
      </w:pPr>
    </w:p>
    <w:p w14:paraId="066EE064" w14:textId="77777777" w:rsidR="004258A1" w:rsidRPr="00534791" w:rsidRDefault="00515C0B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Injekčný roztok.</w:t>
      </w:r>
    </w:p>
    <w:p w14:paraId="66A312CD" w14:textId="77777777" w:rsidR="004258A1" w:rsidRPr="00534791" w:rsidRDefault="00515C0B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Bezfarebný roztok.</w:t>
      </w:r>
    </w:p>
    <w:p w14:paraId="191529D6" w14:textId="77777777" w:rsidR="004258A1" w:rsidRPr="00534791" w:rsidRDefault="004258A1">
      <w:pPr>
        <w:rPr>
          <w:rFonts w:ascii="Times New Roman" w:hAnsi="Times New Roman" w:cs="Times New Roman"/>
          <w:b/>
          <w:sz w:val="22"/>
          <w:szCs w:val="22"/>
        </w:rPr>
      </w:pPr>
    </w:p>
    <w:p w14:paraId="5BF2A56C" w14:textId="77777777" w:rsidR="00A11B19" w:rsidRPr="00534791" w:rsidRDefault="00A11B19">
      <w:pPr>
        <w:rPr>
          <w:rFonts w:ascii="Times New Roman" w:hAnsi="Times New Roman" w:cs="Times New Roman"/>
          <w:b/>
          <w:sz w:val="22"/>
          <w:szCs w:val="22"/>
        </w:rPr>
      </w:pPr>
    </w:p>
    <w:p w14:paraId="06C1004C" w14:textId="77777777" w:rsidR="004258A1" w:rsidRPr="00534791" w:rsidRDefault="004258A1" w:rsidP="00D95D30">
      <w:pPr>
        <w:pStyle w:val="Nadpis2"/>
      </w:pPr>
      <w:bookmarkStart w:id="0" w:name="OLE_LINK4"/>
      <w:r w:rsidRPr="00534791">
        <w:t>4.</w:t>
      </w:r>
      <w:r w:rsidRPr="00534791">
        <w:tab/>
        <w:t>KLINICKÉ ÚDAJE</w:t>
      </w:r>
    </w:p>
    <w:p w14:paraId="353511D7" w14:textId="77777777" w:rsidR="004258A1" w:rsidRPr="00534791" w:rsidRDefault="004258A1" w:rsidP="00D95D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FA41B7" w14:textId="77777777" w:rsidR="004258A1" w:rsidRPr="00534791" w:rsidRDefault="004258A1" w:rsidP="00D95D30">
      <w:pPr>
        <w:pStyle w:val="Nadpis2"/>
      </w:pPr>
      <w:r w:rsidRPr="00534791">
        <w:t xml:space="preserve">4.1. </w:t>
      </w:r>
      <w:r w:rsidRPr="00534791">
        <w:tab/>
        <w:t xml:space="preserve">Terapeutické indikácie </w:t>
      </w:r>
    </w:p>
    <w:p w14:paraId="4EB7F6CD" w14:textId="77777777" w:rsidR="00A11B19" w:rsidRPr="00534791" w:rsidRDefault="00A11B19" w:rsidP="00D95D30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2"/>
          <w:szCs w:val="22"/>
        </w:rPr>
      </w:pPr>
    </w:p>
    <w:p w14:paraId="0283F0D7" w14:textId="5A0846FE" w:rsidR="00282B2F" w:rsidRPr="00534791" w:rsidRDefault="00282B2F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Tento liek je určený len na diagnostické použitie.</w:t>
      </w:r>
    </w:p>
    <w:p w14:paraId="1ABB1DD5" w14:textId="77777777" w:rsidR="00B22490" w:rsidRPr="00534791" w:rsidRDefault="00B22490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77430ED" w14:textId="59992B49" w:rsidR="00282B2F" w:rsidRPr="00A77D60" w:rsidRDefault="00282B2F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Fluorid sodný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pre pozitrónovú emisnú tomografiu (PET</w:t>
      </w:r>
      <w:r w:rsidRPr="00A77D60">
        <w:rPr>
          <w:rFonts w:ascii="Times New Roman" w:hAnsi="Times New Roman" w:cs="Times New Roman"/>
          <w:sz w:val="22"/>
          <w:szCs w:val="22"/>
        </w:rPr>
        <w:t xml:space="preserve">) je určený pre funkčné zobrazovanie u chorôb, </w:t>
      </w:r>
      <w:r w:rsidR="00CA5141">
        <w:rPr>
          <w:rFonts w:ascii="Times New Roman" w:hAnsi="Times New Roman" w:cs="Times New Roman"/>
          <w:sz w:val="22"/>
          <w:szCs w:val="22"/>
        </w:rPr>
        <w:t>pri</w:t>
      </w:r>
      <w:r w:rsidRPr="00A77D60">
        <w:rPr>
          <w:rFonts w:ascii="Times New Roman" w:hAnsi="Times New Roman" w:cs="Times New Roman"/>
          <w:sz w:val="22"/>
          <w:szCs w:val="22"/>
        </w:rPr>
        <w:t xml:space="preserve"> ktorých je diagnostickým cieľom abnormálne zmenená osteogénna aktivita.</w:t>
      </w:r>
      <w:bookmarkStart w:id="1" w:name="OLE_LINK2"/>
      <w:bookmarkStart w:id="2" w:name="OLE_LINK3"/>
      <w:r w:rsidRPr="00A77D60">
        <w:rPr>
          <w:rFonts w:ascii="Times New Roman" w:hAnsi="Times New Roman" w:cs="Times New Roman"/>
          <w:sz w:val="22"/>
          <w:szCs w:val="22"/>
        </w:rPr>
        <w:t xml:space="preserve"> Zvlášť boli zdokumentované nasledujúce indikácie:</w:t>
      </w:r>
    </w:p>
    <w:p w14:paraId="5F85B595" w14:textId="0A0076D6" w:rsidR="00282B2F" w:rsidRPr="00534791" w:rsidRDefault="00282B2F" w:rsidP="00D95D30">
      <w:pPr>
        <w:pStyle w:val="Zarkazkladnhotextu2"/>
        <w:tabs>
          <w:tab w:val="clear" w:pos="851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-</w:t>
      </w:r>
      <w:r w:rsidRPr="00534791">
        <w:rPr>
          <w:rFonts w:ascii="Times New Roman" w:hAnsi="Times New Roman" w:cs="Times New Roman"/>
          <w:sz w:val="22"/>
          <w:szCs w:val="22"/>
        </w:rPr>
        <w:tab/>
        <w:t xml:space="preserve">Detekcia a lokalizácia kostných metastáz v prípade </w:t>
      </w:r>
      <w:r w:rsidR="00CA5141">
        <w:rPr>
          <w:rFonts w:ascii="Times New Roman" w:hAnsi="Times New Roman" w:cs="Times New Roman"/>
          <w:sz w:val="22"/>
          <w:szCs w:val="22"/>
        </w:rPr>
        <w:t xml:space="preserve">malígnych </w:t>
      </w:r>
      <w:r w:rsidRPr="00534791">
        <w:rPr>
          <w:rFonts w:ascii="Times New Roman" w:hAnsi="Times New Roman" w:cs="Times New Roman"/>
          <w:sz w:val="22"/>
          <w:szCs w:val="22"/>
        </w:rPr>
        <w:t>nádorov u dospelých.</w:t>
      </w:r>
    </w:p>
    <w:p w14:paraId="27940BE4" w14:textId="51502CBD" w:rsidR="00282B2F" w:rsidRPr="00534791" w:rsidRDefault="00282B2F" w:rsidP="00D95D30">
      <w:pPr>
        <w:pStyle w:val="Zarkazkladnhotextu2"/>
        <w:tabs>
          <w:tab w:val="clear" w:pos="851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-</w:t>
      </w:r>
      <w:r w:rsidRPr="00534791">
        <w:rPr>
          <w:rFonts w:ascii="Times New Roman" w:hAnsi="Times New Roman" w:cs="Times New Roman"/>
          <w:sz w:val="22"/>
          <w:szCs w:val="22"/>
        </w:rPr>
        <w:tab/>
        <w:t xml:space="preserve">Ako pomocný prostriedok pri vyhodnotení bolesti chrbta ťažko klasifikovateľného pôvodu, keď </w:t>
      </w:r>
      <w:r w:rsidR="00CA5141">
        <w:rPr>
          <w:rFonts w:ascii="Times New Roman" w:hAnsi="Times New Roman" w:cs="Times New Roman"/>
          <w:sz w:val="22"/>
          <w:szCs w:val="22"/>
        </w:rPr>
        <w:t>zvyčajne zaužívané</w:t>
      </w:r>
      <w:r w:rsidRPr="00534791">
        <w:rPr>
          <w:rFonts w:ascii="Times New Roman" w:hAnsi="Times New Roman" w:cs="Times New Roman"/>
          <w:sz w:val="22"/>
          <w:szCs w:val="22"/>
        </w:rPr>
        <w:t xml:space="preserve"> spôsoby zobrazenia nie sú presvedčivé.</w:t>
      </w:r>
    </w:p>
    <w:p w14:paraId="7598FFD8" w14:textId="649AAF41" w:rsidR="00282B2F" w:rsidRPr="00534791" w:rsidRDefault="00282B2F" w:rsidP="00D95D30">
      <w:pPr>
        <w:pStyle w:val="Zarkazkladnhotextu2"/>
        <w:tabs>
          <w:tab w:val="clear" w:pos="851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-</w:t>
      </w:r>
      <w:r w:rsidRPr="00534791">
        <w:rPr>
          <w:rFonts w:ascii="Times New Roman" w:hAnsi="Times New Roman" w:cs="Times New Roman"/>
          <w:sz w:val="22"/>
          <w:szCs w:val="22"/>
        </w:rPr>
        <w:tab/>
        <w:t xml:space="preserve">Ako pomocný prostriedok na detegovanie </w:t>
      </w:r>
      <w:r w:rsidR="00CA5141">
        <w:rPr>
          <w:rFonts w:ascii="Times New Roman" w:hAnsi="Times New Roman" w:cs="Times New Roman"/>
          <w:sz w:val="22"/>
          <w:szCs w:val="22"/>
        </w:rPr>
        <w:t>ložísk kostného poškodenia pri podozrení na týrané dieťa</w:t>
      </w:r>
      <w:r w:rsidRPr="00534791">
        <w:rPr>
          <w:rFonts w:ascii="Times New Roman" w:hAnsi="Times New Roman" w:cs="Times New Roman"/>
          <w:sz w:val="22"/>
          <w:szCs w:val="22"/>
        </w:rPr>
        <w:t>.</w:t>
      </w:r>
    </w:p>
    <w:bookmarkEnd w:id="0"/>
    <w:bookmarkEnd w:id="1"/>
    <w:bookmarkEnd w:id="2"/>
    <w:p w14:paraId="099BEF64" w14:textId="77777777" w:rsidR="002F11A6" w:rsidRPr="00534791" w:rsidRDefault="002F11A6" w:rsidP="00D95D3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E3B94C9" w14:textId="48306D9D" w:rsidR="004258A1" w:rsidRPr="00534791" w:rsidRDefault="004258A1" w:rsidP="00D95D30">
      <w:pPr>
        <w:pStyle w:val="Nadpis2"/>
      </w:pPr>
      <w:r w:rsidRPr="00534791">
        <w:t>4.2.</w:t>
      </w:r>
      <w:r w:rsidRPr="00534791">
        <w:tab/>
        <w:t>Dávkovanie a spôsob podávania</w:t>
      </w:r>
    </w:p>
    <w:p w14:paraId="0EC7CB79" w14:textId="77777777" w:rsidR="00A11B19" w:rsidRPr="00534791" w:rsidRDefault="00A11B19" w:rsidP="00D95D30">
      <w:pPr>
        <w:pStyle w:val="Zarkazkladnhotextu2"/>
        <w:tabs>
          <w:tab w:val="clear" w:pos="851"/>
        </w:tabs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</w:p>
    <w:p w14:paraId="21D59C61" w14:textId="77777777" w:rsidR="0044541C" w:rsidRPr="00534791" w:rsidRDefault="0044541C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14:paraId="1ADCEA4A" w14:textId="41B44141" w:rsidR="00B22490" w:rsidRPr="00534791" w:rsidRDefault="00B22490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2814E370" w14:textId="77777777" w:rsidR="00B22490" w:rsidRPr="00534791" w:rsidRDefault="00B22490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Dospelí</w:t>
      </w:r>
    </w:p>
    <w:p w14:paraId="44660F43" w14:textId="26200B7F" w:rsidR="004258A1" w:rsidRPr="00534791" w:rsidRDefault="004258A1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Odporúčaná aktivita u dospelého vážiaceho 70 kg je 370 MBq (aktivita sa prispôsobí hmotnosti tela, typu použitej kamery, PET/CT a spôsobu získavania). Aktivita </w:t>
      </w:r>
      <w:r w:rsidR="00DD78F6">
        <w:rPr>
          <w:rFonts w:ascii="Times New Roman" w:hAnsi="Times New Roman" w:cs="Times New Roman"/>
          <w:sz w:val="22"/>
          <w:szCs w:val="22"/>
        </w:rPr>
        <w:t xml:space="preserve">sa </w:t>
      </w:r>
      <w:r w:rsidRPr="00534791">
        <w:rPr>
          <w:rFonts w:ascii="Times New Roman" w:hAnsi="Times New Roman" w:cs="Times New Roman"/>
          <w:sz w:val="22"/>
          <w:szCs w:val="22"/>
        </w:rPr>
        <w:t xml:space="preserve">môže </w:t>
      </w:r>
      <w:r w:rsidR="00DD78F6">
        <w:rPr>
          <w:rFonts w:ascii="Times New Roman" w:hAnsi="Times New Roman" w:cs="Times New Roman"/>
          <w:sz w:val="22"/>
          <w:szCs w:val="22"/>
        </w:rPr>
        <w:t>meniť</w:t>
      </w:r>
      <w:r w:rsidRPr="00534791">
        <w:rPr>
          <w:rFonts w:ascii="Times New Roman" w:hAnsi="Times New Roman" w:cs="Times New Roman"/>
          <w:sz w:val="22"/>
          <w:szCs w:val="22"/>
        </w:rPr>
        <w:t xml:space="preserve"> v rozmedzí 100–400 MBq podaných priamou intravenóznou injekciou.</w:t>
      </w:r>
    </w:p>
    <w:p w14:paraId="1A64536F" w14:textId="77777777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5E197DA" w14:textId="6AAA2D5E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Ak je to potrebné, možno vyšetrenie PET s fluoridom sodným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po krátkej dobe zopakovať.</w:t>
      </w:r>
    </w:p>
    <w:p w14:paraId="0A8B4776" w14:textId="77777777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C41355D" w14:textId="1D9B647D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 xml:space="preserve">Osobitné skupiny </w:t>
      </w:r>
      <w:r w:rsidR="00DE3CA5">
        <w:rPr>
          <w:rFonts w:ascii="Times New Roman" w:hAnsi="Times New Roman" w:cs="Times New Roman"/>
          <w:sz w:val="22"/>
          <w:szCs w:val="22"/>
          <w:u w:val="single"/>
        </w:rPr>
        <w:t>pacientov</w:t>
      </w:r>
    </w:p>
    <w:p w14:paraId="0CA8ECCE" w14:textId="77777777" w:rsidR="00A11B19" w:rsidRPr="00534791" w:rsidRDefault="00A11B19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47916145" w14:textId="77777777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Pacienti s poruchou funkcie obličiek</w:t>
      </w:r>
    </w:p>
    <w:p w14:paraId="2F4D6404" w14:textId="77777777" w:rsidR="000C64E2" w:rsidRPr="00534791" w:rsidRDefault="000C64E2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V prípade poškodenia obličiek môže sa expozícia ionizujúcemu žiareniu zvýšiť. Túto okolnosť treba vziať do úvahy pri vypočítaní aktivity, ktorá sa má podať.</w:t>
      </w:r>
    </w:p>
    <w:p w14:paraId="4702C006" w14:textId="77777777" w:rsidR="00282727" w:rsidRPr="00534791" w:rsidRDefault="00282727" w:rsidP="00D95D30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4F8D8676" w14:textId="77777777" w:rsidR="003B1626" w:rsidRPr="00534791" w:rsidRDefault="003B1626" w:rsidP="00D95D30">
      <w:pPr>
        <w:ind w:hanging="1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036C465F" w14:textId="4BBFD967" w:rsidR="003B1626" w:rsidRPr="00534791" w:rsidRDefault="00A31D72" w:rsidP="00D95D30">
      <w:pPr>
        <w:ind w:hanging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Použitie u detí a dospievajúcich sa musí starostlivo </w:t>
      </w:r>
      <w:r w:rsidR="00DE3CA5">
        <w:rPr>
          <w:rFonts w:ascii="Times New Roman" w:hAnsi="Times New Roman" w:cs="Times New Roman"/>
          <w:sz w:val="22"/>
          <w:szCs w:val="22"/>
        </w:rPr>
        <w:t>z</w:t>
      </w:r>
      <w:r w:rsidRPr="00534791">
        <w:rPr>
          <w:rFonts w:ascii="Times New Roman" w:hAnsi="Times New Roman" w:cs="Times New Roman"/>
          <w:sz w:val="22"/>
          <w:szCs w:val="22"/>
        </w:rPr>
        <w:t>vážiť vychádzajúc z klinických potrieb a z hodnoteni</w:t>
      </w:r>
      <w:r w:rsidR="00DE3CA5">
        <w:rPr>
          <w:rFonts w:ascii="Times New Roman" w:hAnsi="Times New Roman" w:cs="Times New Roman"/>
          <w:sz w:val="22"/>
          <w:szCs w:val="22"/>
        </w:rPr>
        <w:t>a</w:t>
      </w:r>
      <w:r w:rsidRPr="00534791">
        <w:rPr>
          <w:rFonts w:ascii="Times New Roman" w:hAnsi="Times New Roman" w:cs="Times New Roman"/>
          <w:sz w:val="22"/>
          <w:szCs w:val="22"/>
        </w:rPr>
        <w:t xml:space="preserve"> pomeru rizika a </w:t>
      </w:r>
      <w:r w:rsidR="00DE3CA5">
        <w:rPr>
          <w:rFonts w:ascii="Times New Roman" w:hAnsi="Times New Roman" w:cs="Times New Roman"/>
          <w:sz w:val="22"/>
          <w:szCs w:val="22"/>
        </w:rPr>
        <w:t>prínosu</w:t>
      </w:r>
      <w:r w:rsidRPr="00534791">
        <w:rPr>
          <w:rFonts w:ascii="Times New Roman" w:hAnsi="Times New Roman" w:cs="Times New Roman"/>
          <w:sz w:val="22"/>
          <w:szCs w:val="22"/>
        </w:rPr>
        <w:t xml:space="preserve"> u tejto skupiny pacientov. Aktivity, ktoré sa majú podať deťom a dospievajúcim, sa musia vypočítať v súlade s odporúčaniami pediatrickej pracovnej skupiny EANM; aktivity podané deťom a dospievajúcim sa môžu vypočítať vynásobením základnej aktivity (pre potreby výpočtu) koeficientami závislými od telesnej hmotnosti, ktoré sú uvedené v nasledujúcej tabuľke.</w:t>
      </w:r>
    </w:p>
    <w:p w14:paraId="6BD45465" w14:textId="4261E6EB" w:rsidR="00282727" w:rsidRPr="00A77D60" w:rsidRDefault="00282727" w:rsidP="00D95D30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4BB69523" w14:textId="510D6A04" w:rsidR="00282727" w:rsidRPr="00A77D60" w:rsidRDefault="00282727">
      <w:pPr>
        <w:ind w:hanging="1"/>
        <w:jc w:val="center"/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 xml:space="preserve">A[MBq] podané = </w:t>
      </w:r>
      <w:r w:rsidR="00951B8C">
        <w:rPr>
          <w:rFonts w:ascii="Times New Roman" w:hAnsi="Times New Roman" w:cs="Times New Roman"/>
          <w:sz w:val="22"/>
          <w:szCs w:val="22"/>
        </w:rPr>
        <w:t>z</w:t>
      </w:r>
      <w:r w:rsidR="00951B8C" w:rsidRPr="00A77D60">
        <w:rPr>
          <w:rFonts w:ascii="Times New Roman" w:hAnsi="Times New Roman" w:cs="Times New Roman"/>
          <w:sz w:val="22"/>
          <w:szCs w:val="22"/>
        </w:rPr>
        <w:t>á</w:t>
      </w:r>
      <w:r w:rsidR="00951B8C">
        <w:rPr>
          <w:rFonts w:ascii="Times New Roman" w:hAnsi="Times New Roman" w:cs="Times New Roman"/>
          <w:sz w:val="22"/>
          <w:szCs w:val="22"/>
        </w:rPr>
        <w:t>kla</w:t>
      </w:r>
      <w:r w:rsidRPr="00A77D60">
        <w:rPr>
          <w:rFonts w:ascii="Times New Roman" w:hAnsi="Times New Roman" w:cs="Times New Roman"/>
          <w:sz w:val="22"/>
          <w:szCs w:val="22"/>
        </w:rPr>
        <w:t xml:space="preserve">dná aktivita </w:t>
      </w:r>
      <w:r w:rsidR="00F9391D" w:rsidRPr="00B966E1">
        <w:rPr>
          <w:rFonts w:ascii="Times New Roman" w:hAnsi="Times New Roman" w:cs="Times New Roman"/>
          <w:sz w:val="22"/>
          <w:szCs w:val="22"/>
        </w:rPr>
        <w:t>[MBq]</w:t>
      </w:r>
      <w:r w:rsidRPr="00A77D60">
        <w:rPr>
          <w:rFonts w:ascii="Times New Roman" w:hAnsi="Times New Roman" w:cs="Times New Roman"/>
          <w:sz w:val="22"/>
          <w:szCs w:val="22"/>
        </w:rPr>
        <w:t>× koeficient</w:t>
      </w:r>
    </w:p>
    <w:p w14:paraId="36842FAA" w14:textId="77777777" w:rsidR="002E7633" w:rsidRPr="00A77D60" w:rsidRDefault="002E7633" w:rsidP="00D95D30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08255F55" w14:textId="35F53591" w:rsidR="002E7633" w:rsidRPr="00A77D60" w:rsidRDefault="007F65FA" w:rsidP="00D95D30">
      <w:pPr>
        <w:ind w:hanging="1"/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>Minimálna aktivita  odporúčaná v prípade akvizície s 3D systémom PET</w:t>
      </w:r>
      <w:r w:rsidR="00951B8C">
        <w:rPr>
          <w:rFonts w:ascii="Times New Roman" w:hAnsi="Times New Roman" w:cs="Times New Roman"/>
          <w:sz w:val="22"/>
          <w:szCs w:val="22"/>
        </w:rPr>
        <w:t xml:space="preserve"> je 14 MBq </w:t>
      </w:r>
      <w:r w:rsidRPr="00A77D60">
        <w:rPr>
          <w:rFonts w:ascii="Times New Roman" w:hAnsi="Times New Roman" w:cs="Times New Roman"/>
          <w:sz w:val="22"/>
          <w:szCs w:val="22"/>
        </w:rPr>
        <w:t xml:space="preserve"> a v prípade akvizície s 2D systémom PET</w:t>
      </w:r>
      <w:r w:rsidR="00951B8C">
        <w:rPr>
          <w:rFonts w:ascii="Times New Roman" w:hAnsi="Times New Roman" w:cs="Times New Roman"/>
          <w:sz w:val="22"/>
          <w:szCs w:val="22"/>
        </w:rPr>
        <w:t xml:space="preserve"> 26MBq</w:t>
      </w:r>
      <w:r w:rsidRPr="00A77D60">
        <w:rPr>
          <w:rFonts w:ascii="Times New Roman" w:hAnsi="Times New Roman" w:cs="Times New Roman"/>
          <w:sz w:val="22"/>
          <w:szCs w:val="22"/>
        </w:rPr>
        <w:t xml:space="preserve">. U detí </w:t>
      </w:r>
      <w:r w:rsidR="00DE3CA5">
        <w:rPr>
          <w:rFonts w:ascii="Times New Roman" w:hAnsi="Times New Roman" w:cs="Times New Roman"/>
          <w:sz w:val="22"/>
          <w:szCs w:val="22"/>
        </w:rPr>
        <w:t>sa má</w:t>
      </w:r>
      <w:r w:rsidRPr="00A77D60">
        <w:rPr>
          <w:rFonts w:ascii="Times New Roman" w:hAnsi="Times New Roman" w:cs="Times New Roman"/>
          <w:sz w:val="22"/>
          <w:szCs w:val="22"/>
        </w:rPr>
        <w:t xml:space="preserve"> uprednostňovať akvizícia snímkov v 3D režime.</w:t>
      </w:r>
    </w:p>
    <w:p w14:paraId="1CC6F9CD" w14:textId="77777777" w:rsidR="002E7633" w:rsidRPr="00534791" w:rsidRDefault="002E7633" w:rsidP="00D95D30">
      <w:pPr>
        <w:ind w:hanging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0"/>
        <w:gridCol w:w="1510"/>
        <w:gridCol w:w="1511"/>
        <w:gridCol w:w="1510"/>
      </w:tblGrid>
      <w:tr w:rsidR="002E7633" w:rsidRPr="00534791" w14:paraId="131F5056" w14:textId="77777777" w:rsidTr="0036243B">
        <w:tc>
          <w:tcPr>
            <w:tcW w:w="1516" w:type="dxa"/>
            <w:shd w:val="clear" w:color="auto" w:fill="auto"/>
          </w:tcPr>
          <w:p w14:paraId="1869F09C" w14:textId="7B96B248" w:rsidR="002E7633" w:rsidRPr="00A77D60" w:rsidRDefault="00A74164" w:rsidP="00D95D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6" w:type="dxa"/>
            <w:shd w:val="clear" w:color="auto" w:fill="auto"/>
          </w:tcPr>
          <w:p w14:paraId="334060EC" w14:textId="77777777" w:rsidR="002E7633" w:rsidRPr="00A77D60" w:rsidRDefault="00A74164" w:rsidP="00D95D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  <w:tc>
          <w:tcPr>
            <w:tcW w:w="1516" w:type="dxa"/>
            <w:shd w:val="clear" w:color="auto" w:fill="auto"/>
          </w:tcPr>
          <w:p w14:paraId="47D305D1" w14:textId="77005EB7" w:rsidR="002E7633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7" w:type="dxa"/>
            <w:shd w:val="clear" w:color="auto" w:fill="auto"/>
          </w:tcPr>
          <w:p w14:paraId="0592F2BA" w14:textId="77777777" w:rsidR="002E7633" w:rsidRPr="00A77D60" w:rsidRDefault="00A74164" w:rsidP="00D95D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  <w:tc>
          <w:tcPr>
            <w:tcW w:w="1517" w:type="dxa"/>
            <w:shd w:val="clear" w:color="auto" w:fill="auto"/>
          </w:tcPr>
          <w:p w14:paraId="71768E34" w14:textId="4021CFA8" w:rsidR="002E7633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7" w:type="dxa"/>
            <w:shd w:val="clear" w:color="auto" w:fill="auto"/>
          </w:tcPr>
          <w:p w14:paraId="6C3A496A" w14:textId="77777777" w:rsidR="002E7633" w:rsidRPr="00A77D60" w:rsidRDefault="00A74164" w:rsidP="00D95D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</w:tr>
      <w:tr w:rsidR="00A74164" w:rsidRPr="00534791" w14:paraId="1D7ED97C" w14:textId="77777777" w:rsidTr="00C41237">
        <w:tc>
          <w:tcPr>
            <w:tcW w:w="1516" w:type="dxa"/>
            <w:shd w:val="clear" w:color="auto" w:fill="auto"/>
          </w:tcPr>
          <w:p w14:paraId="3359AB37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120A2AC2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16" w:type="dxa"/>
            <w:shd w:val="clear" w:color="auto" w:fill="auto"/>
          </w:tcPr>
          <w:p w14:paraId="2B171CC9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517" w:type="dxa"/>
            <w:shd w:val="clear" w:color="auto" w:fill="auto"/>
          </w:tcPr>
          <w:p w14:paraId="30B8095C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5,29</w:t>
            </w:r>
          </w:p>
        </w:tc>
        <w:tc>
          <w:tcPr>
            <w:tcW w:w="1517" w:type="dxa"/>
            <w:shd w:val="clear" w:color="auto" w:fill="auto"/>
          </w:tcPr>
          <w:p w14:paraId="1F4BED0F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14:paraId="3ED21BBC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9,14</w:t>
            </w:r>
          </w:p>
        </w:tc>
      </w:tr>
      <w:tr w:rsidR="00A74164" w:rsidRPr="00534791" w14:paraId="172AA3E5" w14:textId="77777777" w:rsidTr="0036243B">
        <w:tc>
          <w:tcPr>
            <w:tcW w:w="1516" w:type="dxa"/>
            <w:shd w:val="clear" w:color="auto" w:fill="auto"/>
          </w:tcPr>
          <w:p w14:paraId="266A29E3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14:paraId="51D5BA03" w14:textId="14311C8E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16" w:type="dxa"/>
            <w:shd w:val="clear" w:color="auto" w:fill="auto"/>
          </w:tcPr>
          <w:p w14:paraId="0F4DE90C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517" w:type="dxa"/>
            <w:shd w:val="clear" w:color="auto" w:fill="auto"/>
          </w:tcPr>
          <w:p w14:paraId="3AF230AD" w14:textId="7FC799CE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5,71</w:t>
            </w:r>
          </w:p>
        </w:tc>
        <w:tc>
          <w:tcPr>
            <w:tcW w:w="1517" w:type="dxa"/>
            <w:shd w:val="clear" w:color="auto" w:fill="auto"/>
          </w:tcPr>
          <w:p w14:paraId="784222FA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14:paraId="1C44D1A0" w14:textId="4E714C58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9,57</w:t>
            </w:r>
          </w:p>
        </w:tc>
      </w:tr>
      <w:tr w:rsidR="00A74164" w:rsidRPr="00534791" w14:paraId="38C1E43F" w14:textId="77777777" w:rsidTr="0036243B">
        <w:tc>
          <w:tcPr>
            <w:tcW w:w="1516" w:type="dxa"/>
            <w:shd w:val="clear" w:color="auto" w:fill="auto"/>
          </w:tcPr>
          <w:p w14:paraId="59DE4794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14:paraId="3F6CEC3B" w14:textId="039B6322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1,71</w:t>
            </w:r>
          </w:p>
        </w:tc>
        <w:tc>
          <w:tcPr>
            <w:tcW w:w="1516" w:type="dxa"/>
            <w:shd w:val="clear" w:color="auto" w:fill="auto"/>
          </w:tcPr>
          <w:p w14:paraId="50AF69C0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517" w:type="dxa"/>
            <w:shd w:val="clear" w:color="auto" w:fill="auto"/>
          </w:tcPr>
          <w:p w14:paraId="7478CE2D" w14:textId="48DB7EF2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6,14</w:t>
            </w:r>
          </w:p>
        </w:tc>
        <w:tc>
          <w:tcPr>
            <w:tcW w:w="1517" w:type="dxa"/>
            <w:shd w:val="clear" w:color="auto" w:fill="auto"/>
          </w:tcPr>
          <w:p w14:paraId="598A95F9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14:paraId="34A85497" w14:textId="37F1ABDD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A74164" w:rsidRPr="00534791" w14:paraId="3CF47055" w14:textId="77777777" w:rsidTr="0036243B">
        <w:tc>
          <w:tcPr>
            <w:tcW w:w="1516" w:type="dxa"/>
            <w:shd w:val="clear" w:color="auto" w:fill="auto"/>
          </w:tcPr>
          <w:p w14:paraId="015E11FE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516" w:type="dxa"/>
            <w:shd w:val="clear" w:color="auto" w:fill="auto"/>
          </w:tcPr>
          <w:p w14:paraId="10E4ED3B" w14:textId="298BA678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2,14</w:t>
            </w:r>
          </w:p>
        </w:tc>
        <w:tc>
          <w:tcPr>
            <w:tcW w:w="1516" w:type="dxa"/>
            <w:shd w:val="clear" w:color="auto" w:fill="auto"/>
          </w:tcPr>
          <w:p w14:paraId="396DAD81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1517" w:type="dxa"/>
            <w:shd w:val="clear" w:color="auto" w:fill="auto"/>
          </w:tcPr>
          <w:p w14:paraId="3FA5EE44" w14:textId="1372CC63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6,43</w:t>
            </w:r>
          </w:p>
        </w:tc>
        <w:tc>
          <w:tcPr>
            <w:tcW w:w="1517" w:type="dxa"/>
            <w:shd w:val="clear" w:color="auto" w:fill="auto"/>
          </w:tcPr>
          <w:p w14:paraId="5BB271EE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517" w:type="dxa"/>
            <w:shd w:val="clear" w:color="auto" w:fill="auto"/>
          </w:tcPr>
          <w:p w14:paraId="67C99F62" w14:textId="1B1EBDDD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10,29</w:t>
            </w:r>
          </w:p>
        </w:tc>
      </w:tr>
      <w:tr w:rsidR="00A74164" w:rsidRPr="00534791" w14:paraId="0168BFB7" w14:textId="77777777" w:rsidTr="0036243B">
        <w:tc>
          <w:tcPr>
            <w:tcW w:w="1516" w:type="dxa"/>
            <w:shd w:val="clear" w:color="auto" w:fill="auto"/>
          </w:tcPr>
          <w:p w14:paraId="08863EC7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16" w:type="dxa"/>
            <w:shd w:val="clear" w:color="auto" w:fill="auto"/>
          </w:tcPr>
          <w:p w14:paraId="2123203A" w14:textId="6AF8E944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2,71</w:t>
            </w:r>
          </w:p>
        </w:tc>
        <w:tc>
          <w:tcPr>
            <w:tcW w:w="1516" w:type="dxa"/>
            <w:shd w:val="clear" w:color="auto" w:fill="auto"/>
          </w:tcPr>
          <w:p w14:paraId="5B9812EE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517" w:type="dxa"/>
            <w:shd w:val="clear" w:color="auto" w:fill="auto"/>
          </w:tcPr>
          <w:p w14:paraId="741B27B3" w14:textId="63A8E61D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6,86</w:t>
            </w:r>
          </w:p>
        </w:tc>
        <w:tc>
          <w:tcPr>
            <w:tcW w:w="1517" w:type="dxa"/>
            <w:shd w:val="clear" w:color="auto" w:fill="auto"/>
          </w:tcPr>
          <w:p w14:paraId="50CEE5CD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14:paraId="2C52D958" w14:textId="6A756ED4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10,71</w:t>
            </w:r>
          </w:p>
        </w:tc>
      </w:tr>
      <w:tr w:rsidR="00A74164" w:rsidRPr="00534791" w14:paraId="6F7A4DB0" w14:textId="77777777" w:rsidTr="0036243B">
        <w:tc>
          <w:tcPr>
            <w:tcW w:w="1516" w:type="dxa"/>
            <w:shd w:val="clear" w:color="auto" w:fill="auto"/>
          </w:tcPr>
          <w:p w14:paraId="2A8F928B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516" w:type="dxa"/>
            <w:shd w:val="clear" w:color="auto" w:fill="auto"/>
          </w:tcPr>
          <w:p w14:paraId="60F5A7C7" w14:textId="7372AF97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3,14</w:t>
            </w:r>
          </w:p>
        </w:tc>
        <w:tc>
          <w:tcPr>
            <w:tcW w:w="1516" w:type="dxa"/>
            <w:shd w:val="clear" w:color="auto" w:fill="auto"/>
          </w:tcPr>
          <w:p w14:paraId="4B3254FF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517" w:type="dxa"/>
            <w:shd w:val="clear" w:color="auto" w:fill="auto"/>
          </w:tcPr>
          <w:p w14:paraId="64F398BF" w14:textId="4E5A3112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7,29</w:t>
            </w:r>
          </w:p>
        </w:tc>
        <w:tc>
          <w:tcPr>
            <w:tcW w:w="1517" w:type="dxa"/>
            <w:shd w:val="clear" w:color="auto" w:fill="auto"/>
          </w:tcPr>
          <w:p w14:paraId="7037B69E" w14:textId="5D09B1D0" w:rsidR="00A74164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52-54</w:t>
            </w:r>
          </w:p>
        </w:tc>
        <w:tc>
          <w:tcPr>
            <w:tcW w:w="1517" w:type="dxa"/>
            <w:shd w:val="clear" w:color="auto" w:fill="auto"/>
          </w:tcPr>
          <w:p w14:paraId="2465C66F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11,29</w:t>
            </w:r>
          </w:p>
        </w:tc>
      </w:tr>
      <w:tr w:rsidR="00A74164" w:rsidRPr="00534791" w14:paraId="3A45AFE3" w14:textId="77777777" w:rsidTr="0036243B">
        <w:tc>
          <w:tcPr>
            <w:tcW w:w="1516" w:type="dxa"/>
            <w:shd w:val="clear" w:color="auto" w:fill="auto"/>
          </w:tcPr>
          <w:p w14:paraId="42035013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516" w:type="dxa"/>
            <w:shd w:val="clear" w:color="auto" w:fill="auto"/>
          </w:tcPr>
          <w:p w14:paraId="1423BB8D" w14:textId="3BA0BB9B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3,57</w:t>
            </w:r>
          </w:p>
        </w:tc>
        <w:tc>
          <w:tcPr>
            <w:tcW w:w="1516" w:type="dxa"/>
            <w:shd w:val="clear" w:color="auto" w:fill="auto"/>
          </w:tcPr>
          <w:p w14:paraId="39DED11C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517" w:type="dxa"/>
            <w:shd w:val="clear" w:color="auto" w:fill="auto"/>
          </w:tcPr>
          <w:p w14:paraId="3409048D" w14:textId="619F2AF6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7,72</w:t>
            </w:r>
          </w:p>
        </w:tc>
        <w:tc>
          <w:tcPr>
            <w:tcW w:w="1517" w:type="dxa"/>
            <w:shd w:val="clear" w:color="auto" w:fill="auto"/>
          </w:tcPr>
          <w:p w14:paraId="590065D8" w14:textId="56D64350" w:rsidR="00A74164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56-58</w:t>
            </w:r>
          </w:p>
        </w:tc>
        <w:tc>
          <w:tcPr>
            <w:tcW w:w="1517" w:type="dxa"/>
            <w:shd w:val="clear" w:color="auto" w:fill="auto"/>
          </w:tcPr>
          <w:p w14:paraId="7F4FFA63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</w:tr>
      <w:tr w:rsidR="00A74164" w:rsidRPr="00534791" w14:paraId="42845152" w14:textId="77777777" w:rsidTr="0036243B">
        <w:tc>
          <w:tcPr>
            <w:tcW w:w="1516" w:type="dxa"/>
            <w:shd w:val="clear" w:color="auto" w:fill="auto"/>
          </w:tcPr>
          <w:p w14:paraId="1E795E20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516" w:type="dxa"/>
            <w:shd w:val="clear" w:color="auto" w:fill="auto"/>
          </w:tcPr>
          <w:p w14:paraId="311CB01E" w14:textId="0DF25457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16" w:type="dxa"/>
            <w:shd w:val="clear" w:color="auto" w:fill="auto"/>
          </w:tcPr>
          <w:p w14:paraId="349D351B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517" w:type="dxa"/>
            <w:shd w:val="clear" w:color="auto" w:fill="auto"/>
          </w:tcPr>
          <w:p w14:paraId="0E0B2E38" w14:textId="6046E61F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517" w:type="dxa"/>
            <w:shd w:val="clear" w:color="auto" w:fill="auto"/>
          </w:tcPr>
          <w:p w14:paraId="5DF8D2EA" w14:textId="12AB1502" w:rsidR="00A74164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60-62</w:t>
            </w:r>
          </w:p>
        </w:tc>
        <w:tc>
          <w:tcPr>
            <w:tcW w:w="1517" w:type="dxa"/>
            <w:shd w:val="clear" w:color="auto" w:fill="auto"/>
          </w:tcPr>
          <w:p w14:paraId="2DC03A2B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12,71</w:t>
            </w:r>
          </w:p>
        </w:tc>
      </w:tr>
      <w:tr w:rsidR="00A74164" w:rsidRPr="00534791" w14:paraId="48B7D48B" w14:textId="77777777" w:rsidTr="0036243B">
        <w:tc>
          <w:tcPr>
            <w:tcW w:w="1516" w:type="dxa"/>
            <w:shd w:val="clear" w:color="auto" w:fill="auto"/>
          </w:tcPr>
          <w:p w14:paraId="69309E7D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14:paraId="093D0A3D" w14:textId="33954D2C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4,43</w:t>
            </w:r>
          </w:p>
        </w:tc>
        <w:tc>
          <w:tcPr>
            <w:tcW w:w="1516" w:type="dxa"/>
            <w:shd w:val="clear" w:color="auto" w:fill="auto"/>
          </w:tcPr>
          <w:p w14:paraId="05BE7E10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517" w:type="dxa"/>
            <w:shd w:val="clear" w:color="auto" w:fill="auto"/>
          </w:tcPr>
          <w:p w14:paraId="77F6CC41" w14:textId="6C8674BA" w:rsidR="00A74164" w:rsidRPr="00A77D60" w:rsidRDefault="00A74164" w:rsidP="00362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8,43</w:t>
            </w:r>
          </w:p>
        </w:tc>
        <w:tc>
          <w:tcPr>
            <w:tcW w:w="1517" w:type="dxa"/>
            <w:shd w:val="clear" w:color="auto" w:fill="auto"/>
          </w:tcPr>
          <w:p w14:paraId="5206CC67" w14:textId="743B14BB" w:rsidR="00A74164" w:rsidRPr="00A77D60" w:rsidRDefault="00A74164" w:rsidP="003624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64-66</w:t>
            </w:r>
          </w:p>
        </w:tc>
        <w:tc>
          <w:tcPr>
            <w:tcW w:w="1517" w:type="dxa"/>
            <w:shd w:val="clear" w:color="auto" w:fill="auto"/>
          </w:tcPr>
          <w:p w14:paraId="69DC6FBF" w14:textId="77777777" w:rsidR="00A74164" w:rsidRPr="00A77D60" w:rsidRDefault="00A74164" w:rsidP="003624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13,43</w:t>
            </w:r>
          </w:p>
        </w:tc>
      </w:tr>
      <w:tr w:rsidR="00A74164" w:rsidRPr="00534791" w14:paraId="7F221ED4" w14:textId="77777777" w:rsidTr="0036243B">
        <w:tc>
          <w:tcPr>
            <w:tcW w:w="1516" w:type="dxa"/>
            <w:shd w:val="clear" w:color="auto" w:fill="auto"/>
          </w:tcPr>
          <w:p w14:paraId="4F61B063" w14:textId="77777777" w:rsidR="00A74164" w:rsidRPr="00534791" w:rsidRDefault="00A74164" w:rsidP="003624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14:paraId="71B8A246" w14:textId="65FE4311" w:rsidR="00A74164" w:rsidRPr="00A77D60" w:rsidRDefault="00A74164" w:rsidP="005F16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4,86</w:t>
            </w:r>
          </w:p>
        </w:tc>
        <w:tc>
          <w:tcPr>
            <w:tcW w:w="1516" w:type="dxa"/>
            <w:shd w:val="clear" w:color="auto" w:fill="auto"/>
          </w:tcPr>
          <w:p w14:paraId="53364F3D" w14:textId="77777777" w:rsidR="00A74164" w:rsidRPr="00A77D60" w:rsidRDefault="00A74164" w:rsidP="005F16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14:paraId="658AC215" w14:textId="717CFDEC" w:rsidR="00A74164" w:rsidRPr="00A77D60" w:rsidRDefault="00A74164" w:rsidP="005F16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8,86</w:t>
            </w:r>
          </w:p>
        </w:tc>
        <w:tc>
          <w:tcPr>
            <w:tcW w:w="1517" w:type="dxa"/>
            <w:shd w:val="clear" w:color="auto" w:fill="auto"/>
          </w:tcPr>
          <w:p w14:paraId="17448130" w14:textId="77777777" w:rsidR="00A74164" w:rsidRPr="00A77D60" w:rsidRDefault="00A74164" w:rsidP="005F16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517" w:type="dxa"/>
            <w:shd w:val="clear" w:color="auto" w:fill="auto"/>
          </w:tcPr>
          <w:p w14:paraId="3A1CD4F2" w14:textId="0D9026BC" w:rsidR="00A74164" w:rsidRPr="00A77D60" w:rsidRDefault="00A74164" w:rsidP="005F16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</w:tr>
    </w:tbl>
    <w:p w14:paraId="5B059FD4" w14:textId="77777777" w:rsidR="002E7633" w:rsidRPr="00534791" w:rsidRDefault="002E7633" w:rsidP="005F1689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59AC5455" w14:textId="2F72FE32" w:rsidR="003B1626" w:rsidRPr="00A77D60" w:rsidRDefault="003B1626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  <w:u w:val="single"/>
        </w:rPr>
      </w:pPr>
      <w:r w:rsidRPr="00A77D60">
        <w:rPr>
          <w:rFonts w:ascii="Times New Roman" w:hAnsi="Times New Roman" w:cs="Times New Roman"/>
          <w:sz w:val="22"/>
          <w:szCs w:val="22"/>
          <w:u w:val="single"/>
        </w:rPr>
        <w:t xml:space="preserve">Spôsob podávania </w:t>
      </w:r>
    </w:p>
    <w:p w14:paraId="432C1EC4" w14:textId="698E8114" w:rsidR="00610374" w:rsidRPr="00A77D60" w:rsidRDefault="00610374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>Na intravenózne použitie.</w:t>
      </w:r>
    </w:p>
    <w:p w14:paraId="0EA5268A" w14:textId="2308AEDD" w:rsidR="00610374" w:rsidRPr="00A77D60" w:rsidRDefault="00610374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 xml:space="preserve">Na </w:t>
      </w:r>
      <w:r w:rsidR="00DE3CA5">
        <w:rPr>
          <w:rFonts w:ascii="Times New Roman" w:hAnsi="Times New Roman" w:cs="Times New Roman"/>
          <w:sz w:val="22"/>
          <w:szCs w:val="22"/>
        </w:rPr>
        <w:t>viac</w:t>
      </w:r>
      <w:r w:rsidRPr="00A77D60">
        <w:rPr>
          <w:rFonts w:ascii="Times New Roman" w:hAnsi="Times New Roman" w:cs="Times New Roman"/>
          <w:sz w:val="22"/>
          <w:szCs w:val="22"/>
        </w:rPr>
        <w:t>dávkové použitie.</w:t>
      </w:r>
    </w:p>
    <w:p w14:paraId="70C42DBC" w14:textId="77777777" w:rsidR="00610374" w:rsidRPr="00534791" w:rsidRDefault="00610374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</w:p>
    <w:p w14:paraId="311B6894" w14:textId="1F292B5B" w:rsidR="005A3343" w:rsidRPr="00534791" w:rsidRDefault="005A3343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Pred manipuláciou a podaním tohto lieku je nutné uskutočniť preventívne opatrenia.</w:t>
      </w:r>
    </w:p>
    <w:p w14:paraId="0387C32C" w14:textId="77777777" w:rsidR="00420F59" w:rsidRPr="00534791" w:rsidRDefault="00420F59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Pokyny na nariedenie lieku pred podaním, pozri časť 12.</w:t>
      </w:r>
    </w:p>
    <w:p w14:paraId="0A571474" w14:textId="77777777" w:rsidR="00420F59" w:rsidRPr="00534791" w:rsidRDefault="00420F59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O príprave pacienta, pozri časť 4.4.</w:t>
      </w:r>
    </w:p>
    <w:p w14:paraId="49B852B9" w14:textId="0970F816" w:rsidR="00E13FC3" w:rsidRPr="00B966E1" w:rsidRDefault="00E13FC3" w:rsidP="005D39A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Aktivita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sa musí </w:t>
      </w:r>
      <w:r w:rsidRPr="00B966E1">
        <w:rPr>
          <w:rFonts w:ascii="Times New Roman" w:hAnsi="Times New Roman" w:cs="Times New Roman"/>
          <w:sz w:val="22"/>
          <w:szCs w:val="22"/>
        </w:rPr>
        <w:t>odmerať meračom aktivity bezprostredne pred podaním injekcie.</w:t>
      </w:r>
    </w:p>
    <w:p w14:paraId="3F4A5FF8" w14:textId="77537D17" w:rsidR="00E13FC3" w:rsidRPr="00B966E1" w:rsidRDefault="00E13FC3" w:rsidP="00B966E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Injekcia musí byť podaná intravenózne, aby sa zabránilo vyžarovaniu v dôsledku lokálnej extravazácie, ako aj kvôli zobrazovacím artefaktom.</w:t>
      </w:r>
    </w:p>
    <w:p w14:paraId="235081FD" w14:textId="77777777" w:rsidR="005A3343" w:rsidRPr="00B966E1" w:rsidRDefault="005A3343" w:rsidP="00B966E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</w:rPr>
      </w:pPr>
    </w:p>
    <w:p w14:paraId="62979908" w14:textId="7448E369" w:rsidR="00A31D72" w:rsidRPr="00B966E1" w:rsidRDefault="00A31D72" w:rsidP="00B966E1">
      <w:pPr>
        <w:pStyle w:val="Zkladntext"/>
        <w:spacing w:after="0"/>
        <w:ind w:left="1"/>
        <w:rPr>
          <w:rFonts w:ascii="Times New Roman" w:hAnsi="Times New Roman" w:cs="Times New Roman"/>
          <w:sz w:val="22"/>
          <w:szCs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t>Akvizícia snímok</w:t>
      </w:r>
    </w:p>
    <w:p w14:paraId="6CD6A4BD" w14:textId="7FBB254E" w:rsidR="00E13FC3" w:rsidRPr="00B966E1" w:rsidRDefault="00E13FC3" w:rsidP="00B966E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 xml:space="preserve">Emisné skeny sa </w:t>
      </w:r>
      <w:r w:rsidR="00686035">
        <w:rPr>
          <w:rFonts w:ascii="Times New Roman" w:hAnsi="Times New Roman" w:cs="Times New Roman"/>
          <w:sz w:val="22"/>
          <w:szCs w:val="22"/>
        </w:rPr>
        <w:t>zvyčajne</w:t>
      </w:r>
      <w:r w:rsidRPr="00B966E1">
        <w:rPr>
          <w:rFonts w:ascii="Times New Roman" w:hAnsi="Times New Roman" w:cs="Times New Roman"/>
          <w:sz w:val="22"/>
          <w:szCs w:val="22"/>
        </w:rPr>
        <w:t xml:space="preserve"> začnú 60 minút po podaní injekcie fluoridu sodného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>F). Za predpokladu, že dostatočná aktivita ostane na primeranú výpočtovú štatistiku, skeny PET s fluoridom sodným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>F) sa môžu uskutočniť až do dvoch až troch hodín po podaní, čím sa zníži aktivita pozadia. Bezprostredne pred zobrazovaním sa odporúča vyprázdnenie, aby sa znížila aktivita v panvi.</w:t>
      </w:r>
    </w:p>
    <w:p w14:paraId="017AE8E4" w14:textId="2EEE0A3D" w:rsidR="009C2E6B" w:rsidRPr="00B966E1" w:rsidRDefault="009C2E6B" w:rsidP="00B966E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63451A9D" w14:textId="77777777" w:rsidR="004258A1" w:rsidRPr="00B966E1" w:rsidRDefault="004258A1" w:rsidP="00B966E1">
      <w:pPr>
        <w:pStyle w:val="Nadpis2"/>
        <w:numPr>
          <w:ilvl w:val="1"/>
          <w:numId w:val="21"/>
        </w:numPr>
        <w:jc w:val="left"/>
        <w:rPr>
          <w:b w:val="0"/>
        </w:rPr>
      </w:pPr>
      <w:r w:rsidRPr="00A77D60">
        <w:t>Kontraindikácie</w:t>
      </w:r>
    </w:p>
    <w:p w14:paraId="6D1AE42E" w14:textId="77777777" w:rsidR="00A11B19" w:rsidRPr="00B966E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3BB0BAA3" w14:textId="7D0B9714" w:rsidR="004258A1" w:rsidRPr="00B966E1" w:rsidRDefault="004258A1" w:rsidP="00B966E1">
      <w:pPr>
        <w:pStyle w:val="Zarkazkladnhotextu2"/>
        <w:numPr>
          <w:ilvl w:val="0"/>
          <w:numId w:val="24"/>
        </w:numPr>
        <w:tabs>
          <w:tab w:val="clear" w:pos="851"/>
          <w:tab w:val="clear" w:pos="1571"/>
          <w:tab w:val="num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Precitlivenosť na liečivo alebo na ktorúkoľvek z pomocných látok uvedených v časti 6.1.</w:t>
      </w:r>
    </w:p>
    <w:p w14:paraId="05F4D7DC" w14:textId="77777777" w:rsidR="004258A1" w:rsidRPr="00B966E1" w:rsidRDefault="004258A1" w:rsidP="00B966E1">
      <w:pPr>
        <w:pStyle w:val="Zarkazkladnhotextu2"/>
        <w:numPr>
          <w:ilvl w:val="0"/>
          <w:numId w:val="24"/>
        </w:numPr>
        <w:tabs>
          <w:tab w:val="clear" w:pos="851"/>
          <w:tab w:val="clear" w:pos="1571"/>
          <w:tab w:val="num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Tehotenstvo (pozri časť 4.6).</w:t>
      </w:r>
    </w:p>
    <w:p w14:paraId="1D09C1D4" w14:textId="77777777" w:rsidR="004258A1" w:rsidRPr="00B966E1" w:rsidRDefault="004258A1" w:rsidP="00B966E1">
      <w:pPr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1A5DB09E" w14:textId="77777777" w:rsidR="004258A1" w:rsidRPr="00A77D60" w:rsidRDefault="004258A1" w:rsidP="00B966E1">
      <w:pPr>
        <w:pStyle w:val="Nadpis2"/>
        <w:jc w:val="left"/>
      </w:pPr>
      <w:r w:rsidRPr="00A77D60">
        <w:t xml:space="preserve">4.4. </w:t>
      </w:r>
      <w:r w:rsidRPr="00A77D60">
        <w:tab/>
        <w:t>Osobitné upozornenia a opatrenia pri používaní</w:t>
      </w:r>
    </w:p>
    <w:p w14:paraId="174D65A2" w14:textId="77777777" w:rsidR="0086236C" w:rsidRPr="00B966E1" w:rsidRDefault="0086236C" w:rsidP="00B966E1">
      <w:pPr>
        <w:pStyle w:val="Zarkazkladnhotextu3"/>
        <w:ind w:left="0" w:firstLine="0"/>
        <w:jc w:val="left"/>
        <w:rPr>
          <w:rFonts w:ascii="Times New Roman" w:hAnsi="Times New Roman" w:cs="Times New Roman"/>
          <w:b w:val="0"/>
        </w:rPr>
      </w:pPr>
    </w:p>
    <w:p w14:paraId="0F40AF3A" w14:textId="44A7B80C" w:rsidR="0031586B" w:rsidRPr="00B966E1" w:rsidRDefault="0031586B" w:rsidP="00B966E1">
      <w:pPr>
        <w:rPr>
          <w:rFonts w:ascii="Times New Roman" w:hAnsi="Times New Roman" w:cs="Times New Roman"/>
          <w:sz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Individuálne odôvodnenie pomeru </w:t>
      </w:r>
      <w:r w:rsidR="00686035">
        <w:rPr>
          <w:rFonts w:ascii="Times New Roman" w:hAnsi="Times New Roman" w:cs="Times New Roman"/>
          <w:sz w:val="22"/>
          <w:szCs w:val="22"/>
          <w:u w:val="single"/>
        </w:rPr>
        <w:t>prínosu</w:t>
      </w:r>
      <w:r w:rsidRPr="00B966E1">
        <w:rPr>
          <w:rFonts w:ascii="Times New Roman" w:hAnsi="Times New Roman" w:cs="Times New Roman"/>
          <w:sz w:val="22"/>
          <w:szCs w:val="22"/>
          <w:u w:val="single"/>
        </w:rPr>
        <w:t xml:space="preserve"> a rizika</w:t>
      </w:r>
    </w:p>
    <w:p w14:paraId="3F8F0076" w14:textId="50EED49E" w:rsidR="0031586B" w:rsidRPr="00B966E1" w:rsidRDefault="0031586B" w:rsidP="00B966E1">
      <w:pPr>
        <w:rPr>
          <w:rFonts w:ascii="Times New Roman" w:hAnsi="Times New Roman" w:cs="Times New Roman"/>
          <w:b/>
          <w:sz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U každého pacienta musí byť expozícia žiareniu zdôvodniteľná pravdepodobným úžitkom. Podaná aktivita by mala byť v každom prípade taká nízka, aká je primeraná dosiahnutiu požadovanej diagnostickej informácie.</w:t>
      </w:r>
    </w:p>
    <w:p w14:paraId="6C119824" w14:textId="77777777" w:rsidR="0031586B" w:rsidRPr="00B966E1" w:rsidRDefault="0031586B" w:rsidP="00B966E1">
      <w:pPr>
        <w:rPr>
          <w:rFonts w:ascii="Times New Roman" w:hAnsi="Times New Roman" w:cs="Times New Roman"/>
          <w:b/>
          <w:sz w:val="22"/>
        </w:rPr>
      </w:pPr>
    </w:p>
    <w:p w14:paraId="7A067EC8" w14:textId="77777777" w:rsidR="009C2E6B" w:rsidRPr="00B966E1" w:rsidRDefault="009C2E6B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t>Porucha funkcie obličiek</w:t>
      </w:r>
    </w:p>
    <w:p w14:paraId="663AB976" w14:textId="0FC94D73" w:rsidR="0031586B" w:rsidRPr="00B966E1" w:rsidRDefault="009C2E6B" w:rsidP="005D39A1">
      <w:pPr>
        <w:rPr>
          <w:rFonts w:ascii="Times New Roman" w:hAnsi="Times New Roman" w:cs="Times New Roman"/>
          <w:b/>
          <w:sz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U týchto pacientov sa vyžaduje starostlivé zváženie pomeru úžitk</w:t>
      </w:r>
      <w:r w:rsidR="00CA5141" w:rsidRPr="00B966E1">
        <w:rPr>
          <w:rFonts w:ascii="Times New Roman" w:hAnsi="Times New Roman" w:cs="Times New Roman"/>
          <w:sz w:val="22"/>
          <w:szCs w:val="22"/>
        </w:rPr>
        <w:t>u</w:t>
      </w:r>
      <w:r w:rsidRPr="00B966E1">
        <w:rPr>
          <w:rFonts w:ascii="Times New Roman" w:hAnsi="Times New Roman" w:cs="Times New Roman"/>
          <w:sz w:val="22"/>
          <w:szCs w:val="22"/>
        </w:rPr>
        <w:t xml:space="preserve"> a rizika, nakoľko môže dôjsť k</w:t>
      </w:r>
      <w:r w:rsidR="00CA5141" w:rsidRPr="00B966E1">
        <w:rPr>
          <w:rFonts w:ascii="Times New Roman" w:hAnsi="Times New Roman" w:cs="Times New Roman"/>
          <w:sz w:val="22"/>
          <w:szCs w:val="22"/>
        </w:rPr>
        <w:t xml:space="preserve"> ich </w:t>
      </w:r>
      <w:r w:rsidRPr="00B966E1">
        <w:rPr>
          <w:rFonts w:ascii="Times New Roman" w:hAnsi="Times New Roman" w:cs="Times New Roman"/>
          <w:sz w:val="22"/>
          <w:szCs w:val="22"/>
        </w:rPr>
        <w:t xml:space="preserve">zvýšenej expozícii </w:t>
      </w:r>
      <w:r w:rsidR="00CA5141" w:rsidRPr="00B966E1">
        <w:rPr>
          <w:rFonts w:ascii="Times New Roman" w:hAnsi="Times New Roman" w:cs="Times New Roman"/>
          <w:sz w:val="22"/>
          <w:szCs w:val="22"/>
        </w:rPr>
        <w:t xml:space="preserve">ionizujúcemu </w:t>
      </w:r>
      <w:r w:rsidRPr="00B966E1">
        <w:rPr>
          <w:rFonts w:ascii="Times New Roman" w:hAnsi="Times New Roman" w:cs="Times New Roman"/>
          <w:sz w:val="22"/>
          <w:szCs w:val="22"/>
        </w:rPr>
        <w:t>žiareniu.</w:t>
      </w:r>
    </w:p>
    <w:p w14:paraId="75E9D8FA" w14:textId="77777777" w:rsidR="0031586B" w:rsidRPr="00B966E1" w:rsidRDefault="0031586B" w:rsidP="005D39A1">
      <w:pPr>
        <w:rPr>
          <w:rFonts w:ascii="Times New Roman" w:hAnsi="Times New Roman" w:cs="Times New Roman"/>
          <w:b/>
          <w:sz w:val="22"/>
        </w:rPr>
      </w:pPr>
    </w:p>
    <w:p w14:paraId="2735EB5A" w14:textId="6016EC17" w:rsidR="0086236C" w:rsidRPr="00B966E1" w:rsidRDefault="0086236C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5A92B156" w14:textId="77777777" w:rsidR="0086236C" w:rsidRPr="00B966E1" w:rsidRDefault="009C2E6B" w:rsidP="005D39A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Pre informácie o použití u pediatrickej populácie, pozri časť 4.2.</w:t>
      </w:r>
    </w:p>
    <w:p w14:paraId="48AA21AF" w14:textId="3DA8758F" w:rsidR="0031586B" w:rsidRPr="00B966E1" w:rsidRDefault="0086236C" w:rsidP="005D39A1">
      <w:pPr>
        <w:rPr>
          <w:rFonts w:ascii="Times New Roman" w:hAnsi="Times New Roman" w:cs="Times New Roman"/>
          <w:b/>
          <w:sz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Starostlivé zváženie indikácie je potrebné preto, lebo účinná dávka per MBq je vyššia ako u dospelých (pozri časť 11).</w:t>
      </w:r>
    </w:p>
    <w:p w14:paraId="41DB1090" w14:textId="77777777" w:rsidR="0031586B" w:rsidRPr="00B966E1" w:rsidRDefault="0031586B" w:rsidP="005D39A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C1743ED" w14:textId="77777777" w:rsidR="0031586B" w:rsidRPr="00B966E1" w:rsidRDefault="0031586B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t>Príprava pacienta</w:t>
      </w:r>
    </w:p>
    <w:p w14:paraId="739585E1" w14:textId="64317C98" w:rsidR="0086236C" w:rsidRPr="00B966E1" w:rsidRDefault="0086236C" w:rsidP="005D39A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 xml:space="preserve">Pacient </w:t>
      </w:r>
      <w:r w:rsidR="00853CA9" w:rsidRPr="00B966E1">
        <w:rPr>
          <w:rFonts w:ascii="Times New Roman" w:hAnsi="Times New Roman" w:cs="Times New Roman"/>
          <w:sz w:val="22"/>
          <w:szCs w:val="22"/>
        </w:rPr>
        <w:t>má</w:t>
      </w:r>
      <w:r w:rsidRPr="00B966E1">
        <w:rPr>
          <w:rFonts w:ascii="Times New Roman" w:hAnsi="Times New Roman" w:cs="Times New Roman"/>
          <w:sz w:val="22"/>
          <w:szCs w:val="22"/>
        </w:rPr>
        <w:t xml:space="preserve"> byť pred začiatkom vyšetrenia dobre hydratovaný a počas prvých hodín po vyšetrení nabádaný k</w:t>
      </w:r>
      <w:r w:rsidR="00951B8C" w:rsidRPr="00B966E1">
        <w:rPr>
          <w:rFonts w:ascii="Times New Roman" w:hAnsi="Times New Roman" w:cs="Times New Roman"/>
          <w:sz w:val="22"/>
          <w:szCs w:val="22"/>
        </w:rPr>
        <w:t> </w:t>
      </w:r>
      <w:r w:rsidRPr="00B966E1">
        <w:rPr>
          <w:rFonts w:ascii="Times New Roman" w:hAnsi="Times New Roman" w:cs="Times New Roman"/>
          <w:sz w:val="22"/>
          <w:szCs w:val="22"/>
        </w:rPr>
        <w:t>vyprázdňovaniu</w:t>
      </w:r>
      <w:r w:rsidR="00951B8C" w:rsidRPr="00B966E1">
        <w:rPr>
          <w:rFonts w:ascii="Times New Roman" w:hAnsi="Times New Roman" w:cs="Times New Roman"/>
          <w:sz w:val="22"/>
          <w:szCs w:val="22"/>
        </w:rPr>
        <w:t xml:space="preserve"> močového mechúra</w:t>
      </w:r>
      <w:r w:rsidRPr="00B966E1">
        <w:rPr>
          <w:rFonts w:ascii="Times New Roman" w:hAnsi="Times New Roman" w:cs="Times New Roman"/>
          <w:sz w:val="22"/>
          <w:szCs w:val="22"/>
        </w:rPr>
        <w:t xml:space="preserve"> tak často, ako je to  možné, aby sa znížilo žiarenie.</w:t>
      </w:r>
    </w:p>
    <w:p w14:paraId="4A3DFE13" w14:textId="77777777" w:rsidR="0031586B" w:rsidRPr="00B966E1" w:rsidRDefault="0031586B" w:rsidP="005D39A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7490A20" w14:textId="1B5F552F" w:rsidR="0031586B" w:rsidRPr="00B966E1" w:rsidRDefault="0031586B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B966E1">
        <w:rPr>
          <w:rFonts w:ascii="Times New Roman" w:hAnsi="Times New Roman" w:cs="Times New Roman"/>
          <w:sz w:val="22"/>
          <w:szCs w:val="22"/>
          <w:u w:val="single"/>
        </w:rPr>
        <w:t>Interpretácia (</w:t>
      </w:r>
      <w:r w:rsidRPr="00B966E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  <w:u w:val="single"/>
        </w:rPr>
        <w:t>F)-PET snímok získaných pomocou fluoridu sodného</w:t>
      </w:r>
    </w:p>
    <w:p w14:paraId="581644B1" w14:textId="1B87F57C" w:rsidR="004C4E60" w:rsidRPr="00B966E1" w:rsidRDefault="0031586B" w:rsidP="005D39A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Fluorid sodný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 xml:space="preserve">F)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má vyššiu senzit</w:t>
      </w:r>
      <w:r w:rsidR="003C0BE2" w:rsidRPr="00B966E1">
        <w:rPr>
          <w:rFonts w:ascii="Times New Roman" w:hAnsi="Times New Roman" w:cs="Times New Roman"/>
          <w:iCs/>
          <w:sz w:val="22"/>
          <w:szCs w:val="22"/>
        </w:rPr>
        <w:t>ívnosť v detekcii kostného poškodenia</w:t>
      </w:r>
      <w:r w:rsidR="006F58AE" w:rsidRPr="00B966E1">
        <w:rPr>
          <w:rFonts w:ascii="Times New Roman" w:hAnsi="Times New Roman" w:cs="Times New Roman"/>
          <w:iCs/>
          <w:sz w:val="22"/>
          <w:szCs w:val="22"/>
        </w:rPr>
        <w:t>,</w:t>
      </w:r>
      <w:r w:rsidRPr="00B966E1">
        <w:rPr>
          <w:rFonts w:ascii="Times New Roman" w:hAnsi="Times New Roman" w:cs="Times New Roman"/>
          <w:sz w:val="22"/>
          <w:szCs w:val="22"/>
        </w:rPr>
        <w:t xml:space="preserve"> ako iné </w:t>
      </w:r>
      <w:r w:rsidR="006F58AE" w:rsidRPr="00B966E1">
        <w:rPr>
          <w:rFonts w:ascii="Times New Roman" w:hAnsi="Times New Roman" w:cs="Times New Roman"/>
          <w:iCs/>
          <w:sz w:val="22"/>
          <w:szCs w:val="22"/>
        </w:rPr>
        <w:t>osteotropné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 rádiofarmaká (</w:t>
      </w:r>
      <w:r w:rsidR="00213ACF" w:rsidRPr="00B966E1">
        <w:rPr>
          <w:rFonts w:ascii="Times New Roman" w:hAnsi="Times New Roman" w:cs="Times New Roman"/>
          <w:iCs/>
          <w:sz w:val="22"/>
          <w:szCs w:val="22"/>
          <w:vertAlign w:val="superscript"/>
        </w:rPr>
        <w:t>99m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Tc-značené fosfáty a </w:t>
      </w:r>
      <w:r w:rsidRPr="00B966E1">
        <w:rPr>
          <w:rFonts w:ascii="Times New Roman" w:hAnsi="Times New Roman" w:cs="Times New Roman"/>
          <w:sz w:val="22"/>
          <w:szCs w:val="22"/>
        </w:rPr>
        <w:t>deriváty fosforečnanov a kyseliny Keďže fluorid sodný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 xml:space="preserve">F) </w:t>
      </w:r>
      <w:r w:rsidR="00E40EE7" w:rsidRPr="00B966E1">
        <w:rPr>
          <w:rFonts w:ascii="Times New Roman" w:hAnsi="Times New Roman" w:cs="Times New Roman"/>
          <w:sz w:val="22"/>
          <w:szCs w:val="22"/>
        </w:rPr>
        <w:t>kosnté matastázy</w:t>
      </w:r>
      <w:r w:rsidRPr="00B966E1">
        <w:rPr>
          <w:rFonts w:ascii="Times New Roman" w:hAnsi="Times New Roman" w:cs="Times New Roman"/>
          <w:sz w:val="22"/>
          <w:szCs w:val="22"/>
        </w:rPr>
        <w:t xml:space="preserve"> priamo, ale zaznamenáva </w:t>
      </w:r>
      <w:r w:rsidR="00E40EE7" w:rsidRPr="00B966E1">
        <w:rPr>
          <w:rFonts w:ascii="Times New Roman" w:hAnsi="Times New Roman" w:cs="Times New Roman"/>
          <w:sz w:val="22"/>
          <w:szCs w:val="22"/>
        </w:rPr>
        <w:t xml:space="preserve">ich </w:t>
      </w:r>
      <w:r w:rsidRPr="00B966E1">
        <w:rPr>
          <w:rFonts w:ascii="Times New Roman" w:hAnsi="Times New Roman" w:cs="Times New Roman"/>
          <w:sz w:val="22"/>
          <w:szCs w:val="22"/>
        </w:rPr>
        <w:t xml:space="preserve"> účinky</w:t>
      </w:r>
      <w:r w:rsidR="00E40EE7" w:rsidRPr="00B966E1">
        <w:rPr>
          <w:rFonts w:ascii="Times New Roman" w:hAnsi="Times New Roman" w:cs="Times New Roman"/>
          <w:sz w:val="22"/>
          <w:szCs w:val="22"/>
        </w:rPr>
        <w:t xml:space="preserve"> na kortik álnu kosť</w:t>
      </w:r>
      <w:r w:rsidRPr="00B966E1">
        <w:rPr>
          <w:rFonts w:ascii="Times New Roman" w:hAnsi="Times New Roman" w:cs="Times New Roman"/>
          <w:sz w:val="22"/>
          <w:szCs w:val="22"/>
        </w:rPr>
        <w:t xml:space="preserve"> (</w:t>
      </w:r>
      <w:r w:rsidR="00E40EE7" w:rsidRPr="00B966E1">
        <w:rPr>
          <w:rFonts w:ascii="Times New Roman" w:hAnsi="Times New Roman" w:cs="Times New Roman"/>
          <w:sz w:val="22"/>
          <w:szCs w:val="22"/>
        </w:rPr>
        <w:t xml:space="preserve">zvýšená </w:t>
      </w:r>
      <w:r w:rsidRPr="00B966E1">
        <w:rPr>
          <w:rFonts w:ascii="Times New Roman" w:hAnsi="Times New Roman" w:cs="Times New Roman"/>
          <w:sz w:val="22"/>
          <w:szCs w:val="22"/>
        </w:rPr>
        <w:t xml:space="preserve">osteogénna aktivita </w:t>
      </w:r>
      <w:r w:rsidR="00E40EE7" w:rsidRPr="00B966E1">
        <w:rPr>
          <w:rFonts w:ascii="Times New Roman" w:hAnsi="Times New Roman" w:cs="Times New Roman"/>
          <w:sz w:val="22"/>
          <w:szCs w:val="22"/>
        </w:rPr>
        <w:t>ako reakcia na poškodenie kosti</w:t>
      </w:r>
      <w:r w:rsidRPr="00B966E1">
        <w:rPr>
          <w:rFonts w:ascii="Times New Roman" w:hAnsi="Times New Roman" w:cs="Times New Roman"/>
          <w:sz w:val="22"/>
          <w:szCs w:val="22"/>
        </w:rPr>
        <w:t>), je fluorid sodný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>F) menej účinný pri dete</w:t>
      </w:r>
      <w:r w:rsidR="00E40EE7" w:rsidRPr="00B966E1">
        <w:rPr>
          <w:rFonts w:ascii="Times New Roman" w:hAnsi="Times New Roman" w:cs="Times New Roman"/>
          <w:sz w:val="22"/>
          <w:szCs w:val="22"/>
        </w:rPr>
        <w:t>g</w:t>
      </w:r>
      <w:r w:rsidRPr="00B966E1">
        <w:rPr>
          <w:rFonts w:ascii="Times New Roman" w:hAnsi="Times New Roman" w:cs="Times New Roman"/>
          <w:sz w:val="22"/>
          <w:szCs w:val="22"/>
        </w:rPr>
        <w:t>ovaní úvodných fáz kostných metastáz, ako sú metastázy do kostnej drene bez poškodenia</w:t>
      </w:r>
      <w:r w:rsidR="00541DFB" w:rsidRPr="00B966E1">
        <w:rPr>
          <w:rFonts w:ascii="Times New Roman" w:hAnsi="Times New Roman" w:cs="Times New Roman"/>
          <w:iCs/>
          <w:sz w:val="22"/>
          <w:szCs w:val="22"/>
        </w:rPr>
        <w:t xml:space="preserve"> samotnej</w:t>
      </w:r>
      <w:r w:rsidR="00FE3312" w:rsidRPr="00B966E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B966E1">
        <w:rPr>
          <w:rFonts w:ascii="Times New Roman" w:hAnsi="Times New Roman" w:cs="Times New Roman"/>
          <w:sz w:val="22"/>
          <w:szCs w:val="22"/>
        </w:rPr>
        <w:t xml:space="preserve"> kosti.</w:t>
      </w:r>
    </w:p>
    <w:p w14:paraId="695616AF" w14:textId="2F3ACE54" w:rsidR="0031586B" w:rsidRPr="00B966E1" w:rsidRDefault="004C4E60" w:rsidP="005D39A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 xml:space="preserve">Hardvérová fúzia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f</w:t>
      </w:r>
      <w:r w:rsidR="00CD2C16" w:rsidRPr="00B966E1">
        <w:rPr>
          <w:rFonts w:ascii="Times New Roman" w:hAnsi="Times New Roman" w:cs="Times New Roman"/>
          <w:iCs/>
          <w:sz w:val="22"/>
          <w:szCs w:val="22"/>
        </w:rPr>
        <w:t>unkčného PET obrazu s fluoridom</w:t>
      </w:r>
      <w:r w:rsidR="00312827" w:rsidRPr="00B966E1">
        <w:rPr>
          <w:rFonts w:ascii="Times New Roman" w:hAnsi="Times New Roman" w:cs="Times New Roman"/>
          <w:iCs/>
          <w:sz w:val="22"/>
          <w:szCs w:val="22"/>
        </w:rPr>
        <w:t xml:space="preserve"> sodným </w:t>
      </w:r>
      <w:r w:rsidRPr="00B966E1">
        <w:rPr>
          <w:rFonts w:ascii="Times New Roman" w:hAnsi="Times New Roman" w:cs="Times New Roman"/>
          <w:sz w:val="22"/>
          <w:szCs w:val="22"/>
        </w:rPr>
        <w:t>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 xml:space="preserve">F)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a m</w:t>
      </w:r>
      <w:r w:rsidR="00F97B7A" w:rsidRPr="00B966E1">
        <w:rPr>
          <w:rFonts w:ascii="Times New Roman" w:hAnsi="Times New Roman" w:cs="Times New Roman"/>
          <w:iCs/>
          <w:sz w:val="22"/>
          <w:szCs w:val="22"/>
        </w:rPr>
        <w:t>orfologického obrazu</w:t>
      </w:r>
      <w:r w:rsidRPr="00B966E1">
        <w:rPr>
          <w:rFonts w:ascii="Times New Roman" w:hAnsi="Times New Roman" w:cs="Times New Roman"/>
          <w:sz w:val="22"/>
          <w:szCs w:val="22"/>
        </w:rPr>
        <w:t xml:space="preserve"> napr. PET-CT môže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zv</w:t>
      </w:r>
      <w:r w:rsidR="00E40EE7" w:rsidRPr="00B966E1">
        <w:rPr>
          <w:rFonts w:ascii="Times New Roman" w:hAnsi="Times New Roman" w:cs="Times New Roman"/>
          <w:iCs/>
          <w:sz w:val="22"/>
          <w:szCs w:val="22"/>
        </w:rPr>
        <w:t>ý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š</w:t>
      </w:r>
      <w:r w:rsidR="00E40EE7" w:rsidRPr="00B966E1">
        <w:rPr>
          <w:rFonts w:ascii="Times New Roman" w:hAnsi="Times New Roman" w:cs="Times New Roman"/>
          <w:iCs/>
          <w:sz w:val="22"/>
          <w:szCs w:val="22"/>
        </w:rPr>
        <w:t>i</w:t>
      </w:r>
      <w:r w:rsidR="00D73E83" w:rsidRPr="00B966E1">
        <w:rPr>
          <w:rFonts w:ascii="Times New Roman" w:hAnsi="Times New Roman" w:cs="Times New Roman"/>
          <w:iCs/>
          <w:sz w:val="22"/>
          <w:szCs w:val="22"/>
        </w:rPr>
        <w:t>ť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 senzitívnosť</w:t>
      </w:r>
      <w:r w:rsidR="00B966E1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špecifickosť</w:t>
      </w:r>
      <w:r w:rsidRPr="00B966E1">
        <w:rPr>
          <w:rFonts w:ascii="Times New Roman" w:hAnsi="Times New Roman" w:cs="Times New Roman"/>
          <w:sz w:val="22"/>
          <w:szCs w:val="22"/>
        </w:rPr>
        <w:t xml:space="preserve"> kostnej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diagnostiky. </w:t>
      </w:r>
    </w:p>
    <w:p w14:paraId="26B1365B" w14:textId="5D40B03E" w:rsidR="0031586B" w:rsidRPr="00534791" w:rsidRDefault="00E13FC3" w:rsidP="005D39A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Keďže nie je signifikantný rozdiel</w:t>
      </w:r>
      <w:r w:rsidR="00B85E4D" w:rsidRPr="00B966E1">
        <w:rPr>
          <w:rFonts w:ascii="Times New Roman" w:hAnsi="Times New Roman" w:cs="Times New Roman"/>
          <w:iCs/>
          <w:sz w:val="22"/>
          <w:szCs w:val="22"/>
        </w:rPr>
        <w:t xml:space="preserve"> medzi 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CD2C16" w:rsidRPr="00B966E1">
        <w:rPr>
          <w:rFonts w:ascii="Times New Roman" w:hAnsi="Times New Roman" w:cs="Times New Roman"/>
          <w:iCs/>
          <w:sz w:val="22"/>
          <w:szCs w:val="22"/>
        </w:rPr>
        <w:t>akumu</w:t>
      </w:r>
      <w:r w:rsidR="00F97B7A" w:rsidRPr="00B966E1">
        <w:rPr>
          <w:rFonts w:ascii="Times New Roman" w:hAnsi="Times New Roman" w:cs="Times New Roman"/>
          <w:iCs/>
          <w:sz w:val="22"/>
          <w:szCs w:val="22"/>
        </w:rPr>
        <w:t>l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>áci</w:t>
      </w:r>
      <w:r w:rsidR="00B85E4D" w:rsidRPr="00B966E1">
        <w:rPr>
          <w:rFonts w:ascii="Times New Roman" w:hAnsi="Times New Roman" w:cs="Times New Roman"/>
          <w:iCs/>
          <w:sz w:val="22"/>
          <w:szCs w:val="22"/>
        </w:rPr>
        <w:t>ou</w:t>
      </w:r>
      <w:r w:rsidR="00213ACF" w:rsidRPr="00B966E1">
        <w:rPr>
          <w:rFonts w:ascii="Times New Roman" w:hAnsi="Times New Roman" w:cs="Times New Roman"/>
          <w:iCs/>
          <w:sz w:val="22"/>
          <w:szCs w:val="22"/>
        </w:rPr>
        <w:t xml:space="preserve"> fluoridu</w:t>
      </w:r>
      <w:r w:rsidR="00312827" w:rsidRPr="00B966E1">
        <w:rPr>
          <w:rFonts w:ascii="Times New Roman" w:hAnsi="Times New Roman" w:cs="Times New Roman"/>
          <w:iCs/>
          <w:sz w:val="22"/>
          <w:szCs w:val="22"/>
        </w:rPr>
        <w:t xml:space="preserve"> sodného</w:t>
      </w:r>
      <w:r w:rsidR="00312827" w:rsidRPr="0053479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B85E4D" w:rsidRPr="00534791">
        <w:rPr>
          <w:rFonts w:ascii="Times New Roman" w:hAnsi="Times New Roman" w:cs="Times New Roman"/>
          <w:iCs/>
          <w:sz w:val="22"/>
          <w:szCs w:val="22"/>
        </w:rPr>
        <w:t>(</w:t>
      </w:r>
      <w:r w:rsidR="00B85E4D" w:rsidRPr="00534791">
        <w:rPr>
          <w:rFonts w:ascii="Times New Roman" w:hAnsi="Times New Roman" w:cs="Times New Roman"/>
          <w:iCs/>
          <w:sz w:val="22"/>
          <w:szCs w:val="22"/>
          <w:vertAlign w:val="superscript"/>
        </w:rPr>
        <w:t>18</w:t>
      </w:r>
      <w:r w:rsidR="00B85E4D" w:rsidRPr="00534791">
        <w:rPr>
          <w:rFonts w:ascii="Times New Roman" w:hAnsi="Times New Roman" w:cs="Times New Roman"/>
          <w:iCs/>
          <w:sz w:val="22"/>
          <w:szCs w:val="22"/>
        </w:rPr>
        <w:t xml:space="preserve">F) </w:t>
      </w:r>
      <w:r w:rsidR="00E6522C" w:rsidRPr="00534791">
        <w:rPr>
          <w:rFonts w:ascii="Times New Roman" w:hAnsi="Times New Roman" w:cs="Times New Roman"/>
          <w:iCs/>
          <w:sz w:val="22"/>
          <w:szCs w:val="22"/>
        </w:rPr>
        <w:t>v malígnych a v benígnych</w:t>
      </w:r>
      <w:r w:rsidR="00CD2C16" w:rsidRPr="00534791">
        <w:rPr>
          <w:rFonts w:ascii="Times New Roman" w:hAnsi="Times New Roman" w:cs="Times New Roman"/>
          <w:iCs/>
          <w:sz w:val="22"/>
          <w:szCs w:val="22"/>
        </w:rPr>
        <w:t xml:space="preserve"> kostných léziách</w:t>
      </w:r>
      <w:r w:rsidR="00213ACF" w:rsidRPr="00534791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B85E4D" w:rsidRPr="00534791">
        <w:rPr>
          <w:rFonts w:ascii="Times New Roman" w:hAnsi="Times New Roman" w:cs="Times New Roman"/>
          <w:iCs/>
          <w:sz w:val="22"/>
          <w:szCs w:val="22"/>
        </w:rPr>
        <w:t>je</w:t>
      </w:r>
      <w:r w:rsidR="00213ACF" w:rsidRPr="0053479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>pri odlíšení</w:t>
      </w:r>
      <w:r w:rsidRPr="00534791">
        <w:rPr>
          <w:rFonts w:ascii="Times New Roman" w:hAnsi="Times New Roman" w:cs="Times New Roman"/>
          <w:sz w:val="22"/>
          <w:szCs w:val="22"/>
        </w:rPr>
        <w:t xml:space="preserve"> kostných metastáz </w:t>
      </w:r>
      <w:r w:rsidR="00E6522C" w:rsidRPr="00534791">
        <w:rPr>
          <w:rFonts w:ascii="Times New Roman" w:hAnsi="Times New Roman" w:cs="Times New Roman"/>
          <w:iCs/>
          <w:sz w:val="22"/>
          <w:szCs w:val="22"/>
        </w:rPr>
        <w:t>od nemalígnych</w:t>
      </w:r>
      <w:r w:rsidRPr="00534791">
        <w:rPr>
          <w:rFonts w:ascii="Times New Roman" w:hAnsi="Times New Roman" w:cs="Times New Roman"/>
          <w:sz w:val="22"/>
          <w:szCs w:val="22"/>
        </w:rPr>
        <w:t xml:space="preserve"> kostných lézií 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>užitočná analýza</w:t>
      </w:r>
      <w:r w:rsidRPr="00534791">
        <w:rPr>
          <w:rFonts w:ascii="Times New Roman" w:hAnsi="Times New Roman" w:cs="Times New Roman"/>
          <w:sz w:val="22"/>
          <w:szCs w:val="22"/>
        </w:rPr>
        <w:t xml:space="preserve"> fúzie  PET a CT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 xml:space="preserve"> obrazov, optimálne získanej z hybridného</w:t>
      </w:r>
      <w:r w:rsidRPr="00534791">
        <w:rPr>
          <w:rFonts w:ascii="Times New Roman" w:hAnsi="Times New Roman" w:cs="Times New Roman"/>
          <w:sz w:val="22"/>
          <w:szCs w:val="22"/>
        </w:rPr>
        <w:t xml:space="preserve"> PET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>/</w:t>
      </w:r>
      <w:r w:rsidRPr="00534791">
        <w:rPr>
          <w:rFonts w:ascii="Times New Roman" w:hAnsi="Times New Roman" w:cs="Times New Roman"/>
          <w:sz w:val="22"/>
          <w:szCs w:val="22"/>
        </w:rPr>
        <w:t>CT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 xml:space="preserve"> zobrazenia</w:t>
      </w:r>
      <w:r w:rsidRPr="00534791">
        <w:rPr>
          <w:rFonts w:ascii="Times New Roman" w:hAnsi="Times New Roman" w:cs="Times New Roman"/>
          <w:sz w:val="22"/>
          <w:szCs w:val="22"/>
        </w:rPr>
        <w:t xml:space="preserve">, alebo ak toto nie je 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>dostupné</w:t>
      </w:r>
      <w:r w:rsidR="005E08BA">
        <w:rPr>
          <w:rFonts w:ascii="Times New Roman" w:hAnsi="Times New Roman" w:cs="Times New Roman"/>
          <w:iCs/>
          <w:sz w:val="22"/>
          <w:szCs w:val="22"/>
        </w:rPr>
        <w:t>,</w:t>
      </w:r>
      <w:r w:rsidR="00F97B7A" w:rsidRPr="00534791">
        <w:rPr>
          <w:rFonts w:ascii="Times New Roman" w:hAnsi="Times New Roman" w:cs="Times New Roman"/>
          <w:iCs/>
          <w:sz w:val="22"/>
          <w:szCs w:val="22"/>
        </w:rPr>
        <w:t xml:space="preserve"> z dopĺňajúcich vyšetrení</w:t>
      </w:r>
      <w:r w:rsidRPr="00534791">
        <w:rPr>
          <w:rFonts w:ascii="Times New Roman" w:hAnsi="Times New Roman" w:cs="Times New Roman"/>
          <w:sz w:val="22"/>
          <w:szCs w:val="22"/>
        </w:rPr>
        <w:t xml:space="preserve"> (MRI, CT).</w:t>
      </w:r>
    </w:p>
    <w:p w14:paraId="777F016B" w14:textId="77777777" w:rsidR="0031586B" w:rsidRPr="00534791" w:rsidRDefault="0031586B" w:rsidP="005D39A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E666732" w14:textId="77777777" w:rsidR="006A5783" w:rsidRPr="00534791" w:rsidRDefault="006A5783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Po vyšetrení</w:t>
      </w:r>
    </w:p>
    <w:p w14:paraId="1991D6C9" w14:textId="259D8DB7" w:rsidR="006A5783" w:rsidRPr="00534791" w:rsidRDefault="006A5783" w:rsidP="005D39A1">
      <w:pPr>
        <w:ind w:hanging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Počas </w:t>
      </w:r>
      <w:r w:rsidR="00853CA9">
        <w:rPr>
          <w:rFonts w:ascii="Times New Roman" w:hAnsi="Times New Roman" w:cs="Times New Roman"/>
          <w:sz w:val="22"/>
          <w:szCs w:val="22"/>
        </w:rPr>
        <w:t>prvých</w:t>
      </w:r>
      <w:r w:rsidRPr="00534791">
        <w:rPr>
          <w:rFonts w:ascii="Times New Roman" w:hAnsi="Times New Roman" w:cs="Times New Roman"/>
          <w:sz w:val="22"/>
          <w:szCs w:val="22"/>
        </w:rPr>
        <w:t xml:space="preserve"> 12 hodín po podaní injekcie </w:t>
      </w:r>
      <w:r w:rsidR="00853CA9">
        <w:rPr>
          <w:rFonts w:ascii="Times New Roman" w:hAnsi="Times New Roman" w:cs="Times New Roman"/>
          <w:sz w:val="22"/>
          <w:szCs w:val="22"/>
        </w:rPr>
        <w:t xml:space="preserve">sa </w:t>
      </w:r>
      <w:r w:rsidRPr="00534791">
        <w:rPr>
          <w:rFonts w:ascii="Times New Roman" w:hAnsi="Times New Roman" w:cs="Times New Roman"/>
          <w:sz w:val="22"/>
          <w:szCs w:val="22"/>
        </w:rPr>
        <w:t xml:space="preserve">musí obmedziť blízky kontakt </w:t>
      </w:r>
      <w:r w:rsidR="00853CA9">
        <w:rPr>
          <w:rFonts w:ascii="Times New Roman" w:hAnsi="Times New Roman" w:cs="Times New Roman"/>
          <w:sz w:val="22"/>
          <w:szCs w:val="22"/>
        </w:rPr>
        <w:t>s dojčatami</w:t>
      </w:r>
      <w:r w:rsidRPr="00534791">
        <w:rPr>
          <w:rFonts w:ascii="Times New Roman" w:hAnsi="Times New Roman" w:cs="Times New Roman"/>
          <w:sz w:val="22"/>
          <w:szCs w:val="22"/>
        </w:rPr>
        <w:t xml:space="preserve"> a gravidný</w:t>
      </w:r>
      <w:r w:rsidR="00853CA9">
        <w:rPr>
          <w:rFonts w:ascii="Times New Roman" w:hAnsi="Times New Roman" w:cs="Times New Roman"/>
          <w:sz w:val="22"/>
          <w:szCs w:val="22"/>
        </w:rPr>
        <w:t>mi</w:t>
      </w:r>
      <w:r w:rsidRPr="00534791">
        <w:rPr>
          <w:rFonts w:ascii="Times New Roman" w:hAnsi="Times New Roman" w:cs="Times New Roman"/>
          <w:sz w:val="22"/>
          <w:szCs w:val="22"/>
        </w:rPr>
        <w:t xml:space="preserve"> žen</w:t>
      </w:r>
      <w:r w:rsidR="00853CA9">
        <w:rPr>
          <w:rFonts w:ascii="Times New Roman" w:hAnsi="Times New Roman" w:cs="Times New Roman"/>
          <w:sz w:val="22"/>
          <w:szCs w:val="22"/>
        </w:rPr>
        <w:t>ami</w:t>
      </w:r>
      <w:r w:rsidRPr="00534791">
        <w:rPr>
          <w:rFonts w:ascii="Times New Roman" w:hAnsi="Times New Roman" w:cs="Times New Roman"/>
          <w:sz w:val="22"/>
          <w:szCs w:val="22"/>
        </w:rPr>
        <w:t>.</w:t>
      </w:r>
    </w:p>
    <w:p w14:paraId="0AE9ACE6" w14:textId="77777777" w:rsidR="004258A1" w:rsidRPr="00534791" w:rsidRDefault="004258A1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419A98CB" w14:textId="7E41D199" w:rsidR="002D4D62" w:rsidRPr="00534791" w:rsidRDefault="00853CA9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Osobitné</w:t>
      </w:r>
      <w:r w:rsidR="002D4D62" w:rsidRPr="00534791">
        <w:rPr>
          <w:rFonts w:ascii="Times New Roman" w:hAnsi="Times New Roman" w:cs="Times New Roman"/>
          <w:sz w:val="22"/>
          <w:szCs w:val="22"/>
          <w:u w:val="single"/>
        </w:rPr>
        <w:t xml:space="preserve"> upozornenia </w:t>
      </w:r>
    </w:p>
    <w:p w14:paraId="62E48826" w14:textId="7BAAFB5F" w:rsidR="002D4D62" w:rsidRPr="00534791" w:rsidRDefault="008E2EB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V závislosti od času, v ktorom podáte injekciu, môže byť obsah sodíka podaný pacientovi v niektorých prípadoch vyšší ako 1 mmol (23 mg). Tento údaj je </w:t>
      </w:r>
      <w:r w:rsidR="0068123E">
        <w:rPr>
          <w:rFonts w:ascii="Times New Roman" w:hAnsi="Times New Roman" w:cs="Times New Roman"/>
          <w:sz w:val="22"/>
          <w:szCs w:val="22"/>
        </w:rPr>
        <w:t>potrebné</w:t>
      </w:r>
      <w:r w:rsidRPr="00534791">
        <w:rPr>
          <w:rFonts w:ascii="Times New Roman" w:hAnsi="Times New Roman" w:cs="Times New Roman"/>
          <w:sz w:val="22"/>
          <w:szCs w:val="22"/>
        </w:rPr>
        <w:t xml:space="preserve"> vziať do úvahy u pacientov, ktorí držia diétu s nízkym obsahom sodíka.</w:t>
      </w:r>
    </w:p>
    <w:p w14:paraId="744802ED" w14:textId="77777777" w:rsidR="008E2EB1" w:rsidRPr="00534791" w:rsidRDefault="008E2EB1" w:rsidP="005D39A1">
      <w:pPr>
        <w:rPr>
          <w:rFonts w:ascii="Times New Roman" w:hAnsi="Times New Roman" w:cs="Times New Roman"/>
          <w:sz w:val="22"/>
          <w:szCs w:val="22"/>
        </w:rPr>
      </w:pPr>
    </w:p>
    <w:p w14:paraId="631ACD08" w14:textId="207175E4" w:rsidR="001F0EA4" w:rsidRPr="001F0EA4" w:rsidRDefault="001F0EA4" w:rsidP="005D39A1">
      <w:pPr>
        <w:rPr>
          <w:rFonts w:ascii="Times New Roman" w:hAnsi="Times New Roman" w:cs="Times New Roman"/>
          <w:sz w:val="22"/>
          <w:szCs w:val="22"/>
        </w:rPr>
      </w:pPr>
      <w:r w:rsidRPr="001F0EA4">
        <w:rPr>
          <w:rFonts w:ascii="Times New Roman" w:hAnsi="Times New Roman" w:cs="Times New Roman"/>
          <w:sz w:val="22"/>
          <w:szCs w:val="22"/>
        </w:rPr>
        <w:t>Opatrenia s ohľadom na riziko pre okolité prostredie sú uvedené v časti 6.6</w:t>
      </w:r>
    </w:p>
    <w:p w14:paraId="226B0C46" w14:textId="77777777" w:rsidR="002D4D62" w:rsidRPr="00534791" w:rsidRDefault="002D4D62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7FC28EED" w14:textId="15365725" w:rsidR="004258A1" w:rsidRPr="00534791" w:rsidRDefault="004258A1" w:rsidP="00B966E1">
      <w:pPr>
        <w:pStyle w:val="Nadpis2"/>
        <w:jc w:val="left"/>
      </w:pPr>
      <w:r w:rsidRPr="00534791">
        <w:t xml:space="preserve">4.5. </w:t>
      </w:r>
      <w:r w:rsidRPr="00534791">
        <w:tab/>
        <w:t>Liekové a iné interakcie</w:t>
      </w:r>
    </w:p>
    <w:p w14:paraId="65F20E76" w14:textId="77777777" w:rsidR="00A11B19" w:rsidRPr="00534791" w:rsidRDefault="00A11B19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1221A228" w14:textId="77777777" w:rsidR="004258A1" w:rsidRPr="00534791" w:rsidRDefault="0070295D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Neuskutočnili sa žiadne interakčné štúdie.</w:t>
      </w:r>
    </w:p>
    <w:p w14:paraId="2F56917A" w14:textId="77777777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</w:p>
    <w:p w14:paraId="2717D0F6" w14:textId="60B9E23C" w:rsidR="004258A1" w:rsidRPr="00534791" w:rsidRDefault="004258A1" w:rsidP="00B966E1">
      <w:pPr>
        <w:pStyle w:val="Nadpis2"/>
        <w:jc w:val="left"/>
      </w:pPr>
      <w:r w:rsidRPr="00534791">
        <w:t xml:space="preserve">4.6. </w:t>
      </w:r>
      <w:r w:rsidRPr="00534791">
        <w:tab/>
        <w:t>Fertilita, gravidita a laktácia</w:t>
      </w:r>
    </w:p>
    <w:p w14:paraId="57B82676" w14:textId="77777777" w:rsidR="00A11B19" w:rsidRPr="00534791" w:rsidRDefault="00A11B19" w:rsidP="005D39A1">
      <w:pPr>
        <w:ind w:left="567" w:hanging="56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A86671" w14:textId="4BF33CA7" w:rsidR="00FE342D" w:rsidRPr="00534791" w:rsidRDefault="00FE342D" w:rsidP="005D39A1">
      <w:pPr>
        <w:ind w:left="567" w:hanging="567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 xml:space="preserve">Ženy </w:t>
      </w:r>
      <w:r w:rsidR="00D47FF4" w:rsidRPr="00534791">
        <w:rPr>
          <w:rFonts w:ascii="Times New Roman" w:hAnsi="Times New Roman" w:cs="Times New Roman"/>
          <w:sz w:val="22"/>
          <w:szCs w:val="22"/>
          <w:u w:val="single"/>
        </w:rPr>
        <w:t>vo fertilnom</w:t>
      </w:r>
      <w:r w:rsidRPr="00534791">
        <w:rPr>
          <w:rFonts w:ascii="Times New Roman" w:hAnsi="Times New Roman" w:cs="Times New Roman"/>
          <w:sz w:val="22"/>
          <w:szCs w:val="22"/>
          <w:u w:val="single"/>
        </w:rPr>
        <w:t xml:space="preserve"> veku</w:t>
      </w:r>
    </w:p>
    <w:p w14:paraId="2D6ED445" w14:textId="19A21E02" w:rsidR="00FE342D" w:rsidRPr="00534791" w:rsidRDefault="00FE342D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V prípade plánovaného podania rádiofarm</w:t>
      </w:r>
      <w:r w:rsidR="0068123E">
        <w:rPr>
          <w:rFonts w:ascii="Times New Roman" w:hAnsi="Times New Roman" w:cs="Times New Roman"/>
          <w:sz w:val="22"/>
          <w:szCs w:val="22"/>
        </w:rPr>
        <w:t>aka</w:t>
      </w:r>
      <w:r w:rsidRPr="00534791">
        <w:rPr>
          <w:rFonts w:ascii="Times New Roman" w:hAnsi="Times New Roman" w:cs="Times New Roman"/>
          <w:sz w:val="22"/>
          <w:szCs w:val="22"/>
        </w:rPr>
        <w:t xml:space="preserve"> žene v reprodukčnom veku je dôležité zistiť, či táto žena je alebo nie je gravidná. Každá žena, ktorej vynechala menštruácia, sa považuje za gravidnú, pokiaľ sa nepreukáže opak. V prípade pochybností o jej možnej gravidite (ak žene vynechala menštruácia, ak je menštruácia nepravidelná a pod.) majú sa pacientke ponúknuť alternatívne metódy, ktoré nevyužívajú ionizujúce žiarenie (ak sú k dispozícii).</w:t>
      </w:r>
    </w:p>
    <w:p w14:paraId="0FD21F08" w14:textId="77777777" w:rsidR="00FE342D" w:rsidRPr="00534791" w:rsidRDefault="00FE342D" w:rsidP="005D39A1">
      <w:pPr>
        <w:ind w:left="567" w:hanging="56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AFD1FB8" w14:textId="77777777" w:rsidR="008E2EB1" w:rsidRPr="00534791" w:rsidRDefault="008E2EB1" w:rsidP="00B966E1">
      <w:pPr>
        <w:keepNext/>
        <w:ind w:left="567" w:hanging="567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lastRenderedPageBreak/>
        <w:t>Gravidita</w:t>
      </w:r>
    </w:p>
    <w:p w14:paraId="2BB696F5" w14:textId="77777777" w:rsidR="008E2EB1" w:rsidRPr="00534791" w:rsidRDefault="008E2EB1" w:rsidP="00B966E1">
      <w:pPr>
        <w:keepNext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Použitie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je u gravidných žien kontraindikované kvôli expozícii plodu žiareniu (pozri časť 4.3).</w:t>
      </w:r>
    </w:p>
    <w:p w14:paraId="16CA08ED" w14:textId="77777777" w:rsidR="008E2EB1" w:rsidRPr="00534791" w:rsidRDefault="008E2EB1" w:rsidP="005D39A1">
      <w:pPr>
        <w:ind w:left="567" w:hanging="567"/>
        <w:rPr>
          <w:rFonts w:ascii="Times New Roman" w:hAnsi="Times New Roman" w:cs="Times New Roman"/>
          <w:sz w:val="22"/>
          <w:szCs w:val="22"/>
          <w:u w:val="single"/>
        </w:rPr>
      </w:pPr>
    </w:p>
    <w:p w14:paraId="5FC5305B" w14:textId="42053B01" w:rsidR="007D2878" w:rsidRPr="00534791" w:rsidRDefault="0068123E" w:rsidP="005D39A1">
      <w:pPr>
        <w:ind w:left="567" w:hanging="567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Dojčenie</w:t>
      </w:r>
    </w:p>
    <w:p w14:paraId="2ADCFF1B" w14:textId="0FBF79AD" w:rsidR="007D2878" w:rsidRPr="00534791" w:rsidRDefault="007D2878" w:rsidP="005D39A1">
      <w:pPr>
        <w:pStyle w:val="Ttabelle"/>
        <w:spacing w:before="0" w:after="0"/>
        <w:jc w:val="left"/>
        <w:rPr>
          <w:rFonts w:ascii="Times New Roman" w:hAnsi="Times New Roman"/>
          <w:szCs w:val="22"/>
        </w:rPr>
      </w:pPr>
      <w:bookmarkStart w:id="3" w:name="OLE_LINK5"/>
      <w:bookmarkStart w:id="4" w:name="OLE_LINK6"/>
      <w:r w:rsidRPr="00534791">
        <w:rPr>
          <w:rFonts w:ascii="Times New Roman" w:hAnsi="Times New Roman"/>
          <w:szCs w:val="22"/>
        </w:rPr>
        <w:t xml:space="preserve">Pred podaním rádiofarmák dojčiacej matke treba zvážiť možnosť oddialenia podania rádionuklidu na </w:t>
      </w:r>
      <w:r w:rsidR="0068123E">
        <w:rPr>
          <w:rFonts w:ascii="Times New Roman" w:hAnsi="Times New Roman"/>
          <w:szCs w:val="22"/>
        </w:rPr>
        <w:t>obdobie</w:t>
      </w:r>
      <w:r w:rsidRPr="00534791">
        <w:rPr>
          <w:rFonts w:ascii="Times New Roman" w:hAnsi="Times New Roman"/>
          <w:szCs w:val="22"/>
        </w:rPr>
        <w:t xml:space="preserve">, </w:t>
      </w:r>
      <w:r w:rsidR="005C3611">
        <w:rPr>
          <w:rFonts w:ascii="Times New Roman" w:hAnsi="Times New Roman"/>
          <w:szCs w:val="22"/>
        </w:rPr>
        <w:t xml:space="preserve">kedy bude dojčenie ukončené a zvážiť výber primeraného rádiofarmaka s ohľadom na jeho vylučovanie do materského mlieka. </w:t>
      </w:r>
      <w:r w:rsidRPr="00534791">
        <w:rPr>
          <w:rFonts w:ascii="Times New Roman" w:hAnsi="Times New Roman"/>
          <w:szCs w:val="22"/>
        </w:rPr>
        <w:t>Ak sa podanie rádiofarmaka považuje za nevyhnutné, dojčenie sa musí prerušiť na 12 hodín a odsaté mlieko sa musí zlikvidovať.</w:t>
      </w:r>
    </w:p>
    <w:p w14:paraId="7B3385CC" w14:textId="6EF95B66" w:rsidR="008E2EB1" w:rsidRPr="00A77D60" w:rsidRDefault="008254F5" w:rsidP="005D39A1">
      <w:pPr>
        <w:pStyle w:val="Tabelle"/>
        <w:spacing w:before="0" w:after="0"/>
        <w:rPr>
          <w:rFonts w:ascii="Times New Roman" w:hAnsi="Times New Roman"/>
          <w:szCs w:val="22"/>
        </w:rPr>
      </w:pPr>
      <w:r w:rsidRPr="00A77D60">
        <w:rPr>
          <w:rFonts w:ascii="Times New Roman" w:hAnsi="Times New Roman"/>
          <w:szCs w:val="22"/>
        </w:rPr>
        <w:t xml:space="preserve">V priebehu </w:t>
      </w:r>
      <w:r w:rsidR="005C3611">
        <w:rPr>
          <w:rFonts w:ascii="Times New Roman" w:hAnsi="Times New Roman"/>
          <w:szCs w:val="22"/>
        </w:rPr>
        <w:t>prvých</w:t>
      </w:r>
      <w:r w:rsidRPr="00A77D60">
        <w:rPr>
          <w:rFonts w:ascii="Times New Roman" w:hAnsi="Times New Roman"/>
          <w:szCs w:val="22"/>
        </w:rPr>
        <w:t xml:space="preserve"> 12 hodín po podaní injekcie treba obmedziť blízky kontakt s </w:t>
      </w:r>
      <w:r w:rsidR="005C3611">
        <w:rPr>
          <w:rFonts w:ascii="Times New Roman" w:hAnsi="Times New Roman"/>
          <w:szCs w:val="22"/>
        </w:rPr>
        <w:t>dojčatami</w:t>
      </w:r>
      <w:r w:rsidRPr="00A77D60">
        <w:rPr>
          <w:rFonts w:ascii="Times New Roman" w:hAnsi="Times New Roman"/>
          <w:szCs w:val="22"/>
        </w:rPr>
        <w:t>.</w:t>
      </w:r>
    </w:p>
    <w:p w14:paraId="02A0DEE5" w14:textId="77777777" w:rsidR="008E2EB1" w:rsidRPr="00A77D60" w:rsidRDefault="008E2EB1" w:rsidP="005D39A1">
      <w:pPr>
        <w:pStyle w:val="Tabelle"/>
        <w:spacing w:before="0" w:after="0"/>
        <w:rPr>
          <w:rFonts w:ascii="Times New Roman" w:hAnsi="Times New Roman"/>
          <w:szCs w:val="22"/>
        </w:rPr>
      </w:pPr>
    </w:p>
    <w:p w14:paraId="7093AD5D" w14:textId="77777777" w:rsidR="008E2EB1" w:rsidRPr="00534791" w:rsidRDefault="008E2EB1" w:rsidP="005D39A1">
      <w:pPr>
        <w:pStyle w:val="Tabelle"/>
        <w:spacing w:before="0" w:after="0"/>
        <w:rPr>
          <w:rFonts w:ascii="Times New Roman" w:hAnsi="Times New Roman"/>
          <w:szCs w:val="22"/>
          <w:u w:val="single"/>
        </w:rPr>
      </w:pPr>
      <w:r w:rsidRPr="00534791">
        <w:rPr>
          <w:rFonts w:ascii="Times New Roman" w:hAnsi="Times New Roman"/>
          <w:szCs w:val="22"/>
          <w:u w:val="single"/>
        </w:rPr>
        <w:t>Fertilita</w:t>
      </w:r>
    </w:p>
    <w:p w14:paraId="6C6EAF23" w14:textId="77777777" w:rsidR="008254F5" w:rsidRPr="00534791" w:rsidRDefault="008E2EB1" w:rsidP="005D39A1">
      <w:pPr>
        <w:pStyle w:val="Tabelle"/>
        <w:spacing w:before="0" w:after="0"/>
        <w:rPr>
          <w:rFonts w:ascii="Times New Roman" w:hAnsi="Times New Roman"/>
          <w:szCs w:val="22"/>
        </w:rPr>
      </w:pPr>
      <w:r w:rsidRPr="00534791">
        <w:rPr>
          <w:rFonts w:ascii="Times New Roman" w:hAnsi="Times New Roman"/>
          <w:szCs w:val="22"/>
        </w:rPr>
        <w:t>Neuskutočnili sa žiadne štúdie sledujúce vplyv na fertilitu.</w:t>
      </w:r>
      <w:bookmarkEnd w:id="3"/>
      <w:bookmarkEnd w:id="4"/>
    </w:p>
    <w:p w14:paraId="6D41C746" w14:textId="77777777" w:rsidR="004258A1" w:rsidRPr="00534791" w:rsidRDefault="004258A1" w:rsidP="005D39A1">
      <w:pPr>
        <w:pStyle w:val="Tabelle"/>
        <w:spacing w:before="0" w:after="0"/>
        <w:rPr>
          <w:rFonts w:ascii="Times New Roman" w:hAnsi="Times New Roman"/>
          <w:szCs w:val="22"/>
        </w:rPr>
      </w:pPr>
    </w:p>
    <w:p w14:paraId="0F86C87C" w14:textId="6F344B71" w:rsidR="004258A1" w:rsidRPr="00534791" w:rsidRDefault="004258A1" w:rsidP="00B966E1">
      <w:pPr>
        <w:pStyle w:val="Nadpis2"/>
        <w:jc w:val="left"/>
      </w:pPr>
      <w:r w:rsidRPr="00534791">
        <w:t xml:space="preserve">4.7. </w:t>
      </w:r>
      <w:r w:rsidRPr="00534791">
        <w:tab/>
        <w:t>Ovplyvnenie schopnosti viesť vozidlá a obsluhovať stroje</w:t>
      </w:r>
    </w:p>
    <w:p w14:paraId="40C600DB" w14:textId="77777777" w:rsidR="00A11B19" w:rsidRPr="00534791" w:rsidRDefault="00A11B19" w:rsidP="005D39A1">
      <w:pPr>
        <w:pStyle w:val="Tabelle"/>
        <w:spacing w:before="0" w:after="0"/>
        <w:rPr>
          <w:rFonts w:ascii="Times New Roman" w:hAnsi="Times New Roman"/>
          <w:szCs w:val="22"/>
        </w:rPr>
      </w:pPr>
    </w:p>
    <w:p w14:paraId="071BBA2A" w14:textId="443F23C3" w:rsidR="004258A1" w:rsidRPr="00534791" w:rsidRDefault="008D0852" w:rsidP="005D39A1">
      <w:pPr>
        <w:pStyle w:val="Tabelle"/>
        <w:spacing w:before="0" w:after="0"/>
        <w:rPr>
          <w:rFonts w:ascii="Times New Roman" w:hAnsi="Times New Roman"/>
          <w:strike/>
          <w:szCs w:val="22"/>
        </w:rPr>
      </w:pPr>
      <w:r w:rsidRPr="00534791">
        <w:rPr>
          <w:rFonts w:ascii="Times New Roman" w:hAnsi="Times New Roman"/>
          <w:szCs w:val="22"/>
        </w:rPr>
        <w:t>Netýka sa.</w:t>
      </w:r>
    </w:p>
    <w:p w14:paraId="4DC18040" w14:textId="77777777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</w:p>
    <w:p w14:paraId="1361EA6C" w14:textId="77777777" w:rsidR="004258A1" w:rsidRPr="00534791" w:rsidRDefault="004258A1" w:rsidP="00B966E1">
      <w:pPr>
        <w:pStyle w:val="Nadpis2"/>
        <w:jc w:val="left"/>
      </w:pPr>
      <w:r w:rsidRPr="00534791">
        <w:t xml:space="preserve">4.8. </w:t>
      </w:r>
      <w:r w:rsidRPr="00534791">
        <w:tab/>
        <w:t>Nežiaduce účinky</w:t>
      </w:r>
    </w:p>
    <w:p w14:paraId="2E6AFC8A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596702AA" w14:textId="77777777" w:rsidR="004258A1" w:rsidRPr="00534791" w:rsidRDefault="006F0D2B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Expozícia ionizujúcemu žiareniu je spojená s vyvolaním rakoviny a možnosťou vývoja dedičných anomálií. Pri účinnej dávke 6,8 mSv, keď sa maximálna odporúčaná aktivita 400 MBq podá dospelej osobe o hmotnosti 70 kg, je pravdepodobnosť výskytu týchto nežiaducich účinkov nízka.</w:t>
      </w:r>
    </w:p>
    <w:p w14:paraId="5FDE0700" w14:textId="77777777" w:rsidR="00FB4C79" w:rsidRPr="00534791" w:rsidRDefault="00FB4C79" w:rsidP="005D39A1">
      <w:pPr>
        <w:rPr>
          <w:rFonts w:ascii="Times New Roman" w:hAnsi="Times New Roman" w:cs="Times New Roman"/>
          <w:sz w:val="22"/>
          <w:szCs w:val="22"/>
        </w:rPr>
      </w:pPr>
    </w:p>
    <w:p w14:paraId="63BF83A2" w14:textId="77777777" w:rsidR="00FB4C79" w:rsidRPr="00534791" w:rsidRDefault="006D1EE7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4529C8A0" w14:textId="51085E44" w:rsidR="006D1EE7" w:rsidRPr="00EE2A91" w:rsidRDefault="006D1EE7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Hlásenie podozrení na nežiaduce </w:t>
      </w:r>
      <w:r w:rsidRPr="00EE2A91">
        <w:rPr>
          <w:rFonts w:ascii="Times New Roman" w:hAnsi="Times New Roman" w:cs="Times New Roman"/>
          <w:sz w:val="22"/>
          <w:szCs w:val="22"/>
        </w:rPr>
        <w:t xml:space="preserve">reakcie po registrácii lieku je dôležité. Umožňuje priebežné monitorovanie pomeru prínosu a rizika lieku. Od zdravotníckych pracovníkov sa vyžaduje, aby hlásili akékoľvek podozrenia na nežiaduce </w:t>
      </w:r>
      <w:r w:rsidR="00EE2A91" w:rsidRPr="00B966E1">
        <w:rPr>
          <w:rFonts w:ascii="Times New Roman" w:hAnsi="Times New Roman" w:cs="Times New Roman"/>
          <w:noProof/>
          <w:snapToGrid w:val="0"/>
          <w:sz w:val="22"/>
          <w:szCs w:val="22"/>
        </w:rPr>
        <w:t xml:space="preserve">reakcie na </w:t>
      </w:r>
      <w:r w:rsidR="00EE2A91" w:rsidRPr="00B966E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 w:history="1">
        <w:r w:rsidR="00EE2A91" w:rsidRPr="00B966E1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="00EE2A91" w:rsidRPr="00B966E1">
        <w:rPr>
          <w:rFonts w:ascii="Times New Roman" w:hAnsi="Times New Roman" w:cs="Times New Roman"/>
          <w:sz w:val="22"/>
          <w:szCs w:val="22"/>
        </w:rPr>
        <w:t>.</w:t>
      </w:r>
      <w:hyperlink r:id="rId9" w:history="1"/>
    </w:p>
    <w:p w14:paraId="49947486" w14:textId="77777777" w:rsidR="00491F39" w:rsidRPr="00EE2A91" w:rsidRDefault="00491F39" w:rsidP="005D39A1">
      <w:pPr>
        <w:rPr>
          <w:rFonts w:ascii="Times New Roman" w:hAnsi="Times New Roman" w:cs="Times New Roman"/>
          <w:sz w:val="22"/>
          <w:szCs w:val="22"/>
        </w:rPr>
      </w:pPr>
    </w:p>
    <w:p w14:paraId="6F0275BE" w14:textId="77777777" w:rsidR="004258A1" w:rsidRPr="00EE2A91" w:rsidRDefault="004258A1" w:rsidP="005D39A1">
      <w:pPr>
        <w:rPr>
          <w:rFonts w:ascii="Times New Roman" w:hAnsi="Times New Roman" w:cs="Times New Roman"/>
          <w:sz w:val="22"/>
          <w:szCs w:val="22"/>
        </w:rPr>
      </w:pPr>
    </w:p>
    <w:p w14:paraId="4C6BEF23" w14:textId="77777777" w:rsidR="004258A1" w:rsidRPr="00534791" w:rsidRDefault="004258A1" w:rsidP="00B966E1">
      <w:pPr>
        <w:pStyle w:val="Nadpis2"/>
        <w:jc w:val="left"/>
      </w:pPr>
      <w:r w:rsidRPr="00534791">
        <w:t xml:space="preserve">4.9. </w:t>
      </w:r>
      <w:r w:rsidRPr="00534791">
        <w:tab/>
        <w:t>Predávkovanie</w:t>
      </w:r>
    </w:p>
    <w:p w14:paraId="63C1E7F5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20EC7E78" w14:textId="465AA639" w:rsidR="002C5CAB" w:rsidRPr="00534791" w:rsidRDefault="00C57055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Ak</w:t>
      </w:r>
      <w:r w:rsidR="002C5CAB" w:rsidRPr="00534791">
        <w:rPr>
          <w:rFonts w:ascii="Times New Roman" w:hAnsi="Times New Roman" w:cs="Times New Roman"/>
          <w:sz w:val="22"/>
          <w:szCs w:val="22"/>
        </w:rPr>
        <w:t xml:space="preserve">sa </w:t>
      </w:r>
      <w:r w:rsidR="00C23696" w:rsidRPr="00534791">
        <w:rPr>
          <w:rFonts w:ascii="Times New Roman" w:hAnsi="Times New Roman" w:cs="Times New Roman"/>
          <w:sz w:val="22"/>
          <w:szCs w:val="22"/>
        </w:rPr>
        <w:t>podá nadmerná</w:t>
      </w:r>
      <w:r w:rsidR="002C5CAB" w:rsidRPr="00534791">
        <w:rPr>
          <w:rFonts w:ascii="Times New Roman" w:hAnsi="Times New Roman" w:cs="Times New Roman"/>
          <w:sz w:val="22"/>
          <w:szCs w:val="22"/>
        </w:rPr>
        <w:t xml:space="preserve"> dávka </w:t>
      </w:r>
      <w:r w:rsidR="00C23696" w:rsidRPr="00534791">
        <w:rPr>
          <w:rFonts w:ascii="Times New Roman" w:hAnsi="Times New Roman" w:cs="Times New Roman"/>
          <w:sz w:val="22"/>
          <w:szCs w:val="22"/>
        </w:rPr>
        <w:t>fluoridu</w:t>
      </w:r>
      <w:r w:rsidR="00312827" w:rsidRPr="00534791">
        <w:rPr>
          <w:rFonts w:ascii="Times New Roman" w:hAnsi="Times New Roman" w:cs="Times New Roman"/>
          <w:sz w:val="22"/>
          <w:szCs w:val="22"/>
        </w:rPr>
        <w:t xml:space="preserve"> sodného </w:t>
      </w:r>
      <w:r w:rsidRPr="00534791">
        <w:rPr>
          <w:rFonts w:ascii="Times New Roman" w:hAnsi="Times New Roman" w:cs="Times New Roman"/>
          <w:sz w:val="22"/>
          <w:szCs w:val="22"/>
        </w:rPr>
        <w:t>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F), tr</w:t>
      </w:r>
      <w:r w:rsidR="000F391C" w:rsidRPr="00534791">
        <w:rPr>
          <w:rFonts w:ascii="Times New Roman" w:hAnsi="Times New Roman" w:cs="Times New Roman"/>
          <w:sz w:val="22"/>
          <w:szCs w:val="22"/>
        </w:rPr>
        <w:t>eba aplikovanú dávku</w:t>
      </w:r>
      <w:r w:rsidR="00A0384E" w:rsidRPr="00534791">
        <w:rPr>
          <w:rFonts w:ascii="Times New Roman" w:hAnsi="Times New Roman" w:cs="Times New Roman"/>
          <w:sz w:val="22"/>
          <w:szCs w:val="22"/>
        </w:rPr>
        <w:t xml:space="preserve"> eliminovať</w:t>
      </w:r>
      <w:r w:rsidRPr="00534791">
        <w:rPr>
          <w:rFonts w:ascii="Times New Roman" w:hAnsi="Times New Roman" w:cs="Times New Roman"/>
          <w:sz w:val="22"/>
          <w:szCs w:val="22"/>
        </w:rPr>
        <w:t xml:space="preserve"> zvýšeným vylučovaním rádiofarmaka pomocou forsírovanej diurézy s </w:t>
      </w:r>
      <w:r w:rsidR="002C5CAB" w:rsidRPr="00534791">
        <w:rPr>
          <w:rFonts w:ascii="Times New Roman" w:hAnsi="Times New Roman" w:cs="Times New Roman"/>
          <w:sz w:val="22"/>
          <w:szCs w:val="22"/>
        </w:rPr>
        <w:t xml:space="preserve"> častým vyprázdňovaním močového mechúra. </w:t>
      </w:r>
      <w:r w:rsidR="00C23696" w:rsidRPr="00534791">
        <w:rPr>
          <w:rFonts w:ascii="Times New Roman" w:hAnsi="Times New Roman" w:cs="Times New Roman"/>
          <w:sz w:val="22"/>
          <w:szCs w:val="22"/>
        </w:rPr>
        <w:t>Môže</w:t>
      </w:r>
      <w:r w:rsidR="002C5CAB" w:rsidRPr="00534791">
        <w:rPr>
          <w:rFonts w:ascii="Times New Roman" w:hAnsi="Times New Roman" w:cs="Times New Roman"/>
          <w:sz w:val="22"/>
          <w:szCs w:val="22"/>
        </w:rPr>
        <w:t xml:space="preserve"> byť </w:t>
      </w:r>
      <w:r w:rsidR="00C23696" w:rsidRPr="00534791">
        <w:rPr>
          <w:rFonts w:ascii="Times New Roman" w:hAnsi="Times New Roman" w:cs="Times New Roman"/>
          <w:sz w:val="22"/>
          <w:szCs w:val="22"/>
        </w:rPr>
        <w:t>nápomocné o</w:t>
      </w:r>
      <w:r w:rsidR="004D7C77" w:rsidRPr="00534791">
        <w:rPr>
          <w:rFonts w:ascii="Times New Roman" w:hAnsi="Times New Roman" w:cs="Times New Roman"/>
          <w:sz w:val="22"/>
          <w:szCs w:val="22"/>
        </w:rPr>
        <w:t xml:space="preserve">dhadnúť </w:t>
      </w:r>
      <w:r w:rsidR="002E51E0" w:rsidRPr="00534791">
        <w:rPr>
          <w:rFonts w:ascii="Times New Roman" w:hAnsi="Times New Roman" w:cs="Times New Roman"/>
          <w:sz w:val="22"/>
          <w:szCs w:val="22"/>
        </w:rPr>
        <w:t xml:space="preserve">aplikovanú </w:t>
      </w:r>
      <w:r w:rsidR="004D7C77" w:rsidRPr="00534791">
        <w:rPr>
          <w:rFonts w:ascii="Times New Roman" w:hAnsi="Times New Roman" w:cs="Times New Roman"/>
          <w:sz w:val="22"/>
          <w:szCs w:val="22"/>
        </w:rPr>
        <w:t>efektív</w:t>
      </w:r>
      <w:r w:rsidR="002E51E0" w:rsidRPr="00534791">
        <w:rPr>
          <w:rFonts w:ascii="Times New Roman" w:hAnsi="Times New Roman" w:cs="Times New Roman"/>
          <w:sz w:val="22"/>
          <w:szCs w:val="22"/>
        </w:rPr>
        <w:t xml:space="preserve">nu </w:t>
      </w:r>
      <w:r w:rsidR="000F391C" w:rsidRPr="00534791">
        <w:rPr>
          <w:rFonts w:ascii="Times New Roman" w:hAnsi="Times New Roman" w:cs="Times New Roman"/>
          <w:sz w:val="22"/>
          <w:szCs w:val="22"/>
        </w:rPr>
        <w:t>dávku</w:t>
      </w:r>
      <w:r w:rsidR="004D7C77" w:rsidRPr="0053479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BC7A9E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78B8BBA3" w14:textId="77777777" w:rsidR="00661F25" w:rsidRPr="00534791" w:rsidRDefault="00661F25" w:rsidP="005D39A1">
      <w:pPr>
        <w:rPr>
          <w:rFonts w:ascii="Times New Roman" w:hAnsi="Times New Roman" w:cs="Times New Roman"/>
          <w:sz w:val="22"/>
          <w:szCs w:val="22"/>
        </w:rPr>
      </w:pPr>
    </w:p>
    <w:p w14:paraId="62035DEA" w14:textId="77777777" w:rsidR="004258A1" w:rsidRPr="00534791" w:rsidRDefault="004258A1" w:rsidP="00B966E1">
      <w:pPr>
        <w:pStyle w:val="Nadpis2"/>
        <w:jc w:val="left"/>
      </w:pPr>
      <w:r w:rsidRPr="00534791">
        <w:t xml:space="preserve">5. </w:t>
      </w:r>
      <w:r w:rsidRPr="00534791">
        <w:tab/>
        <w:t>FARMAKOLOGICKÉ VLASTNOSTI</w:t>
      </w:r>
    </w:p>
    <w:p w14:paraId="3636C408" w14:textId="77777777" w:rsidR="004258A1" w:rsidRPr="00534791" w:rsidRDefault="004258A1" w:rsidP="00B966E1">
      <w:pPr>
        <w:rPr>
          <w:rFonts w:ascii="Times New Roman" w:hAnsi="Times New Roman" w:cs="Times New Roman"/>
          <w:sz w:val="22"/>
          <w:szCs w:val="22"/>
        </w:rPr>
      </w:pPr>
    </w:p>
    <w:p w14:paraId="6E0B4191" w14:textId="77777777" w:rsidR="004258A1" w:rsidRPr="00534791" w:rsidRDefault="004258A1" w:rsidP="00B966E1">
      <w:pPr>
        <w:pStyle w:val="Nadpis2"/>
        <w:jc w:val="left"/>
      </w:pPr>
      <w:r w:rsidRPr="00534791">
        <w:t xml:space="preserve">5.1. </w:t>
      </w:r>
      <w:r w:rsidRPr="00534791">
        <w:tab/>
        <w:t>Farmakodynamické vlastnosti</w:t>
      </w:r>
    </w:p>
    <w:p w14:paraId="40DF4FA3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51FEF2B6" w14:textId="11B707F0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Farmakoterapeutická skupina: </w:t>
      </w:r>
      <w:r w:rsidR="00C57055" w:rsidRPr="00534791">
        <w:rPr>
          <w:rFonts w:ascii="Times New Roman" w:hAnsi="Times New Roman" w:cs="Times New Roman"/>
          <w:sz w:val="22"/>
          <w:szCs w:val="22"/>
        </w:rPr>
        <w:t>iné diagnostické</w:t>
      </w:r>
      <w:r w:rsidRPr="00534791">
        <w:rPr>
          <w:rFonts w:ascii="Times New Roman" w:hAnsi="Times New Roman" w:cs="Times New Roman"/>
          <w:sz w:val="22"/>
          <w:szCs w:val="22"/>
        </w:rPr>
        <w:t xml:space="preserve"> rádiofarmaká</w:t>
      </w:r>
      <w:r w:rsidR="00596D79" w:rsidRPr="00534791">
        <w:rPr>
          <w:rFonts w:ascii="Times New Roman" w:hAnsi="Times New Roman" w:cs="Times New Roman"/>
          <w:sz w:val="22"/>
          <w:szCs w:val="22"/>
        </w:rPr>
        <w:t xml:space="preserve"> </w:t>
      </w:r>
      <w:r w:rsidR="001A1315" w:rsidRPr="00534791">
        <w:rPr>
          <w:rFonts w:ascii="Times New Roman" w:hAnsi="Times New Roman" w:cs="Times New Roman"/>
          <w:sz w:val="22"/>
          <w:szCs w:val="22"/>
        </w:rPr>
        <w:t xml:space="preserve"> na </w:t>
      </w:r>
      <w:r w:rsidR="009D2F58" w:rsidRPr="00534791">
        <w:rPr>
          <w:rFonts w:ascii="Times New Roman" w:hAnsi="Times New Roman" w:cs="Times New Roman"/>
          <w:sz w:val="22"/>
          <w:szCs w:val="22"/>
        </w:rPr>
        <w:t xml:space="preserve">detekciu </w:t>
      </w:r>
      <w:r w:rsidR="001A1315" w:rsidRPr="00534791">
        <w:rPr>
          <w:rFonts w:ascii="Times New Roman" w:hAnsi="Times New Roman" w:cs="Times New Roman"/>
          <w:sz w:val="22"/>
          <w:szCs w:val="22"/>
        </w:rPr>
        <w:t>nádorov</w:t>
      </w:r>
      <w:r w:rsidRPr="00534791">
        <w:rPr>
          <w:rFonts w:ascii="Times New Roman" w:hAnsi="Times New Roman" w:cs="Times New Roman"/>
          <w:sz w:val="22"/>
          <w:szCs w:val="22"/>
        </w:rPr>
        <w:t>, ATC kód: V09IX06</w:t>
      </w:r>
    </w:p>
    <w:p w14:paraId="3CB2096F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1520AE95" w14:textId="77777777" w:rsidR="00970210" w:rsidRPr="00534791" w:rsidRDefault="00970210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Farmakodynamické účinky</w:t>
      </w:r>
    </w:p>
    <w:p w14:paraId="21D65A01" w14:textId="684E8890" w:rsidR="004258A1" w:rsidRPr="00534791" w:rsidRDefault="004258A1" w:rsidP="005D39A1">
      <w:pPr>
        <w:tabs>
          <w:tab w:val="left" w:pos="3544"/>
        </w:tabs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Pri chemických koncentráciách </w:t>
      </w:r>
      <w:r w:rsidR="00C57055" w:rsidRPr="00534791">
        <w:rPr>
          <w:rFonts w:ascii="Times New Roman" w:hAnsi="Times New Roman" w:cs="Times New Roman"/>
          <w:sz w:val="22"/>
          <w:szCs w:val="22"/>
        </w:rPr>
        <w:t>a aktivitách odporúčaných</w:t>
      </w:r>
      <w:r w:rsidRPr="00534791">
        <w:rPr>
          <w:rFonts w:ascii="Times New Roman" w:hAnsi="Times New Roman" w:cs="Times New Roman"/>
          <w:sz w:val="22"/>
          <w:szCs w:val="22"/>
        </w:rPr>
        <w:t xml:space="preserve"> pre diagnostické vyšetrenia </w:t>
      </w:r>
      <w:r w:rsidR="00787419" w:rsidRPr="00534791">
        <w:rPr>
          <w:rFonts w:ascii="Times New Roman" w:hAnsi="Times New Roman" w:cs="Times New Roman"/>
          <w:sz w:val="22"/>
          <w:szCs w:val="22"/>
        </w:rPr>
        <w:t>nie je pravdepodobné</w:t>
      </w:r>
      <w:r w:rsidR="00C57055" w:rsidRPr="00534791">
        <w:rPr>
          <w:rFonts w:ascii="Times New Roman" w:hAnsi="Times New Roman" w:cs="Times New Roman"/>
          <w:sz w:val="22"/>
          <w:szCs w:val="22"/>
        </w:rPr>
        <w:t>, že by mal</w:t>
      </w:r>
      <w:r w:rsidRPr="00534791">
        <w:rPr>
          <w:rFonts w:ascii="Times New Roman" w:hAnsi="Times New Roman" w:cs="Times New Roman"/>
          <w:sz w:val="22"/>
          <w:szCs w:val="22"/>
        </w:rPr>
        <w:t xml:space="preserve"> fluorid sodný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</w:t>
      </w:r>
      <w:r w:rsidR="00C57055" w:rsidRPr="00534791">
        <w:rPr>
          <w:rFonts w:ascii="Times New Roman" w:hAnsi="Times New Roman" w:cs="Times New Roman"/>
          <w:sz w:val="22"/>
          <w:szCs w:val="22"/>
        </w:rPr>
        <w:t>akýkoľvek</w:t>
      </w:r>
      <w:r w:rsidRPr="00534791">
        <w:rPr>
          <w:rFonts w:ascii="Times New Roman" w:hAnsi="Times New Roman" w:cs="Times New Roman"/>
          <w:sz w:val="22"/>
          <w:szCs w:val="22"/>
        </w:rPr>
        <w:t xml:space="preserve"> farmakodynamický účinok. </w:t>
      </w:r>
    </w:p>
    <w:p w14:paraId="3747A3F7" w14:textId="77777777" w:rsidR="00E5016C" w:rsidRPr="00534791" w:rsidRDefault="00E5016C" w:rsidP="005D39A1">
      <w:pPr>
        <w:tabs>
          <w:tab w:val="left" w:pos="3544"/>
        </w:tabs>
        <w:rPr>
          <w:rFonts w:ascii="Times New Roman" w:hAnsi="Times New Roman" w:cs="Times New Roman"/>
          <w:sz w:val="22"/>
          <w:szCs w:val="22"/>
        </w:rPr>
      </w:pPr>
    </w:p>
    <w:p w14:paraId="526A1F22" w14:textId="77777777" w:rsidR="004258A1" w:rsidRPr="00534791" w:rsidRDefault="004258A1" w:rsidP="00B966E1">
      <w:pPr>
        <w:pStyle w:val="Nadpis2"/>
        <w:jc w:val="left"/>
      </w:pPr>
      <w:r w:rsidRPr="00534791">
        <w:t xml:space="preserve">5.2. </w:t>
      </w:r>
      <w:r w:rsidRPr="00534791">
        <w:tab/>
        <w:t>Farmakokinetické vlastnosti</w:t>
      </w:r>
    </w:p>
    <w:p w14:paraId="4C39447A" w14:textId="77777777" w:rsidR="00A11B19" w:rsidRPr="00534791" w:rsidRDefault="00A11B19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4C04D017" w14:textId="77777777" w:rsidR="00BF3F1B" w:rsidRPr="00534791" w:rsidRDefault="00BF3F1B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14:paraId="6FAFDF0A" w14:textId="53D73B8F" w:rsidR="00BF3F1B" w:rsidRPr="00534791" w:rsidRDefault="004258A1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Po intravenóznom podaní </w:t>
      </w:r>
      <w:r w:rsidR="00217859" w:rsidRPr="00534791">
        <w:rPr>
          <w:rFonts w:ascii="Times New Roman" w:hAnsi="Times New Roman" w:cs="Times New Roman"/>
          <w:sz w:val="22"/>
          <w:szCs w:val="22"/>
        </w:rPr>
        <w:t>sa približne </w:t>
      </w:r>
      <w:r w:rsidRPr="00534791">
        <w:rPr>
          <w:rFonts w:ascii="Times New Roman" w:hAnsi="Times New Roman" w:cs="Times New Roman"/>
          <w:sz w:val="22"/>
          <w:szCs w:val="22"/>
        </w:rPr>
        <w:t xml:space="preserve"> 50 %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</w:t>
      </w:r>
      <w:r w:rsidR="00C57055" w:rsidRPr="00534791">
        <w:rPr>
          <w:rFonts w:ascii="Times New Roman" w:hAnsi="Times New Roman" w:cs="Times New Roman"/>
          <w:sz w:val="22"/>
          <w:szCs w:val="22"/>
        </w:rPr>
        <w:t>rýchlo absorbuje v kostre</w:t>
      </w:r>
      <w:r w:rsidRPr="00534791">
        <w:rPr>
          <w:rFonts w:ascii="Times New Roman" w:hAnsi="Times New Roman" w:cs="Times New Roman"/>
          <w:sz w:val="22"/>
          <w:szCs w:val="22"/>
        </w:rPr>
        <w:t xml:space="preserve">, kde </w:t>
      </w:r>
      <w:r w:rsidR="00D43B36" w:rsidRPr="00534791">
        <w:rPr>
          <w:rFonts w:ascii="Times New Roman" w:hAnsi="Times New Roman" w:cs="Times New Roman"/>
          <w:sz w:val="22"/>
          <w:szCs w:val="22"/>
        </w:rPr>
        <w:t>zostane</w:t>
      </w:r>
      <w:r w:rsidRPr="00534791">
        <w:rPr>
          <w:rFonts w:ascii="Times New Roman" w:hAnsi="Times New Roman" w:cs="Times New Roman"/>
          <w:sz w:val="22"/>
          <w:szCs w:val="22"/>
        </w:rPr>
        <w:t xml:space="preserve"> počas </w:t>
      </w:r>
      <w:r w:rsidR="00D43B36" w:rsidRPr="00534791">
        <w:rPr>
          <w:rFonts w:ascii="Times New Roman" w:hAnsi="Times New Roman" w:cs="Times New Roman"/>
          <w:sz w:val="22"/>
          <w:szCs w:val="22"/>
        </w:rPr>
        <w:t>celej doby je</w:t>
      </w:r>
      <w:r w:rsidR="00C57055" w:rsidRPr="00534791">
        <w:rPr>
          <w:rFonts w:ascii="Times New Roman" w:hAnsi="Times New Roman" w:cs="Times New Roman"/>
          <w:sz w:val="22"/>
          <w:szCs w:val="22"/>
        </w:rPr>
        <w:t>ho</w:t>
      </w:r>
      <w:r w:rsidRPr="00534791">
        <w:rPr>
          <w:rFonts w:ascii="Times New Roman" w:hAnsi="Times New Roman" w:cs="Times New Roman"/>
          <w:sz w:val="22"/>
          <w:szCs w:val="22"/>
        </w:rPr>
        <w:t xml:space="preserve"> rádioaktívne</w:t>
      </w:r>
      <w:r w:rsidR="007027E2">
        <w:rPr>
          <w:rFonts w:ascii="Times New Roman" w:hAnsi="Times New Roman" w:cs="Times New Roman"/>
          <w:sz w:val="22"/>
          <w:szCs w:val="22"/>
        </w:rPr>
        <w:t>j premeny</w:t>
      </w:r>
      <w:r w:rsidRPr="00534791">
        <w:rPr>
          <w:rFonts w:ascii="Times New Roman" w:hAnsi="Times New Roman" w:cs="Times New Roman"/>
          <w:sz w:val="22"/>
          <w:szCs w:val="22"/>
        </w:rPr>
        <w:t xml:space="preserve">. </w:t>
      </w:r>
      <w:r w:rsidR="00FA04C5">
        <w:rPr>
          <w:rFonts w:ascii="Times New Roman" w:hAnsi="Times New Roman" w:cs="Times New Roman"/>
          <w:sz w:val="22"/>
          <w:szCs w:val="22"/>
        </w:rPr>
        <w:t>Zvyšok</w:t>
      </w:r>
      <w:r w:rsidRPr="00534791">
        <w:rPr>
          <w:rFonts w:ascii="Times New Roman" w:hAnsi="Times New Roman" w:cs="Times New Roman"/>
          <w:sz w:val="22"/>
          <w:szCs w:val="22"/>
        </w:rPr>
        <w:t xml:space="preserve">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sa distribuuje do extracelulárnej tekutiny a</w:t>
      </w:r>
      <w:r w:rsidR="00C57055" w:rsidRPr="00534791">
        <w:rPr>
          <w:rFonts w:ascii="Times New Roman" w:hAnsi="Times New Roman" w:cs="Times New Roman"/>
          <w:sz w:val="22"/>
          <w:szCs w:val="22"/>
        </w:rPr>
        <w:t> do</w:t>
      </w:r>
      <w:r w:rsidRPr="00534791">
        <w:rPr>
          <w:rFonts w:ascii="Times New Roman" w:hAnsi="Times New Roman" w:cs="Times New Roman"/>
          <w:sz w:val="22"/>
          <w:szCs w:val="22"/>
        </w:rPr>
        <w:t xml:space="preserve"> niekoľkých hodín </w:t>
      </w:r>
      <w:r w:rsidR="00C57055" w:rsidRPr="00534791">
        <w:rPr>
          <w:rFonts w:ascii="Times New Roman" w:hAnsi="Times New Roman" w:cs="Times New Roman"/>
          <w:sz w:val="22"/>
          <w:szCs w:val="22"/>
        </w:rPr>
        <w:t xml:space="preserve">sa </w:t>
      </w:r>
      <w:r w:rsidRPr="00534791">
        <w:rPr>
          <w:rFonts w:ascii="Times New Roman" w:hAnsi="Times New Roman" w:cs="Times New Roman"/>
          <w:sz w:val="22"/>
          <w:szCs w:val="22"/>
        </w:rPr>
        <w:t>vylúči obličkami. Rozsah väzby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na plazmatické </w:t>
      </w:r>
      <w:r w:rsidR="00FA04C5">
        <w:rPr>
          <w:rFonts w:ascii="Times New Roman" w:hAnsi="Times New Roman" w:cs="Times New Roman"/>
          <w:sz w:val="22"/>
          <w:szCs w:val="22"/>
        </w:rPr>
        <w:t>bielkoviny</w:t>
      </w:r>
      <w:r w:rsidRPr="00534791">
        <w:rPr>
          <w:rFonts w:ascii="Times New Roman" w:hAnsi="Times New Roman" w:cs="Times New Roman"/>
          <w:sz w:val="22"/>
          <w:szCs w:val="22"/>
        </w:rPr>
        <w:t xml:space="preserve"> nie je známy.</w:t>
      </w:r>
    </w:p>
    <w:p w14:paraId="490C76EC" w14:textId="77777777" w:rsidR="00BF3F1B" w:rsidRPr="00534791" w:rsidRDefault="00BF3F1B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7E3B11F9" w14:textId="77777777" w:rsidR="00BF3F1B" w:rsidRPr="00534791" w:rsidRDefault="00BF3F1B" w:rsidP="00B966E1">
      <w:pPr>
        <w:pStyle w:val="Zkladntext"/>
        <w:keepNext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lastRenderedPageBreak/>
        <w:t>Orgánové vychytávanie</w:t>
      </w:r>
    </w:p>
    <w:p w14:paraId="3B2D8048" w14:textId="4F9D0501" w:rsidR="00970210" w:rsidRPr="00534791" w:rsidRDefault="00970210" w:rsidP="00B966E1">
      <w:pPr>
        <w:keepNext/>
        <w:tabs>
          <w:tab w:val="left" w:pos="3544"/>
        </w:tabs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V dôsledku svojej afinity k</w:t>
      </w:r>
      <w:r w:rsidR="00EA136B">
        <w:rPr>
          <w:rFonts w:ascii="Times New Roman" w:hAnsi="Times New Roman" w:cs="Times New Roman"/>
          <w:sz w:val="22"/>
          <w:szCs w:val="22"/>
        </w:rPr>
        <w:t xml:space="preserve"> minerálnej zložke kosti, </w:t>
      </w:r>
      <w:r w:rsidR="00FA04C5">
        <w:rPr>
          <w:rFonts w:ascii="Times New Roman" w:hAnsi="Times New Roman" w:cs="Times New Roman"/>
          <w:sz w:val="22"/>
          <w:szCs w:val="22"/>
        </w:rPr>
        <w:t xml:space="preserve">sa </w:t>
      </w:r>
      <w:r w:rsidRPr="00534791">
        <w:rPr>
          <w:rFonts w:ascii="Times New Roman" w:hAnsi="Times New Roman" w:cs="Times New Roman"/>
          <w:sz w:val="22"/>
          <w:szCs w:val="22"/>
        </w:rPr>
        <w:t>3–10-krát väčšie množstvo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</w:t>
      </w:r>
      <w:r w:rsidR="00EA136B">
        <w:rPr>
          <w:rFonts w:ascii="Times New Roman" w:hAnsi="Times New Roman" w:cs="Times New Roman"/>
          <w:sz w:val="22"/>
          <w:szCs w:val="22"/>
        </w:rPr>
        <w:t xml:space="preserve"> inkorporuje</w:t>
      </w:r>
      <w:r w:rsidRPr="00534791">
        <w:rPr>
          <w:rFonts w:ascii="Times New Roman" w:hAnsi="Times New Roman" w:cs="Times New Roman"/>
          <w:sz w:val="22"/>
          <w:szCs w:val="22"/>
        </w:rPr>
        <w:t xml:space="preserve"> do kostných oblastí postihnutých malígnymi procesmi s  osteoblastick</w:t>
      </w:r>
      <w:r w:rsidR="001F0EA4">
        <w:rPr>
          <w:rFonts w:ascii="Times New Roman" w:hAnsi="Times New Roman" w:cs="Times New Roman"/>
          <w:sz w:val="22"/>
          <w:szCs w:val="22"/>
        </w:rPr>
        <w:t>ou reakciou kosti</w:t>
      </w:r>
      <w:r w:rsidRPr="00534791">
        <w:rPr>
          <w:rFonts w:ascii="Times New Roman" w:hAnsi="Times New Roman" w:cs="Times New Roman"/>
          <w:sz w:val="22"/>
          <w:szCs w:val="22"/>
        </w:rPr>
        <w:t xml:space="preserve"> alebo</w:t>
      </w:r>
      <w:r w:rsidR="001F0EA4">
        <w:rPr>
          <w:rFonts w:ascii="Times New Roman" w:hAnsi="Times New Roman" w:cs="Times New Roman"/>
          <w:sz w:val="22"/>
          <w:szCs w:val="22"/>
        </w:rPr>
        <w:t xml:space="preserve"> s</w:t>
      </w:r>
      <w:r w:rsidRPr="00534791">
        <w:rPr>
          <w:rFonts w:ascii="Times New Roman" w:hAnsi="Times New Roman" w:cs="Times New Roman"/>
          <w:sz w:val="22"/>
          <w:szCs w:val="22"/>
        </w:rPr>
        <w:t xml:space="preserve"> osteolytickými defektmi, </w:t>
      </w:r>
      <w:r w:rsidR="00FA04C5">
        <w:rPr>
          <w:rFonts w:ascii="Times New Roman" w:hAnsi="Times New Roman" w:cs="Times New Roman"/>
          <w:sz w:val="22"/>
          <w:szCs w:val="22"/>
        </w:rPr>
        <w:t>ako</w:t>
      </w:r>
      <w:r w:rsidRPr="00534791">
        <w:rPr>
          <w:rFonts w:ascii="Times New Roman" w:hAnsi="Times New Roman" w:cs="Times New Roman"/>
          <w:sz w:val="22"/>
          <w:szCs w:val="22"/>
        </w:rPr>
        <w:t xml:space="preserve"> </w:t>
      </w:r>
      <w:r w:rsidR="00EA136B">
        <w:rPr>
          <w:rFonts w:ascii="Times New Roman" w:hAnsi="Times New Roman" w:cs="Times New Roman"/>
          <w:sz w:val="22"/>
          <w:szCs w:val="22"/>
        </w:rPr>
        <w:t>do</w:t>
      </w:r>
      <w:r w:rsidRPr="00534791">
        <w:rPr>
          <w:rFonts w:ascii="Times New Roman" w:hAnsi="Times New Roman" w:cs="Times New Roman"/>
          <w:sz w:val="22"/>
          <w:szCs w:val="22"/>
        </w:rPr>
        <w:t xml:space="preserve"> nepostihnutej </w:t>
      </w:r>
      <w:r w:rsidR="00EA136B">
        <w:rPr>
          <w:rFonts w:ascii="Times New Roman" w:hAnsi="Times New Roman" w:cs="Times New Roman"/>
          <w:sz w:val="22"/>
          <w:szCs w:val="22"/>
        </w:rPr>
        <w:t>okolitej</w:t>
      </w:r>
      <w:r w:rsidRPr="00534791">
        <w:rPr>
          <w:rFonts w:ascii="Times New Roman" w:hAnsi="Times New Roman" w:cs="Times New Roman"/>
          <w:sz w:val="22"/>
          <w:szCs w:val="22"/>
        </w:rPr>
        <w:t xml:space="preserve"> kosti. </w:t>
      </w:r>
      <w:r w:rsidR="001F0EA4">
        <w:rPr>
          <w:rFonts w:ascii="Times New Roman" w:hAnsi="Times New Roman" w:cs="Times New Roman"/>
          <w:sz w:val="22"/>
          <w:szCs w:val="22"/>
        </w:rPr>
        <w:t>Benígne</w:t>
      </w:r>
      <w:r w:rsidRPr="00534791">
        <w:rPr>
          <w:rFonts w:ascii="Times New Roman" w:hAnsi="Times New Roman" w:cs="Times New Roman"/>
          <w:sz w:val="22"/>
          <w:szCs w:val="22"/>
        </w:rPr>
        <w:t xml:space="preserve"> traumatické, erozívne alebo zápalové lézie kostnej štruktúry sú tiež spojené so zvýšenou osteogenézou. Preto je fluorid sodný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markerom kostných reaktívnych procesov </w:t>
      </w:r>
      <w:r w:rsidR="00EA136B">
        <w:rPr>
          <w:rFonts w:ascii="Times New Roman" w:hAnsi="Times New Roman" w:cs="Times New Roman"/>
          <w:sz w:val="22"/>
          <w:szCs w:val="22"/>
        </w:rPr>
        <w:t xml:space="preserve">pri malígnych </w:t>
      </w:r>
      <w:r w:rsidRPr="00534791">
        <w:rPr>
          <w:rFonts w:ascii="Times New Roman" w:hAnsi="Times New Roman" w:cs="Times New Roman"/>
          <w:sz w:val="22"/>
          <w:szCs w:val="22"/>
        </w:rPr>
        <w:t xml:space="preserve"> alebo traumatických </w:t>
      </w:r>
      <w:r w:rsidR="00EA136B">
        <w:rPr>
          <w:rFonts w:ascii="Times New Roman" w:hAnsi="Times New Roman" w:cs="Times New Roman"/>
          <w:sz w:val="22"/>
          <w:szCs w:val="22"/>
        </w:rPr>
        <w:t>poškodeniach  Fluorid sodný (</w:t>
      </w:r>
      <w:r w:rsidR="00EA136B"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="00EA136B">
        <w:rPr>
          <w:rFonts w:ascii="Times New Roman" w:hAnsi="Times New Roman" w:cs="Times New Roman"/>
          <w:sz w:val="22"/>
          <w:szCs w:val="22"/>
        </w:rPr>
        <w:t xml:space="preserve">F) deteguje aj benígne </w:t>
      </w:r>
      <w:r w:rsidRPr="00534791">
        <w:rPr>
          <w:rFonts w:ascii="Times New Roman" w:hAnsi="Times New Roman" w:cs="Times New Roman"/>
          <w:sz w:val="22"/>
          <w:szCs w:val="22"/>
        </w:rPr>
        <w:t xml:space="preserve"> oblasti fyziologicky alebo patologicky zvýšeného kostného metabolizmu.</w:t>
      </w:r>
    </w:p>
    <w:p w14:paraId="5B9F29B0" w14:textId="77777777" w:rsidR="00970210" w:rsidRPr="00534791" w:rsidRDefault="00970210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040F357C" w14:textId="3F0B617C" w:rsidR="00BF3F1B" w:rsidRPr="00534791" w:rsidRDefault="00970210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Okolo 50 %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je </w:t>
      </w:r>
      <w:r w:rsidR="00FA04C5">
        <w:rPr>
          <w:rFonts w:ascii="Times New Roman" w:hAnsi="Times New Roman" w:cs="Times New Roman"/>
          <w:sz w:val="22"/>
          <w:szCs w:val="22"/>
        </w:rPr>
        <w:t xml:space="preserve">akumulovaných </w:t>
      </w:r>
      <w:r w:rsidRPr="00534791">
        <w:rPr>
          <w:rFonts w:ascii="Times New Roman" w:hAnsi="Times New Roman" w:cs="Times New Roman"/>
          <w:sz w:val="22"/>
          <w:szCs w:val="22"/>
        </w:rPr>
        <w:t>kostrou, kde zotrvá počas celého obdobia rádioaktívne</w:t>
      </w:r>
      <w:r w:rsidR="00FA04C5">
        <w:rPr>
          <w:rFonts w:ascii="Times New Roman" w:hAnsi="Times New Roman" w:cs="Times New Roman"/>
          <w:sz w:val="22"/>
          <w:szCs w:val="22"/>
        </w:rPr>
        <w:t>j premeny</w:t>
      </w:r>
      <w:r w:rsidRPr="00534791">
        <w:rPr>
          <w:rFonts w:ascii="Times New Roman" w:hAnsi="Times New Roman" w:cs="Times New Roman"/>
          <w:sz w:val="22"/>
          <w:szCs w:val="22"/>
        </w:rPr>
        <w:t>. Fluorid sodný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 xml:space="preserve">F) sa za normálnych okolností akumuluje v kostre symetricky, pričom sa viac </w:t>
      </w:r>
      <w:r w:rsidR="00FA04C5">
        <w:rPr>
          <w:rFonts w:ascii="Times New Roman" w:hAnsi="Times New Roman" w:cs="Times New Roman"/>
          <w:sz w:val="22"/>
          <w:szCs w:val="22"/>
        </w:rPr>
        <w:t>akumuluje</w:t>
      </w:r>
      <w:r w:rsidRPr="00534791">
        <w:rPr>
          <w:rFonts w:ascii="Times New Roman" w:hAnsi="Times New Roman" w:cs="Times New Roman"/>
          <w:sz w:val="22"/>
          <w:szCs w:val="22"/>
        </w:rPr>
        <w:t xml:space="preserve"> v</w:t>
      </w:r>
      <w:r w:rsidRPr="00534791">
        <w:rPr>
          <w:rFonts w:ascii="Times New Roman" w:hAnsi="Times New Roman"/>
        </w:rPr>
        <w:t xml:space="preserve"> </w:t>
      </w:r>
      <w:r w:rsidRPr="00534791">
        <w:rPr>
          <w:rFonts w:ascii="Times New Roman" w:hAnsi="Times New Roman" w:cs="Times New Roman"/>
          <w:sz w:val="22"/>
          <w:szCs w:val="22"/>
        </w:rPr>
        <w:t>axiálnej kostre a v kostiach v blízkosti kĺbov, ako v apendikulárnej kostre a v diafýzach dlhých kostí. Zvýšen</w:t>
      </w:r>
      <w:r w:rsidR="00FA04C5">
        <w:rPr>
          <w:rFonts w:ascii="Times New Roman" w:hAnsi="Times New Roman" w:cs="Times New Roman"/>
          <w:sz w:val="22"/>
          <w:szCs w:val="22"/>
        </w:rPr>
        <w:t>á akumulácia</w:t>
      </w:r>
      <w:r w:rsidRPr="00534791">
        <w:rPr>
          <w:rFonts w:ascii="Times New Roman" w:hAnsi="Times New Roman" w:cs="Times New Roman"/>
          <w:sz w:val="22"/>
          <w:szCs w:val="22"/>
        </w:rPr>
        <w:t xml:space="preserve"> sa vyskytuje v okolí zlomenín a v kostiach postihnutých osteomyelitídou, fibróznou d</w:t>
      </w:r>
      <w:r w:rsidR="00FA04C5">
        <w:rPr>
          <w:rFonts w:ascii="Times New Roman" w:hAnsi="Times New Roman" w:cs="Times New Roman"/>
          <w:sz w:val="22"/>
          <w:szCs w:val="22"/>
        </w:rPr>
        <w:t>y</w:t>
      </w:r>
      <w:r w:rsidRPr="00534791">
        <w:rPr>
          <w:rFonts w:ascii="Times New Roman" w:hAnsi="Times New Roman" w:cs="Times New Roman"/>
          <w:sz w:val="22"/>
          <w:szCs w:val="22"/>
        </w:rPr>
        <w:t xml:space="preserve">spláziou, tuberkulóznou spondylitídou, Pagetovou chorobou, </w:t>
      </w:r>
      <w:r w:rsidR="00FA04C5">
        <w:rPr>
          <w:rFonts w:ascii="Times New Roman" w:hAnsi="Times New Roman" w:cs="Times New Roman"/>
          <w:sz w:val="22"/>
          <w:szCs w:val="22"/>
        </w:rPr>
        <w:t>frontálnou hyperostózou,</w:t>
      </w:r>
      <w:r w:rsidRPr="00534791">
        <w:rPr>
          <w:rFonts w:ascii="Times New Roman" w:hAnsi="Times New Roman" w:cs="Times New Roman"/>
          <w:sz w:val="22"/>
          <w:szCs w:val="22"/>
        </w:rPr>
        <w:t xml:space="preserve">osifikujúcou myozitídou alebo nádormi a v rýchlo rastúcich epifýzach. </w:t>
      </w:r>
    </w:p>
    <w:p w14:paraId="568382C7" w14:textId="77777777" w:rsidR="00BF3F1B" w:rsidRPr="00534791" w:rsidRDefault="00BF3F1B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</w:p>
    <w:p w14:paraId="0E3CF6FF" w14:textId="77777777" w:rsidR="00BF3F1B" w:rsidRPr="00534791" w:rsidRDefault="00BF3F1B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Eliminácia</w:t>
      </w:r>
    </w:p>
    <w:p w14:paraId="53DC3AED" w14:textId="65523C19" w:rsidR="0010465E" w:rsidRPr="00534791" w:rsidRDefault="0078582A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Fluorid sodný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sa vylučuje hlavne obličkami, pričom v priebehu 2 hodín po podaní injekci</w:t>
      </w:r>
      <w:r w:rsidR="00335B20">
        <w:rPr>
          <w:rFonts w:ascii="Times New Roman" w:hAnsi="Times New Roman" w:cs="Times New Roman"/>
          <w:sz w:val="22"/>
          <w:szCs w:val="22"/>
        </w:rPr>
        <w:t>e</w:t>
      </w:r>
      <w:r w:rsidRPr="00534791">
        <w:rPr>
          <w:rFonts w:ascii="Times New Roman" w:hAnsi="Times New Roman" w:cs="Times New Roman"/>
          <w:sz w:val="22"/>
          <w:szCs w:val="22"/>
        </w:rPr>
        <w:t xml:space="preserve"> sa močom vylúči 20 % aktivity.</w:t>
      </w:r>
    </w:p>
    <w:p w14:paraId="42CD68F8" w14:textId="77777777" w:rsidR="00B337BE" w:rsidRPr="00534791" w:rsidRDefault="00B337BE" w:rsidP="005D39A1">
      <w:pPr>
        <w:pStyle w:val="Zkladntext"/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5D40C7E3" w14:textId="1ED86D51" w:rsidR="004258A1" w:rsidRPr="00534791" w:rsidRDefault="004258A1" w:rsidP="00B966E1">
      <w:pPr>
        <w:pStyle w:val="Nadpis2"/>
        <w:jc w:val="left"/>
      </w:pPr>
      <w:r w:rsidRPr="00534791">
        <w:t xml:space="preserve">5.3. </w:t>
      </w:r>
      <w:r w:rsidRPr="00534791">
        <w:tab/>
        <w:t>Predklinické údaje o bezpečnosti</w:t>
      </w:r>
    </w:p>
    <w:p w14:paraId="1941287B" w14:textId="77777777" w:rsidR="00A11B19" w:rsidRPr="00534791" w:rsidRDefault="00A11B19" w:rsidP="005D39A1">
      <w:pPr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14:paraId="73BAC86D" w14:textId="0C2CAE72" w:rsidR="00962393" w:rsidRPr="00534791" w:rsidRDefault="00962393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Toxikologické štúdie so Sprague-Dawleyho potkanmi preukázali, že po jedinej intravenóznej injekcii fluoridu sodného (</w:t>
      </w:r>
      <w:r w:rsidRPr="0053479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sz w:val="22"/>
          <w:szCs w:val="22"/>
        </w:rPr>
        <w:t>F) a 5 ml/kg hmotnosti neboli pozorované žiadne úmrtia. Tento liek nie je určený na pravidelné alebo nepretržité podávanie.</w:t>
      </w:r>
    </w:p>
    <w:p w14:paraId="5FA80451" w14:textId="37B7FF82" w:rsidR="00962393" w:rsidRPr="00534791" w:rsidRDefault="00962393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Štúdie mutagenicity a dlhodobé štúdie karcinogenicity neboli vykonané.</w:t>
      </w:r>
    </w:p>
    <w:p w14:paraId="4BBA880B" w14:textId="77777777" w:rsidR="00962393" w:rsidRPr="00534791" w:rsidRDefault="00962393" w:rsidP="005D39A1">
      <w:pPr>
        <w:rPr>
          <w:rFonts w:ascii="Times New Roman" w:hAnsi="Times New Roman" w:cs="Times New Roman"/>
          <w:sz w:val="22"/>
          <w:szCs w:val="22"/>
        </w:rPr>
      </w:pPr>
    </w:p>
    <w:p w14:paraId="4E01E80F" w14:textId="77777777" w:rsidR="00CC5BDF" w:rsidRPr="00534791" w:rsidRDefault="00CC5BDF" w:rsidP="005D39A1">
      <w:pPr>
        <w:rPr>
          <w:rFonts w:ascii="Times New Roman" w:hAnsi="Times New Roman" w:cs="Times New Roman"/>
          <w:sz w:val="22"/>
          <w:szCs w:val="22"/>
        </w:rPr>
      </w:pPr>
    </w:p>
    <w:p w14:paraId="3A306E07" w14:textId="28D1DD2B" w:rsidR="004258A1" w:rsidRPr="00534791" w:rsidRDefault="004258A1" w:rsidP="00B966E1">
      <w:pPr>
        <w:pStyle w:val="Nadpis2"/>
        <w:jc w:val="left"/>
      </w:pPr>
      <w:r w:rsidRPr="00534791">
        <w:t>6.</w:t>
      </w:r>
      <w:r w:rsidRPr="00534791">
        <w:tab/>
        <w:t>FARMACEUTICKÉ ÚDAJE</w:t>
      </w:r>
    </w:p>
    <w:p w14:paraId="6EF9CF91" w14:textId="77777777" w:rsidR="004258A1" w:rsidRPr="00534791" w:rsidRDefault="004258A1" w:rsidP="00B966E1">
      <w:pPr>
        <w:rPr>
          <w:rFonts w:ascii="Times New Roman" w:hAnsi="Times New Roman" w:cs="Times New Roman"/>
          <w:sz w:val="22"/>
          <w:szCs w:val="22"/>
        </w:rPr>
      </w:pPr>
    </w:p>
    <w:p w14:paraId="009CE364" w14:textId="77777777" w:rsidR="004258A1" w:rsidRPr="00534791" w:rsidRDefault="004258A1" w:rsidP="00B966E1">
      <w:pPr>
        <w:pStyle w:val="Nadpis2"/>
        <w:jc w:val="left"/>
      </w:pPr>
      <w:r w:rsidRPr="00534791">
        <w:t>6.1.</w:t>
      </w:r>
      <w:r w:rsidRPr="00534791">
        <w:tab/>
        <w:t>Zoznam pomocných látok</w:t>
      </w:r>
    </w:p>
    <w:p w14:paraId="1DCC3498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3E0A66B7" w14:textId="2BC5607A" w:rsidR="00A11B19" w:rsidRPr="00534791" w:rsidRDefault="00713B5F" w:rsidP="005D3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4258A1" w:rsidRPr="00534791">
        <w:rPr>
          <w:rFonts w:ascii="Times New Roman" w:hAnsi="Times New Roman" w:cs="Times New Roman"/>
          <w:sz w:val="22"/>
          <w:szCs w:val="22"/>
        </w:rPr>
        <w:t>hlorid sodný</w:t>
      </w:r>
      <w:r w:rsidR="00C57055" w:rsidRPr="005347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134200" w14:textId="149D9A75" w:rsidR="00CF675C" w:rsidRPr="00534791" w:rsidRDefault="00713B5F" w:rsidP="005D3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4258A1" w:rsidRPr="00534791">
        <w:rPr>
          <w:rFonts w:ascii="Times New Roman" w:hAnsi="Times New Roman" w:cs="Times New Roman"/>
          <w:sz w:val="22"/>
          <w:szCs w:val="22"/>
        </w:rPr>
        <w:t>ihydrogenfosfát draselný</w:t>
      </w:r>
    </w:p>
    <w:p w14:paraId="6DD7CF1E" w14:textId="7D2DCE4D" w:rsidR="004258A1" w:rsidRPr="00534791" w:rsidRDefault="00713B5F" w:rsidP="005D3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CF675C" w:rsidRPr="00534791">
        <w:rPr>
          <w:rFonts w:ascii="Times New Roman" w:hAnsi="Times New Roman" w:cs="Times New Roman"/>
          <w:sz w:val="22"/>
          <w:szCs w:val="22"/>
        </w:rPr>
        <w:t>oda na injekciu</w:t>
      </w:r>
    </w:p>
    <w:p w14:paraId="0B3198EE" w14:textId="77777777" w:rsidR="004258A1" w:rsidRPr="00534791" w:rsidRDefault="004258A1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08C48CA6" w14:textId="77777777" w:rsidR="004258A1" w:rsidRPr="00534791" w:rsidRDefault="004258A1" w:rsidP="00B966E1">
      <w:pPr>
        <w:pStyle w:val="Nadpis2"/>
        <w:jc w:val="left"/>
      </w:pPr>
      <w:r w:rsidRPr="00534791">
        <w:t>6.2.</w:t>
      </w:r>
      <w:r w:rsidRPr="00534791">
        <w:tab/>
        <w:t>Inkompatibility</w:t>
      </w:r>
    </w:p>
    <w:p w14:paraId="775479E5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7ED52BDE" w14:textId="62D7180E" w:rsidR="004258A1" w:rsidRPr="00534791" w:rsidRDefault="00CC5BDF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Tento liek sa nesmie miešať s inými liekmi okrem tých, ktoré sú uvedené v časti 12.</w:t>
      </w:r>
    </w:p>
    <w:p w14:paraId="5300D038" w14:textId="77777777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</w:p>
    <w:p w14:paraId="6140D5D3" w14:textId="77777777" w:rsidR="004258A1" w:rsidRPr="00534791" w:rsidRDefault="004258A1" w:rsidP="00B966E1">
      <w:pPr>
        <w:pStyle w:val="Nadpis2"/>
        <w:jc w:val="left"/>
      </w:pPr>
      <w:r w:rsidRPr="00534791">
        <w:t>6.3.</w:t>
      </w:r>
      <w:r w:rsidRPr="00534791">
        <w:tab/>
        <w:t>Čas použiteľnosti</w:t>
      </w:r>
    </w:p>
    <w:p w14:paraId="0F57E58F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3A0E53A0" w14:textId="300A3D69" w:rsidR="00865226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16 hodín od dátumu a času výroby (kalibrácie).</w:t>
      </w:r>
    </w:p>
    <w:p w14:paraId="52AAEF33" w14:textId="13E2A80F" w:rsidR="004258A1" w:rsidRPr="00534791" w:rsidRDefault="00865226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Po prvom otvorení: 10 hodín. Uchovávajte v chladničke (2 °C – 8 °C).</w:t>
      </w:r>
    </w:p>
    <w:p w14:paraId="02A75BB6" w14:textId="77777777" w:rsidR="00CF675C" w:rsidRPr="00534791" w:rsidRDefault="00CF675C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697602F9" w14:textId="77777777" w:rsidR="004258A1" w:rsidRPr="00534791" w:rsidRDefault="004258A1" w:rsidP="00B966E1">
      <w:pPr>
        <w:pStyle w:val="Nadpis2"/>
        <w:jc w:val="left"/>
      </w:pPr>
      <w:r w:rsidRPr="00534791">
        <w:t>6.4.</w:t>
      </w:r>
      <w:r w:rsidRPr="00534791">
        <w:tab/>
        <w:t>Špeciálne upozornenia na uchovávanie</w:t>
      </w:r>
    </w:p>
    <w:p w14:paraId="6F5CEA97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5AA0956B" w14:textId="288B0F78" w:rsidR="004258A1" w:rsidRPr="00A77D60" w:rsidRDefault="004258A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Uchovávajte pri teplote do 25 °C. </w:t>
      </w:r>
      <w:r w:rsidRPr="00A77D60">
        <w:rPr>
          <w:rFonts w:ascii="Times New Roman" w:hAnsi="Times New Roman" w:cs="Times New Roman"/>
          <w:sz w:val="22"/>
          <w:szCs w:val="22"/>
        </w:rPr>
        <w:t>Uchovávajte v pôvodnom balení.</w:t>
      </w:r>
    </w:p>
    <w:p w14:paraId="5D911FBB" w14:textId="5A64CCEB" w:rsidR="00865226" w:rsidRPr="00A77D60" w:rsidRDefault="00865226" w:rsidP="005D39A1">
      <w:pPr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>Podmienky na uchovávanie po prvom použití lieku, pozri časť 6.3.</w:t>
      </w:r>
    </w:p>
    <w:p w14:paraId="237B3E6C" w14:textId="4CBF6B62" w:rsidR="002A5929" w:rsidRPr="00A77D60" w:rsidRDefault="002A5929" w:rsidP="005D39A1">
      <w:pPr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 xml:space="preserve">Uchovávanie rádiofarmák musí byť v súlade s </w:t>
      </w:r>
      <w:r w:rsidR="00713B5F">
        <w:rPr>
          <w:rFonts w:ascii="Times New Roman" w:hAnsi="Times New Roman" w:cs="Times New Roman"/>
          <w:sz w:val="22"/>
          <w:szCs w:val="22"/>
        </w:rPr>
        <w:t>národnými</w:t>
      </w:r>
      <w:r w:rsidRPr="00A77D60">
        <w:rPr>
          <w:rFonts w:ascii="Times New Roman" w:hAnsi="Times New Roman" w:cs="Times New Roman"/>
          <w:sz w:val="22"/>
          <w:szCs w:val="22"/>
        </w:rPr>
        <w:t xml:space="preserve"> predpismi o rádioaktívnych látkach.</w:t>
      </w:r>
    </w:p>
    <w:p w14:paraId="4A1687E1" w14:textId="77777777" w:rsidR="00980176" w:rsidRPr="00A77D60" w:rsidRDefault="00980176" w:rsidP="005D39A1">
      <w:pPr>
        <w:rPr>
          <w:rFonts w:ascii="Times New Roman" w:hAnsi="Times New Roman" w:cs="Times New Roman"/>
          <w:sz w:val="22"/>
          <w:szCs w:val="22"/>
        </w:rPr>
      </w:pPr>
    </w:p>
    <w:p w14:paraId="5D67A9FD" w14:textId="53AD428E" w:rsidR="004258A1" w:rsidRPr="00534791" w:rsidRDefault="004258A1" w:rsidP="00B966E1">
      <w:pPr>
        <w:pStyle w:val="Nadpis2"/>
        <w:jc w:val="left"/>
      </w:pPr>
      <w:r w:rsidRPr="00534791">
        <w:t>6.5.</w:t>
      </w:r>
      <w:r w:rsidRPr="00534791">
        <w:tab/>
        <w:t>Druh obalu a obsah balenia</w:t>
      </w:r>
    </w:p>
    <w:p w14:paraId="6CF13449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  <w:bookmarkStart w:id="5" w:name="OLE_LINK1"/>
    </w:p>
    <w:p w14:paraId="7C6FCB81" w14:textId="1F263495" w:rsidR="004258A1" w:rsidRPr="00534791" w:rsidRDefault="005745FE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15 alebo 25 ml viacdávková injekčná liekovka</w:t>
      </w:r>
      <w:bookmarkEnd w:id="5"/>
      <w:r w:rsidRPr="00534791">
        <w:rPr>
          <w:rFonts w:ascii="Times New Roman" w:hAnsi="Times New Roman" w:cs="Times New Roman"/>
          <w:sz w:val="22"/>
          <w:szCs w:val="22"/>
        </w:rPr>
        <w:t xml:space="preserve"> z bezfarebného skla, typu I, uzavretá gumenou zátkou a zapečatená hliníkovým viečkom.</w:t>
      </w:r>
    </w:p>
    <w:p w14:paraId="67DEFEC9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70E146A6" w14:textId="17BC0C34" w:rsidR="000D1377" w:rsidRPr="00534791" w:rsidRDefault="000D1377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lastRenderedPageBreak/>
        <w:t>Veľkosť balenia:</w:t>
      </w:r>
      <w:bookmarkStart w:id="6" w:name="_GoBack"/>
      <w:bookmarkEnd w:id="6"/>
    </w:p>
    <w:p w14:paraId="10B0503F" w14:textId="3ADAA7CC" w:rsidR="004C6415" w:rsidRDefault="00395B35" w:rsidP="004C6415">
      <w:pPr>
        <w:jc w:val="both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Jedna viacdávková </w:t>
      </w:r>
      <w:r w:rsidR="004C6415">
        <w:rPr>
          <w:rFonts w:ascii="Times New Roman" w:hAnsi="Times New Roman" w:cs="Times New Roman"/>
          <w:sz w:val="22"/>
          <w:szCs w:val="22"/>
        </w:rPr>
        <w:t>1</w:t>
      </w:r>
      <w:r w:rsidRPr="00534791">
        <w:rPr>
          <w:rFonts w:ascii="Times New Roman" w:hAnsi="Times New Roman" w:cs="Times New Roman"/>
          <w:sz w:val="22"/>
          <w:szCs w:val="22"/>
        </w:rPr>
        <w:t>5 m</w:t>
      </w:r>
      <w:r w:rsidR="002F5F31" w:rsidRPr="00534791">
        <w:rPr>
          <w:rFonts w:ascii="Times New Roman" w:hAnsi="Times New Roman" w:cs="Times New Roman"/>
          <w:sz w:val="22"/>
          <w:szCs w:val="22"/>
        </w:rPr>
        <w:t>l</w:t>
      </w:r>
      <w:r w:rsidRPr="00534791">
        <w:rPr>
          <w:rFonts w:ascii="Times New Roman" w:hAnsi="Times New Roman" w:cs="Times New Roman"/>
          <w:sz w:val="22"/>
          <w:szCs w:val="22"/>
        </w:rPr>
        <w:t xml:space="preserve"> injekčná liekovka obsahuje 0,37 až </w:t>
      </w:r>
      <w:r w:rsidR="004C6415">
        <w:rPr>
          <w:rFonts w:ascii="Times New Roman" w:hAnsi="Times New Roman" w:cs="Times New Roman"/>
          <w:sz w:val="22"/>
          <w:szCs w:val="22"/>
        </w:rPr>
        <w:t>15</w:t>
      </w:r>
      <w:r w:rsidRPr="00534791">
        <w:rPr>
          <w:rFonts w:ascii="Times New Roman" w:hAnsi="Times New Roman" w:cs="Times New Roman"/>
          <w:sz w:val="22"/>
          <w:szCs w:val="22"/>
        </w:rPr>
        <w:t>,0 ml roztoku</w:t>
      </w:r>
      <w:r w:rsidR="004C6415" w:rsidRPr="004C6415">
        <w:rPr>
          <w:rFonts w:ascii="Times New Roman" w:hAnsi="Times New Roman" w:cs="Times New Roman"/>
          <w:sz w:val="22"/>
          <w:szCs w:val="22"/>
        </w:rPr>
        <w:t xml:space="preserve">, </w:t>
      </w:r>
      <w:r w:rsidRPr="004C6415">
        <w:rPr>
          <w:rFonts w:ascii="Times New Roman" w:hAnsi="Times New Roman" w:cs="Times New Roman"/>
          <w:sz w:val="22"/>
          <w:szCs w:val="22"/>
        </w:rPr>
        <w:t xml:space="preserve"> </w:t>
      </w:r>
      <w:r w:rsidR="004C6415" w:rsidRPr="00B966E1">
        <w:rPr>
          <w:rFonts w:ascii="Times New Roman" w:hAnsi="Times New Roman" w:cs="Times New Roman"/>
          <w:sz w:val="22"/>
          <w:szCs w:val="22"/>
        </w:rPr>
        <w:t xml:space="preserve">čo zodpovedá </w:t>
      </w:r>
      <w:r w:rsidR="004C6415" w:rsidRPr="00FD07C9">
        <w:rPr>
          <w:rFonts w:ascii="Times New Roman" w:hAnsi="Times New Roman" w:cs="Times New Roman"/>
          <w:sz w:val="22"/>
          <w:szCs w:val="22"/>
        </w:rPr>
        <w:t>0,74</w:t>
      </w:r>
      <w:r w:rsidR="004C6415" w:rsidRPr="00B966E1">
        <w:rPr>
          <w:rFonts w:ascii="Times New Roman" w:hAnsi="Times New Roman" w:cs="Times New Roman"/>
          <w:sz w:val="22"/>
          <w:szCs w:val="22"/>
        </w:rPr>
        <w:t xml:space="preserve"> až 30 GBq </w:t>
      </w:r>
      <w:r w:rsidR="00143F97">
        <w:rPr>
          <w:rFonts w:ascii="Times New Roman" w:hAnsi="Times New Roman" w:cs="Times New Roman"/>
          <w:sz w:val="22"/>
          <w:szCs w:val="22"/>
        </w:rPr>
        <w:t>v</w:t>
      </w:r>
      <w:r w:rsidR="004C6415" w:rsidRPr="00B966E1">
        <w:rPr>
          <w:rFonts w:ascii="Times New Roman" w:hAnsi="Times New Roman" w:cs="Times New Roman"/>
          <w:sz w:val="22"/>
          <w:szCs w:val="22"/>
        </w:rPr>
        <w:t> čas</w:t>
      </w:r>
      <w:r w:rsidR="00143F97">
        <w:rPr>
          <w:rFonts w:ascii="Times New Roman" w:hAnsi="Times New Roman" w:cs="Times New Roman"/>
          <w:sz w:val="22"/>
          <w:szCs w:val="22"/>
        </w:rPr>
        <w:t>e</w:t>
      </w:r>
      <w:r w:rsidR="004C6415" w:rsidRPr="00B966E1">
        <w:rPr>
          <w:rFonts w:ascii="Times New Roman" w:hAnsi="Times New Roman" w:cs="Times New Roman"/>
          <w:sz w:val="22"/>
          <w:szCs w:val="22"/>
        </w:rPr>
        <w:t xml:space="preserve"> kalibrácie.</w:t>
      </w:r>
    </w:p>
    <w:p w14:paraId="1ECDB1F0" w14:textId="020ACD22" w:rsidR="00255558" w:rsidRPr="00B966E1" w:rsidRDefault="00D60624" w:rsidP="002555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Jedna viacdávková 25 ml</w:t>
      </w:r>
      <w:r w:rsidR="00255558">
        <w:rPr>
          <w:rFonts w:ascii="Times New Roman" w:hAnsi="Times New Roman" w:cs="Times New Roman"/>
          <w:sz w:val="22"/>
          <w:szCs w:val="22"/>
        </w:rPr>
        <w:t xml:space="preserve"> injekčná liekovka obsahuje 0,37 až 22,0 m</w:t>
      </w:r>
      <w:r w:rsidR="00143F97">
        <w:rPr>
          <w:rFonts w:ascii="Times New Roman" w:hAnsi="Times New Roman" w:cs="Times New Roman"/>
          <w:sz w:val="22"/>
          <w:szCs w:val="22"/>
        </w:rPr>
        <w:t>l</w:t>
      </w:r>
      <w:r w:rsidR="00255558">
        <w:rPr>
          <w:rFonts w:ascii="Times New Roman" w:hAnsi="Times New Roman" w:cs="Times New Roman"/>
          <w:sz w:val="22"/>
          <w:szCs w:val="22"/>
        </w:rPr>
        <w:t xml:space="preserve"> roztoku</w:t>
      </w:r>
      <w:r w:rsidR="00143F97">
        <w:rPr>
          <w:rFonts w:ascii="Times New Roman" w:hAnsi="Times New Roman" w:cs="Times New Roman"/>
          <w:sz w:val="22"/>
          <w:szCs w:val="22"/>
        </w:rPr>
        <w:t xml:space="preserve">, čo </w:t>
      </w:r>
      <w:r w:rsidR="00255558">
        <w:rPr>
          <w:rFonts w:ascii="Times New Roman" w:hAnsi="Times New Roman" w:cs="Times New Roman"/>
          <w:sz w:val="22"/>
          <w:szCs w:val="22"/>
        </w:rPr>
        <w:t>zodpoved</w:t>
      </w:r>
      <w:r w:rsidR="00143F97">
        <w:rPr>
          <w:rFonts w:ascii="Times New Roman" w:hAnsi="Times New Roman" w:cs="Times New Roman"/>
          <w:sz w:val="22"/>
          <w:szCs w:val="22"/>
        </w:rPr>
        <w:t>á</w:t>
      </w:r>
      <w:r w:rsidR="00255558">
        <w:rPr>
          <w:rFonts w:ascii="Times New Roman" w:hAnsi="Times New Roman" w:cs="Times New Roman"/>
          <w:sz w:val="22"/>
          <w:szCs w:val="22"/>
        </w:rPr>
        <w:t xml:space="preserve"> 0,74 až 44 GBq v čase kalibrácie.</w:t>
      </w:r>
    </w:p>
    <w:p w14:paraId="7A09AAB9" w14:textId="46A90BE6" w:rsidR="00395B35" w:rsidRPr="00534791" w:rsidRDefault="00C47942" w:rsidP="005D3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trh nemusia byť uvedené</w:t>
      </w:r>
      <w:r w:rsidR="000D1377" w:rsidRPr="00534791">
        <w:rPr>
          <w:rFonts w:ascii="Times New Roman" w:hAnsi="Times New Roman" w:cs="Times New Roman"/>
          <w:sz w:val="22"/>
          <w:szCs w:val="22"/>
        </w:rPr>
        <w:t xml:space="preserve"> všetky veľkosti balenia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E77676" w14:textId="146B2B0D" w:rsidR="00041EAE" w:rsidRPr="00534791" w:rsidRDefault="00041EAE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V dôsledku výrobného procesu </w:t>
      </w:r>
      <w:r w:rsidR="00D60BEB" w:rsidRPr="00534791">
        <w:rPr>
          <w:rFonts w:ascii="Times New Roman" w:hAnsi="Times New Roman" w:cs="Times New Roman"/>
          <w:sz w:val="22"/>
          <w:szCs w:val="22"/>
        </w:rPr>
        <w:t xml:space="preserve">môže byť </w:t>
      </w:r>
      <w:r w:rsidRPr="00534791">
        <w:rPr>
          <w:rFonts w:ascii="Times New Roman" w:hAnsi="Times New Roman" w:cs="Times New Roman"/>
          <w:sz w:val="22"/>
          <w:szCs w:val="22"/>
        </w:rPr>
        <w:t xml:space="preserve">IASOflu </w:t>
      </w:r>
      <w:r w:rsidR="00D60BEB" w:rsidRPr="00534791">
        <w:rPr>
          <w:rFonts w:ascii="Times New Roman" w:hAnsi="Times New Roman" w:cs="Times New Roman"/>
          <w:sz w:val="22"/>
          <w:szCs w:val="22"/>
        </w:rPr>
        <w:t>dodaný</w:t>
      </w:r>
      <w:r w:rsidRPr="00534791">
        <w:rPr>
          <w:rFonts w:ascii="Times New Roman" w:hAnsi="Times New Roman" w:cs="Times New Roman"/>
          <w:sz w:val="22"/>
          <w:szCs w:val="22"/>
        </w:rPr>
        <w:t xml:space="preserve"> s</w:t>
      </w:r>
      <w:r w:rsidR="00C57055" w:rsidRPr="00534791">
        <w:rPr>
          <w:rFonts w:ascii="Times New Roman" w:hAnsi="Times New Roman" w:cs="Times New Roman"/>
          <w:sz w:val="22"/>
          <w:szCs w:val="22"/>
        </w:rPr>
        <w:t> perforovanou</w:t>
      </w:r>
      <w:r w:rsidRPr="00534791">
        <w:rPr>
          <w:rFonts w:ascii="Times New Roman" w:hAnsi="Times New Roman" w:cs="Times New Roman"/>
          <w:sz w:val="22"/>
          <w:szCs w:val="22"/>
        </w:rPr>
        <w:t xml:space="preserve">  gumenou zátkou.</w:t>
      </w:r>
    </w:p>
    <w:p w14:paraId="4DB8856D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7000ABC7" w14:textId="77777777" w:rsidR="002F0B51" w:rsidRPr="00534791" w:rsidRDefault="002F0B51" w:rsidP="005D39A1">
      <w:pPr>
        <w:tabs>
          <w:tab w:val="left" w:pos="4820"/>
          <w:tab w:val="left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3AE38A67" w14:textId="38DF1F66" w:rsidR="004258A1" w:rsidRPr="00534791" w:rsidRDefault="00826982" w:rsidP="00B966E1">
      <w:pPr>
        <w:pStyle w:val="Nadpis2"/>
        <w:jc w:val="left"/>
        <w:rPr>
          <w:b w:val="0"/>
        </w:rPr>
      </w:pPr>
      <w:r w:rsidRPr="00534791">
        <w:t>6.6</w:t>
      </w:r>
      <w:r w:rsidR="00CB07A4" w:rsidRPr="00534791">
        <w:t>.</w:t>
      </w:r>
      <w:r w:rsidR="00CB07A4" w:rsidRPr="00534791">
        <w:tab/>
      </w:r>
      <w:r w:rsidR="004258A1" w:rsidRPr="00534791">
        <w:t>Špeciálne opatrenia na likvidáciu</w:t>
      </w:r>
    </w:p>
    <w:p w14:paraId="46416929" w14:textId="77777777" w:rsidR="00E31259" w:rsidRPr="00534791" w:rsidRDefault="00E31259" w:rsidP="005D39A1">
      <w:pPr>
        <w:rPr>
          <w:rFonts w:ascii="Times New Roman" w:hAnsi="Times New Roman" w:cs="Times New Roman"/>
          <w:sz w:val="22"/>
          <w:szCs w:val="22"/>
        </w:rPr>
      </w:pPr>
    </w:p>
    <w:p w14:paraId="566C1845" w14:textId="77777777" w:rsidR="00E31259" w:rsidRPr="00534791" w:rsidRDefault="00E31259" w:rsidP="005D39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534791">
        <w:rPr>
          <w:rFonts w:ascii="Times New Roman" w:hAnsi="Times New Roman" w:cs="Times New Roman"/>
          <w:sz w:val="22"/>
          <w:szCs w:val="22"/>
          <w:u w:val="single"/>
        </w:rPr>
        <w:t>Všeobecné upozornenia</w:t>
      </w:r>
    </w:p>
    <w:p w14:paraId="0BEBE8C2" w14:textId="6AC6A051" w:rsidR="00E31259" w:rsidRPr="00534791" w:rsidRDefault="00E31259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Rádiofarmaká majú v určených klinických zariadeniach prijímať, používať a podávať jedine oprávnené osoby. Ich príjem, uchovávanie, používanie, preprava a likvidácia </w:t>
      </w:r>
      <w:r w:rsidR="00FA04C5">
        <w:rPr>
          <w:rFonts w:ascii="Times New Roman" w:hAnsi="Times New Roman" w:cs="Times New Roman"/>
          <w:sz w:val="22"/>
          <w:szCs w:val="22"/>
        </w:rPr>
        <w:t>sa riadia príslušnými národnými predpismi.</w:t>
      </w:r>
      <w:r w:rsidRPr="0053479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44D1E35" w14:textId="77777777" w:rsidR="00E31259" w:rsidRPr="00534791" w:rsidRDefault="00E31259" w:rsidP="005D39A1">
      <w:pPr>
        <w:rPr>
          <w:rFonts w:ascii="Times New Roman" w:hAnsi="Times New Roman" w:cs="Times New Roman"/>
          <w:sz w:val="22"/>
          <w:szCs w:val="22"/>
        </w:rPr>
      </w:pPr>
    </w:p>
    <w:p w14:paraId="4D8CDF40" w14:textId="5323C91A" w:rsidR="00E31259" w:rsidRPr="00534791" w:rsidRDefault="00E31259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Rádiofarmaká musí používateľ pripravovať spôsobom, ktorý zodpovedá radiačnej bezpečnosti a požiadavkám </w:t>
      </w:r>
      <w:r w:rsidR="00C47942">
        <w:rPr>
          <w:rFonts w:ascii="Times New Roman" w:hAnsi="Times New Roman" w:cs="Times New Roman"/>
          <w:sz w:val="22"/>
          <w:szCs w:val="22"/>
        </w:rPr>
        <w:t xml:space="preserve"> na </w:t>
      </w:r>
      <w:r w:rsidRPr="00534791">
        <w:rPr>
          <w:rFonts w:ascii="Times New Roman" w:hAnsi="Times New Roman" w:cs="Times New Roman"/>
          <w:sz w:val="22"/>
          <w:szCs w:val="22"/>
        </w:rPr>
        <w:t>farmaceutick</w:t>
      </w:r>
      <w:r w:rsidR="00C47942">
        <w:rPr>
          <w:rFonts w:ascii="Times New Roman" w:hAnsi="Times New Roman" w:cs="Times New Roman"/>
          <w:sz w:val="22"/>
          <w:szCs w:val="22"/>
        </w:rPr>
        <w:t>ú</w:t>
      </w:r>
      <w:r w:rsidRPr="00534791">
        <w:rPr>
          <w:rFonts w:ascii="Times New Roman" w:hAnsi="Times New Roman" w:cs="Times New Roman"/>
          <w:sz w:val="22"/>
          <w:szCs w:val="22"/>
        </w:rPr>
        <w:t xml:space="preserve"> kvalit</w:t>
      </w:r>
      <w:r w:rsidR="00C47942">
        <w:rPr>
          <w:rFonts w:ascii="Times New Roman" w:hAnsi="Times New Roman" w:cs="Times New Roman"/>
          <w:sz w:val="22"/>
          <w:szCs w:val="22"/>
        </w:rPr>
        <w:t>u</w:t>
      </w:r>
      <w:r w:rsidRPr="00534791">
        <w:rPr>
          <w:rFonts w:ascii="Times New Roman" w:hAnsi="Times New Roman" w:cs="Times New Roman"/>
          <w:sz w:val="22"/>
          <w:szCs w:val="22"/>
        </w:rPr>
        <w:t>. Je potrebné vykonať patričné aseptické bezpečnostné opatrenia.</w:t>
      </w:r>
    </w:p>
    <w:p w14:paraId="305D67CD" w14:textId="77777777" w:rsidR="00E31259" w:rsidRPr="00534791" w:rsidRDefault="00E31259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0A63FD3E" w14:textId="77777777" w:rsidR="00FF59CC" w:rsidRPr="00534791" w:rsidRDefault="00FF59CC" w:rsidP="005D39A1">
      <w:pPr>
        <w:ind w:hanging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Liekovka sa nesmie použiť, ak kedykoľvek v priebehu prípravy lieku sa naruší jej celistvosť.</w:t>
      </w:r>
    </w:p>
    <w:p w14:paraId="38F6D7DD" w14:textId="77777777" w:rsidR="00FF59CC" w:rsidRPr="00534791" w:rsidRDefault="00FF59CC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70C416CB" w14:textId="706BFEF5" w:rsidR="00FF59CC" w:rsidRPr="00534791" w:rsidRDefault="00FF59CC" w:rsidP="005D39A1">
      <w:pPr>
        <w:ind w:hanging="1"/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Postupy pri podávaní lieku sa musia vykonávať trak, aby bolo riziko kontaminácie </w:t>
      </w:r>
      <w:r w:rsidR="00C47942">
        <w:rPr>
          <w:rFonts w:ascii="Times New Roman" w:hAnsi="Times New Roman" w:cs="Times New Roman"/>
          <w:sz w:val="22"/>
          <w:szCs w:val="22"/>
        </w:rPr>
        <w:t xml:space="preserve">z </w:t>
      </w:r>
      <w:r w:rsidRPr="00534791">
        <w:rPr>
          <w:rFonts w:ascii="Times New Roman" w:hAnsi="Times New Roman" w:cs="Times New Roman"/>
          <w:sz w:val="22"/>
          <w:szCs w:val="22"/>
        </w:rPr>
        <w:t>lieku a riziko ožiarenia obslužného personálu obmedzené na minimum. Použitie ochranných prostriedkov je povinné.</w:t>
      </w:r>
    </w:p>
    <w:p w14:paraId="2DAB5DF6" w14:textId="77777777" w:rsidR="00E16843" w:rsidRPr="00534791" w:rsidRDefault="00E16843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224075B8" w14:textId="6399C8E6" w:rsidR="00FF59CC" w:rsidRPr="00534791" w:rsidRDefault="00FF59CC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Podávanie rádiofarmák vytvára riziká pre ďalšie osoby z vonkajšieho ožiarenia alebo kontaminácie v dôsledku rozliatia moču, zvratkov atď. Preto je nevyhnutné prijať bezpečnostné opatrenia na ochranu pred žiarením v súlade s </w:t>
      </w:r>
      <w:r w:rsidR="005D39A1">
        <w:rPr>
          <w:rFonts w:ascii="Times New Roman" w:hAnsi="Times New Roman" w:cs="Times New Roman"/>
          <w:sz w:val="22"/>
          <w:szCs w:val="22"/>
        </w:rPr>
        <w:t>národnými</w:t>
      </w:r>
      <w:r w:rsidRPr="00534791">
        <w:rPr>
          <w:rFonts w:ascii="Times New Roman" w:hAnsi="Times New Roman" w:cs="Times New Roman"/>
          <w:sz w:val="22"/>
          <w:szCs w:val="22"/>
        </w:rPr>
        <w:t xml:space="preserve"> predpismi.</w:t>
      </w:r>
    </w:p>
    <w:p w14:paraId="1DF0D509" w14:textId="77777777" w:rsidR="00FF59CC" w:rsidRPr="00534791" w:rsidRDefault="00FF59CC" w:rsidP="005F1689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3B296ECB" w14:textId="786A6153" w:rsidR="00FF59CC" w:rsidRPr="00534791" w:rsidRDefault="00FF59CC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Nepoužitý liek alebo odpad vzniknutý z lieku má byť zlikvidovaný v súlade s </w:t>
      </w:r>
      <w:r w:rsidR="005D39A1">
        <w:rPr>
          <w:rFonts w:ascii="Times New Roman" w:hAnsi="Times New Roman" w:cs="Times New Roman"/>
          <w:sz w:val="22"/>
          <w:szCs w:val="22"/>
        </w:rPr>
        <w:t>národnými</w:t>
      </w:r>
      <w:r w:rsidR="005D39A1" w:rsidRPr="00534791">
        <w:rPr>
          <w:rFonts w:ascii="Times New Roman" w:hAnsi="Times New Roman" w:cs="Times New Roman"/>
          <w:sz w:val="22"/>
          <w:szCs w:val="22"/>
        </w:rPr>
        <w:t xml:space="preserve"> </w:t>
      </w:r>
      <w:r w:rsidRPr="00534791">
        <w:rPr>
          <w:rFonts w:ascii="Times New Roman" w:hAnsi="Times New Roman" w:cs="Times New Roman"/>
          <w:sz w:val="22"/>
          <w:szCs w:val="22"/>
        </w:rPr>
        <w:t>požiadavkami.</w:t>
      </w:r>
    </w:p>
    <w:p w14:paraId="3F8C4840" w14:textId="77777777" w:rsidR="00FF59CC" w:rsidRPr="00534791" w:rsidRDefault="00FF59CC" w:rsidP="005D39A1">
      <w:pPr>
        <w:ind w:hanging="1"/>
        <w:rPr>
          <w:rFonts w:ascii="Times New Roman" w:hAnsi="Times New Roman" w:cs="Times New Roman"/>
          <w:sz w:val="22"/>
          <w:szCs w:val="22"/>
        </w:rPr>
      </w:pPr>
    </w:p>
    <w:p w14:paraId="03BC8550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7252FB2B" w14:textId="2424AC3C" w:rsidR="004258A1" w:rsidRPr="00534791" w:rsidRDefault="004258A1" w:rsidP="00B966E1">
      <w:pPr>
        <w:pStyle w:val="Nadpis2"/>
        <w:jc w:val="left"/>
      </w:pPr>
      <w:r w:rsidRPr="00534791">
        <w:t>7.</w:t>
      </w:r>
      <w:r w:rsidRPr="00534791">
        <w:tab/>
        <w:t>DRŽITEĽ ROZHODNUTIA O REGISTRÁCII</w:t>
      </w:r>
    </w:p>
    <w:p w14:paraId="747A87CB" w14:textId="77777777" w:rsidR="00A11B19" w:rsidRPr="00534791" w:rsidRDefault="00A11B19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1BB87B99" w14:textId="77777777" w:rsidR="004258A1" w:rsidRPr="00534791" w:rsidRDefault="004258A1" w:rsidP="005D39A1">
      <w:pPr>
        <w:rPr>
          <w:rFonts w:ascii="Times New Roman" w:hAnsi="Times New Roman" w:cs="Times New Roman"/>
          <w:b/>
          <w:sz w:val="22"/>
          <w:szCs w:val="22"/>
        </w:rPr>
      </w:pPr>
      <w:r w:rsidRPr="00534791">
        <w:rPr>
          <w:rFonts w:ascii="Times New Roman" w:hAnsi="Times New Roman" w:cs="Times New Roman"/>
          <w:b/>
          <w:sz w:val="22"/>
          <w:szCs w:val="22"/>
        </w:rPr>
        <w:t>IASON GmbH</w:t>
      </w:r>
    </w:p>
    <w:p w14:paraId="0F6A5202" w14:textId="7261A3F6" w:rsidR="004258A1" w:rsidRPr="00534791" w:rsidRDefault="007428A3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Feldkirchner</w:t>
      </w:r>
      <w:r w:rsidR="002F5F31" w:rsidRPr="00534791">
        <w:rPr>
          <w:rFonts w:ascii="Times New Roman" w:hAnsi="Times New Roman" w:cs="Times New Roman"/>
          <w:sz w:val="22"/>
          <w:szCs w:val="22"/>
        </w:rPr>
        <w:t xml:space="preserve"> Str. </w:t>
      </w:r>
      <w:r w:rsidRPr="00534791">
        <w:rPr>
          <w:rFonts w:ascii="Times New Roman" w:hAnsi="Times New Roman" w:cs="Times New Roman"/>
          <w:sz w:val="22"/>
          <w:szCs w:val="22"/>
        </w:rPr>
        <w:t>4</w:t>
      </w:r>
    </w:p>
    <w:p w14:paraId="7CD8DDC1" w14:textId="26DC0356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8054 </w:t>
      </w:r>
      <w:r w:rsidR="00A93EA5" w:rsidRPr="00534791">
        <w:rPr>
          <w:rFonts w:ascii="Times New Roman" w:hAnsi="Times New Roman" w:cs="Times New Roman"/>
          <w:sz w:val="22"/>
          <w:szCs w:val="22"/>
        </w:rPr>
        <w:t>Graz-Seiersberg</w:t>
      </w:r>
    </w:p>
    <w:p w14:paraId="26C03CCF" w14:textId="77777777" w:rsidR="004258A1" w:rsidRPr="00534791" w:rsidRDefault="004258A1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Rakúsko</w:t>
      </w:r>
    </w:p>
    <w:p w14:paraId="2D5FA79E" w14:textId="77777777" w:rsidR="00491F39" w:rsidRPr="00534791" w:rsidRDefault="00491F39" w:rsidP="00B966E1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534791">
        <w:rPr>
          <w:rFonts w:ascii="Times New Roman" w:hAnsi="Times New Roman" w:cs="Times New Roman"/>
          <w:color w:val="000000"/>
          <w:sz w:val="22"/>
          <w:szCs w:val="22"/>
        </w:rPr>
        <w:t>Tel.: 0043 (0)316-28 43 00</w:t>
      </w:r>
    </w:p>
    <w:p w14:paraId="49AE3469" w14:textId="77777777" w:rsidR="00491F39" w:rsidRPr="00534791" w:rsidRDefault="00491F39" w:rsidP="00B966E1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534791">
        <w:rPr>
          <w:rFonts w:ascii="Times New Roman" w:hAnsi="Times New Roman" w:cs="Times New Roman"/>
          <w:color w:val="000000"/>
          <w:sz w:val="22"/>
          <w:szCs w:val="22"/>
        </w:rPr>
        <w:t>Fax: 0043 (0)316-28 43 00-4</w:t>
      </w:r>
    </w:p>
    <w:p w14:paraId="3B1D7C15" w14:textId="77777777" w:rsidR="00491F39" w:rsidRPr="00534791" w:rsidRDefault="00491F39" w:rsidP="00B966E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0" w:history="1">
        <w:r w:rsidRPr="00534791">
          <w:rPr>
            <w:rStyle w:val="Hypertextovprepojenie"/>
            <w:rFonts w:ascii="Times New Roman" w:hAnsi="Times New Roman" w:cs="Times New Roman"/>
            <w:sz w:val="22"/>
            <w:szCs w:val="22"/>
          </w:rPr>
          <w:t>office@iason.eu</w:t>
        </w:r>
      </w:hyperlink>
    </w:p>
    <w:p w14:paraId="37E9A93E" w14:textId="77777777" w:rsidR="004258A1" w:rsidRPr="00534791" w:rsidRDefault="004258A1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1A0E7369" w14:textId="77777777" w:rsidR="00A11B19" w:rsidRPr="00534791" w:rsidRDefault="00A11B19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376E4C5A" w14:textId="77777777" w:rsidR="004258A1" w:rsidRPr="00534791" w:rsidRDefault="004258A1" w:rsidP="00B966E1">
      <w:pPr>
        <w:pStyle w:val="Nadpis2"/>
        <w:jc w:val="left"/>
      </w:pPr>
      <w:r w:rsidRPr="00534791">
        <w:t xml:space="preserve">8. </w:t>
      </w:r>
      <w:r w:rsidRPr="00534791">
        <w:tab/>
        <w:t>REGISTRAČNÉ ČÍSLO</w:t>
      </w:r>
    </w:p>
    <w:p w14:paraId="1D73DDEE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02B3926A" w14:textId="77777777" w:rsidR="00C57055" w:rsidRPr="00534791" w:rsidRDefault="00CB0196" w:rsidP="005D39A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88/0832/10-S</w:t>
      </w:r>
    </w:p>
    <w:p w14:paraId="46DCD884" w14:textId="77777777" w:rsidR="004258A1" w:rsidRPr="00534791" w:rsidRDefault="004258A1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216B208A" w14:textId="77777777" w:rsidR="00A11B19" w:rsidRPr="00534791" w:rsidRDefault="00A11B19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25CC06C8" w14:textId="54F5BA26" w:rsidR="004258A1" w:rsidRPr="00534791" w:rsidRDefault="004258A1" w:rsidP="00B966E1">
      <w:pPr>
        <w:pStyle w:val="Nadpis2"/>
        <w:jc w:val="left"/>
      </w:pPr>
      <w:r w:rsidRPr="00534791">
        <w:t xml:space="preserve">9. </w:t>
      </w:r>
      <w:r w:rsidRPr="00534791">
        <w:tab/>
        <w:t>DÁTUM PRV</w:t>
      </w:r>
      <w:r w:rsidR="005D39A1">
        <w:t>EJ REGISTRÁCIE/</w:t>
      </w:r>
      <w:r w:rsidRPr="00534791">
        <w:t xml:space="preserve">PREDĹŽENIA </w:t>
      </w:r>
      <w:r w:rsidR="005D39A1">
        <w:t>REGISTRÁCIE</w:t>
      </w:r>
    </w:p>
    <w:p w14:paraId="1F2CE66C" w14:textId="77777777" w:rsidR="00A11B19" w:rsidRPr="00534791" w:rsidRDefault="00A11B19" w:rsidP="005D39A1">
      <w:pPr>
        <w:rPr>
          <w:rFonts w:ascii="Times New Roman" w:hAnsi="Times New Roman" w:cs="Times New Roman"/>
          <w:sz w:val="22"/>
          <w:szCs w:val="22"/>
        </w:rPr>
      </w:pPr>
    </w:p>
    <w:p w14:paraId="07AEC5CC" w14:textId="1ABBC6F7" w:rsidR="00C57055" w:rsidRDefault="005D39A1" w:rsidP="005D39A1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prvej registrácie: </w:t>
      </w:r>
      <w:r w:rsidR="0052749E" w:rsidRPr="00B966E1">
        <w:rPr>
          <w:rFonts w:ascii="Times New Roman" w:hAnsi="Times New Roman" w:cs="Times New Roman"/>
          <w:bCs/>
          <w:sz w:val="22"/>
          <w:szCs w:val="22"/>
        </w:rPr>
        <w:t>31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52749E" w:rsidRPr="00B966E1">
        <w:rPr>
          <w:rFonts w:ascii="Times New Roman" w:hAnsi="Times New Roman" w:cs="Times New Roman"/>
          <w:bCs/>
          <w:sz w:val="22"/>
          <w:szCs w:val="22"/>
        </w:rPr>
        <w:t>01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52749E" w:rsidRPr="00B966E1">
        <w:rPr>
          <w:rFonts w:ascii="Times New Roman" w:hAnsi="Times New Roman" w:cs="Times New Roman"/>
          <w:bCs/>
          <w:sz w:val="22"/>
          <w:szCs w:val="22"/>
        </w:rPr>
        <w:t>2011</w:t>
      </w:r>
    </w:p>
    <w:p w14:paraId="722851D4" w14:textId="66E165FE" w:rsidR="005D39A1" w:rsidRDefault="005D39A1" w:rsidP="005D39A1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posledného predĺženia registrácie: </w:t>
      </w:r>
    </w:p>
    <w:p w14:paraId="637693FE" w14:textId="77777777" w:rsidR="005D39A1" w:rsidRPr="00B966E1" w:rsidRDefault="005D39A1" w:rsidP="005D39A1">
      <w:pPr>
        <w:rPr>
          <w:rFonts w:ascii="Times New Roman" w:hAnsi="Times New Roman" w:cs="Times New Roman"/>
          <w:bCs/>
          <w:sz w:val="22"/>
          <w:szCs w:val="22"/>
        </w:rPr>
      </w:pPr>
    </w:p>
    <w:p w14:paraId="7B616F84" w14:textId="77777777" w:rsidR="00A11B19" w:rsidRPr="00A77D60" w:rsidRDefault="00A11B19" w:rsidP="005D39A1">
      <w:pPr>
        <w:rPr>
          <w:rFonts w:ascii="Times New Roman" w:hAnsi="Times New Roman" w:cs="Times New Roman"/>
          <w:b/>
          <w:sz w:val="22"/>
          <w:szCs w:val="22"/>
        </w:rPr>
      </w:pPr>
    </w:p>
    <w:p w14:paraId="64000AF8" w14:textId="77777777" w:rsidR="004258A1" w:rsidRPr="00A77D60" w:rsidRDefault="004258A1" w:rsidP="00B966E1">
      <w:pPr>
        <w:pStyle w:val="Nadpis2"/>
        <w:jc w:val="left"/>
      </w:pPr>
      <w:r w:rsidRPr="00A77D60">
        <w:lastRenderedPageBreak/>
        <w:t xml:space="preserve">10. </w:t>
      </w:r>
      <w:r w:rsidRPr="00A77D60">
        <w:tab/>
        <w:t>DÁTUM REVÍZIE TEXTU</w:t>
      </w:r>
    </w:p>
    <w:p w14:paraId="70B1BB36" w14:textId="77777777" w:rsidR="00A11B19" w:rsidRDefault="00A11B19" w:rsidP="00B454E6">
      <w:pPr>
        <w:rPr>
          <w:rFonts w:ascii="Times New Roman" w:hAnsi="Times New Roman" w:cs="Times New Roman"/>
          <w:sz w:val="22"/>
          <w:szCs w:val="22"/>
        </w:rPr>
      </w:pPr>
    </w:p>
    <w:p w14:paraId="6BEDABCE" w14:textId="28F122F0" w:rsidR="005D39A1" w:rsidRDefault="005D39A1" w:rsidP="00B454E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Apríl 2017</w:t>
      </w:r>
    </w:p>
    <w:p w14:paraId="578F20FB" w14:textId="77777777" w:rsidR="005D39A1" w:rsidRPr="00534791" w:rsidRDefault="005D39A1" w:rsidP="00B454E6">
      <w:pPr>
        <w:rPr>
          <w:rFonts w:ascii="Times New Roman" w:hAnsi="Times New Roman" w:cs="Times New Roman"/>
          <w:sz w:val="22"/>
          <w:szCs w:val="22"/>
        </w:rPr>
      </w:pPr>
    </w:p>
    <w:p w14:paraId="73F3EAAB" w14:textId="77777777" w:rsidR="00A11B19" w:rsidRPr="00A77D60" w:rsidRDefault="00A11B19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6F7E9043" w14:textId="77777777" w:rsidR="004258A1" w:rsidRPr="00A77D60" w:rsidRDefault="004258A1" w:rsidP="00B454E6">
      <w:pPr>
        <w:pStyle w:val="Nadpis2"/>
      </w:pPr>
      <w:r w:rsidRPr="00A77D60">
        <w:t>11.</w:t>
      </w:r>
      <w:r w:rsidRPr="00A77D60">
        <w:tab/>
        <w:t>DOZIMETRIA</w:t>
      </w:r>
    </w:p>
    <w:p w14:paraId="65715B24" w14:textId="77777777" w:rsidR="00A11B19" w:rsidRPr="00A77D60" w:rsidRDefault="00A11B19" w:rsidP="00B454E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8C25735" w14:textId="77777777" w:rsidR="00487539" w:rsidRPr="00A77D60" w:rsidRDefault="00171545">
      <w:pPr>
        <w:rPr>
          <w:rFonts w:ascii="Times New Roman" w:hAnsi="Times New Roman" w:cs="Times New Roman"/>
          <w:sz w:val="22"/>
          <w:szCs w:val="22"/>
        </w:rPr>
      </w:pPr>
      <w:r w:rsidRPr="00A77D60">
        <w:rPr>
          <w:rFonts w:ascii="Times New Roman" w:hAnsi="Times New Roman" w:cs="Times New Roman"/>
          <w:sz w:val="22"/>
          <w:szCs w:val="22"/>
        </w:rPr>
        <w:t xml:space="preserve">Nižšie uvedené údaje sú prevzaté zo 4. dodatku  publikácie ICRP 53 a pri ich výpočte boli zohľadnené nasledujúce predpoklady: </w:t>
      </w:r>
    </w:p>
    <w:p w14:paraId="62987201" w14:textId="7E0A34E5" w:rsidR="009F217B" w:rsidRPr="00534791" w:rsidRDefault="009F217B" w:rsidP="00B454E6">
      <w:pPr>
        <w:autoSpaceDE w:val="0"/>
        <w:autoSpaceDN w:val="0"/>
        <w:adjustRightInd w:val="0"/>
        <w:ind w:right="-20"/>
        <w:rPr>
          <w:rFonts w:ascii="Times New Roman" w:hAnsi="Times New Roman" w:cs="Times New Roman"/>
          <w:color w:val="000000"/>
          <w:sz w:val="22"/>
          <w:szCs w:val="22"/>
        </w:rPr>
      </w:pPr>
      <w:r w:rsidRPr="0053479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 xml:space="preserve">F-fluorid je vysoko účinný PET-prehľadávač kostí používaný na detekciu kostrových abnormalít. Vychytávací mechanizmus fluoridu </w:t>
      </w:r>
      <w:r w:rsidRPr="0053479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 xml:space="preserve">F sa podobá mechanizmu </w:t>
      </w:r>
      <w:r w:rsidRPr="0053479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99m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 xml:space="preserve">Tc-metylén difosfonátu (MDP), </w:t>
      </w:r>
      <w:r w:rsidR="005D39A1">
        <w:rPr>
          <w:rFonts w:ascii="Times New Roman" w:hAnsi="Times New Roman" w:cs="Times New Roman"/>
          <w:color w:val="000000"/>
          <w:sz w:val="22"/>
          <w:szCs w:val="22"/>
        </w:rPr>
        <w:t>ale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 xml:space="preserve"> má lepšie farmakokinetické charakteristiky</w:t>
      </w:r>
      <w:r w:rsidRPr="00B966E1">
        <w:rPr>
          <w:rFonts w:ascii="Times New Roman" w:hAnsi="Times New Roman" w:cs="Times New Roman"/>
          <w:color w:val="000000"/>
          <w:sz w:val="22"/>
          <w:szCs w:val="22"/>
        </w:rPr>
        <w:t>, v</w:t>
      </w:r>
      <w:r w:rsidR="00B966E1" w:rsidRPr="00B966E1">
        <w:rPr>
          <w:rFonts w:ascii="Times New Roman" w:hAnsi="Times New Roman" w:cs="Times New Roman"/>
          <w:color w:val="000000"/>
          <w:sz w:val="22"/>
          <w:szCs w:val="22"/>
        </w:rPr>
        <w:t>rátane</w:t>
      </w:r>
      <w:r w:rsidRPr="00B966E1">
        <w:rPr>
          <w:rFonts w:ascii="Times New Roman" w:hAnsi="Times New Roman" w:cs="Times New Roman"/>
          <w:color w:val="000000"/>
          <w:sz w:val="22"/>
          <w:szCs w:val="22"/>
        </w:rPr>
        <w:t xml:space="preserve"> rýchlejšieho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 xml:space="preserve"> krvného klírensu a dvojnásobne vyššieho vychytávania v kosti. Vychytávanie fluoridu </w:t>
      </w:r>
      <w:r w:rsidRPr="0053479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18</w:t>
      </w:r>
      <w:r w:rsidRPr="00534791">
        <w:rPr>
          <w:rFonts w:ascii="Times New Roman" w:hAnsi="Times New Roman" w:cs="Times New Roman"/>
          <w:color w:val="000000"/>
          <w:sz w:val="22"/>
          <w:szCs w:val="22"/>
        </w:rPr>
        <w:t>F reflektuje krvný prietok a prestavbu kosti.</w:t>
      </w:r>
    </w:p>
    <w:p w14:paraId="0D5A83D5" w14:textId="77777777" w:rsidR="00171545" w:rsidRPr="00534791" w:rsidRDefault="00171545">
      <w:pPr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Mriekatabuky"/>
        <w:tblW w:w="9315" w:type="dxa"/>
        <w:tblLayout w:type="fixed"/>
        <w:tblLook w:val="04A0" w:firstRow="1" w:lastRow="0" w:firstColumn="1" w:lastColumn="0" w:noHBand="0" w:noVBand="1"/>
      </w:tblPr>
      <w:tblGrid>
        <w:gridCol w:w="2760"/>
        <w:gridCol w:w="1099"/>
        <w:gridCol w:w="1099"/>
        <w:gridCol w:w="1099"/>
        <w:gridCol w:w="1099"/>
        <w:gridCol w:w="2159"/>
      </w:tblGrid>
      <w:tr w:rsidR="00171545" w:rsidRPr="00534791" w14:paraId="1CB913F7" w14:textId="77777777" w:rsidTr="00B454E6">
        <w:tc>
          <w:tcPr>
            <w:tcW w:w="2760" w:type="dxa"/>
            <w:hideMark/>
          </w:tcPr>
          <w:p w14:paraId="64803255" w14:textId="77777777" w:rsidR="00171545" w:rsidRPr="00534791" w:rsidRDefault="00171545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b/>
                <w:sz w:val="22"/>
                <w:szCs w:val="22"/>
              </w:rPr>
              <w:t>Orgán</w:t>
            </w:r>
          </w:p>
        </w:tc>
        <w:tc>
          <w:tcPr>
            <w:tcW w:w="6555" w:type="dxa"/>
            <w:gridSpan w:val="5"/>
            <w:hideMark/>
          </w:tcPr>
          <w:p w14:paraId="2517CA50" w14:textId="3CB799CF" w:rsidR="00171545" w:rsidRPr="00A77D60" w:rsidRDefault="00171545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Absorbovaná dávka na podanú jednotku aktivity (mGy/MBq)</w:t>
            </w:r>
          </w:p>
        </w:tc>
      </w:tr>
      <w:tr w:rsidR="001A61D3" w:rsidRPr="00534791" w14:paraId="7074A97B" w14:textId="77777777" w:rsidTr="00CB07A4">
        <w:tc>
          <w:tcPr>
            <w:tcW w:w="2760" w:type="dxa"/>
          </w:tcPr>
          <w:p w14:paraId="069940A1" w14:textId="77777777" w:rsidR="001A61D3" w:rsidRPr="00A77D60" w:rsidRDefault="001A61D3" w:rsidP="008F2577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051074D" w14:textId="23AF7D14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Dospelí</w:t>
            </w:r>
          </w:p>
        </w:tc>
        <w:tc>
          <w:tcPr>
            <w:tcW w:w="1099" w:type="dxa"/>
          </w:tcPr>
          <w:p w14:paraId="7F91F241" w14:textId="1E5E2B54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15 rokov</w:t>
            </w:r>
          </w:p>
        </w:tc>
        <w:tc>
          <w:tcPr>
            <w:tcW w:w="1099" w:type="dxa"/>
          </w:tcPr>
          <w:p w14:paraId="1D07AD4A" w14:textId="1DB0FECC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10 rokov</w:t>
            </w:r>
          </w:p>
        </w:tc>
        <w:tc>
          <w:tcPr>
            <w:tcW w:w="1099" w:type="dxa"/>
          </w:tcPr>
          <w:p w14:paraId="4A8FA528" w14:textId="2A2BA450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5 rokov</w:t>
            </w:r>
          </w:p>
        </w:tc>
        <w:tc>
          <w:tcPr>
            <w:tcW w:w="2159" w:type="dxa"/>
          </w:tcPr>
          <w:p w14:paraId="03BFCEFE" w14:textId="674B607C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1 rok</w:t>
            </w:r>
          </w:p>
        </w:tc>
      </w:tr>
      <w:tr w:rsidR="001A61D3" w:rsidRPr="00534791" w14:paraId="190C3487" w14:textId="77777777" w:rsidTr="00B454E6">
        <w:tc>
          <w:tcPr>
            <w:tcW w:w="2760" w:type="dxa"/>
            <w:hideMark/>
          </w:tcPr>
          <w:p w14:paraId="132181DC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Nadobličky</w:t>
            </w:r>
          </w:p>
        </w:tc>
        <w:tc>
          <w:tcPr>
            <w:tcW w:w="1099" w:type="dxa"/>
            <w:hideMark/>
          </w:tcPr>
          <w:p w14:paraId="077F92BE" w14:textId="6A947BC1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6,7E-03</w:t>
            </w:r>
          </w:p>
        </w:tc>
        <w:tc>
          <w:tcPr>
            <w:tcW w:w="1099" w:type="dxa"/>
            <w:hideMark/>
          </w:tcPr>
          <w:p w14:paraId="442D30E1" w14:textId="5D5C87FC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8,8E-03</w:t>
            </w:r>
          </w:p>
        </w:tc>
        <w:tc>
          <w:tcPr>
            <w:tcW w:w="1099" w:type="dxa"/>
            <w:hideMark/>
          </w:tcPr>
          <w:p w14:paraId="14B907E0" w14:textId="41D9A577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1099" w:type="dxa"/>
            <w:hideMark/>
          </w:tcPr>
          <w:p w14:paraId="196FD194" w14:textId="55AD94AE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2,0E-02</w:t>
            </w:r>
          </w:p>
        </w:tc>
        <w:tc>
          <w:tcPr>
            <w:tcW w:w="2159" w:type="dxa"/>
            <w:hideMark/>
          </w:tcPr>
          <w:p w14:paraId="71C7CCE4" w14:textId="7F2DB7DD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3,9E-02</w:t>
            </w:r>
          </w:p>
        </w:tc>
      </w:tr>
      <w:tr w:rsidR="001A61D3" w:rsidRPr="00534791" w14:paraId="11BDA10F" w14:textId="77777777" w:rsidTr="00B454E6">
        <w:tc>
          <w:tcPr>
            <w:tcW w:w="2760" w:type="dxa"/>
            <w:hideMark/>
          </w:tcPr>
          <w:p w14:paraId="0447CF87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Močový mechúr</w:t>
            </w:r>
          </w:p>
        </w:tc>
        <w:tc>
          <w:tcPr>
            <w:tcW w:w="1099" w:type="dxa"/>
            <w:hideMark/>
          </w:tcPr>
          <w:p w14:paraId="51F10F29" w14:textId="17F3A5A1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1,5E-01</w:t>
            </w:r>
          </w:p>
        </w:tc>
        <w:tc>
          <w:tcPr>
            <w:tcW w:w="1099" w:type="dxa"/>
            <w:hideMark/>
          </w:tcPr>
          <w:p w14:paraId="27DF7CAD" w14:textId="7925CD34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1,9E-01</w:t>
            </w:r>
          </w:p>
        </w:tc>
        <w:tc>
          <w:tcPr>
            <w:tcW w:w="1099" w:type="dxa"/>
            <w:hideMark/>
          </w:tcPr>
          <w:p w14:paraId="43BEB816" w14:textId="3A3E3B2D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2,8E-01</w:t>
            </w:r>
          </w:p>
        </w:tc>
        <w:tc>
          <w:tcPr>
            <w:tcW w:w="1099" w:type="dxa"/>
            <w:hideMark/>
          </w:tcPr>
          <w:p w14:paraId="06A90986" w14:textId="00710DC9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3,9E-01</w:t>
            </w:r>
          </w:p>
        </w:tc>
        <w:tc>
          <w:tcPr>
            <w:tcW w:w="2159" w:type="dxa"/>
            <w:hideMark/>
          </w:tcPr>
          <w:p w14:paraId="1DDF11E1" w14:textId="0C2A82BB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5,4E-01</w:t>
            </w:r>
          </w:p>
        </w:tc>
      </w:tr>
      <w:tr w:rsidR="001A61D3" w:rsidRPr="00534791" w14:paraId="543057D8" w14:textId="77777777" w:rsidTr="00B454E6">
        <w:tc>
          <w:tcPr>
            <w:tcW w:w="2760" w:type="dxa"/>
            <w:hideMark/>
          </w:tcPr>
          <w:p w14:paraId="32D87865" w14:textId="55E607F1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Povrchy kostí</w:t>
            </w:r>
          </w:p>
        </w:tc>
        <w:tc>
          <w:tcPr>
            <w:tcW w:w="1099" w:type="dxa"/>
            <w:hideMark/>
          </w:tcPr>
          <w:p w14:paraId="358F7A28" w14:textId="74CB7CE1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9,4E-02</w:t>
            </w:r>
          </w:p>
        </w:tc>
        <w:tc>
          <w:tcPr>
            <w:tcW w:w="1099" w:type="dxa"/>
            <w:hideMark/>
          </w:tcPr>
          <w:p w14:paraId="5C4E2499" w14:textId="3D82C178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7,5E-02</w:t>
            </w:r>
          </w:p>
        </w:tc>
        <w:tc>
          <w:tcPr>
            <w:tcW w:w="1099" w:type="dxa"/>
            <w:hideMark/>
          </w:tcPr>
          <w:p w14:paraId="3CDEFA24" w14:textId="5C44EAA4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1,2E-01</w:t>
            </w:r>
          </w:p>
        </w:tc>
        <w:tc>
          <w:tcPr>
            <w:tcW w:w="1099" w:type="dxa"/>
            <w:hideMark/>
          </w:tcPr>
          <w:p w14:paraId="512F1AE2" w14:textId="5AEA6B72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2,1E-01</w:t>
            </w:r>
          </w:p>
        </w:tc>
        <w:tc>
          <w:tcPr>
            <w:tcW w:w="2159" w:type="dxa"/>
            <w:hideMark/>
          </w:tcPr>
          <w:p w14:paraId="172727D8" w14:textId="6E28D465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4,8E-01</w:t>
            </w:r>
          </w:p>
        </w:tc>
      </w:tr>
      <w:tr w:rsidR="001A61D3" w:rsidRPr="00534791" w14:paraId="22AF5AA7" w14:textId="77777777" w:rsidTr="00B454E6">
        <w:tc>
          <w:tcPr>
            <w:tcW w:w="2760" w:type="dxa"/>
            <w:hideMark/>
          </w:tcPr>
          <w:p w14:paraId="5DA6D328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Mozog</w:t>
            </w:r>
          </w:p>
        </w:tc>
        <w:tc>
          <w:tcPr>
            <w:tcW w:w="1099" w:type="dxa"/>
            <w:hideMark/>
          </w:tcPr>
          <w:p w14:paraId="63FF8FA1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6,6E-03</w:t>
            </w:r>
          </w:p>
        </w:tc>
        <w:tc>
          <w:tcPr>
            <w:tcW w:w="1099" w:type="dxa"/>
            <w:hideMark/>
          </w:tcPr>
          <w:p w14:paraId="5E35F51E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7,5E-03</w:t>
            </w:r>
          </w:p>
        </w:tc>
        <w:tc>
          <w:tcPr>
            <w:tcW w:w="1099" w:type="dxa"/>
            <w:hideMark/>
          </w:tcPr>
          <w:p w14:paraId="570973BD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  <w:hideMark/>
          </w:tcPr>
          <w:p w14:paraId="20A9EC75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1,6E-02</w:t>
            </w:r>
          </w:p>
        </w:tc>
        <w:tc>
          <w:tcPr>
            <w:tcW w:w="2159" w:type="dxa"/>
            <w:hideMark/>
          </w:tcPr>
          <w:p w14:paraId="31E11354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2,5E-02</w:t>
            </w:r>
          </w:p>
        </w:tc>
      </w:tr>
      <w:tr w:rsidR="001A61D3" w:rsidRPr="00534791" w14:paraId="7579257C" w14:textId="77777777" w:rsidTr="00B454E6">
        <w:tc>
          <w:tcPr>
            <w:tcW w:w="2760" w:type="dxa"/>
            <w:hideMark/>
          </w:tcPr>
          <w:p w14:paraId="3C358A0A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Prsník</w:t>
            </w:r>
          </w:p>
        </w:tc>
        <w:tc>
          <w:tcPr>
            <w:tcW w:w="1099" w:type="dxa"/>
            <w:hideMark/>
          </w:tcPr>
          <w:p w14:paraId="6CFD8583" w14:textId="2F691AAF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2,9E-03</w:t>
            </w:r>
          </w:p>
        </w:tc>
        <w:tc>
          <w:tcPr>
            <w:tcW w:w="1099" w:type="dxa"/>
            <w:hideMark/>
          </w:tcPr>
          <w:p w14:paraId="54F7D14C" w14:textId="6E3165F1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3,7E-03</w:t>
            </w:r>
          </w:p>
        </w:tc>
        <w:tc>
          <w:tcPr>
            <w:tcW w:w="1099" w:type="dxa"/>
            <w:hideMark/>
          </w:tcPr>
          <w:p w14:paraId="4225413A" w14:textId="7820BB7E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6,0E-03</w:t>
            </w:r>
          </w:p>
        </w:tc>
        <w:tc>
          <w:tcPr>
            <w:tcW w:w="1099" w:type="dxa"/>
            <w:hideMark/>
          </w:tcPr>
          <w:p w14:paraId="2A442823" w14:textId="1AC5D52D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9,5E-03</w:t>
            </w:r>
          </w:p>
        </w:tc>
        <w:tc>
          <w:tcPr>
            <w:tcW w:w="2159" w:type="dxa"/>
            <w:hideMark/>
          </w:tcPr>
          <w:p w14:paraId="13C486EE" w14:textId="328FD153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1,8E-02</w:t>
            </w:r>
          </w:p>
        </w:tc>
      </w:tr>
      <w:tr w:rsidR="001A61D3" w:rsidRPr="00534791" w14:paraId="0A7331EE" w14:textId="77777777" w:rsidTr="00B454E6">
        <w:tc>
          <w:tcPr>
            <w:tcW w:w="2760" w:type="dxa"/>
            <w:hideMark/>
          </w:tcPr>
          <w:p w14:paraId="439FFBC2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Žlčník</w:t>
            </w:r>
          </w:p>
        </w:tc>
        <w:tc>
          <w:tcPr>
            <w:tcW w:w="1099" w:type="dxa"/>
            <w:hideMark/>
          </w:tcPr>
          <w:p w14:paraId="6B8A291A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4,2E-03</w:t>
            </w:r>
          </w:p>
        </w:tc>
        <w:tc>
          <w:tcPr>
            <w:tcW w:w="1099" w:type="dxa"/>
            <w:hideMark/>
          </w:tcPr>
          <w:p w14:paraId="2E57AC4E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5,1E-03</w:t>
            </w:r>
          </w:p>
        </w:tc>
        <w:tc>
          <w:tcPr>
            <w:tcW w:w="1099" w:type="dxa"/>
            <w:hideMark/>
          </w:tcPr>
          <w:p w14:paraId="7479E880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8,2E-03</w:t>
            </w:r>
          </w:p>
        </w:tc>
        <w:tc>
          <w:tcPr>
            <w:tcW w:w="1099" w:type="dxa"/>
            <w:hideMark/>
          </w:tcPr>
          <w:p w14:paraId="03D9713D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1,2E-02</w:t>
            </w:r>
          </w:p>
        </w:tc>
        <w:tc>
          <w:tcPr>
            <w:tcW w:w="2159" w:type="dxa"/>
            <w:hideMark/>
          </w:tcPr>
          <w:p w14:paraId="47D9D2A7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2,3E-02</w:t>
            </w:r>
          </w:p>
        </w:tc>
      </w:tr>
      <w:tr w:rsidR="001A61D3" w:rsidRPr="00534791" w14:paraId="445F887B" w14:textId="77777777" w:rsidTr="00B454E6">
        <w:tc>
          <w:tcPr>
            <w:tcW w:w="2760" w:type="dxa"/>
            <w:hideMark/>
          </w:tcPr>
          <w:p w14:paraId="004F2219" w14:textId="525E3CE9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Gastrointestinálny trakt</w:t>
            </w:r>
          </w:p>
        </w:tc>
        <w:tc>
          <w:tcPr>
            <w:tcW w:w="1099" w:type="dxa"/>
          </w:tcPr>
          <w:p w14:paraId="76DBDA1E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B4BA436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FE7A8D2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446E36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D44D301" w14:textId="77777777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1D3" w:rsidRPr="00534791" w14:paraId="11179816" w14:textId="77777777" w:rsidTr="00CB07A4">
        <w:tc>
          <w:tcPr>
            <w:tcW w:w="2760" w:type="dxa"/>
          </w:tcPr>
          <w:p w14:paraId="37C67B75" w14:textId="5848AA08" w:rsidR="001A61D3" w:rsidRPr="00A77D60" w:rsidRDefault="001A61D3" w:rsidP="008F2577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Žalúdok</w:t>
            </w:r>
          </w:p>
        </w:tc>
        <w:tc>
          <w:tcPr>
            <w:tcW w:w="1099" w:type="dxa"/>
          </w:tcPr>
          <w:p w14:paraId="547B0A73" w14:textId="53625C3A" w:rsidR="001A61D3" w:rsidRPr="0053479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3,7E-03</w:t>
            </w:r>
          </w:p>
        </w:tc>
        <w:tc>
          <w:tcPr>
            <w:tcW w:w="1099" w:type="dxa"/>
          </w:tcPr>
          <w:p w14:paraId="0F4CBA8B" w14:textId="7F790F1C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4,6E-03</w:t>
            </w:r>
          </w:p>
        </w:tc>
        <w:tc>
          <w:tcPr>
            <w:tcW w:w="1099" w:type="dxa"/>
          </w:tcPr>
          <w:p w14:paraId="0D9D1508" w14:textId="6245908B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7,9E-03</w:t>
            </w:r>
          </w:p>
        </w:tc>
        <w:tc>
          <w:tcPr>
            <w:tcW w:w="1099" w:type="dxa"/>
          </w:tcPr>
          <w:p w14:paraId="5E3C7FAA" w14:textId="21C70994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2159" w:type="dxa"/>
          </w:tcPr>
          <w:p w14:paraId="51FA7998" w14:textId="6BC72783" w:rsidR="001A61D3" w:rsidRPr="00534791" w:rsidRDefault="001A61D3" w:rsidP="00CB07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2,0E-02</w:t>
            </w:r>
          </w:p>
        </w:tc>
      </w:tr>
      <w:tr w:rsidR="001A61D3" w:rsidRPr="00534791" w14:paraId="012B0617" w14:textId="77777777" w:rsidTr="00CB07A4">
        <w:tc>
          <w:tcPr>
            <w:tcW w:w="2760" w:type="dxa"/>
          </w:tcPr>
          <w:p w14:paraId="2B675444" w14:textId="6A5B87DC" w:rsidR="001A61D3" w:rsidRPr="00534791" w:rsidRDefault="001A61D3" w:rsidP="008F2577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Tenké črevo</w:t>
            </w:r>
          </w:p>
        </w:tc>
        <w:tc>
          <w:tcPr>
            <w:tcW w:w="1099" w:type="dxa"/>
          </w:tcPr>
          <w:p w14:paraId="36187E35" w14:textId="5243C7FF" w:rsidR="001A61D3" w:rsidRPr="0053479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5,8E-03</w:t>
            </w:r>
          </w:p>
        </w:tc>
        <w:tc>
          <w:tcPr>
            <w:tcW w:w="1099" w:type="dxa"/>
          </w:tcPr>
          <w:p w14:paraId="64AE985C" w14:textId="0D5C61C6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7,5E-03</w:t>
            </w:r>
          </w:p>
        </w:tc>
        <w:tc>
          <w:tcPr>
            <w:tcW w:w="1099" w:type="dxa"/>
          </w:tcPr>
          <w:p w14:paraId="1917EAD9" w14:textId="2C1F9E21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</w:tcPr>
          <w:p w14:paraId="4599501D" w14:textId="5402307A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1,7E-02</w:t>
            </w:r>
          </w:p>
        </w:tc>
        <w:tc>
          <w:tcPr>
            <w:tcW w:w="2159" w:type="dxa"/>
          </w:tcPr>
          <w:p w14:paraId="25A334BD" w14:textId="730AA603" w:rsidR="001A61D3" w:rsidRPr="00534791" w:rsidRDefault="001A61D3" w:rsidP="00CB07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3,0E-02</w:t>
            </w:r>
          </w:p>
        </w:tc>
      </w:tr>
      <w:tr w:rsidR="001A61D3" w:rsidRPr="00534791" w14:paraId="43A91551" w14:textId="77777777" w:rsidTr="00CB07A4">
        <w:tc>
          <w:tcPr>
            <w:tcW w:w="2760" w:type="dxa"/>
          </w:tcPr>
          <w:p w14:paraId="35B03B53" w14:textId="5477EA19" w:rsidR="001A61D3" w:rsidRPr="00534791" w:rsidRDefault="001A61D3" w:rsidP="008F2577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Hrubé črevo</w:t>
            </w:r>
          </w:p>
        </w:tc>
        <w:tc>
          <w:tcPr>
            <w:tcW w:w="1099" w:type="dxa"/>
          </w:tcPr>
          <w:p w14:paraId="44E0A270" w14:textId="7A8FBE4B" w:rsidR="001A61D3" w:rsidRPr="0053479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6,8E-03</w:t>
            </w:r>
          </w:p>
        </w:tc>
        <w:tc>
          <w:tcPr>
            <w:tcW w:w="1099" w:type="dxa"/>
          </w:tcPr>
          <w:p w14:paraId="78C480DF" w14:textId="7784312A" w:rsidR="001A61D3" w:rsidRPr="00B966E1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8.4E-03</w:t>
            </w:r>
          </w:p>
        </w:tc>
        <w:tc>
          <w:tcPr>
            <w:tcW w:w="1099" w:type="dxa"/>
          </w:tcPr>
          <w:p w14:paraId="2590D137" w14:textId="255F0415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1099" w:type="dxa"/>
          </w:tcPr>
          <w:p w14:paraId="3FB6FB87" w14:textId="492C5BCA" w:rsidR="001A61D3" w:rsidRPr="00A77D60" w:rsidRDefault="001A61D3" w:rsidP="008F257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1,9E-02</w:t>
            </w:r>
          </w:p>
        </w:tc>
        <w:tc>
          <w:tcPr>
            <w:tcW w:w="2159" w:type="dxa"/>
          </w:tcPr>
          <w:p w14:paraId="69DC4DFF" w14:textId="45CA3D22" w:rsidR="001A61D3" w:rsidRPr="00534791" w:rsidRDefault="001A61D3" w:rsidP="00CB07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3,0E-02</w:t>
            </w:r>
          </w:p>
        </w:tc>
      </w:tr>
      <w:tr w:rsidR="001A61D3" w:rsidRPr="00534791" w14:paraId="51E4302D" w14:textId="48E7EFC9" w:rsidTr="00275BE2">
        <w:tc>
          <w:tcPr>
            <w:tcW w:w="2760" w:type="dxa"/>
            <w:hideMark/>
          </w:tcPr>
          <w:p w14:paraId="1678B8C0" w14:textId="77777777" w:rsidR="001A61D3" w:rsidRPr="00534791" w:rsidRDefault="001A61D3" w:rsidP="00B454E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- Horná časť hrubého čreva</w:t>
            </w:r>
          </w:p>
        </w:tc>
        <w:tc>
          <w:tcPr>
            <w:tcW w:w="1099" w:type="dxa"/>
            <w:hideMark/>
          </w:tcPr>
          <w:p w14:paraId="30546CE0" w14:textId="045395BC" w:rsidR="001A61D3" w:rsidRPr="0053479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5,1E-03</w:t>
            </w:r>
          </w:p>
        </w:tc>
        <w:tc>
          <w:tcPr>
            <w:tcW w:w="1099" w:type="dxa"/>
            <w:hideMark/>
          </w:tcPr>
          <w:p w14:paraId="31E1A006" w14:textId="15A3EDAB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6,3E-03</w:t>
            </w:r>
          </w:p>
        </w:tc>
        <w:tc>
          <w:tcPr>
            <w:tcW w:w="1099" w:type="dxa"/>
            <w:hideMark/>
          </w:tcPr>
          <w:p w14:paraId="37C4C712" w14:textId="4CE17E94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1,0E-02</w:t>
            </w:r>
          </w:p>
        </w:tc>
        <w:tc>
          <w:tcPr>
            <w:tcW w:w="1099" w:type="dxa"/>
            <w:hideMark/>
          </w:tcPr>
          <w:p w14:paraId="1315BC8F" w14:textId="01C1DC38" w:rsidR="001A61D3" w:rsidRPr="00A77D60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1,5E-02</w:t>
            </w:r>
          </w:p>
        </w:tc>
        <w:tc>
          <w:tcPr>
            <w:tcW w:w="2159" w:type="dxa"/>
            <w:hideMark/>
          </w:tcPr>
          <w:p w14:paraId="40572274" w14:textId="221CB07B" w:rsidR="001A61D3" w:rsidRPr="00B966E1" w:rsidRDefault="001A61D3" w:rsidP="00B454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2,6E-02</w:t>
            </w:r>
          </w:p>
        </w:tc>
      </w:tr>
      <w:tr w:rsidR="001A61D3" w:rsidRPr="00534791" w14:paraId="353524D8" w14:textId="77777777" w:rsidTr="00275BE2">
        <w:tc>
          <w:tcPr>
            <w:tcW w:w="2760" w:type="dxa"/>
            <w:hideMark/>
          </w:tcPr>
          <w:p w14:paraId="3A190FE8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- Dolná časť hrubého čreva</w:t>
            </w:r>
          </w:p>
        </w:tc>
        <w:tc>
          <w:tcPr>
            <w:tcW w:w="1099" w:type="dxa"/>
            <w:hideMark/>
          </w:tcPr>
          <w:p w14:paraId="6E83FDC9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9,1E-03</w:t>
            </w:r>
          </w:p>
        </w:tc>
        <w:tc>
          <w:tcPr>
            <w:tcW w:w="1099" w:type="dxa"/>
            <w:hideMark/>
          </w:tcPr>
          <w:p w14:paraId="58AC054C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  <w:hideMark/>
          </w:tcPr>
          <w:p w14:paraId="5A54296C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1,7E-02</w:t>
            </w:r>
          </w:p>
        </w:tc>
        <w:tc>
          <w:tcPr>
            <w:tcW w:w="1099" w:type="dxa"/>
            <w:hideMark/>
          </w:tcPr>
          <w:p w14:paraId="69C5F4E4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2,5E-02</w:t>
            </w:r>
          </w:p>
        </w:tc>
        <w:tc>
          <w:tcPr>
            <w:tcW w:w="2159" w:type="dxa"/>
            <w:hideMark/>
          </w:tcPr>
          <w:p w14:paraId="6A50B4CE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3,7E-02</w:t>
            </w:r>
          </w:p>
        </w:tc>
      </w:tr>
      <w:tr w:rsidR="001A61D3" w:rsidRPr="00534791" w14:paraId="1C518B38" w14:textId="77777777" w:rsidTr="00275BE2">
        <w:tc>
          <w:tcPr>
            <w:tcW w:w="2760" w:type="dxa"/>
            <w:hideMark/>
          </w:tcPr>
          <w:p w14:paraId="52D33C6C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Srdce</w:t>
            </w:r>
          </w:p>
        </w:tc>
        <w:tc>
          <w:tcPr>
            <w:tcW w:w="1099" w:type="dxa"/>
            <w:hideMark/>
          </w:tcPr>
          <w:p w14:paraId="0CC1DFCB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4,2E-03</w:t>
            </w:r>
          </w:p>
        </w:tc>
        <w:tc>
          <w:tcPr>
            <w:tcW w:w="1099" w:type="dxa"/>
            <w:hideMark/>
          </w:tcPr>
          <w:p w14:paraId="04B31916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5,1E-03</w:t>
            </w:r>
          </w:p>
        </w:tc>
        <w:tc>
          <w:tcPr>
            <w:tcW w:w="1099" w:type="dxa"/>
            <w:hideMark/>
          </w:tcPr>
          <w:p w14:paraId="65D60628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7,9E-03</w:t>
            </w:r>
          </w:p>
        </w:tc>
        <w:tc>
          <w:tcPr>
            <w:tcW w:w="1099" w:type="dxa"/>
            <w:hideMark/>
          </w:tcPr>
          <w:p w14:paraId="5EB709F7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1,2E-02</w:t>
            </w:r>
          </w:p>
        </w:tc>
        <w:tc>
          <w:tcPr>
            <w:tcW w:w="2159" w:type="dxa"/>
            <w:hideMark/>
          </w:tcPr>
          <w:p w14:paraId="2F0635FA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2,2E-02</w:t>
            </w:r>
          </w:p>
        </w:tc>
      </w:tr>
      <w:tr w:rsidR="001A61D3" w:rsidRPr="00534791" w14:paraId="69FDDB08" w14:textId="77777777" w:rsidTr="00275BE2">
        <w:tc>
          <w:tcPr>
            <w:tcW w:w="2760" w:type="dxa"/>
            <w:hideMark/>
          </w:tcPr>
          <w:p w14:paraId="7F569D2F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Obličky</w:t>
            </w:r>
          </w:p>
        </w:tc>
        <w:tc>
          <w:tcPr>
            <w:tcW w:w="1099" w:type="dxa"/>
            <w:hideMark/>
          </w:tcPr>
          <w:p w14:paraId="38D91CF8" w14:textId="41AB3381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1099" w:type="dxa"/>
            <w:hideMark/>
          </w:tcPr>
          <w:p w14:paraId="7C392A89" w14:textId="5FE3A704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1,6E-02</w:t>
            </w:r>
          </w:p>
        </w:tc>
        <w:tc>
          <w:tcPr>
            <w:tcW w:w="1099" w:type="dxa"/>
            <w:hideMark/>
          </w:tcPr>
          <w:p w14:paraId="3821BECF" w14:textId="3B8B2569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2,4E-02</w:t>
            </w:r>
          </w:p>
        </w:tc>
        <w:tc>
          <w:tcPr>
            <w:tcW w:w="1099" w:type="dxa"/>
            <w:hideMark/>
          </w:tcPr>
          <w:p w14:paraId="01A1DA8D" w14:textId="642708A1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3,6E-02</w:t>
            </w:r>
          </w:p>
        </w:tc>
        <w:tc>
          <w:tcPr>
            <w:tcW w:w="2159" w:type="dxa"/>
            <w:hideMark/>
          </w:tcPr>
          <w:p w14:paraId="394A1469" w14:textId="48830060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6,7E-02</w:t>
            </w:r>
          </w:p>
        </w:tc>
      </w:tr>
      <w:tr w:rsidR="001A61D3" w:rsidRPr="00534791" w14:paraId="664CFF94" w14:textId="77777777" w:rsidTr="00275BE2">
        <w:tc>
          <w:tcPr>
            <w:tcW w:w="2760" w:type="dxa"/>
            <w:hideMark/>
          </w:tcPr>
          <w:p w14:paraId="4AC8B3DF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Pečeň</w:t>
            </w:r>
          </w:p>
        </w:tc>
        <w:tc>
          <w:tcPr>
            <w:tcW w:w="1099" w:type="dxa"/>
            <w:hideMark/>
          </w:tcPr>
          <w:p w14:paraId="10A9566B" w14:textId="64B22E53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4,0E-03</w:t>
            </w:r>
          </w:p>
        </w:tc>
        <w:tc>
          <w:tcPr>
            <w:tcW w:w="1099" w:type="dxa"/>
            <w:hideMark/>
          </w:tcPr>
          <w:p w14:paraId="4B6509A2" w14:textId="22A822FC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5,2E-03</w:t>
            </w:r>
          </w:p>
        </w:tc>
        <w:tc>
          <w:tcPr>
            <w:tcW w:w="1099" w:type="dxa"/>
            <w:hideMark/>
          </w:tcPr>
          <w:p w14:paraId="7E2F5F9E" w14:textId="2752E88D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7,8E-03</w:t>
            </w:r>
          </w:p>
        </w:tc>
        <w:tc>
          <w:tcPr>
            <w:tcW w:w="1099" w:type="dxa"/>
            <w:hideMark/>
          </w:tcPr>
          <w:p w14:paraId="7A743372" w14:textId="32B03C3F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1,2E-02</w:t>
            </w:r>
          </w:p>
        </w:tc>
        <w:tc>
          <w:tcPr>
            <w:tcW w:w="2159" w:type="dxa"/>
            <w:hideMark/>
          </w:tcPr>
          <w:p w14:paraId="56E690C7" w14:textId="2E03FA41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2,3E-02</w:t>
            </w:r>
          </w:p>
        </w:tc>
      </w:tr>
      <w:tr w:rsidR="001A61D3" w:rsidRPr="00534791" w14:paraId="6E26D68C" w14:textId="77777777" w:rsidTr="00275BE2">
        <w:tc>
          <w:tcPr>
            <w:tcW w:w="2760" w:type="dxa"/>
            <w:hideMark/>
          </w:tcPr>
          <w:p w14:paraId="32F5B013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Pľúca</w:t>
            </w:r>
          </w:p>
        </w:tc>
        <w:tc>
          <w:tcPr>
            <w:tcW w:w="1099" w:type="dxa"/>
            <w:hideMark/>
          </w:tcPr>
          <w:p w14:paraId="1670A48B" w14:textId="69A46062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4,5E-03</w:t>
            </w:r>
          </w:p>
        </w:tc>
        <w:tc>
          <w:tcPr>
            <w:tcW w:w="1099" w:type="dxa"/>
            <w:hideMark/>
          </w:tcPr>
          <w:p w14:paraId="7A652197" w14:textId="62128876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5,8E-03</w:t>
            </w:r>
          </w:p>
        </w:tc>
        <w:tc>
          <w:tcPr>
            <w:tcW w:w="1099" w:type="dxa"/>
            <w:hideMark/>
          </w:tcPr>
          <w:p w14:paraId="14C6876F" w14:textId="7C09F02E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8,6E-03</w:t>
            </w:r>
          </w:p>
        </w:tc>
        <w:tc>
          <w:tcPr>
            <w:tcW w:w="1099" w:type="dxa"/>
            <w:hideMark/>
          </w:tcPr>
          <w:p w14:paraId="1F465E41" w14:textId="24500255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2159" w:type="dxa"/>
            <w:hideMark/>
          </w:tcPr>
          <w:p w14:paraId="699AAE8A" w14:textId="2C7646D4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2,6E-02</w:t>
            </w:r>
          </w:p>
        </w:tc>
      </w:tr>
      <w:tr w:rsidR="001A61D3" w:rsidRPr="00534791" w14:paraId="721FAE7F" w14:textId="77777777" w:rsidTr="00275BE2">
        <w:tc>
          <w:tcPr>
            <w:tcW w:w="2760" w:type="dxa"/>
            <w:hideMark/>
          </w:tcPr>
          <w:p w14:paraId="6301A0B5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Svaly</w:t>
            </w:r>
          </w:p>
        </w:tc>
        <w:tc>
          <w:tcPr>
            <w:tcW w:w="1099" w:type="dxa"/>
            <w:hideMark/>
          </w:tcPr>
          <w:p w14:paraId="507F36AA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5,8E-03</w:t>
            </w:r>
          </w:p>
        </w:tc>
        <w:tc>
          <w:tcPr>
            <w:tcW w:w="1099" w:type="dxa"/>
            <w:hideMark/>
          </w:tcPr>
          <w:p w14:paraId="3B60FBB6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7,1E-03</w:t>
            </w:r>
          </w:p>
        </w:tc>
        <w:tc>
          <w:tcPr>
            <w:tcW w:w="1099" w:type="dxa"/>
            <w:hideMark/>
          </w:tcPr>
          <w:p w14:paraId="12A55ACC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  <w:hideMark/>
          </w:tcPr>
          <w:p w14:paraId="6C990A3D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1,6E-02</w:t>
            </w:r>
          </w:p>
        </w:tc>
        <w:tc>
          <w:tcPr>
            <w:tcW w:w="2159" w:type="dxa"/>
            <w:hideMark/>
          </w:tcPr>
          <w:p w14:paraId="462AC6F6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2,8E-02</w:t>
            </w:r>
          </w:p>
        </w:tc>
      </w:tr>
      <w:tr w:rsidR="001A61D3" w:rsidRPr="00534791" w14:paraId="2F0F7947" w14:textId="77777777" w:rsidTr="00275BE2">
        <w:tc>
          <w:tcPr>
            <w:tcW w:w="2760" w:type="dxa"/>
            <w:hideMark/>
          </w:tcPr>
          <w:p w14:paraId="447623E4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Pažerák</w:t>
            </w:r>
          </w:p>
        </w:tc>
        <w:tc>
          <w:tcPr>
            <w:tcW w:w="1099" w:type="dxa"/>
            <w:hideMark/>
          </w:tcPr>
          <w:p w14:paraId="034BAF15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3,7E-03</w:t>
            </w:r>
          </w:p>
        </w:tc>
        <w:tc>
          <w:tcPr>
            <w:tcW w:w="1099" w:type="dxa"/>
            <w:hideMark/>
          </w:tcPr>
          <w:p w14:paraId="09887686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4,8E-03</w:t>
            </w:r>
          </w:p>
        </w:tc>
        <w:tc>
          <w:tcPr>
            <w:tcW w:w="1099" w:type="dxa"/>
            <w:hideMark/>
          </w:tcPr>
          <w:p w14:paraId="5337A781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7,2E-03</w:t>
            </w:r>
          </w:p>
        </w:tc>
        <w:tc>
          <w:tcPr>
            <w:tcW w:w="1099" w:type="dxa"/>
            <w:hideMark/>
          </w:tcPr>
          <w:p w14:paraId="1921F2DF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2159" w:type="dxa"/>
            <w:hideMark/>
          </w:tcPr>
          <w:p w14:paraId="466F1899" w14:textId="77777777" w:rsidR="001A61D3" w:rsidRPr="0053479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2,2E-02</w:t>
            </w:r>
          </w:p>
        </w:tc>
      </w:tr>
      <w:tr w:rsidR="001A61D3" w:rsidRPr="00534791" w14:paraId="7C2648CF" w14:textId="77777777" w:rsidTr="00275BE2">
        <w:tc>
          <w:tcPr>
            <w:tcW w:w="2760" w:type="dxa"/>
            <w:hideMark/>
          </w:tcPr>
          <w:p w14:paraId="7FAC6E82" w14:textId="77777777" w:rsidR="001A61D3" w:rsidRPr="00534791" w:rsidRDefault="001A61D3" w:rsidP="00275BE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Vaječníky</w:t>
            </w:r>
          </w:p>
        </w:tc>
        <w:tc>
          <w:tcPr>
            <w:tcW w:w="1099" w:type="dxa"/>
            <w:hideMark/>
          </w:tcPr>
          <w:p w14:paraId="151869A4" w14:textId="50880596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8,3E-03</w:t>
            </w:r>
          </w:p>
        </w:tc>
        <w:tc>
          <w:tcPr>
            <w:tcW w:w="1099" w:type="dxa"/>
            <w:hideMark/>
          </w:tcPr>
          <w:p w14:paraId="64996828" w14:textId="0D4B2BC7" w:rsidR="001A61D3" w:rsidRPr="00A77D60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  <w:hideMark/>
          </w:tcPr>
          <w:p w14:paraId="6C3DAD7B" w14:textId="17DB346E" w:rsidR="001A61D3" w:rsidRPr="00B966E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1,5E-02</w:t>
            </w:r>
          </w:p>
        </w:tc>
        <w:tc>
          <w:tcPr>
            <w:tcW w:w="1099" w:type="dxa"/>
            <w:hideMark/>
          </w:tcPr>
          <w:p w14:paraId="1535378E" w14:textId="4F773035" w:rsidR="001A61D3" w:rsidRPr="00B966E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2,2E-02</w:t>
            </w:r>
          </w:p>
        </w:tc>
        <w:tc>
          <w:tcPr>
            <w:tcW w:w="2159" w:type="dxa"/>
            <w:hideMark/>
          </w:tcPr>
          <w:p w14:paraId="35A0FD68" w14:textId="2A814FB3" w:rsidR="001A61D3" w:rsidRPr="00B966E1" w:rsidRDefault="001A61D3" w:rsidP="00275BE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3,6E-02</w:t>
            </w:r>
          </w:p>
        </w:tc>
      </w:tr>
      <w:tr w:rsidR="001A61D3" w:rsidRPr="00534791" w14:paraId="044849E1" w14:textId="77777777" w:rsidTr="00275BE2">
        <w:tc>
          <w:tcPr>
            <w:tcW w:w="2760" w:type="dxa"/>
            <w:hideMark/>
          </w:tcPr>
          <w:p w14:paraId="63C418B8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Pankreas</w:t>
            </w:r>
          </w:p>
        </w:tc>
        <w:tc>
          <w:tcPr>
            <w:tcW w:w="1099" w:type="dxa"/>
            <w:hideMark/>
          </w:tcPr>
          <w:p w14:paraId="74F53DDB" w14:textId="3DDB55D4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5,0E-03</w:t>
            </w:r>
          </w:p>
        </w:tc>
        <w:tc>
          <w:tcPr>
            <w:tcW w:w="1099" w:type="dxa"/>
            <w:hideMark/>
          </w:tcPr>
          <w:p w14:paraId="7F52F3CA" w14:textId="22786AA7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6,1E-03</w:t>
            </w:r>
          </w:p>
        </w:tc>
        <w:tc>
          <w:tcPr>
            <w:tcW w:w="1099" w:type="dxa"/>
            <w:hideMark/>
          </w:tcPr>
          <w:p w14:paraId="2C5F88B1" w14:textId="00A04AD5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9,2E-03</w:t>
            </w:r>
          </w:p>
        </w:tc>
        <w:tc>
          <w:tcPr>
            <w:tcW w:w="1099" w:type="dxa"/>
            <w:hideMark/>
          </w:tcPr>
          <w:p w14:paraId="680BAEF6" w14:textId="20638FC5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1,4E-02</w:t>
            </w:r>
          </w:p>
        </w:tc>
        <w:tc>
          <w:tcPr>
            <w:tcW w:w="2159" w:type="dxa"/>
            <w:hideMark/>
          </w:tcPr>
          <w:p w14:paraId="23440A35" w14:textId="268F297F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2,7E-02</w:t>
            </w:r>
          </w:p>
        </w:tc>
      </w:tr>
      <w:tr w:rsidR="001A61D3" w:rsidRPr="00534791" w14:paraId="110A7869" w14:textId="77777777" w:rsidTr="00275BE2">
        <w:tc>
          <w:tcPr>
            <w:tcW w:w="2760" w:type="dxa"/>
            <w:hideMark/>
          </w:tcPr>
          <w:p w14:paraId="6447002C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Červená kostná dreň</w:t>
            </w:r>
          </w:p>
        </w:tc>
        <w:tc>
          <w:tcPr>
            <w:tcW w:w="1099" w:type="dxa"/>
            <w:hideMark/>
          </w:tcPr>
          <w:p w14:paraId="12DE841C" w14:textId="5D37C391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3,7E-02</w:t>
            </w:r>
          </w:p>
        </w:tc>
        <w:tc>
          <w:tcPr>
            <w:tcW w:w="1099" w:type="dxa"/>
            <w:hideMark/>
          </w:tcPr>
          <w:p w14:paraId="7D7EDDC4" w14:textId="3F566C60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3,9E-02</w:t>
            </w:r>
          </w:p>
        </w:tc>
        <w:tc>
          <w:tcPr>
            <w:tcW w:w="1099" w:type="dxa"/>
            <w:hideMark/>
          </w:tcPr>
          <w:p w14:paraId="070E9FDE" w14:textId="7188872C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7,6E-02</w:t>
            </w:r>
          </w:p>
        </w:tc>
        <w:tc>
          <w:tcPr>
            <w:tcW w:w="1099" w:type="dxa"/>
            <w:hideMark/>
          </w:tcPr>
          <w:p w14:paraId="5717BE45" w14:textId="1DB69D32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1,8E-01</w:t>
            </w:r>
          </w:p>
        </w:tc>
        <w:tc>
          <w:tcPr>
            <w:tcW w:w="2159" w:type="dxa"/>
            <w:hideMark/>
          </w:tcPr>
          <w:p w14:paraId="44EB46DD" w14:textId="01B9448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4,4E-01</w:t>
            </w:r>
          </w:p>
        </w:tc>
      </w:tr>
      <w:tr w:rsidR="001A61D3" w:rsidRPr="00534791" w14:paraId="303F3F45" w14:textId="77777777" w:rsidTr="00275BE2">
        <w:tc>
          <w:tcPr>
            <w:tcW w:w="2760" w:type="dxa"/>
            <w:hideMark/>
          </w:tcPr>
          <w:p w14:paraId="59BA0BBD" w14:textId="77777777" w:rsidR="001A61D3" w:rsidRPr="0053479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Koža</w:t>
            </w:r>
          </w:p>
        </w:tc>
        <w:tc>
          <w:tcPr>
            <w:tcW w:w="1099" w:type="dxa"/>
            <w:hideMark/>
          </w:tcPr>
          <w:p w14:paraId="51614952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4,1E-03</w:t>
            </w:r>
          </w:p>
        </w:tc>
        <w:tc>
          <w:tcPr>
            <w:tcW w:w="1099" w:type="dxa"/>
            <w:hideMark/>
          </w:tcPr>
          <w:p w14:paraId="1C46ABB4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4,9E-03</w:t>
            </w:r>
          </w:p>
        </w:tc>
        <w:tc>
          <w:tcPr>
            <w:tcW w:w="1099" w:type="dxa"/>
            <w:hideMark/>
          </w:tcPr>
          <w:p w14:paraId="5E35D4DB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7,7E-03</w:t>
            </w:r>
          </w:p>
        </w:tc>
        <w:tc>
          <w:tcPr>
            <w:tcW w:w="1099" w:type="dxa"/>
            <w:hideMark/>
          </w:tcPr>
          <w:p w14:paraId="5233C5CD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1,2E-02</w:t>
            </w:r>
          </w:p>
        </w:tc>
        <w:tc>
          <w:tcPr>
            <w:tcW w:w="2159" w:type="dxa"/>
            <w:hideMark/>
          </w:tcPr>
          <w:p w14:paraId="2738270F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2,2E-02</w:t>
            </w:r>
          </w:p>
        </w:tc>
      </w:tr>
      <w:tr w:rsidR="001A61D3" w:rsidRPr="00534791" w14:paraId="3265ABD5" w14:textId="77777777" w:rsidTr="00275BE2">
        <w:tc>
          <w:tcPr>
            <w:tcW w:w="2760" w:type="dxa"/>
            <w:hideMark/>
          </w:tcPr>
          <w:p w14:paraId="056B0539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Slezina</w:t>
            </w:r>
          </w:p>
        </w:tc>
        <w:tc>
          <w:tcPr>
            <w:tcW w:w="1099" w:type="dxa"/>
            <w:hideMark/>
          </w:tcPr>
          <w:p w14:paraId="75B4164C" w14:textId="3B86E62E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4,2E-03</w:t>
            </w:r>
          </w:p>
        </w:tc>
        <w:tc>
          <w:tcPr>
            <w:tcW w:w="1099" w:type="dxa"/>
            <w:hideMark/>
          </w:tcPr>
          <w:p w14:paraId="18C86376" w14:textId="41394536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5,5E-03</w:t>
            </w:r>
          </w:p>
        </w:tc>
        <w:tc>
          <w:tcPr>
            <w:tcW w:w="1099" w:type="dxa"/>
            <w:hideMark/>
          </w:tcPr>
          <w:p w14:paraId="5A9C7776" w14:textId="4D20F292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8.4E-03</w:t>
            </w:r>
          </w:p>
        </w:tc>
        <w:tc>
          <w:tcPr>
            <w:tcW w:w="1099" w:type="dxa"/>
            <w:hideMark/>
          </w:tcPr>
          <w:p w14:paraId="3F9FE2A7" w14:textId="0406AF9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2159" w:type="dxa"/>
            <w:hideMark/>
          </w:tcPr>
          <w:p w14:paraId="73C6F303" w14:textId="0F8B2AEB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2,6E-02</w:t>
            </w:r>
          </w:p>
        </w:tc>
      </w:tr>
      <w:tr w:rsidR="001A61D3" w:rsidRPr="00534791" w14:paraId="6139ABBB" w14:textId="77777777" w:rsidTr="00275BE2">
        <w:tc>
          <w:tcPr>
            <w:tcW w:w="2760" w:type="dxa"/>
            <w:hideMark/>
          </w:tcPr>
          <w:p w14:paraId="017DDA08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Semenníky</w:t>
            </w:r>
          </w:p>
        </w:tc>
        <w:tc>
          <w:tcPr>
            <w:tcW w:w="1099" w:type="dxa"/>
            <w:hideMark/>
          </w:tcPr>
          <w:p w14:paraId="54221B9A" w14:textId="68FA44E6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6,1E-03</w:t>
            </w:r>
          </w:p>
        </w:tc>
        <w:tc>
          <w:tcPr>
            <w:tcW w:w="1099" w:type="dxa"/>
            <w:hideMark/>
          </w:tcPr>
          <w:p w14:paraId="3B89D3B7" w14:textId="643208FD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8,3E-03</w:t>
            </w:r>
          </w:p>
        </w:tc>
        <w:tc>
          <w:tcPr>
            <w:tcW w:w="1099" w:type="dxa"/>
            <w:hideMark/>
          </w:tcPr>
          <w:p w14:paraId="318BE095" w14:textId="6E8FBF27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1,4E-02</w:t>
            </w:r>
          </w:p>
        </w:tc>
        <w:tc>
          <w:tcPr>
            <w:tcW w:w="1099" w:type="dxa"/>
            <w:hideMark/>
          </w:tcPr>
          <w:p w14:paraId="5E338A72" w14:textId="1BA534EE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2,0E-02</w:t>
            </w:r>
          </w:p>
        </w:tc>
        <w:tc>
          <w:tcPr>
            <w:tcW w:w="2159" w:type="dxa"/>
            <w:hideMark/>
          </w:tcPr>
          <w:p w14:paraId="7A531AD7" w14:textId="2BEC4862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3,2E-02</w:t>
            </w:r>
          </w:p>
        </w:tc>
      </w:tr>
      <w:tr w:rsidR="001A61D3" w:rsidRPr="00534791" w14:paraId="5FDB5F40" w14:textId="77777777" w:rsidTr="00275BE2">
        <w:tc>
          <w:tcPr>
            <w:tcW w:w="2760" w:type="dxa"/>
            <w:hideMark/>
          </w:tcPr>
          <w:p w14:paraId="7C7E080F" w14:textId="77777777" w:rsidR="001A61D3" w:rsidRPr="0053479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sz w:val="22"/>
                <w:szCs w:val="22"/>
              </w:rPr>
              <w:t>Týmus</w:t>
            </w:r>
          </w:p>
        </w:tc>
        <w:tc>
          <w:tcPr>
            <w:tcW w:w="1099" w:type="dxa"/>
            <w:hideMark/>
          </w:tcPr>
          <w:p w14:paraId="0A083392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3,7E-03</w:t>
            </w:r>
          </w:p>
        </w:tc>
        <w:tc>
          <w:tcPr>
            <w:tcW w:w="1099" w:type="dxa"/>
            <w:hideMark/>
          </w:tcPr>
          <w:p w14:paraId="77AF0EEC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4,8E-03</w:t>
            </w:r>
          </w:p>
        </w:tc>
        <w:tc>
          <w:tcPr>
            <w:tcW w:w="1099" w:type="dxa"/>
            <w:hideMark/>
          </w:tcPr>
          <w:p w14:paraId="11DC7E5B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7,2E-03</w:t>
            </w:r>
          </w:p>
        </w:tc>
        <w:tc>
          <w:tcPr>
            <w:tcW w:w="1099" w:type="dxa"/>
            <w:hideMark/>
          </w:tcPr>
          <w:p w14:paraId="52E81E08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2159" w:type="dxa"/>
            <w:hideMark/>
          </w:tcPr>
          <w:p w14:paraId="2DD502DB" w14:textId="77777777" w:rsidR="001A61D3" w:rsidRPr="0053479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79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2,2E-02</w:t>
            </w:r>
          </w:p>
        </w:tc>
      </w:tr>
      <w:tr w:rsidR="001A61D3" w:rsidRPr="00534791" w14:paraId="6FD84C51" w14:textId="77777777" w:rsidTr="00275BE2">
        <w:tc>
          <w:tcPr>
            <w:tcW w:w="2760" w:type="dxa"/>
            <w:hideMark/>
          </w:tcPr>
          <w:p w14:paraId="7DE21654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Štítna žľaza</w:t>
            </w:r>
          </w:p>
        </w:tc>
        <w:tc>
          <w:tcPr>
            <w:tcW w:w="1099" w:type="dxa"/>
            <w:hideMark/>
          </w:tcPr>
          <w:p w14:paraId="657F8CEC" w14:textId="22A19ABD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4,9E-03</w:t>
            </w:r>
          </w:p>
        </w:tc>
        <w:tc>
          <w:tcPr>
            <w:tcW w:w="1099" w:type="dxa"/>
            <w:hideMark/>
          </w:tcPr>
          <w:p w14:paraId="694E360A" w14:textId="2CBA14E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5,7E-03</w:t>
            </w:r>
          </w:p>
        </w:tc>
        <w:tc>
          <w:tcPr>
            <w:tcW w:w="1099" w:type="dxa"/>
            <w:hideMark/>
          </w:tcPr>
          <w:p w14:paraId="787C0495" w14:textId="79C0F6B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8,1E-03</w:t>
            </w:r>
          </w:p>
        </w:tc>
        <w:tc>
          <w:tcPr>
            <w:tcW w:w="1099" w:type="dxa"/>
            <w:hideMark/>
          </w:tcPr>
          <w:p w14:paraId="48C8B7FF" w14:textId="7AC60D5E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1,2E-02</w:t>
            </w:r>
          </w:p>
        </w:tc>
        <w:tc>
          <w:tcPr>
            <w:tcW w:w="2159" w:type="dxa"/>
            <w:hideMark/>
          </w:tcPr>
          <w:p w14:paraId="574792D1" w14:textId="1AFBBA3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2,0E-02</w:t>
            </w:r>
          </w:p>
        </w:tc>
      </w:tr>
      <w:tr w:rsidR="001A61D3" w:rsidRPr="00534791" w14:paraId="0F18A73F" w14:textId="77777777" w:rsidTr="00275BE2">
        <w:tc>
          <w:tcPr>
            <w:tcW w:w="2760" w:type="dxa"/>
            <w:hideMark/>
          </w:tcPr>
          <w:p w14:paraId="57F4AAF2" w14:textId="77777777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>Maternica</w:t>
            </w:r>
          </w:p>
        </w:tc>
        <w:tc>
          <w:tcPr>
            <w:tcW w:w="1099" w:type="dxa"/>
            <w:hideMark/>
          </w:tcPr>
          <w:p w14:paraId="604EF8ED" w14:textId="4623E5E9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1,3E-02</w:t>
            </w:r>
          </w:p>
        </w:tc>
        <w:tc>
          <w:tcPr>
            <w:tcW w:w="1099" w:type="dxa"/>
            <w:hideMark/>
          </w:tcPr>
          <w:p w14:paraId="50B09555" w14:textId="6A38073D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1,5E-02</w:t>
            </w:r>
          </w:p>
        </w:tc>
        <w:tc>
          <w:tcPr>
            <w:tcW w:w="1099" w:type="dxa"/>
            <w:hideMark/>
          </w:tcPr>
          <w:p w14:paraId="215DB3AD" w14:textId="027AA913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2,4E-02</w:t>
            </w:r>
          </w:p>
        </w:tc>
        <w:tc>
          <w:tcPr>
            <w:tcW w:w="1099" w:type="dxa"/>
            <w:hideMark/>
          </w:tcPr>
          <w:p w14:paraId="22C2A680" w14:textId="36B4DF52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3,5E-02</w:t>
            </w:r>
          </w:p>
        </w:tc>
        <w:tc>
          <w:tcPr>
            <w:tcW w:w="2159" w:type="dxa"/>
            <w:hideMark/>
          </w:tcPr>
          <w:p w14:paraId="207A4E40" w14:textId="53E82714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5,0E-02</w:t>
            </w:r>
          </w:p>
        </w:tc>
      </w:tr>
      <w:tr w:rsidR="001A61D3" w:rsidRPr="00534791" w14:paraId="59E29279" w14:textId="77777777" w:rsidTr="00275BE2">
        <w:tc>
          <w:tcPr>
            <w:tcW w:w="2760" w:type="dxa"/>
            <w:hideMark/>
          </w:tcPr>
          <w:p w14:paraId="3FD4E5FE" w14:textId="0C301664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6E1">
              <w:rPr>
                <w:rFonts w:ascii="Times New Roman" w:hAnsi="Times New Roman" w:cs="Times New Roman"/>
                <w:sz w:val="22"/>
                <w:szCs w:val="22"/>
              </w:rPr>
              <w:t xml:space="preserve">Ostatné </w:t>
            </w:r>
            <w:r w:rsidRPr="00A77D60">
              <w:rPr>
                <w:rFonts w:ascii="Times New Roman" w:hAnsi="Times New Roman" w:cs="Times New Roman"/>
                <w:sz w:val="22"/>
                <w:szCs w:val="22"/>
              </w:rPr>
              <w:t>orgány</w:t>
            </w:r>
          </w:p>
        </w:tc>
        <w:tc>
          <w:tcPr>
            <w:tcW w:w="1099" w:type="dxa"/>
            <w:hideMark/>
          </w:tcPr>
          <w:p w14:paraId="65880D66" w14:textId="2BD7B1ED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5,9E-03</w:t>
            </w:r>
          </w:p>
        </w:tc>
        <w:tc>
          <w:tcPr>
            <w:tcW w:w="1099" w:type="dxa"/>
            <w:hideMark/>
          </w:tcPr>
          <w:p w14:paraId="2F76F0E0" w14:textId="0CD1A266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7,3E-03</w:t>
            </w:r>
          </w:p>
        </w:tc>
        <w:tc>
          <w:tcPr>
            <w:tcW w:w="1099" w:type="dxa"/>
            <w:hideMark/>
          </w:tcPr>
          <w:p w14:paraId="01038DA8" w14:textId="614FD99A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1,1E-02</w:t>
            </w:r>
          </w:p>
        </w:tc>
        <w:tc>
          <w:tcPr>
            <w:tcW w:w="1099" w:type="dxa"/>
            <w:hideMark/>
          </w:tcPr>
          <w:p w14:paraId="005E1611" w14:textId="4F5BCBC6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1,7E-02</w:t>
            </w:r>
          </w:p>
        </w:tc>
        <w:tc>
          <w:tcPr>
            <w:tcW w:w="2159" w:type="dxa"/>
            <w:hideMark/>
          </w:tcPr>
          <w:p w14:paraId="348127D9" w14:textId="0FA55B2D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2,8E-02</w:t>
            </w:r>
          </w:p>
        </w:tc>
      </w:tr>
      <w:tr w:rsidR="001A61D3" w:rsidRPr="00534791" w14:paraId="206FE183" w14:textId="77777777" w:rsidTr="00275BE2">
        <w:tc>
          <w:tcPr>
            <w:tcW w:w="2760" w:type="dxa"/>
            <w:hideMark/>
          </w:tcPr>
          <w:p w14:paraId="641A09D7" w14:textId="06A22814" w:rsidR="001A61D3" w:rsidRPr="00B966E1" w:rsidRDefault="001A61D3" w:rsidP="00B966E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Účinná</w:t>
            </w:r>
            <w:r w:rsidRPr="00B966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dávka </w:t>
            </w: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B966E1">
              <w:rPr>
                <w:rFonts w:ascii="Times New Roman" w:hAnsi="Times New Roman" w:cs="Times New Roman"/>
                <w:b/>
                <w:sz w:val="22"/>
                <w:szCs w:val="22"/>
              </w:rPr>
              <w:t>mSv/MBq</w:t>
            </w:r>
            <w:r w:rsidRPr="00A77D6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099" w:type="dxa"/>
            <w:hideMark/>
          </w:tcPr>
          <w:p w14:paraId="55F86DCC" w14:textId="0A33706A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1,7E-02</w:t>
            </w:r>
          </w:p>
        </w:tc>
        <w:tc>
          <w:tcPr>
            <w:tcW w:w="1099" w:type="dxa"/>
            <w:hideMark/>
          </w:tcPr>
          <w:p w14:paraId="36990C24" w14:textId="3D869493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2,0E-02</w:t>
            </w:r>
          </w:p>
        </w:tc>
        <w:tc>
          <w:tcPr>
            <w:tcW w:w="1099" w:type="dxa"/>
            <w:hideMark/>
          </w:tcPr>
          <w:p w14:paraId="2873A389" w14:textId="399792E3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3,3E-02</w:t>
            </w:r>
          </w:p>
        </w:tc>
        <w:tc>
          <w:tcPr>
            <w:tcW w:w="1099" w:type="dxa"/>
            <w:hideMark/>
          </w:tcPr>
          <w:p w14:paraId="77558C2B" w14:textId="7B40DCA1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5,6E-02</w:t>
            </w:r>
          </w:p>
        </w:tc>
        <w:tc>
          <w:tcPr>
            <w:tcW w:w="2159" w:type="dxa"/>
            <w:hideMark/>
          </w:tcPr>
          <w:p w14:paraId="27EF3FD0" w14:textId="439D9800" w:rsidR="001A61D3" w:rsidRPr="00B966E1" w:rsidRDefault="001A61D3" w:rsidP="00B966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D60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1,1E-01</w:t>
            </w:r>
          </w:p>
        </w:tc>
      </w:tr>
    </w:tbl>
    <w:p w14:paraId="7F2B14FC" w14:textId="77777777" w:rsidR="00171545" w:rsidRPr="00B966E1" w:rsidRDefault="00171545" w:rsidP="00B966E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2D102CE" w14:textId="29273A08" w:rsidR="000E2E47" w:rsidRPr="00B966E1" w:rsidRDefault="003218C2" w:rsidP="00B966E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Ak sa PET získava s fluoridom sodným (</w:t>
      </w:r>
      <w:r w:rsidRPr="00B966E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B966E1">
        <w:rPr>
          <w:rFonts w:ascii="Times New Roman" w:hAnsi="Times New Roman" w:cs="Times New Roman"/>
          <w:sz w:val="22"/>
          <w:szCs w:val="22"/>
        </w:rPr>
        <w:t>F) v 2D režime, účinná dávka vyplývajúca z podania odporúčanej aktivity 400 MBq pre dospelého o hmotnosti 70 kg je okolo 6,8 mSv. Pre podanú aktivitu 400 MBq je typická radiačná dávka/dávky pre kritický orgán/kritické orgány (močový mechúr, povrchy kostí, červená kostná dreň, obličky a maternica) 60, 38, 15, 5 a 5 mGy.</w:t>
      </w:r>
    </w:p>
    <w:p w14:paraId="17656B09" w14:textId="60EA1F91" w:rsidR="000E2E47" w:rsidRPr="00B966E1" w:rsidRDefault="000E2E47" w:rsidP="00B966E1">
      <w:pPr>
        <w:rPr>
          <w:rFonts w:ascii="Times New Roman" w:hAnsi="Times New Roman" w:cs="Times New Roman"/>
          <w:sz w:val="22"/>
          <w:szCs w:val="22"/>
        </w:rPr>
      </w:pPr>
    </w:p>
    <w:p w14:paraId="28C7F5B6" w14:textId="4CCFBEA6" w:rsidR="000E2E47" w:rsidRPr="00B966E1" w:rsidRDefault="000E2E47" w:rsidP="00B966E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Ak sa PET získava s fluoridom sodným (18F) v 3D režime, účinná dávka vyplývajúca z podania odporúčanej aktivity 200 MBq pre dospelého o hmotnosti 70 kg je okolo 3,4 mSv. Pre podanú aktivitu 200 MBq je typická radiačná dávka/dávky pre kritický orgán/kritické orgány (močový mechúr, povrchy kostí, červená kostná dreň, obličky a maternica) 30, 19, 8, 3 a 3 mGy.</w:t>
      </w:r>
    </w:p>
    <w:p w14:paraId="1A2A1EDC" w14:textId="77777777" w:rsidR="00FA5DEF" w:rsidRPr="00B966E1" w:rsidRDefault="00FA5DEF" w:rsidP="00B966E1">
      <w:pPr>
        <w:rPr>
          <w:rFonts w:ascii="Times New Roman" w:hAnsi="Times New Roman" w:cs="Times New Roman"/>
          <w:sz w:val="22"/>
          <w:szCs w:val="22"/>
        </w:rPr>
      </w:pPr>
    </w:p>
    <w:p w14:paraId="5CEEAC4C" w14:textId="77777777" w:rsidR="00A11B19" w:rsidRPr="00B966E1" w:rsidRDefault="00A11B19" w:rsidP="00B966E1">
      <w:pPr>
        <w:rPr>
          <w:rFonts w:ascii="Times New Roman" w:hAnsi="Times New Roman" w:cs="Times New Roman"/>
          <w:sz w:val="22"/>
          <w:szCs w:val="22"/>
        </w:rPr>
      </w:pPr>
    </w:p>
    <w:p w14:paraId="4B54B94C" w14:textId="77777777" w:rsidR="004258A1" w:rsidRPr="00B966E1" w:rsidRDefault="004258A1" w:rsidP="00B966E1">
      <w:pPr>
        <w:pStyle w:val="Nadpis2"/>
      </w:pPr>
      <w:r w:rsidRPr="00B966E1">
        <w:t>12.</w:t>
      </w:r>
      <w:r w:rsidRPr="00B966E1">
        <w:tab/>
        <w:t xml:space="preserve">POKYNY NA PRÍPRAVU RÁDIOFARMÁK </w:t>
      </w:r>
    </w:p>
    <w:p w14:paraId="0C5582B6" w14:textId="77777777" w:rsidR="004258A1" w:rsidRPr="00B966E1" w:rsidRDefault="004258A1" w:rsidP="00B966E1">
      <w:pPr>
        <w:rPr>
          <w:rFonts w:ascii="Times New Roman" w:hAnsi="Times New Roman" w:cs="Times New Roman"/>
          <w:sz w:val="22"/>
          <w:szCs w:val="22"/>
        </w:rPr>
      </w:pPr>
    </w:p>
    <w:p w14:paraId="47843B63" w14:textId="58D1B4C1" w:rsidR="00FA5DEF" w:rsidRPr="00B966E1" w:rsidRDefault="00FA5DEF" w:rsidP="00B966E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Balenie sa musí pred použitím skontrolovať a aktivita sa musí odmerať príslušným meracím prístrojom.</w:t>
      </w:r>
    </w:p>
    <w:p w14:paraId="36E71271" w14:textId="77777777" w:rsidR="00FA5DEF" w:rsidRPr="00B966E1" w:rsidRDefault="00FA5DEF" w:rsidP="00B966E1">
      <w:pPr>
        <w:rPr>
          <w:rFonts w:ascii="Times New Roman" w:hAnsi="Times New Roman" w:cs="Times New Roman"/>
          <w:sz w:val="22"/>
          <w:szCs w:val="22"/>
        </w:rPr>
      </w:pPr>
    </w:p>
    <w:p w14:paraId="59BB4BD8" w14:textId="001030C6" w:rsidR="00FA5DEF" w:rsidRPr="00B966E1" w:rsidRDefault="00FA5DEF" w:rsidP="00B966E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Liek sa musí zriediť chloridom sodným 9 mg/m</w:t>
      </w:r>
      <w:r w:rsidR="002F5F31" w:rsidRPr="00A77D60">
        <w:rPr>
          <w:rFonts w:ascii="Times New Roman" w:hAnsi="Times New Roman" w:cs="Times New Roman"/>
          <w:sz w:val="22"/>
          <w:szCs w:val="22"/>
        </w:rPr>
        <w:t>l</w:t>
      </w:r>
      <w:r w:rsidRPr="00B966E1">
        <w:rPr>
          <w:rFonts w:ascii="Times New Roman" w:hAnsi="Times New Roman" w:cs="Times New Roman"/>
          <w:sz w:val="22"/>
          <w:szCs w:val="22"/>
        </w:rPr>
        <w:t xml:space="preserve"> (0,9 %) v roztoku pre injekcie.</w:t>
      </w:r>
    </w:p>
    <w:p w14:paraId="015992A9" w14:textId="77777777" w:rsidR="00FA5DEF" w:rsidRPr="00B966E1" w:rsidRDefault="00FA5DEF" w:rsidP="00B966E1">
      <w:pPr>
        <w:rPr>
          <w:rFonts w:ascii="Times New Roman" w:hAnsi="Times New Roman" w:cs="Times New Roman"/>
          <w:sz w:val="22"/>
          <w:szCs w:val="22"/>
        </w:rPr>
      </w:pPr>
    </w:p>
    <w:p w14:paraId="645C142A" w14:textId="44B5101E" w:rsidR="00827CFB" w:rsidRPr="00534791" w:rsidRDefault="00827CFB" w:rsidP="00B966E1">
      <w:pPr>
        <w:rPr>
          <w:rFonts w:ascii="Times New Roman" w:hAnsi="Times New Roman" w:cs="Times New Roman"/>
          <w:sz w:val="22"/>
          <w:szCs w:val="22"/>
        </w:rPr>
      </w:pPr>
      <w:r w:rsidRPr="00B966E1">
        <w:rPr>
          <w:rFonts w:ascii="Times New Roman" w:hAnsi="Times New Roman" w:cs="Times New Roman"/>
          <w:sz w:val="22"/>
          <w:szCs w:val="22"/>
        </w:rPr>
        <w:t>Odbery sa musia vykonávať</w:t>
      </w:r>
      <w:r w:rsidRPr="00A77D60">
        <w:rPr>
          <w:rFonts w:ascii="Times New Roman" w:hAnsi="Times New Roman" w:cs="Times New Roman"/>
          <w:sz w:val="22"/>
          <w:szCs w:val="22"/>
        </w:rPr>
        <w:t xml:space="preserve"> za aseptickým podmienok. Liekovky sa nesmú otvoriť skôr ako sa dezinfikuje zátka, roztok sa odoberá cez zátku s použitím jednodávkovej injekčnej striekačky vybavenej vhodným ochranným tienením a </w:t>
      </w:r>
      <w:r w:rsidRPr="00534791">
        <w:rPr>
          <w:rFonts w:ascii="Times New Roman" w:hAnsi="Times New Roman" w:cs="Times New Roman"/>
          <w:sz w:val="22"/>
          <w:szCs w:val="22"/>
        </w:rPr>
        <w:t>jednorazovou sterilnou ihlou alebo pomocou schváleného automatického aplikačného systému.</w:t>
      </w:r>
    </w:p>
    <w:p w14:paraId="3B7E86FF" w14:textId="77777777" w:rsidR="009F0CAD" w:rsidRPr="00534791" w:rsidRDefault="009F0CAD" w:rsidP="00B966E1">
      <w:pPr>
        <w:rPr>
          <w:rFonts w:ascii="Times New Roman" w:hAnsi="Times New Roman" w:cs="Times New Roman"/>
          <w:sz w:val="22"/>
          <w:szCs w:val="22"/>
        </w:rPr>
      </w:pPr>
    </w:p>
    <w:p w14:paraId="000DAD9F" w14:textId="77777777" w:rsidR="009F0CAD" w:rsidRPr="00534791" w:rsidRDefault="009F0CAD" w:rsidP="00B966E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Ak je celistvosť liekovky poškodená, liek sa nesmie použiť.</w:t>
      </w:r>
    </w:p>
    <w:p w14:paraId="27CA5D18" w14:textId="77777777" w:rsidR="00827CFB" w:rsidRPr="00534791" w:rsidRDefault="00827CFB" w:rsidP="00B966E1">
      <w:pPr>
        <w:rPr>
          <w:rFonts w:ascii="Times New Roman" w:hAnsi="Times New Roman" w:cs="Times New Roman"/>
          <w:sz w:val="22"/>
          <w:szCs w:val="22"/>
        </w:rPr>
      </w:pPr>
    </w:p>
    <w:p w14:paraId="19621B45" w14:textId="707C3853" w:rsidR="00827CFB" w:rsidRPr="00534791" w:rsidRDefault="00827CFB" w:rsidP="00B966E1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sz w:val="22"/>
          <w:szCs w:val="22"/>
        </w:rPr>
        <w:t>Pred použitím sa musí roztok skontrolovať zrakom. Môžu sa používať iba číre roztoky, ktoré neobsahujú žiadne viditeľné čiastočky.</w:t>
      </w:r>
    </w:p>
    <w:p w14:paraId="63BCD3FF" w14:textId="77777777" w:rsidR="00EE6769" w:rsidRPr="00534791" w:rsidRDefault="00EE6769" w:rsidP="00B966E1">
      <w:pPr>
        <w:rPr>
          <w:rFonts w:ascii="Times New Roman" w:hAnsi="Times New Roman" w:cs="Times New Roman"/>
          <w:sz w:val="22"/>
          <w:szCs w:val="22"/>
        </w:rPr>
      </w:pPr>
    </w:p>
    <w:p w14:paraId="5E1DC4BD" w14:textId="105B0809" w:rsidR="00EE6769" w:rsidRPr="00A77D60" w:rsidRDefault="00F02920" w:rsidP="00275BE2">
      <w:pPr>
        <w:rPr>
          <w:rFonts w:ascii="Times New Roman" w:hAnsi="Times New Roman" w:cs="Times New Roman"/>
          <w:sz w:val="22"/>
          <w:szCs w:val="22"/>
        </w:rPr>
      </w:pPr>
      <w:r w:rsidRPr="00534791">
        <w:rPr>
          <w:rFonts w:ascii="Times New Roman" w:hAnsi="Times New Roman" w:cs="Times New Roman"/>
          <w:noProof/>
          <w:sz w:val="22"/>
          <w:szCs w:val="22"/>
        </w:rPr>
        <w:t xml:space="preserve">Podrobné informácie o tomto lieku sú dostupné na </w:t>
      </w:r>
      <w:r w:rsidR="00304978">
        <w:rPr>
          <w:rFonts w:ascii="Times New Roman" w:hAnsi="Times New Roman" w:cs="Times New Roman"/>
          <w:noProof/>
          <w:sz w:val="22"/>
          <w:szCs w:val="22"/>
        </w:rPr>
        <w:t xml:space="preserve">internetovej stránke </w:t>
      </w:r>
      <w:r w:rsidR="00E140C6" w:rsidRPr="00534791">
        <w:rPr>
          <w:rFonts w:ascii="Times New Roman" w:eastAsia="Calibri" w:hAnsi="Times New Roman"/>
          <w:sz w:val="22"/>
          <w:szCs w:val="22"/>
          <w:lang w:eastAsia="zh-CN"/>
        </w:rPr>
        <w:t>Štátn</w:t>
      </w:r>
      <w:r w:rsidR="00304978">
        <w:rPr>
          <w:rFonts w:ascii="Times New Roman" w:eastAsia="Calibri" w:hAnsi="Times New Roman"/>
          <w:sz w:val="22"/>
          <w:szCs w:val="22"/>
          <w:lang w:eastAsia="zh-CN"/>
        </w:rPr>
        <w:t>eho</w:t>
      </w:r>
      <w:r w:rsidR="00E140C6" w:rsidRPr="00534791">
        <w:rPr>
          <w:rFonts w:ascii="Times New Roman" w:eastAsia="Calibri" w:hAnsi="Times New Roman"/>
          <w:sz w:val="22"/>
          <w:szCs w:val="22"/>
          <w:lang w:eastAsia="zh-CN"/>
        </w:rPr>
        <w:t xml:space="preserve"> ústav</w:t>
      </w:r>
      <w:r w:rsidR="00304978">
        <w:rPr>
          <w:rFonts w:ascii="Times New Roman" w:eastAsia="Calibri" w:hAnsi="Times New Roman"/>
          <w:sz w:val="22"/>
          <w:szCs w:val="22"/>
          <w:lang w:eastAsia="zh-CN"/>
        </w:rPr>
        <w:t>u</w:t>
      </w:r>
      <w:r w:rsidR="00E140C6" w:rsidRPr="00534791">
        <w:rPr>
          <w:rFonts w:ascii="Times New Roman" w:eastAsia="Calibri" w:hAnsi="Times New Roman"/>
          <w:sz w:val="22"/>
          <w:szCs w:val="22"/>
          <w:lang w:eastAsia="zh-CN"/>
        </w:rPr>
        <w:t xml:space="preserve"> pre kontrolu liečiv</w:t>
      </w:r>
      <w:r w:rsidR="00E140C6" w:rsidRPr="00534791">
        <w:rPr>
          <w:rFonts w:ascii="Times New Roman" w:hAnsi="Times New Roman" w:cs="Times New Roman"/>
          <w:sz w:val="22"/>
          <w:szCs w:val="22"/>
        </w:rPr>
        <w:t xml:space="preserve"> </w:t>
      </w:r>
      <w:r w:rsidR="00491F39" w:rsidRPr="00534791">
        <w:rPr>
          <w:rFonts w:ascii="Times New Roman" w:hAnsi="Times New Roman" w:cs="Times New Roman"/>
          <w:sz w:val="22"/>
          <w:szCs w:val="22"/>
        </w:rPr>
        <w:t>(</w:t>
      </w:r>
      <w:hyperlink r:id="rId11" w:tgtFrame="_blank" w:history="1">
        <w:r w:rsidR="00491F39" w:rsidRPr="00534791">
          <w:rPr>
            <w:rStyle w:val="Hypertextovprepojenie"/>
            <w:rFonts w:ascii="Times New Roman" w:hAnsi="Times New Roman" w:cs="Times New Roman"/>
            <w:sz w:val="22"/>
            <w:szCs w:val="22"/>
          </w:rPr>
          <w:t>www.sukl.sk</w:t>
        </w:r>
      </w:hyperlink>
      <w:r w:rsidR="00491F39" w:rsidRPr="00A77D60">
        <w:rPr>
          <w:rFonts w:ascii="Times New Roman" w:hAnsi="Times New Roman" w:cs="Times New Roman"/>
          <w:sz w:val="22"/>
          <w:szCs w:val="22"/>
        </w:rPr>
        <w:t>).</w:t>
      </w:r>
    </w:p>
    <w:p w14:paraId="37115E1A" w14:textId="77777777" w:rsidR="00532C62" w:rsidRPr="00A77D60" w:rsidRDefault="00532C62">
      <w:pPr>
        <w:rPr>
          <w:rFonts w:ascii="Times New Roman" w:hAnsi="Times New Roman" w:cs="Times New Roman"/>
          <w:sz w:val="22"/>
          <w:szCs w:val="22"/>
        </w:rPr>
      </w:pPr>
    </w:p>
    <w:sectPr w:rsidR="00532C62" w:rsidRPr="00A77D60" w:rsidSect="00B966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5EF75" w14:textId="77777777" w:rsidR="00274FAE" w:rsidRDefault="00274FAE">
      <w:r>
        <w:separator/>
      </w:r>
    </w:p>
  </w:endnote>
  <w:endnote w:type="continuationSeparator" w:id="0">
    <w:p w14:paraId="20E41217" w14:textId="77777777" w:rsidR="00274FAE" w:rsidRDefault="00274FAE">
      <w:r>
        <w:continuationSeparator/>
      </w:r>
    </w:p>
  </w:endnote>
  <w:endnote w:type="continuationNotice" w:id="1">
    <w:p w14:paraId="7C5F3C72" w14:textId="77777777" w:rsidR="00274FAE" w:rsidRDefault="00274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BLOI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BLOE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D1BC6" w14:textId="77777777" w:rsidR="00951B8C" w:rsidRDefault="00951B8C" w:rsidP="00B966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5C25A" w14:textId="09B03705" w:rsidR="00951B8C" w:rsidRPr="00D95D30" w:rsidRDefault="00951B8C">
    <w:pPr>
      <w:pStyle w:val="Pta"/>
      <w:ind w:right="360"/>
      <w:rPr>
        <w:rFonts w:ascii="Times New Roman" w:hAnsi="Times New Roman" w:cs="Times New Roman"/>
        <w:sz w:val="18"/>
        <w:szCs w:val="18"/>
      </w:rPr>
    </w:pPr>
    <w:r w:rsidRPr="00D95D30">
      <w:rPr>
        <w:rFonts w:ascii="Times New Roman" w:hAnsi="Times New Roman" w:cs="Times New Roman"/>
        <w:sz w:val="18"/>
        <w:szCs w:val="18"/>
      </w:rPr>
      <w:tab/>
    </w:r>
    <w:r w:rsidRPr="00D95D30">
      <w:rPr>
        <w:rFonts w:ascii="Times New Roman" w:hAnsi="Times New Roman" w:cs="Times New Roman"/>
        <w:sz w:val="18"/>
        <w:szCs w:val="18"/>
      </w:rPr>
      <w:tab/>
    </w:r>
    <w:r w:rsidRPr="00D95D30">
      <w:rPr>
        <w:rFonts w:ascii="Times New Roman" w:hAnsi="Times New Roman" w:cs="Times New Roman"/>
        <w:sz w:val="18"/>
        <w:szCs w:val="18"/>
      </w:rPr>
      <w:fldChar w:fldCharType="begin"/>
    </w:r>
    <w:r w:rsidRPr="00D95D30">
      <w:rPr>
        <w:rFonts w:ascii="Times New Roman" w:hAnsi="Times New Roman" w:cs="Times New Roman"/>
        <w:sz w:val="18"/>
        <w:szCs w:val="18"/>
      </w:rPr>
      <w:instrText>PAGE   \* MERGEFORMAT</w:instrText>
    </w:r>
    <w:r w:rsidRPr="00D95D30">
      <w:rPr>
        <w:rFonts w:ascii="Times New Roman" w:hAnsi="Times New Roman" w:cs="Times New Roman"/>
        <w:sz w:val="18"/>
        <w:szCs w:val="18"/>
      </w:rPr>
      <w:fldChar w:fldCharType="separate"/>
    </w:r>
    <w:r w:rsidR="00FD07C9">
      <w:rPr>
        <w:rFonts w:ascii="Times New Roman" w:hAnsi="Times New Roman" w:cs="Times New Roman"/>
        <w:noProof/>
        <w:sz w:val="18"/>
        <w:szCs w:val="18"/>
      </w:rPr>
      <w:t>6</w:t>
    </w:r>
    <w:r w:rsidRPr="00D95D30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6333A" w14:textId="77777777" w:rsidR="00274FAE" w:rsidRDefault="00274FAE">
      <w:r>
        <w:separator/>
      </w:r>
    </w:p>
  </w:footnote>
  <w:footnote w:type="continuationSeparator" w:id="0">
    <w:p w14:paraId="079F4999" w14:textId="77777777" w:rsidR="00274FAE" w:rsidRDefault="00274FAE">
      <w:r>
        <w:continuationSeparator/>
      </w:r>
    </w:p>
  </w:footnote>
  <w:footnote w:type="continuationNotice" w:id="1">
    <w:p w14:paraId="4CB960AC" w14:textId="77777777" w:rsidR="00274FAE" w:rsidRDefault="00274F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6"/>
      <w:gridCol w:w="5585"/>
      <w:gridCol w:w="1820"/>
    </w:tblGrid>
    <w:tr w:rsidR="00951B8C" w14:paraId="2587EE80" w14:textId="77777777">
      <w:trPr>
        <w:jc w:val="center"/>
      </w:trPr>
      <w:tc>
        <w:tcPr>
          <w:tcW w:w="18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53E450" w14:textId="77777777" w:rsidR="00951B8C" w:rsidRDefault="00951B8C">
          <w:pPr>
            <w:pStyle w:val="Hlavika"/>
            <w:tabs>
              <w:tab w:val="clear" w:pos="4536"/>
              <w:tab w:val="left" w:pos="1418"/>
            </w:tabs>
            <w:rPr>
              <w:rStyle w:val="slostrany"/>
              <w:rFonts w:ascii="Times New Roman" w:hAnsi="Times New Roman" w:cs="Times New Roman"/>
              <w:b/>
              <w:szCs w:val="20"/>
            </w:rPr>
          </w:pPr>
          <w:r>
            <w:rPr>
              <w:rFonts w:ascii="Times New Roman" w:hAnsi="Times New Roman"/>
            </w:rPr>
            <w:t>IASOflu</w:t>
          </w:r>
        </w:p>
      </w:tc>
      <w:tc>
        <w:tcPr>
          <w:tcW w:w="55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D6A94E0" w14:textId="77777777" w:rsidR="00951B8C" w:rsidRDefault="00951B8C">
          <w:pPr>
            <w:pStyle w:val="Hlavika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>SÚHRN CHARAKTERISTICKÝCH VLASTNOSTÍ LIEKU</w:t>
          </w:r>
        </w:p>
        <w:p w14:paraId="1CDE179D" w14:textId="77777777" w:rsidR="00951B8C" w:rsidRDefault="00951B8C">
          <w:pPr>
            <w:pStyle w:val="Hlavika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>SPC</w:t>
          </w:r>
        </w:p>
      </w:tc>
      <w:tc>
        <w:tcPr>
          <w:tcW w:w="18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F3CAB65" w14:textId="77777777" w:rsidR="00951B8C" w:rsidRDefault="00951B8C">
          <w:pPr>
            <w:pStyle w:val="Hlavika"/>
            <w:jc w:val="right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 xml:space="preserve">Strana </w: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begin"/>
          </w:r>
          <w:r>
            <w:rPr>
              <w:rStyle w:val="slostrany"/>
              <w:rFonts w:ascii="Times New Roman" w:hAnsi="Times New Roman" w:cs="Times New Roman"/>
              <w:szCs w:val="20"/>
            </w:rPr>
            <w:instrText xml:space="preserve"> PAGE </w:instrTex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separate"/>
          </w:r>
          <w:r>
            <w:rPr>
              <w:rStyle w:val="slostrany"/>
              <w:rFonts w:ascii="Times New Roman" w:hAnsi="Times New Roman" w:cs="Times New Roman"/>
              <w:noProof/>
              <w:szCs w:val="20"/>
            </w:rPr>
            <w:t>8</w: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end"/>
          </w:r>
        </w:p>
      </w:tc>
    </w:tr>
  </w:tbl>
  <w:p w14:paraId="6AD56FCD" w14:textId="77777777" w:rsidR="00951B8C" w:rsidRPr="00B966E1" w:rsidRDefault="00951B8C" w:rsidP="00B966E1">
    <w:pPr>
      <w:pStyle w:val="Hlavika"/>
      <w:tabs>
        <w:tab w:val="clear" w:pos="4536"/>
        <w:tab w:val="left" w:pos="1418"/>
      </w:tabs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BCD23" w14:textId="7E8E27E2" w:rsidR="009A0CB0" w:rsidRDefault="009A0CB0" w:rsidP="009A0CB0">
    <w:pPr>
      <w:pStyle w:val="Hlavika"/>
      <w:rPr>
        <w:rFonts w:ascii="Times New Roman" w:hAnsi="Times New Roman" w:cs="Times New Roman"/>
        <w:sz w:val="18"/>
        <w:szCs w:val="18"/>
      </w:rPr>
    </w:pPr>
  </w:p>
  <w:p w14:paraId="0EB36AA5" w14:textId="77777777" w:rsidR="009A0CB0" w:rsidRDefault="009A0CB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D22E4" w14:textId="77777777" w:rsidR="009A0CB0" w:rsidRDefault="009A0CB0" w:rsidP="009A0CB0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Schválený text k rozhodnutiu o predĺžení, ev.č.: 2013/1194-PRE</w:t>
    </w:r>
  </w:p>
  <w:p w14:paraId="5B86CE38" w14:textId="77777777" w:rsidR="00951B8C" w:rsidRDefault="00951B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A8"/>
    <w:multiLevelType w:val="hybridMultilevel"/>
    <w:tmpl w:val="0C821E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713"/>
    <w:multiLevelType w:val="multilevel"/>
    <w:tmpl w:val="AB2659C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AD51F8"/>
    <w:multiLevelType w:val="multilevel"/>
    <w:tmpl w:val="307A4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8B121C6"/>
    <w:multiLevelType w:val="hybridMultilevel"/>
    <w:tmpl w:val="27D8E93E"/>
    <w:lvl w:ilvl="0" w:tplc="AD7854A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923"/>
    <w:multiLevelType w:val="hybridMultilevel"/>
    <w:tmpl w:val="FE84BD30"/>
    <w:lvl w:ilvl="0" w:tplc="4D9CC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6981"/>
    <w:multiLevelType w:val="hybridMultilevel"/>
    <w:tmpl w:val="A7A6FC24"/>
    <w:lvl w:ilvl="0" w:tplc="5C36F1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C695E"/>
    <w:multiLevelType w:val="hybridMultilevel"/>
    <w:tmpl w:val="043A79F8"/>
    <w:lvl w:ilvl="0" w:tplc="89227B7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6A0B"/>
    <w:multiLevelType w:val="multilevel"/>
    <w:tmpl w:val="10B2DD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E80B49"/>
    <w:multiLevelType w:val="hybridMultilevel"/>
    <w:tmpl w:val="532C5354"/>
    <w:lvl w:ilvl="0" w:tplc="4E569E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1656E"/>
    <w:multiLevelType w:val="hybridMultilevel"/>
    <w:tmpl w:val="087AAD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B1AE5"/>
    <w:multiLevelType w:val="hybridMultilevel"/>
    <w:tmpl w:val="DF58E994"/>
    <w:lvl w:ilvl="0" w:tplc="25BC073A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B5CF1"/>
    <w:multiLevelType w:val="singleLevel"/>
    <w:tmpl w:val="0D8E78B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8B54DC"/>
    <w:multiLevelType w:val="hybridMultilevel"/>
    <w:tmpl w:val="903CE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87DA7"/>
    <w:multiLevelType w:val="multilevel"/>
    <w:tmpl w:val="043A79F8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D755A"/>
    <w:multiLevelType w:val="hybridMultilevel"/>
    <w:tmpl w:val="A9E682B2"/>
    <w:lvl w:ilvl="0" w:tplc="D4A20278">
      <w:start w:val="15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61875468"/>
    <w:multiLevelType w:val="hybridMultilevel"/>
    <w:tmpl w:val="B96A919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8003D"/>
    <w:multiLevelType w:val="hybridMultilevel"/>
    <w:tmpl w:val="B1D8350A"/>
    <w:lvl w:ilvl="0" w:tplc="89227B7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80C0E"/>
    <w:multiLevelType w:val="hybridMultilevel"/>
    <w:tmpl w:val="B7224AA6"/>
    <w:lvl w:ilvl="0" w:tplc="0792E9FA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6BA1F71"/>
    <w:multiLevelType w:val="hybridMultilevel"/>
    <w:tmpl w:val="F634D04A"/>
    <w:lvl w:ilvl="0" w:tplc="D4A20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47AB2"/>
    <w:multiLevelType w:val="hybridMultilevel"/>
    <w:tmpl w:val="ADC862DA"/>
    <w:lvl w:ilvl="0" w:tplc="AF9EE6B6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6F02B24"/>
    <w:multiLevelType w:val="multilevel"/>
    <w:tmpl w:val="B96A919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7D62EA6"/>
    <w:multiLevelType w:val="hybridMultilevel"/>
    <w:tmpl w:val="66F2E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F429EE"/>
    <w:multiLevelType w:val="hybridMultilevel"/>
    <w:tmpl w:val="B90EFB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02E4A"/>
    <w:multiLevelType w:val="hybridMultilevel"/>
    <w:tmpl w:val="BBFE74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83201"/>
    <w:multiLevelType w:val="multilevel"/>
    <w:tmpl w:val="FE84BD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234DB"/>
    <w:multiLevelType w:val="hybridMultilevel"/>
    <w:tmpl w:val="E3D4E3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8497E"/>
    <w:multiLevelType w:val="hybridMultilevel"/>
    <w:tmpl w:val="337473BC"/>
    <w:lvl w:ilvl="0" w:tplc="A1469F00">
      <w:start w:val="370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17"/>
  </w:num>
  <w:num w:numId="5">
    <w:abstractNumId w:val="11"/>
  </w:num>
  <w:num w:numId="6">
    <w:abstractNumId w:val="15"/>
  </w:num>
  <w:num w:numId="7">
    <w:abstractNumId w:val="7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5"/>
  </w:num>
  <w:num w:numId="17">
    <w:abstractNumId w:val="4"/>
  </w:num>
  <w:num w:numId="18">
    <w:abstractNumId w:val="24"/>
  </w:num>
  <w:num w:numId="19">
    <w:abstractNumId w:val="0"/>
  </w:num>
  <w:num w:numId="20">
    <w:abstractNumId w:val="22"/>
  </w:num>
  <w:num w:numId="21">
    <w:abstractNumId w:val="1"/>
  </w:num>
  <w:num w:numId="22">
    <w:abstractNumId w:val="26"/>
  </w:num>
  <w:num w:numId="23">
    <w:abstractNumId w:val="5"/>
  </w:num>
  <w:num w:numId="24">
    <w:abstractNumId w:val="19"/>
  </w:num>
  <w:num w:numId="25">
    <w:abstractNumId w:val="12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2C"/>
    <w:rsid w:val="00000A60"/>
    <w:rsid w:val="00010E54"/>
    <w:rsid w:val="00014228"/>
    <w:rsid w:val="000301FC"/>
    <w:rsid w:val="000309FB"/>
    <w:rsid w:val="00034776"/>
    <w:rsid w:val="000369A3"/>
    <w:rsid w:val="00041EAE"/>
    <w:rsid w:val="0004209C"/>
    <w:rsid w:val="00045975"/>
    <w:rsid w:val="0004640E"/>
    <w:rsid w:val="0005077A"/>
    <w:rsid w:val="00062A91"/>
    <w:rsid w:val="00065B5B"/>
    <w:rsid w:val="0008159F"/>
    <w:rsid w:val="00081778"/>
    <w:rsid w:val="000832FC"/>
    <w:rsid w:val="000900EB"/>
    <w:rsid w:val="000A1FAE"/>
    <w:rsid w:val="000B05FE"/>
    <w:rsid w:val="000C068D"/>
    <w:rsid w:val="000C18F9"/>
    <w:rsid w:val="000C64E2"/>
    <w:rsid w:val="000D1377"/>
    <w:rsid w:val="000E2E47"/>
    <w:rsid w:val="000E3350"/>
    <w:rsid w:val="000E7F6D"/>
    <w:rsid w:val="000F131B"/>
    <w:rsid w:val="000F391C"/>
    <w:rsid w:val="000F5C31"/>
    <w:rsid w:val="0010465E"/>
    <w:rsid w:val="001062EB"/>
    <w:rsid w:val="0012747F"/>
    <w:rsid w:val="00143F97"/>
    <w:rsid w:val="001452D8"/>
    <w:rsid w:val="00150602"/>
    <w:rsid w:val="00151F88"/>
    <w:rsid w:val="00154D59"/>
    <w:rsid w:val="00160618"/>
    <w:rsid w:val="00162DFA"/>
    <w:rsid w:val="00162E7F"/>
    <w:rsid w:val="0016322A"/>
    <w:rsid w:val="00171545"/>
    <w:rsid w:val="0017192F"/>
    <w:rsid w:val="00182532"/>
    <w:rsid w:val="00196842"/>
    <w:rsid w:val="001A1315"/>
    <w:rsid w:val="001A40C0"/>
    <w:rsid w:val="001A45D3"/>
    <w:rsid w:val="001A61D3"/>
    <w:rsid w:val="001B45F0"/>
    <w:rsid w:val="001C274D"/>
    <w:rsid w:val="001F0EA4"/>
    <w:rsid w:val="001F2708"/>
    <w:rsid w:val="001F5472"/>
    <w:rsid w:val="00205136"/>
    <w:rsid w:val="0020674B"/>
    <w:rsid w:val="002123FF"/>
    <w:rsid w:val="00213AA3"/>
    <w:rsid w:val="00213ACF"/>
    <w:rsid w:val="00217859"/>
    <w:rsid w:val="002259A3"/>
    <w:rsid w:val="00227B8B"/>
    <w:rsid w:val="00233AC6"/>
    <w:rsid w:val="002457BA"/>
    <w:rsid w:val="00255558"/>
    <w:rsid w:val="0025696F"/>
    <w:rsid w:val="0026705E"/>
    <w:rsid w:val="00270090"/>
    <w:rsid w:val="00274FAE"/>
    <w:rsid w:val="00275BE2"/>
    <w:rsid w:val="00282727"/>
    <w:rsid w:val="00282B2F"/>
    <w:rsid w:val="00286090"/>
    <w:rsid w:val="002A5929"/>
    <w:rsid w:val="002A6786"/>
    <w:rsid w:val="002B1209"/>
    <w:rsid w:val="002B555F"/>
    <w:rsid w:val="002C5CAB"/>
    <w:rsid w:val="002D315D"/>
    <w:rsid w:val="002D3BB2"/>
    <w:rsid w:val="002D4D62"/>
    <w:rsid w:val="002E3610"/>
    <w:rsid w:val="002E51E0"/>
    <w:rsid w:val="002E7633"/>
    <w:rsid w:val="002E7C7C"/>
    <w:rsid w:val="002F0B51"/>
    <w:rsid w:val="002F0F4D"/>
    <w:rsid w:val="002F11A6"/>
    <w:rsid w:val="002F5F31"/>
    <w:rsid w:val="002F77E6"/>
    <w:rsid w:val="00300D4B"/>
    <w:rsid w:val="00301D25"/>
    <w:rsid w:val="00304978"/>
    <w:rsid w:val="00305746"/>
    <w:rsid w:val="00307AD3"/>
    <w:rsid w:val="00311195"/>
    <w:rsid w:val="00312827"/>
    <w:rsid w:val="0031586B"/>
    <w:rsid w:val="003218C2"/>
    <w:rsid w:val="00322441"/>
    <w:rsid w:val="00335B20"/>
    <w:rsid w:val="003367B2"/>
    <w:rsid w:val="00346BAC"/>
    <w:rsid w:val="00351E4D"/>
    <w:rsid w:val="00352630"/>
    <w:rsid w:val="003561FB"/>
    <w:rsid w:val="003622E3"/>
    <w:rsid w:val="0036243B"/>
    <w:rsid w:val="00364038"/>
    <w:rsid w:val="00367CD6"/>
    <w:rsid w:val="00371AF9"/>
    <w:rsid w:val="00373E99"/>
    <w:rsid w:val="003827CA"/>
    <w:rsid w:val="00386DBE"/>
    <w:rsid w:val="00390A01"/>
    <w:rsid w:val="0039569F"/>
    <w:rsid w:val="00395B35"/>
    <w:rsid w:val="003A09A8"/>
    <w:rsid w:val="003A4A47"/>
    <w:rsid w:val="003B1626"/>
    <w:rsid w:val="003B1A18"/>
    <w:rsid w:val="003B2678"/>
    <w:rsid w:val="003C0BE2"/>
    <w:rsid w:val="003C5E46"/>
    <w:rsid w:val="003C797B"/>
    <w:rsid w:val="003E0C69"/>
    <w:rsid w:val="003E220F"/>
    <w:rsid w:val="003F0841"/>
    <w:rsid w:val="003F44E7"/>
    <w:rsid w:val="004021C9"/>
    <w:rsid w:val="004132C9"/>
    <w:rsid w:val="00417802"/>
    <w:rsid w:val="00420F59"/>
    <w:rsid w:val="004258A1"/>
    <w:rsid w:val="00432C44"/>
    <w:rsid w:val="0044541C"/>
    <w:rsid w:val="00450A49"/>
    <w:rsid w:val="00452EAF"/>
    <w:rsid w:val="00460AF2"/>
    <w:rsid w:val="0046470F"/>
    <w:rsid w:val="0046655C"/>
    <w:rsid w:val="004701C0"/>
    <w:rsid w:val="0048601C"/>
    <w:rsid w:val="00487539"/>
    <w:rsid w:val="00491F39"/>
    <w:rsid w:val="004935FE"/>
    <w:rsid w:val="004B093D"/>
    <w:rsid w:val="004B0F68"/>
    <w:rsid w:val="004B1E64"/>
    <w:rsid w:val="004B45D9"/>
    <w:rsid w:val="004C4E60"/>
    <w:rsid w:val="004C6415"/>
    <w:rsid w:val="004D7213"/>
    <w:rsid w:val="004D7C77"/>
    <w:rsid w:val="004D7DFC"/>
    <w:rsid w:val="004E09B9"/>
    <w:rsid w:val="004E0A64"/>
    <w:rsid w:val="004E2C94"/>
    <w:rsid w:val="004E5D87"/>
    <w:rsid w:val="004F07CC"/>
    <w:rsid w:val="004F0A2C"/>
    <w:rsid w:val="005021F1"/>
    <w:rsid w:val="0050314F"/>
    <w:rsid w:val="005066DF"/>
    <w:rsid w:val="00507344"/>
    <w:rsid w:val="00515C0B"/>
    <w:rsid w:val="00522CF2"/>
    <w:rsid w:val="0052749E"/>
    <w:rsid w:val="00527B53"/>
    <w:rsid w:val="00532C62"/>
    <w:rsid w:val="00534791"/>
    <w:rsid w:val="00540E14"/>
    <w:rsid w:val="00541C9F"/>
    <w:rsid w:val="00541DFB"/>
    <w:rsid w:val="00544372"/>
    <w:rsid w:val="005446C6"/>
    <w:rsid w:val="005459DF"/>
    <w:rsid w:val="00571D0C"/>
    <w:rsid w:val="005745FE"/>
    <w:rsid w:val="005750BB"/>
    <w:rsid w:val="00590714"/>
    <w:rsid w:val="00593E99"/>
    <w:rsid w:val="005961F2"/>
    <w:rsid w:val="00596D79"/>
    <w:rsid w:val="005A3343"/>
    <w:rsid w:val="005A48DE"/>
    <w:rsid w:val="005B66E1"/>
    <w:rsid w:val="005C3611"/>
    <w:rsid w:val="005C37E1"/>
    <w:rsid w:val="005D39A1"/>
    <w:rsid w:val="005D5C37"/>
    <w:rsid w:val="005D5ED6"/>
    <w:rsid w:val="005D63CD"/>
    <w:rsid w:val="005E08BA"/>
    <w:rsid w:val="005E4AEE"/>
    <w:rsid w:val="005E7C90"/>
    <w:rsid w:val="005F1689"/>
    <w:rsid w:val="005F7D7E"/>
    <w:rsid w:val="00601A0D"/>
    <w:rsid w:val="00610374"/>
    <w:rsid w:val="00612F8B"/>
    <w:rsid w:val="00614523"/>
    <w:rsid w:val="00617C58"/>
    <w:rsid w:val="006217A1"/>
    <w:rsid w:val="00624FF6"/>
    <w:rsid w:val="00637498"/>
    <w:rsid w:val="00645BDD"/>
    <w:rsid w:val="00653AAC"/>
    <w:rsid w:val="00654D1A"/>
    <w:rsid w:val="00655D94"/>
    <w:rsid w:val="00661F25"/>
    <w:rsid w:val="00663D7F"/>
    <w:rsid w:val="00675DC9"/>
    <w:rsid w:val="0068123E"/>
    <w:rsid w:val="00682398"/>
    <w:rsid w:val="00686035"/>
    <w:rsid w:val="006A343F"/>
    <w:rsid w:val="006A4650"/>
    <w:rsid w:val="006A5783"/>
    <w:rsid w:val="006B5F6F"/>
    <w:rsid w:val="006D0BA1"/>
    <w:rsid w:val="006D1650"/>
    <w:rsid w:val="006D1901"/>
    <w:rsid w:val="006D1EE7"/>
    <w:rsid w:val="006E4830"/>
    <w:rsid w:val="006F0D2B"/>
    <w:rsid w:val="006F4BD3"/>
    <w:rsid w:val="006F58AE"/>
    <w:rsid w:val="006F65C0"/>
    <w:rsid w:val="007027E2"/>
    <w:rsid w:val="0070295D"/>
    <w:rsid w:val="00702CC6"/>
    <w:rsid w:val="007102B7"/>
    <w:rsid w:val="00713B5F"/>
    <w:rsid w:val="007162E3"/>
    <w:rsid w:val="00716DB7"/>
    <w:rsid w:val="00727D79"/>
    <w:rsid w:val="007356AA"/>
    <w:rsid w:val="0074194F"/>
    <w:rsid w:val="007428A3"/>
    <w:rsid w:val="00743D30"/>
    <w:rsid w:val="00754AC1"/>
    <w:rsid w:val="00761AC5"/>
    <w:rsid w:val="00763D92"/>
    <w:rsid w:val="007657A1"/>
    <w:rsid w:val="007722A2"/>
    <w:rsid w:val="00784734"/>
    <w:rsid w:val="0078582A"/>
    <w:rsid w:val="00787419"/>
    <w:rsid w:val="00791061"/>
    <w:rsid w:val="00793B52"/>
    <w:rsid w:val="007A02F9"/>
    <w:rsid w:val="007A774D"/>
    <w:rsid w:val="007B28EF"/>
    <w:rsid w:val="007D1F6C"/>
    <w:rsid w:val="007D246B"/>
    <w:rsid w:val="007D2878"/>
    <w:rsid w:val="007E3050"/>
    <w:rsid w:val="007F4AF4"/>
    <w:rsid w:val="007F626A"/>
    <w:rsid w:val="007F65D9"/>
    <w:rsid w:val="007F65FA"/>
    <w:rsid w:val="00817485"/>
    <w:rsid w:val="00821C7A"/>
    <w:rsid w:val="0082523B"/>
    <w:rsid w:val="008254F5"/>
    <w:rsid w:val="00826982"/>
    <w:rsid w:val="00827CFB"/>
    <w:rsid w:val="00830EFB"/>
    <w:rsid w:val="008409E3"/>
    <w:rsid w:val="00841E75"/>
    <w:rsid w:val="0084631B"/>
    <w:rsid w:val="00853CA9"/>
    <w:rsid w:val="0086236C"/>
    <w:rsid w:val="00865226"/>
    <w:rsid w:val="00871492"/>
    <w:rsid w:val="008932C1"/>
    <w:rsid w:val="008B723D"/>
    <w:rsid w:val="008C688A"/>
    <w:rsid w:val="008D0852"/>
    <w:rsid w:val="008D11FF"/>
    <w:rsid w:val="008D2849"/>
    <w:rsid w:val="008D5342"/>
    <w:rsid w:val="008E2EB1"/>
    <w:rsid w:val="008E793C"/>
    <w:rsid w:val="008F0170"/>
    <w:rsid w:val="008F2577"/>
    <w:rsid w:val="008F5109"/>
    <w:rsid w:val="00906E3D"/>
    <w:rsid w:val="0090772C"/>
    <w:rsid w:val="00907830"/>
    <w:rsid w:val="009160D7"/>
    <w:rsid w:val="00917A40"/>
    <w:rsid w:val="009403F7"/>
    <w:rsid w:val="00940468"/>
    <w:rsid w:val="009425AA"/>
    <w:rsid w:val="00945457"/>
    <w:rsid w:val="009506CC"/>
    <w:rsid w:val="00951B8C"/>
    <w:rsid w:val="009527D6"/>
    <w:rsid w:val="00962393"/>
    <w:rsid w:val="0096583C"/>
    <w:rsid w:val="00965884"/>
    <w:rsid w:val="00970210"/>
    <w:rsid w:val="00970C88"/>
    <w:rsid w:val="009713EB"/>
    <w:rsid w:val="00972655"/>
    <w:rsid w:val="00973338"/>
    <w:rsid w:val="00980176"/>
    <w:rsid w:val="009853B3"/>
    <w:rsid w:val="00987271"/>
    <w:rsid w:val="009939E4"/>
    <w:rsid w:val="00997081"/>
    <w:rsid w:val="009A0C47"/>
    <w:rsid w:val="009A0CB0"/>
    <w:rsid w:val="009A2BC7"/>
    <w:rsid w:val="009B13FA"/>
    <w:rsid w:val="009B4266"/>
    <w:rsid w:val="009C2E6B"/>
    <w:rsid w:val="009C5243"/>
    <w:rsid w:val="009D0360"/>
    <w:rsid w:val="009D10B1"/>
    <w:rsid w:val="009D2F58"/>
    <w:rsid w:val="009D557F"/>
    <w:rsid w:val="009F0CAD"/>
    <w:rsid w:val="009F217B"/>
    <w:rsid w:val="009F2C15"/>
    <w:rsid w:val="00A000D2"/>
    <w:rsid w:val="00A02FCE"/>
    <w:rsid w:val="00A0384E"/>
    <w:rsid w:val="00A105E6"/>
    <w:rsid w:val="00A11B19"/>
    <w:rsid w:val="00A21C51"/>
    <w:rsid w:val="00A30407"/>
    <w:rsid w:val="00A31D72"/>
    <w:rsid w:val="00A34A9A"/>
    <w:rsid w:val="00A46227"/>
    <w:rsid w:val="00A615C8"/>
    <w:rsid w:val="00A74164"/>
    <w:rsid w:val="00A779C8"/>
    <w:rsid w:val="00A77D60"/>
    <w:rsid w:val="00A8426B"/>
    <w:rsid w:val="00A85D39"/>
    <w:rsid w:val="00A87E6A"/>
    <w:rsid w:val="00A91BAF"/>
    <w:rsid w:val="00A91C9C"/>
    <w:rsid w:val="00A936BA"/>
    <w:rsid w:val="00A93EA5"/>
    <w:rsid w:val="00A95EF2"/>
    <w:rsid w:val="00AB4750"/>
    <w:rsid w:val="00AB4DC5"/>
    <w:rsid w:val="00AB682D"/>
    <w:rsid w:val="00AB7D35"/>
    <w:rsid w:val="00AC6194"/>
    <w:rsid w:val="00AE27D3"/>
    <w:rsid w:val="00AE4762"/>
    <w:rsid w:val="00AE4E18"/>
    <w:rsid w:val="00AE7589"/>
    <w:rsid w:val="00AF0F37"/>
    <w:rsid w:val="00AF15C3"/>
    <w:rsid w:val="00AF1FBF"/>
    <w:rsid w:val="00B030C9"/>
    <w:rsid w:val="00B1404D"/>
    <w:rsid w:val="00B15EA0"/>
    <w:rsid w:val="00B22490"/>
    <w:rsid w:val="00B2415A"/>
    <w:rsid w:val="00B25CD3"/>
    <w:rsid w:val="00B337BE"/>
    <w:rsid w:val="00B41586"/>
    <w:rsid w:val="00B435BF"/>
    <w:rsid w:val="00B454E6"/>
    <w:rsid w:val="00B46200"/>
    <w:rsid w:val="00B611CC"/>
    <w:rsid w:val="00B67723"/>
    <w:rsid w:val="00B71A69"/>
    <w:rsid w:val="00B7520A"/>
    <w:rsid w:val="00B80AE2"/>
    <w:rsid w:val="00B85E4D"/>
    <w:rsid w:val="00B911AF"/>
    <w:rsid w:val="00B93A02"/>
    <w:rsid w:val="00B966E1"/>
    <w:rsid w:val="00BB1989"/>
    <w:rsid w:val="00BD2FA7"/>
    <w:rsid w:val="00BD4FAE"/>
    <w:rsid w:val="00BD6B3F"/>
    <w:rsid w:val="00BD7903"/>
    <w:rsid w:val="00BE0B11"/>
    <w:rsid w:val="00BE13A6"/>
    <w:rsid w:val="00BE6EC0"/>
    <w:rsid w:val="00BF3F1B"/>
    <w:rsid w:val="00BF6C8E"/>
    <w:rsid w:val="00BF7338"/>
    <w:rsid w:val="00C04B8C"/>
    <w:rsid w:val="00C07584"/>
    <w:rsid w:val="00C1529A"/>
    <w:rsid w:val="00C20450"/>
    <w:rsid w:val="00C23696"/>
    <w:rsid w:val="00C26EED"/>
    <w:rsid w:val="00C3174A"/>
    <w:rsid w:val="00C41237"/>
    <w:rsid w:val="00C4350F"/>
    <w:rsid w:val="00C47029"/>
    <w:rsid w:val="00C47942"/>
    <w:rsid w:val="00C50849"/>
    <w:rsid w:val="00C57055"/>
    <w:rsid w:val="00C62C2E"/>
    <w:rsid w:val="00C711F7"/>
    <w:rsid w:val="00C72499"/>
    <w:rsid w:val="00C85468"/>
    <w:rsid w:val="00CA2206"/>
    <w:rsid w:val="00CA49E1"/>
    <w:rsid w:val="00CA5141"/>
    <w:rsid w:val="00CA740D"/>
    <w:rsid w:val="00CB0196"/>
    <w:rsid w:val="00CB07A4"/>
    <w:rsid w:val="00CB09CB"/>
    <w:rsid w:val="00CB60C2"/>
    <w:rsid w:val="00CC35F6"/>
    <w:rsid w:val="00CC5BDF"/>
    <w:rsid w:val="00CC67D0"/>
    <w:rsid w:val="00CD19E1"/>
    <w:rsid w:val="00CD2C16"/>
    <w:rsid w:val="00CE0CE1"/>
    <w:rsid w:val="00CE385C"/>
    <w:rsid w:val="00CE7DEE"/>
    <w:rsid w:val="00CF675C"/>
    <w:rsid w:val="00CF6D58"/>
    <w:rsid w:val="00D00531"/>
    <w:rsid w:val="00D10128"/>
    <w:rsid w:val="00D34347"/>
    <w:rsid w:val="00D40E53"/>
    <w:rsid w:val="00D43B36"/>
    <w:rsid w:val="00D47FF4"/>
    <w:rsid w:val="00D51924"/>
    <w:rsid w:val="00D57683"/>
    <w:rsid w:val="00D60624"/>
    <w:rsid w:val="00D60BEB"/>
    <w:rsid w:val="00D6172B"/>
    <w:rsid w:val="00D65D16"/>
    <w:rsid w:val="00D67976"/>
    <w:rsid w:val="00D7101A"/>
    <w:rsid w:val="00D73E83"/>
    <w:rsid w:val="00D753A7"/>
    <w:rsid w:val="00D75B93"/>
    <w:rsid w:val="00D766BC"/>
    <w:rsid w:val="00D76E65"/>
    <w:rsid w:val="00D83447"/>
    <w:rsid w:val="00D9484F"/>
    <w:rsid w:val="00D95D30"/>
    <w:rsid w:val="00D95FFD"/>
    <w:rsid w:val="00D97827"/>
    <w:rsid w:val="00D97D68"/>
    <w:rsid w:val="00DA1717"/>
    <w:rsid w:val="00DA240C"/>
    <w:rsid w:val="00DA2872"/>
    <w:rsid w:val="00DB6B54"/>
    <w:rsid w:val="00DC1EB1"/>
    <w:rsid w:val="00DD5534"/>
    <w:rsid w:val="00DD5F99"/>
    <w:rsid w:val="00DD766F"/>
    <w:rsid w:val="00DD78F6"/>
    <w:rsid w:val="00DE0722"/>
    <w:rsid w:val="00DE0B68"/>
    <w:rsid w:val="00DE3AA8"/>
    <w:rsid w:val="00DE3CA5"/>
    <w:rsid w:val="00DF1AF8"/>
    <w:rsid w:val="00DF2A94"/>
    <w:rsid w:val="00DF4798"/>
    <w:rsid w:val="00DF5F65"/>
    <w:rsid w:val="00E00437"/>
    <w:rsid w:val="00E13FC3"/>
    <w:rsid w:val="00E140C6"/>
    <w:rsid w:val="00E16384"/>
    <w:rsid w:val="00E16843"/>
    <w:rsid w:val="00E26B4D"/>
    <w:rsid w:val="00E31259"/>
    <w:rsid w:val="00E4009C"/>
    <w:rsid w:val="00E40EE7"/>
    <w:rsid w:val="00E41874"/>
    <w:rsid w:val="00E5016C"/>
    <w:rsid w:val="00E6480B"/>
    <w:rsid w:val="00E6522C"/>
    <w:rsid w:val="00E67195"/>
    <w:rsid w:val="00E74C2D"/>
    <w:rsid w:val="00E76893"/>
    <w:rsid w:val="00E82A68"/>
    <w:rsid w:val="00EA136B"/>
    <w:rsid w:val="00EC0470"/>
    <w:rsid w:val="00EC7C78"/>
    <w:rsid w:val="00ED39C9"/>
    <w:rsid w:val="00ED7566"/>
    <w:rsid w:val="00EE07AB"/>
    <w:rsid w:val="00EE095F"/>
    <w:rsid w:val="00EE2664"/>
    <w:rsid w:val="00EE2A91"/>
    <w:rsid w:val="00EE2E4F"/>
    <w:rsid w:val="00EE5AC4"/>
    <w:rsid w:val="00EE6769"/>
    <w:rsid w:val="00EF5C2B"/>
    <w:rsid w:val="00F02920"/>
    <w:rsid w:val="00F116CE"/>
    <w:rsid w:val="00F12463"/>
    <w:rsid w:val="00F12D7C"/>
    <w:rsid w:val="00F16D12"/>
    <w:rsid w:val="00F200CE"/>
    <w:rsid w:val="00F20A23"/>
    <w:rsid w:val="00F21C0F"/>
    <w:rsid w:val="00F2422F"/>
    <w:rsid w:val="00F41519"/>
    <w:rsid w:val="00F45EE8"/>
    <w:rsid w:val="00F4703B"/>
    <w:rsid w:val="00F56F17"/>
    <w:rsid w:val="00F618B6"/>
    <w:rsid w:val="00F7202C"/>
    <w:rsid w:val="00F72ECE"/>
    <w:rsid w:val="00F740D7"/>
    <w:rsid w:val="00F80D37"/>
    <w:rsid w:val="00F82799"/>
    <w:rsid w:val="00F85215"/>
    <w:rsid w:val="00F90325"/>
    <w:rsid w:val="00F9391D"/>
    <w:rsid w:val="00F97B7A"/>
    <w:rsid w:val="00FA04C5"/>
    <w:rsid w:val="00FA52E0"/>
    <w:rsid w:val="00FA5DEF"/>
    <w:rsid w:val="00FB2C62"/>
    <w:rsid w:val="00FB4C79"/>
    <w:rsid w:val="00FB5477"/>
    <w:rsid w:val="00FC1887"/>
    <w:rsid w:val="00FC3304"/>
    <w:rsid w:val="00FC580C"/>
    <w:rsid w:val="00FC62C3"/>
    <w:rsid w:val="00FD07C9"/>
    <w:rsid w:val="00FD7FA2"/>
    <w:rsid w:val="00FE255B"/>
    <w:rsid w:val="00FE3312"/>
    <w:rsid w:val="00FE342D"/>
    <w:rsid w:val="00FE5695"/>
    <w:rsid w:val="00FE5EFB"/>
    <w:rsid w:val="00FF21D7"/>
    <w:rsid w:val="00FF23A5"/>
    <w:rsid w:val="00FF59CC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873D6B-D0DE-4430-A33B-4319134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240C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left="567"/>
      <w:outlineLvl w:val="0"/>
    </w:pPr>
    <w:rPr>
      <w:sz w:val="22"/>
      <w:szCs w:val="22"/>
      <w:u w:val="single"/>
    </w:rPr>
  </w:style>
  <w:style w:type="paragraph" w:styleId="Nadpis2">
    <w:name w:val="heading 2"/>
    <w:basedOn w:val="Normlny"/>
    <w:next w:val="Normlny"/>
    <w:autoRedefine/>
    <w:qFormat/>
    <w:rsid w:val="00CB07A4"/>
    <w:pPr>
      <w:keepNext/>
      <w:ind w:left="567" w:hanging="567"/>
      <w:jc w:val="both"/>
      <w:outlineLvl w:val="1"/>
    </w:pPr>
    <w:rPr>
      <w:rFonts w:ascii="Times New Roman" w:hAnsi="Times New Roman" w:cs="Times New Roman"/>
      <w:b/>
      <w:iCs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jc w:val="both"/>
      <w:outlineLvl w:val="2"/>
    </w:pPr>
    <w:rPr>
      <w:rFonts w:ascii="Times New Roman" w:hAnsi="Times New Roman" w:cs="Times New Roman"/>
      <w:b/>
      <w:color w:val="000000"/>
      <w:u w:val="single"/>
    </w:rPr>
  </w:style>
  <w:style w:type="paragraph" w:styleId="Nadpis4">
    <w:name w:val="heading 4"/>
    <w:basedOn w:val="Normlny"/>
    <w:next w:val="Normlny"/>
    <w:qFormat/>
    <w:pPr>
      <w:keepNext/>
      <w:spacing w:line="360" w:lineRule="auto"/>
      <w:ind w:left="567" w:hanging="567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Nadpis8">
    <w:name w:val="heading 8"/>
    <w:basedOn w:val="Normlny"/>
    <w:next w:val="Normlny"/>
    <w:qFormat/>
    <w:pPr>
      <w:keepNext/>
      <w:spacing w:before="48" w:after="48"/>
      <w:outlineLvl w:val="7"/>
    </w:pPr>
    <w:rPr>
      <w:rFonts w:ascii="Times New Roman" w:hAnsi="Times New Roman" w:cs="Times New Roman"/>
      <w:b/>
      <w:sz w:val="20"/>
      <w:szCs w:val="20"/>
    </w:rPr>
  </w:style>
  <w:style w:type="paragraph" w:styleId="Nadpis9">
    <w:name w:val="heading 9"/>
    <w:basedOn w:val="Normlny"/>
    <w:next w:val="Normlny"/>
    <w:qFormat/>
    <w:pPr>
      <w:keepNext/>
      <w:ind w:left="568"/>
      <w:jc w:val="both"/>
      <w:outlineLvl w:val="8"/>
    </w:pPr>
    <w:rPr>
      <w:rFonts w:ascii="Times New Roman" w:hAnsi="Times New Roman" w:cs="Times New Roman"/>
      <w:b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tabs>
        <w:tab w:val="left" w:pos="851"/>
      </w:tabs>
      <w:ind w:left="851"/>
      <w:jc w:val="both"/>
    </w:pPr>
  </w:style>
  <w:style w:type="paragraph" w:styleId="Zkladntext">
    <w:name w:val="Body Text"/>
    <w:basedOn w:val="Normlny"/>
    <w:pPr>
      <w:spacing w:after="120"/>
    </w:pPr>
  </w:style>
  <w:style w:type="paragraph" w:customStyle="1" w:styleId="AmmCorpsTexte">
    <w:name w:val="AmmCorpsTexte"/>
    <w:basedOn w:val="Normlny"/>
    <w:pPr>
      <w:spacing w:after="120"/>
      <w:jc w:val="both"/>
    </w:pPr>
    <w:rPr>
      <w:rFonts w:cs="Times New Roman"/>
      <w:sz w:val="22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Tabelle">
    <w:name w:val="Tabelle"/>
    <w:basedOn w:val="Normlny"/>
    <w:pPr>
      <w:spacing w:before="60" w:after="60"/>
    </w:pPr>
    <w:rPr>
      <w:rFonts w:cs="Times New Roman"/>
      <w:snapToGrid w:val="0"/>
      <w:sz w:val="22"/>
      <w:szCs w:val="20"/>
    </w:rPr>
  </w:style>
  <w:style w:type="paragraph" w:customStyle="1" w:styleId="Ttabelle">
    <w:name w:val="Ttabelle"/>
    <w:basedOn w:val="Normlny"/>
    <w:pPr>
      <w:spacing w:before="60" w:after="60"/>
      <w:jc w:val="both"/>
    </w:pPr>
    <w:rPr>
      <w:rFonts w:cs="Times New Roman"/>
      <w:sz w:val="22"/>
      <w:szCs w:val="20"/>
    </w:rPr>
  </w:style>
  <w:style w:type="paragraph" w:customStyle="1" w:styleId="R22">
    <w:name w:val="R22"/>
    <w:basedOn w:val="Normlny"/>
    <w:pPr>
      <w:tabs>
        <w:tab w:val="left" w:pos="1240"/>
      </w:tabs>
      <w:ind w:left="1260" w:hanging="340"/>
    </w:pPr>
    <w:rPr>
      <w:rFonts w:ascii="Times" w:hAnsi="Times" w:cs="Times New Roman"/>
      <w:sz w:val="22"/>
      <w:szCs w:val="20"/>
      <w:u w:val="single"/>
    </w:rPr>
  </w:style>
  <w:style w:type="paragraph" w:styleId="Zarkazkladnhotextu3">
    <w:name w:val="Body Text Indent 3"/>
    <w:basedOn w:val="Normlny"/>
    <w:pPr>
      <w:ind w:left="568" w:hanging="1"/>
      <w:jc w:val="both"/>
    </w:pPr>
    <w:rPr>
      <w:b/>
      <w:bCs/>
      <w:sz w:val="22"/>
      <w:szCs w:val="22"/>
    </w:rPr>
  </w:style>
  <w:style w:type="paragraph" w:styleId="Zkladntext2">
    <w:name w:val="Body Text 2"/>
    <w:basedOn w:val="Normlny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BLOIA+TimesNewRoman" w:hAnsi="CBLOIA+TimesNewRoman" w:cs="CBLOIA+TimesNewRoman"/>
      <w:color w:val="000000"/>
      <w:sz w:val="24"/>
      <w:szCs w:val="24"/>
    </w:rPr>
  </w:style>
  <w:style w:type="paragraph" w:customStyle="1" w:styleId="Heading21">
    <w:name w:val="Heading 21"/>
    <w:basedOn w:val="Default"/>
    <w:next w:val="Default"/>
    <w:rPr>
      <w:rFonts w:ascii="CBLOEC+TimesNewRoman,Bold" w:hAnsi="CBLOEC+TimesNewRoman,Bold" w:cs="Times New Roman"/>
      <w:color w:val="auto"/>
    </w:rPr>
  </w:style>
  <w:style w:type="paragraph" w:styleId="Textbubliny">
    <w:name w:val="Balloon Text"/>
    <w:basedOn w:val="Normlny"/>
    <w:semiHidden/>
    <w:rsid w:val="001A40C0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31586B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31586B"/>
    <w:rPr>
      <w:vertAlign w:val="superscript"/>
    </w:rPr>
  </w:style>
  <w:style w:type="table" w:styleId="Mriekatabuky">
    <w:name w:val="Table Grid"/>
    <w:basedOn w:val="Normlnatabuka"/>
    <w:rsid w:val="003B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6236C"/>
    <w:rPr>
      <w:sz w:val="16"/>
      <w:szCs w:val="16"/>
    </w:rPr>
  </w:style>
  <w:style w:type="paragraph" w:styleId="Textkomentra">
    <w:name w:val="annotation text"/>
    <w:basedOn w:val="Normlny"/>
    <w:semiHidden/>
    <w:rsid w:val="0086236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6236C"/>
    <w:rPr>
      <w:b/>
      <w:bCs/>
    </w:rPr>
  </w:style>
  <w:style w:type="character" w:styleId="Hypertextovprepojenie">
    <w:name w:val="Hyperlink"/>
    <w:rsid w:val="00A95EF2"/>
    <w:rPr>
      <w:color w:val="0000FF"/>
      <w:u w:val="single"/>
    </w:rPr>
  </w:style>
  <w:style w:type="paragraph" w:styleId="Revzia">
    <w:name w:val="Revision"/>
    <w:hidden/>
    <w:uiPriority w:val="99"/>
    <w:semiHidden/>
    <w:rsid w:val="00E31259"/>
    <w:rPr>
      <w:rFonts w:ascii="Arial" w:hAnsi="Arial" w:cs="Arial"/>
      <w:sz w:val="24"/>
      <w:szCs w:val="24"/>
    </w:rPr>
  </w:style>
  <w:style w:type="paragraph" w:styleId="Odsekzoznamu">
    <w:name w:val="List Paragraph"/>
    <w:basedOn w:val="Normlny"/>
    <w:uiPriority w:val="34"/>
    <w:qFormat/>
    <w:rsid w:val="001A61D3"/>
    <w:pPr>
      <w:ind w:left="720"/>
      <w:contextualSpacing/>
    </w:pPr>
  </w:style>
  <w:style w:type="character" w:customStyle="1" w:styleId="hps">
    <w:name w:val="hps"/>
    <w:basedOn w:val="Predvolenpsmoodseku"/>
    <w:rsid w:val="00596D79"/>
  </w:style>
  <w:style w:type="character" w:styleId="PouitHypertextovPrepojenie">
    <w:name w:val="FollowedHyperlink"/>
    <w:basedOn w:val="Predvolenpsmoodseku"/>
    <w:rsid w:val="009B13F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rsid w:val="009A0CB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kl.s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@iaso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90BD-DEA2-4A3A-9A97-0D9EA655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2653</Words>
  <Characters>15124</Characters>
  <Application>Microsoft Office Word</Application>
  <DocSecurity>0</DocSecurity>
  <Lines>126</Lines>
  <Paragraphs>35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SUMMARY OF PRODUCT CHARACTERISTICS</vt:lpstr>
      <vt:lpstr>SUMMARY OF PRODUCT CHARACTERISTICS</vt:lpstr>
      <vt:lpstr>SUMMARY OF PRODUCT CHARACTERISTICS</vt:lpstr>
      <vt:lpstr>SUMMARY OF PRODUCT CHARACTERISTICS</vt:lpstr>
    </vt:vector>
  </TitlesOfParts>
  <Company>medical-ls</Company>
  <LinksUpToDate>false</LinksUpToDate>
  <CharactersWithSpaces>17742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medical-ls</dc:creator>
  <cp:lastModifiedBy>Bolebruchová Monika</cp:lastModifiedBy>
  <cp:revision>3</cp:revision>
  <cp:lastPrinted>2017-06-27T07:28:00Z</cp:lastPrinted>
  <dcterms:created xsi:type="dcterms:W3CDTF">2017-06-27T07:28:00Z</dcterms:created>
  <dcterms:modified xsi:type="dcterms:W3CDTF">2017-06-27T07:28:00Z</dcterms:modified>
</cp:coreProperties>
</file>