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70" w:rsidRPr="00B4462C" w:rsidRDefault="00CF3670" w:rsidP="000125D9">
      <w:pPr>
        <w:jc w:val="center"/>
        <w:outlineLvl w:val="0"/>
        <w:rPr>
          <w:b/>
          <w:sz w:val="18"/>
          <w:szCs w:val="18"/>
          <w:lang w:val="sk-SK"/>
        </w:rPr>
      </w:pPr>
    </w:p>
    <w:p w:rsidR="00CF3670" w:rsidRPr="00B4462C" w:rsidRDefault="00CF3670" w:rsidP="000125D9">
      <w:pPr>
        <w:jc w:val="center"/>
        <w:rPr>
          <w:b/>
          <w:szCs w:val="22"/>
          <w:lang w:val="sk-SK"/>
        </w:rPr>
      </w:pPr>
    </w:p>
    <w:p w:rsidR="00CF3670" w:rsidRPr="00B4462C" w:rsidRDefault="00CF3670" w:rsidP="000125D9">
      <w:pPr>
        <w:jc w:val="center"/>
        <w:outlineLvl w:val="0"/>
        <w:rPr>
          <w:b/>
          <w:caps/>
          <w:sz w:val="22"/>
          <w:szCs w:val="22"/>
          <w:lang w:val="sk-SK"/>
        </w:rPr>
      </w:pPr>
      <w:r w:rsidRPr="00B4462C">
        <w:rPr>
          <w:b/>
          <w:caps/>
          <w:sz w:val="22"/>
          <w:szCs w:val="22"/>
          <w:lang w:val="sk-SK"/>
        </w:rPr>
        <w:t>Súhrn charakteristických vlastností lieku</w:t>
      </w:r>
    </w:p>
    <w:p w:rsidR="00CF3670" w:rsidRPr="00B4462C" w:rsidRDefault="00CF3670" w:rsidP="000125D9">
      <w:pPr>
        <w:tabs>
          <w:tab w:val="left" w:pos="-1440"/>
          <w:tab w:val="left" w:pos="-720"/>
        </w:tabs>
        <w:jc w:val="center"/>
        <w:rPr>
          <w:szCs w:val="22"/>
          <w:lang w:val="sk-SK"/>
        </w:rPr>
      </w:pPr>
    </w:p>
    <w:p w:rsidR="00CF3670" w:rsidRPr="00B4462C" w:rsidRDefault="00CF3670" w:rsidP="000125D9">
      <w:pPr>
        <w:pStyle w:val="DocumentHeading"/>
        <w:tabs>
          <w:tab w:val="left" w:pos="567"/>
        </w:tabs>
        <w:rPr>
          <w:bCs/>
          <w:sz w:val="22"/>
          <w:szCs w:val="22"/>
          <w:lang w:val="sk-SK"/>
        </w:rPr>
      </w:pPr>
      <w:bookmarkStart w:id="0" w:name="Indication"/>
      <w:bookmarkStart w:id="1" w:name="Posology"/>
      <w:bookmarkStart w:id="2" w:name="ContraInd"/>
      <w:bookmarkStart w:id="3" w:name="Warning"/>
      <w:bookmarkStart w:id="4" w:name="Interaction"/>
      <w:bookmarkStart w:id="5" w:name="Pregnancy"/>
      <w:bookmarkStart w:id="6" w:name="Drive"/>
      <w:bookmarkStart w:id="7" w:name="Undesirable"/>
      <w:bookmarkStart w:id="8" w:name="Dynamic"/>
      <w:bookmarkStart w:id="9" w:name="Kinetic"/>
      <w:bookmarkStart w:id="10" w:name="Preclinical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B4462C">
        <w:rPr>
          <w:sz w:val="22"/>
          <w:szCs w:val="22"/>
          <w:lang w:val="sk-SK"/>
        </w:rPr>
        <w:t>1.</w:t>
      </w:r>
      <w:r w:rsidRPr="00B4462C">
        <w:rPr>
          <w:sz w:val="22"/>
          <w:szCs w:val="22"/>
          <w:lang w:val="sk-SK"/>
        </w:rPr>
        <w:tab/>
      </w:r>
      <w:r w:rsidRPr="00B4462C">
        <w:rPr>
          <w:bCs/>
          <w:sz w:val="22"/>
          <w:szCs w:val="22"/>
          <w:lang w:val="sk-SK"/>
        </w:rPr>
        <w:t>NÁZOV LIEKU</w:t>
      </w:r>
      <w:r w:rsidRPr="00B4462C">
        <w:rPr>
          <w:sz w:val="22"/>
          <w:szCs w:val="22"/>
          <w:lang w:val="sk-SK"/>
        </w:rPr>
        <w:t xml:space="preserve"> 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Ciprofloxacin-Teva</w:t>
      </w:r>
      <w:proofErr w:type="spellEnd"/>
      <w:r w:rsidRPr="00B4462C">
        <w:rPr>
          <w:sz w:val="22"/>
          <w:szCs w:val="22"/>
          <w:lang w:val="sk-SK"/>
        </w:rPr>
        <w:t xml:space="preserve"> 250 mg filmom obalené tablety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Ciprofloxacin-Teva</w:t>
      </w:r>
      <w:proofErr w:type="spellEnd"/>
      <w:r w:rsidRPr="00B4462C">
        <w:rPr>
          <w:sz w:val="22"/>
          <w:szCs w:val="22"/>
          <w:lang w:val="sk-SK"/>
        </w:rPr>
        <w:t xml:space="preserve"> 500 mg filmom obalené tablety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Ciprofloxacin-Teva</w:t>
      </w:r>
      <w:proofErr w:type="spellEnd"/>
      <w:r w:rsidRPr="00B4462C">
        <w:rPr>
          <w:sz w:val="22"/>
          <w:szCs w:val="22"/>
          <w:lang w:val="sk-SK"/>
        </w:rPr>
        <w:t xml:space="preserve"> 750 mg filmom obalené tablety</w:t>
      </w:r>
    </w:p>
    <w:p w:rsidR="00CF3670" w:rsidRPr="00B4462C" w:rsidRDefault="00CF3670" w:rsidP="00B65191">
      <w:pPr>
        <w:widowControl w:val="0"/>
        <w:rPr>
          <w:b/>
          <w:bCs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b/>
          <w:bCs/>
          <w:sz w:val="22"/>
          <w:szCs w:val="22"/>
          <w:lang w:val="sk-SK"/>
        </w:rPr>
      </w:pPr>
    </w:p>
    <w:p w:rsidR="00CF3670" w:rsidRPr="00B4462C" w:rsidRDefault="00CF3670" w:rsidP="000125D9">
      <w:pPr>
        <w:widowControl w:val="0"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2.</w:t>
      </w:r>
      <w:r w:rsidRPr="00B4462C">
        <w:rPr>
          <w:b/>
          <w:sz w:val="22"/>
          <w:szCs w:val="22"/>
          <w:lang w:val="sk-SK"/>
        </w:rPr>
        <w:tab/>
        <w:t xml:space="preserve">KVALITATÍVNE A KVANTITATÍVNE ZLOŽENIE </w:t>
      </w:r>
    </w:p>
    <w:p w:rsidR="00CF3670" w:rsidRPr="00B4462C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250 mg: Každá tableta obsahuje 250 mg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vo forme </w:t>
      </w:r>
      <w:proofErr w:type="spellStart"/>
      <w:r w:rsidRPr="00B4462C">
        <w:rPr>
          <w:sz w:val="22"/>
          <w:szCs w:val="22"/>
          <w:lang w:val="sk-SK"/>
        </w:rPr>
        <w:t>ciprofloxacíniumchloridu</w:t>
      </w:r>
      <w:proofErr w:type="spellEnd"/>
      <w:r w:rsidRPr="00B4462C">
        <w:rPr>
          <w:sz w:val="22"/>
          <w:szCs w:val="22"/>
          <w:lang w:val="sk-SK"/>
        </w:rPr>
        <w:t>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500 mg: Každá tableta obsahuje 500 mg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vo forme </w:t>
      </w:r>
      <w:proofErr w:type="spellStart"/>
      <w:r w:rsidRPr="00B4462C">
        <w:rPr>
          <w:sz w:val="22"/>
          <w:szCs w:val="22"/>
          <w:lang w:val="sk-SK"/>
        </w:rPr>
        <w:t>ciprofloxacíniumchloridu</w:t>
      </w:r>
      <w:proofErr w:type="spellEnd"/>
      <w:r w:rsidRPr="00B4462C">
        <w:rPr>
          <w:sz w:val="22"/>
          <w:szCs w:val="22"/>
          <w:lang w:val="sk-SK"/>
        </w:rPr>
        <w:t>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750 mg: Každá tableta obsahuje 750 mg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vo forme </w:t>
      </w:r>
      <w:proofErr w:type="spellStart"/>
      <w:r w:rsidRPr="00B4462C">
        <w:rPr>
          <w:sz w:val="22"/>
          <w:szCs w:val="22"/>
          <w:lang w:val="sk-SK"/>
        </w:rPr>
        <w:t>ciprofloxacíniumchloridu</w:t>
      </w:r>
      <w:proofErr w:type="spellEnd"/>
      <w:r w:rsidRPr="00B4462C">
        <w:rPr>
          <w:sz w:val="22"/>
          <w:szCs w:val="22"/>
          <w:lang w:val="sk-SK"/>
        </w:rPr>
        <w:t>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Úplný zoznam pomocných látok, pozri časť</w:t>
      </w:r>
      <w:r w:rsidRPr="00B4462C">
        <w:rPr>
          <w:szCs w:val="22"/>
          <w:lang w:val="sk-SK"/>
        </w:rPr>
        <w:t xml:space="preserve"> </w:t>
      </w:r>
      <w:r w:rsidRPr="00B4462C">
        <w:rPr>
          <w:sz w:val="22"/>
          <w:szCs w:val="22"/>
          <w:lang w:val="sk-SK"/>
        </w:rPr>
        <w:t>6.1.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3.</w:t>
      </w:r>
      <w:r w:rsidRPr="00B4462C">
        <w:rPr>
          <w:b/>
          <w:sz w:val="22"/>
          <w:szCs w:val="22"/>
          <w:lang w:val="sk-SK"/>
        </w:rPr>
        <w:tab/>
      </w:r>
      <w:r w:rsidRPr="00B4462C">
        <w:rPr>
          <w:b/>
          <w:caps/>
          <w:sz w:val="22"/>
          <w:szCs w:val="22"/>
          <w:lang w:val="sk-SK"/>
        </w:rPr>
        <w:t>Lieková forma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bCs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Filmom obalená tableta.</w:t>
      </w:r>
    </w:p>
    <w:p w:rsidR="00CF3670" w:rsidRPr="00B4462C" w:rsidRDefault="00CF3670" w:rsidP="00B65191">
      <w:pPr>
        <w:widowControl w:val="0"/>
        <w:suppressAutoHyphens/>
        <w:rPr>
          <w:sz w:val="22"/>
          <w:szCs w:val="22"/>
          <w:highlight w:val="lightGray"/>
          <w:lang w:val="sk-SK"/>
        </w:rPr>
      </w:pPr>
    </w:p>
    <w:p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250 mg: Biele, bikonvexné, okrúhle filmom obalené tablety s označením “CIP </w:t>
      </w:r>
      <w:smartTag w:uri="urn:schemas-microsoft-com:office:smarttags" w:element="metricconverter">
        <w:smartTagPr>
          <w:attr w:name="ProductID" w:val="250”"/>
        </w:smartTagPr>
        <w:r w:rsidRPr="00B4462C">
          <w:rPr>
            <w:sz w:val="22"/>
            <w:szCs w:val="22"/>
            <w:lang w:val="sk-SK"/>
          </w:rPr>
          <w:t>250”</w:t>
        </w:r>
      </w:smartTag>
      <w:r w:rsidRPr="00B4462C">
        <w:rPr>
          <w:sz w:val="22"/>
          <w:szCs w:val="22"/>
          <w:lang w:val="sk-SK"/>
        </w:rPr>
        <w:t xml:space="preserve"> a deliacou ryhou na jednej strane a bez označenia na druhej strane.</w:t>
      </w:r>
    </w:p>
    <w:p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Tableta sa môže rozdeliť na rovnaké polovice.</w:t>
      </w:r>
    </w:p>
    <w:p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500 mg: Biele, oválne filmom obalené tablety s označením “CIP </w:t>
      </w:r>
      <w:smartTag w:uri="urn:schemas-microsoft-com:office:smarttags" w:element="metricconverter">
        <w:smartTagPr>
          <w:attr w:name="ProductID" w:val="500”"/>
        </w:smartTagPr>
        <w:r w:rsidRPr="00B4462C">
          <w:rPr>
            <w:sz w:val="22"/>
            <w:szCs w:val="22"/>
            <w:lang w:val="sk-SK"/>
          </w:rPr>
          <w:t>500”</w:t>
        </w:r>
      </w:smartTag>
      <w:r w:rsidRPr="00B4462C">
        <w:rPr>
          <w:sz w:val="22"/>
          <w:szCs w:val="22"/>
          <w:lang w:val="sk-SK"/>
        </w:rPr>
        <w:t xml:space="preserve"> a deliacou ryhou na jednej strane a bez označenia na druhej strane.</w:t>
      </w:r>
    </w:p>
    <w:p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Tableta sa môže rozdeliť na rovnaké polovice.</w:t>
      </w:r>
    </w:p>
    <w:p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750 mg: Biele, oválne filmom obalené tablety s označením “CIP </w:t>
      </w:r>
      <w:smartTag w:uri="urn:schemas-microsoft-com:office:smarttags" w:element="metricconverter">
        <w:smartTagPr>
          <w:attr w:name="ProductID" w:val="750”"/>
        </w:smartTagPr>
        <w:r w:rsidRPr="00B4462C">
          <w:rPr>
            <w:sz w:val="22"/>
            <w:szCs w:val="22"/>
            <w:lang w:val="sk-SK"/>
          </w:rPr>
          <w:t>750”</w:t>
        </w:r>
      </w:smartTag>
      <w:r w:rsidRPr="00B4462C">
        <w:rPr>
          <w:sz w:val="22"/>
          <w:szCs w:val="22"/>
          <w:lang w:val="sk-SK"/>
        </w:rPr>
        <w:t xml:space="preserve"> na jednej strane a bez označenia na druhej strane.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0125D9">
      <w:pPr>
        <w:ind w:left="567" w:hanging="567"/>
        <w:rPr>
          <w:caps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</w:t>
      </w:r>
      <w:r w:rsidRPr="00B4462C">
        <w:rPr>
          <w:b/>
          <w:sz w:val="22"/>
          <w:szCs w:val="22"/>
          <w:lang w:val="sk-SK"/>
        </w:rPr>
        <w:tab/>
      </w:r>
      <w:r w:rsidRPr="00B4462C">
        <w:rPr>
          <w:b/>
          <w:caps/>
          <w:sz w:val="22"/>
          <w:szCs w:val="22"/>
          <w:lang w:val="sk-SK"/>
        </w:rPr>
        <w:t>KLINICKÉ ÚDAJE</w:t>
      </w:r>
    </w:p>
    <w:p w:rsidR="00CF3670" w:rsidRPr="00B4462C" w:rsidRDefault="00CF3670" w:rsidP="000125D9">
      <w:pPr>
        <w:keepNext/>
        <w:widowControl w:val="0"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</w:p>
    <w:p w:rsidR="00CF3670" w:rsidRPr="00B4462C" w:rsidRDefault="00CF3670" w:rsidP="000125D9">
      <w:pPr>
        <w:keepNext/>
        <w:widowControl w:val="0"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4.1</w:t>
      </w:r>
      <w:r w:rsidRPr="00B4462C">
        <w:rPr>
          <w:b/>
          <w:sz w:val="22"/>
          <w:szCs w:val="22"/>
          <w:lang w:val="sk-SK"/>
        </w:rPr>
        <w:tab/>
        <w:t>Terapeutické indikácie</w:t>
      </w: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Ciprofloxacin-Teva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filmom obalené tablety sú indikované na liečbu nasledujúcich infekcií (pozri časti 4.4 a 5.1). Pred začatím liečby sa má venovať zvláštna pozornosť dostupným informáciám o rezistencii voči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.</w:t>
      </w:r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:rsidR="00CF3670" w:rsidRPr="00B4462C" w:rsidRDefault="00CF3670" w:rsidP="00953B3C">
      <w:pPr>
        <w:pStyle w:val="Zkladntext2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Majú byť zohľadnené oficiálne odporúčania vzhľadom na primerané použitie antibiotík.</w:t>
      </w: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:rsidR="00CF3670" w:rsidRPr="00B4462C" w:rsidRDefault="00CF3670" w:rsidP="00B4462C">
      <w:pPr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Dospelí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Infekcie dolných dýchacích ciest vyvolané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gramnegatívnymi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baktériami. 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Exacerbácie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chronického obštrukčného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pulmonálneho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ochorenia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Broncho-pulmonálne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infekcie pri cystickej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fibróze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alebo pri bronchiektázii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Pneumónia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Chronický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supuratívny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zápal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otitis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media</w:t>
      </w:r>
      <w:proofErr w:type="spellEnd"/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Akútna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exacerbácia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chronickej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sínusitídy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, najmä vyvolanej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gramnegatívnymi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baktériami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Infekcie močových ciest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Gonokoková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uretritída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 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cervicitída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vyvolaná druhom </w:t>
      </w:r>
      <w:proofErr w:type="spellStart"/>
      <w:r w:rsidR="00FF42B8" w:rsidRPr="00FF42B8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="00FF42B8" w:rsidRPr="00FF42B8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gonorrhoeae</w:t>
      </w:r>
      <w:proofErr w:type="spellEnd"/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Epididymálna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orchitída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zahŕňajúca prípady vyvolané druhom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gonorrhoaea</w:t>
      </w:r>
      <w:proofErr w:type="spellEnd"/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Zápalové ochorenie panvy, vrátane prípadov spôsobených druhom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gonorrhoeae</w:t>
      </w:r>
      <w:proofErr w:type="spellEnd"/>
    </w:p>
    <w:p w:rsidR="00CF3670" w:rsidRPr="00B4462C" w:rsidRDefault="00CF3670" w:rsidP="007913A0">
      <w:pPr>
        <w:pStyle w:val="Zkladntext2"/>
        <w:tabs>
          <w:tab w:val="left" w:pos="142"/>
        </w:tabs>
        <w:ind w:left="142" w:hanging="14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lastRenderedPageBreak/>
        <w:tab/>
        <w:t xml:space="preserve">V prípadoch, že sú vyššie uvedené infekcie pohlavných orgánov pravdepodobne vyvolané druhom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gonorrhoeae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alebo je patogén potvrdený, je obzvlášť dôležité získať miestne informácie o 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prevalencii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rezistencie voči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 potvrdiť citlivosť na základe laboratórnych testov.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Infekcie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gastrointestinálneho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traktu (napr. cestovateľská hnačka)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Intraabdominálne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infekcie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Infekcie kože a mäkkých tkanív vyvolané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gramnegatívnymi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baktériami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Malígny zápal vonkajšieho ucha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Infekcie kostí a kĺbov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Liečba infekcií u 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neutropenických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pacientov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Profylaxia infekcií u 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neutropenických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pacientov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Profylaxia invazívnych infekcií vyvolaných druhom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meningitidis</w:t>
      </w:r>
      <w:proofErr w:type="spellEnd"/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Inhalácia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antraxu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(profylaxia a liečba stavov po expozícii).</w:t>
      </w:r>
    </w:p>
    <w:p w:rsidR="00CF3670" w:rsidRPr="00B4462C" w:rsidRDefault="00CF3670" w:rsidP="00B4462C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     </w:t>
      </w:r>
    </w:p>
    <w:p w:rsidR="00CF3670" w:rsidRPr="00B4462C" w:rsidRDefault="00CF3670" w:rsidP="00B4462C">
      <w:pPr>
        <w:keepNext/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Deti a adolescenti</w:t>
      </w:r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-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Broncho-pulmonálne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infekcie pri cystickej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fibróze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vyvolané druhom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Pseudomonas</w:t>
      </w:r>
      <w:proofErr w:type="spellEnd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aerugino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sa</w:t>
      </w:r>
      <w:proofErr w:type="spellEnd"/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 Komplikované infekcie močových ciest a 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pyelonefritída</w:t>
      </w:r>
      <w:proofErr w:type="spellEnd"/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- Inhalácia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antraxu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(profylaxia a liečba stavov po expozícii).</w:t>
      </w:r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sa môže použiť na liečbu závažných infekcií u detí a adolescentov, ak je to nevyhnutné.</w:t>
      </w:r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Terapiu má začať len lekár so skúsenosťami s liečbou cystickej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fibrózy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a/alebo závažných infekcií u detí a adolescentov (pozri časti 4.4 a 5.1). </w:t>
      </w:r>
    </w:p>
    <w:p w:rsidR="00CF3670" w:rsidRPr="00B4462C" w:rsidRDefault="00CF3670" w:rsidP="00B4462C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4.2</w:t>
      </w:r>
      <w:r w:rsidRPr="00B4462C">
        <w:rPr>
          <w:b/>
          <w:sz w:val="22"/>
          <w:szCs w:val="22"/>
          <w:lang w:val="sk-SK"/>
        </w:rPr>
        <w:tab/>
        <w:t>Dávkovanie a spôsob podávania</w:t>
      </w:r>
    </w:p>
    <w:p w:rsidR="00CF3670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FC60DC" w:rsidRDefault="00CF3670" w:rsidP="00B65191">
      <w:pPr>
        <w:widowControl w:val="0"/>
        <w:rPr>
          <w:i/>
          <w:sz w:val="22"/>
          <w:szCs w:val="22"/>
          <w:lang w:val="sk-SK"/>
        </w:rPr>
      </w:pPr>
      <w:r w:rsidRPr="008928B7">
        <w:rPr>
          <w:i/>
          <w:sz w:val="22"/>
          <w:szCs w:val="22"/>
          <w:lang w:val="sk-SK"/>
        </w:rPr>
        <w:t>Dávkovanie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Dávkovanie závisí od indikácie, závažnosti a miesta infekcie, citlivosti organizmu (organizmov) na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, </w:t>
      </w:r>
      <w:proofErr w:type="spellStart"/>
      <w:r w:rsidRPr="00B4462C">
        <w:rPr>
          <w:sz w:val="22"/>
          <w:szCs w:val="22"/>
          <w:lang w:val="sk-SK"/>
        </w:rPr>
        <w:t>renálnej</w:t>
      </w:r>
      <w:proofErr w:type="spellEnd"/>
      <w:r w:rsidRPr="00B4462C">
        <w:rPr>
          <w:sz w:val="22"/>
          <w:szCs w:val="22"/>
          <w:lang w:val="sk-SK"/>
        </w:rPr>
        <w:t xml:space="preserve"> funkcie pacienta a u detí a adolescentov od ich telesnej hmotnosti.</w:t>
      </w:r>
    </w:p>
    <w:p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Dĺžka liečby závisí od závažnosti ochorenia a od klinického i bakteriologického postupu. </w:t>
      </w:r>
    </w:p>
    <w:p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Liečba infekcií vyvolaných určitými baktériami (napr. </w:t>
      </w:r>
      <w:proofErr w:type="spellStart"/>
      <w:r w:rsidRPr="00B4462C">
        <w:rPr>
          <w:i/>
          <w:sz w:val="22"/>
          <w:szCs w:val="22"/>
          <w:lang w:val="sk-SK"/>
        </w:rPr>
        <w:t>Pseudomonas</w:t>
      </w:r>
      <w:proofErr w:type="spellEnd"/>
      <w:r w:rsidRPr="00B4462C">
        <w:rPr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sz w:val="22"/>
          <w:szCs w:val="22"/>
          <w:lang w:val="sk-SK"/>
        </w:rPr>
        <w:t>aeruginosa</w:t>
      </w:r>
      <w:proofErr w:type="spellEnd"/>
      <w:r w:rsidRPr="00B4462C">
        <w:rPr>
          <w:i/>
          <w:sz w:val="22"/>
          <w:szCs w:val="22"/>
          <w:lang w:val="sk-SK"/>
        </w:rPr>
        <w:t xml:space="preserve">, </w:t>
      </w:r>
      <w:proofErr w:type="spellStart"/>
      <w:r w:rsidRPr="00B4462C">
        <w:rPr>
          <w:i/>
          <w:sz w:val="22"/>
          <w:szCs w:val="22"/>
          <w:lang w:val="sk-SK"/>
        </w:rPr>
        <w:t>Acinetobacter</w:t>
      </w:r>
      <w:proofErr w:type="spellEnd"/>
      <w:r w:rsidRPr="00B4462C">
        <w:rPr>
          <w:sz w:val="22"/>
          <w:szCs w:val="22"/>
          <w:lang w:val="sk-SK"/>
        </w:rPr>
        <w:t xml:space="preserve"> alebo </w:t>
      </w:r>
      <w:proofErr w:type="spellStart"/>
      <w:r w:rsidRPr="00B4462C">
        <w:rPr>
          <w:i/>
          <w:sz w:val="22"/>
          <w:szCs w:val="22"/>
          <w:lang w:val="sk-SK"/>
        </w:rPr>
        <w:t>Staphylococci</w:t>
      </w:r>
      <w:proofErr w:type="spellEnd"/>
      <w:r w:rsidRPr="00B4462C">
        <w:rPr>
          <w:sz w:val="22"/>
          <w:szCs w:val="22"/>
          <w:lang w:val="sk-SK"/>
        </w:rPr>
        <w:t xml:space="preserve">) môže vyžadovať vyššie dávky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a súbežné podávanie iných vhodných antibiotík.</w:t>
      </w:r>
    </w:p>
    <w:p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Liečba niektorých infekcií (napr. zápalové ochorenie panvy, </w:t>
      </w:r>
      <w:proofErr w:type="spellStart"/>
      <w:r w:rsidRPr="00B4462C">
        <w:rPr>
          <w:sz w:val="22"/>
          <w:szCs w:val="22"/>
          <w:lang w:val="sk-SK"/>
        </w:rPr>
        <w:t>intraabdominálne</w:t>
      </w:r>
      <w:proofErr w:type="spellEnd"/>
      <w:r w:rsidRPr="00B4462C">
        <w:rPr>
          <w:sz w:val="22"/>
          <w:szCs w:val="22"/>
          <w:lang w:val="sk-SK"/>
        </w:rPr>
        <w:t xml:space="preserve"> infekcie, infekcie u </w:t>
      </w:r>
      <w:proofErr w:type="spellStart"/>
      <w:r w:rsidRPr="00B4462C">
        <w:rPr>
          <w:sz w:val="22"/>
          <w:szCs w:val="22"/>
          <w:lang w:val="sk-SK"/>
        </w:rPr>
        <w:t>neutropenických</w:t>
      </w:r>
      <w:proofErr w:type="spellEnd"/>
      <w:r w:rsidRPr="00B4462C">
        <w:rPr>
          <w:sz w:val="22"/>
          <w:szCs w:val="22"/>
          <w:lang w:val="sk-SK"/>
        </w:rPr>
        <w:t xml:space="preserve"> pacientov a infekcie kostí a kĺbov) môže vyžadovať súbežné podávanie iných vhodných antibiotík v závislosti od konkrétnych patogénov.</w:t>
      </w: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Dospelí:</w:t>
      </w:r>
      <w:r w:rsidRPr="00B4462C">
        <w:rPr>
          <w:b/>
          <w:sz w:val="22"/>
          <w:szCs w:val="22"/>
          <w:lang w:val="sk-SK"/>
        </w:rPr>
        <w:t xml:space="preserve">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2835"/>
        <w:gridCol w:w="2976"/>
      </w:tblGrid>
      <w:tr w:rsidR="00CF3670" w:rsidRPr="00B4462C">
        <w:tc>
          <w:tcPr>
            <w:tcW w:w="3261" w:type="dxa"/>
          </w:tcPr>
          <w:p w:rsidR="00CF3670" w:rsidRPr="00B4462C" w:rsidRDefault="00CF3670" w:rsidP="003A5431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r w:rsidRPr="00B4462C">
              <w:rPr>
                <w:b/>
                <w:sz w:val="22"/>
                <w:szCs w:val="22"/>
                <w:lang w:val="sk-SK"/>
              </w:rPr>
              <w:t>Indikácie</w:t>
            </w:r>
          </w:p>
        </w:tc>
        <w:tc>
          <w:tcPr>
            <w:tcW w:w="2835" w:type="dxa"/>
          </w:tcPr>
          <w:p w:rsidR="00CF3670" w:rsidRPr="00B4462C" w:rsidRDefault="00CF3670" w:rsidP="003A5431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r w:rsidRPr="00B4462C">
              <w:rPr>
                <w:b/>
                <w:sz w:val="22"/>
                <w:szCs w:val="22"/>
                <w:lang w:val="sk-SK"/>
              </w:rPr>
              <w:t>Denná dávka v mg</w:t>
            </w:r>
          </w:p>
        </w:tc>
        <w:tc>
          <w:tcPr>
            <w:tcW w:w="2976" w:type="dxa"/>
          </w:tcPr>
          <w:p w:rsidR="00CF3670" w:rsidRPr="00B4462C" w:rsidRDefault="00CF3670" w:rsidP="003A5431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r w:rsidRPr="00B4462C">
              <w:rPr>
                <w:b/>
                <w:sz w:val="22"/>
                <w:szCs w:val="22"/>
                <w:lang w:val="sk-SK"/>
              </w:rPr>
              <w:t xml:space="preserve">Celková dĺžka liečby (prípadne zahŕňajúca počiatočnú </w:t>
            </w:r>
            <w:proofErr w:type="spellStart"/>
            <w:r w:rsidRPr="00B4462C">
              <w:rPr>
                <w:b/>
                <w:sz w:val="22"/>
                <w:szCs w:val="22"/>
                <w:lang w:val="sk-SK"/>
              </w:rPr>
              <w:t>parenterálnu</w:t>
            </w:r>
            <w:proofErr w:type="spellEnd"/>
            <w:r w:rsidRPr="00B4462C">
              <w:rPr>
                <w:b/>
                <w:sz w:val="22"/>
                <w:szCs w:val="22"/>
                <w:lang w:val="sk-SK"/>
              </w:rPr>
              <w:t xml:space="preserve"> liečbu </w:t>
            </w:r>
            <w:proofErr w:type="spellStart"/>
            <w:r w:rsidRPr="00B4462C">
              <w:rPr>
                <w:b/>
                <w:sz w:val="22"/>
                <w:szCs w:val="22"/>
                <w:lang w:val="sk-SK"/>
              </w:rPr>
              <w:t>ciprofloxacínom</w:t>
            </w:r>
            <w:proofErr w:type="spellEnd"/>
            <w:r w:rsidRPr="00B4462C">
              <w:rPr>
                <w:b/>
                <w:sz w:val="22"/>
                <w:szCs w:val="22"/>
                <w:lang w:val="sk-SK"/>
              </w:rPr>
              <w:t>)</w:t>
            </w:r>
          </w:p>
        </w:tc>
      </w:tr>
      <w:tr w:rsidR="00CF3670" w:rsidRPr="00B4462C">
        <w:tc>
          <w:tcPr>
            <w:tcW w:w="3261" w:type="dxa"/>
          </w:tcPr>
          <w:p w:rsidR="00CF3670" w:rsidRPr="00B4462C" w:rsidRDefault="00CF3670" w:rsidP="003A5431">
            <w:pPr>
              <w:widowControl w:val="0"/>
              <w:rPr>
                <w:sz w:val="22"/>
                <w:szCs w:val="22"/>
                <w:lang w:val="sk-SK"/>
              </w:rPr>
            </w:pPr>
            <w:r w:rsidRPr="00B4462C">
              <w:rPr>
                <w:sz w:val="22"/>
                <w:szCs w:val="22"/>
                <w:lang w:val="sk-SK"/>
              </w:rPr>
              <w:t xml:space="preserve">Infekcie dolných dýchacích ciest </w:t>
            </w:r>
          </w:p>
        </w:tc>
        <w:tc>
          <w:tcPr>
            <w:tcW w:w="2835" w:type="dxa"/>
          </w:tcPr>
          <w:p w:rsidR="00CF3670" w:rsidRPr="00B4462C" w:rsidRDefault="00CF3670" w:rsidP="003A5431">
            <w:pPr>
              <w:widowControl w:val="0"/>
              <w:rPr>
                <w:sz w:val="22"/>
                <w:szCs w:val="22"/>
                <w:lang w:val="sk-SK"/>
              </w:rPr>
            </w:pPr>
            <w:r w:rsidRPr="00B4462C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2976" w:type="dxa"/>
          </w:tcPr>
          <w:p w:rsidR="00CF3670" w:rsidRPr="00B4462C" w:rsidRDefault="00CF3670" w:rsidP="003A5431">
            <w:pPr>
              <w:widowControl w:val="0"/>
              <w:rPr>
                <w:sz w:val="22"/>
                <w:szCs w:val="22"/>
                <w:lang w:val="sk-SK"/>
              </w:rPr>
            </w:pPr>
            <w:r w:rsidRPr="00B4462C">
              <w:rPr>
                <w:sz w:val="22"/>
                <w:szCs w:val="22"/>
                <w:lang w:val="sk-SK"/>
              </w:rPr>
              <w:t>7 až 14 dní</w:t>
            </w:r>
          </w:p>
          <w:p w:rsidR="00CF3670" w:rsidRPr="00B4462C" w:rsidRDefault="00CF3670" w:rsidP="003A5431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</w:tr>
    </w:tbl>
    <w:p w:rsidR="00CF3670" w:rsidRPr="00672462" w:rsidRDefault="00CF3670" w:rsidP="00672462">
      <w:pPr>
        <w:rPr>
          <w:vanish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1276"/>
        <w:gridCol w:w="1985"/>
        <w:gridCol w:w="2835"/>
        <w:gridCol w:w="3083"/>
      </w:tblGrid>
      <w:tr w:rsidR="00CF3670" w:rsidRPr="00672462" w:rsidTr="00CF3670">
        <w:tc>
          <w:tcPr>
            <w:tcW w:w="1276" w:type="dxa"/>
            <w:vMerge w:val="restart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hanging="29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Infekcie horných dýchacích ciest</w:t>
            </w: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Akútna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chronickej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sínusitídy</w:t>
            </w:r>
            <w:proofErr w:type="spellEnd"/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až 14 dní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Chronický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supuratívny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zápal stredného ucha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až 14 dní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Malígny zápal vonkajšieho ucha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750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28 dní až 3 mesiace</w:t>
            </w:r>
          </w:p>
        </w:tc>
      </w:tr>
      <w:tr w:rsidR="00CF3670" w:rsidRPr="00672462" w:rsidTr="00CF3670">
        <w:tc>
          <w:tcPr>
            <w:tcW w:w="1276" w:type="dxa"/>
            <w:vMerge w:val="restart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lastRenderedPageBreak/>
              <w:t>Infekcie močových ciest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vMerge w:val="restart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34" w:hanging="34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Nekomplikovaná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cystitída</w:t>
            </w:r>
            <w:proofErr w:type="spellEnd"/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 mg dvakrát denne až 500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3 dni 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5918" w:type="dxa"/>
            <w:gridSpan w:val="2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U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premenopauzálnych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žien sa môže použiť jednorazová dávka 500 mg</w:t>
            </w: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34" w:hanging="34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Komplikovaná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cystitída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>,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nekomplikovaná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pyelonefritída</w:t>
            </w:r>
            <w:proofErr w:type="spellEnd"/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dní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Komplikovaná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pyelonefritída</w:t>
            </w:r>
            <w:proofErr w:type="spellEnd"/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minimálne 10 dní, za určitých zvláštnych okolností (ako je absces) môže liečba pokračovať dlhšie ako 21 dní</w:t>
            </w: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Prostatitída</w:t>
            </w:r>
            <w:proofErr w:type="spellEnd"/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 až 4 týždne (akútna), 4 až 6 týždňov (chronická)</w:t>
            </w:r>
          </w:p>
        </w:tc>
      </w:tr>
      <w:tr w:rsidR="00CF3670" w:rsidRPr="00672462" w:rsidTr="00CF3670">
        <w:tc>
          <w:tcPr>
            <w:tcW w:w="1276" w:type="dxa"/>
            <w:vMerge w:val="restart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Infekcie pohlavných orgánov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Gonokoková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uretritída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cervicitída</w:t>
            </w:r>
            <w:proofErr w:type="spellEnd"/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jednorazová dávka 500 mg 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 deň (jednorazová dávka)</w:t>
            </w: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Epididymálna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orchititída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a zápalové ochorenie panvy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minimálne 14 dní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1276" w:type="dxa"/>
            <w:vMerge w:val="restart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Infekcie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traktu a 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intraabdominálne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infekcie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Hnačka vyvolaná patogénmi, vrátane druhov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Shigella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inými ako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Shigella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dysenteriae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typ </w:t>
            </w:r>
            <w:smartTag w:uri="urn:schemas-microsoft-com:office:smarttags" w:element="metricconverter">
              <w:smartTagPr>
                <w:attr w:name="ProductID" w:val="1 a"/>
              </w:smartTagPr>
              <w:r w:rsidRPr="00672462">
                <w:rPr>
                  <w:sz w:val="22"/>
                  <w:szCs w:val="22"/>
                  <w:lang w:val="sk-SK"/>
                </w:rPr>
                <w:t>1 a</w:t>
              </w:r>
            </w:smartTag>
            <w:r w:rsidRPr="00672462">
              <w:rPr>
                <w:sz w:val="22"/>
                <w:szCs w:val="22"/>
                <w:lang w:val="sk-SK"/>
              </w:rPr>
              <w:t xml:space="preserve"> empirická liečba závažnej cestovateľskej hnačky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 deň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Hnačka vyvolaná druhom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Shigella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dysenteriae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r w:rsidRPr="00672462">
              <w:rPr>
                <w:sz w:val="22"/>
                <w:szCs w:val="22"/>
                <w:lang w:val="sk-SK"/>
              </w:rPr>
              <w:t>typ 1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 dní</w:t>
            </w: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Hnačka vyvolaná druhom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Vibrio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cholerae</w:t>
            </w:r>
            <w:proofErr w:type="spellEnd"/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3 dni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Tyfózna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horúčka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500ﾠg"/>
              </w:smartTagPr>
              <w:r w:rsidRPr="00672462">
                <w:rPr>
                  <w:sz w:val="22"/>
                  <w:szCs w:val="22"/>
                  <w:lang w:val="sk-SK"/>
                </w:rPr>
                <w:t>500 g</w:t>
              </w:r>
            </w:smartTag>
            <w:r w:rsidRPr="00672462">
              <w:rPr>
                <w:sz w:val="22"/>
                <w:szCs w:val="22"/>
                <w:lang w:val="sk-SK"/>
              </w:rPr>
              <w:t xml:space="preserve">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dní</w:t>
            </w: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Intraabdominálne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infekcie vyvolané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gramnegatívnymi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baktériami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 až 14 dní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3261" w:type="dxa"/>
            <w:gridSpan w:val="2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Infekcie kože a mäkkých tkanív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až 14 dní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3261" w:type="dxa"/>
            <w:gridSpan w:val="2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lastRenderedPageBreak/>
              <w:t>Infekcie kostí a kĺbov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maximálne 3 mesiace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3261" w:type="dxa"/>
            <w:gridSpan w:val="2"/>
          </w:tcPr>
          <w:p w:rsidR="00CF3670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Neutropenickí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pacienti s horúčkou , ktorá je pravdepodobne  dôsledkom bakteriálnej infekcie.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C</w:t>
            </w:r>
            <w:r w:rsidRPr="00672462">
              <w:rPr>
                <w:sz w:val="22"/>
                <w:szCs w:val="22"/>
                <w:lang w:val="sk-SK"/>
              </w:rPr>
              <w:t>iprofloxacín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 xml:space="preserve">sa má </w:t>
            </w:r>
            <w:r w:rsidRPr="00672462">
              <w:rPr>
                <w:sz w:val="22"/>
                <w:szCs w:val="22"/>
                <w:lang w:val="sk-SK"/>
              </w:rPr>
              <w:t>podávať súbežne s vhodným antibiotikom (antibiotikami) podľa oficiálnych odporúčaní.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500 mg dvakrát denne až 750 mg dvakrát denne 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Terapia má pokračovať počas celého obdobia trvania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neutropénie</w:t>
            </w:r>
            <w:proofErr w:type="spellEnd"/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3261" w:type="dxa"/>
            <w:gridSpan w:val="2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Profylaxia invazívnych infekcií vyvolaných druhom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Neisseria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meningitidis</w:t>
            </w:r>
            <w:proofErr w:type="spellEnd"/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jednorazová dávka 500 mg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 deň (jednorazová dávka)</w:t>
            </w:r>
          </w:p>
        </w:tc>
      </w:tr>
      <w:tr w:rsidR="00CF3670" w:rsidRPr="00672462" w:rsidTr="00CF3670">
        <w:tc>
          <w:tcPr>
            <w:tcW w:w="3261" w:type="dxa"/>
            <w:gridSpan w:val="2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Inhalácia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antraxu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, profylaxia po expozícii a liečba ľudí, ktorým je možné podávať liek perorálne, ak je to klinicky vhodné. Podávanie lieku má začať hneď ako je to možné po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suspektnej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alebo potvrdenej expozícii.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60 dní po potvrdení expozície druhu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Bacillus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anthracis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</w:tbl>
    <w:p w:rsidR="00CF3670" w:rsidRDefault="00CF3670" w:rsidP="00B4462C">
      <w:pPr>
        <w:widowControl w:val="0"/>
        <w:rPr>
          <w:sz w:val="22"/>
          <w:szCs w:val="22"/>
          <w:lang w:val="sk-SK"/>
        </w:rPr>
      </w:pPr>
    </w:p>
    <w:p w:rsidR="00CF3670" w:rsidRPr="00FC60DC" w:rsidRDefault="00CF3670" w:rsidP="00B4462C">
      <w:pPr>
        <w:widowControl w:val="0"/>
        <w:rPr>
          <w:sz w:val="22"/>
          <w:szCs w:val="22"/>
          <w:lang w:val="sk-SK"/>
        </w:rPr>
      </w:pPr>
      <w:r w:rsidRPr="000F4320">
        <w:rPr>
          <w:sz w:val="22"/>
          <w:szCs w:val="22"/>
          <w:lang w:val="sk-SK"/>
        </w:rPr>
        <w:t>Osobitné populácie</w:t>
      </w:r>
    </w:p>
    <w:p w:rsidR="00CF3670" w:rsidRPr="00FC60DC" w:rsidRDefault="00CF3670" w:rsidP="00B4462C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4462C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FC60DC">
        <w:rPr>
          <w:i/>
          <w:sz w:val="22"/>
          <w:szCs w:val="22"/>
          <w:lang w:val="sk-SK"/>
        </w:rPr>
        <w:t>Pediatrická populácia</w:t>
      </w:r>
    </w:p>
    <w:p w:rsidR="00CF3670" w:rsidRPr="00B4462C" w:rsidRDefault="00CF3670" w:rsidP="00B4462C">
      <w:pPr>
        <w:widowControl w:val="0"/>
        <w:rPr>
          <w:sz w:val="22"/>
          <w:szCs w:val="22"/>
          <w:lang w:val="sk-SK"/>
        </w:rPr>
      </w:pPr>
    </w:p>
    <w:tbl>
      <w:tblPr>
        <w:tblW w:w="0" w:type="auto"/>
        <w:tblLook w:val="01E0"/>
      </w:tblPr>
      <w:tblGrid>
        <w:gridCol w:w="2807"/>
        <w:gridCol w:w="3384"/>
        <w:gridCol w:w="3096"/>
      </w:tblGrid>
      <w:tr w:rsidR="00CF3670" w:rsidRPr="00672462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b/>
                <w:sz w:val="22"/>
                <w:szCs w:val="22"/>
                <w:lang w:val="sk-SK"/>
              </w:rPr>
            </w:pPr>
            <w:r w:rsidRPr="00672462">
              <w:rPr>
                <w:b/>
                <w:sz w:val="22"/>
                <w:szCs w:val="22"/>
                <w:lang w:val="sk-SK"/>
              </w:rPr>
              <w:t>Indikácie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b/>
                <w:sz w:val="22"/>
                <w:szCs w:val="22"/>
                <w:lang w:val="sk-SK"/>
              </w:rPr>
            </w:pPr>
            <w:r w:rsidRPr="00672462">
              <w:rPr>
                <w:b/>
                <w:sz w:val="22"/>
                <w:szCs w:val="22"/>
                <w:lang w:val="sk-SK"/>
              </w:rPr>
              <w:t>Denná dávka v mg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b/>
                <w:sz w:val="22"/>
                <w:szCs w:val="22"/>
                <w:lang w:val="sk-SK"/>
              </w:rPr>
            </w:pPr>
            <w:r w:rsidRPr="00672462">
              <w:rPr>
                <w:b/>
                <w:sz w:val="22"/>
                <w:szCs w:val="22"/>
                <w:lang w:val="sk-SK"/>
              </w:rPr>
              <w:t xml:space="preserve">Celková dĺžka liečby (prípadne zahŕňajúca počiatočnú </w:t>
            </w:r>
            <w:proofErr w:type="spellStart"/>
            <w:r w:rsidRPr="00672462">
              <w:rPr>
                <w:b/>
                <w:sz w:val="22"/>
                <w:szCs w:val="22"/>
                <w:lang w:val="sk-SK"/>
              </w:rPr>
              <w:t>parenterálnu</w:t>
            </w:r>
            <w:proofErr w:type="spellEnd"/>
            <w:r w:rsidRPr="00672462">
              <w:rPr>
                <w:b/>
                <w:sz w:val="22"/>
                <w:szCs w:val="22"/>
                <w:lang w:val="sk-SK"/>
              </w:rPr>
              <w:t xml:space="preserve"> liečbu </w:t>
            </w:r>
            <w:proofErr w:type="spellStart"/>
            <w:r w:rsidRPr="00672462">
              <w:rPr>
                <w:b/>
                <w:sz w:val="22"/>
                <w:szCs w:val="22"/>
                <w:lang w:val="sk-SK"/>
              </w:rPr>
              <w:t>ciprofloxacínom</w:t>
            </w:r>
            <w:proofErr w:type="spellEnd"/>
            <w:r w:rsidRPr="00672462">
              <w:rPr>
                <w:b/>
                <w:sz w:val="22"/>
                <w:szCs w:val="22"/>
                <w:lang w:val="sk-SK"/>
              </w:rPr>
              <w:t>)</w:t>
            </w:r>
          </w:p>
        </w:tc>
      </w:tr>
      <w:tr w:rsidR="00CF3670" w:rsidRPr="00672462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Cystická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fibróza</w:t>
            </w:r>
            <w:proofErr w:type="spellEnd"/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20 mg/kg telesnej hmotnosti dvakrát denne s maximálnou jednorazovou dávkou 750 mg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10 až 14 dní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Komplikované infekcie močových ciest 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pyelonefritída</w:t>
            </w:r>
            <w:proofErr w:type="spellEnd"/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10 mg/kg telesnej hmotnosti dvakrát denne až 20 mg/kg telesnej hmotnosti dvakrát denne s maximálnou jednorazovou dávkou 750 mg.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10 až 21 dní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Inhalácia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antraxu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, profylaxia po expozícii a liečba ľudí, ktorým je možné podávať liek perorálne, ak je to klinicky vhodné. Podávanie lieku má začať hneď ako je to možné po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suspektnej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alebo potvrdenej expozícii.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28" w:hanging="28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10 mg/kg telesnej hmotnosti dvakrát denne až 15 mg/kg telesnej hmotnosti dvakrát denne s maximálnou jednorazovou dávkou 500 mg.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60 dní po potvrdení expozície druhu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Bacillus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anthracis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lastRenderedPageBreak/>
              <w:t>Iné závažné infekcie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28" w:hanging="28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20 mg/kg telesnej hmotnosti dvakrát denne s maximálnou jednorazovou dávkou 750 mg.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podľa typu infekcie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</w:tbl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:rsidR="00CF3670" w:rsidRPr="00B4462C" w:rsidRDefault="00CF3670" w:rsidP="003A5431">
      <w:pPr>
        <w:rPr>
          <w:b/>
          <w:color w:val="000000"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Starší</w:t>
      </w:r>
      <w:r w:rsidRPr="00B4462C">
        <w:rPr>
          <w:i/>
          <w:color w:val="000000"/>
          <w:sz w:val="22"/>
          <w:szCs w:val="22"/>
          <w:lang w:val="sk-SK"/>
        </w:rPr>
        <w:t xml:space="preserve"> pacienti</w:t>
      </w: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Starší pacienti majú dostávať dávky v závislosti od závažnosti infekcie a od </w:t>
      </w:r>
      <w:proofErr w:type="spellStart"/>
      <w:r w:rsidRPr="00B4462C">
        <w:rPr>
          <w:color w:val="000000"/>
          <w:sz w:val="22"/>
          <w:szCs w:val="22"/>
          <w:lang w:val="sk-SK"/>
        </w:rPr>
        <w:t>klírensu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kreatinínu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i/>
          <w:color w:val="000000"/>
          <w:sz w:val="22"/>
          <w:szCs w:val="22"/>
          <w:lang w:val="sk-SK"/>
        </w:rPr>
        <w:t xml:space="preserve">Poškodenie funkcie obličiek 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Odporúčané začiatočné a udržiavacie dávky u pacientov s poruchou funkcie obličiek:</w:t>
      </w:r>
    </w:p>
    <w:p w:rsidR="00CF3670" w:rsidRPr="00B4462C" w:rsidRDefault="00CF3670" w:rsidP="00B65191">
      <w:pPr>
        <w:widowControl w:val="0"/>
        <w:rPr>
          <w:sz w:val="22"/>
          <w:szCs w:val="22"/>
          <w:u w:val="single"/>
          <w:lang w:val="sk-SK"/>
        </w:rPr>
      </w:pPr>
    </w:p>
    <w:tbl>
      <w:tblPr>
        <w:tblW w:w="0" w:type="auto"/>
        <w:tblLook w:val="01E0"/>
      </w:tblPr>
      <w:tblGrid>
        <w:gridCol w:w="3095"/>
        <w:gridCol w:w="3096"/>
        <w:gridCol w:w="3096"/>
      </w:tblGrid>
      <w:tr w:rsidR="00CF3670" w:rsidRPr="00672462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b/>
                <w:bCs/>
                <w:sz w:val="22"/>
                <w:szCs w:val="22"/>
                <w:lang w:val="sk-SK"/>
              </w:rPr>
              <w:t>Klírens</w:t>
            </w:r>
            <w:proofErr w:type="spellEnd"/>
            <w:r w:rsidRPr="00672462">
              <w:rPr>
                <w:b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b/>
                <w:bCs/>
                <w:sz w:val="22"/>
                <w:szCs w:val="22"/>
                <w:lang w:val="sk-SK"/>
              </w:rPr>
              <w:t>kreatinínu</w:t>
            </w:r>
            <w:proofErr w:type="spellEnd"/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(ml/min/1,73 m²)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 xml:space="preserve">sérový </w:t>
            </w:r>
            <w:proofErr w:type="spellStart"/>
            <w:r w:rsidRPr="00672462">
              <w:rPr>
                <w:b/>
                <w:bCs/>
                <w:sz w:val="22"/>
                <w:szCs w:val="22"/>
                <w:lang w:val="sk-SK"/>
              </w:rPr>
              <w:t>kreatinín</w:t>
            </w:r>
            <w:proofErr w:type="spellEnd"/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(µmol/l)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perorálna dávka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(mg)</w:t>
            </w:r>
          </w:p>
        </w:tc>
      </w:tr>
      <w:tr w:rsidR="00CF3670" w:rsidRPr="00672462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&gt; 60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&lt; 124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tabs>
                <w:tab w:val="left" w:pos="0"/>
                <w:tab w:val="left" w:pos="1172"/>
              </w:tabs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pozri zvyčajné dávkovanie</w:t>
            </w:r>
          </w:p>
        </w:tc>
      </w:tr>
      <w:tr w:rsidR="00CF3670" w:rsidRPr="00672462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Cs/>
                <w:sz w:val="22"/>
                <w:szCs w:val="22"/>
                <w:lang w:val="sk-SK"/>
              </w:rPr>
            </w:pPr>
            <w:r w:rsidRPr="00672462">
              <w:rPr>
                <w:bCs/>
                <w:sz w:val="22"/>
                <w:szCs w:val="22"/>
                <w:lang w:val="sk-SK"/>
              </w:rPr>
              <w:t>30-60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124 až 168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tabs>
                <w:tab w:val="left" w:pos="0"/>
              </w:tabs>
              <w:autoSpaceDE w:val="0"/>
              <w:autoSpaceDN w:val="0"/>
              <w:adjustRightInd w:val="0"/>
              <w:spacing w:after="240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250-500 mg každých 12 hodín</w:t>
            </w:r>
          </w:p>
        </w:tc>
      </w:tr>
      <w:tr w:rsidR="00CF3670" w:rsidRPr="00672462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&lt; 30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&gt; 169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tabs>
                <w:tab w:val="left" w:pos="0"/>
                <w:tab w:val="left" w:pos="1172"/>
              </w:tabs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250-500 mg každých 24 hodín</w:t>
            </w:r>
          </w:p>
        </w:tc>
      </w:tr>
      <w:tr w:rsidR="00CF3670" w:rsidRPr="00672462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pacienti na hemodialýze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&gt; 169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tabs>
                <w:tab w:val="left" w:pos="0"/>
                <w:tab w:val="left" w:pos="1172"/>
              </w:tabs>
              <w:autoSpaceDE w:val="0"/>
              <w:autoSpaceDN w:val="0"/>
              <w:adjustRightInd w:val="0"/>
              <w:spacing w:after="240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250-500 mg každých 24 hodín (po dialýze)</w:t>
            </w:r>
          </w:p>
        </w:tc>
      </w:tr>
      <w:tr w:rsidR="00CF3670" w:rsidRPr="00672462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pacienti na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peritoneálnej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dialýze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&gt; 169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tabs>
                <w:tab w:val="left" w:pos="0"/>
                <w:tab w:val="left" w:pos="1172"/>
              </w:tabs>
              <w:autoSpaceDE w:val="0"/>
              <w:autoSpaceDN w:val="0"/>
              <w:adjustRightInd w:val="0"/>
              <w:spacing w:after="240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250-500 mg každých 24 hodín</w:t>
            </w:r>
          </w:p>
        </w:tc>
      </w:tr>
    </w:tbl>
    <w:p w:rsidR="00CF3670" w:rsidRDefault="00CF3670" w:rsidP="00B65191">
      <w:pPr>
        <w:widowControl w:val="0"/>
        <w:rPr>
          <w:sz w:val="22"/>
          <w:szCs w:val="22"/>
          <w:u w:val="single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u w:val="single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Poškodenie funkcie</w:t>
      </w:r>
      <w:r>
        <w:rPr>
          <w:i/>
          <w:color w:val="000000"/>
          <w:sz w:val="22"/>
          <w:szCs w:val="22"/>
          <w:lang w:val="sk-SK"/>
        </w:rPr>
        <w:t xml:space="preserve"> pečene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U pacientov s poškodením funkcie pečene nie je potrebná žiadna úprava dávkovania.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Dávkovanie u detí s poškodenou funkciou obličiek a/alebo pečene nebolo študované.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b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Spôsob</w:t>
      </w:r>
      <w:r w:rsidRPr="00B4462C">
        <w:rPr>
          <w:b/>
          <w:i/>
          <w:sz w:val="22"/>
          <w:szCs w:val="22"/>
          <w:lang w:val="sk-SK"/>
        </w:rPr>
        <w:t xml:space="preserve"> </w:t>
      </w:r>
      <w:r w:rsidRPr="00B4462C">
        <w:rPr>
          <w:i/>
          <w:sz w:val="22"/>
          <w:szCs w:val="22"/>
          <w:lang w:val="sk-SK"/>
        </w:rPr>
        <w:t>podávania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Tablety sa nemajú žuť, majú sa prehĺtať spolu s tekutinou. Môžu sa užívať v akomkoľvek čase, nezávisle od jedla. Užívanie nalačno urýchľuje absorpciu liečiva.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tablety sa nemajú užívať s mliečnymi výrobkami (napr. mlieko, jogurt) alebo ovocným džúsom s obsahom minerálov (napr. pomarančový džús obsahujúci kalcium) (pozri časť 4.5).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V závažných prípadoch alebo ak pacient nie je schopný užívať tablety (napr. pacienti dostávajúci umelú výživu) sa odporúča začať liečbu </w:t>
      </w:r>
      <w:proofErr w:type="spellStart"/>
      <w:r w:rsidRPr="00B4462C">
        <w:rPr>
          <w:sz w:val="22"/>
          <w:szCs w:val="22"/>
          <w:lang w:val="sk-SK"/>
        </w:rPr>
        <w:t>ciprofloxacínom</w:t>
      </w:r>
      <w:proofErr w:type="spellEnd"/>
      <w:r w:rsidRPr="00B4462C">
        <w:rPr>
          <w:sz w:val="22"/>
          <w:szCs w:val="22"/>
          <w:lang w:val="sk-SK"/>
        </w:rPr>
        <w:t xml:space="preserve"> intravenózne a pokračovať s intravenóznym podávaním, kým nie je možný prechod na perorálnu formu.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4.3</w:t>
      </w:r>
      <w:r w:rsidRPr="00B4462C">
        <w:rPr>
          <w:b/>
          <w:sz w:val="22"/>
          <w:szCs w:val="22"/>
          <w:lang w:val="sk-SK"/>
        </w:rPr>
        <w:tab/>
        <w:t>Kontraindikácie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FC60DC" w:rsidRDefault="00CF3670" w:rsidP="003A5431">
      <w:pPr>
        <w:numPr>
          <w:ilvl w:val="0"/>
          <w:numId w:val="8"/>
        </w:numPr>
        <w:tabs>
          <w:tab w:val="num" w:pos="540"/>
        </w:tabs>
        <w:ind w:left="540" w:hanging="54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Precitlivenosť na liečivo, iné </w:t>
      </w:r>
      <w:proofErr w:type="spellStart"/>
      <w:r w:rsidRPr="00B4462C">
        <w:rPr>
          <w:color w:val="000000"/>
          <w:sz w:val="22"/>
          <w:szCs w:val="22"/>
          <w:lang w:val="sk-SK"/>
        </w:rPr>
        <w:t>chinolóny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na ktorúkoľvek z pomocných </w:t>
      </w:r>
      <w:r w:rsidRPr="000F4320">
        <w:rPr>
          <w:color w:val="000000"/>
          <w:sz w:val="22"/>
          <w:szCs w:val="22"/>
          <w:lang w:val="sk-SK"/>
        </w:rPr>
        <w:t xml:space="preserve">látok </w:t>
      </w:r>
      <w:r w:rsidRPr="00F30477">
        <w:rPr>
          <w:color w:val="000000"/>
          <w:sz w:val="22"/>
          <w:szCs w:val="22"/>
          <w:lang w:val="sk-SK"/>
        </w:rPr>
        <w:t xml:space="preserve">uvedených v časti </w:t>
      </w:r>
      <w:r w:rsidRPr="00FC60DC">
        <w:rPr>
          <w:color w:val="000000"/>
          <w:sz w:val="22"/>
          <w:szCs w:val="22"/>
          <w:lang w:val="sk-SK"/>
        </w:rPr>
        <w:t>6.1.</w:t>
      </w:r>
    </w:p>
    <w:p w:rsidR="00CF3670" w:rsidRPr="00B4462C" w:rsidRDefault="00CF3670" w:rsidP="00FC60DC">
      <w:pPr>
        <w:tabs>
          <w:tab w:val="left" w:pos="540"/>
        </w:tabs>
        <w:rPr>
          <w:b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-</w:t>
      </w:r>
      <w:r w:rsidRPr="00B4462C">
        <w:rPr>
          <w:color w:val="000000"/>
          <w:sz w:val="22"/>
          <w:szCs w:val="22"/>
          <w:lang w:val="sk-SK"/>
        </w:rPr>
        <w:tab/>
        <w:t xml:space="preserve">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tizanidínu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4.5).</w:t>
      </w:r>
      <w:r w:rsidRPr="00B4462C">
        <w:rPr>
          <w:color w:val="000000"/>
          <w:sz w:val="22"/>
          <w:szCs w:val="22"/>
          <w:lang w:val="sk-SK"/>
        </w:rPr>
        <w:br/>
      </w: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4.4</w:t>
      </w:r>
      <w:r w:rsidRPr="00B4462C">
        <w:rPr>
          <w:b/>
          <w:sz w:val="22"/>
          <w:szCs w:val="22"/>
          <w:lang w:val="sk-SK"/>
        </w:rPr>
        <w:tab/>
        <w:t>Osobitné upozornenia a opatrenia pri používaní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 xml:space="preserve">Závažné infekcie a zmiešané infekcie vyvolané </w:t>
      </w:r>
      <w:proofErr w:type="spellStart"/>
      <w:r w:rsidRPr="00B4462C">
        <w:rPr>
          <w:i/>
          <w:sz w:val="22"/>
          <w:szCs w:val="22"/>
          <w:lang w:val="sk-SK"/>
        </w:rPr>
        <w:t>grampozitívnymi</w:t>
      </w:r>
      <w:proofErr w:type="spellEnd"/>
      <w:r w:rsidRPr="00B4462C">
        <w:rPr>
          <w:i/>
          <w:sz w:val="22"/>
          <w:szCs w:val="22"/>
          <w:lang w:val="sk-SK"/>
        </w:rPr>
        <w:t xml:space="preserve"> a anaeróbnymi patogénmi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Monoterapia</w:t>
      </w:r>
      <w:proofErr w:type="spellEnd"/>
      <w:r w:rsidRPr="00B4462C">
        <w:rPr>
          <w:sz w:val="22"/>
          <w:szCs w:val="22"/>
          <w:lang w:val="sk-SK"/>
        </w:rPr>
        <w:t xml:space="preserve"> </w:t>
      </w:r>
      <w:proofErr w:type="spellStart"/>
      <w:r w:rsidRPr="00B4462C">
        <w:rPr>
          <w:sz w:val="22"/>
          <w:szCs w:val="22"/>
          <w:lang w:val="sk-SK"/>
        </w:rPr>
        <w:t>ciprofloxacínom</w:t>
      </w:r>
      <w:proofErr w:type="spellEnd"/>
      <w:r w:rsidRPr="00B4462C">
        <w:rPr>
          <w:sz w:val="22"/>
          <w:szCs w:val="22"/>
          <w:lang w:val="sk-SK"/>
        </w:rPr>
        <w:t xml:space="preserve"> nie je vhodná na liečbu závažných infekcií a infekcií, ktoré mohli byť vyvolané </w:t>
      </w:r>
      <w:proofErr w:type="spellStart"/>
      <w:r w:rsidRPr="00B4462C">
        <w:rPr>
          <w:sz w:val="22"/>
          <w:szCs w:val="22"/>
          <w:lang w:val="sk-SK"/>
        </w:rPr>
        <w:t>grampozitívnymi</w:t>
      </w:r>
      <w:proofErr w:type="spellEnd"/>
      <w:r w:rsidRPr="00B4462C">
        <w:rPr>
          <w:sz w:val="22"/>
          <w:szCs w:val="22"/>
          <w:lang w:val="sk-SK"/>
        </w:rPr>
        <w:t xml:space="preserve"> alebo anaeróbnymi patogénmi. Pri týchto infekciách sa má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podávať súbežne s ďalšími vhodnými antibiotikami.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 xml:space="preserve">Streptokokové infekcie (vrátane infekcií vyvolaných </w:t>
      </w:r>
      <w:proofErr w:type="spellStart"/>
      <w:r w:rsidRPr="00B4462C">
        <w:rPr>
          <w:i/>
          <w:sz w:val="22"/>
          <w:szCs w:val="22"/>
          <w:lang w:val="sk-SK"/>
        </w:rPr>
        <w:t>Streptococcus</w:t>
      </w:r>
      <w:proofErr w:type="spellEnd"/>
      <w:r w:rsidRPr="00B4462C">
        <w:rPr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sz w:val="22"/>
          <w:szCs w:val="22"/>
          <w:lang w:val="sk-SK"/>
        </w:rPr>
        <w:t>pneumoniae</w:t>
      </w:r>
      <w:proofErr w:type="spellEnd"/>
      <w:r w:rsidRPr="00B4462C">
        <w:rPr>
          <w:sz w:val="22"/>
          <w:szCs w:val="22"/>
          <w:lang w:val="sk-SK"/>
        </w:rPr>
        <w:t>)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lastRenderedPageBreak/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sa neodporúča podávať na liečbu streptokokových infekcií kvôli nedostatočnej účinnosti.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Infekcie pohlavných orgánov</w:t>
      </w:r>
    </w:p>
    <w:p w:rsidR="00CF3670" w:rsidRDefault="00CF3670" w:rsidP="003A543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Gonokoková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uretritída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cervicitída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epididymo-orchitída</w:t>
      </w:r>
      <w:proofErr w:type="spellEnd"/>
      <w:r>
        <w:rPr>
          <w:sz w:val="22"/>
          <w:szCs w:val="22"/>
          <w:lang w:val="sk-SK"/>
        </w:rPr>
        <w:t xml:space="preserve"> a panvové zápalové ochorenia môžu byť spôsobené </w:t>
      </w:r>
      <w:proofErr w:type="spellStart"/>
      <w:r>
        <w:rPr>
          <w:sz w:val="22"/>
          <w:szCs w:val="22"/>
          <w:lang w:val="sk-SK"/>
        </w:rPr>
        <w:t>izolátmi</w:t>
      </w:r>
      <w:proofErr w:type="spellEnd"/>
      <w:r w:rsidRPr="00705429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Neisseria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gonorrhoeae</w:t>
      </w:r>
      <w:proofErr w:type="spellEnd"/>
      <w:r>
        <w:rPr>
          <w:sz w:val="22"/>
          <w:szCs w:val="22"/>
          <w:lang w:val="sk-SK"/>
        </w:rPr>
        <w:t xml:space="preserve"> rezistentnými na </w:t>
      </w:r>
      <w:proofErr w:type="spellStart"/>
      <w:r>
        <w:rPr>
          <w:sz w:val="22"/>
          <w:szCs w:val="22"/>
          <w:lang w:val="sk-SK"/>
        </w:rPr>
        <w:t>fluorochinolony</w:t>
      </w:r>
      <w:proofErr w:type="spellEnd"/>
      <w:r>
        <w:rPr>
          <w:sz w:val="22"/>
          <w:szCs w:val="22"/>
          <w:lang w:val="sk-SK"/>
        </w:rPr>
        <w:t>.</w:t>
      </w:r>
    </w:p>
    <w:p w:rsidR="00CF3670" w:rsidRDefault="00CF3670" w:rsidP="003A5431">
      <w:pPr>
        <w:rPr>
          <w:sz w:val="22"/>
          <w:szCs w:val="22"/>
          <w:lang w:val="sk-SK"/>
        </w:rPr>
      </w:pPr>
    </w:p>
    <w:p w:rsidR="00CF3670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 toho dôvodu, sa má </w:t>
      </w:r>
      <w:proofErr w:type="spellStart"/>
      <w:r>
        <w:rPr>
          <w:sz w:val="22"/>
          <w:szCs w:val="22"/>
          <w:lang w:val="sk-SK"/>
        </w:rPr>
        <w:t>ciprofloxacín</w:t>
      </w:r>
      <w:proofErr w:type="spellEnd"/>
      <w:r>
        <w:rPr>
          <w:sz w:val="22"/>
          <w:szCs w:val="22"/>
          <w:lang w:val="sk-SK"/>
        </w:rPr>
        <w:t xml:space="preserve">  podávať na liečbu </w:t>
      </w:r>
      <w:proofErr w:type="spellStart"/>
      <w:r>
        <w:rPr>
          <w:sz w:val="22"/>
          <w:szCs w:val="22"/>
          <w:lang w:val="sk-SK"/>
        </w:rPr>
        <w:t>gonokokovej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uretritídy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cervicitídy</w:t>
      </w:r>
      <w:proofErr w:type="spellEnd"/>
      <w:r>
        <w:rPr>
          <w:sz w:val="22"/>
          <w:szCs w:val="22"/>
          <w:lang w:val="sk-SK"/>
        </w:rPr>
        <w:t xml:space="preserve"> iba ak </w:t>
      </w:r>
      <w:proofErr w:type="spellStart"/>
      <w:r>
        <w:rPr>
          <w:sz w:val="22"/>
          <w:szCs w:val="22"/>
          <w:lang w:val="sk-SK"/>
        </w:rPr>
        <w:t>prítomnosť</w:t>
      </w:r>
      <w:r w:rsidR="00FF42B8" w:rsidRPr="00FF42B8">
        <w:rPr>
          <w:sz w:val="22"/>
          <w:szCs w:val="22"/>
          <w:lang w:val="sk-SK"/>
        </w:rPr>
        <w:t>ciprofloxac</w:t>
      </w:r>
      <w:r>
        <w:rPr>
          <w:sz w:val="22"/>
          <w:szCs w:val="22"/>
          <w:lang w:val="sk-SK"/>
        </w:rPr>
        <w:t>í</w:t>
      </w:r>
      <w:r w:rsidR="00FF42B8" w:rsidRPr="00FF42B8">
        <w:rPr>
          <w:sz w:val="22"/>
          <w:szCs w:val="22"/>
          <w:lang w:val="sk-SK"/>
        </w:rPr>
        <w:t>n-re</w:t>
      </w:r>
      <w:r>
        <w:rPr>
          <w:sz w:val="22"/>
          <w:szCs w:val="22"/>
          <w:lang w:val="sk-SK"/>
        </w:rPr>
        <w:t>z</w:t>
      </w:r>
      <w:r w:rsidR="00FF42B8" w:rsidRPr="00FF42B8">
        <w:rPr>
          <w:sz w:val="22"/>
          <w:szCs w:val="22"/>
          <w:lang w:val="sk-SK"/>
        </w:rPr>
        <w:t>ist</w:t>
      </w:r>
      <w:r w:rsidR="001118D8">
        <w:rPr>
          <w:sz w:val="22"/>
          <w:szCs w:val="22"/>
          <w:lang w:val="sk-SK"/>
        </w:rPr>
        <w:t>e</w:t>
      </w:r>
      <w:r w:rsidR="00FF42B8" w:rsidRPr="00FF42B8">
        <w:rPr>
          <w:sz w:val="22"/>
          <w:szCs w:val="22"/>
          <w:lang w:val="sk-SK"/>
        </w:rPr>
        <w:t>nt</w:t>
      </w:r>
      <w:r>
        <w:rPr>
          <w:sz w:val="22"/>
          <w:szCs w:val="22"/>
          <w:lang w:val="sk-SK"/>
        </w:rPr>
        <w:t>ných</w:t>
      </w:r>
      <w:proofErr w:type="spellEnd"/>
      <w:r>
        <w:rPr>
          <w:sz w:val="22"/>
          <w:szCs w:val="22"/>
          <w:lang w:val="sk-SK"/>
        </w:rPr>
        <w:t xml:space="preserve"> </w:t>
      </w:r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Neisseria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gonorrhoeae</w:t>
      </w:r>
      <w:proofErr w:type="spellEnd"/>
      <w:r>
        <w:rPr>
          <w:sz w:val="22"/>
          <w:szCs w:val="22"/>
          <w:lang w:val="sk-SK"/>
        </w:rPr>
        <w:t xml:space="preserve"> môže byť vylúčená.</w:t>
      </w:r>
    </w:p>
    <w:p w:rsidR="00CF3670" w:rsidRDefault="00CF3670" w:rsidP="003A5431">
      <w:pPr>
        <w:rPr>
          <w:sz w:val="22"/>
          <w:szCs w:val="22"/>
          <w:lang w:val="sk-SK"/>
        </w:rPr>
      </w:pPr>
    </w:p>
    <w:p w:rsidR="00CF3670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 </w:t>
      </w:r>
      <w:proofErr w:type="spellStart"/>
      <w:r>
        <w:rPr>
          <w:sz w:val="22"/>
          <w:szCs w:val="22"/>
          <w:lang w:val="sk-SK"/>
        </w:rPr>
        <w:t>epididymo-orchitídu</w:t>
      </w:r>
      <w:proofErr w:type="spellEnd"/>
      <w:r>
        <w:rPr>
          <w:sz w:val="22"/>
          <w:szCs w:val="22"/>
          <w:lang w:val="sk-SK"/>
        </w:rPr>
        <w:t xml:space="preserve"> a panvové zápalové ochorenia, empirické podanie </w:t>
      </w:r>
      <w:proofErr w:type="spellStart"/>
      <w:r>
        <w:rPr>
          <w:sz w:val="22"/>
          <w:szCs w:val="22"/>
          <w:lang w:val="sk-SK"/>
        </w:rPr>
        <w:t>ciprofloxacínu</w:t>
      </w:r>
      <w:proofErr w:type="spellEnd"/>
      <w:r>
        <w:rPr>
          <w:sz w:val="22"/>
          <w:szCs w:val="22"/>
          <w:lang w:val="sk-SK"/>
        </w:rPr>
        <w:t xml:space="preserve"> sa má  zvážiť iba v kombinácii s inou vhodnou antibakteriálnou  látkou (napr. </w:t>
      </w:r>
      <w:proofErr w:type="spellStart"/>
      <w:r>
        <w:rPr>
          <w:sz w:val="22"/>
          <w:szCs w:val="22"/>
          <w:lang w:val="sk-SK"/>
        </w:rPr>
        <w:t>cefalosporínom</w:t>
      </w:r>
      <w:proofErr w:type="spellEnd"/>
      <w:r>
        <w:rPr>
          <w:sz w:val="22"/>
          <w:szCs w:val="22"/>
          <w:lang w:val="sk-SK"/>
        </w:rPr>
        <w:t>)</w:t>
      </w:r>
      <w:r w:rsidR="001118D8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pokiaľ prítomnosť </w:t>
      </w:r>
      <w:proofErr w:type="spellStart"/>
      <w:r w:rsidR="00FF42B8" w:rsidRPr="00FF42B8">
        <w:rPr>
          <w:sz w:val="22"/>
          <w:szCs w:val="22"/>
          <w:lang w:val="sk-SK"/>
        </w:rPr>
        <w:t>ciprofloxac</w:t>
      </w:r>
      <w:r>
        <w:rPr>
          <w:sz w:val="22"/>
          <w:szCs w:val="22"/>
          <w:lang w:val="sk-SK"/>
        </w:rPr>
        <w:t>í</w:t>
      </w:r>
      <w:r w:rsidR="00FF42B8" w:rsidRPr="00FF42B8">
        <w:rPr>
          <w:sz w:val="22"/>
          <w:szCs w:val="22"/>
          <w:lang w:val="sk-SK"/>
        </w:rPr>
        <w:t>n-re</w:t>
      </w:r>
      <w:r>
        <w:rPr>
          <w:sz w:val="22"/>
          <w:szCs w:val="22"/>
          <w:lang w:val="sk-SK"/>
        </w:rPr>
        <w:t>z</w:t>
      </w:r>
      <w:r w:rsidR="00FF42B8" w:rsidRPr="00FF42B8">
        <w:rPr>
          <w:sz w:val="22"/>
          <w:szCs w:val="22"/>
          <w:lang w:val="sk-SK"/>
        </w:rPr>
        <w:t>ist</w:t>
      </w:r>
      <w:r>
        <w:rPr>
          <w:sz w:val="22"/>
          <w:szCs w:val="22"/>
          <w:lang w:val="sk-SK"/>
        </w:rPr>
        <w:t>e</w:t>
      </w:r>
      <w:r w:rsidR="00FF42B8" w:rsidRPr="00FF42B8">
        <w:rPr>
          <w:sz w:val="22"/>
          <w:szCs w:val="22"/>
          <w:lang w:val="sk-SK"/>
        </w:rPr>
        <w:t>nt</w:t>
      </w:r>
      <w:r>
        <w:rPr>
          <w:sz w:val="22"/>
          <w:szCs w:val="22"/>
          <w:lang w:val="sk-SK"/>
        </w:rPr>
        <w:t>ných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Neisseria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gonorrhoeae</w:t>
      </w:r>
      <w:proofErr w:type="spellEnd"/>
      <w:r>
        <w:rPr>
          <w:sz w:val="22"/>
          <w:szCs w:val="22"/>
          <w:lang w:val="sk-SK"/>
        </w:rPr>
        <w:t xml:space="preserve"> môže byť vylúčená. Ak sa nedosiahne klinické zlepšenie po 3 dňoch liečby, liečbu je nutné prehodnotiť.</w:t>
      </w:r>
    </w:p>
    <w:p w:rsidR="00CF3670" w:rsidRDefault="00CF3670" w:rsidP="003A5431">
      <w:pPr>
        <w:rPr>
          <w:sz w:val="22"/>
          <w:szCs w:val="22"/>
          <w:lang w:val="sk-SK"/>
        </w:rPr>
      </w:pPr>
    </w:p>
    <w:p w:rsidR="00CF3670" w:rsidRDefault="00FF42B8" w:rsidP="003A5431">
      <w:pPr>
        <w:rPr>
          <w:i/>
          <w:sz w:val="22"/>
          <w:szCs w:val="22"/>
          <w:lang w:val="sk-SK"/>
        </w:rPr>
      </w:pPr>
      <w:r w:rsidRPr="00FF42B8">
        <w:rPr>
          <w:i/>
          <w:sz w:val="22"/>
          <w:szCs w:val="22"/>
          <w:lang w:val="sk-SK"/>
        </w:rPr>
        <w:t>Infekcie močových ciest</w:t>
      </w:r>
    </w:p>
    <w:p w:rsidR="00CF3670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Výskyt rezistencie na </w:t>
      </w:r>
      <w:proofErr w:type="spellStart"/>
      <w:r>
        <w:rPr>
          <w:sz w:val="22"/>
          <w:szCs w:val="22"/>
          <w:lang w:val="sk-SK"/>
        </w:rPr>
        <w:t>fluorichinolóny</w:t>
      </w:r>
      <w:proofErr w:type="spellEnd"/>
      <w:r>
        <w:rPr>
          <w:sz w:val="22"/>
          <w:szCs w:val="22"/>
          <w:lang w:val="sk-SK"/>
        </w:rPr>
        <w:t xml:space="preserve"> u </w:t>
      </w:r>
      <w:proofErr w:type="spellStart"/>
      <w:r>
        <w:rPr>
          <w:sz w:val="22"/>
          <w:szCs w:val="22"/>
          <w:lang w:val="sk-SK"/>
        </w:rPr>
        <w:t>bakterie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Escherichia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coli</w:t>
      </w:r>
      <w:proofErr w:type="spellEnd"/>
      <w:r>
        <w:rPr>
          <w:sz w:val="22"/>
          <w:szCs w:val="22"/>
          <w:lang w:val="sk-SK"/>
        </w:rPr>
        <w:t xml:space="preserve">, ktorá je najčastejším  patogénom , podieľajúcim sa na infekciách močových ciest, sa v krajinách Európskej únie odlišuje. Lekárom sa odporúča vziať do úvahy lokálnu </w:t>
      </w:r>
      <w:proofErr w:type="spellStart"/>
      <w:r>
        <w:rPr>
          <w:sz w:val="22"/>
          <w:szCs w:val="22"/>
          <w:lang w:val="sk-SK"/>
        </w:rPr>
        <w:t>prevalenciu</w:t>
      </w:r>
      <w:proofErr w:type="spellEnd"/>
      <w:r>
        <w:rPr>
          <w:sz w:val="22"/>
          <w:szCs w:val="22"/>
          <w:lang w:val="sk-SK"/>
        </w:rPr>
        <w:t xml:space="preserve"> rezistencie </w:t>
      </w:r>
      <w:proofErr w:type="spellStart"/>
      <w:r w:rsidR="00FF42B8" w:rsidRPr="00FF42B8">
        <w:rPr>
          <w:sz w:val="22"/>
          <w:szCs w:val="22"/>
          <w:lang w:val="sk-SK"/>
        </w:rPr>
        <w:t>Escherichia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coli</w:t>
      </w:r>
      <w:proofErr w:type="spellEnd"/>
      <w:r>
        <w:rPr>
          <w:sz w:val="22"/>
          <w:szCs w:val="22"/>
          <w:lang w:val="sk-SK"/>
        </w:rPr>
        <w:t xml:space="preserve"> na </w:t>
      </w:r>
      <w:proofErr w:type="spellStart"/>
      <w:r>
        <w:rPr>
          <w:sz w:val="22"/>
          <w:szCs w:val="22"/>
          <w:lang w:val="sk-SK"/>
        </w:rPr>
        <w:t>fluórochinolóny</w:t>
      </w:r>
      <w:proofErr w:type="spellEnd"/>
      <w:r>
        <w:rPr>
          <w:sz w:val="22"/>
          <w:szCs w:val="22"/>
          <w:lang w:val="sk-SK"/>
        </w:rPr>
        <w:t>.</w:t>
      </w:r>
    </w:p>
    <w:p w:rsidR="00CF3670" w:rsidRDefault="00CF3670" w:rsidP="003A5431">
      <w:pPr>
        <w:rPr>
          <w:sz w:val="22"/>
          <w:szCs w:val="22"/>
          <w:lang w:val="sk-SK"/>
        </w:rPr>
      </w:pPr>
    </w:p>
    <w:p w:rsidR="00CF3670" w:rsidRPr="00F30310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</w:t>
      </w:r>
      <w:proofErr w:type="spellStart"/>
      <w:r>
        <w:rPr>
          <w:sz w:val="22"/>
          <w:szCs w:val="22"/>
          <w:lang w:val="sk-SK"/>
        </w:rPr>
        <w:t>jednorázovej</w:t>
      </w:r>
      <w:proofErr w:type="spellEnd"/>
      <w:r>
        <w:rPr>
          <w:sz w:val="22"/>
          <w:szCs w:val="22"/>
          <w:lang w:val="sk-SK"/>
        </w:rPr>
        <w:t xml:space="preserve"> dávke </w:t>
      </w:r>
      <w:proofErr w:type="spellStart"/>
      <w:r>
        <w:rPr>
          <w:sz w:val="22"/>
          <w:szCs w:val="22"/>
          <w:lang w:val="sk-SK"/>
        </w:rPr>
        <w:t>ciprofloxacínu</w:t>
      </w:r>
      <w:proofErr w:type="spellEnd"/>
      <w:r>
        <w:rPr>
          <w:sz w:val="22"/>
          <w:szCs w:val="22"/>
          <w:lang w:val="sk-SK"/>
        </w:rPr>
        <w:t xml:space="preserve">, ktorá môže byť použitá pri nekomplikovanej </w:t>
      </w:r>
      <w:proofErr w:type="spellStart"/>
      <w:r>
        <w:rPr>
          <w:sz w:val="22"/>
          <w:szCs w:val="22"/>
          <w:lang w:val="sk-SK"/>
        </w:rPr>
        <w:t>cystitíde</w:t>
      </w:r>
      <w:proofErr w:type="spellEnd"/>
      <w:r>
        <w:rPr>
          <w:sz w:val="22"/>
          <w:szCs w:val="22"/>
          <w:lang w:val="sk-SK"/>
        </w:rPr>
        <w:t xml:space="preserve">  u </w:t>
      </w:r>
      <w:proofErr w:type="spellStart"/>
      <w:r>
        <w:rPr>
          <w:sz w:val="22"/>
          <w:szCs w:val="22"/>
          <w:lang w:val="sk-SK"/>
        </w:rPr>
        <w:t>pre-menopauzálnych</w:t>
      </w:r>
      <w:proofErr w:type="spellEnd"/>
      <w:r>
        <w:rPr>
          <w:sz w:val="22"/>
          <w:szCs w:val="22"/>
          <w:lang w:val="sk-SK"/>
        </w:rPr>
        <w:t xml:space="preserve"> žien sa predpokladá  nižšia účinnosť ako pri dlhšom  trvaní liečby. Uvedené je potrebné vziať do úvahy o to viac, pokiaľ ide o zvyšujúcu sa  rezistenciu </w:t>
      </w:r>
      <w:proofErr w:type="spellStart"/>
      <w:r w:rsidR="00FF42B8" w:rsidRPr="00FF42B8">
        <w:rPr>
          <w:sz w:val="22"/>
          <w:szCs w:val="22"/>
          <w:lang w:val="sk-SK"/>
        </w:rPr>
        <w:t>Escherichia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coli</w:t>
      </w:r>
      <w:proofErr w:type="spellEnd"/>
      <w:r>
        <w:rPr>
          <w:sz w:val="22"/>
          <w:szCs w:val="22"/>
          <w:lang w:val="sk-SK"/>
        </w:rPr>
        <w:t xml:space="preserve"> na </w:t>
      </w:r>
      <w:proofErr w:type="spellStart"/>
      <w:r>
        <w:rPr>
          <w:sz w:val="22"/>
          <w:szCs w:val="22"/>
          <w:lang w:val="sk-SK"/>
        </w:rPr>
        <w:t>fluorichinolóny</w:t>
      </w:r>
      <w:proofErr w:type="spellEnd"/>
      <w:r>
        <w:rPr>
          <w:sz w:val="22"/>
          <w:szCs w:val="22"/>
          <w:lang w:val="sk-SK"/>
        </w:rPr>
        <w:t>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</w:t>
      </w:r>
    </w:p>
    <w:p w:rsidR="00CF3670" w:rsidRPr="00B4462C" w:rsidRDefault="00CF3670" w:rsidP="003A5431">
      <w:pPr>
        <w:rPr>
          <w:i/>
          <w:sz w:val="22"/>
          <w:szCs w:val="22"/>
          <w:lang w:val="sk-SK"/>
        </w:rPr>
      </w:pPr>
      <w:proofErr w:type="spellStart"/>
      <w:r w:rsidRPr="00B4462C">
        <w:rPr>
          <w:i/>
          <w:sz w:val="22"/>
          <w:szCs w:val="22"/>
          <w:lang w:val="sk-SK"/>
        </w:rPr>
        <w:t>Intraabdominálne</w:t>
      </w:r>
      <w:proofErr w:type="spellEnd"/>
      <w:r w:rsidRPr="00B4462C">
        <w:rPr>
          <w:i/>
          <w:sz w:val="22"/>
          <w:szCs w:val="22"/>
          <w:lang w:val="sk-SK"/>
        </w:rPr>
        <w:t xml:space="preserve"> infekcie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O účinnosti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v liečbe </w:t>
      </w:r>
      <w:proofErr w:type="spellStart"/>
      <w:r w:rsidRPr="00B4462C">
        <w:rPr>
          <w:sz w:val="22"/>
          <w:szCs w:val="22"/>
          <w:lang w:val="sk-SK"/>
        </w:rPr>
        <w:t>intraabdominálnych</w:t>
      </w:r>
      <w:proofErr w:type="spellEnd"/>
      <w:r w:rsidRPr="00B4462C">
        <w:rPr>
          <w:sz w:val="22"/>
          <w:szCs w:val="22"/>
          <w:lang w:val="sk-SK"/>
        </w:rPr>
        <w:t xml:space="preserve"> infekcií po chirurgickom výkone sú len obmedzené údaje.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Cestovateľská hnačka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Pri voľbe liečby </w:t>
      </w:r>
      <w:proofErr w:type="spellStart"/>
      <w:r w:rsidRPr="00B4462C">
        <w:rPr>
          <w:sz w:val="22"/>
          <w:szCs w:val="22"/>
          <w:lang w:val="sk-SK"/>
        </w:rPr>
        <w:t>ciprofloxacínom</w:t>
      </w:r>
      <w:proofErr w:type="spellEnd"/>
      <w:r w:rsidRPr="00B4462C">
        <w:rPr>
          <w:sz w:val="22"/>
          <w:szCs w:val="22"/>
          <w:lang w:val="sk-SK"/>
        </w:rPr>
        <w:t xml:space="preserve"> sa má zohľadniť informácia o rezistencii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na patogény vyskytujúce sa v danej krajine.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Infekcie kostí a kĺbov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sa má použiť v kombinácii s inými antibiotikami v závislosti od výsledkov mikrobiológie. 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 xml:space="preserve">Inhalácia </w:t>
      </w:r>
      <w:proofErr w:type="spellStart"/>
      <w:r w:rsidRPr="00B4462C">
        <w:rPr>
          <w:i/>
          <w:sz w:val="22"/>
          <w:szCs w:val="22"/>
          <w:lang w:val="sk-SK"/>
        </w:rPr>
        <w:t>antraxu</w:t>
      </w:r>
      <w:proofErr w:type="spellEnd"/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Použitie u ľudí je založené na údajoch o citlivosti získaných </w:t>
      </w:r>
      <w:r w:rsidRPr="00B4462C">
        <w:rPr>
          <w:i/>
          <w:sz w:val="22"/>
          <w:szCs w:val="22"/>
          <w:lang w:val="sk-SK"/>
        </w:rPr>
        <w:t xml:space="preserve">in </w:t>
      </w:r>
      <w:proofErr w:type="spellStart"/>
      <w:r w:rsidRPr="00B4462C">
        <w:rPr>
          <w:i/>
          <w:sz w:val="22"/>
          <w:szCs w:val="22"/>
          <w:lang w:val="sk-SK"/>
        </w:rPr>
        <w:t>vitro</w:t>
      </w:r>
      <w:proofErr w:type="spellEnd"/>
      <w:r w:rsidRPr="00B4462C">
        <w:rPr>
          <w:sz w:val="22"/>
          <w:szCs w:val="22"/>
          <w:lang w:val="sk-SK"/>
        </w:rPr>
        <w:t xml:space="preserve"> a experimentálnych údajoch na zvieratách spolu s obmedzenými údajmi u ľudí. Ošetrujúci lekári majú postupovať podľa národne a/alebo medzinárodne dohodnutých dokumentov týkajúcich sa liečby infekcie vyvolanej inhaláciou </w:t>
      </w:r>
      <w:proofErr w:type="spellStart"/>
      <w:r w:rsidRPr="00B4462C">
        <w:rPr>
          <w:sz w:val="22"/>
          <w:szCs w:val="22"/>
          <w:lang w:val="sk-SK"/>
        </w:rPr>
        <w:t>antraxu</w:t>
      </w:r>
      <w:proofErr w:type="spellEnd"/>
      <w:r w:rsidRPr="00B4462C">
        <w:rPr>
          <w:sz w:val="22"/>
          <w:szCs w:val="22"/>
          <w:lang w:val="sk-SK"/>
        </w:rPr>
        <w:t>.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0F4320">
        <w:rPr>
          <w:i/>
          <w:sz w:val="22"/>
          <w:szCs w:val="22"/>
          <w:lang w:val="sk-SK"/>
        </w:rPr>
        <w:t>Pediatrická populácia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Použitie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u detí a adolescentov má postupovať podľa dostupných oficiálnych odporúčaní.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Liečbu </w:t>
      </w:r>
      <w:proofErr w:type="spellStart"/>
      <w:r w:rsidRPr="00B4462C">
        <w:rPr>
          <w:sz w:val="22"/>
          <w:szCs w:val="22"/>
          <w:lang w:val="sk-SK"/>
        </w:rPr>
        <w:t>ciprofloxacínom</w:t>
      </w:r>
      <w:proofErr w:type="spellEnd"/>
      <w:r w:rsidRPr="00B4462C">
        <w:rPr>
          <w:sz w:val="22"/>
          <w:szCs w:val="22"/>
          <w:lang w:val="sk-SK"/>
        </w:rPr>
        <w:t xml:space="preserve"> má začať len lekár so skúsenosťami s liečbou cystickej </w:t>
      </w:r>
      <w:proofErr w:type="spellStart"/>
      <w:r w:rsidRPr="00B4462C">
        <w:rPr>
          <w:sz w:val="22"/>
          <w:szCs w:val="22"/>
          <w:lang w:val="sk-SK"/>
        </w:rPr>
        <w:t>fibrózy</w:t>
      </w:r>
      <w:proofErr w:type="spellEnd"/>
      <w:r w:rsidRPr="00B4462C">
        <w:rPr>
          <w:sz w:val="22"/>
          <w:szCs w:val="22"/>
          <w:lang w:val="sk-SK"/>
        </w:rPr>
        <w:t xml:space="preserve"> a/alebo závažných infekcií u detí a adolescentov.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Dokázalo sa, že </w:t>
      </w:r>
      <w:proofErr w:type="spellStart"/>
      <w:r w:rsidRPr="00B4462C">
        <w:rPr>
          <w:sz w:val="22"/>
          <w:szCs w:val="22"/>
          <w:lang w:val="sk-SK"/>
        </w:rPr>
        <w:t>ciproflo</w:t>
      </w:r>
      <w:r w:rsidRPr="00B4462C">
        <w:rPr>
          <w:rFonts w:eastAsia="TimesNewRoman"/>
          <w:sz w:val="22"/>
          <w:szCs w:val="22"/>
          <w:lang w:val="sk-SK"/>
        </w:rPr>
        <w:t>xacín</w:t>
      </w:r>
      <w:proofErr w:type="spellEnd"/>
      <w:r w:rsidRPr="00B4462C">
        <w:rPr>
          <w:rFonts w:eastAsia="TimesNewRoman"/>
          <w:sz w:val="22"/>
          <w:szCs w:val="22"/>
          <w:lang w:val="sk-SK"/>
        </w:rPr>
        <w:t xml:space="preserve"> spôsobuje </w:t>
      </w:r>
      <w:proofErr w:type="spellStart"/>
      <w:r w:rsidRPr="00B4462C">
        <w:rPr>
          <w:rFonts w:eastAsia="TimesNewRoman"/>
          <w:sz w:val="22"/>
          <w:szCs w:val="22"/>
          <w:lang w:val="sk-SK"/>
        </w:rPr>
        <w:t>artropatiu</w:t>
      </w:r>
      <w:proofErr w:type="spellEnd"/>
      <w:r w:rsidRPr="00B4462C">
        <w:rPr>
          <w:rFonts w:eastAsia="TimesNewRoman"/>
          <w:sz w:val="22"/>
          <w:szCs w:val="22"/>
          <w:lang w:val="sk-SK"/>
        </w:rPr>
        <w:t xml:space="preserve"> v nosných kĺboch juvenilných zvierat</w:t>
      </w:r>
      <w:r w:rsidRPr="00B4462C">
        <w:rPr>
          <w:rFonts w:eastAsia="TimesNewRoman"/>
          <w:color w:val="000000"/>
          <w:sz w:val="22"/>
          <w:szCs w:val="22"/>
          <w:lang w:val="sk-SK"/>
        </w:rPr>
        <w:t>. Údaje o bezpečnosti z 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randomizovanej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, dvojito zaslepenej štúdie zameranej na použitie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u detí (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: n=335, priemerný vek = 6,3 rokov; porovnávacie lieky: n=349, priemerný vek = 6,2 rokov; vekové rozmedzie = 1 až 17 rokov) odhalili výskyt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suspektnej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 liečivom súvisiacej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artropatie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(rozpoznanej z klinických znakov a symptómov spojených s kĺbmi) ku dňu +42 u 7,2</w:t>
      </w:r>
      <w:r>
        <w:rPr>
          <w:rFonts w:eastAsia="TimesNewRoman"/>
          <w:color w:val="000000"/>
          <w:sz w:val="22"/>
          <w:szCs w:val="22"/>
          <w:lang w:val="sk-SK"/>
        </w:rPr>
        <w:t> </w:t>
      </w:r>
      <w:r w:rsidRPr="00B4462C">
        <w:rPr>
          <w:rFonts w:eastAsia="TimesNewRoman"/>
          <w:color w:val="000000"/>
          <w:sz w:val="22"/>
          <w:szCs w:val="22"/>
          <w:lang w:val="sk-SK"/>
        </w:rPr>
        <w:t>% a 4,6</w:t>
      </w:r>
      <w:r>
        <w:rPr>
          <w:rFonts w:eastAsia="TimesNewRoman"/>
          <w:color w:val="000000"/>
          <w:sz w:val="22"/>
          <w:szCs w:val="22"/>
          <w:lang w:val="sk-SK"/>
        </w:rPr>
        <w:t> </w:t>
      </w: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%. Výskyt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artropatie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súvisiacej s liečivom bol počas 1-ročného sledovania 9,0</w:t>
      </w:r>
      <w:r>
        <w:rPr>
          <w:rFonts w:eastAsia="TimesNewRoman"/>
          <w:color w:val="000000"/>
          <w:sz w:val="22"/>
          <w:szCs w:val="22"/>
          <w:lang w:val="sk-SK"/>
        </w:rPr>
        <w:t> </w:t>
      </w:r>
      <w:r w:rsidRPr="00B4462C">
        <w:rPr>
          <w:rFonts w:eastAsia="TimesNewRoman"/>
          <w:color w:val="000000"/>
          <w:sz w:val="22"/>
          <w:szCs w:val="22"/>
          <w:lang w:val="sk-SK"/>
        </w:rPr>
        <w:t>% a 5,7</w:t>
      </w:r>
      <w:r>
        <w:rPr>
          <w:rFonts w:eastAsia="TimesNewRoman"/>
          <w:color w:val="000000"/>
          <w:sz w:val="22"/>
          <w:szCs w:val="22"/>
          <w:lang w:val="sk-SK"/>
        </w:rPr>
        <w:t> </w:t>
      </w: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%. Zvýšenie výskytu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suspektnej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 liečivom súvisiacej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artropatie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v čase nebolo medzi skupinami štatisticky významné. Liečba má začať len po starostlivom zvážení prínosu oproti riziku, z dôvodu možných </w:t>
      </w:r>
      <w:r w:rsidRPr="00B4462C">
        <w:rPr>
          <w:rFonts w:eastAsia="TimesNewRoman"/>
          <w:color w:val="000000"/>
          <w:sz w:val="22"/>
          <w:szCs w:val="22"/>
          <w:lang w:val="sk-SK"/>
        </w:rPr>
        <w:lastRenderedPageBreak/>
        <w:t>nežiaducich udalostí súvisiacich s kĺbmi a/alebo s okolitým tkanivom</w:t>
      </w:r>
      <w:r>
        <w:rPr>
          <w:rFonts w:eastAsia="TimesNewRoman"/>
          <w:color w:val="000000"/>
          <w:sz w:val="22"/>
          <w:szCs w:val="22"/>
          <w:lang w:val="sk-SK"/>
        </w:rPr>
        <w:t xml:space="preserve"> (pozri časť 4.8)</w:t>
      </w:r>
      <w:r w:rsidRPr="00B4462C">
        <w:rPr>
          <w:rFonts w:eastAsia="TimesNewRoman"/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Broncho-pulmonálne</w:t>
      </w:r>
      <w:proofErr w:type="spellEnd"/>
      <w:r w:rsidRPr="00B4462C">
        <w:rPr>
          <w:rFonts w:eastAsia="TimesNewRoman"/>
          <w:i/>
          <w:color w:val="000000"/>
          <w:sz w:val="22"/>
          <w:szCs w:val="22"/>
          <w:lang w:val="sk-SK"/>
        </w:rPr>
        <w:t xml:space="preserve"> infekcie pri cystickej </w:t>
      </w: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fibróze</w:t>
      </w:r>
      <w:proofErr w:type="spellEnd"/>
    </w:p>
    <w:p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rFonts w:eastAsia="TimesNewRoman"/>
          <w:color w:val="000000"/>
          <w:sz w:val="22"/>
          <w:szCs w:val="22"/>
          <w:lang w:val="sk-SK"/>
        </w:rPr>
        <w:t>Klinické skúšania zahŕňali deti a adolescentov vo veku 5</w:t>
      </w:r>
      <w:r w:rsidRPr="00B4462C">
        <w:rPr>
          <w:rFonts w:eastAsia="TimesNewRoman"/>
          <w:color w:val="000000"/>
          <w:sz w:val="22"/>
          <w:szCs w:val="22"/>
          <w:lang w:val="sk-SK"/>
        </w:rPr>
        <w:noBreakHyphen/>
        <w:t xml:space="preserve">17 rokov. Obmedzenejšie skúsenosti sú s liečbou detí vo veku medzi 1 a 5 rokov. </w:t>
      </w:r>
    </w:p>
    <w:p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r w:rsidRPr="00B4462C">
        <w:rPr>
          <w:rFonts w:eastAsia="TimesNewRoman"/>
          <w:i/>
          <w:color w:val="000000"/>
          <w:sz w:val="22"/>
          <w:szCs w:val="22"/>
          <w:lang w:val="sk-SK"/>
        </w:rPr>
        <w:t>Komplikované infekcie močových ciest a </w:t>
      </w: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pyelonefritída</w:t>
      </w:r>
      <w:proofErr w:type="spellEnd"/>
    </w:p>
    <w:p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rFonts w:eastAsia="TimesNewRoman"/>
          <w:color w:val="000000"/>
          <w:sz w:val="22"/>
          <w:szCs w:val="22"/>
          <w:lang w:val="sk-SK"/>
        </w:rPr>
        <w:t>O liečbe infekcií močových ciest s 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sa má uvažovať keď nie je možné použiť iné liečby a liečba má byť založená na výsledkoch mikrobiológie. Klinické skúšania zahŕňali deti a adolescentov vo veku 1</w:t>
      </w:r>
      <w:r w:rsidRPr="00B4462C">
        <w:rPr>
          <w:rFonts w:eastAsia="TimesNewRoman"/>
          <w:color w:val="000000"/>
          <w:sz w:val="22"/>
          <w:szCs w:val="22"/>
          <w:lang w:val="sk-SK"/>
        </w:rPr>
        <w:noBreakHyphen/>
        <w:t>17 rokov.</w:t>
      </w:r>
    </w:p>
    <w:p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r w:rsidRPr="00B4462C">
        <w:rPr>
          <w:rFonts w:eastAsia="TimesNewRoman"/>
          <w:i/>
          <w:color w:val="000000"/>
          <w:sz w:val="22"/>
          <w:szCs w:val="22"/>
          <w:lang w:val="sk-SK"/>
        </w:rPr>
        <w:t xml:space="preserve">Iné špecifické závažné infekcie </w:t>
      </w:r>
    </w:p>
    <w:p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Iné závažné infekcie sa majú liečiť podľa oficiálnych odporúčaní alebo po starostlivom zvážení pomeru rizika a prínosu, keď iné liečby nie je možné aplikovať alebo po zlyhaní konvenčnej liečby a ak mikrobiologické výsledky potvrdia použitie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V klinických skúšaniach sa nehodnotilo použitie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na liečbu iných infekcií než sú vyššie uvedené a klinické skúsenosti sú obmedzené. Pri liečbe pacientov s týmito infekciami sa odporúča opatrnosť.</w:t>
      </w:r>
    </w:p>
    <w:p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Hypersenzitivita</w:t>
      </w:r>
      <w:proofErr w:type="spellEnd"/>
    </w:p>
    <w:p w:rsidR="00CF3670" w:rsidRPr="00B4462C" w:rsidRDefault="00CF3670" w:rsidP="003A5431">
      <w:pPr>
        <w:widowControl w:val="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 podaní jednorazovej dávky sa môže vyskytnúť </w:t>
      </w:r>
      <w:proofErr w:type="spellStart"/>
      <w:r w:rsidRPr="00B4462C">
        <w:rPr>
          <w:color w:val="000000"/>
          <w:sz w:val="22"/>
          <w:szCs w:val="22"/>
          <w:lang w:val="sk-SK"/>
        </w:rPr>
        <w:t>hypersenzitivita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alergické reakcie, vrátane </w:t>
      </w:r>
      <w:proofErr w:type="spellStart"/>
      <w:r w:rsidRPr="00B4462C">
        <w:rPr>
          <w:color w:val="000000"/>
          <w:sz w:val="22"/>
          <w:szCs w:val="22"/>
          <w:lang w:val="sk-SK"/>
        </w:rPr>
        <w:t>anafylaxie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anafylaktoidných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reakcií (pozri časť 4.8) a tieto môžu byť život ohrozujúce. Ak sa takéto reakcie vyskytnú má sa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prerušiť a má za začať s adekvátnou medicínskou liečbou.</w:t>
      </w:r>
    </w:p>
    <w:p w:rsidR="00CF3670" w:rsidRDefault="00CF3670" w:rsidP="003A5431">
      <w:pPr>
        <w:widowControl w:val="0"/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Muskuloskeletálny</w:t>
      </w:r>
      <w:proofErr w:type="spellEnd"/>
      <w:r w:rsidRPr="00B4462C">
        <w:rPr>
          <w:rFonts w:eastAsia="TimesNewRoman"/>
          <w:i/>
          <w:color w:val="000000"/>
          <w:sz w:val="22"/>
          <w:szCs w:val="22"/>
          <w:lang w:val="sk-SK"/>
        </w:rPr>
        <w:t xml:space="preserve"> systém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sa vo všeobecnosti nemá používať u pacientov</w:t>
      </w:r>
      <w:r w:rsidRPr="00B4462C">
        <w:rPr>
          <w:color w:val="000000"/>
          <w:sz w:val="22"/>
          <w:szCs w:val="22"/>
          <w:lang w:val="sk-SK"/>
        </w:rPr>
        <w:t xml:space="preserve"> s ochorením šliach súvisiacim s liečbou </w:t>
      </w:r>
      <w:proofErr w:type="spellStart"/>
      <w:r w:rsidRPr="00B4462C">
        <w:rPr>
          <w:color w:val="000000"/>
          <w:sz w:val="22"/>
          <w:szCs w:val="22"/>
          <w:lang w:val="sk-SK"/>
        </w:rPr>
        <w:t>chinolónmi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 anamnéze. Vo veľmi zriedkavých prípadoch sa však po zistení patogénu mikrobiologickými testami a zhodnotení prínosu/rizika môže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predpísať týmto pacientom na liečbu určitých závažných infekcií, najmä v prípade zlyhania štandardnej liečby alebo rezistencie na baktérie, ak bola vhodnosť použitia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potvrdená mikrobiologickými testami.</w:t>
      </w:r>
    </w:p>
    <w:p w:rsidR="00CF3670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Dokonca už p</w:t>
      </w:r>
      <w:r w:rsidRPr="00B4462C">
        <w:rPr>
          <w:color w:val="000000"/>
          <w:sz w:val="22"/>
          <w:szCs w:val="22"/>
          <w:lang w:val="sk-SK"/>
        </w:rPr>
        <w:t xml:space="preserve">očas prvých 48 hodín liečby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môže objaviť </w:t>
      </w:r>
      <w:proofErr w:type="spellStart"/>
      <w:r w:rsidRPr="00B4462C">
        <w:rPr>
          <w:color w:val="000000"/>
          <w:sz w:val="22"/>
          <w:szCs w:val="22"/>
          <w:lang w:val="sk-SK"/>
        </w:rPr>
        <w:t>tendinitída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ruptúra šliach (hlavne Achillovej šľachy), niekedy bilaterálna. Zápal a ruptúra šliach sa môže vyskytnúť </w:t>
      </w:r>
      <w:r>
        <w:rPr>
          <w:color w:val="000000"/>
          <w:sz w:val="22"/>
          <w:szCs w:val="22"/>
          <w:lang w:val="sk-SK"/>
        </w:rPr>
        <w:t xml:space="preserve">aj niekoľko </w:t>
      </w:r>
      <w:r w:rsidRPr="00B4462C">
        <w:rPr>
          <w:color w:val="000000"/>
          <w:sz w:val="22"/>
          <w:szCs w:val="22"/>
          <w:lang w:val="sk-SK"/>
        </w:rPr>
        <w:t xml:space="preserve">mesiacov po ukončení liečby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Riziko </w:t>
      </w:r>
      <w:proofErr w:type="spellStart"/>
      <w:r w:rsidRPr="00B4462C">
        <w:rPr>
          <w:color w:val="000000"/>
          <w:sz w:val="22"/>
          <w:szCs w:val="22"/>
          <w:lang w:val="sk-SK"/>
        </w:rPr>
        <w:t>tendinopatie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byť zvýšené u</w:t>
      </w:r>
      <w:r>
        <w:rPr>
          <w:color w:val="000000"/>
          <w:sz w:val="22"/>
          <w:szCs w:val="22"/>
          <w:lang w:val="sk-SK"/>
        </w:rPr>
        <w:t> </w:t>
      </w:r>
      <w:r w:rsidRPr="000F4320">
        <w:rPr>
          <w:color w:val="000000"/>
          <w:sz w:val="22"/>
          <w:szCs w:val="22"/>
          <w:lang w:val="sk-SK"/>
        </w:rPr>
        <w:t xml:space="preserve">starších </w:t>
      </w:r>
      <w:r>
        <w:rPr>
          <w:color w:val="000000"/>
          <w:sz w:val="22"/>
          <w:szCs w:val="22"/>
          <w:lang w:val="sk-SK"/>
        </w:rPr>
        <w:t>pacientov</w:t>
      </w:r>
      <w:r w:rsidRPr="00B4462C">
        <w:rPr>
          <w:color w:val="000000"/>
          <w:sz w:val="22"/>
          <w:szCs w:val="22"/>
          <w:lang w:val="sk-SK"/>
        </w:rPr>
        <w:t xml:space="preserve"> alebo u pacientov súbežne liečených s </w:t>
      </w:r>
      <w:proofErr w:type="spellStart"/>
      <w:r w:rsidRPr="00B4462C">
        <w:rPr>
          <w:color w:val="000000"/>
          <w:sz w:val="22"/>
          <w:szCs w:val="22"/>
          <w:lang w:val="sk-SK"/>
        </w:rPr>
        <w:t>kortikosteroidmi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4.8). Po objavení sa prvých známok </w:t>
      </w:r>
      <w:proofErr w:type="spellStart"/>
      <w:r w:rsidRPr="00B4462C">
        <w:rPr>
          <w:color w:val="000000"/>
          <w:sz w:val="22"/>
          <w:szCs w:val="22"/>
          <w:lang w:val="sk-SK"/>
        </w:rPr>
        <w:t>tendinitídy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(napr. bolestivý opuch, zápal), sa má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prerušiť. 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Postihnutá končatina sa nemá zaťažovať. 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používať s opatrnosťou u pacientov s</w:t>
      </w:r>
      <w:r>
        <w:rPr>
          <w:color w:val="000000"/>
          <w:sz w:val="22"/>
          <w:szCs w:val="22"/>
          <w:lang w:val="sk-SK"/>
        </w:rPr>
        <w:t> </w:t>
      </w:r>
      <w:proofErr w:type="spellStart"/>
      <w:r>
        <w:rPr>
          <w:color w:val="000000"/>
          <w:sz w:val="22"/>
          <w:szCs w:val="22"/>
          <w:lang w:val="sk-SK"/>
        </w:rPr>
        <w:t>myastenia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gravis</w:t>
      </w:r>
      <w:proofErr w:type="spellEnd"/>
      <w:r>
        <w:rPr>
          <w:color w:val="000000"/>
          <w:sz w:val="22"/>
          <w:szCs w:val="22"/>
          <w:lang w:val="sk-SK"/>
        </w:rPr>
        <w:t>, pretože symptómy sa môžu zhoršovať</w:t>
      </w:r>
      <w:r w:rsidRPr="00B4462C">
        <w:rPr>
          <w:color w:val="000000"/>
          <w:sz w:val="22"/>
          <w:szCs w:val="22"/>
          <w:lang w:val="sk-SK"/>
        </w:rPr>
        <w:t xml:space="preserve"> (pozri časť 4.8).</w:t>
      </w:r>
    </w:p>
    <w:p w:rsidR="00CF3670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0F4320" w:rsidRDefault="00CF3670" w:rsidP="00C941DC">
      <w:pPr>
        <w:widowControl w:val="0"/>
        <w:rPr>
          <w:color w:val="000000"/>
          <w:sz w:val="22"/>
          <w:szCs w:val="22"/>
          <w:lang w:val="sk-SK"/>
        </w:rPr>
      </w:pPr>
      <w:r w:rsidRPr="000F4320">
        <w:rPr>
          <w:i/>
          <w:color w:val="000000"/>
          <w:sz w:val="22"/>
          <w:szCs w:val="22"/>
          <w:u w:val="single"/>
          <w:lang w:val="sk-SK"/>
        </w:rPr>
        <w:t>Poruchy videnia</w:t>
      </w:r>
    </w:p>
    <w:p w:rsidR="00CF3670" w:rsidRPr="00D97AEC" w:rsidRDefault="00CF3670" w:rsidP="00C941DC">
      <w:pPr>
        <w:widowControl w:val="0"/>
        <w:rPr>
          <w:color w:val="000000"/>
          <w:sz w:val="22"/>
          <w:szCs w:val="22"/>
          <w:lang w:val="sk-SK"/>
        </w:rPr>
      </w:pPr>
      <w:r w:rsidRPr="00FC60DC">
        <w:rPr>
          <w:color w:val="000000"/>
          <w:sz w:val="22"/>
          <w:szCs w:val="22"/>
          <w:lang w:val="sk-SK"/>
        </w:rPr>
        <w:t>Pri zhoršení videnia alebo pri spozorovaní akýchkoľvek účinkov na oči je potrebné sa okamžite poradiť s očným lekárom (pozri časť 4.8).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Fotosenzitivita</w:t>
      </w:r>
      <w:proofErr w:type="spellEnd"/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Preukázalo sa, že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vyvoláva </w:t>
      </w:r>
      <w:proofErr w:type="spellStart"/>
      <w:r w:rsidRPr="00B4462C">
        <w:rPr>
          <w:color w:val="000000"/>
          <w:sz w:val="22"/>
          <w:szCs w:val="22"/>
          <w:lang w:val="sk-SK"/>
        </w:rPr>
        <w:t>fotosenzitívne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reakcie. Pacienti užívajúci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majú byť poučení, aby sa počas liečby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vyhli dlhšiemu vystavovaniu sa slnečným lúčom alebo UV žiareniu (pozri časť 4.8).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Centrálny nervový systém (CNS)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O</w:t>
      </w:r>
      <w:r>
        <w:rPr>
          <w:color w:val="000000"/>
          <w:sz w:val="22"/>
          <w:szCs w:val="22"/>
          <w:lang w:val="sk-SK"/>
        </w:rPr>
        <w:t>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ciprofloxacíne</w:t>
      </w:r>
      <w:proofErr w:type="spellEnd"/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podobne ako pri iných </w:t>
      </w:r>
      <w:proofErr w:type="spellStart"/>
      <w:r w:rsidRPr="00B4462C">
        <w:rPr>
          <w:color w:val="000000"/>
          <w:sz w:val="22"/>
          <w:szCs w:val="22"/>
          <w:lang w:val="sk-SK"/>
        </w:rPr>
        <w:t>chinolónoch</w:t>
      </w:r>
      <w:proofErr w:type="spellEnd"/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je známe, že vyvolávajú záchvaty alebo znižujú prah záchvatov. Boli hlásené prípady status </w:t>
      </w:r>
      <w:proofErr w:type="spellStart"/>
      <w:r w:rsidRPr="00B4462C">
        <w:rPr>
          <w:color w:val="000000"/>
          <w:sz w:val="22"/>
          <w:szCs w:val="22"/>
          <w:lang w:val="sk-SK"/>
        </w:rPr>
        <w:t>epilepticus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  <w:r w:rsidRPr="00B4462C">
        <w:rPr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používať s opatrnosťou u pacientov s poruchami CNS, ktoré by mohli viesť k záchvatom. Ak sa objavia záchvaty,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ukončiť (pozri časť 4.8). Psychické reakcie sa môžu vyskytnúť už po prvom podaní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. V zriedkavých prípadoch môžu depresia a psychóza viesť k </w:t>
      </w:r>
      <w:proofErr w:type="spellStart"/>
      <w:r w:rsidRPr="00B4462C">
        <w:rPr>
          <w:color w:val="000000"/>
          <w:sz w:val="22"/>
          <w:szCs w:val="22"/>
          <w:lang w:val="sk-SK"/>
        </w:rPr>
        <w:t>suicidálnym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lastRenderedPageBreak/>
        <w:t>predstavám/</w:t>
      </w:r>
      <w:proofErr w:type="spellStart"/>
      <w:r w:rsidRPr="00B4462C">
        <w:rPr>
          <w:color w:val="000000"/>
          <w:sz w:val="22"/>
          <w:szCs w:val="22"/>
          <w:lang w:val="sk-SK"/>
        </w:rPr>
        <w:t>myšlienkám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kulminujúcim do samovražedných pokusov a dokonanej samovraždy. Pri výskyte takýchto prípadoch sa musí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prerušiť. 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U pacientov dostávajúcich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boli hlásené prípady </w:t>
      </w:r>
      <w:proofErr w:type="spellStart"/>
      <w:r w:rsidRPr="00B4462C">
        <w:rPr>
          <w:color w:val="000000"/>
          <w:sz w:val="22"/>
          <w:szCs w:val="22"/>
          <w:lang w:val="sk-SK"/>
        </w:rPr>
        <w:t>polyneuropatie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(podľa neurologických symptómov, ako sú bolesť, pálenie, senzorické poruchy alebo ochabnutosť svalstva vyskytujúcich sa jednotlivo alebo v kombinácii).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ukončiť u pacientov, u ktorých sa vyskytnú symptómy </w:t>
      </w:r>
      <w:proofErr w:type="spellStart"/>
      <w:r w:rsidRPr="00B4462C">
        <w:rPr>
          <w:color w:val="000000"/>
          <w:sz w:val="22"/>
          <w:szCs w:val="22"/>
          <w:lang w:val="sk-SK"/>
        </w:rPr>
        <w:t>neuropatie</w:t>
      </w:r>
      <w:proofErr w:type="spellEnd"/>
      <w:r w:rsidRPr="00B4462C">
        <w:rPr>
          <w:color w:val="000000"/>
          <w:sz w:val="22"/>
          <w:szCs w:val="22"/>
          <w:lang w:val="sk-SK"/>
        </w:rPr>
        <w:t>, zahŕňajúce bolesť, pálenie, brnenie, necitlivosť a/alebo slabosť, aby sa predišlo rozvoju stavu, ktorý je nezvratný (pozri časť 4.8).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22149B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Poruchy srdca a srdcovej činnosti</w:t>
      </w:r>
    </w:p>
    <w:p w:rsidR="00CF3670" w:rsidRPr="00B4462C" w:rsidRDefault="00CF3670" w:rsidP="0022149B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Treba byť opatrný pri užívaní </w:t>
      </w:r>
      <w:proofErr w:type="spellStart"/>
      <w:r w:rsidRPr="00B4462C">
        <w:rPr>
          <w:color w:val="000000"/>
          <w:sz w:val="22"/>
          <w:szCs w:val="22"/>
          <w:lang w:val="sk-SK"/>
        </w:rPr>
        <w:t>fluorochinolónov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vrátane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, u pacientov so známymi rizikovými faktormi pre predĺženie QT intervalu, ako sú napríklad:</w:t>
      </w:r>
    </w:p>
    <w:p w:rsidR="00CF3670" w:rsidRPr="00B4462C" w:rsidRDefault="00CF3670" w:rsidP="0022149B">
      <w:pPr>
        <w:numPr>
          <w:ilvl w:val="0"/>
          <w:numId w:val="8"/>
        </w:num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vrodený dlhý QT syndróm</w:t>
      </w:r>
      <w:r>
        <w:rPr>
          <w:color w:val="000000"/>
          <w:sz w:val="22"/>
          <w:szCs w:val="22"/>
          <w:lang w:val="sk-SK"/>
        </w:rPr>
        <w:t>,</w:t>
      </w:r>
    </w:p>
    <w:p w:rsidR="00CF3670" w:rsidRPr="00B4462C" w:rsidRDefault="00CF3670" w:rsidP="0022149B">
      <w:pPr>
        <w:numPr>
          <w:ilvl w:val="0"/>
          <w:numId w:val="8"/>
        </w:num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súbežné užívanie liekov o ktorých je známe, že predlžujú QT interval (napr. trieda IA a III, </w:t>
      </w:r>
      <w:proofErr w:type="spellStart"/>
      <w:r w:rsidRPr="00B4462C">
        <w:rPr>
          <w:color w:val="000000"/>
          <w:sz w:val="22"/>
          <w:szCs w:val="22"/>
          <w:lang w:val="sk-SK"/>
        </w:rPr>
        <w:t>antiarytmiká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tricyklické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antidepresíva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makrolidy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antipsychotiká</w:t>
      </w:r>
      <w:proofErr w:type="spellEnd"/>
      <w:r w:rsidRPr="00B4462C">
        <w:rPr>
          <w:color w:val="000000"/>
          <w:sz w:val="22"/>
          <w:szCs w:val="22"/>
          <w:lang w:val="sk-SK"/>
        </w:rPr>
        <w:t>)</w:t>
      </w:r>
      <w:r>
        <w:rPr>
          <w:color w:val="000000"/>
          <w:sz w:val="22"/>
          <w:szCs w:val="22"/>
          <w:lang w:val="sk-SK"/>
        </w:rPr>
        <w:t>,</w:t>
      </w:r>
    </w:p>
    <w:p w:rsidR="00CF3670" w:rsidRPr="00B4462C" w:rsidRDefault="00CF3670" w:rsidP="0022149B">
      <w:pPr>
        <w:numPr>
          <w:ilvl w:val="0"/>
          <w:numId w:val="8"/>
        </w:num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nekorigovaná nerovnováha elektrolytov (napr. </w:t>
      </w:r>
      <w:proofErr w:type="spellStart"/>
      <w:r w:rsidRPr="00B4462C">
        <w:rPr>
          <w:color w:val="000000"/>
          <w:sz w:val="22"/>
          <w:szCs w:val="22"/>
          <w:lang w:val="sk-SK"/>
        </w:rPr>
        <w:t>hypokaliémia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hypomagneziémia</w:t>
      </w:r>
      <w:proofErr w:type="spellEnd"/>
      <w:r w:rsidRPr="00B4462C">
        <w:rPr>
          <w:color w:val="000000"/>
          <w:sz w:val="22"/>
          <w:szCs w:val="22"/>
          <w:lang w:val="sk-SK"/>
        </w:rPr>
        <w:t>)</w:t>
      </w:r>
      <w:r>
        <w:rPr>
          <w:color w:val="000000"/>
          <w:sz w:val="22"/>
          <w:szCs w:val="22"/>
          <w:lang w:val="sk-SK"/>
        </w:rPr>
        <w:t>,</w:t>
      </w:r>
    </w:p>
    <w:p w:rsidR="00CF3670" w:rsidRPr="00B4462C" w:rsidRDefault="00CF3670" w:rsidP="0022149B">
      <w:pPr>
        <w:numPr>
          <w:ilvl w:val="0"/>
          <w:numId w:val="8"/>
        </w:num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ochorenie srdca (napr. srdcové zlyhanie, infarkt myokardu, bradykardia)</w:t>
      </w:r>
      <w:r>
        <w:rPr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22149B">
      <w:pPr>
        <w:ind w:left="360"/>
        <w:rPr>
          <w:color w:val="000000"/>
          <w:sz w:val="22"/>
          <w:szCs w:val="22"/>
          <w:lang w:val="sk-SK"/>
        </w:rPr>
      </w:pPr>
    </w:p>
    <w:p w:rsidR="00CF3670" w:rsidRPr="00B4462C" w:rsidRDefault="00CF3670" w:rsidP="00221A4C">
      <w:pPr>
        <w:rPr>
          <w:color w:val="000000"/>
          <w:sz w:val="22"/>
          <w:szCs w:val="22"/>
          <w:lang w:val="sk-SK"/>
        </w:rPr>
      </w:pPr>
      <w:r w:rsidRPr="00F30477">
        <w:rPr>
          <w:color w:val="000000"/>
          <w:sz w:val="22"/>
          <w:szCs w:val="22"/>
          <w:lang w:val="sk-SK"/>
        </w:rPr>
        <w:t xml:space="preserve">Starší </w:t>
      </w:r>
      <w:r>
        <w:rPr>
          <w:color w:val="000000"/>
          <w:sz w:val="22"/>
          <w:szCs w:val="22"/>
          <w:lang w:val="sk-SK"/>
        </w:rPr>
        <w:t>pacienti</w:t>
      </w:r>
      <w:r w:rsidRPr="00FC60DC">
        <w:rPr>
          <w:color w:val="000000"/>
          <w:sz w:val="22"/>
          <w:szCs w:val="22"/>
          <w:lang w:val="sk-SK"/>
        </w:rPr>
        <w:t xml:space="preserve"> a ženy môžu byť citlivejší na lieky predlžujúce </w:t>
      </w:r>
      <w:proofErr w:type="spellStart"/>
      <w:r w:rsidRPr="00FC60DC">
        <w:rPr>
          <w:color w:val="000000"/>
          <w:sz w:val="22"/>
          <w:szCs w:val="22"/>
          <w:lang w:val="sk-SK"/>
        </w:rPr>
        <w:t>QTc</w:t>
      </w:r>
      <w:proofErr w:type="spellEnd"/>
      <w:r w:rsidRPr="00FC60DC">
        <w:rPr>
          <w:color w:val="000000"/>
          <w:sz w:val="22"/>
          <w:szCs w:val="22"/>
          <w:lang w:val="sk-SK"/>
        </w:rPr>
        <w:t xml:space="preserve">. Preto je potrebná opatrnosť pri užívaní </w:t>
      </w:r>
      <w:proofErr w:type="spellStart"/>
      <w:r w:rsidRPr="00FC60DC">
        <w:rPr>
          <w:color w:val="000000"/>
          <w:sz w:val="22"/>
          <w:szCs w:val="22"/>
          <w:lang w:val="sk-SK"/>
        </w:rPr>
        <w:t>fluorochinolónov</w:t>
      </w:r>
      <w:proofErr w:type="spellEnd"/>
      <w:r w:rsidRPr="00FC60DC">
        <w:rPr>
          <w:color w:val="000000"/>
          <w:sz w:val="22"/>
          <w:szCs w:val="22"/>
          <w:lang w:val="sk-SK"/>
        </w:rPr>
        <w:t xml:space="preserve">, vrátane </w:t>
      </w:r>
      <w:proofErr w:type="spellStart"/>
      <w:r w:rsidRPr="00FC60DC">
        <w:rPr>
          <w:color w:val="000000"/>
          <w:sz w:val="22"/>
          <w:szCs w:val="22"/>
          <w:lang w:val="sk-SK"/>
        </w:rPr>
        <w:t>ciprofloxacinu</w:t>
      </w:r>
      <w:proofErr w:type="spellEnd"/>
      <w:r w:rsidRPr="00FC60DC">
        <w:rPr>
          <w:color w:val="000000"/>
          <w:sz w:val="22"/>
          <w:szCs w:val="22"/>
          <w:lang w:val="sk-SK"/>
        </w:rPr>
        <w:t>, u tejto populácie</w:t>
      </w:r>
      <w:r w:rsidRPr="00FC60DC" w:rsidDel="00D9147F">
        <w:rPr>
          <w:color w:val="000000"/>
          <w:sz w:val="22"/>
          <w:szCs w:val="22"/>
          <w:lang w:val="sk-SK"/>
        </w:rPr>
        <w:t xml:space="preserve"> </w:t>
      </w:r>
      <w:r w:rsidRPr="00FC60DC">
        <w:rPr>
          <w:color w:val="000000"/>
          <w:sz w:val="22"/>
          <w:szCs w:val="22"/>
          <w:lang w:val="sk-SK"/>
        </w:rPr>
        <w:t>(pozri čas</w:t>
      </w:r>
      <w:r>
        <w:rPr>
          <w:color w:val="000000"/>
          <w:sz w:val="22"/>
          <w:szCs w:val="22"/>
          <w:lang w:val="sk-SK"/>
        </w:rPr>
        <w:t>ť</w:t>
      </w:r>
      <w:r w:rsidRPr="00FC60DC">
        <w:rPr>
          <w:color w:val="000000"/>
          <w:sz w:val="22"/>
          <w:szCs w:val="22"/>
          <w:lang w:val="sk-SK"/>
        </w:rPr>
        <w:t xml:space="preserve"> 4.2 </w:t>
      </w:r>
      <w:r>
        <w:rPr>
          <w:i/>
          <w:color w:val="000000"/>
          <w:sz w:val="22"/>
          <w:szCs w:val="22"/>
          <w:lang w:val="sk-SK"/>
        </w:rPr>
        <w:t>Starš</w:t>
      </w:r>
      <w:r w:rsidRPr="00FC60DC">
        <w:rPr>
          <w:i/>
          <w:color w:val="000000"/>
          <w:sz w:val="22"/>
          <w:szCs w:val="22"/>
          <w:lang w:val="sk-SK"/>
        </w:rPr>
        <w:t>í pacienti</w:t>
      </w:r>
      <w:r w:rsidRPr="00F30477">
        <w:rPr>
          <w:color w:val="000000"/>
          <w:sz w:val="22"/>
          <w:szCs w:val="22"/>
          <w:lang w:val="sk-SK"/>
        </w:rPr>
        <w:t xml:space="preserve">, </w:t>
      </w:r>
      <w:r>
        <w:rPr>
          <w:color w:val="000000"/>
          <w:sz w:val="22"/>
          <w:szCs w:val="22"/>
          <w:lang w:val="sk-SK"/>
        </w:rPr>
        <w:t>časť</w:t>
      </w:r>
      <w:r w:rsidRPr="00FC60DC">
        <w:rPr>
          <w:color w:val="000000"/>
          <w:sz w:val="22"/>
          <w:szCs w:val="22"/>
          <w:lang w:val="sk-SK"/>
        </w:rPr>
        <w:t xml:space="preserve">4.5, </w:t>
      </w:r>
      <w:r>
        <w:rPr>
          <w:color w:val="000000"/>
          <w:sz w:val="22"/>
          <w:szCs w:val="22"/>
          <w:lang w:val="sk-SK"/>
        </w:rPr>
        <w:t>časť</w:t>
      </w:r>
      <w:r w:rsidRPr="00FC60DC">
        <w:rPr>
          <w:color w:val="000000"/>
          <w:sz w:val="22"/>
          <w:szCs w:val="22"/>
          <w:lang w:val="sk-SK"/>
        </w:rPr>
        <w:t>4.8 a</w:t>
      </w:r>
      <w:r>
        <w:rPr>
          <w:color w:val="000000"/>
          <w:sz w:val="22"/>
          <w:szCs w:val="22"/>
          <w:lang w:val="sk-SK"/>
        </w:rPr>
        <w:t xml:space="preserve"> časť</w:t>
      </w:r>
      <w:r w:rsidRPr="00FC60DC">
        <w:rPr>
          <w:color w:val="000000"/>
          <w:sz w:val="22"/>
          <w:szCs w:val="22"/>
          <w:lang w:val="sk-SK"/>
        </w:rPr>
        <w:t xml:space="preserve"> 4.9).</w:t>
      </w:r>
    </w:p>
    <w:p w:rsidR="00CF3670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CF3670" w:rsidRDefault="00FF42B8" w:rsidP="003A5431">
      <w:pPr>
        <w:rPr>
          <w:i/>
          <w:color w:val="000000"/>
          <w:sz w:val="22"/>
          <w:szCs w:val="22"/>
          <w:lang w:val="sk-SK"/>
        </w:rPr>
      </w:pPr>
      <w:proofErr w:type="spellStart"/>
      <w:r w:rsidRPr="00FF42B8">
        <w:rPr>
          <w:i/>
          <w:color w:val="000000"/>
          <w:sz w:val="22"/>
          <w:szCs w:val="22"/>
          <w:lang w:val="sk-SK"/>
        </w:rPr>
        <w:t>Hypoglykémia</w:t>
      </w:r>
      <w:proofErr w:type="spellEnd"/>
    </w:p>
    <w:p w:rsidR="00CF3670" w:rsidRDefault="00CF3670" w:rsidP="003A5431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Tak ako pri iných </w:t>
      </w:r>
      <w:proofErr w:type="spellStart"/>
      <w:r>
        <w:rPr>
          <w:color w:val="000000"/>
          <w:sz w:val="22"/>
          <w:szCs w:val="22"/>
          <w:lang w:val="sk-SK"/>
        </w:rPr>
        <w:t>chinolónoch</w:t>
      </w:r>
      <w:proofErr w:type="spellEnd"/>
      <w:r>
        <w:rPr>
          <w:color w:val="000000"/>
          <w:sz w:val="22"/>
          <w:szCs w:val="22"/>
          <w:lang w:val="sk-SK"/>
        </w:rPr>
        <w:t>, bola najčastejšie u diabetických pacientov, hlavne u staršej populácie,</w:t>
      </w:r>
      <w:r w:rsidRPr="00B3179C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 xml:space="preserve">hlásená </w:t>
      </w:r>
      <w:proofErr w:type="spellStart"/>
      <w:r>
        <w:rPr>
          <w:color w:val="000000"/>
          <w:sz w:val="22"/>
          <w:szCs w:val="22"/>
          <w:lang w:val="sk-SK"/>
        </w:rPr>
        <w:t>hypoglykémia</w:t>
      </w:r>
      <w:proofErr w:type="spellEnd"/>
      <w:r>
        <w:rPr>
          <w:color w:val="000000"/>
          <w:sz w:val="22"/>
          <w:szCs w:val="22"/>
          <w:lang w:val="sk-SK"/>
        </w:rPr>
        <w:t>. U všetkých diabetických pacientov sa odporúča starostlivé sledovanie glukózy v krvi (pozri časť 4.8).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 xml:space="preserve">Poruchy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gastrointestinálneho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traktu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Výskyt závažnej a pretrvávajúcej hnačky počas liečby alebo po liečbe (aj niekoľko týždňov po liečbe) môže naznačovať </w:t>
      </w:r>
      <w:proofErr w:type="spellStart"/>
      <w:r w:rsidRPr="00B4462C">
        <w:rPr>
          <w:color w:val="000000"/>
          <w:sz w:val="22"/>
          <w:szCs w:val="22"/>
          <w:lang w:val="sk-SK"/>
        </w:rPr>
        <w:t>kolitídu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súvisiacu s podávaním antibiotika (život ohrozujúca až fatálna). Tento stav vyžaduje okamžitú liečbu (pozri časť 4.8). V takýchto prípadoch sa má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ihneď prerušiť a má sa začať vhodná liečba. Za týchto okolností sú </w:t>
      </w:r>
      <w:proofErr w:type="spellStart"/>
      <w:r w:rsidRPr="00B4462C">
        <w:rPr>
          <w:color w:val="000000"/>
          <w:sz w:val="22"/>
          <w:szCs w:val="22"/>
          <w:lang w:val="sk-SK"/>
        </w:rPr>
        <w:t>antiperistaltiká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kontraindikované. 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Poruchy obličiek a močových ciest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 súvislosti s používaním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bola hlásená </w:t>
      </w:r>
      <w:proofErr w:type="spellStart"/>
      <w:r w:rsidRPr="00B4462C">
        <w:rPr>
          <w:color w:val="000000"/>
          <w:sz w:val="22"/>
          <w:szCs w:val="22"/>
          <w:lang w:val="sk-SK"/>
        </w:rPr>
        <w:t>kryštalúria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4.8). Pacienti dostávajúci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majú byť dostatočne </w:t>
      </w:r>
      <w:proofErr w:type="spellStart"/>
      <w:r w:rsidRPr="00B4462C">
        <w:rPr>
          <w:color w:val="000000"/>
          <w:sz w:val="22"/>
          <w:szCs w:val="22"/>
          <w:lang w:val="sk-SK"/>
        </w:rPr>
        <w:t>hydratovaní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má sa vyhnúť nadmernej alkalite moču.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Porucha funkcie obličiek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Keďže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ciprofloxacin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vo veľkej miere vylučovaný nezmenený obličkami</w:t>
      </w:r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je potrebná úprava dávky u pacientov s poruchou funkcie obličiek ako je opísané v časti 4.2</w:t>
      </w:r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aby sa zabránilo zvýšeniu </w:t>
      </w:r>
      <w:r>
        <w:rPr>
          <w:color w:val="000000"/>
          <w:sz w:val="22"/>
          <w:szCs w:val="22"/>
          <w:lang w:val="sk-SK"/>
        </w:rPr>
        <w:t xml:space="preserve">výskytu </w:t>
      </w:r>
      <w:r w:rsidRPr="00B4462C">
        <w:rPr>
          <w:color w:val="000000"/>
          <w:sz w:val="22"/>
          <w:szCs w:val="22"/>
          <w:lang w:val="sk-SK"/>
        </w:rPr>
        <w:t xml:space="preserve">nežiaducich reakcií vzhľadom k akumulácii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Poruchy pečene a žlčových ciest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Počas užívania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boli hlásené prípady </w:t>
      </w:r>
      <w:proofErr w:type="spellStart"/>
      <w:r w:rsidRPr="00B4462C">
        <w:rPr>
          <w:color w:val="000000"/>
          <w:sz w:val="22"/>
          <w:szCs w:val="22"/>
          <w:lang w:val="sk-SK"/>
        </w:rPr>
        <w:t>hepatálnej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nekrózy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až život ohrozujúceho </w:t>
      </w:r>
      <w:proofErr w:type="spellStart"/>
      <w:r w:rsidRPr="00B4462C">
        <w:rPr>
          <w:color w:val="000000"/>
          <w:sz w:val="22"/>
          <w:szCs w:val="22"/>
          <w:lang w:val="sk-SK"/>
        </w:rPr>
        <w:t>hepatálneho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zlyhania (pozri časť 4.8). Ak sa objavia znaky a symptómy ochorenia pečene (ako sú </w:t>
      </w:r>
      <w:proofErr w:type="spellStart"/>
      <w:r w:rsidRPr="00B4462C">
        <w:rPr>
          <w:color w:val="000000"/>
          <w:sz w:val="22"/>
          <w:szCs w:val="22"/>
          <w:lang w:val="sk-SK"/>
        </w:rPr>
        <w:t>anorexia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žltačka, tmavý moč, </w:t>
      </w:r>
      <w:proofErr w:type="spellStart"/>
      <w:r w:rsidRPr="00B4462C">
        <w:rPr>
          <w:color w:val="000000"/>
          <w:sz w:val="22"/>
          <w:szCs w:val="22"/>
          <w:lang w:val="sk-SK"/>
        </w:rPr>
        <w:t>pruritus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citlivé brucho) liečba sa má ukončiť.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Deficit glukóza-6-fosfátdehydrogenázy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U pacientov s poruchou činnosti glukóza-6-fosfátdehydrogenázy sa zaznamenali </w:t>
      </w:r>
      <w:proofErr w:type="spellStart"/>
      <w:r w:rsidRPr="00B4462C">
        <w:rPr>
          <w:color w:val="000000"/>
          <w:sz w:val="22"/>
          <w:szCs w:val="22"/>
          <w:lang w:val="sk-SK"/>
        </w:rPr>
        <w:t>hemolytické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reakcie. U týchto pacientov je potrebné sa vyhnúť podávaniu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pokiaľ potenciálny prínos neprevažuje možné riziko. V prípade liečby sa má monitorovať potenciálny výskyt </w:t>
      </w:r>
      <w:proofErr w:type="spellStart"/>
      <w:r w:rsidRPr="00B4462C">
        <w:rPr>
          <w:color w:val="000000"/>
          <w:sz w:val="22"/>
          <w:szCs w:val="22"/>
          <w:lang w:val="sk-SK"/>
        </w:rPr>
        <w:t>hemolýzy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Rezistencia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Počas liečby a po liečbe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môžu zistiť baktérie rezistentné na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alebo bez klinických prejavov </w:t>
      </w:r>
      <w:proofErr w:type="spellStart"/>
      <w:r w:rsidRPr="00B4462C">
        <w:rPr>
          <w:color w:val="000000"/>
          <w:sz w:val="22"/>
          <w:szCs w:val="22"/>
          <w:lang w:val="sk-SK"/>
        </w:rPr>
        <w:t>superinfekcie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Obzvlášť počas dlhodobej liečby a pri liečbe </w:t>
      </w:r>
      <w:proofErr w:type="spellStart"/>
      <w:r w:rsidRPr="00B4462C">
        <w:rPr>
          <w:color w:val="000000"/>
          <w:sz w:val="22"/>
          <w:szCs w:val="22"/>
          <w:lang w:val="sk-SK"/>
        </w:rPr>
        <w:t>nozokomiálnych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infekcií a/alebo infekcií vyvolaných druhmi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aeruginosa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existuje riziko pri selekcii baktérií rezistentných voči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lastRenderedPageBreak/>
        <w:t>Cytochróm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P450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inhibuje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enzým CYP1A2 a tým môže spôsobiť zvýšenie sérovej  koncentrácie súbežne podávaných liečiv, ktoré sú metabolizované týmto enzýmom (napr. </w:t>
      </w:r>
      <w:proofErr w:type="spellStart"/>
      <w:r w:rsidRPr="00B4462C">
        <w:rPr>
          <w:color w:val="000000"/>
          <w:sz w:val="22"/>
          <w:szCs w:val="22"/>
          <w:lang w:val="sk-SK"/>
        </w:rPr>
        <w:t>teofylín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klozapín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olanzapín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ropinirol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tizanidín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duloxetín</w:t>
      </w:r>
      <w:proofErr w:type="spellEnd"/>
      <w:r>
        <w:rPr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color w:val="000000"/>
          <w:sz w:val="22"/>
          <w:szCs w:val="22"/>
          <w:lang w:val="sk-SK"/>
        </w:rPr>
        <w:t>agomelatín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). 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tizanidínom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kontraindikované. Z tohto dôvodu majú byť pacienti užívajúci vyššie uvedené liečivá súbežne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pozorne sledovaní pre klinické príznaky predávkovania a môže byť potrebné stanoviť koncentrácie týchto liečiv v sére, najmä 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4.5).</w:t>
      </w: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Metotrexát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Súbežné použitie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metotrexátom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neodporúča (pozri časť 4.5).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Interakcie s laboratórnymi vyšetreniami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In-vitro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účinok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proti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Mycobacterium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tuberculosis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viesť k falošne negatívnym výsledkom mikrobiologických testov na vzorkách od pacientov liečených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4.5</w:t>
      </w:r>
      <w:r w:rsidRPr="00B4462C">
        <w:rPr>
          <w:b/>
          <w:sz w:val="22"/>
          <w:szCs w:val="22"/>
          <w:lang w:val="sk-SK"/>
        </w:rPr>
        <w:tab/>
        <w:t xml:space="preserve">Liekové a iné interakcie 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u w:val="single"/>
          <w:lang w:val="sk-SK"/>
        </w:rPr>
      </w:pPr>
      <w:r w:rsidRPr="00B4462C">
        <w:rPr>
          <w:i/>
          <w:color w:val="000000"/>
          <w:sz w:val="22"/>
          <w:szCs w:val="22"/>
          <w:u w:val="single"/>
          <w:lang w:val="sk-SK"/>
        </w:rPr>
        <w:t xml:space="preserve">Účinok iných liekov na </w:t>
      </w:r>
      <w:proofErr w:type="spellStart"/>
      <w:r w:rsidRPr="00B4462C">
        <w:rPr>
          <w:i/>
          <w:color w:val="000000"/>
          <w:sz w:val="22"/>
          <w:szCs w:val="22"/>
          <w:u w:val="single"/>
          <w:lang w:val="sk-SK"/>
        </w:rPr>
        <w:t>ciprofloxacín</w:t>
      </w:r>
      <w:proofErr w:type="spellEnd"/>
      <w:r w:rsidRPr="00B4462C">
        <w:rPr>
          <w:i/>
          <w:color w:val="000000"/>
          <w:sz w:val="22"/>
          <w:szCs w:val="22"/>
          <w:u w:val="single"/>
          <w:lang w:val="sk-SK"/>
        </w:rPr>
        <w:t>: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 xml:space="preserve">Tvorba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chelátových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komplexov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Pri súbežnom </w:t>
      </w:r>
      <w:proofErr w:type="spellStart"/>
      <w:r w:rsidRPr="00B4462C">
        <w:rPr>
          <w:color w:val="000000"/>
          <w:sz w:val="22"/>
          <w:szCs w:val="22"/>
          <w:lang w:val="sk-SK"/>
        </w:rPr>
        <w:t>p.o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podávaní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liečivami a minerálnymi doplnkami obsahujúcimi </w:t>
      </w:r>
      <w:proofErr w:type="spellStart"/>
      <w:r w:rsidRPr="00B4462C">
        <w:rPr>
          <w:color w:val="000000"/>
          <w:sz w:val="22"/>
          <w:szCs w:val="22"/>
          <w:lang w:val="sk-SK"/>
        </w:rPr>
        <w:t>polyvalentné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katióny (napr. kalcium, magnézium, hliník, železo), polymérnymi viazačmi fosfátov (napr. </w:t>
      </w:r>
      <w:proofErr w:type="spellStart"/>
      <w:r w:rsidRPr="00B4462C">
        <w:rPr>
          <w:color w:val="000000"/>
          <w:sz w:val="22"/>
          <w:szCs w:val="22"/>
          <w:lang w:val="sk-SK"/>
        </w:rPr>
        <w:t>sevelamer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), </w:t>
      </w:r>
      <w:proofErr w:type="spellStart"/>
      <w:r w:rsidRPr="00B4462C">
        <w:rPr>
          <w:color w:val="000000"/>
          <w:sz w:val="22"/>
          <w:szCs w:val="22"/>
          <w:lang w:val="sk-SK"/>
        </w:rPr>
        <w:t>sukralfátom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B4462C">
        <w:rPr>
          <w:color w:val="000000"/>
          <w:sz w:val="22"/>
          <w:szCs w:val="22"/>
          <w:lang w:val="sk-SK"/>
        </w:rPr>
        <w:t>antacidami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vysoko </w:t>
      </w:r>
      <w:proofErr w:type="spellStart"/>
      <w:r w:rsidRPr="00B4462C">
        <w:rPr>
          <w:color w:val="000000"/>
          <w:sz w:val="22"/>
          <w:szCs w:val="22"/>
          <w:lang w:val="sk-SK"/>
        </w:rPr>
        <w:t>pufrovanými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liečivami (napr. tablety </w:t>
      </w:r>
      <w:proofErr w:type="spellStart"/>
      <w:r w:rsidRPr="00B4462C">
        <w:rPr>
          <w:color w:val="000000"/>
          <w:sz w:val="22"/>
          <w:szCs w:val="22"/>
          <w:lang w:val="sk-SK"/>
        </w:rPr>
        <w:t>didanozínu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 obsahujúcimi magnézium, hliník alebo kalcium je absorpcia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znížená.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Ciprofloxacin-Teva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preto podávať buď 1-2 hodiny pred alebo minimálne 4 hodiny po užití vyššie uvedených liekov. Toto obmedzenie neplatí pre </w:t>
      </w:r>
      <w:proofErr w:type="spellStart"/>
      <w:r w:rsidRPr="00B4462C">
        <w:rPr>
          <w:color w:val="000000"/>
          <w:sz w:val="22"/>
          <w:szCs w:val="22"/>
          <w:lang w:val="sk-SK"/>
        </w:rPr>
        <w:t>antacidá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zo skupiny </w:t>
      </w:r>
      <w:proofErr w:type="spellStart"/>
      <w:r w:rsidRPr="00B4462C">
        <w:rPr>
          <w:color w:val="000000"/>
          <w:sz w:val="22"/>
          <w:szCs w:val="22"/>
          <w:lang w:val="sk-SK"/>
        </w:rPr>
        <w:t>blokátorov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H</w:t>
      </w:r>
      <w:r w:rsidRPr="00B4462C">
        <w:rPr>
          <w:color w:val="000000"/>
          <w:sz w:val="22"/>
          <w:szCs w:val="22"/>
          <w:vertAlign w:val="subscript"/>
          <w:lang w:val="sk-SK"/>
        </w:rPr>
        <w:t>2</w:t>
      </w:r>
      <w:r w:rsidRPr="00B4462C">
        <w:rPr>
          <w:color w:val="000000"/>
          <w:sz w:val="22"/>
          <w:szCs w:val="22"/>
          <w:lang w:val="sk-SK"/>
        </w:rPr>
        <w:t xml:space="preserve"> receptorov. </w:t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i/>
          <w:color w:val="000000"/>
          <w:sz w:val="22"/>
          <w:szCs w:val="22"/>
          <w:lang w:val="sk-SK"/>
        </w:rPr>
        <w:t>Jedlo a mliečne výrobky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Jedlo s obsahom kalcia významne neovplyvňuje absorpciu. Súbežnému podávaniu mliečnych výrobkov alebo nápojov bohatých na minerály (napr. mlieko, jogurt, pomarančový džús obsahujúci kalcium)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však potrebné sa vyhnúť, pretože absorpcia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byť znížená.</w:t>
      </w:r>
    </w:p>
    <w:p w:rsidR="00CF3670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63036B">
      <w:pPr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Lieky o ktorých je známe, že  predlžujú QT interval</w:t>
      </w:r>
    </w:p>
    <w:p w:rsidR="00CF3670" w:rsidRPr="00B4462C" w:rsidRDefault="00CF3670" w:rsidP="0063036B">
      <w:pPr>
        <w:pStyle w:val="Text"/>
        <w:ind w:left="0"/>
        <w:rPr>
          <w:lang w:val="sk-SK"/>
        </w:rPr>
      </w:pPr>
      <w:proofErr w:type="spellStart"/>
      <w:r w:rsidRPr="00B4462C">
        <w:rPr>
          <w:lang w:val="sk-SK"/>
        </w:rPr>
        <w:t>Ciprofloxacin</w:t>
      </w:r>
      <w:proofErr w:type="spellEnd"/>
      <w:r w:rsidRPr="00B4462C">
        <w:rPr>
          <w:lang w:val="sk-SK"/>
        </w:rPr>
        <w:t xml:space="preserve">, podobne ako iné </w:t>
      </w:r>
      <w:proofErr w:type="spellStart"/>
      <w:r w:rsidRPr="00B4462C">
        <w:rPr>
          <w:lang w:val="sk-SK"/>
        </w:rPr>
        <w:t>fluorochinolóny</w:t>
      </w:r>
      <w:proofErr w:type="spellEnd"/>
      <w:r>
        <w:rPr>
          <w:lang w:val="sk-SK"/>
        </w:rPr>
        <w:t>,</w:t>
      </w:r>
      <w:r w:rsidRPr="00B4462C">
        <w:rPr>
          <w:lang w:val="sk-SK"/>
        </w:rPr>
        <w:t xml:space="preserve"> sa majú užívať s opatrnosťou u pacientov užívajúcich lieky</w:t>
      </w:r>
      <w:r>
        <w:rPr>
          <w:lang w:val="sk-SK"/>
        </w:rPr>
        <w:t>,</w:t>
      </w:r>
      <w:r w:rsidRPr="00B4462C">
        <w:rPr>
          <w:lang w:val="sk-SK"/>
        </w:rPr>
        <w:t xml:space="preserve"> o ktorých je známe, že predlžujú QT interval (napr. </w:t>
      </w:r>
      <w:proofErr w:type="spellStart"/>
      <w:r w:rsidRPr="00B4462C">
        <w:rPr>
          <w:lang w:val="sk-SK"/>
        </w:rPr>
        <w:t>antiarytmiká</w:t>
      </w:r>
      <w:proofErr w:type="spellEnd"/>
      <w:r w:rsidRPr="00B4462C">
        <w:rPr>
          <w:lang w:val="sk-SK"/>
        </w:rPr>
        <w:t xml:space="preserve"> triedy IA a III, </w:t>
      </w:r>
      <w:proofErr w:type="spellStart"/>
      <w:r w:rsidRPr="00B4462C">
        <w:rPr>
          <w:lang w:val="sk-SK"/>
        </w:rPr>
        <w:t>tricyklické</w:t>
      </w:r>
      <w:proofErr w:type="spellEnd"/>
      <w:r w:rsidRPr="00B4462C">
        <w:rPr>
          <w:lang w:val="sk-SK"/>
        </w:rPr>
        <w:t xml:space="preserve"> </w:t>
      </w:r>
      <w:proofErr w:type="spellStart"/>
      <w:r w:rsidRPr="00B4462C">
        <w:rPr>
          <w:lang w:val="sk-SK"/>
        </w:rPr>
        <w:t>antidepresíva</w:t>
      </w:r>
      <w:proofErr w:type="spellEnd"/>
      <w:r w:rsidRPr="00B4462C">
        <w:rPr>
          <w:lang w:val="sk-SK"/>
        </w:rPr>
        <w:t xml:space="preserve">, </w:t>
      </w:r>
      <w:proofErr w:type="spellStart"/>
      <w:r w:rsidRPr="00B4462C">
        <w:rPr>
          <w:lang w:val="sk-SK"/>
        </w:rPr>
        <w:t>makrolidy</w:t>
      </w:r>
      <w:proofErr w:type="spellEnd"/>
      <w:r w:rsidRPr="00B4462C">
        <w:rPr>
          <w:lang w:val="sk-SK"/>
        </w:rPr>
        <w:t xml:space="preserve">, </w:t>
      </w:r>
      <w:proofErr w:type="spellStart"/>
      <w:r w:rsidRPr="00B4462C">
        <w:rPr>
          <w:lang w:val="sk-SK"/>
        </w:rPr>
        <w:t>antipsychotiká</w:t>
      </w:r>
      <w:proofErr w:type="spellEnd"/>
      <w:r w:rsidRPr="00B4462C">
        <w:rPr>
          <w:lang w:val="sk-SK"/>
        </w:rPr>
        <w:t>) (pozri časť 4.4).</w:t>
      </w:r>
    </w:p>
    <w:p w:rsidR="00CF3670" w:rsidRPr="00B4462C" w:rsidRDefault="00CF3670" w:rsidP="0063036B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Probenecid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br/>
      </w:r>
      <w:proofErr w:type="spellStart"/>
      <w:r w:rsidRPr="00B4462C">
        <w:rPr>
          <w:color w:val="000000"/>
          <w:sz w:val="22"/>
          <w:szCs w:val="22"/>
          <w:lang w:val="sk-SK"/>
        </w:rPr>
        <w:t>Probenecid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inhibuje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vylučovanie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obličkami. 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probenecidu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zvyšuje sérové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Metoklopramid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Metoklopramid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urýchľuje absorpciu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(perorálneho)</w:t>
      </w:r>
      <w:r>
        <w:rPr>
          <w:color w:val="000000"/>
          <w:sz w:val="22"/>
          <w:szCs w:val="22"/>
          <w:lang w:val="sk-SK"/>
        </w:rPr>
        <w:t xml:space="preserve">, čoho dôsledkom je kratší čas </w:t>
      </w:r>
      <w:r w:rsidRPr="00B4462C">
        <w:rPr>
          <w:color w:val="000000"/>
          <w:sz w:val="22"/>
          <w:szCs w:val="22"/>
          <w:lang w:val="sk-SK"/>
        </w:rPr>
        <w:t xml:space="preserve"> dosiahnutia maximálnych plazmatických koncentrácií. Žiadny účinok nebol pozorovaný na </w:t>
      </w:r>
      <w:proofErr w:type="spellStart"/>
      <w:r w:rsidRPr="00B4462C">
        <w:rPr>
          <w:color w:val="000000"/>
          <w:sz w:val="22"/>
          <w:szCs w:val="22"/>
          <w:lang w:val="sk-SK"/>
        </w:rPr>
        <w:t>biodostupnosť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Omeprazol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Súbežné podávanie </w:t>
      </w:r>
      <w:r>
        <w:rPr>
          <w:color w:val="000000"/>
          <w:sz w:val="22"/>
          <w:szCs w:val="22"/>
          <w:lang w:val="sk-SK"/>
        </w:rPr>
        <w:t xml:space="preserve">liekov obsahujúcich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B4462C">
        <w:rPr>
          <w:color w:val="000000"/>
          <w:sz w:val="22"/>
          <w:szCs w:val="22"/>
          <w:lang w:val="sk-SK"/>
        </w:rPr>
        <w:t>omeprazol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ved</w:t>
      </w:r>
      <w:r>
        <w:rPr>
          <w:color w:val="000000"/>
          <w:sz w:val="22"/>
          <w:szCs w:val="22"/>
          <w:lang w:val="sk-SK"/>
        </w:rPr>
        <w:t>ie</w:t>
      </w:r>
      <w:r w:rsidRPr="00B4462C">
        <w:rPr>
          <w:color w:val="000000"/>
          <w:sz w:val="22"/>
          <w:szCs w:val="22"/>
          <w:lang w:val="sk-SK"/>
        </w:rPr>
        <w:t xml:space="preserve"> k miernemu zníženiu </w:t>
      </w:r>
      <w:r>
        <w:rPr>
          <w:color w:val="000000"/>
          <w:sz w:val="22"/>
          <w:szCs w:val="22"/>
          <w:lang w:val="sk-SK"/>
        </w:rPr>
        <w:t xml:space="preserve">hodnôt 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AUC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 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u w:val="single"/>
          <w:lang w:val="sk-SK"/>
        </w:rPr>
      </w:pPr>
      <w:r w:rsidRPr="00B4462C">
        <w:rPr>
          <w:i/>
          <w:color w:val="000000"/>
          <w:sz w:val="22"/>
          <w:szCs w:val="22"/>
          <w:u w:val="single"/>
          <w:lang w:val="sk-SK"/>
        </w:rPr>
        <w:t xml:space="preserve">Účinok </w:t>
      </w:r>
      <w:proofErr w:type="spellStart"/>
      <w:r w:rsidRPr="00B4462C">
        <w:rPr>
          <w:i/>
          <w:color w:val="000000"/>
          <w:sz w:val="22"/>
          <w:szCs w:val="22"/>
          <w:u w:val="single"/>
          <w:lang w:val="sk-SK"/>
        </w:rPr>
        <w:t>ciprofloxacínu</w:t>
      </w:r>
      <w:proofErr w:type="spellEnd"/>
      <w:r w:rsidRPr="00B4462C">
        <w:rPr>
          <w:i/>
          <w:color w:val="000000"/>
          <w:sz w:val="22"/>
          <w:szCs w:val="22"/>
          <w:u w:val="single"/>
          <w:lang w:val="sk-SK"/>
        </w:rPr>
        <w:t xml:space="preserve"> na iné lieky: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Tizanidín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lastRenderedPageBreak/>
        <w:t>Tizanidín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nesmie podávať spolu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4.3). V klinickej štúdii na zdravých osobách sa pri súbežnom podávaní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pozorovalo zvýšenie sérovej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tizanidínu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(nárast 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>: 7-násobný, rozsah: 4 až 21 násobne; nárast AUC: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10-násobne, rozsah: 6 až 24- násobne). Zvýšenie sérovej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tizanidínu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viesť k zosilneniu </w:t>
      </w:r>
      <w:proofErr w:type="spellStart"/>
      <w:r w:rsidRPr="00B4462C">
        <w:rPr>
          <w:color w:val="000000"/>
          <w:sz w:val="22"/>
          <w:szCs w:val="22"/>
          <w:lang w:val="sk-SK"/>
        </w:rPr>
        <w:t>hypotenzného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sedatívneho účinku.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Metotrexát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Renálny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tubulárny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transport </w:t>
      </w:r>
      <w:proofErr w:type="spellStart"/>
      <w:r w:rsidRPr="00B4462C">
        <w:rPr>
          <w:color w:val="000000"/>
          <w:sz w:val="22"/>
          <w:szCs w:val="22"/>
          <w:lang w:val="sk-SK"/>
        </w:rPr>
        <w:t>metotrexátu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byť </w:t>
      </w:r>
      <w:proofErr w:type="spellStart"/>
      <w:r w:rsidRPr="00B4462C">
        <w:rPr>
          <w:color w:val="000000"/>
          <w:sz w:val="22"/>
          <w:szCs w:val="22"/>
          <w:lang w:val="sk-SK"/>
        </w:rPr>
        <w:t>inhibovaný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súbežným podávaním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čo by mohlo viesť k zvýšeniu plazmatických hladín </w:t>
      </w:r>
      <w:proofErr w:type="spellStart"/>
      <w:r w:rsidRPr="00B4462C">
        <w:rPr>
          <w:color w:val="000000"/>
          <w:sz w:val="22"/>
          <w:szCs w:val="22"/>
          <w:lang w:val="sk-SK"/>
        </w:rPr>
        <w:t>metotrexátu</w:t>
      </w:r>
      <w:proofErr w:type="spellEnd"/>
      <w:r w:rsidRPr="00B4462C">
        <w:rPr>
          <w:color w:val="000000"/>
          <w:sz w:val="22"/>
          <w:szCs w:val="22"/>
          <w:lang w:val="sk-SK"/>
        </w:rPr>
        <w:t>. To môže zvyšovať riziko toxických reakcií v súvislosti s </w:t>
      </w:r>
      <w:proofErr w:type="spellStart"/>
      <w:r w:rsidRPr="00B4462C">
        <w:rPr>
          <w:color w:val="000000"/>
          <w:sz w:val="22"/>
          <w:szCs w:val="22"/>
          <w:lang w:val="sk-SK"/>
        </w:rPr>
        <w:t>metotrexátom</w:t>
      </w:r>
      <w:proofErr w:type="spellEnd"/>
      <w:r w:rsidRPr="00B4462C">
        <w:rPr>
          <w:color w:val="000000"/>
          <w:sz w:val="22"/>
          <w:szCs w:val="22"/>
          <w:lang w:val="sk-SK"/>
        </w:rPr>
        <w:t>. Súbežné podávanie sa neodporúča (pozri časť 4.4).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Teofylín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spôsobiť nežiaduce zvýšenie sérovej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To môže viesť k vedľajším účinkom vyvolaných </w:t>
      </w:r>
      <w:proofErr w:type="spellStart"/>
      <w:r w:rsidRPr="00B4462C">
        <w:rPr>
          <w:color w:val="000000"/>
          <w:sz w:val="22"/>
          <w:szCs w:val="22"/>
          <w:lang w:val="sk-SK"/>
        </w:rPr>
        <w:t>teofylínom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ktoré môžu byť v zriedkavých prípadoch život ohrozujúce alebo fatálne. Počas súbežného užívania sa majú kontrolovať sérové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podľa potreby sa má znížiť dávka 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4.4).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 xml:space="preserve">Iné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xantínové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deriváty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Počas súbežného podávania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kofeínu alebo </w:t>
      </w:r>
      <w:proofErr w:type="spellStart"/>
      <w:r w:rsidRPr="00B4462C">
        <w:rPr>
          <w:color w:val="000000"/>
          <w:sz w:val="22"/>
          <w:szCs w:val="22"/>
          <w:lang w:val="sk-SK"/>
        </w:rPr>
        <w:t>pentoxifylínu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</w:t>
      </w:r>
      <w:proofErr w:type="spellStart"/>
      <w:r w:rsidRPr="00B4462C">
        <w:rPr>
          <w:color w:val="000000"/>
          <w:sz w:val="22"/>
          <w:szCs w:val="22"/>
          <w:lang w:val="sk-SK"/>
        </w:rPr>
        <w:t>oxpentifylínu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 boli zaznamenané zvýšené sérové koncentrácie týchto </w:t>
      </w:r>
      <w:proofErr w:type="spellStart"/>
      <w:r w:rsidRPr="00B4462C">
        <w:rPr>
          <w:color w:val="000000"/>
          <w:sz w:val="22"/>
          <w:szCs w:val="22"/>
          <w:lang w:val="sk-SK"/>
        </w:rPr>
        <w:t>xantínových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derivátov.</w:t>
      </w: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  <w:proofErr w:type="spellStart"/>
      <w:r w:rsidRPr="00B4462C">
        <w:rPr>
          <w:i/>
          <w:iCs/>
          <w:sz w:val="22"/>
          <w:szCs w:val="22"/>
          <w:lang w:val="sk-SK"/>
        </w:rPr>
        <w:t>Fenytoín</w:t>
      </w:r>
      <w:proofErr w:type="spellEnd"/>
    </w:p>
    <w:p w:rsidR="00CF3670" w:rsidRPr="00B4462C" w:rsidRDefault="00CF3670" w:rsidP="00B65191">
      <w:pPr>
        <w:widowControl w:val="0"/>
        <w:rPr>
          <w:iCs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Súbežné podávanie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</w:t>
      </w:r>
      <w:r w:rsidRPr="00B4462C">
        <w:rPr>
          <w:iCs/>
          <w:sz w:val="22"/>
          <w:szCs w:val="22"/>
          <w:lang w:val="sk-SK"/>
        </w:rPr>
        <w:t xml:space="preserve">a </w:t>
      </w:r>
      <w:proofErr w:type="spellStart"/>
      <w:r w:rsidRPr="00B4462C">
        <w:rPr>
          <w:iCs/>
          <w:sz w:val="22"/>
          <w:szCs w:val="22"/>
          <w:lang w:val="sk-SK"/>
        </w:rPr>
        <w:t>fenytoínu</w:t>
      </w:r>
      <w:proofErr w:type="spellEnd"/>
      <w:r w:rsidRPr="00B4462C">
        <w:rPr>
          <w:iCs/>
          <w:sz w:val="22"/>
          <w:szCs w:val="22"/>
          <w:lang w:val="sk-SK"/>
        </w:rPr>
        <w:t xml:space="preserve"> môže mať za následok zvýšené alebo znížené hladiny </w:t>
      </w:r>
      <w:proofErr w:type="spellStart"/>
      <w:r w:rsidRPr="00B4462C">
        <w:rPr>
          <w:iCs/>
          <w:sz w:val="22"/>
          <w:szCs w:val="22"/>
          <w:lang w:val="sk-SK"/>
        </w:rPr>
        <w:t>fenytoínu</w:t>
      </w:r>
      <w:proofErr w:type="spellEnd"/>
      <w:r w:rsidRPr="00B4462C">
        <w:rPr>
          <w:iCs/>
          <w:sz w:val="22"/>
          <w:szCs w:val="22"/>
          <w:lang w:val="sk-SK"/>
        </w:rPr>
        <w:t xml:space="preserve"> v sére, a preto sa odporúča sledovanie hladín </w:t>
      </w:r>
      <w:proofErr w:type="spellStart"/>
      <w:r w:rsidRPr="00B4462C">
        <w:rPr>
          <w:iCs/>
          <w:sz w:val="22"/>
          <w:szCs w:val="22"/>
          <w:lang w:val="sk-SK"/>
        </w:rPr>
        <w:t>fenytoínu</w:t>
      </w:r>
      <w:proofErr w:type="spellEnd"/>
      <w:r w:rsidRPr="00B4462C">
        <w:rPr>
          <w:iCs/>
          <w:sz w:val="22"/>
          <w:szCs w:val="22"/>
          <w:lang w:val="sk-SK"/>
        </w:rPr>
        <w:t>.</w:t>
      </w:r>
    </w:p>
    <w:p w:rsidR="00CF3670" w:rsidRPr="00B4462C" w:rsidRDefault="00CF3670" w:rsidP="00B65191">
      <w:pPr>
        <w:widowControl w:val="0"/>
        <w:rPr>
          <w:iCs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i/>
          <w:iCs/>
          <w:sz w:val="22"/>
          <w:szCs w:val="22"/>
          <w:lang w:val="sk-SK"/>
        </w:rPr>
      </w:pPr>
      <w:proofErr w:type="spellStart"/>
      <w:r w:rsidRPr="00B4462C">
        <w:rPr>
          <w:i/>
          <w:iCs/>
          <w:sz w:val="22"/>
          <w:szCs w:val="22"/>
          <w:lang w:val="sk-SK"/>
        </w:rPr>
        <w:t>Cyklosporín</w:t>
      </w:r>
      <w:proofErr w:type="spellEnd"/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Prechodné zvýšenie koncentrácie sérového </w:t>
      </w:r>
      <w:proofErr w:type="spellStart"/>
      <w:r w:rsidRPr="00B4462C">
        <w:rPr>
          <w:sz w:val="22"/>
          <w:szCs w:val="22"/>
          <w:lang w:val="sk-SK"/>
        </w:rPr>
        <w:t>kreatinínu</w:t>
      </w:r>
      <w:proofErr w:type="spellEnd"/>
      <w:r w:rsidRPr="00B4462C">
        <w:rPr>
          <w:sz w:val="22"/>
          <w:szCs w:val="22"/>
          <w:lang w:val="sk-SK"/>
        </w:rPr>
        <w:t xml:space="preserve"> bolo pozorované</w:t>
      </w:r>
      <w:r>
        <w:rPr>
          <w:sz w:val="22"/>
          <w:szCs w:val="22"/>
          <w:lang w:val="sk-SK"/>
        </w:rPr>
        <w:t>,</w:t>
      </w:r>
      <w:r w:rsidRPr="00B4462C">
        <w:rPr>
          <w:sz w:val="22"/>
          <w:szCs w:val="22"/>
          <w:lang w:val="sk-SK"/>
        </w:rPr>
        <w:t xml:space="preserve"> keď sa lieky obsahujúce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a </w:t>
      </w:r>
      <w:proofErr w:type="spellStart"/>
      <w:r w:rsidRPr="00B4462C">
        <w:rPr>
          <w:sz w:val="22"/>
          <w:szCs w:val="22"/>
          <w:lang w:val="sk-SK"/>
        </w:rPr>
        <w:t>cyklosporín</w:t>
      </w:r>
      <w:proofErr w:type="spellEnd"/>
      <w:r w:rsidRPr="00B4462C">
        <w:rPr>
          <w:sz w:val="22"/>
          <w:szCs w:val="22"/>
          <w:lang w:val="sk-SK"/>
        </w:rPr>
        <w:t xml:space="preserve"> podávali súbežne. Preto je u týchto pacientov </w:t>
      </w:r>
      <w:r>
        <w:rPr>
          <w:sz w:val="22"/>
          <w:szCs w:val="22"/>
          <w:lang w:val="sk-SK"/>
        </w:rPr>
        <w:t xml:space="preserve">potrebné </w:t>
      </w:r>
      <w:r w:rsidRPr="00B4462C">
        <w:rPr>
          <w:sz w:val="22"/>
          <w:szCs w:val="22"/>
          <w:lang w:val="sk-SK"/>
        </w:rPr>
        <w:t xml:space="preserve">často (dvakrát týždenne) kontrolovať koncentráciu sérového </w:t>
      </w:r>
      <w:proofErr w:type="spellStart"/>
      <w:r w:rsidRPr="00B4462C">
        <w:rPr>
          <w:sz w:val="22"/>
          <w:szCs w:val="22"/>
          <w:lang w:val="sk-SK"/>
        </w:rPr>
        <w:t>kreatinínu</w:t>
      </w:r>
      <w:proofErr w:type="spellEnd"/>
      <w:r w:rsidRPr="00B4462C">
        <w:rPr>
          <w:sz w:val="22"/>
          <w:szCs w:val="22"/>
          <w:lang w:val="sk-SK"/>
        </w:rPr>
        <w:t>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 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Antagonisty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vitamínu K </w:t>
      </w:r>
      <w:r w:rsidRPr="00B4462C">
        <w:rPr>
          <w:i/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t xml:space="preserve">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antagonistami vitamínu K môže zosilňovať jeho </w:t>
      </w:r>
      <w:proofErr w:type="spellStart"/>
      <w:r w:rsidRPr="00B4462C">
        <w:rPr>
          <w:color w:val="000000"/>
          <w:sz w:val="22"/>
          <w:szCs w:val="22"/>
          <w:lang w:val="sk-SK"/>
        </w:rPr>
        <w:t>antikoagulačné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účinky. Riziko závisí od základnej infekcie, veku a celkového stavu pacienta, preto je ťažké posúdiť, ako</w:t>
      </w:r>
      <w:r>
        <w:rPr>
          <w:color w:val="000000"/>
          <w:sz w:val="22"/>
          <w:szCs w:val="22"/>
          <w:lang w:val="sk-SK"/>
        </w:rPr>
        <w:t>u</w:t>
      </w:r>
      <w:r w:rsidRPr="00B4462C">
        <w:rPr>
          <w:color w:val="000000"/>
          <w:sz w:val="22"/>
          <w:szCs w:val="22"/>
          <w:lang w:val="sk-SK"/>
        </w:rPr>
        <w:t xml:space="preserve"> mierou prispieva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 zvýšeniu INR (</w:t>
      </w:r>
      <w:proofErr w:type="spellStart"/>
      <w:r w:rsidRPr="00B4462C">
        <w:rPr>
          <w:color w:val="000000"/>
          <w:sz w:val="22"/>
          <w:szCs w:val="22"/>
          <w:lang w:val="sk-SK"/>
        </w:rPr>
        <w:t>international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normalized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ratio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). Počas liečby a krátko po súbežnom podávaní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antagonistami vitamínu K (napr. </w:t>
      </w:r>
      <w:proofErr w:type="spellStart"/>
      <w:r w:rsidRPr="00B4462C">
        <w:rPr>
          <w:color w:val="000000"/>
          <w:sz w:val="22"/>
          <w:szCs w:val="22"/>
          <w:lang w:val="sk-SK"/>
        </w:rPr>
        <w:t>warfarínom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acetokumarolom</w:t>
      </w:r>
      <w:proofErr w:type="spellEnd"/>
      <w:r w:rsidRPr="00B4462C">
        <w:rPr>
          <w:color w:val="000000"/>
          <w:sz w:val="22"/>
          <w:szCs w:val="22"/>
          <w:lang w:val="sk-SK"/>
        </w:rPr>
        <w:t>,</w:t>
      </w:r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fenprokumonom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B4462C">
        <w:rPr>
          <w:color w:val="000000"/>
          <w:sz w:val="22"/>
          <w:szCs w:val="22"/>
          <w:lang w:val="sk-SK"/>
        </w:rPr>
        <w:t>fluindionom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 sa </w:t>
      </w:r>
      <w:r>
        <w:rPr>
          <w:color w:val="000000"/>
          <w:sz w:val="22"/>
          <w:szCs w:val="22"/>
          <w:lang w:val="sk-SK"/>
        </w:rPr>
        <w:t>má</w:t>
      </w:r>
      <w:r w:rsidRPr="00B4462C">
        <w:rPr>
          <w:color w:val="000000"/>
          <w:sz w:val="22"/>
          <w:szCs w:val="22"/>
          <w:lang w:val="sk-SK"/>
        </w:rPr>
        <w:t xml:space="preserve"> pravidelne monitorovať INR. 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Glibenklamid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 osobitných prípadoch súbežné podávanie liekov obsahujúcich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glibenklamid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zintenzívniť účinok </w:t>
      </w:r>
      <w:proofErr w:type="spellStart"/>
      <w:r w:rsidRPr="00B4462C">
        <w:rPr>
          <w:color w:val="000000"/>
          <w:sz w:val="22"/>
          <w:szCs w:val="22"/>
          <w:lang w:val="sk-SK"/>
        </w:rPr>
        <w:t>glibenklamidu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</w:t>
      </w:r>
      <w:proofErr w:type="spellStart"/>
      <w:r w:rsidRPr="00B4462C">
        <w:rPr>
          <w:color w:val="000000"/>
          <w:sz w:val="22"/>
          <w:szCs w:val="22"/>
          <w:lang w:val="sk-SK"/>
        </w:rPr>
        <w:t>hypoglykémia</w:t>
      </w:r>
      <w:proofErr w:type="spellEnd"/>
      <w:r w:rsidRPr="00B4462C">
        <w:rPr>
          <w:color w:val="000000"/>
          <w:sz w:val="22"/>
          <w:szCs w:val="22"/>
          <w:lang w:val="sk-SK"/>
        </w:rPr>
        <w:t>).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Duloxetín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 klinických štúdiách bolo preukázané, že súbežné užívanie </w:t>
      </w:r>
      <w:proofErr w:type="spellStart"/>
      <w:r w:rsidRPr="00B4462C">
        <w:rPr>
          <w:color w:val="000000"/>
          <w:sz w:val="22"/>
          <w:szCs w:val="22"/>
          <w:lang w:val="sk-SK"/>
        </w:rPr>
        <w:t>duloxetínu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so silnými inhibítormi </w:t>
      </w:r>
      <w:proofErr w:type="spellStart"/>
      <w:r w:rsidRPr="00B4462C">
        <w:rPr>
          <w:color w:val="000000"/>
          <w:sz w:val="22"/>
          <w:szCs w:val="22"/>
          <w:lang w:val="sk-SK"/>
        </w:rPr>
        <w:t>izoenzýmu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CYP450 1A2</w:t>
      </w:r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ako je </w:t>
      </w:r>
      <w:proofErr w:type="spellStart"/>
      <w:r w:rsidRPr="00B4462C">
        <w:rPr>
          <w:color w:val="000000"/>
          <w:sz w:val="22"/>
          <w:szCs w:val="22"/>
          <w:lang w:val="sk-SK"/>
        </w:rPr>
        <w:t>fluvoxamín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môže viesť k zvýšeniu </w:t>
      </w:r>
      <w:r>
        <w:rPr>
          <w:color w:val="000000"/>
          <w:sz w:val="22"/>
          <w:szCs w:val="22"/>
          <w:lang w:val="sk-SK"/>
        </w:rPr>
        <w:t xml:space="preserve">hodnôt </w:t>
      </w:r>
      <w:r w:rsidRPr="00B4462C">
        <w:rPr>
          <w:color w:val="000000"/>
          <w:sz w:val="22"/>
          <w:szCs w:val="22"/>
          <w:lang w:val="sk-SK"/>
        </w:rPr>
        <w:t>AUC a 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duloxetínu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Hoci nie sú dostupné údaje </w:t>
      </w:r>
      <w:r>
        <w:rPr>
          <w:color w:val="000000"/>
          <w:sz w:val="22"/>
          <w:szCs w:val="22"/>
          <w:lang w:val="sk-SK"/>
        </w:rPr>
        <w:t xml:space="preserve">o </w:t>
      </w:r>
      <w:r w:rsidRPr="00B4462C">
        <w:rPr>
          <w:color w:val="000000"/>
          <w:sz w:val="22"/>
          <w:szCs w:val="22"/>
          <w:lang w:val="sk-SK"/>
        </w:rPr>
        <w:t>možných interakci</w:t>
      </w:r>
      <w:r>
        <w:rPr>
          <w:color w:val="000000"/>
          <w:sz w:val="22"/>
          <w:szCs w:val="22"/>
          <w:lang w:val="sk-SK"/>
        </w:rPr>
        <w:t>ách</w:t>
      </w:r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>,  podobné účinky možno očakávať pri súbežnom podaní (pozri časť 4.4).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Ropinirol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 klinickej štúdii sa preukázalo, že 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ropinirolu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ciprofloxacínom-stredne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silný inhibítor </w:t>
      </w:r>
      <w:proofErr w:type="spellStart"/>
      <w:r w:rsidRPr="00B4462C">
        <w:rPr>
          <w:color w:val="000000"/>
          <w:sz w:val="22"/>
          <w:szCs w:val="22"/>
          <w:lang w:val="sk-SK"/>
        </w:rPr>
        <w:t>izoenzýmu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CYP450 1A2, vedie k zvýšeniu 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ropinirolu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 60 % a AUC o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84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%. Počas súbežného podávania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krátko po súbežnej liečbe sa odporúča monitorovanie vedľajších účinkov súvisiacich s liečbou </w:t>
      </w:r>
      <w:proofErr w:type="spellStart"/>
      <w:r w:rsidRPr="00B4462C">
        <w:rPr>
          <w:color w:val="000000"/>
          <w:sz w:val="22"/>
          <w:szCs w:val="22"/>
          <w:lang w:val="sk-SK"/>
        </w:rPr>
        <w:t>ropinirolom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podľa potreby úprava dávky (pozri časť 4.4).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lastRenderedPageBreak/>
        <w:t>Lidokain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U zdravých jedincov </w:t>
      </w:r>
      <w:r>
        <w:rPr>
          <w:color w:val="000000"/>
          <w:sz w:val="22"/>
          <w:szCs w:val="22"/>
          <w:lang w:val="sk-SK"/>
        </w:rPr>
        <w:t>bolo</w:t>
      </w:r>
      <w:r w:rsidRPr="00B4462C">
        <w:rPr>
          <w:color w:val="000000"/>
          <w:sz w:val="22"/>
          <w:szCs w:val="22"/>
          <w:lang w:val="sk-SK"/>
        </w:rPr>
        <w:t xml:space="preserve"> preukázané, že súbežné užívanie liekov obsahujúcich </w:t>
      </w:r>
      <w:proofErr w:type="spellStart"/>
      <w:r w:rsidRPr="00B4462C">
        <w:rPr>
          <w:color w:val="000000"/>
          <w:sz w:val="22"/>
          <w:szCs w:val="22"/>
          <w:lang w:val="sk-SK"/>
        </w:rPr>
        <w:t>lidokain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>, stredný</w:t>
      </w:r>
      <w:r>
        <w:rPr>
          <w:color w:val="000000"/>
          <w:sz w:val="22"/>
          <w:szCs w:val="22"/>
          <w:lang w:val="sk-SK"/>
        </w:rPr>
        <w:t>m</w:t>
      </w:r>
      <w:r w:rsidRPr="00B4462C">
        <w:rPr>
          <w:color w:val="000000"/>
          <w:sz w:val="22"/>
          <w:szCs w:val="22"/>
          <w:lang w:val="sk-SK"/>
        </w:rPr>
        <w:t xml:space="preserve"> inhib</w:t>
      </w:r>
      <w:r>
        <w:rPr>
          <w:color w:val="000000"/>
          <w:sz w:val="22"/>
          <w:szCs w:val="22"/>
          <w:lang w:val="sk-SK"/>
        </w:rPr>
        <w:t>í</w:t>
      </w:r>
      <w:r w:rsidRPr="00B4462C">
        <w:rPr>
          <w:color w:val="000000"/>
          <w:sz w:val="22"/>
          <w:szCs w:val="22"/>
          <w:lang w:val="sk-SK"/>
        </w:rPr>
        <w:t>tor</w:t>
      </w:r>
      <w:r>
        <w:rPr>
          <w:color w:val="000000"/>
          <w:sz w:val="22"/>
          <w:szCs w:val="22"/>
          <w:lang w:val="sk-SK"/>
        </w:rPr>
        <w:t>om</w:t>
      </w:r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izoenzýmu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CYP450 1A2, znižuje </w:t>
      </w:r>
      <w:proofErr w:type="spellStart"/>
      <w:r w:rsidRPr="00B4462C">
        <w:rPr>
          <w:color w:val="000000"/>
          <w:sz w:val="22"/>
          <w:szCs w:val="22"/>
          <w:lang w:val="sk-SK"/>
        </w:rPr>
        <w:t>klírens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intravenózneho </w:t>
      </w:r>
      <w:proofErr w:type="spellStart"/>
      <w:r w:rsidRPr="00B4462C">
        <w:rPr>
          <w:color w:val="000000"/>
          <w:sz w:val="22"/>
          <w:szCs w:val="22"/>
          <w:lang w:val="sk-SK"/>
        </w:rPr>
        <w:t>lidokaínu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22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%. Hoci liečba </w:t>
      </w:r>
      <w:proofErr w:type="spellStart"/>
      <w:r w:rsidRPr="00B4462C">
        <w:rPr>
          <w:color w:val="000000"/>
          <w:sz w:val="22"/>
          <w:szCs w:val="22"/>
          <w:lang w:val="sk-SK"/>
        </w:rPr>
        <w:t>lidokaínom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bola dobre znášaná, </w:t>
      </w:r>
      <w:r w:rsidRPr="00F90D57">
        <w:rPr>
          <w:color w:val="000000"/>
          <w:sz w:val="22"/>
          <w:szCs w:val="22"/>
          <w:lang w:val="sk-SK"/>
        </w:rPr>
        <w:t>môžu sa po súbežnom užívaní vyskytnúť intera</w:t>
      </w:r>
      <w:r>
        <w:rPr>
          <w:color w:val="000000"/>
          <w:sz w:val="22"/>
          <w:szCs w:val="22"/>
          <w:lang w:val="sk-SK"/>
        </w:rPr>
        <w:t>k</w:t>
      </w:r>
      <w:r w:rsidRPr="00F90D57">
        <w:rPr>
          <w:color w:val="000000"/>
          <w:sz w:val="22"/>
          <w:szCs w:val="22"/>
          <w:lang w:val="sk-SK"/>
        </w:rPr>
        <w:t>cie s </w:t>
      </w:r>
      <w:proofErr w:type="spellStart"/>
      <w:r w:rsidRPr="00F90D57">
        <w:rPr>
          <w:color w:val="000000"/>
          <w:sz w:val="22"/>
          <w:szCs w:val="22"/>
          <w:lang w:val="sk-SK"/>
        </w:rPr>
        <w:t>ciprofloxacínom</w:t>
      </w:r>
      <w:proofErr w:type="spellEnd"/>
      <w:r w:rsidRPr="00F90D57">
        <w:rPr>
          <w:color w:val="000000"/>
          <w:sz w:val="22"/>
          <w:szCs w:val="22"/>
          <w:lang w:val="sk-SK"/>
        </w:rPr>
        <w:t xml:space="preserve">, </w:t>
      </w:r>
      <w:r>
        <w:rPr>
          <w:color w:val="000000"/>
          <w:sz w:val="22"/>
          <w:szCs w:val="22"/>
          <w:lang w:val="sk-SK"/>
        </w:rPr>
        <w:t>súvisiace</w:t>
      </w:r>
      <w:r w:rsidRPr="00F90D57">
        <w:rPr>
          <w:color w:val="000000"/>
          <w:sz w:val="22"/>
          <w:szCs w:val="22"/>
          <w:lang w:val="sk-SK"/>
        </w:rPr>
        <w:t xml:space="preserve"> s nežiaducimi účinkami.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Klozapín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 súbežnom podávaní 250 mg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klozapínom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počas 7 dní sa zvýšili sérové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klozapínu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29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% a </w:t>
      </w:r>
      <w:proofErr w:type="spellStart"/>
      <w:r w:rsidRPr="00B4462C">
        <w:rPr>
          <w:color w:val="000000"/>
          <w:sz w:val="22"/>
          <w:szCs w:val="22"/>
          <w:lang w:val="sk-SK"/>
        </w:rPr>
        <w:t>N-desmetylklozapínu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31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%. Odporúča sa klinické pozorovanie a primeraná úprava dávkovania </w:t>
      </w:r>
      <w:proofErr w:type="spellStart"/>
      <w:r w:rsidRPr="00B4462C">
        <w:rPr>
          <w:color w:val="000000"/>
          <w:sz w:val="22"/>
          <w:szCs w:val="22"/>
          <w:lang w:val="sk-SK"/>
        </w:rPr>
        <w:t>klozapínu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počas a krátko po súbežnej liečbe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4.4).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Sildenafil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U zdravých jedincov bolo 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vertAlign w:val="subscript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 xml:space="preserve"> a AUC </w:t>
      </w:r>
      <w:proofErr w:type="spellStart"/>
      <w:r w:rsidRPr="00B4462C">
        <w:rPr>
          <w:color w:val="000000"/>
          <w:sz w:val="22"/>
          <w:szCs w:val="22"/>
          <w:lang w:val="sk-SK"/>
        </w:rPr>
        <w:t>sildenafilu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zvýšené približne dvojnásobne po perorálnej dávke 50 mg podávanej súbežne s 500 mg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Preto je potrebná opatrnosť pri predpisovaní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súbežne so </w:t>
      </w:r>
      <w:proofErr w:type="spellStart"/>
      <w:r w:rsidRPr="00B4462C">
        <w:rPr>
          <w:color w:val="000000"/>
          <w:sz w:val="22"/>
          <w:szCs w:val="22"/>
          <w:lang w:val="sk-SK"/>
        </w:rPr>
        <w:t>sildenafilom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 prihliadnutím na riziká a prínosy.</w:t>
      </w:r>
    </w:p>
    <w:p w:rsidR="00CF3670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Default="00FF42B8" w:rsidP="00B65191">
      <w:pPr>
        <w:widowControl w:val="0"/>
        <w:rPr>
          <w:i/>
          <w:sz w:val="22"/>
          <w:szCs w:val="22"/>
          <w:lang w:val="sk-SK"/>
        </w:rPr>
      </w:pPr>
      <w:proofErr w:type="spellStart"/>
      <w:r w:rsidRPr="00FF42B8">
        <w:rPr>
          <w:i/>
          <w:sz w:val="22"/>
          <w:szCs w:val="22"/>
          <w:lang w:val="sk-SK"/>
        </w:rPr>
        <w:t>Agomelatín</w:t>
      </w:r>
      <w:proofErr w:type="spellEnd"/>
    </w:p>
    <w:p w:rsidR="00CF3670" w:rsidRPr="00CF3670" w:rsidRDefault="00CF3670" w:rsidP="00B65191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 klinických štúdiách bolo preukázané, že </w:t>
      </w:r>
      <w:proofErr w:type="spellStart"/>
      <w:r>
        <w:rPr>
          <w:sz w:val="22"/>
          <w:szCs w:val="22"/>
          <w:lang w:val="sk-SK"/>
        </w:rPr>
        <w:t>fluvoxamín</w:t>
      </w:r>
      <w:proofErr w:type="spellEnd"/>
      <w:r>
        <w:rPr>
          <w:sz w:val="22"/>
          <w:szCs w:val="22"/>
          <w:lang w:val="sk-SK"/>
        </w:rPr>
        <w:t xml:space="preserve"> silný inhibítor  </w:t>
      </w:r>
      <w:proofErr w:type="spellStart"/>
      <w:r>
        <w:rPr>
          <w:sz w:val="22"/>
          <w:szCs w:val="22"/>
          <w:lang w:val="sk-SK"/>
        </w:rPr>
        <w:t>izoenzýmu</w:t>
      </w:r>
      <w:proofErr w:type="spellEnd"/>
      <w:r>
        <w:rPr>
          <w:sz w:val="22"/>
          <w:szCs w:val="22"/>
          <w:lang w:val="sk-SK"/>
        </w:rPr>
        <w:t xml:space="preserve"> CYP450 1A2 výrazne </w:t>
      </w:r>
      <w:proofErr w:type="spellStart"/>
      <w:r>
        <w:rPr>
          <w:sz w:val="22"/>
          <w:szCs w:val="22"/>
          <w:lang w:val="sk-SK"/>
        </w:rPr>
        <w:t>inhibuje</w:t>
      </w:r>
      <w:proofErr w:type="spellEnd"/>
      <w:r>
        <w:rPr>
          <w:sz w:val="22"/>
          <w:szCs w:val="22"/>
          <w:lang w:val="sk-SK"/>
        </w:rPr>
        <w:t xml:space="preserve"> metabolizmus </w:t>
      </w:r>
      <w:proofErr w:type="spellStart"/>
      <w:r>
        <w:rPr>
          <w:sz w:val="22"/>
          <w:szCs w:val="22"/>
          <w:lang w:val="sk-SK"/>
        </w:rPr>
        <w:t>agomelatínu</w:t>
      </w:r>
      <w:proofErr w:type="spellEnd"/>
      <w:r>
        <w:rPr>
          <w:sz w:val="22"/>
          <w:szCs w:val="22"/>
          <w:lang w:val="sk-SK"/>
        </w:rPr>
        <w:t xml:space="preserve">, čo vedie k 60-násobnému zvýšeniu expozície </w:t>
      </w:r>
      <w:proofErr w:type="spellStart"/>
      <w:r>
        <w:rPr>
          <w:sz w:val="22"/>
          <w:szCs w:val="22"/>
          <w:lang w:val="sk-SK"/>
        </w:rPr>
        <w:t>agomelatínu</w:t>
      </w:r>
      <w:proofErr w:type="spellEnd"/>
      <w:r>
        <w:rPr>
          <w:sz w:val="22"/>
          <w:szCs w:val="22"/>
          <w:lang w:val="sk-SK"/>
        </w:rPr>
        <w:t>. Hoci nie sú k dispozícií žiadne klinické údaje pre prípadné interakcie s </w:t>
      </w:r>
      <w:proofErr w:type="spellStart"/>
      <w:r>
        <w:rPr>
          <w:sz w:val="22"/>
          <w:szCs w:val="22"/>
          <w:lang w:val="sk-SK"/>
        </w:rPr>
        <w:t>ciprofloxacínom</w:t>
      </w:r>
      <w:proofErr w:type="spellEnd"/>
      <w:r>
        <w:rPr>
          <w:sz w:val="22"/>
          <w:szCs w:val="22"/>
          <w:lang w:val="sk-SK"/>
        </w:rPr>
        <w:t>, stredne silným  inhibítorom CYP450 1A2, pri súbežnom podávaní  možno očakávať podobné účinky. (,,</w:t>
      </w:r>
      <w:proofErr w:type="spellStart"/>
      <w:r>
        <w:rPr>
          <w:sz w:val="22"/>
          <w:szCs w:val="22"/>
          <w:lang w:val="sk-SK"/>
        </w:rPr>
        <w:t>cytochróm</w:t>
      </w:r>
      <w:proofErr w:type="spellEnd"/>
      <w:r>
        <w:rPr>
          <w:sz w:val="22"/>
          <w:szCs w:val="22"/>
          <w:lang w:val="sk-SK"/>
        </w:rPr>
        <w:t xml:space="preserve"> P450" v časti 4.4).</w:t>
      </w:r>
    </w:p>
    <w:p w:rsidR="00CF3670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CF3670" w:rsidRDefault="00FF42B8" w:rsidP="00B65191">
      <w:pPr>
        <w:widowControl w:val="0"/>
        <w:rPr>
          <w:i/>
          <w:sz w:val="22"/>
          <w:szCs w:val="22"/>
          <w:lang w:val="sk-SK"/>
        </w:rPr>
      </w:pPr>
      <w:proofErr w:type="spellStart"/>
      <w:r w:rsidRPr="00FF42B8">
        <w:rPr>
          <w:i/>
          <w:sz w:val="22"/>
          <w:szCs w:val="22"/>
          <w:lang w:val="sk-SK"/>
        </w:rPr>
        <w:t>Zolpidem</w:t>
      </w:r>
      <w:proofErr w:type="spellEnd"/>
    </w:p>
    <w:p w:rsidR="00CF3670" w:rsidRPr="00CF3670" w:rsidRDefault="00CF3670" w:rsidP="00B65191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Súbežné podanie </w:t>
      </w:r>
      <w:proofErr w:type="spellStart"/>
      <w:r>
        <w:rPr>
          <w:sz w:val="22"/>
          <w:szCs w:val="22"/>
          <w:lang w:val="sk-SK"/>
        </w:rPr>
        <w:t>ciprofloxacínu</w:t>
      </w:r>
      <w:proofErr w:type="spellEnd"/>
      <w:r>
        <w:rPr>
          <w:sz w:val="22"/>
          <w:szCs w:val="22"/>
          <w:lang w:val="sk-SK"/>
        </w:rPr>
        <w:t xml:space="preserve"> môže zvýšiť hladinu </w:t>
      </w:r>
      <w:proofErr w:type="spellStart"/>
      <w:r>
        <w:rPr>
          <w:sz w:val="22"/>
          <w:szCs w:val="22"/>
          <w:lang w:val="sk-SK"/>
        </w:rPr>
        <w:t>zopidemu</w:t>
      </w:r>
      <w:proofErr w:type="spellEnd"/>
      <w:r>
        <w:rPr>
          <w:sz w:val="22"/>
          <w:szCs w:val="22"/>
          <w:lang w:val="sk-SK"/>
        </w:rPr>
        <w:t xml:space="preserve"> v krvi, súbežné užívanie sa neodporúča.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4.6</w:t>
      </w:r>
      <w:r w:rsidRPr="00B4462C">
        <w:rPr>
          <w:b/>
          <w:sz w:val="22"/>
          <w:szCs w:val="22"/>
          <w:lang w:val="sk-SK"/>
        </w:rPr>
        <w:tab/>
      </w:r>
      <w:proofErr w:type="spellStart"/>
      <w:r w:rsidRPr="00A24719">
        <w:rPr>
          <w:b/>
          <w:sz w:val="22"/>
          <w:szCs w:val="22"/>
          <w:lang w:val="sk-SK"/>
        </w:rPr>
        <w:t>Fertilita</w:t>
      </w:r>
      <w:proofErr w:type="spellEnd"/>
      <w:r w:rsidRPr="00A24719">
        <w:rPr>
          <w:b/>
          <w:sz w:val="22"/>
          <w:szCs w:val="22"/>
          <w:lang w:val="sk-SK"/>
        </w:rPr>
        <w:t xml:space="preserve">, </w:t>
      </w:r>
      <w:r w:rsidRPr="00FC60DC">
        <w:rPr>
          <w:b/>
          <w:sz w:val="22"/>
          <w:szCs w:val="22"/>
          <w:lang w:val="sk-SK"/>
        </w:rPr>
        <w:t>gravidita</w:t>
      </w:r>
      <w:r w:rsidRPr="00B4462C">
        <w:rPr>
          <w:b/>
          <w:sz w:val="22"/>
          <w:szCs w:val="22"/>
          <w:lang w:val="sk-SK"/>
        </w:rPr>
        <w:t xml:space="preserve"> a laktácia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  <w:t>Gravidita</w:t>
      </w:r>
    </w:p>
    <w:p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Dostupné údaje o podávaní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gravidným ženám nenaznačujú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malformačnú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alebo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feto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/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neonatálnu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toxicitu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. Štúdie na zvieratách nepreukázali priame alebo nepriame škodlivé účinky na reprodukčnú toxicitu. U juvenilných a prenatálnych zvierat vystavených účinku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chinolónov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sa pozorovali účinky na nevyvinutú chrupku, a teda nie je možné vylúčiť, že liečivo by mohlo spôsobiť poškodenie kĺbovej chrupky u plodu (pozri časť 5.3). V rámci bezpečnostných opatrení sa odporúča vyhnúť používaniu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počas gravidity.</w:t>
      </w:r>
    </w:p>
    <w:p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</w:pPr>
    </w:p>
    <w:p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  <w:t>Laktácia</w:t>
      </w:r>
    </w:p>
    <w:p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sa vylučuje do materského mlieka. Kvôli možnému riziku poškodenia kĺbov sa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nesmie užívať počas dojčenia. </w:t>
      </w:r>
    </w:p>
    <w:p w:rsidR="00CF3670" w:rsidRPr="00B4462C" w:rsidRDefault="00CF3670" w:rsidP="007913A0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4.7</w:t>
      </w:r>
      <w:r w:rsidRPr="00B4462C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D824D9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Kvôli svojim účinkom na nervovú sústavu môže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ovplyvniť reakčný čas. Z tohto dôvodu môže byť schopnosť viesť vozidlá alebo obsluhovať stroje narušená.</w:t>
      </w: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4.8</w:t>
      </w:r>
      <w:r w:rsidRPr="00B4462C">
        <w:rPr>
          <w:b/>
          <w:sz w:val="22"/>
          <w:szCs w:val="22"/>
          <w:lang w:val="sk-SK"/>
        </w:rPr>
        <w:tab/>
        <w:t>Nežiaduce účinky</w:t>
      </w:r>
    </w:p>
    <w:p w:rsidR="00CF3670" w:rsidRPr="00B4462C" w:rsidDel="00AE796A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D824D9">
      <w:pPr>
        <w:pStyle w:val="Normlnywebov"/>
        <w:spacing w:before="0" w:beforeAutospacing="0" w:after="0" w:afterAutospacing="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Najčastejšie hlásené nežiaduce reakcie lieku (ADR) sú </w:t>
      </w:r>
      <w:proofErr w:type="spellStart"/>
      <w:r w:rsidRPr="00B4462C">
        <w:rPr>
          <w:color w:val="000000"/>
          <w:sz w:val="22"/>
          <w:szCs w:val="22"/>
          <w:lang w:val="sk-SK"/>
        </w:rPr>
        <w:t>nauzea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hnačka.</w:t>
      </w:r>
    </w:p>
    <w:p w:rsidR="00CF3670" w:rsidRPr="00B4462C" w:rsidRDefault="00CF3670" w:rsidP="00D824D9">
      <w:pPr>
        <w:pStyle w:val="Normlnywebov"/>
        <w:spacing w:before="0" w:beforeAutospacing="0" w:after="0" w:afterAutospacing="0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pStyle w:val="Normlnywebov"/>
        <w:spacing w:before="0" w:beforeAutospacing="0" w:after="0" w:afterAutospacing="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ADR získané z klinických štúdií a </w:t>
      </w:r>
      <w:proofErr w:type="spellStart"/>
      <w:r w:rsidRPr="00B4462C">
        <w:rPr>
          <w:color w:val="000000"/>
          <w:sz w:val="22"/>
          <w:szCs w:val="22"/>
          <w:lang w:val="sk-SK"/>
        </w:rPr>
        <w:t>postmarketingového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sledovania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(perorálna, intravenózna a sekvenčná liečba) zoradené podľa frekvencie výskytu sú uvedené nižšie. Analýza frekvencie výskytu zohľadňuje údaje získané pri perorálnom, ako aj intravenóznom podávaní.</w:t>
      </w:r>
    </w:p>
    <w:p w:rsidR="00CF3670" w:rsidRPr="00B4462C" w:rsidRDefault="00CF3670" w:rsidP="00D824D9">
      <w:pPr>
        <w:pStyle w:val="Normlnywebov"/>
        <w:spacing w:before="0" w:beforeAutospacing="0" w:after="0" w:afterAutospacing="0"/>
        <w:rPr>
          <w:color w:val="000000"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tbl>
      <w:tblPr>
        <w:tblW w:w="10132" w:type="dxa"/>
        <w:tblLook w:val="01E0"/>
      </w:tblPr>
      <w:tblGrid>
        <w:gridCol w:w="2123"/>
        <w:gridCol w:w="882"/>
        <w:gridCol w:w="1854"/>
        <w:gridCol w:w="1940"/>
        <w:gridCol w:w="1940"/>
        <w:gridCol w:w="1689"/>
      </w:tblGrid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Trieda orgánových </w:t>
            </w: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lastRenderedPageBreak/>
              <w:t>systémov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lastRenderedPageBreak/>
              <w:t xml:space="preserve">Časté 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4" w:hanging="4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>≥1/100 až &lt;1/10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lastRenderedPageBreak/>
              <w:t xml:space="preserve">Menej časté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>≥1/1000 až &lt;1/100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lastRenderedPageBreak/>
              <w:t xml:space="preserve">Zriedkavé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>≥1/10 000 až &lt;1/1000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sz w:val="22"/>
                <w:szCs w:val="22"/>
                <w:lang w:val="sk-SK"/>
              </w:rPr>
            </w:pPr>
            <w:r w:rsidRPr="00672462">
              <w:rPr>
                <w:b/>
                <w:sz w:val="22"/>
                <w:szCs w:val="22"/>
                <w:lang w:val="sk-SK"/>
              </w:rPr>
              <w:lastRenderedPageBreak/>
              <w:t xml:space="preserve">Veľmi zriedkavé </w:t>
            </w:r>
            <w:r w:rsidRPr="00672462">
              <w:rPr>
                <w:sz w:val="22"/>
                <w:szCs w:val="22"/>
                <w:lang w:val="sk-SK"/>
              </w:rPr>
              <w:lastRenderedPageBreak/>
              <w:t>&lt; 1/10 000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lastRenderedPageBreak/>
              <w:t>Neznáme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(z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>dostupných údajov)</w:t>
            </w: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lastRenderedPageBreak/>
              <w:t>Infekcie a nákazy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Mykotické</w:t>
            </w:r>
            <w:proofErr w:type="spellEnd"/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superinfekcie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krvi a lymfatického systému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e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ozinofília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leukopénia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anémia, 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neutropénia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leukocytóza,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trombocytopénia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trombocytémia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hemolytická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anémia,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agranulocytóza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pancytopénia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(život ohrozujúca),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útlm kostnej drene (život ohrozujúci)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imunitného systému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alergická reakcia, alergický edém/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angioedém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anafylaktická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reakcia,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anafylaktický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šok (život ohrozujúci) (pozri časť 4.4),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reakcia podobná sérovej chorobe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metabolizmu a výživy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anorexia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h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yperglykémia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hypoglykémia</w:t>
            </w:r>
            <w:proofErr w:type="spellEnd"/>
            <w:r>
              <w:rPr>
                <w:color w:val="000000"/>
                <w:sz w:val="22"/>
                <w:szCs w:val="22"/>
                <w:lang w:val="sk-SK"/>
              </w:rPr>
              <w:t xml:space="preserve"> (pozri časť 4.4)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Psychické poruchy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psychomotorická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hyperaktivita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/ agitácia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zmätenosť a dezorientácia, reakcia úzkosti, abnormálne sny, depresia (potenciálne kulminujúce do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suicidálnych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predstáv/myšlienok alebo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suicidálnych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pokusov a dokonanej samovraždy (pozri časť 4.4), halucinácie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psychotické reakcie (potenciálne kulminujúce do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suicidálnych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predstáv/myšlienok alebo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suicidálnych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pokusov a dokonanej samovraždy) (pozri časť 4.4)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55" w:rsidRDefault="00CF3670">
            <w:pPr>
              <w:pStyle w:val="Normlnywebov"/>
              <w:spacing w:before="0" w:beforeAutospacing="0" w:after="0" w:afterAutospacing="0"/>
              <w:ind w:left="77" w:hanging="77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 xml:space="preserve">mánia, 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hypománia</w:t>
            </w:r>
            <w:proofErr w:type="spellEnd"/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nervového systému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bolesť hlavy, závraty, poruchy spánku, poruchy chuti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parestézia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dyzastézia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hypoastézia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tras, záchvaty (vrátane status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epilepticus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pozri časť 4.4),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vertigo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migréna, poruchy koordinácie, poruchy chôdze, poruchy čuchového nervu,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intrakraniálna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hypertenzia</w:t>
            </w:r>
            <w:r>
              <w:rPr>
                <w:color w:val="000000"/>
                <w:sz w:val="22"/>
                <w:szCs w:val="22"/>
                <w:lang w:val="sk-SK"/>
              </w:rPr>
              <w:t xml:space="preserve"> a 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pseudotumor</w:t>
            </w:r>
            <w:proofErr w:type="spellEnd"/>
            <w:r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cerebri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periférna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neuropatia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k-SK"/>
              </w:rPr>
              <w:t>a 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polyneuropatia</w:t>
            </w:r>
            <w:proofErr w:type="spellEnd"/>
            <w:r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(pozri časť 4.4)</w:t>
            </w: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oka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poruchy videnia (napr.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diplopia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highlight w:val="magenta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distorzia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farieb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tinitus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, strata/poškodenie sluchu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tachykardia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0B4F7D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ventrikulárna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arytmia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predĺženie QT intervalu,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torsade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>pointes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(hlásené prevažne u pacientov s rizikovými faktormi pre QT predĺženie, EKG QT predĺženie (pozri časti 4.4 a 4.9) </w:t>
            </w: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lastRenderedPageBreak/>
              <w:t>Poruchy ciev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vazodilatácia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, hypotenzia, synkopa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vaskulitída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dyspnoe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(vrátane astmatického stavu)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gastrointestinálneho</w:t>
            </w:r>
            <w:proofErr w:type="spellEnd"/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4" w:hanging="4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nauzea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, hnačka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vracanie,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gastrointestinálna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a 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abdominálna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bolesť,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dyspepsia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flatulencia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55" w:rsidRDefault="00CF3670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Kolitída</w:t>
            </w:r>
            <w:proofErr w:type="spellEnd"/>
            <w:r>
              <w:rPr>
                <w:color w:val="000000"/>
                <w:sz w:val="22"/>
                <w:szCs w:val="22"/>
                <w:lang w:val="sk-SK"/>
              </w:rPr>
              <w:t xml:space="preserve"> vyvolaná antibiotikami (veľmi zriedkavo fatálna ) (pozri časť 4.4)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pankreatitída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zvýšené hodnoty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transamináz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zvýšená hodnota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bilirubínu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poškodenie funkcie pečene,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cholestatická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žltačka, hepatitída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nekróza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pečene (veľmi zriedkavo až život ohrozujúce zlyhanie pečene) (pozri časť 4.4)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-28" w:firstLine="28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vyrážka,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pruritus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urtikária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fotosenzitívne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reakcie (pozri časť 4.4)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petechie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multiformný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erytém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nodózny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erytém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Stevensov-Johnsonov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syndróm (potenciálne život ohrozujúci), toxická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epidermálna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nekrolýza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(potenciálne život ohrozujúca)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Default="00CF3670" w:rsidP="00672462">
            <w:pPr>
              <w:pStyle w:val="Normlnywebov"/>
              <w:spacing w:before="0" w:beforeAutospacing="0" w:after="0" w:afterAutospacing="0"/>
              <w:rPr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Akútna generalizovaná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exanthematózna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pustulóza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(AGEP)</w:t>
            </w:r>
            <w:r>
              <w:rPr>
                <w:sz w:val="22"/>
                <w:szCs w:val="22"/>
                <w:lang w:val="sk-SK"/>
              </w:rPr>
              <w:t>,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lieková reakcia s </w:t>
            </w:r>
            <w:proofErr w:type="spellStart"/>
            <w:r>
              <w:rPr>
                <w:sz w:val="22"/>
                <w:szCs w:val="22"/>
                <w:lang w:val="sk-SK"/>
              </w:rPr>
              <w:t>eozinofíliou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 systémovými príznakmi (DRESS)</w:t>
            </w: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muskuloskeletálna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bolesť (napr. bolesť končatín, bolesť chrbta, bolesť na hrudi),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artralgia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myalgia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, artritída, zvýšený svalový tonus a kŕče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svalová slabosť,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tendinitída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ruptúra šliach (najmä Achillovej šľachy) (pozri časť 4.4),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exacerbácia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symptómov ťažkej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myasténie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(pozri časť 4.4)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poškodenie funkcie obličiek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zlyhanie obličiek,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hematúria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kryštalúria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(pozri časť 4.4),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tubulointersticiálna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nefritída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asténia, horúčka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edém, potenie (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hyperhidróza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lastRenderedPageBreak/>
              <w:t>Laboratórne a funkčné vyšetrenia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zvýšenie hodnoty alkalickej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fosfatázy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v krvi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zvýšená hodnota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amylázy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Zvýšené INR (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International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normalised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ratio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>) (u pacientov liečených antagonistami vitamínu K)</w:t>
            </w:r>
            <w:r w:rsidRPr="00672462">
              <w:rPr>
                <w:lang w:val="sk-SK"/>
              </w:rPr>
              <w:t xml:space="preserve"> </w:t>
            </w:r>
          </w:p>
        </w:tc>
      </w:tr>
    </w:tbl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E5577B">
      <w:pPr>
        <w:pStyle w:val="Normlnywebov"/>
        <w:tabs>
          <w:tab w:val="left" w:pos="9071"/>
        </w:tabs>
        <w:spacing w:before="0" w:beforeAutospacing="0" w:after="0" w:afterAutospacing="0"/>
        <w:rPr>
          <w:i/>
          <w:sz w:val="22"/>
          <w:szCs w:val="22"/>
          <w:lang w:val="sk-SK"/>
        </w:rPr>
      </w:pPr>
      <w:r w:rsidRPr="00FC60DC">
        <w:rPr>
          <w:i/>
          <w:sz w:val="22"/>
          <w:szCs w:val="22"/>
          <w:lang w:val="sk-SK"/>
        </w:rPr>
        <w:t>Pediatrická populácia</w:t>
      </w:r>
    </w:p>
    <w:p w:rsidR="00CF3670" w:rsidRDefault="00CF3670" w:rsidP="00E5577B">
      <w:pPr>
        <w:pStyle w:val="Normlnywebov"/>
        <w:tabs>
          <w:tab w:val="left" w:pos="9071"/>
        </w:tabs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Výskyt vyššie spomenutej </w:t>
      </w:r>
      <w:proofErr w:type="spellStart"/>
      <w:r w:rsidRPr="00B4462C">
        <w:rPr>
          <w:sz w:val="22"/>
          <w:szCs w:val="22"/>
          <w:lang w:val="sk-SK"/>
        </w:rPr>
        <w:t>artropatie</w:t>
      </w:r>
      <w:proofErr w:type="spellEnd"/>
      <w:r w:rsidRPr="00B4462C">
        <w:rPr>
          <w:sz w:val="22"/>
          <w:szCs w:val="22"/>
          <w:lang w:val="sk-SK"/>
        </w:rPr>
        <w:t xml:space="preserve"> sa vzťahuje na údaje zo štúdií na dospelých. U detí je často hlásený výskyt </w:t>
      </w:r>
      <w:proofErr w:type="spellStart"/>
      <w:r w:rsidRPr="00B4462C">
        <w:rPr>
          <w:sz w:val="22"/>
          <w:szCs w:val="22"/>
          <w:lang w:val="sk-SK"/>
        </w:rPr>
        <w:t>artropatie</w:t>
      </w:r>
      <w:proofErr w:type="spellEnd"/>
      <w:r w:rsidRPr="00B4462C">
        <w:rPr>
          <w:sz w:val="22"/>
          <w:szCs w:val="22"/>
          <w:lang w:val="sk-SK"/>
        </w:rPr>
        <w:t xml:space="preserve"> (pozri časť 4.4).</w:t>
      </w:r>
    </w:p>
    <w:p w:rsidR="00CF3670" w:rsidRDefault="00CF3670" w:rsidP="00E5577B">
      <w:pPr>
        <w:pStyle w:val="Normlnywebov"/>
        <w:tabs>
          <w:tab w:val="left" w:pos="9071"/>
        </w:tabs>
        <w:spacing w:before="0" w:beforeAutospacing="0" w:after="0" w:afterAutospacing="0"/>
        <w:rPr>
          <w:sz w:val="22"/>
          <w:szCs w:val="22"/>
          <w:lang w:val="sk-SK"/>
        </w:rPr>
      </w:pPr>
    </w:p>
    <w:p w:rsidR="00CF3670" w:rsidRPr="00A97590" w:rsidRDefault="00CF3670" w:rsidP="00A97590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A97590">
        <w:rPr>
          <w:noProof/>
          <w:sz w:val="22"/>
          <w:szCs w:val="22"/>
          <w:u w:val="single"/>
        </w:rPr>
        <w:t>Hlásenie podozrení na nežiaduce reakcie</w:t>
      </w:r>
    </w:p>
    <w:p w:rsidR="00CF3670" w:rsidRPr="00A97590" w:rsidRDefault="00CF3670" w:rsidP="00A97590">
      <w:pPr>
        <w:pStyle w:val="Normlnywebov"/>
        <w:tabs>
          <w:tab w:val="left" w:pos="9071"/>
        </w:tabs>
        <w:spacing w:before="0" w:beforeAutospacing="0" w:after="0" w:afterAutospacing="0"/>
        <w:rPr>
          <w:sz w:val="22"/>
          <w:szCs w:val="22"/>
          <w:lang w:val="sk-SK"/>
        </w:rPr>
      </w:pPr>
      <w:r w:rsidRPr="00A97590">
        <w:rPr>
          <w:noProof/>
          <w:sz w:val="22"/>
          <w:szCs w:val="22"/>
        </w:rPr>
        <w:t>Hlásenie podozrení na nežiaduce reakcie po registrácii lieku je dôležité.</w:t>
      </w:r>
      <w:r w:rsidRPr="00A97590">
        <w:rPr>
          <w:sz w:val="22"/>
          <w:szCs w:val="22"/>
        </w:rPr>
        <w:t xml:space="preserve"> </w:t>
      </w:r>
      <w:r w:rsidRPr="00A97590">
        <w:rPr>
          <w:noProof/>
          <w:sz w:val="22"/>
          <w:szCs w:val="22"/>
        </w:rPr>
        <w:t>Umožňuje priebežné monitorovanie pomeru prínosu a rizika lieku.</w:t>
      </w:r>
      <w:r w:rsidRPr="00A97590">
        <w:rPr>
          <w:sz w:val="22"/>
          <w:szCs w:val="22"/>
        </w:rPr>
        <w:t xml:space="preserve"> Od </w:t>
      </w:r>
      <w:r w:rsidRPr="00A97590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>
        <w:rPr>
          <w:noProof/>
          <w:sz w:val="22"/>
          <w:szCs w:val="22"/>
        </w:rPr>
        <w:t>na</w:t>
      </w:r>
      <w:r w:rsidRPr="00A97590">
        <w:rPr>
          <w:noProof/>
          <w:sz w:val="22"/>
          <w:szCs w:val="22"/>
        </w:rPr>
        <w:t xml:space="preserve"> </w:t>
      </w:r>
      <w:r w:rsidRPr="00A97590">
        <w:rPr>
          <w:noProof/>
          <w:sz w:val="22"/>
          <w:szCs w:val="22"/>
          <w:highlight w:val="lightGray"/>
        </w:rPr>
        <w:t>národn</w:t>
      </w:r>
      <w:r>
        <w:rPr>
          <w:noProof/>
          <w:sz w:val="22"/>
          <w:szCs w:val="22"/>
          <w:highlight w:val="lightGray"/>
        </w:rPr>
        <w:t>é</w:t>
      </w:r>
      <w:r w:rsidRPr="00A97590">
        <w:rPr>
          <w:noProof/>
          <w:sz w:val="22"/>
          <w:szCs w:val="22"/>
          <w:highlight w:val="lightGray"/>
        </w:rPr>
        <w:t xml:space="preserve"> </w:t>
      </w:r>
      <w:r>
        <w:rPr>
          <w:noProof/>
          <w:sz w:val="22"/>
          <w:szCs w:val="22"/>
          <w:highlight w:val="lightGray"/>
        </w:rPr>
        <w:t>centru</w:t>
      </w:r>
      <w:r w:rsidRPr="00A97590">
        <w:rPr>
          <w:noProof/>
          <w:sz w:val="22"/>
          <w:szCs w:val="22"/>
          <w:highlight w:val="lightGray"/>
        </w:rPr>
        <w:t>m hlásenia uvedené v </w:t>
      </w:r>
      <w:hyperlink r:id="rId7" w:history="1">
        <w:r w:rsidRPr="00A97590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97590">
        <w:rPr>
          <w:noProof/>
          <w:sz w:val="22"/>
          <w:szCs w:val="22"/>
        </w:rPr>
        <w:t>.</w:t>
      </w:r>
    </w:p>
    <w:p w:rsidR="00CF3670" w:rsidRPr="00B4462C" w:rsidRDefault="00CF3670" w:rsidP="00E5577B">
      <w:pPr>
        <w:widowControl w:val="0"/>
        <w:tabs>
          <w:tab w:val="left" w:pos="9071"/>
        </w:tabs>
        <w:rPr>
          <w:sz w:val="22"/>
          <w:szCs w:val="22"/>
          <w:lang w:val="sk-SK"/>
        </w:rPr>
      </w:pPr>
    </w:p>
    <w:p w:rsidR="00CF3670" w:rsidRPr="00B4462C" w:rsidRDefault="00CF3670" w:rsidP="00E5577B">
      <w:pPr>
        <w:widowControl w:val="0"/>
        <w:tabs>
          <w:tab w:val="left" w:pos="567"/>
          <w:tab w:val="left" w:pos="9071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4.9</w:t>
      </w:r>
      <w:r w:rsidRPr="00B4462C">
        <w:rPr>
          <w:b/>
          <w:sz w:val="22"/>
          <w:szCs w:val="22"/>
          <w:lang w:val="sk-SK"/>
        </w:rPr>
        <w:tab/>
        <w:t>Predávkovanie</w:t>
      </w:r>
    </w:p>
    <w:p w:rsidR="00CF3670" w:rsidRPr="00B4462C" w:rsidRDefault="00CF3670" w:rsidP="00E5577B">
      <w:pPr>
        <w:widowControl w:val="0"/>
        <w:tabs>
          <w:tab w:val="left" w:pos="9071"/>
        </w:tabs>
        <w:rPr>
          <w:i/>
          <w:sz w:val="22"/>
          <w:szCs w:val="22"/>
          <w:lang w:val="sk-SK"/>
        </w:rPr>
      </w:pPr>
    </w:p>
    <w:p w:rsidR="00CF3670" w:rsidRPr="00B4462C" w:rsidRDefault="00CF3670" w:rsidP="00E5577B">
      <w:pPr>
        <w:tabs>
          <w:tab w:val="left" w:pos="8505"/>
          <w:tab w:val="left" w:pos="9071"/>
        </w:tabs>
        <w:ind w:right="566"/>
        <w:rPr>
          <w:bCs/>
          <w:sz w:val="22"/>
          <w:szCs w:val="22"/>
          <w:lang w:val="sk-SK"/>
        </w:rPr>
      </w:pPr>
      <w:r w:rsidRPr="00B4462C">
        <w:rPr>
          <w:bCs/>
          <w:sz w:val="22"/>
          <w:szCs w:val="22"/>
          <w:lang w:val="sk-SK"/>
        </w:rPr>
        <w:t xml:space="preserve">Predávkovanie s </w:t>
      </w:r>
      <w:smartTag w:uri="urn:schemas-microsoft-com:office:smarttags" w:element="metricconverter">
        <w:smartTagPr>
          <w:attr w:name="ProductID" w:val="12ﾠg"/>
        </w:smartTagPr>
        <w:r w:rsidRPr="00B4462C">
          <w:rPr>
            <w:bCs/>
            <w:sz w:val="22"/>
            <w:szCs w:val="22"/>
            <w:lang w:val="sk-SK"/>
          </w:rPr>
          <w:t>12 g</w:t>
        </w:r>
      </w:smartTag>
      <w:r w:rsidRPr="00B4462C">
        <w:rPr>
          <w:bCs/>
          <w:sz w:val="22"/>
          <w:szCs w:val="22"/>
          <w:lang w:val="sk-SK"/>
        </w:rPr>
        <w:t xml:space="preserve"> viedlo k miernym symptómom toxicity. Akútne predávkovanie so </w:t>
      </w:r>
      <w:smartTag w:uri="urn:schemas-microsoft-com:office:smarttags" w:element="metricconverter">
        <w:smartTagPr>
          <w:attr w:name="ProductID" w:val="16ﾠg"/>
        </w:smartTagPr>
        <w:r w:rsidRPr="00B4462C">
          <w:rPr>
            <w:bCs/>
            <w:sz w:val="22"/>
            <w:szCs w:val="22"/>
            <w:lang w:val="sk-SK"/>
          </w:rPr>
          <w:t>16 g</w:t>
        </w:r>
      </w:smartTag>
      <w:r w:rsidRPr="00B4462C">
        <w:rPr>
          <w:bCs/>
          <w:sz w:val="22"/>
          <w:szCs w:val="22"/>
          <w:lang w:val="sk-SK"/>
        </w:rPr>
        <w:t xml:space="preserve"> spôsobilo náhle zlyhanie obličiek.</w:t>
      </w:r>
    </w:p>
    <w:p w:rsidR="00CF3670" w:rsidRPr="00B4462C" w:rsidRDefault="00CF3670" w:rsidP="00E5577B">
      <w:pPr>
        <w:tabs>
          <w:tab w:val="left" w:pos="9072"/>
        </w:tabs>
        <w:ind w:right="-1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Symptómy predávkovania zahŕňajú závraty, tras, bolesť hlavy, únavu, záchvaty, halucinácie, zmätenosť, </w:t>
      </w:r>
      <w:proofErr w:type="spellStart"/>
      <w:r w:rsidRPr="00B4462C">
        <w:rPr>
          <w:color w:val="000000"/>
          <w:sz w:val="22"/>
          <w:szCs w:val="22"/>
          <w:lang w:val="sk-SK"/>
        </w:rPr>
        <w:t>abdominálny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diskomfort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poškodenie funkcie obličiek a pečene, ako aj </w:t>
      </w:r>
      <w:proofErr w:type="spellStart"/>
      <w:r w:rsidRPr="00B4462C">
        <w:rPr>
          <w:color w:val="000000"/>
          <w:sz w:val="22"/>
          <w:szCs w:val="22"/>
          <w:lang w:val="sk-SK"/>
        </w:rPr>
        <w:t>kryštalúriu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B4462C">
        <w:rPr>
          <w:color w:val="000000"/>
          <w:sz w:val="22"/>
          <w:szCs w:val="22"/>
          <w:lang w:val="sk-SK"/>
        </w:rPr>
        <w:t>hematúriu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:rsidR="00CF3670" w:rsidRPr="00B4462C" w:rsidRDefault="00CF3670" w:rsidP="00E5577B">
      <w:pPr>
        <w:tabs>
          <w:tab w:val="left" w:pos="8505"/>
          <w:tab w:val="left" w:pos="9071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Bol</w:t>
      </w:r>
      <w:r>
        <w:rPr>
          <w:color w:val="000000"/>
          <w:sz w:val="22"/>
          <w:szCs w:val="22"/>
          <w:lang w:val="sk-SK"/>
        </w:rPr>
        <w:t>a</w:t>
      </w:r>
      <w:r w:rsidRPr="00B4462C">
        <w:rPr>
          <w:color w:val="000000"/>
          <w:sz w:val="22"/>
          <w:szCs w:val="22"/>
          <w:lang w:val="sk-SK"/>
        </w:rPr>
        <w:t xml:space="preserve"> pozorovaná reverzibilná </w:t>
      </w:r>
      <w:proofErr w:type="spellStart"/>
      <w:r>
        <w:rPr>
          <w:color w:val="000000"/>
          <w:sz w:val="22"/>
          <w:szCs w:val="22"/>
          <w:lang w:val="sk-SK"/>
        </w:rPr>
        <w:t>renálna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 xml:space="preserve">toxicita . </w:t>
      </w:r>
    </w:p>
    <w:p w:rsidR="00CF3670" w:rsidRPr="00B4462C" w:rsidRDefault="00CF3670" w:rsidP="00E5577B">
      <w:pPr>
        <w:tabs>
          <w:tab w:val="left" w:pos="8505"/>
          <w:tab w:val="left" w:pos="9071"/>
        </w:tabs>
        <w:ind w:right="566"/>
        <w:rPr>
          <w:bCs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Okrem bežných pohotovostných opatrení napríklad </w:t>
      </w:r>
      <w:r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 xml:space="preserve">vyprázdnenie žalúdka nasledované po lekárskom uhlí sa odporúča monitorovať </w:t>
      </w:r>
      <w:proofErr w:type="spellStart"/>
      <w:r w:rsidRPr="00B4462C">
        <w:rPr>
          <w:color w:val="000000"/>
          <w:sz w:val="22"/>
          <w:szCs w:val="22"/>
          <w:lang w:val="sk-SK"/>
        </w:rPr>
        <w:t>renálne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funkcie, vrátane stanovenia pH moču a </w:t>
      </w:r>
      <w:proofErr w:type="spellStart"/>
      <w:r w:rsidRPr="00B4462C">
        <w:rPr>
          <w:color w:val="000000"/>
          <w:sz w:val="22"/>
          <w:szCs w:val="22"/>
          <w:lang w:val="sk-SK"/>
        </w:rPr>
        <w:t>acidifikácie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kvôli prevencii </w:t>
      </w:r>
      <w:proofErr w:type="spellStart"/>
      <w:r w:rsidRPr="00B4462C">
        <w:rPr>
          <w:color w:val="000000"/>
          <w:sz w:val="22"/>
          <w:szCs w:val="22"/>
          <w:lang w:val="sk-SK"/>
        </w:rPr>
        <w:t>kryštalúrie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ak je to potrebné. </w:t>
      </w:r>
      <w:r w:rsidRPr="00CA1972">
        <w:rPr>
          <w:color w:val="000000"/>
          <w:sz w:val="22"/>
          <w:szCs w:val="22"/>
          <w:lang w:val="sk-SK"/>
        </w:rPr>
        <w:t xml:space="preserve">Pacienti musia byť dobre </w:t>
      </w:r>
      <w:proofErr w:type="spellStart"/>
      <w:r w:rsidRPr="00CA1972">
        <w:rPr>
          <w:color w:val="000000"/>
          <w:sz w:val="22"/>
          <w:szCs w:val="22"/>
          <w:lang w:val="sk-SK"/>
        </w:rPr>
        <w:t>hydratovaní</w:t>
      </w:r>
      <w:proofErr w:type="spellEnd"/>
      <w:r>
        <w:rPr>
          <w:color w:val="000000"/>
          <w:sz w:val="22"/>
          <w:szCs w:val="22"/>
          <w:lang w:val="sk-SK"/>
        </w:rPr>
        <w:t xml:space="preserve">. </w:t>
      </w:r>
      <w:proofErr w:type="spellStart"/>
      <w:r w:rsidRPr="00B4462C">
        <w:rPr>
          <w:color w:val="000000"/>
          <w:sz w:val="22"/>
          <w:szCs w:val="22"/>
          <w:lang w:val="sk-SK"/>
        </w:rPr>
        <w:t>Antacída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obsahujúce vápnik a</w:t>
      </w:r>
      <w:r>
        <w:rPr>
          <w:color w:val="000000"/>
          <w:sz w:val="22"/>
          <w:szCs w:val="22"/>
          <w:lang w:val="sk-SK"/>
        </w:rPr>
        <w:t>lebo</w:t>
      </w:r>
      <w:r w:rsidRPr="00B4462C">
        <w:rPr>
          <w:color w:val="000000"/>
          <w:sz w:val="22"/>
          <w:szCs w:val="22"/>
          <w:lang w:val="sk-SK"/>
        </w:rPr>
        <w:t xml:space="preserve"> horčík môžu teoreticky znížiť absorpciu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pri predávkovaní.</w:t>
      </w:r>
      <w:r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 xml:space="preserve">Iba malé množstvo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(&lt; 10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%) sa odstráni z tela počas hemodialýzy alebo </w:t>
      </w:r>
      <w:proofErr w:type="spellStart"/>
      <w:r w:rsidRPr="00B4462C">
        <w:rPr>
          <w:color w:val="000000"/>
          <w:sz w:val="22"/>
          <w:szCs w:val="22"/>
          <w:lang w:val="sk-SK"/>
        </w:rPr>
        <w:t>peritoneálnej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dialýzy. </w:t>
      </w:r>
    </w:p>
    <w:p w:rsidR="00CF3670" w:rsidRPr="00B4462C" w:rsidRDefault="00CF3670" w:rsidP="00E5577B">
      <w:pPr>
        <w:widowControl w:val="0"/>
        <w:tabs>
          <w:tab w:val="left" w:pos="9071"/>
        </w:tabs>
        <w:rPr>
          <w:sz w:val="22"/>
          <w:szCs w:val="22"/>
          <w:lang w:val="sk-SK"/>
        </w:rPr>
      </w:pPr>
    </w:p>
    <w:p w:rsidR="00CF3670" w:rsidRPr="00B4462C" w:rsidRDefault="00CF3670" w:rsidP="00E5577B">
      <w:pPr>
        <w:tabs>
          <w:tab w:val="left" w:pos="8505"/>
          <w:tab w:val="left" w:pos="9071"/>
        </w:tabs>
        <w:ind w:right="566"/>
        <w:rPr>
          <w:bCs/>
          <w:sz w:val="22"/>
          <w:szCs w:val="22"/>
          <w:lang w:val="sk-SK"/>
        </w:rPr>
      </w:pPr>
      <w:r w:rsidRPr="00B4462C">
        <w:rPr>
          <w:bCs/>
          <w:sz w:val="22"/>
          <w:szCs w:val="22"/>
          <w:lang w:val="sk-SK"/>
        </w:rPr>
        <w:t>V prípade predávkovania</w:t>
      </w:r>
      <w:r>
        <w:rPr>
          <w:bCs/>
          <w:sz w:val="22"/>
          <w:szCs w:val="22"/>
          <w:lang w:val="sk-SK"/>
        </w:rPr>
        <w:t xml:space="preserve"> </w:t>
      </w:r>
      <w:r w:rsidRPr="00B4462C">
        <w:rPr>
          <w:bCs/>
          <w:sz w:val="22"/>
          <w:szCs w:val="22"/>
          <w:lang w:val="sk-SK"/>
        </w:rPr>
        <w:t>má byť implementovaná symptomatická liečba. Treba zaviesť sledovanie EKG vzhľadom k možnosti predĺženia QT intervalu.</w:t>
      </w:r>
    </w:p>
    <w:p w:rsidR="00CF3670" w:rsidRPr="00B4462C" w:rsidRDefault="00CF3670" w:rsidP="00E5577B">
      <w:pPr>
        <w:widowControl w:val="0"/>
        <w:tabs>
          <w:tab w:val="left" w:pos="9071"/>
        </w:tabs>
        <w:rPr>
          <w:sz w:val="22"/>
          <w:szCs w:val="22"/>
          <w:lang w:val="sk-SK"/>
        </w:rPr>
      </w:pPr>
    </w:p>
    <w:p w:rsidR="00CF3670" w:rsidRPr="00B4462C" w:rsidRDefault="00CF3670" w:rsidP="00E5577B">
      <w:pPr>
        <w:widowControl w:val="0"/>
        <w:tabs>
          <w:tab w:val="left" w:pos="9071"/>
        </w:tabs>
        <w:rPr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5.</w:t>
      </w:r>
      <w:r w:rsidRPr="00B4462C">
        <w:rPr>
          <w:b/>
          <w:sz w:val="22"/>
          <w:szCs w:val="22"/>
          <w:lang w:val="sk-SK"/>
        </w:rPr>
        <w:tab/>
        <w:t>FARMAKOLOGICKÉ VLASTNOSTI</w:t>
      </w:r>
    </w:p>
    <w:p w:rsidR="00CF3670" w:rsidRPr="00B4462C" w:rsidRDefault="00CF3670" w:rsidP="00B65191">
      <w:pPr>
        <w:keepNext/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5.1</w:t>
      </w:r>
      <w:r w:rsidRPr="00B4462C">
        <w:rPr>
          <w:b/>
          <w:sz w:val="22"/>
          <w:szCs w:val="22"/>
          <w:lang w:val="sk-SK"/>
        </w:rPr>
        <w:tab/>
      </w:r>
      <w:proofErr w:type="spellStart"/>
      <w:r w:rsidRPr="00B4462C">
        <w:rPr>
          <w:b/>
          <w:sz w:val="22"/>
          <w:szCs w:val="22"/>
          <w:lang w:val="sk-SK"/>
        </w:rPr>
        <w:t>Farmakodynamické</w:t>
      </w:r>
      <w:proofErr w:type="spellEnd"/>
      <w:r w:rsidRPr="00B4462C">
        <w:rPr>
          <w:b/>
          <w:sz w:val="22"/>
          <w:szCs w:val="22"/>
          <w:lang w:val="sk-SK"/>
        </w:rPr>
        <w:t xml:space="preserve"> vlastnosti</w:t>
      </w:r>
    </w:p>
    <w:p w:rsidR="00CF3670" w:rsidRPr="00B4462C" w:rsidRDefault="00CF3670" w:rsidP="00B65191">
      <w:pPr>
        <w:keepNext/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Farmakoterapeutická</w:t>
      </w:r>
      <w:proofErr w:type="spellEnd"/>
      <w:r w:rsidRPr="00B4462C">
        <w:rPr>
          <w:sz w:val="22"/>
          <w:szCs w:val="22"/>
          <w:lang w:val="sk-SK"/>
        </w:rPr>
        <w:t xml:space="preserve"> skupina: </w:t>
      </w:r>
      <w:proofErr w:type="spellStart"/>
      <w:r w:rsidRPr="00B4462C">
        <w:rPr>
          <w:sz w:val="22"/>
          <w:szCs w:val="22"/>
          <w:lang w:val="sk-SK"/>
        </w:rPr>
        <w:t>Fluorochinolóny</w:t>
      </w:r>
      <w:proofErr w:type="spellEnd"/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ATC kód: J01M A02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Mechanizmus účinku:</w:t>
      </w:r>
      <w:r w:rsidRPr="00B4462C">
        <w:rPr>
          <w:i/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t xml:space="preserve">Baktericídny účinok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ako </w:t>
      </w:r>
      <w:proofErr w:type="spellStart"/>
      <w:r w:rsidRPr="00B4462C">
        <w:rPr>
          <w:color w:val="000000"/>
          <w:sz w:val="22"/>
          <w:szCs w:val="22"/>
          <w:lang w:val="sk-SK"/>
        </w:rPr>
        <w:t>fluorochinolónového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antibiotika, spočíva v inhibícii </w:t>
      </w:r>
      <w:proofErr w:type="spellStart"/>
      <w:r w:rsidRPr="00B4462C">
        <w:rPr>
          <w:color w:val="000000"/>
          <w:sz w:val="22"/>
          <w:szCs w:val="22"/>
          <w:lang w:val="sk-SK"/>
        </w:rPr>
        <w:t>topoizomerázy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II (</w:t>
      </w:r>
      <w:proofErr w:type="spellStart"/>
      <w:smartTag w:uri="urn:schemas-microsoft-com:office:smarttags" w:element="stockticker">
        <w:r w:rsidRPr="00B4462C">
          <w:rPr>
            <w:color w:val="000000"/>
            <w:sz w:val="22"/>
            <w:szCs w:val="22"/>
            <w:lang w:val="sk-SK"/>
          </w:rPr>
          <w:t>DNA</w:t>
        </w:r>
      </w:smartTag>
      <w:r w:rsidRPr="00B4462C">
        <w:rPr>
          <w:color w:val="000000"/>
          <w:sz w:val="22"/>
          <w:szCs w:val="22"/>
          <w:lang w:val="sk-SK"/>
        </w:rPr>
        <w:t>-gyrázy</w:t>
      </w:r>
      <w:proofErr w:type="spellEnd"/>
      <w:r w:rsidRPr="00B4462C">
        <w:rPr>
          <w:color w:val="000000"/>
          <w:sz w:val="22"/>
          <w:szCs w:val="22"/>
          <w:lang w:val="sk-SK"/>
        </w:rPr>
        <w:t>) aj </w:t>
      </w:r>
      <w:proofErr w:type="spellStart"/>
      <w:r w:rsidRPr="00B4462C">
        <w:rPr>
          <w:color w:val="000000"/>
          <w:sz w:val="22"/>
          <w:szCs w:val="22"/>
          <w:lang w:val="sk-SK"/>
        </w:rPr>
        <w:t>topoizomerázy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IV potrebnej na replikáciu, transkripciu, reparáciu a </w:t>
      </w:r>
      <w:proofErr w:type="spellStart"/>
      <w:r w:rsidRPr="00B4462C">
        <w:rPr>
          <w:color w:val="000000"/>
          <w:sz w:val="22"/>
          <w:szCs w:val="22"/>
          <w:lang w:val="sk-SK"/>
        </w:rPr>
        <w:t>rekombináciu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smartTag w:uri="urn:schemas-microsoft-com:office:smarttags" w:element="stockticker">
        <w:r w:rsidRPr="00B4462C">
          <w:rPr>
            <w:color w:val="000000"/>
            <w:sz w:val="22"/>
            <w:szCs w:val="22"/>
            <w:lang w:val="sk-SK"/>
          </w:rPr>
          <w:t>DNA</w:t>
        </w:r>
      </w:smartTag>
      <w:r w:rsidRPr="00B4462C">
        <w:rPr>
          <w:color w:val="000000"/>
          <w:sz w:val="22"/>
          <w:szCs w:val="22"/>
          <w:lang w:val="sk-SK"/>
        </w:rPr>
        <w:t xml:space="preserve"> baktérií. </w:t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i/>
          <w:color w:val="000000"/>
          <w:sz w:val="22"/>
          <w:szCs w:val="22"/>
          <w:lang w:val="sk-SK"/>
        </w:rPr>
        <w:t>PK/PD vzťah: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Účinnosť závisí predovšetkým od vzťahu medzi maximálnou koncentráciou v sére (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 a minimálnou inhibičnou koncentráciou (MIC)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na patogény a vzťahu medzi plochou pod krivkou (AUC) a MIC.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Mechanizmus rezistencie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 xml:space="preserve">In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vitro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rezistencia voči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získa postupným procesom mutácií v cieľových miestach </w:t>
      </w:r>
      <w:smartTag w:uri="urn:schemas-microsoft-com:office:smarttags" w:element="stockticker">
        <w:r w:rsidRPr="00B4462C">
          <w:rPr>
            <w:color w:val="000000"/>
            <w:sz w:val="22"/>
            <w:szCs w:val="22"/>
            <w:lang w:val="sk-SK"/>
          </w:rPr>
          <w:t>DNA</w:t>
        </w:r>
      </w:smartTag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gyrázy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aj </w:t>
      </w:r>
      <w:proofErr w:type="spellStart"/>
      <w:r w:rsidRPr="00B4462C">
        <w:rPr>
          <w:color w:val="000000"/>
          <w:sz w:val="22"/>
          <w:szCs w:val="22"/>
          <w:lang w:val="sk-SK"/>
        </w:rPr>
        <w:t>topoizomerázy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IV. Výsledný stupeň skríženej rezistencie u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iných </w:t>
      </w:r>
      <w:proofErr w:type="spellStart"/>
      <w:r w:rsidRPr="00B4462C">
        <w:rPr>
          <w:color w:val="000000"/>
          <w:sz w:val="22"/>
          <w:szCs w:val="22"/>
          <w:lang w:val="sk-SK"/>
        </w:rPr>
        <w:lastRenderedPageBreak/>
        <w:t>fluorochinolónov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rozdielny. Jednoduché mutácie nemôžu viesť ku klinickej rezistencii, viacpočetné mutácie zvyčajne vedú ku klinickej rezistencii na viaceré alebo všetky liečivá v rámci skupiny.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Mechanizmy rezistencie, ako sú nepriepustnosť a/alebo </w:t>
      </w:r>
      <w:proofErr w:type="spellStart"/>
      <w:r w:rsidRPr="00B4462C">
        <w:rPr>
          <w:color w:val="000000"/>
          <w:sz w:val="22"/>
          <w:szCs w:val="22"/>
          <w:lang w:val="sk-SK"/>
        </w:rPr>
        <w:t>refluxná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pumpa môžu mať rozličný vplyv na citlivosť na </w:t>
      </w:r>
      <w:proofErr w:type="spellStart"/>
      <w:r w:rsidRPr="00B4462C">
        <w:rPr>
          <w:color w:val="000000"/>
          <w:sz w:val="22"/>
          <w:szCs w:val="22"/>
          <w:lang w:val="sk-SK"/>
        </w:rPr>
        <w:t>fluorochinolóny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ktorý závisí od fyzikálnochemických vlastností rôznych liečiv v rámci skupiny a od afinity transportného systému pre jednotlivé liečivá. </w:t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i/>
          <w:color w:val="000000"/>
          <w:sz w:val="22"/>
          <w:szCs w:val="22"/>
          <w:lang w:val="sk-SK"/>
        </w:rPr>
        <w:t xml:space="preserve">In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vitro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mechanizmus rezistencie sa často pozoroval na klinických </w:t>
      </w:r>
      <w:proofErr w:type="spellStart"/>
      <w:r w:rsidRPr="00B4462C">
        <w:rPr>
          <w:color w:val="000000"/>
          <w:sz w:val="22"/>
          <w:szCs w:val="22"/>
          <w:lang w:val="sk-SK"/>
        </w:rPr>
        <w:t>izolátoch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Mechanizmy rezistencie, ktoré </w:t>
      </w:r>
      <w:proofErr w:type="spellStart"/>
      <w:r w:rsidRPr="00B4462C">
        <w:rPr>
          <w:color w:val="000000"/>
          <w:sz w:val="22"/>
          <w:szCs w:val="22"/>
          <w:lang w:val="sk-SK"/>
        </w:rPr>
        <w:t>inaktivujú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iné antibiotiká, ako sú prestupové bariéry (bežné pri druhoch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aeruginosa</w:t>
      </w:r>
      <w:proofErr w:type="spellEnd"/>
      <w:r w:rsidRPr="00B4462C">
        <w:rPr>
          <w:color w:val="000000"/>
          <w:sz w:val="22"/>
          <w:szCs w:val="22"/>
          <w:lang w:val="sk-SK"/>
        </w:rPr>
        <w:t>) a </w:t>
      </w:r>
      <w:proofErr w:type="spellStart"/>
      <w:r w:rsidRPr="00B4462C">
        <w:rPr>
          <w:color w:val="000000"/>
          <w:sz w:val="22"/>
          <w:szCs w:val="22"/>
          <w:lang w:val="sk-SK"/>
        </w:rPr>
        <w:t>efluxné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mechanizmy môžu ovplyvniť citlivosť na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Bola zaznamenaná </w:t>
      </w:r>
      <w:proofErr w:type="spellStart"/>
      <w:r w:rsidRPr="00B4462C">
        <w:rPr>
          <w:color w:val="000000"/>
          <w:sz w:val="22"/>
          <w:szCs w:val="22"/>
          <w:lang w:val="sk-SK"/>
        </w:rPr>
        <w:t>plazmidmi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sprostredkovaná rezistencia kódovaná </w:t>
      </w:r>
      <w:proofErr w:type="spellStart"/>
      <w:r w:rsidRPr="00B4462C">
        <w:rPr>
          <w:color w:val="000000"/>
          <w:sz w:val="22"/>
          <w:szCs w:val="22"/>
          <w:lang w:val="sk-SK"/>
        </w:rPr>
        <w:t>qnr-génmi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Spektrum účinku: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Hraničné parametre oddeľujú citlivé kmene od stredne citlivých kmeňov a tie od rezistentných kmeňov: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Odporúčania EUCAST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Mikroorganizmy</w:t>
      </w:r>
      <w:r w:rsidRPr="00B4462C">
        <w:rPr>
          <w:b/>
          <w:color w:val="000000"/>
          <w:sz w:val="22"/>
          <w:szCs w:val="22"/>
          <w:lang w:val="sk-SK"/>
        </w:rPr>
        <w:tab/>
      </w:r>
      <w:r w:rsidRPr="00B4462C">
        <w:rPr>
          <w:b/>
          <w:color w:val="000000"/>
          <w:sz w:val="22"/>
          <w:szCs w:val="22"/>
          <w:lang w:val="sk-SK"/>
        </w:rPr>
        <w:tab/>
      </w:r>
      <w:r w:rsidRPr="00B4462C">
        <w:rPr>
          <w:b/>
          <w:color w:val="000000"/>
          <w:sz w:val="22"/>
          <w:szCs w:val="22"/>
          <w:lang w:val="sk-SK"/>
        </w:rPr>
        <w:tab/>
      </w:r>
      <w:r w:rsidRPr="00B4462C">
        <w:rPr>
          <w:b/>
          <w:color w:val="000000"/>
          <w:sz w:val="22"/>
          <w:szCs w:val="22"/>
          <w:lang w:val="sk-SK"/>
        </w:rPr>
        <w:tab/>
        <w:t>Citlivosť</w:t>
      </w:r>
      <w:r w:rsidRPr="00B4462C">
        <w:rPr>
          <w:b/>
          <w:color w:val="000000"/>
          <w:sz w:val="22"/>
          <w:szCs w:val="22"/>
          <w:lang w:val="sk-SK"/>
        </w:rPr>
        <w:tab/>
      </w:r>
      <w:r w:rsidRPr="00B4462C">
        <w:rPr>
          <w:b/>
          <w:color w:val="000000"/>
          <w:sz w:val="22"/>
          <w:szCs w:val="22"/>
          <w:lang w:val="sk-SK"/>
        </w:rPr>
        <w:tab/>
        <w:t>Rezistencia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Enterobacteria</w:t>
      </w:r>
      <w:r>
        <w:rPr>
          <w:i/>
          <w:color w:val="000000"/>
          <w:sz w:val="22"/>
          <w:szCs w:val="22"/>
          <w:lang w:val="sk-SK"/>
        </w:rPr>
        <w:t>e</w:t>
      </w:r>
      <w:proofErr w:type="spellEnd"/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0,5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i/>
          <w:color w:val="000000"/>
          <w:sz w:val="22"/>
          <w:szCs w:val="22"/>
          <w:lang w:val="sk-SK"/>
        </w:rPr>
        <w:t>spp</w:t>
      </w:r>
      <w:proofErr w:type="spellEnd"/>
      <w:r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0,5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Acinetobacter</w:t>
      </w:r>
      <w:proofErr w:type="spellEnd"/>
      <w:r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i/>
          <w:color w:val="000000"/>
          <w:sz w:val="22"/>
          <w:szCs w:val="22"/>
          <w:lang w:val="sk-SK"/>
        </w:rPr>
        <w:t>spp</w:t>
      </w:r>
      <w:proofErr w:type="spellEnd"/>
      <w:r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1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spp.</w:t>
      </w:r>
      <w:r w:rsidRPr="00B4462C">
        <w:rPr>
          <w:i/>
          <w:color w:val="000000"/>
          <w:sz w:val="22"/>
          <w:szCs w:val="22"/>
          <w:vertAlign w:val="superscript"/>
          <w:lang w:val="sk-SK"/>
        </w:rPr>
        <w:t>1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1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Haemophilis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influenzae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Moraxella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catarrhalis</w:t>
      </w:r>
      <w:proofErr w:type="spellEnd"/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0,5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R&gt;0,5 mg/l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gonorrhoeae</w:t>
      </w:r>
      <w:proofErr w:type="spellEnd"/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0,03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R&gt;0,06 mg/l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meningitidis</w:t>
      </w:r>
      <w:proofErr w:type="spellEnd"/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0,03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R&gt;0,06 mg/l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Hraničné hodnoty nesúvisiace s druhmi</w:t>
      </w:r>
      <w:r w:rsidRPr="00B4462C">
        <w:rPr>
          <w:color w:val="000000"/>
          <w:sz w:val="22"/>
          <w:szCs w:val="22"/>
          <w:vertAlign w:val="superscript"/>
          <w:lang w:val="sk-SK"/>
        </w:rPr>
        <w:sym w:font="Symbol" w:char="F02A"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0,5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vertAlign w:val="superscript"/>
          <w:lang w:val="sk-SK"/>
        </w:rPr>
        <w:t>1</w:t>
      </w:r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. – </w:t>
      </w:r>
      <w:r w:rsidRPr="00B4462C">
        <w:rPr>
          <w:color w:val="000000"/>
          <w:sz w:val="22"/>
          <w:szCs w:val="22"/>
          <w:lang w:val="sk-SK"/>
        </w:rPr>
        <w:t xml:space="preserve">hraničné hodnoty súvisia s liečbou vysokými dávkami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vertAlign w:val="superscript"/>
          <w:lang w:val="sk-SK"/>
        </w:rPr>
        <w:sym w:font="Symbol" w:char="F02A"/>
      </w:r>
      <w:r w:rsidRPr="00B4462C">
        <w:rPr>
          <w:color w:val="000000"/>
          <w:sz w:val="22"/>
          <w:szCs w:val="22"/>
          <w:lang w:val="sk-SK"/>
        </w:rPr>
        <w:t xml:space="preserve"> Hraničné hodnoty nesúvisiace s druhmi boli stanovené prevažne na základe PK/PD údajov a sú nezávislé od distribúcií MIC špecifickými druhmi. Používajú sa len pri druhoch, ktoré nemajú stanovené druhovo-špecifické hraničné hodnoty, nie pri druhoch, pre ktoré sa neodporúča zisťovanie citlivosti.</w:t>
      </w:r>
    </w:p>
    <w:p w:rsidR="00CF3670" w:rsidRPr="00B4462C" w:rsidRDefault="00CF3670" w:rsidP="00FA2E36">
      <w:pPr>
        <w:ind w:left="360"/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Prevalencia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získanej rezistencie sa môže u určitých druhov geograficky a s časom meniť. Preto je dôležité získať informácie o lokálnej rezistencii vzorky, obzvlášť ak sa lieči viacero závažných infekcií. Ak je lokálna </w:t>
      </w:r>
      <w:proofErr w:type="spellStart"/>
      <w:r w:rsidRPr="00B4462C">
        <w:rPr>
          <w:color w:val="000000"/>
          <w:sz w:val="22"/>
          <w:szCs w:val="22"/>
          <w:lang w:val="sk-SK"/>
        </w:rPr>
        <w:t>prevalencia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rezistencie, pokiaľ ide o prínos liečby aspoň pri niektorých typoch infekcií otázna, je nutné poradiť sa s odborníkom. 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Skupiny zodpovedajúcich druhov podľa citlivosti na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(pre kmene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Streptococcus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, pozri časť 4.4)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aps/>
          <w:smallCaps/>
          <w:color w:val="000000"/>
          <w:sz w:val="22"/>
          <w:szCs w:val="22"/>
          <w:lang w:val="sk-SK"/>
        </w:rPr>
      </w:pPr>
      <w:r w:rsidRPr="00B4462C">
        <w:rPr>
          <w:b/>
          <w:caps/>
          <w:color w:val="000000"/>
          <w:sz w:val="22"/>
          <w:szCs w:val="22"/>
          <w:lang w:val="sk-SK"/>
        </w:rPr>
        <w:t>Citlivé mikroorganizmy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grampozitívne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Bacillus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anthracis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>(1)</w:t>
      </w: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gramnegatívne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Aeromonas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t xml:space="preserve"> 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Brucella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Citrobacter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koseri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Francisella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tularensis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Haemophilus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ducreyi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Haemophilus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influenzae</w:t>
      </w:r>
      <w:proofErr w:type="spellEnd"/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Legionella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Moraxella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catarhalis</w:t>
      </w:r>
      <w:proofErr w:type="spellEnd"/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lastRenderedPageBreak/>
        <w:t>Neisseria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meningitidis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Pasteurella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Salmonella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Shigella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Vibrio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Yersinia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pestis</w:t>
      </w:r>
      <w:proofErr w:type="spellEnd"/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b/>
          <w:color w:val="000000"/>
          <w:sz w:val="22"/>
          <w:szCs w:val="22"/>
          <w:lang w:val="sk-SK"/>
        </w:rPr>
        <w:t>Anaeróbne mikroorganizmy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Mobiluncus</w:t>
      </w:r>
      <w:proofErr w:type="spellEnd"/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Iné mikroorganizmy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Chlamydia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trachomatis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Chlamydia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pneumoniae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Mycoplasma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hominis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Mycoplasma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pneumoniae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caps/>
          <w:color w:val="000000"/>
          <w:sz w:val="22"/>
          <w:szCs w:val="22"/>
          <w:lang w:val="sk-SK"/>
        </w:rPr>
      </w:pPr>
      <w:r w:rsidRPr="00B4462C">
        <w:rPr>
          <w:b/>
          <w:caps/>
          <w:color w:val="000000"/>
          <w:sz w:val="22"/>
          <w:szCs w:val="22"/>
          <w:lang w:val="sk-SK"/>
        </w:rPr>
        <w:t>Stredne citlivé mikroorganizmy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grampozitívne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faecalis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  <w:r w:rsidRPr="00B4462C">
        <w:rPr>
          <w:color w:val="000000"/>
          <w:sz w:val="22"/>
          <w:szCs w:val="22"/>
          <w:lang w:val="sk-SK"/>
        </w:rPr>
        <w:t>(2)</w:t>
      </w:r>
      <w:r w:rsidRPr="00B4462C">
        <w:rPr>
          <w:i/>
          <w:color w:val="000000"/>
          <w:sz w:val="22"/>
          <w:szCs w:val="22"/>
          <w:lang w:val="sk-SK"/>
        </w:rPr>
        <w:t xml:space="preserve"> 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gramnegatívne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Acinetobacter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baumannii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>+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Burkholderia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cepacia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>+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Campylobacter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. </w:t>
      </w:r>
      <w:r w:rsidRPr="00B4462C">
        <w:rPr>
          <w:color w:val="000000"/>
          <w:sz w:val="22"/>
          <w:szCs w:val="22"/>
          <w:lang w:val="sk-SK"/>
        </w:rPr>
        <w:t>+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Citrobacter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freundii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aerogenes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cloacae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Escherichia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coli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Klebsiella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oxytoca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Klebsiella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pneumoniae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Morganella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morganii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gonorrhoeae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Proteus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mirabilis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Proteus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vulgaris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Providencia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aeruginosa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fluorescens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Serratia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marcescens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Anaeróbne mikroorganizmy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Peptostreptococcus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Propionibacterium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acnes</w:t>
      </w:r>
      <w:proofErr w:type="spellEnd"/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caps/>
          <w:color w:val="000000"/>
          <w:sz w:val="22"/>
          <w:szCs w:val="22"/>
          <w:lang w:val="sk-SK"/>
        </w:rPr>
      </w:pPr>
      <w:r w:rsidRPr="00B4462C">
        <w:rPr>
          <w:b/>
          <w:caps/>
          <w:color w:val="000000"/>
          <w:sz w:val="22"/>
          <w:szCs w:val="22"/>
          <w:lang w:val="sk-SK"/>
        </w:rPr>
        <w:t>V podstate rezistentné mikroorganizmy:</w:t>
      </w:r>
      <w:r w:rsidRPr="00B4462C">
        <w:rPr>
          <w:caps/>
          <w:color w:val="000000"/>
          <w:sz w:val="22"/>
          <w:szCs w:val="22"/>
          <w:lang w:val="sk-SK"/>
        </w:rPr>
        <w:t xml:space="preserve"> 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grampozitívne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Actinomyces</w:t>
      </w:r>
      <w:proofErr w:type="spellEnd"/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faecium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Listeria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monocytogenes</w:t>
      </w:r>
      <w:proofErr w:type="spellEnd"/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gramnegatívne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Stenotrophomonas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maltophilia</w:t>
      </w:r>
      <w:proofErr w:type="spellEnd"/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Anaeróbne mikroorganizmy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lastRenderedPageBreak/>
        <w:t>okrem vyššie uvedených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Iné mikroorganizmy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Mycoplasma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genitalium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Ureaplasma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urealitycum</w:t>
      </w:r>
      <w:proofErr w:type="spellEnd"/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sym w:font="Symbol" w:char="F02A"/>
      </w:r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ab/>
        <w:t xml:space="preserve">Klinická účinnosť bola dokázaná u citlivých </w:t>
      </w:r>
      <w:proofErr w:type="spellStart"/>
      <w:r w:rsidRPr="00B4462C">
        <w:rPr>
          <w:color w:val="000000"/>
          <w:sz w:val="22"/>
          <w:szCs w:val="22"/>
          <w:lang w:val="sk-SK"/>
        </w:rPr>
        <w:t>izolátov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 schválených klinických indikáciách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+ </w:t>
      </w:r>
      <w:r w:rsidRPr="00B4462C">
        <w:rPr>
          <w:color w:val="000000"/>
          <w:sz w:val="22"/>
          <w:szCs w:val="22"/>
          <w:lang w:val="sk-SK"/>
        </w:rPr>
        <w:tab/>
        <w:t xml:space="preserve">Miera rezistencie </w:t>
      </w:r>
      <w:r w:rsidRPr="00B4462C">
        <w:rPr>
          <w:color w:val="000000"/>
          <w:sz w:val="22"/>
          <w:szCs w:val="22"/>
          <w:lang w:val="sk-SK"/>
        </w:rPr>
        <w:sym w:font="Symbol" w:char="F0B3"/>
      </w:r>
      <w:r w:rsidRPr="00B4462C">
        <w:rPr>
          <w:color w:val="000000"/>
          <w:sz w:val="22"/>
          <w:szCs w:val="22"/>
          <w:lang w:val="sk-SK"/>
        </w:rPr>
        <w:t>50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% v jednej alebo viacerých EU krajinách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  <w:r w:rsidRPr="00B4462C">
        <w:rPr>
          <w:color w:val="000000"/>
          <w:sz w:val="22"/>
          <w:szCs w:val="22"/>
          <w:lang w:val="sk-SK"/>
        </w:rPr>
        <w:tab/>
        <w:t>Prirodzená stredná citlivosť bez prítomnosti získaných mechanizmov rezistencie</w:t>
      </w:r>
    </w:p>
    <w:p w:rsidR="00CF3670" w:rsidRPr="00B4462C" w:rsidRDefault="00CF3670" w:rsidP="00FA2E36">
      <w:pPr>
        <w:numPr>
          <w:ilvl w:val="0"/>
          <w:numId w:val="9"/>
        </w:numPr>
        <w:tabs>
          <w:tab w:val="num" w:pos="720"/>
        </w:tabs>
        <w:ind w:left="720" w:hanging="72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Štúdie uskutočnené na experimentálnych zvieratách s infekciami po inhalácii spór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Bacillus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anthracis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odhalili, že včasnou liečbou antibiotikami po inhalácii sa predchádza výskytu ochorenia ak je liečba založená na znížení počtu spór v organizme pod infekčnú dávku. Odporúčané použitie u ľudí je primárne založené na </w:t>
      </w:r>
      <w:r w:rsidRPr="00B4462C">
        <w:rPr>
          <w:i/>
          <w:color w:val="000000"/>
          <w:sz w:val="22"/>
          <w:szCs w:val="22"/>
          <w:lang w:val="sk-SK"/>
        </w:rPr>
        <w:t xml:space="preserve">in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vitro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citlivosti a na experimentálnych údajoch na zvieratách a obmedzených údajoch u ľudí. Dvojmesačná liečba u dospelých s perorálnymi dávkami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500 mg dvakrát denne sa považovala za účinnú v prevencii infekcií vyvolaných inhaláciou </w:t>
      </w:r>
      <w:proofErr w:type="spellStart"/>
      <w:r w:rsidRPr="00B4462C">
        <w:rPr>
          <w:color w:val="000000"/>
          <w:sz w:val="22"/>
          <w:szCs w:val="22"/>
          <w:lang w:val="sk-SK"/>
        </w:rPr>
        <w:t>antraxu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u ľudí. Ošetrujúci lekár má postupovať podľa národne a/alebo medzinárodne dohodnutých dokumentov týkajúcich sa liečby infekcií po inhalácii </w:t>
      </w:r>
      <w:proofErr w:type="spellStart"/>
      <w:r w:rsidRPr="00B4462C">
        <w:rPr>
          <w:color w:val="000000"/>
          <w:sz w:val="22"/>
          <w:szCs w:val="22"/>
          <w:lang w:val="sk-SK"/>
        </w:rPr>
        <w:t>antraxu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FA2E36">
      <w:pPr>
        <w:numPr>
          <w:ilvl w:val="0"/>
          <w:numId w:val="9"/>
        </w:numPr>
        <w:tabs>
          <w:tab w:val="num" w:pos="720"/>
        </w:tabs>
        <w:ind w:left="720" w:hanging="720"/>
        <w:rPr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 xml:space="preserve">S.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aureus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rezistentný na </w:t>
      </w:r>
      <w:proofErr w:type="spellStart"/>
      <w:r w:rsidRPr="00B4462C">
        <w:rPr>
          <w:color w:val="000000"/>
          <w:sz w:val="22"/>
          <w:szCs w:val="22"/>
          <w:lang w:val="sk-SK"/>
        </w:rPr>
        <w:t>meticilín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veľmi často vykazuje rezistenciu aj na </w:t>
      </w:r>
      <w:proofErr w:type="spellStart"/>
      <w:r w:rsidRPr="00B4462C">
        <w:rPr>
          <w:color w:val="000000"/>
          <w:sz w:val="22"/>
          <w:szCs w:val="22"/>
          <w:lang w:val="sk-SK"/>
        </w:rPr>
        <w:t>fluorochinolóny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Miera rezistencie na </w:t>
      </w:r>
      <w:proofErr w:type="spellStart"/>
      <w:r w:rsidRPr="00B4462C">
        <w:rPr>
          <w:color w:val="000000"/>
          <w:sz w:val="22"/>
          <w:szCs w:val="22"/>
          <w:lang w:val="sk-SK"/>
        </w:rPr>
        <w:t>meticilín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pohybuje okolo 20 až 50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 v rámci všetkých stafylokokových druhov a pri </w:t>
      </w:r>
      <w:proofErr w:type="spellStart"/>
      <w:r w:rsidRPr="00B4462C">
        <w:rPr>
          <w:color w:val="000000"/>
          <w:sz w:val="22"/>
          <w:szCs w:val="22"/>
          <w:lang w:val="sk-SK"/>
        </w:rPr>
        <w:t>nozokomiálnych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izolátoch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zvyčajne vyššia. </w:t>
      </w:r>
    </w:p>
    <w:p w:rsidR="00CF3670" w:rsidRPr="00B4462C" w:rsidRDefault="00CF3670" w:rsidP="00B65191">
      <w:pPr>
        <w:widowControl w:val="0"/>
        <w:tabs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5.2</w:t>
      </w:r>
      <w:r w:rsidRPr="00B4462C">
        <w:rPr>
          <w:b/>
          <w:color w:val="000000"/>
          <w:sz w:val="22"/>
          <w:szCs w:val="22"/>
          <w:lang w:val="sk-SK"/>
        </w:rPr>
        <w:tab/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Farmakokinetické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vlastnosti</w:t>
      </w: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Absorpcia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 perorálnom podaní jednorazových dávok 250 mg, 500 mg a 750 mg tabliet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absorbuje rýchlo a vo veľkej miere, prevažne v tenkom čreve, a dosahuje maximálne sérové koncentrácie po 1-2 hodinách. 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Po podaní jednorazových dávok 100-750 mg sa dosiahnu maximálne sérové koncentrácie (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vertAlign w:val="subscript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>) závislé od dávky medzi 0,56 až 3,7 mg/l. Sérové koncentrácie stúpajú úmerne s dávkami do 1000 mg.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Absolútna </w:t>
      </w:r>
      <w:proofErr w:type="spellStart"/>
      <w:r w:rsidRPr="00B4462C">
        <w:rPr>
          <w:color w:val="000000"/>
          <w:sz w:val="22"/>
          <w:szCs w:val="22"/>
          <w:lang w:val="sk-SK"/>
        </w:rPr>
        <w:t>biodostupnosť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približne 70 až 80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%.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Perorálna dávka 500 mg podávaná každých 12 hodín preukázala plochu pod krivkou závislosti koncentrácie od času (AUC) zodpovedajúcu AUC zistenej po intravenóznej infúzii 400 mg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počas 60 minút každých 12 hodín.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Distribúcia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Väzba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na bielkoviny je nízka (20-30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%).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prítomný v plazme predovšetkým v neionizovanej forme a distribučný objem v rovnovážnom stave je 2–3 l/kg telesnej hmotnosti.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preniká vo vysokých koncentráciách do rôznych tkanív, ako sú pľúca (epitelová tekutina, alveolárne </w:t>
      </w:r>
      <w:proofErr w:type="spellStart"/>
      <w:r w:rsidRPr="00B4462C">
        <w:rPr>
          <w:color w:val="000000"/>
          <w:sz w:val="22"/>
          <w:szCs w:val="22"/>
          <w:lang w:val="sk-SK"/>
        </w:rPr>
        <w:t>makrofágy</w:t>
      </w:r>
      <w:proofErr w:type="spellEnd"/>
      <w:r w:rsidRPr="00B4462C">
        <w:rPr>
          <w:color w:val="000000"/>
          <w:sz w:val="22"/>
          <w:szCs w:val="22"/>
          <w:lang w:val="sk-SK"/>
        </w:rPr>
        <w:t>, bioptické tkanivo), sínusy, zapálené lézie (tekutiny v pľuzgieri) a </w:t>
      </w:r>
      <w:proofErr w:type="spellStart"/>
      <w:r w:rsidRPr="00B4462C">
        <w:rPr>
          <w:color w:val="000000"/>
          <w:sz w:val="22"/>
          <w:szCs w:val="22"/>
          <w:lang w:val="sk-SK"/>
        </w:rPr>
        <w:t>urogenitálneho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traktu (moč, prostata, </w:t>
      </w:r>
      <w:proofErr w:type="spellStart"/>
      <w:r w:rsidRPr="00B4462C">
        <w:rPr>
          <w:color w:val="000000"/>
          <w:sz w:val="22"/>
          <w:szCs w:val="22"/>
          <w:lang w:val="sk-SK"/>
        </w:rPr>
        <w:t>endometrium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), kde celkové koncentrácie prevyšujú zodpovedajúce hladiny v sére. </w:t>
      </w:r>
      <w:r w:rsidRPr="00B4462C">
        <w:rPr>
          <w:color w:val="000000"/>
          <w:sz w:val="22"/>
          <w:szCs w:val="22"/>
          <w:lang w:val="sk-SK"/>
        </w:rPr>
        <w:br/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4F24D9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Biotransformácia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br/>
        <w:t xml:space="preserve">Zaznamenali sa nízke koncentrácie štyroch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metabolitov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, ktoré boli identifikované ako: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desetylénciprofloxacín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(M 1),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sulfociprofloxacín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(M 2),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oxociprofloxacín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(M 3) a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formylciprofloxacín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(M 4).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Metabolity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vykazujú </w:t>
      </w:r>
      <w:r w:rsidRPr="00B4462C">
        <w:rPr>
          <w:rFonts w:ascii="Times New Roman" w:hAnsi="Times New Roman"/>
          <w:i/>
          <w:color w:val="000000"/>
          <w:sz w:val="22"/>
          <w:szCs w:val="22"/>
          <w:lang w:val="sk-SK"/>
        </w:rPr>
        <w:t xml:space="preserve">in </w:t>
      </w:r>
      <w:proofErr w:type="spellStart"/>
      <w:r w:rsidRPr="00B4462C">
        <w:rPr>
          <w:rFonts w:ascii="Times New Roman" w:hAnsi="Times New Roman"/>
          <w:i/>
          <w:color w:val="000000"/>
          <w:sz w:val="22"/>
          <w:szCs w:val="22"/>
          <w:lang w:val="sk-SK"/>
        </w:rPr>
        <w:t>vitro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antimikrobiálnu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aktivitu, ale nižšieho stupňa ako pôvodná zlúčenina. 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známy ako stredne silný inhibítor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izoenzýmu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CYP450 1A2. 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</w:pPr>
      <w:r w:rsidRPr="00B4462C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Eliminácia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sa vylučuje prevažne v nezmenenej forme, v najväčšej miere močom a v menšom rozsahu stolicou. Sérový polčas eliminácie u osôb s normálnou funkciou obličiek je približne 4-7 hodín.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tbl>
      <w:tblPr>
        <w:tblW w:w="0" w:type="auto"/>
        <w:tblLook w:val="01E0"/>
      </w:tblPr>
      <w:tblGrid>
        <w:gridCol w:w="3095"/>
        <w:gridCol w:w="3096"/>
        <w:gridCol w:w="3096"/>
      </w:tblGrid>
      <w:tr w:rsidR="00CF3670" w:rsidRPr="00672462" w:rsidTr="00672462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lastRenderedPageBreak/>
              <w:t xml:space="preserve">Exkrécia </w:t>
            </w:r>
            <w:proofErr w:type="spellStart"/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ciprofloxacínu</w:t>
            </w:r>
            <w:proofErr w:type="spellEnd"/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 xml:space="preserve"> (v % z podanej dávky):</w:t>
            </w:r>
          </w:p>
        </w:tc>
      </w:tr>
      <w:tr w:rsidR="00CF3670" w:rsidRPr="00672462" w:rsidTr="0067246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Perorálne podanie</w:t>
            </w:r>
          </w:p>
        </w:tc>
      </w:tr>
      <w:tr w:rsidR="00CF3670" w:rsidRPr="00672462" w:rsidTr="0067246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moč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stolica</w:t>
            </w:r>
          </w:p>
        </w:tc>
      </w:tr>
      <w:tr w:rsidR="00CF3670" w:rsidRPr="00672462" w:rsidTr="0067246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ciprofloxacín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44,7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25,0</w:t>
            </w:r>
          </w:p>
        </w:tc>
      </w:tr>
      <w:tr w:rsidR="00CF3670" w:rsidRPr="00672462" w:rsidTr="0067246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metabolity</w:t>
            </w:r>
            <w:proofErr w:type="spellEnd"/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(M1-M4)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11,3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7,5</w:t>
            </w:r>
          </w:p>
        </w:tc>
      </w:tr>
    </w:tbl>
    <w:p w:rsidR="00CF3670" w:rsidRPr="00B4462C" w:rsidRDefault="00CF3670">
      <w:pPr>
        <w:rPr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Renálny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klírens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medzi 180-300 ml/kg/hod a celkový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klírens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medzi 480-600 ml/kg/hod.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podlieha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glomerulárnej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filtrácii aj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tubulárnej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sekrécii. Závažné poškodenie funkcie obličiek vedie k zvýšeniu polčasu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až o 12 hodín.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Nerenálny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klírens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spôsobený hlavne v dôsledku aktívnej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transintestinálnej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sekrécie a metabolizmu. 1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% dávky sa vylučuje žlčou.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prítomný v žlči vo vysokých koncentráciách.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CF3670" w:rsidRPr="00FC60DC" w:rsidRDefault="00CF3670" w:rsidP="00FA2E36">
      <w:pPr>
        <w:pStyle w:val="Zkladntext"/>
        <w:jc w:val="left"/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</w:pPr>
      <w:r w:rsidRPr="00B4462C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Pediatri</w:t>
      </w:r>
      <w:r w:rsidRPr="00146261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ck</w:t>
      </w:r>
      <w:r w:rsidRPr="00FC60DC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á populácia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C60DC">
        <w:rPr>
          <w:rFonts w:ascii="Times New Roman" w:hAnsi="Times New Roman" w:cs="Times New Roman"/>
          <w:sz w:val="22"/>
          <w:szCs w:val="22"/>
          <w:lang w:val="sk-SK"/>
        </w:rPr>
        <w:t>Farmakokinetické</w:t>
      </w:r>
      <w:proofErr w:type="spellEnd"/>
      <w:r w:rsidRPr="00FC60DC">
        <w:rPr>
          <w:rFonts w:ascii="Times New Roman" w:hAnsi="Times New Roman" w:cs="Times New Roman"/>
          <w:sz w:val="22"/>
          <w:szCs w:val="22"/>
          <w:lang w:val="sk-SK"/>
        </w:rPr>
        <w:t xml:space="preserve"> údaje u pediatrickej populácie sú obmedz</w:t>
      </w:r>
      <w:r w:rsidRPr="00B4462C">
        <w:rPr>
          <w:rFonts w:ascii="Times New Roman" w:hAnsi="Times New Roman" w:cs="Times New Roman"/>
          <w:sz w:val="22"/>
          <w:szCs w:val="22"/>
          <w:lang w:val="sk-SK"/>
        </w:rPr>
        <w:t>ené.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V štúdii u detí neboli hodnoty 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Cmax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a AUC závislé od veku (nad 1 rok). Nepozorovalo sa žiadne významné zvýšenie hodnôt 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Cmax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a AUC po podaní viacerých dávok (10 mg/kg trikrát denne).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U 10 detí s ťažkou sepsou bolo 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Cmax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6,1 mg/l (rozsah 4,6-8,3 mg/l) po intravenóznej infúzii 10 mg/kg trvajúcej hodinu u detí mladších ako 1 rok v porovnaní s 7,2 mg/l (rozsah 4,7-11,8 mg/l) u detí od 1 do 5 rokov. Hodnoty AUC u jednotlivých skupín boli 17,4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mg.hod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>/l (rozsah 11,8-32,0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mg.hod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>/l) a 16,5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mg.hod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>/l (rozsah 11,0-23,8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mg.hod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>/l).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Tieto hodnoty spadajú do rozsahu hláseného u dospelých pri podávaní terapeutických dávok. Na základe populačnej analýzy 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farmakokinetických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údajov u pediatrických pacientov s rôznymi infekciami je predpokladaný priemerný biologický polčas u detí približne 4-5 hodín a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biodostupnosť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po podaní perorálnej suspenzie je medzi 50 až 80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B4462C">
        <w:rPr>
          <w:rFonts w:ascii="Times New Roman" w:hAnsi="Times New Roman" w:cs="Times New Roman"/>
          <w:sz w:val="22"/>
          <w:szCs w:val="22"/>
          <w:lang w:val="sk-SK"/>
        </w:rPr>
        <w:t>%.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5.3</w:t>
      </w:r>
      <w:r w:rsidRPr="00B4462C">
        <w:rPr>
          <w:b/>
          <w:sz w:val="22"/>
          <w:szCs w:val="22"/>
          <w:lang w:val="sk-SK"/>
        </w:rPr>
        <w:tab/>
        <w:t>Predklinické údaje o bezpečnosti</w:t>
      </w: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Predklinické údaje získané na základe obvyklých štúdií toxicity po podaní jednorazovej dávky, toxicity po opakovanom podávaní, karcinogénneho potenciálu a reprodukčnej toxicity neodhalili žiadne osobitné riziko pre ľudí. Podobne ako iné </w:t>
      </w:r>
      <w:proofErr w:type="spellStart"/>
      <w:r w:rsidRPr="00B4462C">
        <w:rPr>
          <w:color w:val="000000"/>
          <w:sz w:val="22"/>
          <w:szCs w:val="22"/>
          <w:lang w:val="sk-SK"/>
        </w:rPr>
        <w:t>chinolóny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</w:t>
      </w:r>
      <w:proofErr w:type="spellStart"/>
      <w:r w:rsidRPr="00B4462C">
        <w:rPr>
          <w:color w:val="000000"/>
          <w:sz w:val="22"/>
          <w:szCs w:val="22"/>
          <w:lang w:val="sk-SK"/>
        </w:rPr>
        <w:t>fototoxický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u zvierat pri klinicky relevantných expozičných hladinách. Údaje o </w:t>
      </w:r>
      <w:proofErr w:type="spellStart"/>
      <w:r w:rsidRPr="00B4462C">
        <w:rPr>
          <w:color w:val="000000"/>
          <w:sz w:val="22"/>
          <w:szCs w:val="22"/>
          <w:lang w:val="sk-SK"/>
        </w:rPr>
        <w:t>fotomutagenicite</w:t>
      </w:r>
      <w:proofErr w:type="spellEnd"/>
      <w:r w:rsidRPr="00B4462C">
        <w:rPr>
          <w:color w:val="000000"/>
          <w:sz w:val="22"/>
          <w:szCs w:val="22"/>
          <w:lang w:val="sk-SK"/>
        </w:rPr>
        <w:t>/</w:t>
      </w:r>
      <w:proofErr w:type="spellStart"/>
      <w:r w:rsidRPr="00B4462C">
        <w:rPr>
          <w:color w:val="000000"/>
          <w:sz w:val="22"/>
          <w:szCs w:val="22"/>
          <w:lang w:val="sk-SK"/>
        </w:rPr>
        <w:t>fotokarcinogenite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ukazujú slabý </w:t>
      </w:r>
      <w:proofErr w:type="spellStart"/>
      <w:r w:rsidRPr="00B4462C">
        <w:rPr>
          <w:color w:val="000000"/>
          <w:sz w:val="22"/>
          <w:szCs w:val="22"/>
          <w:lang w:val="sk-SK"/>
        </w:rPr>
        <w:t>fotomutagénny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B4462C">
        <w:rPr>
          <w:color w:val="000000"/>
          <w:sz w:val="22"/>
          <w:szCs w:val="22"/>
          <w:lang w:val="sk-SK"/>
        </w:rPr>
        <w:t>fototumorogénny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účinok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i/>
          <w:color w:val="000000"/>
          <w:sz w:val="22"/>
          <w:szCs w:val="22"/>
          <w:lang w:val="sk-SK"/>
        </w:rPr>
        <w:t xml:space="preserve">in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vitro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v skúšaniach na zvieratách. Tento účinok bol porovnateľný s účinkom iných inhibítorov </w:t>
      </w:r>
      <w:proofErr w:type="spellStart"/>
      <w:r w:rsidRPr="00B4462C">
        <w:rPr>
          <w:color w:val="000000"/>
          <w:sz w:val="22"/>
          <w:szCs w:val="22"/>
          <w:lang w:val="sk-SK"/>
        </w:rPr>
        <w:t>gyrázy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Znášanlivosť týkajúca sa kĺbov</w:t>
      </w:r>
    </w:p>
    <w:p w:rsidR="00CF3670" w:rsidRPr="00B4462C" w:rsidRDefault="00CF3670" w:rsidP="00B6519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Tak ako sa hlásilo u iných inhibítorov </w:t>
      </w:r>
      <w:proofErr w:type="spellStart"/>
      <w:r w:rsidRPr="00B4462C">
        <w:rPr>
          <w:sz w:val="22"/>
          <w:szCs w:val="22"/>
          <w:lang w:val="sk-SK"/>
        </w:rPr>
        <w:t>gyrázy</w:t>
      </w:r>
      <w:proofErr w:type="spellEnd"/>
      <w:r w:rsidRPr="00B4462C">
        <w:rPr>
          <w:sz w:val="22"/>
          <w:szCs w:val="22"/>
          <w:lang w:val="sk-SK"/>
        </w:rPr>
        <w:t xml:space="preserve">,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spôsobuje poškodenie veľkých nosných kĺbov u nedospelých zvierat. Rozsah poškodenia chrupiek sa líši v závislosti od veku, živočíšneho druhu a dávky</w:t>
      </w: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; poškodenie je možné znížiť nezaťažovaním kĺbov. V štúdii na dospelých zvieratách (potkany, psy) sa nedokázalo poškodenie chrupiek. V štúdii na mladých psoch rasy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beagle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spôsobil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v terapeutických dávkach kĺbové zmeny po dvoch týždňoch liečby, ktoré boli stále pozorované po 5 mesiacoch.</w:t>
      </w:r>
    </w:p>
    <w:p w:rsidR="00CF3670" w:rsidRPr="00B4462C" w:rsidRDefault="00CF3670" w:rsidP="00B6519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</w:t>
      </w:r>
      <w:r w:rsidRPr="00B4462C">
        <w:rPr>
          <w:b/>
          <w:sz w:val="22"/>
          <w:szCs w:val="22"/>
          <w:lang w:val="sk-SK"/>
        </w:rPr>
        <w:tab/>
        <w:t>FARMACEUTICKÉ INFORMÁCIE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6.1</w:t>
      </w:r>
      <w:r w:rsidRPr="00B4462C">
        <w:rPr>
          <w:b/>
          <w:sz w:val="22"/>
          <w:szCs w:val="22"/>
          <w:lang w:val="sk-SK"/>
        </w:rPr>
        <w:tab/>
        <w:t>Zoznam pomocných látok</w:t>
      </w:r>
    </w:p>
    <w:p w:rsidR="00CF3670" w:rsidRPr="00B4462C" w:rsidRDefault="00CF3670" w:rsidP="00B65191">
      <w:pPr>
        <w:rPr>
          <w:i/>
          <w:sz w:val="22"/>
          <w:szCs w:val="22"/>
          <w:lang w:val="sk-SK"/>
        </w:rPr>
      </w:pPr>
    </w:p>
    <w:p w:rsidR="00CF3670" w:rsidRPr="00B4462C" w:rsidRDefault="00CF3670" w:rsidP="00B6519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Jadro tablety:</w:t>
      </w:r>
    </w:p>
    <w:p w:rsidR="00CF3670" w:rsidRPr="00B4462C" w:rsidRDefault="00CF3670" w:rsidP="00B651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B4462C">
        <w:rPr>
          <w:sz w:val="22"/>
          <w:szCs w:val="22"/>
          <w:lang w:val="sk-SK"/>
        </w:rPr>
        <w:t>ikrokryštalická celulóza</w:t>
      </w:r>
    </w:p>
    <w:p w:rsidR="00CF3670" w:rsidRPr="00B4462C" w:rsidRDefault="00CF3670" w:rsidP="00B6519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Pr="00B4462C">
        <w:rPr>
          <w:sz w:val="22"/>
          <w:szCs w:val="22"/>
          <w:lang w:val="sk-SK"/>
        </w:rPr>
        <w:t>ovidón</w:t>
      </w:r>
      <w:proofErr w:type="spellEnd"/>
      <w:r w:rsidRPr="00B4462C">
        <w:rPr>
          <w:sz w:val="22"/>
          <w:szCs w:val="22"/>
          <w:lang w:val="sk-SK"/>
        </w:rPr>
        <w:t xml:space="preserve"> K-30</w:t>
      </w:r>
    </w:p>
    <w:p w:rsidR="00CF3670" w:rsidRPr="00B4462C" w:rsidRDefault="00CF3670" w:rsidP="00B651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Pr="00B4462C">
        <w:rPr>
          <w:sz w:val="22"/>
          <w:szCs w:val="22"/>
          <w:lang w:val="sk-SK"/>
        </w:rPr>
        <w:t xml:space="preserve">odná soľ </w:t>
      </w:r>
      <w:proofErr w:type="spellStart"/>
      <w:r w:rsidRPr="00B4462C">
        <w:rPr>
          <w:sz w:val="22"/>
          <w:szCs w:val="22"/>
          <w:lang w:val="sk-SK"/>
        </w:rPr>
        <w:t>kroskarmelózy</w:t>
      </w:r>
      <w:proofErr w:type="spellEnd"/>
    </w:p>
    <w:p w:rsidR="00CF3670" w:rsidRPr="00B4462C" w:rsidRDefault="00CF3670" w:rsidP="00B651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Pr="00B4462C">
        <w:rPr>
          <w:sz w:val="22"/>
          <w:szCs w:val="22"/>
          <w:lang w:val="sk-SK"/>
        </w:rPr>
        <w:t>oloidný oxid kremičitý</w:t>
      </w:r>
    </w:p>
    <w:p w:rsidR="00CF3670" w:rsidRPr="00B4462C" w:rsidRDefault="00CF3670" w:rsidP="00B6519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Pr="00B4462C">
        <w:rPr>
          <w:sz w:val="22"/>
          <w:szCs w:val="22"/>
          <w:lang w:val="sk-SK"/>
        </w:rPr>
        <w:t>agnéziumstearát</w:t>
      </w:r>
      <w:proofErr w:type="spellEnd"/>
    </w:p>
    <w:p w:rsidR="00CF3670" w:rsidRPr="00B4462C" w:rsidRDefault="00CF3670" w:rsidP="00B65191">
      <w:pPr>
        <w:rPr>
          <w:i/>
          <w:sz w:val="22"/>
          <w:szCs w:val="22"/>
          <w:lang w:val="sk-SK"/>
        </w:rPr>
      </w:pPr>
    </w:p>
    <w:p w:rsidR="00CF3670" w:rsidRPr="00B4462C" w:rsidRDefault="00CF3670" w:rsidP="00B65191">
      <w:pPr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Filmový obal:</w:t>
      </w:r>
    </w:p>
    <w:p w:rsidR="00CF3670" w:rsidRPr="00B4462C" w:rsidRDefault="00CF3670" w:rsidP="00B6519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Pr="00B4462C">
        <w:rPr>
          <w:sz w:val="22"/>
          <w:szCs w:val="22"/>
          <w:lang w:val="sk-SK"/>
        </w:rPr>
        <w:t>ypromelóza</w:t>
      </w:r>
      <w:proofErr w:type="spellEnd"/>
    </w:p>
    <w:p w:rsidR="00CF3670" w:rsidRPr="00B4462C" w:rsidRDefault="00CF3670" w:rsidP="00B651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Pr="00B4462C">
        <w:rPr>
          <w:sz w:val="22"/>
          <w:szCs w:val="22"/>
          <w:lang w:val="sk-SK"/>
        </w:rPr>
        <w:t xml:space="preserve">xid </w:t>
      </w:r>
      <w:proofErr w:type="spellStart"/>
      <w:r w:rsidRPr="00B4462C">
        <w:rPr>
          <w:sz w:val="22"/>
          <w:szCs w:val="22"/>
          <w:lang w:val="sk-SK"/>
        </w:rPr>
        <w:t>titaničitý</w:t>
      </w:r>
      <w:proofErr w:type="spellEnd"/>
      <w:r w:rsidRPr="00B4462C">
        <w:rPr>
          <w:sz w:val="22"/>
          <w:szCs w:val="22"/>
          <w:lang w:val="sk-SK"/>
        </w:rPr>
        <w:t xml:space="preserve"> (E171)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Pr="00B4462C">
        <w:rPr>
          <w:sz w:val="22"/>
          <w:szCs w:val="22"/>
          <w:lang w:val="sk-SK"/>
        </w:rPr>
        <w:t>akrogol</w:t>
      </w:r>
      <w:proofErr w:type="spellEnd"/>
      <w:r w:rsidRPr="00B4462C">
        <w:rPr>
          <w:sz w:val="22"/>
          <w:szCs w:val="22"/>
          <w:lang w:val="sk-SK"/>
        </w:rPr>
        <w:t xml:space="preserve"> 400</w:t>
      </w:r>
    </w:p>
    <w:p w:rsidR="00CF3670" w:rsidRPr="00B4462C" w:rsidRDefault="00CF3670" w:rsidP="00B65191">
      <w:pPr>
        <w:rPr>
          <w:i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6.2</w:t>
      </w:r>
      <w:r w:rsidRPr="00B4462C">
        <w:rPr>
          <w:b/>
          <w:sz w:val="22"/>
          <w:szCs w:val="22"/>
          <w:lang w:val="sk-SK"/>
        </w:rPr>
        <w:tab/>
        <w:t>Inkompatibility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Neaplikovateľné.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6.3</w:t>
      </w:r>
      <w:r w:rsidRPr="00B4462C">
        <w:rPr>
          <w:b/>
          <w:sz w:val="22"/>
          <w:szCs w:val="22"/>
          <w:lang w:val="sk-SK"/>
        </w:rPr>
        <w:tab/>
        <w:t>Čas použiteľnosti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3 roky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6.4</w:t>
      </w:r>
      <w:r w:rsidRPr="00B4462C">
        <w:rPr>
          <w:b/>
          <w:sz w:val="22"/>
          <w:szCs w:val="22"/>
          <w:lang w:val="sk-SK"/>
        </w:rPr>
        <w:tab/>
        <w:t>Špeciálne upozornenia na uchovávanie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Tento liek nevyžaduje žiadne zvláštne podmienky na uchovávanie.</w:t>
      </w:r>
    </w:p>
    <w:p w:rsidR="00CF3670" w:rsidRPr="00B4462C" w:rsidDel="00E03CA9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6.5</w:t>
      </w:r>
      <w:r w:rsidRPr="00B4462C">
        <w:rPr>
          <w:b/>
          <w:sz w:val="22"/>
          <w:szCs w:val="22"/>
          <w:lang w:val="sk-SK"/>
        </w:rPr>
        <w:tab/>
        <w:t>Druh obalu a obsah balenia</w:t>
      </w:r>
    </w:p>
    <w:p w:rsidR="00CF3670" w:rsidRPr="00B4462C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Priehľadný alebo biely nepriehľadný PVC/</w:t>
      </w:r>
      <w:proofErr w:type="spellStart"/>
      <w:r w:rsidRPr="00B4462C">
        <w:rPr>
          <w:sz w:val="22"/>
          <w:szCs w:val="22"/>
          <w:lang w:val="sk-SK"/>
        </w:rPr>
        <w:t>PVdC</w:t>
      </w:r>
      <w:proofErr w:type="spellEnd"/>
      <w:r w:rsidRPr="00B4462C">
        <w:rPr>
          <w:sz w:val="22"/>
          <w:szCs w:val="22"/>
          <w:lang w:val="sk-SK"/>
        </w:rPr>
        <w:t xml:space="preserve">/hliníkový </w:t>
      </w:r>
      <w:proofErr w:type="spellStart"/>
      <w:r w:rsidRPr="00B4462C">
        <w:rPr>
          <w:sz w:val="22"/>
          <w:szCs w:val="22"/>
          <w:lang w:val="sk-SK"/>
        </w:rPr>
        <w:t>blister</w:t>
      </w:r>
      <w:proofErr w:type="spellEnd"/>
      <w:r w:rsidRPr="00B4462C">
        <w:rPr>
          <w:sz w:val="22"/>
          <w:szCs w:val="22"/>
          <w:lang w:val="sk-SK"/>
        </w:rPr>
        <w:t xml:space="preserve"> v papierových škatuliach 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250 mg: 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Veľkosti balenia: 8, 10, 12, 16, 20, 30, </w:t>
      </w:r>
      <w:smartTag w:uri="urn:schemas-microsoft-com:office:smarttags" w:element="metricconverter">
        <w:smartTagPr>
          <w:attr w:name="ProductID" w:val="100 a"/>
        </w:smartTagPr>
        <w:r w:rsidRPr="00B4462C">
          <w:rPr>
            <w:sz w:val="22"/>
            <w:szCs w:val="22"/>
            <w:lang w:val="sk-SK"/>
          </w:rPr>
          <w:t>100 a</w:t>
        </w:r>
      </w:smartTag>
      <w:r w:rsidRPr="00B4462C">
        <w:rPr>
          <w:sz w:val="22"/>
          <w:szCs w:val="22"/>
          <w:lang w:val="sk-SK"/>
        </w:rPr>
        <w:t xml:space="preserve"> 160 filmom obalených tabliet. Nemocničné balenia s </w:t>
      </w:r>
      <w:smartTag w:uri="urn:schemas-microsoft-com:office:smarttags" w:element="metricconverter">
        <w:smartTagPr>
          <w:attr w:name="ProductID" w:val="50 a"/>
        </w:smartTagPr>
        <w:r w:rsidRPr="00B4462C">
          <w:rPr>
            <w:sz w:val="22"/>
            <w:szCs w:val="22"/>
            <w:lang w:val="sk-SK"/>
          </w:rPr>
          <w:t>50 a</w:t>
        </w:r>
      </w:smartTag>
      <w:r w:rsidRPr="00B4462C">
        <w:rPr>
          <w:sz w:val="22"/>
          <w:szCs w:val="22"/>
          <w:lang w:val="sk-SK"/>
        </w:rPr>
        <w:t xml:space="preserve"> 160 filmom obalenými tabletami.</w:t>
      </w:r>
    </w:p>
    <w:p w:rsidR="00CF3670" w:rsidRPr="00B4462C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500 mg: 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Veľkosti balenia: 6, 8, 10, 12, 16, 20, 30, 100, 120 (jednotková dávka) a 160 filmom obalených tabliet. Nemocničné balenia s 50, </w:t>
      </w:r>
      <w:smartTag w:uri="urn:schemas-microsoft-com:office:smarttags" w:element="metricconverter">
        <w:smartTagPr>
          <w:attr w:name="ProductID" w:val="100 a"/>
        </w:smartTagPr>
        <w:r w:rsidRPr="00B4462C">
          <w:rPr>
            <w:sz w:val="22"/>
            <w:szCs w:val="22"/>
            <w:lang w:val="sk-SK"/>
          </w:rPr>
          <w:t>100 a</w:t>
        </w:r>
      </w:smartTag>
      <w:r w:rsidRPr="00B4462C">
        <w:rPr>
          <w:sz w:val="22"/>
          <w:szCs w:val="22"/>
          <w:lang w:val="sk-SK"/>
        </w:rPr>
        <w:t xml:space="preserve"> 160 filmom obalenými tabletami.</w:t>
      </w:r>
    </w:p>
    <w:p w:rsidR="00CF3670" w:rsidRPr="00B4462C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750 mg: </w:t>
      </w:r>
    </w:p>
    <w:p w:rsidR="00CF3670" w:rsidRPr="00B4462C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  <w:r w:rsidRPr="00B4462C">
        <w:rPr>
          <w:sz w:val="22"/>
          <w:szCs w:val="22"/>
          <w:lang w:val="sk-SK"/>
        </w:rPr>
        <w:t xml:space="preserve">Veľkosti balenia: 8, 10, 12, 16, 20, 30, </w:t>
      </w:r>
      <w:smartTag w:uri="urn:schemas-microsoft-com:office:smarttags" w:element="metricconverter">
        <w:smartTagPr>
          <w:attr w:name="ProductID" w:val="100 a"/>
        </w:smartTagPr>
        <w:r w:rsidRPr="00B4462C">
          <w:rPr>
            <w:sz w:val="22"/>
            <w:szCs w:val="22"/>
            <w:lang w:val="sk-SK"/>
          </w:rPr>
          <w:t>100 a</w:t>
        </w:r>
      </w:smartTag>
      <w:r w:rsidRPr="00B4462C">
        <w:rPr>
          <w:sz w:val="22"/>
          <w:szCs w:val="22"/>
          <w:lang w:val="sk-SK"/>
        </w:rPr>
        <w:t xml:space="preserve"> 160 filmom obalených tabliet. Nemocničné balenia s 50, </w:t>
      </w:r>
      <w:smartTag w:uri="urn:schemas-microsoft-com:office:smarttags" w:element="metricconverter">
        <w:smartTagPr>
          <w:attr w:name="ProductID" w:val="100 a"/>
        </w:smartTagPr>
        <w:r w:rsidRPr="00B4462C">
          <w:rPr>
            <w:sz w:val="22"/>
            <w:szCs w:val="22"/>
            <w:lang w:val="sk-SK"/>
          </w:rPr>
          <w:t>100 a</w:t>
        </w:r>
      </w:smartTag>
      <w:r w:rsidRPr="00B4462C">
        <w:rPr>
          <w:sz w:val="22"/>
          <w:szCs w:val="22"/>
          <w:lang w:val="sk-SK"/>
        </w:rPr>
        <w:t xml:space="preserve"> 160 filmom obalenými tabletami.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146261">
        <w:rPr>
          <w:sz w:val="22"/>
          <w:szCs w:val="22"/>
          <w:lang w:val="sk-SK"/>
        </w:rPr>
        <w:t>Na trh nemusia byť uvedené</w:t>
      </w:r>
      <w:r w:rsidRPr="00FC60DC">
        <w:rPr>
          <w:sz w:val="22"/>
          <w:szCs w:val="22"/>
          <w:lang w:val="sk-SK"/>
        </w:rPr>
        <w:t xml:space="preserve"> všetky veľkosti balenia.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6.6</w:t>
      </w:r>
      <w:r w:rsidRPr="00B4462C">
        <w:rPr>
          <w:b/>
          <w:sz w:val="22"/>
          <w:szCs w:val="22"/>
          <w:lang w:val="sk-SK"/>
        </w:rPr>
        <w:tab/>
      </w:r>
      <w:r w:rsidRPr="00B4462C">
        <w:rPr>
          <w:b/>
          <w:bCs/>
          <w:sz w:val="22"/>
          <w:szCs w:val="22"/>
          <w:lang w:val="sk-SK"/>
        </w:rPr>
        <w:t>Špeciálne opatrenia na likvidáciu a iné zaobchádzanie s liekom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bCs/>
          <w:sz w:val="22"/>
          <w:szCs w:val="22"/>
          <w:lang w:val="sk-SK"/>
        </w:rPr>
        <w:t>Žiadne zvláštne požiadavky.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7.</w:t>
      </w:r>
      <w:r w:rsidRPr="00B4462C">
        <w:rPr>
          <w:b/>
          <w:sz w:val="22"/>
          <w:szCs w:val="22"/>
          <w:lang w:val="sk-SK"/>
        </w:rPr>
        <w:tab/>
        <w:t>DRŽITEĽ ROZHODNUTIA O REGISTRÁCII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7F6E94" w:rsidRDefault="007F6E94" w:rsidP="00B65191">
      <w:pPr>
        <w:widowControl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Teva</w:t>
      </w:r>
      <w:proofErr w:type="spellEnd"/>
      <w:r>
        <w:rPr>
          <w:sz w:val="22"/>
          <w:szCs w:val="22"/>
          <w:lang w:val="sk-SK"/>
        </w:rPr>
        <w:t xml:space="preserve"> B.V.</w:t>
      </w:r>
    </w:p>
    <w:p w:rsidR="007F6E94" w:rsidRDefault="007F6E94" w:rsidP="00B65191">
      <w:pPr>
        <w:widowControl w:val="0"/>
        <w:rPr>
          <w:sz w:val="22"/>
          <w:szCs w:val="22"/>
          <w:lang w:val="sk-SK"/>
        </w:rPr>
      </w:pPr>
      <w:proofErr w:type="spellStart"/>
      <w:r w:rsidRPr="007F6E94">
        <w:rPr>
          <w:sz w:val="22"/>
          <w:szCs w:val="22"/>
          <w:lang w:val="sk-SK"/>
        </w:rPr>
        <w:t>Swensweg</w:t>
      </w:r>
      <w:proofErr w:type="spellEnd"/>
      <w:r w:rsidRPr="007F6E94">
        <w:rPr>
          <w:sz w:val="22"/>
          <w:szCs w:val="22"/>
          <w:lang w:val="sk-SK"/>
        </w:rPr>
        <w:t xml:space="preserve"> 5, </w:t>
      </w:r>
    </w:p>
    <w:p w:rsidR="007F6E94" w:rsidRDefault="007F6E94" w:rsidP="00B65191">
      <w:pPr>
        <w:widowControl w:val="0"/>
        <w:rPr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 xml:space="preserve">2031 GA </w:t>
      </w:r>
      <w:proofErr w:type="spellStart"/>
      <w:r w:rsidRPr="007F6E94">
        <w:rPr>
          <w:sz w:val="22"/>
          <w:szCs w:val="22"/>
          <w:lang w:val="sk-SK"/>
        </w:rPr>
        <w:t>Haarlem</w:t>
      </w:r>
      <w:proofErr w:type="spellEnd"/>
      <w:r w:rsidRPr="007F6E94">
        <w:rPr>
          <w:sz w:val="22"/>
          <w:szCs w:val="22"/>
          <w:lang w:val="sk-SK"/>
        </w:rPr>
        <w:t xml:space="preserve">, </w:t>
      </w:r>
    </w:p>
    <w:p w:rsidR="00CF3670" w:rsidRDefault="007F6E94" w:rsidP="00B65191">
      <w:pPr>
        <w:widowControl w:val="0"/>
        <w:rPr>
          <w:b/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>Holandsko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DF5E38">
      <w:pPr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8.</w:t>
      </w:r>
      <w:r w:rsidRPr="00B4462C">
        <w:rPr>
          <w:b/>
          <w:sz w:val="22"/>
          <w:szCs w:val="22"/>
          <w:lang w:val="sk-SK"/>
        </w:rPr>
        <w:tab/>
        <w:t>REGISTRAČNÉ ČÍSLO</w:t>
      </w:r>
      <w:r w:rsidRPr="00B4462C">
        <w:rPr>
          <w:sz w:val="22"/>
          <w:szCs w:val="22"/>
          <w:lang w:val="sk-SK"/>
        </w:rPr>
        <w:t xml:space="preserve"> </w:t>
      </w:r>
    </w:p>
    <w:p w:rsidR="00CF3670" w:rsidRPr="00B4462C" w:rsidRDefault="00CF3670" w:rsidP="00DF5E38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:rsidR="00CF3670" w:rsidRPr="00B4462C" w:rsidRDefault="00CF3670" w:rsidP="00DF5E38">
      <w:pPr>
        <w:widowControl w:val="0"/>
        <w:tabs>
          <w:tab w:val="left" w:pos="567"/>
        </w:tabs>
        <w:rPr>
          <w:sz w:val="22"/>
          <w:szCs w:val="22"/>
          <w:lang w:val="sk-SK" w:eastAsia="cs-CZ"/>
        </w:rPr>
      </w:pPr>
      <w:r w:rsidRPr="00B4462C">
        <w:rPr>
          <w:sz w:val="22"/>
          <w:szCs w:val="22"/>
          <w:lang w:val="sk-SK"/>
        </w:rPr>
        <w:lastRenderedPageBreak/>
        <w:t>250 mg:</w:t>
      </w:r>
      <w:r w:rsidRPr="00B4462C">
        <w:rPr>
          <w:b/>
          <w:sz w:val="22"/>
          <w:szCs w:val="22"/>
          <w:lang w:val="sk-SK"/>
        </w:rPr>
        <w:t xml:space="preserve"> </w:t>
      </w:r>
      <w:r w:rsidRPr="00B4462C">
        <w:rPr>
          <w:sz w:val="22"/>
          <w:szCs w:val="22"/>
          <w:lang w:val="sk-SK" w:eastAsia="cs-CZ"/>
        </w:rPr>
        <w:t>42/0032/07-S</w:t>
      </w:r>
    </w:p>
    <w:p w:rsidR="00CF3670" w:rsidRPr="00B4462C" w:rsidRDefault="00CF3670" w:rsidP="00DF5E38">
      <w:pPr>
        <w:widowControl w:val="0"/>
        <w:tabs>
          <w:tab w:val="left" w:pos="567"/>
        </w:tabs>
        <w:rPr>
          <w:sz w:val="22"/>
          <w:szCs w:val="22"/>
          <w:lang w:val="sk-SK" w:eastAsia="cs-CZ"/>
        </w:rPr>
      </w:pPr>
      <w:r w:rsidRPr="00B4462C">
        <w:rPr>
          <w:sz w:val="22"/>
          <w:szCs w:val="22"/>
          <w:lang w:val="sk-SK" w:eastAsia="cs-CZ"/>
        </w:rPr>
        <w:t>500 mg: 42/0033/07-S</w:t>
      </w:r>
    </w:p>
    <w:p w:rsidR="00CF3670" w:rsidRPr="00B4462C" w:rsidRDefault="00CF3670" w:rsidP="00DF5E38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B4462C">
        <w:rPr>
          <w:sz w:val="22"/>
          <w:szCs w:val="22"/>
          <w:lang w:val="sk-SK" w:eastAsia="cs-CZ"/>
        </w:rPr>
        <w:t>750 mg: 42/0034/07-S</w:t>
      </w:r>
    </w:p>
    <w:p w:rsidR="00CF3670" w:rsidRDefault="00CF3670" w:rsidP="00B6519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9.</w:t>
      </w:r>
      <w:r w:rsidRPr="00B4462C">
        <w:rPr>
          <w:b/>
          <w:sz w:val="22"/>
          <w:szCs w:val="22"/>
          <w:lang w:val="sk-SK"/>
        </w:rPr>
        <w:tab/>
        <w:t>DÁTUM PRVEJ REGISTRÁCIE/PREDĹŽENIA REGISTRÁCIE</w:t>
      </w:r>
    </w:p>
    <w:p w:rsidR="00CF3670" w:rsidRDefault="00CF3670" w:rsidP="00A4165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:rsidR="00CF3670" w:rsidRPr="007913A0" w:rsidRDefault="00CF3670" w:rsidP="007913A0">
      <w:pPr>
        <w:widowControl w:val="0"/>
        <w:tabs>
          <w:tab w:val="left" w:pos="567"/>
        </w:tabs>
        <w:rPr>
          <w:i/>
          <w:sz w:val="22"/>
          <w:szCs w:val="22"/>
          <w:lang w:val="sk-SK"/>
        </w:rPr>
      </w:pPr>
      <w:r w:rsidRPr="007913A0">
        <w:rPr>
          <w:sz w:val="22"/>
          <w:szCs w:val="22"/>
          <w:lang w:val="sk-SK"/>
        </w:rPr>
        <w:t xml:space="preserve">Dátum prvej registrácie: </w:t>
      </w:r>
      <w:r>
        <w:rPr>
          <w:sz w:val="22"/>
          <w:szCs w:val="22"/>
          <w:lang w:val="sk-SK"/>
        </w:rPr>
        <w:t>29.01.2007</w:t>
      </w:r>
    </w:p>
    <w:p w:rsidR="00CF3670" w:rsidRPr="007913A0" w:rsidRDefault="00CF3670" w:rsidP="007913A0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7913A0">
        <w:rPr>
          <w:sz w:val="22"/>
          <w:szCs w:val="22"/>
          <w:lang w:val="sk-SK"/>
        </w:rPr>
        <w:t>Dátum posledného predĺženia registrácie:</w:t>
      </w:r>
      <w:r>
        <w:rPr>
          <w:sz w:val="22"/>
          <w:szCs w:val="22"/>
          <w:lang w:val="sk-SK"/>
        </w:rPr>
        <w:t xml:space="preserve"> 13.12.2010 </w:t>
      </w:r>
    </w:p>
    <w:p w:rsidR="00CF3670" w:rsidRDefault="00CF3670" w:rsidP="00A4165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:rsidR="00CF3670" w:rsidRPr="00B4462C" w:rsidRDefault="00CF3670" w:rsidP="00A4165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:rsidR="00CF3670" w:rsidRPr="00B4462C" w:rsidRDefault="00CF3670" w:rsidP="00A41651">
      <w:pPr>
        <w:widowControl w:val="0"/>
        <w:numPr>
          <w:ilvl w:val="0"/>
          <w:numId w:val="7"/>
        </w:numPr>
        <w:tabs>
          <w:tab w:val="clear" w:pos="1639"/>
          <w:tab w:val="num" w:pos="284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 xml:space="preserve">     DÁTUM REVÍZIE TEXTU</w:t>
      </w:r>
    </w:p>
    <w:p w:rsidR="00CF3670" w:rsidRPr="00B4462C" w:rsidRDefault="00CF3670" w:rsidP="00E42E93">
      <w:pPr>
        <w:widowControl w:val="0"/>
        <w:tabs>
          <w:tab w:val="left" w:pos="567"/>
        </w:tabs>
        <w:ind w:left="360"/>
        <w:rPr>
          <w:b/>
          <w:sz w:val="22"/>
          <w:szCs w:val="22"/>
          <w:lang w:val="sk-SK"/>
        </w:rPr>
      </w:pPr>
    </w:p>
    <w:p w:rsidR="00CF3670" w:rsidRPr="00B4462C" w:rsidRDefault="00AD6F81" w:rsidP="008F3BE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07/2017</w:t>
      </w:r>
    </w:p>
    <w:sectPr w:rsidR="00CF3670" w:rsidRPr="00B4462C" w:rsidSect="00FC60DC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437" w:rsidRDefault="00994437">
      <w:r>
        <w:separator/>
      </w:r>
    </w:p>
  </w:endnote>
  <w:endnote w:type="continuationSeparator" w:id="0">
    <w:p w:rsidR="00994437" w:rsidRDefault="00994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F81" w:rsidRDefault="004C5678" w:rsidP="00A24F0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AD6F81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D6F81" w:rsidRDefault="00AD6F8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F81" w:rsidRPr="00FC60DC" w:rsidRDefault="004C5678" w:rsidP="00A24F05">
    <w:pPr>
      <w:pStyle w:val="Pta"/>
      <w:framePr w:wrap="around" w:vAnchor="text" w:hAnchor="margin" w:xAlign="center" w:y="1"/>
      <w:rPr>
        <w:rStyle w:val="slostrany"/>
        <w:sz w:val="18"/>
      </w:rPr>
    </w:pPr>
    <w:r w:rsidRPr="00FC60DC">
      <w:rPr>
        <w:rStyle w:val="slostrany"/>
        <w:sz w:val="18"/>
      </w:rPr>
      <w:fldChar w:fldCharType="begin"/>
    </w:r>
    <w:r w:rsidR="00AD6F81" w:rsidRPr="00FC60DC">
      <w:rPr>
        <w:rStyle w:val="slostrany"/>
        <w:sz w:val="18"/>
      </w:rPr>
      <w:instrText xml:space="preserve">PAGE  </w:instrText>
    </w:r>
    <w:r w:rsidRPr="00FC60DC">
      <w:rPr>
        <w:rStyle w:val="slostrany"/>
        <w:sz w:val="18"/>
      </w:rPr>
      <w:fldChar w:fldCharType="separate"/>
    </w:r>
    <w:r w:rsidR="009130BD">
      <w:rPr>
        <w:rStyle w:val="slostrany"/>
        <w:noProof/>
        <w:sz w:val="18"/>
      </w:rPr>
      <w:t>2</w:t>
    </w:r>
    <w:r w:rsidRPr="00FC60DC">
      <w:rPr>
        <w:rStyle w:val="slostrany"/>
        <w:sz w:val="18"/>
      </w:rPr>
      <w:fldChar w:fldCharType="end"/>
    </w:r>
  </w:p>
  <w:p w:rsidR="00AD6F81" w:rsidRPr="00B96D01" w:rsidRDefault="00AD6F81" w:rsidP="00C74A66">
    <w:pPr>
      <w:pStyle w:val="Pta"/>
      <w:tabs>
        <w:tab w:val="clear" w:pos="4536"/>
        <w:tab w:val="clear" w:pos="9072"/>
        <w:tab w:val="center" w:pos="7513"/>
      </w:tabs>
      <w:rPr>
        <w:rFonts w:ascii="Arial" w:hAnsi="Arial" w:cs="Arial"/>
        <w:sz w:val="16"/>
        <w:szCs w:val="16"/>
      </w:rPr>
    </w:pPr>
    <w:r w:rsidRPr="00B96D01">
      <w:rPr>
        <w:rFonts w:ascii="Arial" w:hAnsi="Arial" w:cs="Arial"/>
        <w:snapToGrid w:val="0"/>
        <w:sz w:val="16"/>
        <w:szCs w:val="16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F81" w:rsidRPr="00FC60DC" w:rsidRDefault="004C5678">
    <w:pPr>
      <w:pStyle w:val="Pta"/>
      <w:jc w:val="center"/>
      <w:rPr>
        <w:sz w:val="18"/>
      </w:rPr>
    </w:pPr>
    <w:r w:rsidRPr="00FC60DC">
      <w:rPr>
        <w:sz w:val="18"/>
      </w:rPr>
      <w:fldChar w:fldCharType="begin"/>
    </w:r>
    <w:r w:rsidR="00AD6F81" w:rsidRPr="00FC60DC">
      <w:rPr>
        <w:sz w:val="18"/>
      </w:rPr>
      <w:instrText>PAGE   \* MERGEFORMAT</w:instrText>
    </w:r>
    <w:r w:rsidRPr="00FC60DC">
      <w:rPr>
        <w:sz w:val="18"/>
      </w:rPr>
      <w:fldChar w:fldCharType="separate"/>
    </w:r>
    <w:r w:rsidR="009130BD" w:rsidRPr="009130BD">
      <w:rPr>
        <w:noProof/>
        <w:sz w:val="18"/>
        <w:lang w:val="sk-SK"/>
      </w:rPr>
      <w:t>1</w:t>
    </w:r>
    <w:r w:rsidRPr="00FC60DC">
      <w:rPr>
        <w:sz w:val="18"/>
      </w:rPr>
      <w:fldChar w:fldCharType="end"/>
    </w:r>
  </w:p>
  <w:p w:rsidR="00AD6F81" w:rsidRDefault="00AD6F8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437" w:rsidRDefault="00994437">
      <w:r>
        <w:separator/>
      </w:r>
    </w:p>
  </w:footnote>
  <w:footnote w:type="continuationSeparator" w:id="0">
    <w:p w:rsidR="00994437" w:rsidRDefault="00994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6F81">
    <w:pPr>
      <w:pStyle w:val="Hlavika"/>
      <w:tabs>
        <w:tab w:val="clear" w:pos="4536"/>
        <w:tab w:val="clear" w:pos="9072"/>
        <w:tab w:val="left" w:pos="4440"/>
      </w:tabs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text k 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prevode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2017/02967-TR, 2017/02964-TR a 2017/02966-TR</w:t>
    </w:r>
    <w:r>
      <w:rPr>
        <w:sz w:val="18"/>
        <w:szCs w:val="18"/>
      </w:rPr>
      <w:tab/>
    </w:r>
    <w:bookmarkStart w:id="11" w:name="_GoBack"/>
    <w:bookmarkEnd w:id="1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AE2C1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3"/>
    <w:lvl w:ilvl="0">
      <w:start w:val="1"/>
      <w:numFmt w:val="bullet"/>
      <w:lvlText w:val="·"/>
      <w:lvlJc w:val="left"/>
      <w:pPr>
        <w:tabs>
          <w:tab w:val="num" w:pos="1077"/>
        </w:tabs>
        <w:ind w:left="1077" w:hanging="3"/>
      </w:pPr>
      <w:rPr>
        <w:rFonts w:ascii="Symbol" w:hAnsi="Symbol"/>
      </w:rPr>
    </w:lvl>
  </w:abstractNum>
  <w:abstractNum w:abstractNumId="2">
    <w:nsid w:val="01216F02"/>
    <w:multiLevelType w:val="hybridMultilevel"/>
    <w:tmpl w:val="107A7EC0"/>
    <w:lvl w:ilvl="0" w:tplc="EFE48558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FB18CA"/>
    <w:multiLevelType w:val="singleLevel"/>
    <w:tmpl w:val="81ECD5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B9229D"/>
    <w:multiLevelType w:val="hybridMultilevel"/>
    <w:tmpl w:val="27E2928C"/>
    <w:lvl w:ilvl="0" w:tplc="277AD348">
      <w:start w:val="10"/>
      <w:numFmt w:val="decimal"/>
      <w:lvlText w:val="%1."/>
      <w:lvlJc w:val="left"/>
      <w:pPr>
        <w:tabs>
          <w:tab w:val="num" w:pos="1639"/>
        </w:tabs>
        <w:ind w:left="1639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E382AA8"/>
    <w:multiLevelType w:val="singleLevel"/>
    <w:tmpl w:val="81ECD5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270C98"/>
    <w:multiLevelType w:val="hybridMultilevel"/>
    <w:tmpl w:val="8E9C99FA"/>
    <w:lvl w:ilvl="0" w:tplc="A72E3720">
      <w:start w:val="1"/>
      <w:numFmt w:val="decimal"/>
      <w:pStyle w:val="PHZMngelpunkt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F81EFD"/>
    <w:multiLevelType w:val="hybridMultilevel"/>
    <w:tmpl w:val="52D63D2A"/>
    <w:lvl w:ilvl="0" w:tplc="064A99BA">
      <w:numFmt w:val="bullet"/>
      <w:pStyle w:val="EMEA-beurteiltwurde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280A7F"/>
    <w:multiLevelType w:val="hybridMultilevel"/>
    <w:tmpl w:val="E836FDAC"/>
    <w:lvl w:ilvl="0" w:tplc="87FA10E8">
      <w:numFmt w:val="bullet"/>
      <w:lvlText w:val="-"/>
      <w:lvlJc w:val="left"/>
      <w:pPr>
        <w:tabs>
          <w:tab w:val="num" w:pos="1138"/>
        </w:tabs>
        <w:ind w:left="1138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>
    <w:nsid w:val="68DC152A"/>
    <w:multiLevelType w:val="hybridMultilevel"/>
    <w:tmpl w:val="50E83D06"/>
    <w:lvl w:ilvl="0" w:tplc="74822CF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113"/>
    <w:rsid w:val="00000A79"/>
    <w:rsid w:val="0000186B"/>
    <w:rsid w:val="00001C40"/>
    <w:rsid w:val="00001DC5"/>
    <w:rsid w:val="000029B4"/>
    <w:rsid w:val="00002A0A"/>
    <w:rsid w:val="000041BF"/>
    <w:rsid w:val="00004CE6"/>
    <w:rsid w:val="00004E6A"/>
    <w:rsid w:val="0000571C"/>
    <w:rsid w:val="00006FCE"/>
    <w:rsid w:val="0000771A"/>
    <w:rsid w:val="00011607"/>
    <w:rsid w:val="00011FC4"/>
    <w:rsid w:val="000121CA"/>
    <w:rsid w:val="0001235A"/>
    <w:rsid w:val="000125D9"/>
    <w:rsid w:val="00013242"/>
    <w:rsid w:val="0001399B"/>
    <w:rsid w:val="00015568"/>
    <w:rsid w:val="000156C7"/>
    <w:rsid w:val="000165D5"/>
    <w:rsid w:val="00024254"/>
    <w:rsid w:val="00024452"/>
    <w:rsid w:val="00024CD0"/>
    <w:rsid w:val="00024FEB"/>
    <w:rsid w:val="000251C6"/>
    <w:rsid w:val="00026876"/>
    <w:rsid w:val="000268F5"/>
    <w:rsid w:val="00026BEC"/>
    <w:rsid w:val="00026E44"/>
    <w:rsid w:val="00026F25"/>
    <w:rsid w:val="00027118"/>
    <w:rsid w:val="00027CA7"/>
    <w:rsid w:val="00030016"/>
    <w:rsid w:val="00030493"/>
    <w:rsid w:val="00032BA5"/>
    <w:rsid w:val="00033B0F"/>
    <w:rsid w:val="00033EA4"/>
    <w:rsid w:val="00034335"/>
    <w:rsid w:val="0003575A"/>
    <w:rsid w:val="00037260"/>
    <w:rsid w:val="00040BB9"/>
    <w:rsid w:val="00041D8F"/>
    <w:rsid w:val="00041F39"/>
    <w:rsid w:val="00043B5F"/>
    <w:rsid w:val="00043BE6"/>
    <w:rsid w:val="000449F0"/>
    <w:rsid w:val="000456AD"/>
    <w:rsid w:val="000475FA"/>
    <w:rsid w:val="0005000B"/>
    <w:rsid w:val="000508B8"/>
    <w:rsid w:val="00051BA3"/>
    <w:rsid w:val="000525D6"/>
    <w:rsid w:val="000526BA"/>
    <w:rsid w:val="00053B59"/>
    <w:rsid w:val="00054C38"/>
    <w:rsid w:val="00055B58"/>
    <w:rsid w:val="000562D4"/>
    <w:rsid w:val="00056A58"/>
    <w:rsid w:val="00057320"/>
    <w:rsid w:val="00060E06"/>
    <w:rsid w:val="0006183B"/>
    <w:rsid w:val="00061F3D"/>
    <w:rsid w:val="000623FE"/>
    <w:rsid w:val="00062804"/>
    <w:rsid w:val="00063053"/>
    <w:rsid w:val="0006394E"/>
    <w:rsid w:val="000655CC"/>
    <w:rsid w:val="0006639A"/>
    <w:rsid w:val="0006716D"/>
    <w:rsid w:val="000701C0"/>
    <w:rsid w:val="000706F3"/>
    <w:rsid w:val="00071995"/>
    <w:rsid w:val="00073328"/>
    <w:rsid w:val="00073A19"/>
    <w:rsid w:val="00074CCA"/>
    <w:rsid w:val="00075E4D"/>
    <w:rsid w:val="00076847"/>
    <w:rsid w:val="000809C0"/>
    <w:rsid w:val="000815AF"/>
    <w:rsid w:val="000816D2"/>
    <w:rsid w:val="00081747"/>
    <w:rsid w:val="00082245"/>
    <w:rsid w:val="00082B7D"/>
    <w:rsid w:val="00082EBE"/>
    <w:rsid w:val="0008333C"/>
    <w:rsid w:val="00084DE9"/>
    <w:rsid w:val="00085917"/>
    <w:rsid w:val="00085F2F"/>
    <w:rsid w:val="000867E2"/>
    <w:rsid w:val="000901EC"/>
    <w:rsid w:val="000905CB"/>
    <w:rsid w:val="000911C4"/>
    <w:rsid w:val="000917D6"/>
    <w:rsid w:val="00092336"/>
    <w:rsid w:val="000927BC"/>
    <w:rsid w:val="00092DDE"/>
    <w:rsid w:val="00093338"/>
    <w:rsid w:val="00094B95"/>
    <w:rsid w:val="00095598"/>
    <w:rsid w:val="000959CC"/>
    <w:rsid w:val="000970A2"/>
    <w:rsid w:val="000975F0"/>
    <w:rsid w:val="000A097A"/>
    <w:rsid w:val="000A314B"/>
    <w:rsid w:val="000A34FA"/>
    <w:rsid w:val="000A6FAD"/>
    <w:rsid w:val="000B0BF8"/>
    <w:rsid w:val="000B1A65"/>
    <w:rsid w:val="000B266F"/>
    <w:rsid w:val="000B26EB"/>
    <w:rsid w:val="000B28C9"/>
    <w:rsid w:val="000B2BD3"/>
    <w:rsid w:val="000B2DD8"/>
    <w:rsid w:val="000B4F7D"/>
    <w:rsid w:val="000B5F27"/>
    <w:rsid w:val="000B7AF6"/>
    <w:rsid w:val="000C1005"/>
    <w:rsid w:val="000C2792"/>
    <w:rsid w:val="000C27C3"/>
    <w:rsid w:val="000C37AF"/>
    <w:rsid w:val="000C5E4A"/>
    <w:rsid w:val="000C5FB7"/>
    <w:rsid w:val="000C746D"/>
    <w:rsid w:val="000D0218"/>
    <w:rsid w:val="000D17B7"/>
    <w:rsid w:val="000D2225"/>
    <w:rsid w:val="000D2990"/>
    <w:rsid w:val="000D4B80"/>
    <w:rsid w:val="000D55E5"/>
    <w:rsid w:val="000D56A8"/>
    <w:rsid w:val="000D6BBE"/>
    <w:rsid w:val="000D7721"/>
    <w:rsid w:val="000E1FD2"/>
    <w:rsid w:val="000E26D5"/>
    <w:rsid w:val="000E330B"/>
    <w:rsid w:val="000E7F1C"/>
    <w:rsid w:val="000E7FBF"/>
    <w:rsid w:val="000F06CD"/>
    <w:rsid w:val="000F0EE7"/>
    <w:rsid w:val="000F0FCD"/>
    <w:rsid w:val="000F3B51"/>
    <w:rsid w:val="000F4320"/>
    <w:rsid w:val="000F4A94"/>
    <w:rsid w:val="000F5110"/>
    <w:rsid w:val="000F5DA8"/>
    <w:rsid w:val="000F6B48"/>
    <w:rsid w:val="000F73FE"/>
    <w:rsid w:val="0010062B"/>
    <w:rsid w:val="00100F55"/>
    <w:rsid w:val="00105702"/>
    <w:rsid w:val="00105F8D"/>
    <w:rsid w:val="001108D6"/>
    <w:rsid w:val="001118D8"/>
    <w:rsid w:val="00112DB5"/>
    <w:rsid w:val="00115D89"/>
    <w:rsid w:val="00116097"/>
    <w:rsid w:val="00117254"/>
    <w:rsid w:val="001178A4"/>
    <w:rsid w:val="00117E2C"/>
    <w:rsid w:val="001205E0"/>
    <w:rsid w:val="001213BD"/>
    <w:rsid w:val="00121F37"/>
    <w:rsid w:val="00122189"/>
    <w:rsid w:val="00122822"/>
    <w:rsid w:val="00124255"/>
    <w:rsid w:val="00124D70"/>
    <w:rsid w:val="00124E24"/>
    <w:rsid w:val="00126ECC"/>
    <w:rsid w:val="001273C5"/>
    <w:rsid w:val="00127D16"/>
    <w:rsid w:val="001316F5"/>
    <w:rsid w:val="0013172D"/>
    <w:rsid w:val="00131897"/>
    <w:rsid w:val="001318EF"/>
    <w:rsid w:val="00132A90"/>
    <w:rsid w:val="0013506E"/>
    <w:rsid w:val="00135184"/>
    <w:rsid w:val="00135D05"/>
    <w:rsid w:val="001367FB"/>
    <w:rsid w:val="00137B71"/>
    <w:rsid w:val="001412EC"/>
    <w:rsid w:val="00141512"/>
    <w:rsid w:val="00141A82"/>
    <w:rsid w:val="00142834"/>
    <w:rsid w:val="00142D61"/>
    <w:rsid w:val="00143024"/>
    <w:rsid w:val="00144B21"/>
    <w:rsid w:val="00146261"/>
    <w:rsid w:val="00150AF8"/>
    <w:rsid w:val="001514B8"/>
    <w:rsid w:val="00153B22"/>
    <w:rsid w:val="00156621"/>
    <w:rsid w:val="00156BE9"/>
    <w:rsid w:val="001576A0"/>
    <w:rsid w:val="00157905"/>
    <w:rsid w:val="001608F2"/>
    <w:rsid w:val="00160E1F"/>
    <w:rsid w:val="00161198"/>
    <w:rsid w:val="00162B7B"/>
    <w:rsid w:val="00166ECC"/>
    <w:rsid w:val="00167AD2"/>
    <w:rsid w:val="00167F0E"/>
    <w:rsid w:val="00170260"/>
    <w:rsid w:val="0017079D"/>
    <w:rsid w:val="001711D1"/>
    <w:rsid w:val="00173B16"/>
    <w:rsid w:val="00174B4A"/>
    <w:rsid w:val="00177922"/>
    <w:rsid w:val="00180F6C"/>
    <w:rsid w:val="001818BC"/>
    <w:rsid w:val="00181D4E"/>
    <w:rsid w:val="00182E05"/>
    <w:rsid w:val="00183917"/>
    <w:rsid w:val="0018415E"/>
    <w:rsid w:val="0018466F"/>
    <w:rsid w:val="00184950"/>
    <w:rsid w:val="0018660F"/>
    <w:rsid w:val="00186827"/>
    <w:rsid w:val="00186957"/>
    <w:rsid w:val="00187BEF"/>
    <w:rsid w:val="00191604"/>
    <w:rsid w:val="00193256"/>
    <w:rsid w:val="00193A3C"/>
    <w:rsid w:val="00194593"/>
    <w:rsid w:val="00194C53"/>
    <w:rsid w:val="00195D2C"/>
    <w:rsid w:val="001961F0"/>
    <w:rsid w:val="00196925"/>
    <w:rsid w:val="0019751E"/>
    <w:rsid w:val="0019764B"/>
    <w:rsid w:val="001A0676"/>
    <w:rsid w:val="001A069F"/>
    <w:rsid w:val="001A112B"/>
    <w:rsid w:val="001A40B6"/>
    <w:rsid w:val="001A5C97"/>
    <w:rsid w:val="001A7F48"/>
    <w:rsid w:val="001B0D67"/>
    <w:rsid w:val="001B0E96"/>
    <w:rsid w:val="001B279C"/>
    <w:rsid w:val="001B302C"/>
    <w:rsid w:val="001B5709"/>
    <w:rsid w:val="001B693C"/>
    <w:rsid w:val="001C1C03"/>
    <w:rsid w:val="001C233C"/>
    <w:rsid w:val="001C444C"/>
    <w:rsid w:val="001C4F5B"/>
    <w:rsid w:val="001C55F4"/>
    <w:rsid w:val="001C712D"/>
    <w:rsid w:val="001D0E0A"/>
    <w:rsid w:val="001D107F"/>
    <w:rsid w:val="001D1139"/>
    <w:rsid w:val="001D254B"/>
    <w:rsid w:val="001D2AED"/>
    <w:rsid w:val="001D3243"/>
    <w:rsid w:val="001D35CE"/>
    <w:rsid w:val="001D3BE2"/>
    <w:rsid w:val="001D4C2A"/>
    <w:rsid w:val="001D51F0"/>
    <w:rsid w:val="001D7137"/>
    <w:rsid w:val="001D7466"/>
    <w:rsid w:val="001D79BF"/>
    <w:rsid w:val="001E2722"/>
    <w:rsid w:val="001E29E2"/>
    <w:rsid w:val="001E2BC8"/>
    <w:rsid w:val="001E319D"/>
    <w:rsid w:val="001E3A4C"/>
    <w:rsid w:val="001E4333"/>
    <w:rsid w:val="001E5092"/>
    <w:rsid w:val="001E55D9"/>
    <w:rsid w:val="001E5829"/>
    <w:rsid w:val="001E7E6B"/>
    <w:rsid w:val="001F00B8"/>
    <w:rsid w:val="001F0282"/>
    <w:rsid w:val="001F089E"/>
    <w:rsid w:val="001F0CC1"/>
    <w:rsid w:val="001F1AA2"/>
    <w:rsid w:val="001F27B5"/>
    <w:rsid w:val="001F298D"/>
    <w:rsid w:val="001F5DDB"/>
    <w:rsid w:val="001F641F"/>
    <w:rsid w:val="00200737"/>
    <w:rsid w:val="00200C39"/>
    <w:rsid w:val="00201A4D"/>
    <w:rsid w:val="002023D0"/>
    <w:rsid w:val="00202E4B"/>
    <w:rsid w:val="0020335B"/>
    <w:rsid w:val="00203BC9"/>
    <w:rsid w:val="00205754"/>
    <w:rsid w:val="002060B2"/>
    <w:rsid w:val="00206F87"/>
    <w:rsid w:val="00207118"/>
    <w:rsid w:val="00210032"/>
    <w:rsid w:val="0021014D"/>
    <w:rsid w:val="002104AF"/>
    <w:rsid w:val="00212217"/>
    <w:rsid w:val="002124D8"/>
    <w:rsid w:val="00213899"/>
    <w:rsid w:val="0021545A"/>
    <w:rsid w:val="002164A5"/>
    <w:rsid w:val="00216A41"/>
    <w:rsid w:val="00216C1E"/>
    <w:rsid w:val="00216E8A"/>
    <w:rsid w:val="002171B7"/>
    <w:rsid w:val="002172A1"/>
    <w:rsid w:val="00217378"/>
    <w:rsid w:val="00220395"/>
    <w:rsid w:val="002209FA"/>
    <w:rsid w:val="00220D1D"/>
    <w:rsid w:val="0022149B"/>
    <w:rsid w:val="00221A4C"/>
    <w:rsid w:val="00221B57"/>
    <w:rsid w:val="00225056"/>
    <w:rsid w:val="00225980"/>
    <w:rsid w:val="00226D56"/>
    <w:rsid w:val="00227FDF"/>
    <w:rsid w:val="00232401"/>
    <w:rsid w:val="002336A2"/>
    <w:rsid w:val="00234A39"/>
    <w:rsid w:val="0023563F"/>
    <w:rsid w:val="00235CBD"/>
    <w:rsid w:val="0023631C"/>
    <w:rsid w:val="00236EBC"/>
    <w:rsid w:val="00240D14"/>
    <w:rsid w:val="00241B35"/>
    <w:rsid w:val="002436F9"/>
    <w:rsid w:val="002445C4"/>
    <w:rsid w:val="002450FA"/>
    <w:rsid w:val="00245610"/>
    <w:rsid w:val="002458A6"/>
    <w:rsid w:val="002462FE"/>
    <w:rsid w:val="00250977"/>
    <w:rsid w:val="00251247"/>
    <w:rsid w:val="00251928"/>
    <w:rsid w:val="00251C06"/>
    <w:rsid w:val="00251CE3"/>
    <w:rsid w:val="00252036"/>
    <w:rsid w:val="00252A20"/>
    <w:rsid w:val="00254B97"/>
    <w:rsid w:val="00255619"/>
    <w:rsid w:val="0025769D"/>
    <w:rsid w:val="00257775"/>
    <w:rsid w:val="0026065E"/>
    <w:rsid w:val="002634EF"/>
    <w:rsid w:val="00263AC3"/>
    <w:rsid w:val="00263F6D"/>
    <w:rsid w:val="00265C1B"/>
    <w:rsid w:val="002663CF"/>
    <w:rsid w:val="0026755C"/>
    <w:rsid w:val="002706BA"/>
    <w:rsid w:val="00271CD5"/>
    <w:rsid w:val="00271DA3"/>
    <w:rsid w:val="00272BE2"/>
    <w:rsid w:val="00274BAA"/>
    <w:rsid w:val="00274CAE"/>
    <w:rsid w:val="00274CD7"/>
    <w:rsid w:val="00274FCA"/>
    <w:rsid w:val="00275A71"/>
    <w:rsid w:val="00277EF4"/>
    <w:rsid w:val="00280239"/>
    <w:rsid w:val="00280510"/>
    <w:rsid w:val="002815B3"/>
    <w:rsid w:val="00282938"/>
    <w:rsid w:val="00283B85"/>
    <w:rsid w:val="00285C6A"/>
    <w:rsid w:val="00285F60"/>
    <w:rsid w:val="00286702"/>
    <w:rsid w:val="002874CB"/>
    <w:rsid w:val="00291CA5"/>
    <w:rsid w:val="00292037"/>
    <w:rsid w:val="00293747"/>
    <w:rsid w:val="00294963"/>
    <w:rsid w:val="00294A6A"/>
    <w:rsid w:val="00295896"/>
    <w:rsid w:val="00296831"/>
    <w:rsid w:val="00297836"/>
    <w:rsid w:val="002A0E12"/>
    <w:rsid w:val="002A2FE2"/>
    <w:rsid w:val="002A3291"/>
    <w:rsid w:val="002A3FFE"/>
    <w:rsid w:val="002A49DB"/>
    <w:rsid w:val="002A654F"/>
    <w:rsid w:val="002B1FD7"/>
    <w:rsid w:val="002B2D16"/>
    <w:rsid w:val="002B3392"/>
    <w:rsid w:val="002B380D"/>
    <w:rsid w:val="002B4AAA"/>
    <w:rsid w:val="002B5ACC"/>
    <w:rsid w:val="002B5BAA"/>
    <w:rsid w:val="002B6CEC"/>
    <w:rsid w:val="002B7423"/>
    <w:rsid w:val="002C1178"/>
    <w:rsid w:val="002C135D"/>
    <w:rsid w:val="002C1691"/>
    <w:rsid w:val="002C1EC4"/>
    <w:rsid w:val="002C4713"/>
    <w:rsid w:val="002C695A"/>
    <w:rsid w:val="002D0117"/>
    <w:rsid w:val="002D0C4A"/>
    <w:rsid w:val="002D270C"/>
    <w:rsid w:val="002D3A1D"/>
    <w:rsid w:val="002D410E"/>
    <w:rsid w:val="002D5D9A"/>
    <w:rsid w:val="002E4566"/>
    <w:rsid w:val="002E497F"/>
    <w:rsid w:val="002E5849"/>
    <w:rsid w:val="002E58DC"/>
    <w:rsid w:val="002E6413"/>
    <w:rsid w:val="002E7CD0"/>
    <w:rsid w:val="002F0CBB"/>
    <w:rsid w:val="002F1254"/>
    <w:rsid w:val="002F17D9"/>
    <w:rsid w:val="002F2B3A"/>
    <w:rsid w:val="002F570F"/>
    <w:rsid w:val="002F5B96"/>
    <w:rsid w:val="002F5F7F"/>
    <w:rsid w:val="002F68C5"/>
    <w:rsid w:val="002F78EA"/>
    <w:rsid w:val="0030074A"/>
    <w:rsid w:val="00301139"/>
    <w:rsid w:val="00301238"/>
    <w:rsid w:val="0030253A"/>
    <w:rsid w:val="00303725"/>
    <w:rsid w:val="00304CCF"/>
    <w:rsid w:val="00306926"/>
    <w:rsid w:val="00310A40"/>
    <w:rsid w:val="00310B2A"/>
    <w:rsid w:val="00311BB6"/>
    <w:rsid w:val="00313C60"/>
    <w:rsid w:val="00313F44"/>
    <w:rsid w:val="00315355"/>
    <w:rsid w:val="003158C5"/>
    <w:rsid w:val="00317298"/>
    <w:rsid w:val="0032050B"/>
    <w:rsid w:val="00321882"/>
    <w:rsid w:val="00325CF4"/>
    <w:rsid w:val="00325E29"/>
    <w:rsid w:val="003273DA"/>
    <w:rsid w:val="00327B03"/>
    <w:rsid w:val="0033041A"/>
    <w:rsid w:val="00330588"/>
    <w:rsid w:val="00330DC4"/>
    <w:rsid w:val="003311DB"/>
    <w:rsid w:val="0033177E"/>
    <w:rsid w:val="00332401"/>
    <w:rsid w:val="00332F63"/>
    <w:rsid w:val="0033339B"/>
    <w:rsid w:val="00333845"/>
    <w:rsid w:val="00335B30"/>
    <w:rsid w:val="00335D9C"/>
    <w:rsid w:val="00336EFD"/>
    <w:rsid w:val="00337023"/>
    <w:rsid w:val="003414F6"/>
    <w:rsid w:val="00341D9B"/>
    <w:rsid w:val="0034279A"/>
    <w:rsid w:val="00343558"/>
    <w:rsid w:val="00343EDA"/>
    <w:rsid w:val="00343F35"/>
    <w:rsid w:val="00343FA0"/>
    <w:rsid w:val="003467BB"/>
    <w:rsid w:val="00346818"/>
    <w:rsid w:val="00347698"/>
    <w:rsid w:val="00351A95"/>
    <w:rsid w:val="00352A7A"/>
    <w:rsid w:val="003531A4"/>
    <w:rsid w:val="0035323F"/>
    <w:rsid w:val="00354314"/>
    <w:rsid w:val="003546A7"/>
    <w:rsid w:val="0035649C"/>
    <w:rsid w:val="00356A3D"/>
    <w:rsid w:val="00356BF0"/>
    <w:rsid w:val="00360369"/>
    <w:rsid w:val="00363B28"/>
    <w:rsid w:val="00364731"/>
    <w:rsid w:val="003664C6"/>
    <w:rsid w:val="00366797"/>
    <w:rsid w:val="00366803"/>
    <w:rsid w:val="00366F91"/>
    <w:rsid w:val="0036736A"/>
    <w:rsid w:val="0037043C"/>
    <w:rsid w:val="0037215B"/>
    <w:rsid w:val="00373798"/>
    <w:rsid w:val="0037398C"/>
    <w:rsid w:val="0037412B"/>
    <w:rsid w:val="00374E11"/>
    <w:rsid w:val="00375184"/>
    <w:rsid w:val="00375727"/>
    <w:rsid w:val="003760BE"/>
    <w:rsid w:val="00376937"/>
    <w:rsid w:val="00377126"/>
    <w:rsid w:val="003774B6"/>
    <w:rsid w:val="00380C3C"/>
    <w:rsid w:val="00380E50"/>
    <w:rsid w:val="00380FCC"/>
    <w:rsid w:val="00383458"/>
    <w:rsid w:val="00384E80"/>
    <w:rsid w:val="003862A0"/>
    <w:rsid w:val="00386CDC"/>
    <w:rsid w:val="00386FEE"/>
    <w:rsid w:val="00387066"/>
    <w:rsid w:val="00387745"/>
    <w:rsid w:val="00387DBF"/>
    <w:rsid w:val="00390E20"/>
    <w:rsid w:val="0039191A"/>
    <w:rsid w:val="00392550"/>
    <w:rsid w:val="003928A8"/>
    <w:rsid w:val="0039337D"/>
    <w:rsid w:val="00393903"/>
    <w:rsid w:val="0039409C"/>
    <w:rsid w:val="00395313"/>
    <w:rsid w:val="00397275"/>
    <w:rsid w:val="003A0733"/>
    <w:rsid w:val="003A20E2"/>
    <w:rsid w:val="003A2A82"/>
    <w:rsid w:val="003A3B51"/>
    <w:rsid w:val="003A4D5C"/>
    <w:rsid w:val="003A500D"/>
    <w:rsid w:val="003A50D5"/>
    <w:rsid w:val="003A51CF"/>
    <w:rsid w:val="003A5431"/>
    <w:rsid w:val="003A64E9"/>
    <w:rsid w:val="003A72E4"/>
    <w:rsid w:val="003B0813"/>
    <w:rsid w:val="003B0F24"/>
    <w:rsid w:val="003B115C"/>
    <w:rsid w:val="003B1616"/>
    <w:rsid w:val="003B32FC"/>
    <w:rsid w:val="003B335B"/>
    <w:rsid w:val="003B3AAD"/>
    <w:rsid w:val="003B3B1E"/>
    <w:rsid w:val="003B55AE"/>
    <w:rsid w:val="003B7917"/>
    <w:rsid w:val="003B7946"/>
    <w:rsid w:val="003C0189"/>
    <w:rsid w:val="003C18BF"/>
    <w:rsid w:val="003C231B"/>
    <w:rsid w:val="003C29F6"/>
    <w:rsid w:val="003C47B3"/>
    <w:rsid w:val="003C4ED0"/>
    <w:rsid w:val="003C5591"/>
    <w:rsid w:val="003C75DE"/>
    <w:rsid w:val="003C7DB0"/>
    <w:rsid w:val="003D13AE"/>
    <w:rsid w:val="003D162B"/>
    <w:rsid w:val="003D24B4"/>
    <w:rsid w:val="003D3386"/>
    <w:rsid w:val="003D3662"/>
    <w:rsid w:val="003D3D6A"/>
    <w:rsid w:val="003D4475"/>
    <w:rsid w:val="003D47A0"/>
    <w:rsid w:val="003D52BE"/>
    <w:rsid w:val="003D5783"/>
    <w:rsid w:val="003D68E4"/>
    <w:rsid w:val="003D6DD2"/>
    <w:rsid w:val="003D7D46"/>
    <w:rsid w:val="003E0713"/>
    <w:rsid w:val="003E13FD"/>
    <w:rsid w:val="003E3BA4"/>
    <w:rsid w:val="003E41AC"/>
    <w:rsid w:val="003E5924"/>
    <w:rsid w:val="003E68A9"/>
    <w:rsid w:val="003E7EFD"/>
    <w:rsid w:val="003F0EC7"/>
    <w:rsid w:val="003F2429"/>
    <w:rsid w:val="003F3EBE"/>
    <w:rsid w:val="003F4BB6"/>
    <w:rsid w:val="003F4D0A"/>
    <w:rsid w:val="003F6B6D"/>
    <w:rsid w:val="003F77C0"/>
    <w:rsid w:val="003F7C6C"/>
    <w:rsid w:val="00400427"/>
    <w:rsid w:val="00400E65"/>
    <w:rsid w:val="00401BFE"/>
    <w:rsid w:val="0040224D"/>
    <w:rsid w:val="0040231C"/>
    <w:rsid w:val="0040404C"/>
    <w:rsid w:val="00404EC9"/>
    <w:rsid w:val="004058EF"/>
    <w:rsid w:val="00405B4B"/>
    <w:rsid w:val="00410854"/>
    <w:rsid w:val="00411854"/>
    <w:rsid w:val="004119DE"/>
    <w:rsid w:val="00413D18"/>
    <w:rsid w:val="00415631"/>
    <w:rsid w:val="00416142"/>
    <w:rsid w:val="004206A4"/>
    <w:rsid w:val="00421F46"/>
    <w:rsid w:val="00422EC7"/>
    <w:rsid w:val="00424461"/>
    <w:rsid w:val="00424C7E"/>
    <w:rsid w:val="00424F0F"/>
    <w:rsid w:val="0042524A"/>
    <w:rsid w:val="00427505"/>
    <w:rsid w:val="00427CFB"/>
    <w:rsid w:val="00430514"/>
    <w:rsid w:val="00432134"/>
    <w:rsid w:val="004326A2"/>
    <w:rsid w:val="00432C54"/>
    <w:rsid w:val="0043477F"/>
    <w:rsid w:val="00434F3C"/>
    <w:rsid w:val="00435285"/>
    <w:rsid w:val="00436F0B"/>
    <w:rsid w:val="00440CC3"/>
    <w:rsid w:val="004418C4"/>
    <w:rsid w:val="00442308"/>
    <w:rsid w:val="0044288C"/>
    <w:rsid w:val="00442A91"/>
    <w:rsid w:val="00443205"/>
    <w:rsid w:val="00444000"/>
    <w:rsid w:val="0044576E"/>
    <w:rsid w:val="00446495"/>
    <w:rsid w:val="004477DC"/>
    <w:rsid w:val="00447B4A"/>
    <w:rsid w:val="00450165"/>
    <w:rsid w:val="004501DC"/>
    <w:rsid w:val="004504B8"/>
    <w:rsid w:val="00451201"/>
    <w:rsid w:val="004519E4"/>
    <w:rsid w:val="00452FA8"/>
    <w:rsid w:val="00453295"/>
    <w:rsid w:val="00453524"/>
    <w:rsid w:val="004549A9"/>
    <w:rsid w:val="00454E4B"/>
    <w:rsid w:val="00454E69"/>
    <w:rsid w:val="00455340"/>
    <w:rsid w:val="00455551"/>
    <w:rsid w:val="0046119C"/>
    <w:rsid w:val="004615B2"/>
    <w:rsid w:val="00461757"/>
    <w:rsid w:val="00463014"/>
    <w:rsid w:val="00463A69"/>
    <w:rsid w:val="00465036"/>
    <w:rsid w:val="00465500"/>
    <w:rsid w:val="00466DD8"/>
    <w:rsid w:val="0046762F"/>
    <w:rsid w:val="00470A0A"/>
    <w:rsid w:val="00473AF7"/>
    <w:rsid w:val="00473BD5"/>
    <w:rsid w:val="004751AA"/>
    <w:rsid w:val="00475ABD"/>
    <w:rsid w:val="0047689A"/>
    <w:rsid w:val="004802C7"/>
    <w:rsid w:val="004803B9"/>
    <w:rsid w:val="004804D5"/>
    <w:rsid w:val="00480885"/>
    <w:rsid w:val="00481474"/>
    <w:rsid w:val="00483670"/>
    <w:rsid w:val="00483E94"/>
    <w:rsid w:val="0048435B"/>
    <w:rsid w:val="00484B65"/>
    <w:rsid w:val="004851E0"/>
    <w:rsid w:val="00485CE1"/>
    <w:rsid w:val="00485D33"/>
    <w:rsid w:val="00485DFE"/>
    <w:rsid w:val="00486F5F"/>
    <w:rsid w:val="004876EE"/>
    <w:rsid w:val="00487B12"/>
    <w:rsid w:val="00490B20"/>
    <w:rsid w:val="00491290"/>
    <w:rsid w:val="00492297"/>
    <w:rsid w:val="0049319C"/>
    <w:rsid w:val="004939C3"/>
    <w:rsid w:val="00497243"/>
    <w:rsid w:val="004977D1"/>
    <w:rsid w:val="00497E3C"/>
    <w:rsid w:val="004A086D"/>
    <w:rsid w:val="004A0E2F"/>
    <w:rsid w:val="004A311A"/>
    <w:rsid w:val="004A33AC"/>
    <w:rsid w:val="004A3484"/>
    <w:rsid w:val="004A3780"/>
    <w:rsid w:val="004A38CB"/>
    <w:rsid w:val="004A405B"/>
    <w:rsid w:val="004A4301"/>
    <w:rsid w:val="004A4A74"/>
    <w:rsid w:val="004A549C"/>
    <w:rsid w:val="004B1B5B"/>
    <w:rsid w:val="004B2A9B"/>
    <w:rsid w:val="004B4E3B"/>
    <w:rsid w:val="004B5667"/>
    <w:rsid w:val="004B5CD2"/>
    <w:rsid w:val="004B6214"/>
    <w:rsid w:val="004B702A"/>
    <w:rsid w:val="004B752E"/>
    <w:rsid w:val="004B7622"/>
    <w:rsid w:val="004C03DC"/>
    <w:rsid w:val="004C2AE1"/>
    <w:rsid w:val="004C3662"/>
    <w:rsid w:val="004C3DA2"/>
    <w:rsid w:val="004C3E0A"/>
    <w:rsid w:val="004C5678"/>
    <w:rsid w:val="004C580D"/>
    <w:rsid w:val="004C63D3"/>
    <w:rsid w:val="004C774C"/>
    <w:rsid w:val="004C798E"/>
    <w:rsid w:val="004D1A51"/>
    <w:rsid w:val="004D2B0A"/>
    <w:rsid w:val="004D608B"/>
    <w:rsid w:val="004D6C51"/>
    <w:rsid w:val="004D7BEC"/>
    <w:rsid w:val="004E1589"/>
    <w:rsid w:val="004E1690"/>
    <w:rsid w:val="004E1D51"/>
    <w:rsid w:val="004E2B06"/>
    <w:rsid w:val="004E2B7D"/>
    <w:rsid w:val="004E356D"/>
    <w:rsid w:val="004E3889"/>
    <w:rsid w:val="004E38AE"/>
    <w:rsid w:val="004E4E0E"/>
    <w:rsid w:val="004E4F14"/>
    <w:rsid w:val="004E5BF4"/>
    <w:rsid w:val="004F0258"/>
    <w:rsid w:val="004F0677"/>
    <w:rsid w:val="004F24D9"/>
    <w:rsid w:val="004F3A15"/>
    <w:rsid w:val="004F3A2E"/>
    <w:rsid w:val="004F3FAB"/>
    <w:rsid w:val="004F4BBC"/>
    <w:rsid w:val="004F504C"/>
    <w:rsid w:val="004F7586"/>
    <w:rsid w:val="004F78B0"/>
    <w:rsid w:val="005000B0"/>
    <w:rsid w:val="005005A9"/>
    <w:rsid w:val="00500E62"/>
    <w:rsid w:val="00500E97"/>
    <w:rsid w:val="005017C3"/>
    <w:rsid w:val="00501AB7"/>
    <w:rsid w:val="00501BB1"/>
    <w:rsid w:val="005029BD"/>
    <w:rsid w:val="00502EB9"/>
    <w:rsid w:val="00503597"/>
    <w:rsid w:val="005048F3"/>
    <w:rsid w:val="005054D6"/>
    <w:rsid w:val="0050558D"/>
    <w:rsid w:val="00507341"/>
    <w:rsid w:val="00512C56"/>
    <w:rsid w:val="005140BA"/>
    <w:rsid w:val="005143BD"/>
    <w:rsid w:val="0051518F"/>
    <w:rsid w:val="005166EE"/>
    <w:rsid w:val="00516DED"/>
    <w:rsid w:val="00520D4E"/>
    <w:rsid w:val="00521651"/>
    <w:rsid w:val="005218A1"/>
    <w:rsid w:val="005226DF"/>
    <w:rsid w:val="00524EC4"/>
    <w:rsid w:val="00525932"/>
    <w:rsid w:val="00525C83"/>
    <w:rsid w:val="005301F5"/>
    <w:rsid w:val="0053029E"/>
    <w:rsid w:val="00530E93"/>
    <w:rsid w:val="005310E3"/>
    <w:rsid w:val="00533A5F"/>
    <w:rsid w:val="00534104"/>
    <w:rsid w:val="00534787"/>
    <w:rsid w:val="00535B1E"/>
    <w:rsid w:val="005365B3"/>
    <w:rsid w:val="00536BD8"/>
    <w:rsid w:val="00536FB1"/>
    <w:rsid w:val="00537435"/>
    <w:rsid w:val="00537543"/>
    <w:rsid w:val="00537A5E"/>
    <w:rsid w:val="00537C87"/>
    <w:rsid w:val="00541A92"/>
    <w:rsid w:val="00543A71"/>
    <w:rsid w:val="00544175"/>
    <w:rsid w:val="0054670A"/>
    <w:rsid w:val="0054703F"/>
    <w:rsid w:val="00547363"/>
    <w:rsid w:val="0054795D"/>
    <w:rsid w:val="00547A12"/>
    <w:rsid w:val="00550046"/>
    <w:rsid w:val="0055123F"/>
    <w:rsid w:val="00551968"/>
    <w:rsid w:val="00552A3A"/>
    <w:rsid w:val="00553615"/>
    <w:rsid w:val="005537EE"/>
    <w:rsid w:val="005546F6"/>
    <w:rsid w:val="005555F4"/>
    <w:rsid w:val="00556FDF"/>
    <w:rsid w:val="00557202"/>
    <w:rsid w:val="0055740E"/>
    <w:rsid w:val="00560CBA"/>
    <w:rsid w:val="005612C3"/>
    <w:rsid w:val="00561D7E"/>
    <w:rsid w:val="005621D2"/>
    <w:rsid w:val="0056233A"/>
    <w:rsid w:val="0056347D"/>
    <w:rsid w:val="0056416E"/>
    <w:rsid w:val="0057090A"/>
    <w:rsid w:val="00570995"/>
    <w:rsid w:val="0057154B"/>
    <w:rsid w:val="00572677"/>
    <w:rsid w:val="00572D94"/>
    <w:rsid w:val="00573518"/>
    <w:rsid w:val="00573603"/>
    <w:rsid w:val="00574446"/>
    <w:rsid w:val="005756FA"/>
    <w:rsid w:val="0057728C"/>
    <w:rsid w:val="00577AC3"/>
    <w:rsid w:val="00577DED"/>
    <w:rsid w:val="005807E4"/>
    <w:rsid w:val="005819D3"/>
    <w:rsid w:val="00581A28"/>
    <w:rsid w:val="0058241C"/>
    <w:rsid w:val="0058266E"/>
    <w:rsid w:val="00582ABF"/>
    <w:rsid w:val="00582D08"/>
    <w:rsid w:val="005836F9"/>
    <w:rsid w:val="00583E4C"/>
    <w:rsid w:val="005841C5"/>
    <w:rsid w:val="00584FCA"/>
    <w:rsid w:val="00586F24"/>
    <w:rsid w:val="00586F7A"/>
    <w:rsid w:val="005900BE"/>
    <w:rsid w:val="005901DB"/>
    <w:rsid w:val="00591830"/>
    <w:rsid w:val="005918CD"/>
    <w:rsid w:val="00593A7A"/>
    <w:rsid w:val="00595A14"/>
    <w:rsid w:val="00595FF1"/>
    <w:rsid w:val="00597B1A"/>
    <w:rsid w:val="005A033B"/>
    <w:rsid w:val="005A0588"/>
    <w:rsid w:val="005A1F8A"/>
    <w:rsid w:val="005A358F"/>
    <w:rsid w:val="005A4DC9"/>
    <w:rsid w:val="005A5B04"/>
    <w:rsid w:val="005A6AC2"/>
    <w:rsid w:val="005A7779"/>
    <w:rsid w:val="005A7875"/>
    <w:rsid w:val="005A7D14"/>
    <w:rsid w:val="005B1529"/>
    <w:rsid w:val="005B192F"/>
    <w:rsid w:val="005B3141"/>
    <w:rsid w:val="005B5265"/>
    <w:rsid w:val="005B5337"/>
    <w:rsid w:val="005B56F4"/>
    <w:rsid w:val="005B6AF8"/>
    <w:rsid w:val="005B6DB5"/>
    <w:rsid w:val="005B6FFA"/>
    <w:rsid w:val="005B7231"/>
    <w:rsid w:val="005C107B"/>
    <w:rsid w:val="005C11BF"/>
    <w:rsid w:val="005C1F6F"/>
    <w:rsid w:val="005C3459"/>
    <w:rsid w:val="005C34B2"/>
    <w:rsid w:val="005C5384"/>
    <w:rsid w:val="005C5750"/>
    <w:rsid w:val="005D069E"/>
    <w:rsid w:val="005D136D"/>
    <w:rsid w:val="005D1ADA"/>
    <w:rsid w:val="005D2851"/>
    <w:rsid w:val="005D3285"/>
    <w:rsid w:val="005D3487"/>
    <w:rsid w:val="005D485A"/>
    <w:rsid w:val="005D5782"/>
    <w:rsid w:val="005D7475"/>
    <w:rsid w:val="005D7B67"/>
    <w:rsid w:val="005D7BD0"/>
    <w:rsid w:val="005E080A"/>
    <w:rsid w:val="005E10EA"/>
    <w:rsid w:val="005E10FC"/>
    <w:rsid w:val="005E1467"/>
    <w:rsid w:val="005E1BD0"/>
    <w:rsid w:val="005E20AC"/>
    <w:rsid w:val="005E2BE2"/>
    <w:rsid w:val="005E544F"/>
    <w:rsid w:val="005E59E5"/>
    <w:rsid w:val="005E61AE"/>
    <w:rsid w:val="005E7348"/>
    <w:rsid w:val="005F0CB4"/>
    <w:rsid w:val="005F2EC2"/>
    <w:rsid w:val="005F34F3"/>
    <w:rsid w:val="005F4961"/>
    <w:rsid w:val="005F4D64"/>
    <w:rsid w:val="005F51DC"/>
    <w:rsid w:val="005F58E1"/>
    <w:rsid w:val="005F625A"/>
    <w:rsid w:val="005F6581"/>
    <w:rsid w:val="005F6877"/>
    <w:rsid w:val="006000C1"/>
    <w:rsid w:val="00600360"/>
    <w:rsid w:val="00600A01"/>
    <w:rsid w:val="0060282E"/>
    <w:rsid w:val="00602D29"/>
    <w:rsid w:val="00604353"/>
    <w:rsid w:val="00604BE4"/>
    <w:rsid w:val="00606F1E"/>
    <w:rsid w:val="0061147E"/>
    <w:rsid w:val="00612A96"/>
    <w:rsid w:val="00612EE1"/>
    <w:rsid w:val="00613648"/>
    <w:rsid w:val="0061465D"/>
    <w:rsid w:val="00614760"/>
    <w:rsid w:val="00615370"/>
    <w:rsid w:val="00615A46"/>
    <w:rsid w:val="00615B86"/>
    <w:rsid w:val="00615CD6"/>
    <w:rsid w:val="0062021D"/>
    <w:rsid w:val="00621D0A"/>
    <w:rsid w:val="00621E59"/>
    <w:rsid w:val="00622B5E"/>
    <w:rsid w:val="006230FB"/>
    <w:rsid w:val="00623150"/>
    <w:rsid w:val="00623418"/>
    <w:rsid w:val="00623668"/>
    <w:rsid w:val="00624711"/>
    <w:rsid w:val="006259DE"/>
    <w:rsid w:val="00625E7B"/>
    <w:rsid w:val="006265BC"/>
    <w:rsid w:val="006273FC"/>
    <w:rsid w:val="00627F71"/>
    <w:rsid w:val="0063036B"/>
    <w:rsid w:val="00631417"/>
    <w:rsid w:val="006318F0"/>
    <w:rsid w:val="00632D19"/>
    <w:rsid w:val="00632F04"/>
    <w:rsid w:val="00633399"/>
    <w:rsid w:val="00635852"/>
    <w:rsid w:val="0063699B"/>
    <w:rsid w:val="00636F9A"/>
    <w:rsid w:val="006375AE"/>
    <w:rsid w:val="006401E9"/>
    <w:rsid w:val="006401FF"/>
    <w:rsid w:val="006413C1"/>
    <w:rsid w:val="006413D3"/>
    <w:rsid w:val="00641808"/>
    <w:rsid w:val="00641AFD"/>
    <w:rsid w:val="006420F8"/>
    <w:rsid w:val="006429B5"/>
    <w:rsid w:val="006434B8"/>
    <w:rsid w:val="00643C14"/>
    <w:rsid w:val="006463B7"/>
    <w:rsid w:val="00646B7D"/>
    <w:rsid w:val="00646DF3"/>
    <w:rsid w:val="00647341"/>
    <w:rsid w:val="006511F1"/>
    <w:rsid w:val="00652FB3"/>
    <w:rsid w:val="006539D7"/>
    <w:rsid w:val="00655793"/>
    <w:rsid w:val="00655D2B"/>
    <w:rsid w:val="00655EC7"/>
    <w:rsid w:val="00656843"/>
    <w:rsid w:val="00656D79"/>
    <w:rsid w:val="00657805"/>
    <w:rsid w:val="0066076F"/>
    <w:rsid w:val="00663198"/>
    <w:rsid w:val="00663591"/>
    <w:rsid w:val="0066362F"/>
    <w:rsid w:val="00663941"/>
    <w:rsid w:val="00663CCF"/>
    <w:rsid w:val="00664184"/>
    <w:rsid w:val="006644A2"/>
    <w:rsid w:val="006652FB"/>
    <w:rsid w:val="00665AB4"/>
    <w:rsid w:val="00666655"/>
    <w:rsid w:val="006667E5"/>
    <w:rsid w:val="00667D08"/>
    <w:rsid w:val="00670B69"/>
    <w:rsid w:val="00671130"/>
    <w:rsid w:val="006719BE"/>
    <w:rsid w:val="00671A02"/>
    <w:rsid w:val="00672462"/>
    <w:rsid w:val="0067248C"/>
    <w:rsid w:val="0067485D"/>
    <w:rsid w:val="00676952"/>
    <w:rsid w:val="006826D3"/>
    <w:rsid w:val="00683399"/>
    <w:rsid w:val="00683AE7"/>
    <w:rsid w:val="00685061"/>
    <w:rsid w:val="006859E2"/>
    <w:rsid w:val="0068655D"/>
    <w:rsid w:val="006879F4"/>
    <w:rsid w:val="00691098"/>
    <w:rsid w:val="00691741"/>
    <w:rsid w:val="00691EDC"/>
    <w:rsid w:val="006926C5"/>
    <w:rsid w:val="006928B3"/>
    <w:rsid w:val="0069360A"/>
    <w:rsid w:val="00694F51"/>
    <w:rsid w:val="00696B4C"/>
    <w:rsid w:val="00696E42"/>
    <w:rsid w:val="0069745B"/>
    <w:rsid w:val="00697656"/>
    <w:rsid w:val="006A0D3E"/>
    <w:rsid w:val="006A119E"/>
    <w:rsid w:val="006A192C"/>
    <w:rsid w:val="006A1D95"/>
    <w:rsid w:val="006A2326"/>
    <w:rsid w:val="006A3277"/>
    <w:rsid w:val="006A34E8"/>
    <w:rsid w:val="006A3A3E"/>
    <w:rsid w:val="006A3F60"/>
    <w:rsid w:val="006A5BCA"/>
    <w:rsid w:val="006A6282"/>
    <w:rsid w:val="006A6DC8"/>
    <w:rsid w:val="006A7470"/>
    <w:rsid w:val="006B0481"/>
    <w:rsid w:val="006B09FF"/>
    <w:rsid w:val="006B239F"/>
    <w:rsid w:val="006B3929"/>
    <w:rsid w:val="006B60F3"/>
    <w:rsid w:val="006B61DB"/>
    <w:rsid w:val="006B6A29"/>
    <w:rsid w:val="006B701E"/>
    <w:rsid w:val="006B7F6A"/>
    <w:rsid w:val="006C1AC1"/>
    <w:rsid w:val="006C259A"/>
    <w:rsid w:val="006C331C"/>
    <w:rsid w:val="006C4561"/>
    <w:rsid w:val="006C55BD"/>
    <w:rsid w:val="006C5779"/>
    <w:rsid w:val="006C5A55"/>
    <w:rsid w:val="006C6171"/>
    <w:rsid w:val="006C6889"/>
    <w:rsid w:val="006C76D5"/>
    <w:rsid w:val="006C7D2A"/>
    <w:rsid w:val="006D05CF"/>
    <w:rsid w:val="006D1138"/>
    <w:rsid w:val="006D27D9"/>
    <w:rsid w:val="006D2C59"/>
    <w:rsid w:val="006D31E3"/>
    <w:rsid w:val="006D320B"/>
    <w:rsid w:val="006D434F"/>
    <w:rsid w:val="006D4712"/>
    <w:rsid w:val="006D52EB"/>
    <w:rsid w:val="006D6207"/>
    <w:rsid w:val="006D7FC6"/>
    <w:rsid w:val="006E07C8"/>
    <w:rsid w:val="006E1E51"/>
    <w:rsid w:val="006E2E84"/>
    <w:rsid w:val="006E44F8"/>
    <w:rsid w:val="006E62F5"/>
    <w:rsid w:val="006E6D7A"/>
    <w:rsid w:val="006E7113"/>
    <w:rsid w:val="006E772D"/>
    <w:rsid w:val="006E79D2"/>
    <w:rsid w:val="006E7BE4"/>
    <w:rsid w:val="006E7FB2"/>
    <w:rsid w:val="006F1856"/>
    <w:rsid w:val="006F37BB"/>
    <w:rsid w:val="006F6B83"/>
    <w:rsid w:val="006F76DD"/>
    <w:rsid w:val="007016CE"/>
    <w:rsid w:val="00701904"/>
    <w:rsid w:val="0070221F"/>
    <w:rsid w:val="00702E51"/>
    <w:rsid w:val="00703065"/>
    <w:rsid w:val="00703E13"/>
    <w:rsid w:val="00705387"/>
    <w:rsid w:val="00705429"/>
    <w:rsid w:val="0070558C"/>
    <w:rsid w:val="00707B46"/>
    <w:rsid w:val="007108CE"/>
    <w:rsid w:val="00710D55"/>
    <w:rsid w:val="00711B7E"/>
    <w:rsid w:val="00712CE6"/>
    <w:rsid w:val="00717371"/>
    <w:rsid w:val="0072006C"/>
    <w:rsid w:val="00720955"/>
    <w:rsid w:val="00720A15"/>
    <w:rsid w:val="00721950"/>
    <w:rsid w:val="00721AF6"/>
    <w:rsid w:val="007233C9"/>
    <w:rsid w:val="00724C8C"/>
    <w:rsid w:val="00724C92"/>
    <w:rsid w:val="0072645C"/>
    <w:rsid w:val="00726CF4"/>
    <w:rsid w:val="007316CC"/>
    <w:rsid w:val="00731B73"/>
    <w:rsid w:val="00732320"/>
    <w:rsid w:val="00732427"/>
    <w:rsid w:val="00733240"/>
    <w:rsid w:val="00733B51"/>
    <w:rsid w:val="00735159"/>
    <w:rsid w:val="0073567B"/>
    <w:rsid w:val="007364A9"/>
    <w:rsid w:val="00736A30"/>
    <w:rsid w:val="00736CDF"/>
    <w:rsid w:val="007372C6"/>
    <w:rsid w:val="00737B01"/>
    <w:rsid w:val="00737B1E"/>
    <w:rsid w:val="00740CF0"/>
    <w:rsid w:val="00742246"/>
    <w:rsid w:val="007430C2"/>
    <w:rsid w:val="00743665"/>
    <w:rsid w:val="007438F1"/>
    <w:rsid w:val="00743A54"/>
    <w:rsid w:val="00744590"/>
    <w:rsid w:val="00747C70"/>
    <w:rsid w:val="007503B5"/>
    <w:rsid w:val="00750D34"/>
    <w:rsid w:val="00751A3F"/>
    <w:rsid w:val="00752820"/>
    <w:rsid w:val="00752DAD"/>
    <w:rsid w:val="007530B4"/>
    <w:rsid w:val="00753348"/>
    <w:rsid w:val="007539CF"/>
    <w:rsid w:val="007549CB"/>
    <w:rsid w:val="007563A6"/>
    <w:rsid w:val="00756827"/>
    <w:rsid w:val="007603EF"/>
    <w:rsid w:val="00763090"/>
    <w:rsid w:val="007639CA"/>
    <w:rsid w:val="007654A9"/>
    <w:rsid w:val="007658AC"/>
    <w:rsid w:val="00765EFD"/>
    <w:rsid w:val="00765FDA"/>
    <w:rsid w:val="007663C1"/>
    <w:rsid w:val="00766AD7"/>
    <w:rsid w:val="00766C0B"/>
    <w:rsid w:val="00766DF4"/>
    <w:rsid w:val="00767258"/>
    <w:rsid w:val="00767C9D"/>
    <w:rsid w:val="00770A47"/>
    <w:rsid w:val="00770EC7"/>
    <w:rsid w:val="0077253B"/>
    <w:rsid w:val="00773E30"/>
    <w:rsid w:val="00773F5D"/>
    <w:rsid w:val="00776993"/>
    <w:rsid w:val="0078044A"/>
    <w:rsid w:val="0078062E"/>
    <w:rsid w:val="007815A3"/>
    <w:rsid w:val="0078306D"/>
    <w:rsid w:val="00783971"/>
    <w:rsid w:val="00783B25"/>
    <w:rsid w:val="00783F2C"/>
    <w:rsid w:val="00784EE8"/>
    <w:rsid w:val="00787B2F"/>
    <w:rsid w:val="007911A2"/>
    <w:rsid w:val="007913A0"/>
    <w:rsid w:val="0079184E"/>
    <w:rsid w:val="00793355"/>
    <w:rsid w:val="00794E10"/>
    <w:rsid w:val="00795BE0"/>
    <w:rsid w:val="00796223"/>
    <w:rsid w:val="007971CA"/>
    <w:rsid w:val="007A02B8"/>
    <w:rsid w:val="007A1579"/>
    <w:rsid w:val="007A2EEF"/>
    <w:rsid w:val="007A356C"/>
    <w:rsid w:val="007A3F9D"/>
    <w:rsid w:val="007A4B3E"/>
    <w:rsid w:val="007A5059"/>
    <w:rsid w:val="007A516D"/>
    <w:rsid w:val="007B344E"/>
    <w:rsid w:val="007B4F6F"/>
    <w:rsid w:val="007B5149"/>
    <w:rsid w:val="007B7776"/>
    <w:rsid w:val="007C0489"/>
    <w:rsid w:val="007C06E4"/>
    <w:rsid w:val="007C1E6F"/>
    <w:rsid w:val="007C1ED6"/>
    <w:rsid w:val="007C2BBE"/>
    <w:rsid w:val="007C2F52"/>
    <w:rsid w:val="007C560B"/>
    <w:rsid w:val="007C57F8"/>
    <w:rsid w:val="007C687D"/>
    <w:rsid w:val="007C7F11"/>
    <w:rsid w:val="007D0817"/>
    <w:rsid w:val="007D0DFD"/>
    <w:rsid w:val="007D39B3"/>
    <w:rsid w:val="007D3B24"/>
    <w:rsid w:val="007D4A0E"/>
    <w:rsid w:val="007D4E5B"/>
    <w:rsid w:val="007D5836"/>
    <w:rsid w:val="007D622C"/>
    <w:rsid w:val="007D6B74"/>
    <w:rsid w:val="007D71BA"/>
    <w:rsid w:val="007E070A"/>
    <w:rsid w:val="007E1307"/>
    <w:rsid w:val="007E2D1D"/>
    <w:rsid w:val="007E671D"/>
    <w:rsid w:val="007E73B4"/>
    <w:rsid w:val="007F028C"/>
    <w:rsid w:val="007F1BB2"/>
    <w:rsid w:val="007F3FBF"/>
    <w:rsid w:val="007F6E94"/>
    <w:rsid w:val="00800594"/>
    <w:rsid w:val="00801384"/>
    <w:rsid w:val="0080383F"/>
    <w:rsid w:val="00804B57"/>
    <w:rsid w:val="00805362"/>
    <w:rsid w:val="0080617D"/>
    <w:rsid w:val="00806F84"/>
    <w:rsid w:val="00807645"/>
    <w:rsid w:val="00807ADA"/>
    <w:rsid w:val="00807B2A"/>
    <w:rsid w:val="00807DD7"/>
    <w:rsid w:val="00807F72"/>
    <w:rsid w:val="00810531"/>
    <w:rsid w:val="00812169"/>
    <w:rsid w:val="0081459C"/>
    <w:rsid w:val="00814CE0"/>
    <w:rsid w:val="0081671C"/>
    <w:rsid w:val="008170D6"/>
    <w:rsid w:val="0081759E"/>
    <w:rsid w:val="00817712"/>
    <w:rsid w:val="00817E41"/>
    <w:rsid w:val="0082031C"/>
    <w:rsid w:val="00820395"/>
    <w:rsid w:val="0082166C"/>
    <w:rsid w:val="00821FAE"/>
    <w:rsid w:val="00823270"/>
    <w:rsid w:val="008240A7"/>
    <w:rsid w:val="00824454"/>
    <w:rsid w:val="00824DB0"/>
    <w:rsid w:val="00826C93"/>
    <w:rsid w:val="0083093E"/>
    <w:rsid w:val="008311BD"/>
    <w:rsid w:val="008315CB"/>
    <w:rsid w:val="00832CC1"/>
    <w:rsid w:val="0083341A"/>
    <w:rsid w:val="00834525"/>
    <w:rsid w:val="008347C8"/>
    <w:rsid w:val="00834821"/>
    <w:rsid w:val="00834E2A"/>
    <w:rsid w:val="00835454"/>
    <w:rsid w:val="00835907"/>
    <w:rsid w:val="00837279"/>
    <w:rsid w:val="00840C7E"/>
    <w:rsid w:val="00842223"/>
    <w:rsid w:val="008428E5"/>
    <w:rsid w:val="008433A2"/>
    <w:rsid w:val="00843F32"/>
    <w:rsid w:val="00846B2A"/>
    <w:rsid w:val="00846C14"/>
    <w:rsid w:val="00850E80"/>
    <w:rsid w:val="008511AF"/>
    <w:rsid w:val="00851C97"/>
    <w:rsid w:val="00852F8D"/>
    <w:rsid w:val="00853C20"/>
    <w:rsid w:val="0085414E"/>
    <w:rsid w:val="00854E6B"/>
    <w:rsid w:val="008555EB"/>
    <w:rsid w:val="00855FD1"/>
    <w:rsid w:val="008561FA"/>
    <w:rsid w:val="008562FF"/>
    <w:rsid w:val="008612E1"/>
    <w:rsid w:val="00863E7D"/>
    <w:rsid w:val="00866556"/>
    <w:rsid w:val="0086758E"/>
    <w:rsid w:val="00870178"/>
    <w:rsid w:val="00870DEB"/>
    <w:rsid w:val="00871410"/>
    <w:rsid w:val="0087223D"/>
    <w:rsid w:val="00872A44"/>
    <w:rsid w:val="00872DDF"/>
    <w:rsid w:val="00873159"/>
    <w:rsid w:val="00874707"/>
    <w:rsid w:val="00876956"/>
    <w:rsid w:val="00876F38"/>
    <w:rsid w:val="00877473"/>
    <w:rsid w:val="008775D1"/>
    <w:rsid w:val="008801D2"/>
    <w:rsid w:val="008801EA"/>
    <w:rsid w:val="008805D3"/>
    <w:rsid w:val="0088083E"/>
    <w:rsid w:val="0088095C"/>
    <w:rsid w:val="0088140D"/>
    <w:rsid w:val="008815FA"/>
    <w:rsid w:val="00881DB3"/>
    <w:rsid w:val="00884C16"/>
    <w:rsid w:val="00887631"/>
    <w:rsid w:val="00890727"/>
    <w:rsid w:val="00890F2D"/>
    <w:rsid w:val="00890FFF"/>
    <w:rsid w:val="00891391"/>
    <w:rsid w:val="00891DEB"/>
    <w:rsid w:val="008928B7"/>
    <w:rsid w:val="00893CA8"/>
    <w:rsid w:val="0089410A"/>
    <w:rsid w:val="00894CF7"/>
    <w:rsid w:val="00895415"/>
    <w:rsid w:val="00896143"/>
    <w:rsid w:val="008A0FE5"/>
    <w:rsid w:val="008A1353"/>
    <w:rsid w:val="008A175F"/>
    <w:rsid w:val="008A17FC"/>
    <w:rsid w:val="008A486D"/>
    <w:rsid w:val="008A4B59"/>
    <w:rsid w:val="008A57DB"/>
    <w:rsid w:val="008A73EB"/>
    <w:rsid w:val="008A7989"/>
    <w:rsid w:val="008B01EB"/>
    <w:rsid w:val="008B1F12"/>
    <w:rsid w:val="008B295F"/>
    <w:rsid w:val="008B399A"/>
    <w:rsid w:val="008B488C"/>
    <w:rsid w:val="008B5885"/>
    <w:rsid w:val="008B6C31"/>
    <w:rsid w:val="008B6D19"/>
    <w:rsid w:val="008B7189"/>
    <w:rsid w:val="008B7760"/>
    <w:rsid w:val="008B78BF"/>
    <w:rsid w:val="008C1AB7"/>
    <w:rsid w:val="008C227D"/>
    <w:rsid w:val="008C2890"/>
    <w:rsid w:val="008C2D93"/>
    <w:rsid w:val="008C3AF0"/>
    <w:rsid w:val="008C4AF8"/>
    <w:rsid w:val="008C5C9C"/>
    <w:rsid w:val="008C6108"/>
    <w:rsid w:val="008C6489"/>
    <w:rsid w:val="008C69E7"/>
    <w:rsid w:val="008C772A"/>
    <w:rsid w:val="008D24CE"/>
    <w:rsid w:val="008D3406"/>
    <w:rsid w:val="008D3E4D"/>
    <w:rsid w:val="008D413D"/>
    <w:rsid w:val="008D4849"/>
    <w:rsid w:val="008D4E57"/>
    <w:rsid w:val="008D6A27"/>
    <w:rsid w:val="008D707B"/>
    <w:rsid w:val="008E1A1B"/>
    <w:rsid w:val="008E1E50"/>
    <w:rsid w:val="008E1FEB"/>
    <w:rsid w:val="008E2C89"/>
    <w:rsid w:val="008E3BAB"/>
    <w:rsid w:val="008E5068"/>
    <w:rsid w:val="008E6001"/>
    <w:rsid w:val="008E6751"/>
    <w:rsid w:val="008E6812"/>
    <w:rsid w:val="008E6CEB"/>
    <w:rsid w:val="008E7BE6"/>
    <w:rsid w:val="008F04E0"/>
    <w:rsid w:val="008F1CDE"/>
    <w:rsid w:val="008F32E7"/>
    <w:rsid w:val="008F3BEA"/>
    <w:rsid w:val="008F52C9"/>
    <w:rsid w:val="008F5D0C"/>
    <w:rsid w:val="009004FC"/>
    <w:rsid w:val="009026BF"/>
    <w:rsid w:val="009028ED"/>
    <w:rsid w:val="00903DA9"/>
    <w:rsid w:val="0090421D"/>
    <w:rsid w:val="00904339"/>
    <w:rsid w:val="009056D4"/>
    <w:rsid w:val="0090703E"/>
    <w:rsid w:val="00907951"/>
    <w:rsid w:val="009079BB"/>
    <w:rsid w:val="00907F32"/>
    <w:rsid w:val="00911263"/>
    <w:rsid w:val="00911265"/>
    <w:rsid w:val="00911520"/>
    <w:rsid w:val="00911B32"/>
    <w:rsid w:val="00912074"/>
    <w:rsid w:val="009127FA"/>
    <w:rsid w:val="009130BD"/>
    <w:rsid w:val="00913196"/>
    <w:rsid w:val="00914C54"/>
    <w:rsid w:val="00915C61"/>
    <w:rsid w:val="00915CA7"/>
    <w:rsid w:val="00916068"/>
    <w:rsid w:val="009164E2"/>
    <w:rsid w:val="009169A9"/>
    <w:rsid w:val="00916B38"/>
    <w:rsid w:val="00916DC1"/>
    <w:rsid w:val="0091717C"/>
    <w:rsid w:val="00917990"/>
    <w:rsid w:val="00923AB3"/>
    <w:rsid w:val="00924154"/>
    <w:rsid w:val="00925752"/>
    <w:rsid w:val="009257B2"/>
    <w:rsid w:val="00925C0C"/>
    <w:rsid w:val="00925F83"/>
    <w:rsid w:val="009272E9"/>
    <w:rsid w:val="0093528C"/>
    <w:rsid w:val="00935800"/>
    <w:rsid w:val="009363BF"/>
    <w:rsid w:val="00937163"/>
    <w:rsid w:val="0093772A"/>
    <w:rsid w:val="00937D0D"/>
    <w:rsid w:val="00940138"/>
    <w:rsid w:val="009407B6"/>
    <w:rsid w:val="00940D81"/>
    <w:rsid w:val="009415CE"/>
    <w:rsid w:val="009425C0"/>
    <w:rsid w:val="00942A34"/>
    <w:rsid w:val="00942C18"/>
    <w:rsid w:val="00942E0C"/>
    <w:rsid w:val="009449BB"/>
    <w:rsid w:val="009454D6"/>
    <w:rsid w:val="0094559A"/>
    <w:rsid w:val="00945E76"/>
    <w:rsid w:val="00945F6A"/>
    <w:rsid w:val="009460C4"/>
    <w:rsid w:val="0094738F"/>
    <w:rsid w:val="0094760B"/>
    <w:rsid w:val="00947D47"/>
    <w:rsid w:val="00950139"/>
    <w:rsid w:val="009508C5"/>
    <w:rsid w:val="009515B1"/>
    <w:rsid w:val="0095198A"/>
    <w:rsid w:val="00953577"/>
    <w:rsid w:val="00953B3C"/>
    <w:rsid w:val="00953BC0"/>
    <w:rsid w:val="00953D93"/>
    <w:rsid w:val="00954684"/>
    <w:rsid w:val="00957780"/>
    <w:rsid w:val="009577F3"/>
    <w:rsid w:val="009607A5"/>
    <w:rsid w:val="00961AE7"/>
    <w:rsid w:val="00962103"/>
    <w:rsid w:val="00962D7C"/>
    <w:rsid w:val="00963079"/>
    <w:rsid w:val="00963884"/>
    <w:rsid w:val="00964409"/>
    <w:rsid w:val="00966C4B"/>
    <w:rsid w:val="00966F4E"/>
    <w:rsid w:val="00967149"/>
    <w:rsid w:val="009701DB"/>
    <w:rsid w:val="00970DB6"/>
    <w:rsid w:val="00971645"/>
    <w:rsid w:val="009724AE"/>
    <w:rsid w:val="009726BB"/>
    <w:rsid w:val="0097273B"/>
    <w:rsid w:val="009737C5"/>
    <w:rsid w:val="009756FF"/>
    <w:rsid w:val="0097583B"/>
    <w:rsid w:val="00975888"/>
    <w:rsid w:val="009763E7"/>
    <w:rsid w:val="009772CF"/>
    <w:rsid w:val="00980E14"/>
    <w:rsid w:val="00981110"/>
    <w:rsid w:val="00984046"/>
    <w:rsid w:val="009847B3"/>
    <w:rsid w:val="009865E6"/>
    <w:rsid w:val="00990CAF"/>
    <w:rsid w:val="00991133"/>
    <w:rsid w:val="00992C32"/>
    <w:rsid w:val="00992E71"/>
    <w:rsid w:val="00993536"/>
    <w:rsid w:val="00993A8B"/>
    <w:rsid w:val="00994206"/>
    <w:rsid w:val="00994437"/>
    <w:rsid w:val="00994B4D"/>
    <w:rsid w:val="00996326"/>
    <w:rsid w:val="0099672B"/>
    <w:rsid w:val="00996F6C"/>
    <w:rsid w:val="009A06E6"/>
    <w:rsid w:val="009A14A0"/>
    <w:rsid w:val="009A2A6B"/>
    <w:rsid w:val="009A3708"/>
    <w:rsid w:val="009A3A5B"/>
    <w:rsid w:val="009A43CD"/>
    <w:rsid w:val="009A478D"/>
    <w:rsid w:val="009A500D"/>
    <w:rsid w:val="009A59D8"/>
    <w:rsid w:val="009A5F50"/>
    <w:rsid w:val="009A5FCD"/>
    <w:rsid w:val="009A608A"/>
    <w:rsid w:val="009A6BFB"/>
    <w:rsid w:val="009A6C1B"/>
    <w:rsid w:val="009A6EC3"/>
    <w:rsid w:val="009B02C1"/>
    <w:rsid w:val="009B19E7"/>
    <w:rsid w:val="009B241C"/>
    <w:rsid w:val="009B27AA"/>
    <w:rsid w:val="009B38DD"/>
    <w:rsid w:val="009B42D1"/>
    <w:rsid w:val="009B4CFB"/>
    <w:rsid w:val="009B6BA5"/>
    <w:rsid w:val="009B7558"/>
    <w:rsid w:val="009C06DB"/>
    <w:rsid w:val="009C148B"/>
    <w:rsid w:val="009C1C61"/>
    <w:rsid w:val="009C230E"/>
    <w:rsid w:val="009C304E"/>
    <w:rsid w:val="009C3584"/>
    <w:rsid w:val="009C3AE8"/>
    <w:rsid w:val="009C4C4C"/>
    <w:rsid w:val="009C4ECD"/>
    <w:rsid w:val="009C5DEA"/>
    <w:rsid w:val="009C6877"/>
    <w:rsid w:val="009C774C"/>
    <w:rsid w:val="009D07C3"/>
    <w:rsid w:val="009D0C5D"/>
    <w:rsid w:val="009D0EE0"/>
    <w:rsid w:val="009D10A3"/>
    <w:rsid w:val="009D18CE"/>
    <w:rsid w:val="009D248F"/>
    <w:rsid w:val="009D268A"/>
    <w:rsid w:val="009D2A6C"/>
    <w:rsid w:val="009D2A84"/>
    <w:rsid w:val="009D348E"/>
    <w:rsid w:val="009D4BE5"/>
    <w:rsid w:val="009D513C"/>
    <w:rsid w:val="009D591B"/>
    <w:rsid w:val="009D6F09"/>
    <w:rsid w:val="009E12A3"/>
    <w:rsid w:val="009E1F77"/>
    <w:rsid w:val="009E3220"/>
    <w:rsid w:val="009E5079"/>
    <w:rsid w:val="009E72F7"/>
    <w:rsid w:val="009E770F"/>
    <w:rsid w:val="009E7E69"/>
    <w:rsid w:val="009F0659"/>
    <w:rsid w:val="009F17A4"/>
    <w:rsid w:val="009F2C19"/>
    <w:rsid w:val="009F3D7F"/>
    <w:rsid w:val="009F3E26"/>
    <w:rsid w:val="009F4764"/>
    <w:rsid w:val="009F4DDF"/>
    <w:rsid w:val="009F5F70"/>
    <w:rsid w:val="009F6372"/>
    <w:rsid w:val="009F7896"/>
    <w:rsid w:val="00A00D55"/>
    <w:rsid w:val="00A01843"/>
    <w:rsid w:val="00A02C04"/>
    <w:rsid w:val="00A05797"/>
    <w:rsid w:val="00A05A71"/>
    <w:rsid w:val="00A06490"/>
    <w:rsid w:val="00A06B07"/>
    <w:rsid w:val="00A070B0"/>
    <w:rsid w:val="00A074F6"/>
    <w:rsid w:val="00A100A5"/>
    <w:rsid w:val="00A11BAA"/>
    <w:rsid w:val="00A11FCF"/>
    <w:rsid w:val="00A130A7"/>
    <w:rsid w:val="00A13318"/>
    <w:rsid w:val="00A13A0A"/>
    <w:rsid w:val="00A15B2E"/>
    <w:rsid w:val="00A15B89"/>
    <w:rsid w:val="00A15D39"/>
    <w:rsid w:val="00A162DB"/>
    <w:rsid w:val="00A20F13"/>
    <w:rsid w:val="00A21C43"/>
    <w:rsid w:val="00A21EB2"/>
    <w:rsid w:val="00A240BD"/>
    <w:rsid w:val="00A24719"/>
    <w:rsid w:val="00A24BD1"/>
    <w:rsid w:val="00A24F05"/>
    <w:rsid w:val="00A25A22"/>
    <w:rsid w:val="00A25C01"/>
    <w:rsid w:val="00A260EA"/>
    <w:rsid w:val="00A27AC2"/>
    <w:rsid w:val="00A30DF0"/>
    <w:rsid w:val="00A30E44"/>
    <w:rsid w:val="00A31D08"/>
    <w:rsid w:val="00A33070"/>
    <w:rsid w:val="00A331D0"/>
    <w:rsid w:val="00A340ED"/>
    <w:rsid w:val="00A35955"/>
    <w:rsid w:val="00A4013F"/>
    <w:rsid w:val="00A40D4A"/>
    <w:rsid w:val="00A41651"/>
    <w:rsid w:val="00A41A41"/>
    <w:rsid w:val="00A422A4"/>
    <w:rsid w:val="00A428FE"/>
    <w:rsid w:val="00A42FD1"/>
    <w:rsid w:val="00A449A0"/>
    <w:rsid w:val="00A46076"/>
    <w:rsid w:val="00A46371"/>
    <w:rsid w:val="00A4746A"/>
    <w:rsid w:val="00A6296D"/>
    <w:rsid w:val="00A62D41"/>
    <w:rsid w:val="00A664F8"/>
    <w:rsid w:val="00A669D9"/>
    <w:rsid w:val="00A673A7"/>
    <w:rsid w:val="00A71690"/>
    <w:rsid w:val="00A71759"/>
    <w:rsid w:val="00A71813"/>
    <w:rsid w:val="00A725A6"/>
    <w:rsid w:val="00A72A64"/>
    <w:rsid w:val="00A740F9"/>
    <w:rsid w:val="00A75AD4"/>
    <w:rsid w:val="00A760DA"/>
    <w:rsid w:val="00A77B06"/>
    <w:rsid w:val="00A80F13"/>
    <w:rsid w:val="00A80F90"/>
    <w:rsid w:val="00A81B7E"/>
    <w:rsid w:val="00A82322"/>
    <w:rsid w:val="00A836A9"/>
    <w:rsid w:val="00A83A47"/>
    <w:rsid w:val="00A85158"/>
    <w:rsid w:val="00A9024E"/>
    <w:rsid w:val="00A926D0"/>
    <w:rsid w:val="00A93571"/>
    <w:rsid w:val="00A9364C"/>
    <w:rsid w:val="00A949DB"/>
    <w:rsid w:val="00A94A28"/>
    <w:rsid w:val="00A96068"/>
    <w:rsid w:val="00A964B3"/>
    <w:rsid w:val="00A96EB3"/>
    <w:rsid w:val="00A97590"/>
    <w:rsid w:val="00AA2277"/>
    <w:rsid w:val="00AA3BF5"/>
    <w:rsid w:val="00AA448C"/>
    <w:rsid w:val="00AA5679"/>
    <w:rsid w:val="00AA7C22"/>
    <w:rsid w:val="00AA7C67"/>
    <w:rsid w:val="00AA7CEE"/>
    <w:rsid w:val="00AB017B"/>
    <w:rsid w:val="00AB024D"/>
    <w:rsid w:val="00AB09E8"/>
    <w:rsid w:val="00AB10A8"/>
    <w:rsid w:val="00AB16AF"/>
    <w:rsid w:val="00AB2937"/>
    <w:rsid w:val="00AB2D51"/>
    <w:rsid w:val="00AB3129"/>
    <w:rsid w:val="00AB3F61"/>
    <w:rsid w:val="00AB43CE"/>
    <w:rsid w:val="00AB4958"/>
    <w:rsid w:val="00AB640B"/>
    <w:rsid w:val="00AC08CE"/>
    <w:rsid w:val="00AC240F"/>
    <w:rsid w:val="00AC2CB4"/>
    <w:rsid w:val="00AC31DE"/>
    <w:rsid w:val="00AC3DC9"/>
    <w:rsid w:val="00AC3FD4"/>
    <w:rsid w:val="00AC57F5"/>
    <w:rsid w:val="00AC6022"/>
    <w:rsid w:val="00AC6B74"/>
    <w:rsid w:val="00AC7A29"/>
    <w:rsid w:val="00AD125B"/>
    <w:rsid w:val="00AD31A0"/>
    <w:rsid w:val="00AD3860"/>
    <w:rsid w:val="00AD39A9"/>
    <w:rsid w:val="00AD4670"/>
    <w:rsid w:val="00AD494A"/>
    <w:rsid w:val="00AD544F"/>
    <w:rsid w:val="00AD5A7B"/>
    <w:rsid w:val="00AD6381"/>
    <w:rsid w:val="00AD63EE"/>
    <w:rsid w:val="00AD6F81"/>
    <w:rsid w:val="00AE00F9"/>
    <w:rsid w:val="00AE0501"/>
    <w:rsid w:val="00AE1E16"/>
    <w:rsid w:val="00AE1E83"/>
    <w:rsid w:val="00AE2847"/>
    <w:rsid w:val="00AE2BE4"/>
    <w:rsid w:val="00AE3C66"/>
    <w:rsid w:val="00AE4216"/>
    <w:rsid w:val="00AE5C44"/>
    <w:rsid w:val="00AE77B9"/>
    <w:rsid w:val="00AE796A"/>
    <w:rsid w:val="00AF0904"/>
    <w:rsid w:val="00AF35A1"/>
    <w:rsid w:val="00AF3A38"/>
    <w:rsid w:val="00AF58FB"/>
    <w:rsid w:val="00AF7EEC"/>
    <w:rsid w:val="00B0040A"/>
    <w:rsid w:val="00B0184C"/>
    <w:rsid w:val="00B02149"/>
    <w:rsid w:val="00B03F0B"/>
    <w:rsid w:val="00B041CB"/>
    <w:rsid w:val="00B05515"/>
    <w:rsid w:val="00B07517"/>
    <w:rsid w:val="00B10CE6"/>
    <w:rsid w:val="00B11003"/>
    <w:rsid w:val="00B12D31"/>
    <w:rsid w:val="00B14D9A"/>
    <w:rsid w:val="00B157CA"/>
    <w:rsid w:val="00B15E4B"/>
    <w:rsid w:val="00B16E4B"/>
    <w:rsid w:val="00B16F35"/>
    <w:rsid w:val="00B1769B"/>
    <w:rsid w:val="00B17AD9"/>
    <w:rsid w:val="00B20628"/>
    <w:rsid w:val="00B20761"/>
    <w:rsid w:val="00B21756"/>
    <w:rsid w:val="00B2202D"/>
    <w:rsid w:val="00B2356D"/>
    <w:rsid w:val="00B3031A"/>
    <w:rsid w:val="00B3179C"/>
    <w:rsid w:val="00B363A4"/>
    <w:rsid w:val="00B368C9"/>
    <w:rsid w:val="00B36D2C"/>
    <w:rsid w:val="00B36D7B"/>
    <w:rsid w:val="00B3732B"/>
    <w:rsid w:val="00B4040B"/>
    <w:rsid w:val="00B41306"/>
    <w:rsid w:val="00B41982"/>
    <w:rsid w:val="00B42611"/>
    <w:rsid w:val="00B42916"/>
    <w:rsid w:val="00B438AA"/>
    <w:rsid w:val="00B4462C"/>
    <w:rsid w:val="00B4597C"/>
    <w:rsid w:val="00B45EAD"/>
    <w:rsid w:val="00B503C0"/>
    <w:rsid w:val="00B5123C"/>
    <w:rsid w:val="00B5230E"/>
    <w:rsid w:val="00B54696"/>
    <w:rsid w:val="00B5720B"/>
    <w:rsid w:val="00B60519"/>
    <w:rsid w:val="00B6070C"/>
    <w:rsid w:val="00B6176B"/>
    <w:rsid w:val="00B62927"/>
    <w:rsid w:val="00B64078"/>
    <w:rsid w:val="00B64E99"/>
    <w:rsid w:val="00B65191"/>
    <w:rsid w:val="00B65F85"/>
    <w:rsid w:val="00B6613E"/>
    <w:rsid w:val="00B66348"/>
    <w:rsid w:val="00B668B0"/>
    <w:rsid w:val="00B70D02"/>
    <w:rsid w:val="00B7105A"/>
    <w:rsid w:val="00B7157E"/>
    <w:rsid w:val="00B71C95"/>
    <w:rsid w:val="00B72B27"/>
    <w:rsid w:val="00B745A7"/>
    <w:rsid w:val="00B76A8A"/>
    <w:rsid w:val="00B76EC7"/>
    <w:rsid w:val="00B77B8C"/>
    <w:rsid w:val="00B8045F"/>
    <w:rsid w:val="00B8083C"/>
    <w:rsid w:val="00B84A8F"/>
    <w:rsid w:val="00B86D7B"/>
    <w:rsid w:val="00B87781"/>
    <w:rsid w:val="00B87AE6"/>
    <w:rsid w:val="00B87D08"/>
    <w:rsid w:val="00B90228"/>
    <w:rsid w:val="00B90881"/>
    <w:rsid w:val="00B908AC"/>
    <w:rsid w:val="00B913A9"/>
    <w:rsid w:val="00B9198A"/>
    <w:rsid w:val="00B92787"/>
    <w:rsid w:val="00B92CB6"/>
    <w:rsid w:val="00B92CD5"/>
    <w:rsid w:val="00B939F3"/>
    <w:rsid w:val="00B9557B"/>
    <w:rsid w:val="00B95884"/>
    <w:rsid w:val="00B96B50"/>
    <w:rsid w:val="00B96D01"/>
    <w:rsid w:val="00B97DF5"/>
    <w:rsid w:val="00BA0EB1"/>
    <w:rsid w:val="00BA1BD6"/>
    <w:rsid w:val="00BA245C"/>
    <w:rsid w:val="00BA2F51"/>
    <w:rsid w:val="00BA4B0D"/>
    <w:rsid w:val="00BA54E6"/>
    <w:rsid w:val="00BA5EE8"/>
    <w:rsid w:val="00BA6356"/>
    <w:rsid w:val="00BA7DA6"/>
    <w:rsid w:val="00BB0217"/>
    <w:rsid w:val="00BB167A"/>
    <w:rsid w:val="00BB1BEA"/>
    <w:rsid w:val="00BB23C2"/>
    <w:rsid w:val="00BB350C"/>
    <w:rsid w:val="00BB38AE"/>
    <w:rsid w:val="00BB3C31"/>
    <w:rsid w:val="00BB41CD"/>
    <w:rsid w:val="00BB4C80"/>
    <w:rsid w:val="00BB68C5"/>
    <w:rsid w:val="00BB69D1"/>
    <w:rsid w:val="00BB7062"/>
    <w:rsid w:val="00BB7099"/>
    <w:rsid w:val="00BB715E"/>
    <w:rsid w:val="00BC03E2"/>
    <w:rsid w:val="00BC35E2"/>
    <w:rsid w:val="00BC471D"/>
    <w:rsid w:val="00BC542B"/>
    <w:rsid w:val="00BC63DE"/>
    <w:rsid w:val="00BC6B43"/>
    <w:rsid w:val="00BD0068"/>
    <w:rsid w:val="00BD1AB0"/>
    <w:rsid w:val="00BD271F"/>
    <w:rsid w:val="00BD284F"/>
    <w:rsid w:val="00BD513C"/>
    <w:rsid w:val="00BD6BF3"/>
    <w:rsid w:val="00BE2F77"/>
    <w:rsid w:val="00BE3208"/>
    <w:rsid w:val="00BE4A9E"/>
    <w:rsid w:val="00BE5C52"/>
    <w:rsid w:val="00BE634F"/>
    <w:rsid w:val="00BF0790"/>
    <w:rsid w:val="00BF07D5"/>
    <w:rsid w:val="00BF50AF"/>
    <w:rsid w:val="00BF52C2"/>
    <w:rsid w:val="00BF7226"/>
    <w:rsid w:val="00BF78CC"/>
    <w:rsid w:val="00C0224E"/>
    <w:rsid w:val="00C029E9"/>
    <w:rsid w:val="00C02D16"/>
    <w:rsid w:val="00C038AB"/>
    <w:rsid w:val="00C055AC"/>
    <w:rsid w:val="00C103E0"/>
    <w:rsid w:val="00C1045B"/>
    <w:rsid w:val="00C104E6"/>
    <w:rsid w:val="00C10D5F"/>
    <w:rsid w:val="00C12135"/>
    <w:rsid w:val="00C1274F"/>
    <w:rsid w:val="00C1333E"/>
    <w:rsid w:val="00C13BC4"/>
    <w:rsid w:val="00C148FA"/>
    <w:rsid w:val="00C152FE"/>
    <w:rsid w:val="00C16BB1"/>
    <w:rsid w:val="00C16C7B"/>
    <w:rsid w:val="00C16F58"/>
    <w:rsid w:val="00C17A59"/>
    <w:rsid w:val="00C20CF2"/>
    <w:rsid w:val="00C20FAC"/>
    <w:rsid w:val="00C21AC1"/>
    <w:rsid w:val="00C233C7"/>
    <w:rsid w:val="00C23A44"/>
    <w:rsid w:val="00C256CD"/>
    <w:rsid w:val="00C25B37"/>
    <w:rsid w:val="00C2601E"/>
    <w:rsid w:val="00C2628D"/>
    <w:rsid w:val="00C265D6"/>
    <w:rsid w:val="00C27E3A"/>
    <w:rsid w:val="00C30500"/>
    <w:rsid w:val="00C31DA7"/>
    <w:rsid w:val="00C33638"/>
    <w:rsid w:val="00C3369B"/>
    <w:rsid w:val="00C36A46"/>
    <w:rsid w:val="00C37532"/>
    <w:rsid w:val="00C37A6B"/>
    <w:rsid w:val="00C42A68"/>
    <w:rsid w:val="00C44724"/>
    <w:rsid w:val="00C44CD8"/>
    <w:rsid w:val="00C45BF0"/>
    <w:rsid w:val="00C46F6B"/>
    <w:rsid w:val="00C5013D"/>
    <w:rsid w:val="00C501DA"/>
    <w:rsid w:val="00C52524"/>
    <w:rsid w:val="00C5356F"/>
    <w:rsid w:val="00C542D4"/>
    <w:rsid w:val="00C5437C"/>
    <w:rsid w:val="00C54405"/>
    <w:rsid w:val="00C5454F"/>
    <w:rsid w:val="00C54CF0"/>
    <w:rsid w:val="00C557E0"/>
    <w:rsid w:val="00C55A84"/>
    <w:rsid w:val="00C57083"/>
    <w:rsid w:val="00C578FA"/>
    <w:rsid w:val="00C606E5"/>
    <w:rsid w:val="00C6266C"/>
    <w:rsid w:val="00C63EC9"/>
    <w:rsid w:val="00C65336"/>
    <w:rsid w:val="00C6585E"/>
    <w:rsid w:val="00C669C4"/>
    <w:rsid w:val="00C66C11"/>
    <w:rsid w:val="00C70F14"/>
    <w:rsid w:val="00C73247"/>
    <w:rsid w:val="00C73757"/>
    <w:rsid w:val="00C74373"/>
    <w:rsid w:val="00C74A66"/>
    <w:rsid w:val="00C74C85"/>
    <w:rsid w:val="00C74D8B"/>
    <w:rsid w:val="00C77724"/>
    <w:rsid w:val="00C77A3E"/>
    <w:rsid w:val="00C77AE7"/>
    <w:rsid w:val="00C77C5F"/>
    <w:rsid w:val="00C80DD6"/>
    <w:rsid w:val="00C816BF"/>
    <w:rsid w:val="00C82225"/>
    <w:rsid w:val="00C826D8"/>
    <w:rsid w:val="00C82E22"/>
    <w:rsid w:val="00C8396F"/>
    <w:rsid w:val="00C83A73"/>
    <w:rsid w:val="00C84FA9"/>
    <w:rsid w:val="00C851A1"/>
    <w:rsid w:val="00C855FA"/>
    <w:rsid w:val="00C85B17"/>
    <w:rsid w:val="00C9051F"/>
    <w:rsid w:val="00C91423"/>
    <w:rsid w:val="00C91492"/>
    <w:rsid w:val="00C931CC"/>
    <w:rsid w:val="00C941DC"/>
    <w:rsid w:val="00C949E2"/>
    <w:rsid w:val="00C94D5B"/>
    <w:rsid w:val="00CA0137"/>
    <w:rsid w:val="00CA1972"/>
    <w:rsid w:val="00CA3788"/>
    <w:rsid w:val="00CA4E45"/>
    <w:rsid w:val="00CA66BD"/>
    <w:rsid w:val="00CA6CDA"/>
    <w:rsid w:val="00CA7777"/>
    <w:rsid w:val="00CB0E46"/>
    <w:rsid w:val="00CB142F"/>
    <w:rsid w:val="00CB1481"/>
    <w:rsid w:val="00CB3489"/>
    <w:rsid w:val="00CB3621"/>
    <w:rsid w:val="00CB3684"/>
    <w:rsid w:val="00CB4CF5"/>
    <w:rsid w:val="00CB6574"/>
    <w:rsid w:val="00CB69C3"/>
    <w:rsid w:val="00CB6C81"/>
    <w:rsid w:val="00CC02B2"/>
    <w:rsid w:val="00CC0C55"/>
    <w:rsid w:val="00CC1CD7"/>
    <w:rsid w:val="00CC3DA7"/>
    <w:rsid w:val="00CC70D3"/>
    <w:rsid w:val="00CD153C"/>
    <w:rsid w:val="00CD1D38"/>
    <w:rsid w:val="00CD247A"/>
    <w:rsid w:val="00CD2E6F"/>
    <w:rsid w:val="00CD33D7"/>
    <w:rsid w:val="00CD5046"/>
    <w:rsid w:val="00CD5582"/>
    <w:rsid w:val="00CD6311"/>
    <w:rsid w:val="00CD72E8"/>
    <w:rsid w:val="00CD79FC"/>
    <w:rsid w:val="00CD7F6F"/>
    <w:rsid w:val="00CE0BD3"/>
    <w:rsid w:val="00CE0CF9"/>
    <w:rsid w:val="00CE2BC5"/>
    <w:rsid w:val="00CE3663"/>
    <w:rsid w:val="00CE5262"/>
    <w:rsid w:val="00CE7250"/>
    <w:rsid w:val="00CF201A"/>
    <w:rsid w:val="00CF296F"/>
    <w:rsid w:val="00CF3670"/>
    <w:rsid w:val="00CF44DB"/>
    <w:rsid w:val="00CF50D1"/>
    <w:rsid w:val="00CF6D2E"/>
    <w:rsid w:val="00CF78A9"/>
    <w:rsid w:val="00CF7DD0"/>
    <w:rsid w:val="00D006CB"/>
    <w:rsid w:val="00D008E0"/>
    <w:rsid w:val="00D02EF9"/>
    <w:rsid w:val="00D041A9"/>
    <w:rsid w:val="00D04648"/>
    <w:rsid w:val="00D059D9"/>
    <w:rsid w:val="00D06020"/>
    <w:rsid w:val="00D0657F"/>
    <w:rsid w:val="00D07639"/>
    <w:rsid w:val="00D11998"/>
    <w:rsid w:val="00D11A5A"/>
    <w:rsid w:val="00D1473D"/>
    <w:rsid w:val="00D1604D"/>
    <w:rsid w:val="00D1688D"/>
    <w:rsid w:val="00D16D3D"/>
    <w:rsid w:val="00D17F7F"/>
    <w:rsid w:val="00D20732"/>
    <w:rsid w:val="00D20C4D"/>
    <w:rsid w:val="00D27887"/>
    <w:rsid w:val="00D27FCB"/>
    <w:rsid w:val="00D300EE"/>
    <w:rsid w:val="00D30872"/>
    <w:rsid w:val="00D310E2"/>
    <w:rsid w:val="00D31630"/>
    <w:rsid w:val="00D317D3"/>
    <w:rsid w:val="00D33EE0"/>
    <w:rsid w:val="00D3435F"/>
    <w:rsid w:val="00D35B0D"/>
    <w:rsid w:val="00D369D5"/>
    <w:rsid w:val="00D37DDB"/>
    <w:rsid w:val="00D42CAB"/>
    <w:rsid w:val="00D43D2C"/>
    <w:rsid w:val="00D45F68"/>
    <w:rsid w:val="00D47045"/>
    <w:rsid w:val="00D47CF4"/>
    <w:rsid w:val="00D505F3"/>
    <w:rsid w:val="00D507B4"/>
    <w:rsid w:val="00D51A08"/>
    <w:rsid w:val="00D51C03"/>
    <w:rsid w:val="00D51DBB"/>
    <w:rsid w:val="00D51FFF"/>
    <w:rsid w:val="00D53301"/>
    <w:rsid w:val="00D54D92"/>
    <w:rsid w:val="00D559F9"/>
    <w:rsid w:val="00D55B67"/>
    <w:rsid w:val="00D565C4"/>
    <w:rsid w:val="00D605A0"/>
    <w:rsid w:val="00D60E2F"/>
    <w:rsid w:val="00D614C3"/>
    <w:rsid w:val="00D6309A"/>
    <w:rsid w:val="00D63F50"/>
    <w:rsid w:val="00D646A4"/>
    <w:rsid w:val="00D65AF7"/>
    <w:rsid w:val="00D66369"/>
    <w:rsid w:val="00D66804"/>
    <w:rsid w:val="00D66CC0"/>
    <w:rsid w:val="00D7250A"/>
    <w:rsid w:val="00D7303C"/>
    <w:rsid w:val="00D74670"/>
    <w:rsid w:val="00D75566"/>
    <w:rsid w:val="00D7672A"/>
    <w:rsid w:val="00D76C2E"/>
    <w:rsid w:val="00D80915"/>
    <w:rsid w:val="00D810F0"/>
    <w:rsid w:val="00D81BB9"/>
    <w:rsid w:val="00D81BE8"/>
    <w:rsid w:val="00D823E6"/>
    <w:rsid w:val="00D824D9"/>
    <w:rsid w:val="00D8396A"/>
    <w:rsid w:val="00D8541E"/>
    <w:rsid w:val="00D86723"/>
    <w:rsid w:val="00D868C6"/>
    <w:rsid w:val="00D87580"/>
    <w:rsid w:val="00D90429"/>
    <w:rsid w:val="00D90EFB"/>
    <w:rsid w:val="00D9147F"/>
    <w:rsid w:val="00D92E39"/>
    <w:rsid w:val="00D94698"/>
    <w:rsid w:val="00D96F39"/>
    <w:rsid w:val="00D97933"/>
    <w:rsid w:val="00D97AEC"/>
    <w:rsid w:val="00DA16DD"/>
    <w:rsid w:val="00DA2AE8"/>
    <w:rsid w:val="00DA4ACE"/>
    <w:rsid w:val="00DA5262"/>
    <w:rsid w:val="00DA5F16"/>
    <w:rsid w:val="00DA65B5"/>
    <w:rsid w:val="00DB04D7"/>
    <w:rsid w:val="00DB08EE"/>
    <w:rsid w:val="00DB0ED6"/>
    <w:rsid w:val="00DB15FE"/>
    <w:rsid w:val="00DB1E35"/>
    <w:rsid w:val="00DB221B"/>
    <w:rsid w:val="00DB2E53"/>
    <w:rsid w:val="00DB2F4D"/>
    <w:rsid w:val="00DB304B"/>
    <w:rsid w:val="00DB39A5"/>
    <w:rsid w:val="00DB39D3"/>
    <w:rsid w:val="00DB4596"/>
    <w:rsid w:val="00DB4D07"/>
    <w:rsid w:val="00DB4DC9"/>
    <w:rsid w:val="00DC29C6"/>
    <w:rsid w:val="00DC2B40"/>
    <w:rsid w:val="00DC30B8"/>
    <w:rsid w:val="00DC396E"/>
    <w:rsid w:val="00DC3A54"/>
    <w:rsid w:val="00DC4144"/>
    <w:rsid w:val="00DC4763"/>
    <w:rsid w:val="00DC4E15"/>
    <w:rsid w:val="00DC5913"/>
    <w:rsid w:val="00DC74CE"/>
    <w:rsid w:val="00DD422F"/>
    <w:rsid w:val="00DD49AD"/>
    <w:rsid w:val="00DD5B16"/>
    <w:rsid w:val="00DD6C1F"/>
    <w:rsid w:val="00DD6D24"/>
    <w:rsid w:val="00DE0A11"/>
    <w:rsid w:val="00DE16D1"/>
    <w:rsid w:val="00DE277A"/>
    <w:rsid w:val="00DE3736"/>
    <w:rsid w:val="00DE38B8"/>
    <w:rsid w:val="00DE3C6F"/>
    <w:rsid w:val="00DE4D73"/>
    <w:rsid w:val="00DE4E64"/>
    <w:rsid w:val="00DE5082"/>
    <w:rsid w:val="00DE6E48"/>
    <w:rsid w:val="00DE6F12"/>
    <w:rsid w:val="00DF069D"/>
    <w:rsid w:val="00DF14B2"/>
    <w:rsid w:val="00DF1800"/>
    <w:rsid w:val="00DF1D5F"/>
    <w:rsid w:val="00DF2026"/>
    <w:rsid w:val="00DF34F8"/>
    <w:rsid w:val="00DF3935"/>
    <w:rsid w:val="00DF4B43"/>
    <w:rsid w:val="00DF5E38"/>
    <w:rsid w:val="00E00155"/>
    <w:rsid w:val="00E00862"/>
    <w:rsid w:val="00E00B4A"/>
    <w:rsid w:val="00E01530"/>
    <w:rsid w:val="00E03450"/>
    <w:rsid w:val="00E03690"/>
    <w:rsid w:val="00E03CA9"/>
    <w:rsid w:val="00E07F92"/>
    <w:rsid w:val="00E117D4"/>
    <w:rsid w:val="00E11C81"/>
    <w:rsid w:val="00E12E1D"/>
    <w:rsid w:val="00E12E9F"/>
    <w:rsid w:val="00E13ABE"/>
    <w:rsid w:val="00E140DD"/>
    <w:rsid w:val="00E14AB7"/>
    <w:rsid w:val="00E174B5"/>
    <w:rsid w:val="00E17B2C"/>
    <w:rsid w:val="00E20067"/>
    <w:rsid w:val="00E2090B"/>
    <w:rsid w:val="00E215D9"/>
    <w:rsid w:val="00E21CD2"/>
    <w:rsid w:val="00E229FC"/>
    <w:rsid w:val="00E23620"/>
    <w:rsid w:val="00E24794"/>
    <w:rsid w:val="00E24FB0"/>
    <w:rsid w:val="00E25A30"/>
    <w:rsid w:val="00E265AB"/>
    <w:rsid w:val="00E27379"/>
    <w:rsid w:val="00E330B5"/>
    <w:rsid w:val="00E3475A"/>
    <w:rsid w:val="00E34927"/>
    <w:rsid w:val="00E34D4F"/>
    <w:rsid w:val="00E35AA2"/>
    <w:rsid w:val="00E35B37"/>
    <w:rsid w:val="00E36401"/>
    <w:rsid w:val="00E364EB"/>
    <w:rsid w:val="00E36DA8"/>
    <w:rsid w:val="00E3761C"/>
    <w:rsid w:val="00E40878"/>
    <w:rsid w:val="00E42E93"/>
    <w:rsid w:val="00E44988"/>
    <w:rsid w:val="00E44B51"/>
    <w:rsid w:val="00E44D32"/>
    <w:rsid w:val="00E455BE"/>
    <w:rsid w:val="00E46964"/>
    <w:rsid w:val="00E47193"/>
    <w:rsid w:val="00E478FE"/>
    <w:rsid w:val="00E50003"/>
    <w:rsid w:val="00E5015D"/>
    <w:rsid w:val="00E52000"/>
    <w:rsid w:val="00E5245D"/>
    <w:rsid w:val="00E53E5B"/>
    <w:rsid w:val="00E54CCB"/>
    <w:rsid w:val="00E54E49"/>
    <w:rsid w:val="00E550CA"/>
    <w:rsid w:val="00E5513F"/>
    <w:rsid w:val="00E5577B"/>
    <w:rsid w:val="00E55815"/>
    <w:rsid w:val="00E55CBC"/>
    <w:rsid w:val="00E570C7"/>
    <w:rsid w:val="00E576CD"/>
    <w:rsid w:val="00E57DBA"/>
    <w:rsid w:val="00E60924"/>
    <w:rsid w:val="00E615C9"/>
    <w:rsid w:val="00E6214E"/>
    <w:rsid w:val="00E62E06"/>
    <w:rsid w:val="00E64AA2"/>
    <w:rsid w:val="00E65FC9"/>
    <w:rsid w:val="00E66775"/>
    <w:rsid w:val="00E66CF4"/>
    <w:rsid w:val="00E670B7"/>
    <w:rsid w:val="00E67633"/>
    <w:rsid w:val="00E67949"/>
    <w:rsid w:val="00E70D48"/>
    <w:rsid w:val="00E74B1F"/>
    <w:rsid w:val="00E75047"/>
    <w:rsid w:val="00E77619"/>
    <w:rsid w:val="00E777F0"/>
    <w:rsid w:val="00E80299"/>
    <w:rsid w:val="00E803DB"/>
    <w:rsid w:val="00E805F9"/>
    <w:rsid w:val="00E8090C"/>
    <w:rsid w:val="00E81281"/>
    <w:rsid w:val="00E82151"/>
    <w:rsid w:val="00E821EE"/>
    <w:rsid w:val="00E8276F"/>
    <w:rsid w:val="00E82C2B"/>
    <w:rsid w:val="00E84E2F"/>
    <w:rsid w:val="00E855B5"/>
    <w:rsid w:val="00E85856"/>
    <w:rsid w:val="00E85C1B"/>
    <w:rsid w:val="00E86386"/>
    <w:rsid w:val="00E8699E"/>
    <w:rsid w:val="00E87F68"/>
    <w:rsid w:val="00E90FCC"/>
    <w:rsid w:val="00E915DB"/>
    <w:rsid w:val="00E926CC"/>
    <w:rsid w:val="00E93195"/>
    <w:rsid w:val="00E94CDE"/>
    <w:rsid w:val="00E94E8D"/>
    <w:rsid w:val="00E94ED6"/>
    <w:rsid w:val="00E951B6"/>
    <w:rsid w:val="00E956D5"/>
    <w:rsid w:val="00E97BE2"/>
    <w:rsid w:val="00EA0A62"/>
    <w:rsid w:val="00EA2505"/>
    <w:rsid w:val="00EA44CE"/>
    <w:rsid w:val="00EA5227"/>
    <w:rsid w:val="00EA6D3D"/>
    <w:rsid w:val="00EB022E"/>
    <w:rsid w:val="00EB12F7"/>
    <w:rsid w:val="00EB18BD"/>
    <w:rsid w:val="00EB303E"/>
    <w:rsid w:val="00EB5261"/>
    <w:rsid w:val="00EB53FB"/>
    <w:rsid w:val="00EB5A3E"/>
    <w:rsid w:val="00EB6D77"/>
    <w:rsid w:val="00EB7AA1"/>
    <w:rsid w:val="00EB7DF0"/>
    <w:rsid w:val="00EB7DFE"/>
    <w:rsid w:val="00EC041B"/>
    <w:rsid w:val="00EC042D"/>
    <w:rsid w:val="00EC0A10"/>
    <w:rsid w:val="00EC18CB"/>
    <w:rsid w:val="00EC1946"/>
    <w:rsid w:val="00EC3233"/>
    <w:rsid w:val="00EC39D2"/>
    <w:rsid w:val="00EC590F"/>
    <w:rsid w:val="00EC6C2B"/>
    <w:rsid w:val="00EC6C4D"/>
    <w:rsid w:val="00EC6F67"/>
    <w:rsid w:val="00ED03BF"/>
    <w:rsid w:val="00ED38B0"/>
    <w:rsid w:val="00ED4203"/>
    <w:rsid w:val="00ED577B"/>
    <w:rsid w:val="00ED6217"/>
    <w:rsid w:val="00EE1DC5"/>
    <w:rsid w:val="00EE2667"/>
    <w:rsid w:val="00EE2C21"/>
    <w:rsid w:val="00EE3953"/>
    <w:rsid w:val="00EE51CC"/>
    <w:rsid w:val="00EE5A65"/>
    <w:rsid w:val="00EE66BC"/>
    <w:rsid w:val="00EE6EDF"/>
    <w:rsid w:val="00EE720E"/>
    <w:rsid w:val="00EE782E"/>
    <w:rsid w:val="00EE7E03"/>
    <w:rsid w:val="00EF15C7"/>
    <w:rsid w:val="00EF1EC8"/>
    <w:rsid w:val="00EF201E"/>
    <w:rsid w:val="00EF3AD1"/>
    <w:rsid w:val="00EF5765"/>
    <w:rsid w:val="00EF740B"/>
    <w:rsid w:val="00F01213"/>
    <w:rsid w:val="00F01492"/>
    <w:rsid w:val="00F01637"/>
    <w:rsid w:val="00F0212E"/>
    <w:rsid w:val="00F04CFA"/>
    <w:rsid w:val="00F04F29"/>
    <w:rsid w:val="00F0783E"/>
    <w:rsid w:val="00F10876"/>
    <w:rsid w:val="00F138E0"/>
    <w:rsid w:val="00F152AF"/>
    <w:rsid w:val="00F172B0"/>
    <w:rsid w:val="00F17A14"/>
    <w:rsid w:val="00F17BD4"/>
    <w:rsid w:val="00F17CD7"/>
    <w:rsid w:val="00F20C67"/>
    <w:rsid w:val="00F2146D"/>
    <w:rsid w:val="00F220FC"/>
    <w:rsid w:val="00F233FE"/>
    <w:rsid w:val="00F237EC"/>
    <w:rsid w:val="00F23BA3"/>
    <w:rsid w:val="00F24259"/>
    <w:rsid w:val="00F24881"/>
    <w:rsid w:val="00F25C6E"/>
    <w:rsid w:val="00F25FF7"/>
    <w:rsid w:val="00F268A9"/>
    <w:rsid w:val="00F275C7"/>
    <w:rsid w:val="00F30310"/>
    <w:rsid w:val="00F30477"/>
    <w:rsid w:val="00F30FBC"/>
    <w:rsid w:val="00F31D31"/>
    <w:rsid w:val="00F321BB"/>
    <w:rsid w:val="00F327B5"/>
    <w:rsid w:val="00F32A5D"/>
    <w:rsid w:val="00F336FD"/>
    <w:rsid w:val="00F34191"/>
    <w:rsid w:val="00F353F5"/>
    <w:rsid w:val="00F35641"/>
    <w:rsid w:val="00F36863"/>
    <w:rsid w:val="00F37B80"/>
    <w:rsid w:val="00F40EE4"/>
    <w:rsid w:val="00F411F9"/>
    <w:rsid w:val="00F4193B"/>
    <w:rsid w:val="00F41B3A"/>
    <w:rsid w:val="00F451DC"/>
    <w:rsid w:val="00F453CC"/>
    <w:rsid w:val="00F464AC"/>
    <w:rsid w:val="00F467B0"/>
    <w:rsid w:val="00F46B88"/>
    <w:rsid w:val="00F47BFF"/>
    <w:rsid w:val="00F504CF"/>
    <w:rsid w:val="00F50744"/>
    <w:rsid w:val="00F514CF"/>
    <w:rsid w:val="00F519DA"/>
    <w:rsid w:val="00F519EB"/>
    <w:rsid w:val="00F531EC"/>
    <w:rsid w:val="00F55F02"/>
    <w:rsid w:val="00F5750D"/>
    <w:rsid w:val="00F5750F"/>
    <w:rsid w:val="00F60165"/>
    <w:rsid w:val="00F60A3E"/>
    <w:rsid w:val="00F60A87"/>
    <w:rsid w:val="00F60E76"/>
    <w:rsid w:val="00F613C7"/>
    <w:rsid w:val="00F613E9"/>
    <w:rsid w:val="00F61723"/>
    <w:rsid w:val="00F62BA3"/>
    <w:rsid w:val="00F62E62"/>
    <w:rsid w:val="00F6396A"/>
    <w:rsid w:val="00F64118"/>
    <w:rsid w:val="00F643CE"/>
    <w:rsid w:val="00F646CB"/>
    <w:rsid w:val="00F65389"/>
    <w:rsid w:val="00F6557E"/>
    <w:rsid w:val="00F65A44"/>
    <w:rsid w:val="00F6636C"/>
    <w:rsid w:val="00F663D8"/>
    <w:rsid w:val="00F66BFD"/>
    <w:rsid w:val="00F67C3A"/>
    <w:rsid w:val="00F70786"/>
    <w:rsid w:val="00F70828"/>
    <w:rsid w:val="00F70AF1"/>
    <w:rsid w:val="00F735DF"/>
    <w:rsid w:val="00F739E0"/>
    <w:rsid w:val="00F744A0"/>
    <w:rsid w:val="00F76932"/>
    <w:rsid w:val="00F805B0"/>
    <w:rsid w:val="00F81968"/>
    <w:rsid w:val="00F82533"/>
    <w:rsid w:val="00F8281E"/>
    <w:rsid w:val="00F82C55"/>
    <w:rsid w:val="00F82FF2"/>
    <w:rsid w:val="00F83C58"/>
    <w:rsid w:val="00F83C71"/>
    <w:rsid w:val="00F84788"/>
    <w:rsid w:val="00F851F3"/>
    <w:rsid w:val="00F85A5D"/>
    <w:rsid w:val="00F901A4"/>
    <w:rsid w:val="00F90D57"/>
    <w:rsid w:val="00F9319F"/>
    <w:rsid w:val="00F93F87"/>
    <w:rsid w:val="00F94B2E"/>
    <w:rsid w:val="00F94F55"/>
    <w:rsid w:val="00F955AD"/>
    <w:rsid w:val="00F95630"/>
    <w:rsid w:val="00F9676D"/>
    <w:rsid w:val="00F96D9C"/>
    <w:rsid w:val="00F974D7"/>
    <w:rsid w:val="00F97AB2"/>
    <w:rsid w:val="00FA017B"/>
    <w:rsid w:val="00FA05C8"/>
    <w:rsid w:val="00FA0A66"/>
    <w:rsid w:val="00FA126A"/>
    <w:rsid w:val="00FA2E36"/>
    <w:rsid w:val="00FA3A5C"/>
    <w:rsid w:val="00FA3F61"/>
    <w:rsid w:val="00FA5BAF"/>
    <w:rsid w:val="00FA6283"/>
    <w:rsid w:val="00FA693A"/>
    <w:rsid w:val="00FA779D"/>
    <w:rsid w:val="00FB02CF"/>
    <w:rsid w:val="00FB3A75"/>
    <w:rsid w:val="00FB45FC"/>
    <w:rsid w:val="00FB5AB4"/>
    <w:rsid w:val="00FB5E03"/>
    <w:rsid w:val="00FB6637"/>
    <w:rsid w:val="00FB6ACC"/>
    <w:rsid w:val="00FB6AF0"/>
    <w:rsid w:val="00FB6C9D"/>
    <w:rsid w:val="00FC0529"/>
    <w:rsid w:val="00FC24A8"/>
    <w:rsid w:val="00FC2D2B"/>
    <w:rsid w:val="00FC60DC"/>
    <w:rsid w:val="00FC75E5"/>
    <w:rsid w:val="00FC7EFA"/>
    <w:rsid w:val="00FD209D"/>
    <w:rsid w:val="00FD2D56"/>
    <w:rsid w:val="00FD2F3B"/>
    <w:rsid w:val="00FD3331"/>
    <w:rsid w:val="00FD4A42"/>
    <w:rsid w:val="00FD5FC5"/>
    <w:rsid w:val="00FD6E64"/>
    <w:rsid w:val="00FD6FC7"/>
    <w:rsid w:val="00FD748E"/>
    <w:rsid w:val="00FE153A"/>
    <w:rsid w:val="00FE3B96"/>
    <w:rsid w:val="00FE4345"/>
    <w:rsid w:val="00FE59DE"/>
    <w:rsid w:val="00FE5A70"/>
    <w:rsid w:val="00FF0A23"/>
    <w:rsid w:val="00FF2B6C"/>
    <w:rsid w:val="00FF3AB2"/>
    <w:rsid w:val="00FF3CED"/>
    <w:rsid w:val="00FF42B8"/>
    <w:rsid w:val="00FF5A0B"/>
    <w:rsid w:val="00FF6472"/>
    <w:rsid w:val="00FF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013D"/>
    <w:rPr>
      <w:lang w:val="en-GB" w:eastAsia="fr-FR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42B8"/>
    <w:pPr>
      <w:keepNext/>
      <w:tabs>
        <w:tab w:val="right" w:pos="14571"/>
      </w:tabs>
      <w:jc w:val="both"/>
      <w:outlineLvl w:val="0"/>
    </w:pPr>
    <w:rPr>
      <w:rFonts w:ascii="Tahoma" w:hAnsi="Tahoma" w:cs="Tahoma"/>
      <w:b/>
      <w:bCs/>
      <w:sz w:val="30"/>
      <w:szCs w:val="30"/>
    </w:rPr>
  </w:style>
  <w:style w:type="paragraph" w:styleId="Nadpis2">
    <w:name w:val="heading 2"/>
    <w:basedOn w:val="Normlny"/>
    <w:next w:val="Normlny"/>
    <w:link w:val="Nadpis2Char"/>
    <w:uiPriority w:val="9"/>
    <w:qFormat/>
    <w:rsid w:val="00FF42B8"/>
    <w:pPr>
      <w:keepNext/>
      <w:jc w:val="center"/>
      <w:outlineLvl w:val="1"/>
    </w:pPr>
    <w:rPr>
      <w:rFonts w:ascii="Tahoma" w:hAnsi="Tahoma" w:cs="Tahoma"/>
      <w:sz w:val="30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FF42B8"/>
    <w:pPr>
      <w:keepNext/>
      <w:ind w:left="720"/>
      <w:jc w:val="both"/>
      <w:outlineLvl w:val="2"/>
    </w:pPr>
    <w:rPr>
      <w:i/>
      <w:i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FF42B8"/>
    <w:pPr>
      <w:keepNext/>
      <w:ind w:left="142"/>
      <w:outlineLvl w:val="3"/>
    </w:pPr>
    <w:rPr>
      <w:rFonts w:ascii="Arial" w:hAnsi="Arial" w:cs="Arial"/>
      <w:i/>
      <w:iCs/>
      <w:color w:val="000000"/>
    </w:rPr>
  </w:style>
  <w:style w:type="paragraph" w:styleId="Nadpis5">
    <w:name w:val="heading 5"/>
    <w:basedOn w:val="Normlny"/>
    <w:next w:val="Normlny"/>
    <w:link w:val="Nadpis5Char"/>
    <w:uiPriority w:val="9"/>
    <w:qFormat/>
    <w:rsid w:val="00FF42B8"/>
    <w:pPr>
      <w:keepNext/>
      <w:ind w:left="142"/>
      <w:outlineLvl w:val="4"/>
    </w:pPr>
    <w:rPr>
      <w:rFonts w:ascii="Arial" w:hAnsi="Arial" w:cs="Arial"/>
      <w:b/>
      <w:bCs/>
      <w:color w:val="000000"/>
    </w:rPr>
  </w:style>
  <w:style w:type="paragraph" w:styleId="Nadpis6">
    <w:name w:val="heading 6"/>
    <w:basedOn w:val="Normlny"/>
    <w:next w:val="Normlny"/>
    <w:link w:val="Nadpis6Char"/>
    <w:uiPriority w:val="9"/>
    <w:qFormat/>
    <w:rsid w:val="00FF42B8"/>
    <w:pPr>
      <w:keepNext/>
      <w:jc w:val="both"/>
      <w:outlineLvl w:val="5"/>
    </w:pPr>
    <w:rPr>
      <w:rFonts w:ascii="Arial" w:hAnsi="Arial" w:cs="Arial"/>
      <w:b/>
      <w:bCs/>
      <w:i/>
      <w:iCs/>
    </w:rPr>
  </w:style>
  <w:style w:type="paragraph" w:styleId="Nadpis7">
    <w:name w:val="heading 7"/>
    <w:basedOn w:val="Normlny"/>
    <w:next w:val="Normlny"/>
    <w:link w:val="Nadpis7Char"/>
    <w:uiPriority w:val="9"/>
    <w:qFormat/>
    <w:rsid w:val="00FF42B8"/>
    <w:pPr>
      <w:keepNext/>
      <w:ind w:left="142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y"/>
    <w:next w:val="Normlny"/>
    <w:link w:val="Nadpis8Char"/>
    <w:uiPriority w:val="9"/>
    <w:qFormat/>
    <w:rsid w:val="00FF42B8"/>
    <w:pPr>
      <w:keepNext/>
      <w:jc w:val="both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FF42B8"/>
    <w:pPr>
      <w:keepNext/>
      <w:ind w:left="142"/>
      <w:jc w:val="both"/>
      <w:outlineLvl w:val="8"/>
    </w:pPr>
    <w:rPr>
      <w:rFonts w:ascii="Arial" w:hAnsi="Arial" w:cs="Arial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7397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C7397"/>
    <w:rPr>
      <w:rFonts w:ascii="Cambria" w:eastAsia="Times New Roman" w:hAnsi="Cambria" w:cs="Times New Roman"/>
      <w:b/>
      <w:bCs/>
      <w:i/>
      <w:iCs/>
      <w:sz w:val="28"/>
      <w:szCs w:val="28"/>
      <w:lang w:val="en-GB" w:eastAsia="fr-FR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7397"/>
    <w:rPr>
      <w:rFonts w:ascii="Cambria" w:eastAsia="Times New Roman" w:hAnsi="Cambria" w:cs="Times New Roman"/>
      <w:b/>
      <w:bCs/>
      <w:sz w:val="26"/>
      <w:szCs w:val="26"/>
      <w:lang w:val="en-GB" w:eastAsia="fr-FR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C7397"/>
    <w:rPr>
      <w:rFonts w:ascii="Calibri" w:eastAsia="Times New Roman" w:hAnsi="Calibri" w:cs="Times New Roman"/>
      <w:b/>
      <w:bCs/>
      <w:sz w:val="28"/>
      <w:szCs w:val="28"/>
      <w:lang w:val="en-GB" w:eastAsia="fr-FR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C7397"/>
    <w:rPr>
      <w:rFonts w:ascii="Calibri" w:eastAsia="Times New Roman" w:hAnsi="Calibri" w:cs="Times New Roman"/>
      <w:b/>
      <w:bCs/>
      <w:i/>
      <w:iCs/>
      <w:sz w:val="26"/>
      <w:szCs w:val="26"/>
      <w:lang w:val="en-GB" w:eastAsia="fr-FR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C7397"/>
    <w:rPr>
      <w:rFonts w:ascii="Calibri" w:eastAsia="Times New Roman" w:hAnsi="Calibri" w:cs="Times New Roman"/>
      <w:b/>
      <w:bCs/>
      <w:sz w:val="22"/>
      <w:szCs w:val="22"/>
      <w:lang w:val="en-GB" w:eastAsia="fr-FR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C7397"/>
    <w:rPr>
      <w:rFonts w:ascii="Calibri" w:eastAsia="Times New Roman" w:hAnsi="Calibri" w:cs="Times New Roman"/>
      <w:sz w:val="24"/>
      <w:szCs w:val="24"/>
      <w:lang w:val="en-GB" w:eastAsia="fr-FR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C7397"/>
    <w:rPr>
      <w:rFonts w:ascii="Calibri" w:eastAsia="Times New Roman" w:hAnsi="Calibri" w:cs="Times New Roman"/>
      <w:i/>
      <w:iCs/>
      <w:sz w:val="24"/>
      <w:szCs w:val="24"/>
      <w:lang w:val="en-GB" w:eastAsia="fr-FR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C7397"/>
    <w:rPr>
      <w:rFonts w:ascii="Cambria" w:eastAsia="Times New Roman" w:hAnsi="Cambria" w:cs="Times New Roman"/>
      <w:sz w:val="22"/>
      <w:szCs w:val="22"/>
      <w:lang w:val="en-GB" w:eastAsia="fr-FR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FF42B8"/>
    <w:rPr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7397"/>
    <w:rPr>
      <w:lang w:val="en-GB" w:eastAsia="fr-FR"/>
    </w:rPr>
  </w:style>
  <w:style w:type="paragraph" w:styleId="Hlavika">
    <w:name w:val="header"/>
    <w:basedOn w:val="Normlny"/>
    <w:link w:val="HlavikaChar"/>
    <w:uiPriority w:val="99"/>
    <w:rsid w:val="00FF42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C7397"/>
    <w:rPr>
      <w:lang w:val="en-GB" w:eastAsia="fr-FR"/>
    </w:rPr>
  </w:style>
  <w:style w:type="paragraph" w:styleId="Pta">
    <w:name w:val="footer"/>
    <w:basedOn w:val="Normlny"/>
    <w:link w:val="PtaChar"/>
    <w:uiPriority w:val="99"/>
    <w:rsid w:val="00FF42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C60DC"/>
    <w:rPr>
      <w:lang w:val="en-GB" w:eastAsia="fr-FR"/>
    </w:rPr>
  </w:style>
  <w:style w:type="paragraph" w:styleId="Zarkazkladnhotextu">
    <w:name w:val="Body Text Indent"/>
    <w:basedOn w:val="Normlny"/>
    <w:link w:val="ZarkazkladnhotextuChar"/>
    <w:uiPriority w:val="99"/>
    <w:rsid w:val="00FF42B8"/>
    <w:pPr>
      <w:ind w:left="720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C7397"/>
    <w:rPr>
      <w:lang w:val="en-GB" w:eastAsia="fr-FR"/>
    </w:rPr>
  </w:style>
  <w:style w:type="paragraph" w:styleId="Zarkazkladnhotextu2">
    <w:name w:val="Body Text Indent 2"/>
    <w:basedOn w:val="Normlny"/>
    <w:link w:val="Zarkazkladnhotextu2Char"/>
    <w:uiPriority w:val="99"/>
    <w:rsid w:val="00FF42B8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C7397"/>
    <w:rPr>
      <w:lang w:val="en-GB" w:eastAsia="fr-FR"/>
    </w:rPr>
  </w:style>
  <w:style w:type="paragraph" w:styleId="Zarkazkladnhotextu3">
    <w:name w:val="Body Text Indent 3"/>
    <w:basedOn w:val="Normlny"/>
    <w:link w:val="Zarkazkladnhotextu3Char"/>
    <w:uiPriority w:val="99"/>
    <w:rsid w:val="00FF42B8"/>
    <w:pPr>
      <w:ind w:left="142"/>
    </w:pPr>
    <w:rPr>
      <w:rFonts w:ascii="Arial" w:hAnsi="Arial" w:cs="Arial"/>
      <w:color w:val="00000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4C7397"/>
    <w:rPr>
      <w:sz w:val="16"/>
      <w:szCs w:val="16"/>
      <w:lang w:val="en-GB" w:eastAsia="fr-FR"/>
    </w:rPr>
  </w:style>
  <w:style w:type="paragraph" w:customStyle="1" w:styleId="p3">
    <w:name w:val="p3"/>
    <w:basedOn w:val="Normlny"/>
    <w:rsid w:val="00FF42B8"/>
    <w:pPr>
      <w:spacing w:line="240" w:lineRule="atLeast"/>
      <w:ind w:left="1120" w:hanging="1120"/>
      <w:jc w:val="both"/>
    </w:pPr>
    <w:rPr>
      <w:rFonts w:ascii="Times" w:hAnsi="Times" w:cs="Times"/>
      <w:sz w:val="24"/>
      <w:szCs w:val="24"/>
    </w:rPr>
  </w:style>
  <w:style w:type="paragraph" w:customStyle="1" w:styleId="t1">
    <w:name w:val="t1"/>
    <w:basedOn w:val="Normlny"/>
    <w:rsid w:val="00FF42B8"/>
    <w:pPr>
      <w:tabs>
        <w:tab w:val="decimal" w:pos="100"/>
        <w:tab w:val="left" w:pos="1120"/>
      </w:tabs>
      <w:spacing w:line="240" w:lineRule="atLeast"/>
    </w:pPr>
    <w:rPr>
      <w:rFonts w:ascii="Times" w:hAnsi="Times" w:cs="Times"/>
      <w:sz w:val="24"/>
      <w:szCs w:val="24"/>
    </w:rPr>
  </w:style>
  <w:style w:type="paragraph" w:customStyle="1" w:styleId="BodyText21">
    <w:name w:val="Body Text 21"/>
    <w:basedOn w:val="Normlny"/>
    <w:rsid w:val="00FF42B8"/>
    <w:pPr>
      <w:ind w:left="709"/>
      <w:jc w:val="both"/>
    </w:pPr>
    <w:rPr>
      <w:color w:val="0000FF"/>
      <w:sz w:val="24"/>
      <w:szCs w:val="24"/>
      <w:lang w:val="en-US"/>
    </w:rPr>
  </w:style>
  <w:style w:type="paragraph" w:styleId="Zkladntext">
    <w:name w:val="Body Text"/>
    <w:basedOn w:val="Normlny"/>
    <w:link w:val="ZkladntextChar"/>
    <w:uiPriority w:val="99"/>
    <w:rsid w:val="00FF42B8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C7397"/>
    <w:rPr>
      <w:lang w:val="en-GB" w:eastAsia="fr-FR"/>
    </w:rPr>
  </w:style>
  <w:style w:type="paragraph" w:styleId="Zkladntext2">
    <w:name w:val="Body Text 2"/>
    <w:basedOn w:val="Normlny"/>
    <w:link w:val="Zkladntext2Char"/>
    <w:uiPriority w:val="99"/>
    <w:rsid w:val="00FF42B8"/>
    <w:pPr>
      <w:jc w:val="both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C7397"/>
    <w:rPr>
      <w:lang w:val="en-GB" w:eastAsia="fr-FR"/>
    </w:rPr>
  </w:style>
  <w:style w:type="paragraph" w:styleId="Zkladntext3">
    <w:name w:val="Body Text 3"/>
    <w:basedOn w:val="Normlny"/>
    <w:link w:val="Zkladntext3Char"/>
    <w:uiPriority w:val="99"/>
    <w:rsid w:val="00FF4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</w:pPr>
    <w:rPr>
      <w:rFonts w:ascii="Arial" w:hAnsi="Arial" w:cs="Arial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C7397"/>
    <w:rPr>
      <w:sz w:val="16"/>
      <w:szCs w:val="16"/>
      <w:lang w:val="en-GB" w:eastAsia="fr-FR"/>
    </w:rPr>
  </w:style>
  <w:style w:type="paragraph" w:styleId="Oznaitext">
    <w:name w:val="Block Text"/>
    <w:basedOn w:val="Normlny"/>
    <w:uiPriority w:val="99"/>
    <w:rsid w:val="00FF42B8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142" w:right="213"/>
    </w:pPr>
    <w:rPr>
      <w:rFonts w:ascii="Arial" w:hAnsi="Arial" w:cs="Arial"/>
    </w:rPr>
  </w:style>
  <w:style w:type="paragraph" w:customStyle="1" w:styleId="IndentQ">
    <w:name w:val="Indent Q"/>
    <w:basedOn w:val="Normlny"/>
    <w:rsid w:val="00FF42B8"/>
    <w:pPr>
      <w:keepNext/>
      <w:spacing w:after="240"/>
      <w:ind w:left="567" w:hanging="567"/>
      <w:jc w:val="both"/>
    </w:pPr>
    <w:rPr>
      <w:i/>
      <w:iCs/>
      <w:sz w:val="26"/>
      <w:szCs w:val="26"/>
    </w:rPr>
  </w:style>
  <w:style w:type="paragraph" w:styleId="Textkomentra">
    <w:name w:val="annotation text"/>
    <w:basedOn w:val="Normlny"/>
    <w:link w:val="TextkomentraChar"/>
    <w:uiPriority w:val="99"/>
    <w:semiHidden/>
    <w:rsid w:val="00FF42B8"/>
    <w:pPr>
      <w:jc w:val="both"/>
    </w:pPr>
    <w:rPr>
      <w:sz w:val="26"/>
      <w:szCs w:val="2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7397"/>
    <w:rPr>
      <w:lang w:val="en-GB" w:eastAsia="fr-FR"/>
    </w:rPr>
  </w:style>
  <w:style w:type="paragraph" w:customStyle="1" w:styleId="IndentA">
    <w:name w:val="Indent A"/>
    <w:basedOn w:val="Normlny"/>
    <w:rsid w:val="00FF42B8"/>
    <w:pPr>
      <w:spacing w:after="240"/>
      <w:ind w:left="567" w:hanging="567"/>
      <w:jc w:val="both"/>
    </w:pPr>
    <w:rPr>
      <w:sz w:val="26"/>
      <w:szCs w:val="26"/>
    </w:rPr>
  </w:style>
  <w:style w:type="character" w:styleId="Odkaznapoznmkupodiarou">
    <w:name w:val="footnote reference"/>
    <w:basedOn w:val="Predvolenpsmoodseku"/>
    <w:uiPriority w:val="99"/>
    <w:semiHidden/>
    <w:rsid w:val="00FF42B8"/>
    <w:rPr>
      <w:vertAlign w:val="superscript"/>
    </w:rPr>
  </w:style>
  <w:style w:type="paragraph" w:styleId="Nzov">
    <w:name w:val="Title"/>
    <w:basedOn w:val="Normlny"/>
    <w:link w:val="NzovChar"/>
    <w:uiPriority w:val="10"/>
    <w:qFormat/>
    <w:rsid w:val="006E7113"/>
    <w:pPr>
      <w:jc w:val="center"/>
    </w:pPr>
    <w:rPr>
      <w:b/>
      <w:bCs/>
      <w:sz w:val="28"/>
      <w:szCs w:val="28"/>
      <w:lang w:val="fr-FR"/>
    </w:rPr>
  </w:style>
  <w:style w:type="character" w:customStyle="1" w:styleId="NzovChar">
    <w:name w:val="Názov Char"/>
    <w:basedOn w:val="Predvolenpsmoodseku"/>
    <w:link w:val="Nzov"/>
    <w:uiPriority w:val="10"/>
    <w:rsid w:val="004C7397"/>
    <w:rPr>
      <w:rFonts w:ascii="Cambria" w:eastAsia="Times New Roman" w:hAnsi="Cambria" w:cs="Times New Roman"/>
      <w:b/>
      <w:bCs/>
      <w:kern w:val="28"/>
      <w:sz w:val="32"/>
      <w:szCs w:val="32"/>
      <w:lang w:val="en-GB" w:eastAsia="fr-FR"/>
    </w:rPr>
  </w:style>
  <w:style w:type="paragraph" w:customStyle="1" w:styleId="p4">
    <w:name w:val="p4"/>
    <w:basedOn w:val="Normlny"/>
    <w:rsid w:val="006E7113"/>
    <w:pPr>
      <w:widowControl w:val="0"/>
      <w:tabs>
        <w:tab w:val="left" w:pos="833"/>
      </w:tabs>
      <w:spacing w:line="240" w:lineRule="atLeast"/>
      <w:ind w:left="607" w:hanging="833"/>
    </w:pPr>
    <w:rPr>
      <w:sz w:val="24"/>
      <w:szCs w:val="24"/>
    </w:rPr>
  </w:style>
  <w:style w:type="paragraph" w:customStyle="1" w:styleId="p5">
    <w:name w:val="p5"/>
    <w:basedOn w:val="Normlny"/>
    <w:rsid w:val="006E7113"/>
    <w:pPr>
      <w:widowControl w:val="0"/>
      <w:spacing w:line="240" w:lineRule="atLeast"/>
    </w:pPr>
    <w:rPr>
      <w:sz w:val="24"/>
      <w:szCs w:val="24"/>
    </w:rPr>
  </w:style>
  <w:style w:type="paragraph" w:customStyle="1" w:styleId="p6">
    <w:name w:val="p6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p7">
    <w:name w:val="p7"/>
    <w:basedOn w:val="Normlny"/>
    <w:rsid w:val="006E7113"/>
    <w:pPr>
      <w:widowControl w:val="0"/>
      <w:spacing w:line="521" w:lineRule="atLeast"/>
    </w:pPr>
    <w:rPr>
      <w:sz w:val="24"/>
      <w:szCs w:val="24"/>
    </w:rPr>
  </w:style>
  <w:style w:type="paragraph" w:customStyle="1" w:styleId="p8">
    <w:name w:val="p8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inhopg3">
    <w:name w:val="inhopg 3"/>
    <w:basedOn w:val="Normlny"/>
    <w:rsid w:val="00C77A3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Arial Narrow" w:hAnsi="Arial Narrow"/>
      <w:sz w:val="24"/>
      <w:lang w:val="en-US" w:eastAsia="nl-NL"/>
    </w:rPr>
  </w:style>
  <w:style w:type="paragraph" w:customStyle="1" w:styleId="OmniPage6">
    <w:name w:val="OmniPage #6"/>
    <w:basedOn w:val="Normlny"/>
    <w:rsid w:val="00C77A3E"/>
    <w:pPr>
      <w:tabs>
        <w:tab w:val="left" w:pos="376"/>
        <w:tab w:val="left" w:pos="795"/>
        <w:tab w:val="left" w:pos="1173"/>
        <w:tab w:val="left" w:pos="7623"/>
        <w:tab w:val="right" w:pos="9067"/>
      </w:tabs>
      <w:ind w:left="1519" w:right="100"/>
    </w:pPr>
    <w:rPr>
      <w:rFonts w:ascii="Arial" w:hAnsi="Arial"/>
      <w:noProof/>
      <w:lang w:val="en-US" w:eastAsia="nl-NL"/>
    </w:rPr>
  </w:style>
  <w:style w:type="paragraph" w:customStyle="1" w:styleId="OmniPage258">
    <w:name w:val="OmniPage #258"/>
    <w:basedOn w:val="Normlny"/>
    <w:rsid w:val="00E25A30"/>
    <w:pPr>
      <w:tabs>
        <w:tab w:val="left" w:pos="1205"/>
        <w:tab w:val="right" w:pos="7610"/>
      </w:tabs>
      <w:ind w:left="2140" w:right="1490"/>
    </w:pPr>
    <w:rPr>
      <w:rFonts w:ascii="Arial" w:hAnsi="Arial"/>
      <w:noProof/>
      <w:lang w:val="en-US" w:eastAsia="nl-NL"/>
    </w:rPr>
  </w:style>
  <w:style w:type="paragraph" w:customStyle="1" w:styleId="OmniPage259">
    <w:name w:val="OmniPage #259"/>
    <w:basedOn w:val="Normlny"/>
    <w:rsid w:val="00E25A30"/>
    <w:pPr>
      <w:ind w:left="2124" w:right="286"/>
    </w:pPr>
    <w:rPr>
      <w:rFonts w:ascii="Arial" w:hAnsi="Arial"/>
      <w:noProof/>
      <w:lang w:val="en-US" w:eastAsia="nl-NL"/>
    </w:rPr>
  </w:style>
  <w:style w:type="paragraph" w:customStyle="1" w:styleId="OmniPage1026">
    <w:name w:val="OmniPage #1026"/>
    <w:basedOn w:val="Normlny"/>
    <w:rsid w:val="00FA05C8"/>
    <w:pPr>
      <w:ind w:left="2162" w:right="213"/>
    </w:pPr>
    <w:rPr>
      <w:rFonts w:ascii="Arial" w:hAnsi="Arial"/>
      <w:noProof/>
      <w:lang w:val="en-US" w:eastAsia="nl-NL"/>
    </w:rPr>
  </w:style>
  <w:style w:type="paragraph" w:customStyle="1" w:styleId="OmniPage1027">
    <w:name w:val="OmniPage #1027"/>
    <w:basedOn w:val="Normlny"/>
    <w:rsid w:val="00FA05C8"/>
    <w:pPr>
      <w:ind w:left="2162" w:right="761"/>
    </w:pPr>
    <w:rPr>
      <w:rFonts w:ascii="Arial" w:hAnsi="Arial"/>
      <w:noProof/>
      <w:lang w:val="en-US" w:eastAsia="nl-NL"/>
    </w:rPr>
  </w:style>
  <w:style w:type="paragraph" w:customStyle="1" w:styleId="OmniPage1028">
    <w:name w:val="OmniPage #1028"/>
    <w:basedOn w:val="Normlny"/>
    <w:rsid w:val="00FA05C8"/>
    <w:pPr>
      <w:tabs>
        <w:tab w:val="left" w:pos="802"/>
        <w:tab w:val="right" w:pos="8868"/>
      </w:tabs>
      <w:ind w:left="1743" w:right="233"/>
    </w:pPr>
    <w:rPr>
      <w:rFonts w:ascii="Arial" w:hAnsi="Arial"/>
      <w:noProof/>
      <w:lang w:val="en-US" w:eastAsia="nl-NL"/>
    </w:rPr>
  </w:style>
  <w:style w:type="paragraph" w:customStyle="1" w:styleId="OmniPage1029">
    <w:name w:val="OmniPage #1029"/>
    <w:basedOn w:val="Normlny"/>
    <w:rsid w:val="00FA05C8"/>
    <w:pPr>
      <w:ind w:left="2180" w:right="4274"/>
    </w:pPr>
    <w:rPr>
      <w:rFonts w:ascii="Arial" w:hAnsi="Arial"/>
      <w:noProof/>
      <w:lang w:val="en-US" w:eastAsia="nl-NL"/>
    </w:rPr>
  </w:style>
  <w:style w:type="paragraph" w:customStyle="1" w:styleId="OmniPage1031">
    <w:name w:val="OmniPage #1031"/>
    <w:basedOn w:val="Normlny"/>
    <w:rsid w:val="00FA05C8"/>
    <w:pPr>
      <w:ind w:left="2179" w:right="6700"/>
    </w:pPr>
    <w:rPr>
      <w:rFonts w:ascii="Arial" w:hAnsi="Arial"/>
      <w:noProof/>
      <w:lang w:val="en-US" w:eastAsia="nl-NL"/>
    </w:rPr>
  </w:style>
  <w:style w:type="paragraph" w:customStyle="1" w:styleId="OmniPage1033">
    <w:name w:val="OmniPage #1033"/>
    <w:basedOn w:val="Normlny"/>
    <w:rsid w:val="00FA05C8"/>
    <w:pPr>
      <w:tabs>
        <w:tab w:val="right" w:pos="9001"/>
      </w:tabs>
      <w:ind w:left="2150" w:right="100"/>
    </w:pPr>
    <w:rPr>
      <w:rFonts w:ascii="Arial" w:hAnsi="Arial"/>
      <w:noProof/>
      <w:lang w:val="en-US" w:eastAsia="nl-NL"/>
    </w:rPr>
  </w:style>
  <w:style w:type="paragraph" w:customStyle="1" w:styleId="OmniPage1282">
    <w:name w:val="OmniPage #1282"/>
    <w:basedOn w:val="Normlny"/>
    <w:rsid w:val="00FA05C8"/>
    <w:pPr>
      <w:tabs>
        <w:tab w:val="right" w:pos="9005"/>
      </w:tabs>
      <w:ind w:left="2144" w:right="100"/>
    </w:pPr>
    <w:rPr>
      <w:rFonts w:ascii="Arial" w:hAnsi="Arial"/>
      <w:noProof/>
      <w:lang w:val="en-US" w:eastAsia="nl-NL"/>
    </w:rPr>
  </w:style>
  <w:style w:type="paragraph" w:customStyle="1" w:styleId="OmniPage1538">
    <w:name w:val="OmniPage #1538"/>
    <w:basedOn w:val="Normlny"/>
    <w:rsid w:val="00FA05C8"/>
    <w:pPr>
      <w:ind w:left="2154" w:right="228"/>
    </w:pPr>
    <w:rPr>
      <w:rFonts w:ascii="Arial" w:hAnsi="Arial"/>
      <w:noProof/>
      <w:lang w:val="en-US" w:eastAsia="nl-NL"/>
    </w:rPr>
  </w:style>
  <w:style w:type="paragraph" w:customStyle="1" w:styleId="OmniPage1539">
    <w:name w:val="OmniPage #1539"/>
    <w:basedOn w:val="Normlny"/>
    <w:rsid w:val="00FA05C8"/>
    <w:pPr>
      <w:ind w:left="2140" w:right="4106"/>
    </w:pPr>
    <w:rPr>
      <w:rFonts w:ascii="Arial" w:hAnsi="Arial"/>
      <w:noProof/>
      <w:lang w:val="en-US" w:eastAsia="nl-NL"/>
    </w:rPr>
  </w:style>
  <w:style w:type="paragraph" w:customStyle="1" w:styleId="OmniPage1541">
    <w:name w:val="OmniPage #1541"/>
    <w:basedOn w:val="Normlny"/>
    <w:rsid w:val="00FA05C8"/>
    <w:pPr>
      <w:tabs>
        <w:tab w:val="left" w:pos="785"/>
        <w:tab w:val="right" w:pos="9002"/>
      </w:tabs>
      <w:ind w:left="1727" w:right="100"/>
    </w:pPr>
    <w:rPr>
      <w:rFonts w:ascii="Arial" w:hAnsi="Arial"/>
      <w:noProof/>
      <w:lang w:val="en-US" w:eastAsia="nl-NL"/>
    </w:rPr>
  </w:style>
  <w:style w:type="character" w:styleId="Hypertextovprepojenie">
    <w:name w:val="Hyperlink"/>
    <w:basedOn w:val="Predvolenpsmoodseku"/>
    <w:uiPriority w:val="99"/>
    <w:rsid w:val="002436F9"/>
    <w:rPr>
      <w:color w:val="0000FF"/>
      <w:u w:val="single"/>
    </w:rPr>
  </w:style>
  <w:style w:type="paragraph" w:customStyle="1" w:styleId="scher">
    <w:name w:val="scher"/>
    <w:basedOn w:val="Normlny"/>
    <w:rsid w:val="00623418"/>
    <w:pPr>
      <w:jc w:val="both"/>
    </w:pPr>
    <w:rPr>
      <w:color w:val="000000"/>
      <w:sz w:val="24"/>
      <w:lang w:val="fr-FR"/>
    </w:rPr>
  </w:style>
  <w:style w:type="paragraph" w:customStyle="1" w:styleId="AmmTableauTitre1">
    <w:name w:val="AmmTableauTitre1"/>
    <w:basedOn w:val="Normlny"/>
    <w:rsid w:val="00B70D02"/>
    <w:pPr>
      <w:spacing w:before="120" w:after="120"/>
      <w:jc w:val="both"/>
    </w:pPr>
    <w:rPr>
      <w:rFonts w:ascii="Arial" w:hAnsi="Arial" w:cs="Arial"/>
      <w:b/>
      <w:sz w:val="22"/>
      <w:lang w:val="fr-FR"/>
    </w:rPr>
  </w:style>
  <w:style w:type="paragraph" w:customStyle="1" w:styleId="AmmTableauTitre2">
    <w:name w:val="AmmTableauTitre2"/>
    <w:basedOn w:val="Normlny"/>
    <w:rsid w:val="00B70D02"/>
    <w:pPr>
      <w:spacing w:before="120" w:after="120"/>
    </w:pPr>
    <w:rPr>
      <w:rFonts w:ascii="Arial" w:hAnsi="Arial" w:cs="Arial"/>
      <w:b/>
      <w:sz w:val="22"/>
      <w:u w:val="single"/>
      <w:lang w:val="fr-FR"/>
    </w:rPr>
  </w:style>
  <w:style w:type="paragraph" w:customStyle="1" w:styleId="AmmTableauTitre3">
    <w:name w:val="AmmTableauTitre3"/>
    <w:basedOn w:val="Normlny"/>
    <w:rsid w:val="00B70D02"/>
    <w:pPr>
      <w:spacing w:before="240" w:after="60"/>
    </w:pPr>
    <w:rPr>
      <w:rFonts w:ascii="Arial" w:hAnsi="Arial" w:cs="Arial"/>
      <w:b/>
      <w:sz w:val="22"/>
      <w:lang w:val="fr-FR"/>
    </w:rPr>
  </w:style>
  <w:style w:type="paragraph" w:customStyle="1" w:styleId="AmmTableauCorpsTexte">
    <w:name w:val="AmmTableauCorpsTexte"/>
    <w:basedOn w:val="Normlny"/>
    <w:rsid w:val="00B70D02"/>
    <w:pPr>
      <w:spacing w:after="57"/>
    </w:pPr>
    <w:rPr>
      <w:rFonts w:ascii="Arial" w:hAnsi="Arial" w:cs="Arial"/>
      <w:i/>
      <w:sz w:val="22"/>
      <w:lang w:val="fr-FR"/>
    </w:rPr>
  </w:style>
  <w:style w:type="paragraph" w:customStyle="1" w:styleId="Preformatted">
    <w:name w:val="Preformatted"/>
    <w:basedOn w:val="Normlny"/>
    <w:rsid w:val="00671A0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lang w:eastAsia="en-US"/>
    </w:rPr>
  </w:style>
  <w:style w:type="character" w:styleId="slostrany">
    <w:name w:val="page number"/>
    <w:basedOn w:val="Predvolenpsmoodseku"/>
    <w:uiPriority w:val="99"/>
    <w:rsid w:val="00B96D01"/>
    <w:rPr>
      <w:rFonts w:cs="Times New Roman"/>
    </w:rPr>
  </w:style>
  <w:style w:type="paragraph" w:customStyle="1" w:styleId="DefaultText">
    <w:name w:val="Default Text"/>
    <w:basedOn w:val="Normlny"/>
    <w:rsid w:val="00AC2CB4"/>
    <w:rPr>
      <w:sz w:val="24"/>
      <w:lang w:val="en-US" w:eastAsia="sv-SE"/>
    </w:rPr>
  </w:style>
  <w:style w:type="paragraph" w:customStyle="1" w:styleId="KNTabellnFormat">
    <w:name w:val="KNTabellnFormat"/>
    <w:basedOn w:val="Normlny"/>
    <w:rsid w:val="00463A69"/>
    <w:rPr>
      <w:rFonts w:ascii="Arial" w:hAnsi="Arial"/>
      <w:sz w:val="22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352A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7397"/>
    <w:rPr>
      <w:sz w:val="0"/>
      <w:szCs w:val="0"/>
      <w:lang w:val="en-GB" w:eastAsia="fr-FR"/>
    </w:rPr>
  </w:style>
  <w:style w:type="table" w:styleId="Mriekatabuky">
    <w:name w:val="Table Grid"/>
    <w:basedOn w:val="Normlnatabuka"/>
    <w:uiPriority w:val="59"/>
    <w:rsid w:val="00631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sponse">
    <w:name w:val="Response"/>
    <w:basedOn w:val="Normlny"/>
    <w:rsid w:val="000975F0"/>
    <w:pPr>
      <w:spacing w:before="240" w:after="120"/>
      <w:ind w:left="1440"/>
      <w:jc w:val="both"/>
    </w:pPr>
    <w:rPr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503597"/>
    <w:rPr>
      <w:rFonts w:ascii="Courier New" w:hAnsi="Courier New"/>
      <w:lang w:eastAsia="pt-PT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C7397"/>
    <w:rPr>
      <w:rFonts w:ascii="Courier New" w:hAnsi="Courier New" w:cs="Courier New"/>
      <w:lang w:val="en-GB" w:eastAsia="fr-FR"/>
    </w:rPr>
  </w:style>
  <w:style w:type="paragraph" w:styleId="Normlnywebov">
    <w:name w:val="Normal (Web)"/>
    <w:basedOn w:val="Normlny"/>
    <w:uiPriority w:val="99"/>
    <w:rsid w:val="00622B5E"/>
    <w:pPr>
      <w:spacing w:before="100" w:beforeAutospacing="1" w:after="100" w:afterAutospacing="1"/>
    </w:pPr>
    <w:rPr>
      <w:sz w:val="24"/>
      <w:szCs w:val="24"/>
      <w:lang w:val="fr-FR"/>
    </w:rPr>
  </w:style>
  <w:style w:type="paragraph" w:customStyle="1" w:styleId="Normal1">
    <w:name w:val="Normal1"/>
    <w:basedOn w:val="Normlny"/>
    <w:rsid w:val="00EF5765"/>
    <w:pPr>
      <w:widowControl w:val="0"/>
      <w:suppressAutoHyphens/>
      <w:autoSpaceDE w:val="0"/>
    </w:pPr>
    <w:rPr>
      <w:sz w:val="24"/>
      <w:szCs w:val="24"/>
      <w:lang w:val="hu-HU"/>
    </w:rPr>
  </w:style>
  <w:style w:type="paragraph" w:customStyle="1" w:styleId="PHZMngelpunkt">
    <w:name w:val="PHZ Mängelpunkt"/>
    <w:basedOn w:val="Normlny"/>
    <w:rsid w:val="00A21EB2"/>
    <w:pPr>
      <w:numPr>
        <w:numId w:val="2"/>
      </w:numPr>
      <w:spacing w:before="120"/>
    </w:pPr>
    <w:rPr>
      <w:rFonts w:ascii="Arial" w:hAnsi="Arial"/>
      <w:sz w:val="22"/>
      <w:szCs w:val="24"/>
      <w:lang w:eastAsia="de-DE"/>
    </w:rPr>
  </w:style>
  <w:style w:type="paragraph" w:customStyle="1" w:styleId="P1">
    <w:name w:val="P1"/>
    <w:basedOn w:val="Normlny"/>
    <w:rsid w:val="00B96B50"/>
    <w:pPr>
      <w:ind w:left="567"/>
    </w:pPr>
    <w:rPr>
      <w:rFonts w:ascii="Arial" w:hAnsi="Arial"/>
      <w:sz w:val="24"/>
      <w:lang w:val="fr-FR"/>
    </w:rPr>
  </w:style>
  <w:style w:type="paragraph" w:styleId="Zoznamsodrkami">
    <w:name w:val="List Bullet"/>
    <w:basedOn w:val="Normlny"/>
    <w:autoRedefine/>
    <w:uiPriority w:val="99"/>
    <w:rsid w:val="00B96B50"/>
    <w:pPr>
      <w:numPr>
        <w:numId w:val="3"/>
      </w:numPr>
    </w:pPr>
    <w:rPr>
      <w:lang w:val="de-DE"/>
    </w:rPr>
  </w:style>
  <w:style w:type="paragraph" w:customStyle="1" w:styleId="Faksoverskrift">
    <w:name w:val="Faksoverskrift"/>
    <w:basedOn w:val="Normlny"/>
    <w:rsid w:val="00B96B50"/>
    <w:pPr>
      <w:tabs>
        <w:tab w:val="left" w:pos="357"/>
      </w:tabs>
      <w:overflowPunct w:val="0"/>
      <w:autoSpaceDE w:val="0"/>
      <w:autoSpaceDN w:val="0"/>
      <w:adjustRightInd w:val="0"/>
      <w:spacing w:before="480" w:after="240"/>
      <w:textAlignment w:val="baseline"/>
    </w:pPr>
    <w:rPr>
      <w:b/>
      <w:sz w:val="24"/>
      <w:lang w:val="nb-NO" w:eastAsia="nb-NO"/>
    </w:rPr>
  </w:style>
  <w:style w:type="paragraph" w:customStyle="1" w:styleId="Sarkain3">
    <w:name w:val="Sarkain3"/>
    <w:basedOn w:val="Normlny"/>
    <w:rsid w:val="00992C32"/>
    <w:pPr>
      <w:spacing w:before="240" w:after="360"/>
      <w:ind w:left="851"/>
    </w:pPr>
    <w:rPr>
      <w:sz w:val="24"/>
      <w:lang w:eastAsia="fi-FI"/>
    </w:rPr>
  </w:style>
  <w:style w:type="paragraph" w:customStyle="1" w:styleId="listssp">
    <w:name w:val="list:ssp"/>
    <w:basedOn w:val="Normlny"/>
    <w:rsid w:val="00992C3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customStyle="1" w:styleId="lhNonTOC12">
    <w:name w:val="lh:NonTOC12"/>
    <w:basedOn w:val="Normlny"/>
    <w:next w:val="Normlny"/>
    <w:rsid w:val="00942A34"/>
    <w:pPr>
      <w:keepNext/>
      <w:spacing w:after="240"/>
    </w:pPr>
    <w:rPr>
      <w:rFonts w:ascii="Arial" w:hAnsi="Arial"/>
      <w:b/>
      <w:sz w:val="24"/>
      <w:lang w:eastAsia="de-DE"/>
    </w:rPr>
  </w:style>
  <w:style w:type="paragraph" w:styleId="Textkoncovejpoznmky">
    <w:name w:val="endnote text"/>
    <w:basedOn w:val="Normlny"/>
    <w:next w:val="Normlny"/>
    <w:link w:val="TextkoncovejpoznmkyChar"/>
    <w:uiPriority w:val="99"/>
    <w:semiHidden/>
    <w:rsid w:val="00767C9D"/>
    <w:pPr>
      <w:tabs>
        <w:tab w:val="left" w:pos="567"/>
      </w:tabs>
    </w:pPr>
    <w:rPr>
      <w:sz w:val="22"/>
      <w:lang w:eastAsia="de-DE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4C7397"/>
    <w:rPr>
      <w:lang w:val="en-GB" w:eastAsia="fr-FR"/>
    </w:rPr>
  </w:style>
  <w:style w:type="paragraph" w:customStyle="1" w:styleId="Plattetekstvet">
    <w:name w:val="Platte tekst vet"/>
    <w:basedOn w:val="Zkladntext"/>
    <w:next w:val="Zkladntext"/>
    <w:rsid w:val="00DB2F4D"/>
    <w:pPr>
      <w:spacing w:after="120"/>
      <w:jc w:val="left"/>
    </w:pPr>
    <w:rPr>
      <w:rFonts w:cs="Times New Roman"/>
      <w:b/>
      <w:sz w:val="22"/>
      <w:lang w:val="nl-NL" w:eastAsia="en-US"/>
    </w:rPr>
  </w:style>
  <w:style w:type="paragraph" w:customStyle="1" w:styleId="fachinfotext">
    <w:name w:val="fachinfotext"/>
    <w:basedOn w:val="Normlny"/>
    <w:rsid w:val="00DB2F4D"/>
    <w:pPr>
      <w:tabs>
        <w:tab w:val="left" w:pos="284"/>
      </w:tabs>
      <w:jc w:val="both"/>
    </w:pPr>
    <w:rPr>
      <w:rFonts w:ascii="Arial" w:hAnsi="Arial" w:cs="Arial"/>
      <w:sz w:val="16"/>
      <w:szCs w:val="16"/>
      <w:lang w:val="de-DE" w:eastAsia="de-DE"/>
    </w:rPr>
  </w:style>
  <w:style w:type="paragraph" w:customStyle="1" w:styleId="Table">
    <w:name w:val="Table"/>
    <w:basedOn w:val="Normlny"/>
    <w:autoRedefine/>
    <w:rsid w:val="00415631"/>
    <w:pPr>
      <w:jc w:val="both"/>
    </w:pPr>
    <w:rPr>
      <w:rFonts w:ascii="Arial" w:hAnsi="Arial"/>
      <w:color w:val="000000"/>
      <w:sz w:val="22"/>
      <w:lang w:val="en-US" w:eastAsia="en-GB"/>
    </w:rPr>
  </w:style>
  <w:style w:type="paragraph" w:styleId="Normlnysozarkami">
    <w:name w:val="Normal Indent"/>
    <w:basedOn w:val="Normlny"/>
    <w:uiPriority w:val="99"/>
    <w:rsid w:val="006C259A"/>
    <w:pPr>
      <w:ind w:left="720"/>
    </w:pPr>
    <w:rPr>
      <w:sz w:val="24"/>
      <w:lang w:eastAsia="zh-TW"/>
    </w:rPr>
  </w:style>
  <w:style w:type="character" w:customStyle="1" w:styleId="body1">
    <w:name w:val="body1"/>
    <w:rsid w:val="00F82C55"/>
    <w:rPr>
      <w:rFonts w:ascii="Verdana" w:hAnsi="Verdana"/>
      <w:sz w:val="16"/>
    </w:rPr>
  </w:style>
  <w:style w:type="paragraph" w:customStyle="1" w:styleId="Musterberschrift112">
    <w:name w:val="Muster_Überschrift1_12"/>
    <w:basedOn w:val="Normlny"/>
    <w:rsid w:val="006A119E"/>
    <w:pPr>
      <w:tabs>
        <w:tab w:val="left" w:pos="567"/>
      </w:tabs>
      <w:spacing w:before="240" w:after="240"/>
      <w:ind w:left="567"/>
    </w:pPr>
    <w:rPr>
      <w:rFonts w:ascii="Arial" w:hAnsi="Arial" w:cs="Arial"/>
      <w:b/>
      <w:bCs/>
      <w:sz w:val="24"/>
      <w:szCs w:val="24"/>
      <w:lang w:val="de-DE" w:eastAsia="ar-SA"/>
    </w:rPr>
  </w:style>
  <w:style w:type="paragraph" w:customStyle="1" w:styleId="MusterTitelspcde">
    <w:name w:val="Muster_Titel_spcde"/>
    <w:basedOn w:val="Normlny"/>
    <w:rsid w:val="00411854"/>
    <w:pPr>
      <w:spacing w:before="480" w:after="480"/>
      <w:ind w:left="567"/>
      <w:jc w:val="center"/>
    </w:pPr>
    <w:rPr>
      <w:rFonts w:ascii="Arial" w:hAnsi="Arial" w:cs="Arial"/>
      <w:b/>
      <w:bCs/>
      <w:kern w:val="1"/>
      <w:sz w:val="28"/>
      <w:szCs w:val="28"/>
      <w:lang w:val="de-DE" w:eastAsia="ar-SA"/>
    </w:rPr>
  </w:style>
  <w:style w:type="paragraph" w:customStyle="1" w:styleId="MusterTitel">
    <w:name w:val="Muster_Titel"/>
    <w:basedOn w:val="Nzov"/>
    <w:rsid w:val="00135184"/>
    <w:pPr>
      <w:spacing w:before="480" w:after="480"/>
      <w:ind w:left="567"/>
    </w:pPr>
    <w:rPr>
      <w:rFonts w:ascii="Arial" w:hAnsi="Arial" w:cs="Arial"/>
      <w:b w:val="0"/>
      <w:bCs w:val="0"/>
      <w:kern w:val="1"/>
      <w:lang w:val="de-DE" w:eastAsia="ar-SA"/>
    </w:rPr>
  </w:style>
  <w:style w:type="paragraph" w:customStyle="1" w:styleId="spc-text">
    <w:name w:val="spc-text"/>
    <w:basedOn w:val="Normlny"/>
    <w:rsid w:val="009004FC"/>
    <w:pPr>
      <w:tabs>
        <w:tab w:val="left" w:pos="851"/>
      </w:tabs>
      <w:spacing w:line="288" w:lineRule="auto"/>
      <w:ind w:left="851"/>
    </w:pPr>
    <w:rPr>
      <w:rFonts w:ascii="Arial" w:hAnsi="Arial"/>
      <w:lang w:val="de-DE" w:eastAsia="de-DE"/>
    </w:rPr>
  </w:style>
  <w:style w:type="paragraph" w:customStyle="1" w:styleId="EMEA-beurteiltwurde">
    <w:name w:val="EMEA-beurteilt wurde"/>
    <w:basedOn w:val="Normlny"/>
    <w:rsid w:val="00206F87"/>
    <w:pPr>
      <w:numPr>
        <w:numId w:val="6"/>
      </w:numPr>
      <w:spacing w:before="20"/>
    </w:pPr>
    <w:rPr>
      <w:sz w:val="24"/>
      <w:szCs w:val="24"/>
      <w:lang w:eastAsia="de-DE"/>
    </w:rPr>
  </w:style>
  <w:style w:type="paragraph" w:customStyle="1" w:styleId="subhead">
    <w:name w:val="subhead"/>
    <w:basedOn w:val="Normlny"/>
    <w:rsid w:val="00F55F02"/>
    <w:pPr>
      <w:spacing w:before="100" w:beforeAutospacing="1" w:after="100" w:afterAutospacing="1"/>
    </w:pPr>
    <w:rPr>
      <w:rFonts w:ascii="Arial" w:hAnsi="Arial" w:cs="Arial"/>
      <w:b/>
      <w:bCs/>
      <w:lang w:val="fr-FR"/>
    </w:rPr>
  </w:style>
  <w:style w:type="paragraph" w:customStyle="1" w:styleId="4bodycopy">
    <w:name w:val="4bodycopy"/>
    <w:basedOn w:val="Normlny"/>
    <w:rsid w:val="00F55F02"/>
    <w:pPr>
      <w:spacing w:before="100" w:beforeAutospacing="1" w:after="100" w:afterAutospacing="1"/>
      <w:ind w:left="524" w:right="157"/>
    </w:pPr>
    <w:rPr>
      <w:sz w:val="24"/>
      <w:szCs w:val="24"/>
      <w:lang w:val="fr-FR"/>
    </w:rPr>
  </w:style>
  <w:style w:type="paragraph" w:customStyle="1" w:styleId="Titre22">
    <w:name w:val="Titre 22"/>
    <w:basedOn w:val="Normlny"/>
    <w:rsid w:val="009C5DEA"/>
    <w:pPr>
      <w:pBdr>
        <w:top w:val="single" w:sz="4" w:space="6" w:color="CCCCCC"/>
        <w:left w:val="single" w:sz="4" w:space="6" w:color="CCCCCC"/>
        <w:bottom w:val="single" w:sz="4" w:space="6" w:color="CCCCCC"/>
        <w:right w:val="single" w:sz="4" w:space="6" w:color="CCCCCC"/>
      </w:pBdr>
      <w:shd w:val="clear" w:color="auto" w:fill="F0F8FF"/>
      <w:spacing w:before="240" w:after="240"/>
      <w:outlineLvl w:val="2"/>
    </w:pPr>
    <w:rPr>
      <w:rFonts w:ascii="Arial" w:hAnsi="Arial" w:cs="Arial"/>
      <w:b/>
      <w:bCs/>
      <w:color w:val="000000"/>
      <w:sz w:val="23"/>
      <w:szCs w:val="23"/>
      <w:lang w:val="fr-FR"/>
    </w:rPr>
  </w:style>
  <w:style w:type="paragraph" w:customStyle="1" w:styleId="NormalWeb1">
    <w:name w:val="Normal (Web)1"/>
    <w:basedOn w:val="Normlny"/>
    <w:rsid w:val="009C5DEA"/>
    <w:pPr>
      <w:spacing w:before="240" w:line="288" w:lineRule="atLeast"/>
      <w:ind w:left="120"/>
    </w:pPr>
    <w:rPr>
      <w:color w:val="000000"/>
      <w:sz w:val="22"/>
      <w:szCs w:val="22"/>
      <w:lang w:val="fr-FR"/>
    </w:rPr>
  </w:style>
  <w:style w:type="character" w:customStyle="1" w:styleId="ti2">
    <w:name w:val="ti2"/>
    <w:rsid w:val="009C5DEA"/>
    <w:rPr>
      <w:sz w:val="22"/>
    </w:rPr>
  </w:style>
  <w:style w:type="character" w:customStyle="1" w:styleId="featuredlinkouts">
    <w:name w:val="featured_linkouts"/>
    <w:basedOn w:val="Predvolenpsmoodseku"/>
    <w:rsid w:val="009C5DEA"/>
    <w:rPr>
      <w:rFonts w:cs="Times New Roman"/>
    </w:rPr>
  </w:style>
  <w:style w:type="character" w:customStyle="1" w:styleId="linkbar">
    <w:name w:val="linkbar"/>
    <w:basedOn w:val="Predvolenpsmoodseku"/>
    <w:rsid w:val="009C5DEA"/>
    <w:rPr>
      <w:rFonts w:cs="Times New Roman"/>
    </w:rPr>
  </w:style>
  <w:style w:type="paragraph" w:customStyle="1" w:styleId="affiliation2">
    <w:name w:val="affiliation2"/>
    <w:basedOn w:val="Normlny"/>
    <w:rsid w:val="009C5DEA"/>
    <w:pPr>
      <w:spacing w:before="240" w:after="120" w:line="288" w:lineRule="atLeast"/>
      <w:ind w:left="120"/>
    </w:pPr>
    <w:rPr>
      <w:color w:val="000000"/>
      <w:sz w:val="19"/>
      <w:szCs w:val="19"/>
      <w:lang w:val="fr-FR"/>
    </w:rPr>
  </w:style>
  <w:style w:type="character" w:styleId="Siln">
    <w:name w:val="Strong"/>
    <w:basedOn w:val="Predvolenpsmoodseku"/>
    <w:uiPriority w:val="22"/>
    <w:qFormat/>
    <w:rsid w:val="00F735DF"/>
    <w:rPr>
      <w:b/>
    </w:rPr>
  </w:style>
  <w:style w:type="paragraph" w:customStyle="1" w:styleId="DocumentHeading">
    <w:name w:val="Document Heading"/>
    <w:basedOn w:val="Normlny"/>
    <w:next w:val="Normlny"/>
    <w:rsid w:val="00C10D5F"/>
    <w:pPr>
      <w:spacing w:after="120"/>
    </w:pPr>
    <w:rPr>
      <w:b/>
      <w:sz w:val="28"/>
      <w:lang w:eastAsia="en-GB"/>
    </w:rPr>
  </w:style>
  <w:style w:type="paragraph" w:styleId="truktradokumentu">
    <w:name w:val="Document Map"/>
    <w:basedOn w:val="Normlny"/>
    <w:link w:val="truktradokumentuChar"/>
    <w:uiPriority w:val="99"/>
    <w:semiHidden/>
    <w:rsid w:val="00F64118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4C7397"/>
    <w:rPr>
      <w:sz w:val="0"/>
      <w:szCs w:val="0"/>
      <w:lang w:val="en-GB" w:eastAsia="fr-FR"/>
    </w:rPr>
  </w:style>
  <w:style w:type="character" w:styleId="Odkaznakomentr">
    <w:name w:val="annotation reference"/>
    <w:basedOn w:val="Predvolenpsmoodseku"/>
    <w:uiPriority w:val="99"/>
    <w:semiHidden/>
    <w:rsid w:val="001F0CC1"/>
    <w:rPr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F0CC1"/>
    <w:pPr>
      <w:jc w:val="left"/>
    </w:pPr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7397"/>
    <w:rPr>
      <w:b/>
      <w:bCs/>
      <w:lang w:val="en-GB" w:eastAsia="fr-FR"/>
    </w:rPr>
  </w:style>
  <w:style w:type="paragraph" w:customStyle="1" w:styleId="Text">
    <w:name w:val="Text"/>
    <w:rsid w:val="009F3D7F"/>
    <w:pPr>
      <w:spacing w:line="240" w:lineRule="atLeast"/>
      <w:ind w:left="568"/>
    </w:pPr>
    <w:rPr>
      <w:sz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098">
              <w:marLeft w:val="209"/>
              <w:marRight w:val="79"/>
              <w:marTop w:val="209"/>
              <w:marBottom w:val="0"/>
              <w:divBdr>
                <w:top w:val="single" w:sz="4" w:space="10" w:color="B2CCEA"/>
                <w:left w:val="single" w:sz="4" w:space="8" w:color="B2CCEA"/>
                <w:bottom w:val="single" w:sz="4" w:space="1" w:color="B2CCEA"/>
                <w:right w:val="single" w:sz="4" w:space="8" w:color="B2CCEA"/>
              </w:divBdr>
              <w:divsChild>
                <w:div w:id="1890996133">
                  <w:marLeft w:val="0"/>
                  <w:marRight w:val="0"/>
                  <w:marTop w:val="26"/>
                  <w:marBottom w:val="79"/>
                  <w:divBdr>
                    <w:top w:val="none" w:sz="0" w:space="4" w:color="auto"/>
                    <w:left w:val="none" w:sz="0" w:space="2" w:color="auto"/>
                    <w:bottom w:val="none" w:sz="0" w:space="16" w:color="auto"/>
                    <w:right w:val="none" w:sz="0" w:space="0" w:color="auto"/>
                  </w:divBdr>
                  <w:divsChild>
                    <w:div w:id="1890996093">
                      <w:marLeft w:val="0"/>
                      <w:marRight w:val="0"/>
                      <w:marTop w:val="26"/>
                      <w:marBottom w:val="79"/>
                      <w:divBdr>
                        <w:top w:val="none" w:sz="0" w:space="4" w:color="auto"/>
                        <w:left w:val="none" w:sz="0" w:space="2" w:color="auto"/>
                        <w:bottom w:val="none" w:sz="0" w:space="16" w:color="auto"/>
                        <w:right w:val="none" w:sz="0" w:space="0" w:color="auto"/>
                      </w:divBdr>
                      <w:divsChild>
                        <w:div w:id="1890996112">
                          <w:marLeft w:val="0"/>
                          <w:marRight w:val="0"/>
                          <w:marTop w:val="0"/>
                          <w:marBottom w:val="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6089">
                              <w:marLeft w:val="0"/>
                              <w:marRight w:val="0"/>
                              <w:marTop w:val="26"/>
                              <w:marBottom w:val="79"/>
                              <w:divBdr>
                                <w:top w:val="none" w:sz="0" w:space="4" w:color="auto"/>
                                <w:left w:val="none" w:sz="0" w:space="2" w:color="auto"/>
                                <w:bottom w:val="none" w:sz="0" w:space="16" w:color="auto"/>
                                <w:right w:val="none" w:sz="0" w:space="0" w:color="auto"/>
                              </w:divBdr>
                              <w:divsChild>
                                <w:div w:id="1890996086">
                                  <w:marLeft w:val="0"/>
                                  <w:marRight w:val="0"/>
                                  <w:marTop w:val="0"/>
                                  <w:marBottom w:val="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996099">
                              <w:marLeft w:val="0"/>
                              <w:marRight w:val="0"/>
                              <w:marTop w:val="26"/>
                              <w:marBottom w:val="79"/>
                              <w:divBdr>
                                <w:top w:val="none" w:sz="0" w:space="4" w:color="auto"/>
                                <w:left w:val="none" w:sz="0" w:space="2" w:color="auto"/>
                                <w:bottom w:val="none" w:sz="0" w:space="16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0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9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092">
          <w:marLeft w:val="0"/>
          <w:marRight w:val="1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108">
              <w:marLeft w:val="524"/>
              <w:marRight w:val="5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9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1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61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612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608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8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8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9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9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9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0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0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0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2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2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2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2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3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3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3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080">
              <w:marLeft w:val="209"/>
              <w:marRight w:val="79"/>
              <w:marTop w:val="209"/>
              <w:marBottom w:val="0"/>
              <w:divBdr>
                <w:top w:val="single" w:sz="4" w:space="10" w:color="B2CCEA"/>
                <w:left w:val="single" w:sz="4" w:space="8" w:color="B2CCEA"/>
                <w:bottom w:val="single" w:sz="4" w:space="1" w:color="B2CCEA"/>
                <w:right w:val="single" w:sz="4" w:space="8" w:color="B2CCEA"/>
              </w:divBdr>
              <w:divsChild>
                <w:div w:id="1890996124">
                  <w:marLeft w:val="0"/>
                  <w:marRight w:val="0"/>
                  <w:marTop w:val="26"/>
                  <w:marBottom w:val="79"/>
                  <w:divBdr>
                    <w:top w:val="none" w:sz="0" w:space="4" w:color="auto"/>
                    <w:left w:val="none" w:sz="0" w:space="2" w:color="auto"/>
                    <w:bottom w:val="none" w:sz="0" w:space="16" w:color="auto"/>
                    <w:right w:val="none" w:sz="0" w:space="0" w:color="auto"/>
                  </w:divBdr>
                  <w:divsChild>
                    <w:div w:id="1890996103">
                      <w:marLeft w:val="0"/>
                      <w:marRight w:val="0"/>
                      <w:marTop w:val="26"/>
                      <w:marBottom w:val="79"/>
                      <w:divBdr>
                        <w:top w:val="none" w:sz="0" w:space="4" w:color="auto"/>
                        <w:left w:val="none" w:sz="0" w:space="2" w:color="auto"/>
                        <w:bottom w:val="none" w:sz="0" w:space="16" w:color="auto"/>
                        <w:right w:val="none" w:sz="0" w:space="0" w:color="auto"/>
                      </w:divBdr>
                      <w:divsChild>
                        <w:div w:id="1890996120">
                          <w:marLeft w:val="0"/>
                          <w:marRight w:val="0"/>
                          <w:marTop w:val="0"/>
                          <w:marBottom w:val="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6091">
                              <w:marLeft w:val="0"/>
                              <w:marRight w:val="0"/>
                              <w:marTop w:val="26"/>
                              <w:marBottom w:val="79"/>
                              <w:divBdr>
                                <w:top w:val="none" w:sz="0" w:space="4" w:color="auto"/>
                                <w:left w:val="none" w:sz="0" w:space="2" w:color="auto"/>
                                <w:bottom w:val="none" w:sz="0" w:space="16" w:color="auto"/>
                                <w:right w:val="none" w:sz="0" w:space="0" w:color="auto"/>
                              </w:divBdr>
                            </w:div>
                            <w:div w:id="1890996100">
                              <w:marLeft w:val="0"/>
                              <w:marRight w:val="0"/>
                              <w:marTop w:val="26"/>
                              <w:marBottom w:val="79"/>
                              <w:divBdr>
                                <w:top w:val="none" w:sz="0" w:space="4" w:color="auto"/>
                                <w:left w:val="none" w:sz="0" w:space="2" w:color="auto"/>
                                <w:bottom w:val="none" w:sz="0" w:space="16" w:color="auto"/>
                                <w:right w:val="none" w:sz="0" w:space="0" w:color="auto"/>
                              </w:divBdr>
                              <w:divsChild>
                                <w:div w:id="1890996084">
                                  <w:marLeft w:val="0"/>
                                  <w:marRight w:val="0"/>
                                  <w:marTop w:val="0"/>
                                  <w:marBottom w:val="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20</Pages>
  <Words>6841</Words>
  <Characters>38994</Characters>
  <Application>Microsoft Office Word</Application>
  <DocSecurity>0</DocSecurity>
  <Lines>324</Lines>
  <Paragraphs>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UK:</vt:lpstr>
    </vt:vector>
  </TitlesOfParts>
  <Company>CERA</Company>
  <LinksUpToDate>false</LinksUpToDate>
  <CharactersWithSpaces>45744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UK:</dc:title>
  <dc:subject/>
  <dc:creator>Marcelle</dc:creator>
  <cp:keywords/>
  <dc:description/>
  <cp:lastModifiedBy> Jana Repiščáková</cp:lastModifiedBy>
  <cp:revision>26</cp:revision>
  <cp:lastPrinted>2006-11-17T14:43:00Z</cp:lastPrinted>
  <dcterms:created xsi:type="dcterms:W3CDTF">2015-12-08T10:10:00Z</dcterms:created>
  <dcterms:modified xsi:type="dcterms:W3CDTF">2017-06-29T12:00:00Z</dcterms:modified>
</cp:coreProperties>
</file>