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EEF2AB" w14:textId="77777777" w:rsidR="00570EF3" w:rsidRDefault="00570EF3" w:rsidP="00E64498">
      <w:pPr>
        <w:pStyle w:val="SPCaPILhlavika"/>
        <w:rPr>
          <w:lang w:val="sk-SK"/>
        </w:rPr>
      </w:pPr>
    </w:p>
    <w:p w14:paraId="7813F2D1" w14:textId="77777777" w:rsidR="00A72EBA" w:rsidRDefault="00A72EBA" w:rsidP="00E64498">
      <w:pPr>
        <w:pStyle w:val="SPCaPILhlavika"/>
        <w:rPr>
          <w:lang w:val="sk-SK"/>
        </w:rPr>
      </w:pPr>
      <w:r w:rsidRPr="00E64498">
        <w:rPr>
          <w:lang w:val="sk-SK"/>
        </w:rPr>
        <w:t>SÚHRN CHARAKTERISTICKÝCH VLASTNOSTÍ LIEKU</w:t>
      </w:r>
    </w:p>
    <w:p w14:paraId="7373B270" w14:textId="77777777" w:rsidR="00E64498" w:rsidRDefault="00E64498" w:rsidP="00E64498">
      <w:pPr>
        <w:pStyle w:val="SPCaPILhlavika"/>
        <w:rPr>
          <w:lang w:val="sk-SK"/>
        </w:rPr>
      </w:pPr>
    </w:p>
    <w:p w14:paraId="389176A3" w14:textId="77777777" w:rsidR="00E64498" w:rsidRPr="00E64498" w:rsidRDefault="00E64498" w:rsidP="00E64498">
      <w:pPr>
        <w:pStyle w:val="SPCaPILhlavika"/>
        <w:rPr>
          <w:lang w:val="sk-SK"/>
        </w:rPr>
      </w:pPr>
    </w:p>
    <w:p w14:paraId="30572C2B" w14:textId="77777777" w:rsidR="00A72EBA" w:rsidRPr="00E64498" w:rsidRDefault="00A72EBA" w:rsidP="00A37A56">
      <w:pPr>
        <w:pStyle w:val="Styl1"/>
        <w:numPr>
          <w:ilvl w:val="0"/>
          <w:numId w:val="10"/>
        </w:numPr>
        <w:spacing w:before="0" w:after="0"/>
        <w:ind w:left="357" w:hanging="357"/>
        <w:rPr>
          <w:szCs w:val="22"/>
          <w:lang w:val="sk-SK"/>
        </w:rPr>
      </w:pPr>
      <w:r w:rsidRPr="00E64498">
        <w:rPr>
          <w:szCs w:val="22"/>
          <w:lang w:val="sk-SK"/>
        </w:rPr>
        <w:t>NÁZOV LIEKU</w:t>
      </w:r>
    </w:p>
    <w:p w14:paraId="7A777C6A" w14:textId="77777777" w:rsidR="00E64498" w:rsidRDefault="00E64498" w:rsidP="00A37A56">
      <w:pPr>
        <w:pStyle w:val="Normlndobloku"/>
        <w:spacing w:after="0"/>
        <w:jc w:val="left"/>
        <w:rPr>
          <w:szCs w:val="22"/>
          <w:lang w:val="sk-SK"/>
        </w:rPr>
      </w:pPr>
    </w:p>
    <w:p w14:paraId="1B464B5C" w14:textId="7F81E084" w:rsidR="00055FD4" w:rsidRDefault="003A7C3F" w:rsidP="00A37A56">
      <w:pPr>
        <w:pStyle w:val="Normlndobloku"/>
        <w:spacing w:after="0"/>
        <w:jc w:val="left"/>
        <w:rPr>
          <w:szCs w:val="22"/>
          <w:lang w:val="sk-SK"/>
        </w:rPr>
      </w:pPr>
      <w:proofErr w:type="spellStart"/>
      <w:r w:rsidRPr="00E64498">
        <w:rPr>
          <w:szCs w:val="22"/>
          <w:lang w:val="sk-SK"/>
        </w:rPr>
        <w:t>Dinarex</w:t>
      </w:r>
      <w:proofErr w:type="spellEnd"/>
      <w:r w:rsidR="00055FD4" w:rsidRPr="00E64498">
        <w:rPr>
          <w:szCs w:val="22"/>
          <w:lang w:val="sk-SK"/>
        </w:rPr>
        <w:t xml:space="preserve"> </w:t>
      </w:r>
      <w:r w:rsidR="00366821" w:rsidRPr="00E64498">
        <w:rPr>
          <w:szCs w:val="22"/>
          <w:lang w:val="sk-SK"/>
        </w:rPr>
        <w:t>1</w:t>
      </w:r>
      <w:r w:rsidR="00A77A27" w:rsidRPr="00E64498">
        <w:rPr>
          <w:szCs w:val="22"/>
          <w:lang w:val="sk-SK"/>
        </w:rPr>
        <w:t>,5</w:t>
      </w:r>
      <w:r w:rsidR="00366821" w:rsidRPr="00E64498">
        <w:rPr>
          <w:szCs w:val="22"/>
          <w:lang w:val="sk-SK"/>
        </w:rPr>
        <w:t> mg/</w:t>
      </w:r>
      <w:r w:rsidR="00055FD4" w:rsidRPr="00E64498">
        <w:rPr>
          <w:szCs w:val="22"/>
          <w:lang w:val="sk-SK"/>
        </w:rPr>
        <w:t>ml</w:t>
      </w:r>
      <w:r w:rsidR="00455A84" w:rsidRPr="00E64498">
        <w:rPr>
          <w:szCs w:val="22"/>
          <w:lang w:val="sk-SK"/>
        </w:rPr>
        <w:t xml:space="preserve"> sirup</w:t>
      </w:r>
    </w:p>
    <w:p w14:paraId="1009C993" w14:textId="77777777" w:rsidR="00E64498" w:rsidRDefault="00E64498" w:rsidP="00A37A56">
      <w:pPr>
        <w:pStyle w:val="Normlndobloku"/>
        <w:spacing w:after="0"/>
        <w:jc w:val="left"/>
        <w:rPr>
          <w:szCs w:val="22"/>
          <w:lang w:val="sk-SK"/>
        </w:rPr>
      </w:pPr>
    </w:p>
    <w:p w14:paraId="6286B8C2" w14:textId="77777777" w:rsidR="00E64498" w:rsidRPr="00E64498" w:rsidRDefault="00E64498" w:rsidP="00A37A56">
      <w:pPr>
        <w:pStyle w:val="Normlndobloku"/>
        <w:spacing w:after="0"/>
        <w:jc w:val="left"/>
        <w:rPr>
          <w:szCs w:val="22"/>
          <w:lang w:val="sk-SK"/>
        </w:rPr>
      </w:pPr>
    </w:p>
    <w:p w14:paraId="281C48D7" w14:textId="77777777" w:rsidR="00A72EBA" w:rsidRPr="00E64498" w:rsidRDefault="00A72EBA" w:rsidP="00A37A56">
      <w:pPr>
        <w:pStyle w:val="Styl1"/>
        <w:numPr>
          <w:ilvl w:val="0"/>
          <w:numId w:val="10"/>
        </w:numPr>
        <w:spacing w:before="0" w:after="0"/>
        <w:ind w:left="357" w:hanging="357"/>
        <w:rPr>
          <w:szCs w:val="22"/>
          <w:lang w:val="sk-SK"/>
        </w:rPr>
      </w:pPr>
      <w:r w:rsidRPr="00E64498">
        <w:rPr>
          <w:szCs w:val="22"/>
          <w:lang w:val="sk-SK"/>
        </w:rPr>
        <w:t>KVALITATÍVNE A KVANTITATÍVNE ZLOŽENIE</w:t>
      </w:r>
    </w:p>
    <w:p w14:paraId="656AD8B2" w14:textId="77777777" w:rsidR="00E64498" w:rsidRDefault="00E64498" w:rsidP="00A37A56">
      <w:pPr>
        <w:pStyle w:val="Normlndobloku"/>
        <w:spacing w:after="0"/>
        <w:jc w:val="left"/>
        <w:rPr>
          <w:szCs w:val="22"/>
          <w:lang w:val="sk-SK" w:eastAsia="sk-SK"/>
        </w:rPr>
      </w:pPr>
    </w:p>
    <w:p w14:paraId="60231B86" w14:textId="5174D9B1" w:rsidR="00707D18" w:rsidRPr="00E64498" w:rsidRDefault="00C90D41" w:rsidP="00A37A56">
      <w:pPr>
        <w:pStyle w:val="Normlndobloku"/>
        <w:spacing w:after="0"/>
        <w:jc w:val="left"/>
        <w:rPr>
          <w:szCs w:val="22"/>
          <w:lang w:val="sk-SK" w:eastAsia="sk-SK"/>
        </w:rPr>
      </w:pPr>
      <w:r w:rsidRPr="00E64498">
        <w:rPr>
          <w:szCs w:val="22"/>
          <w:lang w:val="sk-SK" w:eastAsia="sk-SK"/>
        </w:rPr>
        <w:t>Jeden</w:t>
      </w:r>
      <w:r w:rsidR="00AE1BD6" w:rsidRPr="00E64498">
        <w:rPr>
          <w:szCs w:val="22"/>
          <w:lang w:val="sk-SK" w:eastAsia="sk-SK"/>
        </w:rPr>
        <w:t> </w:t>
      </w:r>
      <w:r w:rsidR="00A77A27" w:rsidRPr="00E64498">
        <w:rPr>
          <w:szCs w:val="22"/>
          <w:lang w:val="sk-SK" w:eastAsia="sk-SK"/>
        </w:rPr>
        <w:t>ml obsahuje 1,5</w:t>
      </w:r>
      <w:r w:rsidR="00707D18" w:rsidRPr="00E64498">
        <w:rPr>
          <w:szCs w:val="22"/>
          <w:lang w:val="sk-SK" w:eastAsia="sk-SK"/>
        </w:rPr>
        <w:t> m</w:t>
      </w:r>
      <w:r w:rsidR="00A77A27" w:rsidRPr="00E64498">
        <w:rPr>
          <w:szCs w:val="22"/>
          <w:lang w:val="sk-SK" w:eastAsia="sk-SK"/>
        </w:rPr>
        <w:t xml:space="preserve">g </w:t>
      </w:r>
      <w:proofErr w:type="spellStart"/>
      <w:r w:rsidR="00A77A27" w:rsidRPr="00E64498">
        <w:rPr>
          <w:szCs w:val="22"/>
          <w:lang w:val="sk-SK" w:eastAsia="sk-SK"/>
        </w:rPr>
        <w:t>dextrometorfániumbromidu</w:t>
      </w:r>
      <w:proofErr w:type="spellEnd"/>
      <w:r w:rsidR="00A77A27" w:rsidRPr="00E64498">
        <w:rPr>
          <w:szCs w:val="22"/>
          <w:lang w:val="sk-SK" w:eastAsia="sk-SK"/>
        </w:rPr>
        <w:t>.</w:t>
      </w:r>
    </w:p>
    <w:p w14:paraId="4F0805EC" w14:textId="77777777" w:rsidR="00E64498" w:rsidRDefault="00E64498" w:rsidP="00A37A56">
      <w:pPr>
        <w:pStyle w:val="Normlndobloku"/>
        <w:spacing w:after="0"/>
        <w:jc w:val="left"/>
        <w:rPr>
          <w:szCs w:val="22"/>
          <w:u w:val="single"/>
          <w:lang w:val="sk-SK"/>
        </w:rPr>
      </w:pPr>
    </w:p>
    <w:p w14:paraId="6526C645" w14:textId="6CA4465A" w:rsidR="00A77A27" w:rsidRPr="00CE42C8" w:rsidRDefault="00A77A27" w:rsidP="00A37A56">
      <w:pPr>
        <w:pStyle w:val="Normlndobloku"/>
        <w:spacing w:after="0"/>
        <w:jc w:val="left"/>
        <w:rPr>
          <w:szCs w:val="22"/>
        </w:rPr>
      </w:pPr>
      <w:r w:rsidRPr="00E64498">
        <w:rPr>
          <w:szCs w:val="22"/>
          <w:u w:val="single"/>
          <w:lang w:val="sk-SK"/>
        </w:rPr>
        <w:t>Pomocné látky</w:t>
      </w:r>
      <w:r w:rsidR="00A72EBA" w:rsidRPr="00E64498">
        <w:rPr>
          <w:szCs w:val="22"/>
          <w:u w:val="single"/>
          <w:lang w:val="sk-SK"/>
        </w:rPr>
        <w:t xml:space="preserve"> so známym účin</w:t>
      </w:r>
      <w:r w:rsidR="003A7C3F" w:rsidRPr="00E64498">
        <w:rPr>
          <w:szCs w:val="22"/>
          <w:u w:val="single"/>
          <w:lang w:val="sk-SK"/>
        </w:rPr>
        <w:t>kom</w:t>
      </w:r>
      <w:r w:rsidR="004E6244" w:rsidRPr="00E64498">
        <w:rPr>
          <w:szCs w:val="22"/>
          <w:lang w:val="sk-SK"/>
        </w:rPr>
        <w:t xml:space="preserve">: </w:t>
      </w:r>
      <w:r w:rsidR="00455A84" w:rsidRPr="00E64498">
        <w:rPr>
          <w:szCs w:val="22"/>
          <w:lang w:val="sk-SK"/>
        </w:rPr>
        <w:t>s</w:t>
      </w:r>
      <w:r w:rsidRPr="00E64498">
        <w:rPr>
          <w:szCs w:val="22"/>
          <w:lang w:val="sk-SK"/>
        </w:rPr>
        <w:t>achar</w:t>
      </w:r>
      <w:r w:rsidR="00366821" w:rsidRPr="00E64498">
        <w:rPr>
          <w:szCs w:val="22"/>
          <w:lang w:val="sk-SK"/>
        </w:rPr>
        <w:t xml:space="preserve">óza, </w:t>
      </w:r>
      <w:proofErr w:type="spellStart"/>
      <w:r w:rsidR="00366821" w:rsidRPr="00E64498">
        <w:rPr>
          <w:szCs w:val="22"/>
          <w:lang w:val="sk-SK"/>
        </w:rPr>
        <w:t>sorbitol</w:t>
      </w:r>
      <w:proofErr w:type="spellEnd"/>
      <w:r w:rsidR="00366821" w:rsidRPr="00E64498">
        <w:rPr>
          <w:szCs w:val="22"/>
          <w:lang w:val="sk-SK"/>
        </w:rPr>
        <w:t xml:space="preserve">, </w:t>
      </w:r>
      <w:r w:rsidR="00455A84" w:rsidRPr="00E64498">
        <w:rPr>
          <w:szCs w:val="22"/>
          <w:lang w:val="sk-SK"/>
        </w:rPr>
        <w:t xml:space="preserve">roztok </w:t>
      </w:r>
      <w:r w:rsidR="00366821" w:rsidRPr="00E64498">
        <w:rPr>
          <w:szCs w:val="22"/>
          <w:lang w:val="sk-SK"/>
        </w:rPr>
        <w:t>glukóz</w:t>
      </w:r>
      <w:r w:rsidR="00455A84" w:rsidRPr="00E64498">
        <w:rPr>
          <w:szCs w:val="22"/>
          <w:lang w:val="sk-SK"/>
        </w:rPr>
        <w:t>y</w:t>
      </w:r>
      <w:r w:rsidR="00366821" w:rsidRPr="00E64498">
        <w:rPr>
          <w:szCs w:val="22"/>
          <w:lang w:val="sk-SK"/>
        </w:rPr>
        <w:t xml:space="preserve">, </w:t>
      </w:r>
      <w:r w:rsidRPr="00E64498">
        <w:rPr>
          <w:szCs w:val="22"/>
          <w:lang w:val="sk-SK"/>
        </w:rPr>
        <w:t>etanol</w:t>
      </w:r>
      <w:r w:rsidR="00455A84" w:rsidRPr="00CE42C8">
        <w:rPr>
          <w:szCs w:val="22"/>
          <w:lang w:val="sk-SK"/>
        </w:rPr>
        <w:t xml:space="preserve"> a</w:t>
      </w:r>
      <w:r w:rsidR="00694645" w:rsidRPr="00CE42C8">
        <w:rPr>
          <w:szCs w:val="22"/>
          <w:lang w:val="sk-SK"/>
        </w:rPr>
        <w:t> </w:t>
      </w:r>
      <w:r w:rsidR="00455A84" w:rsidRPr="00CE42C8">
        <w:rPr>
          <w:szCs w:val="22"/>
          <w:lang w:val="sk-SK"/>
        </w:rPr>
        <w:t>sodík</w:t>
      </w:r>
      <w:r w:rsidR="00694645" w:rsidRPr="00CE42C8">
        <w:rPr>
          <w:szCs w:val="22"/>
          <w:lang w:val="sk-SK"/>
        </w:rPr>
        <w:t>.</w:t>
      </w:r>
    </w:p>
    <w:p w14:paraId="1B913B02" w14:textId="16E27329" w:rsidR="00443CA5" w:rsidRDefault="00C90D41" w:rsidP="00A37A56">
      <w:pPr>
        <w:pStyle w:val="Normlndobloku"/>
        <w:spacing w:after="0"/>
        <w:jc w:val="left"/>
        <w:rPr>
          <w:szCs w:val="22"/>
          <w:lang w:val="sk-SK"/>
        </w:rPr>
      </w:pPr>
      <w:r w:rsidRPr="00CE42C8">
        <w:rPr>
          <w:szCs w:val="22"/>
          <w:lang w:val="sk-SK"/>
        </w:rPr>
        <w:t>Jeden</w:t>
      </w:r>
      <w:r w:rsidR="00443CA5" w:rsidRPr="00CE42C8">
        <w:rPr>
          <w:szCs w:val="22"/>
          <w:lang w:val="sk-SK"/>
        </w:rPr>
        <w:t> ml obsahuje 325 mg sacharózy, 65</w:t>
      </w:r>
      <w:r w:rsidR="00366821" w:rsidRPr="00CE42C8">
        <w:rPr>
          <w:szCs w:val="22"/>
          <w:lang w:val="sk-SK"/>
        </w:rPr>
        <w:t> mg sorbitolu, 395 mg glukózy</w:t>
      </w:r>
      <w:r w:rsidR="00351B83" w:rsidRPr="00A77B3E">
        <w:rPr>
          <w:szCs w:val="22"/>
          <w:lang w:val="sk-SK"/>
        </w:rPr>
        <w:t>,</w:t>
      </w:r>
      <w:r w:rsidR="00366821" w:rsidRPr="00A77B3E">
        <w:rPr>
          <w:szCs w:val="22"/>
          <w:lang w:val="sk-SK"/>
        </w:rPr>
        <w:t xml:space="preserve"> </w:t>
      </w:r>
      <w:r w:rsidR="00443CA5" w:rsidRPr="00A77B3E">
        <w:rPr>
          <w:szCs w:val="22"/>
          <w:lang w:val="sk-SK"/>
        </w:rPr>
        <w:t>50,28 mg etanolu</w:t>
      </w:r>
      <w:r w:rsidR="00366821" w:rsidRPr="00A77B3E">
        <w:rPr>
          <w:szCs w:val="22"/>
          <w:lang w:val="sk-SK"/>
        </w:rPr>
        <w:t xml:space="preserve"> a 0,208 mg sodíka</w:t>
      </w:r>
      <w:r w:rsidR="00443CA5" w:rsidRPr="008F20B2">
        <w:rPr>
          <w:szCs w:val="22"/>
          <w:lang w:val="sk-SK"/>
        </w:rPr>
        <w:t>.</w:t>
      </w:r>
    </w:p>
    <w:p w14:paraId="01D7FFBC" w14:textId="77777777" w:rsidR="00E64498" w:rsidRPr="00E64498" w:rsidRDefault="00E64498" w:rsidP="00A37A56">
      <w:pPr>
        <w:pStyle w:val="Normlndobloku"/>
        <w:spacing w:after="0"/>
        <w:jc w:val="left"/>
        <w:rPr>
          <w:szCs w:val="22"/>
          <w:lang w:val="sk-SK"/>
        </w:rPr>
      </w:pPr>
    </w:p>
    <w:p w14:paraId="2D916B75" w14:textId="77777777" w:rsidR="00A72EBA" w:rsidRDefault="00A72EBA" w:rsidP="00A37A56">
      <w:pPr>
        <w:pStyle w:val="Normlndobloku"/>
        <w:spacing w:after="0"/>
        <w:jc w:val="left"/>
        <w:rPr>
          <w:szCs w:val="22"/>
          <w:lang w:val="sk-SK"/>
        </w:rPr>
      </w:pPr>
      <w:r w:rsidRPr="00E64498">
        <w:rPr>
          <w:szCs w:val="22"/>
          <w:lang w:val="sk-SK"/>
        </w:rPr>
        <w:t>Úplný zoznam pomocných látok, pozri časť 6.1.</w:t>
      </w:r>
    </w:p>
    <w:p w14:paraId="567A9055" w14:textId="77777777" w:rsidR="00E64498" w:rsidRDefault="00E64498" w:rsidP="00A37A56">
      <w:pPr>
        <w:pStyle w:val="Normlndobloku"/>
        <w:spacing w:after="0"/>
        <w:jc w:val="left"/>
        <w:rPr>
          <w:szCs w:val="22"/>
          <w:lang w:val="sk-SK"/>
        </w:rPr>
      </w:pPr>
    </w:p>
    <w:p w14:paraId="37000032" w14:textId="77777777" w:rsidR="00E64498" w:rsidRPr="00E64498" w:rsidRDefault="00E64498" w:rsidP="00A37A56">
      <w:pPr>
        <w:pStyle w:val="Normlndobloku"/>
        <w:spacing w:after="0"/>
        <w:jc w:val="left"/>
        <w:rPr>
          <w:szCs w:val="22"/>
          <w:lang w:val="sk-SK"/>
        </w:rPr>
      </w:pPr>
    </w:p>
    <w:p w14:paraId="3ED43607" w14:textId="77777777" w:rsidR="00A72EBA" w:rsidRPr="00E64498" w:rsidRDefault="00A72EBA" w:rsidP="00A37A56">
      <w:pPr>
        <w:pStyle w:val="Styl1"/>
        <w:numPr>
          <w:ilvl w:val="0"/>
          <w:numId w:val="10"/>
        </w:numPr>
        <w:spacing w:before="0" w:after="0"/>
        <w:ind w:left="357" w:hanging="357"/>
        <w:rPr>
          <w:szCs w:val="22"/>
          <w:lang w:val="sk-SK"/>
        </w:rPr>
      </w:pPr>
      <w:r w:rsidRPr="00E64498">
        <w:rPr>
          <w:szCs w:val="22"/>
          <w:lang w:val="sk-SK"/>
        </w:rPr>
        <w:t>LIEKOVÁ FORMA</w:t>
      </w:r>
    </w:p>
    <w:p w14:paraId="16145D8D" w14:textId="77777777" w:rsidR="00E64498" w:rsidRDefault="00E64498" w:rsidP="00A37A56">
      <w:pPr>
        <w:pStyle w:val="Normlndobloku"/>
        <w:spacing w:after="0"/>
        <w:jc w:val="left"/>
        <w:rPr>
          <w:szCs w:val="22"/>
          <w:lang w:val="sk-SK"/>
        </w:rPr>
      </w:pPr>
    </w:p>
    <w:p w14:paraId="4BD95D7A" w14:textId="7E47F024" w:rsidR="00A72EBA" w:rsidRPr="00E64498" w:rsidRDefault="00443CA5" w:rsidP="00A37A56">
      <w:pPr>
        <w:pStyle w:val="Normlndobloku"/>
        <w:spacing w:after="0"/>
        <w:jc w:val="left"/>
        <w:rPr>
          <w:szCs w:val="22"/>
          <w:lang w:val="sk-SK"/>
        </w:rPr>
      </w:pPr>
      <w:r w:rsidRPr="00E64498">
        <w:rPr>
          <w:szCs w:val="22"/>
          <w:lang w:val="sk-SK"/>
        </w:rPr>
        <w:t>Sirup</w:t>
      </w:r>
    </w:p>
    <w:p w14:paraId="56B32141" w14:textId="483BF813" w:rsidR="00C90D41" w:rsidRDefault="00C90D41" w:rsidP="00A37A56">
      <w:pPr>
        <w:pStyle w:val="Normlndobloku"/>
        <w:spacing w:after="0"/>
        <w:jc w:val="left"/>
        <w:rPr>
          <w:szCs w:val="22"/>
          <w:lang w:val="sk-SK"/>
        </w:rPr>
      </w:pPr>
      <w:r w:rsidRPr="00E64498">
        <w:rPr>
          <w:szCs w:val="22"/>
          <w:lang w:val="sk-SK"/>
        </w:rPr>
        <w:t>Roztok je mierne žltkastý, číry sirup s</w:t>
      </w:r>
      <w:r w:rsidRPr="00CE42C8">
        <w:rPr>
          <w:szCs w:val="22"/>
          <w:lang w:val="sk-SK"/>
        </w:rPr>
        <w:t> broskyňovou príchuťou.</w:t>
      </w:r>
    </w:p>
    <w:p w14:paraId="2655A678" w14:textId="77777777" w:rsidR="00E64498" w:rsidRDefault="00E64498" w:rsidP="00A37A56">
      <w:pPr>
        <w:pStyle w:val="Normlndobloku"/>
        <w:spacing w:after="0"/>
        <w:jc w:val="left"/>
        <w:rPr>
          <w:szCs w:val="22"/>
          <w:lang w:val="sk-SK"/>
        </w:rPr>
      </w:pPr>
    </w:p>
    <w:p w14:paraId="3EDFFE92" w14:textId="77777777" w:rsidR="00E64498" w:rsidRPr="00E64498" w:rsidRDefault="00E64498" w:rsidP="00A37A56">
      <w:pPr>
        <w:pStyle w:val="Normlndobloku"/>
        <w:spacing w:after="0"/>
        <w:jc w:val="left"/>
        <w:rPr>
          <w:szCs w:val="22"/>
          <w:lang w:val="sk-SK"/>
        </w:rPr>
      </w:pPr>
    </w:p>
    <w:p w14:paraId="6CE3F3D9" w14:textId="77777777" w:rsidR="00A72EBA" w:rsidRDefault="00A72EBA" w:rsidP="00A37A56">
      <w:pPr>
        <w:pStyle w:val="Styl1"/>
        <w:numPr>
          <w:ilvl w:val="0"/>
          <w:numId w:val="10"/>
        </w:numPr>
        <w:spacing w:before="0" w:after="0"/>
        <w:ind w:left="357" w:hanging="357"/>
        <w:rPr>
          <w:szCs w:val="22"/>
          <w:lang w:val="sk-SK"/>
        </w:rPr>
      </w:pPr>
      <w:r w:rsidRPr="00E64498">
        <w:rPr>
          <w:szCs w:val="22"/>
          <w:lang w:val="sk-SK"/>
        </w:rPr>
        <w:t>KLINICKÉ ÚDAJE</w:t>
      </w:r>
    </w:p>
    <w:p w14:paraId="590E89E2" w14:textId="77777777" w:rsidR="00E64498" w:rsidRPr="00E64498" w:rsidRDefault="00E64498" w:rsidP="00A37A56">
      <w:pPr>
        <w:pStyle w:val="Styl1"/>
        <w:numPr>
          <w:ilvl w:val="0"/>
          <w:numId w:val="0"/>
        </w:numPr>
        <w:spacing w:before="0" w:after="0"/>
        <w:rPr>
          <w:szCs w:val="22"/>
          <w:lang w:val="sk-SK"/>
        </w:rPr>
      </w:pPr>
    </w:p>
    <w:p w14:paraId="000EC692" w14:textId="77777777" w:rsidR="00707D18" w:rsidRPr="00E64498" w:rsidRDefault="00A72EBA" w:rsidP="00A37A56">
      <w:pPr>
        <w:pStyle w:val="Styl2"/>
        <w:numPr>
          <w:ilvl w:val="1"/>
          <w:numId w:val="10"/>
        </w:numPr>
        <w:spacing w:before="0" w:after="0"/>
        <w:ind w:left="680" w:hanging="680"/>
        <w:rPr>
          <w:szCs w:val="22"/>
          <w:lang w:val="sk-SK"/>
        </w:rPr>
      </w:pPr>
      <w:r w:rsidRPr="00E64498">
        <w:rPr>
          <w:szCs w:val="22"/>
          <w:lang w:val="sk-SK"/>
        </w:rPr>
        <w:t>Terapeutické indikácie</w:t>
      </w:r>
    </w:p>
    <w:p w14:paraId="51E47088" w14:textId="705FD9A0" w:rsidR="00A72EBA" w:rsidRDefault="00443CA5" w:rsidP="00A37A56">
      <w:pPr>
        <w:pStyle w:val="Normlndobloku"/>
        <w:spacing w:after="0"/>
        <w:jc w:val="left"/>
        <w:rPr>
          <w:szCs w:val="22"/>
          <w:lang w:val="sk-SK"/>
        </w:rPr>
      </w:pPr>
      <w:r w:rsidRPr="00E64498">
        <w:rPr>
          <w:szCs w:val="22"/>
          <w:lang w:val="sk-SK"/>
        </w:rPr>
        <w:t>Dinarex</w:t>
      </w:r>
      <w:r w:rsidR="00707D18" w:rsidRPr="00E64498">
        <w:rPr>
          <w:szCs w:val="22"/>
          <w:lang w:val="sk-SK"/>
        </w:rPr>
        <w:t xml:space="preserve"> je indikovaný </w:t>
      </w:r>
      <w:r w:rsidRPr="00CE42C8">
        <w:rPr>
          <w:szCs w:val="22"/>
          <w:lang w:val="sk-SK"/>
        </w:rPr>
        <w:t>dospelý</w:t>
      </w:r>
      <w:r w:rsidR="00455A84" w:rsidRPr="00CE42C8">
        <w:rPr>
          <w:szCs w:val="22"/>
          <w:lang w:val="sk-SK"/>
        </w:rPr>
        <w:t>m</w:t>
      </w:r>
      <w:r w:rsidRPr="00CE42C8">
        <w:rPr>
          <w:szCs w:val="22"/>
          <w:lang w:val="sk-SK"/>
        </w:rPr>
        <w:t xml:space="preserve"> a</w:t>
      </w:r>
      <w:r w:rsidR="0001058A" w:rsidRPr="00CE42C8">
        <w:rPr>
          <w:szCs w:val="22"/>
          <w:lang w:val="sk-SK"/>
        </w:rPr>
        <w:t> </w:t>
      </w:r>
      <w:r w:rsidRPr="00CE42C8">
        <w:rPr>
          <w:szCs w:val="22"/>
          <w:lang w:val="sk-SK"/>
        </w:rPr>
        <w:t>de</w:t>
      </w:r>
      <w:r w:rsidR="00455A84" w:rsidRPr="00CE42C8">
        <w:rPr>
          <w:szCs w:val="22"/>
          <w:lang w:val="sk-SK"/>
        </w:rPr>
        <w:t>ťom</w:t>
      </w:r>
      <w:r w:rsidR="0001058A" w:rsidRPr="00CE42C8">
        <w:rPr>
          <w:szCs w:val="22"/>
          <w:lang w:val="sk-SK"/>
        </w:rPr>
        <w:t xml:space="preserve"> vo veku</w:t>
      </w:r>
      <w:r w:rsidRPr="00CE42C8">
        <w:rPr>
          <w:szCs w:val="22"/>
          <w:lang w:val="sk-SK"/>
        </w:rPr>
        <w:t xml:space="preserve"> 12 rokov a starší</w:t>
      </w:r>
      <w:r w:rsidR="00455A84" w:rsidRPr="00A77B3E">
        <w:rPr>
          <w:szCs w:val="22"/>
          <w:lang w:val="sk-SK"/>
        </w:rPr>
        <w:t>m</w:t>
      </w:r>
      <w:r w:rsidRPr="00A77B3E">
        <w:rPr>
          <w:szCs w:val="22"/>
          <w:lang w:val="sk-SK"/>
        </w:rPr>
        <w:t xml:space="preserve"> na zmiernenie neproduktívneho kašľa.</w:t>
      </w:r>
    </w:p>
    <w:p w14:paraId="3ABDF289" w14:textId="77777777" w:rsidR="00CE42C8" w:rsidRPr="00CE42C8" w:rsidRDefault="00CE42C8" w:rsidP="00A37A56">
      <w:pPr>
        <w:pStyle w:val="Normlndobloku"/>
        <w:spacing w:after="0"/>
        <w:jc w:val="left"/>
        <w:rPr>
          <w:szCs w:val="22"/>
          <w:lang w:val="sk-SK"/>
        </w:rPr>
      </w:pPr>
    </w:p>
    <w:p w14:paraId="43BDF2AA" w14:textId="77777777" w:rsidR="00A72EBA" w:rsidRDefault="00A72EBA" w:rsidP="00A37A56">
      <w:pPr>
        <w:pStyle w:val="Styl2"/>
        <w:numPr>
          <w:ilvl w:val="1"/>
          <w:numId w:val="10"/>
        </w:numPr>
        <w:spacing w:before="0" w:after="0"/>
        <w:ind w:left="680" w:hanging="680"/>
        <w:rPr>
          <w:szCs w:val="22"/>
          <w:lang w:val="sk-SK"/>
        </w:rPr>
      </w:pPr>
      <w:r w:rsidRPr="00CE42C8">
        <w:rPr>
          <w:szCs w:val="22"/>
          <w:lang w:val="sk-SK"/>
        </w:rPr>
        <w:t>Dávkovanie a spôsob podávania</w:t>
      </w:r>
    </w:p>
    <w:p w14:paraId="240E5427" w14:textId="77777777" w:rsidR="00CE42C8" w:rsidRPr="00CE42C8" w:rsidRDefault="00CE42C8" w:rsidP="00A37A56">
      <w:pPr>
        <w:pStyle w:val="Styl2"/>
        <w:numPr>
          <w:ilvl w:val="0"/>
          <w:numId w:val="0"/>
        </w:numPr>
        <w:spacing w:before="0" w:after="0"/>
        <w:rPr>
          <w:szCs w:val="22"/>
          <w:lang w:val="sk-SK"/>
        </w:rPr>
      </w:pPr>
    </w:p>
    <w:p w14:paraId="69134264" w14:textId="77777777" w:rsidR="00A72EBA" w:rsidRPr="00CE42C8" w:rsidRDefault="00A72EBA" w:rsidP="00A37A56">
      <w:pPr>
        <w:pStyle w:val="Styl2-2"/>
        <w:spacing w:before="0" w:after="0"/>
        <w:rPr>
          <w:szCs w:val="22"/>
          <w:lang w:val="sk-SK"/>
        </w:rPr>
      </w:pPr>
      <w:r w:rsidRPr="00CE42C8">
        <w:rPr>
          <w:szCs w:val="22"/>
          <w:lang w:val="sk-SK" w:eastAsia="en-US"/>
        </w:rPr>
        <w:t>Dávkovanie</w:t>
      </w:r>
    </w:p>
    <w:p w14:paraId="54BF229A" w14:textId="77777777" w:rsidR="00CE42C8" w:rsidRDefault="00CE42C8" w:rsidP="00A37A56">
      <w:pPr>
        <w:pStyle w:val="Styl3"/>
        <w:spacing w:after="0"/>
        <w:rPr>
          <w:szCs w:val="22"/>
        </w:rPr>
      </w:pPr>
    </w:p>
    <w:p w14:paraId="22E6DFFB" w14:textId="77777777" w:rsidR="00666717" w:rsidRPr="00CE42C8" w:rsidRDefault="00666717" w:rsidP="00A37A56">
      <w:pPr>
        <w:pStyle w:val="Styl3"/>
        <w:spacing w:after="0"/>
        <w:rPr>
          <w:szCs w:val="22"/>
        </w:rPr>
      </w:pPr>
      <w:r w:rsidRPr="00CE42C8">
        <w:rPr>
          <w:szCs w:val="22"/>
        </w:rPr>
        <w:t>Dospelí</w:t>
      </w:r>
    </w:p>
    <w:p w14:paraId="0E2B5802" w14:textId="48D4C3D2" w:rsidR="00666717" w:rsidRPr="00A77B3E" w:rsidRDefault="00666717" w:rsidP="00A37A56">
      <w:pPr>
        <w:pStyle w:val="Normlndobloku"/>
        <w:spacing w:after="0"/>
        <w:jc w:val="left"/>
        <w:rPr>
          <w:szCs w:val="22"/>
          <w:lang w:val="sk-SK"/>
        </w:rPr>
      </w:pPr>
      <w:r w:rsidRPr="00A77B3E">
        <w:rPr>
          <w:szCs w:val="22"/>
          <w:lang w:val="sk-SK"/>
        </w:rPr>
        <w:t>10 ml sirup</w:t>
      </w:r>
      <w:r w:rsidR="00455A84" w:rsidRPr="00A77B3E">
        <w:rPr>
          <w:szCs w:val="22"/>
          <w:lang w:val="sk-SK"/>
        </w:rPr>
        <w:t>u</w:t>
      </w:r>
      <w:r w:rsidRPr="00A77B3E">
        <w:rPr>
          <w:szCs w:val="22"/>
          <w:lang w:val="sk-SK"/>
        </w:rPr>
        <w:t xml:space="preserve"> (15 mg </w:t>
      </w:r>
      <w:proofErr w:type="spellStart"/>
      <w:r w:rsidRPr="00A77B3E">
        <w:rPr>
          <w:szCs w:val="22"/>
          <w:lang w:val="sk-SK"/>
        </w:rPr>
        <w:t>de</w:t>
      </w:r>
      <w:r w:rsidR="008F20B2">
        <w:rPr>
          <w:szCs w:val="22"/>
          <w:lang w:val="sk-SK"/>
        </w:rPr>
        <w:t>x</w:t>
      </w:r>
      <w:r w:rsidRPr="00A77B3E">
        <w:rPr>
          <w:szCs w:val="22"/>
          <w:lang w:val="sk-SK"/>
        </w:rPr>
        <w:t>trometorfánu</w:t>
      </w:r>
      <w:proofErr w:type="spellEnd"/>
      <w:r w:rsidRPr="00A77B3E">
        <w:rPr>
          <w:szCs w:val="22"/>
          <w:lang w:val="sk-SK"/>
        </w:rPr>
        <w:t>) 4-krát denne</w:t>
      </w:r>
      <w:r w:rsidR="00455A84" w:rsidRPr="00A77B3E">
        <w:rPr>
          <w:szCs w:val="22"/>
          <w:lang w:val="sk-SK"/>
        </w:rPr>
        <w:t>.</w:t>
      </w:r>
    </w:p>
    <w:p w14:paraId="2FDC0491" w14:textId="2D7E36BD" w:rsidR="00666717" w:rsidRPr="008F20B2" w:rsidRDefault="00666717" w:rsidP="00A37A56">
      <w:pPr>
        <w:pStyle w:val="Normlndobloku"/>
        <w:spacing w:after="0"/>
        <w:jc w:val="left"/>
        <w:rPr>
          <w:szCs w:val="22"/>
          <w:lang w:val="sk-SK"/>
        </w:rPr>
      </w:pPr>
      <w:r w:rsidRPr="008F20B2">
        <w:rPr>
          <w:szCs w:val="22"/>
          <w:lang w:val="sk-SK"/>
        </w:rPr>
        <w:t>Maximálna denná dávka: 40 ml sirupu (60 mg dextrometorfánu)</w:t>
      </w:r>
    </w:p>
    <w:p w14:paraId="7E63FBFF" w14:textId="77777777" w:rsidR="00962C95" w:rsidRPr="00570EF3" w:rsidRDefault="00962C95" w:rsidP="00A37A56">
      <w:pPr>
        <w:pStyle w:val="Styl3"/>
        <w:spacing w:after="0"/>
        <w:rPr>
          <w:szCs w:val="22"/>
        </w:rPr>
      </w:pPr>
    </w:p>
    <w:p w14:paraId="26A7FF3A" w14:textId="77777777" w:rsidR="00666717" w:rsidRPr="00570EF3" w:rsidRDefault="00666717" w:rsidP="00A37A56">
      <w:pPr>
        <w:pStyle w:val="Styl3"/>
        <w:spacing w:after="0"/>
        <w:rPr>
          <w:szCs w:val="22"/>
        </w:rPr>
      </w:pPr>
      <w:r w:rsidRPr="00570EF3">
        <w:rPr>
          <w:szCs w:val="22"/>
        </w:rPr>
        <w:t>Pediatrická populácia</w:t>
      </w:r>
    </w:p>
    <w:p w14:paraId="15F711AA" w14:textId="5E06A974" w:rsidR="00666717" w:rsidRPr="000D1DE1" w:rsidRDefault="00666717" w:rsidP="00A37A56">
      <w:pPr>
        <w:pStyle w:val="Normlndobloku"/>
        <w:spacing w:after="0"/>
        <w:jc w:val="left"/>
        <w:rPr>
          <w:szCs w:val="22"/>
          <w:lang w:val="sk-SK"/>
        </w:rPr>
      </w:pPr>
      <w:r w:rsidRPr="000D1DE1">
        <w:rPr>
          <w:szCs w:val="22"/>
          <w:lang w:val="sk-SK"/>
        </w:rPr>
        <w:t xml:space="preserve">Deti vo veku 12 rokov a staršie: dávkovanie ako </w:t>
      </w:r>
      <w:r w:rsidR="004F3830" w:rsidRPr="000D1DE1">
        <w:rPr>
          <w:szCs w:val="22"/>
          <w:lang w:val="sk-SK"/>
        </w:rPr>
        <w:t>pre</w:t>
      </w:r>
      <w:r w:rsidRPr="000D1DE1">
        <w:rPr>
          <w:szCs w:val="22"/>
          <w:lang w:val="sk-SK"/>
        </w:rPr>
        <w:t> dospelých.</w:t>
      </w:r>
    </w:p>
    <w:p w14:paraId="426D6613" w14:textId="409FBB34" w:rsidR="00666717" w:rsidRPr="00A37A56" w:rsidRDefault="00666717" w:rsidP="00A37A56">
      <w:pPr>
        <w:pStyle w:val="Normlndobloku"/>
        <w:spacing w:after="0"/>
        <w:jc w:val="left"/>
        <w:rPr>
          <w:szCs w:val="22"/>
          <w:lang w:val="sk-SK"/>
        </w:rPr>
      </w:pPr>
      <w:r w:rsidRPr="000D1DE1">
        <w:rPr>
          <w:szCs w:val="22"/>
          <w:lang w:val="sk-SK"/>
        </w:rPr>
        <w:t>Deti mladšie ako 12 ro</w:t>
      </w:r>
      <w:r w:rsidR="00F2256E" w:rsidRPr="00A37A56">
        <w:rPr>
          <w:szCs w:val="22"/>
          <w:lang w:val="sk-SK"/>
        </w:rPr>
        <w:t>kov: D</w:t>
      </w:r>
      <w:r w:rsidR="00055FD4" w:rsidRPr="00A37A56">
        <w:rPr>
          <w:szCs w:val="22"/>
          <w:lang w:val="sk-SK"/>
        </w:rPr>
        <w:t>inarex</w:t>
      </w:r>
      <w:r w:rsidR="002A0E3F" w:rsidRPr="00A37A56">
        <w:rPr>
          <w:szCs w:val="22"/>
          <w:lang w:val="sk-SK"/>
        </w:rPr>
        <w:t xml:space="preserve"> nie je určený pre deti mladšie</w:t>
      </w:r>
      <w:r w:rsidRPr="00A37A56">
        <w:rPr>
          <w:szCs w:val="22"/>
          <w:lang w:val="sk-SK"/>
        </w:rPr>
        <w:t xml:space="preserve"> ako 12 rokov</w:t>
      </w:r>
      <w:r w:rsidR="00AC695A" w:rsidRPr="00A37A56">
        <w:rPr>
          <w:szCs w:val="22"/>
          <w:lang w:val="sk-SK"/>
        </w:rPr>
        <w:t>.</w:t>
      </w:r>
    </w:p>
    <w:p w14:paraId="15B33B56" w14:textId="77777777" w:rsidR="00455A84" w:rsidRPr="00A37A56" w:rsidRDefault="00455A84" w:rsidP="00A37A56">
      <w:pPr>
        <w:pStyle w:val="Styl3"/>
        <w:spacing w:after="0"/>
        <w:rPr>
          <w:szCs w:val="22"/>
        </w:rPr>
      </w:pPr>
    </w:p>
    <w:p w14:paraId="79F1AD08" w14:textId="77777777" w:rsidR="00666717" w:rsidRPr="00A37A56" w:rsidRDefault="00666717" w:rsidP="00A37A56">
      <w:pPr>
        <w:pStyle w:val="Styl3"/>
        <w:spacing w:after="0"/>
        <w:rPr>
          <w:szCs w:val="22"/>
        </w:rPr>
      </w:pPr>
      <w:r w:rsidRPr="00A37A56">
        <w:rPr>
          <w:szCs w:val="22"/>
        </w:rPr>
        <w:t>Starší</w:t>
      </w:r>
      <w:r w:rsidR="0001058A" w:rsidRPr="00A37A56">
        <w:rPr>
          <w:szCs w:val="22"/>
        </w:rPr>
        <w:t xml:space="preserve"> pacienti</w:t>
      </w:r>
      <w:r w:rsidRPr="00A37A56">
        <w:rPr>
          <w:szCs w:val="22"/>
        </w:rPr>
        <w:t xml:space="preserve"> (nad 65 rokov)</w:t>
      </w:r>
    </w:p>
    <w:p w14:paraId="47880CB5" w14:textId="4ADDA197" w:rsidR="00666717" w:rsidRDefault="00666717" w:rsidP="00A37A56">
      <w:pPr>
        <w:pStyle w:val="Normlndobloku"/>
        <w:spacing w:after="0"/>
        <w:jc w:val="left"/>
        <w:rPr>
          <w:szCs w:val="22"/>
          <w:lang w:val="sk-SK"/>
        </w:rPr>
      </w:pPr>
      <w:r w:rsidRPr="00A37A56">
        <w:rPr>
          <w:szCs w:val="22"/>
          <w:lang w:val="sk-SK"/>
        </w:rPr>
        <w:t xml:space="preserve">Dávkovanie ako </w:t>
      </w:r>
      <w:r w:rsidR="004F3830" w:rsidRPr="00A37A56">
        <w:rPr>
          <w:szCs w:val="22"/>
          <w:lang w:val="sk-SK"/>
        </w:rPr>
        <w:t>pre</w:t>
      </w:r>
      <w:r w:rsidRPr="00A37A56">
        <w:rPr>
          <w:szCs w:val="22"/>
          <w:lang w:val="sk-SK"/>
        </w:rPr>
        <w:t> dospelých.</w:t>
      </w:r>
    </w:p>
    <w:p w14:paraId="439F3DE5" w14:textId="77777777" w:rsidR="00CE42C8" w:rsidRPr="00CE42C8" w:rsidRDefault="00CE42C8" w:rsidP="00A37A56">
      <w:pPr>
        <w:pStyle w:val="Normlndobloku"/>
        <w:spacing w:after="0"/>
        <w:jc w:val="left"/>
        <w:rPr>
          <w:szCs w:val="22"/>
          <w:lang w:val="sk-SK"/>
        </w:rPr>
      </w:pPr>
    </w:p>
    <w:p w14:paraId="495C5EE2" w14:textId="77777777" w:rsidR="00666717" w:rsidRPr="00A77B3E" w:rsidRDefault="00666717" w:rsidP="00A37A56">
      <w:pPr>
        <w:pStyle w:val="Styl3"/>
        <w:spacing w:after="0"/>
        <w:rPr>
          <w:szCs w:val="22"/>
        </w:rPr>
      </w:pPr>
      <w:r w:rsidRPr="00A77B3E">
        <w:rPr>
          <w:szCs w:val="22"/>
        </w:rPr>
        <w:t>P</w:t>
      </w:r>
      <w:r w:rsidR="003A7C3F" w:rsidRPr="00A77B3E">
        <w:rPr>
          <w:szCs w:val="22"/>
        </w:rPr>
        <w:t>acienti s poruchou</w:t>
      </w:r>
      <w:r w:rsidRPr="00A77B3E">
        <w:rPr>
          <w:szCs w:val="22"/>
        </w:rPr>
        <w:t xml:space="preserve"> funkcie pečene/obličiek</w:t>
      </w:r>
    </w:p>
    <w:p w14:paraId="77B0E9DA" w14:textId="39A44215" w:rsidR="00666717" w:rsidRPr="000D1DE1" w:rsidRDefault="00666717" w:rsidP="00A37A56">
      <w:pPr>
        <w:pStyle w:val="Normlndobloku"/>
        <w:spacing w:after="0"/>
        <w:jc w:val="left"/>
        <w:rPr>
          <w:smallCaps/>
          <w:szCs w:val="22"/>
          <w:lang w:val="sk-SK"/>
        </w:rPr>
      </w:pPr>
      <w:r w:rsidRPr="008F20B2">
        <w:rPr>
          <w:szCs w:val="22"/>
          <w:lang w:val="sk-SK"/>
        </w:rPr>
        <w:t xml:space="preserve">Vzhľadom </w:t>
      </w:r>
      <w:r w:rsidR="00AC695A" w:rsidRPr="008F20B2">
        <w:rPr>
          <w:szCs w:val="22"/>
          <w:lang w:val="sk-SK"/>
        </w:rPr>
        <w:t>na</w:t>
      </w:r>
      <w:r w:rsidRPr="008F20B2">
        <w:rPr>
          <w:szCs w:val="22"/>
          <w:lang w:val="sk-SK"/>
        </w:rPr>
        <w:t> rozsiahl</w:t>
      </w:r>
      <w:r w:rsidR="00AC695A" w:rsidRPr="008F20B2">
        <w:rPr>
          <w:szCs w:val="22"/>
          <w:lang w:val="sk-SK"/>
        </w:rPr>
        <w:t>y</w:t>
      </w:r>
      <w:r w:rsidRPr="008F20B2">
        <w:rPr>
          <w:szCs w:val="22"/>
          <w:lang w:val="sk-SK"/>
        </w:rPr>
        <w:t xml:space="preserve"> </w:t>
      </w:r>
      <w:proofErr w:type="spellStart"/>
      <w:r w:rsidRPr="008F20B2">
        <w:rPr>
          <w:szCs w:val="22"/>
          <w:lang w:val="sk-SK"/>
        </w:rPr>
        <w:t>hepatál</w:t>
      </w:r>
      <w:r w:rsidR="00AC695A" w:rsidRPr="008F20B2">
        <w:rPr>
          <w:szCs w:val="22"/>
          <w:lang w:val="sk-SK"/>
        </w:rPr>
        <w:t>ny</w:t>
      </w:r>
      <w:proofErr w:type="spellEnd"/>
      <w:r w:rsidRPr="008F20B2">
        <w:rPr>
          <w:szCs w:val="22"/>
          <w:lang w:val="sk-SK"/>
        </w:rPr>
        <w:t xml:space="preserve"> </w:t>
      </w:r>
      <w:r w:rsidR="00532D60" w:rsidRPr="00570EF3">
        <w:rPr>
          <w:szCs w:val="22"/>
          <w:lang w:val="sk-SK"/>
        </w:rPr>
        <w:t>metabolizmu</w:t>
      </w:r>
      <w:r w:rsidR="00AC695A" w:rsidRPr="00570EF3">
        <w:rPr>
          <w:szCs w:val="22"/>
          <w:lang w:val="sk-SK"/>
        </w:rPr>
        <w:t>s</w:t>
      </w:r>
      <w:r w:rsidR="00532D60" w:rsidRPr="00570EF3">
        <w:rPr>
          <w:szCs w:val="22"/>
          <w:lang w:val="sk-SK"/>
        </w:rPr>
        <w:t xml:space="preserve"> </w:t>
      </w:r>
      <w:proofErr w:type="spellStart"/>
      <w:r w:rsidR="00532D60" w:rsidRPr="00570EF3">
        <w:rPr>
          <w:szCs w:val="22"/>
          <w:lang w:val="sk-SK"/>
        </w:rPr>
        <w:t>dextrometorfánu</w:t>
      </w:r>
      <w:proofErr w:type="spellEnd"/>
      <w:r w:rsidR="00532D60" w:rsidRPr="00570EF3">
        <w:rPr>
          <w:szCs w:val="22"/>
          <w:lang w:val="sk-SK"/>
        </w:rPr>
        <w:t xml:space="preserve"> je potrebná opatrnosť </w:t>
      </w:r>
      <w:r w:rsidR="00AC695A" w:rsidRPr="00570EF3">
        <w:rPr>
          <w:szCs w:val="22"/>
          <w:lang w:val="sk-SK"/>
        </w:rPr>
        <w:t>pri</w:t>
      </w:r>
      <w:r w:rsidR="00532D60" w:rsidRPr="00570EF3">
        <w:rPr>
          <w:szCs w:val="22"/>
          <w:lang w:val="sk-SK"/>
        </w:rPr>
        <w:t xml:space="preserve"> stredne </w:t>
      </w:r>
      <w:r w:rsidR="00AC695A" w:rsidRPr="000D1DE1">
        <w:rPr>
          <w:szCs w:val="22"/>
          <w:lang w:val="sk-SK"/>
        </w:rPr>
        <w:t xml:space="preserve">závažnej </w:t>
      </w:r>
      <w:r w:rsidR="00532D60" w:rsidRPr="000D1DE1">
        <w:rPr>
          <w:szCs w:val="22"/>
          <w:lang w:val="sk-SK"/>
        </w:rPr>
        <w:t xml:space="preserve">až </w:t>
      </w:r>
      <w:r w:rsidR="00AC695A" w:rsidRPr="000D1DE1">
        <w:rPr>
          <w:szCs w:val="22"/>
          <w:lang w:val="sk-SK"/>
        </w:rPr>
        <w:t>závažnej</w:t>
      </w:r>
      <w:r w:rsidR="00532D60" w:rsidRPr="000D1DE1">
        <w:rPr>
          <w:szCs w:val="22"/>
          <w:lang w:val="sk-SK"/>
        </w:rPr>
        <w:t xml:space="preserve"> poruche funkcie pečene (pozri časť 5.2).</w:t>
      </w:r>
    </w:p>
    <w:p w14:paraId="590843A9" w14:textId="3DEF41BA" w:rsidR="00666717" w:rsidRPr="00A37A56" w:rsidRDefault="00666717" w:rsidP="00A37A56">
      <w:pPr>
        <w:pStyle w:val="Normlndobloku"/>
        <w:spacing w:after="0"/>
        <w:jc w:val="left"/>
        <w:rPr>
          <w:szCs w:val="22"/>
          <w:lang w:val="sk-SK"/>
        </w:rPr>
      </w:pPr>
      <w:r w:rsidRPr="000D1DE1">
        <w:rPr>
          <w:szCs w:val="22"/>
          <w:lang w:val="sk-SK"/>
        </w:rPr>
        <w:t xml:space="preserve">Neprekračujte </w:t>
      </w:r>
      <w:r w:rsidR="0001058A" w:rsidRPr="00A37A56">
        <w:rPr>
          <w:szCs w:val="22"/>
          <w:lang w:val="sk-SK"/>
        </w:rPr>
        <w:t xml:space="preserve">uvedenú </w:t>
      </w:r>
      <w:r w:rsidRPr="00A37A56">
        <w:rPr>
          <w:szCs w:val="22"/>
          <w:lang w:val="sk-SK"/>
        </w:rPr>
        <w:t>dávku.</w:t>
      </w:r>
    </w:p>
    <w:p w14:paraId="1AFD45CE" w14:textId="77777777" w:rsidR="00AC695A" w:rsidRPr="00A37A56" w:rsidRDefault="00AC695A" w:rsidP="00A37A56">
      <w:pPr>
        <w:pStyle w:val="Styl2-2"/>
        <w:spacing w:before="0" w:after="0"/>
        <w:rPr>
          <w:szCs w:val="22"/>
          <w:lang w:val="sk-SK" w:eastAsia="en-US"/>
        </w:rPr>
      </w:pPr>
    </w:p>
    <w:p w14:paraId="2D1880CA" w14:textId="77777777" w:rsidR="00384677" w:rsidRPr="00A37A56" w:rsidRDefault="00384677" w:rsidP="00A37A56">
      <w:pPr>
        <w:pStyle w:val="Styl2-2"/>
        <w:spacing w:before="0" w:after="0"/>
        <w:rPr>
          <w:szCs w:val="22"/>
          <w:lang w:val="sk-SK" w:eastAsia="en-US"/>
        </w:rPr>
      </w:pPr>
      <w:r w:rsidRPr="00A37A56">
        <w:rPr>
          <w:szCs w:val="22"/>
          <w:lang w:val="sk-SK" w:eastAsia="en-US"/>
        </w:rPr>
        <w:t>Spôsob podávania</w:t>
      </w:r>
    </w:p>
    <w:p w14:paraId="2011896C" w14:textId="6D87F784" w:rsidR="00384677" w:rsidRPr="00A37A56" w:rsidRDefault="00666717" w:rsidP="00A37A56">
      <w:pPr>
        <w:pStyle w:val="Normlndobloku"/>
        <w:spacing w:after="0"/>
        <w:jc w:val="left"/>
        <w:rPr>
          <w:szCs w:val="22"/>
          <w:lang w:val="sk-SK"/>
        </w:rPr>
      </w:pPr>
      <w:r w:rsidRPr="00A37A56">
        <w:rPr>
          <w:szCs w:val="22"/>
          <w:lang w:val="sk-SK"/>
        </w:rPr>
        <w:t>P</w:t>
      </w:r>
      <w:r w:rsidR="00384677" w:rsidRPr="00A37A56">
        <w:rPr>
          <w:szCs w:val="22"/>
          <w:lang w:val="sk-SK"/>
        </w:rPr>
        <w:t>erorálne použitie</w:t>
      </w:r>
      <w:r w:rsidR="00AC695A" w:rsidRPr="00A37A56">
        <w:rPr>
          <w:szCs w:val="22"/>
          <w:lang w:val="sk-SK"/>
        </w:rPr>
        <w:t>.</w:t>
      </w:r>
    </w:p>
    <w:p w14:paraId="5BD1A503" w14:textId="7E2642EF" w:rsidR="00384677" w:rsidRPr="000D1DE1" w:rsidRDefault="00666717" w:rsidP="00A37A56">
      <w:pPr>
        <w:pStyle w:val="Normlndobloku"/>
        <w:spacing w:after="0"/>
        <w:jc w:val="left"/>
        <w:rPr>
          <w:szCs w:val="22"/>
          <w:lang w:val="sk-SK"/>
        </w:rPr>
      </w:pPr>
      <w:r w:rsidRPr="00A37A56">
        <w:rPr>
          <w:szCs w:val="22"/>
          <w:lang w:val="sk-SK"/>
        </w:rPr>
        <w:t>Liečba nemá trvať dlhšie ako 2 </w:t>
      </w:r>
      <w:r w:rsidR="0001058A" w:rsidRPr="00E64498">
        <w:rPr>
          <w:szCs w:val="22"/>
          <w:lang w:val="sk-SK"/>
        </w:rPr>
        <w:t>–</w:t>
      </w:r>
      <w:r w:rsidR="00C90D41" w:rsidRPr="00E64498">
        <w:rPr>
          <w:szCs w:val="22"/>
          <w:lang w:val="sk-SK"/>
        </w:rPr>
        <w:t> </w:t>
      </w:r>
      <w:r w:rsidRPr="000D1DE1">
        <w:rPr>
          <w:szCs w:val="22"/>
          <w:lang w:val="sk-SK"/>
        </w:rPr>
        <w:t>3 týždne.</w:t>
      </w:r>
    </w:p>
    <w:p w14:paraId="1B702E33" w14:textId="77777777" w:rsidR="00AC695A" w:rsidRPr="000D1DE1" w:rsidRDefault="00AC695A" w:rsidP="00A37A56">
      <w:pPr>
        <w:pStyle w:val="Normlndobloku"/>
        <w:spacing w:after="0"/>
        <w:jc w:val="left"/>
        <w:rPr>
          <w:szCs w:val="22"/>
          <w:lang w:val="sk-SK"/>
        </w:rPr>
      </w:pPr>
    </w:p>
    <w:p w14:paraId="14B44773" w14:textId="77777777" w:rsidR="00303C65" w:rsidRDefault="00A72EBA" w:rsidP="00A37A56">
      <w:pPr>
        <w:pStyle w:val="Styl2"/>
        <w:numPr>
          <w:ilvl w:val="1"/>
          <w:numId w:val="10"/>
        </w:numPr>
        <w:spacing w:before="0" w:after="0"/>
        <w:ind w:left="680" w:hanging="680"/>
        <w:rPr>
          <w:szCs w:val="22"/>
          <w:lang w:val="sk-SK"/>
        </w:rPr>
      </w:pPr>
      <w:r w:rsidRPr="00A37A56">
        <w:rPr>
          <w:szCs w:val="22"/>
          <w:lang w:val="sk-SK"/>
        </w:rPr>
        <w:t>Kontraindikácie</w:t>
      </w:r>
    </w:p>
    <w:p w14:paraId="4F164CC3" w14:textId="77777777" w:rsidR="00CE42C8" w:rsidRPr="00CE42C8" w:rsidRDefault="00CE42C8" w:rsidP="00A37A56">
      <w:pPr>
        <w:pStyle w:val="Styl2"/>
        <w:numPr>
          <w:ilvl w:val="0"/>
          <w:numId w:val="0"/>
        </w:numPr>
        <w:spacing w:before="0" w:after="0"/>
        <w:rPr>
          <w:szCs w:val="22"/>
          <w:lang w:val="sk-SK"/>
        </w:rPr>
      </w:pPr>
    </w:p>
    <w:p w14:paraId="6325B4B5" w14:textId="77777777" w:rsidR="00303C65" w:rsidRPr="00CE42C8" w:rsidRDefault="00303C65" w:rsidP="00A37A56">
      <w:pPr>
        <w:pStyle w:val="Normlndobloku"/>
        <w:spacing w:after="0"/>
        <w:jc w:val="left"/>
        <w:rPr>
          <w:color w:val="000000"/>
          <w:szCs w:val="22"/>
          <w:lang w:val="sk-SK" w:eastAsia="en-GB"/>
        </w:rPr>
      </w:pPr>
      <w:r w:rsidRPr="00CE42C8">
        <w:rPr>
          <w:szCs w:val="22"/>
          <w:lang w:val="sk-SK"/>
        </w:rPr>
        <w:t>Precitlivenosť na lieči</w:t>
      </w:r>
      <w:r w:rsidR="00532D60" w:rsidRPr="00CE42C8">
        <w:rPr>
          <w:szCs w:val="22"/>
          <w:lang w:val="sk-SK"/>
        </w:rPr>
        <w:t>vo</w:t>
      </w:r>
      <w:r w:rsidRPr="00CE42C8">
        <w:rPr>
          <w:szCs w:val="22"/>
          <w:lang w:val="sk-SK"/>
        </w:rPr>
        <w:t xml:space="preserve"> alebo na ktorúkoľvek z pomocných látok uvedených v časti 6.1</w:t>
      </w:r>
      <w:r w:rsidRPr="00CE42C8">
        <w:rPr>
          <w:color w:val="000000"/>
          <w:szCs w:val="22"/>
          <w:lang w:val="sk-SK" w:eastAsia="en-GB"/>
        </w:rPr>
        <w:t>.</w:t>
      </w:r>
    </w:p>
    <w:p w14:paraId="38926ADB" w14:textId="77777777" w:rsidR="00303C65" w:rsidRPr="008F20B2" w:rsidRDefault="00532D60" w:rsidP="00A37A56">
      <w:pPr>
        <w:pStyle w:val="Normlndobloku"/>
        <w:spacing w:after="0"/>
        <w:jc w:val="left"/>
        <w:rPr>
          <w:szCs w:val="22"/>
          <w:lang w:val="sk-SK" w:eastAsia="en-GB"/>
        </w:rPr>
      </w:pPr>
      <w:r w:rsidRPr="00A77B3E">
        <w:rPr>
          <w:szCs w:val="22"/>
          <w:lang w:val="sk-SK" w:eastAsia="en-GB"/>
        </w:rPr>
        <w:t xml:space="preserve">Pacienti, ktorí užívajú alebo </w:t>
      </w:r>
      <w:r w:rsidR="003A7C3F" w:rsidRPr="00A77B3E">
        <w:rPr>
          <w:szCs w:val="22"/>
          <w:lang w:val="sk-SK" w:eastAsia="en-GB"/>
        </w:rPr>
        <w:t xml:space="preserve">počas predchádzajúcich 2 týždňov </w:t>
      </w:r>
      <w:r w:rsidRPr="00A77B3E">
        <w:rPr>
          <w:szCs w:val="22"/>
          <w:lang w:val="sk-SK" w:eastAsia="en-GB"/>
        </w:rPr>
        <w:t>užívali inhibítory monoaminooxidázy (pozri časť 4.5).</w:t>
      </w:r>
    </w:p>
    <w:p w14:paraId="641A2AFF" w14:textId="77777777" w:rsidR="00303C65" w:rsidRPr="00570EF3" w:rsidRDefault="00532D60" w:rsidP="00A37A56">
      <w:pPr>
        <w:pStyle w:val="Normlndobloku"/>
        <w:spacing w:after="0"/>
        <w:jc w:val="left"/>
        <w:rPr>
          <w:szCs w:val="22"/>
          <w:lang w:val="sk-SK" w:eastAsia="en-GB"/>
        </w:rPr>
      </w:pPr>
      <w:r w:rsidRPr="00570EF3">
        <w:rPr>
          <w:szCs w:val="22"/>
          <w:lang w:val="sk-SK" w:eastAsia="en-GB"/>
        </w:rPr>
        <w:t>Pacienti s respiračnou insuficienci</w:t>
      </w:r>
      <w:r w:rsidR="003A7C3F" w:rsidRPr="00570EF3">
        <w:rPr>
          <w:szCs w:val="22"/>
          <w:lang w:val="sk-SK" w:eastAsia="en-GB"/>
        </w:rPr>
        <w:t>ou alebo s rizikom rozvoja</w:t>
      </w:r>
      <w:r w:rsidR="002A0E3F" w:rsidRPr="00570EF3">
        <w:rPr>
          <w:szCs w:val="22"/>
          <w:lang w:val="sk-SK" w:eastAsia="en-GB"/>
        </w:rPr>
        <w:t xml:space="preserve"> respi</w:t>
      </w:r>
      <w:r w:rsidRPr="00570EF3">
        <w:rPr>
          <w:szCs w:val="22"/>
          <w:lang w:val="sk-SK" w:eastAsia="en-GB"/>
        </w:rPr>
        <w:t>račného zlyhania (pozri časť 4.4).</w:t>
      </w:r>
    </w:p>
    <w:p w14:paraId="5AF077DD" w14:textId="5CC755A7" w:rsidR="00532D60" w:rsidRPr="00A37A56" w:rsidRDefault="008F22EE" w:rsidP="00A37A56">
      <w:pPr>
        <w:pStyle w:val="Normlndobloku"/>
        <w:spacing w:after="0"/>
        <w:jc w:val="left"/>
        <w:rPr>
          <w:szCs w:val="22"/>
          <w:lang w:val="sk-SK" w:eastAsia="en-GB"/>
        </w:rPr>
      </w:pPr>
      <w:r w:rsidRPr="000D1DE1">
        <w:rPr>
          <w:szCs w:val="22"/>
          <w:lang w:val="sk-SK" w:eastAsia="en-GB"/>
        </w:rPr>
        <w:t>P</w:t>
      </w:r>
      <w:r w:rsidR="002A0E3F" w:rsidRPr="000D1DE1">
        <w:rPr>
          <w:szCs w:val="22"/>
          <w:lang w:val="sk-SK" w:eastAsia="en-GB"/>
        </w:rPr>
        <w:t>acient</w:t>
      </w:r>
      <w:r w:rsidRPr="000D1DE1">
        <w:rPr>
          <w:szCs w:val="22"/>
          <w:lang w:val="sk-SK" w:eastAsia="en-GB"/>
        </w:rPr>
        <w:t>i</w:t>
      </w:r>
      <w:r w:rsidR="002A0E3F" w:rsidRPr="000D1DE1">
        <w:rPr>
          <w:szCs w:val="22"/>
          <w:lang w:val="sk-SK" w:eastAsia="en-GB"/>
        </w:rPr>
        <w:t xml:space="preserve"> užívajúci </w:t>
      </w:r>
      <w:r w:rsidR="00F55A63" w:rsidRPr="000D1DE1">
        <w:rPr>
          <w:szCs w:val="22"/>
          <w:lang w:val="sk-SK" w:eastAsia="en-GB"/>
        </w:rPr>
        <w:t>inhibítory</w:t>
      </w:r>
      <w:r w:rsidR="00532D60" w:rsidRPr="000D1DE1">
        <w:rPr>
          <w:szCs w:val="22"/>
          <w:lang w:val="sk-SK" w:eastAsia="en-GB"/>
        </w:rPr>
        <w:t xml:space="preserve"> spätného vychytávania </w:t>
      </w:r>
      <w:proofErr w:type="spellStart"/>
      <w:r w:rsidR="00532D60" w:rsidRPr="000D1DE1">
        <w:rPr>
          <w:szCs w:val="22"/>
          <w:lang w:val="sk-SK" w:eastAsia="en-GB"/>
        </w:rPr>
        <w:t>s</w:t>
      </w:r>
      <w:r w:rsidR="00AC695A" w:rsidRPr="000D1DE1">
        <w:rPr>
          <w:szCs w:val="22"/>
          <w:lang w:val="sk-SK" w:eastAsia="en-GB"/>
        </w:rPr>
        <w:t>é</w:t>
      </w:r>
      <w:r w:rsidR="00532D60" w:rsidRPr="00A37A56">
        <w:rPr>
          <w:szCs w:val="22"/>
          <w:lang w:val="sk-SK" w:eastAsia="en-GB"/>
        </w:rPr>
        <w:t>rotonínu</w:t>
      </w:r>
      <w:proofErr w:type="spellEnd"/>
      <w:r w:rsidR="00532D60" w:rsidRPr="00A37A56">
        <w:rPr>
          <w:szCs w:val="22"/>
          <w:lang w:val="sk-SK" w:eastAsia="en-GB"/>
        </w:rPr>
        <w:t xml:space="preserve"> (SSRI, pozri časť 4.5).</w:t>
      </w:r>
    </w:p>
    <w:p w14:paraId="39A91ECA" w14:textId="77777777" w:rsidR="00AC695A" w:rsidRPr="00A37A56" w:rsidRDefault="00AC695A" w:rsidP="00A37A56">
      <w:pPr>
        <w:pStyle w:val="Normlndobloku"/>
        <w:spacing w:after="0"/>
        <w:jc w:val="left"/>
        <w:rPr>
          <w:szCs w:val="22"/>
          <w:lang w:val="sk-SK" w:eastAsia="en-GB"/>
        </w:rPr>
      </w:pPr>
    </w:p>
    <w:p w14:paraId="56334375" w14:textId="77777777" w:rsidR="00667631" w:rsidRPr="00A37A56" w:rsidRDefault="00A72EBA" w:rsidP="00A37A56">
      <w:pPr>
        <w:pStyle w:val="Styl2"/>
        <w:numPr>
          <w:ilvl w:val="1"/>
          <w:numId w:val="10"/>
        </w:numPr>
        <w:spacing w:before="0" w:after="0"/>
        <w:ind w:left="680" w:hanging="680"/>
        <w:rPr>
          <w:szCs w:val="22"/>
          <w:lang w:val="sk-SK"/>
        </w:rPr>
      </w:pPr>
      <w:r w:rsidRPr="00A37A56">
        <w:rPr>
          <w:szCs w:val="22"/>
          <w:lang w:val="sk-SK"/>
        </w:rPr>
        <w:t>Osobitné upozornenia a opatrenia pri používaní</w:t>
      </w:r>
    </w:p>
    <w:p w14:paraId="258BB520" w14:textId="77777777" w:rsidR="00CE42C8" w:rsidRDefault="00CE42C8" w:rsidP="00A37A56">
      <w:pPr>
        <w:pStyle w:val="Normlndobloku"/>
        <w:spacing w:after="0"/>
        <w:jc w:val="left"/>
        <w:rPr>
          <w:szCs w:val="22"/>
          <w:lang w:val="sk-SK"/>
        </w:rPr>
      </w:pPr>
    </w:p>
    <w:p w14:paraId="07AFC81C" w14:textId="5C4425B8" w:rsidR="006923A1" w:rsidRPr="00A77B3E" w:rsidRDefault="00AC695A" w:rsidP="00A37A56">
      <w:pPr>
        <w:pStyle w:val="Normlndobloku"/>
        <w:spacing w:after="0"/>
        <w:jc w:val="left"/>
        <w:rPr>
          <w:szCs w:val="22"/>
          <w:lang w:val="sk-SK"/>
        </w:rPr>
      </w:pPr>
      <w:r w:rsidRPr="00CE42C8">
        <w:rPr>
          <w:szCs w:val="22"/>
          <w:lang w:val="sk-SK"/>
        </w:rPr>
        <w:t xml:space="preserve">Ak </w:t>
      </w:r>
      <w:r w:rsidR="003A7C3F" w:rsidRPr="00CE42C8">
        <w:rPr>
          <w:szCs w:val="22"/>
          <w:lang w:val="sk-SK"/>
        </w:rPr>
        <w:t>lekár neurčí inak, t</w:t>
      </w:r>
      <w:r w:rsidR="006923A1" w:rsidRPr="00CE42C8">
        <w:rPr>
          <w:szCs w:val="22"/>
          <w:lang w:val="sk-SK"/>
        </w:rPr>
        <w:t xml:space="preserve">ento liek sa nemá podávať pacientom s chronickým alebo pretrvávajúcim kašľom, </w:t>
      </w:r>
      <w:r w:rsidR="00B13E47" w:rsidRPr="00A77B3E">
        <w:rPr>
          <w:szCs w:val="22"/>
          <w:lang w:val="sk-SK"/>
        </w:rPr>
        <w:t>aký</w:t>
      </w:r>
      <w:r w:rsidR="006923A1" w:rsidRPr="00A77B3E">
        <w:rPr>
          <w:szCs w:val="22"/>
          <w:lang w:val="sk-SK"/>
        </w:rPr>
        <w:t xml:space="preserve"> sa prejavuje v súvislosti s astmou alebo v prípade, ke</w:t>
      </w:r>
      <w:r w:rsidRPr="00A77B3E">
        <w:rPr>
          <w:szCs w:val="22"/>
          <w:lang w:val="sk-SK"/>
        </w:rPr>
        <w:t>ď</w:t>
      </w:r>
      <w:r w:rsidR="006923A1" w:rsidRPr="00A77B3E">
        <w:rPr>
          <w:szCs w:val="22"/>
          <w:lang w:val="sk-SK"/>
        </w:rPr>
        <w:t xml:space="preserve"> kaše</w:t>
      </w:r>
      <w:r w:rsidR="003A7C3F" w:rsidRPr="00A77B3E">
        <w:rPr>
          <w:szCs w:val="22"/>
          <w:lang w:val="sk-SK"/>
        </w:rPr>
        <w:t>ľ sprevádza nadmerná sekrécia.</w:t>
      </w:r>
    </w:p>
    <w:p w14:paraId="7D9C7D29" w14:textId="77777777" w:rsidR="006923A1" w:rsidRPr="00570EF3" w:rsidRDefault="003A7C3F" w:rsidP="00A37A56">
      <w:pPr>
        <w:pStyle w:val="Normlndobloku"/>
        <w:spacing w:after="0"/>
        <w:jc w:val="left"/>
        <w:rPr>
          <w:szCs w:val="22"/>
          <w:lang w:val="sk-SK"/>
        </w:rPr>
      </w:pPr>
      <w:r w:rsidRPr="008F20B2">
        <w:rPr>
          <w:szCs w:val="22"/>
          <w:lang w:val="sk-SK"/>
        </w:rPr>
        <w:t>Boli hlásené prípady zneužitia</w:t>
      </w:r>
      <w:r w:rsidR="006923A1" w:rsidRPr="008F20B2">
        <w:rPr>
          <w:szCs w:val="22"/>
          <w:lang w:val="sk-SK"/>
        </w:rPr>
        <w:t xml:space="preserve"> dextrometorfánu. Opatrnosť sa odporúča predovšetkým u dospievajúcich a mladších adolescentov, ako aj pacientov s anamnézou zneužívania drog alebo psychoaktívnych látok.</w:t>
      </w:r>
    </w:p>
    <w:p w14:paraId="777A876D" w14:textId="77777777" w:rsidR="006923A1" w:rsidRPr="00A37A56" w:rsidRDefault="006923A1" w:rsidP="00A37A56">
      <w:pPr>
        <w:pStyle w:val="Normlndobloku"/>
        <w:spacing w:after="0"/>
        <w:jc w:val="left"/>
        <w:rPr>
          <w:szCs w:val="22"/>
          <w:lang w:val="sk-SK"/>
        </w:rPr>
      </w:pPr>
      <w:r w:rsidRPr="00570EF3">
        <w:rPr>
          <w:szCs w:val="22"/>
          <w:lang w:val="sk-SK"/>
        </w:rPr>
        <w:t>Tento liek sa nemá užívať s akýmkoľve</w:t>
      </w:r>
      <w:r w:rsidR="003A7C3F" w:rsidRPr="000D1DE1">
        <w:rPr>
          <w:szCs w:val="22"/>
          <w:lang w:val="sk-SK"/>
        </w:rPr>
        <w:t>k iným liekom proti kašľu a </w:t>
      </w:r>
      <w:r w:rsidRPr="000D1DE1">
        <w:rPr>
          <w:szCs w:val="22"/>
          <w:lang w:val="sk-SK"/>
        </w:rPr>
        <w:t>nachladnutiu</w:t>
      </w:r>
      <w:r w:rsidR="002A0E3F" w:rsidRPr="000D1DE1">
        <w:rPr>
          <w:szCs w:val="22"/>
          <w:lang w:val="sk-SK"/>
        </w:rPr>
        <w:t xml:space="preserve"> obsahujúcim dextrometorfán</w:t>
      </w:r>
      <w:r w:rsidRPr="000D1DE1">
        <w:rPr>
          <w:szCs w:val="22"/>
          <w:lang w:val="sk-SK"/>
        </w:rPr>
        <w:t>.</w:t>
      </w:r>
    </w:p>
    <w:p w14:paraId="32AA526A" w14:textId="3D67FB34" w:rsidR="006923A1" w:rsidRPr="00A37A56" w:rsidRDefault="002A0E3F" w:rsidP="00A37A56">
      <w:pPr>
        <w:pStyle w:val="Normlndobloku"/>
        <w:spacing w:after="0"/>
        <w:jc w:val="left"/>
        <w:rPr>
          <w:szCs w:val="22"/>
          <w:lang w:val="sk-SK"/>
        </w:rPr>
      </w:pPr>
      <w:r w:rsidRPr="00A37A56">
        <w:rPr>
          <w:szCs w:val="22"/>
          <w:lang w:val="sk-SK"/>
        </w:rPr>
        <w:t>Použitie dextrometorfánu s alkoholom alebo inými liekmi tlmiacimi CNS môže zvýšiť účinok na CNS a zapríčiniť toxicitu</w:t>
      </w:r>
      <w:r w:rsidR="000426C4" w:rsidRPr="00A37A56">
        <w:rPr>
          <w:szCs w:val="22"/>
          <w:lang w:val="sk-SK"/>
        </w:rPr>
        <w:t xml:space="preserve"> v relatívne </w:t>
      </w:r>
      <w:r w:rsidR="00AC695A" w:rsidRPr="00A37A56">
        <w:rPr>
          <w:szCs w:val="22"/>
          <w:lang w:val="sk-SK"/>
        </w:rPr>
        <w:t xml:space="preserve">nízkych </w:t>
      </w:r>
      <w:r w:rsidR="000426C4" w:rsidRPr="00A37A56">
        <w:rPr>
          <w:szCs w:val="22"/>
          <w:lang w:val="sk-SK"/>
        </w:rPr>
        <w:t>dávkach.</w:t>
      </w:r>
    </w:p>
    <w:p w14:paraId="4B28830D" w14:textId="43FBC733" w:rsidR="006923A1" w:rsidRPr="00A37A56" w:rsidRDefault="000426C4" w:rsidP="00A37A56">
      <w:pPr>
        <w:pStyle w:val="Normlndobloku"/>
        <w:spacing w:after="0"/>
        <w:jc w:val="left"/>
        <w:rPr>
          <w:szCs w:val="22"/>
          <w:lang w:val="sk-SK"/>
        </w:rPr>
      </w:pPr>
      <w:r w:rsidRPr="00A37A56">
        <w:rPr>
          <w:szCs w:val="22"/>
          <w:lang w:val="sk-SK"/>
        </w:rPr>
        <w:t>Neboli vykonané žiadne špecifické štúdie s </w:t>
      </w:r>
      <w:proofErr w:type="spellStart"/>
      <w:r w:rsidRPr="00A37A56">
        <w:rPr>
          <w:szCs w:val="22"/>
          <w:lang w:val="sk-SK"/>
        </w:rPr>
        <w:t>dextrometorfánom</w:t>
      </w:r>
      <w:proofErr w:type="spellEnd"/>
      <w:r w:rsidRPr="00A37A56">
        <w:rPr>
          <w:szCs w:val="22"/>
          <w:lang w:val="sk-SK"/>
        </w:rPr>
        <w:t xml:space="preserve"> pri </w:t>
      </w:r>
      <w:proofErr w:type="spellStart"/>
      <w:r w:rsidRPr="00A37A56">
        <w:rPr>
          <w:szCs w:val="22"/>
          <w:lang w:val="sk-SK"/>
        </w:rPr>
        <w:t>renálnej</w:t>
      </w:r>
      <w:proofErr w:type="spellEnd"/>
      <w:r w:rsidRPr="00A37A56">
        <w:rPr>
          <w:szCs w:val="22"/>
          <w:lang w:val="sk-SK"/>
        </w:rPr>
        <w:t xml:space="preserve"> alebo </w:t>
      </w:r>
      <w:proofErr w:type="spellStart"/>
      <w:r w:rsidRPr="00A37A56">
        <w:rPr>
          <w:szCs w:val="22"/>
          <w:lang w:val="sk-SK"/>
        </w:rPr>
        <w:t>hepat</w:t>
      </w:r>
      <w:r w:rsidR="00B13E47" w:rsidRPr="00A37A56">
        <w:rPr>
          <w:szCs w:val="22"/>
          <w:lang w:val="sk-SK"/>
        </w:rPr>
        <w:t>álnej</w:t>
      </w:r>
      <w:proofErr w:type="spellEnd"/>
      <w:r w:rsidRPr="00A37A56">
        <w:rPr>
          <w:szCs w:val="22"/>
          <w:lang w:val="sk-SK"/>
        </w:rPr>
        <w:t xml:space="preserve"> dysfunkcii. V dôsledku rozsiahleho hepatálneho metabolizmu dextrometorfánu je potrebná opatrnosť </w:t>
      </w:r>
      <w:r w:rsidR="00AC695A" w:rsidRPr="00A37A56">
        <w:rPr>
          <w:szCs w:val="22"/>
          <w:lang w:val="sk-SK"/>
        </w:rPr>
        <w:t>pri</w:t>
      </w:r>
      <w:r w:rsidRPr="00A37A56">
        <w:rPr>
          <w:szCs w:val="22"/>
          <w:lang w:val="sk-SK"/>
        </w:rPr>
        <w:t xml:space="preserve"> </w:t>
      </w:r>
      <w:r w:rsidR="00AC695A" w:rsidRPr="00A37A56">
        <w:rPr>
          <w:szCs w:val="22"/>
          <w:lang w:val="sk-SK"/>
        </w:rPr>
        <w:t xml:space="preserve">poruchách </w:t>
      </w:r>
      <w:r w:rsidRPr="00A37A56">
        <w:rPr>
          <w:szCs w:val="22"/>
          <w:lang w:val="sk-SK"/>
        </w:rPr>
        <w:t>funkcie pečene.</w:t>
      </w:r>
    </w:p>
    <w:p w14:paraId="6C385BB1" w14:textId="31995109" w:rsidR="000426C4" w:rsidRPr="00A37A56" w:rsidRDefault="000426C4" w:rsidP="00A37A56">
      <w:pPr>
        <w:pStyle w:val="Normlndobloku"/>
        <w:spacing w:after="0"/>
        <w:jc w:val="left"/>
        <w:rPr>
          <w:szCs w:val="22"/>
          <w:lang w:val="sk-SK"/>
        </w:rPr>
      </w:pPr>
      <w:r w:rsidRPr="00A37A56">
        <w:rPr>
          <w:szCs w:val="22"/>
          <w:lang w:val="sk-SK"/>
        </w:rPr>
        <w:t>Dextrometorfán sa metabolizuje pečeňovým cytochrómom P450 2D6. Aktivita tohto enzýmu je geneticky determinovaná. Približne 10 </w:t>
      </w:r>
      <w:r w:rsidR="003A7C3F" w:rsidRPr="00A37A56">
        <w:rPr>
          <w:szCs w:val="22"/>
          <w:lang w:val="sk-SK"/>
        </w:rPr>
        <w:t xml:space="preserve">% celkovej populácie </w:t>
      </w:r>
      <w:r w:rsidR="00AC695A" w:rsidRPr="00A37A56">
        <w:rPr>
          <w:szCs w:val="22"/>
          <w:lang w:val="sk-SK"/>
        </w:rPr>
        <w:t>tvoria</w:t>
      </w:r>
      <w:r w:rsidR="003A7C3F" w:rsidRPr="00A37A56">
        <w:rPr>
          <w:szCs w:val="22"/>
          <w:lang w:val="sk-SK"/>
        </w:rPr>
        <w:t xml:space="preserve"> pomal</w:t>
      </w:r>
      <w:r w:rsidR="00AC695A" w:rsidRPr="00A37A56">
        <w:rPr>
          <w:szCs w:val="22"/>
          <w:lang w:val="sk-SK"/>
        </w:rPr>
        <w:t>í</w:t>
      </w:r>
      <w:r w:rsidRPr="00A37A56">
        <w:rPr>
          <w:szCs w:val="22"/>
          <w:lang w:val="sk-SK"/>
        </w:rPr>
        <w:t xml:space="preserve"> </w:t>
      </w:r>
      <w:proofErr w:type="spellStart"/>
      <w:r w:rsidRPr="00A37A56">
        <w:rPr>
          <w:szCs w:val="22"/>
          <w:lang w:val="sk-SK"/>
        </w:rPr>
        <w:t>metaboliz</w:t>
      </w:r>
      <w:r w:rsidR="00AD4BE7" w:rsidRPr="00A37A56">
        <w:rPr>
          <w:szCs w:val="22"/>
          <w:lang w:val="sk-SK"/>
        </w:rPr>
        <w:t>átori</w:t>
      </w:r>
      <w:proofErr w:type="spellEnd"/>
      <w:r w:rsidRPr="00A37A56">
        <w:rPr>
          <w:szCs w:val="22"/>
          <w:lang w:val="sk-SK"/>
        </w:rPr>
        <w:t xml:space="preserve"> CYP</w:t>
      </w:r>
      <w:r w:rsidR="003A7C3F" w:rsidRPr="00A37A56">
        <w:rPr>
          <w:szCs w:val="22"/>
          <w:lang w:val="sk-SK"/>
        </w:rPr>
        <w:t>2D6. U pacientov s pomalým</w:t>
      </w:r>
      <w:r w:rsidRPr="00A37A56">
        <w:rPr>
          <w:szCs w:val="22"/>
          <w:lang w:val="sk-SK"/>
        </w:rPr>
        <w:t xml:space="preserve"> metabolizmom a pacientov so súbežným užívaním inhibítorov</w:t>
      </w:r>
      <w:r w:rsidR="003A7C3F" w:rsidRPr="00A37A56">
        <w:rPr>
          <w:szCs w:val="22"/>
          <w:lang w:val="sk-SK"/>
        </w:rPr>
        <w:t xml:space="preserve"> CYP2D6 sa môžu objaviť výraznejšie</w:t>
      </w:r>
      <w:r w:rsidRPr="00A37A56">
        <w:rPr>
          <w:szCs w:val="22"/>
          <w:lang w:val="sk-SK"/>
        </w:rPr>
        <w:t xml:space="preserve"> a/alebo predĺžené účinky dextrometorfánu. Preto je potrebná opatrnosť u pacientov, ktorí sú pomal</w:t>
      </w:r>
      <w:r w:rsidR="00AC695A" w:rsidRPr="00A37A56">
        <w:rPr>
          <w:szCs w:val="22"/>
          <w:lang w:val="sk-SK"/>
        </w:rPr>
        <w:t>í</w:t>
      </w:r>
      <w:r w:rsidRPr="00A37A56">
        <w:rPr>
          <w:szCs w:val="22"/>
          <w:lang w:val="sk-SK"/>
        </w:rPr>
        <w:t xml:space="preserve"> </w:t>
      </w:r>
      <w:proofErr w:type="spellStart"/>
      <w:r w:rsidRPr="00A37A56">
        <w:rPr>
          <w:szCs w:val="22"/>
          <w:lang w:val="sk-SK"/>
        </w:rPr>
        <w:t>metaboliz</w:t>
      </w:r>
      <w:r w:rsidR="00AD4BE7" w:rsidRPr="00A37A56">
        <w:rPr>
          <w:szCs w:val="22"/>
          <w:lang w:val="sk-SK"/>
        </w:rPr>
        <w:t>átori</w:t>
      </w:r>
      <w:proofErr w:type="spellEnd"/>
      <w:r w:rsidRPr="00A37A56">
        <w:rPr>
          <w:szCs w:val="22"/>
          <w:lang w:val="sk-SK"/>
        </w:rPr>
        <w:t xml:space="preserve"> CYP2D6 alebo používajú inhibítory CYP2D6 (pozri tiež časť 4.5).</w:t>
      </w:r>
    </w:p>
    <w:p w14:paraId="49228A90" w14:textId="4E368D2B" w:rsidR="006923A1" w:rsidRPr="00A37A56" w:rsidRDefault="000426C4" w:rsidP="00A37A56">
      <w:pPr>
        <w:pStyle w:val="Normlndobloku"/>
        <w:spacing w:after="0"/>
        <w:jc w:val="left"/>
        <w:rPr>
          <w:szCs w:val="22"/>
          <w:lang w:val="sk-SK"/>
        </w:rPr>
      </w:pPr>
      <w:r w:rsidRPr="00A37A56">
        <w:rPr>
          <w:szCs w:val="22"/>
          <w:lang w:val="sk-SK"/>
        </w:rPr>
        <w:t xml:space="preserve">Tento liek sa má používať </w:t>
      </w:r>
      <w:r w:rsidR="00AC695A" w:rsidRPr="00A37A56">
        <w:rPr>
          <w:szCs w:val="22"/>
          <w:lang w:val="sk-SK"/>
        </w:rPr>
        <w:t>s</w:t>
      </w:r>
      <w:r w:rsidR="00C90D41" w:rsidRPr="00A37A56">
        <w:rPr>
          <w:szCs w:val="22"/>
          <w:lang w:val="sk-SK"/>
        </w:rPr>
        <w:t> </w:t>
      </w:r>
      <w:r w:rsidRPr="00A37A56">
        <w:rPr>
          <w:szCs w:val="22"/>
          <w:lang w:val="sk-SK"/>
        </w:rPr>
        <w:t>opatrn</w:t>
      </w:r>
      <w:r w:rsidR="00AC695A" w:rsidRPr="00A37A56">
        <w:rPr>
          <w:szCs w:val="22"/>
          <w:lang w:val="sk-SK"/>
        </w:rPr>
        <w:t>osťou</w:t>
      </w:r>
      <w:r w:rsidRPr="00A37A56">
        <w:rPr>
          <w:szCs w:val="22"/>
          <w:lang w:val="sk-SK"/>
        </w:rPr>
        <w:t xml:space="preserve"> </w:t>
      </w:r>
      <w:r w:rsidR="00AC695A" w:rsidRPr="00A37A56">
        <w:rPr>
          <w:szCs w:val="22"/>
          <w:lang w:val="sk-SK"/>
        </w:rPr>
        <w:t>u</w:t>
      </w:r>
      <w:r w:rsidR="00C90D41" w:rsidRPr="00A37A56">
        <w:rPr>
          <w:szCs w:val="22"/>
          <w:lang w:val="sk-SK"/>
        </w:rPr>
        <w:t> </w:t>
      </w:r>
      <w:r w:rsidRPr="00A37A56">
        <w:rPr>
          <w:szCs w:val="22"/>
          <w:lang w:val="sk-SK"/>
        </w:rPr>
        <w:t>detí</w:t>
      </w:r>
      <w:r w:rsidR="00AC695A" w:rsidRPr="00A37A56">
        <w:rPr>
          <w:szCs w:val="22"/>
          <w:lang w:val="sk-SK"/>
        </w:rPr>
        <w:t xml:space="preserve"> s</w:t>
      </w:r>
      <w:r w:rsidR="00C90D41" w:rsidRPr="00A37A56">
        <w:rPr>
          <w:szCs w:val="22"/>
          <w:lang w:val="sk-SK"/>
        </w:rPr>
        <w:t> </w:t>
      </w:r>
      <w:proofErr w:type="spellStart"/>
      <w:r w:rsidR="00AC695A" w:rsidRPr="00A37A56">
        <w:rPr>
          <w:szCs w:val="22"/>
          <w:lang w:val="sk-SK"/>
        </w:rPr>
        <w:t>atopiou</w:t>
      </w:r>
      <w:proofErr w:type="spellEnd"/>
      <w:r w:rsidRPr="00A37A56">
        <w:rPr>
          <w:szCs w:val="22"/>
          <w:lang w:val="sk-SK"/>
        </w:rPr>
        <w:t xml:space="preserve"> </w:t>
      </w:r>
      <w:r w:rsidR="00AC695A" w:rsidRPr="00A37A56">
        <w:rPr>
          <w:szCs w:val="22"/>
          <w:lang w:val="sk-SK"/>
        </w:rPr>
        <w:t>kvôli</w:t>
      </w:r>
      <w:r w:rsidRPr="00A37A56">
        <w:rPr>
          <w:szCs w:val="22"/>
          <w:lang w:val="sk-SK"/>
        </w:rPr>
        <w:t xml:space="preserve"> uvoľňovani</w:t>
      </w:r>
      <w:r w:rsidR="00AC695A" w:rsidRPr="00A37A56">
        <w:rPr>
          <w:szCs w:val="22"/>
          <w:lang w:val="sk-SK"/>
        </w:rPr>
        <w:t>u</w:t>
      </w:r>
      <w:r w:rsidRPr="00A37A56">
        <w:rPr>
          <w:szCs w:val="22"/>
          <w:lang w:val="sk-SK"/>
        </w:rPr>
        <w:t xml:space="preserve"> histamínu.</w:t>
      </w:r>
    </w:p>
    <w:p w14:paraId="7BB04FC2" w14:textId="77777777" w:rsidR="00CE42C8" w:rsidRDefault="00CE42C8" w:rsidP="00A37A56">
      <w:pPr>
        <w:pStyle w:val="Styl3"/>
        <w:spacing w:after="0"/>
        <w:rPr>
          <w:szCs w:val="22"/>
        </w:rPr>
      </w:pPr>
    </w:p>
    <w:p w14:paraId="4D2A9A7E" w14:textId="1DD2958C" w:rsidR="006923A1" w:rsidRPr="00A77B3E" w:rsidRDefault="000426C4" w:rsidP="00A37A56">
      <w:pPr>
        <w:pStyle w:val="Styl3"/>
        <w:spacing w:after="0"/>
        <w:rPr>
          <w:szCs w:val="22"/>
        </w:rPr>
      </w:pPr>
      <w:proofErr w:type="spellStart"/>
      <w:r w:rsidRPr="00CE42C8">
        <w:rPr>
          <w:szCs w:val="22"/>
        </w:rPr>
        <w:t>D</w:t>
      </w:r>
      <w:r w:rsidR="00AC695A" w:rsidRPr="00CE42C8">
        <w:rPr>
          <w:szCs w:val="22"/>
        </w:rPr>
        <w:t>inarex</w:t>
      </w:r>
      <w:proofErr w:type="spellEnd"/>
      <w:r w:rsidRPr="00CE42C8">
        <w:rPr>
          <w:szCs w:val="22"/>
        </w:rPr>
        <w:t xml:space="preserve"> obsahuje sacharóz</w:t>
      </w:r>
      <w:r w:rsidR="00B13E47" w:rsidRPr="00CE42C8">
        <w:rPr>
          <w:szCs w:val="22"/>
        </w:rPr>
        <w:t>u</w:t>
      </w:r>
      <w:r w:rsidRPr="00CE42C8">
        <w:rPr>
          <w:szCs w:val="22"/>
        </w:rPr>
        <w:t xml:space="preserve">, </w:t>
      </w:r>
      <w:proofErr w:type="spellStart"/>
      <w:r w:rsidRPr="00CE42C8">
        <w:rPr>
          <w:szCs w:val="22"/>
        </w:rPr>
        <w:t>sorbit</w:t>
      </w:r>
      <w:r w:rsidR="003A7C3F" w:rsidRPr="00CE42C8">
        <w:rPr>
          <w:szCs w:val="22"/>
        </w:rPr>
        <w:t>ol</w:t>
      </w:r>
      <w:proofErr w:type="spellEnd"/>
      <w:r w:rsidR="003A7C3F" w:rsidRPr="00CE42C8">
        <w:rPr>
          <w:szCs w:val="22"/>
        </w:rPr>
        <w:t>, glukóz</w:t>
      </w:r>
      <w:r w:rsidR="00B13E47" w:rsidRPr="00CE42C8">
        <w:rPr>
          <w:szCs w:val="22"/>
        </w:rPr>
        <w:t>u a</w:t>
      </w:r>
      <w:r w:rsidR="0092089A" w:rsidRPr="00A77B3E">
        <w:rPr>
          <w:szCs w:val="22"/>
        </w:rPr>
        <w:t> </w:t>
      </w:r>
      <w:r w:rsidR="003A7C3F" w:rsidRPr="00A77B3E">
        <w:rPr>
          <w:szCs w:val="22"/>
        </w:rPr>
        <w:t>etanol</w:t>
      </w:r>
    </w:p>
    <w:p w14:paraId="7675A7FD" w14:textId="18CAFB23" w:rsidR="006923A1" w:rsidRPr="00570EF3" w:rsidRDefault="000426C4" w:rsidP="00A37A56">
      <w:pPr>
        <w:pStyle w:val="Normlndobloku"/>
        <w:spacing w:after="0"/>
        <w:jc w:val="left"/>
        <w:rPr>
          <w:szCs w:val="22"/>
          <w:lang w:val="sk-SK"/>
        </w:rPr>
      </w:pPr>
      <w:r w:rsidRPr="008F20B2">
        <w:rPr>
          <w:szCs w:val="22"/>
          <w:lang w:val="sk-SK"/>
        </w:rPr>
        <w:t>D</w:t>
      </w:r>
      <w:r w:rsidR="00AC695A" w:rsidRPr="008F20B2">
        <w:rPr>
          <w:szCs w:val="22"/>
          <w:lang w:val="sk-SK"/>
        </w:rPr>
        <w:t>inarex</w:t>
      </w:r>
      <w:r w:rsidRPr="008F20B2">
        <w:rPr>
          <w:szCs w:val="22"/>
          <w:lang w:val="sk-SK"/>
        </w:rPr>
        <w:t xml:space="preserve"> obsahuje 0,65 g</w:t>
      </w:r>
      <w:r w:rsidR="00864D38" w:rsidRPr="008F20B2">
        <w:rPr>
          <w:szCs w:val="22"/>
          <w:lang w:val="sk-SK"/>
        </w:rPr>
        <w:t xml:space="preserve"> sorbitolu, 3,95 g glukózy a 3,25 g sacharózy </w:t>
      </w:r>
      <w:r w:rsidR="00AC695A" w:rsidRPr="008F20B2">
        <w:rPr>
          <w:szCs w:val="22"/>
          <w:lang w:val="sk-SK"/>
        </w:rPr>
        <w:t>na</w:t>
      </w:r>
      <w:r w:rsidR="00475517" w:rsidRPr="008F20B2">
        <w:rPr>
          <w:szCs w:val="22"/>
          <w:lang w:val="sk-SK"/>
        </w:rPr>
        <w:t xml:space="preserve"> </w:t>
      </w:r>
      <w:r w:rsidR="00864D38" w:rsidRPr="008F20B2">
        <w:rPr>
          <w:szCs w:val="22"/>
          <w:lang w:val="sk-SK"/>
        </w:rPr>
        <w:t>dáv</w:t>
      </w:r>
      <w:r w:rsidR="004759D9" w:rsidRPr="00570EF3">
        <w:rPr>
          <w:szCs w:val="22"/>
          <w:lang w:val="sk-SK"/>
        </w:rPr>
        <w:t>k</w:t>
      </w:r>
      <w:r w:rsidR="00AC695A" w:rsidRPr="00570EF3">
        <w:rPr>
          <w:szCs w:val="22"/>
          <w:lang w:val="sk-SK"/>
        </w:rPr>
        <w:t>u</w:t>
      </w:r>
      <w:r w:rsidR="00864D38" w:rsidRPr="00570EF3">
        <w:rPr>
          <w:szCs w:val="22"/>
          <w:lang w:val="sk-SK"/>
        </w:rPr>
        <w:t>.</w:t>
      </w:r>
    </w:p>
    <w:p w14:paraId="03E8C06C" w14:textId="08018549" w:rsidR="00864D38" w:rsidRPr="00A37A56" w:rsidRDefault="00694645" w:rsidP="00A37A56">
      <w:pPr>
        <w:pStyle w:val="Normlndobloku"/>
        <w:spacing w:after="0"/>
        <w:jc w:val="left"/>
        <w:rPr>
          <w:szCs w:val="22"/>
          <w:lang w:val="sk-SK"/>
        </w:rPr>
      </w:pPr>
      <w:r w:rsidRPr="000D1DE1">
        <w:rPr>
          <w:szCs w:val="22"/>
          <w:lang w:val="sk-SK"/>
        </w:rPr>
        <w:t xml:space="preserve">Pacienti so zriedkavými dedičnými problémami intolerancie fruktózy, </w:t>
      </w:r>
      <w:proofErr w:type="spellStart"/>
      <w:r w:rsidRPr="000D1DE1">
        <w:rPr>
          <w:szCs w:val="22"/>
          <w:lang w:val="sk-SK"/>
        </w:rPr>
        <w:t>glukózo-galaktózovou</w:t>
      </w:r>
      <w:proofErr w:type="spellEnd"/>
      <w:r w:rsidRPr="000D1DE1">
        <w:rPr>
          <w:szCs w:val="22"/>
          <w:lang w:val="sk-SK"/>
        </w:rPr>
        <w:t xml:space="preserve"> </w:t>
      </w:r>
      <w:proofErr w:type="spellStart"/>
      <w:r w:rsidRPr="000D1DE1">
        <w:rPr>
          <w:szCs w:val="22"/>
          <w:lang w:val="sk-SK"/>
        </w:rPr>
        <w:t>malabsorpciou</w:t>
      </w:r>
      <w:proofErr w:type="spellEnd"/>
      <w:r w:rsidRPr="000D1DE1">
        <w:rPr>
          <w:szCs w:val="22"/>
          <w:lang w:val="sk-SK"/>
        </w:rPr>
        <w:t xml:space="preserve"> alebo deficitom sacharázy a izomaltázy, nesmú užívať tento liek.</w:t>
      </w:r>
      <w:r w:rsidR="0079679F" w:rsidRPr="000D1DE1">
        <w:rPr>
          <w:szCs w:val="22"/>
          <w:lang w:val="sk-SK"/>
        </w:rPr>
        <w:t xml:space="preserve"> </w:t>
      </w:r>
      <w:r w:rsidR="00864D38" w:rsidRPr="000D1DE1">
        <w:rPr>
          <w:szCs w:val="22"/>
          <w:lang w:val="sk-SK"/>
        </w:rPr>
        <w:t xml:space="preserve">Sacharóza a glukóza môžu </w:t>
      </w:r>
      <w:r w:rsidR="00296D00" w:rsidRPr="000D1DE1">
        <w:rPr>
          <w:szCs w:val="22"/>
          <w:lang w:val="sk-SK"/>
        </w:rPr>
        <w:t xml:space="preserve">škodiť </w:t>
      </w:r>
      <w:r w:rsidR="00296D00" w:rsidRPr="00A37A56">
        <w:rPr>
          <w:szCs w:val="22"/>
          <w:lang w:val="sk-SK"/>
        </w:rPr>
        <w:t>zubom</w:t>
      </w:r>
      <w:r w:rsidR="00864D38" w:rsidRPr="00A37A56">
        <w:rPr>
          <w:szCs w:val="22"/>
          <w:lang w:val="sk-SK"/>
        </w:rPr>
        <w:t>, ak sa pou</w:t>
      </w:r>
      <w:r w:rsidR="0079679F" w:rsidRPr="00A37A56">
        <w:rPr>
          <w:szCs w:val="22"/>
          <w:lang w:val="sk-SK"/>
        </w:rPr>
        <w:t>žíva</w:t>
      </w:r>
      <w:r w:rsidR="00864D38" w:rsidRPr="00A37A56">
        <w:rPr>
          <w:szCs w:val="22"/>
          <w:lang w:val="sk-SK"/>
        </w:rPr>
        <w:t xml:space="preserve"> dva týždne alebo </w:t>
      </w:r>
      <w:r w:rsidR="00296D00" w:rsidRPr="00A37A56">
        <w:rPr>
          <w:szCs w:val="22"/>
          <w:lang w:val="sk-SK"/>
        </w:rPr>
        <w:t>dlhšie</w:t>
      </w:r>
      <w:r w:rsidR="00864D38" w:rsidRPr="00A37A56">
        <w:rPr>
          <w:szCs w:val="22"/>
          <w:lang w:val="sk-SK"/>
        </w:rPr>
        <w:t xml:space="preserve">. </w:t>
      </w:r>
    </w:p>
    <w:p w14:paraId="733B52B9" w14:textId="77777777" w:rsidR="0058717F" w:rsidRPr="00A37A56" w:rsidRDefault="003A7C3F" w:rsidP="00A37A56">
      <w:pPr>
        <w:pStyle w:val="Normlndobloku"/>
        <w:spacing w:after="0"/>
        <w:jc w:val="left"/>
        <w:rPr>
          <w:szCs w:val="22"/>
          <w:lang w:val="sk-SK"/>
        </w:rPr>
      </w:pPr>
      <w:r w:rsidRPr="00A37A56">
        <w:rPr>
          <w:szCs w:val="22"/>
          <w:lang w:val="sk-SK"/>
        </w:rPr>
        <w:t>Tento liek obsahuje 5,03 </w:t>
      </w:r>
      <w:proofErr w:type="spellStart"/>
      <w:r w:rsidR="00296D00" w:rsidRPr="00A37A56">
        <w:rPr>
          <w:szCs w:val="22"/>
          <w:lang w:val="sk-SK"/>
        </w:rPr>
        <w:t>obj</w:t>
      </w:r>
      <w:proofErr w:type="spellEnd"/>
      <w:r w:rsidR="004A05D8" w:rsidRPr="00A37A56">
        <w:rPr>
          <w:szCs w:val="22"/>
          <w:lang w:val="sk-SK"/>
        </w:rPr>
        <w:t> </w:t>
      </w:r>
      <w:r w:rsidR="00864D38" w:rsidRPr="00A37A56">
        <w:rPr>
          <w:szCs w:val="22"/>
          <w:lang w:val="sk-SK"/>
        </w:rPr>
        <w:t>%</w:t>
      </w:r>
      <w:r w:rsidRPr="00A37A56">
        <w:rPr>
          <w:szCs w:val="22"/>
          <w:lang w:val="sk-SK"/>
        </w:rPr>
        <w:t xml:space="preserve"> </w:t>
      </w:r>
      <w:r w:rsidR="00864D38" w:rsidRPr="00A37A56">
        <w:rPr>
          <w:szCs w:val="22"/>
          <w:lang w:val="sk-SK"/>
        </w:rPr>
        <w:t>etanolu (alkohol</w:t>
      </w:r>
      <w:r w:rsidR="004759D9" w:rsidRPr="00A37A56">
        <w:rPr>
          <w:szCs w:val="22"/>
          <w:lang w:val="sk-SK"/>
        </w:rPr>
        <w:t xml:space="preserve">), </w:t>
      </w:r>
      <w:proofErr w:type="spellStart"/>
      <w:r w:rsidR="004759D9" w:rsidRPr="00A37A56">
        <w:rPr>
          <w:szCs w:val="22"/>
          <w:lang w:val="sk-SK"/>
        </w:rPr>
        <w:t>t.j</w:t>
      </w:r>
      <w:proofErr w:type="spellEnd"/>
      <w:r w:rsidR="004759D9" w:rsidRPr="00A37A56">
        <w:rPr>
          <w:szCs w:val="22"/>
          <w:lang w:val="sk-SK"/>
        </w:rPr>
        <w:t>.</w:t>
      </w:r>
      <w:r w:rsidR="00B639F1" w:rsidRPr="00A37A56">
        <w:rPr>
          <w:szCs w:val="22"/>
          <w:lang w:val="sk-SK"/>
        </w:rPr>
        <w:t xml:space="preserve"> až</w:t>
      </w:r>
      <w:r w:rsidR="004759D9" w:rsidRPr="00A37A56">
        <w:rPr>
          <w:szCs w:val="22"/>
          <w:lang w:val="sk-SK"/>
        </w:rPr>
        <w:t xml:space="preserve"> do 503 mg </w:t>
      </w:r>
      <w:r w:rsidR="00296D00" w:rsidRPr="00A37A56">
        <w:rPr>
          <w:szCs w:val="22"/>
          <w:lang w:val="sk-SK"/>
        </w:rPr>
        <w:t>na</w:t>
      </w:r>
      <w:r w:rsidR="004759D9" w:rsidRPr="00A37A56">
        <w:rPr>
          <w:szCs w:val="22"/>
          <w:lang w:val="sk-SK"/>
        </w:rPr>
        <w:t> dávk</w:t>
      </w:r>
      <w:r w:rsidR="00296D00" w:rsidRPr="00A37A56">
        <w:rPr>
          <w:szCs w:val="22"/>
          <w:lang w:val="sk-SK"/>
        </w:rPr>
        <w:t>u</w:t>
      </w:r>
      <w:r w:rsidR="00864D38" w:rsidRPr="00A37A56">
        <w:rPr>
          <w:szCs w:val="22"/>
          <w:lang w:val="sk-SK"/>
        </w:rPr>
        <w:t>, čo zodpo</w:t>
      </w:r>
      <w:r w:rsidR="004759D9" w:rsidRPr="00A37A56">
        <w:rPr>
          <w:szCs w:val="22"/>
          <w:lang w:val="sk-SK"/>
        </w:rPr>
        <w:t xml:space="preserve">vedá 10 ml piva </w:t>
      </w:r>
      <w:r w:rsidR="00B13E47" w:rsidRPr="00A37A56">
        <w:rPr>
          <w:szCs w:val="22"/>
          <w:lang w:val="sk-SK"/>
        </w:rPr>
        <w:t xml:space="preserve">alebo </w:t>
      </w:r>
      <w:r w:rsidR="004759D9" w:rsidRPr="00A37A56">
        <w:rPr>
          <w:szCs w:val="22"/>
          <w:lang w:val="sk-SK"/>
        </w:rPr>
        <w:t xml:space="preserve">4,2 ml vína </w:t>
      </w:r>
      <w:r w:rsidR="00296D00" w:rsidRPr="00A37A56">
        <w:rPr>
          <w:szCs w:val="22"/>
          <w:lang w:val="sk-SK"/>
        </w:rPr>
        <w:t>na</w:t>
      </w:r>
      <w:r w:rsidR="00B13E47" w:rsidRPr="00A37A56">
        <w:rPr>
          <w:szCs w:val="22"/>
          <w:lang w:val="sk-SK"/>
        </w:rPr>
        <w:t xml:space="preserve"> </w:t>
      </w:r>
      <w:r w:rsidR="00864D38" w:rsidRPr="00A37A56">
        <w:rPr>
          <w:szCs w:val="22"/>
          <w:lang w:val="sk-SK"/>
        </w:rPr>
        <w:t>10</w:t>
      </w:r>
      <w:r w:rsidR="004A05D8" w:rsidRPr="00A37A56">
        <w:rPr>
          <w:szCs w:val="22"/>
          <w:lang w:val="sk-SK"/>
        </w:rPr>
        <w:t> </w:t>
      </w:r>
      <w:r w:rsidR="004759D9" w:rsidRPr="00A37A56">
        <w:rPr>
          <w:szCs w:val="22"/>
          <w:lang w:val="sk-SK"/>
        </w:rPr>
        <w:t>ml dávk</w:t>
      </w:r>
      <w:r w:rsidR="00296D00" w:rsidRPr="00A37A56">
        <w:rPr>
          <w:szCs w:val="22"/>
          <w:lang w:val="sk-SK"/>
        </w:rPr>
        <w:t>u</w:t>
      </w:r>
      <w:r w:rsidRPr="00A37A56">
        <w:rPr>
          <w:szCs w:val="22"/>
          <w:lang w:val="sk-SK"/>
        </w:rPr>
        <w:t xml:space="preserve">. </w:t>
      </w:r>
      <w:r w:rsidR="00296D00" w:rsidRPr="00A37A56">
        <w:rPr>
          <w:szCs w:val="22"/>
          <w:lang w:val="sk-SK"/>
        </w:rPr>
        <w:t>Škodlivé pre tých, ktorí trpia alkoholizmom. Musí sa vziať do úvahy u</w:t>
      </w:r>
      <w:r w:rsidR="004A05D8" w:rsidRPr="00A37A56">
        <w:rPr>
          <w:szCs w:val="22"/>
          <w:lang w:val="sk-SK"/>
        </w:rPr>
        <w:t> </w:t>
      </w:r>
      <w:r w:rsidR="00296D00" w:rsidRPr="00A37A56">
        <w:rPr>
          <w:szCs w:val="22"/>
          <w:lang w:val="sk-SK"/>
        </w:rPr>
        <w:t>dojčiacich a</w:t>
      </w:r>
      <w:r w:rsidR="004A05D8" w:rsidRPr="00A37A56">
        <w:rPr>
          <w:szCs w:val="22"/>
          <w:lang w:val="sk-SK"/>
        </w:rPr>
        <w:t> </w:t>
      </w:r>
      <w:r w:rsidR="00296D00" w:rsidRPr="00A37A56">
        <w:rPr>
          <w:szCs w:val="22"/>
          <w:lang w:val="sk-SK"/>
        </w:rPr>
        <w:t>tehotných žien, detí a</w:t>
      </w:r>
      <w:r w:rsidR="004A05D8" w:rsidRPr="00A37A56">
        <w:rPr>
          <w:szCs w:val="22"/>
          <w:lang w:val="sk-SK"/>
        </w:rPr>
        <w:t> </w:t>
      </w:r>
      <w:r w:rsidR="00296D00" w:rsidRPr="00A37A56">
        <w:rPr>
          <w:szCs w:val="22"/>
          <w:lang w:val="sk-SK"/>
        </w:rPr>
        <w:t>vysoko rizikových skupín, ako sú pacienti s</w:t>
      </w:r>
      <w:r w:rsidR="004A05D8" w:rsidRPr="00A37A56">
        <w:rPr>
          <w:szCs w:val="22"/>
          <w:lang w:val="sk-SK"/>
        </w:rPr>
        <w:t> </w:t>
      </w:r>
      <w:r w:rsidR="00296D00" w:rsidRPr="00A37A56">
        <w:rPr>
          <w:szCs w:val="22"/>
          <w:lang w:val="sk-SK"/>
        </w:rPr>
        <w:t>poškodenou funkciou pečene alebo epilepsiou.</w:t>
      </w:r>
      <w:r w:rsidR="00296D00" w:rsidRPr="00A37A56" w:rsidDel="00296D00">
        <w:rPr>
          <w:szCs w:val="22"/>
          <w:lang w:val="sk-SK"/>
        </w:rPr>
        <w:t xml:space="preserve"> </w:t>
      </w:r>
    </w:p>
    <w:p w14:paraId="66888816" w14:textId="610653C4" w:rsidR="006923A1" w:rsidRDefault="00864D38" w:rsidP="00A37A56">
      <w:pPr>
        <w:pStyle w:val="Normlndobloku"/>
        <w:spacing w:after="0"/>
        <w:jc w:val="left"/>
        <w:rPr>
          <w:szCs w:val="22"/>
          <w:lang w:val="sk-SK"/>
        </w:rPr>
      </w:pPr>
      <w:r w:rsidRPr="00A37A56">
        <w:rPr>
          <w:szCs w:val="22"/>
          <w:lang w:val="sk-SK"/>
        </w:rPr>
        <w:t>Tento liek obsahuje men</w:t>
      </w:r>
      <w:r w:rsidR="004759D9" w:rsidRPr="00A37A56">
        <w:rPr>
          <w:szCs w:val="22"/>
          <w:lang w:val="sk-SK"/>
        </w:rPr>
        <w:t>ej ako 1 mmol sodíka (23 mg) v</w:t>
      </w:r>
      <w:r w:rsidR="00F2256E" w:rsidRPr="00A37A56">
        <w:rPr>
          <w:szCs w:val="22"/>
          <w:lang w:val="sk-SK"/>
        </w:rPr>
        <w:t> </w:t>
      </w:r>
      <w:r w:rsidR="004759D9" w:rsidRPr="00A37A56">
        <w:rPr>
          <w:szCs w:val="22"/>
          <w:lang w:val="sk-SK"/>
        </w:rPr>
        <w:t>dávke</w:t>
      </w:r>
      <w:r w:rsidR="008B5D9E" w:rsidRPr="00A37A56">
        <w:rPr>
          <w:szCs w:val="22"/>
          <w:lang w:val="sk-SK"/>
        </w:rPr>
        <w:t xml:space="preserve">, </w:t>
      </w:r>
      <w:proofErr w:type="spellStart"/>
      <w:r w:rsidR="008B5D9E" w:rsidRPr="00A37A56">
        <w:rPr>
          <w:szCs w:val="22"/>
          <w:lang w:val="sk-SK"/>
        </w:rPr>
        <w:t>t.j</w:t>
      </w:r>
      <w:proofErr w:type="spellEnd"/>
      <w:r w:rsidR="008B5D9E" w:rsidRPr="00A37A56">
        <w:rPr>
          <w:szCs w:val="22"/>
          <w:lang w:val="sk-SK"/>
        </w:rPr>
        <w:t>. </w:t>
      </w:r>
      <w:r w:rsidR="00296D00" w:rsidRPr="00A37A56">
        <w:rPr>
          <w:szCs w:val="22"/>
          <w:lang w:val="sk-SK"/>
        </w:rPr>
        <w:t>v podstate zanedbateľné množstvo sodíka.</w:t>
      </w:r>
    </w:p>
    <w:p w14:paraId="35F0BC17" w14:textId="77777777" w:rsidR="00CE42C8" w:rsidRPr="00CE42C8" w:rsidRDefault="00CE42C8" w:rsidP="00A37A56">
      <w:pPr>
        <w:pStyle w:val="Normlndobloku"/>
        <w:spacing w:after="0"/>
        <w:jc w:val="left"/>
        <w:rPr>
          <w:szCs w:val="22"/>
          <w:lang w:val="sk-SK"/>
        </w:rPr>
      </w:pPr>
    </w:p>
    <w:p w14:paraId="1ED9B193" w14:textId="77777777" w:rsidR="00A17518" w:rsidRPr="00CE42C8" w:rsidRDefault="00A72EBA" w:rsidP="00A37A56">
      <w:pPr>
        <w:pStyle w:val="Styl2"/>
        <w:numPr>
          <w:ilvl w:val="1"/>
          <w:numId w:val="10"/>
        </w:numPr>
        <w:spacing w:before="0" w:after="0"/>
        <w:ind w:left="680" w:hanging="680"/>
        <w:rPr>
          <w:szCs w:val="22"/>
          <w:lang w:val="sk-SK"/>
        </w:rPr>
      </w:pPr>
      <w:r w:rsidRPr="00CE42C8">
        <w:rPr>
          <w:szCs w:val="22"/>
          <w:lang w:val="sk-SK"/>
        </w:rPr>
        <w:t>Liekové a iné interakcie</w:t>
      </w:r>
    </w:p>
    <w:p w14:paraId="6F6C8682" w14:textId="77777777" w:rsidR="00CE42C8" w:rsidRDefault="00CE42C8" w:rsidP="00A37A56">
      <w:pPr>
        <w:pStyle w:val="Normlndobloku"/>
        <w:spacing w:after="0"/>
        <w:jc w:val="left"/>
        <w:rPr>
          <w:szCs w:val="22"/>
          <w:lang w:val="sk-SK"/>
        </w:rPr>
      </w:pPr>
    </w:p>
    <w:p w14:paraId="207E185D" w14:textId="1444D2BD" w:rsidR="006923A1" w:rsidRPr="008F20B2" w:rsidRDefault="00296D00" w:rsidP="00A37A56">
      <w:pPr>
        <w:pStyle w:val="Normlndobloku"/>
        <w:spacing w:after="0"/>
        <w:jc w:val="left"/>
        <w:rPr>
          <w:szCs w:val="22"/>
          <w:lang w:val="sk-SK"/>
        </w:rPr>
      </w:pPr>
      <w:r w:rsidRPr="00CE42C8">
        <w:rPr>
          <w:szCs w:val="22"/>
          <w:lang w:val="sk-SK"/>
        </w:rPr>
        <w:t>P</w:t>
      </w:r>
      <w:r w:rsidR="004759D9" w:rsidRPr="00CE42C8">
        <w:rPr>
          <w:szCs w:val="22"/>
          <w:lang w:val="sk-SK"/>
        </w:rPr>
        <w:t>acient</w:t>
      </w:r>
      <w:r w:rsidRPr="00CE42C8">
        <w:rPr>
          <w:szCs w:val="22"/>
          <w:lang w:val="sk-SK"/>
        </w:rPr>
        <w:t>i</w:t>
      </w:r>
      <w:r w:rsidR="004759D9" w:rsidRPr="00CE42C8">
        <w:rPr>
          <w:szCs w:val="22"/>
          <w:lang w:val="sk-SK"/>
        </w:rPr>
        <w:t xml:space="preserve"> užívajúci inhibítory </w:t>
      </w:r>
      <w:proofErr w:type="spellStart"/>
      <w:r w:rsidR="004759D9" w:rsidRPr="00CE42C8">
        <w:rPr>
          <w:szCs w:val="22"/>
          <w:lang w:val="sk-SK"/>
        </w:rPr>
        <w:t>monoaminooxidázy</w:t>
      </w:r>
      <w:proofErr w:type="spellEnd"/>
      <w:r w:rsidRPr="00CE42C8">
        <w:rPr>
          <w:szCs w:val="22"/>
          <w:lang w:val="sk-SK"/>
        </w:rPr>
        <w:t xml:space="preserve"> (IMAO) nemajú súbežne užívať dextrometorfán</w:t>
      </w:r>
      <w:r w:rsidR="008B5D9E" w:rsidRPr="00A77B3E">
        <w:rPr>
          <w:szCs w:val="22"/>
          <w:lang w:val="sk-SK"/>
        </w:rPr>
        <w:t xml:space="preserve"> 14 dní po ukončení liečby IMAO z dôvodu rizika</w:t>
      </w:r>
      <w:r w:rsidR="004759D9" w:rsidRPr="00A77B3E">
        <w:rPr>
          <w:szCs w:val="22"/>
          <w:lang w:val="sk-SK"/>
        </w:rPr>
        <w:t xml:space="preserve"> vzniku </w:t>
      </w:r>
      <w:proofErr w:type="spellStart"/>
      <w:r w:rsidR="004759D9" w:rsidRPr="00A77B3E">
        <w:rPr>
          <w:szCs w:val="22"/>
          <w:lang w:val="sk-SK"/>
        </w:rPr>
        <w:t>s</w:t>
      </w:r>
      <w:r w:rsidRPr="00A77B3E">
        <w:rPr>
          <w:szCs w:val="22"/>
          <w:lang w:val="sk-SK"/>
        </w:rPr>
        <w:t>é</w:t>
      </w:r>
      <w:r w:rsidR="004759D9" w:rsidRPr="00A77B3E">
        <w:rPr>
          <w:szCs w:val="22"/>
          <w:lang w:val="sk-SK"/>
        </w:rPr>
        <w:t>rotonínového</w:t>
      </w:r>
      <w:proofErr w:type="spellEnd"/>
      <w:r w:rsidR="004759D9" w:rsidRPr="00A77B3E">
        <w:rPr>
          <w:szCs w:val="22"/>
          <w:lang w:val="sk-SK"/>
        </w:rPr>
        <w:t xml:space="preserve"> syndrómu (napr. </w:t>
      </w:r>
      <w:proofErr w:type="spellStart"/>
      <w:r w:rsidR="004759D9" w:rsidRPr="00A77B3E">
        <w:rPr>
          <w:szCs w:val="22"/>
          <w:lang w:val="sk-SK"/>
        </w:rPr>
        <w:t>hyperpyrexia</w:t>
      </w:r>
      <w:proofErr w:type="spellEnd"/>
      <w:r w:rsidR="004759D9" w:rsidRPr="00A77B3E">
        <w:rPr>
          <w:szCs w:val="22"/>
          <w:lang w:val="sk-SK"/>
        </w:rPr>
        <w:t xml:space="preserve">, halucinácie, </w:t>
      </w:r>
      <w:r w:rsidRPr="008F20B2">
        <w:rPr>
          <w:szCs w:val="22"/>
          <w:lang w:val="sk-SK"/>
        </w:rPr>
        <w:t>nadmerná</w:t>
      </w:r>
      <w:r w:rsidR="004759D9" w:rsidRPr="008F20B2">
        <w:rPr>
          <w:szCs w:val="22"/>
          <w:lang w:val="sk-SK"/>
        </w:rPr>
        <w:t xml:space="preserve"> </w:t>
      </w:r>
      <w:proofErr w:type="spellStart"/>
      <w:r w:rsidR="004759D9" w:rsidRPr="008F20B2">
        <w:rPr>
          <w:szCs w:val="22"/>
          <w:lang w:val="sk-SK"/>
        </w:rPr>
        <w:t>excitáci</w:t>
      </w:r>
      <w:r w:rsidRPr="008F20B2">
        <w:rPr>
          <w:szCs w:val="22"/>
          <w:lang w:val="sk-SK"/>
        </w:rPr>
        <w:t>a</w:t>
      </w:r>
      <w:proofErr w:type="spellEnd"/>
      <w:r w:rsidR="004759D9" w:rsidRPr="008F20B2">
        <w:rPr>
          <w:szCs w:val="22"/>
          <w:lang w:val="sk-SK"/>
        </w:rPr>
        <w:t xml:space="preserve"> alebo kóma).</w:t>
      </w:r>
    </w:p>
    <w:p w14:paraId="3171265C" w14:textId="77777777" w:rsidR="00CE42C8" w:rsidRDefault="00CE42C8" w:rsidP="00A37A56">
      <w:pPr>
        <w:pStyle w:val="Styl3"/>
        <w:spacing w:after="0"/>
        <w:rPr>
          <w:szCs w:val="22"/>
        </w:rPr>
      </w:pPr>
    </w:p>
    <w:p w14:paraId="207977F6" w14:textId="77777777" w:rsidR="004759D9" w:rsidRPr="00CE42C8" w:rsidRDefault="004759D9" w:rsidP="00A37A56">
      <w:pPr>
        <w:pStyle w:val="Styl3"/>
        <w:spacing w:after="0"/>
        <w:rPr>
          <w:szCs w:val="22"/>
        </w:rPr>
      </w:pPr>
      <w:r w:rsidRPr="00CE42C8">
        <w:rPr>
          <w:szCs w:val="22"/>
        </w:rPr>
        <w:t>Inhibítory CYP2D6</w:t>
      </w:r>
    </w:p>
    <w:p w14:paraId="6EFBD97A" w14:textId="59209648" w:rsidR="004759D9" w:rsidRPr="000D1DE1" w:rsidRDefault="004759D9" w:rsidP="00A37A56">
      <w:pPr>
        <w:pStyle w:val="Normlndobloku"/>
        <w:spacing w:after="0"/>
        <w:jc w:val="left"/>
        <w:rPr>
          <w:szCs w:val="22"/>
          <w:lang w:val="sk-SK"/>
        </w:rPr>
      </w:pPr>
      <w:r w:rsidRPr="00A77B3E">
        <w:rPr>
          <w:szCs w:val="22"/>
          <w:lang w:val="sk-SK"/>
        </w:rPr>
        <w:lastRenderedPageBreak/>
        <w:t>Dextrometorfán sa metabolizuje prostredníctvom CYP2D6 a</w:t>
      </w:r>
      <w:r w:rsidR="008B5D9E" w:rsidRPr="00A77B3E">
        <w:rPr>
          <w:szCs w:val="22"/>
          <w:lang w:val="sk-SK"/>
        </w:rPr>
        <w:t xml:space="preserve"> vykazuje rozsiahly </w:t>
      </w:r>
      <w:proofErr w:type="spellStart"/>
      <w:r w:rsidR="008B5D9E" w:rsidRPr="00A77B3E">
        <w:rPr>
          <w:szCs w:val="22"/>
          <w:lang w:val="sk-SK"/>
        </w:rPr>
        <w:t>first-pass</w:t>
      </w:r>
      <w:proofErr w:type="spellEnd"/>
      <w:r w:rsidRPr="00A77B3E">
        <w:rPr>
          <w:szCs w:val="22"/>
          <w:lang w:val="sk-SK"/>
        </w:rPr>
        <w:t xml:space="preserve"> metabolizmus. Súbežné použitie silných inhibítorov enzýmu CYP2D6 môže zvýšiť koncentrácie dex</w:t>
      </w:r>
      <w:r w:rsidRPr="008F20B2">
        <w:rPr>
          <w:szCs w:val="22"/>
          <w:lang w:val="sk-SK"/>
        </w:rPr>
        <w:t xml:space="preserve">trometorfánu v tele na viacnásobne vyššie úrovne než je </w:t>
      </w:r>
      <w:r w:rsidR="0024171C" w:rsidRPr="00570EF3">
        <w:rPr>
          <w:szCs w:val="22"/>
          <w:lang w:val="sk-SK"/>
        </w:rPr>
        <w:t>normálne</w:t>
      </w:r>
      <w:r w:rsidRPr="00570EF3">
        <w:rPr>
          <w:szCs w:val="22"/>
          <w:lang w:val="sk-SK"/>
        </w:rPr>
        <w:t xml:space="preserve">. To zvyšuje </w:t>
      </w:r>
      <w:r w:rsidR="00454726" w:rsidRPr="00570EF3">
        <w:rPr>
          <w:szCs w:val="22"/>
          <w:lang w:val="sk-SK"/>
        </w:rPr>
        <w:t xml:space="preserve">u pacientov </w:t>
      </w:r>
      <w:r w:rsidRPr="00570EF3">
        <w:rPr>
          <w:szCs w:val="22"/>
          <w:lang w:val="sk-SK"/>
        </w:rPr>
        <w:t>riziko toxických účinkov dextrometorfánu (agit</w:t>
      </w:r>
      <w:r w:rsidR="0024171C" w:rsidRPr="00570EF3">
        <w:rPr>
          <w:szCs w:val="22"/>
          <w:lang w:val="sk-SK"/>
        </w:rPr>
        <w:t>ácia</w:t>
      </w:r>
      <w:r w:rsidRPr="00570EF3">
        <w:rPr>
          <w:szCs w:val="22"/>
          <w:lang w:val="sk-SK"/>
        </w:rPr>
        <w:t>, zmätenosť, tras</w:t>
      </w:r>
      <w:r w:rsidR="0024171C" w:rsidRPr="000D1DE1">
        <w:rPr>
          <w:szCs w:val="22"/>
          <w:lang w:val="sk-SK"/>
        </w:rPr>
        <w:t>ľavosť</w:t>
      </w:r>
      <w:r w:rsidRPr="000D1DE1">
        <w:rPr>
          <w:szCs w:val="22"/>
          <w:lang w:val="sk-SK"/>
        </w:rPr>
        <w:t xml:space="preserve">, nespavosť, hnačka a útlm dýchania) a rozvoj </w:t>
      </w:r>
      <w:proofErr w:type="spellStart"/>
      <w:r w:rsidRPr="000D1DE1">
        <w:rPr>
          <w:szCs w:val="22"/>
          <w:lang w:val="sk-SK"/>
        </w:rPr>
        <w:t>s</w:t>
      </w:r>
      <w:r w:rsidR="0024171C" w:rsidRPr="000D1DE1">
        <w:rPr>
          <w:szCs w:val="22"/>
          <w:lang w:val="sk-SK"/>
        </w:rPr>
        <w:t>é</w:t>
      </w:r>
      <w:r w:rsidRPr="000D1DE1">
        <w:rPr>
          <w:szCs w:val="22"/>
          <w:lang w:val="sk-SK"/>
        </w:rPr>
        <w:t>rotonínového</w:t>
      </w:r>
      <w:proofErr w:type="spellEnd"/>
      <w:r w:rsidRPr="000D1DE1">
        <w:rPr>
          <w:szCs w:val="22"/>
          <w:lang w:val="sk-SK"/>
        </w:rPr>
        <w:t xml:space="preserve"> syndrómu.</w:t>
      </w:r>
    </w:p>
    <w:p w14:paraId="4ED3179A" w14:textId="109ABDE1" w:rsidR="004759D9" w:rsidRPr="00A37A56" w:rsidRDefault="004759D9" w:rsidP="00A37A56">
      <w:pPr>
        <w:pStyle w:val="Normlndobloku"/>
        <w:spacing w:after="0"/>
        <w:jc w:val="left"/>
        <w:rPr>
          <w:szCs w:val="22"/>
          <w:lang w:val="sk-SK"/>
        </w:rPr>
      </w:pPr>
      <w:r w:rsidRPr="00A37A56">
        <w:rPr>
          <w:szCs w:val="22"/>
          <w:lang w:val="sk-SK"/>
        </w:rPr>
        <w:t xml:space="preserve">Medzi silné inhibítory enzýmu CYP2D6 patrí </w:t>
      </w:r>
      <w:proofErr w:type="spellStart"/>
      <w:r w:rsidRPr="00A37A56">
        <w:rPr>
          <w:szCs w:val="22"/>
          <w:lang w:val="sk-SK"/>
        </w:rPr>
        <w:t>f</w:t>
      </w:r>
      <w:r w:rsidR="0058092D" w:rsidRPr="00A37A56">
        <w:rPr>
          <w:szCs w:val="22"/>
          <w:lang w:val="sk-SK"/>
        </w:rPr>
        <w:t>luoxetín</w:t>
      </w:r>
      <w:proofErr w:type="spellEnd"/>
      <w:r w:rsidR="0058092D" w:rsidRPr="00A37A56">
        <w:rPr>
          <w:szCs w:val="22"/>
          <w:lang w:val="sk-SK"/>
        </w:rPr>
        <w:t xml:space="preserve">, </w:t>
      </w:r>
      <w:proofErr w:type="spellStart"/>
      <w:r w:rsidR="0058092D" w:rsidRPr="00A37A56">
        <w:rPr>
          <w:szCs w:val="22"/>
          <w:lang w:val="sk-SK"/>
        </w:rPr>
        <w:t>paroxetín</w:t>
      </w:r>
      <w:proofErr w:type="spellEnd"/>
      <w:r w:rsidR="0058092D" w:rsidRPr="00A37A56">
        <w:rPr>
          <w:szCs w:val="22"/>
          <w:lang w:val="sk-SK"/>
        </w:rPr>
        <w:t xml:space="preserve">, </w:t>
      </w:r>
      <w:proofErr w:type="spellStart"/>
      <w:r w:rsidR="0058092D" w:rsidRPr="00A37A56">
        <w:rPr>
          <w:szCs w:val="22"/>
          <w:lang w:val="sk-SK"/>
        </w:rPr>
        <w:t>chinidín</w:t>
      </w:r>
      <w:proofErr w:type="spellEnd"/>
      <w:r w:rsidR="0058092D" w:rsidRPr="00A37A56">
        <w:rPr>
          <w:szCs w:val="22"/>
          <w:lang w:val="sk-SK"/>
        </w:rPr>
        <w:t xml:space="preserve"> a </w:t>
      </w:r>
      <w:proofErr w:type="spellStart"/>
      <w:r w:rsidRPr="00A37A56">
        <w:rPr>
          <w:szCs w:val="22"/>
          <w:lang w:val="sk-SK"/>
        </w:rPr>
        <w:t>terb</w:t>
      </w:r>
      <w:r w:rsidR="0058092D" w:rsidRPr="00A37A56">
        <w:rPr>
          <w:szCs w:val="22"/>
          <w:lang w:val="sk-SK"/>
        </w:rPr>
        <w:t>inafín</w:t>
      </w:r>
      <w:proofErr w:type="spellEnd"/>
      <w:r w:rsidR="0058092D" w:rsidRPr="00A37A56">
        <w:rPr>
          <w:szCs w:val="22"/>
          <w:lang w:val="sk-SK"/>
        </w:rPr>
        <w:t>. Pri súbežnom podávaní s </w:t>
      </w:r>
      <w:proofErr w:type="spellStart"/>
      <w:r w:rsidRPr="00A37A56">
        <w:rPr>
          <w:szCs w:val="22"/>
          <w:lang w:val="sk-SK"/>
        </w:rPr>
        <w:t>chinidín</w:t>
      </w:r>
      <w:r w:rsidR="0058092D" w:rsidRPr="00A37A56">
        <w:rPr>
          <w:szCs w:val="22"/>
          <w:lang w:val="sk-SK"/>
        </w:rPr>
        <w:t>om</w:t>
      </w:r>
      <w:proofErr w:type="spellEnd"/>
      <w:r w:rsidR="0058092D" w:rsidRPr="00A37A56">
        <w:rPr>
          <w:szCs w:val="22"/>
          <w:lang w:val="sk-SK"/>
        </w:rPr>
        <w:t xml:space="preserve"> sa koncentrácie </w:t>
      </w:r>
      <w:proofErr w:type="spellStart"/>
      <w:r w:rsidR="0058092D" w:rsidRPr="00A37A56">
        <w:rPr>
          <w:szCs w:val="22"/>
          <w:lang w:val="sk-SK"/>
        </w:rPr>
        <w:t>dextrometorfánu</w:t>
      </w:r>
      <w:proofErr w:type="spellEnd"/>
      <w:r w:rsidR="0058092D" w:rsidRPr="00A37A56">
        <w:rPr>
          <w:szCs w:val="22"/>
          <w:lang w:val="sk-SK"/>
        </w:rPr>
        <w:t xml:space="preserve"> v </w:t>
      </w:r>
      <w:r w:rsidRPr="00A37A56">
        <w:rPr>
          <w:szCs w:val="22"/>
          <w:lang w:val="sk-SK"/>
        </w:rPr>
        <w:t>plazme zvýšili až 20-násobne, čo zvýšilo nežiaduce účinky lieku</w:t>
      </w:r>
      <w:r w:rsidR="0058092D" w:rsidRPr="00A37A56">
        <w:rPr>
          <w:szCs w:val="22"/>
          <w:lang w:val="sk-SK"/>
        </w:rPr>
        <w:t xml:space="preserve"> na CNS. </w:t>
      </w:r>
      <w:proofErr w:type="spellStart"/>
      <w:r w:rsidR="0058092D" w:rsidRPr="00A37A56">
        <w:rPr>
          <w:szCs w:val="22"/>
          <w:lang w:val="sk-SK"/>
        </w:rPr>
        <w:t>Amiodarón</w:t>
      </w:r>
      <w:proofErr w:type="spellEnd"/>
      <w:r w:rsidR="0058092D" w:rsidRPr="00A37A56">
        <w:rPr>
          <w:szCs w:val="22"/>
          <w:lang w:val="sk-SK"/>
        </w:rPr>
        <w:t xml:space="preserve">, </w:t>
      </w:r>
      <w:proofErr w:type="spellStart"/>
      <w:r w:rsidR="0058092D" w:rsidRPr="00A37A56">
        <w:rPr>
          <w:szCs w:val="22"/>
          <w:lang w:val="sk-SK"/>
        </w:rPr>
        <w:t>flekainid</w:t>
      </w:r>
      <w:proofErr w:type="spellEnd"/>
      <w:r w:rsidR="0058092D" w:rsidRPr="00A37A56">
        <w:rPr>
          <w:szCs w:val="22"/>
          <w:lang w:val="sk-SK"/>
        </w:rPr>
        <w:t xml:space="preserve"> a </w:t>
      </w:r>
      <w:proofErr w:type="spellStart"/>
      <w:r w:rsidRPr="00A37A56">
        <w:rPr>
          <w:szCs w:val="22"/>
          <w:lang w:val="sk-SK"/>
        </w:rPr>
        <w:t>propafenón</w:t>
      </w:r>
      <w:proofErr w:type="spellEnd"/>
      <w:r w:rsidRPr="00A37A56">
        <w:rPr>
          <w:szCs w:val="22"/>
          <w:lang w:val="sk-SK"/>
        </w:rPr>
        <w:t xml:space="preserve">, </w:t>
      </w:r>
      <w:proofErr w:type="spellStart"/>
      <w:r w:rsidRPr="00A37A56">
        <w:rPr>
          <w:szCs w:val="22"/>
          <w:lang w:val="sk-SK"/>
        </w:rPr>
        <w:t>sertralín</w:t>
      </w:r>
      <w:proofErr w:type="spellEnd"/>
      <w:r w:rsidRPr="00A37A56">
        <w:rPr>
          <w:szCs w:val="22"/>
          <w:lang w:val="sk-SK"/>
        </w:rPr>
        <w:t xml:space="preserve">, </w:t>
      </w:r>
      <w:proofErr w:type="spellStart"/>
      <w:r w:rsidRPr="00A37A56">
        <w:rPr>
          <w:szCs w:val="22"/>
          <w:lang w:val="sk-SK"/>
        </w:rPr>
        <w:t>bupropión</w:t>
      </w:r>
      <w:proofErr w:type="spellEnd"/>
      <w:r w:rsidRPr="00A37A56">
        <w:rPr>
          <w:szCs w:val="22"/>
          <w:lang w:val="sk-SK"/>
        </w:rPr>
        <w:t xml:space="preserve">, </w:t>
      </w:r>
      <w:proofErr w:type="spellStart"/>
      <w:r w:rsidRPr="00A37A56">
        <w:rPr>
          <w:szCs w:val="22"/>
          <w:lang w:val="sk-SK"/>
        </w:rPr>
        <w:t>metadón</w:t>
      </w:r>
      <w:proofErr w:type="spellEnd"/>
      <w:r w:rsidRPr="00A37A56">
        <w:rPr>
          <w:szCs w:val="22"/>
          <w:lang w:val="sk-SK"/>
        </w:rPr>
        <w:t xml:space="preserve">, </w:t>
      </w:r>
      <w:proofErr w:type="spellStart"/>
      <w:r w:rsidRPr="00A37A56">
        <w:rPr>
          <w:szCs w:val="22"/>
          <w:lang w:val="sk-SK"/>
        </w:rPr>
        <w:t>cinaka</w:t>
      </w:r>
      <w:r w:rsidR="0058092D" w:rsidRPr="00A37A56">
        <w:rPr>
          <w:szCs w:val="22"/>
          <w:lang w:val="sk-SK"/>
        </w:rPr>
        <w:t>lcet</w:t>
      </w:r>
      <w:proofErr w:type="spellEnd"/>
      <w:r w:rsidR="0058092D" w:rsidRPr="00A37A56">
        <w:rPr>
          <w:szCs w:val="22"/>
          <w:lang w:val="sk-SK"/>
        </w:rPr>
        <w:t xml:space="preserve">, </w:t>
      </w:r>
      <w:proofErr w:type="spellStart"/>
      <w:r w:rsidR="0058092D" w:rsidRPr="00A37A56">
        <w:rPr>
          <w:szCs w:val="22"/>
          <w:lang w:val="sk-SK"/>
        </w:rPr>
        <w:t>haloperidol</w:t>
      </w:r>
      <w:proofErr w:type="spellEnd"/>
      <w:r w:rsidR="0058092D" w:rsidRPr="00A37A56">
        <w:rPr>
          <w:szCs w:val="22"/>
          <w:lang w:val="sk-SK"/>
        </w:rPr>
        <w:t xml:space="preserve">, </w:t>
      </w:r>
      <w:proofErr w:type="spellStart"/>
      <w:r w:rsidR="0058092D" w:rsidRPr="00A37A56">
        <w:rPr>
          <w:szCs w:val="22"/>
          <w:lang w:val="sk-SK"/>
        </w:rPr>
        <w:t>perfenazín</w:t>
      </w:r>
      <w:proofErr w:type="spellEnd"/>
      <w:r w:rsidR="0058092D" w:rsidRPr="00A37A56">
        <w:rPr>
          <w:szCs w:val="22"/>
          <w:lang w:val="sk-SK"/>
        </w:rPr>
        <w:t xml:space="preserve"> a </w:t>
      </w:r>
      <w:proofErr w:type="spellStart"/>
      <w:r w:rsidRPr="00A37A56">
        <w:rPr>
          <w:szCs w:val="22"/>
          <w:lang w:val="sk-SK"/>
        </w:rPr>
        <w:t>tioridazín</w:t>
      </w:r>
      <w:proofErr w:type="spellEnd"/>
      <w:r w:rsidRPr="00A37A56">
        <w:rPr>
          <w:szCs w:val="22"/>
          <w:lang w:val="sk-SK"/>
        </w:rPr>
        <w:t xml:space="preserve"> majú tiež podobné účin</w:t>
      </w:r>
      <w:r w:rsidR="0058092D" w:rsidRPr="00A37A56">
        <w:rPr>
          <w:szCs w:val="22"/>
          <w:lang w:val="sk-SK"/>
        </w:rPr>
        <w:t>ky na metabolizmus dextrometorfá</w:t>
      </w:r>
      <w:r w:rsidRPr="00A37A56">
        <w:rPr>
          <w:szCs w:val="22"/>
          <w:lang w:val="sk-SK"/>
        </w:rPr>
        <w:t>nu. Ak je potrebné súbežn</w:t>
      </w:r>
      <w:r w:rsidR="0058092D" w:rsidRPr="00A37A56">
        <w:rPr>
          <w:szCs w:val="22"/>
          <w:lang w:val="sk-SK"/>
        </w:rPr>
        <w:t>é užívanie inhibítorov CYP2D6 a dextrometorfá</w:t>
      </w:r>
      <w:r w:rsidRPr="00A37A56">
        <w:rPr>
          <w:szCs w:val="22"/>
          <w:lang w:val="sk-SK"/>
        </w:rPr>
        <w:t>nu,</w:t>
      </w:r>
      <w:r w:rsidR="0058092D" w:rsidRPr="00A37A56">
        <w:rPr>
          <w:szCs w:val="22"/>
          <w:lang w:val="sk-SK"/>
        </w:rPr>
        <w:t xml:space="preserve"> </w:t>
      </w:r>
      <w:r w:rsidR="008B5D9E" w:rsidRPr="00A37A56">
        <w:rPr>
          <w:szCs w:val="22"/>
          <w:lang w:val="sk-SK"/>
        </w:rPr>
        <w:t xml:space="preserve">je </w:t>
      </w:r>
      <w:r w:rsidR="00CB4E08" w:rsidRPr="00A37A56">
        <w:rPr>
          <w:szCs w:val="22"/>
          <w:lang w:val="sk-SK"/>
        </w:rPr>
        <w:t xml:space="preserve">potrebné </w:t>
      </w:r>
      <w:r w:rsidR="0058092D" w:rsidRPr="00A37A56">
        <w:rPr>
          <w:szCs w:val="22"/>
          <w:lang w:val="sk-SK"/>
        </w:rPr>
        <w:t>pacient</w:t>
      </w:r>
      <w:r w:rsidR="008B5D9E" w:rsidRPr="00A37A56">
        <w:rPr>
          <w:szCs w:val="22"/>
          <w:lang w:val="sk-SK"/>
        </w:rPr>
        <w:t>a monitorovať a v prípade potreby</w:t>
      </w:r>
      <w:r w:rsidR="0058092D" w:rsidRPr="00A37A56">
        <w:rPr>
          <w:szCs w:val="22"/>
          <w:lang w:val="sk-SK"/>
        </w:rPr>
        <w:t xml:space="preserve"> znížiť dávku dextrometorfánu.</w:t>
      </w:r>
    </w:p>
    <w:p w14:paraId="133D5992" w14:textId="77777777" w:rsidR="0058092D" w:rsidRDefault="0058092D" w:rsidP="00A37A56">
      <w:pPr>
        <w:pStyle w:val="Normlndobloku"/>
        <w:spacing w:after="0"/>
        <w:jc w:val="left"/>
        <w:rPr>
          <w:rStyle w:val="alt-edited"/>
          <w:szCs w:val="22"/>
          <w:lang w:val="sk-SK"/>
        </w:rPr>
      </w:pPr>
      <w:r w:rsidRPr="00A37A56">
        <w:rPr>
          <w:rStyle w:val="alt-edited"/>
          <w:szCs w:val="22"/>
          <w:lang w:val="sk-SK"/>
        </w:rPr>
        <w:t>Dextrometorfán môže vykazovať aditívne tlmivé úč</w:t>
      </w:r>
      <w:r w:rsidR="008B5D9E" w:rsidRPr="00A37A56">
        <w:rPr>
          <w:rStyle w:val="alt-edited"/>
          <w:szCs w:val="22"/>
          <w:lang w:val="sk-SK"/>
        </w:rPr>
        <w:t>inky na CNS</w:t>
      </w:r>
      <w:r w:rsidRPr="00A37A56">
        <w:rPr>
          <w:rStyle w:val="alt-edited"/>
          <w:szCs w:val="22"/>
          <w:lang w:val="sk-SK"/>
        </w:rPr>
        <w:t xml:space="preserve"> pri súčasnom podávaní s alkoholom, </w:t>
      </w:r>
      <w:proofErr w:type="spellStart"/>
      <w:r w:rsidRPr="00A37A56">
        <w:rPr>
          <w:rStyle w:val="alt-edited"/>
          <w:szCs w:val="22"/>
          <w:lang w:val="sk-SK"/>
        </w:rPr>
        <w:t>antihistaminikami</w:t>
      </w:r>
      <w:proofErr w:type="spellEnd"/>
      <w:r w:rsidRPr="00A37A56">
        <w:rPr>
          <w:rStyle w:val="alt-edited"/>
          <w:szCs w:val="22"/>
          <w:lang w:val="sk-SK"/>
        </w:rPr>
        <w:t xml:space="preserve">, psychotropnými </w:t>
      </w:r>
      <w:r w:rsidR="00CB4E08" w:rsidRPr="00A37A56">
        <w:rPr>
          <w:rStyle w:val="alt-edited"/>
          <w:szCs w:val="22"/>
          <w:lang w:val="sk-SK"/>
        </w:rPr>
        <w:t xml:space="preserve">látkami </w:t>
      </w:r>
      <w:r w:rsidRPr="00A37A56">
        <w:rPr>
          <w:rStyle w:val="alt-edited"/>
          <w:szCs w:val="22"/>
          <w:lang w:val="sk-SK"/>
        </w:rPr>
        <w:t>a inými liekmi tlmiacimi CNS.</w:t>
      </w:r>
    </w:p>
    <w:p w14:paraId="19151478" w14:textId="77777777" w:rsidR="00CE42C8" w:rsidRPr="00CE42C8" w:rsidRDefault="00CE42C8" w:rsidP="00A37A56">
      <w:pPr>
        <w:pStyle w:val="Normlndobloku"/>
        <w:spacing w:after="0"/>
        <w:jc w:val="left"/>
        <w:rPr>
          <w:szCs w:val="22"/>
          <w:lang w:val="sk-SK"/>
        </w:rPr>
      </w:pPr>
    </w:p>
    <w:p w14:paraId="33A1FBB9" w14:textId="77777777" w:rsidR="00BF2119" w:rsidRPr="00CE42C8" w:rsidRDefault="00A72EBA" w:rsidP="00A37A56">
      <w:pPr>
        <w:pStyle w:val="Styl2"/>
        <w:numPr>
          <w:ilvl w:val="1"/>
          <w:numId w:val="10"/>
        </w:numPr>
        <w:spacing w:before="0" w:after="0"/>
        <w:ind w:left="680" w:hanging="680"/>
        <w:rPr>
          <w:szCs w:val="22"/>
          <w:lang w:val="sk-SK"/>
        </w:rPr>
      </w:pPr>
      <w:r w:rsidRPr="00CE42C8">
        <w:rPr>
          <w:szCs w:val="22"/>
          <w:lang w:val="sk-SK"/>
        </w:rPr>
        <w:t>Fertilita, gravidita a laktácia</w:t>
      </w:r>
    </w:p>
    <w:p w14:paraId="58BEF637" w14:textId="77777777" w:rsidR="00CE42C8" w:rsidRDefault="00CE42C8" w:rsidP="00A37A56">
      <w:pPr>
        <w:pStyle w:val="Styl3"/>
        <w:spacing w:after="0"/>
        <w:rPr>
          <w:szCs w:val="22"/>
        </w:rPr>
      </w:pPr>
    </w:p>
    <w:p w14:paraId="6842BF32" w14:textId="77777777" w:rsidR="00BF2119" w:rsidRPr="00CE42C8" w:rsidRDefault="00BF2119" w:rsidP="00A37A56">
      <w:pPr>
        <w:pStyle w:val="Styl3"/>
        <w:spacing w:after="0"/>
        <w:rPr>
          <w:szCs w:val="22"/>
        </w:rPr>
      </w:pPr>
      <w:r w:rsidRPr="00CE42C8">
        <w:rPr>
          <w:szCs w:val="22"/>
        </w:rPr>
        <w:t>Gravidita</w:t>
      </w:r>
    </w:p>
    <w:p w14:paraId="63ADDCF2" w14:textId="1B732779" w:rsidR="008B5D9E" w:rsidRPr="00A77B3E" w:rsidRDefault="0058092D" w:rsidP="00A37A56">
      <w:pPr>
        <w:pStyle w:val="Normlndobloku"/>
        <w:spacing w:after="0"/>
        <w:jc w:val="left"/>
        <w:rPr>
          <w:szCs w:val="22"/>
          <w:lang w:val="sk-SK"/>
        </w:rPr>
      </w:pPr>
      <w:r w:rsidRPr="00A77B3E">
        <w:rPr>
          <w:rStyle w:val="alt-edited"/>
          <w:szCs w:val="22"/>
          <w:lang w:val="sk-SK"/>
        </w:rPr>
        <w:t>Nie sú k dispozícii adekvátne a</w:t>
      </w:r>
      <w:r w:rsidR="00454726" w:rsidRPr="00A77B3E">
        <w:rPr>
          <w:rStyle w:val="alt-edited"/>
          <w:szCs w:val="22"/>
          <w:lang w:val="sk-SK"/>
        </w:rPr>
        <w:t xml:space="preserve"> dobre </w:t>
      </w:r>
      <w:r w:rsidRPr="00A77B3E">
        <w:rPr>
          <w:rStyle w:val="alt-edited"/>
          <w:szCs w:val="22"/>
          <w:lang w:val="sk-SK"/>
        </w:rPr>
        <w:t>kontrolované štúdie u tehotných žien.</w:t>
      </w:r>
    </w:p>
    <w:p w14:paraId="20020C74" w14:textId="5D43FEAA" w:rsidR="00BF2119" w:rsidRPr="00570EF3" w:rsidRDefault="0058092D" w:rsidP="00A37A56">
      <w:pPr>
        <w:pStyle w:val="Normlndobloku"/>
        <w:spacing w:after="0"/>
        <w:jc w:val="left"/>
        <w:rPr>
          <w:szCs w:val="22"/>
          <w:lang w:val="sk-SK"/>
        </w:rPr>
      </w:pPr>
      <w:r w:rsidRPr="008F20B2">
        <w:rPr>
          <w:szCs w:val="22"/>
          <w:lang w:val="sk-SK"/>
        </w:rPr>
        <w:t>Dextrometorfá</w:t>
      </w:r>
      <w:r w:rsidR="00FF111E" w:rsidRPr="008F20B2">
        <w:rPr>
          <w:szCs w:val="22"/>
          <w:lang w:val="sk-SK"/>
        </w:rPr>
        <w:t>n sa nemá podávať</w:t>
      </w:r>
      <w:r w:rsidRPr="008F20B2">
        <w:rPr>
          <w:szCs w:val="22"/>
          <w:lang w:val="sk-SK"/>
        </w:rPr>
        <w:t xml:space="preserve"> počas tehotenstva, </w:t>
      </w:r>
      <w:r w:rsidR="00A35A6A" w:rsidRPr="008F20B2">
        <w:rPr>
          <w:szCs w:val="22"/>
          <w:lang w:val="sk-SK"/>
        </w:rPr>
        <w:t xml:space="preserve">ak </w:t>
      </w:r>
      <w:r w:rsidRPr="008F20B2">
        <w:rPr>
          <w:szCs w:val="22"/>
          <w:lang w:val="sk-SK"/>
        </w:rPr>
        <w:t xml:space="preserve">potenciálny prínos liečby pre matku </w:t>
      </w:r>
      <w:r w:rsidR="008B5D9E" w:rsidRPr="008F20B2">
        <w:rPr>
          <w:szCs w:val="22"/>
          <w:lang w:val="sk-SK"/>
        </w:rPr>
        <w:t>neprevýši</w:t>
      </w:r>
      <w:r w:rsidRPr="008F20B2">
        <w:rPr>
          <w:szCs w:val="22"/>
          <w:lang w:val="sk-SK"/>
        </w:rPr>
        <w:t xml:space="preserve"> možné riziko </w:t>
      </w:r>
      <w:r w:rsidR="00A35A6A" w:rsidRPr="00570EF3">
        <w:rPr>
          <w:szCs w:val="22"/>
          <w:lang w:val="sk-SK"/>
        </w:rPr>
        <w:t>pre</w:t>
      </w:r>
      <w:r w:rsidR="008B5D9E" w:rsidRPr="00570EF3">
        <w:rPr>
          <w:szCs w:val="22"/>
          <w:lang w:val="sk-SK"/>
        </w:rPr>
        <w:t xml:space="preserve"> vyvíjajúci sa plod</w:t>
      </w:r>
      <w:r w:rsidR="00BF2119" w:rsidRPr="00570EF3">
        <w:rPr>
          <w:szCs w:val="22"/>
          <w:lang w:val="sk-SK"/>
        </w:rPr>
        <w:t>.</w:t>
      </w:r>
    </w:p>
    <w:p w14:paraId="30F885C8" w14:textId="77777777" w:rsidR="00CE42C8" w:rsidRDefault="00CE42C8" w:rsidP="00A37A56">
      <w:pPr>
        <w:pStyle w:val="Styl3"/>
        <w:spacing w:after="0"/>
        <w:rPr>
          <w:szCs w:val="22"/>
        </w:rPr>
      </w:pPr>
    </w:p>
    <w:p w14:paraId="09A47E22" w14:textId="77777777" w:rsidR="00BF2119" w:rsidRPr="00CE42C8" w:rsidRDefault="0058092D" w:rsidP="00A37A56">
      <w:pPr>
        <w:pStyle w:val="Styl3"/>
        <w:spacing w:after="0"/>
        <w:rPr>
          <w:szCs w:val="22"/>
        </w:rPr>
      </w:pPr>
      <w:r w:rsidRPr="00CE42C8">
        <w:rPr>
          <w:szCs w:val="22"/>
        </w:rPr>
        <w:t>Dojčenie</w:t>
      </w:r>
    </w:p>
    <w:p w14:paraId="0687967A" w14:textId="77777777" w:rsidR="008B5D9E" w:rsidRPr="00A77B3E" w:rsidRDefault="0058092D" w:rsidP="00A37A56">
      <w:pPr>
        <w:pStyle w:val="Normlndobloku"/>
        <w:spacing w:after="0"/>
        <w:jc w:val="left"/>
        <w:rPr>
          <w:szCs w:val="22"/>
          <w:lang w:val="sk-SK"/>
        </w:rPr>
      </w:pPr>
      <w:r w:rsidRPr="00A77B3E">
        <w:rPr>
          <w:szCs w:val="22"/>
          <w:lang w:val="sk-SK"/>
        </w:rPr>
        <w:t xml:space="preserve">Nie je známe, či sa </w:t>
      </w:r>
      <w:proofErr w:type="spellStart"/>
      <w:r w:rsidRPr="00A77B3E">
        <w:rPr>
          <w:szCs w:val="22"/>
          <w:lang w:val="sk-SK"/>
        </w:rPr>
        <w:t>dextrometorfán</w:t>
      </w:r>
      <w:proofErr w:type="spellEnd"/>
      <w:r w:rsidRPr="00A77B3E">
        <w:rPr>
          <w:szCs w:val="22"/>
          <w:lang w:val="sk-SK"/>
        </w:rPr>
        <w:t xml:space="preserve"> alebo jeho </w:t>
      </w:r>
      <w:proofErr w:type="spellStart"/>
      <w:r w:rsidRPr="00A77B3E">
        <w:rPr>
          <w:szCs w:val="22"/>
          <w:lang w:val="sk-SK"/>
        </w:rPr>
        <w:t>metabolity</w:t>
      </w:r>
      <w:proofErr w:type="spellEnd"/>
      <w:r w:rsidRPr="00A77B3E">
        <w:rPr>
          <w:szCs w:val="22"/>
          <w:lang w:val="sk-SK"/>
        </w:rPr>
        <w:t xml:space="preserve"> vylučuj</w:t>
      </w:r>
      <w:r w:rsidR="008B5D9E" w:rsidRPr="00A77B3E">
        <w:rPr>
          <w:szCs w:val="22"/>
          <w:lang w:val="sk-SK"/>
        </w:rPr>
        <w:t>ú do materského mlieka.</w:t>
      </w:r>
    </w:p>
    <w:p w14:paraId="1AA47BAC" w14:textId="148DAC55" w:rsidR="0058092D" w:rsidRPr="000D1DE1" w:rsidRDefault="0058092D" w:rsidP="00A37A56">
      <w:pPr>
        <w:pStyle w:val="Normlndobloku"/>
        <w:spacing w:after="0"/>
        <w:jc w:val="left"/>
        <w:rPr>
          <w:szCs w:val="22"/>
          <w:lang w:val="sk-SK"/>
        </w:rPr>
      </w:pPr>
      <w:r w:rsidRPr="008F20B2">
        <w:rPr>
          <w:szCs w:val="22"/>
          <w:lang w:val="sk-SK"/>
        </w:rPr>
        <w:t>Dextrometorfán sa nemá</w:t>
      </w:r>
      <w:r w:rsidR="00FF111E" w:rsidRPr="008F20B2">
        <w:rPr>
          <w:szCs w:val="22"/>
          <w:lang w:val="sk-SK"/>
        </w:rPr>
        <w:t xml:space="preserve"> podávať</w:t>
      </w:r>
      <w:r w:rsidR="008B5D9E" w:rsidRPr="008F20B2">
        <w:rPr>
          <w:szCs w:val="22"/>
          <w:lang w:val="sk-SK"/>
        </w:rPr>
        <w:t xml:space="preserve"> počas dojčenia</w:t>
      </w:r>
      <w:r w:rsidRPr="008F20B2">
        <w:rPr>
          <w:szCs w:val="22"/>
          <w:lang w:val="sk-SK"/>
        </w:rPr>
        <w:t xml:space="preserve">, </w:t>
      </w:r>
      <w:r w:rsidR="00A35A6A" w:rsidRPr="008F20B2">
        <w:rPr>
          <w:szCs w:val="22"/>
          <w:lang w:val="sk-SK"/>
        </w:rPr>
        <w:t xml:space="preserve">ak </w:t>
      </w:r>
      <w:r w:rsidRPr="008F20B2">
        <w:rPr>
          <w:szCs w:val="22"/>
          <w:lang w:val="sk-SK"/>
        </w:rPr>
        <w:t xml:space="preserve">potenciálny prínos liečby pre matku </w:t>
      </w:r>
      <w:r w:rsidR="008B5D9E" w:rsidRPr="00570EF3">
        <w:rPr>
          <w:szCs w:val="22"/>
          <w:lang w:val="sk-SK"/>
        </w:rPr>
        <w:t>neprevýši</w:t>
      </w:r>
      <w:r w:rsidR="00FF111E" w:rsidRPr="00570EF3">
        <w:rPr>
          <w:szCs w:val="22"/>
          <w:lang w:val="sk-SK"/>
        </w:rPr>
        <w:t xml:space="preserve"> možné riziko</w:t>
      </w:r>
      <w:r w:rsidRPr="000D1DE1">
        <w:rPr>
          <w:szCs w:val="22"/>
          <w:lang w:val="sk-SK"/>
        </w:rPr>
        <w:t xml:space="preserve"> pre vyvíjajúce sa </w:t>
      </w:r>
      <w:r w:rsidR="00454726" w:rsidRPr="000D1DE1">
        <w:rPr>
          <w:szCs w:val="22"/>
          <w:lang w:val="sk-SK"/>
        </w:rPr>
        <w:t>dojča</w:t>
      </w:r>
      <w:r w:rsidRPr="000D1DE1">
        <w:rPr>
          <w:szCs w:val="22"/>
          <w:lang w:val="sk-SK"/>
        </w:rPr>
        <w:t>.</w:t>
      </w:r>
    </w:p>
    <w:p w14:paraId="49310F6A" w14:textId="77777777" w:rsidR="00CE42C8" w:rsidRDefault="00CE42C8" w:rsidP="00A37A56">
      <w:pPr>
        <w:pStyle w:val="Styl3"/>
        <w:spacing w:after="0"/>
        <w:rPr>
          <w:szCs w:val="22"/>
        </w:rPr>
      </w:pPr>
    </w:p>
    <w:p w14:paraId="3329358D" w14:textId="77777777" w:rsidR="00FF111E" w:rsidRPr="00CE42C8" w:rsidRDefault="00FF111E" w:rsidP="00A37A56">
      <w:pPr>
        <w:pStyle w:val="Styl3"/>
        <w:spacing w:after="0"/>
        <w:rPr>
          <w:szCs w:val="22"/>
        </w:rPr>
      </w:pPr>
      <w:proofErr w:type="spellStart"/>
      <w:r w:rsidRPr="00CE42C8">
        <w:rPr>
          <w:szCs w:val="22"/>
        </w:rPr>
        <w:t>Fertilita</w:t>
      </w:r>
      <w:proofErr w:type="spellEnd"/>
    </w:p>
    <w:p w14:paraId="4EF82150" w14:textId="77777777" w:rsidR="00FF111E" w:rsidRDefault="00FF111E" w:rsidP="00A37A56">
      <w:pPr>
        <w:pStyle w:val="Normlndobloku"/>
        <w:spacing w:after="0"/>
        <w:jc w:val="left"/>
        <w:rPr>
          <w:szCs w:val="22"/>
          <w:lang w:val="sk-SK"/>
        </w:rPr>
      </w:pPr>
      <w:r w:rsidRPr="00A77B3E">
        <w:rPr>
          <w:szCs w:val="22"/>
          <w:lang w:val="sk-SK"/>
        </w:rPr>
        <w:t>Pri podávaní dextrometorfánu</w:t>
      </w:r>
      <w:r w:rsidR="008B5D9E" w:rsidRPr="00A77B3E">
        <w:rPr>
          <w:szCs w:val="22"/>
          <w:lang w:val="sk-SK"/>
        </w:rPr>
        <w:t xml:space="preserve"> neboli</w:t>
      </w:r>
      <w:r w:rsidRPr="00A77B3E">
        <w:rPr>
          <w:szCs w:val="22"/>
          <w:lang w:val="sk-SK"/>
        </w:rPr>
        <w:t xml:space="preserve"> hlásené účinky na fertilitu. Predklinické skúsenosti sú obmedzené (pozri časť 5.3).</w:t>
      </w:r>
    </w:p>
    <w:p w14:paraId="19A853E5" w14:textId="77777777" w:rsidR="00CE42C8" w:rsidRPr="00CE42C8" w:rsidRDefault="00CE42C8" w:rsidP="00A37A56">
      <w:pPr>
        <w:pStyle w:val="Normlndobloku"/>
        <w:spacing w:after="0"/>
        <w:jc w:val="left"/>
        <w:rPr>
          <w:szCs w:val="22"/>
          <w:lang w:val="sk-SK"/>
        </w:rPr>
      </w:pPr>
    </w:p>
    <w:p w14:paraId="2022D1A8" w14:textId="77777777" w:rsidR="00BF2119" w:rsidRPr="00CE42C8" w:rsidRDefault="00A72EBA" w:rsidP="00A37A56">
      <w:pPr>
        <w:pStyle w:val="Styl2"/>
        <w:numPr>
          <w:ilvl w:val="1"/>
          <w:numId w:val="10"/>
        </w:numPr>
        <w:spacing w:before="0" w:after="0"/>
        <w:ind w:left="680" w:hanging="680"/>
        <w:rPr>
          <w:szCs w:val="22"/>
          <w:lang w:val="sk-SK"/>
        </w:rPr>
      </w:pPr>
      <w:r w:rsidRPr="00CE42C8">
        <w:rPr>
          <w:szCs w:val="22"/>
          <w:lang w:val="sk-SK"/>
        </w:rPr>
        <w:t>Ovplyvnenie schopnosti viesť vozidlá a obsluhovať stroje</w:t>
      </w:r>
    </w:p>
    <w:p w14:paraId="4DBBCB5C" w14:textId="77777777" w:rsidR="00CE42C8" w:rsidRDefault="00CE42C8" w:rsidP="00A37A56">
      <w:pPr>
        <w:pStyle w:val="Normlndobloku"/>
        <w:spacing w:after="0"/>
        <w:jc w:val="left"/>
        <w:rPr>
          <w:rStyle w:val="alt-edited"/>
          <w:b/>
          <w:bCs/>
          <w:szCs w:val="22"/>
          <w:lang w:val="sk-SK"/>
        </w:rPr>
      </w:pPr>
    </w:p>
    <w:p w14:paraId="72D1DA78" w14:textId="1A18F3ED" w:rsidR="00FF111E" w:rsidRDefault="00FF111E" w:rsidP="00A37A56">
      <w:pPr>
        <w:pStyle w:val="Normlndobloku"/>
        <w:spacing w:after="0"/>
        <w:jc w:val="left"/>
        <w:rPr>
          <w:rStyle w:val="alt-edited"/>
          <w:szCs w:val="22"/>
          <w:lang w:val="sk-SK"/>
        </w:rPr>
      </w:pPr>
      <w:r w:rsidRPr="00CE42C8">
        <w:rPr>
          <w:rStyle w:val="alt-edited"/>
          <w:szCs w:val="22"/>
          <w:lang w:val="sk-SK"/>
        </w:rPr>
        <w:t>Tento liek môže ovplyvniť kognitívne funkcie a môže mať vplyv na schopnosť pacienta viesť vozidl</w:t>
      </w:r>
      <w:r w:rsidR="00A35A6A" w:rsidRPr="00CE42C8">
        <w:rPr>
          <w:rStyle w:val="alt-edited"/>
          <w:szCs w:val="22"/>
          <w:lang w:val="sk-SK"/>
        </w:rPr>
        <w:t>á</w:t>
      </w:r>
      <w:r w:rsidRPr="00CE42C8">
        <w:rPr>
          <w:rStyle w:val="alt-edited"/>
          <w:szCs w:val="22"/>
          <w:lang w:val="sk-SK"/>
        </w:rPr>
        <w:t xml:space="preserve"> bezpečne.</w:t>
      </w:r>
    </w:p>
    <w:p w14:paraId="69A72ED0" w14:textId="77777777" w:rsidR="00CE42C8" w:rsidRPr="00CE42C8" w:rsidRDefault="00CE42C8" w:rsidP="00A37A56">
      <w:pPr>
        <w:pStyle w:val="Normlndobloku"/>
        <w:spacing w:after="0"/>
        <w:jc w:val="left"/>
        <w:rPr>
          <w:szCs w:val="22"/>
          <w:lang w:val="sk-SK"/>
        </w:rPr>
      </w:pPr>
    </w:p>
    <w:p w14:paraId="77B70F86" w14:textId="77777777" w:rsidR="00BF2119" w:rsidRPr="00CE42C8" w:rsidRDefault="00A72EBA" w:rsidP="00A37A56">
      <w:pPr>
        <w:pStyle w:val="Styl2"/>
        <w:numPr>
          <w:ilvl w:val="1"/>
          <w:numId w:val="10"/>
        </w:numPr>
        <w:spacing w:before="0" w:after="0"/>
        <w:ind w:left="680" w:hanging="680"/>
        <w:rPr>
          <w:szCs w:val="22"/>
          <w:lang w:val="sk-SK"/>
        </w:rPr>
      </w:pPr>
      <w:r w:rsidRPr="00CE42C8">
        <w:rPr>
          <w:szCs w:val="22"/>
          <w:lang w:val="sk-SK"/>
        </w:rPr>
        <w:t>Nežiaduce účinky</w:t>
      </w:r>
    </w:p>
    <w:p w14:paraId="3875748B" w14:textId="77777777" w:rsidR="00CE42C8" w:rsidRDefault="00CE42C8" w:rsidP="00A37A56">
      <w:pPr>
        <w:pStyle w:val="Normlndobloku"/>
        <w:spacing w:after="0"/>
        <w:jc w:val="left"/>
        <w:rPr>
          <w:szCs w:val="22"/>
          <w:lang w:val="sk-SK"/>
        </w:rPr>
      </w:pPr>
    </w:p>
    <w:p w14:paraId="44DB711B" w14:textId="5A921647" w:rsidR="00FF111E" w:rsidRPr="00A77B3E" w:rsidRDefault="00FF111E" w:rsidP="00A37A56">
      <w:pPr>
        <w:pStyle w:val="Normlndobloku"/>
        <w:spacing w:after="0"/>
        <w:jc w:val="left"/>
        <w:rPr>
          <w:szCs w:val="22"/>
          <w:lang w:val="sk-SK"/>
        </w:rPr>
      </w:pPr>
      <w:r w:rsidRPr="00CE42C8">
        <w:rPr>
          <w:szCs w:val="22"/>
          <w:lang w:val="sk-SK"/>
        </w:rPr>
        <w:t>Nežiaduce účinky (</w:t>
      </w:r>
      <w:proofErr w:type="spellStart"/>
      <w:r w:rsidRPr="00CE42C8">
        <w:rPr>
          <w:szCs w:val="22"/>
          <w:lang w:val="sk-SK"/>
        </w:rPr>
        <w:t>ADR</w:t>
      </w:r>
      <w:r w:rsidR="007801EC" w:rsidRPr="00CE42C8">
        <w:rPr>
          <w:szCs w:val="22"/>
          <w:lang w:val="sk-SK"/>
        </w:rPr>
        <w:t>s</w:t>
      </w:r>
      <w:proofErr w:type="spellEnd"/>
      <w:r w:rsidRPr="00CE42C8">
        <w:rPr>
          <w:szCs w:val="22"/>
          <w:lang w:val="sk-SK"/>
        </w:rPr>
        <w:t xml:space="preserve">) zaznamenané v klinických </w:t>
      </w:r>
      <w:r w:rsidR="00424D1B" w:rsidRPr="00CE42C8">
        <w:rPr>
          <w:szCs w:val="22"/>
          <w:lang w:val="sk-SK"/>
        </w:rPr>
        <w:t xml:space="preserve">skúšaniach </w:t>
      </w:r>
      <w:r w:rsidRPr="00CE42C8">
        <w:rPr>
          <w:szCs w:val="22"/>
          <w:lang w:val="sk-SK"/>
        </w:rPr>
        <w:t>a v rámci pozorovan</w:t>
      </w:r>
      <w:r w:rsidR="00424D1B" w:rsidRPr="00CE42C8">
        <w:rPr>
          <w:szCs w:val="22"/>
          <w:lang w:val="sk-SK"/>
        </w:rPr>
        <w:t>í</w:t>
      </w:r>
      <w:r w:rsidRPr="00CE42C8">
        <w:rPr>
          <w:szCs w:val="22"/>
          <w:lang w:val="sk-SK"/>
        </w:rPr>
        <w:t xml:space="preserve"> po uvedení dextrometorfánu na trh sú zahrnuté v </w:t>
      </w:r>
      <w:r w:rsidR="007801EC" w:rsidRPr="00A77B3E">
        <w:rPr>
          <w:szCs w:val="22"/>
          <w:lang w:val="sk-SK"/>
        </w:rPr>
        <w:t>tabuľke nižšie podľa tried orgánových systémov (</w:t>
      </w:r>
      <w:r w:rsidR="00424D1B" w:rsidRPr="00A77B3E">
        <w:rPr>
          <w:szCs w:val="22"/>
          <w:lang w:val="sk-SK"/>
        </w:rPr>
        <w:t xml:space="preserve">podľa </w:t>
      </w:r>
      <w:r w:rsidR="007801EC" w:rsidRPr="00A77B3E">
        <w:rPr>
          <w:szCs w:val="22"/>
          <w:lang w:val="sk-SK"/>
        </w:rPr>
        <w:t>MedDRA</w:t>
      </w:r>
      <w:r w:rsidRPr="00A77B3E">
        <w:rPr>
          <w:szCs w:val="22"/>
          <w:lang w:val="sk-SK"/>
        </w:rPr>
        <w:t>).</w:t>
      </w:r>
    </w:p>
    <w:p w14:paraId="318EE22A" w14:textId="13DB9576" w:rsidR="00A72EBA" w:rsidRPr="00A37A56" w:rsidRDefault="007801EC" w:rsidP="00A37A56">
      <w:pPr>
        <w:pStyle w:val="Normlndobloku"/>
        <w:spacing w:after="0"/>
        <w:jc w:val="left"/>
        <w:rPr>
          <w:szCs w:val="22"/>
          <w:lang w:val="sk-SK"/>
        </w:rPr>
      </w:pPr>
      <w:r w:rsidRPr="008F20B2">
        <w:rPr>
          <w:szCs w:val="22"/>
          <w:lang w:val="sk-SK"/>
        </w:rPr>
        <w:t xml:space="preserve">Frekvencie výskytu sa definujú podľa nasledujúcej </w:t>
      </w:r>
      <w:r w:rsidR="00424D1B" w:rsidRPr="008F20B2">
        <w:rPr>
          <w:szCs w:val="22"/>
          <w:lang w:val="sk-SK"/>
        </w:rPr>
        <w:t>konvencie</w:t>
      </w:r>
      <w:r w:rsidRPr="008F20B2">
        <w:rPr>
          <w:szCs w:val="22"/>
          <w:lang w:val="sk-SK"/>
        </w:rPr>
        <w:t>: veľmi časté (≥</w:t>
      </w:r>
      <w:r w:rsidR="00424D1B" w:rsidRPr="008F20B2">
        <w:rPr>
          <w:szCs w:val="22"/>
          <w:lang w:val="sk-SK"/>
        </w:rPr>
        <w:t xml:space="preserve"> </w:t>
      </w:r>
      <w:r w:rsidRPr="008F20B2">
        <w:rPr>
          <w:szCs w:val="22"/>
          <w:lang w:val="sk-SK"/>
        </w:rPr>
        <w:t>1/10); časté (≥</w:t>
      </w:r>
      <w:r w:rsidR="00424D1B" w:rsidRPr="008F20B2">
        <w:rPr>
          <w:szCs w:val="22"/>
          <w:lang w:val="sk-SK"/>
        </w:rPr>
        <w:t xml:space="preserve"> </w:t>
      </w:r>
      <w:r w:rsidRPr="00570EF3">
        <w:rPr>
          <w:szCs w:val="22"/>
          <w:lang w:val="sk-SK"/>
        </w:rPr>
        <w:t>1/100</w:t>
      </w:r>
      <w:r w:rsidR="00424D1B" w:rsidRPr="00570EF3">
        <w:rPr>
          <w:szCs w:val="22"/>
          <w:lang w:val="sk-SK"/>
        </w:rPr>
        <w:t xml:space="preserve"> až</w:t>
      </w:r>
      <w:r w:rsidR="005C571F" w:rsidRPr="00570EF3">
        <w:rPr>
          <w:szCs w:val="22"/>
          <w:lang w:val="sk-SK"/>
        </w:rPr>
        <w:t xml:space="preserve"> </w:t>
      </w:r>
      <w:r w:rsidRPr="00570EF3">
        <w:rPr>
          <w:szCs w:val="22"/>
          <w:lang w:val="sk-SK"/>
        </w:rPr>
        <w:t>&lt;</w:t>
      </w:r>
      <w:r w:rsidR="00424D1B" w:rsidRPr="00570EF3">
        <w:rPr>
          <w:szCs w:val="22"/>
          <w:lang w:val="sk-SK"/>
        </w:rPr>
        <w:t xml:space="preserve"> </w:t>
      </w:r>
      <w:r w:rsidRPr="000D1DE1">
        <w:rPr>
          <w:szCs w:val="22"/>
          <w:lang w:val="sk-SK"/>
        </w:rPr>
        <w:t>1/10); menej časté (≥</w:t>
      </w:r>
      <w:r w:rsidR="00424D1B" w:rsidRPr="000D1DE1">
        <w:rPr>
          <w:szCs w:val="22"/>
          <w:lang w:val="sk-SK"/>
        </w:rPr>
        <w:t xml:space="preserve"> </w:t>
      </w:r>
      <w:r w:rsidRPr="000D1DE1">
        <w:rPr>
          <w:szCs w:val="22"/>
          <w:lang w:val="sk-SK"/>
        </w:rPr>
        <w:t>1/1</w:t>
      </w:r>
      <w:r w:rsidR="00424D1B" w:rsidRPr="000D1DE1">
        <w:rPr>
          <w:szCs w:val="22"/>
          <w:lang w:val="sk-SK"/>
        </w:rPr>
        <w:t> </w:t>
      </w:r>
      <w:r w:rsidRPr="000D1DE1">
        <w:rPr>
          <w:szCs w:val="22"/>
          <w:lang w:val="sk-SK"/>
        </w:rPr>
        <w:t>000</w:t>
      </w:r>
      <w:r w:rsidR="00424D1B" w:rsidRPr="00A37A56">
        <w:rPr>
          <w:szCs w:val="22"/>
          <w:lang w:val="sk-SK"/>
        </w:rPr>
        <w:t xml:space="preserve"> až </w:t>
      </w:r>
      <w:r w:rsidRPr="00A37A56">
        <w:rPr>
          <w:szCs w:val="22"/>
          <w:lang w:val="sk-SK"/>
        </w:rPr>
        <w:t>&lt;</w:t>
      </w:r>
      <w:r w:rsidR="00424D1B" w:rsidRPr="00A37A56">
        <w:rPr>
          <w:szCs w:val="22"/>
          <w:lang w:val="sk-SK"/>
        </w:rPr>
        <w:t xml:space="preserve"> </w:t>
      </w:r>
      <w:r w:rsidRPr="00A37A56">
        <w:rPr>
          <w:szCs w:val="22"/>
          <w:lang w:val="sk-SK"/>
        </w:rPr>
        <w:t>1/100); zriedkavé (≥</w:t>
      </w:r>
      <w:r w:rsidR="00424D1B" w:rsidRPr="00A37A56">
        <w:rPr>
          <w:szCs w:val="22"/>
          <w:lang w:val="sk-SK"/>
        </w:rPr>
        <w:t xml:space="preserve"> </w:t>
      </w:r>
      <w:r w:rsidRPr="00A37A56">
        <w:rPr>
          <w:szCs w:val="22"/>
          <w:lang w:val="sk-SK"/>
        </w:rPr>
        <w:t>1/10</w:t>
      </w:r>
      <w:r w:rsidR="00424D1B" w:rsidRPr="00A37A56">
        <w:rPr>
          <w:szCs w:val="22"/>
          <w:lang w:val="sk-SK"/>
        </w:rPr>
        <w:t> </w:t>
      </w:r>
      <w:r w:rsidRPr="00A37A56">
        <w:rPr>
          <w:szCs w:val="22"/>
          <w:lang w:val="sk-SK"/>
        </w:rPr>
        <w:t>000</w:t>
      </w:r>
      <w:r w:rsidR="00424D1B" w:rsidRPr="00A37A56">
        <w:rPr>
          <w:szCs w:val="22"/>
          <w:lang w:val="sk-SK"/>
        </w:rPr>
        <w:t xml:space="preserve"> až</w:t>
      </w:r>
      <w:r w:rsidRPr="00A37A56">
        <w:rPr>
          <w:szCs w:val="22"/>
          <w:lang w:val="sk-SK"/>
        </w:rPr>
        <w:t xml:space="preserve"> &lt;</w:t>
      </w:r>
      <w:r w:rsidR="00424D1B" w:rsidRPr="00A37A56">
        <w:rPr>
          <w:szCs w:val="22"/>
          <w:lang w:val="sk-SK"/>
        </w:rPr>
        <w:t xml:space="preserve"> </w:t>
      </w:r>
      <w:r w:rsidRPr="00A37A56">
        <w:rPr>
          <w:szCs w:val="22"/>
          <w:lang w:val="sk-SK"/>
        </w:rPr>
        <w:t>1/1 000); veľmi zriedkavé (&lt;</w:t>
      </w:r>
      <w:r w:rsidR="00424D1B" w:rsidRPr="00A37A56">
        <w:rPr>
          <w:szCs w:val="22"/>
          <w:lang w:val="sk-SK"/>
        </w:rPr>
        <w:t xml:space="preserve"> </w:t>
      </w:r>
      <w:r w:rsidRPr="00A37A56">
        <w:rPr>
          <w:szCs w:val="22"/>
          <w:lang w:val="sk-SK"/>
        </w:rPr>
        <w:t>1/10 000); neznáme (z dostupných údajov nemožno určiť).</w:t>
      </w:r>
    </w:p>
    <w:p w14:paraId="5187386D" w14:textId="6A0192B3" w:rsidR="00864740" w:rsidRDefault="008B5D9E" w:rsidP="00A37A56">
      <w:pPr>
        <w:pStyle w:val="Normlndobloku"/>
        <w:spacing w:after="0"/>
        <w:jc w:val="left"/>
        <w:rPr>
          <w:szCs w:val="22"/>
          <w:lang w:val="sk-SK"/>
        </w:rPr>
      </w:pPr>
      <w:r w:rsidRPr="00A37A56">
        <w:rPr>
          <w:szCs w:val="22"/>
          <w:lang w:val="sk-SK"/>
        </w:rPr>
        <w:t xml:space="preserve">Nežiaduce účinky sú uvedené podľa kategórie frekvencie na základe 1) výskytu </w:t>
      </w:r>
      <w:r w:rsidR="00454726" w:rsidRPr="00A37A56">
        <w:rPr>
          <w:szCs w:val="22"/>
          <w:lang w:val="sk-SK"/>
        </w:rPr>
        <w:t>v</w:t>
      </w:r>
      <w:r w:rsidR="00B639F1" w:rsidRPr="00A37A56">
        <w:rPr>
          <w:szCs w:val="22"/>
          <w:lang w:val="sk-SK"/>
        </w:rPr>
        <w:t xml:space="preserve">o vhodne </w:t>
      </w:r>
      <w:r w:rsidRPr="00A37A56">
        <w:rPr>
          <w:szCs w:val="22"/>
          <w:lang w:val="sk-SK"/>
        </w:rPr>
        <w:t xml:space="preserve">navrhnutých klinických </w:t>
      </w:r>
      <w:r w:rsidR="00424D1B" w:rsidRPr="00A37A56">
        <w:rPr>
          <w:szCs w:val="22"/>
          <w:lang w:val="sk-SK"/>
        </w:rPr>
        <w:t>skúšaniach</w:t>
      </w:r>
      <w:r w:rsidR="00B639F1" w:rsidRPr="00A37A56">
        <w:rPr>
          <w:szCs w:val="22"/>
          <w:lang w:val="sk-SK"/>
        </w:rPr>
        <w:t xml:space="preserve"> alebo epidemiologických štúdiách,</w:t>
      </w:r>
      <w:r w:rsidRPr="00A37A56">
        <w:rPr>
          <w:szCs w:val="22"/>
          <w:lang w:val="sk-SK"/>
        </w:rPr>
        <w:t xml:space="preserve"> </w:t>
      </w:r>
      <w:r w:rsidR="00424D1B" w:rsidRPr="00A37A56">
        <w:rPr>
          <w:szCs w:val="22"/>
          <w:lang w:val="sk-SK"/>
        </w:rPr>
        <w:t>ak</w:t>
      </w:r>
      <w:r w:rsidRPr="00A37A56">
        <w:rPr>
          <w:szCs w:val="22"/>
          <w:lang w:val="sk-SK"/>
        </w:rPr>
        <w:t xml:space="preserve"> sú dostupné</w:t>
      </w:r>
      <w:r w:rsidR="005C571F" w:rsidRPr="00A37A56">
        <w:rPr>
          <w:szCs w:val="22"/>
          <w:lang w:val="sk-SK"/>
        </w:rPr>
        <w:t>,</w:t>
      </w:r>
      <w:r w:rsidRPr="00A37A56">
        <w:rPr>
          <w:szCs w:val="22"/>
          <w:lang w:val="sk-SK"/>
        </w:rPr>
        <w:t xml:space="preserve"> alebo 2) </w:t>
      </w:r>
      <w:r w:rsidR="00424D1B" w:rsidRPr="00A37A56">
        <w:rPr>
          <w:szCs w:val="22"/>
          <w:lang w:val="sk-SK"/>
        </w:rPr>
        <w:t xml:space="preserve">ak </w:t>
      </w:r>
      <w:r w:rsidRPr="00A37A56">
        <w:rPr>
          <w:szCs w:val="22"/>
          <w:lang w:val="sk-SK"/>
        </w:rPr>
        <w:t>výskyt nemožno odhadnúť, frekvencia je uvedená ako „neznám</w:t>
      </w:r>
      <w:r w:rsidR="0046167C" w:rsidRPr="00A37A56">
        <w:rPr>
          <w:szCs w:val="22"/>
          <w:lang w:val="sk-SK"/>
        </w:rPr>
        <w:t>e</w:t>
      </w:r>
      <w:r w:rsidRPr="00A37A56">
        <w:rPr>
          <w:szCs w:val="22"/>
          <w:lang w:val="sk-SK"/>
        </w:rPr>
        <w:t>“.</w:t>
      </w:r>
    </w:p>
    <w:p w14:paraId="0D04D676" w14:textId="77777777" w:rsidR="00CE42C8" w:rsidRPr="00CE42C8" w:rsidRDefault="00CE42C8" w:rsidP="00A37A56">
      <w:pPr>
        <w:pStyle w:val="Normlndobloku"/>
        <w:spacing w:after="0"/>
        <w:jc w:val="left"/>
        <w:rPr>
          <w:szCs w:val="22"/>
          <w:lang w:val="sk-SK"/>
        </w:rPr>
      </w:pPr>
    </w:p>
    <w:tbl>
      <w:tblPr>
        <w:tblStyle w:val="Mriekatabuky"/>
        <w:tblW w:w="7763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417"/>
        <w:gridCol w:w="3544"/>
      </w:tblGrid>
      <w:tr w:rsidR="00953E71" w:rsidRPr="00E64498" w14:paraId="13D70158" w14:textId="77777777" w:rsidTr="00A37A56">
        <w:trPr>
          <w:trHeight w:val="182"/>
          <w:tblHeader/>
          <w:jc w:val="center"/>
        </w:trPr>
        <w:tc>
          <w:tcPr>
            <w:tcW w:w="2802" w:type="dxa"/>
          </w:tcPr>
          <w:p w14:paraId="4B8C9F43" w14:textId="77777777" w:rsidR="00953E71" w:rsidRPr="00A77B3E" w:rsidRDefault="00953E71" w:rsidP="00A37A56">
            <w:pPr>
              <w:pStyle w:val="Normlndobloku"/>
              <w:spacing w:after="0"/>
              <w:jc w:val="left"/>
              <w:rPr>
                <w:szCs w:val="22"/>
                <w:lang w:val="sk-SK"/>
              </w:rPr>
            </w:pPr>
            <w:r w:rsidRPr="00CE42C8">
              <w:rPr>
                <w:szCs w:val="22"/>
                <w:lang w:val="sk-SK"/>
              </w:rPr>
              <w:t>Trieda orgánových systémov podľa MedDRA</w:t>
            </w:r>
          </w:p>
        </w:tc>
        <w:tc>
          <w:tcPr>
            <w:tcW w:w="1417" w:type="dxa"/>
          </w:tcPr>
          <w:p w14:paraId="6CC6BC3B" w14:textId="77777777" w:rsidR="00953E71" w:rsidRPr="00A77B3E" w:rsidRDefault="00953E71" w:rsidP="00A37A56">
            <w:pPr>
              <w:pStyle w:val="Normlndobloku"/>
              <w:spacing w:after="0"/>
              <w:jc w:val="left"/>
              <w:rPr>
                <w:szCs w:val="22"/>
                <w:lang w:val="sk-SK"/>
              </w:rPr>
            </w:pPr>
            <w:r w:rsidRPr="00A77B3E">
              <w:rPr>
                <w:szCs w:val="22"/>
                <w:lang w:val="sk-SK"/>
              </w:rPr>
              <w:t>Frekvencia</w:t>
            </w:r>
          </w:p>
        </w:tc>
        <w:tc>
          <w:tcPr>
            <w:tcW w:w="3544" w:type="dxa"/>
          </w:tcPr>
          <w:p w14:paraId="1F301D0B" w14:textId="77777777" w:rsidR="00953E71" w:rsidRPr="008F20B2" w:rsidRDefault="00953E71" w:rsidP="00A37A56">
            <w:pPr>
              <w:pStyle w:val="Normlndobloku"/>
              <w:spacing w:after="0"/>
              <w:jc w:val="left"/>
              <w:rPr>
                <w:szCs w:val="22"/>
                <w:lang w:val="sk-SK"/>
              </w:rPr>
            </w:pPr>
            <w:r w:rsidRPr="008F20B2">
              <w:rPr>
                <w:szCs w:val="22"/>
                <w:lang w:val="sk-SK"/>
              </w:rPr>
              <w:t>Nežiaduci účinok</w:t>
            </w:r>
          </w:p>
        </w:tc>
      </w:tr>
      <w:tr w:rsidR="00953E71" w:rsidRPr="00E64498" w14:paraId="063A4800" w14:textId="77777777" w:rsidTr="00A37A56">
        <w:trPr>
          <w:trHeight w:val="182"/>
          <w:jc w:val="center"/>
        </w:trPr>
        <w:tc>
          <w:tcPr>
            <w:tcW w:w="2802" w:type="dxa"/>
          </w:tcPr>
          <w:p w14:paraId="3A5B5859" w14:textId="77777777" w:rsidR="00953E71" w:rsidRPr="00E64498" w:rsidRDefault="00953E71" w:rsidP="00A37A56">
            <w:pPr>
              <w:pStyle w:val="Normlndobloku"/>
              <w:spacing w:after="0"/>
              <w:jc w:val="left"/>
              <w:rPr>
                <w:szCs w:val="22"/>
                <w:lang w:val="sk-SK"/>
              </w:rPr>
            </w:pPr>
            <w:r w:rsidRPr="00E64498">
              <w:rPr>
                <w:szCs w:val="22"/>
                <w:lang w:val="sk-SK"/>
              </w:rPr>
              <w:t>Poruchy imunitného systému</w:t>
            </w:r>
          </w:p>
        </w:tc>
        <w:tc>
          <w:tcPr>
            <w:tcW w:w="1417" w:type="dxa"/>
          </w:tcPr>
          <w:p w14:paraId="5D591DD4" w14:textId="21DCB686" w:rsidR="00953E71" w:rsidRPr="00E64498" w:rsidRDefault="00953E71" w:rsidP="00A37A56">
            <w:pPr>
              <w:pStyle w:val="Normlndobloku"/>
              <w:spacing w:after="0"/>
              <w:jc w:val="left"/>
              <w:rPr>
                <w:szCs w:val="22"/>
                <w:lang w:val="sk-SK"/>
              </w:rPr>
            </w:pPr>
            <w:r w:rsidRPr="00E64498">
              <w:rPr>
                <w:szCs w:val="22"/>
                <w:lang w:val="sk-SK"/>
              </w:rPr>
              <w:t>Neznám</w:t>
            </w:r>
            <w:r w:rsidR="0046167C" w:rsidRPr="00E64498">
              <w:rPr>
                <w:szCs w:val="22"/>
                <w:lang w:val="sk-SK"/>
              </w:rPr>
              <w:t>e</w:t>
            </w:r>
          </w:p>
          <w:p w14:paraId="3EDA4381" w14:textId="2B52FAD6" w:rsidR="00953E71" w:rsidRPr="00E64498" w:rsidRDefault="00953E71" w:rsidP="00A37A56">
            <w:pPr>
              <w:pStyle w:val="Normlndobloku"/>
              <w:spacing w:after="0"/>
              <w:jc w:val="left"/>
              <w:rPr>
                <w:szCs w:val="22"/>
                <w:lang w:val="sk-SK"/>
              </w:rPr>
            </w:pPr>
            <w:r w:rsidRPr="00E64498">
              <w:rPr>
                <w:szCs w:val="22"/>
                <w:lang w:val="sk-SK"/>
              </w:rPr>
              <w:t>Neznám</w:t>
            </w:r>
            <w:r w:rsidR="0046167C" w:rsidRPr="00E64498">
              <w:rPr>
                <w:szCs w:val="22"/>
                <w:lang w:val="sk-SK"/>
              </w:rPr>
              <w:t>e</w:t>
            </w:r>
          </w:p>
          <w:p w14:paraId="565C7E82" w14:textId="296DBA83" w:rsidR="00953E71" w:rsidRPr="00A77B3E" w:rsidRDefault="00953E71" w:rsidP="00A37A56">
            <w:pPr>
              <w:pStyle w:val="Normlndobloku"/>
              <w:spacing w:after="0"/>
              <w:jc w:val="left"/>
              <w:rPr>
                <w:szCs w:val="22"/>
                <w:lang w:val="sk-SK"/>
              </w:rPr>
            </w:pPr>
            <w:r w:rsidRPr="00CE42C8">
              <w:rPr>
                <w:szCs w:val="22"/>
                <w:lang w:val="sk-SK"/>
              </w:rPr>
              <w:t>Neznám</w:t>
            </w:r>
            <w:r w:rsidR="0046167C" w:rsidRPr="00CE42C8">
              <w:rPr>
                <w:szCs w:val="22"/>
                <w:lang w:val="sk-SK"/>
              </w:rPr>
              <w:t>e</w:t>
            </w:r>
          </w:p>
          <w:p w14:paraId="356E287B" w14:textId="77777777" w:rsidR="00953E71" w:rsidRPr="00A77B3E" w:rsidRDefault="00953E71" w:rsidP="00A37A56">
            <w:pPr>
              <w:pStyle w:val="Normlndobloku"/>
              <w:spacing w:after="0"/>
              <w:jc w:val="left"/>
              <w:rPr>
                <w:szCs w:val="22"/>
                <w:lang w:val="sk-SK"/>
              </w:rPr>
            </w:pPr>
            <w:r w:rsidRPr="00A77B3E">
              <w:rPr>
                <w:szCs w:val="22"/>
                <w:lang w:val="sk-SK"/>
              </w:rPr>
              <w:t>Neznáme</w:t>
            </w:r>
          </w:p>
        </w:tc>
        <w:tc>
          <w:tcPr>
            <w:tcW w:w="3544" w:type="dxa"/>
          </w:tcPr>
          <w:p w14:paraId="5E13B5B2" w14:textId="77777777" w:rsidR="00953E71" w:rsidRPr="008F20B2" w:rsidRDefault="00953E71" w:rsidP="00A37A56">
            <w:pPr>
              <w:pStyle w:val="Normlndobloku"/>
              <w:spacing w:after="0"/>
              <w:jc w:val="left"/>
              <w:rPr>
                <w:szCs w:val="22"/>
                <w:lang w:val="sk-SK"/>
              </w:rPr>
            </w:pPr>
            <w:r w:rsidRPr="008F20B2">
              <w:rPr>
                <w:szCs w:val="22"/>
                <w:lang w:val="sk-SK"/>
              </w:rPr>
              <w:t>Angioedém</w:t>
            </w:r>
          </w:p>
          <w:p w14:paraId="352E64A7" w14:textId="77777777" w:rsidR="00953E71" w:rsidRPr="00570EF3" w:rsidRDefault="00953E71" w:rsidP="00A37A56">
            <w:pPr>
              <w:pStyle w:val="Normlndobloku"/>
              <w:spacing w:after="0"/>
              <w:jc w:val="left"/>
              <w:rPr>
                <w:szCs w:val="22"/>
                <w:lang w:val="sk-SK"/>
              </w:rPr>
            </w:pPr>
            <w:r w:rsidRPr="00570EF3">
              <w:rPr>
                <w:szCs w:val="22"/>
                <w:lang w:val="sk-SK"/>
              </w:rPr>
              <w:t>Pruritus</w:t>
            </w:r>
          </w:p>
          <w:p w14:paraId="4FD81F3A" w14:textId="77777777" w:rsidR="00953E71" w:rsidRPr="000D1DE1" w:rsidRDefault="00953E71" w:rsidP="00A37A56">
            <w:pPr>
              <w:pStyle w:val="Normlndobloku"/>
              <w:spacing w:after="0"/>
              <w:jc w:val="left"/>
              <w:rPr>
                <w:szCs w:val="22"/>
                <w:lang w:val="sk-SK"/>
              </w:rPr>
            </w:pPr>
            <w:r w:rsidRPr="000D1DE1">
              <w:rPr>
                <w:szCs w:val="22"/>
                <w:lang w:val="sk-SK"/>
              </w:rPr>
              <w:t>Vyrážka</w:t>
            </w:r>
          </w:p>
          <w:p w14:paraId="3132D5A1" w14:textId="77777777" w:rsidR="00953E71" w:rsidRPr="00A37A56" w:rsidRDefault="00953E71" w:rsidP="00A37A56">
            <w:pPr>
              <w:pStyle w:val="Normlndobloku"/>
              <w:spacing w:after="0"/>
              <w:jc w:val="left"/>
              <w:rPr>
                <w:szCs w:val="22"/>
                <w:lang w:val="sk-SK"/>
              </w:rPr>
            </w:pPr>
            <w:r w:rsidRPr="000D1DE1">
              <w:rPr>
                <w:szCs w:val="22"/>
                <w:lang w:val="sk-SK"/>
              </w:rPr>
              <w:t>Ur</w:t>
            </w:r>
            <w:r w:rsidR="00454726" w:rsidRPr="00A37A56">
              <w:rPr>
                <w:szCs w:val="22"/>
                <w:lang w:val="sk-SK"/>
              </w:rPr>
              <w:t>t</w:t>
            </w:r>
            <w:r w:rsidRPr="00A37A56">
              <w:rPr>
                <w:szCs w:val="22"/>
                <w:lang w:val="sk-SK"/>
              </w:rPr>
              <w:t>ikária</w:t>
            </w:r>
          </w:p>
        </w:tc>
      </w:tr>
      <w:tr w:rsidR="00953E71" w:rsidRPr="00E64498" w14:paraId="66043F53" w14:textId="77777777" w:rsidTr="00A37A56">
        <w:trPr>
          <w:trHeight w:val="182"/>
          <w:jc w:val="center"/>
        </w:trPr>
        <w:tc>
          <w:tcPr>
            <w:tcW w:w="2802" w:type="dxa"/>
          </w:tcPr>
          <w:p w14:paraId="04E8D88F" w14:textId="77777777" w:rsidR="00953E71" w:rsidRPr="00E64498" w:rsidRDefault="00953E71" w:rsidP="00A37A56">
            <w:pPr>
              <w:pStyle w:val="Normlndobloku"/>
              <w:spacing w:after="0"/>
              <w:jc w:val="left"/>
              <w:rPr>
                <w:szCs w:val="22"/>
                <w:lang w:val="sk-SK"/>
              </w:rPr>
            </w:pPr>
            <w:r w:rsidRPr="00E64498">
              <w:rPr>
                <w:szCs w:val="22"/>
                <w:lang w:val="sk-SK"/>
              </w:rPr>
              <w:t>Psychické poruchy</w:t>
            </w:r>
          </w:p>
        </w:tc>
        <w:tc>
          <w:tcPr>
            <w:tcW w:w="1417" w:type="dxa"/>
          </w:tcPr>
          <w:p w14:paraId="73C88E08" w14:textId="77777777" w:rsidR="00953E71" w:rsidRPr="00E64498" w:rsidRDefault="00953E71" w:rsidP="00A37A56">
            <w:pPr>
              <w:pStyle w:val="Normlndobloku"/>
              <w:spacing w:after="0"/>
              <w:jc w:val="left"/>
              <w:rPr>
                <w:szCs w:val="22"/>
                <w:lang w:val="sk-SK"/>
              </w:rPr>
            </w:pPr>
            <w:r w:rsidRPr="00E64498">
              <w:rPr>
                <w:szCs w:val="22"/>
                <w:lang w:val="sk-SK"/>
              </w:rPr>
              <w:t>Neznáme</w:t>
            </w:r>
          </w:p>
          <w:p w14:paraId="6FFDCFED" w14:textId="77777777" w:rsidR="00953E71" w:rsidRPr="00E64498" w:rsidRDefault="00953E71" w:rsidP="00A37A56">
            <w:pPr>
              <w:pStyle w:val="Normlndobloku"/>
              <w:spacing w:after="0"/>
              <w:jc w:val="left"/>
              <w:rPr>
                <w:szCs w:val="22"/>
                <w:lang w:val="sk-SK"/>
              </w:rPr>
            </w:pPr>
            <w:r w:rsidRPr="00E64498">
              <w:rPr>
                <w:szCs w:val="22"/>
                <w:lang w:val="sk-SK"/>
              </w:rPr>
              <w:lastRenderedPageBreak/>
              <w:t>Neznáme</w:t>
            </w:r>
          </w:p>
        </w:tc>
        <w:tc>
          <w:tcPr>
            <w:tcW w:w="3544" w:type="dxa"/>
          </w:tcPr>
          <w:p w14:paraId="771E9D39" w14:textId="77777777" w:rsidR="00953E71" w:rsidRPr="00CE42C8" w:rsidRDefault="00953E71" w:rsidP="00A37A56">
            <w:pPr>
              <w:pStyle w:val="Normlndobloku"/>
              <w:spacing w:after="0"/>
              <w:jc w:val="left"/>
              <w:rPr>
                <w:szCs w:val="22"/>
                <w:lang w:val="sk-SK"/>
              </w:rPr>
            </w:pPr>
            <w:r w:rsidRPr="00CE42C8">
              <w:rPr>
                <w:szCs w:val="22"/>
                <w:lang w:val="sk-SK"/>
              </w:rPr>
              <w:lastRenderedPageBreak/>
              <w:t>Insomnia</w:t>
            </w:r>
          </w:p>
          <w:p w14:paraId="6C8283B9" w14:textId="77777777" w:rsidR="00953E71" w:rsidRPr="00A77B3E" w:rsidRDefault="00953E71" w:rsidP="00A37A56">
            <w:pPr>
              <w:pStyle w:val="Normlndobloku"/>
              <w:spacing w:after="0"/>
              <w:jc w:val="left"/>
              <w:rPr>
                <w:szCs w:val="22"/>
                <w:lang w:val="sk-SK"/>
              </w:rPr>
            </w:pPr>
            <w:r w:rsidRPr="00A77B3E">
              <w:rPr>
                <w:szCs w:val="22"/>
                <w:lang w:val="sk-SK"/>
              </w:rPr>
              <w:lastRenderedPageBreak/>
              <w:t>Stav zmätenosti</w:t>
            </w:r>
          </w:p>
        </w:tc>
      </w:tr>
      <w:tr w:rsidR="00953E71" w:rsidRPr="00E64498" w14:paraId="4F493822" w14:textId="77777777" w:rsidTr="00A37A56">
        <w:trPr>
          <w:trHeight w:val="182"/>
          <w:jc w:val="center"/>
        </w:trPr>
        <w:tc>
          <w:tcPr>
            <w:tcW w:w="2802" w:type="dxa"/>
          </w:tcPr>
          <w:p w14:paraId="4BFE3B61" w14:textId="77777777" w:rsidR="00953E71" w:rsidRPr="00E64498" w:rsidRDefault="00953E71" w:rsidP="00A37A56">
            <w:pPr>
              <w:pStyle w:val="Normlndobloku"/>
              <w:spacing w:after="0"/>
              <w:jc w:val="left"/>
              <w:rPr>
                <w:szCs w:val="22"/>
                <w:lang w:val="sk-SK"/>
              </w:rPr>
            </w:pPr>
            <w:r w:rsidRPr="00E64498">
              <w:rPr>
                <w:szCs w:val="22"/>
                <w:lang w:val="sk-SK"/>
              </w:rPr>
              <w:lastRenderedPageBreak/>
              <w:t>Poruchy nervového systému</w:t>
            </w:r>
          </w:p>
        </w:tc>
        <w:tc>
          <w:tcPr>
            <w:tcW w:w="1417" w:type="dxa"/>
          </w:tcPr>
          <w:p w14:paraId="7338C51D" w14:textId="77777777" w:rsidR="00953E71" w:rsidRPr="00E64498" w:rsidRDefault="00953E71" w:rsidP="00A37A56">
            <w:pPr>
              <w:pStyle w:val="Normlndobloku"/>
              <w:spacing w:after="0"/>
              <w:jc w:val="left"/>
              <w:rPr>
                <w:szCs w:val="22"/>
                <w:lang w:val="sk-SK"/>
              </w:rPr>
            </w:pPr>
            <w:r w:rsidRPr="00E64498">
              <w:rPr>
                <w:szCs w:val="22"/>
                <w:lang w:val="sk-SK"/>
              </w:rPr>
              <w:t>Neznáme</w:t>
            </w:r>
          </w:p>
          <w:p w14:paraId="63EED14F" w14:textId="77777777" w:rsidR="00953E71" w:rsidRPr="00E64498" w:rsidRDefault="00953E71" w:rsidP="00A37A56">
            <w:pPr>
              <w:pStyle w:val="Normlndobloku"/>
              <w:spacing w:after="0"/>
              <w:jc w:val="left"/>
              <w:rPr>
                <w:szCs w:val="22"/>
                <w:lang w:val="sk-SK"/>
              </w:rPr>
            </w:pPr>
            <w:r w:rsidRPr="00E64498">
              <w:rPr>
                <w:szCs w:val="22"/>
                <w:lang w:val="sk-SK"/>
              </w:rPr>
              <w:t>Neznáme</w:t>
            </w:r>
          </w:p>
          <w:p w14:paraId="5BE0B391" w14:textId="77777777" w:rsidR="00953E71" w:rsidRPr="00CE42C8" w:rsidRDefault="00953E71" w:rsidP="00A37A56">
            <w:pPr>
              <w:pStyle w:val="Normlndobloku"/>
              <w:spacing w:after="0"/>
              <w:jc w:val="left"/>
              <w:rPr>
                <w:szCs w:val="22"/>
                <w:lang w:val="sk-SK"/>
              </w:rPr>
            </w:pPr>
            <w:r w:rsidRPr="00CE42C8">
              <w:rPr>
                <w:szCs w:val="22"/>
                <w:lang w:val="sk-SK"/>
              </w:rPr>
              <w:t>Neznáme</w:t>
            </w:r>
          </w:p>
          <w:p w14:paraId="5655A2C8" w14:textId="77777777" w:rsidR="00953E71" w:rsidRPr="00A77B3E" w:rsidRDefault="00953E71" w:rsidP="00A37A56">
            <w:pPr>
              <w:pStyle w:val="Normlndobloku"/>
              <w:spacing w:after="0"/>
              <w:jc w:val="left"/>
              <w:rPr>
                <w:szCs w:val="22"/>
                <w:lang w:val="sk-SK"/>
              </w:rPr>
            </w:pPr>
            <w:r w:rsidRPr="00A77B3E">
              <w:rPr>
                <w:szCs w:val="22"/>
                <w:lang w:val="sk-SK"/>
              </w:rPr>
              <w:t>Neznáme</w:t>
            </w:r>
          </w:p>
        </w:tc>
        <w:tc>
          <w:tcPr>
            <w:tcW w:w="3544" w:type="dxa"/>
          </w:tcPr>
          <w:p w14:paraId="2E52BC15" w14:textId="7FBC0254" w:rsidR="00953E71" w:rsidRPr="008F20B2" w:rsidRDefault="00953E71" w:rsidP="00A37A56">
            <w:pPr>
              <w:pStyle w:val="Normlndobloku"/>
              <w:spacing w:after="0"/>
              <w:jc w:val="left"/>
              <w:rPr>
                <w:szCs w:val="22"/>
                <w:lang w:val="sk-SK"/>
              </w:rPr>
            </w:pPr>
            <w:r w:rsidRPr="008F20B2">
              <w:rPr>
                <w:szCs w:val="22"/>
                <w:lang w:val="sk-SK"/>
              </w:rPr>
              <w:t>Kŕč</w:t>
            </w:r>
            <w:r w:rsidR="00424D1B" w:rsidRPr="008F20B2">
              <w:rPr>
                <w:szCs w:val="22"/>
                <w:lang w:val="sk-SK"/>
              </w:rPr>
              <w:t>e</w:t>
            </w:r>
          </w:p>
          <w:p w14:paraId="37063AE9" w14:textId="77777777" w:rsidR="00953E71" w:rsidRPr="00570EF3" w:rsidRDefault="00953E71" w:rsidP="00A37A56">
            <w:pPr>
              <w:pStyle w:val="Normlndobloku"/>
              <w:spacing w:after="0"/>
              <w:jc w:val="left"/>
              <w:rPr>
                <w:szCs w:val="22"/>
                <w:lang w:val="sk-SK"/>
              </w:rPr>
            </w:pPr>
            <w:r w:rsidRPr="00570EF3">
              <w:rPr>
                <w:szCs w:val="22"/>
                <w:lang w:val="sk-SK"/>
              </w:rPr>
              <w:t>Závraty</w:t>
            </w:r>
          </w:p>
          <w:p w14:paraId="050EC8DA" w14:textId="77777777" w:rsidR="00953E71" w:rsidRPr="000D1DE1" w:rsidRDefault="00953E71" w:rsidP="00A37A56">
            <w:pPr>
              <w:pStyle w:val="Normlndobloku"/>
              <w:spacing w:after="0"/>
              <w:jc w:val="left"/>
              <w:rPr>
                <w:szCs w:val="22"/>
                <w:lang w:val="sk-SK"/>
              </w:rPr>
            </w:pPr>
            <w:r w:rsidRPr="000D1DE1">
              <w:rPr>
                <w:szCs w:val="22"/>
                <w:lang w:val="sk-SK"/>
              </w:rPr>
              <w:t xml:space="preserve">Psychomotorická </w:t>
            </w:r>
            <w:proofErr w:type="spellStart"/>
            <w:r w:rsidRPr="000D1DE1">
              <w:rPr>
                <w:szCs w:val="22"/>
                <w:lang w:val="sk-SK"/>
              </w:rPr>
              <w:t>hyperaktivita</w:t>
            </w:r>
            <w:proofErr w:type="spellEnd"/>
          </w:p>
          <w:p w14:paraId="233BFC42" w14:textId="77777777" w:rsidR="00953E71" w:rsidRPr="000D1DE1" w:rsidRDefault="00953E71" w:rsidP="00A37A56">
            <w:pPr>
              <w:pStyle w:val="Normlndobloku"/>
              <w:spacing w:after="0"/>
              <w:jc w:val="left"/>
              <w:rPr>
                <w:szCs w:val="22"/>
                <w:lang w:val="sk-SK"/>
              </w:rPr>
            </w:pPr>
            <w:r w:rsidRPr="000D1DE1">
              <w:rPr>
                <w:szCs w:val="22"/>
                <w:lang w:val="sk-SK"/>
              </w:rPr>
              <w:t>Somnolencia</w:t>
            </w:r>
          </w:p>
        </w:tc>
      </w:tr>
      <w:tr w:rsidR="00953E71" w:rsidRPr="00E64498" w14:paraId="76361E3E" w14:textId="77777777" w:rsidTr="00A37A56">
        <w:trPr>
          <w:trHeight w:val="182"/>
          <w:jc w:val="center"/>
        </w:trPr>
        <w:tc>
          <w:tcPr>
            <w:tcW w:w="2802" w:type="dxa"/>
          </w:tcPr>
          <w:p w14:paraId="46FB471E" w14:textId="77777777" w:rsidR="00953E71" w:rsidRPr="00E64498" w:rsidRDefault="00953E71" w:rsidP="00A37A56">
            <w:pPr>
              <w:pStyle w:val="Normlndobloku"/>
              <w:spacing w:after="0"/>
              <w:jc w:val="left"/>
              <w:rPr>
                <w:szCs w:val="22"/>
                <w:lang w:val="sk-SK"/>
              </w:rPr>
            </w:pPr>
            <w:r w:rsidRPr="00E64498">
              <w:rPr>
                <w:szCs w:val="22"/>
                <w:lang w:val="sk-SK"/>
              </w:rPr>
              <w:t>Poruchy dýchacích ciest, hrudníka a media</w:t>
            </w:r>
            <w:r w:rsidR="00A25C39" w:rsidRPr="00E64498">
              <w:rPr>
                <w:szCs w:val="22"/>
                <w:lang w:val="sk-SK"/>
              </w:rPr>
              <w:t>s</w:t>
            </w:r>
            <w:r w:rsidRPr="00E64498">
              <w:rPr>
                <w:szCs w:val="22"/>
                <w:lang w:val="sk-SK"/>
              </w:rPr>
              <w:t>tína</w:t>
            </w:r>
          </w:p>
        </w:tc>
        <w:tc>
          <w:tcPr>
            <w:tcW w:w="1417" w:type="dxa"/>
          </w:tcPr>
          <w:p w14:paraId="30E430C7" w14:textId="77777777" w:rsidR="00953E71" w:rsidRPr="00E64498" w:rsidRDefault="00953E71" w:rsidP="00A37A56">
            <w:pPr>
              <w:pStyle w:val="Normlndobloku"/>
              <w:spacing w:after="0"/>
              <w:jc w:val="left"/>
              <w:rPr>
                <w:szCs w:val="22"/>
                <w:lang w:val="sk-SK"/>
              </w:rPr>
            </w:pPr>
            <w:r w:rsidRPr="00E64498">
              <w:rPr>
                <w:szCs w:val="22"/>
                <w:lang w:val="sk-SK"/>
              </w:rPr>
              <w:t>Neznáme</w:t>
            </w:r>
          </w:p>
        </w:tc>
        <w:tc>
          <w:tcPr>
            <w:tcW w:w="3544" w:type="dxa"/>
          </w:tcPr>
          <w:p w14:paraId="3D3004D4" w14:textId="77777777" w:rsidR="00953E71" w:rsidRPr="00CE42C8" w:rsidRDefault="00953E71" w:rsidP="00A37A56">
            <w:pPr>
              <w:pStyle w:val="Normlndobloku"/>
              <w:spacing w:after="0"/>
              <w:jc w:val="left"/>
              <w:rPr>
                <w:szCs w:val="22"/>
                <w:lang w:val="sk-SK"/>
              </w:rPr>
            </w:pPr>
            <w:r w:rsidRPr="00CE42C8">
              <w:rPr>
                <w:szCs w:val="22"/>
                <w:lang w:val="sk-SK"/>
              </w:rPr>
              <w:t>Respiračná depresia</w:t>
            </w:r>
          </w:p>
        </w:tc>
      </w:tr>
      <w:tr w:rsidR="00953E71" w:rsidRPr="00E64498" w14:paraId="33A7D9B6" w14:textId="77777777" w:rsidTr="00A37A56">
        <w:trPr>
          <w:trHeight w:val="182"/>
          <w:jc w:val="center"/>
        </w:trPr>
        <w:tc>
          <w:tcPr>
            <w:tcW w:w="2802" w:type="dxa"/>
          </w:tcPr>
          <w:p w14:paraId="15331993" w14:textId="77777777" w:rsidR="00953E71" w:rsidRPr="00E64498" w:rsidRDefault="00953E71" w:rsidP="00A37A56">
            <w:pPr>
              <w:pStyle w:val="Normlndobloku"/>
              <w:spacing w:after="0"/>
              <w:jc w:val="left"/>
              <w:rPr>
                <w:szCs w:val="22"/>
                <w:lang w:val="sk-SK"/>
              </w:rPr>
            </w:pPr>
            <w:r w:rsidRPr="00E64498">
              <w:rPr>
                <w:szCs w:val="22"/>
                <w:lang w:val="sk-SK"/>
              </w:rPr>
              <w:t>Poruchy gastrointestinálneho traktu</w:t>
            </w:r>
          </w:p>
        </w:tc>
        <w:tc>
          <w:tcPr>
            <w:tcW w:w="1417" w:type="dxa"/>
          </w:tcPr>
          <w:p w14:paraId="6468E95A" w14:textId="77777777" w:rsidR="00953E71" w:rsidRPr="00E64498" w:rsidRDefault="00953E71" w:rsidP="00A37A56">
            <w:pPr>
              <w:pStyle w:val="Normlndobloku"/>
              <w:spacing w:after="0"/>
              <w:jc w:val="left"/>
              <w:rPr>
                <w:szCs w:val="22"/>
                <w:lang w:val="sk-SK"/>
              </w:rPr>
            </w:pPr>
            <w:r w:rsidRPr="00E64498">
              <w:rPr>
                <w:szCs w:val="22"/>
                <w:lang w:val="sk-SK"/>
              </w:rPr>
              <w:t>Neznáme</w:t>
            </w:r>
          </w:p>
          <w:p w14:paraId="27CD1071" w14:textId="77777777" w:rsidR="00953E71" w:rsidRPr="00E64498" w:rsidRDefault="00953E71" w:rsidP="00A37A56">
            <w:pPr>
              <w:pStyle w:val="Normlndobloku"/>
              <w:spacing w:after="0"/>
              <w:jc w:val="left"/>
              <w:rPr>
                <w:szCs w:val="22"/>
                <w:lang w:val="sk-SK"/>
              </w:rPr>
            </w:pPr>
            <w:r w:rsidRPr="00E64498">
              <w:rPr>
                <w:szCs w:val="22"/>
                <w:lang w:val="sk-SK"/>
              </w:rPr>
              <w:t>Neznáme</w:t>
            </w:r>
          </w:p>
          <w:p w14:paraId="00FC845D" w14:textId="77777777" w:rsidR="00953E71" w:rsidRPr="00CE42C8" w:rsidRDefault="00953E71" w:rsidP="00A37A56">
            <w:pPr>
              <w:pStyle w:val="Normlndobloku"/>
              <w:spacing w:after="0"/>
              <w:jc w:val="left"/>
              <w:rPr>
                <w:szCs w:val="22"/>
                <w:lang w:val="sk-SK"/>
              </w:rPr>
            </w:pPr>
            <w:r w:rsidRPr="00CE42C8">
              <w:rPr>
                <w:szCs w:val="22"/>
                <w:lang w:val="sk-SK"/>
              </w:rPr>
              <w:t>Neznáme</w:t>
            </w:r>
          </w:p>
          <w:p w14:paraId="726E97EF" w14:textId="77777777" w:rsidR="00953E71" w:rsidRPr="00A77B3E" w:rsidRDefault="00953E71" w:rsidP="00A37A56">
            <w:pPr>
              <w:pStyle w:val="Normlndobloku"/>
              <w:spacing w:after="0"/>
              <w:jc w:val="left"/>
              <w:rPr>
                <w:szCs w:val="22"/>
                <w:lang w:val="sk-SK"/>
              </w:rPr>
            </w:pPr>
            <w:r w:rsidRPr="00A77B3E">
              <w:rPr>
                <w:szCs w:val="22"/>
                <w:lang w:val="sk-SK"/>
              </w:rPr>
              <w:t>Neznáme</w:t>
            </w:r>
          </w:p>
          <w:p w14:paraId="17C795DA" w14:textId="77777777" w:rsidR="00953E71" w:rsidRPr="008F20B2" w:rsidRDefault="00953E71" w:rsidP="00A37A56">
            <w:pPr>
              <w:pStyle w:val="Normlndobloku"/>
              <w:spacing w:after="0"/>
              <w:jc w:val="left"/>
              <w:rPr>
                <w:szCs w:val="22"/>
                <w:lang w:val="sk-SK"/>
              </w:rPr>
            </w:pPr>
            <w:r w:rsidRPr="008F20B2">
              <w:rPr>
                <w:szCs w:val="22"/>
                <w:lang w:val="sk-SK"/>
              </w:rPr>
              <w:t>Neznáme</w:t>
            </w:r>
          </w:p>
        </w:tc>
        <w:tc>
          <w:tcPr>
            <w:tcW w:w="3544" w:type="dxa"/>
          </w:tcPr>
          <w:p w14:paraId="5ECC8C1C" w14:textId="77777777" w:rsidR="00953E71" w:rsidRPr="00570EF3" w:rsidRDefault="00F744EB" w:rsidP="00A37A56">
            <w:pPr>
              <w:pStyle w:val="Normlndobloku"/>
              <w:spacing w:after="0"/>
              <w:jc w:val="left"/>
              <w:rPr>
                <w:szCs w:val="22"/>
                <w:lang w:val="sk-SK"/>
              </w:rPr>
            </w:pPr>
            <w:r w:rsidRPr="00570EF3">
              <w:rPr>
                <w:szCs w:val="22"/>
                <w:lang w:val="sk-SK"/>
              </w:rPr>
              <w:t>Abdominálna bolesť</w:t>
            </w:r>
          </w:p>
          <w:p w14:paraId="6827E5B0" w14:textId="77777777" w:rsidR="00953E71" w:rsidRPr="000D1DE1" w:rsidRDefault="00953E71" w:rsidP="00A37A56">
            <w:pPr>
              <w:pStyle w:val="Normlndobloku"/>
              <w:spacing w:after="0"/>
              <w:jc w:val="left"/>
              <w:rPr>
                <w:szCs w:val="22"/>
                <w:lang w:val="sk-SK"/>
              </w:rPr>
            </w:pPr>
            <w:r w:rsidRPr="000D1DE1">
              <w:rPr>
                <w:szCs w:val="22"/>
                <w:lang w:val="sk-SK"/>
              </w:rPr>
              <w:t>Hnačka</w:t>
            </w:r>
          </w:p>
          <w:p w14:paraId="5DA370C5" w14:textId="54291CC9" w:rsidR="00953E71" w:rsidRPr="00A37A56" w:rsidRDefault="00953E71" w:rsidP="00A37A56">
            <w:pPr>
              <w:pStyle w:val="Normlndobloku"/>
              <w:spacing w:after="0"/>
              <w:jc w:val="left"/>
              <w:rPr>
                <w:szCs w:val="22"/>
                <w:lang w:val="sk-SK"/>
              </w:rPr>
            </w:pPr>
            <w:r w:rsidRPr="000D1DE1">
              <w:rPr>
                <w:szCs w:val="22"/>
                <w:lang w:val="sk-SK"/>
              </w:rPr>
              <w:t xml:space="preserve">Gastrointestinálne </w:t>
            </w:r>
            <w:r w:rsidR="00A25C39" w:rsidRPr="000D1DE1">
              <w:rPr>
                <w:szCs w:val="22"/>
                <w:lang w:val="sk-SK"/>
              </w:rPr>
              <w:t>ťažkosti</w:t>
            </w:r>
          </w:p>
          <w:p w14:paraId="622A1B9E" w14:textId="77777777" w:rsidR="00953E71" w:rsidRPr="00A37A56" w:rsidRDefault="00953E71" w:rsidP="00A37A56">
            <w:pPr>
              <w:pStyle w:val="Normlndobloku"/>
              <w:spacing w:after="0"/>
              <w:jc w:val="left"/>
              <w:rPr>
                <w:szCs w:val="22"/>
                <w:lang w:val="sk-SK"/>
              </w:rPr>
            </w:pPr>
            <w:r w:rsidRPr="00A37A56">
              <w:rPr>
                <w:szCs w:val="22"/>
                <w:lang w:val="sk-SK"/>
              </w:rPr>
              <w:t>Nauzea</w:t>
            </w:r>
          </w:p>
          <w:p w14:paraId="04726560" w14:textId="77777777" w:rsidR="00953E71" w:rsidRPr="00A37A56" w:rsidRDefault="00953E71" w:rsidP="00A37A56">
            <w:pPr>
              <w:pStyle w:val="Normlndobloku"/>
              <w:spacing w:after="0"/>
              <w:jc w:val="left"/>
              <w:rPr>
                <w:szCs w:val="22"/>
                <w:lang w:val="sk-SK"/>
              </w:rPr>
            </w:pPr>
            <w:r w:rsidRPr="00A37A56">
              <w:rPr>
                <w:szCs w:val="22"/>
                <w:lang w:val="sk-SK"/>
              </w:rPr>
              <w:t>Vracanie</w:t>
            </w:r>
          </w:p>
        </w:tc>
      </w:tr>
    </w:tbl>
    <w:p w14:paraId="6AB252F7" w14:textId="77777777" w:rsidR="00424D1B" w:rsidRPr="00E64498" w:rsidRDefault="00424D1B" w:rsidP="00A37A56">
      <w:pPr>
        <w:pStyle w:val="Styl3"/>
        <w:spacing w:after="0"/>
        <w:rPr>
          <w:szCs w:val="22"/>
        </w:rPr>
      </w:pPr>
    </w:p>
    <w:p w14:paraId="4957D9AF" w14:textId="5625B0B6" w:rsidR="00A72EBA" w:rsidRPr="00E64498" w:rsidRDefault="00A72EBA" w:rsidP="00A37A56">
      <w:pPr>
        <w:pStyle w:val="Styl3"/>
        <w:spacing w:after="0"/>
        <w:rPr>
          <w:szCs w:val="22"/>
        </w:rPr>
      </w:pPr>
      <w:r w:rsidRPr="00E64498">
        <w:rPr>
          <w:szCs w:val="22"/>
        </w:rPr>
        <w:t>Hlásenie podozrení na nežiaduce reakcie</w:t>
      </w:r>
    </w:p>
    <w:p w14:paraId="4A46DBC0" w14:textId="77777777" w:rsidR="00A72EBA" w:rsidRDefault="00A72EBA" w:rsidP="00A37A56">
      <w:pPr>
        <w:pStyle w:val="Normlndobloku"/>
        <w:spacing w:after="0"/>
        <w:jc w:val="left"/>
        <w:rPr>
          <w:szCs w:val="22"/>
          <w:lang w:val="sk-SK"/>
        </w:rPr>
      </w:pPr>
      <w:r w:rsidRPr="00E64498">
        <w:rPr>
          <w:szCs w:val="22"/>
          <w:lang w:val="sk-SK"/>
        </w:rPr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</w:t>
      </w:r>
      <w:r w:rsidRPr="00E64498">
        <w:rPr>
          <w:szCs w:val="22"/>
          <w:highlight w:val="lightGray"/>
          <w:lang w:val="sk-SK"/>
        </w:rPr>
        <w:t>na národné centrum hlásenia uvedené v </w:t>
      </w:r>
      <w:hyperlink r:id="rId7" w:history="1">
        <w:r w:rsidRPr="00E64498">
          <w:rPr>
            <w:rStyle w:val="Hypertextovprepojenie"/>
            <w:szCs w:val="22"/>
            <w:highlight w:val="lightGray"/>
            <w:lang w:val="sk-SK"/>
          </w:rPr>
          <w:t>Prílohe V</w:t>
        </w:r>
      </w:hyperlink>
      <w:r w:rsidRPr="00E64498">
        <w:rPr>
          <w:szCs w:val="22"/>
          <w:highlight w:val="lightGray"/>
          <w:lang w:val="sk-SK"/>
        </w:rPr>
        <w:t>.</w:t>
      </w:r>
    </w:p>
    <w:p w14:paraId="0DA417CE" w14:textId="77777777" w:rsidR="00CE42C8" w:rsidRPr="00E64498" w:rsidRDefault="00CE42C8" w:rsidP="00A37A56">
      <w:pPr>
        <w:pStyle w:val="Normlndobloku"/>
        <w:spacing w:after="0"/>
        <w:jc w:val="left"/>
        <w:rPr>
          <w:szCs w:val="22"/>
          <w:lang w:val="sk-SK"/>
        </w:rPr>
      </w:pPr>
    </w:p>
    <w:p w14:paraId="1B69320A" w14:textId="77777777" w:rsidR="00591A89" w:rsidRPr="00E64498" w:rsidRDefault="00A72EBA" w:rsidP="00A37A56">
      <w:pPr>
        <w:pStyle w:val="Styl2"/>
        <w:numPr>
          <w:ilvl w:val="1"/>
          <w:numId w:val="10"/>
        </w:numPr>
        <w:spacing w:before="0" w:after="0"/>
        <w:ind w:left="680" w:hanging="680"/>
        <w:rPr>
          <w:szCs w:val="22"/>
          <w:lang w:val="sk-SK"/>
        </w:rPr>
      </w:pPr>
      <w:r w:rsidRPr="00E64498">
        <w:rPr>
          <w:szCs w:val="22"/>
          <w:lang w:val="sk-SK"/>
        </w:rPr>
        <w:t>Predávkovanie</w:t>
      </w:r>
      <w:bookmarkStart w:id="0" w:name="_GoBack"/>
      <w:bookmarkEnd w:id="0"/>
    </w:p>
    <w:p w14:paraId="3FB6A84B" w14:textId="77777777" w:rsidR="00424D1B" w:rsidRPr="00E64498" w:rsidRDefault="00424D1B" w:rsidP="00A37A56">
      <w:pPr>
        <w:pStyle w:val="Styl3"/>
        <w:spacing w:after="0"/>
        <w:rPr>
          <w:szCs w:val="22"/>
        </w:rPr>
      </w:pPr>
    </w:p>
    <w:p w14:paraId="2DB16294" w14:textId="77777777" w:rsidR="00591A89" w:rsidRPr="00E64498" w:rsidRDefault="00F744EB" w:rsidP="00A37A56">
      <w:pPr>
        <w:pStyle w:val="Styl3"/>
        <w:spacing w:after="0"/>
        <w:rPr>
          <w:szCs w:val="22"/>
        </w:rPr>
      </w:pPr>
      <w:r w:rsidRPr="00E64498">
        <w:rPr>
          <w:szCs w:val="22"/>
        </w:rPr>
        <w:t>Prejavy a p</w:t>
      </w:r>
      <w:r w:rsidR="00591A89" w:rsidRPr="00E64498">
        <w:rPr>
          <w:szCs w:val="22"/>
        </w:rPr>
        <w:t>ríznaky</w:t>
      </w:r>
    </w:p>
    <w:p w14:paraId="091FA368" w14:textId="13D97259" w:rsidR="00953E71" w:rsidRDefault="00953E71" w:rsidP="00A37A56">
      <w:pPr>
        <w:pStyle w:val="Normlndobloku"/>
        <w:spacing w:after="0"/>
        <w:jc w:val="left"/>
        <w:rPr>
          <w:szCs w:val="22"/>
          <w:lang w:val="sk-SK"/>
        </w:rPr>
      </w:pPr>
      <w:r w:rsidRPr="00CE42C8">
        <w:rPr>
          <w:szCs w:val="22"/>
          <w:lang w:val="sk-SK"/>
        </w:rPr>
        <w:t xml:space="preserve">Príznaky predávkovania môžu zahŕňať: </w:t>
      </w:r>
      <w:proofErr w:type="spellStart"/>
      <w:r w:rsidRPr="00CE42C8">
        <w:rPr>
          <w:szCs w:val="22"/>
          <w:lang w:val="sk-SK"/>
        </w:rPr>
        <w:t>mydriázu</w:t>
      </w:r>
      <w:proofErr w:type="spellEnd"/>
      <w:r w:rsidRPr="00CE42C8">
        <w:rPr>
          <w:szCs w:val="22"/>
          <w:lang w:val="sk-SK"/>
        </w:rPr>
        <w:t xml:space="preserve">, nauzeu a vracanie, útlm CNS, </w:t>
      </w:r>
      <w:proofErr w:type="spellStart"/>
      <w:r w:rsidRPr="00CE42C8">
        <w:rPr>
          <w:szCs w:val="22"/>
          <w:lang w:val="sk-SK"/>
        </w:rPr>
        <w:t>excitáciu</w:t>
      </w:r>
      <w:proofErr w:type="spellEnd"/>
      <w:r w:rsidRPr="00CE42C8">
        <w:rPr>
          <w:szCs w:val="22"/>
          <w:lang w:val="sk-SK"/>
        </w:rPr>
        <w:t xml:space="preserve">, letargiu, </w:t>
      </w:r>
      <w:proofErr w:type="spellStart"/>
      <w:r w:rsidRPr="00CE42C8">
        <w:rPr>
          <w:szCs w:val="22"/>
          <w:lang w:val="sk-SK"/>
        </w:rPr>
        <w:t>nystagmus</w:t>
      </w:r>
      <w:proofErr w:type="spellEnd"/>
      <w:r w:rsidRPr="00CE42C8">
        <w:rPr>
          <w:szCs w:val="22"/>
          <w:lang w:val="sk-SK"/>
        </w:rPr>
        <w:t xml:space="preserve">, psychomotorickú </w:t>
      </w:r>
      <w:proofErr w:type="spellStart"/>
      <w:r w:rsidRPr="00CE42C8">
        <w:rPr>
          <w:szCs w:val="22"/>
          <w:lang w:val="sk-SK"/>
        </w:rPr>
        <w:t>hyperaktivitu</w:t>
      </w:r>
      <w:proofErr w:type="spellEnd"/>
      <w:r w:rsidRPr="00CE42C8">
        <w:rPr>
          <w:szCs w:val="22"/>
          <w:lang w:val="sk-SK"/>
        </w:rPr>
        <w:t xml:space="preserve">, </w:t>
      </w:r>
      <w:proofErr w:type="spellStart"/>
      <w:r w:rsidRPr="00CE42C8">
        <w:rPr>
          <w:szCs w:val="22"/>
          <w:lang w:val="sk-SK"/>
        </w:rPr>
        <w:t>s</w:t>
      </w:r>
      <w:r w:rsidR="00093496" w:rsidRPr="00A77B3E">
        <w:rPr>
          <w:szCs w:val="22"/>
          <w:lang w:val="sk-SK"/>
        </w:rPr>
        <w:t>é</w:t>
      </w:r>
      <w:r w:rsidRPr="00A77B3E">
        <w:rPr>
          <w:szCs w:val="22"/>
          <w:lang w:val="sk-SK"/>
        </w:rPr>
        <w:t>rotonínový</w:t>
      </w:r>
      <w:proofErr w:type="spellEnd"/>
      <w:r w:rsidRPr="00A77B3E">
        <w:rPr>
          <w:szCs w:val="22"/>
          <w:lang w:val="sk-SK"/>
        </w:rPr>
        <w:t xml:space="preserve"> syndróm, </w:t>
      </w:r>
      <w:proofErr w:type="spellStart"/>
      <w:r w:rsidRPr="00A77B3E">
        <w:rPr>
          <w:szCs w:val="22"/>
          <w:lang w:val="sk-SK"/>
        </w:rPr>
        <w:t>somnolenciu</w:t>
      </w:r>
      <w:proofErr w:type="spellEnd"/>
      <w:r w:rsidRPr="00A77B3E">
        <w:rPr>
          <w:szCs w:val="22"/>
          <w:lang w:val="sk-SK"/>
        </w:rPr>
        <w:t xml:space="preserve"> (ospalosť), závrat</w:t>
      </w:r>
      <w:r w:rsidR="00093496" w:rsidRPr="00A77B3E">
        <w:rPr>
          <w:szCs w:val="22"/>
          <w:lang w:val="sk-SK"/>
        </w:rPr>
        <w:t>y</w:t>
      </w:r>
      <w:r w:rsidRPr="00A77B3E">
        <w:rPr>
          <w:szCs w:val="22"/>
          <w:lang w:val="sk-SK"/>
        </w:rPr>
        <w:t xml:space="preserve">, </w:t>
      </w:r>
      <w:proofErr w:type="spellStart"/>
      <w:r w:rsidRPr="00A77B3E">
        <w:rPr>
          <w:szCs w:val="22"/>
          <w:lang w:val="sk-SK"/>
        </w:rPr>
        <w:t>dy</w:t>
      </w:r>
      <w:r w:rsidR="00093496" w:rsidRPr="00A77B3E">
        <w:rPr>
          <w:szCs w:val="22"/>
          <w:lang w:val="sk-SK"/>
        </w:rPr>
        <w:t>z</w:t>
      </w:r>
      <w:r w:rsidRPr="00A77B3E">
        <w:rPr>
          <w:szCs w:val="22"/>
          <w:lang w:val="sk-SK"/>
        </w:rPr>
        <w:t>artriu</w:t>
      </w:r>
      <w:proofErr w:type="spellEnd"/>
      <w:r w:rsidR="000A6AC1" w:rsidRPr="008F20B2">
        <w:rPr>
          <w:szCs w:val="22"/>
          <w:lang w:val="sk-SK"/>
        </w:rPr>
        <w:t xml:space="preserve"> (</w:t>
      </w:r>
      <w:r w:rsidR="00E645CF" w:rsidRPr="008F20B2">
        <w:rPr>
          <w:szCs w:val="22"/>
          <w:lang w:val="sk-SK"/>
        </w:rPr>
        <w:t>nezrozumiteľnú</w:t>
      </w:r>
      <w:r w:rsidRPr="008F20B2">
        <w:rPr>
          <w:szCs w:val="22"/>
          <w:lang w:val="sk-SK"/>
        </w:rPr>
        <w:t xml:space="preserve"> reč), duševnú zmätenosť, psychotickú poruchu</w:t>
      </w:r>
      <w:r w:rsidR="000A6AC1" w:rsidRPr="00570EF3">
        <w:rPr>
          <w:szCs w:val="22"/>
          <w:lang w:val="sk-SK"/>
        </w:rPr>
        <w:t xml:space="preserve"> (psychózu)</w:t>
      </w:r>
      <w:r w:rsidRPr="00570EF3">
        <w:rPr>
          <w:szCs w:val="22"/>
          <w:lang w:val="sk-SK"/>
        </w:rPr>
        <w:t xml:space="preserve"> </w:t>
      </w:r>
      <w:r w:rsidR="000A6AC1" w:rsidRPr="00570EF3">
        <w:rPr>
          <w:szCs w:val="22"/>
          <w:lang w:val="sk-SK"/>
        </w:rPr>
        <w:t>a r</w:t>
      </w:r>
      <w:r w:rsidRPr="00570EF3">
        <w:rPr>
          <w:szCs w:val="22"/>
          <w:lang w:val="sk-SK"/>
        </w:rPr>
        <w:t>esp</w:t>
      </w:r>
      <w:r w:rsidR="000A6AC1" w:rsidRPr="00570EF3">
        <w:rPr>
          <w:szCs w:val="22"/>
          <w:lang w:val="sk-SK"/>
        </w:rPr>
        <w:t>iračnú depresiu</w:t>
      </w:r>
      <w:r w:rsidRPr="000D1DE1">
        <w:rPr>
          <w:szCs w:val="22"/>
          <w:lang w:val="sk-SK"/>
        </w:rPr>
        <w:t>.</w:t>
      </w:r>
    </w:p>
    <w:p w14:paraId="6B31F062" w14:textId="77777777" w:rsidR="00CE42C8" w:rsidRPr="00CE42C8" w:rsidRDefault="00CE42C8" w:rsidP="00A37A56">
      <w:pPr>
        <w:pStyle w:val="Normlndobloku"/>
        <w:spacing w:after="0"/>
        <w:jc w:val="left"/>
        <w:rPr>
          <w:szCs w:val="22"/>
          <w:lang w:val="sk-SK"/>
        </w:rPr>
      </w:pPr>
    </w:p>
    <w:p w14:paraId="1DCC85E1" w14:textId="7E8E00C0" w:rsidR="00591A89" w:rsidRPr="00A77B3E" w:rsidRDefault="00A25C39" w:rsidP="00A37A56">
      <w:pPr>
        <w:pStyle w:val="Styl3"/>
        <w:spacing w:after="0"/>
        <w:rPr>
          <w:szCs w:val="22"/>
        </w:rPr>
      </w:pPr>
      <w:r w:rsidRPr="00A77B3E">
        <w:rPr>
          <w:szCs w:val="22"/>
        </w:rPr>
        <w:t>Liečba</w:t>
      </w:r>
    </w:p>
    <w:p w14:paraId="4A38CBF3" w14:textId="587A1211" w:rsidR="000A6AC1" w:rsidRDefault="000A6AC1" w:rsidP="00A37A56">
      <w:pPr>
        <w:pStyle w:val="Normlndobloku"/>
        <w:spacing w:after="0"/>
        <w:jc w:val="left"/>
        <w:rPr>
          <w:szCs w:val="22"/>
          <w:lang w:val="sk-SK"/>
        </w:rPr>
      </w:pPr>
      <w:r w:rsidRPr="008F20B2">
        <w:rPr>
          <w:szCs w:val="22"/>
          <w:lang w:val="sk-SK"/>
        </w:rPr>
        <w:t>Liečba má byť symptomatická a podporná. Vhodn</w:t>
      </w:r>
      <w:r w:rsidR="00093496" w:rsidRPr="008F20B2">
        <w:rPr>
          <w:szCs w:val="22"/>
          <w:lang w:val="sk-SK"/>
        </w:rPr>
        <w:t>á</w:t>
      </w:r>
      <w:r w:rsidRPr="008F20B2">
        <w:rPr>
          <w:szCs w:val="22"/>
          <w:lang w:val="sk-SK"/>
        </w:rPr>
        <w:t xml:space="preserve"> je </w:t>
      </w:r>
      <w:proofErr w:type="spellStart"/>
      <w:r w:rsidR="00093496" w:rsidRPr="00570EF3">
        <w:rPr>
          <w:szCs w:val="22"/>
          <w:lang w:val="sk-SK"/>
        </w:rPr>
        <w:t>gastrická</w:t>
      </w:r>
      <w:proofErr w:type="spellEnd"/>
      <w:r w:rsidR="00093496" w:rsidRPr="00570EF3">
        <w:rPr>
          <w:szCs w:val="22"/>
          <w:lang w:val="sk-SK"/>
        </w:rPr>
        <w:t xml:space="preserve"> </w:t>
      </w:r>
      <w:proofErr w:type="spellStart"/>
      <w:r w:rsidR="00093496" w:rsidRPr="00570EF3">
        <w:rPr>
          <w:szCs w:val="22"/>
          <w:lang w:val="sk-SK"/>
        </w:rPr>
        <w:t>laváž</w:t>
      </w:r>
      <w:proofErr w:type="spellEnd"/>
      <w:r w:rsidRPr="00570EF3">
        <w:rPr>
          <w:szCs w:val="22"/>
          <w:lang w:val="sk-SK"/>
        </w:rPr>
        <w:t xml:space="preserve">. </w:t>
      </w:r>
      <w:proofErr w:type="spellStart"/>
      <w:r w:rsidRPr="00570EF3">
        <w:rPr>
          <w:szCs w:val="22"/>
          <w:lang w:val="sk-SK"/>
        </w:rPr>
        <w:t>Naloxó</w:t>
      </w:r>
      <w:r w:rsidR="00F744EB" w:rsidRPr="00570EF3">
        <w:rPr>
          <w:szCs w:val="22"/>
          <w:lang w:val="sk-SK"/>
        </w:rPr>
        <w:t>n</w:t>
      </w:r>
      <w:proofErr w:type="spellEnd"/>
      <w:r w:rsidR="00F744EB" w:rsidRPr="00570EF3">
        <w:rPr>
          <w:szCs w:val="22"/>
          <w:lang w:val="sk-SK"/>
        </w:rPr>
        <w:t xml:space="preserve"> sa úspešne použil </w:t>
      </w:r>
      <w:r w:rsidR="00093496" w:rsidRPr="00570EF3">
        <w:rPr>
          <w:szCs w:val="22"/>
          <w:lang w:val="sk-SK"/>
        </w:rPr>
        <w:t>u detí pri</w:t>
      </w:r>
      <w:r w:rsidR="00F744EB" w:rsidRPr="000D1DE1">
        <w:rPr>
          <w:szCs w:val="22"/>
          <w:lang w:val="sk-SK"/>
        </w:rPr>
        <w:t xml:space="preserve"> potlačen</w:t>
      </w:r>
      <w:r w:rsidR="00093496" w:rsidRPr="000D1DE1">
        <w:rPr>
          <w:szCs w:val="22"/>
          <w:lang w:val="sk-SK"/>
        </w:rPr>
        <w:t>í</w:t>
      </w:r>
      <w:r w:rsidRPr="000D1DE1">
        <w:rPr>
          <w:szCs w:val="22"/>
          <w:lang w:val="sk-SK"/>
        </w:rPr>
        <w:t xml:space="preserve"> centrálnych alebo periférnych </w:t>
      </w:r>
      <w:proofErr w:type="spellStart"/>
      <w:r w:rsidRPr="000D1DE1">
        <w:rPr>
          <w:szCs w:val="22"/>
          <w:lang w:val="sk-SK"/>
        </w:rPr>
        <w:t>opioidných</w:t>
      </w:r>
      <w:proofErr w:type="spellEnd"/>
      <w:r w:rsidRPr="000D1DE1">
        <w:rPr>
          <w:szCs w:val="22"/>
          <w:lang w:val="sk-SK"/>
        </w:rPr>
        <w:t xml:space="preserve"> účinkov </w:t>
      </w:r>
      <w:proofErr w:type="spellStart"/>
      <w:r w:rsidRPr="000D1DE1">
        <w:rPr>
          <w:szCs w:val="22"/>
          <w:lang w:val="sk-SK"/>
        </w:rPr>
        <w:t>dextrometorfánu</w:t>
      </w:r>
      <w:proofErr w:type="spellEnd"/>
      <w:r w:rsidRPr="000D1DE1">
        <w:rPr>
          <w:szCs w:val="22"/>
          <w:lang w:val="sk-SK"/>
        </w:rPr>
        <w:t xml:space="preserve"> (0,01 mg/kg telesnej hmotnosti).</w:t>
      </w:r>
    </w:p>
    <w:p w14:paraId="75DFC26E" w14:textId="77777777" w:rsidR="00CE42C8" w:rsidRDefault="00CE42C8" w:rsidP="00A37A56">
      <w:pPr>
        <w:pStyle w:val="Normlndobloku"/>
        <w:spacing w:after="0"/>
        <w:jc w:val="left"/>
        <w:rPr>
          <w:szCs w:val="22"/>
          <w:lang w:val="sk-SK"/>
        </w:rPr>
      </w:pPr>
    </w:p>
    <w:p w14:paraId="2432E648" w14:textId="77777777" w:rsidR="00CE42C8" w:rsidRPr="00CE42C8" w:rsidRDefault="00CE42C8" w:rsidP="00A37A56">
      <w:pPr>
        <w:pStyle w:val="Normlndobloku"/>
        <w:spacing w:after="0"/>
        <w:jc w:val="left"/>
        <w:rPr>
          <w:szCs w:val="22"/>
          <w:lang w:val="sk-SK"/>
        </w:rPr>
      </w:pPr>
    </w:p>
    <w:p w14:paraId="7FF5007E" w14:textId="77777777" w:rsidR="00A72EBA" w:rsidRDefault="00A72EBA" w:rsidP="00A37A56">
      <w:pPr>
        <w:pStyle w:val="Styl1"/>
        <w:numPr>
          <w:ilvl w:val="0"/>
          <w:numId w:val="10"/>
        </w:numPr>
        <w:spacing w:before="0" w:after="0"/>
        <w:ind w:left="357" w:hanging="357"/>
        <w:rPr>
          <w:szCs w:val="22"/>
          <w:lang w:val="sk-SK"/>
        </w:rPr>
      </w:pPr>
      <w:r w:rsidRPr="00CE42C8">
        <w:rPr>
          <w:szCs w:val="22"/>
          <w:lang w:val="sk-SK"/>
        </w:rPr>
        <w:t>FARMAKOLOGICKÉ VLASTNOSTI</w:t>
      </w:r>
    </w:p>
    <w:p w14:paraId="4FB9166C" w14:textId="77777777" w:rsidR="00CE42C8" w:rsidRPr="00CE42C8" w:rsidRDefault="00CE42C8" w:rsidP="00A37A56">
      <w:pPr>
        <w:pStyle w:val="Styl1"/>
        <w:numPr>
          <w:ilvl w:val="0"/>
          <w:numId w:val="0"/>
        </w:numPr>
        <w:spacing w:before="0" w:after="0"/>
        <w:rPr>
          <w:szCs w:val="22"/>
          <w:lang w:val="sk-SK"/>
        </w:rPr>
      </w:pPr>
    </w:p>
    <w:p w14:paraId="7520CC18" w14:textId="77777777" w:rsidR="00A72EBA" w:rsidRDefault="00A72EBA" w:rsidP="00A37A56">
      <w:pPr>
        <w:pStyle w:val="Styl2"/>
        <w:numPr>
          <w:ilvl w:val="1"/>
          <w:numId w:val="10"/>
        </w:numPr>
        <w:spacing w:before="0" w:after="0"/>
        <w:ind w:left="680" w:hanging="680"/>
        <w:rPr>
          <w:szCs w:val="22"/>
          <w:lang w:val="sk-SK"/>
        </w:rPr>
      </w:pPr>
      <w:proofErr w:type="spellStart"/>
      <w:r w:rsidRPr="00CE42C8">
        <w:rPr>
          <w:szCs w:val="22"/>
          <w:lang w:val="sk-SK"/>
        </w:rPr>
        <w:t>Farmakodynamické</w:t>
      </w:r>
      <w:proofErr w:type="spellEnd"/>
      <w:r w:rsidRPr="00CE42C8">
        <w:rPr>
          <w:szCs w:val="22"/>
          <w:lang w:val="sk-SK"/>
        </w:rPr>
        <w:t xml:space="preserve"> vlastnosti</w:t>
      </w:r>
    </w:p>
    <w:p w14:paraId="0A9E04E7" w14:textId="77777777" w:rsidR="00CE42C8" w:rsidRPr="00CE42C8" w:rsidRDefault="00CE42C8" w:rsidP="00A37A56">
      <w:pPr>
        <w:pStyle w:val="Styl2"/>
        <w:numPr>
          <w:ilvl w:val="0"/>
          <w:numId w:val="0"/>
        </w:numPr>
        <w:spacing w:before="0" w:after="0"/>
        <w:ind w:left="720" w:hanging="720"/>
        <w:rPr>
          <w:szCs w:val="22"/>
          <w:lang w:val="sk-SK"/>
        </w:rPr>
      </w:pPr>
    </w:p>
    <w:p w14:paraId="0642AB56" w14:textId="5E13F5C8" w:rsidR="00DC16E3" w:rsidRPr="00A77B3E" w:rsidRDefault="00A72EBA" w:rsidP="00A37A56">
      <w:pPr>
        <w:pStyle w:val="Normlndobloku"/>
        <w:spacing w:after="0"/>
        <w:jc w:val="left"/>
        <w:rPr>
          <w:szCs w:val="22"/>
          <w:lang w:val="sk-SK"/>
        </w:rPr>
      </w:pPr>
      <w:proofErr w:type="spellStart"/>
      <w:r w:rsidRPr="00CE42C8">
        <w:rPr>
          <w:szCs w:val="22"/>
          <w:lang w:val="sk-SK"/>
        </w:rPr>
        <w:t>Farmakoterapeutická</w:t>
      </w:r>
      <w:proofErr w:type="spellEnd"/>
      <w:r w:rsidRPr="00CE42C8">
        <w:rPr>
          <w:szCs w:val="22"/>
          <w:lang w:val="sk-SK"/>
        </w:rPr>
        <w:t xml:space="preserve"> sk</w:t>
      </w:r>
      <w:r w:rsidR="00DC16E3" w:rsidRPr="00CE42C8">
        <w:rPr>
          <w:szCs w:val="22"/>
          <w:lang w:val="sk-SK"/>
        </w:rPr>
        <w:t xml:space="preserve">upina: </w:t>
      </w:r>
      <w:proofErr w:type="spellStart"/>
      <w:r w:rsidR="00DC16E3" w:rsidRPr="00CE42C8">
        <w:rPr>
          <w:szCs w:val="22"/>
          <w:lang w:val="sk-SK"/>
        </w:rPr>
        <w:t>A</w:t>
      </w:r>
      <w:r w:rsidR="00111E43" w:rsidRPr="00CE42C8">
        <w:rPr>
          <w:szCs w:val="22"/>
          <w:lang w:val="sk-SK"/>
        </w:rPr>
        <w:t>ntitusiká</w:t>
      </w:r>
      <w:proofErr w:type="spellEnd"/>
      <w:r w:rsidR="00111E43" w:rsidRPr="00CE42C8">
        <w:rPr>
          <w:szCs w:val="22"/>
          <w:lang w:val="sk-SK"/>
        </w:rPr>
        <w:t xml:space="preserve"> a lieky proti nachladnutiu</w:t>
      </w:r>
      <w:r w:rsidRPr="00CE42C8">
        <w:rPr>
          <w:szCs w:val="22"/>
          <w:lang w:val="sk-SK"/>
        </w:rPr>
        <w:t>,</w:t>
      </w:r>
      <w:r w:rsidR="00111E43" w:rsidRPr="00CE42C8">
        <w:rPr>
          <w:szCs w:val="22"/>
          <w:lang w:val="sk-SK"/>
        </w:rPr>
        <w:t xml:space="preserve"> </w:t>
      </w:r>
      <w:proofErr w:type="spellStart"/>
      <w:r w:rsidR="00111E43" w:rsidRPr="00CE42C8">
        <w:rPr>
          <w:szCs w:val="22"/>
          <w:lang w:val="sk-SK"/>
        </w:rPr>
        <w:t>Antitusiká</w:t>
      </w:r>
      <w:proofErr w:type="spellEnd"/>
      <w:r w:rsidR="00111E43" w:rsidRPr="00CE42C8">
        <w:rPr>
          <w:szCs w:val="22"/>
          <w:lang w:val="sk-SK"/>
        </w:rPr>
        <w:t xml:space="preserve"> s výnimkou kombinácií s </w:t>
      </w:r>
      <w:proofErr w:type="spellStart"/>
      <w:r w:rsidR="00111E43" w:rsidRPr="00CE42C8">
        <w:rPr>
          <w:szCs w:val="22"/>
          <w:lang w:val="sk-SK"/>
        </w:rPr>
        <w:t>expektoranciami</w:t>
      </w:r>
      <w:proofErr w:type="spellEnd"/>
      <w:r w:rsidR="00111E43" w:rsidRPr="00CE42C8">
        <w:rPr>
          <w:szCs w:val="22"/>
          <w:lang w:val="sk-SK"/>
        </w:rPr>
        <w:t>, Ópiové alkaloidy a deriváty, ATC kód: R05DA09</w:t>
      </w:r>
      <w:r w:rsidR="00093496" w:rsidRPr="00A77B3E">
        <w:rPr>
          <w:szCs w:val="22"/>
          <w:lang w:val="sk-SK"/>
        </w:rPr>
        <w:t>.</w:t>
      </w:r>
    </w:p>
    <w:p w14:paraId="46B3A409" w14:textId="078E3882" w:rsidR="00DC16E3" w:rsidRPr="00570EF3" w:rsidRDefault="00F744EB" w:rsidP="00A37A56">
      <w:pPr>
        <w:pStyle w:val="Normlndobloku"/>
        <w:spacing w:after="0"/>
        <w:jc w:val="left"/>
        <w:rPr>
          <w:szCs w:val="22"/>
          <w:lang w:val="sk-SK"/>
        </w:rPr>
      </w:pPr>
      <w:r w:rsidRPr="008F20B2">
        <w:rPr>
          <w:szCs w:val="22"/>
          <w:lang w:val="sk-SK"/>
        </w:rPr>
        <w:t xml:space="preserve">Dextrometorfán je pravotočivý izomér 3-metoxy-N-metylmorfinanu. </w:t>
      </w:r>
      <w:r w:rsidR="00B448D5" w:rsidRPr="008F20B2">
        <w:rPr>
          <w:szCs w:val="22"/>
          <w:lang w:val="sk-SK"/>
        </w:rPr>
        <w:t xml:space="preserve">Ide </w:t>
      </w:r>
      <w:r w:rsidRPr="008F20B2">
        <w:rPr>
          <w:szCs w:val="22"/>
          <w:lang w:val="sk-SK"/>
        </w:rPr>
        <w:t xml:space="preserve">o syntetický derivát </w:t>
      </w:r>
      <w:proofErr w:type="spellStart"/>
      <w:r w:rsidRPr="008F20B2">
        <w:rPr>
          <w:szCs w:val="22"/>
          <w:lang w:val="sk-SK"/>
        </w:rPr>
        <w:t>morfínu</w:t>
      </w:r>
      <w:proofErr w:type="spellEnd"/>
      <w:r w:rsidRPr="008F20B2">
        <w:rPr>
          <w:szCs w:val="22"/>
          <w:lang w:val="sk-SK"/>
        </w:rPr>
        <w:t xml:space="preserve">, ktorý na </w:t>
      </w:r>
      <w:r w:rsidRPr="00570EF3">
        <w:rPr>
          <w:szCs w:val="22"/>
          <w:lang w:val="sk-SK"/>
        </w:rPr>
        <w:t>rozdiel od ľavotočivého izoméru, nemá významný analgetický účinok, tlmivý respiračný účinok alebo predpoklad ku vzniku závislosti pri odporúčaných dávkach.</w:t>
      </w:r>
    </w:p>
    <w:p w14:paraId="74A8C409" w14:textId="76BF97B5" w:rsidR="00F744EB" w:rsidRPr="00A37A56" w:rsidRDefault="00F744EB" w:rsidP="00A37A56">
      <w:pPr>
        <w:pStyle w:val="Normlndobloku"/>
        <w:spacing w:after="0"/>
        <w:jc w:val="left"/>
        <w:rPr>
          <w:szCs w:val="22"/>
          <w:lang w:val="sk-SK"/>
        </w:rPr>
      </w:pPr>
      <w:proofErr w:type="spellStart"/>
      <w:r w:rsidRPr="000D1DE1">
        <w:rPr>
          <w:szCs w:val="22"/>
          <w:lang w:val="sk-SK"/>
        </w:rPr>
        <w:t>Dextrometorfán</w:t>
      </w:r>
      <w:proofErr w:type="spellEnd"/>
      <w:r w:rsidRPr="000D1DE1">
        <w:rPr>
          <w:szCs w:val="22"/>
          <w:lang w:val="sk-SK"/>
        </w:rPr>
        <w:t xml:space="preserve"> je </w:t>
      </w:r>
      <w:proofErr w:type="spellStart"/>
      <w:r w:rsidRPr="000D1DE1">
        <w:rPr>
          <w:szCs w:val="22"/>
          <w:lang w:val="sk-SK"/>
        </w:rPr>
        <w:t>neopioidné</w:t>
      </w:r>
      <w:proofErr w:type="spellEnd"/>
      <w:r w:rsidRPr="000D1DE1">
        <w:rPr>
          <w:szCs w:val="22"/>
          <w:lang w:val="sk-SK"/>
        </w:rPr>
        <w:t xml:space="preserve"> </w:t>
      </w:r>
      <w:proofErr w:type="spellStart"/>
      <w:r w:rsidRPr="000D1DE1">
        <w:rPr>
          <w:szCs w:val="22"/>
          <w:lang w:val="sk-SK"/>
        </w:rPr>
        <w:t>antitusikum</w:t>
      </w:r>
      <w:proofErr w:type="spellEnd"/>
      <w:r w:rsidRPr="000D1DE1">
        <w:rPr>
          <w:szCs w:val="22"/>
          <w:lang w:val="sk-SK"/>
        </w:rPr>
        <w:t xml:space="preserve">. Pôsobí na centrum kašľa v predĺženej mieche, kde zvyšuje prah </w:t>
      </w:r>
      <w:r w:rsidR="00B448D5" w:rsidRPr="000D1DE1">
        <w:rPr>
          <w:szCs w:val="22"/>
          <w:lang w:val="sk-SK"/>
        </w:rPr>
        <w:t>citlivosti na vyvolanie</w:t>
      </w:r>
      <w:r w:rsidRPr="000D1DE1">
        <w:rPr>
          <w:szCs w:val="22"/>
          <w:lang w:val="sk-SK"/>
        </w:rPr>
        <w:t xml:space="preserve"> </w:t>
      </w:r>
      <w:r w:rsidR="00B448D5" w:rsidRPr="00A37A56">
        <w:rPr>
          <w:szCs w:val="22"/>
          <w:lang w:val="sk-SK"/>
        </w:rPr>
        <w:t xml:space="preserve">kašľového </w:t>
      </w:r>
      <w:r w:rsidRPr="00A37A56">
        <w:rPr>
          <w:szCs w:val="22"/>
          <w:lang w:val="sk-SK"/>
        </w:rPr>
        <w:t>reflex</w:t>
      </w:r>
      <w:r w:rsidR="00B448D5" w:rsidRPr="00A37A56">
        <w:rPr>
          <w:szCs w:val="22"/>
          <w:lang w:val="sk-SK"/>
        </w:rPr>
        <w:t>u.</w:t>
      </w:r>
      <w:r w:rsidRPr="00A37A56">
        <w:rPr>
          <w:szCs w:val="22"/>
          <w:lang w:val="sk-SK"/>
        </w:rPr>
        <w:t xml:space="preserve"> </w:t>
      </w:r>
      <w:r w:rsidR="00B448D5" w:rsidRPr="00A37A56">
        <w:rPr>
          <w:szCs w:val="22"/>
          <w:lang w:val="sk-SK"/>
        </w:rPr>
        <w:t>K</w:t>
      </w:r>
      <w:r w:rsidR="004A05D8" w:rsidRPr="00A37A56">
        <w:rPr>
          <w:szCs w:val="22"/>
          <w:lang w:val="sk-SK"/>
        </w:rPr>
        <w:t> </w:t>
      </w:r>
      <w:r w:rsidR="00B448D5" w:rsidRPr="00A37A56">
        <w:rPr>
          <w:szCs w:val="22"/>
          <w:lang w:val="sk-SK"/>
        </w:rPr>
        <w:t>n</w:t>
      </w:r>
      <w:r w:rsidRPr="00A37A56">
        <w:rPr>
          <w:szCs w:val="22"/>
          <w:lang w:val="sk-SK"/>
        </w:rPr>
        <w:t>ástup</w:t>
      </w:r>
      <w:r w:rsidR="00B448D5" w:rsidRPr="00A37A56">
        <w:rPr>
          <w:szCs w:val="22"/>
          <w:lang w:val="sk-SK"/>
        </w:rPr>
        <w:t>u</w:t>
      </w:r>
      <w:r w:rsidRPr="00A37A56">
        <w:rPr>
          <w:szCs w:val="22"/>
          <w:lang w:val="sk-SK"/>
        </w:rPr>
        <w:t xml:space="preserve"> </w:t>
      </w:r>
      <w:proofErr w:type="spellStart"/>
      <w:r w:rsidRPr="00A37A56">
        <w:rPr>
          <w:szCs w:val="22"/>
          <w:lang w:val="sk-SK"/>
        </w:rPr>
        <w:t>antitusických</w:t>
      </w:r>
      <w:proofErr w:type="spellEnd"/>
      <w:r w:rsidRPr="00A37A56">
        <w:rPr>
          <w:szCs w:val="22"/>
          <w:lang w:val="sk-SK"/>
        </w:rPr>
        <w:t xml:space="preserve"> účinkov </w:t>
      </w:r>
      <w:r w:rsidR="00B448D5" w:rsidRPr="00A37A56">
        <w:rPr>
          <w:szCs w:val="22"/>
          <w:lang w:val="sk-SK"/>
        </w:rPr>
        <w:t>do</w:t>
      </w:r>
      <w:r w:rsidR="00013459" w:rsidRPr="00A37A56">
        <w:rPr>
          <w:szCs w:val="22"/>
          <w:lang w:val="sk-SK"/>
        </w:rPr>
        <w:t xml:space="preserve">chádza </w:t>
      </w:r>
      <w:r w:rsidRPr="00A37A56">
        <w:rPr>
          <w:szCs w:val="22"/>
          <w:lang w:val="sk-SK"/>
        </w:rPr>
        <w:t>v priebehu 15 až 30 minút po perorálnom podaní a účinok trvá približne 3 až 6 hodín.</w:t>
      </w:r>
    </w:p>
    <w:p w14:paraId="09757426" w14:textId="153EA60C" w:rsidR="00DC16E3" w:rsidRDefault="00F744EB" w:rsidP="00A37A56">
      <w:pPr>
        <w:pStyle w:val="Normlndobloku"/>
        <w:spacing w:after="0"/>
        <w:jc w:val="left"/>
        <w:rPr>
          <w:szCs w:val="22"/>
          <w:lang w:val="sk-SK"/>
        </w:rPr>
      </w:pPr>
      <w:r w:rsidRPr="00A37A56">
        <w:rPr>
          <w:szCs w:val="22"/>
          <w:lang w:val="sk-SK"/>
        </w:rPr>
        <w:t xml:space="preserve">Hlavný </w:t>
      </w:r>
      <w:proofErr w:type="spellStart"/>
      <w:r w:rsidRPr="00A37A56">
        <w:rPr>
          <w:szCs w:val="22"/>
          <w:lang w:val="sk-SK"/>
        </w:rPr>
        <w:t>metabolit</w:t>
      </w:r>
      <w:proofErr w:type="spellEnd"/>
      <w:r w:rsidRPr="00A37A56">
        <w:rPr>
          <w:szCs w:val="22"/>
          <w:lang w:val="sk-SK"/>
        </w:rPr>
        <w:t xml:space="preserve"> </w:t>
      </w:r>
      <w:proofErr w:type="spellStart"/>
      <w:r w:rsidRPr="00A37A56">
        <w:rPr>
          <w:szCs w:val="22"/>
          <w:lang w:val="sk-SK"/>
        </w:rPr>
        <w:t>dextrometorfánu</w:t>
      </w:r>
      <w:proofErr w:type="spellEnd"/>
      <w:r w:rsidRPr="00A37A56">
        <w:rPr>
          <w:szCs w:val="22"/>
          <w:lang w:val="sk-SK"/>
        </w:rPr>
        <w:t xml:space="preserve">, </w:t>
      </w:r>
      <w:proofErr w:type="spellStart"/>
      <w:r w:rsidRPr="00A37A56">
        <w:rPr>
          <w:szCs w:val="22"/>
          <w:lang w:val="sk-SK"/>
        </w:rPr>
        <w:t>dextrorfán</w:t>
      </w:r>
      <w:proofErr w:type="spellEnd"/>
      <w:r w:rsidRPr="00A37A56">
        <w:rPr>
          <w:szCs w:val="22"/>
          <w:lang w:val="sk-SK"/>
        </w:rPr>
        <w:t xml:space="preserve">, sa viaže s vysokou afinitou na σ-receptory a vykazuje </w:t>
      </w:r>
      <w:proofErr w:type="spellStart"/>
      <w:r w:rsidRPr="00A37A56">
        <w:rPr>
          <w:szCs w:val="22"/>
          <w:lang w:val="sk-SK"/>
        </w:rPr>
        <w:t>antitusický</w:t>
      </w:r>
      <w:proofErr w:type="spellEnd"/>
      <w:r w:rsidRPr="00A37A56">
        <w:rPr>
          <w:szCs w:val="22"/>
          <w:lang w:val="sk-SK"/>
        </w:rPr>
        <w:t xml:space="preserve"> účinok bez klasických účinkov opiátov, ktoré sa vyskytujú </w:t>
      </w:r>
      <w:r w:rsidR="00B448D5" w:rsidRPr="00A37A56">
        <w:rPr>
          <w:szCs w:val="22"/>
          <w:lang w:val="sk-SK"/>
        </w:rPr>
        <w:t>pri</w:t>
      </w:r>
      <w:r w:rsidR="00742562" w:rsidRPr="00A37A56">
        <w:rPr>
          <w:szCs w:val="22"/>
          <w:lang w:val="sk-SK"/>
        </w:rPr>
        <w:t> väz</w:t>
      </w:r>
      <w:r w:rsidR="00B448D5" w:rsidRPr="00A37A56">
        <w:rPr>
          <w:szCs w:val="22"/>
          <w:lang w:val="sk-SK"/>
        </w:rPr>
        <w:t>bách</w:t>
      </w:r>
      <w:r w:rsidR="00742562" w:rsidRPr="00A37A56">
        <w:rPr>
          <w:szCs w:val="22"/>
          <w:lang w:val="sk-SK"/>
        </w:rPr>
        <w:t xml:space="preserve"> na μ- a δ-receptory. </w:t>
      </w:r>
      <w:proofErr w:type="spellStart"/>
      <w:r w:rsidR="00742562" w:rsidRPr="00A37A56">
        <w:rPr>
          <w:szCs w:val="22"/>
          <w:lang w:val="sk-SK"/>
        </w:rPr>
        <w:t>Dextrorfán</w:t>
      </w:r>
      <w:proofErr w:type="spellEnd"/>
      <w:r w:rsidR="00742562" w:rsidRPr="00A37A56">
        <w:rPr>
          <w:szCs w:val="22"/>
          <w:lang w:val="sk-SK"/>
        </w:rPr>
        <w:t xml:space="preserve"> </w:t>
      </w:r>
      <w:r w:rsidR="00B448D5" w:rsidRPr="00A37A56">
        <w:rPr>
          <w:szCs w:val="22"/>
          <w:lang w:val="sk-SK"/>
        </w:rPr>
        <w:t>sa tiež viaže</w:t>
      </w:r>
      <w:r w:rsidR="00742562" w:rsidRPr="00A37A56">
        <w:rPr>
          <w:szCs w:val="22"/>
          <w:lang w:val="sk-SK"/>
        </w:rPr>
        <w:t xml:space="preserve"> na </w:t>
      </w:r>
      <w:proofErr w:type="spellStart"/>
      <w:r w:rsidR="00742562" w:rsidRPr="00A37A56">
        <w:rPr>
          <w:szCs w:val="22"/>
          <w:lang w:val="sk-SK"/>
        </w:rPr>
        <w:t>s</w:t>
      </w:r>
      <w:r w:rsidR="00B448D5" w:rsidRPr="00A37A56">
        <w:rPr>
          <w:szCs w:val="22"/>
          <w:lang w:val="sk-SK"/>
        </w:rPr>
        <w:t>é</w:t>
      </w:r>
      <w:r w:rsidR="00742562" w:rsidRPr="00A37A56">
        <w:rPr>
          <w:szCs w:val="22"/>
          <w:lang w:val="sk-SK"/>
        </w:rPr>
        <w:t>rot</w:t>
      </w:r>
      <w:r w:rsidR="00B448D5" w:rsidRPr="00A37A56">
        <w:rPr>
          <w:szCs w:val="22"/>
          <w:lang w:val="sk-SK"/>
        </w:rPr>
        <w:t>onínové</w:t>
      </w:r>
      <w:proofErr w:type="spellEnd"/>
      <w:r w:rsidR="00742562" w:rsidRPr="00A37A56">
        <w:rPr>
          <w:szCs w:val="22"/>
          <w:lang w:val="sk-SK"/>
        </w:rPr>
        <w:t xml:space="preserve"> receptory a bolo preukázané, že zvyšuje aktivitu </w:t>
      </w:r>
      <w:proofErr w:type="spellStart"/>
      <w:r w:rsidR="00742562" w:rsidRPr="00A37A56">
        <w:rPr>
          <w:szCs w:val="22"/>
          <w:lang w:val="sk-SK"/>
        </w:rPr>
        <w:t>s</w:t>
      </w:r>
      <w:r w:rsidR="00B448D5" w:rsidRPr="00A37A56">
        <w:rPr>
          <w:szCs w:val="22"/>
          <w:lang w:val="sk-SK"/>
        </w:rPr>
        <w:t>é</w:t>
      </w:r>
      <w:r w:rsidR="00742562" w:rsidRPr="00A37A56">
        <w:rPr>
          <w:szCs w:val="22"/>
          <w:lang w:val="sk-SK"/>
        </w:rPr>
        <w:t>rotonínu</w:t>
      </w:r>
      <w:proofErr w:type="spellEnd"/>
      <w:r w:rsidR="00742562" w:rsidRPr="00A37A56">
        <w:rPr>
          <w:szCs w:val="22"/>
          <w:lang w:val="sk-SK"/>
        </w:rPr>
        <w:t xml:space="preserve"> inhibíciou spätného vychytávania </w:t>
      </w:r>
      <w:proofErr w:type="spellStart"/>
      <w:r w:rsidR="00742562" w:rsidRPr="00A37A56">
        <w:rPr>
          <w:szCs w:val="22"/>
          <w:lang w:val="sk-SK"/>
        </w:rPr>
        <w:t>s</w:t>
      </w:r>
      <w:r w:rsidR="00B448D5" w:rsidRPr="00A37A56">
        <w:rPr>
          <w:szCs w:val="22"/>
          <w:lang w:val="sk-SK"/>
        </w:rPr>
        <w:t>é</w:t>
      </w:r>
      <w:r w:rsidR="00742562" w:rsidRPr="00A37A56">
        <w:rPr>
          <w:szCs w:val="22"/>
          <w:lang w:val="sk-SK"/>
        </w:rPr>
        <w:t>rotonínu</w:t>
      </w:r>
      <w:proofErr w:type="spellEnd"/>
      <w:r w:rsidR="00742562" w:rsidRPr="00A37A56">
        <w:rPr>
          <w:szCs w:val="22"/>
          <w:lang w:val="sk-SK"/>
        </w:rPr>
        <w:t xml:space="preserve">. Vo vyšších ako terapeutických dávkach je </w:t>
      </w:r>
      <w:proofErr w:type="spellStart"/>
      <w:r w:rsidR="00742562" w:rsidRPr="00A37A56">
        <w:rPr>
          <w:szCs w:val="22"/>
          <w:lang w:val="sk-SK"/>
        </w:rPr>
        <w:t>dextrorfán</w:t>
      </w:r>
      <w:proofErr w:type="spellEnd"/>
      <w:r w:rsidR="00742562" w:rsidRPr="00A37A56">
        <w:rPr>
          <w:szCs w:val="22"/>
          <w:lang w:val="sk-SK"/>
        </w:rPr>
        <w:t xml:space="preserve"> tiež antagonistom N-</w:t>
      </w:r>
      <w:proofErr w:type="spellStart"/>
      <w:r w:rsidR="00742562" w:rsidRPr="00A37A56">
        <w:rPr>
          <w:szCs w:val="22"/>
          <w:lang w:val="sk-SK"/>
        </w:rPr>
        <w:t>metyl</w:t>
      </w:r>
      <w:proofErr w:type="spellEnd"/>
      <w:r w:rsidR="00742562" w:rsidRPr="00A37A56">
        <w:rPr>
          <w:szCs w:val="22"/>
          <w:lang w:val="sk-SK"/>
        </w:rPr>
        <w:t>-D-</w:t>
      </w:r>
      <w:proofErr w:type="spellStart"/>
      <w:r w:rsidR="00742562" w:rsidRPr="00A37A56">
        <w:rPr>
          <w:szCs w:val="22"/>
          <w:lang w:val="sk-SK"/>
        </w:rPr>
        <w:t>aspartátových</w:t>
      </w:r>
      <w:proofErr w:type="spellEnd"/>
      <w:r w:rsidR="00742562" w:rsidRPr="00A37A56">
        <w:rPr>
          <w:szCs w:val="22"/>
          <w:lang w:val="sk-SK"/>
        </w:rPr>
        <w:t xml:space="preserve"> receptorov (NMDA).</w:t>
      </w:r>
    </w:p>
    <w:p w14:paraId="6B2ED953" w14:textId="77777777" w:rsidR="00CE42C8" w:rsidRPr="00CE42C8" w:rsidRDefault="00CE42C8" w:rsidP="00A37A56">
      <w:pPr>
        <w:pStyle w:val="Normlndobloku"/>
        <w:spacing w:after="0"/>
        <w:jc w:val="left"/>
        <w:rPr>
          <w:szCs w:val="22"/>
          <w:lang w:val="sk-SK"/>
        </w:rPr>
      </w:pPr>
    </w:p>
    <w:p w14:paraId="79F5986A" w14:textId="77777777" w:rsidR="00A72EBA" w:rsidRPr="00CE42C8" w:rsidRDefault="00A72EBA" w:rsidP="00A37A56">
      <w:pPr>
        <w:pStyle w:val="Styl2"/>
        <w:numPr>
          <w:ilvl w:val="1"/>
          <w:numId w:val="10"/>
        </w:numPr>
        <w:spacing w:before="0" w:after="0"/>
        <w:ind w:left="680" w:hanging="680"/>
        <w:rPr>
          <w:szCs w:val="22"/>
          <w:lang w:val="sk-SK"/>
        </w:rPr>
      </w:pPr>
      <w:r w:rsidRPr="00CE42C8">
        <w:rPr>
          <w:szCs w:val="22"/>
          <w:lang w:val="sk-SK"/>
        </w:rPr>
        <w:lastRenderedPageBreak/>
        <w:t>Farmakokinetické vlastnosti</w:t>
      </w:r>
    </w:p>
    <w:p w14:paraId="7F5422F6" w14:textId="77777777" w:rsidR="00CE42C8" w:rsidRDefault="00CE42C8" w:rsidP="00A37A56">
      <w:pPr>
        <w:pStyle w:val="Styl3"/>
        <w:spacing w:after="0"/>
        <w:rPr>
          <w:szCs w:val="22"/>
        </w:rPr>
      </w:pPr>
    </w:p>
    <w:p w14:paraId="5DE506B4" w14:textId="77777777" w:rsidR="00A72EBA" w:rsidRPr="00CE42C8" w:rsidRDefault="00A72EBA" w:rsidP="00A37A56">
      <w:pPr>
        <w:pStyle w:val="Styl3"/>
        <w:spacing w:after="0"/>
        <w:rPr>
          <w:szCs w:val="22"/>
        </w:rPr>
      </w:pPr>
      <w:r w:rsidRPr="00CE42C8">
        <w:rPr>
          <w:szCs w:val="22"/>
        </w:rPr>
        <w:t>Absorpcia</w:t>
      </w:r>
    </w:p>
    <w:p w14:paraId="363F0C52" w14:textId="1B5443AB" w:rsidR="0043125D" w:rsidRPr="00A37A56" w:rsidRDefault="00742562" w:rsidP="00A37A56">
      <w:pPr>
        <w:pStyle w:val="Normlndobloku"/>
        <w:spacing w:after="0"/>
        <w:jc w:val="left"/>
        <w:rPr>
          <w:szCs w:val="22"/>
          <w:lang w:val="sk-SK"/>
        </w:rPr>
      </w:pPr>
      <w:r w:rsidRPr="00A77B3E">
        <w:rPr>
          <w:szCs w:val="22"/>
          <w:lang w:val="sk-SK"/>
        </w:rPr>
        <w:t xml:space="preserve">Dextrometorfán sa rýchlo absorbuje z gastrointestinálneho traktu s maximálnou plazmatickou koncentráciou dosiahnutou približne za 2 až 2,5 hodiny. Nízke plazmatické </w:t>
      </w:r>
      <w:r w:rsidR="00B448D5" w:rsidRPr="008F20B2">
        <w:rPr>
          <w:szCs w:val="22"/>
          <w:lang w:val="sk-SK"/>
        </w:rPr>
        <w:t xml:space="preserve">koncentrácie </w:t>
      </w:r>
      <w:r w:rsidRPr="008F20B2">
        <w:rPr>
          <w:szCs w:val="22"/>
          <w:lang w:val="sk-SK"/>
        </w:rPr>
        <w:t xml:space="preserve">dextrometorfánu naznačujú nízku perorálnu biologickú dostupnosť sekundárne </w:t>
      </w:r>
      <w:r w:rsidR="00B448D5" w:rsidRPr="00570EF3">
        <w:rPr>
          <w:szCs w:val="22"/>
          <w:lang w:val="sk-SK"/>
        </w:rPr>
        <w:t>spôsobenú</w:t>
      </w:r>
      <w:r w:rsidR="004A05D8" w:rsidRPr="00570EF3">
        <w:rPr>
          <w:szCs w:val="22"/>
          <w:lang w:val="sk-SK"/>
        </w:rPr>
        <w:t xml:space="preserve"> </w:t>
      </w:r>
      <w:r w:rsidR="00B448D5" w:rsidRPr="00570EF3">
        <w:rPr>
          <w:szCs w:val="22"/>
          <w:lang w:val="sk-SK"/>
        </w:rPr>
        <w:t>rozsiahlym</w:t>
      </w:r>
      <w:r w:rsidRPr="00570EF3">
        <w:rPr>
          <w:szCs w:val="22"/>
          <w:lang w:val="sk-SK"/>
        </w:rPr>
        <w:t xml:space="preserve"> </w:t>
      </w:r>
      <w:proofErr w:type="spellStart"/>
      <w:r w:rsidRPr="00570EF3">
        <w:rPr>
          <w:szCs w:val="22"/>
          <w:lang w:val="sk-SK"/>
        </w:rPr>
        <w:t>f</w:t>
      </w:r>
      <w:r w:rsidR="00B448D5" w:rsidRPr="00570EF3">
        <w:rPr>
          <w:szCs w:val="22"/>
          <w:lang w:val="sk-SK"/>
        </w:rPr>
        <w:t>i</w:t>
      </w:r>
      <w:r w:rsidRPr="00570EF3">
        <w:rPr>
          <w:szCs w:val="22"/>
          <w:lang w:val="sk-SK"/>
        </w:rPr>
        <w:t>rst-pass</w:t>
      </w:r>
      <w:proofErr w:type="spellEnd"/>
      <w:r w:rsidRPr="00570EF3">
        <w:rPr>
          <w:szCs w:val="22"/>
          <w:lang w:val="sk-SK"/>
        </w:rPr>
        <w:t xml:space="preserve"> efekt</w:t>
      </w:r>
      <w:r w:rsidR="00B448D5" w:rsidRPr="00570EF3">
        <w:rPr>
          <w:szCs w:val="22"/>
          <w:lang w:val="sk-SK"/>
        </w:rPr>
        <w:t>om</w:t>
      </w:r>
      <w:r w:rsidRPr="00570EF3">
        <w:rPr>
          <w:szCs w:val="22"/>
          <w:lang w:val="sk-SK"/>
        </w:rPr>
        <w:t xml:space="preserve"> (</w:t>
      </w:r>
      <w:proofErr w:type="spellStart"/>
      <w:r w:rsidRPr="00570EF3">
        <w:rPr>
          <w:szCs w:val="22"/>
          <w:lang w:val="sk-SK"/>
        </w:rPr>
        <w:t>presystémo</w:t>
      </w:r>
      <w:r w:rsidR="008332A3" w:rsidRPr="000D1DE1">
        <w:rPr>
          <w:szCs w:val="22"/>
          <w:lang w:val="sk-SK"/>
        </w:rPr>
        <w:t>vý</w:t>
      </w:r>
      <w:proofErr w:type="spellEnd"/>
      <w:r w:rsidRPr="000D1DE1">
        <w:rPr>
          <w:szCs w:val="22"/>
          <w:lang w:val="sk-SK"/>
        </w:rPr>
        <w:t xml:space="preserve"> metabolizmu</w:t>
      </w:r>
      <w:r w:rsidR="00B448D5" w:rsidRPr="000D1DE1">
        <w:rPr>
          <w:szCs w:val="22"/>
          <w:lang w:val="sk-SK"/>
        </w:rPr>
        <w:t>s</w:t>
      </w:r>
      <w:r w:rsidRPr="000D1DE1">
        <w:rPr>
          <w:szCs w:val="22"/>
          <w:lang w:val="sk-SK"/>
        </w:rPr>
        <w:t>) v pečeni. Maximálny klinický účinok sa dosiahne po 5 až 6 hodinách po podaní dextrometorfánu.</w:t>
      </w:r>
    </w:p>
    <w:p w14:paraId="59CE2117" w14:textId="77777777" w:rsidR="00CE42C8" w:rsidRDefault="00CE42C8" w:rsidP="00A37A56">
      <w:pPr>
        <w:pStyle w:val="Styl3"/>
        <w:spacing w:after="0"/>
        <w:rPr>
          <w:szCs w:val="22"/>
        </w:rPr>
      </w:pPr>
    </w:p>
    <w:p w14:paraId="2BC872F7" w14:textId="77777777" w:rsidR="0043125D" w:rsidRPr="00CE42C8" w:rsidRDefault="0043125D" w:rsidP="00A37A56">
      <w:pPr>
        <w:pStyle w:val="Styl3"/>
        <w:spacing w:after="0"/>
        <w:rPr>
          <w:szCs w:val="22"/>
        </w:rPr>
      </w:pPr>
      <w:r w:rsidRPr="00CE42C8">
        <w:rPr>
          <w:szCs w:val="22"/>
        </w:rPr>
        <w:t>Distribúcia</w:t>
      </w:r>
    </w:p>
    <w:p w14:paraId="43EF4B04" w14:textId="0AB4C367" w:rsidR="0043125D" w:rsidRPr="00A77B3E" w:rsidRDefault="00742562" w:rsidP="00A37A56">
      <w:pPr>
        <w:pStyle w:val="Normlndobloku"/>
        <w:spacing w:after="0"/>
        <w:jc w:val="left"/>
        <w:rPr>
          <w:szCs w:val="22"/>
          <w:lang w:val="sk-SK"/>
        </w:rPr>
      </w:pPr>
      <w:r w:rsidRPr="00A77B3E">
        <w:rPr>
          <w:szCs w:val="22"/>
          <w:lang w:val="sk-SK"/>
        </w:rPr>
        <w:t xml:space="preserve">Dextrometorfán sa </w:t>
      </w:r>
      <w:r w:rsidR="00013459" w:rsidRPr="00A77B3E">
        <w:rPr>
          <w:szCs w:val="22"/>
          <w:lang w:val="sk-SK"/>
        </w:rPr>
        <w:t>rozsiahl</w:t>
      </w:r>
      <w:r w:rsidR="00B448D5" w:rsidRPr="00A77B3E">
        <w:rPr>
          <w:szCs w:val="22"/>
          <w:lang w:val="sk-SK"/>
        </w:rPr>
        <w:t>o</w:t>
      </w:r>
      <w:r w:rsidR="00013459" w:rsidRPr="00A77B3E">
        <w:rPr>
          <w:szCs w:val="22"/>
          <w:lang w:val="sk-SK"/>
        </w:rPr>
        <w:t xml:space="preserve"> </w:t>
      </w:r>
      <w:r w:rsidRPr="00A77B3E">
        <w:rPr>
          <w:szCs w:val="22"/>
          <w:lang w:val="sk-SK"/>
        </w:rPr>
        <w:t>distribuuje v ľudskom tele.</w:t>
      </w:r>
    </w:p>
    <w:p w14:paraId="4E1DB7C3" w14:textId="79D35DCF" w:rsidR="00742562" w:rsidRPr="00570EF3" w:rsidRDefault="00742562" w:rsidP="00A37A56">
      <w:pPr>
        <w:pStyle w:val="Normlndobloku"/>
        <w:spacing w:after="0"/>
        <w:jc w:val="left"/>
        <w:rPr>
          <w:szCs w:val="22"/>
          <w:lang w:val="sk-SK"/>
        </w:rPr>
      </w:pPr>
      <w:r w:rsidRPr="00A77B3E">
        <w:rPr>
          <w:szCs w:val="22"/>
          <w:lang w:val="sk-SK"/>
        </w:rPr>
        <w:t xml:space="preserve">Dextrometorfán a jeho aktívny </w:t>
      </w:r>
      <w:proofErr w:type="spellStart"/>
      <w:r w:rsidRPr="00A77B3E">
        <w:rPr>
          <w:szCs w:val="22"/>
          <w:lang w:val="sk-SK"/>
        </w:rPr>
        <w:t>metabolit</w:t>
      </w:r>
      <w:proofErr w:type="spellEnd"/>
      <w:r w:rsidRPr="00A77B3E">
        <w:rPr>
          <w:szCs w:val="22"/>
          <w:lang w:val="sk-SK"/>
        </w:rPr>
        <w:t xml:space="preserve">, </w:t>
      </w:r>
      <w:proofErr w:type="spellStart"/>
      <w:r w:rsidRPr="00A77B3E">
        <w:rPr>
          <w:szCs w:val="22"/>
          <w:lang w:val="sk-SK"/>
        </w:rPr>
        <w:t>dextrorfán</w:t>
      </w:r>
      <w:proofErr w:type="spellEnd"/>
      <w:r w:rsidRPr="00A77B3E">
        <w:rPr>
          <w:szCs w:val="22"/>
          <w:lang w:val="sk-SK"/>
        </w:rPr>
        <w:t>, sú aktívne vychytávan</w:t>
      </w:r>
      <w:r w:rsidR="00B448D5" w:rsidRPr="008F20B2">
        <w:rPr>
          <w:szCs w:val="22"/>
          <w:lang w:val="sk-SK"/>
        </w:rPr>
        <w:t>é</w:t>
      </w:r>
      <w:r w:rsidRPr="008F20B2">
        <w:rPr>
          <w:szCs w:val="22"/>
          <w:lang w:val="sk-SK"/>
        </w:rPr>
        <w:t xml:space="preserve"> a koncentrovan</w:t>
      </w:r>
      <w:r w:rsidR="00B448D5" w:rsidRPr="008F20B2">
        <w:rPr>
          <w:szCs w:val="22"/>
          <w:lang w:val="sk-SK"/>
        </w:rPr>
        <w:t>é</w:t>
      </w:r>
      <w:r w:rsidRPr="008F20B2">
        <w:rPr>
          <w:szCs w:val="22"/>
          <w:lang w:val="sk-SK"/>
        </w:rPr>
        <w:t xml:space="preserve"> v mozgovom tkanive.</w:t>
      </w:r>
      <w:r w:rsidR="00F300EA" w:rsidRPr="00570EF3">
        <w:rPr>
          <w:szCs w:val="22"/>
          <w:lang w:val="sk-SK"/>
        </w:rPr>
        <w:t xml:space="preserve"> Nie je známe, či sa </w:t>
      </w:r>
      <w:proofErr w:type="spellStart"/>
      <w:r w:rsidR="00F300EA" w:rsidRPr="00570EF3">
        <w:rPr>
          <w:szCs w:val="22"/>
          <w:lang w:val="sk-SK"/>
        </w:rPr>
        <w:t>dextrometorfán</w:t>
      </w:r>
      <w:proofErr w:type="spellEnd"/>
      <w:r w:rsidR="00F300EA" w:rsidRPr="00570EF3">
        <w:rPr>
          <w:szCs w:val="22"/>
          <w:lang w:val="sk-SK"/>
        </w:rPr>
        <w:t xml:space="preserve"> alebo </w:t>
      </w:r>
      <w:proofErr w:type="spellStart"/>
      <w:r w:rsidR="00F300EA" w:rsidRPr="00570EF3">
        <w:rPr>
          <w:szCs w:val="22"/>
          <w:lang w:val="sk-SK"/>
        </w:rPr>
        <w:t>dextrorfán</w:t>
      </w:r>
      <w:proofErr w:type="spellEnd"/>
      <w:r w:rsidR="00F300EA" w:rsidRPr="00570EF3">
        <w:rPr>
          <w:szCs w:val="22"/>
          <w:lang w:val="sk-SK"/>
        </w:rPr>
        <w:t xml:space="preserve"> vylučujú do materského mlieka alebo či prechádzajú placentou.</w:t>
      </w:r>
    </w:p>
    <w:p w14:paraId="53D85495" w14:textId="77777777" w:rsidR="00CE42C8" w:rsidRDefault="00CE42C8" w:rsidP="00A37A56">
      <w:pPr>
        <w:pStyle w:val="Styl3"/>
        <w:spacing w:after="0"/>
        <w:rPr>
          <w:szCs w:val="22"/>
        </w:rPr>
      </w:pPr>
    </w:p>
    <w:p w14:paraId="651F8F7A" w14:textId="77777777" w:rsidR="0043125D" w:rsidRPr="00CE42C8" w:rsidRDefault="0043125D" w:rsidP="00A37A56">
      <w:pPr>
        <w:pStyle w:val="Styl3"/>
        <w:spacing w:after="0"/>
        <w:rPr>
          <w:szCs w:val="22"/>
        </w:rPr>
      </w:pPr>
      <w:proofErr w:type="spellStart"/>
      <w:r w:rsidRPr="00CE42C8">
        <w:rPr>
          <w:szCs w:val="22"/>
        </w:rPr>
        <w:t>Biotransformácia</w:t>
      </w:r>
      <w:proofErr w:type="spellEnd"/>
    </w:p>
    <w:p w14:paraId="06D01AC8" w14:textId="4AC86A02" w:rsidR="0043125D" w:rsidRPr="00570EF3" w:rsidRDefault="00F300EA" w:rsidP="00A37A56">
      <w:pPr>
        <w:pStyle w:val="Normlndobloku"/>
        <w:spacing w:after="0"/>
        <w:jc w:val="left"/>
        <w:rPr>
          <w:szCs w:val="22"/>
          <w:lang w:val="sk-SK"/>
        </w:rPr>
      </w:pPr>
      <w:r w:rsidRPr="00A77B3E">
        <w:rPr>
          <w:szCs w:val="22"/>
          <w:lang w:val="sk-SK"/>
        </w:rPr>
        <w:t xml:space="preserve">Po perorálnom podaní </w:t>
      </w:r>
      <w:proofErr w:type="spellStart"/>
      <w:r w:rsidRPr="00A77B3E">
        <w:rPr>
          <w:szCs w:val="22"/>
          <w:lang w:val="sk-SK"/>
        </w:rPr>
        <w:t>dextrometorfán</w:t>
      </w:r>
      <w:proofErr w:type="spellEnd"/>
      <w:r w:rsidR="00B448D5" w:rsidRPr="00A77B3E">
        <w:rPr>
          <w:szCs w:val="22"/>
          <w:lang w:val="sk-SK"/>
        </w:rPr>
        <w:t xml:space="preserve"> podlieha</w:t>
      </w:r>
      <w:r w:rsidRPr="00A77B3E">
        <w:rPr>
          <w:szCs w:val="22"/>
          <w:lang w:val="sk-SK"/>
        </w:rPr>
        <w:t xml:space="preserve"> </w:t>
      </w:r>
      <w:r w:rsidR="00B448D5" w:rsidRPr="00A77B3E">
        <w:rPr>
          <w:szCs w:val="22"/>
          <w:lang w:val="sk-SK"/>
        </w:rPr>
        <w:t xml:space="preserve">rýchlemu </w:t>
      </w:r>
      <w:r w:rsidRPr="00A77B3E">
        <w:rPr>
          <w:szCs w:val="22"/>
          <w:lang w:val="sk-SK"/>
        </w:rPr>
        <w:t>a rozsiahl</w:t>
      </w:r>
      <w:r w:rsidR="00B448D5" w:rsidRPr="00A77B3E">
        <w:rPr>
          <w:szCs w:val="22"/>
          <w:lang w:val="sk-SK"/>
        </w:rPr>
        <w:t>emu</w:t>
      </w:r>
      <w:r w:rsidRPr="00A77B3E">
        <w:rPr>
          <w:szCs w:val="22"/>
          <w:lang w:val="sk-SK"/>
        </w:rPr>
        <w:t xml:space="preserve"> metabolizmu </w:t>
      </w:r>
      <w:r w:rsidR="00B448D5" w:rsidRPr="00A77B3E">
        <w:rPr>
          <w:szCs w:val="22"/>
          <w:lang w:val="sk-SK"/>
        </w:rPr>
        <w:t>po prvom prechode</w:t>
      </w:r>
      <w:r w:rsidR="004A05D8" w:rsidRPr="00A77B3E">
        <w:rPr>
          <w:szCs w:val="22"/>
          <w:lang w:val="sk-SK"/>
        </w:rPr>
        <w:t xml:space="preserve"> </w:t>
      </w:r>
      <w:r w:rsidRPr="00A77B3E">
        <w:rPr>
          <w:szCs w:val="22"/>
          <w:lang w:val="sk-SK"/>
        </w:rPr>
        <w:t>peče</w:t>
      </w:r>
      <w:r w:rsidR="00B448D5" w:rsidRPr="008F20B2">
        <w:rPr>
          <w:szCs w:val="22"/>
          <w:lang w:val="sk-SK"/>
        </w:rPr>
        <w:t>ňou</w:t>
      </w:r>
      <w:r w:rsidRPr="008F20B2">
        <w:rPr>
          <w:szCs w:val="22"/>
          <w:lang w:val="sk-SK"/>
        </w:rPr>
        <w:t xml:space="preserve">. Hlavným určujúcim faktorom </w:t>
      </w:r>
      <w:proofErr w:type="spellStart"/>
      <w:r w:rsidRPr="008F20B2">
        <w:rPr>
          <w:szCs w:val="22"/>
          <w:lang w:val="sk-SK"/>
        </w:rPr>
        <w:t>farmakokinetiky</w:t>
      </w:r>
      <w:proofErr w:type="spellEnd"/>
      <w:r w:rsidRPr="008F20B2">
        <w:rPr>
          <w:szCs w:val="22"/>
          <w:lang w:val="sk-SK"/>
        </w:rPr>
        <w:t xml:space="preserve"> </w:t>
      </w:r>
      <w:proofErr w:type="spellStart"/>
      <w:r w:rsidRPr="008F20B2">
        <w:rPr>
          <w:szCs w:val="22"/>
          <w:lang w:val="sk-SK"/>
        </w:rPr>
        <w:t>dextrometorfánu</w:t>
      </w:r>
      <w:proofErr w:type="spellEnd"/>
      <w:r w:rsidRPr="008F20B2">
        <w:rPr>
          <w:szCs w:val="22"/>
          <w:lang w:val="sk-SK"/>
        </w:rPr>
        <w:t xml:space="preserve"> u ľudských dobrovoľníkov je geneticky riadená O-</w:t>
      </w:r>
      <w:proofErr w:type="spellStart"/>
      <w:r w:rsidRPr="008F20B2">
        <w:rPr>
          <w:szCs w:val="22"/>
          <w:lang w:val="sk-SK"/>
        </w:rPr>
        <w:t>demetylácia</w:t>
      </w:r>
      <w:proofErr w:type="spellEnd"/>
      <w:r w:rsidRPr="008F20B2">
        <w:rPr>
          <w:szCs w:val="22"/>
          <w:lang w:val="sk-SK"/>
        </w:rPr>
        <w:t xml:space="preserve"> (CYD2D6).</w:t>
      </w:r>
    </w:p>
    <w:p w14:paraId="78A02DDD" w14:textId="77777777" w:rsidR="00F300EA" w:rsidRPr="00A37A56" w:rsidRDefault="00F300EA" w:rsidP="00A37A56">
      <w:pPr>
        <w:pStyle w:val="Normlndobloku"/>
        <w:spacing w:after="0"/>
        <w:jc w:val="left"/>
        <w:rPr>
          <w:szCs w:val="22"/>
          <w:lang w:val="sk-SK"/>
        </w:rPr>
      </w:pPr>
      <w:r w:rsidRPr="00570EF3">
        <w:rPr>
          <w:szCs w:val="22"/>
          <w:lang w:val="sk-SK"/>
        </w:rPr>
        <w:t>Zdá sa, že existujú odlišné fenotypy tohto oxidačného procesu, ktoré majú u rôznych osôb za následok veľmi variabilnú farmakokinetiku. Nemetabo</w:t>
      </w:r>
      <w:r w:rsidRPr="000D1DE1">
        <w:rPr>
          <w:szCs w:val="22"/>
          <w:lang w:val="sk-SK"/>
        </w:rPr>
        <w:t xml:space="preserve">lizovaný </w:t>
      </w:r>
      <w:proofErr w:type="spellStart"/>
      <w:r w:rsidRPr="000D1DE1">
        <w:rPr>
          <w:szCs w:val="22"/>
          <w:lang w:val="sk-SK"/>
        </w:rPr>
        <w:t>dextrometorfán</w:t>
      </w:r>
      <w:proofErr w:type="spellEnd"/>
      <w:r w:rsidRPr="000D1DE1">
        <w:rPr>
          <w:szCs w:val="22"/>
          <w:lang w:val="sk-SK"/>
        </w:rPr>
        <w:t xml:space="preserve"> a tri </w:t>
      </w:r>
      <w:proofErr w:type="spellStart"/>
      <w:r w:rsidRPr="000D1DE1">
        <w:rPr>
          <w:szCs w:val="22"/>
          <w:lang w:val="sk-SK"/>
        </w:rPr>
        <w:t>demetylované</w:t>
      </w:r>
      <w:proofErr w:type="spellEnd"/>
      <w:r w:rsidRPr="000D1DE1">
        <w:rPr>
          <w:szCs w:val="22"/>
          <w:lang w:val="sk-SK"/>
        </w:rPr>
        <w:t xml:space="preserve"> </w:t>
      </w:r>
      <w:proofErr w:type="spellStart"/>
      <w:r w:rsidRPr="000D1DE1">
        <w:rPr>
          <w:szCs w:val="22"/>
          <w:lang w:val="sk-SK"/>
        </w:rPr>
        <w:t>morfinanové</w:t>
      </w:r>
      <w:proofErr w:type="spellEnd"/>
      <w:r w:rsidRPr="000D1DE1">
        <w:rPr>
          <w:szCs w:val="22"/>
          <w:lang w:val="sk-SK"/>
        </w:rPr>
        <w:t xml:space="preserve"> </w:t>
      </w:r>
      <w:proofErr w:type="spellStart"/>
      <w:r w:rsidR="007A681B" w:rsidRPr="000D1DE1">
        <w:rPr>
          <w:szCs w:val="22"/>
          <w:lang w:val="sk-SK"/>
        </w:rPr>
        <w:t>metabolity</w:t>
      </w:r>
      <w:proofErr w:type="spellEnd"/>
      <w:r w:rsidR="007A681B" w:rsidRPr="000D1DE1">
        <w:rPr>
          <w:szCs w:val="22"/>
          <w:lang w:val="sk-SK"/>
        </w:rPr>
        <w:t xml:space="preserve"> </w:t>
      </w:r>
      <w:proofErr w:type="spellStart"/>
      <w:r w:rsidR="007A681B" w:rsidRPr="000D1DE1">
        <w:rPr>
          <w:szCs w:val="22"/>
          <w:lang w:val="sk-SK"/>
        </w:rPr>
        <w:t>dextrorfán</w:t>
      </w:r>
      <w:proofErr w:type="spellEnd"/>
      <w:r w:rsidR="007A681B" w:rsidRPr="000D1DE1">
        <w:rPr>
          <w:szCs w:val="22"/>
          <w:lang w:val="sk-SK"/>
        </w:rPr>
        <w:t xml:space="preserve"> (tiež známy ako 3-hydroxy-N-metylmorfinan), 3-hydroxymorfinan a 3-metoxymorfinan boli identifikované ako </w:t>
      </w:r>
      <w:proofErr w:type="spellStart"/>
      <w:r w:rsidR="007A681B" w:rsidRPr="000D1DE1">
        <w:rPr>
          <w:szCs w:val="22"/>
          <w:lang w:val="sk-SK"/>
        </w:rPr>
        <w:t>konjugáty</w:t>
      </w:r>
      <w:proofErr w:type="spellEnd"/>
      <w:r w:rsidR="007A681B" w:rsidRPr="000D1DE1">
        <w:rPr>
          <w:szCs w:val="22"/>
          <w:lang w:val="sk-SK"/>
        </w:rPr>
        <w:t xml:space="preserve"> v moči.</w:t>
      </w:r>
    </w:p>
    <w:p w14:paraId="340C74DE" w14:textId="55D56042" w:rsidR="007A681B" w:rsidRPr="00A37A56" w:rsidRDefault="007A681B" w:rsidP="00A37A56">
      <w:pPr>
        <w:pStyle w:val="Normlndobloku"/>
        <w:spacing w:after="0"/>
        <w:jc w:val="left"/>
        <w:rPr>
          <w:szCs w:val="22"/>
          <w:lang w:val="sk-SK"/>
        </w:rPr>
      </w:pPr>
      <w:r w:rsidRPr="00A37A56">
        <w:rPr>
          <w:szCs w:val="22"/>
          <w:lang w:val="sk-SK"/>
        </w:rPr>
        <w:t xml:space="preserve">Hlavný </w:t>
      </w:r>
      <w:proofErr w:type="spellStart"/>
      <w:r w:rsidRPr="00A37A56">
        <w:rPr>
          <w:szCs w:val="22"/>
          <w:lang w:val="sk-SK"/>
        </w:rPr>
        <w:t>metabolit</w:t>
      </w:r>
      <w:proofErr w:type="spellEnd"/>
      <w:r w:rsidRPr="00A37A56">
        <w:rPr>
          <w:szCs w:val="22"/>
          <w:lang w:val="sk-SK"/>
        </w:rPr>
        <w:t xml:space="preserve"> je </w:t>
      </w:r>
      <w:proofErr w:type="spellStart"/>
      <w:r w:rsidRPr="00A37A56">
        <w:rPr>
          <w:szCs w:val="22"/>
          <w:lang w:val="sk-SK"/>
        </w:rPr>
        <w:t>dextrorfán</w:t>
      </w:r>
      <w:proofErr w:type="spellEnd"/>
      <w:r w:rsidRPr="00A37A56">
        <w:rPr>
          <w:szCs w:val="22"/>
          <w:lang w:val="sk-SK"/>
        </w:rPr>
        <w:t>, ktorý t</w:t>
      </w:r>
      <w:r w:rsidR="003941A3" w:rsidRPr="00A37A56">
        <w:rPr>
          <w:szCs w:val="22"/>
          <w:lang w:val="sk-SK"/>
        </w:rPr>
        <w:t>akisto</w:t>
      </w:r>
      <w:r w:rsidRPr="00A37A56">
        <w:rPr>
          <w:szCs w:val="22"/>
          <w:lang w:val="sk-SK"/>
        </w:rPr>
        <w:t xml:space="preserve"> pôsobí ako </w:t>
      </w:r>
      <w:proofErr w:type="spellStart"/>
      <w:r w:rsidRPr="00A37A56">
        <w:rPr>
          <w:szCs w:val="22"/>
          <w:lang w:val="sk-SK"/>
        </w:rPr>
        <w:t>antitusikum</w:t>
      </w:r>
      <w:proofErr w:type="spellEnd"/>
      <w:r w:rsidRPr="00A37A56">
        <w:rPr>
          <w:szCs w:val="22"/>
          <w:lang w:val="sk-SK"/>
        </w:rPr>
        <w:t xml:space="preserve">. </w:t>
      </w:r>
      <w:r w:rsidR="003941A3" w:rsidRPr="00A37A56">
        <w:rPr>
          <w:szCs w:val="22"/>
          <w:lang w:val="sk-SK"/>
        </w:rPr>
        <w:t>U</w:t>
      </w:r>
      <w:r w:rsidR="004A05D8" w:rsidRPr="00A37A56">
        <w:rPr>
          <w:szCs w:val="22"/>
          <w:lang w:val="sk-SK"/>
        </w:rPr>
        <w:t> </w:t>
      </w:r>
      <w:r w:rsidR="003941A3" w:rsidRPr="00A37A56">
        <w:rPr>
          <w:szCs w:val="22"/>
          <w:lang w:val="sk-SK"/>
        </w:rPr>
        <w:t>niektorých jedincov prebieha</w:t>
      </w:r>
      <w:r w:rsidRPr="00A37A56">
        <w:rPr>
          <w:szCs w:val="22"/>
          <w:lang w:val="sk-SK"/>
        </w:rPr>
        <w:t xml:space="preserve"> metaboli</w:t>
      </w:r>
      <w:r w:rsidR="003941A3" w:rsidRPr="00A37A56">
        <w:rPr>
          <w:szCs w:val="22"/>
          <w:lang w:val="sk-SK"/>
        </w:rPr>
        <w:t>zmus</w:t>
      </w:r>
      <w:r w:rsidRPr="00A37A56">
        <w:rPr>
          <w:szCs w:val="22"/>
          <w:lang w:val="sk-SK"/>
        </w:rPr>
        <w:t xml:space="preserve"> pomalšie a v krvi a moči prevláda nezmenený dextrometorfán.</w:t>
      </w:r>
    </w:p>
    <w:p w14:paraId="2D31C12E" w14:textId="77777777" w:rsidR="00CE42C8" w:rsidRDefault="00CE42C8" w:rsidP="00A37A56">
      <w:pPr>
        <w:pStyle w:val="Styl3"/>
        <w:spacing w:after="0"/>
        <w:rPr>
          <w:szCs w:val="22"/>
        </w:rPr>
      </w:pPr>
    </w:p>
    <w:p w14:paraId="5CEC2C9B" w14:textId="77777777" w:rsidR="0043125D" w:rsidRPr="00CE42C8" w:rsidRDefault="0043125D" w:rsidP="00A37A56">
      <w:pPr>
        <w:pStyle w:val="Styl3"/>
        <w:spacing w:after="0"/>
        <w:rPr>
          <w:szCs w:val="22"/>
        </w:rPr>
      </w:pPr>
      <w:r w:rsidRPr="00CE42C8">
        <w:rPr>
          <w:szCs w:val="22"/>
        </w:rPr>
        <w:t>Eliminácia</w:t>
      </w:r>
    </w:p>
    <w:p w14:paraId="6B782CD8" w14:textId="65781DC4" w:rsidR="0043125D" w:rsidRPr="000D1DE1" w:rsidRDefault="007A681B" w:rsidP="00A37A56">
      <w:pPr>
        <w:pStyle w:val="Normlndobloku"/>
        <w:spacing w:after="0"/>
        <w:jc w:val="left"/>
        <w:rPr>
          <w:szCs w:val="22"/>
          <w:lang w:val="sk-SK"/>
        </w:rPr>
      </w:pPr>
      <w:r w:rsidRPr="00A77B3E">
        <w:rPr>
          <w:szCs w:val="22"/>
          <w:lang w:val="sk-SK"/>
        </w:rPr>
        <w:t>Dextrometorfán sa primárne vylučuje obličkami ako nezmenené liečivo a </w:t>
      </w:r>
      <w:r w:rsidR="003941A3" w:rsidRPr="00A77B3E">
        <w:rPr>
          <w:szCs w:val="22"/>
          <w:lang w:val="sk-SK"/>
        </w:rPr>
        <w:t xml:space="preserve">vo forme </w:t>
      </w:r>
      <w:r w:rsidRPr="00A77B3E">
        <w:rPr>
          <w:szCs w:val="22"/>
          <w:lang w:val="sk-SK"/>
        </w:rPr>
        <w:t>aktívn</w:t>
      </w:r>
      <w:r w:rsidR="003941A3" w:rsidRPr="00A77B3E">
        <w:rPr>
          <w:szCs w:val="22"/>
          <w:lang w:val="sk-SK"/>
        </w:rPr>
        <w:t>eho</w:t>
      </w:r>
      <w:r w:rsidRPr="00A77B3E">
        <w:rPr>
          <w:szCs w:val="22"/>
          <w:lang w:val="sk-SK"/>
        </w:rPr>
        <w:t xml:space="preserve"> </w:t>
      </w:r>
      <w:proofErr w:type="spellStart"/>
      <w:r w:rsidRPr="00A77B3E">
        <w:rPr>
          <w:szCs w:val="22"/>
          <w:lang w:val="sk-SK"/>
        </w:rPr>
        <w:t>metabolit</w:t>
      </w:r>
      <w:r w:rsidR="003941A3" w:rsidRPr="00A77B3E">
        <w:rPr>
          <w:szCs w:val="22"/>
          <w:lang w:val="sk-SK"/>
        </w:rPr>
        <w:t>u</w:t>
      </w:r>
      <w:proofErr w:type="spellEnd"/>
      <w:r w:rsidRPr="00A77B3E">
        <w:rPr>
          <w:szCs w:val="22"/>
          <w:lang w:val="sk-SK"/>
        </w:rPr>
        <w:t xml:space="preserve">, </w:t>
      </w:r>
      <w:proofErr w:type="spellStart"/>
      <w:r w:rsidRPr="00A77B3E">
        <w:rPr>
          <w:szCs w:val="22"/>
          <w:lang w:val="sk-SK"/>
        </w:rPr>
        <w:t>dextrorfán</w:t>
      </w:r>
      <w:r w:rsidR="003941A3" w:rsidRPr="00A77B3E">
        <w:rPr>
          <w:szCs w:val="22"/>
          <w:lang w:val="sk-SK"/>
        </w:rPr>
        <w:t>u</w:t>
      </w:r>
      <w:proofErr w:type="spellEnd"/>
      <w:r w:rsidRPr="008F20B2">
        <w:rPr>
          <w:szCs w:val="22"/>
          <w:lang w:val="sk-SK"/>
        </w:rPr>
        <w:t xml:space="preserve">. </w:t>
      </w:r>
      <w:proofErr w:type="spellStart"/>
      <w:r w:rsidRPr="008F20B2">
        <w:rPr>
          <w:szCs w:val="22"/>
          <w:lang w:val="sk-SK"/>
        </w:rPr>
        <w:t>Dextrorfán</w:t>
      </w:r>
      <w:proofErr w:type="spellEnd"/>
      <w:r w:rsidRPr="008F20B2">
        <w:rPr>
          <w:szCs w:val="22"/>
          <w:lang w:val="sk-SK"/>
        </w:rPr>
        <w:t xml:space="preserve"> a 3-hydroxymorfinan sú ďalej metabolizovan</w:t>
      </w:r>
      <w:r w:rsidR="003941A3" w:rsidRPr="008F20B2">
        <w:rPr>
          <w:szCs w:val="22"/>
          <w:lang w:val="sk-SK"/>
        </w:rPr>
        <w:t>é</w:t>
      </w:r>
      <w:r w:rsidRPr="008F20B2">
        <w:rPr>
          <w:szCs w:val="22"/>
          <w:lang w:val="sk-SK"/>
        </w:rPr>
        <w:t xml:space="preserve"> </w:t>
      </w:r>
      <w:proofErr w:type="spellStart"/>
      <w:r w:rsidRPr="008F20B2">
        <w:rPr>
          <w:szCs w:val="22"/>
          <w:lang w:val="sk-SK"/>
        </w:rPr>
        <w:t>glukuronidáciou</w:t>
      </w:r>
      <w:proofErr w:type="spellEnd"/>
      <w:r w:rsidRPr="008F20B2">
        <w:rPr>
          <w:szCs w:val="22"/>
          <w:lang w:val="sk-SK"/>
        </w:rPr>
        <w:t xml:space="preserve"> a sú vylučovan</w:t>
      </w:r>
      <w:r w:rsidR="003941A3" w:rsidRPr="00570EF3">
        <w:rPr>
          <w:szCs w:val="22"/>
          <w:lang w:val="sk-SK"/>
        </w:rPr>
        <w:t>é</w:t>
      </w:r>
      <w:r w:rsidRPr="00570EF3">
        <w:rPr>
          <w:szCs w:val="22"/>
          <w:lang w:val="sk-SK"/>
        </w:rPr>
        <w:t xml:space="preserve"> obličkami.</w:t>
      </w:r>
    </w:p>
    <w:p w14:paraId="7C5D41F1" w14:textId="16FEDF2A" w:rsidR="007A681B" w:rsidRDefault="007A681B" w:rsidP="00A37A56">
      <w:pPr>
        <w:pStyle w:val="Normlndobloku"/>
        <w:spacing w:after="0"/>
        <w:jc w:val="left"/>
        <w:rPr>
          <w:szCs w:val="22"/>
          <w:lang w:val="sk-SK"/>
        </w:rPr>
      </w:pPr>
      <w:r w:rsidRPr="000D1DE1">
        <w:rPr>
          <w:szCs w:val="22"/>
          <w:lang w:val="sk-SK"/>
        </w:rPr>
        <w:t xml:space="preserve">Eliminačný polčas </w:t>
      </w:r>
      <w:r w:rsidR="003941A3" w:rsidRPr="000D1DE1">
        <w:rPr>
          <w:szCs w:val="22"/>
          <w:lang w:val="sk-SK"/>
        </w:rPr>
        <w:t>materského liečiva</w:t>
      </w:r>
      <w:r w:rsidRPr="00A37A56">
        <w:rPr>
          <w:szCs w:val="22"/>
          <w:lang w:val="sk-SK"/>
        </w:rPr>
        <w:t xml:space="preserve"> je v roz</w:t>
      </w:r>
      <w:r w:rsidR="003941A3" w:rsidRPr="00A37A56">
        <w:rPr>
          <w:szCs w:val="22"/>
          <w:lang w:val="sk-SK"/>
        </w:rPr>
        <w:t>medzí</w:t>
      </w:r>
      <w:r w:rsidRPr="00A37A56">
        <w:rPr>
          <w:szCs w:val="22"/>
          <w:lang w:val="sk-SK"/>
        </w:rPr>
        <w:t xml:space="preserve"> 1,4 až 3,9 hod</w:t>
      </w:r>
      <w:r w:rsidR="003941A3" w:rsidRPr="00A37A56">
        <w:rPr>
          <w:szCs w:val="22"/>
          <w:lang w:val="sk-SK"/>
        </w:rPr>
        <w:t>ín</w:t>
      </w:r>
      <w:r w:rsidRPr="00A37A56">
        <w:rPr>
          <w:szCs w:val="22"/>
          <w:lang w:val="sk-SK"/>
        </w:rPr>
        <w:t xml:space="preserve">, </w:t>
      </w:r>
      <w:r w:rsidR="003941A3" w:rsidRPr="00A37A56">
        <w:rPr>
          <w:szCs w:val="22"/>
          <w:lang w:val="sk-SK"/>
        </w:rPr>
        <w:t>pri</w:t>
      </w:r>
      <w:r w:rsidRPr="00A37A56">
        <w:rPr>
          <w:szCs w:val="22"/>
          <w:lang w:val="sk-SK"/>
        </w:rPr>
        <w:t> </w:t>
      </w:r>
      <w:proofErr w:type="spellStart"/>
      <w:r w:rsidRPr="00A37A56">
        <w:rPr>
          <w:szCs w:val="22"/>
          <w:lang w:val="sk-SK"/>
        </w:rPr>
        <w:t>dextrorfán</w:t>
      </w:r>
      <w:r w:rsidR="008332A3" w:rsidRPr="00A37A56">
        <w:rPr>
          <w:szCs w:val="22"/>
          <w:lang w:val="sk-SK"/>
        </w:rPr>
        <w:t>e</w:t>
      </w:r>
      <w:proofErr w:type="spellEnd"/>
      <w:r w:rsidRPr="00A37A56">
        <w:rPr>
          <w:szCs w:val="22"/>
          <w:lang w:val="sk-SK"/>
        </w:rPr>
        <w:t xml:space="preserve"> sa pohybuje medzi 3,4 až 5,6 hodin</w:t>
      </w:r>
      <w:r w:rsidR="003941A3" w:rsidRPr="00A37A56">
        <w:rPr>
          <w:szCs w:val="22"/>
          <w:lang w:val="sk-SK"/>
        </w:rPr>
        <w:t>ami</w:t>
      </w:r>
      <w:r w:rsidRPr="00A37A56">
        <w:rPr>
          <w:szCs w:val="22"/>
          <w:lang w:val="sk-SK"/>
        </w:rPr>
        <w:t>.</w:t>
      </w:r>
      <w:r w:rsidR="003941A3" w:rsidRPr="00A37A56">
        <w:rPr>
          <w:szCs w:val="22"/>
          <w:lang w:val="sk-SK"/>
        </w:rPr>
        <w:t xml:space="preserve"> Eliminačný</w:t>
      </w:r>
      <w:r w:rsidRPr="00A37A56">
        <w:rPr>
          <w:szCs w:val="22"/>
          <w:lang w:val="sk-SK"/>
        </w:rPr>
        <w:t xml:space="preserve"> </w:t>
      </w:r>
      <w:r w:rsidR="003941A3" w:rsidRPr="00A37A56">
        <w:rPr>
          <w:szCs w:val="22"/>
          <w:lang w:val="sk-SK"/>
        </w:rPr>
        <w:t>p</w:t>
      </w:r>
      <w:r w:rsidRPr="00A37A56">
        <w:rPr>
          <w:szCs w:val="22"/>
          <w:lang w:val="sk-SK"/>
        </w:rPr>
        <w:t xml:space="preserve">olčas </w:t>
      </w:r>
      <w:proofErr w:type="spellStart"/>
      <w:r w:rsidRPr="00A37A56">
        <w:rPr>
          <w:szCs w:val="22"/>
          <w:lang w:val="sk-SK"/>
        </w:rPr>
        <w:t>dextrometorfánu</w:t>
      </w:r>
      <w:proofErr w:type="spellEnd"/>
      <w:r w:rsidRPr="00A37A56">
        <w:rPr>
          <w:szCs w:val="22"/>
          <w:lang w:val="sk-SK"/>
        </w:rPr>
        <w:t xml:space="preserve"> u pomalých </w:t>
      </w:r>
      <w:proofErr w:type="spellStart"/>
      <w:r w:rsidRPr="00A37A56">
        <w:rPr>
          <w:szCs w:val="22"/>
          <w:lang w:val="sk-SK"/>
        </w:rPr>
        <w:t>metaboliz</w:t>
      </w:r>
      <w:r w:rsidR="00AD4BE7" w:rsidRPr="00A37A56">
        <w:rPr>
          <w:szCs w:val="22"/>
          <w:lang w:val="sk-SK"/>
        </w:rPr>
        <w:t>átorov</w:t>
      </w:r>
      <w:proofErr w:type="spellEnd"/>
      <w:r w:rsidRPr="00A37A56">
        <w:rPr>
          <w:szCs w:val="22"/>
          <w:lang w:val="sk-SK"/>
        </w:rPr>
        <w:t xml:space="preserve"> je extrémne predĺžený, až 45 hodín.</w:t>
      </w:r>
    </w:p>
    <w:p w14:paraId="141B5866" w14:textId="77777777" w:rsidR="00CE42C8" w:rsidRPr="00CE42C8" w:rsidRDefault="00CE42C8" w:rsidP="00A37A56">
      <w:pPr>
        <w:pStyle w:val="Normlndobloku"/>
        <w:spacing w:after="0"/>
        <w:jc w:val="left"/>
        <w:rPr>
          <w:szCs w:val="22"/>
          <w:lang w:val="sk-SK"/>
        </w:rPr>
      </w:pPr>
    </w:p>
    <w:p w14:paraId="20B7B4E9" w14:textId="77777777" w:rsidR="0043125D" w:rsidRPr="00CE42C8" w:rsidRDefault="00A72EBA" w:rsidP="00A37A56">
      <w:pPr>
        <w:pStyle w:val="Styl2"/>
        <w:numPr>
          <w:ilvl w:val="1"/>
          <w:numId w:val="10"/>
        </w:numPr>
        <w:spacing w:before="0" w:after="0"/>
        <w:ind w:left="680" w:hanging="680"/>
        <w:rPr>
          <w:szCs w:val="22"/>
          <w:lang w:val="sk-SK"/>
        </w:rPr>
      </w:pPr>
      <w:r w:rsidRPr="00CE42C8">
        <w:rPr>
          <w:szCs w:val="22"/>
          <w:lang w:val="sk-SK"/>
        </w:rPr>
        <w:t>Predklinické údaje o bezpečnosti</w:t>
      </w:r>
    </w:p>
    <w:p w14:paraId="781B0E9A" w14:textId="77777777" w:rsidR="00CE42C8" w:rsidRDefault="00CE42C8" w:rsidP="00A37A56">
      <w:pPr>
        <w:pStyle w:val="Styl3"/>
        <w:spacing w:after="0"/>
        <w:rPr>
          <w:szCs w:val="22"/>
        </w:rPr>
      </w:pPr>
    </w:p>
    <w:p w14:paraId="42A419F3" w14:textId="77777777" w:rsidR="0043125D" w:rsidRPr="00CE42C8" w:rsidRDefault="007A681B" w:rsidP="00A37A56">
      <w:pPr>
        <w:pStyle w:val="Styl3"/>
        <w:spacing w:after="0"/>
        <w:rPr>
          <w:szCs w:val="22"/>
        </w:rPr>
      </w:pPr>
      <w:r w:rsidRPr="00CE42C8">
        <w:rPr>
          <w:szCs w:val="22"/>
        </w:rPr>
        <w:t xml:space="preserve">Všeobecná </w:t>
      </w:r>
      <w:proofErr w:type="spellStart"/>
      <w:r w:rsidRPr="00CE42C8">
        <w:rPr>
          <w:szCs w:val="22"/>
        </w:rPr>
        <w:t>toxikológia</w:t>
      </w:r>
      <w:proofErr w:type="spellEnd"/>
    </w:p>
    <w:p w14:paraId="2C8447CF" w14:textId="197677DC" w:rsidR="007A681B" w:rsidRPr="00570EF3" w:rsidRDefault="007A681B" w:rsidP="00A37A56">
      <w:pPr>
        <w:pStyle w:val="Normlndobloku"/>
        <w:spacing w:after="0"/>
        <w:jc w:val="left"/>
        <w:rPr>
          <w:szCs w:val="22"/>
          <w:lang w:val="sk-SK"/>
        </w:rPr>
      </w:pPr>
      <w:r w:rsidRPr="00A77B3E">
        <w:rPr>
          <w:szCs w:val="22"/>
          <w:lang w:val="sk-SK"/>
        </w:rPr>
        <w:t>Štúdie akútne</w:t>
      </w:r>
      <w:r w:rsidR="00F55A63" w:rsidRPr="00A77B3E">
        <w:rPr>
          <w:szCs w:val="22"/>
          <w:lang w:val="sk-SK"/>
        </w:rPr>
        <w:t>j</w:t>
      </w:r>
      <w:r w:rsidRPr="00A77B3E">
        <w:rPr>
          <w:szCs w:val="22"/>
          <w:lang w:val="sk-SK"/>
        </w:rPr>
        <w:t xml:space="preserve"> </w:t>
      </w:r>
      <w:r w:rsidR="0068359E" w:rsidRPr="00A77B3E">
        <w:rPr>
          <w:szCs w:val="22"/>
          <w:lang w:val="sk-SK"/>
        </w:rPr>
        <w:t xml:space="preserve">toxicity </w:t>
      </w:r>
      <w:r w:rsidR="003941A3" w:rsidRPr="00A77B3E">
        <w:rPr>
          <w:szCs w:val="22"/>
          <w:lang w:val="sk-SK"/>
        </w:rPr>
        <w:t xml:space="preserve">po perorálnom podaní </w:t>
      </w:r>
      <w:r w:rsidR="0068359E" w:rsidRPr="00A77B3E">
        <w:rPr>
          <w:szCs w:val="22"/>
          <w:lang w:val="sk-SK"/>
        </w:rPr>
        <w:t>vykonávané</w:t>
      </w:r>
      <w:r w:rsidRPr="00A77B3E">
        <w:rPr>
          <w:szCs w:val="22"/>
          <w:lang w:val="sk-SK"/>
        </w:rPr>
        <w:t xml:space="preserve"> s dextrometorfánom uvádzajú nasledovné hodnoty LD50 (mg/kg): myši 210 a potkany 116. Akútna toxicita</w:t>
      </w:r>
      <w:r w:rsidR="003941A3" w:rsidRPr="008F20B2">
        <w:rPr>
          <w:szCs w:val="22"/>
          <w:lang w:val="sk-SK"/>
        </w:rPr>
        <w:t xml:space="preserve"> po </w:t>
      </w:r>
      <w:proofErr w:type="spellStart"/>
      <w:r w:rsidR="003941A3" w:rsidRPr="008F20B2">
        <w:rPr>
          <w:szCs w:val="22"/>
          <w:lang w:val="sk-SK"/>
        </w:rPr>
        <w:t>subkutánnom</w:t>
      </w:r>
      <w:proofErr w:type="spellEnd"/>
      <w:r w:rsidR="003941A3" w:rsidRPr="008F20B2">
        <w:rPr>
          <w:szCs w:val="22"/>
          <w:lang w:val="sk-SK"/>
        </w:rPr>
        <w:t xml:space="preserve"> podaní</w:t>
      </w:r>
      <w:r w:rsidRPr="008F20B2">
        <w:rPr>
          <w:szCs w:val="22"/>
          <w:lang w:val="sk-SK"/>
        </w:rPr>
        <w:t xml:space="preserve"> </w:t>
      </w:r>
      <w:proofErr w:type="spellStart"/>
      <w:r w:rsidRPr="008F20B2">
        <w:rPr>
          <w:szCs w:val="22"/>
          <w:lang w:val="sk-SK"/>
        </w:rPr>
        <w:t>dextrometorfán</w:t>
      </w:r>
      <w:r w:rsidR="003941A3" w:rsidRPr="008F20B2">
        <w:rPr>
          <w:szCs w:val="22"/>
          <w:lang w:val="sk-SK"/>
        </w:rPr>
        <w:t>u</w:t>
      </w:r>
      <w:proofErr w:type="spellEnd"/>
      <w:r w:rsidRPr="00570EF3">
        <w:rPr>
          <w:szCs w:val="22"/>
          <w:lang w:val="sk-SK"/>
        </w:rPr>
        <w:t xml:space="preserve"> uvádza hodnotu LD50 (mg/kg): myši 112.</w:t>
      </w:r>
    </w:p>
    <w:p w14:paraId="69C3A371" w14:textId="337C010D" w:rsidR="007A681B" w:rsidRPr="00A37A56" w:rsidRDefault="007A681B" w:rsidP="00A37A56">
      <w:pPr>
        <w:pStyle w:val="Normlndobloku"/>
        <w:spacing w:after="0"/>
        <w:jc w:val="left"/>
        <w:rPr>
          <w:szCs w:val="22"/>
          <w:lang w:val="sk-SK"/>
        </w:rPr>
      </w:pPr>
      <w:r w:rsidRPr="000D1DE1">
        <w:rPr>
          <w:szCs w:val="22"/>
          <w:lang w:val="sk-SK"/>
        </w:rPr>
        <w:t>Akútna toxicita po intravenóznom podaní dextrometorfá</w:t>
      </w:r>
      <w:r w:rsidR="003941A3" w:rsidRPr="000D1DE1">
        <w:rPr>
          <w:szCs w:val="22"/>
          <w:lang w:val="sk-SK"/>
        </w:rPr>
        <w:t>nu</w:t>
      </w:r>
      <w:r w:rsidRPr="000D1DE1">
        <w:rPr>
          <w:szCs w:val="22"/>
          <w:lang w:val="sk-SK"/>
        </w:rPr>
        <w:t xml:space="preserve"> uvádza </w:t>
      </w:r>
      <w:r w:rsidR="0068359E" w:rsidRPr="000D1DE1">
        <w:rPr>
          <w:szCs w:val="22"/>
          <w:lang w:val="sk-SK"/>
        </w:rPr>
        <w:t>hod</w:t>
      </w:r>
      <w:r w:rsidRPr="000D1DE1">
        <w:rPr>
          <w:szCs w:val="22"/>
          <w:lang w:val="sk-SK"/>
        </w:rPr>
        <w:t>notu LD50 (</w:t>
      </w:r>
      <w:r w:rsidRPr="00A37A56">
        <w:rPr>
          <w:szCs w:val="22"/>
          <w:lang w:val="sk-SK"/>
        </w:rPr>
        <w:t>mg/kg): potkany 16,3.</w:t>
      </w:r>
    </w:p>
    <w:p w14:paraId="11621EB0" w14:textId="0597A679" w:rsidR="007A681B" w:rsidRPr="00A37A56" w:rsidRDefault="0068359E" w:rsidP="00A37A56">
      <w:pPr>
        <w:pStyle w:val="Normlndobloku"/>
        <w:spacing w:after="0"/>
        <w:jc w:val="left"/>
        <w:rPr>
          <w:szCs w:val="22"/>
          <w:lang w:val="sk-SK"/>
        </w:rPr>
      </w:pPr>
      <w:r w:rsidRPr="00A37A56">
        <w:rPr>
          <w:szCs w:val="22"/>
          <w:lang w:val="sk-SK"/>
        </w:rPr>
        <w:t>Štúdie toxicity boli vykon</w:t>
      </w:r>
      <w:r w:rsidR="00F55A63" w:rsidRPr="00A37A56">
        <w:rPr>
          <w:szCs w:val="22"/>
          <w:lang w:val="sk-SK"/>
        </w:rPr>
        <w:t>a</w:t>
      </w:r>
      <w:r w:rsidRPr="00A37A56">
        <w:rPr>
          <w:szCs w:val="22"/>
          <w:lang w:val="sk-SK"/>
        </w:rPr>
        <w:t>né po opakovaných dávkach na potkanoch počas 13 týždňov s dávkami až 100 mg/kg a</w:t>
      </w:r>
      <w:r w:rsidR="003941A3" w:rsidRPr="00A37A56">
        <w:rPr>
          <w:szCs w:val="22"/>
          <w:lang w:val="sk-SK"/>
        </w:rPr>
        <w:t xml:space="preserve"> počas </w:t>
      </w:r>
      <w:r w:rsidRPr="00A37A56">
        <w:rPr>
          <w:szCs w:val="22"/>
          <w:lang w:val="sk-SK"/>
        </w:rPr>
        <w:t xml:space="preserve">27 týždňov pri 10 mg/kg, a 14 týždňov na psoch </w:t>
      </w:r>
      <w:r w:rsidR="003941A3" w:rsidRPr="00A37A56">
        <w:rPr>
          <w:szCs w:val="22"/>
          <w:lang w:val="sk-SK"/>
        </w:rPr>
        <w:t>s</w:t>
      </w:r>
      <w:r w:rsidR="004A05D8" w:rsidRPr="00A37A56">
        <w:rPr>
          <w:szCs w:val="22"/>
          <w:lang w:val="sk-SK"/>
        </w:rPr>
        <w:t> </w:t>
      </w:r>
      <w:r w:rsidRPr="00A37A56">
        <w:rPr>
          <w:szCs w:val="22"/>
          <w:lang w:val="sk-SK"/>
        </w:rPr>
        <w:t>peroráln</w:t>
      </w:r>
      <w:r w:rsidR="003941A3" w:rsidRPr="00A37A56">
        <w:rPr>
          <w:szCs w:val="22"/>
          <w:lang w:val="sk-SK"/>
        </w:rPr>
        <w:t>ou</w:t>
      </w:r>
      <w:r w:rsidRPr="00A37A56">
        <w:rPr>
          <w:szCs w:val="22"/>
          <w:lang w:val="sk-SK"/>
        </w:rPr>
        <w:t xml:space="preserve"> sondou s dávkami až 4 mg/</w:t>
      </w:r>
      <w:r w:rsidR="00AD23C8" w:rsidRPr="00A37A56">
        <w:rPr>
          <w:szCs w:val="22"/>
          <w:lang w:val="sk-SK"/>
        </w:rPr>
        <w:t xml:space="preserve">kg </w:t>
      </w:r>
      <w:r w:rsidRPr="00A37A56">
        <w:rPr>
          <w:szCs w:val="22"/>
          <w:lang w:val="sk-SK"/>
        </w:rPr>
        <w:t>5 dní v</w:t>
      </w:r>
      <w:r w:rsidR="00AD23C8" w:rsidRPr="00A37A56">
        <w:rPr>
          <w:szCs w:val="22"/>
          <w:lang w:val="sk-SK"/>
        </w:rPr>
        <w:t> </w:t>
      </w:r>
      <w:r w:rsidRPr="00A37A56">
        <w:rPr>
          <w:szCs w:val="22"/>
          <w:lang w:val="sk-SK"/>
        </w:rPr>
        <w:t>týždni. Jediný zaznamenaný účinok</w:t>
      </w:r>
      <w:r w:rsidR="008332A3" w:rsidRPr="00A37A56">
        <w:rPr>
          <w:szCs w:val="22"/>
          <w:lang w:val="sk-SK"/>
        </w:rPr>
        <w:t xml:space="preserve"> počas 13-týždennej štúdii pri najvyššej dávke</w:t>
      </w:r>
      <w:r w:rsidRPr="00A37A56">
        <w:rPr>
          <w:szCs w:val="22"/>
          <w:lang w:val="sk-SK"/>
        </w:rPr>
        <w:t xml:space="preserve"> bolo zníženie nárastu telesnej hmotnosti potkanov</w:t>
      </w:r>
      <w:r w:rsidR="008332A3" w:rsidRPr="00A37A56">
        <w:rPr>
          <w:szCs w:val="22"/>
          <w:lang w:val="sk-SK"/>
        </w:rPr>
        <w:t>.</w:t>
      </w:r>
    </w:p>
    <w:p w14:paraId="410C2A13" w14:textId="77777777" w:rsidR="00CE42C8" w:rsidRDefault="00CE42C8" w:rsidP="00A37A56">
      <w:pPr>
        <w:pStyle w:val="Styl3"/>
        <w:spacing w:after="0"/>
        <w:rPr>
          <w:szCs w:val="22"/>
        </w:rPr>
      </w:pPr>
    </w:p>
    <w:p w14:paraId="7C400A58" w14:textId="77777777" w:rsidR="0068359E" w:rsidRPr="00CE42C8" w:rsidRDefault="0068359E" w:rsidP="00A37A56">
      <w:pPr>
        <w:pStyle w:val="Styl3"/>
        <w:spacing w:after="0"/>
        <w:rPr>
          <w:szCs w:val="22"/>
        </w:rPr>
      </w:pPr>
      <w:r w:rsidRPr="00CE42C8">
        <w:rPr>
          <w:szCs w:val="22"/>
        </w:rPr>
        <w:t xml:space="preserve">Genetická </w:t>
      </w:r>
      <w:proofErr w:type="spellStart"/>
      <w:r w:rsidRPr="00CE42C8">
        <w:rPr>
          <w:szCs w:val="22"/>
        </w:rPr>
        <w:t>toxikológia</w:t>
      </w:r>
      <w:proofErr w:type="spellEnd"/>
    </w:p>
    <w:p w14:paraId="3FD9CBF4" w14:textId="75DA97D2" w:rsidR="0068359E" w:rsidRPr="00E64498" w:rsidRDefault="0068359E" w:rsidP="00A37A56">
      <w:pPr>
        <w:pStyle w:val="Normlndobloku"/>
        <w:spacing w:after="0"/>
        <w:jc w:val="left"/>
        <w:rPr>
          <w:szCs w:val="22"/>
          <w:lang w:val="sk-SK"/>
        </w:rPr>
      </w:pPr>
      <w:proofErr w:type="spellStart"/>
      <w:r w:rsidRPr="00A77B3E">
        <w:rPr>
          <w:szCs w:val="22"/>
          <w:lang w:val="sk-SK"/>
        </w:rPr>
        <w:t>Dextrometrofán</w:t>
      </w:r>
      <w:r w:rsidR="003941A3" w:rsidRPr="00A77B3E">
        <w:rPr>
          <w:szCs w:val="22"/>
          <w:lang w:val="sk-SK"/>
        </w:rPr>
        <w:t>ium</w:t>
      </w:r>
      <w:r w:rsidRPr="00A77B3E">
        <w:rPr>
          <w:szCs w:val="22"/>
          <w:lang w:val="sk-SK"/>
        </w:rPr>
        <w:t>bromid</w:t>
      </w:r>
      <w:proofErr w:type="spellEnd"/>
      <w:r w:rsidRPr="00A77B3E">
        <w:rPr>
          <w:szCs w:val="22"/>
          <w:lang w:val="sk-SK"/>
        </w:rPr>
        <w:t xml:space="preserve"> bol negatívny v teste bakteriálnej reverznej mutácie (</w:t>
      </w:r>
      <w:proofErr w:type="spellStart"/>
      <w:r w:rsidRPr="00A77B3E">
        <w:rPr>
          <w:szCs w:val="22"/>
          <w:lang w:val="sk-SK"/>
        </w:rPr>
        <w:t>Amesov</w:t>
      </w:r>
      <w:proofErr w:type="spellEnd"/>
      <w:r w:rsidRPr="00A77B3E">
        <w:rPr>
          <w:szCs w:val="22"/>
          <w:lang w:val="sk-SK"/>
        </w:rPr>
        <w:t xml:space="preserve"> test). </w:t>
      </w:r>
      <w:r w:rsidR="00D718FB" w:rsidRPr="00A77B3E">
        <w:rPr>
          <w:szCs w:val="22"/>
          <w:lang w:val="sk-SK"/>
        </w:rPr>
        <w:t xml:space="preserve">Dávka </w:t>
      </w:r>
      <w:r w:rsidRPr="00A77B3E">
        <w:rPr>
          <w:szCs w:val="22"/>
          <w:lang w:val="sk-SK"/>
        </w:rPr>
        <w:t xml:space="preserve">39 mg/kg dextrometorfánu </w:t>
      </w:r>
      <w:r w:rsidR="00D718FB" w:rsidRPr="008F20B2">
        <w:rPr>
          <w:szCs w:val="22"/>
          <w:lang w:val="sk-SK"/>
        </w:rPr>
        <w:t>bola</w:t>
      </w:r>
      <w:r w:rsidRPr="008F20B2">
        <w:rPr>
          <w:szCs w:val="22"/>
          <w:lang w:val="sk-SK"/>
        </w:rPr>
        <w:t xml:space="preserve"> negatívn</w:t>
      </w:r>
      <w:r w:rsidR="00D718FB" w:rsidRPr="008F20B2">
        <w:rPr>
          <w:szCs w:val="22"/>
          <w:lang w:val="sk-SK"/>
        </w:rPr>
        <w:t>a</w:t>
      </w:r>
      <w:r w:rsidRPr="008F20B2">
        <w:rPr>
          <w:szCs w:val="22"/>
          <w:lang w:val="sk-SK"/>
        </w:rPr>
        <w:t xml:space="preserve"> v </w:t>
      </w:r>
      <w:r w:rsidRPr="00570EF3">
        <w:rPr>
          <w:i/>
          <w:szCs w:val="22"/>
          <w:lang w:val="sk-SK"/>
        </w:rPr>
        <w:t xml:space="preserve">in </w:t>
      </w:r>
      <w:proofErr w:type="spellStart"/>
      <w:r w:rsidRPr="00570EF3">
        <w:rPr>
          <w:i/>
          <w:szCs w:val="22"/>
          <w:lang w:val="sk-SK"/>
        </w:rPr>
        <w:t>vivo</w:t>
      </w:r>
      <w:proofErr w:type="spellEnd"/>
      <w:r w:rsidRPr="00570EF3">
        <w:rPr>
          <w:szCs w:val="22"/>
          <w:lang w:val="sk-SK"/>
        </w:rPr>
        <w:t xml:space="preserve"> </w:t>
      </w:r>
      <w:proofErr w:type="spellStart"/>
      <w:r w:rsidRPr="00570EF3">
        <w:rPr>
          <w:szCs w:val="22"/>
          <w:lang w:val="sk-SK"/>
        </w:rPr>
        <w:t>mikronukleolárnom</w:t>
      </w:r>
      <w:proofErr w:type="spellEnd"/>
      <w:r w:rsidRPr="00570EF3">
        <w:rPr>
          <w:szCs w:val="22"/>
          <w:lang w:val="sk-SK"/>
        </w:rPr>
        <w:t xml:space="preserve"> teste a </w:t>
      </w:r>
      <w:proofErr w:type="spellStart"/>
      <w:r w:rsidRPr="00570EF3">
        <w:rPr>
          <w:szCs w:val="22"/>
          <w:lang w:val="sk-SK"/>
        </w:rPr>
        <w:t>kometovom</w:t>
      </w:r>
      <w:proofErr w:type="spellEnd"/>
      <w:r w:rsidRPr="00570EF3">
        <w:rPr>
          <w:szCs w:val="22"/>
          <w:lang w:val="sk-SK"/>
        </w:rPr>
        <w:t xml:space="preserve"> teste (</w:t>
      </w:r>
      <w:proofErr w:type="spellStart"/>
      <w:r w:rsidRPr="00570EF3">
        <w:rPr>
          <w:szCs w:val="22"/>
          <w:lang w:val="sk-SK"/>
        </w:rPr>
        <w:t>comet</w:t>
      </w:r>
      <w:proofErr w:type="spellEnd"/>
      <w:r w:rsidRPr="00570EF3">
        <w:rPr>
          <w:szCs w:val="22"/>
          <w:lang w:val="sk-SK"/>
        </w:rPr>
        <w:t xml:space="preserve"> </w:t>
      </w:r>
      <w:proofErr w:type="spellStart"/>
      <w:r w:rsidRPr="00570EF3">
        <w:rPr>
          <w:szCs w:val="22"/>
          <w:lang w:val="sk-SK"/>
        </w:rPr>
        <w:t>assay</w:t>
      </w:r>
      <w:proofErr w:type="spellEnd"/>
      <w:r w:rsidRPr="00570EF3">
        <w:rPr>
          <w:szCs w:val="22"/>
          <w:lang w:val="sk-SK"/>
        </w:rPr>
        <w:t xml:space="preserve">) </w:t>
      </w:r>
      <w:r w:rsidR="00D718FB" w:rsidRPr="000D1DE1">
        <w:rPr>
          <w:szCs w:val="22"/>
          <w:lang w:val="sk-SK"/>
        </w:rPr>
        <w:t>na</w:t>
      </w:r>
      <w:r w:rsidR="004A05D8" w:rsidRPr="000D1DE1">
        <w:rPr>
          <w:szCs w:val="22"/>
          <w:lang w:val="sk-SK"/>
        </w:rPr>
        <w:t xml:space="preserve"> </w:t>
      </w:r>
      <w:r w:rsidRPr="000D1DE1">
        <w:rPr>
          <w:szCs w:val="22"/>
          <w:lang w:val="sk-SK"/>
        </w:rPr>
        <w:t>myš</w:t>
      </w:r>
      <w:r w:rsidR="00D718FB" w:rsidRPr="000D1DE1">
        <w:rPr>
          <w:szCs w:val="22"/>
          <w:lang w:val="sk-SK"/>
        </w:rPr>
        <w:t>iach</w:t>
      </w:r>
      <w:r w:rsidRPr="000D1DE1">
        <w:rPr>
          <w:szCs w:val="22"/>
          <w:lang w:val="sk-SK"/>
        </w:rPr>
        <w:t xml:space="preserve">. </w:t>
      </w:r>
      <w:r w:rsidR="00D718FB" w:rsidRPr="00A37A56">
        <w:rPr>
          <w:szCs w:val="22"/>
          <w:lang w:val="sk-SK"/>
        </w:rPr>
        <w:t>Pri dávkach do 200 </w:t>
      </w:r>
      <w:r w:rsidR="00D718FB" w:rsidRPr="00E64498">
        <w:rPr>
          <w:szCs w:val="22"/>
          <w:lang w:val="sk-SK"/>
        </w:rPr>
        <w:t>µg/ml</w:t>
      </w:r>
      <w:r w:rsidR="00D718FB" w:rsidRPr="000D1DE1">
        <w:rPr>
          <w:szCs w:val="22"/>
          <w:lang w:val="sk-SK"/>
        </w:rPr>
        <w:t xml:space="preserve"> bol </w:t>
      </w:r>
      <w:proofErr w:type="spellStart"/>
      <w:r w:rsidR="00D718FB" w:rsidRPr="000D1DE1">
        <w:rPr>
          <w:szCs w:val="22"/>
          <w:lang w:val="sk-SK"/>
        </w:rPr>
        <w:t>d</w:t>
      </w:r>
      <w:r w:rsidRPr="000D1DE1">
        <w:rPr>
          <w:szCs w:val="22"/>
          <w:lang w:val="sk-SK"/>
        </w:rPr>
        <w:t>extrometrofán</w:t>
      </w:r>
      <w:proofErr w:type="spellEnd"/>
      <w:r w:rsidRPr="000D1DE1">
        <w:rPr>
          <w:szCs w:val="22"/>
          <w:lang w:val="sk-SK"/>
        </w:rPr>
        <w:t xml:space="preserve"> negatívny v </w:t>
      </w:r>
      <w:r w:rsidRPr="000D1DE1">
        <w:rPr>
          <w:i/>
          <w:szCs w:val="22"/>
          <w:lang w:val="sk-SK"/>
        </w:rPr>
        <w:t xml:space="preserve">in </w:t>
      </w:r>
      <w:proofErr w:type="spellStart"/>
      <w:r w:rsidRPr="000D1DE1">
        <w:rPr>
          <w:i/>
          <w:szCs w:val="22"/>
          <w:lang w:val="sk-SK"/>
        </w:rPr>
        <w:t>vivo</w:t>
      </w:r>
      <w:proofErr w:type="spellEnd"/>
      <w:r w:rsidRPr="000D1DE1">
        <w:rPr>
          <w:szCs w:val="22"/>
          <w:lang w:val="sk-SK"/>
        </w:rPr>
        <w:t xml:space="preserve"> teste </w:t>
      </w:r>
      <w:proofErr w:type="spellStart"/>
      <w:r w:rsidRPr="000D1DE1">
        <w:rPr>
          <w:szCs w:val="22"/>
          <w:lang w:val="sk-SK"/>
        </w:rPr>
        <w:t>chromozomálnej</w:t>
      </w:r>
      <w:proofErr w:type="spellEnd"/>
      <w:r w:rsidRPr="000D1DE1">
        <w:rPr>
          <w:szCs w:val="22"/>
          <w:lang w:val="sk-SK"/>
        </w:rPr>
        <w:t xml:space="preserve"> aberáci</w:t>
      </w:r>
      <w:r w:rsidR="00D718FB" w:rsidRPr="00A37A56">
        <w:rPr>
          <w:szCs w:val="22"/>
          <w:lang w:val="sk-SK"/>
        </w:rPr>
        <w:t>e.</w:t>
      </w:r>
    </w:p>
    <w:p w14:paraId="0AB6E5C2" w14:textId="77777777" w:rsidR="00CE42C8" w:rsidRDefault="00CE42C8" w:rsidP="00A37A56">
      <w:pPr>
        <w:pStyle w:val="Styl3"/>
        <w:spacing w:after="0"/>
        <w:rPr>
          <w:szCs w:val="22"/>
        </w:rPr>
      </w:pPr>
    </w:p>
    <w:p w14:paraId="21721E64" w14:textId="77777777" w:rsidR="0068359E" w:rsidRPr="00CE42C8" w:rsidRDefault="0068359E" w:rsidP="00A37A56">
      <w:pPr>
        <w:pStyle w:val="Styl3"/>
        <w:spacing w:after="0"/>
        <w:rPr>
          <w:szCs w:val="22"/>
        </w:rPr>
      </w:pPr>
      <w:r w:rsidRPr="00CE42C8">
        <w:rPr>
          <w:szCs w:val="22"/>
        </w:rPr>
        <w:t>Karcinogenita</w:t>
      </w:r>
    </w:p>
    <w:p w14:paraId="3204B87F" w14:textId="23641215" w:rsidR="0068359E" w:rsidRPr="00570EF3" w:rsidRDefault="0068359E" w:rsidP="00A37A56">
      <w:pPr>
        <w:pStyle w:val="Normlndobloku"/>
        <w:spacing w:after="0"/>
        <w:jc w:val="left"/>
        <w:rPr>
          <w:szCs w:val="22"/>
          <w:lang w:val="sk-SK"/>
        </w:rPr>
      </w:pPr>
      <w:r w:rsidRPr="00A77B3E">
        <w:rPr>
          <w:szCs w:val="22"/>
          <w:lang w:val="sk-SK"/>
        </w:rPr>
        <w:lastRenderedPageBreak/>
        <w:t xml:space="preserve">Nie sú známe údaje o karcinogenite u zvierat po použití dextrometorfánu. </w:t>
      </w:r>
      <w:r w:rsidR="00542C66" w:rsidRPr="00A77B3E">
        <w:rPr>
          <w:szCs w:val="22"/>
          <w:lang w:val="sk-SK"/>
        </w:rPr>
        <w:t>Celkové údaje</w:t>
      </w:r>
      <w:r w:rsidRPr="00A77B3E">
        <w:rPr>
          <w:szCs w:val="22"/>
          <w:lang w:val="sk-SK"/>
        </w:rPr>
        <w:t xml:space="preserve"> pre dextrometorfán a jeho štruktúrne </w:t>
      </w:r>
      <w:proofErr w:type="spellStart"/>
      <w:r w:rsidRPr="00A77B3E">
        <w:rPr>
          <w:szCs w:val="22"/>
          <w:lang w:val="sk-SK"/>
        </w:rPr>
        <w:t>analógy</w:t>
      </w:r>
      <w:proofErr w:type="spellEnd"/>
      <w:r w:rsidRPr="00A77B3E">
        <w:rPr>
          <w:szCs w:val="22"/>
          <w:lang w:val="sk-SK"/>
        </w:rPr>
        <w:t xml:space="preserve"> podporuj</w:t>
      </w:r>
      <w:r w:rsidR="00D718FB" w:rsidRPr="00A77B3E">
        <w:rPr>
          <w:szCs w:val="22"/>
          <w:lang w:val="sk-SK"/>
        </w:rPr>
        <w:t>ú</w:t>
      </w:r>
      <w:r w:rsidRPr="008F20B2">
        <w:rPr>
          <w:szCs w:val="22"/>
          <w:lang w:val="sk-SK"/>
        </w:rPr>
        <w:t xml:space="preserve"> záver, že táto trieda </w:t>
      </w:r>
      <w:proofErr w:type="spellStart"/>
      <w:r w:rsidRPr="008F20B2">
        <w:rPr>
          <w:szCs w:val="22"/>
          <w:lang w:val="sk-SK"/>
        </w:rPr>
        <w:t>fenantr</w:t>
      </w:r>
      <w:r w:rsidR="001A0D35" w:rsidRPr="008F20B2">
        <w:rPr>
          <w:szCs w:val="22"/>
          <w:lang w:val="sk-SK"/>
        </w:rPr>
        <w:t>énových</w:t>
      </w:r>
      <w:proofErr w:type="spellEnd"/>
      <w:r w:rsidR="001A0D35" w:rsidRPr="008F20B2">
        <w:rPr>
          <w:szCs w:val="22"/>
          <w:lang w:val="sk-SK"/>
        </w:rPr>
        <w:t xml:space="preserve"> zlúčenín</w:t>
      </w:r>
      <w:r w:rsidRPr="008F20B2">
        <w:rPr>
          <w:szCs w:val="22"/>
          <w:lang w:val="sk-SK"/>
        </w:rPr>
        <w:t xml:space="preserve"> a najmä </w:t>
      </w:r>
      <w:proofErr w:type="spellStart"/>
      <w:r w:rsidRPr="008F20B2">
        <w:rPr>
          <w:szCs w:val="22"/>
          <w:lang w:val="sk-SK"/>
        </w:rPr>
        <w:t>dextrometorfán</w:t>
      </w:r>
      <w:proofErr w:type="spellEnd"/>
      <w:r w:rsidRPr="008F20B2">
        <w:rPr>
          <w:szCs w:val="22"/>
          <w:lang w:val="sk-SK"/>
        </w:rPr>
        <w:t xml:space="preserve">, nie sú </w:t>
      </w:r>
      <w:r w:rsidRPr="00570EF3">
        <w:rPr>
          <w:i/>
          <w:szCs w:val="22"/>
          <w:lang w:val="sk-SK"/>
        </w:rPr>
        <w:t xml:space="preserve">in </w:t>
      </w:r>
      <w:proofErr w:type="spellStart"/>
      <w:r w:rsidRPr="00570EF3">
        <w:rPr>
          <w:i/>
          <w:szCs w:val="22"/>
          <w:lang w:val="sk-SK"/>
        </w:rPr>
        <w:t>vivo</w:t>
      </w:r>
      <w:proofErr w:type="spellEnd"/>
      <w:r w:rsidRPr="00570EF3">
        <w:rPr>
          <w:szCs w:val="22"/>
          <w:lang w:val="sk-SK"/>
        </w:rPr>
        <w:t xml:space="preserve"> ani </w:t>
      </w:r>
      <w:r w:rsidRPr="00570EF3">
        <w:rPr>
          <w:i/>
          <w:szCs w:val="22"/>
          <w:lang w:val="sk-SK"/>
        </w:rPr>
        <w:t>in vitro</w:t>
      </w:r>
      <w:r w:rsidRPr="00570EF3">
        <w:rPr>
          <w:szCs w:val="22"/>
          <w:lang w:val="sk-SK"/>
        </w:rPr>
        <w:t xml:space="preserve"> </w:t>
      </w:r>
      <w:proofErr w:type="spellStart"/>
      <w:r w:rsidRPr="00570EF3">
        <w:rPr>
          <w:szCs w:val="22"/>
          <w:lang w:val="sk-SK"/>
        </w:rPr>
        <w:t>genotoxické</w:t>
      </w:r>
      <w:proofErr w:type="spellEnd"/>
      <w:r w:rsidRPr="00570EF3">
        <w:rPr>
          <w:szCs w:val="22"/>
          <w:lang w:val="sk-SK"/>
        </w:rPr>
        <w:t>.</w:t>
      </w:r>
    </w:p>
    <w:p w14:paraId="25990890" w14:textId="77777777" w:rsidR="00CE42C8" w:rsidRDefault="00CE42C8" w:rsidP="00A37A56">
      <w:pPr>
        <w:pStyle w:val="Styl3"/>
        <w:spacing w:after="0"/>
        <w:rPr>
          <w:szCs w:val="22"/>
        </w:rPr>
      </w:pPr>
    </w:p>
    <w:p w14:paraId="7A26B5A0" w14:textId="77777777" w:rsidR="0068359E" w:rsidRPr="00CE42C8" w:rsidRDefault="0068359E" w:rsidP="00A37A56">
      <w:pPr>
        <w:pStyle w:val="Styl3"/>
        <w:spacing w:after="0"/>
        <w:rPr>
          <w:szCs w:val="22"/>
        </w:rPr>
      </w:pPr>
      <w:proofErr w:type="spellStart"/>
      <w:r w:rsidRPr="00CE42C8">
        <w:rPr>
          <w:szCs w:val="22"/>
        </w:rPr>
        <w:t>Teratogenita</w:t>
      </w:r>
      <w:proofErr w:type="spellEnd"/>
    </w:p>
    <w:p w14:paraId="3A12C4FE" w14:textId="77777777" w:rsidR="0068359E" w:rsidRPr="00A77B3E" w:rsidRDefault="000C069D" w:rsidP="00A37A56">
      <w:pPr>
        <w:pStyle w:val="Normlndobloku"/>
        <w:spacing w:after="0"/>
        <w:jc w:val="left"/>
        <w:rPr>
          <w:szCs w:val="22"/>
          <w:lang w:val="sk-SK"/>
        </w:rPr>
      </w:pPr>
      <w:r w:rsidRPr="00A77B3E">
        <w:rPr>
          <w:szCs w:val="22"/>
          <w:lang w:val="sk-SK"/>
        </w:rPr>
        <w:t xml:space="preserve">Nebol dokázaný žiadny vzťah medzi </w:t>
      </w:r>
      <w:proofErr w:type="spellStart"/>
      <w:r w:rsidRPr="00A77B3E">
        <w:rPr>
          <w:szCs w:val="22"/>
          <w:lang w:val="sk-SK"/>
        </w:rPr>
        <w:t>dextrometorfánom</w:t>
      </w:r>
      <w:proofErr w:type="spellEnd"/>
      <w:r w:rsidRPr="00A77B3E">
        <w:rPr>
          <w:szCs w:val="22"/>
          <w:lang w:val="sk-SK"/>
        </w:rPr>
        <w:t xml:space="preserve"> a </w:t>
      </w:r>
      <w:proofErr w:type="spellStart"/>
      <w:r w:rsidRPr="00A77B3E">
        <w:rPr>
          <w:szCs w:val="22"/>
          <w:lang w:val="sk-SK"/>
        </w:rPr>
        <w:t>malformáciami</w:t>
      </w:r>
      <w:proofErr w:type="spellEnd"/>
      <w:r w:rsidRPr="00A77B3E">
        <w:rPr>
          <w:szCs w:val="22"/>
          <w:lang w:val="sk-SK"/>
        </w:rPr>
        <w:t>.</w:t>
      </w:r>
    </w:p>
    <w:p w14:paraId="7AEA41EB" w14:textId="77777777" w:rsidR="00CE42C8" w:rsidRDefault="00CE42C8" w:rsidP="00A37A56">
      <w:pPr>
        <w:pStyle w:val="Styl3"/>
        <w:spacing w:after="0"/>
        <w:rPr>
          <w:szCs w:val="22"/>
        </w:rPr>
      </w:pPr>
    </w:p>
    <w:p w14:paraId="7D1C2680" w14:textId="77777777" w:rsidR="000C069D" w:rsidRPr="00CE42C8" w:rsidRDefault="000C069D" w:rsidP="00A37A56">
      <w:pPr>
        <w:pStyle w:val="Styl3"/>
        <w:spacing w:after="0"/>
        <w:rPr>
          <w:szCs w:val="22"/>
        </w:rPr>
      </w:pPr>
      <w:proofErr w:type="spellStart"/>
      <w:r w:rsidRPr="00CE42C8">
        <w:rPr>
          <w:szCs w:val="22"/>
        </w:rPr>
        <w:t>Fertilita</w:t>
      </w:r>
      <w:proofErr w:type="spellEnd"/>
    </w:p>
    <w:p w14:paraId="3BFE01B9" w14:textId="31E02FBD" w:rsidR="000C069D" w:rsidRDefault="000C069D" w:rsidP="00A37A56">
      <w:pPr>
        <w:pStyle w:val="Normlndobloku"/>
        <w:spacing w:after="0"/>
        <w:jc w:val="left"/>
        <w:rPr>
          <w:szCs w:val="22"/>
          <w:lang w:val="sk-SK"/>
        </w:rPr>
      </w:pPr>
      <w:r w:rsidRPr="00A77B3E">
        <w:rPr>
          <w:szCs w:val="22"/>
          <w:lang w:val="sk-SK"/>
        </w:rPr>
        <w:t xml:space="preserve">Párenie, </w:t>
      </w:r>
      <w:proofErr w:type="spellStart"/>
      <w:r w:rsidRPr="00A77B3E">
        <w:rPr>
          <w:szCs w:val="22"/>
          <w:lang w:val="sk-SK"/>
        </w:rPr>
        <w:t>gestácia</w:t>
      </w:r>
      <w:proofErr w:type="spellEnd"/>
      <w:r w:rsidRPr="00A77B3E">
        <w:rPr>
          <w:szCs w:val="22"/>
          <w:lang w:val="sk-SK"/>
        </w:rPr>
        <w:t xml:space="preserve">, </w:t>
      </w:r>
      <w:proofErr w:type="spellStart"/>
      <w:r w:rsidRPr="00A77B3E">
        <w:rPr>
          <w:szCs w:val="22"/>
          <w:lang w:val="sk-SK"/>
        </w:rPr>
        <w:t>fertilita</w:t>
      </w:r>
      <w:proofErr w:type="spellEnd"/>
      <w:r w:rsidRPr="00A77B3E">
        <w:rPr>
          <w:szCs w:val="22"/>
          <w:lang w:val="sk-SK"/>
        </w:rPr>
        <w:t xml:space="preserve">, veľkosť vrhu a laktácia boli </w:t>
      </w:r>
      <w:r w:rsidR="00542C66" w:rsidRPr="00A77B3E">
        <w:rPr>
          <w:szCs w:val="22"/>
          <w:lang w:val="sk-SK"/>
        </w:rPr>
        <w:t xml:space="preserve">študované </w:t>
      </w:r>
      <w:r w:rsidRPr="00A77B3E">
        <w:rPr>
          <w:szCs w:val="22"/>
          <w:lang w:val="sk-SK"/>
        </w:rPr>
        <w:t xml:space="preserve">na potkanoch </w:t>
      </w:r>
      <w:r w:rsidR="00542C66" w:rsidRPr="00A77B3E">
        <w:rPr>
          <w:szCs w:val="22"/>
          <w:lang w:val="sk-SK"/>
        </w:rPr>
        <w:t>pri</w:t>
      </w:r>
      <w:r w:rsidR="004A05D8" w:rsidRPr="00A77B3E">
        <w:rPr>
          <w:szCs w:val="22"/>
          <w:lang w:val="sk-SK"/>
        </w:rPr>
        <w:t xml:space="preserve"> </w:t>
      </w:r>
      <w:r w:rsidRPr="00A77B3E">
        <w:rPr>
          <w:szCs w:val="22"/>
          <w:lang w:val="sk-SK"/>
        </w:rPr>
        <w:t>dávka</w:t>
      </w:r>
      <w:r w:rsidR="00542C66" w:rsidRPr="00A77B3E">
        <w:rPr>
          <w:szCs w:val="22"/>
          <w:lang w:val="sk-SK"/>
        </w:rPr>
        <w:t>ch</w:t>
      </w:r>
      <w:r w:rsidRPr="00A77B3E">
        <w:rPr>
          <w:szCs w:val="22"/>
          <w:lang w:val="sk-SK"/>
        </w:rPr>
        <w:t xml:space="preserve"> až 50 mg/kg a neboli zistené žiadne nežiaduce účinky.</w:t>
      </w:r>
    </w:p>
    <w:p w14:paraId="07EFCAC3" w14:textId="77777777" w:rsidR="00CE42C8" w:rsidRDefault="00CE42C8" w:rsidP="00A37A56">
      <w:pPr>
        <w:pStyle w:val="Normlndobloku"/>
        <w:spacing w:after="0"/>
        <w:jc w:val="left"/>
        <w:rPr>
          <w:szCs w:val="22"/>
          <w:lang w:val="sk-SK"/>
        </w:rPr>
      </w:pPr>
    </w:p>
    <w:p w14:paraId="15424E05" w14:textId="77777777" w:rsidR="00CE42C8" w:rsidRPr="00CE42C8" w:rsidRDefault="00CE42C8" w:rsidP="00A37A56">
      <w:pPr>
        <w:pStyle w:val="Normlndobloku"/>
        <w:spacing w:after="0"/>
        <w:jc w:val="left"/>
        <w:rPr>
          <w:szCs w:val="22"/>
          <w:lang w:val="sk-SK"/>
        </w:rPr>
      </w:pPr>
    </w:p>
    <w:p w14:paraId="1A94EE8D" w14:textId="77777777" w:rsidR="00A72EBA" w:rsidRDefault="00A72EBA" w:rsidP="00A37A56">
      <w:pPr>
        <w:pStyle w:val="Styl1"/>
        <w:numPr>
          <w:ilvl w:val="0"/>
          <w:numId w:val="10"/>
        </w:numPr>
        <w:spacing w:before="0" w:after="0"/>
        <w:ind w:left="357" w:hanging="357"/>
        <w:rPr>
          <w:szCs w:val="22"/>
          <w:lang w:val="sk-SK"/>
        </w:rPr>
      </w:pPr>
      <w:r w:rsidRPr="00CE42C8">
        <w:rPr>
          <w:szCs w:val="22"/>
          <w:lang w:val="sk-SK"/>
        </w:rPr>
        <w:t>FARMACEUTICKÉ INFORMÁCIE</w:t>
      </w:r>
    </w:p>
    <w:p w14:paraId="2BB7CB9E" w14:textId="77777777" w:rsidR="00CE42C8" w:rsidRPr="00CE42C8" w:rsidRDefault="00CE42C8" w:rsidP="00A37A56">
      <w:pPr>
        <w:pStyle w:val="Styl1"/>
        <w:numPr>
          <w:ilvl w:val="0"/>
          <w:numId w:val="0"/>
        </w:numPr>
        <w:spacing w:before="0" w:after="0"/>
        <w:rPr>
          <w:szCs w:val="22"/>
          <w:lang w:val="sk-SK"/>
        </w:rPr>
      </w:pPr>
    </w:p>
    <w:p w14:paraId="5E90509E" w14:textId="77777777" w:rsidR="00A72EBA" w:rsidRDefault="00A72EBA" w:rsidP="00A37A56">
      <w:pPr>
        <w:pStyle w:val="Styl2"/>
        <w:numPr>
          <w:ilvl w:val="1"/>
          <w:numId w:val="10"/>
        </w:numPr>
        <w:spacing w:before="0" w:after="0"/>
        <w:ind w:left="680" w:hanging="680"/>
        <w:rPr>
          <w:szCs w:val="22"/>
          <w:lang w:val="sk-SK"/>
        </w:rPr>
      </w:pPr>
      <w:r w:rsidRPr="00CE42C8">
        <w:rPr>
          <w:szCs w:val="22"/>
          <w:lang w:val="sk-SK"/>
        </w:rPr>
        <w:t>Zoznam pomocných látok</w:t>
      </w:r>
    </w:p>
    <w:p w14:paraId="450B2FE9" w14:textId="77777777" w:rsidR="00CE42C8" w:rsidRPr="00CE42C8" w:rsidRDefault="00CE42C8" w:rsidP="00A37A56">
      <w:pPr>
        <w:pStyle w:val="Styl2"/>
        <w:numPr>
          <w:ilvl w:val="0"/>
          <w:numId w:val="0"/>
        </w:numPr>
        <w:spacing w:before="0" w:after="0"/>
        <w:rPr>
          <w:szCs w:val="22"/>
          <w:lang w:val="sk-SK"/>
        </w:rPr>
      </w:pPr>
    </w:p>
    <w:p w14:paraId="61719C7B" w14:textId="77777777" w:rsidR="000C069D" w:rsidRPr="00CE42C8" w:rsidRDefault="000C069D" w:rsidP="00A37A56">
      <w:pPr>
        <w:pStyle w:val="Normlndobloku"/>
        <w:spacing w:after="0"/>
        <w:jc w:val="left"/>
        <w:rPr>
          <w:szCs w:val="22"/>
          <w:lang w:val="sk-SK"/>
        </w:rPr>
      </w:pPr>
      <w:r w:rsidRPr="00CE42C8">
        <w:rPr>
          <w:szCs w:val="22"/>
          <w:lang w:val="sk-SK"/>
        </w:rPr>
        <w:t>Sacharín, sodná soľ (E 954)</w:t>
      </w:r>
    </w:p>
    <w:p w14:paraId="5E8D07C7" w14:textId="009429ED" w:rsidR="000C069D" w:rsidRPr="00A77B3E" w:rsidRDefault="00FD176E" w:rsidP="00A37A56">
      <w:pPr>
        <w:pStyle w:val="Normlndobloku"/>
        <w:spacing w:after="0"/>
        <w:jc w:val="left"/>
        <w:rPr>
          <w:szCs w:val="22"/>
          <w:lang w:val="sk-SK"/>
        </w:rPr>
      </w:pPr>
      <w:proofErr w:type="spellStart"/>
      <w:r w:rsidRPr="00A77B3E">
        <w:rPr>
          <w:szCs w:val="22"/>
          <w:lang w:val="sk-SK"/>
        </w:rPr>
        <w:t>Benzoan</w:t>
      </w:r>
      <w:proofErr w:type="spellEnd"/>
      <w:r w:rsidRPr="00A77B3E">
        <w:rPr>
          <w:szCs w:val="22"/>
          <w:lang w:val="sk-SK"/>
        </w:rPr>
        <w:t xml:space="preserve"> sodný</w:t>
      </w:r>
      <w:r w:rsidR="000C069D" w:rsidRPr="00A77B3E">
        <w:rPr>
          <w:szCs w:val="22"/>
          <w:lang w:val="sk-SK"/>
        </w:rPr>
        <w:t xml:space="preserve"> (E 211)</w:t>
      </w:r>
    </w:p>
    <w:p w14:paraId="6370491D" w14:textId="77777777" w:rsidR="000C069D" w:rsidRPr="008F20B2" w:rsidRDefault="000C069D" w:rsidP="00A37A56">
      <w:pPr>
        <w:pStyle w:val="Normlndobloku"/>
        <w:spacing w:after="0"/>
        <w:jc w:val="left"/>
        <w:rPr>
          <w:szCs w:val="22"/>
          <w:lang w:val="sk-SK"/>
        </w:rPr>
      </w:pPr>
      <w:r w:rsidRPr="00A77B3E">
        <w:rPr>
          <w:szCs w:val="22"/>
          <w:lang w:val="sk-SK"/>
        </w:rPr>
        <w:t>Sacharóza</w:t>
      </w:r>
    </w:p>
    <w:p w14:paraId="65B1C5FC" w14:textId="0E64C7DE" w:rsidR="000C069D" w:rsidRPr="00570EF3" w:rsidRDefault="00FD176E" w:rsidP="00A37A56">
      <w:pPr>
        <w:pStyle w:val="Normlndobloku"/>
        <w:spacing w:after="0"/>
        <w:jc w:val="left"/>
        <w:rPr>
          <w:szCs w:val="22"/>
          <w:lang w:val="sk-SK"/>
        </w:rPr>
      </w:pPr>
      <w:r w:rsidRPr="00570EF3">
        <w:rPr>
          <w:szCs w:val="22"/>
          <w:lang w:val="sk-SK"/>
        </w:rPr>
        <w:t>Roztok g</w:t>
      </w:r>
      <w:r w:rsidR="009A19DE" w:rsidRPr="00570EF3">
        <w:rPr>
          <w:szCs w:val="22"/>
          <w:lang w:val="sk-SK"/>
        </w:rPr>
        <w:t>lukóz</w:t>
      </w:r>
      <w:r w:rsidRPr="00570EF3">
        <w:rPr>
          <w:szCs w:val="22"/>
          <w:lang w:val="sk-SK"/>
        </w:rPr>
        <w:t>y,</w:t>
      </w:r>
      <w:r w:rsidR="009A19DE" w:rsidRPr="00570EF3">
        <w:rPr>
          <w:szCs w:val="22"/>
          <w:lang w:val="sk-SK"/>
        </w:rPr>
        <w:t xml:space="preserve"> disperzne sušený</w:t>
      </w:r>
    </w:p>
    <w:p w14:paraId="70053653" w14:textId="77777777" w:rsidR="000C069D" w:rsidRPr="000D1DE1" w:rsidRDefault="009A19DE" w:rsidP="00A37A56">
      <w:pPr>
        <w:pStyle w:val="Normlndobloku"/>
        <w:spacing w:after="0"/>
        <w:jc w:val="left"/>
        <w:rPr>
          <w:szCs w:val="22"/>
          <w:lang w:val="sk-SK"/>
        </w:rPr>
      </w:pPr>
      <w:r w:rsidRPr="000D1DE1">
        <w:rPr>
          <w:szCs w:val="22"/>
          <w:lang w:val="sk-SK"/>
        </w:rPr>
        <w:t>S</w:t>
      </w:r>
      <w:r w:rsidR="000C069D" w:rsidRPr="000D1DE1">
        <w:rPr>
          <w:szCs w:val="22"/>
          <w:lang w:val="sk-SK"/>
        </w:rPr>
        <w:t>orbitol (E 420, nekryštalizujúci</w:t>
      </w:r>
      <w:r w:rsidR="00F152F6" w:rsidRPr="000D1DE1">
        <w:rPr>
          <w:szCs w:val="22"/>
          <w:lang w:val="sk-SK"/>
        </w:rPr>
        <w:t xml:space="preserve"> roztok</w:t>
      </w:r>
      <w:r w:rsidR="000C069D" w:rsidRPr="000D1DE1">
        <w:rPr>
          <w:szCs w:val="22"/>
          <w:lang w:val="sk-SK"/>
        </w:rPr>
        <w:t>)</w:t>
      </w:r>
    </w:p>
    <w:p w14:paraId="13020FEE" w14:textId="77777777" w:rsidR="000C069D" w:rsidRPr="00A37A56" w:rsidRDefault="000C069D" w:rsidP="00A37A56">
      <w:pPr>
        <w:pStyle w:val="Normlndobloku"/>
        <w:spacing w:after="0"/>
        <w:jc w:val="left"/>
        <w:rPr>
          <w:szCs w:val="22"/>
          <w:lang w:val="sk-SK"/>
        </w:rPr>
      </w:pPr>
      <w:proofErr w:type="spellStart"/>
      <w:r w:rsidRPr="000D1DE1">
        <w:rPr>
          <w:szCs w:val="22"/>
          <w:lang w:val="sk-SK"/>
        </w:rPr>
        <w:t>Glycerol</w:t>
      </w:r>
      <w:proofErr w:type="spellEnd"/>
    </w:p>
    <w:p w14:paraId="5129E804" w14:textId="77777777" w:rsidR="000C069D" w:rsidRPr="00A37A56" w:rsidRDefault="00F152F6" w:rsidP="00A37A56">
      <w:pPr>
        <w:pStyle w:val="Normlndobloku"/>
        <w:spacing w:after="0"/>
        <w:jc w:val="left"/>
        <w:rPr>
          <w:szCs w:val="22"/>
          <w:lang w:val="sk-SK"/>
        </w:rPr>
      </w:pPr>
      <w:r w:rsidRPr="00A37A56">
        <w:rPr>
          <w:szCs w:val="22"/>
          <w:lang w:val="sk-SK"/>
        </w:rPr>
        <w:t>E</w:t>
      </w:r>
      <w:r w:rsidR="000C069D" w:rsidRPr="00A37A56">
        <w:rPr>
          <w:szCs w:val="22"/>
          <w:lang w:val="sk-SK"/>
        </w:rPr>
        <w:t>tanol</w:t>
      </w:r>
      <w:r w:rsidRPr="00A37A56">
        <w:rPr>
          <w:szCs w:val="22"/>
          <w:lang w:val="sk-SK"/>
        </w:rPr>
        <w:t xml:space="preserve"> bezvodý</w:t>
      </w:r>
    </w:p>
    <w:p w14:paraId="4FB6B107" w14:textId="4B544A2B" w:rsidR="000C069D" w:rsidRPr="00A37A56" w:rsidRDefault="000C069D" w:rsidP="00A37A56">
      <w:pPr>
        <w:pStyle w:val="Normlndobloku"/>
        <w:spacing w:after="0"/>
        <w:jc w:val="left"/>
        <w:rPr>
          <w:szCs w:val="22"/>
          <w:lang w:val="sk-SK"/>
        </w:rPr>
      </w:pPr>
      <w:proofErr w:type="spellStart"/>
      <w:r w:rsidRPr="00A37A56">
        <w:rPr>
          <w:szCs w:val="22"/>
          <w:lang w:val="sk-SK"/>
        </w:rPr>
        <w:t>Levomentol</w:t>
      </w:r>
      <w:proofErr w:type="spellEnd"/>
    </w:p>
    <w:p w14:paraId="2EB22FA3" w14:textId="77777777" w:rsidR="000C069D" w:rsidRPr="00A37A56" w:rsidRDefault="000C069D" w:rsidP="00A37A56">
      <w:pPr>
        <w:pStyle w:val="Normlndobloku"/>
        <w:spacing w:after="0"/>
        <w:jc w:val="left"/>
        <w:rPr>
          <w:szCs w:val="22"/>
          <w:lang w:val="sk-SK"/>
        </w:rPr>
      </w:pPr>
      <w:r w:rsidRPr="00A37A56">
        <w:rPr>
          <w:szCs w:val="22"/>
          <w:lang w:val="sk-SK"/>
        </w:rPr>
        <w:t>Kyselina citrónová</w:t>
      </w:r>
    </w:p>
    <w:p w14:paraId="04DA4EBE" w14:textId="77777777" w:rsidR="00FF0C26" w:rsidRPr="00A37A56" w:rsidRDefault="000C069D" w:rsidP="00A37A56">
      <w:pPr>
        <w:pStyle w:val="Normlndobloku"/>
        <w:spacing w:after="0"/>
        <w:jc w:val="left"/>
        <w:rPr>
          <w:szCs w:val="22"/>
          <w:lang w:val="sk-SK"/>
        </w:rPr>
      </w:pPr>
      <w:r w:rsidRPr="00A37A56">
        <w:rPr>
          <w:szCs w:val="22"/>
          <w:lang w:val="sk-SK"/>
        </w:rPr>
        <w:t xml:space="preserve">Karamelová príchuť (obsahuje </w:t>
      </w:r>
      <w:proofErr w:type="spellStart"/>
      <w:r w:rsidRPr="00A37A56">
        <w:rPr>
          <w:szCs w:val="22"/>
          <w:lang w:val="sk-SK"/>
        </w:rPr>
        <w:t>propylénglykol</w:t>
      </w:r>
      <w:proofErr w:type="spellEnd"/>
      <w:r w:rsidRPr="00A37A56">
        <w:rPr>
          <w:szCs w:val="22"/>
          <w:lang w:val="sk-SK"/>
        </w:rPr>
        <w:t xml:space="preserve">, </w:t>
      </w:r>
      <w:proofErr w:type="spellStart"/>
      <w:r w:rsidRPr="00A37A56">
        <w:rPr>
          <w:szCs w:val="22"/>
          <w:lang w:val="sk-SK"/>
        </w:rPr>
        <w:t>benzyalkohol</w:t>
      </w:r>
      <w:proofErr w:type="spellEnd"/>
      <w:r w:rsidRPr="00A37A56">
        <w:rPr>
          <w:szCs w:val="22"/>
          <w:lang w:val="sk-SK"/>
        </w:rPr>
        <w:t>)</w:t>
      </w:r>
    </w:p>
    <w:p w14:paraId="460B9049" w14:textId="7BAE2823" w:rsidR="00FF0C26" w:rsidRPr="00A37A56" w:rsidRDefault="00FF0C26" w:rsidP="00A37A56">
      <w:pPr>
        <w:pStyle w:val="Normlndobloku"/>
        <w:spacing w:after="0"/>
        <w:jc w:val="left"/>
        <w:rPr>
          <w:szCs w:val="22"/>
          <w:lang w:val="sk-SK"/>
        </w:rPr>
      </w:pPr>
      <w:r w:rsidRPr="00A37A56">
        <w:rPr>
          <w:szCs w:val="22"/>
          <w:lang w:val="sk-SK"/>
        </w:rPr>
        <w:t>Broskyň</w:t>
      </w:r>
      <w:r w:rsidR="000C069D" w:rsidRPr="00A37A56">
        <w:rPr>
          <w:szCs w:val="22"/>
          <w:lang w:val="sk-SK"/>
        </w:rPr>
        <w:t xml:space="preserve">ová príchuť (obsahuje </w:t>
      </w:r>
      <w:proofErr w:type="spellStart"/>
      <w:r w:rsidR="000C069D" w:rsidRPr="00A37A56">
        <w:rPr>
          <w:szCs w:val="22"/>
          <w:lang w:val="sk-SK"/>
        </w:rPr>
        <w:t>propylénglykol</w:t>
      </w:r>
      <w:proofErr w:type="spellEnd"/>
      <w:r w:rsidR="000C069D" w:rsidRPr="00A37A56">
        <w:rPr>
          <w:szCs w:val="22"/>
          <w:lang w:val="sk-SK"/>
        </w:rPr>
        <w:t xml:space="preserve">, </w:t>
      </w:r>
      <w:proofErr w:type="spellStart"/>
      <w:r w:rsidR="00FD176E" w:rsidRPr="00A37A56">
        <w:rPr>
          <w:szCs w:val="22"/>
          <w:lang w:val="sk-SK"/>
        </w:rPr>
        <w:t>citronan</w:t>
      </w:r>
      <w:proofErr w:type="spellEnd"/>
      <w:r w:rsidR="00FD176E" w:rsidRPr="00A37A56">
        <w:rPr>
          <w:szCs w:val="22"/>
          <w:lang w:val="sk-SK"/>
        </w:rPr>
        <w:t xml:space="preserve"> sodný</w:t>
      </w:r>
      <w:r w:rsidR="000C069D" w:rsidRPr="00A37A56">
        <w:rPr>
          <w:szCs w:val="22"/>
          <w:lang w:val="sk-SK"/>
        </w:rPr>
        <w:t xml:space="preserve">, </w:t>
      </w:r>
      <w:proofErr w:type="spellStart"/>
      <w:r w:rsidR="000C069D" w:rsidRPr="00A37A56">
        <w:rPr>
          <w:szCs w:val="22"/>
          <w:lang w:val="sk-SK"/>
        </w:rPr>
        <w:t>benzyalkohol</w:t>
      </w:r>
      <w:proofErr w:type="spellEnd"/>
      <w:r w:rsidR="000C069D" w:rsidRPr="00A37A56">
        <w:rPr>
          <w:szCs w:val="22"/>
          <w:lang w:val="sk-SK"/>
        </w:rPr>
        <w:t xml:space="preserve">, </w:t>
      </w:r>
      <w:proofErr w:type="spellStart"/>
      <w:r w:rsidR="000C069D" w:rsidRPr="00A37A56">
        <w:rPr>
          <w:szCs w:val="22"/>
          <w:lang w:val="sk-SK"/>
        </w:rPr>
        <w:t>limonén</w:t>
      </w:r>
      <w:proofErr w:type="spellEnd"/>
      <w:r w:rsidRPr="00A37A56">
        <w:rPr>
          <w:szCs w:val="22"/>
          <w:lang w:val="sk-SK"/>
        </w:rPr>
        <w:t>)</w:t>
      </w:r>
    </w:p>
    <w:p w14:paraId="44AB2260" w14:textId="77777777" w:rsidR="00FF0C26" w:rsidRDefault="000C069D" w:rsidP="00A37A56">
      <w:pPr>
        <w:pStyle w:val="Normlndobloku"/>
        <w:spacing w:after="0"/>
        <w:jc w:val="left"/>
        <w:rPr>
          <w:szCs w:val="22"/>
          <w:lang w:val="sk-SK"/>
        </w:rPr>
      </w:pPr>
      <w:r w:rsidRPr="00A37A56">
        <w:rPr>
          <w:szCs w:val="22"/>
          <w:lang w:val="sk-SK"/>
        </w:rPr>
        <w:t>Čistená voda</w:t>
      </w:r>
    </w:p>
    <w:p w14:paraId="5939CA5F" w14:textId="77777777" w:rsidR="00CE42C8" w:rsidRPr="00CE42C8" w:rsidRDefault="00CE42C8" w:rsidP="00A37A56">
      <w:pPr>
        <w:pStyle w:val="Normlndobloku"/>
        <w:spacing w:after="0"/>
        <w:jc w:val="left"/>
        <w:rPr>
          <w:szCs w:val="22"/>
          <w:lang w:val="sk-SK"/>
        </w:rPr>
      </w:pPr>
    </w:p>
    <w:p w14:paraId="74529F41" w14:textId="77777777" w:rsidR="00A72EBA" w:rsidRPr="00CE42C8" w:rsidRDefault="00A72EBA" w:rsidP="00A37A56">
      <w:pPr>
        <w:pStyle w:val="Styl2"/>
        <w:numPr>
          <w:ilvl w:val="1"/>
          <w:numId w:val="10"/>
        </w:numPr>
        <w:spacing w:before="0" w:after="0"/>
        <w:ind w:left="680" w:hanging="680"/>
        <w:rPr>
          <w:szCs w:val="22"/>
          <w:lang w:val="sk-SK"/>
        </w:rPr>
      </w:pPr>
      <w:r w:rsidRPr="00CE42C8">
        <w:rPr>
          <w:szCs w:val="22"/>
          <w:lang w:val="sk-SK"/>
        </w:rPr>
        <w:t>Inkompatibility</w:t>
      </w:r>
    </w:p>
    <w:p w14:paraId="1915785A" w14:textId="77777777" w:rsidR="00CE42C8" w:rsidRDefault="00CE42C8" w:rsidP="00A37A56">
      <w:pPr>
        <w:pStyle w:val="Normlndobloku"/>
        <w:spacing w:after="0"/>
        <w:jc w:val="left"/>
        <w:rPr>
          <w:szCs w:val="22"/>
          <w:lang w:val="sk-SK"/>
        </w:rPr>
      </w:pPr>
    </w:p>
    <w:p w14:paraId="20B46D69" w14:textId="77777777" w:rsidR="00A72EBA" w:rsidRDefault="00A72EBA" w:rsidP="00A37A56">
      <w:pPr>
        <w:pStyle w:val="Normlndobloku"/>
        <w:spacing w:after="0"/>
        <w:jc w:val="left"/>
        <w:rPr>
          <w:szCs w:val="22"/>
          <w:lang w:val="sk-SK"/>
        </w:rPr>
      </w:pPr>
      <w:r w:rsidRPr="00CE42C8">
        <w:rPr>
          <w:szCs w:val="22"/>
          <w:lang w:val="sk-SK"/>
        </w:rPr>
        <w:t>Neaplikovateľné.</w:t>
      </w:r>
    </w:p>
    <w:p w14:paraId="1FD6D2CB" w14:textId="77777777" w:rsidR="00CE42C8" w:rsidRPr="00CE42C8" w:rsidRDefault="00CE42C8" w:rsidP="00A37A56">
      <w:pPr>
        <w:pStyle w:val="Normlndobloku"/>
        <w:spacing w:after="0"/>
        <w:jc w:val="left"/>
        <w:rPr>
          <w:szCs w:val="22"/>
          <w:lang w:val="sk-SK"/>
        </w:rPr>
      </w:pPr>
    </w:p>
    <w:p w14:paraId="44D62518" w14:textId="77777777" w:rsidR="00A72EBA" w:rsidRPr="00CE42C8" w:rsidRDefault="00A72EBA" w:rsidP="00A37A56">
      <w:pPr>
        <w:pStyle w:val="Styl2"/>
        <w:numPr>
          <w:ilvl w:val="1"/>
          <w:numId w:val="10"/>
        </w:numPr>
        <w:spacing w:before="0" w:after="0"/>
        <w:ind w:left="680" w:hanging="680"/>
        <w:rPr>
          <w:szCs w:val="22"/>
          <w:lang w:val="sk-SK"/>
        </w:rPr>
      </w:pPr>
      <w:r w:rsidRPr="00CE42C8">
        <w:rPr>
          <w:szCs w:val="22"/>
          <w:lang w:val="sk-SK"/>
        </w:rPr>
        <w:t>Čas použiteľnosti</w:t>
      </w:r>
    </w:p>
    <w:p w14:paraId="0F617C08" w14:textId="77777777" w:rsidR="00CE42C8" w:rsidRDefault="00CE42C8" w:rsidP="00A37A56">
      <w:pPr>
        <w:pStyle w:val="Normlndobloku"/>
        <w:spacing w:after="0"/>
        <w:jc w:val="left"/>
        <w:rPr>
          <w:szCs w:val="22"/>
          <w:lang w:val="sk-SK"/>
        </w:rPr>
      </w:pPr>
    </w:p>
    <w:p w14:paraId="6659DC4A" w14:textId="77777777" w:rsidR="00A72EBA" w:rsidRDefault="000C069D" w:rsidP="00A37A56">
      <w:pPr>
        <w:pStyle w:val="Normlndobloku"/>
        <w:spacing w:after="0"/>
        <w:jc w:val="left"/>
        <w:rPr>
          <w:szCs w:val="22"/>
          <w:lang w:val="sk-SK"/>
        </w:rPr>
      </w:pPr>
      <w:r w:rsidRPr="00CE42C8">
        <w:rPr>
          <w:szCs w:val="22"/>
          <w:lang w:val="sk-SK"/>
        </w:rPr>
        <w:t>1 rok</w:t>
      </w:r>
    </w:p>
    <w:p w14:paraId="0247D1A8" w14:textId="77777777" w:rsidR="00CE42C8" w:rsidRPr="00CE42C8" w:rsidRDefault="00CE42C8" w:rsidP="00A37A56">
      <w:pPr>
        <w:pStyle w:val="Normlndobloku"/>
        <w:spacing w:after="0"/>
        <w:jc w:val="left"/>
        <w:rPr>
          <w:szCs w:val="22"/>
          <w:lang w:val="sk-SK"/>
        </w:rPr>
      </w:pPr>
    </w:p>
    <w:p w14:paraId="2064E32B" w14:textId="77777777" w:rsidR="00A72EBA" w:rsidRPr="00CE42C8" w:rsidRDefault="00A72EBA" w:rsidP="00A37A56">
      <w:pPr>
        <w:pStyle w:val="Styl2"/>
        <w:numPr>
          <w:ilvl w:val="1"/>
          <w:numId w:val="10"/>
        </w:numPr>
        <w:spacing w:before="0" w:after="0"/>
        <w:ind w:left="680" w:hanging="680"/>
        <w:rPr>
          <w:szCs w:val="22"/>
          <w:lang w:val="sk-SK"/>
        </w:rPr>
      </w:pPr>
      <w:r w:rsidRPr="00CE42C8">
        <w:rPr>
          <w:szCs w:val="22"/>
          <w:lang w:val="sk-SK"/>
        </w:rPr>
        <w:t>Špeciálne upozornenia na uchovávanie</w:t>
      </w:r>
    </w:p>
    <w:p w14:paraId="1842C26C" w14:textId="77777777" w:rsidR="00CE42C8" w:rsidRDefault="00CE42C8" w:rsidP="00A37A56">
      <w:pPr>
        <w:pStyle w:val="Normlndobloku"/>
        <w:spacing w:after="0"/>
        <w:jc w:val="left"/>
        <w:rPr>
          <w:szCs w:val="22"/>
          <w:lang w:val="sk-SK"/>
        </w:rPr>
      </w:pPr>
    </w:p>
    <w:p w14:paraId="596BABC1" w14:textId="77777777" w:rsidR="0019382D" w:rsidRDefault="000C069D" w:rsidP="00A37A56">
      <w:pPr>
        <w:pStyle w:val="Normlndobloku"/>
        <w:spacing w:after="0"/>
        <w:jc w:val="left"/>
        <w:rPr>
          <w:szCs w:val="22"/>
          <w:lang w:val="sk-SK"/>
        </w:rPr>
      </w:pPr>
      <w:r w:rsidRPr="00CE42C8">
        <w:rPr>
          <w:szCs w:val="22"/>
          <w:lang w:val="sk-SK"/>
        </w:rPr>
        <w:t>Tento liek nevyžaduje žiadne zvláštne podmienky na uchovávanie.</w:t>
      </w:r>
    </w:p>
    <w:p w14:paraId="5429590A" w14:textId="77777777" w:rsidR="00CE42C8" w:rsidRPr="00CE42C8" w:rsidRDefault="00CE42C8" w:rsidP="00A37A56">
      <w:pPr>
        <w:pStyle w:val="Normlndobloku"/>
        <w:spacing w:after="0"/>
        <w:jc w:val="left"/>
        <w:rPr>
          <w:szCs w:val="22"/>
          <w:lang w:val="sk-SK" w:eastAsia="en-GB"/>
        </w:rPr>
      </w:pPr>
    </w:p>
    <w:p w14:paraId="12A901BA" w14:textId="77777777" w:rsidR="0019382D" w:rsidRPr="00CE42C8" w:rsidRDefault="00A72EBA" w:rsidP="00A37A56">
      <w:pPr>
        <w:pStyle w:val="Styl2"/>
        <w:numPr>
          <w:ilvl w:val="1"/>
          <w:numId w:val="10"/>
        </w:numPr>
        <w:spacing w:before="0" w:after="0"/>
        <w:ind w:left="680" w:hanging="680"/>
        <w:rPr>
          <w:szCs w:val="22"/>
          <w:lang w:val="sk-SK"/>
        </w:rPr>
      </w:pPr>
      <w:r w:rsidRPr="00CE42C8">
        <w:rPr>
          <w:szCs w:val="22"/>
          <w:lang w:val="sk-SK"/>
        </w:rPr>
        <w:t>Druh obalu a obsah balenia</w:t>
      </w:r>
    </w:p>
    <w:p w14:paraId="5149C121" w14:textId="77777777" w:rsidR="00CE42C8" w:rsidRDefault="00CE42C8" w:rsidP="00A37A56">
      <w:pPr>
        <w:pStyle w:val="Normlndobloku"/>
        <w:spacing w:after="0"/>
        <w:jc w:val="left"/>
        <w:rPr>
          <w:szCs w:val="22"/>
          <w:lang w:val="sk-SK"/>
        </w:rPr>
      </w:pPr>
    </w:p>
    <w:p w14:paraId="78B404A6" w14:textId="0AD03FAC" w:rsidR="007E68BB" w:rsidRPr="00CE42C8" w:rsidRDefault="007E68BB" w:rsidP="00A37A56">
      <w:pPr>
        <w:pStyle w:val="Normlndobloku"/>
        <w:spacing w:after="0"/>
        <w:jc w:val="left"/>
        <w:rPr>
          <w:szCs w:val="22"/>
          <w:lang w:val="sk-SK"/>
        </w:rPr>
      </w:pPr>
      <w:r w:rsidRPr="00CE42C8">
        <w:rPr>
          <w:szCs w:val="22"/>
          <w:lang w:val="sk-SK"/>
        </w:rPr>
        <w:t>150 ml alebo</w:t>
      </w:r>
      <w:r w:rsidR="007F3099" w:rsidRPr="00CE42C8">
        <w:rPr>
          <w:szCs w:val="22"/>
          <w:lang w:val="sk-SK"/>
        </w:rPr>
        <w:t xml:space="preserve"> 200 ml hnedé sklenené fľaš</w:t>
      </w:r>
      <w:r w:rsidR="002655D1" w:rsidRPr="00CE42C8">
        <w:rPr>
          <w:szCs w:val="22"/>
          <w:lang w:val="sk-SK"/>
        </w:rPr>
        <w:t>e</w:t>
      </w:r>
      <w:r w:rsidRPr="00CE42C8">
        <w:rPr>
          <w:szCs w:val="22"/>
          <w:lang w:val="sk-SK"/>
        </w:rPr>
        <w:t xml:space="preserve"> typu III (Ph.Eur) s jedným z týchto uzáverov:</w:t>
      </w:r>
    </w:p>
    <w:p w14:paraId="2D234A78" w14:textId="2CA8FE5D" w:rsidR="007E68BB" w:rsidRPr="00A77B3E" w:rsidRDefault="007E68BB" w:rsidP="00A37A56">
      <w:pPr>
        <w:pStyle w:val="Normlndoblokusodrkami"/>
        <w:spacing w:after="0"/>
        <w:jc w:val="left"/>
        <w:rPr>
          <w:noProof w:val="0"/>
          <w:szCs w:val="22"/>
          <w:lang w:val="sk-SK"/>
        </w:rPr>
      </w:pPr>
      <w:r w:rsidRPr="00A77B3E">
        <w:rPr>
          <w:noProof w:val="0"/>
          <w:szCs w:val="22"/>
          <w:lang w:val="sk-SK"/>
        </w:rPr>
        <w:t>Hliníkové viečko. Súčasťou balenia je plastová lyžička s</w:t>
      </w:r>
      <w:r w:rsidR="00DB7D9B" w:rsidRPr="00A77B3E">
        <w:rPr>
          <w:noProof w:val="0"/>
          <w:szCs w:val="22"/>
          <w:lang w:val="sk-SK"/>
        </w:rPr>
        <w:t> </w:t>
      </w:r>
      <w:r w:rsidRPr="00A77B3E">
        <w:rPr>
          <w:noProof w:val="0"/>
          <w:szCs w:val="22"/>
          <w:lang w:val="sk-SK"/>
        </w:rPr>
        <w:t>diel</w:t>
      </w:r>
      <w:r w:rsidR="00DB7D9B" w:rsidRPr="00A77B3E">
        <w:rPr>
          <w:noProof w:val="0"/>
          <w:szCs w:val="22"/>
          <w:lang w:val="sk-SK"/>
        </w:rPr>
        <w:t>mi po</w:t>
      </w:r>
      <w:r w:rsidRPr="00A77B3E">
        <w:rPr>
          <w:noProof w:val="0"/>
          <w:szCs w:val="22"/>
          <w:lang w:val="sk-SK"/>
        </w:rPr>
        <w:t xml:space="preserve"> 2,5 ml a 5 ml.</w:t>
      </w:r>
    </w:p>
    <w:p w14:paraId="3DECA24E" w14:textId="3F3C94BA" w:rsidR="007E68BB" w:rsidRPr="00570EF3" w:rsidRDefault="007E68BB" w:rsidP="00A37A56">
      <w:pPr>
        <w:pStyle w:val="Normlndoblokusodrkami"/>
        <w:spacing w:after="0"/>
        <w:jc w:val="left"/>
        <w:rPr>
          <w:noProof w:val="0"/>
          <w:szCs w:val="22"/>
          <w:lang w:val="sk-SK"/>
        </w:rPr>
      </w:pPr>
      <w:r w:rsidRPr="00A77B3E">
        <w:rPr>
          <w:noProof w:val="0"/>
          <w:szCs w:val="22"/>
          <w:lang w:val="sk-SK"/>
        </w:rPr>
        <w:t xml:space="preserve">Plastové </w:t>
      </w:r>
      <w:r w:rsidR="00DB7D9B" w:rsidRPr="008F20B2">
        <w:rPr>
          <w:noProof w:val="0"/>
          <w:szCs w:val="22"/>
          <w:lang w:val="sk-SK"/>
        </w:rPr>
        <w:t xml:space="preserve">poistné </w:t>
      </w:r>
      <w:r w:rsidRPr="008F20B2">
        <w:rPr>
          <w:noProof w:val="0"/>
          <w:szCs w:val="22"/>
          <w:lang w:val="sk-SK"/>
        </w:rPr>
        <w:t>viečko. Súčasťou balenia je plastová odmerka s</w:t>
      </w:r>
      <w:r w:rsidR="00DB7D9B" w:rsidRPr="008F20B2">
        <w:rPr>
          <w:noProof w:val="0"/>
          <w:szCs w:val="22"/>
          <w:lang w:val="sk-SK"/>
        </w:rPr>
        <w:t> </w:t>
      </w:r>
      <w:r w:rsidRPr="008F20B2">
        <w:rPr>
          <w:noProof w:val="0"/>
          <w:szCs w:val="22"/>
          <w:lang w:val="sk-SK"/>
        </w:rPr>
        <w:t>diel</w:t>
      </w:r>
      <w:r w:rsidR="00DB7D9B" w:rsidRPr="008F20B2">
        <w:rPr>
          <w:noProof w:val="0"/>
          <w:szCs w:val="22"/>
          <w:lang w:val="sk-SK"/>
        </w:rPr>
        <w:t>mi po</w:t>
      </w:r>
      <w:r w:rsidRPr="00570EF3">
        <w:rPr>
          <w:noProof w:val="0"/>
          <w:szCs w:val="22"/>
          <w:lang w:val="sk-SK"/>
        </w:rPr>
        <w:t xml:space="preserve"> 5 ml, 10 ml, 15 ml a 20 ml.</w:t>
      </w:r>
    </w:p>
    <w:p w14:paraId="3A1B5377" w14:textId="574E9F73" w:rsidR="007E68BB" w:rsidRPr="00A37A56" w:rsidRDefault="007E68BB" w:rsidP="00A37A56">
      <w:pPr>
        <w:pStyle w:val="Normlndoblokusodrkami"/>
        <w:spacing w:after="0"/>
        <w:jc w:val="left"/>
        <w:rPr>
          <w:noProof w:val="0"/>
          <w:szCs w:val="22"/>
          <w:lang w:val="sk-SK"/>
        </w:rPr>
      </w:pPr>
      <w:r w:rsidRPr="000D1DE1">
        <w:rPr>
          <w:noProof w:val="0"/>
          <w:szCs w:val="22"/>
          <w:lang w:val="sk-SK"/>
        </w:rPr>
        <w:t>Plastové viečko s</w:t>
      </w:r>
      <w:r w:rsidR="00DB7D9B" w:rsidRPr="000D1DE1">
        <w:rPr>
          <w:noProof w:val="0"/>
          <w:szCs w:val="22"/>
          <w:lang w:val="sk-SK"/>
        </w:rPr>
        <w:t xml:space="preserve"> detskou </w:t>
      </w:r>
      <w:r w:rsidRPr="000D1DE1">
        <w:rPr>
          <w:noProof w:val="0"/>
          <w:szCs w:val="22"/>
          <w:lang w:val="sk-SK"/>
        </w:rPr>
        <w:t>poistkou. Súčasťou balenia je plastová odmerka s</w:t>
      </w:r>
      <w:r w:rsidR="00DB7D9B" w:rsidRPr="000D1DE1">
        <w:rPr>
          <w:noProof w:val="0"/>
          <w:szCs w:val="22"/>
          <w:lang w:val="sk-SK"/>
        </w:rPr>
        <w:t> </w:t>
      </w:r>
      <w:r w:rsidRPr="000D1DE1">
        <w:rPr>
          <w:noProof w:val="0"/>
          <w:szCs w:val="22"/>
          <w:lang w:val="sk-SK"/>
        </w:rPr>
        <w:t>diel</w:t>
      </w:r>
      <w:r w:rsidR="00DB7D9B" w:rsidRPr="000D1DE1">
        <w:rPr>
          <w:noProof w:val="0"/>
          <w:szCs w:val="22"/>
          <w:lang w:val="sk-SK"/>
        </w:rPr>
        <w:t>mi po</w:t>
      </w:r>
      <w:r w:rsidRPr="00A37A56">
        <w:rPr>
          <w:noProof w:val="0"/>
          <w:szCs w:val="22"/>
          <w:lang w:val="sk-SK"/>
        </w:rPr>
        <w:t xml:space="preserve"> 2 ml, 2,5 ml, 3 ml, 4 ml, 5 ml, 6 ml, 7 ml, 7,5 ml, 8 ml, 9 ml, 10 ml, 11 ml, 12 ml, 12,5 ml a 15 ml.</w:t>
      </w:r>
    </w:p>
    <w:p w14:paraId="2BE12E74" w14:textId="77777777" w:rsidR="00CE42C8" w:rsidRDefault="00CE42C8" w:rsidP="00A37A56">
      <w:pPr>
        <w:pStyle w:val="Normlndobloku"/>
        <w:spacing w:after="0"/>
        <w:jc w:val="left"/>
        <w:rPr>
          <w:szCs w:val="22"/>
          <w:lang w:val="sk-SK"/>
        </w:rPr>
      </w:pPr>
    </w:p>
    <w:p w14:paraId="455DE0DC" w14:textId="77777777" w:rsidR="00A72EBA" w:rsidRDefault="00A72EBA" w:rsidP="00A37A56">
      <w:pPr>
        <w:pStyle w:val="Normlndobloku"/>
        <w:spacing w:after="0"/>
        <w:jc w:val="left"/>
        <w:rPr>
          <w:szCs w:val="22"/>
          <w:lang w:val="sk-SK"/>
        </w:rPr>
      </w:pPr>
      <w:r w:rsidRPr="00CE42C8">
        <w:rPr>
          <w:szCs w:val="22"/>
          <w:lang w:val="sk-SK"/>
        </w:rPr>
        <w:t>Na trh nemusia byť uvedené všetky veľkosti balenia.</w:t>
      </w:r>
    </w:p>
    <w:p w14:paraId="1582E96E" w14:textId="77777777" w:rsidR="00CE42C8" w:rsidRPr="00CE42C8" w:rsidRDefault="00CE42C8" w:rsidP="00A37A56">
      <w:pPr>
        <w:pStyle w:val="Normlndobloku"/>
        <w:spacing w:after="0"/>
        <w:jc w:val="left"/>
        <w:rPr>
          <w:szCs w:val="22"/>
          <w:lang w:val="sk-SK"/>
        </w:rPr>
      </w:pPr>
    </w:p>
    <w:p w14:paraId="3D882F97" w14:textId="77777777" w:rsidR="007D0986" w:rsidRPr="00CE42C8" w:rsidRDefault="00A72EBA" w:rsidP="00A37A56">
      <w:pPr>
        <w:pStyle w:val="Styl2"/>
        <w:numPr>
          <w:ilvl w:val="1"/>
          <w:numId w:val="10"/>
        </w:numPr>
        <w:spacing w:before="0" w:after="0"/>
        <w:ind w:left="680" w:hanging="680"/>
        <w:rPr>
          <w:szCs w:val="22"/>
          <w:lang w:val="sk-SK"/>
        </w:rPr>
      </w:pPr>
      <w:r w:rsidRPr="00CE42C8">
        <w:rPr>
          <w:szCs w:val="22"/>
          <w:lang w:val="sk-SK"/>
        </w:rPr>
        <w:lastRenderedPageBreak/>
        <w:t>Špeciálne opatrenia na likvidáciu</w:t>
      </w:r>
    </w:p>
    <w:p w14:paraId="5A41DDA7" w14:textId="77777777" w:rsidR="00CE42C8" w:rsidRDefault="00CE42C8" w:rsidP="00A37A56">
      <w:pPr>
        <w:pStyle w:val="Normlndobloku"/>
        <w:spacing w:after="0"/>
        <w:jc w:val="left"/>
        <w:rPr>
          <w:szCs w:val="22"/>
          <w:lang w:val="sk-SK"/>
        </w:rPr>
      </w:pPr>
    </w:p>
    <w:p w14:paraId="2C967B43" w14:textId="77777777" w:rsidR="000C069D" w:rsidRPr="00CE42C8" w:rsidRDefault="000C069D" w:rsidP="00A37A56">
      <w:pPr>
        <w:pStyle w:val="Normlndobloku"/>
        <w:spacing w:after="0"/>
        <w:jc w:val="left"/>
        <w:rPr>
          <w:szCs w:val="22"/>
          <w:lang w:val="sk-SK"/>
        </w:rPr>
      </w:pPr>
      <w:r w:rsidRPr="00CE42C8">
        <w:rPr>
          <w:szCs w:val="22"/>
          <w:lang w:val="sk-SK"/>
        </w:rPr>
        <w:t>Žiadne zvláštne požiadavky.</w:t>
      </w:r>
    </w:p>
    <w:p w14:paraId="38171723" w14:textId="77777777" w:rsidR="00CE42C8" w:rsidRDefault="00CE42C8" w:rsidP="00A37A56">
      <w:pPr>
        <w:pStyle w:val="Normlndobloku"/>
        <w:spacing w:after="0"/>
        <w:jc w:val="left"/>
        <w:rPr>
          <w:szCs w:val="22"/>
          <w:lang w:val="sk-SK"/>
        </w:rPr>
      </w:pPr>
    </w:p>
    <w:p w14:paraId="24039727" w14:textId="77777777" w:rsidR="007D0986" w:rsidRDefault="007D0986" w:rsidP="00A37A56">
      <w:pPr>
        <w:pStyle w:val="Normlndobloku"/>
        <w:spacing w:after="0"/>
        <w:jc w:val="left"/>
        <w:rPr>
          <w:szCs w:val="22"/>
          <w:lang w:val="sk-SK"/>
        </w:rPr>
      </w:pPr>
      <w:r w:rsidRPr="00CE42C8">
        <w:rPr>
          <w:szCs w:val="22"/>
          <w:lang w:val="sk-SK"/>
        </w:rPr>
        <w:t>Všetok nepoužitý liek alebo odpad vzniknutý z lieku sa má zlikvidovať</w:t>
      </w:r>
      <w:r w:rsidR="000C069D" w:rsidRPr="00CE42C8">
        <w:rPr>
          <w:szCs w:val="22"/>
          <w:lang w:val="sk-SK"/>
        </w:rPr>
        <w:t xml:space="preserve"> v súlade</w:t>
      </w:r>
      <w:r w:rsidRPr="00CE42C8">
        <w:rPr>
          <w:szCs w:val="22"/>
          <w:lang w:val="sk-SK"/>
        </w:rPr>
        <w:t xml:space="preserve"> s národnými požiadavkami.</w:t>
      </w:r>
    </w:p>
    <w:p w14:paraId="78BFE95C" w14:textId="77777777" w:rsidR="00CE42C8" w:rsidRDefault="00CE42C8" w:rsidP="00A37A56">
      <w:pPr>
        <w:pStyle w:val="Normlndobloku"/>
        <w:spacing w:after="0"/>
        <w:jc w:val="left"/>
        <w:rPr>
          <w:szCs w:val="22"/>
          <w:lang w:val="sk-SK"/>
        </w:rPr>
      </w:pPr>
    </w:p>
    <w:p w14:paraId="75686ABA" w14:textId="77777777" w:rsidR="00CE42C8" w:rsidRPr="00CE42C8" w:rsidRDefault="00CE42C8" w:rsidP="00A37A56">
      <w:pPr>
        <w:pStyle w:val="Normlndobloku"/>
        <w:spacing w:after="0"/>
        <w:jc w:val="left"/>
        <w:rPr>
          <w:szCs w:val="22"/>
          <w:lang w:val="sk-SK" w:eastAsia="en-GB"/>
        </w:rPr>
      </w:pPr>
    </w:p>
    <w:p w14:paraId="38CA7687" w14:textId="77777777" w:rsidR="00A72EBA" w:rsidRPr="00CE42C8" w:rsidRDefault="005D4C05" w:rsidP="00A37A56">
      <w:pPr>
        <w:pStyle w:val="Styl1"/>
        <w:numPr>
          <w:ilvl w:val="0"/>
          <w:numId w:val="10"/>
        </w:numPr>
        <w:spacing w:before="0" w:after="0"/>
        <w:ind w:left="357" w:hanging="357"/>
        <w:rPr>
          <w:szCs w:val="22"/>
          <w:lang w:val="sk-SK"/>
        </w:rPr>
      </w:pPr>
      <w:r w:rsidRPr="00CE42C8">
        <w:rPr>
          <w:szCs w:val="22"/>
          <w:lang w:val="sk-SK"/>
        </w:rPr>
        <w:t>DRŽITEĽ ROZHODNUTIA O </w:t>
      </w:r>
      <w:r w:rsidR="00A72EBA" w:rsidRPr="00CE42C8">
        <w:rPr>
          <w:szCs w:val="22"/>
          <w:lang w:val="sk-SK"/>
        </w:rPr>
        <w:t>REGISTRÁCII</w:t>
      </w:r>
    </w:p>
    <w:p w14:paraId="41D34899" w14:textId="77777777" w:rsidR="00CE42C8" w:rsidRDefault="00CE42C8" w:rsidP="00A37A56">
      <w:pPr>
        <w:pStyle w:val="Normlndobloku"/>
        <w:spacing w:after="0"/>
        <w:jc w:val="left"/>
        <w:rPr>
          <w:szCs w:val="22"/>
          <w:lang w:val="sk-SK"/>
        </w:rPr>
      </w:pPr>
    </w:p>
    <w:p w14:paraId="25692D53" w14:textId="77777777" w:rsidR="008F20B2" w:rsidRDefault="00C40F17" w:rsidP="00A37A56">
      <w:pPr>
        <w:pStyle w:val="Normlndobloku"/>
        <w:spacing w:after="0"/>
        <w:jc w:val="left"/>
        <w:rPr>
          <w:szCs w:val="22"/>
          <w:lang w:val="sk-SK"/>
        </w:rPr>
      </w:pPr>
      <w:r w:rsidRPr="00CE42C8">
        <w:rPr>
          <w:szCs w:val="22"/>
          <w:lang w:val="sk-SK"/>
        </w:rPr>
        <w:t xml:space="preserve">MEDOCHEMIE </w:t>
      </w:r>
      <w:proofErr w:type="spellStart"/>
      <w:r w:rsidRPr="00CE42C8">
        <w:rPr>
          <w:szCs w:val="22"/>
          <w:lang w:val="sk-SK"/>
        </w:rPr>
        <w:t>Ltd</w:t>
      </w:r>
      <w:proofErr w:type="spellEnd"/>
      <w:r w:rsidRPr="00CE42C8">
        <w:rPr>
          <w:szCs w:val="22"/>
          <w:lang w:val="sk-SK"/>
        </w:rPr>
        <w:t>.</w:t>
      </w:r>
    </w:p>
    <w:p w14:paraId="4CC95EA9" w14:textId="4472D10F" w:rsidR="008F20B2" w:rsidRDefault="00C40F17" w:rsidP="00A37A56">
      <w:pPr>
        <w:pStyle w:val="Normlndobloku"/>
        <w:spacing w:after="0"/>
        <w:jc w:val="left"/>
        <w:rPr>
          <w:szCs w:val="22"/>
          <w:lang w:val="sk-SK"/>
        </w:rPr>
      </w:pPr>
      <w:r w:rsidRPr="00CE42C8">
        <w:rPr>
          <w:szCs w:val="22"/>
          <w:lang w:val="sk-SK"/>
        </w:rPr>
        <w:t xml:space="preserve">1-10 </w:t>
      </w:r>
      <w:proofErr w:type="spellStart"/>
      <w:r w:rsidRPr="00CE42C8">
        <w:rPr>
          <w:szCs w:val="22"/>
          <w:lang w:val="sk-SK"/>
        </w:rPr>
        <w:t>Con</w:t>
      </w:r>
      <w:r w:rsidR="001F39FB" w:rsidRPr="00CE42C8">
        <w:rPr>
          <w:szCs w:val="22"/>
          <w:lang w:val="sk-SK"/>
        </w:rPr>
        <w:t>stantinoupoleos</w:t>
      </w:r>
      <w:proofErr w:type="spellEnd"/>
      <w:r w:rsidR="001F39FB" w:rsidRPr="00CE42C8">
        <w:rPr>
          <w:szCs w:val="22"/>
          <w:lang w:val="sk-SK"/>
        </w:rPr>
        <w:t xml:space="preserve"> </w:t>
      </w:r>
      <w:proofErr w:type="spellStart"/>
      <w:r w:rsidR="001F39FB" w:rsidRPr="00CE42C8">
        <w:rPr>
          <w:szCs w:val="22"/>
          <w:lang w:val="sk-SK"/>
        </w:rPr>
        <w:t>Street</w:t>
      </w:r>
      <w:proofErr w:type="spellEnd"/>
    </w:p>
    <w:p w14:paraId="5B31E51E" w14:textId="1D9503E1" w:rsidR="008F20B2" w:rsidRDefault="001F39FB" w:rsidP="00A37A56">
      <w:pPr>
        <w:pStyle w:val="Normlndobloku"/>
        <w:spacing w:after="0"/>
        <w:jc w:val="left"/>
        <w:rPr>
          <w:szCs w:val="22"/>
          <w:lang w:val="sk-SK"/>
        </w:rPr>
      </w:pPr>
      <w:r w:rsidRPr="00CE42C8">
        <w:rPr>
          <w:szCs w:val="22"/>
          <w:lang w:val="sk-SK"/>
        </w:rPr>
        <w:t xml:space="preserve">3011 </w:t>
      </w:r>
      <w:proofErr w:type="spellStart"/>
      <w:r w:rsidRPr="00CE42C8">
        <w:rPr>
          <w:szCs w:val="22"/>
          <w:lang w:val="sk-SK"/>
        </w:rPr>
        <w:t>Limassol</w:t>
      </w:r>
      <w:proofErr w:type="spellEnd"/>
    </w:p>
    <w:p w14:paraId="06217D4C" w14:textId="242F8FCF" w:rsidR="001F39FB" w:rsidRDefault="001F39FB" w:rsidP="00A37A56">
      <w:pPr>
        <w:pStyle w:val="Normlndobloku"/>
        <w:spacing w:after="0"/>
        <w:jc w:val="left"/>
        <w:rPr>
          <w:szCs w:val="22"/>
          <w:lang w:val="sk-SK"/>
        </w:rPr>
      </w:pPr>
      <w:r w:rsidRPr="00CE42C8">
        <w:rPr>
          <w:szCs w:val="22"/>
          <w:lang w:val="sk-SK"/>
        </w:rPr>
        <w:t>Cyprus</w:t>
      </w:r>
    </w:p>
    <w:p w14:paraId="0AF516A5" w14:textId="77777777" w:rsidR="00CE42C8" w:rsidRDefault="00CE42C8" w:rsidP="00A37A56">
      <w:pPr>
        <w:pStyle w:val="Normlndobloku"/>
        <w:spacing w:after="0"/>
        <w:jc w:val="left"/>
        <w:rPr>
          <w:szCs w:val="22"/>
          <w:lang w:val="sk-SK"/>
        </w:rPr>
      </w:pPr>
    </w:p>
    <w:p w14:paraId="777262CC" w14:textId="77777777" w:rsidR="00CE42C8" w:rsidRPr="00CE42C8" w:rsidRDefault="00CE42C8" w:rsidP="00A37A56">
      <w:pPr>
        <w:pStyle w:val="Normlndobloku"/>
        <w:spacing w:after="0"/>
        <w:jc w:val="left"/>
        <w:rPr>
          <w:szCs w:val="22"/>
          <w:lang w:val="sk-SK"/>
        </w:rPr>
      </w:pPr>
    </w:p>
    <w:p w14:paraId="7AF1A63E" w14:textId="77777777" w:rsidR="005D4C05" w:rsidRPr="00CE42C8" w:rsidRDefault="00A72EBA" w:rsidP="00A37A56">
      <w:pPr>
        <w:pStyle w:val="Styl1"/>
        <w:numPr>
          <w:ilvl w:val="0"/>
          <w:numId w:val="10"/>
        </w:numPr>
        <w:spacing w:before="0" w:after="0"/>
        <w:ind w:left="357" w:hanging="357"/>
        <w:rPr>
          <w:szCs w:val="22"/>
          <w:lang w:val="sk-SK"/>
        </w:rPr>
      </w:pPr>
      <w:r w:rsidRPr="00CE42C8">
        <w:rPr>
          <w:szCs w:val="22"/>
          <w:lang w:val="sk-SK"/>
        </w:rPr>
        <w:t>R</w:t>
      </w:r>
      <w:r w:rsidR="005D4C05" w:rsidRPr="00CE42C8">
        <w:rPr>
          <w:szCs w:val="22"/>
          <w:lang w:val="sk-SK"/>
        </w:rPr>
        <w:t>EGISTRAČNÉ ČÍSLO</w:t>
      </w:r>
    </w:p>
    <w:p w14:paraId="7A45286A" w14:textId="77777777" w:rsidR="00CE42C8" w:rsidRDefault="00CE42C8" w:rsidP="00A37A56">
      <w:pPr>
        <w:pStyle w:val="Normlndobloku"/>
        <w:spacing w:after="0"/>
        <w:jc w:val="left"/>
        <w:rPr>
          <w:szCs w:val="22"/>
          <w:lang w:val="sk-SK"/>
        </w:rPr>
      </w:pPr>
    </w:p>
    <w:p w14:paraId="4039A4B8" w14:textId="1B1F4E37" w:rsidR="008C34C7" w:rsidRDefault="008C34C7" w:rsidP="00A37A56">
      <w:pPr>
        <w:pStyle w:val="Normlndobloku"/>
        <w:spacing w:after="0"/>
        <w:jc w:val="left"/>
        <w:rPr>
          <w:szCs w:val="22"/>
          <w:lang w:val="sk-SK"/>
        </w:rPr>
      </w:pPr>
      <w:r w:rsidRPr="00CE42C8">
        <w:rPr>
          <w:szCs w:val="22"/>
          <w:lang w:val="sk-SK"/>
        </w:rPr>
        <w:t>36/0149/17-S</w:t>
      </w:r>
    </w:p>
    <w:p w14:paraId="4A2C5189" w14:textId="77777777" w:rsidR="00CE42C8" w:rsidRDefault="00CE42C8" w:rsidP="00A37A56">
      <w:pPr>
        <w:pStyle w:val="Normlndobloku"/>
        <w:spacing w:after="0"/>
        <w:jc w:val="left"/>
        <w:rPr>
          <w:szCs w:val="22"/>
          <w:lang w:val="sk-SK"/>
        </w:rPr>
      </w:pPr>
    </w:p>
    <w:p w14:paraId="2140C552" w14:textId="77777777" w:rsidR="00CE42C8" w:rsidRPr="00CE42C8" w:rsidRDefault="00CE42C8" w:rsidP="00A37A56">
      <w:pPr>
        <w:pStyle w:val="Normlndobloku"/>
        <w:spacing w:after="0"/>
        <w:jc w:val="left"/>
        <w:rPr>
          <w:szCs w:val="22"/>
          <w:lang w:val="sk-SK"/>
        </w:rPr>
      </w:pPr>
    </w:p>
    <w:p w14:paraId="0930D8A3" w14:textId="77777777" w:rsidR="00A72EBA" w:rsidRPr="00CE42C8" w:rsidRDefault="00A72EBA" w:rsidP="00A37A56">
      <w:pPr>
        <w:pStyle w:val="Styl1"/>
        <w:numPr>
          <w:ilvl w:val="0"/>
          <w:numId w:val="10"/>
        </w:numPr>
        <w:spacing w:before="0" w:after="0"/>
        <w:rPr>
          <w:szCs w:val="22"/>
          <w:lang w:val="sk-SK"/>
        </w:rPr>
      </w:pPr>
      <w:r w:rsidRPr="00CE42C8">
        <w:rPr>
          <w:szCs w:val="22"/>
          <w:lang w:val="sk-SK"/>
        </w:rPr>
        <w:t>DÁTUM PRVEJ REGISTRÁCIE/PREDĹŽENIA REGISTRÁCIE</w:t>
      </w:r>
    </w:p>
    <w:p w14:paraId="1C04E254" w14:textId="77777777" w:rsidR="00CE42C8" w:rsidRDefault="00CE42C8" w:rsidP="00A37A56">
      <w:pPr>
        <w:pStyle w:val="Normlndobloku"/>
        <w:spacing w:after="0"/>
        <w:jc w:val="left"/>
        <w:rPr>
          <w:szCs w:val="22"/>
          <w:lang w:val="sk-SK"/>
        </w:rPr>
      </w:pPr>
    </w:p>
    <w:p w14:paraId="31F38FED" w14:textId="511C9131" w:rsidR="00A72EBA" w:rsidRPr="00CE42C8" w:rsidRDefault="00A72EBA" w:rsidP="00A37A56">
      <w:pPr>
        <w:pStyle w:val="Normlndobloku"/>
        <w:spacing w:after="0"/>
        <w:jc w:val="left"/>
        <w:rPr>
          <w:szCs w:val="22"/>
          <w:lang w:val="sk-SK"/>
        </w:rPr>
      </w:pPr>
      <w:r w:rsidRPr="00CE42C8">
        <w:rPr>
          <w:szCs w:val="22"/>
          <w:lang w:val="sk-SK"/>
        </w:rPr>
        <w:t>Dátum prvej registrácie:</w:t>
      </w:r>
      <w:r w:rsidR="001F39FB" w:rsidRPr="00CE42C8">
        <w:rPr>
          <w:szCs w:val="22"/>
          <w:lang w:val="sk-SK"/>
        </w:rPr>
        <w:t xml:space="preserve"> 22. mája 2017</w:t>
      </w:r>
    </w:p>
    <w:p w14:paraId="139C0BB1" w14:textId="1B086162" w:rsidR="0042021C" w:rsidRDefault="00A72EBA" w:rsidP="00A37A56">
      <w:pPr>
        <w:pStyle w:val="Normlndobloku"/>
        <w:spacing w:after="0"/>
        <w:jc w:val="left"/>
        <w:rPr>
          <w:szCs w:val="22"/>
          <w:lang w:val="sk-SK"/>
        </w:rPr>
      </w:pPr>
      <w:r w:rsidRPr="00A77B3E">
        <w:rPr>
          <w:szCs w:val="22"/>
          <w:lang w:val="sk-SK"/>
        </w:rPr>
        <w:t>Dátum posledného predĺženia registrácie:</w:t>
      </w:r>
    </w:p>
    <w:p w14:paraId="026B81BE" w14:textId="77777777" w:rsidR="00CE42C8" w:rsidRDefault="00CE42C8" w:rsidP="00A37A56">
      <w:pPr>
        <w:pStyle w:val="Normlndobloku"/>
        <w:spacing w:after="0"/>
        <w:jc w:val="left"/>
        <w:rPr>
          <w:szCs w:val="22"/>
          <w:lang w:val="sk-SK"/>
        </w:rPr>
      </w:pPr>
    </w:p>
    <w:p w14:paraId="715D059A" w14:textId="77777777" w:rsidR="00CE42C8" w:rsidRPr="00CE42C8" w:rsidRDefault="00CE42C8" w:rsidP="00A37A56">
      <w:pPr>
        <w:pStyle w:val="Normlndobloku"/>
        <w:spacing w:after="0"/>
        <w:jc w:val="left"/>
        <w:rPr>
          <w:szCs w:val="22"/>
          <w:lang w:val="sk-SK"/>
        </w:rPr>
      </w:pPr>
    </w:p>
    <w:p w14:paraId="60B2B7A3" w14:textId="77777777" w:rsidR="00A72EBA" w:rsidRPr="00CE42C8" w:rsidRDefault="00A72EBA" w:rsidP="00A37A56">
      <w:pPr>
        <w:pStyle w:val="Styl1"/>
        <w:numPr>
          <w:ilvl w:val="0"/>
          <w:numId w:val="10"/>
        </w:numPr>
        <w:spacing w:before="0" w:after="0"/>
        <w:ind w:left="357" w:hanging="357"/>
        <w:rPr>
          <w:szCs w:val="22"/>
          <w:lang w:val="sk-SK"/>
        </w:rPr>
      </w:pPr>
      <w:r w:rsidRPr="00CE42C8">
        <w:rPr>
          <w:szCs w:val="22"/>
          <w:lang w:val="sk-SK"/>
        </w:rPr>
        <w:t>DÁTUM REVÍZIE TEXTU</w:t>
      </w:r>
    </w:p>
    <w:p w14:paraId="18ACCBE7" w14:textId="77777777" w:rsidR="00CE42C8" w:rsidRDefault="00CE42C8" w:rsidP="00E64498">
      <w:pPr>
        <w:rPr>
          <w:szCs w:val="22"/>
          <w:lang w:val="sk-SK"/>
        </w:rPr>
      </w:pPr>
    </w:p>
    <w:p w14:paraId="433BD755" w14:textId="5957E629" w:rsidR="004277C7" w:rsidRPr="00A77B3E" w:rsidRDefault="002E26F4" w:rsidP="00E64498">
      <w:pPr>
        <w:rPr>
          <w:szCs w:val="22"/>
          <w:lang w:val="sk-SK"/>
        </w:rPr>
      </w:pPr>
      <w:r w:rsidRPr="00CE42C8">
        <w:rPr>
          <w:szCs w:val="22"/>
          <w:lang w:val="sk-SK"/>
        </w:rPr>
        <w:t>0</w:t>
      </w:r>
      <w:r w:rsidR="0029335B" w:rsidRPr="00CE42C8">
        <w:rPr>
          <w:szCs w:val="22"/>
          <w:lang w:val="sk-SK"/>
        </w:rPr>
        <w:t>7</w:t>
      </w:r>
      <w:r w:rsidRPr="00A77B3E">
        <w:rPr>
          <w:szCs w:val="22"/>
          <w:lang w:val="sk-SK"/>
        </w:rPr>
        <w:t>/2017</w:t>
      </w:r>
    </w:p>
    <w:sectPr w:rsidR="004277C7" w:rsidRPr="00A77B3E" w:rsidSect="00A37A56"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134" w:right="1418" w:bottom="1134" w:left="1418" w:header="737" w:footer="73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9BCEC7" w14:textId="77777777" w:rsidR="00067AAE" w:rsidRDefault="00067AAE">
      <w:r>
        <w:separator/>
      </w:r>
    </w:p>
  </w:endnote>
  <w:endnote w:type="continuationSeparator" w:id="0">
    <w:p w14:paraId="6654C8C0" w14:textId="77777777" w:rsidR="00067AAE" w:rsidRDefault="00067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">
    <w:altName w:val="MS Gothic"/>
    <w:panose1 w:val="00000000000000000000"/>
    <w:charset w:val="00"/>
    <w:family w:val="roman"/>
    <w:notTrueType/>
    <w:pitch w:val="default"/>
    <w:sig w:usb0="00000000" w:usb1="08070000" w:usb2="00000010" w:usb3="00000000" w:csb0="0002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2F9C23" w14:textId="77777777" w:rsidR="00B448D5" w:rsidRDefault="00B448D5" w:rsidP="00C821C7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5E85AADA" w14:textId="77777777" w:rsidR="00B448D5" w:rsidRDefault="00B448D5" w:rsidP="00C821C7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92D5DE" w14:textId="68191405" w:rsidR="00B448D5" w:rsidRPr="00A37A56" w:rsidRDefault="00B448D5" w:rsidP="00C821C7">
    <w:pPr>
      <w:pStyle w:val="Pta"/>
      <w:jc w:val="center"/>
      <w:rPr>
        <w:sz w:val="18"/>
        <w:szCs w:val="22"/>
      </w:rPr>
    </w:pPr>
    <w:r w:rsidRPr="00A37A56">
      <w:rPr>
        <w:sz w:val="18"/>
        <w:szCs w:val="22"/>
      </w:rPr>
      <w:fldChar w:fldCharType="begin"/>
    </w:r>
    <w:r w:rsidRPr="00A37A56">
      <w:rPr>
        <w:sz w:val="18"/>
        <w:szCs w:val="22"/>
      </w:rPr>
      <w:instrText>PAGE</w:instrText>
    </w:r>
    <w:r w:rsidRPr="00A37A56">
      <w:rPr>
        <w:sz w:val="18"/>
        <w:szCs w:val="22"/>
      </w:rPr>
      <w:fldChar w:fldCharType="separate"/>
    </w:r>
    <w:r w:rsidR="00A37A56">
      <w:rPr>
        <w:noProof/>
        <w:sz w:val="18"/>
        <w:szCs w:val="22"/>
      </w:rPr>
      <w:t>7</w:t>
    </w:r>
    <w:r w:rsidRPr="00A37A56">
      <w:rPr>
        <w:sz w:val="18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D86EE5" w14:textId="65A154BF" w:rsidR="00B448D5" w:rsidRPr="00A37A56" w:rsidRDefault="00B448D5" w:rsidP="00C821C7">
    <w:pPr>
      <w:pStyle w:val="Pta"/>
      <w:jc w:val="center"/>
      <w:rPr>
        <w:sz w:val="18"/>
        <w:szCs w:val="22"/>
      </w:rPr>
    </w:pPr>
    <w:r w:rsidRPr="00A37A56">
      <w:rPr>
        <w:sz w:val="18"/>
        <w:szCs w:val="22"/>
      </w:rPr>
      <w:fldChar w:fldCharType="begin"/>
    </w:r>
    <w:r w:rsidRPr="00A37A56">
      <w:rPr>
        <w:sz w:val="18"/>
        <w:szCs w:val="22"/>
      </w:rPr>
      <w:instrText>PAGE</w:instrText>
    </w:r>
    <w:r w:rsidRPr="00A37A56">
      <w:rPr>
        <w:sz w:val="18"/>
        <w:szCs w:val="22"/>
      </w:rPr>
      <w:fldChar w:fldCharType="separate"/>
    </w:r>
    <w:r w:rsidR="00A37A56">
      <w:rPr>
        <w:noProof/>
        <w:sz w:val="18"/>
        <w:szCs w:val="22"/>
      </w:rPr>
      <w:t>1</w:t>
    </w:r>
    <w:r w:rsidRPr="00A37A56">
      <w:rPr>
        <w:sz w:val="18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BFB3A1" w14:textId="77777777" w:rsidR="00067AAE" w:rsidRDefault="00067AAE">
      <w:r>
        <w:separator/>
      </w:r>
    </w:p>
  </w:footnote>
  <w:footnote w:type="continuationSeparator" w:id="0">
    <w:p w14:paraId="183AD19B" w14:textId="77777777" w:rsidR="00067AAE" w:rsidRDefault="00067A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DE5923" w14:textId="1F86449A" w:rsidR="00B448D5" w:rsidRPr="00E64498" w:rsidRDefault="00B448D5" w:rsidP="00C821C7">
    <w:pPr>
      <w:outlineLvl w:val="0"/>
      <w:rPr>
        <w:noProof/>
        <w:sz w:val="18"/>
        <w:szCs w:val="18"/>
        <w:lang w:val="sk-SK" w:eastAsia="en-GB"/>
      </w:rPr>
    </w:pPr>
    <w:r w:rsidRPr="00E64498">
      <w:rPr>
        <w:noProof/>
        <w:sz w:val="18"/>
        <w:szCs w:val="18"/>
        <w:lang w:val="sk-SK" w:eastAsia="en-GB"/>
      </w:rPr>
      <w:t>Schválený text</w:t>
    </w:r>
    <w:r w:rsidRPr="00E64498">
      <w:rPr>
        <w:sz w:val="18"/>
        <w:szCs w:val="18"/>
        <w:lang w:val="sk-SK"/>
      </w:rPr>
      <w:t xml:space="preserve"> k</w:t>
    </w:r>
    <w:r w:rsidRPr="00E64498">
      <w:rPr>
        <w:noProof/>
        <w:sz w:val="18"/>
        <w:szCs w:val="18"/>
        <w:lang w:val="sk-SK" w:eastAsia="en-GB"/>
      </w:rPr>
      <w:t xml:space="preserve"> r</w:t>
    </w:r>
    <w:r w:rsidRPr="00E64498">
      <w:rPr>
        <w:sz w:val="18"/>
        <w:szCs w:val="18"/>
        <w:lang w:val="sk-SK"/>
      </w:rPr>
      <w:t>ozhodnutiu o </w:t>
    </w:r>
    <w:r w:rsidR="00815054" w:rsidRPr="00E64498">
      <w:rPr>
        <w:noProof/>
        <w:sz w:val="18"/>
        <w:szCs w:val="18"/>
        <w:lang w:val="sk-SK" w:eastAsia="en-GB"/>
      </w:rPr>
      <w:t>prevode</w:t>
    </w:r>
    <w:r w:rsidRPr="00E64498">
      <w:rPr>
        <w:sz w:val="18"/>
        <w:szCs w:val="18"/>
        <w:lang w:val="sk-SK"/>
      </w:rPr>
      <w:t>, ev. č.:</w:t>
    </w:r>
    <w:r w:rsidRPr="00A37A56">
      <w:rPr>
        <w:sz w:val="18"/>
        <w:szCs w:val="18"/>
      </w:rPr>
      <w:t xml:space="preserve"> </w:t>
    </w:r>
    <w:r w:rsidR="00E64498" w:rsidRPr="00A37A56">
      <w:rPr>
        <w:sz w:val="18"/>
        <w:szCs w:val="18"/>
      </w:rPr>
      <w:t>2017/03004-TR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E12FDE"/>
    <w:multiLevelType w:val="multilevel"/>
    <w:tmpl w:val="198427F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741604D"/>
    <w:multiLevelType w:val="hybridMultilevel"/>
    <w:tmpl w:val="ECAC0E66"/>
    <w:lvl w:ilvl="0" w:tplc="4A227F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C7DB5"/>
    <w:multiLevelType w:val="hybridMultilevel"/>
    <w:tmpl w:val="6C321A80"/>
    <w:lvl w:ilvl="0" w:tplc="1A50AD84">
      <w:start w:val="1"/>
      <w:numFmt w:val="bullet"/>
      <w:pStyle w:val="Normlndoblokusodrkami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C972C6"/>
    <w:multiLevelType w:val="multilevel"/>
    <w:tmpl w:val="ADDAFD8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>
      <w:start w:val="2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8880BA3"/>
    <w:multiLevelType w:val="hybridMultilevel"/>
    <w:tmpl w:val="94843926"/>
    <w:lvl w:ilvl="0" w:tplc="663A4272">
      <w:start w:val="1"/>
      <w:numFmt w:val="bullet"/>
      <w:pStyle w:val="Normlnsodrkami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B2DCCE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EF0F49"/>
    <w:multiLevelType w:val="multilevel"/>
    <w:tmpl w:val="9670B2CC"/>
    <w:lvl w:ilvl="0">
      <w:start w:val="1"/>
      <w:numFmt w:val="bullet"/>
      <w:lvlText w:val="o"/>
      <w:lvlJc w:val="left"/>
      <w:pPr>
        <w:ind w:left="720" w:hanging="360"/>
      </w:pPr>
      <w:rPr>
        <w:rFonts w:ascii="Times New Roman" w:hAnsi="Times New Roman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877145"/>
    <w:multiLevelType w:val="singleLevel"/>
    <w:tmpl w:val="BFCC93E6"/>
    <w:lvl w:ilvl="0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sz w:val="22"/>
      </w:rPr>
    </w:lvl>
  </w:abstractNum>
  <w:abstractNum w:abstractNumId="7" w15:restartNumberingAfterBreak="0">
    <w:nsid w:val="42766939"/>
    <w:multiLevelType w:val="multilevel"/>
    <w:tmpl w:val="0A862524"/>
    <w:lvl w:ilvl="0">
      <w:start w:val="1"/>
      <w:numFmt w:val="decimal"/>
      <w:pStyle w:val="Styl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6235574D"/>
    <w:multiLevelType w:val="multilevel"/>
    <w:tmpl w:val="C0DC4D94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67086226"/>
    <w:multiLevelType w:val="hybridMultilevel"/>
    <w:tmpl w:val="C2F02C7A"/>
    <w:lvl w:ilvl="0" w:tplc="9288F23A">
      <w:start w:val="1"/>
      <w:numFmt w:val="bullet"/>
      <w:pStyle w:val="Odrky2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AD4AA7"/>
    <w:multiLevelType w:val="multilevel"/>
    <w:tmpl w:val="A42EF3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>
    <w:abstractNumId w:val="6"/>
  </w:num>
  <w:num w:numId="2">
    <w:abstractNumId w:val="6"/>
  </w:num>
  <w:num w:numId="3">
    <w:abstractNumId w:val="6"/>
  </w:num>
  <w:num w:numId="4">
    <w:abstractNumId w:val="6"/>
  </w:num>
  <w:num w:numId="5">
    <w:abstractNumId w:val="6"/>
  </w:num>
  <w:num w:numId="6">
    <w:abstractNumId w:val="6"/>
  </w:num>
  <w:num w:numId="7">
    <w:abstractNumId w:val="6"/>
  </w:num>
  <w:num w:numId="8">
    <w:abstractNumId w:val="6"/>
  </w:num>
  <w:num w:numId="9">
    <w:abstractNumId w:val="2"/>
  </w:num>
  <w:num w:numId="10">
    <w:abstractNumId w:val="10"/>
  </w:num>
  <w:num w:numId="11">
    <w:abstractNumId w:val="10"/>
  </w:num>
  <w:num w:numId="12">
    <w:abstractNumId w:val="2"/>
  </w:num>
  <w:num w:numId="13">
    <w:abstractNumId w:val="6"/>
  </w:num>
  <w:num w:numId="14">
    <w:abstractNumId w:val="10"/>
  </w:num>
  <w:num w:numId="15">
    <w:abstractNumId w:val="10"/>
  </w:num>
  <w:num w:numId="16">
    <w:abstractNumId w:val="6"/>
  </w:num>
  <w:num w:numId="17">
    <w:abstractNumId w:val="10"/>
  </w:num>
  <w:num w:numId="18">
    <w:abstractNumId w:val="10"/>
  </w:num>
  <w:num w:numId="19">
    <w:abstractNumId w:val="6"/>
  </w:num>
  <w:num w:numId="20">
    <w:abstractNumId w:val="6"/>
  </w:num>
  <w:num w:numId="21">
    <w:abstractNumId w:val="2"/>
  </w:num>
  <w:num w:numId="22">
    <w:abstractNumId w:val="10"/>
  </w:num>
  <w:num w:numId="23">
    <w:abstractNumId w:val="2"/>
  </w:num>
  <w:num w:numId="24">
    <w:abstractNumId w:val="10"/>
  </w:num>
  <w:num w:numId="25">
    <w:abstractNumId w:val="10"/>
  </w:num>
  <w:num w:numId="26">
    <w:abstractNumId w:val="2"/>
  </w:num>
  <w:num w:numId="27">
    <w:abstractNumId w:val="10"/>
  </w:num>
  <w:num w:numId="28">
    <w:abstractNumId w:val="7"/>
  </w:num>
  <w:num w:numId="29">
    <w:abstractNumId w:val="7"/>
  </w:num>
  <w:num w:numId="30">
    <w:abstractNumId w:val="9"/>
  </w:num>
  <w:num w:numId="31">
    <w:abstractNumId w:val="5"/>
  </w:num>
  <w:num w:numId="32">
    <w:abstractNumId w:val="1"/>
  </w:num>
  <w:num w:numId="33">
    <w:abstractNumId w:val="4"/>
  </w:num>
  <w:num w:numId="34">
    <w:abstractNumId w:val="0"/>
  </w:num>
  <w:num w:numId="35">
    <w:abstractNumId w:val="8"/>
  </w:num>
  <w:num w:numId="36">
    <w:abstractNumId w:val="3"/>
  </w:num>
  <w:num w:numId="37">
    <w:abstractNumId w:val="7"/>
  </w:num>
  <w:num w:numId="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EBA"/>
    <w:rsid w:val="00003045"/>
    <w:rsid w:val="0001058A"/>
    <w:rsid w:val="00013459"/>
    <w:rsid w:val="000426C4"/>
    <w:rsid w:val="00055FD4"/>
    <w:rsid w:val="00067AAE"/>
    <w:rsid w:val="00093496"/>
    <w:rsid w:val="000A6AC1"/>
    <w:rsid w:val="000B5722"/>
    <w:rsid w:val="000C069D"/>
    <w:rsid w:val="000D1DE1"/>
    <w:rsid w:val="000F70BD"/>
    <w:rsid w:val="00111E43"/>
    <w:rsid w:val="00126B28"/>
    <w:rsid w:val="0015577D"/>
    <w:rsid w:val="00164810"/>
    <w:rsid w:val="00175FC7"/>
    <w:rsid w:val="001859C4"/>
    <w:rsid w:val="0019382D"/>
    <w:rsid w:val="001A0D35"/>
    <w:rsid w:val="001E278A"/>
    <w:rsid w:val="001F39FB"/>
    <w:rsid w:val="0024171C"/>
    <w:rsid w:val="0025082B"/>
    <w:rsid w:val="002655D1"/>
    <w:rsid w:val="0029335B"/>
    <w:rsid w:val="00296D00"/>
    <w:rsid w:val="002A0E3F"/>
    <w:rsid w:val="002A34F5"/>
    <w:rsid w:val="002E1519"/>
    <w:rsid w:val="002E26F4"/>
    <w:rsid w:val="002F2CBA"/>
    <w:rsid w:val="00303C65"/>
    <w:rsid w:val="00334B52"/>
    <w:rsid w:val="00351B83"/>
    <w:rsid w:val="003528EF"/>
    <w:rsid w:val="00366821"/>
    <w:rsid w:val="00371594"/>
    <w:rsid w:val="00384677"/>
    <w:rsid w:val="003941A3"/>
    <w:rsid w:val="003A7C3F"/>
    <w:rsid w:val="003C3F85"/>
    <w:rsid w:val="0042021C"/>
    <w:rsid w:val="00424D1B"/>
    <w:rsid w:val="004277C7"/>
    <w:rsid w:val="0043125D"/>
    <w:rsid w:val="00443CA5"/>
    <w:rsid w:val="00454726"/>
    <w:rsid w:val="00455A84"/>
    <w:rsid w:val="0046167C"/>
    <w:rsid w:val="00465EB9"/>
    <w:rsid w:val="00475517"/>
    <w:rsid w:val="004759D9"/>
    <w:rsid w:val="004A05D8"/>
    <w:rsid w:val="004A05F0"/>
    <w:rsid w:val="004C0C4A"/>
    <w:rsid w:val="004E6244"/>
    <w:rsid w:val="004F3830"/>
    <w:rsid w:val="004F7F50"/>
    <w:rsid w:val="00505BAF"/>
    <w:rsid w:val="005129CA"/>
    <w:rsid w:val="00532D60"/>
    <w:rsid w:val="005334DD"/>
    <w:rsid w:val="00542C66"/>
    <w:rsid w:val="00543E91"/>
    <w:rsid w:val="0054666A"/>
    <w:rsid w:val="00570EF3"/>
    <w:rsid w:val="0058092D"/>
    <w:rsid w:val="0058717F"/>
    <w:rsid w:val="00591A89"/>
    <w:rsid w:val="005C571F"/>
    <w:rsid w:val="005D04E2"/>
    <w:rsid w:val="005D4C05"/>
    <w:rsid w:val="00602EBD"/>
    <w:rsid w:val="00632BBD"/>
    <w:rsid w:val="00666717"/>
    <w:rsid w:val="00667631"/>
    <w:rsid w:val="00674825"/>
    <w:rsid w:val="0068359E"/>
    <w:rsid w:val="006923A1"/>
    <w:rsid w:val="00694645"/>
    <w:rsid w:val="0070042A"/>
    <w:rsid w:val="00707D18"/>
    <w:rsid w:val="00742562"/>
    <w:rsid w:val="00755B95"/>
    <w:rsid w:val="007801EC"/>
    <w:rsid w:val="0079679F"/>
    <w:rsid w:val="007A681B"/>
    <w:rsid w:val="007D0986"/>
    <w:rsid w:val="007E68BB"/>
    <w:rsid w:val="007F3099"/>
    <w:rsid w:val="00815054"/>
    <w:rsid w:val="008332A3"/>
    <w:rsid w:val="00864740"/>
    <w:rsid w:val="00864D38"/>
    <w:rsid w:val="008B5D9E"/>
    <w:rsid w:val="008C34C7"/>
    <w:rsid w:val="008F1E8C"/>
    <w:rsid w:val="008F20B2"/>
    <w:rsid w:val="008F22EE"/>
    <w:rsid w:val="0092089A"/>
    <w:rsid w:val="00942ECA"/>
    <w:rsid w:val="00953E71"/>
    <w:rsid w:val="00957F78"/>
    <w:rsid w:val="00962C95"/>
    <w:rsid w:val="009A19DE"/>
    <w:rsid w:val="00A17518"/>
    <w:rsid w:val="00A25C39"/>
    <w:rsid w:val="00A35A6A"/>
    <w:rsid w:val="00A37A56"/>
    <w:rsid w:val="00A40B63"/>
    <w:rsid w:val="00A72EBA"/>
    <w:rsid w:val="00A74993"/>
    <w:rsid w:val="00A77A27"/>
    <w:rsid w:val="00A77B3E"/>
    <w:rsid w:val="00AC695A"/>
    <w:rsid w:val="00AD23C8"/>
    <w:rsid w:val="00AD4BE7"/>
    <w:rsid w:val="00AE1BD6"/>
    <w:rsid w:val="00AE550E"/>
    <w:rsid w:val="00B01D05"/>
    <w:rsid w:val="00B13E47"/>
    <w:rsid w:val="00B448D5"/>
    <w:rsid w:val="00B639F1"/>
    <w:rsid w:val="00BB3233"/>
    <w:rsid w:val="00BC2C94"/>
    <w:rsid w:val="00BC6E54"/>
    <w:rsid w:val="00BF2119"/>
    <w:rsid w:val="00C40B5E"/>
    <w:rsid w:val="00C40F17"/>
    <w:rsid w:val="00C64D6C"/>
    <w:rsid w:val="00C821C7"/>
    <w:rsid w:val="00C90D41"/>
    <w:rsid w:val="00CB4E08"/>
    <w:rsid w:val="00CC3BA3"/>
    <w:rsid w:val="00CC75EA"/>
    <w:rsid w:val="00CE381A"/>
    <w:rsid w:val="00CE42C8"/>
    <w:rsid w:val="00D2025A"/>
    <w:rsid w:val="00D44AB2"/>
    <w:rsid w:val="00D66B9A"/>
    <w:rsid w:val="00D718FB"/>
    <w:rsid w:val="00DA03AB"/>
    <w:rsid w:val="00DA5F73"/>
    <w:rsid w:val="00DB236E"/>
    <w:rsid w:val="00DB7D9B"/>
    <w:rsid w:val="00DC16E3"/>
    <w:rsid w:val="00DC569C"/>
    <w:rsid w:val="00DD3AF3"/>
    <w:rsid w:val="00DF5B61"/>
    <w:rsid w:val="00E64498"/>
    <w:rsid w:val="00E645CF"/>
    <w:rsid w:val="00F10D57"/>
    <w:rsid w:val="00F152F6"/>
    <w:rsid w:val="00F2256E"/>
    <w:rsid w:val="00F300EA"/>
    <w:rsid w:val="00F44374"/>
    <w:rsid w:val="00F54ABE"/>
    <w:rsid w:val="00F55A63"/>
    <w:rsid w:val="00F744EB"/>
    <w:rsid w:val="00F938C7"/>
    <w:rsid w:val="00FC7DE0"/>
    <w:rsid w:val="00FD176E"/>
    <w:rsid w:val="00FE5BC3"/>
    <w:rsid w:val="00FF0C26"/>
    <w:rsid w:val="00FF1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88C3A5"/>
  <w15:docId w15:val="{44850D66-CD1E-4B5D-9323-9E4996559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iPriority="99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72EBA"/>
    <w:rPr>
      <w:sz w:val="22"/>
      <w:szCs w:val="24"/>
      <w:lang w:val="el-GR" w:eastAsia="el-GR"/>
    </w:rPr>
  </w:style>
  <w:style w:type="paragraph" w:styleId="Nadpis1">
    <w:name w:val="heading 1"/>
    <w:basedOn w:val="Normlny"/>
    <w:next w:val="Normlny"/>
    <w:link w:val="Nadpis1Char"/>
    <w:qFormat/>
    <w:rsid w:val="00505BAF"/>
    <w:pPr>
      <w:keepNext/>
      <w:outlineLvl w:val="0"/>
    </w:pPr>
    <w:rPr>
      <w:rFonts w:cs="Arial"/>
      <w:b/>
      <w:sz w:val="24"/>
    </w:rPr>
  </w:style>
  <w:style w:type="paragraph" w:styleId="Nadpis2">
    <w:name w:val="heading 2"/>
    <w:basedOn w:val="Normlny"/>
    <w:next w:val="Normlny"/>
    <w:link w:val="Nadpis2Char"/>
    <w:qFormat/>
    <w:rsid w:val="00505BAF"/>
    <w:pPr>
      <w:keepNext/>
      <w:outlineLvl w:val="1"/>
    </w:pPr>
    <w:rPr>
      <w:rFonts w:eastAsiaTheme="majorEastAsia" w:cstheme="majorBidi"/>
      <w:i/>
      <w:sz w:val="24"/>
    </w:rPr>
  </w:style>
  <w:style w:type="paragraph" w:styleId="Nadpis3">
    <w:name w:val="heading 3"/>
    <w:basedOn w:val="Normlny"/>
    <w:next w:val="Normlny"/>
    <w:link w:val="Nadpis3Char"/>
    <w:qFormat/>
    <w:rsid w:val="00505BAF"/>
    <w:pPr>
      <w:keepNext/>
      <w:jc w:val="right"/>
      <w:outlineLvl w:val="2"/>
    </w:pPr>
    <w:rPr>
      <w:i/>
      <w:sz w:val="24"/>
    </w:rPr>
  </w:style>
  <w:style w:type="paragraph" w:styleId="Nadpis4">
    <w:name w:val="heading 4"/>
    <w:basedOn w:val="Normlny"/>
    <w:next w:val="Normlny"/>
    <w:link w:val="Nadpis4Char"/>
    <w:qFormat/>
    <w:rsid w:val="00505BAF"/>
    <w:pPr>
      <w:keepNext/>
      <w:jc w:val="right"/>
      <w:outlineLvl w:val="3"/>
    </w:pPr>
    <w:rPr>
      <w:sz w:val="24"/>
    </w:rPr>
  </w:style>
  <w:style w:type="paragraph" w:styleId="Nadpis5">
    <w:name w:val="heading 5"/>
    <w:basedOn w:val="Normlny"/>
    <w:next w:val="Normlny"/>
    <w:link w:val="Nadpis5Char"/>
    <w:uiPriority w:val="9"/>
    <w:qFormat/>
    <w:rsid w:val="00505BAF"/>
    <w:pPr>
      <w:keepNext/>
      <w:outlineLvl w:val="4"/>
    </w:pPr>
    <w:rPr>
      <w:rFonts w:eastAsiaTheme="minorEastAsia" w:cstheme="minorBidi"/>
      <w:i/>
    </w:rPr>
  </w:style>
  <w:style w:type="paragraph" w:styleId="Nadpis6">
    <w:name w:val="heading 6"/>
    <w:basedOn w:val="Normlny"/>
    <w:next w:val="Normlny"/>
    <w:link w:val="Nadpis6Char"/>
    <w:uiPriority w:val="9"/>
    <w:qFormat/>
    <w:rsid w:val="00505BAF"/>
    <w:pPr>
      <w:keepNext/>
      <w:jc w:val="both"/>
      <w:outlineLvl w:val="5"/>
    </w:pPr>
    <w:rPr>
      <w:rFonts w:eastAsiaTheme="minorEastAsia" w:cstheme="minorBidi"/>
      <w:sz w:val="24"/>
    </w:rPr>
  </w:style>
  <w:style w:type="paragraph" w:styleId="Nadpis7">
    <w:name w:val="heading 7"/>
    <w:basedOn w:val="Normlny"/>
    <w:next w:val="Normlny"/>
    <w:link w:val="Nadpis7Char"/>
    <w:qFormat/>
    <w:rsid w:val="00505BAF"/>
    <w:pPr>
      <w:keepNext/>
      <w:outlineLvl w:val="6"/>
    </w:pPr>
    <w:rPr>
      <w:rFonts w:ascii="Arial" w:hAnsi="Arial"/>
      <w:i/>
    </w:rPr>
  </w:style>
  <w:style w:type="paragraph" w:styleId="Nadpis8">
    <w:name w:val="heading 8"/>
    <w:basedOn w:val="Normlny"/>
    <w:next w:val="Normlny"/>
    <w:link w:val="Nadpis8Char"/>
    <w:qFormat/>
    <w:rsid w:val="00505BAF"/>
    <w:pPr>
      <w:keepNext/>
      <w:spacing w:before="120"/>
      <w:outlineLvl w:val="7"/>
    </w:pPr>
    <w:rPr>
      <w:rFonts w:eastAsiaTheme="minorEastAsia" w:cstheme="minorBidi"/>
      <w:b/>
      <w:bCs/>
      <w:sz w:val="24"/>
      <w:u w:val="single"/>
    </w:rPr>
  </w:style>
  <w:style w:type="paragraph" w:styleId="Nadpis9">
    <w:name w:val="heading 9"/>
    <w:basedOn w:val="Normlny"/>
    <w:next w:val="Normlny"/>
    <w:link w:val="Nadpis9Char"/>
    <w:qFormat/>
    <w:rsid w:val="00505BAF"/>
    <w:pPr>
      <w:keepNext/>
      <w:outlineLvl w:val="8"/>
    </w:pPr>
    <w:rPr>
      <w:rFonts w:eastAsiaTheme="majorEastAsia" w:cstheme="majorBidi"/>
      <w:b/>
      <w:bCs/>
      <w:i/>
      <w:iCs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yl4">
    <w:name w:val="Styl4"/>
    <w:basedOn w:val="Normlndobloku"/>
    <w:autoRedefine/>
    <w:qFormat/>
    <w:rsid w:val="00755B95"/>
    <w:pPr>
      <w:jc w:val="left"/>
    </w:pPr>
    <w:rPr>
      <w:rFonts w:ascii="Times" w:hAnsi="Times"/>
      <w:i/>
    </w:rPr>
  </w:style>
  <w:style w:type="paragraph" w:customStyle="1" w:styleId="Normlndobloku">
    <w:name w:val="Normální do bloku"/>
    <w:basedOn w:val="Normlny"/>
    <w:link w:val="NormlndoblokuChar"/>
    <w:autoRedefine/>
    <w:rsid w:val="00B13E47"/>
    <w:pPr>
      <w:suppressAutoHyphens/>
      <w:spacing w:after="120"/>
      <w:jc w:val="both"/>
    </w:pPr>
    <w:rPr>
      <w:rFonts w:eastAsia="Calibri"/>
      <w:lang w:val="cs-CZ"/>
    </w:rPr>
  </w:style>
  <w:style w:type="character" w:customStyle="1" w:styleId="Nadpis1Char">
    <w:name w:val="Nadpis 1 Char"/>
    <w:basedOn w:val="Predvolenpsmoodseku"/>
    <w:link w:val="Nadpis1"/>
    <w:rsid w:val="002E1519"/>
    <w:rPr>
      <w:rFonts w:cs="Arial"/>
      <w:b/>
      <w:sz w:val="24"/>
      <w:lang w:val="en-US" w:eastAsia="sk-SK"/>
    </w:rPr>
  </w:style>
  <w:style w:type="character" w:customStyle="1" w:styleId="NormlndoblokuChar">
    <w:name w:val="Normální do bloku Char"/>
    <w:link w:val="Normlndobloku"/>
    <w:rsid w:val="00B13E47"/>
    <w:rPr>
      <w:rFonts w:eastAsia="Calibri"/>
      <w:sz w:val="22"/>
      <w:szCs w:val="24"/>
      <w:lang w:val="cs-CZ" w:eastAsia="el-GR"/>
    </w:rPr>
  </w:style>
  <w:style w:type="paragraph" w:customStyle="1" w:styleId="Normlndoblokusodrkami">
    <w:name w:val="Normální do bloku s odrážkami"/>
    <w:basedOn w:val="Normlndobloku"/>
    <w:next w:val="Normlndobloku"/>
    <w:autoRedefine/>
    <w:qFormat/>
    <w:rsid w:val="00F55A63"/>
    <w:pPr>
      <w:numPr>
        <w:numId w:val="26"/>
      </w:numPr>
    </w:pPr>
    <w:rPr>
      <w:noProof/>
    </w:rPr>
  </w:style>
  <w:style w:type="paragraph" w:customStyle="1" w:styleId="Styl1">
    <w:name w:val="Styl1"/>
    <w:basedOn w:val="Normlny"/>
    <w:link w:val="Styl1Char"/>
    <w:autoRedefine/>
    <w:rsid w:val="004A05F0"/>
    <w:pPr>
      <w:keepNext/>
      <w:numPr>
        <w:numId w:val="29"/>
      </w:numPr>
      <w:spacing w:before="360" w:after="120"/>
    </w:pPr>
    <w:rPr>
      <w:b/>
      <w:bCs/>
      <w:lang w:val="cs-CZ"/>
    </w:rPr>
  </w:style>
  <w:style w:type="paragraph" w:customStyle="1" w:styleId="Styl2">
    <w:name w:val="Styl2"/>
    <w:basedOn w:val="Normlny"/>
    <w:autoRedefine/>
    <w:rsid w:val="004A05F0"/>
    <w:pPr>
      <w:keepNext/>
      <w:numPr>
        <w:ilvl w:val="1"/>
        <w:numId w:val="29"/>
      </w:numPr>
      <w:spacing w:before="120" w:after="120"/>
    </w:pPr>
    <w:rPr>
      <w:b/>
      <w:bCs/>
      <w:lang w:val="cs-CZ"/>
    </w:rPr>
  </w:style>
  <w:style w:type="paragraph" w:customStyle="1" w:styleId="Styl2-2">
    <w:name w:val="Styl2-2"/>
    <w:basedOn w:val="Styl2"/>
    <w:next w:val="Normlny"/>
    <w:autoRedefine/>
    <w:qFormat/>
    <w:rsid w:val="0001058A"/>
    <w:pPr>
      <w:numPr>
        <w:ilvl w:val="0"/>
        <w:numId w:val="0"/>
      </w:numPr>
      <w:tabs>
        <w:tab w:val="left" w:pos="567"/>
      </w:tabs>
    </w:pPr>
    <w:rPr>
      <w:lang w:val="en-GB"/>
    </w:rPr>
  </w:style>
  <w:style w:type="paragraph" w:customStyle="1" w:styleId="Styl3">
    <w:name w:val="Styl3"/>
    <w:basedOn w:val="Normlny"/>
    <w:link w:val="Styl3Char"/>
    <w:autoRedefine/>
    <w:rsid w:val="00AC695A"/>
    <w:pPr>
      <w:tabs>
        <w:tab w:val="left" w:pos="6946"/>
      </w:tabs>
      <w:spacing w:after="120"/>
    </w:pPr>
    <w:rPr>
      <w:rFonts w:eastAsia="Calibri"/>
      <w:b/>
      <w:u w:val="single"/>
      <w:lang w:val="sk-SK"/>
    </w:rPr>
  </w:style>
  <w:style w:type="character" w:customStyle="1" w:styleId="Nadpis2Char">
    <w:name w:val="Nadpis 2 Char"/>
    <w:link w:val="Nadpis2"/>
    <w:rsid w:val="002E1519"/>
    <w:rPr>
      <w:rFonts w:eastAsiaTheme="majorEastAsia" w:cstheme="majorBidi"/>
      <w:i/>
      <w:sz w:val="24"/>
      <w:lang w:val="en-US" w:eastAsia="sk-SK"/>
    </w:rPr>
  </w:style>
  <w:style w:type="character" w:customStyle="1" w:styleId="Nadpis3Char">
    <w:name w:val="Nadpis 3 Char"/>
    <w:link w:val="Nadpis3"/>
    <w:rsid w:val="002E1519"/>
    <w:rPr>
      <w:i/>
      <w:sz w:val="24"/>
      <w:lang w:val="en-US" w:eastAsia="sk-SK"/>
    </w:rPr>
  </w:style>
  <w:style w:type="character" w:customStyle="1" w:styleId="Nadpis4Char">
    <w:name w:val="Nadpis 4 Char"/>
    <w:link w:val="Nadpis4"/>
    <w:rsid w:val="002E1519"/>
    <w:rPr>
      <w:sz w:val="24"/>
      <w:lang w:val="en-US" w:eastAsia="sk-SK"/>
    </w:rPr>
  </w:style>
  <w:style w:type="character" w:customStyle="1" w:styleId="Nadpis5Char">
    <w:name w:val="Nadpis 5 Char"/>
    <w:link w:val="Nadpis5"/>
    <w:uiPriority w:val="9"/>
    <w:rsid w:val="002E1519"/>
    <w:rPr>
      <w:rFonts w:eastAsiaTheme="minorEastAsia" w:cstheme="minorBidi"/>
      <w:i/>
      <w:sz w:val="22"/>
      <w:lang w:val="en-US" w:eastAsia="sk-SK"/>
    </w:rPr>
  </w:style>
  <w:style w:type="character" w:customStyle="1" w:styleId="Nadpis6Char">
    <w:name w:val="Nadpis 6 Char"/>
    <w:link w:val="Nadpis6"/>
    <w:uiPriority w:val="9"/>
    <w:rsid w:val="002E1519"/>
    <w:rPr>
      <w:rFonts w:eastAsiaTheme="minorEastAsia" w:cstheme="minorBidi"/>
      <w:sz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2E1519"/>
    <w:rPr>
      <w:rFonts w:ascii="Arial" w:hAnsi="Arial"/>
      <w:i/>
      <w:sz w:val="22"/>
      <w:lang w:val="en-US" w:eastAsia="sk-SK"/>
    </w:rPr>
  </w:style>
  <w:style w:type="character" w:customStyle="1" w:styleId="Nadpis8Char">
    <w:name w:val="Nadpis 8 Char"/>
    <w:link w:val="Nadpis8"/>
    <w:rsid w:val="002E1519"/>
    <w:rPr>
      <w:rFonts w:eastAsiaTheme="minorEastAsia" w:cstheme="minorBidi"/>
      <w:b/>
      <w:bCs/>
      <w:sz w:val="24"/>
      <w:szCs w:val="24"/>
      <w:u w:val="single"/>
      <w:lang w:val="en-US"/>
    </w:rPr>
  </w:style>
  <w:style w:type="character" w:customStyle="1" w:styleId="Nadpis9Char">
    <w:name w:val="Nadpis 9 Char"/>
    <w:link w:val="Nadpis9"/>
    <w:rsid w:val="002E1519"/>
    <w:rPr>
      <w:rFonts w:eastAsiaTheme="majorEastAsia" w:cstheme="majorBidi"/>
      <w:b/>
      <w:bCs/>
      <w:i/>
      <w:iCs/>
      <w:sz w:val="24"/>
      <w:szCs w:val="24"/>
      <w:lang w:val="en-US"/>
    </w:rPr>
  </w:style>
  <w:style w:type="character" w:customStyle="1" w:styleId="Styl3Char">
    <w:name w:val="Styl3 Char"/>
    <w:link w:val="Styl3"/>
    <w:rsid w:val="00AC695A"/>
    <w:rPr>
      <w:rFonts w:eastAsia="Calibri"/>
      <w:b/>
      <w:sz w:val="22"/>
      <w:szCs w:val="24"/>
      <w:u w:val="single"/>
      <w:lang w:eastAsia="el-GR"/>
    </w:rPr>
  </w:style>
  <w:style w:type="character" w:styleId="slostrany">
    <w:name w:val="page number"/>
    <w:basedOn w:val="Predvolenpsmoodseku"/>
    <w:rsid w:val="00942ECA"/>
  </w:style>
  <w:style w:type="paragraph" w:customStyle="1" w:styleId="Hlavika1">
    <w:name w:val="Hlavička1"/>
    <w:basedOn w:val="Normlny"/>
    <w:autoRedefine/>
    <w:rsid w:val="00164810"/>
    <w:rPr>
      <w:bCs/>
      <w:sz w:val="18"/>
    </w:rPr>
  </w:style>
  <w:style w:type="character" w:styleId="Hypertextovprepojenie">
    <w:name w:val="Hyperlink"/>
    <w:rsid w:val="00942ECA"/>
    <w:rPr>
      <w:color w:val="0000FF"/>
      <w:u w:val="single"/>
    </w:rPr>
  </w:style>
  <w:style w:type="paragraph" w:styleId="Pta">
    <w:name w:val="footer"/>
    <w:basedOn w:val="Normlny"/>
    <w:link w:val="PtaChar"/>
    <w:rsid w:val="00942ECA"/>
    <w:pPr>
      <w:tabs>
        <w:tab w:val="center" w:pos="4153"/>
        <w:tab w:val="right" w:pos="8306"/>
      </w:tabs>
    </w:pPr>
  </w:style>
  <w:style w:type="character" w:customStyle="1" w:styleId="PtaChar">
    <w:name w:val="Päta Char"/>
    <w:basedOn w:val="Predvolenpsmoodseku"/>
    <w:link w:val="Pta"/>
    <w:rsid w:val="00942ECA"/>
    <w:rPr>
      <w:rFonts w:ascii="Times New Roman" w:hAnsi="Times New Roman"/>
      <w:sz w:val="22"/>
      <w:szCs w:val="24"/>
      <w:lang w:eastAsia="sk-SK"/>
    </w:rPr>
  </w:style>
  <w:style w:type="paragraph" w:customStyle="1" w:styleId="SPCaPILhlavika">
    <w:name w:val="SPC a PIL hlavička"/>
    <w:basedOn w:val="Normlny"/>
    <w:autoRedefine/>
    <w:qFormat/>
    <w:rsid w:val="00E64498"/>
    <w:pPr>
      <w:jc w:val="center"/>
    </w:pPr>
    <w:rPr>
      <w:b/>
      <w:szCs w:val="22"/>
    </w:rPr>
  </w:style>
  <w:style w:type="character" w:customStyle="1" w:styleId="Bacil">
    <w:name w:val="Bacil"/>
    <w:qFormat/>
    <w:rsid w:val="00A72EBA"/>
    <w:rPr>
      <w:i/>
    </w:rPr>
  </w:style>
  <w:style w:type="paragraph" w:customStyle="1" w:styleId="Odrky2">
    <w:name w:val="Odrážky 2"/>
    <w:basedOn w:val="Normlndoblokusodrkami"/>
    <w:autoRedefine/>
    <w:qFormat/>
    <w:rsid w:val="00A72EBA"/>
    <w:pPr>
      <w:numPr>
        <w:numId w:val="30"/>
      </w:numPr>
    </w:pPr>
    <w:rPr>
      <w:lang w:val="sk-SK"/>
    </w:rPr>
  </w:style>
  <w:style w:type="character" w:customStyle="1" w:styleId="atn">
    <w:name w:val="atn"/>
    <w:rsid w:val="00A72EBA"/>
  </w:style>
  <w:style w:type="paragraph" w:customStyle="1" w:styleId="Default">
    <w:name w:val="Default"/>
    <w:rsid w:val="00A72EBA"/>
    <w:pPr>
      <w:autoSpaceDE w:val="0"/>
      <w:autoSpaceDN w:val="0"/>
      <w:adjustRightInd w:val="0"/>
    </w:pPr>
    <w:rPr>
      <w:color w:val="000000"/>
      <w:sz w:val="24"/>
      <w:szCs w:val="24"/>
      <w:lang w:val="cs-CZ" w:eastAsia="cs-CZ"/>
    </w:rPr>
  </w:style>
  <w:style w:type="paragraph" w:customStyle="1" w:styleId="Tabulkynormlndoblokuzarovnndoleva">
    <w:name w:val="Tabulky = normální do bloku + zarovnání doleva"/>
    <w:basedOn w:val="Normlndobloku"/>
    <w:autoRedefine/>
    <w:rsid w:val="00A72EBA"/>
    <w:pPr>
      <w:jc w:val="left"/>
    </w:pPr>
    <w:rPr>
      <w:rFonts w:ascii="TimesNewRoman" w:hAnsi="TimesNewRoman"/>
      <w:lang w:val="sk-SK"/>
    </w:rPr>
  </w:style>
  <w:style w:type="paragraph" w:customStyle="1" w:styleId="Nadpisuvnittabulky">
    <w:name w:val="Nadpis uvnitř tabulky"/>
    <w:basedOn w:val="Tabulkynormlndoblokuzarovnndoleva"/>
    <w:autoRedefine/>
    <w:qFormat/>
    <w:rsid w:val="00A72EBA"/>
    <w:pPr>
      <w:spacing w:before="120"/>
    </w:pPr>
    <w:rPr>
      <w:b/>
    </w:rPr>
  </w:style>
  <w:style w:type="paragraph" w:styleId="Nzov">
    <w:name w:val="Title"/>
    <w:basedOn w:val="Normlny"/>
    <w:link w:val="NzovChar"/>
    <w:qFormat/>
    <w:rsid w:val="00A72EBA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ovChar">
    <w:name w:val="Názov Char"/>
    <w:basedOn w:val="Predvolenpsmoodseku"/>
    <w:link w:val="Nzov"/>
    <w:rsid w:val="00A72EBA"/>
    <w:rPr>
      <w:rFonts w:ascii="Arial" w:hAnsi="Arial" w:cs="Arial"/>
      <w:b/>
      <w:bCs/>
      <w:kern w:val="28"/>
      <w:sz w:val="32"/>
      <w:szCs w:val="32"/>
      <w:lang w:val="el-GR" w:eastAsia="el-GR"/>
    </w:rPr>
  </w:style>
  <w:style w:type="character" w:styleId="Odkaznakomentr">
    <w:name w:val="annotation reference"/>
    <w:basedOn w:val="Predvolenpsmoodseku"/>
    <w:uiPriority w:val="99"/>
    <w:unhideWhenUsed/>
    <w:rsid w:val="00A72EB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72EBA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72EBA"/>
    <w:rPr>
      <w:lang w:val="el-GR" w:eastAsia="el-GR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72EBA"/>
    <w:pPr>
      <w:spacing w:after="200"/>
    </w:pPr>
    <w:rPr>
      <w:rFonts w:ascii="Calibri" w:hAnsi="Calibri"/>
      <w:b/>
      <w:bCs/>
      <w:lang w:val="en-GB"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72EBA"/>
    <w:rPr>
      <w:rFonts w:ascii="Calibri" w:hAnsi="Calibri"/>
      <w:b/>
      <w:bCs/>
      <w:lang w:val="en-GB" w:eastAsia="el-GR"/>
    </w:rPr>
  </w:style>
  <w:style w:type="paragraph" w:customStyle="1" w:styleId="SPCnadpis">
    <w:name w:val="SPC nadpis"/>
    <w:basedOn w:val="Nadpis1"/>
    <w:rsid w:val="00A72EBA"/>
    <w:pPr>
      <w:keepNext w:val="0"/>
      <w:keepLines/>
      <w:spacing w:before="480" w:after="120"/>
      <w:ind w:left="357" w:hanging="357"/>
    </w:pPr>
    <w:rPr>
      <w:rFonts w:cs="Times New Roman"/>
      <w:bCs/>
      <w:color w:val="365F91"/>
      <w:sz w:val="22"/>
      <w:szCs w:val="28"/>
      <w:lang w:val="en-US"/>
    </w:rPr>
  </w:style>
  <w:style w:type="paragraph" w:customStyle="1" w:styleId="Styl2PIL">
    <w:name w:val="Styl2 PIL"/>
    <w:basedOn w:val="Normlny"/>
    <w:autoRedefine/>
    <w:rsid w:val="00A72EBA"/>
    <w:pPr>
      <w:keepNext/>
      <w:spacing w:before="240" w:after="120"/>
    </w:pPr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72E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72EBA"/>
    <w:rPr>
      <w:rFonts w:ascii="Tahoma" w:hAnsi="Tahoma" w:cs="Tahoma"/>
      <w:sz w:val="16"/>
      <w:szCs w:val="16"/>
      <w:lang w:val="el-GR" w:eastAsia="el-GR"/>
    </w:rPr>
  </w:style>
  <w:style w:type="paragraph" w:styleId="Hlavika">
    <w:name w:val="header"/>
    <w:basedOn w:val="Normlny"/>
    <w:link w:val="HlavikaChar"/>
    <w:uiPriority w:val="99"/>
    <w:unhideWhenUsed/>
    <w:rsid w:val="00A72E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72EBA"/>
    <w:rPr>
      <w:sz w:val="22"/>
      <w:szCs w:val="24"/>
      <w:lang w:val="el-GR" w:eastAsia="el-GR"/>
    </w:rPr>
  </w:style>
  <w:style w:type="paragraph" w:customStyle="1" w:styleId="Styl1PIL">
    <w:name w:val="Styl1 PIL"/>
    <w:basedOn w:val="Normlny"/>
    <w:autoRedefine/>
    <w:rsid w:val="00A72EBA"/>
    <w:pPr>
      <w:keepNext/>
      <w:tabs>
        <w:tab w:val="num" w:pos="360"/>
      </w:tabs>
      <w:spacing w:before="360" w:after="240"/>
      <w:ind w:left="360" w:hanging="360"/>
    </w:pPr>
    <w:rPr>
      <w:b/>
      <w:bCs/>
    </w:rPr>
  </w:style>
  <w:style w:type="paragraph" w:styleId="AdresaHTML">
    <w:name w:val="HTML Address"/>
    <w:basedOn w:val="Normlny"/>
    <w:link w:val="AdresaHTMLChar"/>
    <w:uiPriority w:val="99"/>
    <w:unhideWhenUsed/>
    <w:rsid w:val="00A72EBA"/>
    <w:rPr>
      <w:i/>
      <w:iCs/>
    </w:rPr>
  </w:style>
  <w:style w:type="character" w:customStyle="1" w:styleId="AdresaHTMLChar">
    <w:name w:val="Adresa HTML Char"/>
    <w:basedOn w:val="Predvolenpsmoodseku"/>
    <w:link w:val="AdresaHTML"/>
    <w:uiPriority w:val="99"/>
    <w:rsid w:val="00A72EBA"/>
    <w:rPr>
      <w:i/>
      <w:iCs/>
      <w:sz w:val="22"/>
      <w:szCs w:val="24"/>
      <w:lang w:val="el-GR" w:eastAsia="el-GR"/>
    </w:rPr>
  </w:style>
  <w:style w:type="character" w:customStyle="1" w:styleId="Styl1Char">
    <w:name w:val="Styl1 Char"/>
    <w:link w:val="Styl1"/>
    <w:rsid w:val="00A72EBA"/>
    <w:rPr>
      <w:b/>
      <w:bCs/>
      <w:sz w:val="22"/>
      <w:szCs w:val="24"/>
      <w:lang w:val="cs-CZ" w:eastAsia="el-GR"/>
    </w:rPr>
  </w:style>
  <w:style w:type="table" w:styleId="Mriekatabuky">
    <w:name w:val="Table Grid"/>
    <w:basedOn w:val="Normlnatabuka"/>
    <w:uiPriority w:val="59"/>
    <w:rsid w:val="00A72EBA"/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A72EBA"/>
    <w:rPr>
      <w:sz w:val="22"/>
      <w:szCs w:val="24"/>
      <w:lang w:val="el-GR" w:eastAsia="el-GR"/>
    </w:rPr>
  </w:style>
  <w:style w:type="paragraph" w:styleId="Zarkazkladnhotextu">
    <w:name w:val="Body Text Indent"/>
    <w:basedOn w:val="Normlny"/>
    <w:link w:val="ZarkazkladnhotextuChar"/>
    <w:rsid w:val="00A72EBA"/>
    <w:pPr>
      <w:widowControl w:val="0"/>
      <w:ind w:left="426" w:hanging="426"/>
      <w:jc w:val="both"/>
    </w:pPr>
    <w:rPr>
      <w:b/>
      <w:szCs w:val="20"/>
      <w:lang w:val="en-GB"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A72EBA"/>
    <w:rPr>
      <w:b/>
      <w:sz w:val="22"/>
      <w:lang w:val="en-GB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A72EBA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A72EBA"/>
    <w:rPr>
      <w:sz w:val="22"/>
      <w:szCs w:val="24"/>
      <w:lang w:val="el-GR" w:eastAsia="el-GR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A72EBA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A72EBA"/>
    <w:rPr>
      <w:sz w:val="22"/>
      <w:szCs w:val="24"/>
      <w:lang w:val="el-GR" w:eastAsia="el-GR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A72EBA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A72EBA"/>
    <w:rPr>
      <w:sz w:val="22"/>
      <w:szCs w:val="24"/>
      <w:lang w:val="el-GR" w:eastAsia="el-GR"/>
    </w:rPr>
  </w:style>
  <w:style w:type="paragraph" w:styleId="Oznaitext">
    <w:name w:val="Block Text"/>
    <w:basedOn w:val="Normlny"/>
    <w:rsid w:val="00A72EBA"/>
    <w:pPr>
      <w:widowControl w:val="0"/>
      <w:ind w:left="426" w:right="-426" w:hanging="426"/>
      <w:jc w:val="both"/>
    </w:pPr>
    <w:rPr>
      <w:sz w:val="24"/>
      <w:szCs w:val="20"/>
      <w:lang w:val="sk-SK" w:eastAsia="en-US"/>
    </w:rPr>
  </w:style>
  <w:style w:type="paragraph" w:customStyle="1" w:styleId="EMEAEnBodyText">
    <w:name w:val="EMEA En Body Text"/>
    <w:basedOn w:val="Normlny"/>
    <w:rsid w:val="00A72EBA"/>
    <w:pPr>
      <w:spacing w:before="120" w:after="120"/>
      <w:jc w:val="both"/>
    </w:pPr>
    <w:rPr>
      <w:szCs w:val="20"/>
      <w:lang w:val="en-US" w:eastAsia="en-US"/>
    </w:rPr>
  </w:style>
  <w:style w:type="paragraph" w:customStyle="1" w:styleId="Normlnsodrkami">
    <w:name w:val="Normální s odrážkami"/>
    <w:basedOn w:val="Normlny"/>
    <w:rsid w:val="00A72EBA"/>
    <w:pPr>
      <w:numPr>
        <w:numId w:val="33"/>
      </w:numPr>
    </w:pPr>
    <w:rPr>
      <w:rFonts w:eastAsia="Calibri"/>
      <w:szCs w:val="22"/>
      <w:lang w:val="cs-CZ" w:eastAsia="en-US"/>
    </w:rPr>
  </w:style>
  <w:style w:type="paragraph" w:styleId="Zkladntext3">
    <w:name w:val="Body Text 3"/>
    <w:basedOn w:val="Normlny"/>
    <w:link w:val="Zkladntext3Char"/>
    <w:uiPriority w:val="99"/>
    <w:unhideWhenUsed/>
    <w:rsid w:val="00A72EBA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72EBA"/>
    <w:rPr>
      <w:sz w:val="16"/>
      <w:szCs w:val="16"/>
      <w:lang w:val="el-GR" w:eastAsia="el-GR"/>
    </w:rPr>
  </w:style>
  <w:style w:type="character" w:customStyle="1" w:styleId="st1">
    <w:name w:val="st1"/>
    <w:basedOn w:val="Predvolenpsmoodseku"/>
    <w:rsid w:val="00A72EBA"/>
  </w:style>
  <w:style w:type="character" w:styleId="Zvraznenie">
    <w:name w:val="Emphasis"/>
    <w:basedOn w:val="Predvolenpsmoodseku"/>
    <w:uiPriority w:val="20"/>
    <w:qFormat/>
    <w:rsid w:val="00A72EBA"/>
    <w:rPr>
      <w:b/>
      <w:bCs/>
      <w:i w:val="0"/>
      <w:iCs w:val="0"/>
    </w:rPr>
  </w:style>
  <w:style w:type="paragraph" w:customStyle="1" w:styleId="Styl5">
    <w:name w:val="Styl5"/>
    <w:basedOn w:val="Styl3"/>
    <w:link w:val="Styl5Char"/>
    <w:qFormat/>
    <w:rsid w:val="00A72EBA"/>
    <w:rPr>
      <w:i/>
    </w:rPr>
  </w:style>
  <w:style w:type="character" w:customStyle="1" w:styleId="Styl5Char">
    <w:name w:val="Styl5 Char"/>
    <w:basedOn w:val="Styl3Char"/>
    <w:link w:val="Styl5"/>
    <w:rsid w:val="00A72EBA"/>
    <w:rPr>
      <w:rFonts w:eastAsia="Calibri"/>
      <w:b/>
      <w:i/>
      <w:sz w:val="22"/>
      <w:szCs w:val="24"/>
      <w:u w:val="single"/>
      <w:lang w:val="cs-CZ" w:eastAsia="el-GR"/>
    </w:rPr>
  </w:style>
  <w:style w:type="paragraph" w:styleId="Odsekzoznamu">
    <w:name w:val="List Paragraph"/>
    <w:basedOn w:val="Normlny"/>
    <w:uiPriority w:val="34"/>
    <w:qFormat/>
    <w:rsid w:val="00707D18"/>
    <w:pPr>
      <w:ind w:left="720"/>
      <w:contextualSpacing/>
    </w:pPr>
  </w:style>
  <w:style w:type="character" w:customStyle="1" w:styleId="alt-edited">
    <w:name w:val="alt-edited"/>
    <w:basedOn w:val="Predvolenpsmoodseku"/>
    <w:rsid w:val="00864D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2217</Words>
  <Characters>12642</Characters>
  <Application>Microsoft Office Word</Application>
  <DocSecurity>0</DocSecurity>
  <Lines>105</Lines>
  <Paragraphs>29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Medochemie, Ltd.</Company>
  <LinksUpToDate>false</LinksUpToDate>
  <CharactersWithSpaces>14830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Janka Šeböková</dc:creator>
  <cp:lastModifiedBy>Kytková, Adriana</cp:lastModifiedBy>
  <cp:revision>3</cp:revision>
  <dcterms:created xsi:type="dcterms:W3CDTF">2017-07-04T08:13:00Z</dcterms:created>
  <dcterms:modified xsi:type="dcterms:W3CDTF">2017-07-04T08:14:00Z</dcterms:modified>
</cp:coreProperties>
</file>