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38" w:rsidRPr="00075A86" w:rsidRDefault="00FA4538" w:rsidP="00057EE8">
      <w:pPr>
        <w:pStyle w:val="Default"/>
      </w:pPr>
      <w:bookmarkStart w:id="0" w:name="_GoBack"/>
      <w:bookmarkEnd w:id="0"/>
    </w:p>
    <w:p w:rsidR="00FA4538" w:rsidRPr="00075A86" w:rsidRDefault="00FA4538" w:rsidP="00FA4538">
      <w:pPr>
        <w:pStyle w:val="Default"/>
        <w:jc w:val="center"/>
      </w:pPr>
    </w:p>
    <w:p w:rsidR="00FA4538" w:rsidRPr="00075A86" w:rsidRDefault="00FA4538" w:rsidP="00FA4538">
      <w:pPr>
        <w:pStyle w:val="Default"/>
        <w:jc w:val="center"/>
      </w:pPr>
    </w:p>
    <w:p w:rsidR="002E504A" w:rsidRPr="00075A86" w:rsidRDefault="00FA4538" w:rsidP="00FA4538">
      <w:pPr>
        <w:jc w:val="center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SÚHRN CHARAKTERISTICKÝCH VLASTNOSTÍ LIEKU</w:t>
      </w:r>
    </w:p>
    <w:p w:rsidR="00FA4538" w:rsidRPr="00075A86" w:rsidRDefault="00FA4538" w:rsidP="00FA453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FA4538" w:rsidRPr="00075A86" w:rsidRDefault="00FA4538" w:rsidP="00FA4538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1.  NÁZOV LIEKU</w:t>
      </w:r>
    </w:p>
    <w:p w:rsidR="00FA4538" w:rsidRPr="00075A86" w:rsidRDefault="00FA4538" w:rsidP="00FA4538">
      <w:pPr>
        <w:spacing w:after="0"/>
        <w:rPr>
          <w:rFonts w:ascii="Times New Roman" w:hAnsi="Times New Roman" w:cs="Times New Roman"/>
          <w:b/>
          <w:bCs/>
        </w:rPr>
      </w:pPr>
    </w:p>
    <w:p w:rsidR="00FA4538" w:rsidRPr="00075A86" w:rsidRDefault="001A7197" w:rsidP="00FA4538">
      <w:pPr>
        <w:spacing w:after="0"/>
        <w:rPr>
          <w:rFonts w:ascii="Times New Roman" w:hAnsi="Times New Roman" w:cs="Times New Roman"/>
          <w:bCs/>
        </w:rPr>
      </w:pPr>
      <w:r w:rsidRPr="00075A86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>buxar</w:t>
      </w:r>
      <w:r w:rsidRPr="00075A86">
        <w:rPr>
          <w:rFonts w:ascii="Times New Roman" w:hAnsi="Times New Roman" w:cs="Times New Roman"/>
          <w:bCs/>
        </w:rPr>
        <w:t xml:space="preserve"> </w:t>
      </w:r>
      <w:r w:rsidR="00FA4538" w:rsidRPr="00075A86">
        <w:rPr>
          <w:rFonts w:ascii="Times New Roman" w:hAnsi="Times New Roman" w:cs="Times New Roman"/>
          <w:bCs/>
        </w:rPr>
        <w:t>80 mg filmom obalené tablety</w:t>
      </w:r>
    </w:p>
    <w:p w:rsidR="00FA4538" w:rsidRPr="00075A86" w:rsidRDefault="00FA4538" w:rsidP="00FA4538">
      <w:pPr>
        <w:spacing w:after="0"/>
        <w:rPr>
          <w:rFonts w:ascii="Times New Roman" w:hAnsi="Times New Roman" w:cs="Times New Roman"/>
          <w:bCs/>
        </w:rPr>
      </w:pPr>
    </w:p>
    <w:p w:rsidR="00A84522" w:rsidRPr="00075A86" w:rsidRDefault="00A84522" w:rsidP="00FA4538">
      <w:pPr>
        <w:spacing w:after="0"/>
        <w:rPr>
          <w:rFonts w:ascii="Times New Roman" w:hAnsi="Times New Roman" w:cs="Times New Roman"/>
          <w:bCs/>
        </w:rPr>
      </w:pPr>
    </w:p>
    <w:p w:rsidR="00FA4538" w:rsidRPr="00075A86" w:rsidRDefault="00FA4538" w:rsidP="00FA4538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2.  KVALITATÍVNE A KVANTITATÍVNE ZLOŽENIE </w:t>
      </w: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Každá tableta obsahuje 80 mg </w:t>
      </w:r>
      <w:r w:rsidR="008E3266" w:rsidRPr="00075A86">
        <w:rPr>
          <w:sz w:val="22"/>
          <w:szCs w:val="22"/>
        </w:rPr>
        <w:t>febuxost</w:t>
      </w:r>
      <w:r w:rsidR="008E3266">
        <w:rPr>
          <w:sz w:val="22"/>
          <w:szCs w:val="22"/>
        </w:rPr>
        <w:t>á</w:t>
      </w:r>
      <w:r w:rsidR="008E3266" w:rsidRPr="00075A86">
        <w:rPr>
          <w:sz w:val="22"/>
          <w:szCs w:val="22"/>
        </w:rPr>
        <w:t>tu</w:t>
      </w:r>
      <w:r w:rsidRPr="00075A86">
        <w:rPr>
          <w:sz w:val="22"/>
          <w:szCs w:val="22"/>
        </w:rPr>
        <w:t xml:space="preserve">. </w:t>
      </w:r>
    </w:p>
    <w:p w:rsidR="00767D49" w:rsidRPr="00075A86" w:rsidRDefault="00767D49" w:rsidP="00FA4538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>Pomocná látka so známym účink</w:t>
      </w:r>
      <w:r w:rsidR="00767D49" w:rsidRPr="00075A86">
        <w:rPr>
          <w:sz w:val="22"/>
          <w:szCs w:val="22"/>
          <w:u w:val="single"/>
        </w:rPr>
        <w:t>om</w:t>
      </w:r>
      <w:r w:rsidRPr="00075A86">
        <w:rPr>
          <w:sz w:val="22"/>
          <w:szCs w:val="22"/>
          <w:u w:val="single"/>
        </w:rPr>
        <w:t xml:space="preserve"> </w:t>
      </w: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>Každá tableta obsahuje 76,5 mg laktózy</w:t>
      </w:r>
      <w:r w:rsidRPr="00B66240">
        <w:rPr>
          <w:sz w:val="22"/>
          <w:szCs w:val="22"/>
        </w:rPr>
        <w:t>.</w:t>
      </w:r>
      <w:r w:rsidRPr="00075A86">
        <w:rPr>
          <w:sz w:val="22"/>
          <w:szCs w:val="22"/>
        </w:rPr>
        <w:t xml:space="preserve"> </w:t>
      </w:r>
    </w:p>
    <w:p w:rsidR="00767D49" w:rsidRPr="00075A86" w:rsidRDefault="00767D49" w:rsidP="00FA4538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Úplný zoznam pomocných látok, pozri časť 6.1. </w:t>
      </w: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FA4538" w:rsidP="00FA4538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3.  LIEKOVÁ FORMA </w:t>
      </w: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Filmom obalená tableta. </w:t>
      </w:r>
    </w:p>
    <w:p w:rsidR="00303380" w:rsidRPr="00075A86" w:rsidRDefault="00303380" w:rsidP="00FA4538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>Svetložltá až žltá, podlhovastá, bikonvexná filmom obalená tableta, na jednej strane vtlačené číslo "80"</w:t>
      </w:r>
      <w:r w:rsidR="003467FB" w:rsidRPr="00075A86">
        <w:rPr>
          <w:sz w:val="22"/>
          <w:szCs w:val="22"/>
        </w:rPr>
        <w:t>, na druhej strane hladká.</w:t>
      </w:r>
      <w:r w:rsidRPr="00075A86">
        <w:rPr>
          <w:sz w:val="22"/>
          <w:szCs w:val="22"/>
        </w:rPr>
        <w:t xml:space="preserve"> </w:t>
      </w:r>
      <w:r w:rsidR="009B5631" w:rsidRPr="00075A86">
        <w:rPr>
          <w:sz w:val="22"/>
          <w:szCs w:val="22"/>
        </w:rPr>
        <w:t>Dĺžka tablety je približne 17,2 mm a šírka okolo 6,2 mm.</w:t>
      </w: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FA4538" w:rsidP="00FA4538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  KLINICKÉ ÚDAJE </w:t>
      </w:r>
    </w:p>
    <w:p w:rsidR="00FA4538" w:rsidRPr="00075A86" w:rsidRDefault="00FA4538" w:rsidP="00FA4538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FA4538" w:rsidP="00FA4538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4.1  Terapeutické indikácie </w:t>
      </w:r>
    </w:p>
    <w:p w:rsidR="000208A4" w:rsidRPr="00075A86" w:rsidRDefault="000208A4" w:rsidP="00FA4538">
      <w:pPr>
        <w:pStyle w:val="Default"/>
        <w:spacing w:line="276" w:lineRule="auto"/>
        <w:rPr>
          <w:sz w:val="22"/>
          <w:szCs w:val="22"/>
        </w:rPr>
      </w:pPr>
    </w:p>
    <w:p w:rsidR="006D7AE9" w:rsidRDefault="001A7197" w:rsidP="003467FB">
      <w:pPr>
        <w:pStyle w:val="Default"/>
        <w:spacing w:line="276" w:lineRule="auto"/>
        <w:rPr>
          <w:sz w:val="22"/>
          <w:szCs w:val="22"/>
        </w:rPr>
      </w:pPr>
      <w:r w:rsidRPr="001A7197">
        <w:rPr>
          <w:bCs/>
          <w:sz w:val="22"/>
          <w:szCs w:val="22"/>
        </w:rPr>
        <w:t>Abuxar</w:t>
      </w:r>
      <w:r w:rsidR="000208A4" w:rsidRPr="001A7197">
        <w:rPr>
          <w:sz w:val="22"/>
          <w:szCs w:val="22"/>
        </w:rPr>
        <w:t xml:space="preserve"> je indikovaný</w:t>
      </w:r>
      <w:r w:rsidR="000208A4" w:rsidRPr="00075A86">
        <w:rPr>
          <w:sz w:val="22"/>
          <w:szCs w:val="22"/>
        </w:rPr>
        <w:t xml:space="preserve"> na liečbu chronickej </w:t>
      </w:r>
      <w:r w:rsidR="003467FB" w:rsidRPr="00075A86">
        <w:rPr>
          <w:sz w:val="22"/>
          <w:szCs w:val="22"/>
        </w:rPr>
        <w:t xml:space="preserve">hyperurikémie pri stavoch, </w:t>
      </w:r>
      <w:r w:rsidR="00454136" w:rsidRPr="00075A86">
        <w:rPr>
          <w:sz w:val="22"/>
          <w:szCs w:val="22"/>
        </w:rPr>
        <w:t>u</w:t>
      </w:r>
      <w:r w:rsidR="003467FB" w:rsidRPr="00075A86">
        <w:rPr>
          <w:sz w:val="22"/>
          <w:szCs w:val="22"/>
        </w:rPr>
        <w:t xml:space="preserve"> ktorých už došlo </w:t>
      </w:r>
    </w:p>
    <w:p w:rsidR="003467FB" w:rsidRPr="00075A86" w:rsidRDefault="003467FB" w:rsidP="003467FB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k ukladaniu urátov (vrátane anamnézy alebo prítomnosti tofu a/alebo dnavej artritídy). </w:t>
      </w:r>
    </w:p>
    <w:p w:rsidR="003467FB" w:rsidRPr="00075A86" w:rsidRDefault="003467FB" w:rsidP="003467FB">
      <w:pPr>
        <w:pStyle w:val="Default"/>
        <w:spacing w:line="276" w:lineRule="auto"/>
        <w:rPr>
          <w:sz w:val="22"/>
          <w:szCs w:val="22"/>
        </w:rPr>
      </w:pPr>
    </w:p>
    <w:p w:rsidR="00FA4538" w:rsidRPr="00075A86" w:rsidRDefault="001A7197" w:rsidP="003467FB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>buxar</w:t>
      </w:r>
      <w:r w:rsidR="003467FB" w:rsidRPr="00075A86">
        <w:rPr>
          <w:rFonts w:ascii="Times New Roman" w:hAnsi="Times New Roman" w:cs="Times New Roman"/>
        </w:rPr>
        <w:t xml:space="preserve"> je určený pre dospelých.</w:t>
      </w:r>
    </w:p>
    <w:p w:rsidR="00303380" w:rsidRPr="00075A86" w:rsidRDefault="00303380" w:rsidP="003467FB">
      <w:pPr>
        <w:spacing w:after="0"/>
        <w:rPr>
          <w:rFonts w:ascii="Times New Roman" w:hAnsi="Times New Roman" w:cs="Times New Roman"/>
        </w:rPr>
      </w:pPr>
    </w:p>
    <w:p w:rsidR="00303380" w:rsidRPr="00075A86" w:rsidRDefault="00303380" w:rsidP="00303380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4.2 </w:t>
      </w:r>
      <w:r w:rsidR="00057EE8" w:rsidRPr="00075A86">
        <w:rPr>
          <w:b/>
          <w:bCs/>
          <w:sz w:val="22"/>
          <w:szCs w:val="22"/>
        </w:rPr>
        <w:t xml:space="preserve"> </w:t>
      </w:r>
      <w:r w:rsidRPr="00075A86">
        <w:rPr>
          <w:b/>
          <w:bCs/>
          <w:sz w:val="22"/>
          <w:szCs w:val="22"/>
        </w:rPr>
        <w:t xml:space="preserve">Dávkovanie a spôsob podávania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 xml:space="preserve">Dávkovanie </w:t>
      </w:r>
    </w:p>
    <w:p w:rsidR="008B3297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Odporúčaná perorálna dávka </w:t>
      </w:r>
      <w:r w:rsidR="001A7197" w:rsidRPr="001A7197">
        <w:rPr>
          <w:bCs/>
          <w:sz w:val="22"/>
          <w:szCs w:val="22"/>
        </w:rPr>
        <w:t>Abuxaru</w:t>
      </w:r>
      <w:r w:rsidR="001A7197" w:rsidRPr="001A7197" w:rsidDel="001A7197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>je 80 mg denne bez ohľadu na jedlo. Ak je po 2-4 týždňoch koncentrácia kyseliny močovej v sére &gt; 6 mg/d</w:t>
      </w:r>
      <w:r w:rsidR="00096882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(357 μmol/</w:t>
      </w:r>
      <w:r w:rsidR="00096882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), môže sa zvážiť podávanie </w:t>
      </w:r>
      <w:r w:rsidR="001A7197" w:rsidRPr="001A7197">
        <w:rPr>
          <w:bCs/>
          <w:sz w:val="22"/>
          <w:szCs w:val="22"/>
        </w:rPr>
        <w:t>Abuxar</w:t>
      </w:r>
      <w:r w:rsidR="001A7197">
        <w:rPr>
          <w:bCs/>
          <w:sz w:val="22"/>
          <w:szCs w:val="22"/>
        </w:rPr>
        <w:t>u</w:t>
      </w:r>
      <w:r w:rsidRPr="00075A86">
        <w:rPr>
          <w:sz w:val="22"/>
          <w:szCs w:val="22"/>
        </w:rPr>
        <w:t xml:space="preserve">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120 mg raz denne.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:rsidR="00303380" w:rsidRPr="00075A86" w:rsidRDefault="001A7197" w:rsidP="00303380">
      <w:pPr>
        <w:pStyle w:val="Default"/>
        <w:spacing w:line="276" w:lineRule="auto"/>
        <w:rPr>
          <w:sz w:val="22"/>
          <w:szCs w:val="22"/>
        </w:rPr>
      </w:pPr>
      <w:r w:rsidRPr="001A7197">
        <w:rPr>
          <w:bCs/>
          <w:sz w:val="22"/>
          <w:szCs w:val="22"/>
        </w:rPr>
        <w:t>Abuxar</w:t>
      </w:r>
      <w:r w:rsidR="00303380" w:rsidRPr="00075A86">
        <w:rPr>
          <w:sz w:val="22"/>
          <w:szCs w:val="22"/>
        </w:rPr>
        <w:t xml:space="preserve"> funguje dostatočne rýchlo, aby bolo možné opätovné vyšetrenie kyseliny močovej v sére po 2 týždňoch. Terapeutickým cieľom je znížiť a udržiavať kyselinu močovú v sére pod 6 mg/d</w:t>
      </w:r>
      <w:r w:rsidR="00096882" w:rsidRPr="00075A86">
        <w:rPr>
          <w:sz w:val="22"/>
          <w:szCs w:val="22"/>
        </w:rPr>
        <w:t>l</w:t>
      </w:r>
      <w:r w:rsidR="00303380" w:rsidRPr="00075A86">
        <w:rPr>
          <w:sz w:val="22"/>
          <w:szCs w:val="22"/>
        </w:rPr>
        <w:t xml:space="preserve"> (357 μmol/</w:t>
      </w:r>
      <w:r w:rsidR="00096882" w:rsidRPr="00075A86">
        <w:rPr>
          <w:sz w:val="22"/>
          <w:szCs w:val="22"/>
        </w:rPr>
        <w:t>l</w:t>
      </w:r>
      <w:r w:rsidR="00303380" w:rsidRPr="00075A86">
        <w:rPr>
          <w:sz w:val="22"/>
          <w:szCs w:val="22"/>
        </w:rPr>
        <w:t xml:space="preserve">).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Odporúča sa profylaxia </w:t>
      </w:r>
      <w:r w:rsidR="00075A86" w:rsidRPr="00075A86">
        <w:rPr>
          <w:sz w:val="22"/>
          <w:szCs w:val="22"/>
        </w:rPr>
        <w:t xml:space="preserve">pred </w:t>
      </w:r>
      <w:r w:rsidRPr="00075A86">
        <w:rPr>
          <w:sz w:val="22"/>
          <w:szCs w:val="22"/>
        </w:rPr>
        <w:t>vzplanut</w:t>
      </w:r>
      <w:r w:rsidR="00075A86" w:rsidRPr="00075A86">
        <w:rPr>
          <w:sz w:val="22"/>
          <w:szCs w:val="22"/>
        </w:rPr>
        <w:t>ím</w:t>
      </w:r>
      <w:r w:rsidRPr="00075A86">
        <w:rPr>
          <w:sz w:val="22"/>
          <w:szCs w:val="22"/>
        </w:rPr>
        <w:t xml:space="preserve"> dnavého záchvatu minimálne 6 mesiacov (pozri časť 4.4). </w:t>
      </w:r>
    </w:p>
    <w:p w:rsidR="00F02C4A" w:rsidRPr="00075A86" w:rsidRDefault="00F02C4A" w:rsidP="00303380">
      <w:pPr>
        <w:pStyle w:val="Default"/>
        <w:spacing w:line="276" w:lineRule="auto"/>
        <w:rPr>
          <w:sz w:val="22"/>
          <w:szCs w:val="22"/>
        </w:rPr>
      </w:pP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Starší ľudia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U starších nie je potrebná žiadna úprava dávkovania (pozri časť 5.2).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Poškodenie obličiek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>Účinnosť a bezpečnosť neboli úplne vyhodnotené u pacientov s vážnym poškodením obličiek (klírens kreatinínu &lt;30 m</w:t>
      </w:r>
      <w:r w:rsidR="00096882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/min, pozri časť 5.2).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Úprava dávky nie je potrebná u pacientov s miernou alebo stredne ťažkou poruchou funkcie obličiek.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Poškodenie pečene </w:t>
      </w:r>
    </w:p>
    <w:p w:rsidR="00303380" w:rsidRPr="00075A86" w:rsidRDefault="00303380" w:rsidP="00303380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Účinnosť a bezpečnosť febuxost</w:t>
      </w:r>
      <w:r w:rsidR="0069538F">
        <w:rPr>
          <w:rFonts w:ascii="Times New Roman" w:hAnsi="Times New Roman" w:cs="Times New Roman"/>
        </w:rPr>
        <w:t>á</w:t>
      </w:r>
      <w:r w:rsidRPr="00075A86">
        <w:rPr>
          <w:rFonts w:ascii="Times New Roman" w:hAnsi="Times New Roman" w:cs="Times New Roman"/>
        </w:rPr>
        <w:t>tu sa neštudovala u pacientov s ťažkou poruchou pečene (Child</w:t>
      </w:r>
      <w:r w:rsidR="00096882" w:rsidRPr="00075A86">
        <w:rPr>
          <w:rFonts w:ascii="Times New Roman" w:hAnsi="Times New Roman" w:cs="Times New Roman"/>
        </w:rPr>
        <w:t>ova-</w:t>
      </w:r>
      <w:r w:rsidRPr="00075A86">
        <w:rPr>
          <w:rFonts w:ascii="Times New Roman" w:hAnsi="Times New Roman" w:cs="Times New Roman"/>
        </w:rPr>
        <w:t xml:space="preserve"> Pugh</w:t>
      </w:r>
      <w:r w:rsidR="00096882" w:rsidRPr="00075A86">
        <w:rPr>
          <w:rFonts w:ascii="Times New Roman" w:hAnsi="Times New Roman" w:cs="Times New Roman"/>
        </w:rPr>
        <w:t>ova</w:t>
      </w:r>
      <w:r w:rsidRPr="00075A86">
        <w:rPr>
          <w:rFonts w:ascii="Times New Roman" w:hAnsi="Times New Roman" w:cs="Times New Roman"/>
        </w:rPr>
        <w:t xml:space="preserve"> </w:t>
      </w:r>
      <w:r w:rsidR="00096882" w:rsidRPr="00075A86">
        <w:rPr>
          <w:rFonts w:ascii="Times New Roman" w:hAnsi="Times New Roman" w:cs="Times New Roman"/>
        </w:rPr>
        <w:t>t</w:t>
      </w:r>
      <w:r w:rsidRPr="00075A86">
        <w:rPr>
          <w:rFonts w:ascii="Times New Roman" w:hAnsi="Times New Roman" w:cs="Times New Roman"/>
        </w:rPr>
        <w:t>rieda C).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Odporúčané dávkovanie u pacientov s miernym poškodením pečene je 80 mg. U pacientov so stredne závažným poškodením pečene sú k dispozícii iba obmedzené informácie.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Pediatrická populácia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>Bezpečnosť a účinnosť febuxost</w:t>
      </w:r>
      <w:r w:rsidR="0069538F">
        <w:rPr>
          <w:sz w:val="22"/>
          <w:szCs w:val="22"/>
        </w:rPr>
        <w:t>á</w:t>
      </w:r>
      <w:r w:rsidRPr="00075A86">
        <w:rPr>
          <w:sz w:val="22"/>
          <w:szCs w:val="22"/>
        </w:rPr>
        <w:t xml:space="preserve">tu u detí do 18 rokov nebola stanovená. Nie sú k dispozícii žiadne údaje.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 xml:space="preserve">Spôsob podávania </w:t>
      </w: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Vnútorné použitie. </w:t>
      </w:r>
    </w:p>
    <w:p w:rsidR="00303380" w:rsidRPr="00075A86" w:rsidRDefault="001A7197" w:rsidP="00303380">
      <w:pPr>
        <w:pStyle w:val="Default"/>
        <w:spacing w:line="276" w:lineRule="auto"/>
        <w:rPr>
          <w:sz w:val="22"/>
          <w:szCs w:val="22"/>
        </w:rPr>
      </w:pPr>
      <w:r w:rsidRPr="001A7197">
        <w:rPr>
          <w:bCs/>
          <w:sz w:val="22"/>
          <w:szCs w:val="22"/>
        </w:rPr>
        <w:t>Abuxar</w:t>
      </w:r>
      <w:r w:rsidR="00303380" w:rsidRPr="00075A86">
        <w:rPr>
          <w:sz w:val="22"/>
          <w:szCs w:val="22"/>
        </w:rPr>
        <w:t xml:space="preserve"> sa má užívať ústami a môže sa užívať s jedlom alebo bez jedla. </w:t>
      </w:r>
    </w:p>
    <w:p w:rsidR="00057EE8" w:rsidRPr="00075A86" w:rsidRDefault="00057EE8" w:rsidP="00303380">
      <w:pPr>
        <w:pStyle w:val="Default"/>
        <w:spacing w:line="276" w:lineRule="auto"/>
        <w:rPr>
          <w:sz w:val="22"/>
          <w:szCs w:val="22"/>
        </w:rPr>
      </w:pPr>
    </w:p>
    <w:p w:rsidR="00303380" w:rsidRPr="00075A86" w:rsidRDefault="00303380" w:rsidP="00303380">
      <w:pPr>
        <w:pStyle w:val="Default"/>
        <w:spacing w:line="276" w:lineRule="auto"/>
        <w:rPr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4.3 </w:t>
      </w:r>
      <w:r w:rsidR="00057EE8" w:rsidRPr="00075A86">
        <w:rPr>
          <w:b/>
          <w:bCs/>
          <w:sz w:val="22"/>
          <w:szCs w:val="22"/>
        </w:rPr>
        <w:t xml:space="preserve"> </w:t>
      </w:r>
      <w:r w:rsidRPr="00075A86">
        <w:rPr>
          <w:b/>
          <w:bCs/>
          <w:sz w:val="22"/>
          <w:szCs w:val="22"/>
        </w:rPr>
        <w:t xml:space="preserve">Kontraindikácie </w:t>
      </w:r>
    </w:p>
    <w:p w:rsidR="00303380" w:rsidRPr="00075A86" w:rsidRDefault="00303380" w:rsidP="00303380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Precitlivenosť na liečivo alebo na ktorúkoľvek z pomocných látok uvedených v časti 6.1 (pozri tiež čas</w:t>
      </w:r>
      <w:r w:rsidR="00096882" w:rsidRPr="00075A86">
        <w:rPr>
          <w:rFonts w:ascii="Times New Roman" w:hAnsi="Times New Roman" w:cs="Times New Roman"/>
        </w:rPr>
        <w:t>ť</w:t>
      </w:r>
      <w:r w:rsidRPr="00075A86">
        <w:rPr>
          <w:rFonts w:ascii="Times New Roman" w:hAnsi="Times New Roman" w:cs="Times New Roman"/>
        </w:rPr>
        <w:t xml:space="preserve"> 4.8).</w:t>
      </w:r>
    </w:p>
    <w:p w:rsidR="00303380" w:rsidRPr="00075A86" w:rsidRDefault="00303380" w:rsidP="00303380">
      <w:pPr>
        <w:spacing w:after="0"/>
        <w:rPr>
          <w:rFonts w:ascii="Times New Roman" w:hAnsi="Times New Roman" w:cs="Times New Roman"/>
        </w:rPr>
      </w:pPr>
    </w:p>
    <w:p w:rsidR="00057EE8" w:rsidRPr="00075A86" w:rsidRDefault="00057EE8" w:rsidP="00057EE8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4.4  Osobitné upozornenia a opatrenia pri používaní </w:t>
      </w:r>
    </w:p>
    <w:p w:rsidR="00057EE8" w:rsidRPr="00075A86" w:rsidRDefault="00057EE8" w:rsidP="00057EE8">
      <w:pPr>
        <w:pStyle w:val="Default"/>
        <w:spacing w:line="276" w:lineRule="auto"/>
        <w:rPr>
          <w:sz w:val="22"/>
          <w:szCs w:val="22"/>
        </w:rPr>
      </w:pPr>
    </w:p>
    <w:p w:rsidR="00057EE8" w:rsidRPr="00075A86" w:rsidRDefault="00057EE8" w:rsidP="00057EE8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Kardiovaskulárne poruchy </w:t>
      </w:r>
    </w:p>
    <w:p w:rsidR="00057EE8" w:rsidRPr="00075A86" w:rsidRDefault="00057EE8" w:rsidP="00057EE8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U pacientov s ischemickou chorobou srdca alebo chronickým srdcovým zlyhávaním sa liečba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tom </w:t>
      </w:r>
      <w:r w:rsidRPr="00075A86">
        <w:rPr>
          <w:sz w:val="22"/>
          <w:szCs w:val="22"/>
        </w:rPr>
        <w:t xml:space="preserve">neodporúča. </w:t>
      </w:r>
    </w:p>
    <w:p w:rsidR="00294774" w:rsidRPr="00075A86" w:rsidRDefault="00057EE8" w:rsidP="00057EE8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Číselne vyšší výskyt kardiovaskulárnych APTC príhod hlásených skúšajúcim (definovaných ako parameter z Anti-Platelet Trialists´Collaboration (APTC) zahrňujúci kardiovaskulárnu smrť, nefatálny infarkt myokardu, nefatálnu mozgovú príhodu) bol pozorovaný u celej skupiny podstupujúcej liečbu </w:t>
      </w:r>
      <w:r w:rsidR="0069538F"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075A86">
        <w:rPr>
          <w:rFonts w:ascii="Times New Roman" w:hAnsi="Times New Roman" w:cs="Times New Roman"/>
        </w:rPr>
        <w:t xml:space="preserve">tom </w:t>
      </w:r>
      <w:r w:rsidRPr="00075A86">
        <w:rPr>
          <w:rFonts w:ascii="Times New Roman" w:hAnsi="Times New Roman" w:cs="Times New Roman"/>
        </w:rPr>
        <w:t>v porovnaní so skupinou podstupujúcou liečbu alopurinolom v APEX a FACT štúdiách (1,3 oproti 0,3 príhodám na 100 Paciento</w:t>
      </w:r>
      <w:r w:rsidR="00096882" w:rsidRPr="00075A86">
        <w:rPr>
          <w:rFonts w:ascii="Times New Roman" w:hAnsi="Times New Roman" w:cs="Times New Roman"/>
        </w:rPr>
        <w:t>r</w:t>
      </w:r>
      <w:r w:rsidRPr="00075A86">
        <w:rPr>
          <w:rFonts w:ascii="Times New Roman" w:hAnsi="Times New Roman" w:cs="Times New Roman"/>
        </w:rPr>
        <w:t xml:space="preserve">okov (PR)), ale nie v CONFIRMS štúdii (pozri časť 5.1 pre podrobné údaje o štúdiách). Výskyt skúšajúcim hlásených kardiovaskulárnych APTC príhod </w:t>
      </w:r>
    </w:p>
    <w:p w:rsidR="00057EE8" w:rsidRPr="00075A86" w:rsidRDefault="00057EE8" w:rsidP="00057EE8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v kombinovaných štúdiách fázy 3 (APEX, FACT a CONFIRMS) bol 0,7 oproti 0,6 príhodám na 100 pacientorokov. V dlhodobej rozšírenej štúdii výskyt skúšajúcim hlásených APTC príhod pre </w:t>
      </w:r>
      <w:r w:rsidR="0069538F"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075A86">
        <w:rPr>
          <w:rFonts w:ascii="Times New Roman" w:hAnsi="Times New Roman" w:cs="Times New Roman"/>
        </w:rPr>
        <w:t xml:space="preserve">t </w:t>
      </w:r>
      <w:r w:rsidRPr="00075A86">
        <w:rPr>
          <w:rFonts w:ascii="Times New Roman" w:hAnsi="Times New Roman" w:cs="Times New Roman"/>
        </w:rPr>
        <w:t xml:space="preserve">bol 1,2 a pre alopurinol 0,6 príhod na 100 pacientorokov. Nenašli sa žiadne štatisticky významné rozdiely a u </w:t>
      </w:r>
      <w:r w:rsidR="0069538F"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075A86">
        <w:rPr>
          <w:rFonts w:ascii="Times New Roman" w:hAnsi="Times New Roman" w:cs="Times New Roman"/>
        </w:rPr>
        <w:t xml:space="preserve">tu </w:t>
      </w:r>
      <w:r w:rsidRPr="00075A86">
        <w:rPr>
          <w:rFonts w:ascii="Times New Roman" w:hAnsi="Times New Roman" w:cs="Times New Roman"/>
        </w:rPr>
        <w:t>nebol potvrdený žiadny príčinný vzťah. Rizikové faktory, ktoré boli identifikované u týchto pacientov, zahŕňali anamnézu aterosklerotického ochorenia a/alebo infarktu myokardu alebo kongestívneho srdcového zlyhania.</w:t>
      </w:r>
    </w:p>
    <w:p w:rsidR="00F772E1" w:rsidRPr="00075A86" w:rsidRDefault="00F772E1" w:rsidP="00057EE8">
      <w:pPr>
        <w:spacing w:after="0"/>
        <w:rPr>
          <w:rFonts w:ascii="Times New Roman" w:hAnsi="Times New Roman" w:cs="Times New Roman"/>
        </w:rPr>
      </w:pP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lastRenderedPageBreak/>
        <w:t>Alergia na lieky</w:t>
      </w:r>
      <w:r w:rsidR="00294774" w:rsidRPr="00075A86">
        <w:rPr>
          <w:i/>
          <w:iCs/>
          <w:sz w:val="22"/>
          <w:szCs w:val="22"/>
        </w:rPr>
        <w:t xml:space="preserve"> (</w:t>
      </w:r>
      <w:r w:rsidRPr="00075A86">
        <w:rPr>
          <w:i/>
          <w:iCs/>
          <w:sz w:val="22"/>
          <w:szCs w:val="22"/>
        </w:rPr>
        <w:t>precitlivenosť</w:t>
      </w:r>
      <w:r w:rsidR="00294774" w:rsidRPr="00075A86">
        <w:rPr>
          <w:i/>
          <w:iCs/>
          <w:sz w:val="22"/>
          <w:szCs w:val="22"/>
        </w:rPr>
        <w:t>)</w:t>
      </w:r>
      <w:r w:rsidRPr="00075A86">
        <w:rPr>
          <w:i/>
          <w:iCs/>
          <w:sz w:val="22"/>
          <w:szCs w:val="22"/>
        </w:rPr>
        <w:t xml:space="preserve">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Počas postmarketingových skúseností boli </w:t>
      </w:r>
      <w:r w:rsidR="00C75EF8" w:rsidRPr="00075A86">
        <w:rPr>
          <w:sz w:val="22"/>
          <w:szCs w:val="22"/>
        </w:rPr>
        <w:t>zozbierané</w:t>
      </w:r>
      <w:r w:rsidRPr="00075A86">
        <w:rPr>
          <w:sz w:val="22"/>
          <w:szCs w:val="22"/>
        </w:rPr>
        <w:t xml:space="preserve"> zriedkavé hlásenia závažných alergických</w:t>
      </w:r>
      <w:r w:rsidR="00294774" w:rsidRPr="00075A86">
        <w:rPr>
          <w:sz w:val="22"/>
          <w:szCs w:val="22"/>
        </w:rPr>
        <w:t xml:space="preserve"> (</w:t>
      </w:r>
      <w:r w:rsidRPr="00075A86">
        <w:rPr>
          <w:sz w:val="22"/>
          <w:szCs w:val="22"/>
        </w:rPr>
        <w:t>hypersenzitívnych</w:t>
      </w:r>
      <w:r w:rsidR="00294774" w:rsidRPr="00075A86">
        <w:rPr>
          <w:sz w:val="22"/>
          <w:szCs w:val="22"/>
        </w:rPr>
        <w:t>)</w:t>
      </w:r>
      <w:r w:rsidRPr="00075A86">
        <w:rPr>
          <w:sz w:val="22"/>
          <w:szCs w:val="22"/>
        </w:rPr>
        <w:t xml:space="preserve"> reakcií, vrátane život ohrozujúceho Stevensovho</w:t>
      </w:r>
      <w:r w:rsidR="00C75EF8" w:rsidRPr="00075A86">
        <w:rPr>
          <w:sz w:val="22"/>
          <w:szCs w:val="22"/>
        </w:rPr>
        <w:t>-</w:t>
      </w:r>
      <w:r w:rsidRPr="00075A86">
        <w:rPr>
          <w:sz w:val="22"/>
          <w:szCs w:val="22"/>
        </w:rPr>
        <w:t>Johnsonovho syndrómu, toxickej epidermálnej nekrolýzy a akútnej anafylaktickej reakcie</w:t>
      </w:r>
      <w:r w:rsidR="00C75EF8" w:rsidRPr="00075A86">
        <w:rPr>
          <w:sz w:val="22"/>
          <w:szCs w:val="22"/>
        </w:rPr>
        <w:t>/</w:t>
      </w:r>
      <w:r w:rsidRPr="00075A86">
        <w:rPr>
          <w:sz w:val="22"/>
          <w:szCs w:val="22"/>
        </w:rPr>
        <w:t xml:space="preserve">šoku. Vo väčšine prípadov sa tieto reakcie vyskytli počas prvého mesiaca liečby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tom</w:t>
      </w:r>
      <w:r w:rsidRPr="00075A86">
        <w:rPr>
          <w:sz w:val="22"/>
          <w:szCs w:val="22"/>
        </w:rPr>
        <w:t xml:space="preserve">. </w:t>
      </w:r>
    </w:p>
    <w:p w:rsidR="00294774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Niektorí z týchto pacientov, ale nie všetci, hlásili poškodenie obličiek a/alebo predchádzajúcu hypersenzitivitu na alopurinol. Závažné hypersenzitívne reakcie vrátane liekovej reakcie </w:t>
      </w:r>
    </w:p>
    <w:p w:rsidR="006D7AE9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>s eozinofíliou a systémovými symptómami (</w:t>
      </w:r>
      <w:r w:rsidR="00C75EF8" w:rsidRPr="006E61B3">
        <w:rPr>
          <w:sz w:val="22"/>
          <w:szCs w:val="22"/>
          <w:lang w:eastAsia="el-GR"/>
        </w:rPr>
        <w:t>Drug Reaction with Eosinophilia and Systemic Symptoms,</w:t>
      </w:r>
      <w:r w:rsidR="00C75EF8" w:rsidRPr="006E61B3">
        <w:rPr>
          <w:lang w:eastAsia="el-GR"/>
        </w:rPr>
        <w:t xml:space="preserve"> </w:t>
      </w:r>
      <w:r w:rsidRPr="00075A86">
        <w:rPr>
          <w:sz w:val="22"/>
          <w:szCs w:val="22"/>
        </w:rPr>
        <w:t xml:space="preserve">DRESS) boli v niektorých prípadoch spojené s horúčkou, hematologickými zmenami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a postihnutím obličiek alebo pečene.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>Pacienti majú byť poučení o</w:t>
      </w:r>
      <w:r w:rsidR="00C75EF8" w:rsidRPr="00075A86">
        <w:rPr>
          <w:sz w:val="22"/>
          <w:szCs w:val="22"/>
        </w:rPr>
        <w:t> prejav</w:t>
      </w:r>
      <w:r w:rsidRPr="00075A86">
        <w:rPr>
          <w:sz w:val="22"/>
          <w:szCs w:val="22"/>
        </w:rPr>
        <w:t>och a symptómoch a majú byť dôsledne monitorovaní pre výskyt symptómov alergických</w:t>
      </w:r>
      <w:r w:rsidR="00C75EF8" w:rsidRPr="00075A86">
        <w:rPr>
          <w:sz w:val="22"/>
          <w:szCs w:val="22"/>
        </w:rPr>
        <w:t>/</w:t>
      </w:r>
      <w:r w:rsidRPr="00075A86">
        <w:rPr>
          <w:sz w:val="22"/>
          <w:szCs w:val="22"/>
        </w:rPr>
        <w:t xml:space="preserve">hypersenzitívnych reakcií (pozri časť 4.8). </w:t>
      </w:r>
    </w:p>
    <w:p w:rsidR="00294774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>Liečba febuxost</w:t>
      </w:r>
      <w:r w:rsidR="0069538F">
        <w:rPr>
          <w:sz w:val="22"/>
          <w:szCs w:val="22"/>
        </w:rPr>
        <w:t>á</w:t>
      </w:r>
      <w:r w:rsidRPr="00075A86">
        <w:rPr>
          <w:sz w:val="22"/>
          <w:szCs w:val="22"/>
        </w:rPr>
        <w:t>tom má byť ihneď ukončená pri výskyte závažných alergických</w:t>
      </w:r>
      <w:r w:rsidR="00C75EF8" w:rsidRPr="00075A86">
        <w:rPr>
          <w:sz w:val="22"/>
          <w:szCs w:val="22"/>
        </w:rPr>
        <w:t>/</w:t>
      </w:r>
      <w:r w:rsidRPr="00075A86">
        <w:rPr>
          <w:sz w:val="22"/>
          <w:szCs w:val="22"/>
        </w:rPr>
        <w:t>hypersenzitívnych</w:t>
      </w:r>
      <w:r w:rsidR="00294774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 xml:space="preserve">reakcií, vrátane Stevensovho-Johnsonovho syndrómu, pretože skoré ukončenie liečby je spojené </w:t>
      </w:r>
    </w:p>
    <w:p w:rsidR="00294774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>s lepšou prognózou. Ak sa u pacienta vyvinuli alergické</w:t>
      </w:r>
      <w:r w:rsidR="00C75EF8" w:rsidRPr="00075A86">
        <w:rPr>
          <w:sz w:val="22"/>
          <w:szCs w:val="22"/>
        </w:rPr>
        <w:t>/</w:t>
      </w:r>
      <w:r w:rsidRPr="00075A86">
        <w:rPr>
          <w:sz w:val="22"/>
          <w:szCs w:val="22"/>
        </w:rPr>
        <w:t>hypersenzitívne reakcie, vrátane Stevensovho-Johnsonovho syndrómu a akútnej anafylaktickej reakcie</w:t>
      </w:r>
      <w:r w:rsidR="00C75EF8" w:rsidRPr="00075A86">
        <w:rPr>
          <w:sz w:val="22"/>
          <w:szCs w:val="22"/>
        </w:rPr>
        <w:t>/</w:t>
      </w:r>
      <w:r w:rsidRPr="00075A86">
        <w:rPr>
          <w:sz w:val="22"/>
          <w:szCs w:val="22"/>
        </w:rPr>
        <w:t xml:space="preserve">šoku, liečba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tom </w:t>
      </w:r>
      <w:r w:rsidRPr="00075A86">
        <w:rPr>
          <w:sz w:val="22"/>
          <w:szCs w:val="22"/>
        </w:rPr>
        <w:t xml:space="preserve">sa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u týchto pacientov nesmie znovu začať.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Akútne záchvaty dny (vzplanutie dny) </w:t>
      </w:r>
    </w:p>
    <w:p w:rsidR="00F772E1" w:rsidRPr="00075A86" w:rsidRDefault="00F772E1" w:rsidP="00F772E1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Liečba febuxost</w:t>
      </w:r>
      <w:r w:rsidR="0069538F">
        <w:rPr>
          <w:rFonts w:ascii="Times New Roman" w:hAnsi="Times New Roman" w:cs="Times New Roman"/>
        </w:rPr>
        <w:t>á</w:t>
      </w:r>
      <w:r w:rsidRPr="00075A86">
        <w:rPr>
          <w:rFonts w:ascii="Times New Roman" w:hAnsi="Times New Roman" w:cs="Times New Roman"/>
        </w:rPr>
        <w:t xml:space="preserve">tom sa nesmie začať, pokiaľ úplne neodznie akútny dnavý záchvat. Po začatí liečby sa môžu vyskytnúť dnavé záchvaty, a to kvôli zmene koncentrácie kyseliny močovej v sére vyplývajúcej z mobilizácie urátov uložených v tkanivách (pozri časti 4.8 a 5.1). Pri začatí liečby </w:t>
      </w:r>
      <w:r w:rsidR="0069538F"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075A86">
        <w:rPr>
          <w:rFonts w:ascii="Times New Roman" w:hAnsi="Times New Roman" w:cs="Times New Roman"/>
        </w:rPr>
        <w:t xml:space="preserve">tom </w:t>
      </w:r>
      <w:r w:rsidRPr="00075A86">
        <w:rPr>
          <w:rFonts w:ascii="Times New Roman" w:hAnsi="Times New Roman" w:cs="Times New Roman"/>
        </w:rPr>
        <w:t xml:space="preserve">sa odporúča profylaxia </w:t>
      </w:r>
      <w:r w:rsidR="00075A86" w:rsidRPr="00075A86">
        <w:rPr>
          <w:rFonts w:ascii="Times New Roman" w:hAnsi="Times New Roman" w:cs="Times New Roman"/>
        </w:rPr>
        <w:t xml:space="preserve">pred </w:t>
      </w:r>
      <w:r w:rsidRPr="00075A86">
        <w:rPr>
          <w:rFonts w:ascii="Times New Roman" w:hAnsi="Times New Roman" w:cs="Times New Roman"/>
        </w:rPr>
        <w:t>záchvat</w:t>
      </w:r>
      <w:r w:rsidR="00075A86" w:rsidRPr="00075A86">
        <w:rPr>
          <w:rFonts w:ascii="Times New Roman" w:hAnsi="Times New Roman" w:cs="Times New Roman"/>
        </w:rPr>
        <w:t>om</w:t>
      </w:r>
      <w:r w:rsidRPr="00075A86">
        <w:rPr>
          <w:rFonts w:ascii="Times New Roman" w:hAnsi="Times New Roman" w:cs="Times New Roman"/>
        </w:rPr>
        <w:t xml:space="preserve"> najmenej 6 mesiacov pomocou NSAID alebo kolchicínu (pozri časť 4.2).</w:t>
      </w:r>
    </w:p>
    <w:p w:rsidR="00057EE8" w:rsidRPr="00075A86" w:rsidRDefault="00F772E1" w:rsidP="00F772E1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Ak sa dnavý záchvat vyskytne počas liečby </w:t>
      </w:r>
      <w:r w:rsidR="0069538F" w:rsidRPr="00B66240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B66240">
        <w:rPr>
          <w:rFonts w:ascii="Times New Roman" w:hAnsi="Times New Roman" w:cs="Times New Roman"/>
        </w:rPr>
        <w:t>tom</w:t>
      </w:r>
      <w:r w:rsidRPr="00B66240">
        <w:rPr>
          <w:rFonts w:ascii="Times New Roman" w:hAnsi="Times New Roman" w:cs="Times New Roman"/>
        </w:rPr>
        <w:t>,</w:t>
      </w:r>
      <w:r w:rsidRPr="00075A86">
        <w:rPr>
          <w:rFonts w:ascii="Times New Roman" w:hAnsi="Times New Roman" w:cs="Times New Roman"/>
        </w:rPr>
        <w:t xml:space="preserve"> liečba sa nesmie prerušiť. Dnavý záchvat je potrebné zvládnuť </w:t>
      </w:r>
      <w:r w:rsidR="00C75EF8" w:rsidRPr="00075A86">
        <w:rPr>
          <w:rFonts w:ascii="Times New Roman" w:hAnsi="Times New Roman" w:cs="Times New Roman"/>
        </w:rPr>
        <w:t>primerane</w:t>
      </w:r>
      <w:r w:rsidRPr="00075A86">
        <w:rPr>
          <w:rFonts w:ascii="Times New Roman" w:hAnsi="Times New Roman" w:cs="Times New Roman"/>
        </w:rPr>
        <w:t xml:space="preserve"> pre príslušného pacienta. Nepretržité podávanie </w:t>
      </w:r>
      <w:r w:rsidR="0069538F" w:rsidRPr="00075A86">
        <w:rPr>
          <w:rFonts w:ascii="Times New Roman" w:hAnsi="Times New Roman" w:cs="Times New Roman"/>
        </w:rPr>
        <w:t>febuxost</w:t>
      </w:r>
      <w:r w:rsidR="0069538F">
        <w:rPr>
          <w:rFonts w:ascii="Times New Roman" w:hAnsi="Times New Roman" w:cs="Times New Roman"/>
        </w:rPr>
        <w:t>á</w:t>
      </w:r>
      <w:r w:rsidR="0069538F" w:rsidRPr="00075A86">
        <w:rPr>
          <w:rFonts w:ascii="Times New Roman" w:hAnsi="Times New Roman" w:cs="Times New Roman"/>
        </w:rPr>
        <w:t xml:space="preserve">tu </w:t>
      </w:r>
      <w:r w:rsidRPr="00075A86">
        <w:rPr>
          <w:rFonts w:ascii="Times New Roman" w:hAnsi="Times New Roman" w:cs="Times New Roman"/>
        </w:rPr>
        <w:t>znižuje frekvenciu a intenzitu dnavých záchvatov.</w:t>
      </w:r>
    </w:p>
    <w:p w:rsidR="00F772E1" w:rsidRPr="00075A86" w:rsidRDefault="00F772E1" w:rsidP="00F772E1">
      <w:pPr>
        <w:spacing w:after="0"/>
        <w:rPr>
          <w:rFonts w:ascii="Times New Roman" w:hAnsi="Times New Roman" w:cs="Times New Roman"/>
        </w:rPr>
      </w:pP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Ukladanie xantínu </w:t>
      </w:r>
    </w:p>
    <w:p w:rsidR="006D7AE9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U pacientov, u ktorých je významne zvýšená rýchlosť tvorby urátov (napr. malígne ochorenie a jeho liečba, Leschov-Nyhanov syndróm), </w:t>
      </w:r>
      <w:r w:rsidR="00294774" w:rsidRPr="00075A86">
        <w:rPr>
          <w:sz w:val="22"/>
          <w:szCs w:val="22"/>
        </w:rPr>
        <w:t xml:space="preserve">sa </w:t>
      </w:r>
      <w:r w:rsidRPr="00075A86">
        <w:rPr>
          <w:sz w:val="22"/>
          <w:szCs w:val="22"/>
        </w:rPr>
        <w:t>m</w:t>
      </w:r>
      <w:r w:rsidR="0042788C" w:rsidRPr="00075A86">
        <w:rPr>
          <w:sz w:val="22"/>
          <w:szCs w:val="22"/>
        </w:rPr>
        <w:t>ôže</w:t>
      </w:r>
      <w:r w:rsidRPr="00075A86">
        <w:rPr>
          <w:sz w:val="22"/>
          <w:szCs w:val="22"/>
        </w:rPr>
        <w:t xml:space="preserve"> absolútna koncentrácia xantínu v moči v ojedinelých prípadoch zvýšiť natoľko, že </w:t>
      </w:r>
      <w:r w:rsidR="0042788C" w:rsidRPr="00075A86">
        <w:rPr>
          <w:sz w:val="22"/>
          <w:szCs w:val="22"/>
        </w:rPr>
        <w:t>sa môže</w:t>
      </w:r>
      <w:r w:rsidRPr="00075A86">
        <w:rPr>
          <w:sz w:val="22"/>
          <w:szCs w:val="22"/>
        </w:rPr>
        <w:t xml:space="preserve"> </w:t>
      </w:r>
      <w:r w:rsidR="0042788C" w:rsidRPr="00075A86">
        <w:rPr>
          <w:sz w:val="22"/>
          <w:szCs w:val="22"/>
        </w:rPr>
        <w:t>ukladať</w:t>
      </w:r>
      <w:r w:rsidRPr="00075A86">
        <w:rPr>
          <w:sz w:val="22"/>
          <w:szCs w:val="22"/>
        </w:rPr>
        <w:t xml:space="preserve"> v močovom trakte. Keďže nie sú žiadne skúsenosti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 užívaním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r w:rsidRPr="00075A86">
        <w:rPr>
          <w:sz w:val="22"/>
          <w:szCs w:val="22"/>
        </w:rPr>
        <w:t xml:space="preserve">, u týchto </w:t>
      </w:r>
      <w:r w:rsidR="0042788C" w:rsidRPr="00075A86">
        <w:rPr>
          <w:sz w:val="22"/>
          <w:szCs w:val="22"/>
        </w:rPr>
        <w:t>pacientov</w:t>
      </w:r>
      <w:r w:rsidRPr="00075A86">
        <w:rPr>
          <w:sz w:val="22"/>
          <w:szCs w:val="22"/>
        </w:rPr>
        <w:t xml:space="preserve"> sa jeho užívanie neodporúča.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Merkaptopurín/azatioprín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Použitie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sa neodporúča u pacientov, ktorí sú súčasne liečení merkaptopurínom alebo azatioprínom. Ak nie je možné sa tejto kombinácii vyhnúť, pacienti musia byť starostlivo monitorovaní. Odporúča sa redukcia dávky merkaptopurínu alebo azatioprínu s cieľom vyhnúť sa možným hematologickým účinkom (pozri časť 4.5).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Príjemcovia orgánových transplantátov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Doteraz nie sú žiadne skúsenosti u pacientov po transplantácii orgánov, preto sa užívanie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u týchto pacientov neodporúča (pozri časť 5.1).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Teofylín 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Súčasné podanie jednej dávky 80 mg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a jednej dávky 400 mg teofylínu zdravým dobrovoľníkom neukázalo žiadnu farmakokinetickú interakciu (pozri časť 4.5).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80 mg sa </w:t>
      </w:r>
      <w:r w:rsidRPr="00075A86">
        <w:rPr>
          <w:sz w:val="22"/>
          <w:szCs w:val="22"/>
        </w:rPr>
        <w:lastRenderedPageBreak/>
        <w:t xml:space="preserve">môže používať u pacientov, ktorí sú súčasne liečení teofylínom bez rizika zvýšenia plazmatických hladín teofylínu. Pre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>120 mg n</w:t>
      </w:r>
      <w:r w:rsidR="00CA0D1F" w:rsidRPr="00075A86">
        <w:rPr>
          <w:sz w:val="22"/>
          <w:szCs w:val="22"/>
        </w:rPr>
        <w:t>ie sú dostupné údaje.</w:t>
      </w:r>
    </w:p>
    <w:p w:rsidR="00F772E1" w:rsidRPr="00075A86" w:rsidRDefault="00F772E1" w:rsidP="00F772E1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Poruchy pečene </w:t>
      </w:r>
    </w:p>
    <w:p w:rsidR="007D2C62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Počas kombinovanej tretej fázy klinických štúdií boli u pacientov liečených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tom </w:t>
      </w:r>
      <w:r w:rsidRPr="00075A86">
        <w:rPr>
          <w:sz w:val="22"/>
          <w:szCs w:val="22"/>
        </w:rPr>
        <w:t xml:space="preserve">pozorované mierne odchýlky v testoch funkcie pečene (5,0%). Pred začatím liečby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tom </w:t>
      </w:r>
      <w:r w:rsidRPr="00075A86">
        <w:rPr>
          <w:sz w:val="22"/>
          <w:szCs w:val="22"/>
        </w:rPr>
        <w:t xml:space="preserve">a potom 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v pravidelných intervaloch sa odporúča vyšetriť funkciu pečene na základe klinického hodnotenia (pozri časť 5.1). 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Poruchy štítnej žľazy 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V otvorených rozšírených dlhodobých štúdiách boli u pacientov s dlhodobou liečbou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tom </w:t>
      </w:r>
      <w:r w:rsidRPr="00075A86">
        <w:rPr>
          <w:sz w:val="22"/>
          <w:szCs w:val="22"/>
        </w:rPr>
        <w:t>(5,5%) pozorované zvýšené hodnoty TSH (&gt;5,5 μIU/m</w:t>
      </w:r>
      <w:r w:rsidR="0042788C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). Pri použití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u pacientov so zmenenou funkciou štítnej žľazy sa vyžaduje opatrnosť (pozri časť 5.1). 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Laktóza </w:t>
      </w:r>
    </w:p>
    <w:p w:rsidR="00F772E1" w:rsidRPr="00075A86" w:rsidRDefault="00F772E1" w:rsidP="007D2C62">
      <w:pPr>
        <w:spacing w:after="0"/>
        <w:rPr>
          <w:rFonts w:ascii="Times New Roman" w:hAnsi="Times New Roman" w:cs="Times New Roman"/>
        </w:rPr>
      </w:pPr>
      <w:r w:rsidRPr="006E61B3">
        <w:rPr>
          <w:rFonts w:ascii="Times New Roman" w:hAnsi="Times New Roman" w:cs="Times New Roman"/>
          <w:b/>
        </w:rPr>
        <w:t xml:space="preserve">Tablety </w:t>
      </w:r>
      <w:r w:rsidR="001A7197" w:rsidRPr="001A7197">
        <w:rPr>
          <w:rFonts w:ascii="Times New Roman" w:hAnsi="Times New Roman" w:cs="Times New Roman"/>
          <w:b/>
          <w:bCs/>
        </w:rPr>
        <w:t>Abuxaru</w:t>
      </w:r>
      <w:r w:rsidRPr="006E61B3">
        <w:rPr>
          <w:rFonts w:ascii="Times New Roman" w:hAnsi="Times New Roman" w:cs="Times New Roman"/>
          <w:b/>
        </w:rPr>
        <w:t xml:space="preserve"> obsahujú laktózu.</w:t>
      </w:r>
      <w:r w:rsidRPr="00075A86">
        <w:rPr>
          <w:rFonts w:ascii="Times New Roman" w:hAnsi="Times New Roman" w:cs="Times New Roman"/>
        </w:rPr>
        <w:t xml:space="preserve"> Pacienti so zriedkavými dedičnými problémami galaktózovej intolerancie, lapónskeho deficitu laktázy alebo glukózo-galaktózovej malabsorpcie nesmú užívať tento liek.</w:t>
      </w:r>
    </w:p>
    <w:p w:rsidR="00057EE8" w:rsidRPr="00075A86" w:rsidRDefault="00057EE8" w:rsidP="007D2C62">
      <w:pPr>
        <w:spacing w:after="0"/>
        <w:rPr>
          <w:rFonts w:ascii="Times New Roman" w:hAnsi="Times New Roman" w:cs="Times New Roman"/>
        </w:rPr>
      </w:pPr>
    </w:p>
    <w:p w:rsidR="007D2C62" w:rsidRPr="00075A86" w:rsidRDefault="00F772E1" w:rsidP="007D2C62">
      <w:pPr>
        <w:pStyle w:val="Default"/>
        <w:spacing w:line="276" w:lineRule="auto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4.5 </w:t>
      </w:r>
      <w:r w:rsidR="007D2C62" w:rsidRPr="00075A86">
        <w:rPr>
          <w:b/>
          <w:bCs/>
          <w:sz w:val="22"/>
          <w:szCs w:val="22"/>
        </w:rPr>
        <w:t xml:space="preserve"> </w:t>
      </w:r>
      <w:r w:rsidRPr="00075A86">
        <w:rPr>
          <w:b/>
          <w:bCs/>
          <w:sz w:val="22"/>
          <w:szCs w:val="22"/>
        </w:rPr>
        <w:t>Liekové a iné interakcie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 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Merkaptopurín/azatioprín </w:t>
      </w:r>
    </w:p>
    <w:p w:rsidR="007D2C62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Na základe mechanizmu účinku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>na inhibíciu xantínoxidázy</w:t>
      </w:r>
      <w:r w:rsidR="0042788C" w:rsidRPr="00075A86">
        <w:rPr>
          <w:sz w:val="22"/>
          <w:szCs w:val="22"/>
        </w:rPr>
        <w:t xml:space="preserve"> (XO)</w:t>
      </w:r>
      <w:r w:rsidRPr="00075A86">
        <w:rPr>
          <w:sz w:val="22"/>
          <w:szCs w:val="22"/>
        </w:rPr>
        <w:t xml:space="preserve"> sa </w:t>
      </w:r>
      <w:r w:rsidR="007D2C62" w:rsidRPr="00075A86">
        <w:rPr>
          <w:sz w:val="22"/>
          <w:szCs w:val="22"/>
        </w:rPr>
        <w:t xml:space="preserve">súčasné používanie neodporúča. </w:t>
      </w:r>
      <w:r w:rsidRPr="00075A86">
        <w:rPr>
          <w:sz w:val="22"/>
          <w:szCs w:val="22"/>
        </w:rPr>
        <w:t xml:space="preserve">Inhibícia XO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tom </w:t>
      </w:r>
      <w:r w:rsidRPr="00075A86">
        <w:rPr>
          <w:sz w:val="22"/>
          <w:szCs w:val="22"/>
        </w:rPr>
        <w:t xml:space="preserve">môže zvýšiť plazmatickú koncentráciu týchto liekov a viesť 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k ich toxicite (pozri časť 4.4). Štúdie interakcií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>s liekmi, ktoré sú metabolizované XO</w:t>
      </w:r>
      <w:r w:rsidR="0042788C" w:rsidRPr="00075A86">
        <w:rPr>
          <w:sz w:val="22"/>
          <w:szCs w:val="22"/>
        </w:rPr>
        <w:t>,</w:t>
      </w:r>
      <w:r w:rsidRPr="00075A86">
        <w:rPr>
          <w:sz w:val="22"/>
          <w:szCs w:val="22"/>
        </w:rPr>
        <w:t xml:space="preserve"> neboli uskutočnené. </w:t>
      </w:r>
    </w:p>
    <w:p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:rsidR="007D2C62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Liekové interakčné štúdie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s cytotoxickou chemoterapiou neboli vykonané. Nie sú 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k dispozícii žiadne údaje týkajúce sa bezpečnosti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počas cytotoxickej terapie. </w:t>
      </w:r>
    </w:p>
    <w:p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69538F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69538F">
        <w:rPr>
          <w:i/>
          <w:iCs/>
          <w:sz w:val="22"/>
          <w:szCs w:val="22"/>
        </w:rPr>
        <w:t>Rosiglitaz</w:t>
      </w:r>
      <w:r w:rsidR="0042788C" w:rsidRPr="0069538F">
        <w:rPr>
          <w:i/>
          <w:iCs/>
          <w:sz w:val="22"/>
          <w:szCs w:val="22"/>
        </w:rPr>
        <w:t>ó</w:t>
      </w:r>
      <w:r w:rsidRPr="0069538F">
        <w:rPr>
          <w:i/>
          <w:iCs/>
          <w:sz w:val="22"/>
          <w:szCs w:val="22"/>
        </w:rPr>
        <w:t xml:space="preserve">n/CYP2C8 substráty </w:t>
      </w:r>
    </w:p>
    <w:p w:rsidR="00F772E1" w:rsidRPr="0069538F" w:rsidRDefault="0069538F" w:rsidP="007D2C62">
      <w:pPr>
        <w:pStyle w:val="Default"/>
        <w:spacing w:line="276" w:lineRule="auto"/>
        <w:rPr>
          <w:sz w:val="22"/>
          <w:szCs w:val="22"/>
        </w:rPr>
      </w:pPr>
      <w:r w:rsidRPr="0069538F">
        <w:rPr>
          <w:sz w:val="22"/>
          <w:szCs w:val="22"/>
        </w:rPr>
        <w:t xml:space="preserve">Febuxostát </w:t>
      </w:r>
      <w:r w:rsidR="00F772E1" w:rsidRPr="0069538F">
        <w:rPr>
          <w:sz w:val="22"/>
          <w:szCs w:val="22"/>
        </w:rPr>
        <w:t xml:space="preserve">sa </w:t>
      </w:r>
      <w:r w:rsidR="00075A86" w:rsidRPr="0069538F">
        <w:rPr>
          <w:sz w:val="22"/>
          <w:szCs w:val="22"/>
        </w:rPr>
        <w:t>javi</w:t>
      </w:r>
      <w:r w:rsidR="00F772E1" w:rsidRPr="0069538F">
        <w:rPr>
          <w:sz w:val="22"/>
          <w:szCs w:val="22"/>
        </w:rPr>
        <w:t xml:space="preserve">l ako slabý inhibítor CYP2C8 </w:t>
      </w:r>
      <w:r w:rsidR="00F772E1" w:rsidRPr="0069538F">
        <w:rPr>
          <w:i/>
          <w:iCs/>
          <w:sz w:val="22"/>
          <w:szCs w:val="22"/>
        </w:rPr>
        <w:t>in vitro</w:t>
      </w:r>
      <w:r w:rsidR="00F772E1" w:rsidRPr="0069538F">
        <w:rPr>
          <w:sz w:val="22"/>
          <w:szCs w:val="22"/>
        </w:rPr>
        <w:t>. V štúdii so zdravými dobrovoľníkmi súčasné podanie perorálnej dávky 120 mg febuxost</w:t>
      </w:r>
      <w:r>
        <w:rPr>
          <w:sz w:val="22"/>
          <w:szCs w:val="22"/>
        </w:rPr>
        <w:t>á</w:t>
      </w:r>
      <w:r w:rsidR="00F772E1" w:rsidRPr="0069538F">
        <w:rPr>
          <w:sz w:val="22"/>
          <w:szCs w:val="22"/>
        </w:rPr>
        <w:t>tu QD s jednou dávkou 4 mg perorálne podaného rosiglitaz</w:t>
      </w:r>
      <w:r w:rsidR="0042788C" w:rsidRPr="0069538F">
        <w:rPr>
          <w:sz w:val="22"/>
          <w:szCs w:val="22"/>
        </w:rPr>
        <w:t>ó</w:t>
      </w:r>
      <w:r w:rsidR="00F772E1" w:rsidRPr="0069538F">
        <w:rPr>
          <w:sz w:val="22"/>
          <w:szCs w:val="22"/>
        </w:rPr>
        <w:t>nu nemalo účinok na farmakokinetiku rosiglitaz</w:t>
      </w:r>
      <w:r w:rsidR="0042788C" w:rsidRPr="0069538F">
        <w:rPr>
          <w:sz w:val="22"/>
          <w:szCs w:val="22"/>
        </w:rPr>
        <w:t>ó</w:t>
      </w:r>
      <w:r w:rsidR="00F772E1" w:rsidRPr="0069538F">
        <w:rPr>
          <w:sz w:val="22"/>
          <w:szCs w:val="22"/>
        </w:rPr>
        <w:t>nu a jeho metabolit</w:t>
      </w:r>
      <w:r w:rsidR="00510F78" w:rsidRPr="0069538F">
        <w:rPr>
          <w:sz w:val="22"/>
          <w:szCs w:val="22"/>
        </w:rPr>
        <w:t>u</w:t>
      </w:r>
      <w:r w:rsidR="00F772E1" w:rsidRPr="0069538F">
        <w:rPr>
          <w:sz w:val="22"/>
          <w:szCs w:val="22"/>
        </w:rPr>
        <w:t xml:space="preserve"> N-</w:t>
      </w:r>
      <w:r w:rsidR="00510F78" w:rsidRPr="0069538F">
        <w:rPr>
          <w:sz w:val="22"/>
          <w:szCs w:val="22"/>
        </w:rPr>
        <w:t>d</w:t>
      </w:r>
      <w:r w:rsidR="00F772E1" w:rsidRPr="0069538F">
        <w:rPr>
          <w:sz w:val="22"/>
          <w:szCs w:val="22"/>
        </w:rPr>
        <w:t>emetyl rosiglitaz</w:t>
      </w:r>
      <w:r w:rsidR="0042788C" w:rsidRPr="0069538F">
        <w:rPr>
          <w:sz w:val="22"/>
          <w:szCs w:val="22"/>
        </w:rPr>
        <w:t>ó</w:t>
      </w:r>
      <w:r w:rsidR="00F772E1" w:rsidRPr="0069538F">
        <w:rPr>
          <w:sz w:val="22"/>
          <w:szCs w:val="22"/>
        </w:rPr>
        <w:t>n</w:t>
      </w:r>
      <w:r w:rsidR="00510F78" w:rsidRPr="0069538F">
        <w:rPr>
          <w:sz w:val="22"/>
          <w:szCs w:val="22"/>
        </w:rPr>
        <w:t>u</w:t>
      </w:r>
      <w:r w:rsidR="00F772E1" w:rsidRPr="0069538F">
        <w:rPr>
          <w:sz w:val="22"/>
          <w:szCs w:val="22"/>
        </w:rPr>
        <w:t xml:space="preserve">, </w:t>
      </w:r>
      <w:r w:rsidR="00510F78" w:rsidRPr="0069538F">
        <w:rPr>
          <w:sz w:val="22"/>
          <w:szCs w:val="22"/>
        </w:rPr>
        <w:t xml:space="preserve">čo poukazuje na to, že </w:t>
      </w:r>
      <w:r w:rsidRPr="0069538F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69538F">
        <w:rPr>
          <w:sz w:val="22"/>
          <w:szCs w:val="22"/>
        </w:rPr>
        <w:t xml:space="preserve">t </w:t>
      </w:r>
      <w:r w:rsidR="00F772E1" w:rsidRPr="0069538F">
        <w:rPr>
          <w:sz w:val="22"/>
          <w:szCs w:val="22"/>
        </w:rPr>
        <w:t xml:space="preserve">nie je CYP2C8 enzýmový inhibítor </w:t>
      </w:r>
      <w:r w:rsidR="00F772E1" w:rsidRPr="0069538F">
        <w:rPr>
          <w:i/>
          <w:sz w:val="22"/>
          <w:szCs w:val="22"/>
        </w:rPr>
        <w:t>in vivo</w:t>
      </w:r>
      <w:r w:rsidR="00F772E1" w:rsidRPr="0069538F">
        <w:rPr>
          <w:sz w:val="22"/>
          <w:szCs w:val="22"/>
        </w:rPr>
        <w:t xml:space="preserve">. Súčasné podanie </w:t>
      </w:r>
      <w:r w:rsidRPr="0069538F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69538F">
        <w:rPr>
          <w:sz w:val="22"/>
          <w:szCs w:val="22"/>
        </w:rPr>
        <w:t xml:space="preserve">tu </w:t>
      </w:r>
      <w:r w:rsidR="00F772E1" w:rsidRPr="0069538F">
        <w:rPr>
          <w:sz w:val="22"/>
          <w:szCs w:val="22"/>
        </w:rPr>
        <w:t>s rosiglitaz</w:t>
      </w:r>
      <w:r w:rsidR="00510F78" w:rsidRPr="0069538F">
        <w:rPr>
          <w:sz w:val="22"/>
          <w:szCs w:val="22"/>
        </w:rPr>
        <w:t>ó</w:t>
      </w:r>
      <w:r w:rsidR="00F772E1" w:rsidRPr="0069538F">
        <w:rPr>
          <w:sz w:val="22"/>
          <w:szCs w:val="22"/>
        </w:rPr>
        <w:t xml:space="preserve">nom alebo inými substrátmi CYP2C8 nevyžaduje úpravu dávky pre tieto liečivá. </w:t>
      </w:r>
    </w:p>
    <w:p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Teofylín </w:t>
      </w:r>
    </w:p>
    <w:p w:rsidR="00452B1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Interakčná štúdia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>so zdravými dobrovoľníkmi sledovala</w:t>
      </w:r>
      <w:r w:rsidR="00510F78" w:rsidRPr="00075A86">
        <w:rPr>
          <w:sz w:val="22"/>
          <w:szCs w:val="22"/>
        </w:rPr>
        <w:t>,</w:t>
      </w:r>
      <w:r w:rsidRPr="00075A86">
        <w:rPr>
          <w:sz w:val="22"/>
          <w:szCs w:val="22"/>
        </w:rPr>
        <w:t xml:space="preserve"> či inhibícia xantínoxidázy môže spôsobiť zvýšenie koncentrácie teofylínu v</w:t>
      </w:r>
      <w:r w:rsidR="00510F78" w:rsidRPr="00075A86">
        <w:rPr>
          <w:sz w:val="22"/>
          <w:szCs w:val="22"/>
        </w:rPr>
        <w:t> </w:t>
      </w:r>
      <w:r w:rsidRPr="00075A86">
        <w:rPr>
          <w:sz w:val="22"/>
          <w:szCs w:val="22"/>
        </w:rPr>
        <w:t>cirkulácii</w:t>
      </w:r>
      <w:r w:rsidR="00510F78" w:rsidRPr="00075A86">
        <w:rPr>
          <w:sz w:val="22"/>
          <w:szCs w:val="22"/>
        </w:rPr>
        <w:t>,</w:t>
      </w:r>
      <w:r w:rsidRPr="00075A86">
        <w:rPr>
          <w:sz w:val="22"/>
          <w:szCs w:val="22"/>
        </w:rPr>
        <w:t xml:space="preserve"> ako bolo pozorované pri použití iných inhibítorov xantínoxidázy. Výsledky štúdie ukázali, že súčasné podanie 80 mg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QD </w:t>
      </w:r>
    </w:p>
    <w:p w:rsidR="007D2C62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 teofylínom 400 mg v jednej dávke nemá účinok na farmakokinetiku alebo bezpečnosť teofylínu. Preto nie je potrebná </w:t>
      </w:r>
      <w:r w:rsidR="00510F78" w:rsidRPr="00075A86">
        <w:rPr>
          <w:sz w:val="22"/>
          <w:szCs w:val="22"/>
        </w:rPr>
        <w:t xml:space="preserve">osobitná </w:t>
      </w:r>
      <w:r w:rsidRPr="00075A86">
        <w:rPr>
          <w:sz w:val="22"/>
          <w:szCs w:val="22"/>
        </w:rPr>
        <w:t xml:space="preserve">opatrnosť pri súčasnom podávaní teofylínu a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>tu</w:t>
      </w:r>
      <w:r w:rsidRPr="00075A86">
        <w:rPr>
          <w:sz w:val="22"/>
          <w:szCs w:val="22"/>
        </w:rPr>
        <w:t xml:space="preserve">. </w:t>
      </w:r>
      <w:r w:rsidR="00452B11" w:rsidRPr="00075A86">
        <w:rPr>
          <w:sz w:val="22"/>
          <w:szCs w:val="22"/>
        </w:rPr>
        <w:t xml:space="preserve">Pre </w:t>
      </w:r>
      <w:r w:rsidR="0069538F" w:rsidRPr="00075A86">
        <w:rPr>
          <w:sz w:val="22"/>
          <w:szCs w:val="22"/>
        </w:rPr>
        <w:t>febuxost</w:t>
      </w:r>
      <w:r w:rsidR="0069538F">
        <w:rPr>
          <w:sz w:val="22"/>
          <w:szCs w:val="22"/>
        </w:rPr>
        <w:t>á</w:t>
      </w:r>
      <w:r w:rsidR="0069538F" w:rsidRPr="00075A86">
        <w:rPr>
          <w:sz w:val="22"/>
          <w:szCs w:val="22"/>
        </w:rPr>
        <w:t xml:space="preserve">t </w:t>
      </w:r>
      <w:r w:rsidR="00452B11" w:rsidRPr="00075A86">
        <w:rPr>
          <w:sz w:val="22"/>
          <w:szCs w:val="22"/>
        </w:rPr>
        <w:t>120 mg nie sú dostupné údaje.</w:t>
      </w:r>
    </w:p>
    <w:p w:rsidR="00452B11" w:rsidRPr="00075A86" w:rsidRDefault="00452B11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>Naprox</w:t>
      </w:r>
      <w:r w:rsidR="00510F78" w:rsidRPr="00075A86">
        <w:rPr>
          <w:i/>
          <w:iCs/>
          <w:sz w:val="22"/>
          <w:szCs w:val="22"/>
        </w:rPr>
        <w:t>é</w:t>
      </w:r>
      <w:r w:rsidRPr="00075A86">
        <w:rPr>
          <w:i/>
          <w:iCs/>
          <w:sz w:val="22"/>
          <w:szCs w:val="22"/>
        </w:rPr>
        <w:t xml:space="preserve">n a iné látky inhibujúce glukuronidáciu 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lastRenderedPageBreak/>
        <w:t xml:space="preserve">Metabolizmus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>závisí na uridín</w:t>
      </w:r>
      <w:r w:rsidR="00510F78" w:rsidRPr="00075A86">
        <w:rPr>
          <w:sz w:val="22"/>
          <w:szCs w:val="22"/>
        </w:rPr>
        <w:t>-</w:t>
      </w:r>
      <w:r w:rsidRPr="00075A86">
        <w:rPr>
          <w:sz w:val="22"/>
          <w:szCs w:val="22"/>
        </w:rPr>
        <w:t>glukuronyltransferáze (UGT). Lieky inhibujúce glukuronidáciu, ako napríklad NSAIDs a probenecid, by teoreticky mohli ovplyvniť elimin</w:t>
      </w:r>
      <w:r w:rsidR="002B420C" w:rsidRPr="00075A86">
        <w:rPr>
          <w:sz w:val="22"/>
          <w:szCs w:val="22"/>
        </w:rPr>
        <w:t>áciu</w:t>
      </w:r>
      <w:r w:rsidRPr="00075A86">
        <w:rPr>
          <w:sz w:val="22"/>
          <w:szCs w:val="22"/>
        </w:rPr>
        <w:t xml:space="preserve">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r w:rsidRPr="00075A86">
        <w:rPr>
          <w:sz w:val="22"/>
          <w:szCs w:val="22"/>
        </w:rPr>
        <w:t xml:space="preserve">. U zdravých osôb bolo súčasné užívanie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>a naprox</w:t>
      </w:r>
      <w:r w:rsidR="002B420C" w:rsidRPr="00075A86">
        <w:rPr>
          <w:sz w:val="22"/>
          <w:szCs w:val="22"/>
        </w:rPr>
        <w:t>é</w:t>
      </w:r>
      <w:r w:rsidRPr="00075A86">
        <w:rPr>
          <w:sz w:val="22"/>
          <w:szCs w:val="22"/>
        </w:rPr>
        <w:t xml:space="preserve">nu 250 mg dvakrát denne spojené so zvýšenou expozíciou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>(C</w:t>
      </w:r>
      <w:r w:rsidRPr="00075A86">
        <w:rPr>
          <w:sz w:val="22"/>
          <w:szCs w:val="22"/>
          <w:vertAlign w:val="subscript"/>
        </w:rPr>
        <w:t>max</w:t>
      </w:r>
      <w:r w:rsidRPr="00075A86">
        <w:rPr>
          <w:sz w:val="22"/>
          <w:szCs w:val="22"/>
        </w:rPr>
        <w:t xml:space="preserve"> 28%, AUC 41% a</w:t>
      </w:r>
      <w:r w:rsidR="00452B11" w:rsidRPr="00075A86">
        <w:rPr>
          <w:sz w:val="22"/>
          <w:szCs w:val="22"/>
        </w:rPr>
        <w:t> </w:t>
      </w:r>
      <w:r w:rsidRPr="00075A86">
        <w:rPr>
          <w:sz w:val="22"/>
          <w:szCs w:val="22"/>
        </w:rPr>
        <w:t>t</w:t>
      </w:r>
      <w:r w:rsidRPr="00075A86">
        <w:rPr>
          <w:sz w:val="22"/>
          <w:szCs w:val="22"/>
          <w:vertAlign w:val="subscript"/>
        </w:rPr>
        <w:t>1/2</w:t>
      </w:r>
      <w:r w:rsidRPr="00075A86">
        <w:rPr>
          <w:sz w:val="22"/>
          <w:szCs w:val="22"/>
        </w:rPr>
        <w:t xml:space="preserve"> 26%). V klinických štúdiách nebolo užívanie naprox</w:t>
      </w:r>
      <w:r w:rsidR="002B420C" w:rsidRPr="00075A86">
        <w:rPr>
          <w:sz w:val="22"/>
          <w:szCs w:val="22"/>
        </w:rPr>
        <w:t>é</w:t>
      </w:r>
      <w:r w:rsidRPr="00075A86">
        <w:rPr>
          <w:sz w:val="22"/>
          <w:szCs w:val="22"/>
        </w:rPr>
        <w:t xml:space="preserve">nu ani iných NSAIDs/Cox-2 inhibítorov spojené so žiadnym signifikantným zvýšením nežiaducich účinkov. </w:t>
      </w:r>
    </w:p>
    <w:p w:rsidR="00F772E1" w:rsidRPr="00075A86" w:rsidRDefault="007B0935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075A86">
        <w:rPr>
          <w:sz w:val="22"/>
          <w:szCs w:val="22"/>
        </w:rPr>
        <w:t xml:space="preserve">t </w:t>
      </w:r>
      <w:r w:rsidR="00F772E1" w:rsidRPr="00075A86">
        <w:rPr>
          <w:sz w:val="22"/>
          <w:szCs w:val="22"/>
        </w:rPr>
        <w:t>možno podávať spolu s naprox</w:t>
      </w:r>
      <w:r w:rsidR="002B420C" w:rsidRPr="00075A86">
        <w:rPr>
          <w:sz w:val="22"/>
          <w:szCs w:val="22"/>
        </w:rPr>
        <w:t>é</w:t>
      </w:r>
      <w:r w:rsidR="00F772E1" w:rsidRPr="00075A86">
        <w:rPr>
          <w:sz w:val="22"/>
          <w:szCs w:val="22"/>
        </w:rPr>
        <w:t xml:space="preserve">nom, pričom nie je potrebná žiadna úprava dávky </w:t>
      </w:r>
      <w:r w:rsidRPr="00075A86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075A86">
        <w:rPr>
          <w:sz w:val="22"/>
          <w:szCs w:val="22"/>
        </w:rPr>
        <w:t xml:space="preserve">tu </w:t>
      </w:r>
      <w:r w:rsidR="00F772E1" w:rsidRPr="00075A86">
        <w:rPr>
          <w:sz w:val="22"/>
          <w:szCs w:val="22"/>
        </w:rPr>
        <w:t>alebo naprox</w:t>
      </w:r>
      <w:r w:rsidR="002B420C" w:rsidRPr="00075A86">
        <w:rPr>
          <w:sz w:val="22"/>
          <w:szCs w:val="22"/>
        </w:rPr>
        <w:t>é</w:t>
      </w:r>
      <w:r w:rsidR="00F772E1" w:rsidRPr="00075A86">
        <w:rPr>
          <w:sz w:val="22"/>
          <w:szCs w:val="22"/>
        </w:rPr>
        <w:t xml:space="preserve">nu. </w:t>
      </w:r>
    </w:p>
    <w:p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Látky indukujúce glukuronidáciu 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Silné lieky indukujúce enzýmy UGT by mohli viesť k zvýšenému metabolizmu a zníženej účinnosti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r w:rsidRPr="00075A86">
        <w:rPr>
          <w:sz w:val="22"/>
          <w:szCs w:val="22"/>
        </w:rPr>
        <w:t xml:space="preserve">. Monitorovanie kyseliny močovej v sére sa preto odporúča 1-2 týždne po začatí liečby silným liekom indukujúcim glukuronidáciu. Naopak, skončenie liečby indukujúcim liekom by mohlo viesť k zvýšeným koncentráciám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v plazme. </w:t>
      </w:r>
    </w:p>
    <w:p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>Kolchicín/indometacín/hydrochlor</w:t>
      </w:r>
      <w:r w:rsidR="00DB616F" w:rsidRPr="00075A86">
        <w:rPr>
          <w:i/>
          <w:iCs/>
          <w:sz w:val="22"/>
          <w:szCs w:val="22"/>
        </w:rPr>
        <w:t>o</w:t>
      </w:r>
      <w:r w:rsidRPr="00075A86">
        <w:rPr>
          <w:i/>
          <w:iCs/>
          <w:sz w:val="22"/>
          <w:szCs w:val="22"/>
        </w:rPr>
        <w:t xml:space="preserve">tiazid/warfarín </w:t>
      </w:r>
    </w:p>
    <w:p w:rsidR="00F772E1" w:rsidRPr="00075A86" w:rsidRDefault="007B0935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075A86">
        <w:rPr>
          <w:sz w:val="22"/>
          <w:szCs w:val="22"/>
        </w:rPr>
        <w:t xml:space="preserve">t </w:t>
      </w:r>
      <w:r w:rsidR="00F772E1" w:rsidRPr="00075A86">
        <w:rPr>
          <w:sz w:val="22"/>
          <w:szCs w:val="22"/>
        </w:rPr>
        <w:t xml:space="preserve">možno podávať súčasne s kolchicínom alebo indometacínom bez potreby upraviť dávku </w:t>
      </w:r>
      <w:r w:rsidRPr="00075A86">
        <w:rPr>
          <w:sz w:val="22"/>
          <w:szCs w:val="22"/>
        </w:rPr>
        <w:t>febuxost</w:t>
      </w:r>
      <w:r>
        <w:rPr>
          <w:sz w:val="22"/>
          <w:szCs w:val="22"/>
        </w:rPr>
        <w:t>á</w:t>
      </w:r>
      <w:r w:rsidRPr="00075A86">
        <w:rPr>
          <w:sz w:val="22"/>
          <w:szCs w:val="22"/>
        </w:rPr>
        <w:t xml:space="preserve">tu </w:t>
      </w:r>
      <w:r w:rsidR="00F772E1" w:rsidRPr="00075A86">
        <w:rPr>
          <w:sz w:val="22"/>
          <w:szCs w:val="22"/>
        </w:rPr>
        <w:t xml:space="preserve">alebo súčasne podávaného liečiva. </w:t>
      </w:r>
    </w:p>
    <w:p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Pri podávaní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>s hydrochlor</w:t>
      </w:r>
      <w:r w:rsidR="00DB616F" w:rsidRPr="00075A86">
        <w:rPr>
          <w:sz w:val="22"/>
          <w:szCs w:val="22"/>
        </w:rPr>
        <w:t>o</w:t>
      </w:r>
      <w:r w:rsidRPr="00075A86">
        <w:rPr>
          <w:sz w:val="22"/>
          <w:szCs w:val="22"/>
        </w:rPr>
        <w:t xml:space="preserve">tiazidom nie je potrebná žiadna úprava dávky pre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r w:rsidRPr="00075A86">
        <w:rPr>
          <w:sz w:val="22"/>
          <w:szCs w:val="22"/>
        </w:rPr>
        <w:t xml:space="preserve">. </w:t>
      </w:r>
    </w:p>
    <w:p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Pri podávaní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s warfarínom nie je potrebná žiadna úprava dávky pre warfarín. Podávanie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(80 mg alebo 120 mg jedenkrát denne) s warfarínom nemá žiadny vplyv na farmakokinetiku warfarínu u zdravých jedincov. INR a pôsobenie faktora VII tiež neboli ovplyvnené so súčasným podávaním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r w:rsidRPr="00075A86">
        <w:rPr>
          <w:sz w:val="22"/>
          <w:szCs w:val="22"/>
        </w:rPr>
        <w:t xml:space="preserve">. </w:t>
      </w:r>
    </w:p>
    <w:p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Dezipramín/ substráty CYP2D6 </w:t>
      </w: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Pri pokusoch </w:t>
      </w:r>
      <w:r w:rsidRPr="00075A86">
        <w:rPr>
          <w:i/>
          <w:iCs/>
          <w:sz w:val="22"/>
          <w:szCs w:val="22"/>
        </w:rPr>
        <w:t xml:space="preserve">in vitro </w:t>
      </w:r>
      <w:r w:rsidRPr="00075A86">
        <w:rPr>
          <w:sz w:val="22"/>
          <w:szCs w:val="22"/>
        </w:rPr>
        <w:t xml:space="preserve">sa ukázalo, že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>je slabým inhibítorom CYP2D6</w:t>
      </w:r>
      <w:r w:rsidRPr="00075A86">
        <w:rPr>
          <w:i/>
          <w:iCs/>
          <w:sz w:val="22"/>
          <w:szCs w:val="22"/>
        </w:rPr>
        <w:t xml:space="preserve">. </w:t>
      </w:r>
      <w:r w:rsidRPr="00075A86">
        <w:rPr>
          <w:sz w:val="22"/>
          <w:szCs w:val="22"/>
        </w:rPr>
        <w:t xml:space="preserve">V štúdii so zdravými subjektmi spôsobilo 120 mg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QD priemerne 22% nárast AUC dezipramínu, CYP2D6 substrátu, čo naznačuje možný slabý inhibičný účinok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na enzým CYP2D6 </w:t>
      </w:r>
      <w:r w:rsidRPr="00075A86">
        <w:rPr>
          <w:i/>
          <w:iCs/>
          <w:sz w:val="22"/>
          <w:szCs w:val="22"/>
        </w:rPr>
        <w:t>in vivo</w:t>
      </w:r>
      <w:r w:rsidRPr="00075A86">
        <w:rPr>
          <w:sz w:val="22"/>
          <w:szCs w:val="22"/>
        </w:rPr>
        <w:t xml:space="preserve">. Preto sa nepredpokladá, že súčasné podávanie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s inými substrátmi CYP2D6 bude vyžadovať upravenie dávky pre tieto liečivá. </w:t>
      </w:r>
    </w:p>
    <w:p w:rsidR="007D2C62" w:rsidRPr="00075A86" w:rsidRDefault="007D2C62" w:rsidP="007D2C62">
      <w:pPr>
        <w:pStyle w:val="Default"/>
        <w:spacing w:line="276" w:lineRule="auto"/>
        <w:rPr>
          <w:sz w:val="22"/>
          <w:szCs w:val="22"/>
        </w:rPr>
      </w:pPr>
    </w:p>
    <w:p w:rsidR="00F772E1" w:rsidRPr="00075A86" w:rsidRDefault="00F772E1" w:rsidP="007D2C62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>Antacid</w:t>
      </w:r>
      <w:r w:rsidR="002B420C" w:rsidRPr="00075A86">
        <w:rPr>
          <w:i/>
          <w:iCs/>
          <w:sz w:val="22"/>
          <w:szCs w:val="22"/>
        </w:rPr>
        <w:t>á</w:t>
      </w:r>
      <w:r w:rsidRPr="00075A86">
        <w:rPr>
          <w:i/>
          <w:iCs/>
          <w:sz w:val="22"/>
          <w:szCs w:val="22"/>
        </w:rPr>
        <w:t xml:space="preserve"> </w:t>
      </w:r>
    </w:p>
    <w:p w:rsidR="00057EE8" w:rsidRPr="00075A86" w:rsidRDefault="00F772E1" w:rsidP="007D2C62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Ukázalo sa, že pri súčasnom užití antac</w:t>
      </w:r>
      <w:r w:rsidR="002B420C" w:rsidRPr="00075A86">
        <w:rPr>
          <w:rFonts w:ascii="Times New Roman" w:hAnsi="Times New Roman" w:cs="Times New Roman"/>
        </w:rPr>
        <w:t>í</w:t>
      </w:r>
      <w:r w:rsidRPr="00075A86">
        <w:rPr>
          <w:rFonts w:ascii="Times New Roman" w:hAnsi="Times New Roman" w:cs="Times New Roman"/>
        </w:rPr>
        <w:t xml:space="preserve">d s obsahom hydroxidu horečnatého a hydroxidu hlinitého sa oneskorí absorpcia </w:t>
      </w:r>
      <w:r w:rsidR="007B0935" w:rsidRPr="00075A86">
        <w:rPr>
          <w:rFonts w:ascii="Times New Roman" w:hAnsi="Times New Roman" w:cs="Times New Roman"/>
        </w:rPr>
        <w:t>febuxost</w:t>
      </w:r>
      <w:r w:rsidR="007B0935">
        <w:rPr>
          <w:rFonts w:ascii="Times New Roman" w:hAnsi="Times New Roman" w:cs="Times New Roman"/>
        </w:rPr>
        <w:t>á</w:t>
      </w:r>
      <w:r w:rsidR="007B0935" w:rsidRPr="00075A86">
        <w:rPr>
          <w:rFonts w:ascii="Times New Roman" w:hAnsi="Times New Roman" w:cs="Times New Roman"/>
        </w:rPr>
        <w:t xml:space="preserve">tu </w:t>
      </w:r>
      <w:r w:rsidRPr="00075A86">
        <w:rPr>
          <w:rFonts w:ascii="Times New Roman" w:hAnsi="Times New Roman" w:cs="Times New Roman"/>
        </w:rPr>
        <w:t>(približne o 1 hodinu) a o 32% sa zníži hodnota C</w:t>
      </w:r>
      <w:r w:rsidRPr="00075A86">
        <w:rPr>
          <w:rFonts w:ascii="Times New Roman" w:hAnsi="Times New Roman" w:cs="Times New Roman"/>
          <w:vertAlign w:val="subscript"/>
        </w:rPr>
        <w:t>max</w:t>
      </w:r>
      <w:r w:rsidRPr="00075A86">
        <w:rPr>
          <w:rFonts w:ascii="Times New Roman" w:hAnsi="Times New Roman" w:cs="Times New Roman"/>
        </w:rPr>
        <w:t xml:space="preserve">, ale nebola pozorovaná žiadna významná zmena AUC. </w:t>
      </w:r>
      <w:r w:rsidR="007B0935" w:rsidRPr="00075A86">
        <w:rPr>
          <w:rFonts w:ascii="Times New Roman" w:hAnsi="Times New Roman" w:cs="Times New Roman"/>
        </w:rPr>
        <w:t>Febuxost</w:t>
      </w:r>
      <w:r w:rsidR="007B0935">
        <w:rPr>
          <w:rFonts w:ascii="Times New Roman" w:hAnsi="Times New Roman" w:cs="Times New Roman"/>
        </w:rPr>
        <w:t>á</w:t>
      </w:r>
      <w:r w:rsidR="007B0935" w:rsidRPr="00075A86">
        <w:rPr>
          <w:rFonts w:ascii="Times New Roman" w:hAnsi="Times New Roman" w:cs="Times New Roman"/>
        </w:rPr>
        <w:t xml:space="preserve">t </w:t>
      </w:r>
      <w:r w:rsidRPr="00075A86">
        <w:rPr>
          <w:rFonts w:ascii="Times New Roman" w:hAnsi="Times New Roman" w:cs="Times New Roman"/>
        </w:rPr>
        <w:t>možno preto užívať bez ohľadu na užívanie antac</w:t>
      </w:r>
      <w:r w:rsidR="002B420C" w:rsidRPr="00075A86">
        <w:rPr>
          <w:rFonts w:ascii="Times New Roman" w:hAnsi="Times New Roman" w:cs="Times New Roman"/>
        </w:rPr>
        <w:t>í</w:t>
      </w:r>
      <w:r w:rsidRPr="00075A86">
        <w:rPr>
          <w:rFonts w:ascii="Times New Roman" w:hAnsi="Times New Roman" w:cs="Times New Roman"/>
        </w:rPr>
        <w:t>d.</w:t>
      </w:r>
    </w:p>
    <w:p w:rsidR="00057EE8" w:rsidRPr="00075A86" w:rsidRDefault="00057EE8" w:rsidP="00F772E1">
      <w:pPr>
        <w:spacing w:after="0"/>
        <w:rPr>
          <w:rFonts w:ascii="Times New Roman" w:hAnsi="Times New Roman" w:cs="Times New Roman"/>
        </w:rPr>
      </w:pPr>
    </w:p>
    <w:p w:rsidR="00454136" w:rsidRPr="00075A86" w:rsidRDefault="00454136" w:rsidP="00454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4.6  Fertilita, gravidita a laktácia </w:t>
      </w:r>
    </w:p>
    <w:p w:rsidR="00454136" w:rsidRPr="00075A86" w:rsidRDefault="00454136" w:rsidP="00454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57EE8" w:rsidRPr="00075A86" w:rsidRDefault="00454136" w:rsidP="00454136">
      <w:pPr>
        <w:spacing w:after="0"/>
        <w:rPr>
          <w:rFonts w:ascii="Times New Roman" w:hAnsi="Times New Roman" w:cs="Times New Roman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>Gravidita</w:t>
      </w: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Údaje o veľmi obmedzenom počte gravidných žien užívajúcich </w:t>
      </w:r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>nepreukázali žiadne nežiaduce účinky na graviditu alebo na zdravie plodu</w:t>
      </w:r>
      <w:r w:rsidR="00757FF8" w:rsidRPr="00075A86">
        <w:rPr>
          <w:rFonts w:ascii="Times New Roman" w:hAnsi="Times New Roman" w:cs="Times New Roman"/>
          <w:color w:val="000000"/>
        </w:rPr>
        <w:t>/</w:t>
      </w:r>
      <w:r w:rsidRPr="00075A86">
        <w:rPr>
          <w:rFonts w:ascii="Times New Roman" w:hAnsi="Times New Roman" w:cs="Times New Roman"/>
          <w:color w:val="000000"/>
        </w:rPr>
        <w:t>novorodenca. Štúdie na zvieratách nepreukázali priame alebo nepriame škodlivé účinky na graviditu, embryonálny</w:t>
      </w:r>
      <w:r w:rsidR="00DD1301" w:rsidRPr="00075A86">
        <w:rPr>
          <w:rFonts w:ascii="Times New Roman" w:hAnsi="Times New Roman" w:cs="Times New Roman"/>
          <w:color w:val="000000"/>
        </w:rPr>
        <w:t>/</w:t>
      </w:r>
      <w:r w:rsidRPr="00075A86">
        <w:rPr>
          <w:rFonts w:ascii="Times New Roman" w:hAnsi="Times New Roman" w:cs="Times New Roman"/>
          <w:color w:val="000000"/>
        </w:rPr>
        <w:t>fetálny výv</w:t>
      </w:r>
      <w:r w:rsidR="00DD1301" w:rsidRPr="00075A86">
        <w:rPr>
          <w:rFonts w:ascii="Times New Roman" w:hAnsi="Times New Roman" w:cs="Times New Roman"/>
          <w:color w:val="000000"/>
        </w:rPr>
        <w:t>in</w:t>
      </w:r>
      <w:r w:rsidRPr="00075A86">
        <w:rPr>
          <w:rFonts w:ascii="Times New Roman" w:hAnsi="Times New Roman" w:cs="Times New Roman"/>
          <w:color w:val="000000"/>
        </w:rPr>
        <w:t xml:space="preserve"> alebo pôrod (pozri časť 5.3). Nie je známe potenciálne riziko u ľudí. </w:t>
      </w:r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>sa ne</w:t>
      </w:r>
      <w:r w:rsidR="00DD1301" w:rsidRPr="00075A86">
        <w:rPr>
          <w:rFonts w:ascii="Times New Roman" w:hAnsi="Times New Roman" w:cs="Times New Roman"/>
          <w:color w:val="000000"/>
        </w:rPr>
        <w:t>má</w:t>
      </w:r>
      <w:r w:rsidRPr="00075A86">
        <w:rPr>
          <w:rFonts w:ascii="Times New Roman" w:hAnsi="Times New Roman" w:cs="Times New Roman"/>
          <w:color w:val="000000"/>
        </w:rPr>
        <w:t xml:space="preserve"> používať počas gravidity. </w:t>
      </w: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lastRenderedPageBreak/>
        <w:t>Dojčenie</w:t>
      </w:r>
      <w:r w:rsidR="00CA0D1F" w:rsidRPr="00075A86">
        <w:rPr>
          <w:rFonts w:ascii="Times New Roman" w:hAnsi="Times New Roman" w:cs="Times New Roman"/>
          <w:iCs/>
          <w:color w:val="000000"/>
          <w:u w:val="single"/>
        </w:rPr>
        <w:t xml:space="preserve">                                                                                                                                                 </w:t>
      </w:r>
      <w:r w:rsidRPr="00075A86">
        <w:rPr>
          <w:rFonts w:ascii="Times New Roman" w:hAnsi="Times New Roman" w:cs="Times New Roman"/>
          <w:color w:val="000000"/>
        </w:rPr>
        <w:t xml:space="preserve">Nie je známe, či sa </w:t>
      </w:r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 xml:space="preserve">vylučuje do ľudského </w:t>
      </w:r>
      <w:r w:rsidR="00DD1301" w:rsidRPr="00075A86">
        <w:rPr>
          <w:rFonts w:ascii="Times New Roman" w:hAnsi="Times New Roman" w:cs="Times New Roman"/>
          <w:color w:val="000000"/>
        </w:rPr>
        <w:t xml:space="preserve">materského </w:t>
      </w:r>
      <w:r w:rsidRPr="00075A86">
        <w:rPr>
          <w:rFonts w:ascii="Times New Roman" w:hAnsi="Times New Roman" w:cs="Times New Roman"/>
          <w:color w:val="000000"/>
        </w:rPr>
        <w:t xml:space="preserve">mlieka. Štúdie na zvieratách preukázali vylučovanie tohto liečiva do mlieka a zhoršený vývin </w:t>
      </w:r>
      <w:r w:rsidR="00DD1301" w:rsidRPr="00075A86">
        <w:rPr>
          <w:rFonts w:ascii="Times New Roman" w:hAnsi="Times New Roman" w:cs="Times New Roman"/>
          <w:color w:val="000000"/>
        </w:rPr>
        <w:t>dojčených</w:t>
      </w:r>
      <w:r w:rsidRPr="00075A86">
        <w:rPr>
          <w:rFonts w:ascii="Times New Roman" w:hAnsi="Times New Roman" w:cs="Times New Roman"/>
          <w:color w:val="000000"/>
        </w:rPr>
        <w:t xml:space="preserve"> mláďat. Nemožno vylúčiť riziko pre dojča. </w:t>
      </w:r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>sa ne</w:t>
      </w:r>
      <w:r w:rsidR="00DD1301" w:rsidRPr="00075A86">
        <w:rPr>
          <w:rFonts w:ascii="Times New Roman" w:hAnsi="Times New Roman" w:cs="Times New Roman"/>
          <w:color w:val="000000"/>
        </w:rPr>
        <w:t>má</w:t>
      </w:r>
      <w:r w:rsidRPr="00075A86">
        <w:rPr>
          <w:rFonts w:ascii="Times New Roman" w:hAnsi="Times New Roman" w:cs="Times New Roman"/>
          <w:color w:val="000000"/>
        </w:rPr>
        <w:t xml:space="preserve"> používať počas dojčenia. </w:t>
      </w: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 xml:space="preserve">Fertilita </w:t>
      </w:r>
    </w:p>
    <w:p w:rsidR="00057EE8" w:rsidRPr="00075A86" w:rsidRDefault="00454136" w:rsidP="00454136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Štúdie reprodukcie na zvieratách pri dávke do 48 mg/kg/deň nepreukázali žiadne nežiaduce účinky na fertilitu závislé od dávky (pozri časť 5.3). Vplyv </w:t>
      </w:r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>na fertilitu u ľudí nie je známy.</w:t>
      </w:r>
    </w:p>
    <w:p w:rsidR="00454136" w:rsidRPr="00075A86" w:rsidRDefault="00454136" w:rsidP="00454136">
      <w:pPr>
        <w:spacing w:after="0"/>
        <w:rPr>
          <w:rFonts w:ascii="Times New Roman" w:hAnsi="Times New Roman" w:cs="Times New Roman"/>
        </w:rPr>
      </w:pP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4.7 </w:t>
      </w:r>
      <w:r w:rsidR="00A12D1F" w:rsidRPr="00075A8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75A86">
        <w:rPr>
          <w:rFonts w:ascii="Times New Roman" w:hAnsi="Times New Roman" w:cs="Times New Roman"/>
          <w:b/>
          <w:bCs/>
          <w:color w:val="000000"/>
        </w:rPr>
        <w:t xml:space="preserve">Ovplyvnenie schopnosti viesť vozidlá a obsluhovať stroje </w:t>
      </w:r>
    </w:p>
    <w:p w:rsidR="00CA0D1F" w:rsidRPr="00075A86" w:rsidRDefault="00CA0D1F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057EE8" w:rsidRPr="00075A86" w:rsidRDefault="00454136" w:rsidP="00454136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  <w:color w:val="000000"/>
        </w:rPr>
        <w:t xml:space="preserve">Pri užívaní </w:t>
      </w:r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 xml:space="preserve">boli hlásené ospanlivosť, závraty, parestézia a rozmazané videnie. Pacienti by mali dbať na opatrnosť predtým, ako budú viesť vozidlo, obsluhovať stroje alebo sa podieľať na nebezpečných aktivitách, pokiaľ nie sú pevne presvedčení, že </w:t>
      </w:r>
      <w:r w:rsidR="001A7197" w:rsidRPr="001A7197">
        <w:rPr>
          <w:rFonts w:ascii="Times New Roman" w:hAnsi="Times New Roman" w:cs="Times New Roman"/>
          <w:bCs/>
        </w:rPr>
        <w:t>Abuxar</w:t>
      </w:r>
      <w:r w:rsidRPr="00075A86">
        <w:rPr>
          <w:rFonts w:ascii="Times New Roman" w:hAnsi="Times New Roman" w:cs="Times New Roman"/>
          <w:color w:val="000000"/>
        </w:rPr>
        <w:t xml:space="preserve"> neovplyvňuje nežiaduco ich výkonnosť.</w:t>
      </w:r>
    </w:p>
    <w:p w:rsidR="00057EE8" w:rsidRPr="00075A86" w:rsidRDefault="00057EE8" w:rsidP="00F772E1">
      <w:pPr>
        <w:spacing w:after="0"/>
        <w:rPr>
          <w:rFonts w:ascii="Times New Roman" w:hAnsi="Times New Roman" w:cs="Times New Roman"/>
        </w:rPr>
      </w:pP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>4.8</w:t>
      </w:r>
      <w:r w:rsidR="00A12D1F" w:rsidRPr="00075A8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75A86">
        <w:rPr>
          <w:rFonts w:ascii="Times New Roman" w:hAnsi="Times New Roman" w:cs="Times New Roman"/>
          <w:b/>
          <w:bCs/>
          <w:color w:val="000000"/>
        </w:rPr>
        <w:t xml:space="preserve"> Nežiaduce účinky </w:t>
      </w:r>
    </w:p>
    <w:p w:rsidR="00A12D1F" w:rsidRPr="00075A86" w:rsidRDefault="00A12D1F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Súhrn bezpečnostného profilu </w:t>
      </w: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Najčastejšie hlásené nežiaduce účinky v klinických štúdiách (4 072 subjektov liečených </w:t>
      </w:r>
      <w:r w:rsidR="00E21952" w:rsidRPr="00075A86">
        <w:rPr>
          <w:rFonts w:ascii="Times New Roman" w:hAnsi="Times New Roman" w:cs="Times New Roman"/>
          <w:color w:val="000000"/>
        </w:rPr>
        <w:t xml:space="preserve">aspoň </w:t>
      </w:r>
      <w:r w:rsidRPr="00075A86">
        <w:rPr>
          <w:rFonts w:ascii="Times New Roman" w:hAnsi="Times New Roman" w:cs="Times New Roman"/>
          <w:color w:val="000000"/>
        </w:rPr>
        <w:t xml:space="preserve">dávkou od 10 mg do 300 mg) a počas postmarketingových skúseností sú vzplanutia dny, poruchy funkcie pečene, hnačka, nauzea, bolesť hlavy, vyrážka a edém. Tieto nežiaduce účinky boli väčšinou mierne alebo stredne závažné. Zriedkavé závažné hypersenzitívne reakcie na </w:t>
      </w:r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</w:t>
      </w:r>
      <w:r w:rsidRPr="00075A86">
        <w:rPr>
          <w:rFonts w:ascii="Times New Roman" w:hAnsi="Times New Roman" w:cs="Times New Roman"/>
          <w:color w:val="000000"/>
        </w:rPr>
        <w:t xml:space="preserve">, z ktorých niektoré boli spojené so systémovými príznakmi, sa vyskytli počas postmarketingových skúseností. </w:t>
      </w:r>
    </w:p>
    <w:p w:rsidR="00A12D1F" w:rsidRPr="00075A86" w:rsidRDefault="00A12D1F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Prehľadný zoznam nežiaducich účinkov </w:t>
      </w:r>
    </w:p>
    <w:p w:rsidR="00431EE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Nižšie sú uvedené časté ( ≥</w:t>
      </w:r>
      <w:r w:rsidR="00DB616F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1/100 až &lt;1/10), menej časté ( ≥</w:t>
      </w:r>
      <w:r w:rsidR="00DB616F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1/1 000 až &lt;1/100) a</w:t>
      </w:r>
      <w:r w:rsidR="00431EE6" w:rsidRPr="00075A86">
        <w:rPr>
          <w:rFonts w:ascii="Times New Roman" w:hAnsi="Times New Roman" w:cs="Times New Roman"/>
          <w:color w:val="000000"/>
        </w:rPr>
        <w:t> </w:t>
      </w:r>
      <w:r w:rsidRPr="00075A86">
        <w:rPr>
          <w:rFonts w:ascii="Times New Roman" w:hAnsi="Times New Roman" w:cs="Times New Roman"/>
          <w:color w:val="000000"/>
        </w:rPr>
        <w:t>zriedkavé</w:t>
      </w:r>
    </w:p>
    <w:p w:rsidR="00454136" w:rsidRPr="00075A86" w:rsidRDefault="00A12D1F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( ≥</w:t>
      </w:r>
      <w:r w:rsidR="00454136" w:rsidRPr="00075A86">
        <w:rPr>
          <w:rFonts w:ascii="Times New Roman" w:hAnsi="Times New Roman" w:cs="Times New Roman"/>
          <w:color w:val="000000"/>
        </w:rPr>
        <w:t xml:space="preserve">1/10 000 až &lt;1/1 000) nežiaduce reakcie, ktoré sa vyskytovali u pacientov liečených </w:t>
      </w:r>
      <w:r w:rsidR="007B0935" w:rsidRPr="00075A86">
        <w:rPr>
          <w:rFonts w:ascii="Times New Roman" w:hAnsi="Times New Roman" w:cs="Times New Roman"/>
          <w:color w:val="000000"/>
        </w:rPr>
        <w:t>febuxost</w:t>
      </w:r>
      <w:r w:rsidR="007B0935">
        <w:rPr>
          <w:rFonts w:ascii="Times New Roman" w:hAnsi="Times New Roman" w:cs="Times New Roman"/>
          <w:color w:val="000000"/>
        </w:rPr>
        <w:t>á</w:t>
      </w:r>
      <w:r w:rsidR="007B0935" w:rsidRPr="00075A86">
        <w:rPr>
          <w:rFonts w:ascii="Times New Roman" w:hAnsi="Times New Roman" w:cs="Times New Roman"/>
          <w:color w:val="000000"/>
        </w:rPr>
        <w:t>tom</w:t>
      </w:r>
      <w:r w:rsidR="00454136" w:rsidRPr="00075A86">
        <w:rPr>
          <w:rFonts w:ascii="Times New Roman" w:hAnsi="Times New Roman" w:cs="Times New Roman"/>
          <w:color w:val="000000"/>
        </w:rPr>
        <w:t xml:space="preserve">. </w:t>
      </w:r>
    </w:p>
    <w:p w:rsidR="00A12D1F" w:rsidRPr="00075A86" w:rsidRDefault="00A12D1F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454136" w:rsidRPr="00075A86" w:rsidRDefault="00454136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V rámci jednotlivých skupín frekvencií sú nežiaduce reakcie usporiadané v poradí klesajúcej závažnosti. </w:t>
      </w:r>
    </w:p>
    <w:p w:rsidR="00A12D1F" w:rsidRPr="00075A86" w:rsidRDefault="00A12D1F" w:rsidP="004541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454136" w:rsidRPr="00075A86" w:rsidRDefault="00454136" w:rsidP="00454136">
      <w:pPr>
        <w:spacing w:after="0"/>
        <w:rPr>
          <w:rFonts w:ascii="Times New Roman" w:hAnsi="Times New Roman" w:cs="Times New Roman"/>
          <w:i/>
          <w:iCs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>Tabuľka 1: Nežiaduce reakcie v dlhodobých rozšírených štúdiách kombinovanej fázy 3 a počas postmarketingových skúseností</w:t>
      </w:r>
    </w:p>
    <w:p w:rsidR="00A12D1F" w:rsidRPr="00075A86" w:rsidRDefault="00A12D1F" w:rsidP="00454136">
      <w:pPr>
        <w:spacing w:after="0"/>
        <w:rPr>
          <w:rFonts w:ascii="Times New Roman" w:hAnsi="Times New Roman" w:cs="Times New Roman"/>
          <w:i/>
          <w:i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7"/>
        <w:gridCol w:w="1427"/>
        <w:gridCol w:w="4904"/>
      </w:tblGrid>
      <w:tr w:rsidR="00245B5E" w:rsidRPr="00075A86" w:rsidTr="00DB616F">
        <w:tc>
          <w:tcPr>
            <w:tcW w:w="1592" w:type="pct"/>
          </w:tcPr>
          <w:p w:rsidR="00245B5E" w:rsidRPr="00075A86" w:rsidRDefault="00245B5E" w:rsidP="00DB616F">
            <w:pPr>
              <w:ind w:right="-288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075A86">
              <w:rPr>
                <w:rFonts w:ascii="Times New Roman" w:hAnsi="Times New Roman" w:cs="Times New Roman"/>
                <w:b/>
                <w:color w:val="000000"/>
                <w:spacing w:val="-3"/>
              </w:rPr>
              <w:t>Trieda orgánových systémov</w:t>
            </w:r>
          </w:p>
        </w:tc>
        <w:tc>
          <w:tcPr>
            <w:tcW w:w="768" w:type="pct"/>
          </w:tcPr>
          <w:p w:rsidR="00245B5E" w:rsidRPr="00075A86" w:rsidRDefault="00245B5E" w:rsidP="00DB616F">
            <w:pPr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075A86">
              <w:rPr>
                <w:rFonts w:ascii="Times New Roman" w:hAnsi="Times New Roman" w:cs="Times New Roman"/>
                <w:b/>
                <w:color w:val="000000"/>
                <w:spacing w:val="-3"/>
              </w:rPr>
              <w:t>Frekvencia</w:t>
            </w:r>
          </w:p>
        </w:tc>
        <w:tc>
          <w:tcPr>
            <w:tcW w:w="2640" w:type="pct"/>
          </w:tcPr>
          <w:p w:rsidR="00245B5E" w:rsidRPr="006E61B3" w:rsidRDefault="00245B5E" w:rsidP="00DB616F">
            <w:pPr>
              <w:pStyle w:val="Textkomentra"/>
              <w:rPr>
                <w:sz w:val="22"/>
                <w:szCs w:val="22"/>
                <w:lang w:val="sk-SK"/>
              </w:rPr>
            </w:pPr>
            <w:r w:rsidRPr="006E61B3">
              <w:rPr>
                <w:b/>
                <w:bCs/>
                <w:sz w:val="22"/>
                <w:szCs w:val="22"/>
                <w:lang w:val="sk-SK" w:eastAsia="en-US"/>
              </w:rPr>
              <w:t>Preferovaný výraz</w:t>
            </w:r>
          </w:p>
        </w:tc>
      </w:tr>
      <w:tr w:rsidR="00245B5E" w:rsidRPr="00075A86" w:rsidTr="00DB616F">
        <w:trPr>
          <w:trHeight w:val="203"/>
        </w:trPr>
        <w:tc>
          <w:tcPr>
            <w:tcW w:w="1592" w:type="pct"/>
          </w:tcPr>
          <w:p w:rsidR="00245B5E" w:rsidRPr="00075A86" w:rsidRDefault="00245B5E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krvi a lymfatického systému </w:t>
            </w:r>
          </w:p>
        </w:tc>
        <w:tc>
          <w:tcPr>
            <w:tcW w:w="768" w:type="pct"/>
          </w:tcPr>
          <w:p w:rsidR="00245B5E" w:rsidRPr="00075A86" w:rsidRDefault="003F0D99" w:rsidP="00DB616F">
            <w:pPr>
              <w:rPr>
                <w:rFonts w:ascii="Times New Roman" w:hAnsi="Times New Roman" w:cs="Times New Roman"/>
                <w:color w:val="000000"/>
                <w:spacing w:val="-3"/>
                <w:highlight w:val="yellow"/>
              </w:rPr>
            </w:pPr>
            <w:r w:rsidRPr="00075A86">
              <w:rPr>
                <w:rFonts w:ascii="Times New Roman" w:hAnsi="Times New Roman" w:cs="Times New Roman"/>
                <w:color w:val="000000"/>
                <w:spacing w:val="-3"/>
              </w:rPr>
              <w:t>Z</w:t>
            </w:r>
            <w:r w:rsidR="00245B5E" w:rsidRPr="00075A86">
              <w:rPr>
                <w:rFonts w:ascii="Times New Roman" w:hAnsi="Times New Roman" w:cs="Times New Roman"/>
                <w:color w:val="000000"/>
                <w:spacing w:val="-3"/>
              </w:rPr>
              <w:t>riedkavé</w:t>
            </w:r>
          </w:p>
        </w:tc>
        <w:tc>
          <w:tcPr>
            <w:tcW w:w="2640" w:type="pct"/>
          </w:tcPr>
          <w:p w:rsidR="00245B5E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Pancytopénia, trombocytopénia </w:t>
            </w:r>
          </w:p>
        </w:tc>
      </w:tr>
      <w:tr w:rsidR="00245B5E" w:rsidRPr="00075A86" w:rsidTr="00DB616F">
        <w:trPr>
          <w:cantSplit/>
          <w:trHeight w:val="275"/>
        </w:trPr>
        <w:tc>
          <w:tcPr>
            <w:tcW w:w="1592" w:type="pct"/>
          </w:tcPr>
          <w:p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imunitného systému </w:t>
            </w:r>
          </w:p>
          <w:p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highlight w:val="yellow"/>
                <w:lang w:val="sk-SK"/>
              </w:rPr>
            </w:pPr>
          </w:p>
        </w:tc>
        <w:tc>
          <w:tcPr>
            <w:tcW w:w="768" w:type="pct"/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Anafylaktická reakcia*, hypersenzitivita na liek* </w:t>
            </w:r>
          </w:p>
        </w:tc>
      </w:tr>
      <w:tr w:rsidR="00245B5E" w:rsidRPr="00075A86" w:rsidTr="00DB616F">
        <w:trPr>
          <w:cantSplit/>
          <w:trHeight w:val="138"/>
        </w:trPr>
        <w:tc>
          <w:tcPr>
            <w:tcW w:w="1592" w:type="pct"/>
          </w:tcPr>
          <w:p w:rsidR="00245B5E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endokrinného systému </w:t>
            </w:r>
          </w:p>
        </w:tc>
        <w:tc>
          <w:tcPr>
            <w:tcW w:w="768" w:type="pct"/>
          </w:tcPr>
          <w:p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</w:tcPr>
          <w:p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Zvýšenie hladiny hormónu stimulujúceho štítnu žľazu v krvi </w:t>
            </w:r>
          </w:p>
        </w:tc>
      </w:tr>
      <w:tr w:rsidR="00245B5E" w:rsidRPr="00075A86" w:rsidTr="00DB616F">
        <w:trPr>
          <w:cantSplit/>
          <w:trHeight w:val="205"/>
        </w:trPr>
        <w:tc>
          <w:tcPr>
            <w:tcW w:w="1592" w:type="pct"/>
          </w:tcPr>
          <w:p w:rsidR="00245B5E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oka </w:t>
            </w:r>
          </w:p>
        </w:tc>
        <w:tc>
          <w:tcPr>
            <w:tcW w:w="768" w:type="pct"/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Rozmazané videnie </w:t>
            </w:r>
          </w:p>
        </w:tc>
      </w:tr>
      <w:tr w:rsidR="00245B5E" w:rsidRPr="00075A86" w:rsidTr="00DB616F">
        <w:trPr>
          <w:cantSplit/>
          <w:trHeight w:val="195"/>
        </w:trPr>
        <w:tc>
          <w:tcPr>
            <w:tcW w:w="1592" w:type="pct"/>
            <w:vMerge w:val="restart"/>
          </w:tcPr>
          <w:p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metabolizmu a výživy </w:t>
            </w:r>
          </w:p>
          <w:p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highlight w:val="yellow"/>
                <w:lang w:val="sk-SK"/>
              </w:rPr>
            </w:pPr>
          </w:p>
        </w:tc>
        <w:tc>
          <w:tcPr>
            <w:tcW w:w="768" w:type="pct"/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6E61B3">
              <w:rPr>
                <w:sz w:val="22"/>
                <w:szCs w:val="22"/>
              </w:rPr>
              <w:t xml:space="preserve">Časté </w:t>
            </w:r>
            <w:r w:rsidR="00245B5E" w:rsidRPr="006E61B3">
              <w:rPr>
                <w:sz w:val="22"/>
                <w:szCs w:val="22"/>
              </w:rPr>
              <w:t>***</w:t>
            </w:r>
          </w:p>
        </w:tc>
        <w:tc>
          <w:tcPr>
            <w:tcW w:w="2640" w:type="pct"/>
          </w:tcPr>
          <w:p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Vzplanutie dny </w:t>
            </w:r>
          </w:p>
        </w:tc>
      </w:tr>
      <w:tr w:rsidR="00245B5E" w:rsidRPr="00075A86" w:rsidTr="00DB616F">
        <w:trPr>
          <w:cantSplit/>
          <w:trHeight w:val="195"/>
        </w:trPr>
        <w:tc>
          <w:tcPr>
            <w:tcW w:w="1592" w:type="pct"/>
            <w:vMerge/>
          </w:tcPr>
          <w:p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lang w:val="sk-SK"/>
              </w:rPr>
            </w:pPr>
          </w:p>
        </w:tc>
        <w:tc>
          <w:tcPr>
            <w:tcW w:w="768" w:type="pct"/>
          </w:tcPr>
          <w:p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:rsidR="00245B5E" w:rsidRPr="006E61B3" w:rsidRDefault="00245B5E" w:rsidP="00DB616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</w:tcPr>
          <w:p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Diabetes mellitus, hyperlipidémia, znížená chuť do jedla, zvýšenie hmotnosti </w:t>
            </w:r>
          </w:p>
        </w:tc>
      </w:tr>
      <w:tr w:rsidR="00245B5E" w:rsidRPr="00075A86" w:rsidTr="00DB616F">
        <w:trPr>
          <w:cantSplit/>
          <w:trHeight w:val="195"/>
        </w:trPr>
        <w:tc>
          <w:tcPr>
            <w:tcW w:w="1592" w:type="pct"/>
            <w:vMerge/>
          </w:tcPr>
          <w:p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lang w:val="sk-SK"/>
              </w:rPr>
            </w:pPr>
          </w:p>
        </w:tc>
        <w:tc>
          <w:tcPr>
            <w:tcW w:w="768" w:type="pct"/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Zníženie hmotnosti, zvýšená chuť do jedla, anorexia </w:t>
            </w:r>
          </w:p>
        </w:tc>
      </w:tr>
      <w:tr w:rsidR="00245B5E" w:rsidRPr="00075A86" w:rsidTr="00DB616F">
        <w:trPr>
          <w:cantSplit/>
          <w:trHeight w:val="195"/>
        </w:trPr>
        <w:tc>
          <w:tcPr>
            <w:tcW w:w="1592" w:type="pct"/>
            <w:vMerge w:val="restart"/>
          </w:tcPr>
          <w:p w:rsidR="00962E1B" w:rsidRPr="00075A86" w:rsidRDefault="00962E1B" w:rsidP="00962E1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lastRenderedPageBreak/>
              <w:t xml:space="preserve">Psychické poruchy </w:t>
            </w:r>
          </w:p>
          <w:p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lang w:val="sk-SK"/>
              </w:rPr>
            </w:pPr>
          </w:p>
        </w:tc>
        <w:tc>
          <w:tcPr>
            <w:tcW w:w="768" w:type="pct"/>
          </w:tcPr>
          <w:p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</w:tcPr>
          <w:p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Znížené libido, nespavosť </w:t>
            </w:r>
          </w:p>
        </w:tc>
      </w:tr>
      <w:tr w:rsidR="00245B5E" w:rsidRPr="00075A86" w:rsidTr="00DB616F">
        <w:trPr>
          <w:cantSplit/>
          <w:trHeight w:val="195"/>
        </w:trPr>
        <w:tc>
          <w:tcPr>
            <w:tcW w:w="1592" w:type="pct"/>
            <w:vMerge/>
          </w:tcPr>
          <w:p w:rsidR="00245B5E" w:rsidRPr="006E61B3" w:rsidRDefault="00245B5E" w:rsidP="00DB616F">
            <w:pPr>
              <w:pStyle w:val="Textkomentra"/>
              <w:rPr>
                <w:color w:val="000000"/>
                <w:spacing w:val="-3"/>
                <w:sz w:val="22"/>
                <w:szCs w:val="22"/>
                <w:lang w:val="sk-SK"/>
              </w:rPr>
            </w:pPr>
          </w:p>
        </w:tc>
        <w:tc>
          <w:tcPr>
            <w:tcW w:w="768" w:type="pct"/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Nervozita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 w:val="restart"/>
          </w:tcPr>
          <w:p w:rsidR="00962E1B" w:rsidRPr="00075A86" w:rsidRDefault="00962E1B" w:rsidP="00962E1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nervového systému </w:t>
            </w:r>
          </w:p>
          <w:p w:rsidR="00245B5E" w:rsidRPr="006E61B3" w:rsidRDefault="00245B5E" w:rsidP="00DB616F">
            <w:pPr>
              <w:pStyle w:val="Abbreviations"/>
              <w:rPr>
                <w:szCs w:val="22"/>
                <w:highlight w:val="yellow"/>
                <w:lang w:val="sk-SK"/>
              </w:rPr>
            </w:pPr>
          </w:p>
        </w:tc>
        <w:tc>
          <w:tcPr>
            <w:tcW w:w="768" w:type="pct"/>
          </w:tcPr>
          <w:p w:rsidR="00245B5E" w:rsidRPr="00075A86" w:rsidRDefault="003F0D99" w:rsidP="00DB616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6E61B3">
              <w:rPr>
                <w:sz w:val="22"/>
                <w:szCs w:val="22"/>
              </w:rPr>
              <w:t>Časté</w:t>
            </w:r>
          </w:p>
        </w:tc>
        <w:tc>
          <w:tcPr>
            <w:tcW w:w="2640" w:type="pct"/>
          </w:tcPr>
          <w:p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Bolesť hlavy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/>
          </w:tcPr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</w:tcPr>
          <w:p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:rsidR="00245B5E" w:rsidRPr="00075A86" w:rsidRDefault="00245B5E" w:rsidP="00DB616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</w:tcPr>
          <w:p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Závraty, parestézia, hemiparéza, ospanlivosť, zmenená chuť, hypestézia, hyposmia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</w:tcPr>
          <w:p w:rsidR="00245B5E" w:rsidRPr="00075A86" w:rsidRDefault="00962E1B" w:rsidP="00962E1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ucha a labyrintu </w:t>
            </w:r>
          </w:p>
        </w:tc>
        <w:tc>
          <w:tcPr>
            <w:tcW w:w="768" w:type="pct"/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</w:tcPr>
          <w:p w:rsidR="00245B5E" w:rsidRPr="006E61B3" w:rsidRDefault="00245B5E" w:rsidP="00962E1B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z w:val="22"/>
                <w:szCs w:val="22"/>
              </w:rPr>
              <w:t>Ti</w:t>
            </w:r>
            <w:r w:rsidR="00E21952" w:rsidRPr="006E61B3">
              <w:rPr>
                <w:sz w:val="22"/>
                <w:szCs w:val="22"/>
              </w:rPr>
              <w:t>n</w:t>
            </w:r>
            <w:r w:rsidRPr="006E61B3">
              <w:rPr>
                <w:sz w:val="22"/>
                <w:szCs w:val="22"/>
              </w:rPr>
              <w:t>nitus</w:t>
            </w:r>
          </w:p>
        </w:tc>
      </w:tr>
      <w:tr w:rsidR="003F0D99" w:rsidRPr="00075A86" w:rsidTr="00DB616F">
        <w:trPr>
          <w:cantSplit/>
          <w:trHeight w:val="199"/>
        </w:trPr>
        <w:tc>
          <w:tcPr>
            <w:tcW w:w="1592" w:type="pct"/>
          </w:tcPr>
          <w:p w:rsidR="003F0D99" w:rsidRPr="00075A86" w:rsidRDefault="00962E1B" w:rsidP="00962E1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srdca a srdcovej činnosti </w:t>
            </w:r>
          </w:p>
        </w:tc>
        <w:tc>
          <w:tcPr>
            <w:tcW w:w="768" w:type="pct"/>
          </w:tcPr>
          <w:p w:rsidR="003F0D99" w:rsidRPr="00075A86" w:rsidRDefault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</w:tcPr>
          <w:p w:rsidR="003F0D99" w:rsidRPr="00075A86" w:rsidRDefault="00962E1B" w:rsidP="00962E1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>Fibrilácia predsiení, palpitácie (búšenie srdca), abnormálne EKG</w:t>
            </w:r>
          </w:p>
        </w:tc>
      </w:tr>
      <w:tr w:rsidR="003F0D99" w:rsidRPr="00075A86" w:rsidTr="00DB616F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E21952" w:rsidP="00962E1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>P</w:t>
            </w:r>
            <w:r w:rsidR="00962E1B" w:rsidRPr="00075A86">
              <w:rPr>
                <w:sz w:val="22"/>
                <w:szCs w:val="22"/>
              </w:rPr>
              <w:t xml:space="preserve">oruchy </w:t>
            </w:r>
            <w:r w:rsidRPr="00075A86">
              <w:rPr>
                <w:sz w:val="22"/>
                <w:szCs w:val="22"/>
              </w:rPr>
              <w:t>ciev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962E1B" w:rsidP="00E21952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Hypertenzia, začervenenie, návaly tepla </w:t>
            </w:r>
          </w:p>
        </w:tc>
      </w:tr>
      <w:tr w:rsidR="003F0D99" w:rsidRPr="00075A86" w:rsidTr="00DB616F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962E1B" w:rsidP="00962E1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dýchacej sústavy, hrudníka a mediastína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Dyspnoe, bronchitída, infekcia horných dýchacích ciest, kašeľ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E1B" w:rsidRPr="00075A86" w:rsidRDefault="00962E1B" w:rsidP="00962E1B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gastrointestinálneho traktu </w:t>
            </w:r>
          </w:p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z w:val="22"/>
                <w:szCs w:val="22"/>
              </w:rPr>
              <w:t>Časté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Hnačka**, nevoľnosť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:rsidR="00245B5E" w:rsidRPr="006E61B3" w:rsidRDefault="00245B5E" w:rsidP="00DB616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962E1B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Bolesti brucha, distenzia brucha, gastroezofageálny reflux, vracanie, suchosť v ústach, dyspepsia, zápcha, častá stolica, nadúvanie, gastrointestinálne ťažkosti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Pankreatitída, vredy v ústach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549" w:rsidRPr="00075A86" w:rsidRDefault="00692549" w:rsidP="0069254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pečene a žlčových ciest </w:t>
            </w:r>
          </w:p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z w:val="22"/>
                <w:szCs w:val="22"/>
              </w:rPr>
              <w:t>Časté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Abnormálna funkcia pečene**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Žlčové kamene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Hepatitída, žltačka*, poškodenie pečene *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5E" w:rsidRPr="00075A86" w:rsidRDefault="00692549" w:rsidP="0069254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kože a podkožného tkaniva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z w:val="22"/>
                <w:szCs w:val="22"/>
              </w:rPr>
              <w:t>Časté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Vyrážka (vrátane rôznych druhov vyrážky hlásených s nižšou frekvenciou, pozri nižšie)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:rsidR="00245B5E" w:rsidRPr="006E61B3" w:rsidRDefault="00245B5E" w:rsidP="00DB616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Dermatitída, urtikária, pruritus, poruchy sfarbenia kože, kožné lézie, petechie, makulózna vyrážka, makulopapulózna vyrážka, papulózna vyrážka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98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>Toxická epidermálna nekrolýza*, Stevensov-Johnsonov syndróm*, angioedém*, lieková reakcia</w:t>
            </w:r>
          </w:p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>s eozinofíliou a systémovými symptómami*, generalizovaná vyrážka (závažná)*, erytém, exfoliatívna vyrážka, folikulárna vyrážka, vezikulárna vyrážka, pustulárna vyrážka, svrbivá vyrážka*, erytematózna vyrážka, morbiliformná vyrážka, alopécia, hyperh</w:t>
            </w:r>
            <w:r w:rsidR="00E21952" w:rsidRPr="00075A86">
              <w:rPr>
                <w:sz w:val="22"/>
                <w:szCs w:val="22"/>
              </w:rPr>
              <w:t>i</w:t>
            </w:r>
            <w:r w:rsidRPr="00075A86">
              <w:rPr>
                <w:sz w:val="22"/>
                <w:szCs w:val="22"/>
              </w:rPr>
              <w:t xml:space="preserve">dróza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549" w:rsidRPr="00075A86" w:rsidRDefault="00692549" w:rsidP="0069254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kostrovej a svalovej sústavy a spojivového tkaniva </w:t>
            </w:r>
          </w:p>
          <w:p w:rsidR="00245B5E" w:rsidRPr="006E61B3" w:rsidRDefault="00245B5E" w:rsidP="00DB616F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:rsidR="00245B5E" w:rsidRPr="006E61B3" w:rsidRDefault="00245B5E" w:rsidP="00DB616F">
            <w:pPr>
              <w:pStyle w:val="Default"/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Artralgia, artritída, myalgia, bolesti svalov a kĺbov, svalová slabosť, svalové spazmy, napätie svalov, burzitída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>Rabdomyolýza*, stuh</w:t>
            </w:r>
            <w:r w:rsidR="00E21952" w:rsidRPr="00075A86">
              <w:rPr>
                <w:sz w:val="22"/>
                <w:szCs w:val="22"/>
              </w:rPr>
              <w:t>nut</w:t>
            </w:r>
            <w:r w:rsidRPr="00075A86">
              <w:rPr>
                <w:sz w:val="22"/>
                <w:szCs w:val="22"/>
              </w:rPr>
              <w:t>osť kĺbov, muskuloskeletálna stuh</w:t>
            </w:r>
            <w:r w:rsidR="00E21952" w:rsidRPr="00075A86">
              <w:rPr>
                <w:sz w:val="22"/>
                <w:szCs w:val="22"/>
              </w:rPr>
              <w:t>nut</w:t>
            </w:r>
            <w:r w:rsidRPr="00075A86">
              <w:rPr>
                <w:sz w:val="22"/>
                <w:szCs w:val="22"/>
              </w:rPr>
              <w:t xml:space="preserve">osť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671" w:rsidRPr="00075A86" w:rsidRDefault="00692549" w:rsidP="0069254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obličiek a močovej sústavy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:rsidR="00245B5E" w:rsidRPr="006E61B3" w:rsidRDefault="00245B5E" w:rsidP="00DB616F">
            <w:pPr>
              <w:pStyle w:val="Default"/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>Renálne zlyhanie, nefrolitiáza, hematúria, polaki</w:t>
            </w:r>
            <w:r w:rsidR="00E21952" w:rsidRPr="00075A86">
              <w:rPr>
                <w:sz w:val="22"/>
                <w:szCs w:val="22"/>
              </w:rPr>
              <w:t>z</w:t>
            </w:r>
            <w:r w:rsidRPr="00075A86">
              <w:rPr>
                <w:sz w:val="22"/>
                <w:szCs w:val="22"/>
              </w:rPr>
              <w:t xml:space="preserve">úria, proteinúria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Tubulointersticiálna nefritída*, nutkanie na močenie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69254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Poruchy reprodukčného systému a prsníkov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:rsidR="00245B5E" w:rsidRPr="006E61B3" w:rsidRDefault="00245B5E" w:rsidP="00DB616F">
            <w:pPr>
              <w:pStyle w:val="Default"/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49" w:rsidRPr="00075A86" w:rsidRDefault="00692549" w:rsidP="0069254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Erektilná dysfunkcia </w:t>
            </w:r>
          </w:p>
          <w:p w:rsidR="00245B5E" w:rsidRPr="006E61B3" w:rsidRDefault="00245B5E" w:rsidP="00DB616F">
            <w:pPr>
              <w:pStyle w:val="Default"/>
            </w:pP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798" w:rsidRPr="00075A86" w:rsidRDefault="00692549" w:rsidP="0069254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Celkové poruchy a reakcie </w:t>
            </w:r>
          </w:p>
          <w:p w:rsidR="00692549" w:rsidRPr="00075A86" w:rsidRDefault="00692549" w:rsidP="0069254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v mieste podania </w:t>
            </w:r>
          </w:p>
          <w:p w:rsidR="00245B5E" w:rsidRPr="006E61B3" w:rsidRDefault="00245B5E" w:rsidP="00DB616F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</w:pPr>
            <w:r w:rsidRPr="006E61B3">
              <w:rPr>
                <w:sz w:val="22"/>
                <w:szCs w:val="22"/>
              </w:rPr>
              <w:t>Časté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Edém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Únava, bolesť na hrudi, dyskomfort na hrudi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 w:val="24"/>
                <w:szCs w:val="24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692549" w:rsidP="00DB616F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z w:val="22"/>
                <w:szCs w:val="22"/>
              </w:rPr>
              <w:t>Smäd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798" w:rsidRPr="00075A86" w:rsidRDefault="00E21952" w:rsidP="0069254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lastRenderedPageBreak/>
              <w:t>L</w:t>
            </w:r>
            <w:r w:rsidR="00692549" w:rsidRPr="00075A86">
              <w:rPr>
                <w:sz w:val="22"/>
                <w:szCs w:val="22"/>
              </w:rPr>
              <w:t xml:space="preserve">aboratórne </w:t>
            </w:r>
          </w:p>
          <w:p w:rsidR="00692549" w:rsidRPr="00075A86" w:rsidRDefault="00692549" w:rsidP="0069254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a funkčné vyšetrenia </w:t>
            </w:r>
          </w:p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Pr="00075A86" w:rsidRDefault="003F0D99" w:rsidP="003F0D99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 xml:space="preserve">Menej časté </w:t>
            </w:r>
          </w:p>
          <w:p w:rsidR="00245B5E" w:rsidRPr="006E61B3" w:rsidRDefault="00245B5E" w:rsidP="00DB616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22"/>
                <w:szCs w:val="22"/>
              </w:rPr>
            </w:pPr>
            <w:r w:rsidRPr="00075A86">
              <w:rPr>
                <w:sz w:val="22"/>
                <w:szCs w:val="22"/>
              </w:rPr>
              <w:t>Zvýšenie amylázy v krvi, zníženie počtu trombocytov, zníženie</w:t>
            </w:r>
            <w:r w:rsidR="00075A86" w:rsidRPr="00075A86">
              <w:rPr>
                <w:sz w:val="22"/>
                <w:szCs w:val="22"/>
              </w:rPr>
              <w:t xml:space="preserve"> počtu bielych krviniek</w:t>
            </w:r>
            <w:r w:rsidRPr="00075A86">
              <w:rPr>
                <w:sz w:val="22"/>
                <w:szCs w:val="22"/>
              </w:rPr>
              <w:t>, zníženie počtu lymfocytov, zvýšenie kreatínu v krvi, zvýšenie kreatinínu v krvi, pokles hemoglobínu, zvýšenie močoviny v krvi, zvýšenie triglyceridov v krvi, zvýšenie cholesterolu v krvi, zníženie hematokritu, zvýšenie laktátov</w:t>
            </w:r>
            <w:r w:rsidR="00E21952" w:rsidRPr="00075A86">
              <w:rPr>
                <w:sz w:val="22"/>
                <w:szCs w:val="22"/>
              </w:rPr>
              <w:t>e</w:t>
            </w:r>
            <w:r w:rsidRPr="00075A86">
              <w:rPr>
                <w:sz w:val="22"/>
                <w:szCs w:val="22"/>
              </w:rPr>
              <w:t xml:space="preserve">j dehydrogenázy v krvi, zvýšenie draslíka v krvi </w:t>
            </w:r>
          </w:p>
        </w:tc>
      </w:tr>
      <w:tr w:rsidR="00245B5E" w:rsidRPr="00075A86" w:rsidTr="00DB616F">
        <w:trPr>
          <w:cantSplit/>
          <w:trHeight w:val="199"/>
        </w:trPr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245B5E" w:rsidP="00DB616F">
            <w:pPr>
              <w:pStyle w:val="Abbreviations"/>
              <w:rPr>
                <w:szCs w:val="22"/>
                <w:lang w:val="sk-SK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6E61B3" w:rsidRDefault="003F0D99" w:rsidP="00DB616F">
            <w:pPr>
              <w:pStyle w:val="Default"/>
              <w:rPr>
                <w:sz w:val="22"/>
                <w:szCs w:val="22"/>
              </w:rPr>
            </w:pPr>
            <w:r w:rsidRPr="006E61B3">
              <w:rPr>
                <w:spacing w:val="-3"/>
                <w:sz w:val="22"/>
                <w:szCs w:val="22"/>
              </w:rPr>
              <w:t>Zriedkavé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E" w:rsidRPr="00075A86" w:rsidRDefault="00692549" w:rsidP="00DB616F">
            <w:pPr>
              <w:pStyle w:val="Default"/>
              <w:rPr>
                <w:sz w:val="14"/>
                <w:szCs w:val="14"/>
              </w:rPr>
            </w:pPr>
            <w:r w:rsidRPr="00075A86">
              <w:rPr>
                <w:sz w:val="22"/>
                <w:szCs w:val="22"/>
              </w:rPr>
              <w:t>Zvýšenie glukózy v krvi, predĺženie aktivovaného parciálneho tromboplastínového času, zníženie počtu červených krviniek v krvi, zvýšenie alkalickej fosfatázy v krvi, zvýšenie kreatínfosfokinázy v krvi</w:t>
            </w:r>
            <w:r w:rsidR="00362118" w:rsidRPr="00075A86">
              <w:rPr>
                <w:sz w:val="22"/>
                <w:szCs w:val="22"/>
              </w:rPr>
              <w:t>*</w:t>
            </w:r>
            <w:r w:rsidRPr="00075A86">
              <w:rPr>
                <w:sz w:val="14"/>
                <w:szCs w:val="14"/>
              </w:rPr>
              <w:t xml:space="preserve"> </w:t>
            </w:r>
          </w:p>
        </w:tc>
      </w:tr>
    </w:tbl>
    <w:p w:rsidR="00692549" w:rsidRPr="00075A86" w:rsidRDefault="00692549" w:rsidP="00A12D1F">
      <w:pPr>
        <w:pStyle w:val="Default"/>
        <w:rPr>
          <w:iCs/>
          <w:sz w:val="22"/>
          <w:szCs w:val="22"/>
        </w:rPr>
      </w:pPr>
    </w:p>
    <w:p w:rsidR="00A12D1F" w:rsidRPr="00075A86" w:rsidRDefault="00A12D1F" w:rsidP="00E3507B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* Nežiaduce reakcie pochádzajúce z postmarketingových skúseností. </w:t>
      </w:r>
    </w:p>
    <w:p w:rsidR="00E3507B" w:rsidRPr="00075A86" w:rsidRDefault="00A12D1F" w:rsidP="00E3507B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** Liečba akútnej neinfekčnej hnačky a výsledky testov pečeňovej funkcie </w:t>
      </w:r>
      <w:r w:rsidR="00EA6EDF" w:rsidRPr="00075A86">
        <w:rPr>
          <w:sz w:val="22"/>
          <w:szCs w:val="22"/>
        </w:rPr>
        <w:t>mimo normy</w:t>
      </w:r>
    </w:p>
    <w:p w:rsidR="00A12D1F" w:rsidRPr="00075A86" w:rsidRDefault="00A12D1F" w:rsidP="00E3507B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v kombinovanej štúdii fázy 3 sú častejšie u pacientov, ktorí sú súčasne liečení kolchicínom. </w:t>
      </w:r>
    </w:p>
    <w:p w:rsidR="00A12D1F" w:rsidRPr="00075A86" w:rsidRDefault="00A12D1F" w:rsidP="00E3507B">
      <w:pPr>
        <w:spacing w:after="0"/>
        <w:rPr>
          <w:rFonts w:ascii="Times New Roman" w:hAnsi="Times New Roman" w:cs="Times New Roman"/>
          <w:i/>
          <w:iCs/>
          <w:color w:val="000000"/>
        </w:rPr>
      </w:pPr>
      <w:r w:rsidRPr="00075A86">
        <w:rPr>
          <w:rFonts w:ascii="Times New Roman" w:hAnsi="Times New Roman" w:cs="Times New Roman"/>
        </w:rPr>
        <w:t xml:space="preserve">*** Pozri časť 5.1 pre výskyt vzplanutia dny v randomizovaných kontrolovaných štúdiách </w:t>
      </w:r>
      <w:r w:rsidR="00EA6EDF" w:rsidRPr="00075A86">
        <w:rPr>
          <w:rFonts w:ascii="Times New Roman" w:hAnsi="Times New Roman" w:cs="Times New Roman"/>
        </w:rPr>
        <w:t xml:space="preserve">samostatnej </w:t>
      </w:r>
      <w:r w:rsidRPr="00075A86">
        <w:rPr>
          <w:rFonts w:ascii="Times New Roman" w:hAnsi="Times New Roman" w:cs="Times New Roman"/>
        </w:rPr>
        <w:t>fázy 3.</w:t>
      </w:r>
    </w:p>
    <w:p w:rsidR="00A12D1F" w:rsidRPr="00075A86" w:rsidRDefault="00A12D1F" w:rsidP="00454136">
      <w:pPr>
        <w:spacing w:after="0"/>
        <w:rPr>
          <w:rFonts w:ascii="Times New Roman" w:hAnsi="Times New Roman" w:cs="Times New Roman"/>
          <w:i/>
          <w:iCs/>
          <w:color w:val="000000"/>
        </w:rPr>
      </w:pPr>
    </w:p>
    <w:p w:rsidR="00A12D1F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 xml:space="preserve">Opis vybraných nežiaducich reakcií </w:t>
      </w:r>
    </w:p>
    <w:p w:rsidR="00E3507B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Zriedkavé závažné hypersenzitívne reakcie na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</w:t>
      </w:r>
      <w:r w:rsidRPr="00075A86">
        <w:rPr>
          <w:sz w:val="22"/>
          <w:szCs w:val="22"/>
        </w:rPr>
        <w:t>, vrátane Stevensovho-Johnsonovho syndrómu, toxickej epidermálnej nekrolýzy a anafylaktickej reakcie</w:t>
      </w:r>
      <w:r w:rsidR="00EA6EDF" w:rsidRPr="00075A86">
        <w:rPr>
          <w:sz w:val="22"/>
          <w:szCs w:val="22"/>
        </w:rPr>
        <w:t>/</w:t>
      </w:r>
      <w:r w:rsidRPr="00075A86">
        <w:rPr>
          <w:sz w:val="22"/>
          <w:szCs w:val="22"/>
        </w:rPr>
        <w:t xml:space="preserve">šoku, sa vyskytli počas postmarketingových skúseností. Stevensov-Johnsonov syndróm a toxická epidermálna nekrolýza sú charakterizované progresívnymi kožnými vyrážkami spojenými s pľuzgiermi alebo léziami na slizniciach a podráždením očí. Hypersenzitívne reakcie na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môžu byť spojené </w:t>
      </w:r>
    </w:p>
    <w:p w:rsidR="00E3507B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>s nasledujúcimi symptómami: kožné reakcie charakterizované infiltrovanými makulopapulóznymi erupciami, generalizovanými alebo exfoliatívnymi vyrážkami, ale aj kožnými léziami, edémom tváre, horúčkou, hematologickými abnormalitami ako je trombocytopénia a eozinofília a zasiahnutím jedného alebo viacerých orgánov (pečene a obličky, vrátane tubulointersticiálnej nefritídy)</w:t>
      </w:r>
    </w:p>
    <w:p w:rsidR="00A12D1F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(pozri časť 4.4). </w:t>
      </w:r>
    </w:p>
    <w:p w:rsidR="00A12D1F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Vzplanutia dny boli často pozorované krátko po začatí liečby a počas prvých mesiacov. Potom sa frekvencia vzplanutia dny znížila v závislosti od času. Odporúča sa profylaxia </w:t>
      </w:r>
      <w:r w:rsidR="00075A86" w:rsidRPr="00075A86">
        <w:rPr>
          <w:sz w:val="22"/>
          <w:szCs w:val="22"/>
        </w:rPr>
        <w:t xml:space="preserve">pred </w:t>
      </w:r>
      <w:r w:rsidRPr="00075A86">
        <w:rPr>
          <w:sz w:val="22"/>
          <w:szCs w:val="22"/>
        </w:rPr>
        <w:t>vzplanut</w:t>
      </w:r>
      <w:r w:rsidR="00075A86" w:rsidRPr="00075A86">
        <w:rPr>
          <w:sz w:val="22"/>
          <w:szCs w:val="22"/>
        </w:rPr>
        <w:t>ím</w:t>
      </w:r>
      <w:r w:rsidRPr="00075A86">
        <w:rPr>
          <w:sz w:val="22"/>
          <w:szCs w:val="22"/>
        </w:rPr>
        <w:t xml:space="preserve"> dny (pozri časti 4.2 a 4.4). </w:t>
      </w:r>
    </w:p>
    <w:p w:rsidR="00A12D1F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</w:p>
    <w:p w:rsidR="00A12D1F" w:rsidRPr="00075A86" w:rsidRDefault="00A12D1F" w:rsidP="00A12D1F">
      <w:pPr>
        <w:pStyle w:val="Default"/>
        <w:spacing w:line="276" w:lineRule="auto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 xml:space="preserve">Hlásenie podozrení na nežiaduce reakcie </w:t>
      </w:r>
    </w:p>
    <w:p w:rsidR="00A12D1F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075A86">
        <w:rPr>
          <w:sz w:val="22"/>
          <w:szCs w:val="22"/>
          <w:shd w:val="clear" w:color="auto" w:fill="BFBFBF" w:themeFill="background1" w:themeFillShade="BF"/>
        </w:rPr>
        <w:t xml:space="preserve">národný systém hlásenia uvedený v </w:t>
      </w:r>
      <w:hyperlink r:id="rId8" w:history="1">
        <w:r w:rsidR="00EA6EDF" w:rsidRPr="00075A86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075A86">
        <w:rPr>
          <w:sz w:val="22"/>
          <w:szCs w:val="22"/>
          <w:shd w:val="clear" w:color="auto" w:fill="BFBFBF" w:themeFill="background1" w:themeFillShade="BF"/>
        </w:rPr>
        <w:t>.</w:t>
      </w:r>
      <w:r w:rsidRPr="00075A86">
        <w:rPr>
          <w:sz w:val="22"/>
          <w:szCs w:val="22"/>
        </w:rPr>
        <w:t xml:space="preserve"> </w:t>
      </w:r>
    </w:p>
    <w:p w:rsidR="00A12D1F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</w:p>
    <w:p w:rsidR="00A12D1F" w:rsidRPr="00075A86" w:rsidRDefault="00A12D1F" w:rsidP="00A12D1F">
      <w:pPr>
        <w:pStyle w:val="Default"/>
        <w:spacing w:line="276" w:lineRule="auto"/>
        <w:rPr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4.9  Predávkovanie </w:t>
      </w:r>
    </w:p>
    <w:p w:rsidR="00A12D1F" w:rsidRPr="00075A86" w:rsidRDefault="00A12D1F" w:rsidP="00A12D1F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Liečba pacientov s prejavmi predávkovania je podporná a symptomatická.</w:t>
      </w:r>
    </w:p>
    <w:p w:rsidR="007A5714" w:rsidRPr="00075A86" w:rsidRDefault="007A5714" w:rsidP="00A12D1F">
      <w:pPr>
        <w:spacing w:after="0"/>
        <w:rPr>
          <w:rFonts w:ascii="Times New Roman" w:hAnsi="Times New Roman" w:cs="Times New Roman"/>
          <w:iCs/>
          <w:color w:val="000000"/>
        </w:rPr>
      </w:pPr>
    </w:p>
    <w:p w:rsidR="00A12D1F" w:rsidRPr="00075A86" w:rsidRDefault="00A12D1F" w:rsidP="00454136">
      <w:pPr>
        <w:spacing w:after="0"/>
        <w:rPr>
          <w:rFonts w:ascii="Times New Roman" w:hAnsi="Times New Roman" w:cs="Times New Roman"/>
          <w:i/>
          <w:iCs/>
          <w:color w:val="000000"/>
        </w:rPr>
      </w:pPr>
    </w:p>
    <w:p w:rsidR="007A5714" w:rsidRPr="00075A86" w:rsidRDefault="007A5714" w:rsidP="007A5714">
      <w:pPr>
        <w:pStyle w:val="Default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5. FARMAKOLOGICKÉ VLASTNOSTI </w:t>
      </w:r>
    </w:p>
    <w:p w:rsidR="007A5714" w:rsidRPr="00075A86" w:rsidRDefault="007A5714" w:rsidP="007A5714">
      <w:pPr>
        <w:pStyle w:val="Default"/>
        <w:rPr>
          <w:sz w:val="22"/>
          <w:szCs w:val="22"/>
        </w:rPr>
      </w:pPr>
    </w:p>
    <w:p w:rsidR="007A5714" w:rsidRPr="00075A86" w:rsidRDefault="007A5714" w:rsidP="007A5714">
      <w:pPr>
        <w:pStyle w:val="Default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 xml:space="preserve">5.1  Farmakodynamické vlastnosti </w:t>
      </w:r>
    </w:p>
    <w:p w:rsidR="007A5714" w:rsidRPr="00075A86" w:rsidRDefault="007A5714" w:rsidP="007A5714">
      <w:pPr>
        <w:pStyle w:val="Default"/>
        <w:rPr>
          <w:sz w:val="22"/>
          <w:szCs w:val="22"/>
        </w:rPr>
      </w:pPr>
    </w:p>
    <w:p w:rsidR="007A5714" w:rsidRPr="00075A86" w:rsidRDefault="007A5714" w:rsidP="007A5714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Farmakoterapeutická skupina: </w:t>
      </w:r>
      <w:r w:rsidR="00EA6EDF" w:rsidRPr="00075A86">
        <w:rPr>
          <w:sz w:val="22"/>
          <w:szCs w:val="22"/>
        </w:rPr>
        <w:t>Antiuratiká</w:t>
      </w:r>
      <w:r w:rsidR="00EA6EDF" w:rsidRPr="00075A86" w:rsidDel="00EA6EDF">
        <w:rPr>
          <w:sz w:val="22"/>
          <w:szCs w:val="22"/>
        </w:rPr>
        <w:t xml:space="preserve"> </w:t>
      </w:r>
      <w:r w:rsidR="00EA6EDF" w:rsidRPr="00075A86">
        <w:rPr>
          <w:sz w:val="22"/>
          <w:szCs w:val="22"/>
        </w:rPr>
        <w:t>(</w:t>
      </w:r>
      <w:r w:rsidRPr="00075A86">
        <w:rPr>
          <w:sz w:val="22"/>
          <w:szCs w:val="22"/>
        </w:rPr>
        <w:t>liečb</w:t>
      </w:r>
      <w:r w:rsidR="00EA6EDF" w:rsidRPr="00075A86">
        <w:rPr>
          <w:sz w:val="22"/>
          <w:szCs w:val="22"/>
        </w:rPr>
        <w:t>a</w:t>
      </w:r>
      <w:r w:rsidRPr="00075A86">
        <w:rPr>
          <w:sz w:val="22"/>
          <w:szCs w:val="22"/>
        </w:rPr>
        <w:t xml:space="preserve"> dny</w:t>
      </w:r>
      <w:r w:rsidR="00EA6EDF" w:rsidRPr="00075A86">
        <w:rPr>
          <w:sz w:val="22"/>
          <w:szCs w:val="22"/>
        </w:rPr>
        <w:t>)</w:t>
      </w:r>
      <w:r w:rsidRPr="00075A86">
        <w:rPr>
          <w:sz w:val="22"/>
          <w:szCs w:val="22"/>
        </w:rPr>
        <w:t xml:space="preserve">, </w:t>
      </w:r>
      <w:r w:rsidR="00EA6EDF" w:rsidRPr="00075A86">
        <w:rPr>
          <w:sz w:val="22"/>
          <w:szCs w:val="22"/>
        </w:rPr>
        <w:t xml:space="preserve">liečivá potlačujúce tvorbu </w:t>
      </w:r>
      <w:r w:rsidRPr="00075A86">
        <w:rPr>
          <w:sz w:val="22"/>
          <w:szCs w:val="22"/>
        </w:rPr>
        <w:t xml:space="preserve">kyseliny močovej. </w:t>
      </w:r>
    </w:p>
    <w:p w:rsidR="007A5714" w:rsidRPr="00075A86" w:rsidRDefault="007A5714" w:rsidP="007A5714">
      <w:pPr>
        <w:pStyle w:val="Default"/>
        <w:rPr>
          <w:sz w:val="22"/>
          <w:szCs w:val="22"/>
        </w:rPr>
      </w:pPr>
      <w:r w:rsidRPr="00075A86">
        <w:rPr>
          <w:sz w:val="22"/>
          <w:szCs w:val="22"/>
        </w:rPr>
        <w:t xml:space="preserve">ATC kód: M04AA03 </w:t>
      </w:r>
    </w:p>
    <w:p w:rsidR="007A5714" w:rsidRPr="00075A86" w:rsidRDefault="007A5714" w:rsidP="007A5714">
      <w:pPr>
        <w:pStyle w:val="Default"/>
        <w:rPr>
          <w:sz w:val="22"/>
          <w:szCs w:val="22"/>
        </w:rPr>
      </w:pP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 xml:space="preserve">Mechanizmus účinku </w:t>
      </w: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Kyselina močová je </w:t>
      </w:r>
      <w:r w:rsidR="008E4067" w:rsidRPr="00075A86">
        <w:rPr>
          <w:sz w:val="22"/>
          <w:szCs w:val="22"/>
        </w:rPr>
        <w:t xml:space="preserve">u človeka </w:t>
      </w:r>
      <w:r w:rsidRPr="00075A86">
        <w:rPr>
          <w:sz w:val="22"/>
          <w:szCs w:val="22"/>
        </w:rPr>
        <w:t xml:space="preserve">koncový produkt metabolizmu purínov a vytvára sa v stupňoch hypoxantín </w:t>
      </w:r>
      <w:r w:rsidRPr="00075A86">
        <w:t>→</w:t>
      </w:r>
      <w:r w:rsidRPr="00075A86">
        <w:rPr>
          <w:sz w:val="22"/>
          <w:szCs w:val="22"/>
        </w:rPr>
        <w:t xml:space="preserve"> xantín </w:t>
      </w:r>
      <w:r w:rsidRPr="00075A86">
        <w:t>→</w:t>
      </w:r>
      <w:r w:rsidRPr="00075A86">
        <w:rPr>
          <w:sz w:val="22"/>
          <w:szCs w:val="22"/>
        </w:rPr>
        <w:t xml:space="preserve"> kyselina močová. Obidva stupne v uvedenom mechanizme sú katalyzované xantínoxidázou (XO).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je derivát 2-aryltiazolu, ktorý dosahuje terapeutický účinok zníženia kyseliny močovej v sére selektívnou inhibíciou XO.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je potentný nepurínový selektívny inhibítor XO (NP-SIXO), ktorého hodnota Ki </w:t>
      </w:r>
      <w:r w:rsidRPr="00075A86">
        <w:rPr>
          <w:i/>
          <w:iCs/>
          <w:sz w:val="22"/>
          <w:szCs w:val="22"/>
        </w:rPr>
        <w:t xml:space="preserve">in vitro </w:t>
      </w:r>
      <w:r w:rsidRPr="00075A86">
        <w:rPr>
          <w:sz w:val="22"/>
          <w:szCs w:val="22"/>
        </w:rPr>
        <w:t xml:space="preserve">je menej ako jeden nanomol. Ukázalo sa, že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účinne inhibuje oxidované aj redukované formy XO. V terapeutických koncentráciách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neinhibuje iné enzýmy, ktoré sa zúčastňujú na metabolizme purínu alebo pyrimidínu, konkrétne guaníndeaminázu, hypoxantínguanínfosforibozyltransferázu, orotát fosforibozyltransferázu, orotidín monofosfát dekarboxylázu alebo purínnukleozidfosforylázu. </w:t>
      </w: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</w:p>
    <w:p w:rsidR="007A5714" w:rsidRPr="00075A86" w:rsidRDefault="007A5714" w:rsidP="00CA0D1F">
      <w:pPr>
        <w:pStyle w:val="Default"/>
        <w:spacing w:line="276" w:lineRule="auto"/>
        <w:rPr>
          <w:sz w:val="22"/>
          <w:szCs w:val="22"/>
          <w:u w:val="single"/>
        </w:rPr>
      </w:pPr>
      <w:r w:rsidRPr="00075A86">
        <w:rPr>
          <w:sz w:val="22"/>
          <w:szCs w:val="22"/>
          <w:u w:val="single"/>
        </w:rPr>
        <w:t xml:space="preserve">Klinická účinnosť a bezpečnosť </w:t>
      </w:r>
    </w:p>
    <w:p w:rsidR="006D7AE9" w:rsidRDefault="007A5714" w:rsidP="00CA0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Účinnosť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bola preukázaná v troch </w:t>
      </w:r>
      <w:r w:rsidR="008E4067" w:rsidRPr="00075A86">
        <w:rPr>
          <w:sz w:val="22"/>
          <w:szCs w:val="22"/>
        </w:rPr>
        <w:t>pivotných</w:t>
      </w:r>
      <w:r w:rsidRPr="00075A86">
        <w:rPr>
          <w:sz w:val="22"/>
          <w:szCs w:val="22"/>
        </w:rPr>
        <w:t xml:space="preserve"> štúdiách fázy 3 (dve</w:t>
      </w:r>
      <w:r w:rsidR="008E4067" w:rsidRPr="00075A86">
        <w:rPr>
          <w:sz w:val="22"/>
          <w:szCs w:val="22"/>
        </w:rPr>
        <w:t xml:space="preserve"> pivotné</w:t>
      </w:r>
      <w:r w:rsidRPr="00075A86">
        <w:rPr>
          <w:sz w:val="22"/>
          <w:szCs w:val="22"/>
        </w:rPr>
        <w:t xml:space="preserve"> štúdie APEX </w:t>
      </w:r>
      <w:r w:rsidR="00CA0D1F" w:rsidRPr="00075A86">
        <w:rPr>
          <w:sz w:val="22"/>
          <w:szCs w:val="22"/>
        </w:rPr>
        <w:t xml:space="preserve"> </w:t>
      </w:r>
    </w:p>
    <w:p w:rsidR="006D7AE9" w:rsidRDefault="007A5714" w:rsidP="00CA0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a FACT a v pridanej štúdii CONFIRMS popísaných nižšie), ktoré boli uskutočnené </w:t>
      </w:r>
      <w:r w:rsidR="008E4067" w:rsidRPr="00075A86">
        <w:rPr>
          <w:sz w:val="22"/>
          <w:szCs w:val="22"/>
        </w:rPr>
        <w:t>u</w:t>
      </w:r>
      <w:r w:rsidRPr="00075A86">
        <w:rPr>
          <w:sz w:val="22"/>
          <w:szCs w:val="22"/>
        </w:rPr>
        <w:t xml:space="preserve"> 4101 paciento</w:t>
      </w:r>
      <w:r w:rsidR="008E4067" w:rsidRPr="00075A86">
        <w:rPr>
          <w:sz w:val="22"/>
          <w:szCs w:val="22"/>
        </w:rPr>
        <w:t>v</w:t>
      </w:r>
      <w:r w:rsidRPr="00075A86">
        <w:rPr>
          <w:sz w:val="22"/>
          <w:szCs w:val="22"/>
        </w:rPr>
        <w:t xml:space="preserve"> </w:t>
      </w:r>
    </w:p>
    <w:p w:rsidR="007A5714" w:rsidRPr="00075A86" w:rsidRDefault="007A5714" w:rsidP="00CA0D1F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 hyperurikémiou a dnou. V každej </w:t>
      </w:r>
      <w:r w:rsidR="008E4067" w:rsidRPr="00075A86">
        <w:rPr>
          <w:sz w:val="22"/>
          <w:szCs w:val="22"/>
        </w:rPr>
        <w:t xml:space="preserve">pivotnej </w:t>
      </w:r>
      <w:r w:rsidRPr="00075A86">
        <w:rPr>
          <w:sz w:val="22"/>
          <w:szCs w:val="22"/>
        </w:rPr>
        <w:t xml:space="preserve">štúdii fázy 3 preukázal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>vynikajúcu schopnosť znížiť a udržať koncentrácie kyseliny močovej v sére porovnateľnú s alopurinolom. Primárny parameter účinnosti v APEX a FACT štúdiách predstavoval podiel pacientov, u ktorých boli koncentrácie kyseliny močovej v sére za posledné 3 mesiace &lt; 6,0 mg/d</w:t>
      </w:r>
      <w:r w:rsidR="008E4067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(357 μmol/</w:t>
      </w:r>
      <w:r w:rsidR="008E4067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>). V pridanej  štúdi</w:t>
      </w:r>
      <w:r w:rsidR="008E4067" w:rsidRPr="00075A86">
        <w:rPr>
          <w:sz w:val="22"/>
          <w:szCs w:val="22"/>
        </w:rPr>
        <w:t>i</w:t>
      </w:r>
      <w:r w:rsidRPr="00075A86">
        <w:rPr>
          <w:sz w:val="22"/>
          <w:szCs w:val="22"/>
        </w:rPr>
        <w:t xml:space="preserve"> CONFIRMS</w:t>
      </w:r>
      <w:r w:rsidR="008E4067" w:rsidRPr="00075A86">
        <w:rPr>
          <w:sz w:val="22"/>
          <w:szCs w:val="22"/>
        </w:rPr>
        <w:t xml:space="preserve"> vo fáze 3</w:t>
      </w:r>
      <w:r w:rsidRPr="00075A86">
        <w:rPr>
          <w:sz w:val="22"/>
          <w:szCs w:val="22"/>
        </w:rPr>
        <w:t xml:space="preserve">, ktorej výsledky boli prvýkrát dostupné po registrácii </w:t>
      </w:r>
      <w:r w:rsidR="007B0935" w:rsidRPr="00075A86">
        <w:rPr>
          <w:sz w:val="22"/>
          <w:szCs w:val="22"/>
        </w:rPr>
        <w:t>febuxost</w:t>
      </w:r>
      <w:r w:rsidR="007B0935">
        <w:rPr>
          <w:sz w:val="22"/>
          <w:szCs w:val="22"/>
        </w:rPr>
        <w:t>á</w:t>
      </w:r>
      <w:r w:rsidR="007B0935" w:rsidRPr="00075A86">
        <w:rPr>
          <w:sz w:val="22"/>
          <w:szCs w:val="22"/>
        </w:rPr>
        <w:t>tu</w:t>
      </w:r>
      <w:r w:rsidRPr="00075A86">
        <w:rPr>
          <w:sz w:val="22"/>
          <w:szCs w:val="22"/>
        </w:rPr>
        <w:t>, primárnym parametrom účinnosti bola časť pacientov, ktorých hladina urátov v sére bola &lt; 6,0 mg/d</w:t>
      </w:r>
      <w:r w:rsidR="008E4067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na poslednom vyšetrení. Do týchto štúdií neboli zahrnutí pacienti s orgánovými transplantáciami (pozri časť 4.2).</w:t>
      </w:r>
    </w:p>
    <w:p w:rsidR="00A12D1F" w:rsidRPr="00075A86" w:rsidRDefault="00A12D1F" w:rsidP="00454136">
      <w:pPr>
        <w:spacing w:after="0"/>
        <w:rPr>
          <w:rFonts w:ascii="Times New Roman" w:hAnsi="Times New Roman" w:cs="Times New Roman"/>
          <w:iCs/>
          <w:color w:val="000000"/>
        </w:rPr>
      </w:pP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>Štúdia APEX</w:t>
      </w:r>
      <w:r w:rsidRPr="00075A86">
        <w:rPr>
          <w:sz w:val="22"/>
          <w:szCs w:val="22"/>
        </w:rPr>
        <w:t xml:space="preserve">: Štúdia účinnosti </w:t>
      </w:r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kontrolovaná na základe alopurinolu a placeba (APEX) bola randomizovaná, dvojito zaslepená, multicentrická štúdia fázy 3 v trvaní 28 týždňov. Randomizovaných bolo tisícsedemdesiatdva pacientov (1072): placebo (n=134), </w:t>
      </w:r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80 mg QD (n=267), </w:t>
      </w:r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120 mg QD (n=269), </w:t>
      </w:r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240 mg QD (n=134) alebo alopurinol (300 mg QD [n=258] u pacientov s </w:t>
      </w:r>
      <w:r w:rsidR="00947D25" w:rsidRPr="00075A86">
        <w:rPr>
          <w:sz w:val="22"/>
          <w:szCs w:val="22"/>
        </w:rPr>
        <w:t>východiskovou</w:t>
      </w:r>
      <w:r w:rsidRPr="00075A86">
        <w:rPr>
          <w:sz w:val="22"/>
          <w:szCs w:val="22"/>
        </w:rPr>
        <w:t xml:space="preserve"> hodnotou kreatinínu v sére </w:t>
      </w:r>
      <w:r w:rsidR="00D52984" w:rsidRPr="00075A86">
        <w:rPr>
          <w:sz w:val="22"/>
          <w:szCs w:val="22"/>
        </w:rPr>
        <w:t xml:space="preserve">≤ </w:t>
      </w:r>
      <w:r w:rsidRPr="00075A86">
        <w:rPr>
          <w:sz w:val="22"/>
          <w:szCs w:val="22"/>
        </w:rPr>
        <w:t>1,5 mg/d</w:t>
      </w:r>
      <w:r w:rsidR="00947D25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alebo 100 mg QD [n=10] u pacientov s </w:t>
      </w:r>
      <w:r w:rsidR="00947D25" w:rsidRPr="00075A86">
        <w:rPr>
          <w:sz w:val="22"/>
          <w:szCs w:val="22"/>
        </w:rPr>
        <w:t>východiskovou</w:t>
      </w:r>
      <w:r w:rsidRPr="00075A86">
        <w:rPr>
          <w:sz w:val="22"/>
          <w:szCs w:val="22"/>
        </w:rPr>
        <w:t xml:space="preserve"> hodnotou kreatinínu v sére &gt;1,5 mg/d</w:t>
      </w:r>
      <w:r w:rsidR="00947D25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a </w:t>
      </w:r>
      <w:r w:rsidR="00D52984" w:rsidRPr="00075A86">
        <w:rPr>
          <w:sz w:val="22"/>
          <w:szCs w:val="22"/>
        </w:rPr>
        <w:t xml:space="preserve">≤ </w:t>
      </w:r>
      <w:r w:rsidR="00E32A8F" w:rsidRPr="00075A86">
        <w:rPr>
          <w:sz w:val="22"/>
          <w:szCs w:val="22"/>
        </w:rPr>
        <w:t xml:space="preserve"> </w:t>
      </w:r>
      <w:r w:rsidRPr="00075A86">
        <w:rPr>
          <w:sz w:val="22"/>
          <w:szCs w:val="22"/>
        </w:rPr>
        <w:t>2,0 mg/d</w:t>
      </w:r>
      <w:r w:rsidR="00947D25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). </w:t>
      </w:r>
      <w:r w:rsidR="00E32A8F" w:rsidRPr="00075A86">
        <w:rPr>
          <w:sz w:val="22"/>
          <w:szCs w:val="22"/>
        </w:rPr>
        <w:t>240</w:t>
      </w:r>
      <w:r w:rsidRPr="00075A86">
        <w:rPr>
          <w:sz w:val="22"/>
          <w:szCs w:val="22"/>
        </w:rPr>
        <w:t xml:space="preserve"> mg </w:t>
      </w:r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(dvojnásobne vyššia dávka ako je najvyššia odporúčaná dávka) bolo použitých ako dávka na vyhodnotenie bezpečnosti. </w:t>
      </w: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</w:p>
    <w:p w:rsidR="006D7AE9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Štúdia APEX ukázala štatisticky významnú superioritu obidvoch liekov </w:t>
      </w:r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80 mg QD </w:t>
      </w:r>
    </w:p>
    <w:p w:rsidR="006D7AE9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a </w:t>
      </w:r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120 mg QD </w:t>
      </w:r>
      <w:r w:rsidRPr="00075A86">
        <w:rPr>
          <w:i/>
          <w:iCs/>
          <w:sz w:val="22"/>
          <w:szCs w:val="22"/>
        </w:rPr>
        <w:t xml:space="preserve">oproti </w:t>
      </w:r>
      <w:r w:rsidRPr="00075A86">
        <w:rPr>
          <w:sz w:val="22"/>
          <w:szCs w:val="22"/>
        </w:rPr>
        <w:t>tradične používaným dávkam alopurinolu 300 mg (n = 258) /100 mg (n = 10) v liečbe pri znižovaní kyseliny močovej pod úroveň 6 mg/dl (357 μmol/</w:t>
      </w:r>
      <w:r w:rsidR="00947D25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>) (pozri tabuľku 2</w:t>
      </w: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 a obrázok 1). </w:t>
      </w: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i/>
          <w:iCs/>
          <w:sz w:val="22"/>
          <w:szCs w:val="22"/>
        </w:rPr>
        <w:t>Štúdia FACT</w:t>
      </w:r>
      <w:r w:rsidRPr="00075A86">
        <w:rPr>
          <w:sz w:val="22"/>
          <w:szCs w:val="22"/>
        </w:rPr>
        <w:t xml:space="preserve">: Štúdia kontrolovaná </w:t>
      </w:r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 xml:space="preserve">tom </w:t>
      </w:r>
      <w:r w:rsidRPr="00075A86">
        <w:rPr>
          <w:sz w:val="22"/>
          <w:szCs w:val="22"/>
        </w:rPr>
        <w:t xml:space="preserve">a alopurinolom (FACT) bola randomizovaná, dvojito zaslepená, multicentrická štúdia fázy 3 v trvaní 52 týždňov. Sedemstošesťdesiat pacientov (760) bolo randomizovaných: </w:t>
      </w:r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80 mg QD (n=256), </w:t>
      </w:r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120 mg QD (n=251) alebo alopurinol 300 mg QD (n=253). </w:t>
      </w: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Štúdia FACT ukázala štatisticky významnú superioritu obidvoch liekov </w:t>
      </w:r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80 mg a </w:t>
      </w:r>
      <w:r w:rsidR="00F00976" w:rsidRPr="00075A86">
        <w:rPr>
          <w:sz w:val="22"/>
          <w:szCs w:val="22"/>
        </w:rPr>
        <w:t>febuxost</w:t>
      </w:r>
      <w:r w:rsidR="00F00976">
        <w:rPr>
          <w:sz w:val="22"/>
          <w:szCs w:val="22"/>
        </w:rPr>
        <w:t>á</w:t>
      </w:r>
      <w:r w:rsidR="00F00976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 xml:space="preserve">120 mg QD </w:t>
      </w:r>
      <w:r w:rsidRPr="00075A86">
        <w:rPr>
          <w:i/>
          <w:iCs/>
          <w:sz w:val="22"/>
          <w:szCs w:val="22"/>
        </w:rPr>
        <w:t xml:space="preserve">oproti </w:t>
      </w:r>
      <w:r w:rsidRPr="00075A86">
        <w:rPr>
          <w:sz w:val="22"/>
          <w:szCs w:val="22"/>
        </w:rPr>
        <w:t>tradične používaným dávkam alopurinolu 300 mg v liečbe pri znižovaní kyseliny močovej a udržovaní jej hodnoty pod 6 mg/d</w:t>
      </w:r>
      <w:r w:rsidR="007032C9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(357 μmol/</w:t>
      </w:r>
      <w:r w:rsidR="007032C9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). </w:t>
      </w:r>
    </w:p>
    <w:p w:rsidR="007A5714" w:rsidRPr="00075A86" w:rsidRDefault="007A5714" w:rsidP="007A5714">
      <w:pPr>
        <w:pStyle w:val="Default"/>
        <w:spacing w:line="276" w:lineRule="auto"/>
        <w:rPr>
          <w:sz w:val="22"/>
          <w:szCs w:val="22"/>
        </w:rPr>
      </w:pPr>
    </w:p>
    <w:p w:rsidR="00A12D1F" w:rsidRPr="00075A86" w:rsidRDefault="007A5714" w:rsidP="007A5714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lastRenderedPageBreak/>
        <w:t>V tabuľke 2 sú výsledky primárneho parametra účinnosti:</w:t>
      </w:r>
    </w:p>
    <w:p w:rsidR="00D52984" w:rsidRPr="00075A86" w:rsidRDefault="00D52984" w:rsidP="007A5714">
      <w:pPr>
        <w:spacing w:after="0"/>
        <w:rPr>
          <w:rFonts w:ascii="Times New Roman" w:hAnsi="Times New Roman" w:cs="Times New Roman"/>
          <w:iCs/>
          <w:color w:val="000000"/>
        </w:rPr>
      </w:pPr>
    </w:p>
    <w:p w:rsidR="00D52984" w:rsidRPr="00075A86" w:rsidRDefault="00D52984" w:rsidP="00D52984">
      <w:pPr>
        <w:pStyle w:val="Default"/>
        <w:jc w:val="center"/>
        <w:rPr>
          <w:b/>
          <w:bCs/>
          <w:sz w:val="22"/>
          <w:szCs w:val="22"/>
        </w:rPr>
      </w:pPr>
      <w:r w:rsidRPr="00075A86">
        <w:rPr>
          <w:b/>
          <w:bCs/>
          <w:sz w:val="22"/>
          <w:szCs w:val="22"/>
        </w:rPr>
        <w:t>Tabuľka 2</w:t>
      </w:r>
    </w:p>
    <w:p w:rsidR="00D46559" w:rsidRPr="00075A86" w:rsidRDefault="00D46559" w:rsidP="00D52984">
      <w:pPr>
        <w:pStyle w:val="Default"/>
        <w:jc w:val="center"/>
        <w:rPr>
          <w:sz w:val="22"/>
          <w:szCs w:val="22"/>
        </w:rPr>
      </w:pPr>
    </w:p>
    <w:p w:rsidR="00D52984" w:rsidRPr="00075A86" w:rsidRDefault="00D52984" w:rsidP="00D52984">
      <w:pPr>
        <w:pStyle w:val="Default"/>
        <w:rPr>
          <w:sz w:val="22"/>
          <w:szCs w:val="22"/>
        </w:rPr>
      </w:pPr>
      <w:r w:rsidRPr="00075A86">
        <w:rPr>
          <w:b/>
          <w:bCs/>
          <w:sz w:val="22"/>
          <w:szCs w:val="22"/>
        </w:rPr>
        <w:t>Percento pacientov s koncentráciami kyseliny močovej v sére &lt; 6,0 mg/d</w:t>
      </w:r>
      <w:r w:rsidR="007032C9" w:rsidRPr="00075A86">
        <w:rPr>
          <w:b/>
          <w:bCs/>
          <w:sz w:val="22"/>
          <w:szCs w:val="22"/>
        </w:rPr>
        <w:t>l</w:t>
      </w:r>
      <w:r w:rsidRPr="00075A86">
        <w:rPr>
          <w:b/>
          <w:bCs/>
          <w:sz w:val="22"/>
          <w:szCs w:val="22"/>
        </w:rPr>
        <w:t xml:space="preserve"> (357 μmol/</w:t>
      </w:r>
      <w:r w:rsidR="007032C9" w:rsidRPr="00075A86">
        <w:rPr>
          <w:b/>
          <w:bCs/>
          <w:sz w:val="22"/>
          <w:szCs w:val="22"/>
        </w:rPr>
        <w:t>l</w:t>
      </w:r>
      <w:r w:rsidRPr="00075A86">
        <w:rPr>
          <w:b/>
          <w:bCs/>
          <w:sz w:val="22"/>
          <w:szCs w:val="22"/>
        </w:rPr>
        <w:t xml:space="preserve">) </w:t>
      </w:r>
    </w:p>
    <w:p w:rsidR="00D52984" w:rsidRPr="00075A86" w:rsidRDefault="00D52984" w:rsidP="00D52984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Posledné tri mesačné návštevy</w:t>
      </w:r>
    </w:p>
    <w:p w:rsidR="00D46559" w:rsidRPr="00075A86" w:rsidRDefault="00D46559" w:rsidP="00D52984">
      <w:pPr>
        <w:spacing w:after="0"/>
        <w:rPr>
          <w:rFonts w:ascii="Times New Roman" w:hAnsi="Times New Roman" w:cs="Times New Roman"/>
          <w:b/>
          <w:bCs/>
        </w:rPr>
      </w:pPr>
    </w:p>
    <w:p w:rsidR="00D46559" w:rsidRPr="00075A86" w:rsidRDefault="00D46559" w:rsidP="00D52984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D52984" w:rsidRPr="00075A86" w:rsidTr="00CA02CD">
        <w:tc>
          <w:tcPr>
            <w:tcW w:w="1250" w:type="pct"/>
          </w:tcPr>
          <w:p w:rsidR="00D52984" w:rsidRPr="006E61B3" w:rsidRDefault="00D52984" w:rsidP="00D52984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075A86">
              <w:rPr>
                <w:sz w:val="22"/>
                <w:szCs w:val="22"/>
              </w:rPr>
              <w:t xml:space="preserve">Štúdia 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250" w:type="pct"/>
          </w:tcPr>
          <w:p w:rsidR="00D52984" w:rsidRPr="006E61B3" w:rsidRDefault="00F00976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Febuxost</w:t>
            </w:r>
            <w:r>
              <w:rPr>
                <w:lang w:val="sk-SK"/>
              </w:rPr>
              <w:t>á</w:t>
            </w:r>
            <w:r w:rsidRPr="006E61B3">
              <w:rPr>
                <w:lang w:val="sk-SK"/>
              </w:rPr>
              <w:t>t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80 mg QD</w:t>
            </w:r>
          </w:p>
        </w:tc>
        <w:tc>
          <w:tcPr>
            <w:tcW w:w="1250" w:type="pct"/>
          </w:tcPr>
          <w:p w:rsidR="00D52984" w:rsidRPr="006E61B3" w:rsidRDefault="00F00976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Febuxost</w:t>
            </w:r>
            <w:r>
              <w:rPr>
                <w:lang w:val="sk-SK"/>
              </w:rPr>
              <w:t>á</w:t>
            </w:r>
            <w:r w:rsidRPr="006E61B3">
              <w:rPr>
                <w:lang w:val="sk-SK"/>
              </w:rPr>
              <w:t>t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120 mg QD</w:t>
            </w:r>
          </w:p>
        </w:tc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Alopurinol 300 /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100 mg QD</w:t>
            </w:r>
            <w:r w:rsidRPr="006E61B3">
              <w:rPr>
                <w:vertAlign w:val="superscript"/>
                <w:lang w:val="sk-SK"/>
              </w:rPr>
              <w:t>1</w:t>
            </w:r>
          </w:p>
        </w:tc>
      </w:tr>
      <w:tr w:rsidR="00D52984" w:rsidRPr="00075A86" w:rsidTr="00CA02CD"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APEX</w:t>
            </w:r>
          </w:p>
          <w:p w:rsidR="00D52984" w:rsidRPr="006E61B3" w:rsidRDefault="00D52984" w:rsidP="00CA0D1F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 xml:space="preserve">(28 </w:t>
            </w:r>
            <w:r w:rsidR="00CA0D1F" w:rsidRPr="006E61B3">
              <w:rPr>
                <w:lang w:val="sk-SK"/>
              </w:rPr>
              <w:t>týždňov</w:t>
            </w:r>
            <w:r w:rsidRPr="006E61B3">
              <w:rPr>
                <w:lang w:val="sk-SK"/>
              </w:rPr>
              <w:t>)</w:t>
            </w:r>
          </w:p>
        </w:tc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48% *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(n=262)</w:t>
            </w:r>
          </w:p>
        </w:tc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65% *, #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(n=269)</w:t>
            </w:r>
          </w:p>
        </w:tc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22%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(n=268)</w:t>
            </w:r>
          </w:p>
        </w:tc>
      </w:tr>
      <w:tr w:rsidR="00D52984" w:rsidRPr="00075A86" w:rsidTr="00CA02CD"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FACT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 xml:space="preserve">(52 </w:t>
            </w:r>
            <w:r w:rsidR="00CA0D1F" w:rsidRPr="006E61B3">
              <w:rPr>
                <w:lang w:val="sk-SK"/>
              </w:rPr>
              <w:t>týždňov</w:t>
            </w:r>
            <w:r w:rsidRPr="006E61B3">
              <w:rPr>
                <w:lang w:val="sk-SK"/>
              </w:rPr>
              <w:t>)</w:t>
            </w:r>
          </w:p>
        </w:tc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53%*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(n=255)</w:t>
            </w:r>
          </w:p>
        </w:tc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62%*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(n=250)</w:t>
            </w:r>
          </w:p>
        </w:tc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 xml:space="preserve">21% 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(n=251)</w:t>
            </w:r>
          </w:p>
        </w:tc>
      </w:tr>
      <w:tr w:rsidR="00D52984" w:rsidRPr="00075A86" w:rsidTr="00CA02CD">
        <w:tc>
          <w:tcPr>
            <w:tcW w:w="1250" w:type="pct"/>
          </w:tcPr>
          <w:p w:rsidR="00D52984" w:rsidRPr="006E61B3" w:rsidRDefault="00CA0D1F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Kombinované</w:t>
            </w:r>
          </w:p>
          <w:p w:rsidR="00D52984" w:rsidRPr="006E61B3" w:rsidRDefault="00CA0D1F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výsledky</w:t>
            </w:r>
          </w:p>
        </w:tc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51%*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(n=517)</w:t>
            </w:r>
          </w:p>
        </w:tc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63%*, #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(n=519)</w:t>
            </w:r>
          </w:p>
        </w:tc>
        <w:tc>
          <w:tcPr>
            <w:tcW w:w="1250" w:type="pct"/>
          </w:tcPr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22%</w:t>
            </w:r>
          </w:p>
          <w:p w:rsidR="00D52984" w:rsidRPr="006E61B3" w:rsidRDefault="00D52984" w:rsidP="00CA02CD">
            <w:pPr>
              <w:jc w:val="center"/>
              <w:rPr>
                <w:sz w:val="22"/>
                <w:szCs w:val="22"/>
                <w:lang w:val="sk-SK"/>
              </w:rPr>
            </w:pPr>
            <w:r w:rsidRPr="006E61B3">
              <w:rPr>
                <w:lang w:val="sk-SK"/>
              </w:rPr>
              <w:t>(n=519)</w:t>
            </w:r>
          </w:p>
        </w:tc>
      </w:tr>
      <w:tr w:rsidR="00D52984" w:rsidRPr="00075A86" w:rsidTr="00CA02CD">
        <w:tc>
          <w:tcPr>
            <w:tcW w:w="5000" w:type="pct"/>
            <w:gridSpan w:val="4"/>
          </w:tcPr>
          <w:p w:rsidR="00D52984" w:rsidRPr="006E61B3" w:rsidRDefault="00D52984" w:rsidP="00D52984">
            <w:pPr>
              <w:rPr>
                <w:szCs w:val="24"/>
                <w:lang w:val="sk-SK"/>
              </w:rPr>
            </w:pPr>
            <w:r w:rsidRPr="006E61B3">
              <w:rPr>
                <w:sz w:val="28"/>
                <w:szCs w:val="28"/>
                <w:vertAlign w:val="superscript"/>
                <w:lang w:val="sk-SK"/>
              </w:rPr>
              <w:t>1</w:t>
            </w:r>
            <w:r w:rsidRPr="006E61B3">
              <w:rPr>
                <w:szCs w:val="24"/>
                <w:lang w:val="sk-SK"/>
              </w:rPr>
              <w:t xml:space="preserve"> </w:t>
            </w:r>
            <w:r w:rsidRPr="00075A86">
              <w:t>výsledky od subjektov, ktorým bolo podávané buď 100 mg QD (n=10: pacienti so sérovým kreatinínom &gt;1,5 a ≤</w:t>
            </w:r>
            <w:r w:rsidRPr="00075A86">
              <w:rPr>
                <w:sz w:val="22"/>
                <w:szCs w:val="22"/>
                <w:lang w:val="sk-SK"/>
              </w:rPr>
              <w:t xml:space="preserve"> </w:t>
            </w:r>
            <w:r w:rsidR="002F555E" w:rsidRPr="00075A86">
              <w:rPr>
                <w:sz w:val="22"/>
                <w:szCs w:val="22"/>
                <w:lang w:val="sk-SK"/>
              </w:rPr>
              <w:t xml:space="preserve"> </w:t>
            </w:r>
            <w:r w:rsidRPr="00075A86">
              <w:t>2,0 mg/d</w:t>
            </w:r>
            <w:r w:rsidR="007032C9" w:rsidRPr="00075A86">
              <w:rPr>
                <w:sz w:val="22"/>
                <w:szCs w:val="22"/>
                <w:lang w:val="sk-SK"/>
              </w:rPr>
              <w:t>l</w:t>
            </w:r>
            <w:r w:rsidRPr="00075A86">
              <w:t>) alebo 300 mg QD (n=509)</w:t>
            </w:r>
            <w:r w:rsidR="007032C9" w:rsidRPr="00075A86">
              <w:rPr>
                <w:sz w:val="22"/>
                <w:szCs w:val="22"/>
                <w:lang w:val="sk-SK"/>
              </w:rPr>
              <w:t>,</w:t>
            </w:r>
            <w:r w:rsidRPr="00075A86">
              <w:t xml:space="preserve"> boli kvôli analýzam zoskupené. </w:t>
            </w:r>
          </w:p>
          <w:p w:rsidR="00D52984" w:rsidRPr="006E61B3" w:rsidRDefault="00D52984" w:rsidP="00D52984">
            <w:pPr>
              <w:rPr>
                <w:szCs w:val="24"/>
                <w:lang w:val="sk-SK"/>
              </w:rPr>
            </w:pPr>
            <w:r w:rsidRPr="00075A86">
              <w:t xml:space="preserve">* p &lt; 0,001 oproti alopurinolu, </w:t>
            </w:r>
            <w:r w:rsidRPr="00075A86">
              <w:rPr>
                <w:sz w:val="14"/>
                <w:szCs w:val="14"/>
              </w:rPr>
              <w:t xml:space="preserve"># </w:t>
            </w:r>
            <w:r w:rsidRPr="00075A86">
              <w:t xml:space="preserve">p &lt; 0,001 oproti 80 mg </w:t>
            </w:r>
          </w:p>
        </w:tc>
      </w:tr>
    </w:tbl>
    <w:p w:rsidR="00D52984" w:rsidRPr="00075A86" w:rsidRDefault="00D52984" w:rsidP="00D52984">
      <w:pPr>
        <w:spacing w:after="0"/>
        <w:rPr>
          <w:rFonts w:ascii="Times New Roman" w:hAnsi="Times New Roman" w:cs="Times New Roman"/>
          <w:iCs/>
          <w:color w:val="000000"/>
        </w:rPr>
      </w:pPr>
    </w:p>
    <w:p w:rsidR="00D52984" w:rsidRPr="00075A86" w:rsidRDefault="00D52984" w:rsidP="004152AE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Schopnosť </w:t>
      </w:r>
      <w:r w:rsidR="004B6038" w:rsidRPr="00075A86">
        <w:rPr>
          <w:sz w:val="22"/>
          <w:szCs w:val="22"/>
        </w:rPr>
        <w:t>febuxost</w:t>
      </w:r>
      <w:r w:rsidR="004B6038">
        <w:rPr>
          <w:sz w:val="22"/>
          <w:szCs w:val="22"/>
        </w:rPr>
        <w:t>á</w:t>
      </w:r>
      <w:r w:rsidR="004B6038" w:rsidRPr="00075A86">
        <w:rPr>
          <w:sz w:val="22"/>
          <w:szCs w:val="22"/>
        </w:rPr>
        <w:t xml:space="preserve">tu </w:t>
      </w:r>
      <w:r w:rsidRPr="00075A86">
        <w:rPr>
          <w:sz w:val="22"/>
          <w:szCs w:val="22"/>
        </w:rPr>
        <w:t xml:space="preserve">znížiť koncentrácie kyseliny močovej v sére bola </w:t>
      </w:r>
      <w:r w:rsidR="007032C9" w:rsidRPr="00075A86">
        <w:rPr>
          <w:sz w:val="22"/>
          <w:szCs w:val="22"/>
        </w:rPr>
        <w:t>rýchla</w:t>
      </w:r>
      <w:r w:rsidRPr="00075A86">
        <w:rPr>
          <w:sz w:val="22"/>
          <w:szCs w:val="22"/>
        </w:rPr>
        <w:t xml:space="preserve"> a pretrvávala. Zníženie koncentrácie kyseliny močovej v sére na &lt; 6,0 mg/d</w:t>
      </w:r>
      <w:r w:rsidR="007032C9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 (357 μmol/</w:t>
      </w:r>
      <w:r w:rsidR="007032C9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>) bolo zaznamenané počas návštevy v 2. týždni a udrž</w:t>
      </w:r>
      <w:r w:rsidR="007032C9" w:rsidRPr="00075A86">
        <w:rPr>
          <w:sz w:val="22"/>
          <w:szCs w:val="22"/>
        </w:rPr>
        <w:t>ia</w:t>
      </w:r>
      <w:r w:rsidRPr="00075A86">
        <w:rPr>
          <w:sz w:val="22"/>
          <w:szCs w:val="22"/>
        </w:rPr>
        <w:t xml:space="preserve">valo sa na rovnakej úrovni počas celej liečby. Priemerné koncentrácie kyseliny močovej v sére v čase pre každú skupinu podstupujúcu liečbu z dvoch </w:t>
      </w:r>
      <w:r w:rsidR="007032C9" w:rsidRPr="00075A86">
        <w:rPr>
          <w:sz w:val="22"/>
          <w:szCs w:val="22"/>
        </w:rPr>
        <w:t xml:space="preserve">pivotných </w:t>
      </w:r>
      <w:r w:rsidRPr="00075A86">
        <w:rPr>
          <w:sz w:val="22"/>
          <w:szCs w:val="22"/>
        </w:rPr>
        <w:t xml:space="preserve">štúdií fázy 3 sú znázornené na obrázku 1. </w:t>
      </w:r>
    </w:p>
    <w:p w:rsidR="00D52984" w:rsidRPr="00075A86" w:rsidRDefault="00D52984" w:rsidP="004152AE">
      <w:pPr>
        <w:pStyle w:val="Default"/>
        <w:spacing w:line="276" w:lineRule="auto"/>
        <w:rPr>
          <w:sz w:val="22"/>
          <w:szCs w:val="22"/>
        </w:rPr>
      </w:pPr>
    </w:p>
    <w:p w:rsidR="00A12D1F" w:rsidRPr="00075A86" w:rsidRDefault="00D52984" w:rsidP="00D52984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 xml:space="preserve">Obrázok 1 Priemerné koncentrácie kyseliny močovej v sére v kombinovaných </w:t>
      </w:r>
      <w:r w:rsidR="007032C9" w:rsidRPr="00075A86">
        <w:rPr>
          <w:rFonts w:ascii="Times New Roman" w:hAnsi="Times New Roman" w:cs="Times New Roman"/>
          <w:b/>
          <w:bCs/>
        </w:rPr>
        <w:t xml:space="preserve">pivotných </w:t>
      </w:r>
      <w:r w:rsidRPr="00075A86">
        <w:rPr>
          <w:rFonts w:ascii="Times New Roman" w:hAnsi="Times New Roman" w:cs="Times New Roman"/>
          <w:b/>
          <w:bCs/>
        </w:rPr>
        <w:t>štúdiách fázy 3</w:t>
      </w:r>
    </w:p>
    <w:p w:rsidR="00741DE7" w:rsidRPr="00075A86" w:rsidRDefault="00741DE7" w:rsidP="00D52984">
      <w:pPr>
        <w:spacing w:after="0"/>
        <w:rPr>
          <w:rFonts w:ascii="Times New Roman" w:hAnsi="Times New Roman" w:cs="Times New Roman"/>
          <w:iCs/>
          <w:color w:val="000000"/>
        </w:rPr>
      </w:pPr>
    </w:p>
    <w:p w:rsidR="00741DE7" w:rsidRPr="00075A86" w:rsidRDefault="00741DE7" w:rsidP="00D52984">
      <w:pPr>
        <w:spacing w:after="0"/>
        <w:rPr>
          <w:rFonts w:ascii="Times New Roman" w:hAnsi="Times New Roman" w:cs="Times New Roman"/>
          <w:iCs/>
          <w:color w:val="000000"/>
        </w:rPr>
      </w:pPr>
      <w:r w:rsidRPr="00075A86">
        <w:rPr>
          <w:b/>
          <w:bCs/>
          <w:noProof/>
          <w:szCs w:val="24"/>
          <w:lang w:eastAsia="sk-SK"/>
        </w:rPr>
        <w:drawing>
          <wp:anchor distT="0" distB="0" distL="114300" distR="114300" simplePos="0" relativeHeight="251658240" behindDoc="1" locked="0" layoutInCell="1" allowOverlap="1" wp14:anchorId="15B442D4" wp14:editId="3F748DB1">
            <wp:simplePos x="0" y="0"/>
            <wp:positionH relativeFrom="column">
              <wp:posOffset>626110</wp:posOffset>
            </wp:positionH>
            <wp:positionV relativeFrom="paragraph">
              <wp:posOffset>58420</wp:posOffset>
            </wp:positionV>
            <wp:extent cx="5048885" cy="3514090"/>
            <wp:effectExtent l="0" t="0" r="0" b="0"/>
            <wp:wrapTight wrapText="bothSides">
              <wp:wrapPolygon edited="0">
                <wp:start x="0" y="0"/>
                <wp:lineTo x="0" y="21428"/>
                <wp:lineTo x="21516" y="21428"/>
                <wp:lineTo x="21516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28" b="11029"/>
                    <a:stretch/>
                  </pic:blipFill>
                  <pic:spPr bwMode="auto">
                    <a:xfrm>
                      <a:off x="0" y="0"/>
                      <a:ext cx="5048885" cy="351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538F"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756C8E7F" wp14:editId="60A39E1D">
            <wp:simplePos x="0" y="0"/>
            <wp:positionH relativeFrom="column">
              <wp:posOffset>-2540</wp:posOffset>
            </wp:positionH>
            <wp:positionV relativeFrom="paragraph">
              <wp:posOffset>3175</wp:posOffset>
            </wp:positionV>
            <wp:extent cx="628015" cy="3689350"/>
            <wp:effectExtent l="0" t="0" r="635" b="635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32" t="27026" r="76266" b="15480"/>
                    <a:stretch/>
                  </pic:blipFill>
                  <pic:spPr bwMode="auto">
                    <a:xfrm>
                      <a:off x="0" y="0"/>
                      <a:ext cx="628015" cy="368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rPr>
          <w:rFonts w:ascii="Times New Roman" w:hAnsi="Times New Roman" w:cs="Times New Roman"/>
        </w:rPr>
      </w:pPr>
    </w:p>
    <w:p w:rsidR="00741DE7" w:rsidRPr="00075A86" w:rsidRDefault="00741DE7" w:rsidP="00741DE7">
      <w:pPr>
        <w:jc w:val="center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lastRenderedPageBreak/>
        <w:t>Týždeň</w:t>
      </w:r>
    </w:p>
    <w:p w:rsidR="00741DE7" w:rsidRPr="00075A86" w:rsidRDefault="00741DE7" w:rsidP="00741DE7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075A86">
        <w:rPr>
          <w:rFonts w:ascii="Times New Roman" w:hAnsi="Times New Roman" w:cs="Times New Roman"/>
          <w:sz w:val="18"/>
          <w:szCs w:val="18"/>
        </w:rPr>
        <w:t xml:space="preserve">                 BL</w:t>
      </w:r>
      <w:r w:rsidR="00D65851" w:rsidRPr="00075A86">
        <w:rPr>
          <w:rFonts w:ascii="Times New Roman" w:hAnsi="Times New Roman" w:cs="Times New Roman"/>
          <w:sz w:val="18"/>
          <w:szCs w:val="18"/>
        </w:rPr>
        <w:t xml:space="preserve"> </w:t>
      </w:r>
      <w:r w:rsidRPr="00075A86">
        <w:rPr>
          <w:rFonts w:ascii="Times New Roman" w:hAnsi="Times New Roman" w:cs="Times New Roman"/>
          <w:sz w:val="18"/>
          <w:szCs w:val="18"/>
        </w:rPr>
        <w:t>=</w:t>
      </w:r>
      <w:r w:rsidR="00D65851" w:rsidRPr="00075A86">
        <w:rPr>
          <w:rFonts w:ascii="Times New Roman" w:hAnsi="Times New Roman" w:cs="Times New Roman"/>
          <w:sz w:val="18"/>
          <w:szCs w:val="18"/>
        </w:rPr>
        <w:t xml:space="preserve"> </w:t>
      </w:r>
      <w:r w:rsidRPr="00075A86">
        <w:rPr>
          <w:rFonts w:ascii="Times New Roman" w:hAnsi="Times New Roman" w:cs="Times New Roman"/>
          <w:sz w:val="18"/>
          <w:szCs w:val="18"/>
        </w:rPr>
        <w:t>baseline         SEM</w:t>
      </w:r>
      <w:r w:rsidR="00D65851" w:rsidRPr="00075A86">
        <w:rPr>
          <w:rFonts w:ascii="Times New Roman" w:hAnsi="Times New Roman" w:cs="Times New Roman"/>
          <w:sz w:val="18"/>
          <w:szCs w:val="18"/>
        </w:rPr>
        <w:t xml:space="preserve"> </w:t>
      </w:r>
      <w:r w:rsidRPr="00075A86">
        <w:rPr>
          <w:rFonts w:ascii="Times New Roman" w:hAnsi="Times New Roman" w:cs="Times New Roman"/>
          <w:sz w:val="18"/>
          <w:szCs w:val="18"/>
        </w:rPr>
        <w:t>=</w:t>
      </w:r>
      <w:r w:rsidR="00D65851" w:rsidRPr="00075A86">
        <w:rPr>
          <w:rFonts w:ascii="Times New Roman" w:hAnsi="Times New Roman" w:cs="Times New Roman"/>
          <w:sz w:val="18"/>
          <w:szCs w:val="18"/>
        </w:rPr>
        <w:t xml:space="preserve"> </w:t>
      </w:r>
      <w:r w:rsidRPr="00075A86">
        <w:rPr>
          <w:rFonts w:ascii="Times New Roman" w:hAnsi="Times New Roman" w:cs="Times New Roman"/>
          <w:sz w:val="18"/>
          <w:szCs w:val="18"/>
        </w:rPr>
        <w:t>standard error of the mean</w:t>
      </w:r>
    </w:p>
    <w:p w:rsidR="00D65851" w:rsidRPr="00075A86" w:rsidRDefault="00D65851" w:rsidP="00741DE7">
      <w:pPr>
        <w:ind w:firstLine="708"/>
        <w:rPr>
          <w:rFonts w:ascii="Times New Roman" w:hAnsi="Times New Roman" w:cs="Times New Roman"/>
          <w:sz w:val="18"/>
          <w:szCs w:val="18"/>
        </w:rPr>
      </w:pPr>
    </w:p>
    <w:p w:rsidR="00D65851" w:rsidRPr="00075A86" w:rsidRDefault="00D65851" w:rsidP="004152A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Poznámka: 509 pacientom bolo podávané 300 mg QD alopurinolu; 10 pacientom so sérovým kreatinínom &gt;1,5 a &lt; 2,0 mg/d</w:t>
      </w:r>
      <w:r w:rsidR="007032C9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bolo podávaných 100 mg QD. (10 pacientov z 268 v štúdii APEX). </w:t>
      </w:r>
    </w:p>
    <w:p w:rsidR="00D65851" w:rsidRPr="00075A86" w:rsidRDefault="00D65851" w:rsidP="004152AE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Na vyhodnotenie bezpečnosti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 xml:space="preserve">sa použilo 240 mg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r w:rsidRPr="00075A86">
        <w:rPr>
          <w:rFonts w:ascii="Times New Roman" w:hAnsi="Times New Roman" w:cs="Times New Roman"/>
          <w:color w:val="000000"/>
        </w:rPr>
        <w:t>, čo je dvojnásobne vyššia dávka ako je najvyššia odporúčaná dávka.</w:t>
      </w:r>
    </w:p>
    <w:p w:rsidR="004152AE" w:rsidRPr="00075A86" w:rsidRDefault="004152AE" w:rsidP="004152AE">
      <w:pPr>
        <w:spacing w:after="0"/>
        <w:rPr>
          <w:rFonts w:ascii="Times New Roman" w:hAnsi="Times New Roman" w:cs="Times New Roman"/>
          <w:color w:val="000000"/>
        </w:rPr>
      </w:pPr>
    </w:p>
    <w:p w:rsidR="002F555E" w:rsidRPr="00075A86" w:rsidRDefault="00D65851" w:rsidP="004152A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CONFIRMS štúdia: CONFIRMS štúdia bola randomizovan</w:t>
      </w:r>
      <w:r w:rsidR="007032C9" w:rsidRPr="00075A86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 kontrolovan</w:t>
      </w:r>
      <w:r w:rsidR="007032C9" w:rsidRPr="00075A86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 26-týždňov</w:t>
      </w:r>
      <w:r w:rsidR="007032C9" w:rsidRPr="00075A86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 štúdi</w:t>
      </w:r>
      <w:r w:rsidR="007032C9" w:rsidRPr="00075A86">
        <w:rPr>
          <w:rFonts w:ascii="Times New Roman" w:hAnsi="Times New Roman" w:cs="Times New Roman"/>
          <w:color w:val="000000"/>
        </w:rPr>
        <w:t>a vo fáze 3</w:t>
      </w:r>
      <w:r w:rsidRPr="00075A86">
        <w:rPr>
          <w:rFonts w:ascii="Times New Roman" w:hAnsi="Times New Roman" w:cs="Times New Roman"/>
          <w:color w:val="000000"/>
        </w:rPr>
        <w:t xml:space="preserve">, ktorá hodnotila bezpečnosť a účinnosť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 xml:space="preserve">40 mg a 80 mg v porovnaní s alopurinolom 300 mg alebo 200 mg u pacientov s dnou a hyperurikémiou. 2269 pacientov bolo náhodne rozdelených: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 xml:space="preserve">40 mg QD (n=757),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 xml:space="preserve">80 mg QD (n=756) alebo alopurinol 300/200 mg QD (n=756). Najmenej 65 % pacientov malo mierne až stredne ťažké poškodenie obličiek </w:t>
      </w:r>
    </w:p>
    <w:p w:rsidR="00D65851" w:rsidRPr="00075A86" w:rsidRDefault="00D65851" w:rsidP="004152A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(s klírensom kreatinínu 30-89 m</w:t>
      </w:r>
      <w:r w:rsidR="007032C9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/min). Profylaxia </w:t>
      </w:r>
      <w:r w:rsidR="00075A86" w:rsidRPr="00075A86">
        <w:rPr>
          <w:rFonts w:ascii="Times New Roman" w:hAnsi="Times New Roman" w:cs="Times New Roman"/>
          <w:color w:val="000000"/>
        </w:rPr>
        <w:t xml:space="preserve">pred </w:t>
      </w:r>
      <w:r w:rsidRPr="00075A86">
        <w:rPr>
          <w:rFonts w:ascii="Times New Roman" w:hAnsi="Times New Roman" w:cs="Times New Roman"/>
          <w:color w:val="000000"/>
        </w:rPr>
        <w:t>opätovn</w:t>
      </w:r>
      <w:r w:rsidR="00075A86" w:rsidRPr="00075A86">
        <w:rPr>
          <w:rFonts w:ascii="Times New Roman" w:hAnsi="Times New Roman" w:cs="Times New Roman"/>
          <w:color w:val="000000"/>
        </w:rPr>
        <w:t>ým</w:t>
      </w:r>
      <w:r w:rsidRPr="00075A86">
        <w:rPr>
          <w:rFonts w:ascii="Times New Roman" w:hAnsi="Times New Roman" w:cs="Times New Roman"/>
          <w:color w:val="000000"/>
        </w:rPr>
        <w:t xml:space="preserve"> vzplanut</w:t>
      </w:r>
      <w:r w:rsidR="00075A86" w:rsidRPr="00075A86">
        <w:rPr>
          <w:rFonts w:ascii="Times New Roman" w:hAnsi="Times New Roman" w:cs="Times New Roman"/>
          <w:color w:val="000000"/>
        </w:rPr>
        <w:t>ím</w:t>
      </w:r>
      <w:r w:rsidRPr="00075A86">
        <w:rPr>
          <w:rFonts w:ascii="Times New Roman" w:hAnsi="Times New Roman" w:cs="Times New Roman"/>
          <w:color w:val="000000"/>
        </w:rPr>
        <w:t xml:space="preserve"> dny bola </w:t>
      </w:r>
      <w:r w:rsidR="007032C9" w:rsidRPr="00075A86">
        <w:rPr>
          <w:rFonts w:ascii="Times New Roman" w:hAnsi="Times New Roman" w:cs="Times New Roman"/>
          <w:color w:val="000000"/>
        </w:rPr>
        <w:t>povinná</w:t>
      </w:r>
      <w:r w:rsidRPr="00075A86">
        <w:rPr>
          <w:rFonts w:ascii="Times New Roman" w:hAnsi="Times New Roman" w:cs="Times New Roman"/>
          <w:color w:val="000000"/>
        </w:rPr>
        <w:t xml:space="preserve"> </w:t>
      </w:r>
      <w:r w:rsidR="007032C9" w:rsidRPr="00075A86">
        <w:rPr>
          <w:rFonts w:ascii="Times New Roman" w:hAnsi="Times New Roman" w:cs="Times New Roman"/>
          <w:color w:val="000000"/>
        </w:rPr>
        <w:t>po dobu</w:t>
      </w:r>
      <w:r w:rsidRPr="00075A86">
        <w:rPr>
          <w:rFonts w:ascii="Times New Roman" w:hAnsi="Times New Roman" w:cs="Times New Roman"/>
          <w:color w:val="000000"/>
        </w:rPr>
        <w:t xml:space="preserve"> 26 týždňov. </w:t>
      </w:r>
    </w:p>
    <w:p w:rsidR="00D65851" w:rsidRPr="00075A86" w:rsidRDefault="00D65851" w:rsidP="004152AE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Počet pacientov s hladinou urátov &lt; 6,0 mg/d</w:t>
      </w:r>
      <w:r w:rsidR="007032C9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(357 μmol/</w:t>
      </w:r>
      <w:r w:rsidR="007032C9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) v sére počas posledného vyšetrenia bol 45% pre pacientov užívajúcich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 xml:space="preserve">40 mg, 67% pre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>80 mg a 42 % pre alopurinol 300/200 mg.</w:t>
      </w:r>
    </w:p>
    <w:p w:rsidR="004152AE" w:rsidRPr="00075A86" w:rsidRDefault="004152AE" w:rsidP="004152AE">
      <w:pPr>
        <w:spacing w:after="0"/>
        <w:rPr>
          <w:rFonts w:ascii="Times New Roman" w:hAnsi="Times New Roman" w:cs="Times New Roman"/>
          <w:color w:val="000000"/>
        </w:rPr>
      </w:pP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Primárny 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 xml:space="preserve">cieľový 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parameter 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v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podskupin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e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pacientov s poškodením obličiek </w:t>
      </w: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Štúdia APEX hodnotila účinnosť u 40 pacientov s poškodením obličiek (t.j. základný sérový kreatinín &gt; 1,5 mg/d</w:t>
      </w:r>
      <w:r w:rsidR="0006382E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a ≤</w:t>
      </w:r>
      <w:r w:rsidR="002F555E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2,0 mg/d</w:t>
      </w:r>
      <w:r w:rsidR="0006382E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). U subjektov s poškodením obličiek, ktorí boli náhodne vybratí na užívanie alopurinolu, bola dávka </w:t>
      </w:r>
      <w:r w:rsidR="0006382E" w:rsidRPr="00075A86">
        <w:rPr>
          <w:rFonts w:ascii="Times New Roman" w:hAnsi="Times New Roman" w:cs="Times New Roman"/>
          <w:color w:val="000000"/>
        </w:rPr>
        <w:t xml:space="preserve">ukončená na </w:t>
      </w:r>
      <w:r w:rsidRPr="00075A86">
        <w:rPr>
          <w:rFonts w:ascii="Times New Roman" w:hAnsi="Times New Roman" w:cs="Times New Roman"/>
          <w:color w:val="000000"/>
        </w:rPr>
        <w:t xml:space="preserve">100 mg QD.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 xml:space="preserve">dosiahol primárny </w:t>
      </w:r>
      <w:r w:rsidR="0006382E" w:rsidRPr="00075A86">
        <w:rPr>
          <w:rFonts w:ascii="Times New Roman" w:hAnsi="Times New Roman" w:cs="Times New Roman"/>
          <w:color w:val="000000"/>
        </w:rPr>
        <w:t xml:space="preserve">cieľový </w:t>
      </w:r>
      <w:r w:rsidRPr="00075A86">
        <w:rPr>
          <w:rFonts w:ascii="Times New Roman" w:hAnsi="Times New Roman" w:cs="Times New Roman"/>
          <w:color w:val="000000"/>
        </w:rPr>
        <w:t xml:space="preserve">parameter účinnosti u 44% (80 mg QD), 45% (120 mg QD) a 60% (240 mg QD) pacientov v porovnaní s 0% </w:t>
      </w: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v skupine užívajúcej 100 mg QD alopurinolu a skupine užívajúcej placebo. </w:t>
      </w: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Medzi percentuálnym poklesom kyseliny močovej v sére u zdravých subjektov bez ohľadu na ich funkciu obličiek neboli žiadne klinicky významné rozdiely (58% v skupine s normálnou funkciou obličiek a 55% v skupine so závažným poškodením obličiek). </w:t>
      </w: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6D7AE9" w:rsidRDefault="00D65851" w:rsidP="00D6585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Analýza pacientov s dnou a poškodením obličiek bola prospektívne definovaná v CONFIRMS štúdii </w:t>
      </w:r>
    </w:p>
    <w:p w:rsidR="002F555E" w:rsidRPr="00075A86" w:rsidRDefault="00D65851" w:rsidP="00D6585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a ukázala, že </w:t>
      </w:r>
      <w:r w:rsidR="004B6038" w:rsidRPr="00075A86">
        <w:rPr>
          <w:sz w:val="22"/>
          <w:szCs w:val="22"/>
        </w:rPr>
        <w:t>febuxost</w:t>
      </w:r>
      <w:r w:rsidR="004B6038">
        <w:rPr>
          <w:sz w:val="22"/>
          <w:szCs w:val="22"/>
        </w:rPr>
        <w:t>á</w:t>
      </w:r>
      <w:r w:rsidR="004B6038" w:rsidRPr="00075A86">
        <w:rPr>
          <w:sz w:val="22"/>
          <w:szCs w:val="22"/>
        </w:rPr>
        <w:t xml:space="preserve">t </w:t>
      </w:r>
      <w:r w:rsidRPr="00075A86">
        <w:rPr>
          <w:sz w:val="22"/>
          <w:szCs w:val="22"/>
        </w:rPr>
        <w:t>bol podstatne viac účinný v znižovaní hladiny urátov (&lt; 6,0 mg/d</w:t>
      </w:r>
      <w:r w:rsidR="0006382E" w:rsidRPr="00075A86">
        <w:rPr>
          <w:sz w:val="22"/>
          <w:szCs w:val="22"/>
        </w:rPr>
        <w:t>l</w:t>
      </w:r>
      <w:r w:rsidRPr="00075A86">
        <w:rPr>
          <w:sz w:val="22"/>
          <w:szCs w:val="22"/>
        </w:rPr>
        <w:t xml:space="preserve">) v sére </w:t>
      </w:r>
    </w:p>
    <w:p w:rsidR="00D65851" w:rsidRPr="00075A86" w:rsidRDefault="00D65851" w:rsidP="00D65851">
      <w:pPr>
        <w:pStyle w:val="Default"/>
        <w:spacing w:line="276" w:lineRule="auto"/>
        <w:rPr>
          <w:sz w:val="22"/>
          <w:szCs w:val="22"/>
        </w:rPr>
      </w:pPr>
      <w:r w:rsidRPr="00075A86">
        <w:rPr>
          <w:sz w:val="22"/>
          <w:szCs w:val="22"/>
        </w:rPr>
        <w:t xml:space="preserve">v porovnaní s alopurinolom 300/200 mg u pacientov, ktorí mali dnu s mierne až stredne ťažkým poškodením obličiek (65% sledovaných pacientov). </w:t>
      </w:r>
    </w:p>
    <w:p w:rsidR="00D65851" w:rsidRPr="00075A86" w:rsidRDefault="00D65851" w:rsidP="00D65851">
      <w:pPr>
        <w:pStyle w:val="Default"/>
        <w:spacing w:line="276" w:lineRule="auto"/>
        <w:rPr>
          <w:sz w:val="22"/>
          <w:szCs w:val="22"/>
        </w:rPr>
      </w:pP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Primárny 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 xml:space="preserve">cieľový 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parameter 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v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pod</w:t>
      </w:r>
      <w:r w:rsidRPr="00075A86">
        <w:rPr>
          <w:rFonts w:ascii="Times New Roman" w:hAnsi="Times New Roman" w:cs="Times New Roman"/>
          <w:i/>
          <w:iCs/>
          <w:color w:val="000000"/>
        </w:rPr>
        <w:t>skupin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e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pacientov s koncentráciou kyseliny močovej v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 </w:t>
      </w:r>
      <w:r w:rsidRPr="00075A86">
        <w:rPr>
          <w:rFonts w:ascii="Times New Roman" w:hAnsi="Times New Roman" w:cs="Times New Roman"/>
          <w:i/>
          <w:iCs/>
          <w:color w:val="000000"/>
        </w:rPr>
        <w:t>sére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 xml:space="preserve"> (</w:t>
      </w:r>
      <w:r w:rsidR="0006382E" w:rsidRPr="00075A86">
        <w:rPr>
          <w:rFonts w:ascii="Times New Roman" w:hAnsi="Times New Roman" w:cs="Times New Roman"/>
          <w:color w:val="000000"/>
        </w:rPr>
        <w:t>sUA)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≥ 10 mg/d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l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Približne u 40% pacientov (kombinované </w:t>
      </w:r>
      <w:r w:rsidR="0006382E" w:rsidRPr="00075A86">
        <w:rPr>
          <w:rFonts w:ascii="Times New Roman" w:hAnsi="Times New Roman" w:cs="Times New Roman"/>
          <w:color w:val="000000"/>
        </w:rPr>
        <w:t xml:space="preserve">štúdie </w:t>
      </w:r>
      <w:r w:rsidRPr="00075A86">
        <w:rPr>
          <w:rFonts w:ascii="Times New Roman" w:hAnsi="Times New Roman" w:cs="Times New Roman"/>
          <w:color w:val="000000"/>
        </w:rPr>
        <w:t>APEX a FACT) bola</w:t>
      </w:r>
      <w:r w:rsidR="0006382E" w:rsidRPr="00075A86">
        <w:rPr>
          <w:rFonts w:ascii="Times New Roman" w:hAnsi="Times New Roman" w:cs="Times New Roman"/>
          <w:color w:val="000000"/>
        </w:rPr>
        <w:t xml:space="preserve"> východisková</w:t>
      </w:r>
      <w:r w:rsidRPr="00075A86">
        <w:rPr>
          <w:rFonts w:ascii="Times New Roman" w:hAnsi="Times New Roman" w:cs="Times New Roman"/>
          <w:color w:val="000000"/>
        </w:rPr>
        <w:t xml:space="preserve"> koncentrácia kyseliny močovej v sére ≥ 10 mg/d</w:t>
      </w:r>
      <w:r w:rsidR="0006382E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. V tejto podskupine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 xml:space="preserve">dosiahol primárny </w:t>
      </w:r>
      <w:r w:rsidR="0006382E" w:rsidRPr="00075A86">
        <w:rPr>
          <w:rFonts w:ascii="Times New Roman" w:hAnsi="Times New Roman" w:cs="Times New Roman"/>
          <w:color w:val="000000"/>
        </w:rPr>
        <w:t xml:space="preserve">cieľový </w:t>
      </w:r>
      <w:r w:rsidRPr="00075A86">
        <w:rPr>
          <w:rFonts w:ascii="Times New Roman" w:hAnsi="Times New Roman" w:cs="Times New Roman"/>
          <w:color w:val="000000"/>
        </w:rPr>
        <w:t>parameter účinnosti (sUA (&lt; 6,0 mg/d</w:t>
      </w:r>
      <w:r w:rsidR="0006382E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počas posledných troch návštev) u 41% (80 mg QD), 48% (120 mg QD) a 66% (240 mg QD) pacientov v porovnaní s 9% v skupine užívajúcej 300 mg/100 mg QD alopurinolu a 0 % v skupine užívajúcej placebo.</w:t>
      </w:r>
    </w:p>
    <w:p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</w:p>
    <w:p w:rsidR="00D65851" w:rsidRPr="00075A86" w:rsidRDefault="00D65851" w:rsidP="00D65851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V CONFIRMS štúdii, pomer pacientov dosahujúcich primárny koncový bod účinnosti (sUA &lt; 6,0 mg/d</w:t>
      </w:r>
      <w:r w:rsidR="0006382E" w:rsidRPr="00075A86">
        <w:rPr>
          <w:rFonts w:ascii="Times New Roman" w:hAnsi="Times New Roman" w:cs="Times New Roman"/>
        </w:rPr>
        <w:t>l</w:t>
      </w:r>
      <w:r w:rsidRPr="00075A86">
        <w:rPr>
          <w:rFonts w:ascii="Times New Roman" w:hAnsi="Times New Roman" w:cs="Times New Roman"/>
        </w:rPr>
        <w:t xml:space="preserve"> počas posledného vyšetrenia) v skupine pacientov so základnou hladinou urátov v sére ≥ 10,0 </w:t>
      </w:r>
      <w:r w:rsidRPr="00075A86">
        <w:rPr>
          <w:rFonts w:ascii="Times New Roman" w:hAnsi="Times New Roman" w:cs="Times New Roman"/>
        </w:rPr>
        <w:lastRenderedPageBreak/>
        <w:t>mg/d</w:t>
      </w:r>
      <w:r w:rsidR="0006382E" w:rsidRPr="00075A86">
        <w:rPr>
          <w:rFonts w:ascii="Times New Roman" w:hAnsi="Times New Roman" w:cs="Times New Roman"/>
        </w:rPr>
        <w:t>l</w:t>
      </w:r>
      <w:r w:rsidRPr="00075A86">
        <w:rPr>
          <w:rFonts w:ascii="Times New Roman" w:hAnsi="Times New Roman" w:cs="Times New Roman"/>
        </w:rPr>
        <w:t xml:space="preserve"> liečených </w:t>
      </w:r>
      <w:r w:rsidR="004B6038" w:rsidRPr="00075A86">
        <w:rPr>
          <w:rFonts w:ascii="Times New Roman" w:hAnsi="Times New Roman" w:cs="Times New Roman"/>
        </w:rPr>
        <w:t>febuxost</w:t>
      </w:r>
      <w:r w:rsidR="004B6038">
        <w:rPr>
          <w:rFonts w:ascii="Times New Roman" w:hAnsi="Times New Roman" w:cs="Times New Roman"/>
        </w:rPr>
        <w:t>á</w:t>
      </w:r>
      <w:r w:rsidR="004B6038" w:rsidRPr="00075A86">
        <w:rPr>
          <w:rFonts w:ascii="Times New Roman" w:hAnsi="Times New Roman" w:cs="Times New Roman"/>
        </w:rPr>
        <w:t xml:space="preserve">tom </w:t>
      </w:r>
      <w:r w:rsidRPr="00075A86">
        <w:rPr>
          <w:rFonts w:ascii="Times New Roman" w:hAnsi="Times New Roman" w:cs="Times New Roman"/>
        </w:rPr>
        <w:t xml:space="preserve">40 mg QD bol 27 % (66/249), </w:t>
      </w:r>
      <w:r w:rsidR="004B6038" w:rsidRPr="00075A86">
        <w:rPr>
          <w:rFonts w:ascii="Times New Roman" w:hAnsi="Times New Roman" w:cs="Times New Roman"/>
        </w:rPr>
        <w:t>febuxost</w:t>
      </w:r>
      <w:r w:rsidR="004B6038">
        <w:rPr>
          <w:rFonts w:ascii="Times New Roman" w:hAnsi="Times New Roman" w:cs="Times New Roman"/>
        </w:rPr>
        <w:t>á</w:t>
      </w:r>
      <w:r w:rsidR="004B6038" w:rsidRPr="00075A86">
        <w:rPr>
          <w:rFonts w:ascii="Times New Roman" w:hAnsi="Times New Roman" w:cs="Times New Roman"/>
        </w:rPr>
        <w:t xml:space="preserve">tom </w:t>
      </w:r>
      <w:r w:rsidRPr="00075A86">
        <w:rPr>
          <w:rFonts w:ascii="Times New Roman" w:hAnsi="Times New Roman" w:cs="Times New Roman"/>
        </w:rPr>
        <w:t>80 mg QD 49 % (125/254) a s alopurinolom 300 mg/200 mg QD 31% (72/230).</w:t>
      </w:r>
    </w:p>
    <w:p w:rsidR="00D65851" w:rsidRPr="00075A86" w:rsidRDefault="00D65851" w:rsidP="00D65851">
      <w:pPr>
        <w:spacing w:after="0"/>
        <w:rPr>
          <w:rFonts w:ascii="Times New Roman" w:hAnsi="Times New Roman" w:cs="Times New Roman"/>
        </w:rPr>
      </w:pP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>Klinické výs</w:t>
      </w:r>
      <w:r w:rsidR="0006382E" w:rsidRPr="00075A86">
        <w:rPr>
          <w:rFonts w:ascii="Times New Roman" w:hAnsi="Times New Roman" w:cs="Times New Roman"/>
          <w:i/>
          <w:iCs/>
          <w:color w:val="000000"/>
        </w:rPr>
        <w:t>ledk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y: percento pacientov, ktorí vyžadovali liečbu kvôli vzplanutiu dnavého záchvatu. </w:t>
      </w:r>
    </w:p>
    <w:p w:rsidR="002F555E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APEX štúdia: Počas 8-týždňového obdobia profylaxie väčšia časť subjektov (36%) v skupine liečenej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tom </w:t>
      </w:r>
      <w:r w:rsidRPr="00075A86">
        <w:rPr>
          <w:rFonts w:ascii="Times New Roman" w:hAnsi="Times New Roman" w:cs="Times New Roman"/>
          <w:color w:val="000000"/>
        </w:rPr>
        <w:t xml:space="preserve">120 mg vyžadovala liečbu vzplanutia dny porovnateľnú s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tom </w:t>
      </w:r>
      <w:r w:rsidRPr="00075A86">
        <w:rPr>
          <w:rFonts w:ascii="Times New Roman" w:hAnsi="Times New Roman" w:cs="Times New Roman"/>
          <w:color w:val="000000"/>
        </w:rPr>
        <w:t xml:space="preserve">80 mg (28%), alopurinolom 300 mg (23%) a placebom (20%). </w:t>
      </w:r>
      <w:r w:rsidR="0006382E" w:rsidRPr="006E61B3">
        <w:rPr>
          <w:rFonts w:ascii="Times New Roman" w:hAnsi="Times New Roman" w:cs="Times New Roman"/>
        </w:rPr>
        <w:t xml:space="preserve">Výskyt záchvatov sa zvýšil po </w:t>
      </w:r>
      <w:r w:rsidRPr="00075A86">
        <w:rPr>
          <w:rFonts w:ascii="Times New Roman" w:hAnsi="Times New Roman" w:cs="Times New Roman"/>
          <w:color w:val="000000"/>
        </w:rPr>
        <w:t>obdob</w:t>
      </w:r>
      <w:r w:rsidR="0006382E" w:rsidRPr="00075A86">
        <w:rPr>
          <w:rFonts w:ascii="Times New Roman" w:hAnsi="Times New Roman" w:cs="Times New Roman"/>
          <w:color w:val="000000"/>
        </w:rPr>
        <w:t>í</w:t>
      </w:r>
      <w:r w:rsidRPr="00075A86">
        <w:rPr>
          <w:rFonts w:ascii="Times New Roman" w:hAnsi="Times New Roman" w:cs="Times New Roman"/>
          <w:color w:val="000000"/>
        </w:rPr>
        <w:t xml:space="preserve"> profylaxie </w:t>
      </w:r>
    </w:p>
    <w:p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a postupne v priebehu času kles</w:t>
      </w:r>
      <w:r w:rsidR="0006382E" w:rsidRPr="00075A86">
        <w:rPr>
          <w:rFonts w:ascii="Times New Roman" w:hAnsi="Times New Roman" w:cs="Times New Roman"/>
          <w:color w:val="000000"/>
        </w:rPr>
        <w:t>al</w:t>
      </w:r>
      <w:r w:rsidRPr="00075A86">
        <w:rPr>
          <w:rFonts w:ascii="Times New Roman" w:hAnsi="Times New Roman" w:cs="Times New Roman"/>
          <w:color w:val="000000"/>
        </w:rPr>
        <w:t xml:space="preserve">. 46 -55% subjektov dostalo liečbu </w:t>
      </w:r>
      <w:r w:rsidR="0006382E" w:rsidRPr="00075A86">
        <w:rPr>
          <w:rFonts w:ascii="Times New Roman" w:hAnsi="Times New Roman" w:cs="Times New Roman"/>
          <w:color w:val="000000"/>
        </w:rPr>
        <w:t xml:space="preserve">na </w:t>
      </w:r>
      <w:r w:rsidRPr="00075A86">
        <w:rPr>
          <w:rFonts w:ascii="Times New Roman" w:hAnsi="Times New Roman" w:cs="Times New Roman"/>
          <w:color w:val="000000"/>
        </w:rPr>
        <w:t>dn</w:t>
      </w:r>
      <w:r w:rsidR="002F555E" w:rsidRPr="00075A86">
        <w:rPr>
          <w:rFonts w:ascii="Times New Roman" w:hAnsi="Times New Roman" w:cs="Times New Roman"/>
          <w:color w:val="000000"/>
        </w:rPr>
        <w:t>a</w:t>
      </w:r>
      <w:r w:rsidRPr="00075A86">
        <w:rPr>
          <w:rFonts w:ascii="Times New Roman" w:hAnsi="Times New Roman" w:cs="Times New Roman"/>
          <w:color w:val="000000"/>
        </w:rPr>
        <w:t>vé</w:t>
      </w:r>
      <w:r w:rsidR="0006382E" w:rsidRPr="00075A86">
        <w:rPr>
          <w:rFonts w:ascii="Times New Roman" w:hAnsi="Times New Roman" w:cs="Times New Roman"/>
          <w:color w:val="000000"/>
        </w:rPr>
        <w:t xml:space="preserve"> </w:t>
      </w:r>
      <w:r w:rsidR="00075A86" w:rsidRPr="00075A86">
        <w:rPr>
          <w:rFonts w:ascii="Times New Roman" w:hAnsi="Times New Roman" w:cs="Times New Roman"/>
          <w:color w:val="000000"/>
        </w:rPr>
        <w:t>záchvaty</w:t>
      </w:r>
      <w:r w:rsidR="0006382E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od 8</w:t>
      </w:r>
      <w:r w:rsidR="0006382E" w:rsidRPr="00075A86">
        <w:rPr>
          <w:rFonts w:ascii="Times New Roman" w:hAnsi="Times New Roman" w:cs="Times New Roman"/>
          <w:color w:val="000000"/>
        </w:rPr>
        <w:t>.</w:t>
      </w:r>
      <w:r w:rsidRPr="00075A86">
        <w:rPr>
          <w:rFonts w:ascii="Times New Roman" w:hAnsi="Times New Roman" w:cs="Times New Roman"/>
          <w:color w:val="000000"/>
        </w:rPr>
        <w:t xml:space="preserve"> do 28</w:t>
      </w:r>
      <w:r w:rsidR="0006382E" w:rsidRPr="00075A86">
        <w:rPr>
          <w:rFonts w:ascii="Times New Roman" w:hAnsi="Times New Roman" w:cs="Times New Roman"/>
          <w:color w:val="000000"/>
        </w:rPr>
        <w:t>.</w:t>
      </w:r>
      <w:r w:rsidRPr="00075A86">
        <w:rPr>
          <w:rFonts w:ascii="Times New Roman" w:hAnsi="Times New Roman" w:cs="Times New Roman"/>
          <w:color w:val="000000"/>
        </w:rPr>
        <w:t xml:space="preserve"> týždňa. Vzplanutie dny počas posledných 4 týždňov štúdie (24.-28. týždeň) sa pozorovalo u 15% (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>80, 120 mg), 14% (alopurinol 300 mg) a 20% (placebo) subjektov.</w:t>
      </w:r>
    </w:p>
    <w:p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</w:p>
    <w:p w:rsidR="006D7AE9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FACT štúdia: Počas 8-týždňového obdobia profylaxie väčšia časť subjektov (36%) v skupine liečenej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tom </w:t>
      </w:r>
      <w:r w:rsidRPr="00075A86">
        <w:rPr>
          <w:rFonts w:ascii="Times New Roman" w:hAnsi="Times New Roman" w:cs="Times New Roman"/>
          <w:color w:val="000000"/>
        </w:rPr>
        <w:t xml:space="preserve">120 mg vyžadovala liečbu </w:t>
      </w:r>
      <w:r w:rsidR="0006382E" w:rsidRPr="00075A86">
        <w:rPr>
          <w:rFonts w:ascii="Times New Roman" w:hAnsi="Times New Roman" w:cs="Times New Roman"/>
          <w:color w:val="000000"/>
        </w:rPr>
        <w:t>dnavých záchvatov</w:t>
      </w:r>
      <w:r w:rsidRPr="00075A86">
        <w:rPr>
          <w:rFonts w:ascii="Times New Roman" w:hAnsi="Times New Roman" w:cs="Times New Roman"/>
          <w:color w:val="000000"/>
        </w:rPr>
        <w:t xml:space="preserve"> porovnateľnú s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tom </w:t>
      </w:r>
      <w:r w:rsidRPr="00075A86">
        <w:rPr>
          <w:rFonts w:ascii="Times New Roman" w:hAnsi="Times New Roman" w:cs="Times New Roman"/>
          <w:color w:val="000000"/>
        </w:rPr>
        <w:t>80 mg (22%)</w:t>
      </w:r>
      <w:r w:rsidR="00D46559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a alopurinolom 300 mg (21%). Po 8-týždňovom období profylaxie incidencia vzplanutia sa zvýšila a postupne v priebehu času klesla (64% a 70% subjektov prijalo liečbu dn</w:t>
      </w:r>
      <w:r w:rsidR="002F555E" w:rsidRPr="00075A86">
        <w:rPr>
          <w:rFonts w:ascii="Times New Roman" w:hAnsi="Times New Roman" w:cs="Times New Roman"/>
          <w:color w:val="000000"/>
        </w:rPr>
        <w:t>a</w:t>
      </w:r>
      <w:r w:rsidRPr="00075A86">
        <w:rPr>
          <w:rFonts w:ascii="Times New Roman" w:hAnsi="Times New Roman" w:cs="Times New Roman"/>
          <w:color w:val="000000"/>
        </w:rPr>
        <w:t>v</w:t>
      </w:r>
      <w:r w:rsidR="00355A7B" w:rsidRPr="00075A86">
        <w:rPr>
          <w:rFonts w:ascii="Times New Roman" w:hAnsi="Times New Roman" w:cs="Times New Roman"/>
          <w:color w:val="000000"/>
        </w:rPr>
        <w:t>ých záchvatov</w:t>
      </w:r>
      <w:r w:rsidRPr="00075A86">
        <w:rPr>
          <w:rFonts w:ascii="Times New Roman" w:hAnsi="Times New Roman" w:cs="Times New Roman"/>
          <w:color w:val="000000"/>
        </w:rPr>
        <w:t xml:space="preserve"> od 8. do 52. týždňa). Vzplanutie dny počas posledných 4 týždňov štúdie (49.-52. týždeň) sa pozorovalo </w:t>
      </w: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u 6-8% (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 xml:space="preserve">80, 120 mg) a 11% (alopurinol 300 mg) subjektov. </w:t>
      </w:r>
    </w:p>
    <w:p w:rsidR="00D4781E" w:rsidRPr="00075A86" w:rsidRDefault="00D4781E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2F555E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Percento pacientov, ktorí vyžadovali liečbu kvôli vzplanutiu dnavého záchvatu (štúdia APEX </w:t>
      </w: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a FACT) bolo číselne nižšie v skupinách, ktoré dosiahli priemernú koncentráciu urátov v sére </w:t>
      </w:r>
      <w:r w:rsidR="00355A7B" w:rsidRPr="00075A86">
        <w:rPr>
          <w:rFonts w:ascii="Times New Roman" w:hAnsi="Times New Roman" w:cs="Times New Roman"/>
          <w:color w:val="000000"/>
        </w:rPr>
        <w:t xml:space="preserve">oproti východiskovej hodnote </w:t>
      </w:r>
      <w:r w:rsidRPr="00075A86">
        <w:rPr>
          <w:rFonts w:ascii="Times New Roman" w:hAnsi="Times New Roman" w:cs="Times New Roman"/>
          <w:color w:val="000000"/>
        </w:rPr>
        <w:t>&lt;</w:t>
      </w:r>
      <w:r w:rsidR="00301A09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6,0 mg/d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>, &lt;</w:t>
      </w:r>
      <w:r w:rsidR="00301A09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5,0 mg/d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alebo &lt;</w:t>
      </w:r>
      <w:r w:rsidR="00301A09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4,0 mg/d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v porovnaní so skupinou, ktorá dosiahla priemernú koncentráciu urátov v sére </w:t>
      </w:r>
      <w:r w:rsidR="00355A7B" w:rsidRPr="00075A86">
        <w:rPr>
          <w:rFonts w:ascii="Times New Roman" w:hAnsi="Times New Roman" w:cs="Times New Roman"/>
          <w:color w:val="000000"/>
        </w:rPr>
        <w:t xml:space="preserve">oproti východiskovej hodnote </w:t>
      </w:r>
      <w:r w:rsidRPr="00075A86">
        <w:rPr>
          <w:rFonts w:ascii="Times New Roman" w:hAnsi="Times New Roman" w:cs="Times New Roman"/>
          <w:color w:val="000000"/>
        </w:rPr>
        <w:t>≥</w:t>
      </w:r>
      <w:r w:rsidR="00301A09" w:rsidRPr="00075A86">
        <w:rPr>
          <w:rFonts w:ascii="Times New Roman" w:hAnsi="Times New Roman" w:cs="Times New Roman"/>
          <w:color w:val="000000"/>
        </w:rPr>
        <w:t xml:space="preserve"> </w:t>
      </w:r>
      <w:r w:rsidR="00D4781E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>6,0 mg/d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počas posledných 32 týždňov obdobia liečby (intervaly 20. týždeň – 24. týždeň až 49. – 52. týždeň). </w:t>
      </w: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D4781E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Počas CONFIRMS štúdie percentuálny podiel pacientov, ktorí prijali liečbu dn</w:t>
      </w:r>
      <w:r w:rsidR="00355A7B" w:rsidRPr="00075A86">
        <w:rPr>
          <w:rFonts w:ascii="Times New Roman" w:hAnsi="Times New Roman" w:cs="Times New Roman"/>
          <w:color w:val="000000"/>
        </w:rPr>
        <w:t>a</w:t>
      </w:r>
      <w:r w:rsidRPr="00075A86">
        <w:rPr>
          <w:rFonts w:ascii="Times New Roman" w:hAnsi="Times New Roman" w:cs="Times New Roman"/>
          <w:color w:val="000000"/>
        </w:rPr>
        <w:t xml:space="preserve">vého vzplanutia </w:t>
      </w:r>
    </w:p>
    <w:p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(v prvý deň počas 6 mesiacov) v skupine liečených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tom </w:t>
      </w:r>
      <w:r w:rsidRPr="00075A86">
        <w:rPr>
          <w:rFonts w:ascii="Times New Roman" w:hAnsi="Times New Roman" w:cs="Times New Roman"/>
          <w:color w:val="000000"/>
        </w:rPr>
        <w:t xml:space="preserve">80 mg bol 31% a v skupine liečenej alopurinolom bolo 25%. Neboli pozorované žiadne rozdiely v pomere pacientov dostávajúcich liečbu na vzplanutie dny medzi skupinami liečenými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tom </w:t>
      </w:r>
      <w:r w:rsidRPr="00075A86">
        <w:rPr>
          <w:rFonts w:ascii="Times New Roman" w:hAnsi="Times New Roman" w:cs="Times New Roman"/>
          <w:color w:val="000000"/>
        </w:rPr>
        <w:t>80 mg a 40 mg.</w:t>
      </w:r>
    </w:p>
    <w:p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Dlhodobé otvorené rozšírené štúdie </w:t>
      </w: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EXCEL štúdia (C02-021): Excel štúdia bola trojročná otvorená multicentrická randomizovaná štúdia fázy 3 alopurinolom kontrolovaná bezpečnostná rozšírená štúdia </w:t>
      </w:r>
      <w:r w:rsidR="00355A7B" w:rsidRPr="00075A86">
        <w:rPr>
          <w:rFonts w:ascii="Times New Roman" w:hAnsi="Times New Roman" w:cs="Times New Roman"/>
          <w:color w:val="000000"/>
        </w:rPr>
        <w:t xml:space="preserve">u </w:t>
      </w:r>
      <w:r w:rsidRPr="00075A86">
        <w:rPr>
          <w:rFonts w:ascii="Times New Roman" w:hAnsi="Times New Roman" w:cs="Times New Roman"/>
          <w:color w:val="000000"/>
        </w:rPr>
        <w:t xml:space="preserve">pacientov, ktorí dokončili </w:t>
      </w:r>
      <w:r w:rsidR="00355A7B" w:rsidRPr="00075A86">
        <w:rPr>
          <w:rFonts w:ascii="Times New Roman" w:hAnsi="Times New Roman" w:cs="Times New Roman"/>
          <w:color w:val="000000"/>
        </w:rPr>
        <w:t xml:space="preserve">pivotné </w:t>
      </w:r>
      <w:r w:rsidRPr="00075A86">
        <w:rPr>
          <w:rFonts w:ascii="Times New Roman" w:hAnsi="Times New Roman" w:cs="Times New Roman"/>
          <w:color w:val="000000"/>
        </w:rPr>
        <w:t xml:space="preserve">štúdie fázy 3 (APEX a FACT). Bolo zaradených všetkých 1086 pacientov: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 xml:space="preserve">80 mg QD (n=649),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 xml:space="preserve">120 mg QD (n=292) a alopurinol 300/100 mg QD (n=145). Okolo 69% pacientov nevyžadovalo žiadnu zmenu liečby vedúcu k dosiahnutiu </w:t>
      </w:r>
      <w:r w:rsidR="00355A7B" w:rsidRPr="00075A86">
        <w:rPr>
          <w:rFonts w:ascii="Times New Roman" w:hAnsi="Times New Roman" w:cs="Times New Roman"/>
          <w:color w:val="000000"/>
        </w:rPr>
        <w:t>stabilnej</w:t>
      </w:r>
      <w:r w:rsidRPr="00075A86">
        <w:rPr>
          <w:rFonts w:ascii="Times New Roman" w:hAnsi="Times New Roman" w:cs="Times New Roman"/>
          <w:color w:val="000000"/>
        </w:rPr>
        <w:t xml:space="preserve"> liečby. Pacienti, ktorí mali trikrát po sebe hladiny sUA &gt; 6,0 mg/d</w:t>
      </w:r>
      <w:r w:rsid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, boli vyradení. </w:t>
      </w: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Hladiny urátov v sére boli v priebehu času udržované (t</w:t>
      </w:r>
      <w:r w:rsidR="00355A7B" w:rsidRPr="00075A86">
        <w:rPr>
          <w:rFonts w:ascii="Times New Roman" w:hAnsi="Times New Roman" w:cs="Times New Roman"/>
          <w:color w:val="000000"/>
        </w:rPr>
        <w:t>.</w:t>
      </w:r>
      <w:r w:rsidRPr="00075A86">
        <w:rPr>
          <w:rFonts w:ascii="Times New Roman" w:hAnsi="Times New Roman" w:cs="Times New Roman"/>
          <w:color w:val="000000"/>
        </w:rPr>
        <w:t xml:space="preserve">j. 91% pacientov so začiatočnou dávkou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 xml:space="preserve">80 mg a 93 % pacientov s dávkou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>120 mg mali sUA &lt; 6 mg/</w:t>
      </w:r>
      <w:r w:rsidR="004B6038" w:rsidRPr="00075A86">
        <w:rPr>
          <w:rFonts w:ascii="Times New Roman" w:hAnsi="Times New Roman" w:cs="Times New Roman"/>
          <w:color w:val="000000"/>
        </w:rPr>
        <w:t>d</w:t>
      </w:r>
      <w:r w:rsidR="004B6038">
        <w:rPr>
          <w:rFonts w:ascii="Times New Roman" w:hAnsi="Times New Roman" w:cs="Times New Roman"/>
          <w:color w:val="000000"/>
        </w:rPr>
        <w:t>l</w:t>
      </w:r>
      <w:r w:rsidR="004B6038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v 36. mesiaci). </w:t>
      </w:r>
    </w:p>
    <w:p w:rsidR="00D65851" w:rsidRPr="00075A86" w:rsidRDefault="00D65851" w:rsidP="00D658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4B6038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Údaje získané počas troch rokov ukázali, že sa znížil výskyt dnavých záchvatov </w:t>
      </w:r>
      <w:r w:rsidR="00355A7B" w:rsidRPr="00075A86">
        <w:rPr>
          <w:rFonts w:ascii="Times New Roman" w:hAnsi="Times New Roman" w:cs="Times New Roman"/>
          <w:color w:val="000000"/>
        </w:rPr>
        <w:t>a</w:t>
      </w:r>
      <w:r w:rsidRPr="00075A86">
        <w:rPr>
          <w:rFonts w:ascii="Times New Roman" w:hAnsi="Times New Roman" w:cs="Times New Roman"/>
          <w:color w:val="000000"/>
        </w:rPr>
        <w:t xml:space="preserve"> menej než 4% </w:t>
      </w:r>
      <w:r w:rsidRPr="00B66240">
        <w:rPr>
          <w:rFonts w:ascii="Times New Roman" w:hAnsi="Times New Roman" w:cs="Times New Roman"/>
          <w:color w:val="000000"/>
        </w:rPr>
        <w:t>pacientov</w:t>
      </w:r>
      <w:r w:rsidR="00355A7B" w:rsidRPr="00B66240">
        <w:rPr>
          <w:rFonts w:ascii="Times New Roman" w:hAnsi="Times New Roman" w:cs="Times New Roman"/>
          <w:color w:val="000000"/>
        </w:rPr>
        <w:t xml:space="preserve"> </w:t>
      </w:r>
      <w:r w:rsidRPr="00B66240">
        <w:rPr>
          <w:rFonts w:ascii="Times New Roman" w:hAnsi="Times New Roman" w:cs="Times New Roman"/>
          <w:color w:val="000000"/>
        </w:rPr>
        <w:t>vyžadoval</w:t>
      </w:r>
      <w:r w:rsidR="00355A7B" w:rsidRPr="00B66240">
        <w:rPr>
          <w:rFonts w:ascii="Times New Roman" w:hAnsi="Times New Roman" w:cs="Times New Roman"/>
          <w:color w:val="000000"/>
        </w:rPr>
        <w:t>o</w:t>
      </w:r>
      <w:r w:rsidRPr="00B66240">
        <w:rPr>
          <w:rFonts w:ascii="Times New Roman" w:hAnsi="Times New Roman" w:cs="Times New Roman"/>
          <w:color w:val="000000"/>
        </w:rPr>
        <w:t xml:space="preserve"> liečbu záchvatu (t.j. viac než 96% pacientov nevyžadovalo liečbu záchvatu) </w:t>
      </w:r>
    </w:p>
    <w:p w:rsidR="00D65851" w:rsidRPr="00075A86" w:rsidRDefault="00D65851" w:rsidP="00D65851">
      <w:pPr>
        <w:spacing w:after="0"/>
        <w:rPr>
          <w:rFonts w:ascii="Times New Roman" w:hAnsi="Times New Roman" w:cs="Times New Roman"/>
          <w:color w:val="000000"/>
        </w:rPr>
      </w:pPr>
      <w:r w:rsidRPr="00B66240">
        <w:rPr>
          <w:rFonts w:ascii="Times New Roman" w:hAnsi="Times New Roman" w:cs="Times New Roman"/>
          <w:color w:val="000000"/>
        </w:rPr>
        <w:t>v 16. až 24. mesiaci</w:t>
      </w:r>
      <w:r w:rsidR="00355A7B" w:rsidRPr="00B66240">
        <w:rPr>
          <w:rFonts w:ascii="Times New Roman" w:hAnsi="Times New Roman" w:cs="Times New Roman"/>
        </w:rPr>
        <w:t xml:space="preserve"> a v 30. až 36. mesiaci.</w:t>
      </w:r>
    </w:p>
    <w:p w:rsidR="00301A09" w:rsidRPr="00075A86" w:rsidRDefault="00301A09" w:rsidP="00D65851">
      <w:pPr>
        <w:spacing w:after="0"/>
        <w:rPr>
          <w:rFonts w:ascii="Times New Roman" w:hAnsi="Times New Roman" w:cs="Times New Roman"/>
          <w:color w:val="000000"/>
        </w:rPr>
      </w:pPr>
    </w:p>
    <w:p w:rsidR="00301A09" w:rsidRPr="00075A86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46% pacientov s konečnou </w:t>
      </w:r>
      <w:r w:rsidR="00355A7B" w:rsidRPr="00075A86">
        <w:rPr>
          <w:rFonts w:ascii="Times New Roman" w:hAnsi="Times New Roman" w:cs="Times New Roman"/>
          <w:color w:val="000000"/>
        </w:rPr>
        <w:t xml:space="preserve">stabilnou </w:t>
      </w:r>
      <w:r w:rsidRPr="00075A86">
        <w:rPr>
          <w:rFonts w:ascii="Times New Roman" w:hAnsi="Times New Roman" w:cs="Times New Roman"/>
          <w:color w:val="000000"/>
        </w:rPr>
        <w:t>liečbou febuxost</w:t>
      </w:r>
      <w:r w:rsidR="004B6038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tom 80 mg a 38% pacientov s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tom </w:t>
      </w:r>
      <w:r w:rsidRPr="00075A86">
        <w:rPr>
          <w:rFonts w:ascii="Times New Roman" w:hAnsi="Times New Roman" w:cs="Times New Roman"/>
          <w:color w:val="000000"/>
        </w:rPr>
        <w:t xml:space="preserve">120 mg QD malo úplné rozpustenie primárnych hmatateľných tofov od začiatku po poslednú návštevu. </w:t>
      </w:r>
    </w:p>
    <w:p w:rsidR="00301A09" w:rsidRPr="00075A86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4B6038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lastRenderedPageBreak/>
        <w:t>FOCUS štúdia (TMX-01-005) bola päťročná otvorená multicentrická bezpečnostná rozšírená štúdia fázy 2 s pacientami, ktorí ukončili 4-týždňové dvojito zaslepené podávanie febuxost</w:t>
      </w:r>
      <w:r w:rsidR="004B6038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tu v štúdii </w:t>
      </w:r>
    </w:p>
    <w:p w:rsidR="00D4781E" w:rsidRPr="00075A86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TMX-00-004.</w:t>
      </w:r>
    </w:p>
    <w:p w:rsidR="00301A09" w:rsidRPr="00075A86" w:rsidRDefault="00D4781E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Z</w:t>
      </w:r>
      <w:r w:rsidR="00301A09" w:rsidRPr="00075A86">
        <w:rPr>
          <w:rFonts w:ascii="Times New Roman" w:hAnsi="Times New Roman" w:cs="Times New Roman"/>
          <w:color w:val="000000"/>
        </w:rPr>
        <w:t xml:space="preserve">aradených </w:t>
      </w:r>
      <w:r w:rsidRPr="00075A86">
        <w:rPr>
          <w:rFonts w:ascii="Times New Roman" w:hAnsi="Times New Roman" w:cs="Times New Roman"/>
          <w:color w:val="000000"/>
        </w:rPr>
        <w:t xml:space="preserve">bolo </w:t>
      </w:r>
      <w:r w:rsidR="00301A09" w:rsidRPr="00075A86">
        <w:rPr>
          <w:rFonts w:ascii="Times New Roman" w:hAnsi="Times New Roman" w:cs="Times New Roman"/>
          <w:color w:val="000000"/>
        </w:rPr>
        <w:t>116 pacientov, ktorí spočiatku dostávali 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301A09" w:rsidRPr="00075A86">
        <w:rPr>
          <w:rFonts w:ascii="Times New Roman" w:hAnsi="Times New Roman" w:cs="Times New Roman"/>
          <w:color w:val="000000"/>
        </w:rPr>
        <w:t>t 80 mg QD. 62% pacientov nevyžadovalo žiadnu úpravu dávkovania pre udržanie sUA &lt; 6 mg/</w:t>
      </w:r>
      <w:r w:rsidR="004B6038" w:rsidRPr="00075A86">
        <w:rPr>
          <w:rFonts w:ascii="Times New Roman" w:hAnsi="Times New Roman" w:cs="Times New Roman"/>
          <w:color w:val="000000"/>
        </w:rPr>
        <w:t>d</w:t>
      </w:r>
      <w:r w:rsidR="004B6038">
        <w:rPr>
          <w:rFonts w:ascii="Times New Roman" w:hAnsi="Times New Roman" w:cs="Times New Roman"/>
          <w:color w:val="000000"/>
        </w:rPr>
        <w:t xml:space="preserve">l </w:t>
      </w:r>
      <w:r w:rsidR="00301A09" w:rsidRPr="00075A86">
        <w:rPr>
          <w:rFonts w:ascii="Times New Roman" w:hAnsi="Times New Roman" w:cs="Times New Roman"/>
          <w:color w:val="000000"/>
        </w:rPr>
        <w:t xml:space="preserve">a 38% pacientov vyžadovalo úpravu dávkovania s cieľom dosiahnuť stabilnú konečnú dávku. </w:t>
      </w:r>
    </w:p>
    <w:p w:rsidR="00301A09" w:rsidRPr="00075A86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301A09" w:rsidRPr="00075A86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Pomer pacientov s hladinou urátov v sére &lt; 6,0 mg/d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(357 μmol/</w:t>
      </w:r>
      <w:r w:rsidR="00355A7B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) počas poslednej návštevy bol väčší ako 80% (81-100%) pre každú dávku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r w:rsidRPr="00075A86">
        <w:rPr>
          <w:rFonts w:ascii="Times New Roman" w:hAnsi="Times New Roman" w:cs="Times New Roman"/>
          <w:color w:val="000000"/>
        </w:rPr>
        <w:t xml:space="preserve">. </w:t>
      </w:r>
    </w:p>
    <w:p w:rsidR="00301A09" w:rsidRPr="00075A86" w:rsidRDefault="00301A09" w:rsidP="00301A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D46559" w:rsidRPr="00075A86" w:rsidRDefault="00301A09" w:rsidP="00301A09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Počas klinických štúdií fázy 3 boli pozorované mierne abnormality v testoch funkcie pečene </w:t>
      </w:r>
    </w:p>
    <w:p w:rsidR="00D46559" w:rsidRPr="00075A86" w:rsidRDefault="00301A09" w:rsidP="00301A09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u pacientov liečených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tom </w:t>
      </w:r>
      <w:r w:rsidRPr="00075A86">
        <w:rPr>
          <w:rFonts w:ascii="Times New Roman" w:hAnsi="Times New Roman" w:cs="Times New Roman"/>
          <w:color w:val="000000"/>
        </w:rPr>
        <w:t xml:space="preserve">(5,0%). Frekvencie výskytu týchto odchýlok boli podobné ako pri liečbe alopurinolom (4,2%) (pozri časť 4.4). Zvýšené hodnoty TSH (&gt;5,5 μIU/ml) boli pozorované </w:t>
      </w:r>
    </w:p>
    <w:p w:rsidR="00D46559" w:rsidRPr="00075A86" w:rsidRDefault="00301A09" w:rsidP="00301A09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u pacientov liečených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tom </w:t>
      </w:r>
      <w:r w:rsidRPr="00075A86">
        <w:rPr>
          <w:rFonts w:ascii="Times New Roman" w:hAnsi="Times New Roman" w:cs="Times New Roman"/>
          <w:color w:val="000000"/>
        </w:rPr>
        <w:t xml:space="preserve">dlhodobo (5,5%) a pacientov liečených alopurinolom (5,8%) </w:t>
      </w:r>
    </w:p>
    <w:p w:rsidR="00301A09" w:rsidRPr="00075A86" w:rsidRDefault="00301A09" w:rsidP="00301A09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v dlhodobých otvorených rozšírených štúdiách (pozri časť 4.4).</w:t>
      </w:r>
    </w:p>
    <w:p w:rsidR="00CA02CD" w:rsidRPr="00075A86" w:rsidRDefault="00CA02CD" w:rsidP="00301A09">
      <w:pPr>
        <w:spacing w:after="0"/>
        <w:rPr>
          <w:rFonts w:ascii="Times New Roman" w:hAnsi="Times New Roman" w:cs="Times New Roman"/>
          <w:color w:val="000000"/>
        </w:rPr>
      </w:pPr>
    </w:p>
    <w:p w:rsidR="00CA02CD" w:rsidRPr="00075A86" w:rsidRDefault="00CA02CD" w:rsidP="00CA0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5.2  Farmakokinetické vlastnosti </w:t>
      </w:r>
    </w:p>
    <w:p w:rsidR="00CA02CD" w:rsidRPr="00075A86" w:rsidRDefault="00CA02CD" w:rsidP="00CA0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74BDE" w:rsidRPr="00075A86" w:rsidRDefault="00CA02CD" w:rsidP="00CA02CD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U zdravých subjektov sa maximálne koncentrácie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>v plazme (C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r w:rsidRPr="00075A86">
        <w:rPr>
          <w:rFonts w:ascii="Times New Roman" w:hAnsi="Times New Roman" w:cs="Times New Roman"/>
          <w:color w:val="000000"/>
        </w:rPr>
        <w:t xml:space="preserve">) a plocha pod krivkou koncentrácie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>v plazme v priebehu času (AUC) zvýšili úmerne k dávke podľa toho, či boli podávané jednotlivé alebo viaceré dávky 10 mg až 120 mg. Pri dávkach medzi 120 mg a 300 mg</w:t>
      </w:r>
      <w:r w:rsidR="00974BDE" w:rsidRPr="00075A86">
        <w:rPr>
          <w:rFonts w:ascii="Times New Roman" w:hAnsi="Times New Roman" w:cs="Times New Roman"/>
          <w:color w:val="000000"/>
        </w:rPr>
        <w:t xml:space="preserve"> </w:t>
      </w:r>
      <w:r w:rsidRPr="00075A86">
        <w:rPr>
          <w:rFonts w:ascii="Times New Roman" w:hAnsi="Times New Roman" w:cs="Times New Roman"/>
          <w:color w:val="000000"/>
        </w:rPr>
        <w:t xml:space="preserve">je </w:t>
      </w:r>
      <w:r w:rsidR="00EC68AE" w:rsidRPr="00075A86">
        <w:rPr>
          <w:rFonts w:ascii="Times New Roman" w:hAnsi="Times New Roman" w:cs="Times New Roman"/>
          <w:color w:val="000000"/>
        </w:rPr>
        <w:t xml:space="preserve">pozorované </w:t>
      </w:r>
      <w:r w:rsidRPr="00075A86">
        <w:rPr>
          <w:rFonts w:ascii="Times New Roman" w:hAnsi="Times New Roman" w:cs="Times New Roman"/>
          <w:color w:val="000000"/>
        </w:rPr>
        <w:t>vyšš</w:t>
      </w:r>
      <w:r w:rsidR="00EC68AE" w:rsidRPr="00075A86">
        <w:rPr>
          <w:rFonts w:ascii="Times New Roman" w:hAnsi="Times New Roman" w:cs="Times New Roman"/>
          <w:color w:val="000000"/>
        </w:rPr>
        <w:t>ie ako dávke úmerné zvýšenie</w:t>
      </w:r>
      <w:r w:rsidRPr="00075A86">
        <w:rPr>
          <w:rFonts w:ascii="Times New Roman" w:hAnsi="Times New Roman" w:cs="Times New Roman"/>
          <w:color w:val="000000"/>
        </w:rPr>
        <w:t xml:space="preserve"> AUC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tu</w:t>
      </w:r>
      <w:r w:rsidRPr="00075A86">
        <w:rPr>
          <w:rFonts w:ascii="Times New Roman" w:hAnsi="Times New Roman" w:cs="Times New Roman"/>
          <w:color w:val="000000"/>
        </w:rPr>
        <w:t xml:space="preserve">. Pri podávaní dávok </w:t>
      </w:r>
    </w:p>
    <w:p w:rsidR="00CA02CD" w:rsidRPr="00075A86" w:rsidRDefault="00CA02CD" w:rsidP="00CA02CD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  <w:color w:val="000000"/>
        </w:rPr>
        <w:t xml:space="preserve">10 </w:t>
      </w:r>
      <w:r w:rsidRPr="00075A86">
        <w:rPr>
          <w:rFonts w:ascii="Times New Roman" w:hAnsi="Times New Roman" w:cs="Times New Roman"/>
        </w:rPr>
        <w:t xml:space="preserve">mg až 240 mg každých 24 hodín nedochádza k žiadnemu významnejšiemu nárastu. </w:t>
      </w:r>
      <w:r w:rsidR="004B6038" w:rsidRPr="00075A86">
        <w:rPr>
          <w:rFonts w:ascii="Times New Roman" w:hAnsi="Times New Roman" w:cs="Times New Roman"/>
        </w:rPr>
        <w:t>Febuxost</w:t>
      </w:r>
      <w:r w:rsidR="004B6038">
        <w:rPr>
          <w:rFonts w:ascii="Times New Roman" w:hAnsi="Times New Roman" w:cs="Times New Roman"/>
        </w:rPr>
        <w:t>á</w:t>
      </w:r>
      <w:r w:rsidR="004B6038" w:rsidRPr="00075A86">
        <w:rPr>
          <w:rFonts w:ascii="Times New Roman" w:hAnsi="Times New Roman" w:cs="Times New Roman"/>
        </w:rPr>
        <w:t xml:space="preserve">t </w:t>
      </w:r>
      <w:r w:rsidRPr="00075A86">
        <w:rPr>
          <w:rFonts w:ascii="Times New Roman" w:hAnsi="Times New Roman" w:cs="Times New Roman"/>
        </w:rPr>
        <w:t>má zjavný priemerný polčas eliminácie (t</w:t>
      </w:r>
      <w:r w:rsidRPr="00075A86">
        <w:rPr>
          <w:rFonts w:ascii="Times New Roman" w:hAnsi="Times New Roman" w:cs="Times New Roman"/>
          <w:vertAlign w:val="subscript"/>
        </w:rPr>
        <w:t>1/2</w:t>
      </w:r>
      <w:r w:rsidRPr="00075A86">
        <w:rPr>
          <w:rFonts w:ascii="Times New Roman" w:hAnsi="Times New Roman" w:cs="Times New Roman"/>
        </w:rPr>
        <w:t>) približne 5 až 8 hodín.</w:t>
      </w:r>
    </w:p>
    <w:p w:rsidR="00CA02CD" w:rsidRPr="00075A86" w:rsidRDefault="00CA02CD" w:rsidP="00CA02CD">
      <w:pPr>
        <w:spacing w:after="0"/>
        <w:rPr>
          <w:rFonts w:ascii="Times New Roman" w:hAnsi="Times New Roman" w:cs="Times New Roman"/>
        </w:rPr>
      </w:pPr>
    </w:p>
    <w:p w:rsidR="00712EC9" w:rsidRPr="00075A86" w:rsidRDefault="00CA02CD" w:rsidP="00CA02CD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 xml:space="preserve">Farmakokinetické/ farmakodynamické analýzy jednotlivých skupín boli vykonané u 211 pacientov </w:t>
      </w:r>
    </w:p>
    <w:p w:rsidR="00CA02CD" w:rsidRPr="00075A86" w:rsidRDefault="00CA02CD" w:rsidP="00CA02CD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s hyperurikémiou a dnou, ktorí boli liečení febuxost</w:t>
      </w:r>
      <w:r w:rsidR="004B6038">
        <w:rPr>
          <w:rFonts w:ascii="Times New Roman" w:hAnsi="Times New Roman" w:cs="Times New Roman"/>
        </w:rPr>
        <w:t>á</w:t>
      </w:r>
      <w:r w:rsidRPr="00075A86">
        <w:rPr>
          <w:rFonts w:ascii="Times New Roman" w:hAnsi="Times New Roman" w:cs="Times New Roman"/>
        </w:rPr>
        <w:t>tom v množstve 40-240 mg QD. Vo všeobecnosti sú farmakokinetické parametre febuxost</w:t>
      </w:r>
      <w:r w:rsidR="004B6038">
        <w:rPr>
          <w:rFonts w:ascii="Times New Roman" w:hAnsi="Times New Roman" w:cs="Times New Roman"/>
        </w:rPr>
        <w:t>á</w:t>
      </w:r>
      <w:r w:rsidRPr="00075A86">
        <w:rPr>
          <w:rFonts w:ascii="Times New Roman" w:hAnsi="Times New Roman" w:cs="Times New Roman"/>
        </w:rPr>
        <w:t>tu určené týmito analýzami v súlade s parametrami získanými u zdravých subjektov, čo znamená, že zdravé subjekty sú reprezentatívnou vzorkou na hodnotenie farmakokinetických, resp. farmakodynamických vlastností u pacientov s dnou.</w:t>
      </w:r>
    </w:p>
    <w:p w:rsidR="00CA02CD" w:rsidRPr="00075A86" w:rsidRDefault="00CA02CD" w:rsidP="00CA02CD">
      <w:pPr>
        <w:spacing w:after="0"/>
        <w:rPr>
          <w:rFonts w:ascii="Times New Roman" w:hAnsi="Times New Roman" w:cs="Times New Roman"/>
        </w:rPr>
      </w:pPr>
    </w:p>
    <w:p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 xml:space="preserve">Absorpcia </w:t>
      </w:r>
    </w:p>
    <w:p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 sa absorbuje rýchlo (t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r w:rsidRPr="00075A86">
        <w:rPr>
          <w:rFonts w:ascii="Times New Roman" w:hAnsi="Times New Roman" w:cs="Times New Roman"/>
          <w:color w:val="000000"/>
        </w:rPr>
        <w:t xml:space="preserve"> 1,0-1,5 h) a dobre (minimálne 84%). </w:t>
      </w:r>
    </w:p>
    <w:p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Po jednej dávke alebo viacerých perorálnych 80 mg a 120 mg dávkach podávaných raz za deň má 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r w:rsidRPr="00075A86">
        <w:rPr>
          <w:rFonts w:ascii="Times New Roman" w:hAnsi="Times New Roman" w:cs="Times New Roman"/>
          <w:color w:val="000000"/>
        </w:rPr>
        <w:t xml:space="preserve"> hodnotu približne 2,8-3,2 μg/m</w:t>
      </w:r>
      <w:r w:rsidR="0090438A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v prípade 80 mg dávok a 5,0-5,3 μg/m</w:t>
      </w:r>
      <w:r w:rsidR="0090438A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v prípade 120 mg dávok. Absolútna biologická dostupnosť febuxost</w:t>
      </w:r>
      <w:r w:rsidR="004B6038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tu vo forme tabliet nebola stanovená. </w:t>
      </w:r>
    </w:p>
    <w:p w:rsidR="00CA02CD" w:rsidRPr="00075A86" w:rsidRDefault="00CA02CD" w:rsidP="00CA02CD">
      <w:pPr>
        <w:spacing w:after="0"/>
        <w:rPr>
          <w:rFonts w:ascii="Times New Roman" w:hAnsi="Times New Roman" w:cs="Times New Roman"/>
          <w:color w:val="000000"/>
        </w:rPr>
      </w:pPr>
    </w:p>
    <w:p w:rsidR="00CA02CD" w:rsidRPr="00075A86" w:rsidRDefault="00CA02CD" w:rsidP="00CA02CD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Po viacerých perorálnych 80 mg dávkach podávaných raz denne alebo 120 mg dávke s jedlom obsahujúcim vysoký podiel tukov bol odmeraný 49% a 38% pokles 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r w:rsidRPr="00075A86">
        <w:rPr>
          <w:rFonts w:ascii="Times New Roman" w:hAnsi="Times New Roman" w:cs="Times New Roman"/>
          <w:color w:val="000000"/>
        </w:rPr>
        <w:t xml:space="preserve"> a 18% a 16% pokles AUC</w:t>
      </w:r>
      <w:r w:rsidR="0090438A" w:rsidRPr="00075A86">
        <w:rPr>
          <w:rFonts w:ascii="Times New Roman" w:hAnsi="Times New Roman" w:cs="Times New Roman"/>
          <w:color w:val="000000"/>
        </w:rPr>
        <w:t>, v uvedenom poradí</w:t>
      </w:r>
      <w:r w:rsidRPr="00075A86">
        <w:rPr>
          <w:rFonts w:ascii="Times New Roman" w:hAnsi="Times New Roman" w:cs="Times New Roman"/>
          <w:color w:val="000000"/>
        </w:rPr>
        <w:t xml:space="preserve">. </w:t>
      </w:r>
    </w:p>
    <w:p w:rsidR="00CA02CD" w:rsidRPr="00075A86" w:rsidRDefault="00CA02CD" w:rsidP="00CA02CD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V príslušných testoch však nebola pozorovaná žiadna klinicky významná zmena v percentuálnom poklese kyseliny močovej v sére (viacero 80 mg dávok). Febuxost</w:t>
      </w:r>
      <w:r w:rsidR="004B6038"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>t je preto možné užívať bez ohľadu na jedlo.</w:t>
      </w:r>
    </w:p>
    <w:p w:rsidR="00CA02CD" w:rsidRPr="00075A86" w:rsidRDefault="00CA02CD" w:rsidP="00CA02CD">
      <w:pPr>
        <w:spacing w:after="0"/>
        <w:rPr>
          <w:rFonts w:ascii="Times New Roman" w:hAnsi="Times New Roman" w:cs="Times New Roman"/>
          <w:color w:val="000000"/>
        </w:rPr>
      </w:pPr>
    </w:p>
    <w:p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 xml:space="preserve">Distribúcia </w:t>
      </w:r>
    </w:p>
    <w:p w:rsidR="00CA02CD" w:rsidRPr="00075A86" w:rsidRDefault="0090438A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Zdanliv</w:t>
      </w:r>
      <w:r w:rsidR="00CA02CD" w:rsidRPr="00075A86">
        <w:rPr>
          <w:rFonts w:ascii="Times New Roman" w:hAnsi="Times New Roman" w:cs="Times New Roman"/>
          <w:color w:val="000000"/>
        </w:rPr>
        <w:t xml:space="preserve">ý rovnovážny objem distribúcie (Vss/F)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="00CA02CD" w:rsidRPr="00075A86">
        <w:rPr>
          <w:rFonts w:ascii="Times New Roman" w:hAnsi="Times New Roman" w:cs="Times New Roman"/>
          <w:color w:val="000000"/>
        </w:rPr>
        <w:t xml:space="preserve">je po podaní perorálnych dávok 10 - 300 mg od 29 do 75 l.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 </w:t>
      </w:r>
      <w:r w:rsidR="00CA02CD" w:rsidRPr="00075A86">
        <w:rPr>
          <w:rFonts w:ascii="Times New Roman" w:hAnsi="Times New Roman" w:cs="Times New Roman"/>
          <w:color w:val="000000"/>
        </w:rPr>
        <w:t xml:space="preserve">sa viaže na proteíny v plazme približne v 99,2 %, (primárne na albumín), </w:t>
      </w:r>
      <w:r w:rsidR="00CA02CD" w:rsidRPr="00075A86">
        <w:rPr>
          <w:rFonts w:ascii="Times New Roman" w:hAnsi="Times New Roman" w:cs="Times New Roman"/>
          <w:color w:val="000000"/>
        </w:rPr>
        <w:lastRenderedPageBreak/>
        <w:t>konštantne v cel</w:t>
      </w:r>
      <w:r w:rsidRPr="00075A86">
        <w:rPr>
          <w:rFonts w:ascii="Times New Roman" w:hAnsi="Times New Roman" w:cs="Times New Roman"/>
          <w:color w:val="000000"/>
        </w:rPr>
        <w:t>om</w:t>
      </w:r>
      <w:r w:rsidR="00CA02CD" w:rsidRPr="00075A86">
        <w:rPr>
          <w:rFonts w:ascii="Times New Roman" w:hAnsi="Times New Roman" w:cs="Times New Roman"/>
          <w:color w:val="000000"/>
        </w:rPr>
        <w:t xml:space="preserve"> rozsahu koncentrácie dosiahnutého dávkami 80 a 120 mg. Väzba aktívnych metabolitov na proteíny v plazme má rozsah približne od 82% do 91%. </w:t>
      </w:r>
    </w:p>
    <w:p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 xml:space="preserve">Biotransformácia </w:t>
      </w:r>
    </w:p>
    <w:p w:rsidR="00FF7F48" w:rsidRPr="00075A86" w:rsidRDefault="004B6038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t </w:t>
      </w:r>
      <w:r w:rsidR="00CA02CD" w:rsidRPr="00075A86">
        <w:rPr>
          <w:rFonts w:ascii="Times New Roman" w:hAnsi="Times New Roman" w:cs="Times New Roman"/>
          <w:color w:val="000000"/>
        </w:rPr>
        <w:t xml:space="preserve">sa metabolizuje do značnej miery konjugáciou </w:t>
      </w:r>
      <w:r w:rsidR="00CA02CD" w:rsidRPr="00075A86">
        <w:rPr>
          <w:rFonts w:ascii="Times New Roman" w:hAnsi="Times New Roman" w:cs="Times New Roman"/>
          <w:i/>
          <w:iCs/>
          <w:color w:val="000000"/>
        </w:rPr>
        <w:t xml:space="preserve">prostredníctvom </w:t>
      </w:r>
      <w:r w:rsidR="00CA02CD" w:rsidRPr="00075A86">
        <w:rPr>
          <w:rFonts w:ascii="Times New Roman" w:hAnsi="Times New Roman" w:cs="Times New Roman"/>
          <w:color w:val="000000"/>
        </w:rPr>
        <w:t xml:space="preserve">enzýmového systému uridíndifosfát-glukuronyltransferázy (UDPGT) a oxidáciou </w:t>
      </w:r>
      <w:r w:rsidR="00CA02CD" w:rsidRPr="00075A86">
        <w:rPr>
          <w:rFonts w:ascii="Times New Roman" w:hAnsi="Times New Roman" w:cs="Times New Roman"/>
          <w:i/>
          <w:iCs/>
          <w:color w:val="000000"/>
        </w:rPr>
        <w:t xml:space="preserve">prostredníctvom </w:t>
      </w:r>
      <w:r w:rsidR="00CA02CD" w:rsidRPr="00075A86">
        <w:rPr>
          <w:rFonts w:ascii="Times New Roman" w:hAnsi="Times New Roman" w:cs="Times New Roman"/>
          <w:color w:val="000000"/>
        </w:rPr>
        <w:t xml:space="preserve">cytochrómu P450 (CYP). Boli identifikované štyri farmakologicky aktívne hydroxylové metabolity, z ktorých sa tri vyskytujú </w:t>
      </w:r>
    </w:p>
    <w:p w:rsidR="00974BDE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v ľudskej plazme. Štúdie </w:t>
      </w:r>
      <w:r w:rsidRPr="00075A86">
        <w:rPr>
          <w:rFonts w:ascii="Times New Roman" w:hAnsi="Times New Roman" w:cs="Times New Roman"/>
          <w:i/>
          <w:iCs/>
          <w:color w:val="000000"/>
        </w:rPr>
        <w:t xml:space="preserve">in vitro </w:t>
      </w:r>
      <w:r w:rsidRPr="00075A86">
        <w:rPr>
          <w:rFonts w:ascii="Times New Roman" w:hAnsi="Times New Roman" w:cs="Times New Roman"/>
          <w:color w:val="000000"/>
        </w:rPr>
        <w:t xml:space="preserve">s ľudskými pečeňovými mikrozómami ukázali, že tieto oxidačné metabolity boli vytvorené primárne pomocou CYP1A1, CYP1A2, CYP2C8 alebo CYP2C9 </w:t>
      </w:r>
    </w:p>
    <w:p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a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>t</w:t>
      </w:r>
      <w:r w:rsidRPr="00075A86">
        <w:rPr>
          <w:rFonts w:ascii="Times New Roman" w:hAnsi="Times New Roman" w:cs="Times New Roman"/>
          <w:color w:val="000000"/>
        </w:rPr>
        <w:t xml:space="preserve">- glukuronid bol vytvorený najmä pomocou UGT 1A1, 1A8 a 1A9. </w:t>
      </w:r>
    </w:p>
    <w:p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CA02CD" w:rsidRPr="00075A86" w:rsidRDefault="00CA02CD" w:rsidP="00CA02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075A86">
        <w:rPr>
          <w:rFonts w:ascii="Times New Roman" w:hAnsi="Times New Roman" w:cs="Times New Roman"/>
          <w:iCs/>
          <w:color w:val="000000"/>
          <w:u w:val="single"/>
        </w:rPr>
        <w:t xml:space="preserve">Eliminácia </w:t>
      </w:r>
    </w:p>
    <w:p w:rsidR="00CA02CD" w:rsidRPr="00075A86" w:rsidRDefault="004B6038" w:rsidP="00CA02CD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t </w:t>
      </w:r>
      <w:r w:rsidR="00CA02CD" w:rsidRPr="00075A86">
        <w:rPr>
          <w:rFonts w:ascii="Times New Roman" w:hAnsi="Times New Roman" w:cs="Times New Roman"/>
          <w:color w:val="000000"/>
        </w:rPr>
        <w:t xml:space="preserve">sa eliminuje prostredníctvom pečene aj prostredníctvom obličiek. Po podaní perorálnej dávky 80 mg </w:t>
      </w:r>
      <w:r w:rsidRPr="00075A86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tu </w:t>
      </w:r>
      <w:r w:rsidR="00CA02CD" w:rsidRPr="00075A86">
        <w:rPr>
          <w:rFonts w:ascii="Times New Roman" w:hAnsi="Times New Roman" w:cs="Times New Roman"/>
          <w:color w:val="000000"/>
        </w:rPr>
        <w:t xml:space="preserve">označeného 14C bolo približne 49% dávky znova získaných v moči ako nezmenený </w:t>
      </w:r>
      <w:r w:rsidRPr="00075A86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t </w:t>
      </w:r>
      <w:r w:rsidR="00CA02CD" w:rsidRPr="00075A86">
        <w:rPr>
          <w:rFonts w:ascii="Times New Roman" w:hAnsi="Times New Roman" w:cs="Times New Roman"/>
          <w:color w:val="000000"/>
        </w:rPr>
        <w:t xml:space="preserve">(3%), acylglukuronid liečiva (30%), jeho známe oxidačné metabolity a ich konjugáty (13%) a iné neznáme metabolity (3%). Okrem vylučovania obličkami bolo približne 45% dávky znova získaných v stolici ako nezmenený </w:t>
      </w:r>
      <w:r w:rsidRPr="00075A86">
        <w:rPr>
          <w:rFonts w:ascii="Times New Roman" w:hAnsi="Times New Roman" w:cs="Times New Roman"/>
          <w:color w:val="000000"/>
        </w:rPr>
        <w:t>febuxost</w:t>
      </w:r>
      <w:r>
        <w:rPr>
          <w:rFonts w:ascii="Times New Roman" w:hAnsi="Times New Roman" w:cs="Times New Roman"/>
          <w:color w:val="000000"/>
        </w:rPr>
        <w:t>á</w:t>
      </w:r>
      <w:r w:rsidRPr="00075A86">
        <w:rPr>
          <w:rFonts w:ascii="Times New Roman" w:hAnsi="Times New Roman" w:cs="Times New Roman"/>
          <w:color w:val="000000"/>
        </w:rPr>
        <w:t xml:space="preserve">t </w:t>
      </w:r>
      <w:r w:rsidR="00CA02CD" w:rsidRPr="00075A86">
        <w:rPr>
          <w:rFonts w:ascii="Times New Roman" w:hAnsi="Times New Roman" w:cs="Times New Roman"/>
          <w:color w:val="000000"/>
        </w:rPr>
        <w:t>(12%), acylglukuronid liečiva (1%), jeho známe oxidačné metabolity a ich konjugáty (25%) a iné neznáme metabolity (7%).</w:t>
      </w:r>
    </w:p>
    <w:p w:rsidR="00FF7F48" w:rsidRPr="00075A86" w:rsidRDefault="00FF7F48" w:rsidP="00CA02CD">
      <w:pPr>
        <w:spacing w:after="0"/>
        <w:rPr>
          <w:rFonts w:ascii="Times New Roman" w:hAnsi="Times New Roman" w:cs="Times New Roman"/>
          <w:color w:val="000000"/>
        </w:rPr>
      </w:pPr>
    </w:p>
    <w:p w:rsidR="00FF7F48" w:rsidRPr="00075A86" w:rsidRDefault="00FF7F48" w:rsidP="00FF7F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Poškodenie obličiek </w:t>
      </w:r>
    </w:p>
    <w:p w:rsidR="00FF7F48" w:rsidRPr="00075A86" w:rsidRDefault="00FF7F48" w:rsidP="00FF7F48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 viacerých dávkach 80 mg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>u pacientov s miernym, stredne závažným alebo závažným poškodením obličiek sa hodnota 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r w:rsidRPr="00075A86">
        <w:rPr>
          <w:rFonts w:ascii="Times New Roman" w:hAnsi="Times New Roman" w:cs="Times New Roman"/>
          <w:color w:val="000000"/>
        </w:rPr>
        <w:t xml:space="preserve">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 xml:space="preserve">vzhľadom na subjekty s normálnou funkciou obličiek nezmenila. Priemerná celková AUC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>sa zvýšila približne 1,8-násobne od 7,5 µg.h/m</w:t>
      </w:r>
      <w:r w:rsidR="0090438A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v skupine s normálnou funkciou obličiek po 13,2 µg.h/m</w:t>
      </w:r>
      <w:r w:rsidR="0090438A" w:rsidRPr="00075A86">
        <w:rPr>
          <w:rFonts w:ascii="Times New Roman" w:hAnsi="Times New Roman" w:cs="Times New Roman"/>
          <w:color w:val="000000"/>
        </w:rPr>
        <w:t>l</w:t>
      </w:r>
      <w:r w:rsidRPr="00075A86">
        <w:rPr>
          <w:rFonts w:ascii="Times New Roman" w:hAnsi="Times New Roman" w:cs="Times New Roman"/>
          <w:color w:val="000000"/>
        </w:rPr>
        <w:t xml:space="preserve"> v skupine so závažnou renálnou dysfunkciou. Hodnoty 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r w:rsidRPr="00075A86">
        <w:rPr>
          <w:rFonts w:ascii="Times New Roman" w:hAnsi="Times New Roman" w:cs="Times New Roman"/>
          <w:color w:val="000000"/>
        </w:rPr>
        <w:t xml:space="preserve"> a AUC aktívnych metabolitov sa zvýšili 2-násobne pre 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r w:rsidRPr="00075A86">
        <w:rPr>
          <w:rFonts w:ascii="Times New Roman" w:hAnsi="Times New Roman" w:cs="Times New Roman"/>
          <w:color w:val="000000"/>
        </w:rPr>
        <w:t xml:space="preserve"> a 4-násobne pre AUC. U pacientov s miernym alebo stredným poškodením obličiek však nie je potrebná žiadna úprava dávky.</w:t>
      </w:r>
    </w:p>
    <w:p w:rsidR="00FF7F48" w:rsidRPr="00075A86" w:rsidRDefault="00FF7F48" w:rsidP="00FF7F48">
      <w:pPr>
        <w:spacing w:after="0"/>
        <w:rPr>
          <w:rFonts w:ascii="Times New Roman" w:hAnsi="Times New Roman" w:cs="Times New Roman"/>
          <w:color w:val="000000"/>
        </w:rPr>
      </w:pPr>
    </w:p>
    <w:p w:rsidR="00FF7F48" w:rsidRPr="00075A86" w:rsidRDefault="00FF7F48" w:rsidP="00FF7F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Poškodenie pečene </w:t>
      </w:r>
    </w:p>
    <w:p w:rsidR="006D7AE9" w:rsidRDefault="00FF7F48" w:rsidP="00FF7F48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 viacerých 80 mg dávkach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>u pacientov s miernym poškodením pečene (Child</w:t>
      </w:r>
      <w:r w:rsidR="0090438A" w:rsidRPr="00075A86">
        <w:rPr>
          <w:rFonts w:ascii="Times New Roman" w:hAnsi="Times New Roman" w:cs="Times New Roman"/>
          <w:color w:val="000000"/>
        </w:rPr>
        <w:t>ova</w:t>
      </w:r>
      <w:r w:rsidRPr="00075A86">
        <w:rPr>
          <w:rFonts w:ascii="Times New Roman" w:hAnsi="Times New Roman" w:cs="Times New Roman"/>
          <w:color w:val="000000"/>
        </w:rPr>
        <w:t>-Pugh</w:t>
      </w:r>
      <w:r w:rsidR="0090438A" w:rsidRPr="00075A86">
        <w:rPr>
          <w:rFonts w:ascii="Times New Roman" w:hAnsi="Times New Roman" w:cs="Times New Roman"/>
          <w:color w:val="000000"/>
        </w:rPr>
        <w:t>ova</w:t>
      </w:r>
      <w:r w:rsidRPr="00075A86">
        <w:rPr>
          <w:rFonts w:ascii="Times New Roman" w:hAnsi="Times New Roman" w:cs="Times New Roman"/>
          <w:color w:val="000000"/>
        </w:rPr>
        <w:t xml:space="preserve"> trieda A) alebo stredne závažným poškodením pečene (Child</w:t>
      </w:r>
      <w:r w:rsidR="0090438A" w:rsidRPr="00075A86">
        <w:rPr>
          <w:rFonts w:ascii="Times New Roman" w:hAnsi="Times New Roman" w:cs="Times New Roman"/>
          <w:color w:val="000000"/>
        </w:rPr>
        <w:t>ova</w:t>
      </w:r>
      <w:r w:rsidRPr="00075A86">
        <w:rPr>
          <w:rFonts w:ascii="Times New Roman" w:hAnsi="Times New Roman" w:cs="Times New Roman"/>
          <w:color w:val="000000"/>
        </w:rPr>
        <w:t>-Pugh</w:t>
      </w:r>
      <w:r w:rsidR="0090438A" w:rsidRPr="00075A86">
        <w:rPr>
          <w:rFonts w:ascii="Times New Roman" w:hAnsi="Times New Roman" w:cs="Times New Roman"/>
          <w:color w:val="000000"/>
        </w:rPr>
        <w:t>ova</w:t>
      </w:r>
      <w:r w:rsidRPr="00075A86">
        <w:rPr>
          <w:rFonts w:ascii="Times New Roman" w:hAnsi="Times New Roman" w:cs="Times New Roman"/>
          <w:color w:val="000000"/>
        </w:rPr>
        <w:t xml:space="preserve"> trieda B) sa hodnoty 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r w:rsidRPr="00075A86">
        <w:rPr>
          <w:rFonts w:ascii="Times New Roman" w:hAnsi="Times New Roman" w:cs="Times New Roman"/>
          <w:color w:val="000000"/>
        </w:rPr>
        <w:t xml:space="preserve"> a AUC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 xml:space="preserve">a jeho metabolitov významne nezmenili v porovnaní so subjektmi </w:t>
      </w:r>
    </w:p>
    <w:p w:rsidR="00FF7F48" w:rsidRPr="00075A86" w:rsidRDefault="00FF7F48" w:rsidP="00FF7F48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  <w:color w:val="000000"/>
        </w:rPr>
        <w:t xml:space="preserve">s normálnou funkciou </w:t>
      </w:r>
      <w:r w:rsidRPr="00075A86">
        <w:rPr>
          <w:rFonts w:ascii="Times New Roman" w:hAnsi="Times New Roman" w:cs="Times New Roman"/>
        </w:rPr>
        <w:t>pečene. Neboli uskutočnené štúdie u pacientov so závažným poškodením pečene (Child</w:t>
      </w:r>
      <w:r w:rsidR="00397A72" w:rsidRPr="00075A86">
        <w:rPr>
          <w:rFonts w:ascii="Times New Roman" w:hAnsi="Times New Roman" w:cs="Times New Roman"/>
        </w:rPr>
        <w:t>ova</w:t>
      </w:r>
      <w:r w:rsidRPr="00075A86">
        <w:rPr>
          <w:rFonts w:ascii="Times New Roman" w:hAnsi="Times New Roman" w:cs="Times New Roman"/>
        </w:rPr>
        <w:t>-Pugh</w:t>
      </w:r>
      <w:r w:rsidR="00397A72" w:rsidRPr="00075A86">
        <w:rPr>
          <w:rFonts w:ascii="Times New Roman" w:hAnsi="Times New Roman" w:cs="Times New Roman"/>
        </w:rPr>
        <w:t>ova</w:t>
      </w:r>
      <w:r w:rsidRPr="00075A86">
        <w:rPr>
          <w:rFonts w:ascii="Times New Roman" w:hAnsi="Times New Roman" w:cs="Times New Roman"/>
        </w:rPr>
        <w:t xml:space="preserve"> trieda C).</w:t>
      </w:r>
    </w:p>
    <w:p w:rsidR="00FF7F48" w:rsidRPr="00075A86" w:rsidRDefault="00FF7F48" w:rsidP="00FF7F48">
      <w:pPr>
        <w:spacing w:after="0"/>
        <w:rPr>
          <w:rFonts w:ascii="Times New Roman" w:hAnsi="Times New Roman" w:cs="Times New Roman"/>
        </w:rPr>
      </w:pPr>
    </w:p>
    <w:p w:rsidR="00FF7F48" w:rsidRPr="00075A86" w:rsidRDefault="00FF7F48" w:rsidP="00FF7F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Vek </w:t>
      </w:r>
    </w:p>
    <w:p w:rsidR="00FF7F48" w:rsidRPr="00075A86" w:rsidRDefault="00FF7F48" w:rsidP="00FF7F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Neboli pozorované žiadne významné zmeny AUC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 xml:space="preserve">alebo jeho metabolitov po viacerých perorálnych dávkach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 xml:space="preserve">u starších ľudí v porovnaní s mladšími zdravými subjektmi. </w:t>
      </w:r>
    </w:p>
    <w:p w:rsidR="00FF7F48" w:rsidRPr="00075A86" w:rsidRDefault="00FF7F48" w:rsidP="00FF7F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FF7F48" w:rsidRPr="00075A86" w:rsidRDefault="00FF7F48" w:rsidP="00FF7F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Pohlavie </w:t>
      </w:r>
    </w:p>
    <w:p w:rsidR="009924AE" w:rsidRPr="00075A86" w:rsidRDefault="00FF7F48" w:rsidP="00FF7F48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 viacerých perorálnych dávkach </w:t>
      </w:r>
      <w:r w:rsidR="004B6038" w:rsidRPr="00075A86">
        <w:rPr>
          <w:rFonts w:ascii="Times New Roman" w:hAnsi="Times New Roman" w:cs="Times New Roman"/>
          <w:color w:val="000000"/>
        </w:rPr>
        <w:t>febuxost</w:t>
      </w:r>
      <w:r w:rsidR="004B6038">
        <w:rPr>
          <w:rFonts w:ascii="Times New Roman" w:hAnsi="Times New Roman" w:cs="Times New Roman"/>
          <w:color w:val="000000"/>
        </w:rPr>
        <w:t>á</w:t>
      </w:r>
      <w:r w:rsidR="004B6038" w:rsidRPr="00075A86">
        <w:rPr>
          <w:rFonts w:ascii="Times New Roman" w:hAnsi="Times New Roman" w:cs="Times New Roman"/>
          <w:color w:val="000000"/>
        </w:rPr>
        <w:t xml:space="preserve">tu </w:t>
      </w:r>
      <w:r w:rsidRPr="00075A86">
        <w:rPr>
          <w:rFonts w:ascii="Times New Roman" w:hAnsi="Times New Roman" w:cs="Times New Roman"/>
          <w:color w:val="000000"/>
        </w:rPr>
        <w:t>boli hodnoty 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r w:rsidRPr="00075A86">
        <w:rPr>
          <w:rFonts w:ascii="Times New Roman" w:hAnsi="Times New Roman" w:cs="Times New Roman"/>
          <w:color w:val="000000"/>
        </w:rPr>
        <w:t xml:space="preserve"> o 24% vyššie u žien ako u mužov </w:t>
      </w:r>
    </w:p>
    <w:p w:rsidR="00FF7F48" w:rsidRPr="00075A86" w:rsidRDefault="00FF7F48" w:rsidP="00FF7F48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a hodnoty AUC boli o 12% vyššie u žien ako u mužov. Hodnoty C</w:t>
      </w:r>
      <w:r w:rsidRPr="00075A86">
        <w:rPr>
          <w:rFonts w:ascii="Times New Roman" w:hAnsi="Times New Roman" w:cs="Times New Roman"/>
          <w:color w:val="000000"/>
          <w:vertAlign w:val="subscript"/>
        </w:rPr>
        <w:t>max</w:t>
      </w:r>
      <w:r w:rsidRPr="00075A86">
        <w:rPr>
          <w:rFonts w:ascii="Times New Roman" w:hAnsi="Times New Roman" w:cs="Times New Roman"/>
          <w:color w:val="000000"/>
        </w:rPr>
        <w:t xml:space="preserve"> a AUC upravené podľa hmotnosti boli však podobné medzi oboma pohlaviami. Nie je potrebná žiadna úprava dávky na základe pohlavia.</w:t>
      </w:r>
    </w:p>
    <w:p w:rsidR="00A04FDA" w:rsidRPr="00075A86" w:rsidRDefault="00A04FDA" w:rsidP="00FF7F48">
      <w:pPr>
        <w:spacing w:after="0"/>
        <w:rPr>
          <w:rFonts w:ascii="Times New Roman" w:hAnsi="Times New Roman" w:cs="Times New Roman"/>
          <w:color w:val="000000"/>
        </w:rPr>
      </w:pP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>5.3  Predklinické údaje o bezpečnosti</w:t>
      </w: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lastRenderedPageBreak/>
        <w:t xml:space="preserve">Účinky v predklinických štúdiách sa všeobecne pozorovali pri expozíciách vyšších než je maximálna expozícia u ľudí. </w:t>
      </w: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Karcinogenéza, mutagenéza, poruchy plodnosti </w:t>
      </w: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U samčích potkanov bol štatisticky významný nárast tumorov močového mechúra (papilóm</w:t>
      </w:r>
      <w:r w:rsidR="00971B1C" w:rsidRPr="00075A86">
        <w:rPr>
          <w:rFonts w:ascii="Times New Roman" w:hAnsi="Times New Roman" w:cs="Times New Roman"/>
          <w:color w:val="000000"/>
        </w:rPr>
        <w:t xml:space="preserve"> z prechodných buniek</w:t>
      </w:r>
      <w:r w:rsidRPr="00075A86">
        <w:rPr>
          <w:rFonts w:ascii="Times New Roman" w:hAnsi="Times New Roman" w:cs="Times New Roman"/>
          <w:color w:val="000000"/>
        </w:rPr>
        <w:t xml:space="preserve"> a karcinóm) zistený iba v spojení s množstvom xantínu v skupine s vysokou dávkou pri dávke približne 11- krát vyššej, ako je podávaná u ľudí. Nebol pozorovaný signifikantný nárast žiadneho iného typu tumoru </w:t>
      </w:r>
      <w:r w:rsidR="00971B1C" w:rsidRPr="00075A86">
        <w:rPr>
          <w:rFonts w:ascii="Times New Roman" w:hAnsi="Times New Roman" w:cs="Times New Roman"/>
          <w:color w:val="000000"/>
        </w:rPr>
        <w:t>u samcov a samíc</w:t>
      </w:r>
      <w:r w:rsidRPr="00075A86">
        <w:rPr>
          <w:rFonts w:ascii="Times New Roman" w:hAnsi="Times New Roman" w:cs="Times New Roman"/>
          <w:color w:val="000000"/>
        </w:rPr>
        <w:t xml:space="preserve"> myš</w:t>
      </w:r>
      <w:r w:rsidR="00971B1C" w:rsidRPr="00075A86">
        <w:rPr>
          <w:rFonts w:ascii="Times New Roman" w:hAnsi="Times New Roman" w:cs="Times New Roman"/>
          <w:color w:val="000000"/>
        </w:rPr>
        <w:t>í</w:t>
      </w:r>
      <w:r w:rsidRPr="00075A86">
        <w:rPr>
          <w:rFonts w:ascii="Times New Roman" w:hAnsi="Times New Roman" w:cs="Times New Roman"/>
          <w:color w:val="000000"/>
        </w:rPr>
        <w:t xml:space="preserve"> a</w:t>
      </w:r>
      <w:r w:rsidR="00971B1C" w:rsidRPr="00075A86">
        <w:rPr>
          <w:rFonts w:ascii="Times New Roman" w:hAnsi="Times New Roman" w:cs="Times New Roman"/>
          <w:color w:val="000000"/>
        </w:rPr>
        <w:t>lebo</w:t>
      </w:r>
      <w:r w:rsidRPr="00075A86">
        <w:rPr>
          <w:rFonts w:ascii="Times New Roman" w:hAnsi="Times New Roman" w:cs="Times New Roman"/>
          <w:color w:val="000000"/>
        </w:rPr>
        <w:t xml:space="preserve"> potkano</w:t>
      </w:r>
      <w:r w:rsidR="00971B1C" w:rsidRPr="00075A86">
        <w:rPr>
          <w:rFonts w:ascii="Times New Roman" w:hAnsi="Times New Roman" w:cs="Times New Roman"/>
          <w:color w:val="000000"/>
        </w:rPr>
        <w:t>v</w:t>
      </w:r>
      <w:r w:rsidRPr="00075A86">
        <w:rPr>
          <w:rFonts w:ascii="Times New Roman" w:hAnsi="Times New Roman" w:cs="Times New Roman"/>
          <w:color w:val="000000"/>
        </w:rPr>
        <w:t xml:space="preserve">. Tieto nálezy sa pokladajú za dôsledok purínového metabolizmu a zloženia moču špecifického pre príslušný druh a nemajú žiadny význam pre klinické použitie. </w:t>
      </w: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Štandardná skupina testov na genotoxicitu neodhalila žiadne biologicky významné genotoxické účinky pre </w:t>
      </w:r>
      <w:r w:rsidR="00F00976" w:rsidRPr="00075A86">
        <w:rPr>
          <w:rFonts w:ascii="Times New Roman" w:hAnsi="Times New Roman" w:cs="Times New Roman"/>
          <w:color w:val="000000"/>
        </w:rPr>
        <w:t>febuxost</w:t>
      </w:r>
      <w:r w:rsidR="00F00976">
        <w:rPr>
          <w:rFonts w:ascii="Times New Roman" w:hAnsi="Times New Roman" w:cs="Times New Roman"/>
          <w:color w:val="000000"/>
        </w:rPr>
        <w:t>á</w:t>
      </w:r>
      <w:r w:rsidR="00F00976" w:rsidRPr="00075A86">
        <w:rPr>
          <w:rFonts w:ascii="Times New Roman" w:hAnsi="Times New Roman" w:cs="Times New Roman"/>
          <w:color w:val="000000"/>
        </w:rPr>
        <w:t>t</w:t>
      </w:r>
      <w:r w:rsidRPr="00075A86">
        <w:rPr>
          <w:rFonts w:ascii="Times New Roman" w:hAnsi="Times New Roman" w:cs="Times New Roman"/>
          <w:color w:val="000000"/>
        </w:rPr>
        <w:t xml:space="preserve">. </w:t>
      </w: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Zistilo sa, že </w:t>
      </w:r>
      <w:r w:rsidR="00F00976" w:rsidRPr="00075A86">
        <w:rPr>
          <w:rFonts w:ascii="Times New Roman" w:hAnsi="Times New Roman" w:cs="Times New Roman"/>
          <w:color w:val="000000"/>
        </w:rPr>
        <w:t>febuxost</w:t>
      </w:r>
      <w:r w:rsidR="00F00976">
        <w:rPr>
          <w:rFonts w:ascii="Times New Roman" w:hAnsi="Times New Roman" w:cs="Times New Roman"/>
          <w:color w:val="000000"/>
        </w:rPr>
        <w:t>á</w:t>
      </w:r>
      <w:r w:rsidR="00F00976" w:rsidRPr="00075A86">
        <w:rPr>
          <w:rFonts w:ascii="Times New Roman" w:hAnsi="Times New Roman" w:cs="Times New Roman"/>
          <w:color w:val="000000"/>
        </w:rPr>
        <w:t xml:space="preserve">t </w:t>
      </w:r>
      <w:r w:rsidRPr="00075A86">
        <w:rPr>
          <w:rFonts w:ascii="Times New Roman" w:hAnsi="Times New Roman" w:cs="Times New Roman"/>
          <w:color w:val="000000"/>
        </w:rPr>
        <w:t>podávaný v perorálnych dávkach maximálne 48 mg/kg za deň, nemal žiadne účinky na plodnosť a reprodukciu u sam</w:t>
      </w:r>
      <w:r w:rsidR="00971B1C" w:rsidRPr="00075A86">
        <w:rPr>
          <w:rFonts w:ascii="Times New Roman" w:hAnsi="Times New Roman" w:cs="Times New Roman"/>
          <w:color w:val="000000"/>
        </w:rPr>
        <w:t>cov</w:t>
      </w:r>
      <w:r w:rsidRPr="00075A86">
        <w:rPr>
          <w:rFonts w:ascii="Times New Roman" w:hAnsi="Times New Roman" w:cs="Times New Roman"/>
          <w:color w:val="000000"/>
        </w:rPr>
        <w:t xml:space="preserve"> a sam</w:t>
      </w:r>
      <w:r w:rsidR="00971B1C" w:rsidRPr="00075A86">
        <w:rPr>
          <w:rFonts w:ascii="Times New Roman" w:hAnsi="Times New Roman" w:cs="Times New Roman"/>
          <w:color w:val="000000"/>
        </w:rPr>
        <w:t>íc</w:t>
      </w:r>
      <w:r w:rsidRPr="00075A86">
        <w:rPr>
          <w:rFonts w:ascii="Times New Roman" w:hAnsi="Times New Roman" w:cs="Times New Roman"/>
          <w:color w:val="000000"/>
        </w:rPr>
        <w:t xml:space="preserve"> potkanov. </w:t>
      </w:r>
    </w:p>
    <w:p w:rsidR="00A04FDA" w:rsidRPr="00075A86" w:rsidRDefault="00A04FDA" w:rsidP="00A04F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9924AE" w:rsidRPr="00075A86" w:rsidRDefault="00A04FDA" w:rsidP="00A04FDA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Neboli zistené žiadne dôkazy o</w:t>
      </w:r>
      <w:r w:rsidR="00971B1C" w:rsidRPr="00075A86">
        <w:rPr>
          <w:rFonts w:ascii="Times New Roman" w:hAnsi="Times New Roman" w:cs="Times New Roman"/>
          <w:color w:val="000000"/>
        </w:rPr>
        <w:t xml:space="preserve"> poškodene</w:t>
      </w:r>
      <w:r w:rsidRPr="00075A86">
        <w:rPr>
          <w:rFonts w:ascii="Times New Roman" w:hAnsi="Times New Roman" w:cs="Times New Roman"/>
          <w:color w:val="000000"/>
        </w:rPr>
        <w:t>j plodnosti, teratogénnych účinko</w:t>
      </w:r>
      <w:r w:rsidR="00971B1C" w:rsidRPr="00075A86">
        <w:rPr>
          <w:rFonts w:ascii="Times New Roman" w:hAnsi="Times New Roman" w:cs="Times New Roman"/>
          <w:color w:val="000000"/>
        </w:rPr>
        <w:t>ch</w:t>
      </w:r>
      <w:r w:rsidRPr="00075A86">
        <w:rPr>
          <w:rFonts w:ascii="Times New Roman" w:hAnsi="Times New Roman" w:cs="Times New Roman"/>
          <w:color w:val="000000"/>
        </w:rPr>
        <w:t xml:space="preserve"> alebo poškoden</w:t>
      </w:r>
      <w:r w:rsidR="00971B1C" w:rsidRPr="00075A86">
        <w:rPr>
          <w:rFonts w:ascii="Times New Roman" w:hAnsi="Times New Roman" w:cs="Times New Roman"/>
          <w:color w:val="000000"/>
        </w:rPr>
        <w:t>í</w:t>
      </w:r>
      <w:r w:rsidRPr="00075A86">
        <w:rPr>
          <w:rFonts w:ascii="Times New Roman" w:hAnsi="Times New Roman" w:cs="Times New Roman"/>
          <w:color w:val="000000"/>
        </w:rPr>
        <w:t xml:space="preserve"> plodu spôsoben</w:t>
      </w:r>
      <w:r w:rsidR="00971B1C" w:rsidRPr="00075A86">
        <w:rPr>
          <w:rFonts w:ascii="Times New Roman" w:hAnsi="Times New Roman" w:cs="Times New Roman"/>
          <w:color w:val="000000"/>
        </w:rPr>
        <w:t>ých</w:t>
      </w:r>
      <w:r w:rsidRPr="00075A86">
        <w:rPr>
          <w:rFonts w:ascii="Times New Roman" w:hAnsi="Times New Roman" w:cs="Times New Roman"/>
          <w:color w:val="000000"/>
        </w:rPr>
        <w:t xml:space="preserve"> </w:t>
      </w:r>
      <w:r w:rsidR="00F00976" w:rsidRPr="00075A86">
        <w:rPr>
          <w:rFonts w:ascii="Times New Roman" w:hAnsi="Times New Roman" w:cs="Times New Roman"/>
          <w:color w:val="000000"/>
        </w:rPr>
        <w:t>febuxost</w:t>
      </w:r>
      <w:r w:rsidR="00F00976">
        <w:rPr>
          <w:rFonts w:ascii="Times New Roman" w:hAnsi="Times New Roman" w:cs="Times New Roman"/>
          <w:color w:val="000000"/>
        </w:rPr>
        <w:t>á</w:t>
      </w:r>
      <w:r w:rsidR="00F00976" w:rsidRPr="00075A86">
        <w:rPr>
          <w:rFonts w:ascii="Times New Roman" w:hAnsi="Times New Roman" w:cs="Times New Roman"/>
          <w:color w:val="000000"/>
        </w:rPr>
        <w:t>tom</w:t>
      </w:r>
      <w:r w:rsidRPr="00075A86">
        <w:rPr>
          <w:rFonts w:ascii="Times New Roman" w:hAnsi="Times New Roman" w:cs="Times New Roman"/>
          <w:color w:val="000000"/>
        </w:rPr>
        <w:t xml:space="preserve">. Pri použití dávok približne 4,3-krát vyšších ako sú expozície používané </w:t>
      </w:r>
    </w:p>
    <w:p w:rsidR="009924AE" w:rsidRPr="00075A86" w:rsidRDefault="00A04FDA" w:rsidP="00A04FDA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u ľudí sa zistila </w:t>
      </w:r>
      <w:r w:rsidR="00FD0727" w:rsidRPr="00075A86">
        <w:rPr>
          <w:rFonts w:ascii="Times New Roman" w:hAnsi="Times New Roman" w:cs="Times New Roman"/>
          <w:color w:val="000000"/>
        </w:rPr>
        <w:t xml:space="preserve">maternálna </w:t>
      </w:r>
      <w:r w:rsidRPr="00075A86">
        <w:rPr>
          <w:rFonts w:ascii="Times New Roman" w:hAnsi="Times New Roman" w:cs="Times New Roman"/>
          <w:color w:val="000000"/>
        </w:rPr>
        <w:t xml:space="preserve">toxicita spojená s vysokými dávkami, ktorá bola sprevádzaná znížením indexu </w:t>
      </w:r>
      <w:r w:rsidR="00FD0727" w:rsidRPr="00075A86">
        <w:rPr>
          <w:rFonts w:ascii="Times New Roman" w:hAnsi="Times New Roman" w:cs="Times New Roman"/>
          <w:color w:val="000000"/>
        </w:rPr>
        <w:t>odstavenia</w:t>
      </w:r>
      <w:r w:rsidRPr="00075A86">
        <w:rPr>
          <w:rFonts w:ascii="Times New Roman" w:hAnsi="Times New Roman" w:cs="Times New Roman"/>
          <w:color w:val="000000"/>
        </w:rPr>
        <w:t xml:space="preserve"> a spomaleným vývinom mláďat u potkanov. </w:t>
      </w:r>
      <w:r w:rsidR="00FD0727" w:rsidRPr="00075A86">
        <w:rPr>
          <w:rFonts w:ascii="Times New Roman" w:hAnsi="Times New Roman" w:cs="Times New Roman"/>
          <w:color w:val="000000"/>
        </w:rPr>
        <w:t>Š</w:t>
      </w:r>
      <w:r w:rsidRPr="00075A86">
        <w:rPr>
          <w:rFonts w:ascii="Times New Roman" w:hAnsi="Times New Roman" w:cs="Times New Roman"/>
          <w:color w:val="000000"/>
        </w:rPr>
        <w:t xml:space="preserve">túdie </w:t>
      </w:r>
      <w:r w:rsidR="00FD0727" w:rsidRPr="00075A86">
        <w:rPr>
          <w:rFonts w:ascii="Times New Roman" w:hAnsi="Times New Roman" w:cs="Times New Roman"/>
          <w:color w:val="000000"/>
        </w:rPr>
        <w:t xml:space="preserve">teratogenicity </w:t>
      </w:r>
      <w:r w:rsidRPr="00075A86">
        <w:rPr>
          <w:rFonts w:ascii="Times New Roman" w:hAnsi="Times New Roman" w:cs="Times New Roman"/>
          <w:color w:val="000000"/>
        </w:rPr>
        <w:t xml:space="preserve">uskutočnené </w:t>
      </w:r>
    </w:p>
    <w:p w:rsidR="009924AE" w:rsidRPr="00075A86" w:rsidRDefault="00A04FDA" w:rsidP="00A04FDA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u </w:t>
      </w:r>
      <w:r w:rsidR="00FD0727" w:rsidRPr="00075A86">
        <w:rPr>
          <w:rFonts w:ascii="Times New Roman" w:hAnsi="Times New Roman" w:cs="Times New Roman"/>
          <w:color w:val="000000"/>
        </w:rPr>
        <w:t>breziv</w:t>
      </w:r>
      <w:r w:rsidRPr="00075A86">
        <w:rPr>
          <w:rFonts w:ascii="Times New Roman" w:hAnsi="Times New Roman" w:cs="Times New Roman"/>
          <w:color w:val="000000"/>
        </w:rPr>
        <w:t xml:space="preserve">ých samíc potkanov pri použití dávok približne 4,3-krát vyšších ako expozície u ľudí </w:t>
      </w:r>
    </w:p>
    <w:p w:rsidR="00A04FDA" w:rsidRPr="00075A86" w:rsidRDefault="00A04FDA" w:rsidP="00A04FDA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a u </w:t>
      </w:r>
      <w:r w:rsidR="00FD0727" w:rsidRPr="00075A86">
        <w:rPr>
          <w:rFonts w:ascii="Times New Roman" w:hAnsi="Times New Roman" w:cs="Times New Roman"/>
          <w:color w:val="000000"/>
        </w:rPr>
        <w:t>breziv</w:t>
      </w:r>
      <w:r w:rsidRPr="00075A86">
        <w:rPr>
          <w:rFonts w:ascii="Times New Roman" w:hAnsi="Times New Roman" w:cs="Times New Roman"/>
          <w:color w:val="000000"/>
        </w:rPr>
        <w:t>ých samíc králikov 13-krát vyšších ako expozície u ľudí, neodhalili žiadne teratogénne účinky.</w:t>
      </w:r>
    </w:p>
    <w:p w:rsidR="00A04FDA" w:rsidRPr="00075A86" w:rsidRDefault="00A04FDA" w:rsidP="00A04FDA">
      <w:pPr>
        <w:spacing w:after="0"/>
        <w:rPr>
          <w:rFonts w:ascii="Times New Roman" w:hAnsi="Times New Roman" w:cs="Times New Roman"/>
          <w:color w:val="000000"/>
        </w:rPr>
      </w:pPr>
    </w:p>
    <w:p w:rsidR="00A04FDA" w:rsidRPr="00075A86" w:rsidRDefault="00A04FDA" w:rsidP="00A04FDA">
      <w:pPr>
        <w:spacing w:after="0"/>
        <w:rPr>
          <w:rFonts w:ascii="Times New Roman" w:hAnsi="Times New Roman" w:cs="Times New Roman"/>
          <w:color w:val="000000"/>
        </w:rPr>
      </w:pP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 FARMACEUTICKÉ INFORMÁCIE </w:t>
      </w: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6.1  Zoznam pomocných látok </w:t>
      </w: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Jadro tablety </w:t>
      </w: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monohydrát laktózy </w:t>
      </w: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mikrokryštalická celulóza </w:t>
      </w:r>
    </w:p>
    <w:p w:rsidR="00A04FDA" w:rsidRPr="00075A86" w:rsidRDefault="00FD0727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stearan horečnatý</w:t>
      </w: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hydroxypropylcelulóza </w:t>
      </w: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sodná soľ kroskarmelózy </w:t>
      </w:r>
    </w:p>
    <w:p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laktóza, bezvodá</w:t>
      </w: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koloidný oxid kremičitý </w:t>
      </w:r>
      <w:r w:rsidR="00FD0727" w:rsidRPr="00075A86">
        <w:rPr>
          <w:rFonts w:ascii="Times New Roman" w:hAnsi="Times New Roman" w:cs="Times New Roman"/>
          <w:color w:val="000000"/>
        </w:rPr>
        <w:t>bezvodý</w:t>
      </w:r>
    </w:p>
    <w:p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laurylsíran sodný</w:t>
      </w: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i/>
          <w:iCs/>
          <w:color w:val="000000"/>
        </w:rPr>
        <w:t xml:space="preserve">Obal tablety </w:t>
      </w:r>
    </w:p>
    <w:p w:rsidR="00A04FDA" w:rsidRPr="00075A86" w:rsidRDefault="00A04FDA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polyvinylalkohol </w:t>
      </w:r>
      <w:r w:rsidR="00860DEB" w:rsidRPr="00075A86">
        <w:rPr>
          <w:rFonts w:ascii="Times New Roman" w:hAnsi="Times New Roman" w:cs="Times New Roman"/>
          <w:color w:val="000000"/>
        </w:rPr>
        <w:t>(E1203)</w:t>
      </w:r>
    </w:p>
    <w:p w:rsidR="00A04FDA" w:rsidRPr="00075A86" w:rsidRDefault="00A04FDA" w:rsidP="00860DEB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oxid titaničitý (E171)</w:t>
      </w:r>
    </w:p>
    <w:p w:rsidR="00860DEB" w:rsidRPr="00075A86" w:rsidRDefault="00860DEB" w:rsidP="00860DEB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makrogol 3350 (E1521)</w:t>
      </w:r>
    </w:p>
    <w:p w:rsidR="00860DEB" w:rsidRPr="00075A86" w:rsidRDefault="00860DEB" w:rsidP="00860DEB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mastenec (E553b)</w:t>
      </w:r>
    </w:p>
    <w:p w:rsidR="00860DEB" w:rsidRPr="00075A86" w:rsidRDefault="00860DEB" w:rsidP="00860DEB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</w:rPr>
        <w:t>žltý oxid želez</w:t>
      </w:r>
      <w:r w:rsidR="00FD0727" w:rsidRPr="00075A86">
        <w:rPr>
          <w:rFonts w:ascii="Times New Roman" w:hAnsi="Times New Roman" w:cs="Times New Roman"/>
        </w:rPr>
        <w:t>it</w:t>
      </w:r>
      <w:r w:rsidRPr="00075A86">
        <w:rPr>
          <w:rFonts w:ascii="Times New Roman" w:hAnsi="Times New Roman" w:cs="Times New Roman"/>
        </w:rPr>
        <w:t>ý (E172)</w:t>
      </w:r>
    </w:p>
    <w:p w:rsidR="00860DEB" w:rsidRPr="00075A86" w:rsidRDefault="00860DEB" w:rsidP="00860DEB">
      <w:pPr>
        <w:spacing w:after="0"/>
        <w:rPr>
          <w:rFonts w:ascii="Times New Roman" w:hAnsi="Times New Roman" w:cs="Times New Roman"/>
        </w:rPr>
      </w:pPr>
    </w:p>
    <w:p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lastRenderedPageBreak/>
        <w:t xml:space="preserve">6.2  Inkompatibility </w:t>
      </w:r>
    </w:p>
    <w:p w:rsidR="00FD0727" w:rsidRPr="00075A86" w:rsidRDefault="00FD0727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Neaplikovateľné. </w:t>
      </w:r>
    </w:p>
    <w:p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6.3  Čas použiteľnosti </w:t>
      </w:r>
    </w:p>
    <w:p w:rsidR="00FD0727" w:rsidRPr="00075A86" w:rsidRDefault="00FD0727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30 mesiacov </w:t>
      </w:r>
    </w:p>
    <w:p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860DEB" w:rsidRPr="00075A86" w:rsidRDefault="00860DEB" w:rsidP="00860D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6.4  Špeciálne upozornenia na uchovávanie </w:t>
      </w:r>
    </w:p>
    <w:p w:rsidR="000F2DB1" w:rsidRDefault="000F2DB1" w:rsidP="00860DEB">
      <w:pPr>
        <w:spacing w:after="0"/>
        <w:rPr>
          <w:rFonts w:ascii="Times New Roman" w:hAnsi="Times New Roman" w:cs="Times New Roman"/>
          <w:color w:val="000000"/>
        </w:rPr>
      </w:pPr>
    </w:p>
    <w:p w:rsidR="00860DEB" w:rsidRPr="00075A86" w:rsidRDefault="00860DEB" w:rsidP="00860DEB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Tento liek nevyžaduje žiadne zvláštne podmienky na uchovávanie.</w:t>
      </w:r>
    </w:p>
    <w:p w:rsidR="00860DEB" w:rsidRPr="00075A86" w:rsidRDefault="00860DEB" w:rsidP="00860DEB">
      <w:pPr>
        <w:spacing w:after="0"/>
        <w:rPr>
          <w:rFonts w:ascii="Times New Roman" w:hAnsi="Times New Roman" w:cs="Times New Roman"/>
          <w:color w:val="000000"/>
        </w:rPr>
      </w:pPr>
    </w:p>
    <w:p w:rsidR="00860DEB" w:rsidRPr="00075A86" w:rsidRDefault="00860DEB" w:rsidP="00860DEB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6.5  Druh obalu a obsah balenia</w:t>
      </w:r>
    </w:p>
    <w:p w:rsidR="00FD0727" w:rsidRPr="00075A86" w:rsidRDefault="00FD0727" w:rsidP="00860DEB">
      <w:pPr>
        <w:spacing w:after="0"/>
        <w:rPr>
          <w:rFonts w:ascii="Times New Roman" w:hAnsi="Times New Roman" w:cs="Times New Roman"/>
          <w:bCs/>
        </w:rPr>
      </w:pPr>
    </w:p>
    <w:p w:rsidR="00860DEB" w:rsidRPr="00075A86" w:rsidRDefault="00860DEB" w:rsidP="00860DEB">
      <w:pPr>
        <w:spacing w:after="0"/>
        <w:rPr>
          <w:rFonts w:ascii="Times New Roman" w:hAnsi="Times New Roman" w:cs="Times New Roman"/>
          <w:bCs/>
        </w:rPr>
      </w:pPr>
      <w:r w:rsidRPr="00075A86">
        <w:rPr>
          <w:rFonts w:ascii="Times New Roman" w:hAnsi="Times New Roman" w:cs="Times New Roman"/>
          <w:bCs/>
        </w:rPr>
        <w:t>PVC/PE/PVDC/Alu blister alebo PVC/PCTFE/Alu blister</w:t>
      </w:r>
    </w:p>
    <w:p w:rsidR="00860DEB" w:rsidRPr="00075A86" w:rsidRDefault="00860DEB" w:rsidP="00860DEB">
      <w:pPr>
        <w:spacing w:after="0"/>
        <w:rPr>
          <w:rFonts w:ascii="Times New Roman" w:hAnsi="Times New Roman" w:cs="Times New Roman"/>
          <w:bCs/>
        </w:rPr>
      </w:pPr>
    </w:p>
    <w:p w:rsidR="00860DEB" w:rsidRPr="00075A86" w:rsidRDefault="001A7197" w:rsidP="00860DEB">
      <w:pPr>
        <w:spacing w:after="0"/>
        <w:rPr>
          <w:rFonts w:ascii="Times New Roman" w:hAnsi="Times New Roman" w:cs="Times New Roman"/>
          <w:bCs/>
        </w:rPr>
      </w:pPr>
      <w:r w:rsidRPr="001A7197">
        <w:rPr>
          <w:rFonts w:ascii="Times New Roman" w:hAnsi="Times New Roman" w:cs="Times New Roman"/>
          <w:bCs/>
        </w:rPr>
        <w:t>Abuxar</w:t>
      </w:r>
      <w:r w:rsidR="00860DEB" w:rsidRPr="00075A86">
        <w:rPr>
          <w:rFonts w:ascii="Times New Roman" w:hAnsi="Times New Roman" w:cs="Times New Roman"/>
          <w:bCs/>
        </w:rPr>
        <w:t xml:space="preserve"> 80 mg filmom obalené tablety je dostupný </w:t>
      </w:r>
      <w:r w:rsidR="00973DC2" w:rsidRPr="00075A86">
        <w:rPr>
          <w:rFonts w:ascii="Times New Roman" w:hAnsi="Times New Roman" w:cs="Times New Roman"/>
          <w:bCs/>
        </w:rPr>
        <w:t>v balení s obsahom 28 filmom obalených tabliet.</w:t>
      </w:r>
    </w:p>
    <w:p w:rsidR="00973DC2" w:rsidRPr="00075A86" w:rsidRDefault="00973DC2" w:rsidP="00860DEB">
      <w:pPr>
        <w:spacing w:after="0"/>
        <w:rPr>
          <w:rFonts w:ascii="Times New Roman" w:hAnsi="Times New Roman" w:cs="Times New Roman"/>
          <w:bCs/>
        </w:rPr>
      </w:pPr>
    </w:p>
    <w:p w:rsidR="00973DC2" w:rsidRPr="00075A86" w:rsidRDefault="00973DC2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6.6  Špeciálne opatrenia na likvidáciu a iné zaobchádzanie s liekom </w:t>
      </w:r>
    </w:p>
    <w:p w:rsidR="00FD0727" w:rsidRPr="00075A86" w:rsidRDefault="00FD0727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973DC2" w:rsidRPr="00075A86" w:rsidRDefault="00973DC2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 xml:space="preserve">Žiadne zvláštne požiadavky. </w:t>
      </w:r>
    </w:p>
    <w:p w:rsidR="00973DC2" w:rsidRPr="00075A86" w:rsidRDefault="00973DC2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FD0727" w:rsidRPr="00075A86" w:rsidRDefault="00FD0727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973DC2" w:rsidRPr="00075A86" w:rsidRDefault="00973DC2" w:rsidP="00973DC2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>7. DRŽITEĽ ROZHODNUTIA O REGISTRÁCII</w:t>
      </w:r>
    </w:p>
    <w:p w:rsidR="00D55193" w:rsidRPr="00075A86" w:rsidRDefault="00D55193" w:rsidP="00973DC2">
      <w:pPr>
        <w:spacing w:after="0"/>
        <w:rPr>
          <w:rFonts w:ascii="Times New Roman" w:hAnsi="Times New Roman" w:cs="Times New Roman"/>
          <w:bCs/>
          <w:color w:val="000000"/>
        </w:rPr>
      </w:pPr>
    </w:p>
    <w:p w:rsidR="00973DC2" w:rsidRPr="00075A86" w:rsidRDefault="00973DC2" w:rsidP="00973DC2">
      <w:pPr>
        <w:spacing w:after="0"/>
        <w:rPr>
          <w:rFonts w:ascii="Times New Roman" w:hAnsi="Times New Roman" w:cs="Times New Roman"/>
          <w:bCs/>
          <w:color w:val="000000"/>
        </w:rPr>
      </w:pPr>
      <w:r w:rsidRPr="00075A86">
        <w:rPr>
          <w:rFonts w:ascii="Times New Roman" w:hAnsi="Times New Roman" w:cs="Times New Roman"/>
          <w:bCs/>
          <w:color w:val="000000"/>
        </w:rPr>
        <w:t>Belupo lijekovi i kozmetika d.d.</w:t>
      </w:r>
    </w:p>
    <w:p w:rsidR="00973DC2" w:rsidRPr="00075A86" w:rsidRDefault="00973DC2" w:rsidP="00973DC2">
      <w:pPr>
        <w:spacing w:after="0"/>
        <w:rPr>
          <w:rFonts w:ascii="Times New Roman" w:hAnsi="Times New Roman" w:cs="Times New Roman"/>
          <w:bCs/>
          <w:color w:val="000000"/>
        </w:rPr>
      </w:pPr>
      <w:r w:rsidRPr="00075A86">
        <w:rPr>
          <w:rFonts w:ascii="Times New Roman" w:hAnsi="Times New Roman" w:cs="Times New Roman"/>
          <w:bCs/>
          <w:color w:val="000000"/>
        </w:rPr>
        <w:t>Ulica Danica 5, 48 000 Koprivnica, Chorvátska republika</w:t>
      </w:r>
    </w:p>
    <w:p w:rsidR="00973DC2" w:rsidRPr="00075A86" w:rsidRDefault="00973DC2" w:rsidP="00973DC2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D55193" w:rsidRPr="00075A86" w:rsidRDefault="00D55193" w:rsidP="00973DC2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973DC2" w:rsidRPr="00075A86" w:rsidRDefault="00973DC2" w:rsidP="00973DC2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8. REGISTRAČNÉ ČÍSL</w:t>
      </w:r>
      <w:r w:rsidR="00712EC9" w:rsidRPr="00075A86">
        <w:rPr>
          <w:rFonts w:ascii="Times New Roman" w:hAnsi="Times New Roman" w:cs="Times New Roman"/>
          <w:b/>
          <w:bCs/>
        </w:rPr>
        <w:t>O</w:t>
      </w:r>
    </w:p>
    <w:p w:rsidR="00973DC2" w:rsidRDefault="00973DC2" w:rsidP="00973DC2">
      <w:pPr>
        <w:spacing w:after="0"/>
        <w:rPr>
          <w:rFonts w:ascii="Times New Roman" w:hAnsi="Times New Roman" w:cs="Times New Roman"/>
          <w:b/>
          <w:bCs/>
        </w:rPr>
      </w:pPr>
    </w:p>
    <w:p w:rsidR="00CE5CCD" w:rsidRPr="00CE5CCD" w:rsidRDefault="00CE5CCD" w:rsidP="00973DC2">
      <w:pPr>
        <w:spacing w:after="0"/>
        <w:rPr>
          <w:rFonts w:ascii="Times New Roman" w:hAnsi="Times New Roman" w:cs="Times New Roman"/>
          <w:bCs/>
        </w:rPr>
      </w:pPr>
      <w:r w:rsidRPr="00CE5CCD">
        <w:rPr>
          <w:rFonts w:ascii="Times New Roman" w:hAnsi="Times New Roman" w:cs="Times New Roman"/>
          <w:bCs/>
        </w:rPr>
        <w:t>29/0199/17-S</w:t>
      </w:r>
    </w:p>
    <w:p w:rsidR="00973DC2" w:rsidRDefault="00973DC2" w:rsidP="00973DC2">
      <w:pPr>
        <w:spacing w:after="0"/>
        <w:rPr>
          <w:rFonts w:ascii="Times New Roman" w:hAnsi="Times New Roman" w:cs="Times New Roman"/>
          <w:b/>
          <w:bCs/>
        </w:rPr>
      </w:pPr>
    </w:p>
    <w:p w:rsidR="00CE5CCD" w:rsidRPr="00075A86" w:rsidRDefault="00CE5CCD" w:rsidP="00973DC2">
      <w:pPr>
        <w:spacing w:after="0"/>
        <w:rPr>
          <w:rFonts w:ascii="Times New Roman" w:hAnsi="Times New Roman" w:cs="Times New Roman"/>
          <w:b/>
          <w:bCs/>
        </w:rPr>
      </w:pPr>
    </w:p>
    <w:p w:rsidR="00973DC2" w:rsidRPr="00075A86" w:rsidRDefault="00973DC2" w:rsidP="00973D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b/>
          <w:bCs/>
          <w:color w:val="000000"/>
        </w:rPr>
        <w:t xml:space="preserve">9. DÁTUM PRVEJ REGISTRÁCIE </w:t>
      </w:r>
    </w:p>
    <w:p w:rsidR="00FD0727" w:rsidRPr="00075A86" w:rsidRDefault="00FD0727" w:rsidP="00973DC2">
      <w:pPr>
        <w:spacing w:after="0"/>
        <w:rPr>
          <w:rFonts w:ascii="Times New Roman" w:hAnsi="Times New Roman" w:cs="Times New Roman"/>
          <w:color w:val="000000"/>
        </w:rPr>
      </w:pPr>
    </w:p>
    <w:p w:rsidR="00973DC2" w:rsidRPr="00075A86" w:rsidRDefault="00973DC2" w:rsidP="00973DC2">
      <w:pPr>
        <w:spacing w:after="0"/>
        <w:rPr>
          <w:rFonts w:ascii="Times New Roman" w:hAnsi="Times New Roman" w:cs="Times New Roman"/>
          <w:color w:val="000000"/>
        </w:rPr>
      </w:pPr>
      <w:r w:rsidRPr="00075A86">
        <w:rPr>
          <w:rFonts w:ascii="Times New Roman" w:hAnsi="Times New Roman" w:cs="Times New Roman"/>
          <w:color w:val="000000"/>
        </w:rPr>
        <w:t>Dátum prvej registrácie:</w:t>
      </w:r>
    </w:p>
    <w:p w:rsidR="00973DC2" w:rsidRDefault="00973DC2" w:rsidP="00973DC2">
      <w:pPr>
        <w:spacing w:after="0"/>
        <w:rPr>
          <w:rFonts w:ascii="Times New Roman" w:hAnsi="Times New Roman" w:cs="Times New Roman"/>
          <w:color w:val="000000"/>
        </w:rPr>
      </w:pPr>
    </w:p>
    <w:p w:rsidR="00CE5CCD" w:rsidRPr="00075A86" w:rsidRDefault="00CE5CCD" w:rsidP="00973DC2">
      <w:pPr>
        <w:spacing w:after="0"/>
        <w:rPr>
          <w:rFonts w:ascii="Times New Roman" w:hAnsi="Times New Roman" w:cs="Times New Roman"/>
          <w:color w:val="000000"/>
        </w:rPr>
      </w:pPr>
    </w:p>
    <w:p w:rsidR="00973DC2" w:rsidRPr="00075A86" w:rsidRDefault="00973DC2" w:rsidP="00973DC2">
      <w:pPr>
        <w:spacing w:after="0"/>
        <w:rPr>
          <w:rFonts w:ascii="Times New Roman" w:hAnsi="Times New Roman" w:cs="Times New Roman"/>
          <w:b/>
          <w:bCs/>
        </w:rPr>
      </w:pPr>
      <w:r w:rsidRPr="00075A86">
        <w:rPr>
          <w:rFonts w:ascii="Times New Roman" w:hAnsi="Times New Roman" w:cs="Times New Roman"/>
          <w:b/>
          <w:bCs/>
        </w:rPr>
        <w:t>10. DÁTUM REVÍZIE TEXTU</w:t>
      </w:r>
    </w:p>
    <w:p w:rsidR="00D55193" w:rsidRPr="00075A86" w:rsidRDefault="00D55193" w:rsidP="00973DC2">
      <w:pPr>
        <w:spacing w:after="0"/>
        <w:rPr>
          <w:rFonts w:ascii="Times New Roman" w:hAnsi="Times New Roman" w:cs="Times New Roman"/>
          <w:b/>
          <w:bCs/>
        </w:rPr>
      </w:pPr>
    </w:p>
    <w:p w:rsidR="00D55193" w:rsidRPr="00075A86" w:rsidRDefault="00D55193" w:rsidP="00973DC2">
      <w:pPr>
        <w:spacing w:after="0"/>
        <w:rPr>
          <w:rFonts w:ascii="Times New Roman" w:hAnsi="Times New Roman" w:cs="Times New Roman"/>
        </w:rPr>
      </w:pPr>
      <w:r w:rsidRPr="00075A86">
        <w:rPr>
          <w:rFonts w:ascii="Times New Roman" w:hAnsi="Times New Roman" w:cs="Times New Roman"/>
          <w:bCs/>
        </w:rPr>
        <w:t>Júl 2017</w:t>
      </w:r>
    </w:p>
    <w:sectPr w:rsidR="00D55193" w:rsidRPr="00075A86" w:rsidSect="00CA0D1F">
      <w:footerReference w:type="default" r:id="rId11"/>
      <w:headerReference w:type="firs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901" w:rsidRDefault="00993901" w:rsidP="00FA4538">
      <w:pPr>
        <w:spacing w:after="0" w:line="240" w:lineRule="auto"/>
      </w:pPr>
      <w:r>
        <w:separator/>
      </w:r>
    </w:p>
  </w:endnote>
  <w:endnote w:type="continuationSeparator" w:id="0">
    <w:p w:rsidR="00993901" w:rsidRDefault="00993901" w:rsidP="00FA4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603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A7197" w:rsidRPr="00057EE8" w:rsidRDefault="001A7197">
        <w:pPr>
          <w:pStyle w:val="Pta"/>
          <w:jc w:val="center"/>
          <w:rPr>
            <w:rFonts w:ascii="Times New Roman" w:hAnsi="Times New Roman" w:cs="Times New Roman"/>
          </w:rPr>
        </w:pPr>
        <w:r w:rsidRPr="00057EE8">
          <w:rPr>
            <w:rFonts w:ascii="Times New Roman" w:hAnsi="Times New Roman" w:cs="Times New Roman"/>
          </w:rPr>
          <w:fldChar w:fldCharType="begin"/>
        </w:r>
        <w:r w:rsidRPr="00057EE8">
          <w:rPr>
            <w:rFonts w:ascii="Times New Roman" w:hAnsi="Times New Roman" w:cs="Times New Roman"/>
          </w:rPr>
          <w:instrText>PAGE   \* MERGEFORMAT</w:instrText>
        </w:r>
        <w:r w:rsidRPr="00057EE8">
          <w:rPr>
            <w:rFonts w:ascii="Times New Roman" w:hAnsi="Times New Roman" w:cs="Times New Roman"/>
          </w:rPr>
          <w:fldChar w:fldCharType="separate"/>
        </w:r>
        <w:r w:rsidR="0057601D">
          <w:rPr>
            <w:rFonts w:ascii="Times New Roman" w:hAnsi="Times New Roman" w:cs="Times New Roman"/>
            <w:noProof/>
          </w:rPr>
          <w:t>16</w:t>
        </w:r>
        <w:r w:rsidRPr="00057EE8">
          <w:rPr>
            <w:rFonts w:ascii="Times New Roman" w:hAnsi="Times New Roman" w:cs="Times New Roman"/>
          </w:rPr>
          <w:fldChar w:fldCharType="end"/>
        </w:r>
      </w:p>
    </w:sdtContent>
  </w:sdt>
  <w:p w:rsidR="001A7197" w:rsidRPr="00057EE8" w:rsidRDefault="001A7197" w:rsidP="00057EE8">
    <w:pPr>
      <w:pStyle w:val="Pta"/>
    </w:pPr>
  </w:p>
  <w:p w:rsidR="001A7197" w:rsidRDefault="001A719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901" w:rsidRDefault="00993901" w:rsidP="00FA4538">
      <w:pPr>
        <w:spacing w:after="0" w:line="240" w:lineRule="auto"/>
      </w:pPr>
      <w:r>
        <w:separator/>
      </w:r>
    </w:p>
  </w:footnote>
  <w:footnote w:type="continuationSeparator" w:id="0">
    <w:p w:rsidR="00993901" w:rsidRDefault="00993901" w:rsidP="00FA4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197" w:rsidRPr="00FA4538" w:rsidRDefault="001A7197" w:rsidP="00057EE8">
    <w:pPr>
      <w:pStyle w:val="Hlavika"/>
      <w:rPr>
        <w:rFonts w:ascii="Times New Roman" w:hAnsi="Times New Roman" w:cs="Times New Roman"/>
        <w:sz w:val="18"/>
        <w:szCs w:val="18"/>
      </w:rPr>
    </w:pPr>
    <w:r w:rsidRPr="00FA4538">
      <w:rPr>
        <w:rFonts w:ascii="Times New Roman" w:hAnsi="Times New Roman" w:cs="Times New Roman"/>
        <w:sz w:val="18"/>
        <w:szCs w:val="18"/>
      </w:rPr>
      <w:t>Schválený text k</w:t>
    </w:r>
    <w:r>
      <w:rPr>
        <w:rFonts w:ascii="Times New Roman" w:hAnsi="Times New Roman" w:cs="Times New Roman"/>
        <w:sz w:val="18"/>
        <w:szCs w:val="18"/>
      </w:rPr>
      <w:t> </w:t>
    </w:r>
    <w:r w:rsidRPr="00FA4538">
      <w:rPr>
        <w:rFonts w:ascii="Times New Roman" w:hAnsi="Times New Roman" w:cs="Times New Roman"/>
        <w:sz w:val="18"/>
        <w:szCs w:val="18"/>
      </w:rPr>
      <w:t>rozhodnutiu</w:t>
    </w:r>
    <w:r>
      <w:rPr>
        <w:rFonts w:ascii="Times New Roman" w:hAnsi="Times New Roman" w:cs="Times New Roman"/>
        <w:sz w:val="18"/>
        <w:szCs w:val="18"/>
      </w:rPr>
      <w:t xml:space="preserve"> o registrácii, ev. č.: 2016/03150-REG</w:t>
    </w:r>
    <w:r w:rsidRPr="00FA4538">
      <w:rPr>
        <w:rFonts w:ascii="Times New Roman" w:hAnsi="Times New Roman" w:cs="Times New Roman"/>
        <w:sz w:val="18"/>
        <w:szCs w:val="18"/>
      </w:rPr>
      <w:t xml:space="preserve"> </w:t>
    </w:r>
  </w:p>
  <w:p w:rsidR="001A7197" w:rsidRDefault="001A719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38"/>
    <w:rsid w:val="000208A4"/>
    <w:rsid w:val="00057EE8"/>
    <w:rsid w:val="0006382E"/>
    <w:rsid w:val="00073B5D"/>
    <w:rsid w:val="00075A86"/>
    <w:rsid w:val="00096882"/>
    <w:rsid w:val="000F2DB1"/>
    <w:rsid w:val="0016102F"/>
    <w:rsid w:val="001931B9"/>
    <w:rsid w:val="001A7197"/>
    <w:rsid w:val="00240E17"/>
    <w:rsid w:val="00242798"/>
    <w:rsid w:val="00245B5E"/>
    <w:rsid w:val="00294774"/>
    <w:rsid w:val="002A540F"/>
    <w:rsid w:val="002B420C"/>
    <w:rsid w:val="002E504A"/>
    <w:rsid w:val="002F555E"/>
    <w:rsid w:val="00301A09"/>
    <w:rsid w:val="00303380"/>
    <w:rsid w:val="003467FB"/>
    <w:rsid w:val="00355A7B"/>
    <w:rsid w:val="00362118"/>
    <w:rsid w:val="00397A72"/>
    <w:rsid w:val="003F0D99"/>
    <w:rsid w:val="004152AE"/>
    <w:rsid w:val="0042788C"/>
    <w:rsid w:val="00431EE6"/>
    <w:rsid w:val="00452B11"/>
    <w:rsid w:val="00454136"/>
    <w:rsid w:val="00472636"/>
    <w:rsid w:val="004B6038"/>
    <w:rsid w:val="00510F78"/>
    <w:rsid w:val="0057601D"/>
    <w:rsid w:val="00692549"/>
    <w:rsid w:val="0069538F"/>
    <w:rsid w:val="006D7AE9"/>
    <w:rsid w:val="006E61B3"/>
    <w:rsid w:val="007032C9"/>
    <w:rsid w:val="00712EC9"/>
    <w:rsid w:val="007417F7"/>
    <w:rsid w:val="00741DE7"/>
    <w:rsid w:val="00757FF8"/>
    <w:rsid w:val="00767D49"/>
    <w:rsid w:val="007A5714"/>
    <w:rsid w:val="007B0935"/>
    <w:rsid w:val="007D2C62"/>
    <w:rsid w:val="00860DEB"/>
    <w:rsid w:val="008B3297"/>
    <w:rsid w:val="008E3266"/>
    <w:rsid w:val="008E4067"/>
    <w:rsid w:val="0090438A"/>
    <w:rsid w:val="00947D25"/>
    <w:rsid w:val="00962E1B"/>
    <w:rsid w:val="0096522B"/>
    <w:rsid w:val="00971B1C"/>
    <w:rsid w:val="00973DC2"/>
    <w:rsid w:val="00974BDE"/>
    <w:rsid w:val="009924AE"/>
    <w:rsid w:val="00993901"/>
    <w:rsid w:val="009B5631"/>
    <w:rsid w:val="00A04FDA"/>
    <w:rsid w:val="00A05B02"/>
    <w:rsid w:val="00A12D1F"/>
    <w:rsid w:val="00A14671"/>
    <w:rsid w:val="00A84522"/>
    <w:rsid w:val="00B156EB"/>
    <w:rsid w:val="00B66240"/>
    <w:rsid w:val="00B764E0"/>
    <w:rsid w:val="00B8795A"/>
    <w:rsid w:val="00C75EF8"/>
    <w:rsid w:val="00CA02CD"/>
    <w:rsid w:val="00CA0D1F"/>
    <w:rsid w:val="00CE5CCD"/>
    <w:rsid w:val="00D46559"/>
    <w:rsid w:val="00D4781E"/>
    <w:rsid w:val="00D52984"/>
    <w:rsid w:val="00D55193"/>
    <w:rsid w:val="00D65851"/>
    <w:rsid w:val="00DB616F"/>
    <w:rsid w:val="00DD0252"/>
    <w:rsid w:val="00DD1301"/>
    <w:rsid w:val="00E21952"/>
    <w:rsid w:val="00E32A8F"/>
    <w:rsid w:val="00E3507B"/>
    <w:rsid w:val="00EA6EDF"/>
    <w:rsid w:val="00EC68AE"/>
    <w:rsid w:val="00F00976"/>
    <w:rsid w:val="00F02C4A"/>
    <w:rsid w:val="00F30A2C"/>
    <w:rsid w:val="00F374EA"/>
    <w:rsid w:val="00F772E1"/>
    <w:rsid w:val="00F96D9F"/>
    <w:rsid w:val="00FA4538"/>
    <w:rsid w:val="00FA6A28"/>
    <w:rsid w:val="00FD0727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A45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FA4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4538"/>
  </w:style>
  <w:style w:type="paragraph" w:styleId="Pta">
    <w:name w:val="footer"/>
    <w:basedOn w:val="Normlny"/>
    <w:link w:val="PtaChar"/>
    <w:uiPriority w:val="99"/>
    <w:unhideWhenUsed/>
    <w:rsid w:val="00FA4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4538"/>
  </w:style>
  <w:style w:type="paragraph" w:styleId="Odsekzoznamu">
    <w:name w:val="List Paragraph"/>
    <w:basedOn w:val="Normlny"/>
    <w:uiPriority w:val="34"/>
    <w:qFormat/>
    <w:rsid w:val="00FA453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5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7EE8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D52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semiHidden/>
    <w:rsid w:val="00245B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character" w:customStyle="1" w:styleId="TextkomentraChar">
    <w:name w:val="Text komentára Char"/>
    <w:basedOn w:val="Predvolenpsmoodseku"/>
    <w:link w:val="Textkomentra"/>
    <w:semiHidden/>
    <w:rsid w:val="00245B5E"/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paragraph" w:customStyle="1" w:styleId="Abbreviations">
    <w:name w:val="Abbreviations"/>
    <w:basedOn w:val="Normlny"/>
    <w:rsid w:val="00245B5E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styleId="Hypertextovprepojenie">
    <w:name w:val="Hyperlink"/>
    <w:rsid w:val="00EA6E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A45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FA4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4538"/>
  </w:style>
  <w:style w:type="paragraph" w:styleId="Pta">
    <w:name w:val="footer"/>
    <w:basedOn w:val="Normlny"/>
    <w:link w:val="PtaChar"/>
    <w:uiPriority w:val="99"/>
    <w:unhideWhenUsed/>
    <w:rsid w:val="00FA4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4538"/>
  </w:style>
  <w:style w:type="paragraph" w:styleId="Odsekzoznamu">
    <w:name w:val="List Paragraph"/>
    <w:basedOn w:val="Normlny"/>
    <w:uiPriority w:val="34"/>
    <w:qFormat/>
    <w:rsid w:val="00FA453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5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7EE8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D52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semiHidden/>
    <w:rsid w:val="00245B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character" w:customStyle="1" w:styleId="TextkomentraChar">
    <w:name w:val="Text komentára Char"/>
    <w:basedOn w:val="Predvolenpsmoodseku"/>
    <w:link w:val="Textkomentra"/>
    <w:semiHidden/>
    <w:rsid w:val="00245B5E"/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paragraph" w:customStyle="1" w:styleId="Abbreviations">
    <w:name w:val="Abbreviations"/>
    <w:basedOn w:val="Normlny"/>
    <w:rsid w:val="00245B5E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styleId="Hypertextovprepojenie">
    <w:name w:val="Hyperlink"/>
    <w:rsid w:val="00EA6E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7B129-8E0E-4313-AC09-E0E4FA472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16</Pages>
  <Words>5880</Words>
  <Characters>33518</Characters>
  <Application>Microsoft Office Word</Application>
  <DocSecurity>0</DocSecurity>
  <Lines>279</Lines>
  <Paragraphs>78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Csibova Ingrid</dc:creator>
  <cp:lastModifiedBy>Molnárová, Eva</cp:lastModifiedBy>
  <cp:revision>35</cp:revision>
  <cp:lastPrinted>2017-06-27T08:40:00Z</cp:lastPrinted>
  <dcterms:created xsi:type="dcterms:W3CDTF">2017-06-26T11:24:00Z</dcterms:created>
  <dcterms:modified xsi:type="dcterms:W3CDTF">2017-07-12T14:47:00Z</dcterms:modified>
</cp:coreProperties>
</file>