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8" w:rsidRPr="00075A86" w:rsidRDefault="00FA4538" w:rsidP="00057EE8">
      <w:pPr>
        <w:pStyle w:val="Default"/>
      </w:pPr>
      <w:bookmarkStart w:id="0" w:name="_GoBack"/>
      <w:bookmarkEnd w:id="0"/>
    </w:p>
    <w:p w:rsidR="00FA4538" w:rsidRPr="00075A86" w:rsidRDefault="00FA4538" w:rsidP="00FA4538">
      <w:pPr>
        <w:pStyle w:val="Default"/>
        <w:jc w:val="center"/>
      </w:pPr>
    </w:p>
    <w:p w:rsidR="00FA4538" w:rsidRPr="00075A86" w:rsidRDefault="00FA4538" w:rsidP="00FA4538">
      <w:pPr>
        <w:pStyle w:val="Default"/>
        <w:jc w:val="center"/>
      </w:pPr>
    </w:p>
    <w:p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:rsidR="00FA4538" w:rsidRPr="00075A86" w:rsidRDefault="005064C3" w:rsidP="00FA4538">
      <w:pPr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r w:rsidRPr="00075A86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FA4538" w:rsidRPr="00075A86">
        <w:rPr>
          <w:rFonts w:ascii="Times New Roman" w:hAnsi="Times New Roman" w:cs="Times New Roman"/>
          <w:bCs/>
        </w:rPr>
        <w:t>mg filmom obalené tablety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 xml:space="preserve">0 </w:t>
      </w:r>
      <w:r w:rsidRPr="00075A86">
        <w:rPr>
          <w:sz w:val="22"/>
          <w:szCs w:val="22"/>
        </w:rPr>
        <w:t xml:space="preserve">mg </w:t>
      </w:r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5B2E">
        <w:rPr>
          <w:sz w:val="22"/>
          <w:szCs w:val="22"/>
        </w:rPr>
        <w:t>114,75</w:t>
      </w:r>
      <w:r w:rsidRPr="00075A86">
        <w:rPr>
          <w:sz w:val="22"/>
          <w:szCs w:val="22"/>
        </w:rPr>
        <w:t xml:space="preserve"> 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>0</w:t>
      </w:r>
      <w:r w:rsidRPr="00075A86">
        <w:rPr>
          <w:sz w:val="22"/>
          <w:szCs w:val="22"/>
        </w:rPr>
        <w:t>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 xml:space="preserve">Dĺžka tablety je približne </w:t>
      </w:r>
      <w:r w:rsidR="00FA5B2E">
        <w:rPr>
          <w:sz w:val="22"/>
          <w:szCs w:val="22"/>
        </w:rPr>
        <w:t>19,1</w:t>
      </w:r>
      <w:r w:rsidR="009B5631" w:rsidRPr="00075A86">
        <w:rPr>
          <w:sz w:val="22"/>
          <w:szCs w:val="22"/>
        </w:rPr>
        <w:t xml:space="preserve"> mm a šírka okolo </w:t>
      </w:r>
      <w:r w:rsidR="00FA5B2E">
        <w:rPr>
          <w:sz w:val="22"/>
          <w:szCs w:val="22"/>
        </w:rPr>
        <w:t>8,0</w:t>
      </w:r>
      <w:r w:rsidR="009B5631" w:rsidRPr="00075A86">
        <w:rPr>
          <w:sz w:val="22"/>
          <w:szCs w:val="22"/>
        </w:rPr>
        <w:t xml:space="preserve"> mm.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:rsidR="006D7AE9" w:rsidRPr="005064C3" w:rsidRDefault="005064C3" w:rsidP="003467FB">
      <w:pPr>
        <w:pStyle w:val="Default"/>
        <w:spacing w:line="276" w:lineRule="auto"/>
        <w:rPr>
          <w:sz w:val="22"/>
          <w:szCs w:val="22"/>
        </w:rPr>
      </w:pPr>
      <w:r w:rsidRPr="005064C3">
        <w:rPr>
          <w:bCs/>
          <w:sz w:val="22"/>
          <w:szCs w:val="22"/>
        </w:rPr>
        <w:t>Abuxar</w:t>
      </w:r>
      <w:r w:rsidRPr="005064C3" w:rsidDel="005064C3">
        <w:rPr>
          <w:sz w:val="22"/>
          <w:szCs w:val="22"/>
        </w:rPr>
        <w:t xml:space="preserve"> </w:t>
      </w:r>
      <w:r w:rsidR="000208A4" w:rsidRPr="005064C3">
        <w:rPr>
          <w:sz w:val="22"/>
          <w:szCs w:val="22"/>
        </w:rPr>
        <w:t xml:space="preserve">je indikovaný na liečbu chronickej </w:t>
      </w:r>
      <w:r w:rsidR="003467FB" w:rsidRPr="005064C3">
        <w:rPr>
          <w:sz w:val="22"/>
          <w:szCs w:val="22"/>
        </w:rPr>
        <w:t xml:space="preserve">hyperurikémie pri stavoch, </w:t>
      </w:r>
      <w:r w:rsidR="00454136" w:rsidRPr="005064C3">
        <w:rPr>
          <w:sz w:val="22"/>
          <w:szCs w:val="22"/>
        </w:rPr>
        <w:t>u</w:t>
      </w:r>
      <w:r w:rsidR="003467FB" w:rsidRPr="005064C3">
        <w:rPr>
          <w:sz w:val="22"/>
          <w:szCs w:val="22"/>
        </w:rPr>
        <w:t xml:space="preserve"> ktorých už došlo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urátov (vrátane anamnézy alebo prítomnosti tofu a/alebo dnavej artritídy).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5064C3" w:rsidP="003467FB">
      <w:pPr>
        <w:spacing w:after="0"/>
        <w:rPr>
          <w:rFonts w:ascii="Times New Roman" w:hAnsi="Times New Roman" w:cs="Times New Roman"/>
        </w:rPr>
      </w:pPr>
      <w:r w:rsidRPr="005064C3">
        <w:rPr>
          <w:rFonts w:ascii="Times New Roman" w:hAnsi="Times New Roman" w:cs="Times New Roman"/>
          <w:bCs/>
        </w:rPr>
        <w:t>Abuxar</w:t>
      </w:r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Odporúčaná perorálna dávka </w:t>
      </w:r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r w:rsidRPr="00075A86">
        <w:rPr>
          <w:sz w:val="22"/>
          <w:szCs w:val="22"/>
        </w:rPr>
        <w:t xml:space="preserve"> 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), môže sa zvážiť podávanie </w:t>
      </w:r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r w:rsidRPr="00075A86">
        <w:rPr>
          <w:sz w:val="22"/>
          <w:szCs w:val="22"/>
        </w:rPr>
        <w:t xml:space="preserve"> 120 mg raz denne.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5064C3" w:rsidP="00303380">
      <w:pPr>
        <w:pStyle w:val="Default"/>
        <w:spacing w:line="276" w:lineRule="auto"/>
        <w:rPr>
          <w:sz w:val="22"/>
          <w:szCs w:val="22"/>
        </w:rPr>
      </w:pPr>
      <w:r w:rsidRPr="005064C3">
        <w:rPr>
          <w:bCs/>
          <w:sz w:val="22"/>
          <w:szCs w:val="22"/>
        </w:rPr>
        <w:t>Abuxar</w:t>
      </w:r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μmol/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dnavého záchvatu minimálne 6 mesiacov (pozri časť 4.4). </w:t>
      </w:r>
    </w:p>
    <w:p w:rsidR="00F02C4A" w:rsidRPr="00075A86" w:rsidRDefault="00F02C4A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Starší ľudia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obličiek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Účinnosť a bezpečnosť neboli úplne vyhodnotené u pacientov s vážnym poškodením obličiek (klírens kreatinínu &lt;30 m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/min, 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Úprava dávky nie je potrebná u pacientov s miernou alebo stredne ťažkou poruchou funkcie obličiek.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pečene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Účinnosť a bezpečnosť 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 sa neštudovala u pacientov s ťažkou poruchou pečene (Child</w:t>
      </w:r>
      <w:r w:rsidR="00096882" w:rsidRPr="00075A86">
        <w:rPr>
          <w:rFonts w:ascii="Times New Roman" w:hAnsi="Times New Roman" w:cs="Times New Roman"/>
        </w:rPr>
        <w:t>ova-</w:t>
      </w:r>
      <w:r w:rsidRPr="00075A86">
        <w:rPr>
          <w:rFonts w:ascii="Times New Roman" w:hAnsi="Times New Roman" w:cs="Times New Roman"/>
        </w:rPr>
        <w:t xml:space="preserve"> Pugh</w:t>
      </w:r>
      <w:r w:rsidR="0009688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Odporúčané dávkovanie u pacientov s miernym poškodením pečene je 80 mg. U pacientov so stredne závažným poškodením pečene sú k dispozícii iba obmedzené informácie.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Bezpečnosť a účinnosť 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u detí do 18 rokov nebola stanovená. Nie sú k dispozícii žiadne údaje.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:rsidR="00303380" w:rsidRPr="00075A86" w:rsidRDefault="005064C3" w:rsidP="00303380">
      <w:pPr>
        <w:pStyle w:val="Default"/>
        <w:spacing w:line="276" w:lineRule="auto"/>
        <w:rPr>
          <w:sz w:val="22"/>
          <w:szCs w:val="22"/>
        </w:rPr>
      </w:pPr>
      <w:r w:rsidRPr="005064C3">
        <w:rPr>
          <w:bCs/>
          <w:sz w:val="22"/>
          <w:szCs w:val="22"/>
        </w:rPr>
        <w:t>Abuxar</w:t>
      </w:r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:rsidR="00057EE8" w:rsidRPr="00075A86" w:rsidRDefault="00057EE8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</w:p>
    <w:p w:rsidR="00057EE8" w:rsidRPr="00075A86" w:rsidRDefault="00057EE8" w:rsidP="00057EE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Kardiovaskulárne poruchy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 s ischemickou chorobou srdca alebo chronickým srdcovým zlyhávaním sa liečba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neodporúča. </w:t>
      </w:r>
    </w:p>
    <w:p w:rsidR="00294774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Anti-Platelet Trialists´Collaboration (APTC) zahrňujúci kardiovaskulárnu smrť, nefatálny infarkt myokardu, nefatálnu mozgovú príhodu) bol pozorovaný u celej skupiny podstupujúcej liečbu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>v porovnaní so skupinou podstupujúcou liečbu alopurinolom v APEX a FACT štúdiách (1,3 oproti 0,3 príhodám na 100 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 xml:space="preserve">okov (PR)), ale nie v CONFIRMS štúdii (pozri časť 5.1 pre podrobné údaje o štúdiách). Výskyt skúšajúcim hlásených kardiovaskulárnych APTC príhod </w:t>
      </w:r>
    </w:p>
    <w:p w:rsidR="00057EE8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pacientorokov. V dlhodobej rozšírenej štúdii výskyt skúšajúcim hlásených APTC príhod pre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 xml:space="preserve">bol 1,2 a pre alopurinol 0,6 príhod na 100 pacientorokov. Nenašli sa žiadne štatisticky významné rozdiely a u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nebol potvrdený žiadny príčinný vzťah. Rizikové faktory, ktoré boli identifikované u týchto pacientov, zahŕňali anamnézu aterosklerotického ochorenia a/alebo infarktu myokardu alebo kongestívneho srdcového zlyhania.</w:t>
      </w:r>
    </w:p>
    <w:p w:rsidR="00F772E1" w:rsidRPr="00075A86" w:rsidRDefault="00F772E1" w:rsidP="00057EE8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postmarketingových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r w:rsidRPr="00075A86">
        <w:rPr>
          <w:sz w:val="22"/>
          <w:szCs w:val="22"/>
        </w:rPr>
        <w:t>hypersenzitívnych</w:t>
      </w:r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 syndrómu, toxickej epidermálnej nekrolýzy a akútnej anafylaktickej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r w:rsidRPr="00075A86">
        <w:rPr>
          <w:sz w:val="22"/>
          <w:szCs w:val="22"/>
        </w:rPr>
        <w:t xml:space="preserve">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Niektorí z týchto pacientov, ale nie všetci, hlásili poškodenie obličiek a/alebo predchádzajúcu hypersenzitivitu na alopurinol. Závažné hypersenzitívne reakcie vrátane liekovej reakcie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eozinofíliou a systémovými symptómami (</w:t>
      </w:r>
      <w:r w:rsidR="00C75EF8" w:rsidRPr="006E61B3">
        <w:rPr>
          <w:sz w:val="22"/>
          <w:szCs w:val="22"/>
          <w:lang w:eastAsia="el-GR"/>
        </w:rPr>
        <w:t>Drug Reaction with Eosinophilia and Systemic Symptoms,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hypersenzitívnych reakcií (pozri časť 4.8).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Liečba 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 má byť ihneď ukončená pri výskyte závažných alergických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>hypersenzitívnych</w:t>
      </w:r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Stevensovho-Johnsonovho syndrómu, pretože skoré ukončenie liečby je spojené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>hypersenzitívne reakcie, vrátane Stevensovho-Johnsonovho syndrómu a akútnej anafylaktickej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sa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 xml:space="preserve">tom sa nesmie začať, pokiaľ úplne neodznie akútny dnavý záchvat. Po začatí liečby sa môžu vyskytnúť dnavé záchvaty, a to kvôli zmene koncentrácie kyseliny močovej v sére vyplývajúcej z mobilizácie urátov uložených v tkanivách (pozri časti 4.8 a 5.1). Pri začatí liečby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kolchicínu (pozri časť 4.2).</w:t>
      </w:r>
    </w:p>
    <w:p w:rsidR="00057EE8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dnavý záchvat vyskytne počas liečby </w:t>
      </w:r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Dnavý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znižuje frekvenciu a intenzitu dnavých záchvatov.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xantínu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urátov (napr. malígne ochorenie a jeho liečba, Leschov-Nyhanov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xantínu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Keďže nie sú žiadne skúsenosti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užívaním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, u týchto </w:t>
      </w:r>
      <w:r w:rsidR="0042788C" w:rsidRPr="00075A86">
        <w:rPr>
          <w:sz w:val="22"/>
          <w:szCs w:val="22"/>
        </w:rPr>
        <w:t>pacientov</w:t>
      </w:r>
      <w:r w:rsidRPr="00075A86">
        <w:rPr>
          <w:sz w:val="22"/>
          <w:szCs w:val="22"/>
        </w:rPr>
        <w:t xml:space="preserve"> sa jeho užívanie neodporúča.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Merkaptopurín/azatioprín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Použitie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sa neodporúča u pacientov, ktorí sú súčasne liečení merkaptopurínom alebo azatioprínom. Ak nie je možné sa tejto kombinácii vyhnúť, pacienti musia byť starostlivo monitorovaní. Odporúča sa redukcia dávky merkaptopurínu alebo azatioprínu s cieľom vyhnúť sa možným hematologickým účinkom (pozri časť 4.5).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u týchto pacientov neodporúča (pozri časť 5.1).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a jednej dávky 400 mg teofylínu zdravým dobrovoľníkom neukázalo žiadnu farmakokinetickú interakciu (pozri časť 4.5).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sa </w:t>
      </w:r>
      <w:r w:rsidRPr="00075A86">
        <w:rPr>
          <w:sz w:val="22"/>
          <w:szCs w:val="22"/>
        </w:rPr>
        <w:lastRenderedPageBreak/>
        <w:t xml:space="preserve">môže používať u pacientov, ktorí sú súčasne liečení teofylínom bez rizika zvýšenia plazmatických hladín teofylínu. Pre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a potom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pravidelných intervaloch sa odporúča vyšetriť funkciu pečene na základe klinického hodnotenia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>(5,5%) pozorované zvýšené hodnoty TSH (&gt;5,5 μIU/m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Laktóza </w:t>
      </w:r>
    </w:p>
    <w:p w:rsidR="00F772E1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6E61B3">
        <w:rPr>
          <w:rFonts w:ascii="Times New Roman" w:hAnsi="Times New Roman" w:cs="Times New Roman"/>
          <w:b/>
        </w:rPr>
        <w:t xml:space="preserve">Tablety </w:t>
      </w:r>
      <w:r w:rsidR="005064C3" w:rsidRPr="005064C3">
        <w:rPr>
          <w:rFonts w:ascii="Times New Roman" w:hAnsi="Times New Roman" w:cs="Times New Roman"/>
          <w:b/>
          <w:bCs/>
        </w:rPr>
        <w:t>Abuxaru</w:t>
      </w:r>
      <w:r w:rsidRPr="006E61B3">
        <w:rPr>
          <w:rFonts w:ascii="Times New Roman" w:hAnsi="Times New Roman" w:cs="Times New Roman"/>
          <w:b/>
        </w:rPr>
        <w:t xml:space="preserve"> obsahujú laktózu.</w:t>
      </w:r>
      <w:r w:rsidRPr="00075A86">
        <w:rPr>
          <w:rFonts w:ascii="Times New Roman" w:hAnsi="Times New Roman" w:cs="Times New Roman"/>
        </w:rPr>
        <w:t xml:space="preserve"> Pacienti so zriedkavými dedičnými problémami galaktózovej intolerancie, lapónskeho deficitu laktázy alebo glukózo-galaktózovej malabsorpcie nesmú užívať tento liek.</w:t>
      </w:r>
    </w:p>
    <w:p w:rsidR="00057EE8" w:rsidRPr="00075A86" w:rsidRDefault="00057EE8" w:rsidP="007D2C62">
      <w:pPr>
        <w:spacing w:after="0"/>
        <w:rPr>
          <w:rFonts w:ascii="Times New Roman" w:hAnsi="Times New Roman" w:cs="Times New Roman"/>
        </w:rPr>
      </w:pPr>
    </w:p>
    <w:p w:rsidR="007D2C62" w:rsidRPr="00075A86" w:rsidRDefault="00F772E1" w:rsidP="007D2C62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Merkaptopurín/azatioprín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na inhibíciu xantínoxidázy</w:t>
      </w:r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 (pozri časť 4.4). Štúdie interakcií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 liekmi,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neboli uskutočnené.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cytotoxickou chemoterapiou neboli vykonané. Nie sú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dispozícii žiadne údaje týkajúce sa bezpečnosti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počas cytotoxickej terapie.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69538F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 xml:space="preserve">n/CYP2C8 substráty </w:t>
      </w:r>
    </w:p>
    <w:p w:rsidR="00F772E1" w:rsidRPr="0069538F" w:rsidRDefault="0069538F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sz w:val="22"/>
          <w:szCs w:val="22"/>
        </w:rPr>
        <w:t xml:space="preserve">Febuxostát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>in vitro</w:t>
      </w:r>
      <w:r w:rsidR="00F772E1" w:rsidRPr="0069538F">
        <w:rPr>
          <w:sz w:val="22"/>
          <w:szCs w:val="22"/>
        </w:rPr>
        <w:t>. V štúdii so zdravými dobrovoľníkmi súčasné podanie perorálnej dávky 120 mg 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 QD s jednou dávkou 4 mg perorálne podaného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 nemalo účinok na farmakokinetiku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 a jeho metabolit</w:t>
      </w:r>
      <w:r w:rsidR="00510F78" w:rsidRPr="0069538F">
        <w:rPr>
          <w:sz w:val="22"/>
          <w:szCs w:val="22"/>
        </w:rPr>
        <w:t>u</w:t>
      </w:r>
      <w:r w:rsidR="00F772E1" w:rsidRPr="0069538F">
        <w:rPr>
          <w:sz w:val="22"/>
          <w:szCs w:val="22"/>
        </w:rPr>
        <w:t xml:space="preserve"> N-</w:t>
      </w:r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 xml:space="preserve">t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>in vivo</w:t>
      </w:r>
      <w:r w:rsidR="00F772E1" w:rsidRPr="0069538F">
        <w:rPr>
          <w:sz w:val="22"/>
          <w:szCs w:val="22"/>
        </w:rPr>
        <w:t xml:space="preserve">. Súčasné podanie </w:t>
      </w:r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 xml:space="preserve">tu </w:t>
      </w:r>
      <w:r w:rsidR="00F772E1" w:rsidRPr="0069538F">
        <w:rPr>
          <w:sz w:val="22"/>
          <w:szCs w:val="22"/>
        </w:rPr>
        <w:t>s 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 xml:space="preserve">nom alebo inými substrátmi CYP2C8 nevyžaduje úpravu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:rsidR="00452B1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xantínoxidázy môže spôsobiť zvýšenie koncentrácie teofylínu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xantínoxidázy. Výsledky štúdie ukázali, že súčasné podanie 80 mg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QD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teofylínom 400 mg v jednej dávke nemá účinok na farmakokinetiku alebo bezpečnosť teofylínu.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teofylínu 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="00452B11" w:rsidRPr="00075A86">
        <w:rPr>
          <w:sz w:val="22"/>
          <w:szCs w:val="22"/>
        </w:rPr>
        <w:t>120 mg nie sú dostupné údaje.</w:t>
      </w:r>
    </w:p>
    <w:p w:rsidR="00452B11" w:rsidRPr="00075A86" w:rsidRDefault="00452B1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 xml:space="preserve">n a iné látky inhibujúce glukuronidáciu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Metabolizmus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závisí na 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 (UGT). Lieky inhibujúce glukuronidáciu, ako napríklad NSAIDs a probenecid,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U zdravých osôb bolo súčasné užívanie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a 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 xml:space="preserve">nu 250 mg dvakrát denne spojené so zvýšenou expozíciou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(C</w:t>
      </w:r>
      <w:r w:rsidRPr="00075A86">
        <w:rPr>
          <w:sz w:val="22"/>
          <w:szCs w:val="22"/>
          <w:vertAlign w:val="subscript"/>
        </w:rPr>
        <w:t>max</w:t>
      </w:r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 xml:space="preserve">nu ani iných NSAIDs/Cox-2 inhibítorov spojené so žiadnym signifikantným zvýšením nežiaducich účinkov.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 </w:t>
      </w:r>
      <w:r w:rsidR="00F772E1" w:rsidRPr="00075A86">
        <w:rPr>
          <w:sz w:val="22"/>
          <w:szCs w:val="22"/>
        </w:rPr>
        <w:t>možno podávať spolu s 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 xml:space="preserve">nom, pričom nie je potrebná žiadna úprava dávky </w:t>
      </w: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</w:t>
      </w:r>
      <w:r w:rsidR="00F772E1" w:rsidRPr="00075A86">
        <w:rPr>
          <w:sz w:val="22"/>
          <w:szCs w:val="22"/>
        </w:rPr>
        <w:t>alebo 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 xml:space="preserve">nu.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Látky indukujúce glukuronidáciu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glukuronidáciu. Naopak, skončenie liečby indukujúcim liekom by mohlo viesť k zvýšeným koncentráciám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v plazme.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Kolchicín/indometacín/hydrochlor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 xml:space="preserve">tiazid/warfarín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 </w:t>
      </w:r>
      <w:r w:rsidR="00F772E1" w:rsidRPr="00075A86">
        <w:rPr>
          <w:sz w:val="22"/>
          <w:szCs w:val="22"/>
        </w:rPr>
        <w:t xml:space="preserve">možno podávať súčasne s kolchicínom alebo indometacínom bez potreby upraviť dávku </w:t>
      </w: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 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 xml:space="preserve">tiazidom nie je potrebná žiadna úprava dávky pre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warfarínom nie je potrebná žiadna úprava dávky pre warfarín. Podávanie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(80 mg alebo 120 mg jedenkrát denne) s warfarínom nemá žiadny vplyv na farmakokinetiku warfarínu u zdravých jedincov. INR a pôsobenie faktora VII tiež neboli ovplyvnené so súčasným podávaním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Dezipramín/ substráty CYP2D6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sa ukázalo, že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QD priemerne 22% nárast AUC dezipramínu, CYP2D6 substrátu, čo naznačuje možný slabý inhibičný účinok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>in vivo</w:t>
      </w:r>
      <w:r w:rsidRPr="00075A86">
        <w:rPr>
          <w:sz w:val="22"/>
          <w:szCs w:val="22"/>
        </w:rPr>
        <w:t xml:space="preserve">. Preto sa nepredpokladá, že súčasné podávanie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r w:rsidRPr="00075A86">
        <w:rPr>
          <w:i/>
          <w:iCs/>
          <w:sz w:val="22"/>
          <w:szCs w:val="22"/>
        </w:rPr>
        <w:t xml:space="preserve"> </w:t>
      </w:r>
    </w:p>
    <w:p w:rsidR="00057EE8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Ukázalo sa, že pri súčasnom užití 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 xml:space="preserve">d s obsahom hydroxidu horečnatého a hydroxidu hlinitého sa oneskorí absorpcia </w:t>
      </w:r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(približne o 1 hodinu) a o 32% sa zníži hodnota C</w:t>
      </w:r>
      <w:r w:rsidRPr="00075A86">
        <w:rPr>
          <w:rFonts w:ascii="Times New Roman" w:hAnsi="Times New Roman" w:cs="Times New Roman"/>
          <w:vertAlign w:val="subscript"/>
        </w:rPr>
        <w:t>max</w:t>
      </w:r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>možno preto užívať bez ohľadu na užívanie 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Fertilita, gravidita a laktácia </w:t>
      </w: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novorodenca. Štúdie na zvieratách nepreukázali 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fetálny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lastRenderedPageBreak/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Fertilita </w:t>
      </w: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fertilitu závislé od dávky (pozri časť 5.3). Vplyv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na fertilitu u ľudí nie je známy.</w:t>
      </w:r>
    </w:p>
    <w:p w:rsidR="00454136" w:rsidRPr="00075A86" w:rsidRDefault="00454136" w:rsidP="00454136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:rsidR="00CA0D1F" w:rsidRPr="00075A86" w:rsidRDefault="00CA0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Pri užívaní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parestézia a rozmazané videnie. Pacienti by mali dbať na opatrnosť predtým, ako budú viesť vozidlo, obsluhovať stroje alebo sa podieľať na nebezpečných aktivitách, pokiaľ nie sú pevne presvedčení, že </w:t>
      </w:r>
      <w:r w:rsidR="005064C3" w:rsidRPr="005064C3">
        <w:rPr>
          <w:rFonts w:ascii="Times New Roman" w:hAnsi="Times New Roman" w:cs="Times New Roman"/>
          <w:bCs/>
        </w:rPr>
        <w:t>Abuxar</w:t>
      </w:r>
      <w:r w:rsidRPr="00075A86">
        <w:rPr>
          <w:rFonts w:ascii="Times New Roman" w:hAnsi="Times New Roman" w:cs="Times New Roman"/>
          <w:color w:val="000000"/>
        </w:rPr>
        <w:t xml:space="preserve"> neovplyvňuje nežiaduco ich výkonnosť.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postmarketingových skúseností sú vzplanutia dny, poruchy funkcie pečene, hnačka, nauzea, bolesť hlavy, vyrážka a edém. Tieto nežiaduce účinky boli väčšinou mierne alebo stredne závažné. Zriedkavé závažné hypersenzitívne reakcie na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, z ktorých niektoré boli spojené so systémovými príznakmi, sa vyskytli počas postmarketingových skúseností.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:rsidR="00431EE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:rsidR="00454136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Tabuľka 1: Nežiaduce reakcie v dlhodobých rozšírených štúdiách kombinovanej fázy 3 a počas postmarketingových skúseností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1427"/>
        <w:gridCol w:w="4904"/>
      </w:tblGrid>
      <w:tr w:rsidR="00245B5E" w:rsidRPr="00075A86" w:rsidTr="00DB616F">
        <w:tc>
          <w:tcPr>
            <w:tcW w:w="1592" w:type="pct"/>
          </w:tcPr>
          <w:p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:rsidTr="00DB616F">
        <w:trPr>
          <w:trHeight w:val="203"/>
        </w:trPr>
        <w:tc>
          <w:tcPr>
            <w:tcW w:w="1592" w:type="pct"/>
          </w:tcPr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Pancytopénia, trombocytopénia </w:t>
            </w:r>
          </w:p>
        </w:tc>
      </w:tr>
      <w:tr w:rsidR="00245B5E" w:rsidRPr="00075A86" w:rsidTr="00DB616F">
        <w:trPr>
          <w:cantSplit/>
          <w:trHeight w:val="275"/>
        </w:trPr>
        <w:tc>
          <w:tcPr>
            <w:tcW w:w="1592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Anafylaktická reakcia*, hypersenzitivita na liek* </w:t>
            </w:r>
          </w:p>
        </w:tc>
      </w:tr>
      <w:tr w:rsidR="00245B5E" w:rsidRPr="00075A86" w:rsidTr="00DB616F">
        <w:trPr>
          <w:cantSplit/>
          <w:trHeight w:val="138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:rsidTr="00DB616F">
        <w:trPr>
          <w:cantSplit/>
          <w:trHeight w:val="205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mellitus, hyperlipidémia, znížená chuť do jedla, zvýšenie hmotnosti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anorexia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Psychické poruchy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parestézia, hemiparéza, ospanlivosť, zmenená chuť, hypestézia, hyposmia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</w:tcPr>
          <w:p w:rsidR="00245B5E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6E61B3" w:rsidRDefault="00245B5E" w:rsidP="00962E1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Ti</w:t>
            </w:r>
            <w:r w:rsidR="00E21952" w:rsidRPr="006E61B3">
              <w:rPr>
                <w:sz w:val="22"/>
                <w:szCs w:val="22"/>
              </w:rPr>
              <w:t>n</w:t>
            </w:r>
            <w:r w:rsidRPr="006E61B3">
              <w:rPr>
                <w:sz w:val="22"/>
                <w:szCs w:val="22"/>
              </w:rPr>
              <w:t>nitus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Fibrilácia predsiení, palpitácie (búšenie srdca), abnormálne EKG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E21952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</w:t>
            </w:r>
            <w:r w:rsidR="00962E1B" w:rsidRPr="00075A86">
              <w:rPr>
                <w:sz w:val="22"/>
                <w:szCs w:val="22"/>
              </w:rPr>
              <w:t xml:space="preserve">oruchy </w:t>
            </w:r>
            <w:r w:rsidRPr="00075A86">
              <w:rPr>
                <w:sz w:val="22"/>
                <w:szCs w:val="22"/>
              </w:rPr>
              <w:t>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E21952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Hypertenzia, začervenenie, návaly tepla 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sústavy, hrudníka a mediastína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Dyspnoe, bronchitída, infekcia horných dýchacích ciest, kašeľ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gastrointestinálneho traktu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distenzia brucha, gastroezofageálny reflux, vracanie, suchosť v ústach, dyspepsia, zápcha, častá stolica, nadúvanie, gastrointestinálne ťažkosti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Pankreatitída, vredy v ústach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pečene a žlčových ciest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urtikária, pruritus, poruchy sfarbenia kože, kožné lézie, petechie, makulózna vyrážka, makulopapulózna vyrážka, papulózna vyrážka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8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Toxická epidermálna nekrolýza*, Stevensov-Johnsonov syndróm*, angioedém*, lieková reakcia</w:t>
            </w:r>
          </w:p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s eozinofíliou a systémovými symptómami*, generalizovaná vyrážka (závažná)*, erytém, exfoliatívna vyrážka, folikulárna vyrážka, vezikulárna vyrážka, pustulárna vyrážka, svrbivá vyrážka*, erytematózna vyrážka, morbiliformná vyrážka, alopécia, hyperh</w:t>
            </w:r>
            <w:r w:rsidR="00E21952" w:rsidRPr="00075A86">
              <w:rPr>
                <w:sz w:val="22"/>
                <w:szCs w:val="22"/>
              </w:rPr>
              <w:t>i</w:t>
            </w:r>
            <w:r w:rsidRPr="00075A86">
              <w:rPr>
                <w:sz w:val="22"/>
                <w:szCs w:val="22"/>
              </w:rPr>
              <w:t xml:space="preserve">dróza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Artralgia, artritída, myalgia, bolesti svalov a kĺbov, svalová slabosť, svalové spazmy, napätie svalov, burzitída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Rabdomyolýza*,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>osť kĺbov, muskuloskeletálna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 xml:space="preserve">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71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Renálne zlyhanie, nefrolitiáza, hematúria, polaki</w:t>
            </w:r>
            <w:r w:rsidR="00E21952" w:rsidRPr="00075A86">
              <w:rPr>
                <w:sz w:val="22"/>
                <w:szCs w:val="22"/>
              </w:rPr>
              <w:t>z</w:t>
            </w:r>
            <w:r w:rsidRPr="00075A86">
              <w:rPr>
                <w:sz w:val="22"/>
                <w:szCs w:val="22"/>
              </w:rPr>
              <w:t xml:space="preserve">úria, proteinúria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Tubulointersticiálna nefritída*, nutkanie na močenie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Erektilná dysfunkcia </w:t>
            </w:r>
          </w:p>
          <w:p w:rsidR="00245B5E" w:rsidRPr="006E61B3" w:rsidRDefault="00245B5E" w:rsidP="00DB616F">
            <w:pPr>
              <w:pStyle w:val="Default"/>
            </w:pP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dyskomfort na hrudi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69254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E21952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>L</w:t>
            </w:r>
            <w:r w:rsidR="00692549" w:rsidRPr="00075A86">
              <w:rPr>
                <w:sz w:val="22"/>
                <w:szCs w:val="22"/>
              </w:rPr>
              <w:t xml:space="preserve">aboratórne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Zvýšenie amylázy v krvi, zníženie počtu trombocytov, zníženie</w:t>
            </w:r>
            <w:r w:rsidR="00075A86" w:rsidRPr="00075A86">
              <w:rPr>
                <w:sz w:val="22"/>
                <w:szCs w:val="22"/>
              </w:rPr>
              <w:t xml:space="preserve"> počtu bielych krviniek</w:t>
            </w:r>
            <w:r w:rsidRPr="00075A86">
              <w:rPr>
                <w:sz w:val="22"/>
                <w:szCs w:val="22"/>
              </w:rPr>
              <w:t>, zníženie počtu lymfocytov, zvýšenie kreatínu v krvi, zvýšenie kreatinínu v krvi, pokles hemoglobínu, zvýšenie močoviny v krvi, zvýšenie triglyceridov v krvi, zvýšenie cholesterolu v krvi, zníženie hematokritu, zvýšenie laktátov</w:t>
            </w:r>
            <w:r w:rsidR="00E21952" w:rsidRPr="00075A86">
              <w:rPr>
                <w:sz w:val="22"/>
                <w:szCs w:val="22"/>
              </w:rPr>
              <w:t>e</w:t>
            </w:r>
            <w:r w:rsidRPr="00075A86">
              <w:rPr>
                <w:sz w:val="22"/>
                <w:szCs w:val="22"/>
              </w:rPr>
              <w:t xml:space="preserve">j dehydrogenázy v krvi, zvýšenie draslíka v krvi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>Zvýšenie glukózy v krvi, predĺženie aktivovaného parciálneho tromboplastínového času, zníženie počtu červených krviniek v krvi, zvýšenie alkalickej fosfatázy v krvi, zvýšenie kreatínfosfokinázy v krvi</w:t>
            </w:r>
            <w:r w:rsidR="00362118" w:rsidRPr="00075A86">
              <w:rPr>
                <w:sz w:val="22"/>
                <w:szCs w:val="22"/>
              </w:rPr>
              <w:t>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postmarketingových skúseností. </w:t>
      </w:r>
    </w:p>
    <w:p w:rsidR="00E3507B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kolchicínom. </w:t>
      </w:r>
    </w:p>
    <w:p w:rsidR="00A12D1F" w:rsidRPr="00075A86" w:rsidRDefault="00A12D1F" w:rsidP="00E3507B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randomizovaných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hypersenzitívne reakcie na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r w:rsidRPr="00075A86">
        <w:rPr>
          <w:sz w:val="22"/>
          <w:szCs w:val="22"/>
        </w:rPr>
        <w:t>, vrátane Stevensovho-Johnsonovho syndrómu, toxickej epidermálnej nekrolýzy a anafylaktickej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postmarketingových skúseností. Stevensov-Johnsonov syndróm a toxická epidermálna nekrolýza sú charakterizované progresívnymi kožnými vyrážkami spojenými s pľuzgiermi alebo léziami na slizniciach a podráždením očí. Hypersenzitívne reakcie na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môžu byť spojené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nasledujúcimi symptómami: kožné reakcie charakterizované infiltrovanými makulopapulóznymi erupciami, generalizovanými alebo exfoliatívnymi vyrážkami, ale aj kožnými léziami, edémom tváre, horúčkou, hematologickými abnormalitami ako je trombocytopénia a eozinofília a zasiahnutím jedného alebo viacerých orgánov (pečene a obličky, vrátane tubulointersticiálnej nefritídy)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Hlásenie podozrení na nežiaduce reakcie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075A86">
        <w:rPr>
          <w:sz w:val="22"/>
          <w:szCs w:val="22"/>
          <w:shd w:val="clear" w:color="auto" w:fill="BFBFBF" w:themeFill="background1" w:themeFillShade="BF"/>
        </w:rPr>
        <w:t xml:space="preserve">národný systém hlásenia uvedený v </w:t>
      </w:r>
      <w:hyperlink r:id="rId8" w:history="1">
        <w:r w:rsidR="00EA6EDF" w:rsidRPr="00075A8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075A86">
        <w:rPr>
          <w:sz w:val="22"/>
          <w:szCs w:val="22"/>
          <w:shd w:val="clear" w:color="auto" w:fill="BFBFBF" w:themeFill="background1" w:themeFillShade="BF"/>
        </w:rPr>
        <w:t>.</w:t>
      </w:r>
      <w:r w:rsidRPr="00075A86">
        <w:rPr>
          <w:sz w:val="22"/>
          <w:szCs w:val="22"/>
        </w:rPr>
        <w:t xml:space="preserve">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Farmakodynamické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Farmakoterapeutická skupina: </w:t>
      </w:r>
      <w:r w:rsidR="00EA6EDF" w:rsidRPr="00075A86">
        <w:rPr>
          <w:sz w:val="22"/>
          <w:szCs w:val="22"/>
        </w:rPr>
        <w:t>Antiuratiká</w:t>
      </w:r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purínov a vytvára sa v stupňoch hypoxantín </w:t>
      </w:r>
      <w:r w:rsidRPr="00075A86">
        <w:t>→</w:t>
      </w:r>
      <w:r w:rsidRPr="00075A86">
        <w:rPr>
          <w:sz w:val="22"/>
          <w:szCs w:val="22"/>
        </w:rPr>
        <w:t xml:space="preserve"> xantín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katalyzované xantínoxidázou (XO).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je potentný nepurínový selektívny inhibítor XO (NP-SIXO), ktorého hodnota Ki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je menej ako jeden nanomol. Ukázalo sa, že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účinne inhibuje oxidované aj redukované formy XO. V terapeutických koncentráciách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neinhibuje iné enzýmy, ktoré sa zúčastňujú na metabolizme purínu alebo pyrimidínu, konkrétne guaníndeaminázu, hypoxantínguanínfosforibozyltransferázu, orotát fosforibozyltransferázu, orotidín monofosfát dekarboxylázu alebo purínnukleozidfosforylázu.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bola preukázaná v troch </w:t>
      </w:r>
      <w:r w:rsidR="008E4067" w:rsidRPr="00075A86">
        <w:rPr>
          <w:sz w:val="22"/>
          <w:szCs w:val="22"/>
        </w:rPr>
        <w:t>pivotných</w:t>
      </w:r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pivotné</w:t>
      </w:r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hyperurikémiou a dnou. V každej </w:t>
      </w:r>
      <w:r w:rsidR="008E4067" w:rsidRPr="00075A86">
        <w:rPr>
          <w:sz w:val="22"/>
          <w:szCs w:val="22"/>
        </w:rPr>
        <w:t xml:space="preserve">pivotnej </w:t>
      </w:r>
      <w:r w:rsidRPr="00075A86">
        <w:rPr>
          <w:sz w:val="22"/>
          <w:szCs w:val="22"/>
        </w:rPr>
        <w:t xml:space="preserve">štúdii fázy 3 preukázal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vynikajúcu schopnosť znížiť a udržať koncentrácie kyseliny močovej v sére porovnateľnú s alopurinolom.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>, primárnym parametrom účinnosti bola časť pacientov, ktorých hladina urátov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kontrolovaná na základe alopurinolu a placeba (APEX) bola randomizovaná, dvojito zaslepená, multicentrická štúdia fázy 3 v trvaní 28 týždňov. Randomizovaných bolo tisícsedemdesiatdva pacientov (1072): placebo (n=134),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(n=267),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(n=269),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240 mg QD (n=134) alebo alopurinol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</w:t>
      </w: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>tradične používaným dávkam alopurinolu 300 mg (n = 258) /100 mg (n = 10) v liečbe pri znižovaní kyseliny močovej pod úroveň 6 mg/dl (357 μmol/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a alopurinolom (FACT) bola randomizovaná, dvojito zaslepená, multicentrická štúdia fázy 3 v trvaní 52 týždňov. Sedemstošesťdesiat pacientov (760) bolo randomizovaných: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(n=256),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(n=251) alebo alopurinol 300 mg QD (n=253).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a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>tradične používaným dávkam alopurinolu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7A5714" w:rsidP="007A5714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lastRenderedPageBreak/>
        <w:t>V tabuľke 2 sú výsledky primárneho parametra účinnosti:</w:t>
      </w:r>
    </w:p>
    <w:p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μmol/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52984" w:rsidRPr="00075A86" w:rsidTr="00CA02CD">
        <w:tc>
          <w:tcPr>
            <w:tcW w:w="1250" w:type="pct"/>
          </w:tcPr>
          <w:p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Alopurinol 300 /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:rsidTr="00CA02CD">
        <w:tc>
          <w:tcPr>
            <w:tcW w:w="5000" w:type="pct"/>
            <w:gridSpan w:val="4"/>
          </w:tcPr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r w:rsidR="007032C9" w:rsidRPr="00075A86">
        <w:rPr>
          <w:sz w:val="22"/>
          <w:szCs w:val="22"/>
        </w:rPr>
        <w:t xml:space="preserve">pivotných </w:t>
      </w:r>
      <w:r w:rsidRPr="00075A86">
        <w:rPr>
          <w:sz w:val="22"/>
          <w:szCs w:val="22"/>
        </w:rPr>
        <w:t xml:space="preserve">štúdií fázy 3 sú znázornené na obrázku 1. </w:t>
      </w: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r w:rsidR="007032C9" w:rsidRPr="00075A86">
        <w:rPr>
          <w:rFonts w:ascii="Times New Roman" w:hAnsi="Times New Roman" w:cs="Times New Roman"/>
          <w:b/>
          <w:bCs/>
        </w:rPr>
        <w:t xml:space="preserve">pivotných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5F90823E" wp14:editId="45E16C39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401AF87" wp14:editId="7FB7D2AA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lastRenderedPageBreak/>
        <w:t>Týždeň</w:t>
      </w:r>
    </w:p>
    <w:p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baseline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standard error of the mean</w:t>
      </w:r>
    </w:p>
    <w:p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Poznámka: 509 pacientom bolo podávané 300 mg QD alopurinolu; 10 pacientom so sérovým kreatinínom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CONFIRMS štúdia: CONFIRMS štúdia bola 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alopurinolom 300 mg alebo 200 mg u pacientov s dnou a hyperurikémiou. 2269 pacientov bolo náhodne rozdelených: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 mg QD (n=756) alebo alopurinol 300/200 mg QD (n=756). Najmenej 65 % pacientov malo mierne až stredne ťažké poškodenie obličiek </w:t>
      </w: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(s klírensom kreatinínu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Počet pacientov s hladinou urátov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μmol/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80 mg a 42 % pre alopurinol 300/200 mg.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Štúdia APEX hodnotila účinnosť u 40 pacientov s poškodením obličiek (t.j. základný sérový kreatinín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alopurinolu,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alopurinolu a skupine užívajúcej placebo.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prospektívne definovaná v CONFIRMS štúdii </w:t>
      </w:r>
    </w:p>
    <w:p w:rsidR="002F555E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bol podstatne viac účinný v znižovaní hladiny urátov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alopurinolom 300/200 mg u pacientov, ktorí mali dnu s mierne až stredne ťažkým poškodením obličiek (65% sledovaných pacientov).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r w:rsidR="0006382E" w:rsidRPr="00075A86">
        <w:rPr>
          <w:rFonts w:ascii="Times New Roman" w:hAnsi="Times New Roman" w:cs="Times New Roman"/>
          <w:color w:val="000000"/>
        </w:rPr>
        <w:t>sUA)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(sUA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alopurinolu a 0 % v skupine užívajúcej placebo.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(sUA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urátov v sére ≥ 10,0 </w:t>
      </w:r>
      <w:r w:rsidRPr="00075A86">
        <w:rPr>
          <w:rFonts w:ascii="Times New Roman" w:hAnsi="Times New Roman" w:cs="Times New Roman"/>
        </w:rPr>
        <w:lastRenderedPageBreak/>
        <w:t>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 xml:space="preserve">40 mg QD bol 27 % (66/249),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>80 mg QD 49 % (125/254) a s alopurinolom 300 mg/200 mg QD 31% (72/230).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dnavého záchvatu. </w:t>
      </w:r>
    </w:p>
    <w:p w:rsidR="002F555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80 mg (28%), alopurinolom 300 mg (23%) a placebom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80, 120 mg), 14% (alopurinol 300 mg) a 20% (placebo) subjektov.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r w:rsidR="0006382E" w:rsidRPr="00075A86">
        <w:rPr>
          <w:rFonts w:ascii="Times New Roman" w:hAnsi="Times New Roman" w:cs="Times New Roman"/>
          <w:color w:val="000000"/>
        </w:rPr>
        <w:t>dnavých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a alopurinolom 300 mg (21%). Po 8-týždňovom období profylaxie incidencia vzplanutia sa zvýšila a postupne v priebehu času klesla (64% a 70% subjektov prijalo liečbu 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80, 120 mg) a 11% (alopurinol 300 mg) subjektov. </w:t>
      </w:r>
    </w:p>
    <w:p w:rsidR="00D4781E" w:rsidRPr="00075A86" w:rsidRDefault="00D4781E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dnavého záchvatu (štúdia APEX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urátov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urátov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781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Počas CONFIRMS štúdie percentuálny podiel pacientov, ktorí prijali liečbu 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vého vzplanutia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alopurinolom bolo 25%. Neboli pozorované žiadne rozdiely v pomere pacientov dostávajúcich liečbu na vzplanutie dny medzi skupinami liečenými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EXCEL štúdia (C02-021): Excel štúdia bola trojročná otvorená multicentrická randomizovaná štúdia fázy 3 alopurinolom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r w:rsidR="00355A7B" w:rsidRPr="00075A86">
        <w:rPr>
          <w:rFonts w:ascii="Times New Roman" w:hAnsi="Times New Roman" w:cs="Times New Roman"/>
          <w:color w:val="000000"/>
        </w:rPr>
        <w:t xml:space="preserve">pivotné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120 mg QD (n=292) a alopurinol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sUA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Hladiny urátov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120 mg mali sUA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dnavých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 xml:space="preserve"> a v 30. až 36. mesiaci.</w:t>
      </w:r>
    </w:p>
    <w:p w:rsidR="00301A09" w:rsidRPr="00075A86" w:rsidRDefault="00301A09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>liečbou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tom 80 mg a 38% pacientov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tofov od začiatku po poslednú návštevu.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>FOCUS štúdia (TMX-01-005) bola päťročná otvorená multicentrická bezpečnostná rozšírená štúdia fázy 2 s pacientami, ktorí ukončili 4-týždňové dvojito zaslepené podávanie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v štúdii </w:t>
      </w:r>
    </w:p>
    <w:p w:rsidR="00D4781E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:rsidR="00301A09" w:rsidRPr="00075A86" w:rsidRDefault="00D4781E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>116 pacientov, ktorí spočiatku dostávali 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 80 mg QD. 62% pacientov nevyžadovalo žiadnu úpravu dávkovania pre udržanie sUA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Pomer pacientov s hladinou urátov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μmol/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alopurinolom (4,2%) (pozri časť 4.4). Zvýšené hodnoty TSH (&gt;5,5 μIU/ml) boli pozorované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alopurinolom (5,8%) </w:t>
      </w:r>
    </w:p>
    <w:p w:rsidR="00301A0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:rsidR="00CA02CD" w:rsidRPr="00075A86" w:rsidRDefault="00CA02CD" w:rsidP="00301A09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Farmakokinetické vlastnosti </w:t>
      </w: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4BDE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v plazme (C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712EC9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Farmakokinetické/ farmakodynamické analýzy jednotlivých skupín boli vykonané u 211 pacientov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s hyperurikémiou a dnou, ktorí boli liečení 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 v množstve 40-240 mg QD. Vo všeobecnosti sú farmakokinetické parametre 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 určené týmito analýzami v súlade s parametrami získanými u zdravých subjektov, čo znamená, že zdravé subjekty sú reprezentatívnou vzorkou na hodnotenie farmakokinetických, resp. farmakodynamických vlastností u pacientov s dnou.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 sa absorbuje rýchlo (t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 jednej dávke alebo viacerých perorálnych 80 mg a 120 mg dávkach podávaných raz za deň má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hodnotu približne 2,8-3,2 μg/m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μg/m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vo forme tabliet nebola stanovená.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 viacerých perorálnych 80 mg dávkach podávaných raz denne alebo 120 mg dávke s jedlom obsahujúcim vysoký podiel tukov bol odmeraný 49% a 38% pokles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príslušných testoch však nebola pozorovaná žiadna klinicky významná zmena v percentuálnom poklese kyseliny močovej v sére (viacero 80 mg dávok).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 je preto možné užívať bez ohľadu na jedlo.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:rsidR="00CA02CD" w:rsidRPr="00075A86" w:rsidRDefault="0090438A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 xml:space="preserve">ý rovnovážny objem distribúcie (Vss/F)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viaže na proteíny v plazme približne v 99,2 %, (primárne na albumín), </w:t>
      </w:r>
      <w:r w:rsidR="00CA02CD" w:rsidRPr="00075A86">
        <w:rPr>
          <w:rFonts w:ascii="Times New Roman" w:hAnsi="Times New Roman" w:cs="Times New Roman"/>
          <w:color w:val="000000"/>
        </w:rPr>
        <w:lastRenderedPageBreak/>
        <w:t>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metabolitov na proteíny v plazme má rozsah približne od 82% do 91%.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Biotransformácia </w:t>
      </w:r>
    </w:p>
    <w:p w:rsidR="00FF7F48" w:rsidRPr="00075A86" w:rsidRDefault="004B6038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uridíndifosfát-glukuronyltransferázy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cytochrómu P450 (CYP). Boli identifikované štyri farmakologicky aktívne hydroxylové metabolity, z ktorých sa tri vyskytujú </w:t>
      </w:r>
    </w:p>
    <w:p w:rsidR="00974BDE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vitro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mikrozómami ukázali, že tieto oxidačné metabolity boli vytvorené primárne pomocou CYP1A1, CYP1A2, CYP2C8 alebo CYP2C9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- glukuronid bol vytvorený najmä pomocou UGT 1A1, 1A8 a 1A9.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:rsidR="00CA02CD" w:rsidRPr="00075A86" w:rsidRDefault="004B6038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(3%), acylglukuronid liečiva (30%), jeho známe oxidačné metabolity a ich konjugáty (13%) a iné neznáme metabolity (3%). Okrem vylučovania obličkami bolo približne 45% dávky znova získaných v stolici ako nezmenený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>(12%), acylglukuronid liečiva (1%), jeho známe oxidačné metabolity a ich konjugáty (25%) a iné neznáme metabolity (7%).</w:t>
      </w:r>
    </w:p>
    <w:p w:rsidR="00FF7F48" w:rsidRPr="00075A86" w:rsidRDefault="00FF7F48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u pacientov s miernym, stredne závažným alebo závažným poškodením obličiek sa hodnota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sa zvýšila približne 1,8-násobne od 7,5 µg.h/m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µg.h/m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renálnou dysfunkciou.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aktívnych metabolitov sa zvýšili 2-násobne pre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:rsidR="006D7AE9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u pacientov s miernym poškodením pečene (Child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 xml:space="preserve"> trieda B) sa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a jeho metabolitov významne nezmenili v porovnaní so subjektmi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 xml:space="preserve"> trieda C).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Neboli pozorované žiadne významné zmeny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alebo jeho metabolitov po viacerých perorálnych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:rsidR="009924AE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boli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hodnoty AUC boli o 12% vyššie u žien ako u mužov.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:rsidR="00A04FDA" w:rsidRPr="00075A86" w:rsidRDefault="00A04FDA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Účinky v predklinických štúdiách sa všeobecne pozorovali pri expozíciách vyšších než je maximálna expozícia u ľudí.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Karcinogenéza, mutagenéza, poruchy plodnosti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(papilóm</w:t>
      </w:r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xantínu v skupine s vysokou dávkou pri dávke približne 11- krát vyššej, ako je podávaná u ľudí. Nebol pozorovaný signifikantný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purínového metabolizmu a zloženia moču špecifického pre príslušný druh a nemajú žiadny význam pre klinické použitie.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genotoxicitu neodhalila žiadne biologicky významné genotoxické účinky pre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>j plodnosti, teratogénnych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r w:rsidR="00FD0727" w:rsidRPr="00075A86">
        <w:rPr>
          <w:rFonts w:ascii="Times New Roman" w:hAnsi="Times New Roman" w:cs="Times New Roman"/>
          <w:color w:val="000000"/>
        </w:rPr>
        <w:t xml:space="preserve">maternálna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r w:rsidR="00FD0727" w:rsidRPr="00075A86">
        <w:rPr>
          <w:rFonts w:ascii="Times New Roman" w:hAnsi="Times New Roman" w:cs="Times New Roman"/>
          <w:color w:val="000000"/>
        </w:rPr>
        <w:t xml:space="preserve">teratogenicity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>ých samíc králikov 13-krát vyšších ako expozície u ľudí, neodhalili žiadne teratogénne účinky.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monohydrát laktózy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:rsidR="00A04FDA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stearan horečnatý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hydroxypropylcelulóza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kroskarmelózy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laurylsíran sodný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Obal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polyvinylalkohol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:rsidR="00A04FDA" w:rsidRPr="00075A86" w:rsidRDefault="00A04FDA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oxid titaničitý (E171)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makrogol 3350 (E1521)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lastRenderedPageBreak/>
        <w:t xml:space="preserve">6.2  Inkompatibility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30 mesiacov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:rsidR="00311E8E" w:rsidRDefault="00311E8E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PVC/PE/PVDC/Alu blister alebo PVC/PCTFE/Alu blister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5064C3" w:rsidP="00860DEB">
      <w:pPr>
        <w:spacing w:after="0"/>
        <w:rPr>
          <w:rFonts w:ascii="Times New Roman" w:hAnsi="Times New Roman" w:cs="Times New Roman"/>
          <w:bCs/>
        </w:rPr>
      </w:pPr>
      <w:r w:rsidRPr="005064C3">
        <w:rPr>
          <w:rFonts w:ascii="Times New Roman" w:hAnsi="Times New Roman" w:cs="Times New Roman"/>
          <w:bCs/>
        </w:rPr>
        <w:t>Abuxar</w:t>
      </w:r>
      <w:r w:rsidRPr="00075A86" w:rsidDel="005064C3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860DEB" w:rsidRPr="00075A86">
        <w:rPr>
          <w:rFonts w:ascii="Times New Roman" w:hAnsi="Times New Roman" w:cs="Times New Roman"/>
          <w:bCs/>
        </w:rPr>
        <w:t xml:space="preserve">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Belupo lijekovi i kozmetika d.d.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</w:t>
      </w:r>
      <w:r w:rsidR="00FA5B2E" w:rsidRPr="00CE5CCD">
        <w:rPr>
          <w:rFonts w:ascii="Times New Roman" w:hAnsi="Times New Roman" w:cs="Times New Roman"/>
          <w:bCs/>
        </w:rPr>
        <w:t>0</w:t>
      </w:r>
      <w:r w:rsidR="00FA5B2E">
        <w:rPr>
          <w:rFonts w:ascii="Times New Roman" w:hAnsi="Times New Roman" w:cs="Times New Roman"/>
          <w:bCs/>
        </w:rPr>
        <w:t>200</w:t>
      </w:r>
      <w:r w:rsidRPr="00CE5CCD">
        <w:rPr>
          <w:rFonts w:ascii="Times New Roman" w:hAnsi="Times New Roman" w:cs="Times New Roman"/>
          <w:bCs/>
        </w:rPr>
        <w:t>/17-S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</w:p>
    <w:p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D55193" w:rsidRPr="00075A86" w:rsidRDefault="00D55193" w:rsidP="00973DC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bCs/>
        </w:rPr>
        <w:t>Júl 2017</w:t>
      </w:r>
    </w:p>
    <w:sectPr w:rsidR="00D55193" w:rsidRPr="00075A86" w:rsidSect="00CA0D1F"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67" w:rsidRDefault="00100167" w:rsidP="00FA4538">
      <w:pPr>
        <w:spacing w:after="0" w:line="240" w:lineRule="auto"/>
      </w:pPr>
      <w:r>
        <w:separator/>
      </w:r>
    </w:p>
  </w:endnote>
  <w:endnote w:type="continuationSeparator" w:id="0">
    <w:p w:rsidR="00100167" w:rsidRDefault="00100167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0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3266" w:rsidRPr="00057EE8" w:rsidRDefault="008E3266">
        <w:pPr>
          <w:pStyle w:val="Pta"/>
          <w:jc w:val="center"/>
          <w:rPr>
            <w:rFonts w:ascii="Times New Roman" w:hAnsi="Times New Roman" w:cs="Times New Roman"/>
          </w:rPr>
        </w:pPr>
        <w:r w:rsidRPr="00057EE8">
          <w:rPr>
            <w:rFonts w:ascii="Times New Roman" w:hAnsi="Times New Roman" w:cs="Times New Roman"/>
          </w:rPr>
          <w:fldChar w:fldCharType="begin"/>
        </w:r>
        <w:r w:rsidRPr="00057EE8">
          <w:rPr>
            <w:rFonts w:ascii="Times New Roman" w:hAnsi="Times New Roman" w:cs="Times New Roman"/>
          </w:rPr>
          <w:instrText>PAGE   \* MERGEFORMAT</w:instrText>
        </w:r>
        <w:r w:rsidRPr="00057EE8">
          <w:rPr>
            <w:rFonts w:ascii="Times New Roman" w:hAnsi="Times New Roman" w:cs="Times New Roman"/>
          </w:rPr>
          <w:fldChar w:fldCharType="separate"/>
        </w:r>
        <w:r w:rsidR="00BB7058">
          <w:rPr>
            <w:rFonts w:ascii="Times New Roman" w:hAnsi="Times New Roman" w:cs="Times New Roman"/>
            <w:noProof/>
          </w:rPr>
          <w:t>16</w:t>
        </w:r>
        <w:r w:rsidRPr="00057EE8">
          <w:rPr>
            <w:rFonts w:ascii="Times New Roman" w:hAnsi="Times New Roman" w:cs="Times New Roman"/>
          </w:rPr>
          <w:fldChar w:fldCharType="end"/>
        </w:r>
      </w:p>
    </w:sdtContent>
  </w:sdt>
  <w:p w:rsidR="008E3266" w:rsidRPr="00057EE8" w:rsidRDefault="008E3266" w:rsidP="00057EE8">
    <w:pPr>
      <w:pStyle w:val="Pta"/>
    </w:pPr>
  </w:p>
  <w:p w:rsidR="008E3266" w:rsidRDefault="008E32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67" w:rsidRDefault="00100167" w:rsidP="00FA4538">
      <w:pPr>
        <w:spacing w:after="0" w:line="240" w:lineRule="auto"/>
      </w:pPr>
      <w:r>
        <w:separator/>
      </w:r>
    </w:p>
  </w:footnote>
  <w:footnote w:type="continuationSeparator" w:id="0">
    <w:p w:rsidR="00100167" w:rsidRDefault="00100167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266" w:rsidRPr="00FA4538" w:rsidRDefault="008E3266" w:rsidP="00057EE8">
    <w:pPr>
      <w:pStyle w:val="Hlavika"/>
      <w:rPr>
        <w:rFonts w:ascii="Times New Roman" w:hAnsi="Times New Roman" w:cs="Times New Roman"/>
        <w:sz w:val="18"/>
        <w:szCs w:val="18"/>
      </w:rPr>
    </w:pPr>
    <w:r w:rsidRPr="00FA4538">
      <w:rPr>
        <w:rFonts w:ascii="Times New Roman" w:hAnsi="Times New Roman" w:cs="Times New Roman"/>
        <w:sz w:val="18"/>
        <w:szCs w:val="18"/>
      </w:rPr>
      <w:t>Schválený text k</w:t>
    </w:r>
    <w:r>
      <w:rPr>
        <w:rFonts w:ascii="Times New Roman" w:hAnsi="Times New Roman" w:cs="Times New Roman"/>
        <w:sz w:val="18"/>
        <w:szCs w:val="18"/>
      </w:rPr>
      <w:t> </w:t>
    </w:r>
    <w:r w:rsidRPr="00FA4538">
      <w:rPr>
        <w:rFonts w:ascii="Times New Roman" w:hAnsi="Times New Roman" w:cs="Times New Roman"/>
        <w:sz w:val="18"/>
        <w:szCs w:val="18"/>
      </w:rPr>
      <w:t>rozhodnutiu</w:t>
    </w:r>
    <w:r>
      <w:rPr>
        <w:rFonts w:ascii="Times New Roman" w:hAnsi="Times New Roman" w:cs="Times New Roman"/>
        <w:sz w:val="18"/>
        <w:szCs w:val="18"/>
      </w:rPr>
      <w:t xml:space="preserve"> o registrácii, ev. č.: 2016/</w:t>
    </w:r>
    <w:r w:rsidR="00FA5B2E">
      <w:rPr>
        <w:rFonts w:ascii="Times New Roman" w:hAnsi="Times New Roman" w:cs="Times New Roman"/>
        <w:sz w:val="18"/>
        <w:szCs w:val="18"/>
      </w:rPr>
      <w:t>03151</w:t>
    </w:r>
    <w:r>
      <w:rPr>
        <w:rFonts w:ascii="Times New Roman" w:hAnsi="Times New Roman" w:cs="Times New Roman"/>
        <w:sz w:val="18"/>
        <w:szCs w:val="18"/>
      </w:rPr>
      <w:t>-REG</w:t>
    </w:r>
    <w:r w:rsidRPr="00FA4538">
      <w:rPr>
        <w:rFonts w:ascii="Times New Roman" w:hAnsi="Times New Roman" w:cs="Times New Roman"/>
        <w:sz w:val="18"/>
        <w:szCs w:val="18"/>
      </w:rPr>
      <w:t xml:space="preserve"> </w:t>
    </w:r>
  </w:p>
  <w:p w:rsidR="008E3266" w:rsidRDefault="008E326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8"/>
    <w:rsid w:val="000208A4"/>
    <w:rsid w:val="00057EE8"/>
    <w:rsid w:val="0006382E"/>
    <w:rsid w:val="00073B5D"/>
    <w:rsid w:val="00075A86"/>
    <w:rsid w:val="00096882"/>
    <w:rsid w:val="00100167"/>
    <w:rsid w:val="0016102F"/>
    <w:rsid w:val="001931B9"/>
    <w:rsid w:val="00240E17"/>
    <w:rsid w:val="00242798"/>
    <w:rsid w:val="00245B5E"/>
    <w:rsid w:val="00294774"/>
    <w:rsid w:val="002A540F"/>
    <w:rsid w:val="002B420C"/>
    <w:rsid w:val="002E504A"/>
    <w:rsid w:val="002F555E"/>
    <w:rsid w:val="00301A09"/>
    <w:rsid w:val="00303380"/>
    <w:rsid w:val="00311E8E"/>
    <w:rsid w:val="003467FB"/>
    <w:rsid w:val="00355A7B"/>
    <w:rsid w:val="00362118"/>
    <w:rsid w:val="00397A72"/>
    <w:rsid w:val="003F0D99"/>
    <w:rsid w:val="004152AE"/>
    <w:rsid w:val="0042788C"/>
    <w:rsid w:val="00431EE6"/>
    <w:rsid w:val="00452B11"/>
    <w:rsid w:val="00454136"/>
    <w:rsid w:val="00472636"/>
    <w:rsid w:val="0048135A"/>
    <w:rsid w:val="004B6038"/>
    <w:rsid w:val="005064C3"/>
    <w:rsid w:val="00510F78"/>
    <w:rsid w:val="005962E2"/>
    <w:rsid w:val="00692549"/>
    <w:rsid w:val="0069538F"/>
    <w:rsid w:val="006D7AE9"/>
    <w:rsid w:val="006E61B3"/>
    <w:rsid w:val="007032C9"/>
    <w:rsid w:val="00712EC9"/>
    <w:rsid w:val="007417F7"/>
    <w:rsid w:val="00741DE7"/>
    <w:rsid w:val="00757FF8"/>
    <w:rsid w:val="00767D49"/>
    <w:rsid w:val="007A5714"/>
    <w:rsid w:val="007B0935"/>
    <w:rsid w:val="007D2C62"/>
    <w:rsid w:val="00860DEB"/>
    <w:rsid w:val="008E3266"/>
    <w:rsid w:val="008E4067"/>
    <w:rsid w:val="0090438A"/>
    <w:rsid w:val="00947D25"/>
    <w:rsid w:val="00962E1B"/>
    <w:rsid w:val="0096522B"/>
    <w:rsid w:val="00971B1C"/>
    <w:rsid w:val="00973DC2"/>
    <w:rsid w:val="00974BDE"/>
    <w:rsid w:val="009924AE"/>
    <w:rsid w:val="009B5631"/>
    <w:rsid w:val="00A04FDA"/>
    <w:rsid w:val="00A05B02"/>
    <w:rsid w:val="00A12D1F"/>
    <w:rsid w:val="00A14671"/>
    <w:rsid w:val="00A84522"/>
    <w:rsid w:val="00B156EB"/>
    <w:rsid w:val="00B66240"/>
    <w:rsid w:val="00B764E0"/>
    <w:rsid w:val="00B8795A"/>
    <w:rsid w:val="00BB7058"/>
    <w:rsid w:val="00C75EF8"/>
    <w:rsid w:val="00CA02CD"/>
    <w:rsid w:val="00CA0D1F"/>
    <w:rsid w:val="00CE5CCD"/>
    <w:rsid w:val="00D46559"/>
    <w:rsid w:val="00D4781E"/>
    <w:rsid w:val="00D52984"/>
    <w:rsid w:val="00D55193"/>
    <w:rsid w:val="00D65851"/>
    <w:rsid w:val="00DB616F"/>
    <w:rsid w:val="00DD0252"/>
    <w:rsid w:val="00DD1301"/>
    <w:rsid w:val="00E21952"/>
    <w:rsid w:val="00E32A8F"/>
    <w:rsid w:val="00E3507B"/>
    <w:rsid w:val="00EA6EDF"/>
    <w:rsid w:val="00EC68AE"/>
    <w:rsid w:val="00F00976"/>
    <w:rsid w:val="00F02C4A"/>
    <w:rsid w:val="00F30A2C"/>
    <w:rsid w:val="00F772E1"/>
    <w:rsid w:val="00F96D9F"/>
    <w:rsid w:val="00FA4538"/>
    <w:rsid w:val="00FA5B2E"/>
    <w:rsid w:val="00FA6A28"/>
    <w:rsid w:val="00FD072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3E9D-0774-4D90-AFEC-5281DCAE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5881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Molnárová, Eva</cp:lastModifiedBy>
  <cp:revision>6</cp:revision>
  <cp:lastPrinted>2017-06-27T08:40:00Z</cp:lastPrinted>
  <dcterms:created xsi:type="dcterms:W3CDTF">2017-07-11T12:12:00Z</dcterms:created>
  <dcterms:modified xsi:type="dcterms:W3CDTF">2017-07-12T14:47:00Z</dcterms:modified>
</cp:coreProperties>
</file>