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32" w:rsidRDefault="007D4232" w:rsidP="007D4232">
      <w:pPr>
        <w:pStyle w:val="Nadpis5"/>
        <w:jc w:val="center"/>
        <w:rPr>
          <w:b/>
          <w:caps/>
          <w:sz w:val="22"/>
          <w:szCs w:val="22"/>
        </w:rPr>
      </w:pPr>
    </w:p>
    <w:p w:rsidR="007D4232" w:rsidRPr="00F95F5A" w:rsidRDefault="007D4232" w:rsidP="007D4232">
      <w:pPr>
        <w:pStyle w:val="Nadpis5"/>
        <w:jc w:val="center"/>
        <w:rPr>
          <w:b/>
          <w:caps/>
          <w:sz w:val="22"/>
          <w:szCs w:val="22"/>
        </w:rPr>
      </w:pPr>
      <w:r w:rsidRPr="00F95F5A">
        <w:rPr>
          <w:b/>
          <w:caps/>
          <w:sz w:val="22"/>
          <w:szCs w:val="22"/>
        </w:rPr>
        <w:t>Súhrn charakteristických vlastností lieku</w:t>
      </w:r>
    </w:p>
    <w:p w:rsidR="007D4232" w:rsidRPr="00F95F5A" w:rsidRDefault="007D4232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7D4232" w:rsidRPr="00F95F5A" w:rsidRDefault="007D4232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1.</w:t>
      </w:r>
      <w:r w:rsidRPr="00F95F5A">
        <w:rPr>
          <w:b/>
          <w:szCs w:val="22"/>
        </w:rPr>
        <w:tab/>
        <w:t>N</w:t>
      </w:r>
      <w:r w:rsidR="000F703F" w:rsidRPr="00F95F5A">
        <w:rPr>
          <w:b/>
          <w:szCs w:val="22"/>
        </w:rPr>
        <w:t>ÁZOV LIEKU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5E5295" w:rsidRPr="00F95F5A" w:rsidRDefault="005E5295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SUPRAX </w:t>
      </w:r>
      <w:r w:rsidR="006C7511" w:rsidRPr="00F95F5A">
        <w:rPr>
          <w:szCs w:val="22"/>
        </w:rPr>
        <w:t xml:space="preserve">200 mg </w:t>
      </w:r>
      <w:r w:rsidR="000F703F" w:rsidRPr="00F95F5A">
        <w:rPr>
          <w:szCs w:val="22"/>
        </w:rPr>
        <w:t>filmom obalené tablety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2.</w:t>
      </w:r>
      <w:r w:rsidRPr="00F95F5A">
        <w:rPr>
          <w:b/>
          <w:szCs w:val="22"/>
        </w:rPr>
        <w:tab/>
      </w:r>
      <w:r w:rsidR="00D161EF" w:rsidRPr="00F95F5A">
        <w:rPr>
          <w:b/>
          <w:szCs w:val="22"/>
        </w:rPr>
        <w:t>KVALITATÍVNE A KVANTITATÍVNE ZLOŽENIE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i/>
          <w:szCs w:val="22"/>
        </w:rPr>
      </w:pPr>
    </w:p>
    <w:p w:rsidR="00AC0077" w:rsidRPr="00F95F5A" w:rsidRDefault="00BA69A6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1 filmom obalená tableta obsahuje </w:t>
      </w:r>
      <w:proofErr w:type="spellStart"/>
      <w:r w:rsidRPr="00F95F5A">
        <w:rPr>
          <w:szCs w:val="22"/>
        </w:rPr>
        <w:t>cefiximum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trihydricum</w:t>
      </w:r>
      <w:proofErr w:type="spellEnd"/>
      <w:r w:rsidRPr="00F95F5A">
        <w:rPr>
          <w:szCs w:val="22"/>
        </w:rPr>
        <w:t xml:space="preserve"> 223,84 mg, čo zodpovedá </w:t>
      </w:r>
      <w:proofErr w:type="spellStart"/>
      <w:r w:rsidRPr="00F95F5A">
        <w:rPr>
          <w:szCs w:val="22"/>
        </w:rPr>
        <w:t>cefix</w:t>
      </w:r>
      <w:r w:rsidR="006C4567" w:rsidRPr="00F95F5A">
        <w:rPr>
          <w:szCs w:val="22"/>
        </w:rPr>
        <w:t>í</w:t>
      </w:r>
      <w:r w:rsidRPr="00F95F5A">
        <w:rPr>
          <w:szCs w:val="22"/>
        </w:rPr>
        <w:t>mum</w:t>
      </w:r>
      <w:proofErr w:type="spellEnd"/>
      <w:r w:rsidRPr="00F95F5A">
        <w:rPr>
          <w:szCs w:val="22"/>
        </w:rPr>
        <w:t xml:space="preserve"> 200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mg</w:t>
      </w:r>
      <w:r w:rsidR="00156D22" w:rsidRPr="00F95F5A">
        <w:rPr>
          <w:szCs w:val="22"/>
        </w:rPr>
        <w:t>.</w:t>
      </w:r>
    </w:p>
    <w:p w:rsidR="00107BE6" w:rsidRPr="00F95F5A" w:rsidRDefault="00107BE6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077" w:rsidRPr="00F95F5A" w:rsidRDefault="00BA69A6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Úplný zoznam pomocných </w:t>
      </w:r>
      <w:r w:rsidR="008758C0" w:rsidRPr="00F95F5A">
        <w:rPr>
          <w:szCs w:val="22"/>
        </w:rPr>
        <w:t>látok, pozri časť</w:t>
      </w:r>
      <w:r w:rsidR="00077463" w:rsidRPr="00F95F5A">
        <w:rPr>
          <w:szCs w:val="22"/>
        </w:rPr>
        <w:t xml:space="preserve"> 6.1.</w:t>
      </w: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575F9C" w:rsidP="007D4232">
      <w:pPr>
        <w:numPr>
          <w:ilvl w:val="0"/>
          <w:numId w:val="6"/>
        </w:numPr>
        <w:tabs>
          <w:tab w:val="clear" w:pos="567"/>
          <w:tab w:val="clear" w:pos="930"/>
          <w:tab w:val="num" w:pos="540"/>
        </w:tabs>
        <w:spacing w:line="240" w:lineRule="auto"/>
        <w:ind w:hanging="930"/>
        <w:rPr>
          <w:b/>
          <w:caps/>
          <w:szCs w:val="22"/>
        </w:rPr>
      </w:pPr>
      <w:r w:rsidRPr="00F95F5A">
        <w:rPr>
          <w:b/>
          <w:szCs w:val="22"/>
        </w:rPr>
        <w:t>LIEKOVÁ</w:t>
      </w:r>
      <w:r w:rsidR="00077463" w:rsidRPr="00F95F5A">
        <w:rPr>
          <w:b/>
          <w:szCs w:val="22"/>
        </w:rPr>
        <w:t xml:space="preserve"> </w:t>
      </w:r>
      <w:r w:rsidR="00077463" w:rsidRPr="00F95F5A">
        <w:rPr>
          <w:b/>
          <w:caps/>
          <w:szCs w:val="22"/>
        </w:rPr>
        <w:t>form</w:t>
      </w:r>
      <w:r w:rsidRPr="00F95F5A">
        <w:rPr>
          <w:b/>
          <w:caps/>
          <w:szCs w:val="22"/>
        </w:rPr>
        <w:t>A</w:t>
      </w:r>
    </w:p>
    <w:p w:rsidR="00156D22" w:rsidRPr="00F95F5A" w:rsidRDefault="00156D22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575F9C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Filmom obalené tablety</w:t>
      </w:r>
      <w:r w:rsidR="007D4232" w:rsidRPr="00F95F5A">
        <w:rPr>
          <w:szCs w:val="22"/>
        </w:rPr>
        <w:t>.</w:t>
      </w:r>
    </w:p>
    <w:p w:rsidR="00E61EE4" w:rsidRPr="00F95F5A" w:rsidRDefault="0023716A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Bi</w:t>
      </w:r>
      <w:r w:rsidR="00293AA2" w:rsidRPr="00F95F5A">
        <w:rPr>
          <w:szCs w:val="22"/>
        </w:rPr>
        <w:t>k</w:t>
      </w:r>
      <w:r w:rsidRPr="00F95F5A">
        <w:rPr>
          <w:szCs w:val="22"/>
        </w:rPr>
        <w:t>onvex</w:t>
      </w:r>
      <w:r w:rsidR="00960C75" w:rsidRPr="00F95F5A">
        <w:rPr>
          <w:szCs w:val="22"/>
        </w:rPr>
        <w:t xml:space="preserve">né podlhovasté </w:t>
      </w:r>
      <w:r w:rsidR="00E61EE4" w:rsidRPr="00F95F5A">
        <w:rPr>
          <w:szCs w:val="22"/>
        </w:rPr>
        <w:t>biele filmom obalené tablety so zaoblenými, stenčenými rohmi.</w:t>
      </w:r>
      <w:r w:rsidRPr="00F95F5A">
        <w:rPr>
          <w:szCs w:val="22"/>
        </w:rPr>
        <w:t xml:space="preserve"> </w:t>
      </w:r>
    </w:p>
    <w:p w:rsidR="005E5295" w:rsidRPr="00F95F5A" w:rsidRDefault="00E61EE4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Vyryté: EM72 a dva dekoratívne zárezy na jednej strane</w:t>
      </w:r>
      <w:r w:rsidR="0023716A" w:rsidRPr="00F95F5A">
        <w:rPr>
          <w:szCs w:val="22"/>
        </w:rPr>
        <w:t>.</w:t>
      </w:r>
    </w:p>
    <w:p w:rsidR="0023716A" w:rsidRPr="00F95F5A" w:rsidRDefault="0023716A" w:rsidP="007D4232">
      <w:pPr>
        <w:tabs>
          <w:tab w:val="clear" w:pos="567"/>
        </w:tabs>
        <w:spacing w:line="240" w:lineRule="auto"/>
        <w:rPr>
          <w:szCs w:val="22"/>
        </w:rPr>
      </w:pPr>
    </w:p>
    <w:p w:rsidR="005E5295" w:rsidRPr="00F95F5A" w:rsidRDefault="005E5295" w:rsidP="007D4232">
      <w:pPr>
        <w:tabs>
          <w:tab w:val="clear" w:pos="567"/>
        </w:tabs>
        <w:spacing w:line="240" w:lineRule="auto"/>
        <w:rPr>
          <w:szCs w:val="22"/>
        </w:rPr>
      </w:pPr>
    </w:p>
    <w:p w:rsidR="00E2013C" w:rsidRPr="00F95F5A" w:rsidRDefault="00E2013C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caps/>
          <w:szCs w:val="22"/>
        </w:rPr>
      </w:pPr>
      <w:r w:rsidRPr="00F95F5A">
        <w:rPr>
          <w:b/>
          <w:caps/>
          <w:szCs w:val="22"/>
        </w:rPr>
        <w:t>4.</w:t>
      </w:r>
      <w:r w:rsidRPr="00F95F5A">
        <w:rPr>
          <w:b/>
          <w:caps/>
          <w:szCs w:val="22"/>
        </w:rPr>
        <w:tab/>
      </w:r>
      <w:r w:rsidR="00E6200B" w:rsidRPr="00F95F5A">
        <w:rPr>
          <w:b/>
          <w:caps/>
          <w:szCs w:val="22"/>
        </w:rPr>
        <w:t>KLINICKÉ ÚDAJE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4.1</w:t>
      </w:r>
      <w:r w:rsidRPr="00F95F5A">
        <w:rPr>
          <w:b/>
          <w:szCs w:val="22"/>
        </w:rPr>
        <w:tab/>
        <w:t>T</w:t>
      </w:r>
      <w:r w:rsidR="00E6200B" w:rsidRPr="00F95F5A">
        <w:rPr>
          <w:b/>
          <w:szCs w:val="22"/>
        </w:rPr>
        <w:t>erapeutické indikácie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B6E" w:rsidRPr="00F95F5A" w:rsidRDefault="00AC0B6E" w:rsidP="007D423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200 mg filmom obalené tablety je vhodný na liečbu nasledovných bakteriálnych infekcií, spôsobených baktériami citlivými na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>:</w:t>
      </w:r>
    </w:p>
    <w:p w:rsidR="00375630" w:rsidRPr="00F95F5A" w:rsidRDefault="00375630" w:rsidP="007D4232">
      <w:pPr>
        <w:spacing w:line="240" w:lineRule="auto"/>
        <w:rPr>
          <w:szCs w:val="22"/>
        </w:rPr>
      </w:pPr>
    </w:p>
    <w:p w:rsidR="00960C75" w:rsidRPr="00F95F5A" w:rsidRDefault="00960C75" w:rsidP="007D4232">
      <w:pPr>
        <w:spacing w:line="240" w:lineRule="auto"/>
        <w:rPr>
          <w:szCs w:val="22"/>
        </w:rPr>
      </w:pPr>
    </w:p>
    <w:p w:rsidR="0019168C" w:rsidRPr="00F95F5A" w:rsidRDefault="00E6200B" w:rsidP="007D4232">
      <w:pPr>
        <w:numPr>
          <w:ilvl w:val="0"/>
          <w:numId w:val="5"/>
        </w:numPr>
        <w:spacing w:line="240" w:lineRule="auto"/>
        <w:rPr>
          <w:szCs w:val="22"/>
        </w:rPr>
      </w:pPr>
      <w:r w:rsidRPr="00F95F5A">
        <w:rPr>
          <w:szCs w:val="22"/>
        </w:rPr>
        <w:t xml:space="preserve">infekcie horných </w:t>
      </w:r>
      <w:r w:rsidR="000568D6" w:rsidRPr="00F95F5A">
        <w:rPr>
          <w:szCs w:val="22"/>
        </w:rPr>
        <w:t>a dolných dýchacích ciest (napr. bronchitída),</w:t>
      </w:r>
      <w:r w:rsidR="0019168C" w:rsidRPr="00F95F5A">
        <w:rPr>
          <w:szCs w:val="22"/>
        </w:rPr>
        <w:t>,</w:t>
      </w:r>
    </w:p>
    <w:p w:rsidR="00B05886" w:rsidRPr="00F95F5A" w:rsidRDefault="00E6200B" w:rsidP="007D4232">
      <w:pPr>
        <w:numPr>
          <w:ilvl w:val="0"/>
          <w:numId w:val="5"/>
        </w:numPr>
        <w:spacing w:line="240" w:lineRule="auto"/>
        <w:rPr>
          <w:szCs w:val="22"/>
        </w:rPr>
      </w:pPr>
      <w:r w:rsidRPr="00F95F5A">
        <w:rPr>
          <w:szCs w:val="22"/>
        </w:rPr>
        <w:t xml:space="preserve">infekcie </w:t>
      </w:r>
      <w:r w:rsidR="000568D6" w:rsidRPr="00F95F5A">
        <w:rPr>
          <w:szCs w:val="22"/>
        </w:rPr>
        <w:t xml:space="preserve">ucha, nosa a oblasti hrtana (napr. zápal stredného ucha, </w:t>
      </w:r>
      <w:proofErr w:type="spellStart"/>
      <w:r w:rsidR="000568D6" w:rsidRPr="00F95F5A">
        <w:rPr>
          <w:szCs w:val="22"/>
        </w:rPr>
        <w:t>sínusitída</w:t>
      </w:r>
      <w:proofErr w:type="spellEnd"/>
      <w:r w:rsidR="000568D6" w:rsidRPr="00F95F5A">
        <w:rPr>
          <w:szCs w:val="22"/>
        </w:rPr>
        <w:t xml:space="preserve">, </w:t>
      </w:r>
      <w:proofErr w:type="spellStart"/>
      <w:r w:rsidR="000568D6" w:rsidRPr="00F95F5A">
        <w:rPr>
          <w:szCs w:val="22"/>
        </w:rPr>
        <w:t>tonzilitída</w:t>
      </w:r>
      <w:proofErr w:type="spellEnd"/>
      <w:r w:rsidR="000568D6" w:rsidRPr="00F95F5A">
        <w:rPr>
          <w:szCs w:val="22"/>
        </w:rPr>
        <w:t xml:space="preserve">, </w:t>
      </w:r>
      <w:proofErr w:type="spellStart"/>
      <w:r w:rsidR="000568D6" w:rsidRPr="00F95F5A">
        <w:rPr>
          <w:szCs w:val="22"/>
        </w:rPr>
        <w:t>faryngitída</w:t>
      </w:r>
      <w:proofErr w:type="spellEnd"/>
      <w:r w:rsidR="000568D6" w:rsidRPr="00F95F5A">
        <w:rPr>
          <w:szCs w:val="22"/>
        </w:rPr>
        <w:t>, laryngitída),</w:t>
      </w:r>
    </w:p>
    <w:p w:rsidR="00655E5C" w:rsidRPr="00F95F5A" w:rsidRDefault="00581285" w:rsidP="007D4232">
      <w:pPr>
        <w:numPr>
          <w:ilvl w:val="0"/>
          <w:numId w:val="5"/>
        </w:numPr>
        <w:spacing w:line="240" w:lineRule="auto"/>
        <w:rPr>
          <w:szCs w:val="22"/>
        </w:rPr>
      </w:pPr>
      <w:r w:rsidRPr="00F95F5A">
        <w:rPr>
          <w:szCs w:val="22"/>
        </w:rPr>
        <w:t>nekomplikované akútne a</w:t>
      </w:r>
      <w:r w:rsidR="002B2467" w:rsidRPr="00F95F5A">
        <w:rPr>
          <w:szCs w:val="22"/>
        </w:rPr>
        <w:t xml:space="preserve"> opakova</w:t>
      </w:r>
      <w:r w:rsidRPr="00F95F5A">
        <w:rPr>
          <w:szCs w:val="22"/>
        </w:rPr>
        <w:t xml:space="preserve">né infekcie močových ciest (napr. </w:t>
      </w:r>
      <w:proofErr w:type="spellStart"/>
      <w:r w:rsidRPr="00F95F5A">
        <w:rPr>
          <w:szCs w:val="22"/>
        </w:rPr>
        <w:t>cystitída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cystouretritída</w:t>
      </w:r>
      <w:proofErr w:type="spellEnd"/>
      <w:r w:rsidRPr="00F95F5A">
        <w:rPr>
          <w:szCs w:val="22"/>
        </w:rPr>
        <w:t xml:space="preserve">, nekomplikovaná </w:t>
      </w:r>
      <w:proofErr w:type="spellStart"/>
      <w:r w:rsidRPr="00F95F5A">
        <w:rPr>
          <w:szCs w:val="22"/>
        </w:rPr>
        <w:t>pyelonefritída</w:t>
      </w:r>
      <w:proofErr w:type="spellEnd"/>
      <w:r w:rsidRPr="00F95F5A">
        <w:rPr>
          <w:szCs w:val="22"/>
        </w:rPr>
        <w:t>,, akútna nekomplikovaná kvapavka)</w:t>
      </w:r>
      <w:r w:rsidR="001D637E" w:rsidRPr="00F95F5A">
        <w:rPr>
          <w:szCs w:val="22"/>
        </w:rPr>
        <w:t>.</w:t>
      </w:r>
    </w:p>
    <w:p w:rsidR="00B05886" w:rsidRPr="00F95F5A" w:rsidRDefault="00B05886" w:rsidP="007D4232">
      <w:pPr>
        <w:spacing w:line="240" w:lineRule="auto"/>
        <w:rPr>
          <w:szCs w:val="22"/>
        </w:rPr>
      </w:pPr>
    </w:p>
    <w:p w:rsidR="00106096" w:rsidRPr="00F95F5A" w:rsidRDefault="00FA3275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Suprax</w:t>
      </w:r>
      <w:proofErr w:type="spellEnd"/>
      <w:r w:rsidRPr="00F95F5A">
        <w:rPr>
          <w:szCs w:val="22"/>
        </w:rPr>
        <w:t xml:space="preserve"> 200 mg filmom obalené tablety sú indikované pre dospelých a dospievajúcich nad 12 rokov veku. </w:t>
      </w: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b/>
          <w:szCs w:val="22"/>
        </w:rPr>
        <w:t>4.2</w:t>
      </w:r>
      <w:r w:rsidRPr="00F95F5A">
        <w:rPr>
          <w:b/>
          <w:szCs w:val="22"/>
        </w:rPr>
        <w:tab/>
      </w:r>
      <w:r w:rsidR="001C5206" w:rsidRPr="00F95F5A">
        <w:rPr>
          <w:b/>
          <w:szCs w:val="22"/>
        </w:rPr>
        <w:t>Dávkovanie a spôsob podávania</w:t>
      </w: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423813" w:rsidRPr="00F95F5A" w:rsidRDefault="00423813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Dávkovanie</w:t>
      </w:r>
    </w:p>
    <w:p w:rsidR="007D4232" w:rsidRPr="00F95F5A" w:rsidRDefault="007D4232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B05886" w:rsidRPr="00F95F5A" w:rsidRDefault="00B05886" w:rsidP="007D4232">
      <w:pPr>
        <w:rPr>
          <w:szCs w:val="22"/>
        </w:rPr>
      </w:pPr>
      <w:r w:rsidRPr="00F95F5A">
        <w:rPr>
          <w:szCs w:val="22"/>
        </w:rPr>
        <w:t>Dávka sa môže uprav</w:t>
      </w:r>
      <w:r w:rsidR="00423813" w:rsidRPr="00F95F5A">
        <w:rPr>
          <w:szCs w:val="22"/>
        </w:rPr>
        <w:t>i</w:t>
      </w:r>
      <w:r w:rsidRPr="00F95F5A">
        <w:rPr>
          <w:szCs w:val="22"/>
        </w:rPr>
        <w:t xml:space="preserve">ť v závislosti od veku pacienta, telesnej hmotnosti, </w:t>
      </w:r>
      <w:r w:rsidR="00B55A61" w:rsidRPr="00F95F5A">
        <w:rPr>
          <w:szCs w:val="22"/>
        </w:rPr>
        <w:t xml:space="preserve">závažnosti infekcie </w:t>
      </w:r>
      <w:r w:rsidRPr="00F95F5A">
        <w:rPr>
          <w:szCs w:val="22"/>
        </w:rPr>
        <w:t>a </w:t>
      </w:r>
      <w:proofErr w:type="spellStart"/>
      <w:r w:rsidRPr="00F95F5A">
        <w:rPr>
          <w:szCs w:val="22"/>
        </w:rPr>
        <w:t>renálnej</w:t>
      </w:r>
      <w:proofErr w:type="spellEnd"/>
      <w:r w:rsidRPr="00F95F5A">
        <w:rPr>
          <w:szCs w:val="22"/>
        </w:rPr>
        <w:t xml:space="preserve"> funkcie</w:t>
      </w:r>
      <w:r w:rsidR="002E2DB6" w:rsidRPr="00F95F5A">
        <w:rPr>
          <w:szCs w:val="22"/>
        </w:rPr>
        <w:t xml:space="preserve"> (pozri časť 4.4). Liek sa </w:t>
      </w:r>
      <w:r w:rsidRPr="00F95F5A">
        <w:rPr>
          <w:szCs w:val="22"/>
        </w:rPr>
        <w:t>podáva</w:t>
      </w:r>
      <w:r w:rsidR="00C64ED6" w:rsidRPr="00F95F5A">
        <w:rPr>
          <w:szCs w:val="22"/>
        </w:rPr>
        <w:t xml:space="preserve"> </w:t>
      </w:r>
      <w:r w:rsidRPr="00F95F5A">
        <w:rPr>
          <w:szCs w:val="22"/>
        </w:rPr>
        <w:t>perorálne raz alebo dvakrát denne</w:t>
      </w:r>
      <w:r w:rsidR="002870C6" w:rsidRPr="00F95F5A">
        <w:rPr>
          <w:szCs w:val="22"/>
        </w:rPr>
        <w:t>.</w:t>
      </w:r>
    </w:p>
    <w:p w:rsidR="00B05886" w:rsidRPr="00F95F5A" w:rsidRDefault="00B05886" w:rsidP="007D4232">
      <w:pPr>
        <w:tabs>
          <w:tab w:val="clear" w:pos="567"/>
        </w:tabs>
        <w:spacing w:line="240" w:lineRule="auto"/>
        <w:rPr>
          <w:szCs w:val="22"/>
        </w:rPr>
      </w:pPr>
    </w:p>
    <w:p w:rsidR="00B05886" w:rsidRPr="00F95F5A" w:rsidRDefault="007A4525" w:rsidP="007D4232">
      <w:pPr>
        <w:spacing w:line="240" w:lineRule="auto"/>
        <w:rPr>
          <w:i/>
          <w:szCs w:val="22"/>
        </w:rPr>
      </w:pPr>
      <w:r w:rsidRPr="00F95F5A">
        <w:rPr>
          <w:i/>
          <w:szCs w:val="22"/>
        </w:rPr>
        <w:t>Dospelí a d</w:t>
      </w:r>
      <w:r w:rsidR="00B05886" w:rsidRPr="00F95F5A">
        <w:rPr>
          <w:i/>
          <w:szCs w:val="22"/>
        </w:rPr>
        <w:t>ospievajúci</w:t>
      </w:r>
      <w:r w:rsidRPr="00F95F5A">
        <w:rPr>
          <w:i/>
          <w:szCs w:val="22"/>
        </w:rPr>
        <w:t xml:space="preserve"> nad 12 rokov</w:t>
      </w:r>
    </w:p>
    <w:p w:rsidR="00EB31E6" w:rsidRPr="00F95F5A" w:rsidRDefault="002E2DB6" w:rsidP="00EB31E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400 mg denne v 1 alebo 2 jednotlivých dávkach</w:t>
      </w:r>
      <w:r w:rsidR="000A6C31" w:rsidRPr="00F95F5A">
        <w:rPr>
          <w:szCs w:val="22"/>
        </w:rPr>
        <w:t xml:space="preserve"> </w:t>
      </w:r>
      <w:r w:rsidR="00386D8C" w:rsidRPr="00F95F5A">
        <w:rPr>
          <w:szCs w:val="22"/>
        </w:rPr>
        <w:t>(1 filmom obalená tableta ráno a 1 večer).</w:t>
      </w:r>
      <w:r w:rsidR="00883989" w:rsidRPr="00F95F5A">
        <w:rPr>
          <w:szCs w:val="22"/>
        </w:rPr>
        <w:t xml:space="preserve"> </w:t>
      </w:r>
    </w:p>
    <w:p w:rsidR="00015032" w:rsidRPr="00F95F5A" w:rsidRDefault="00015032" w:rsidP="007D4232">
      <w:pPr>
        <w:spacing w:line="240" w:lineRule="auto"/>
        <w:rPr>
          <w:i/>
          <w:szCs w:val="22"/>
          <w:u w:val="single"/>
        </w:rPr>
      </w:pPr>
    </w:p>
    <w:p w:rsidR="004A13E3" w:rsidRPr="00F95F5A" w:rsidRDefault="00C878BA" w:rsidP="007D4232">
      <w:pPr>
        <w:spacing w:line="240" w:lineRule="auto"/>
        <w:rPr>
          <w:i/>
          <w:szCs w:val="22"/>
        </w:rPr>
      </w:pPr>
      <w:r w:rsidRPr="00F95F5A">
        <w:rPr>
          <w:i/>
          <w:szCs w:val="22"/>
        </w:rPr>
        <w:t>Akútna n</w:t>
      </w:r>
      <w:r w:rsidR="004A13E3" w:rsidRPr="00F95F5A">
        <w:rPr>
          <w:i/>
          <w:szCs w:val="22"/>
        </w:rPr>
        <w:t>ekomplikovaná kvapavka</w:t>
      </w:r>
    </w:p>
    <w:p w:rsidR="004A13E3" w:rsidRPr="00F95F5A" w:rsidRDefault="004A13E3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U nekomplikovanej kvapavky je účinné jednorazové podanie 400 mg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>. Výsledok terapie kvapavky sa musí skontrolovať bakteriálnou kultiváciou o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3</w:t>
      </w:r>
      <w:r w:rsidR="007D4232" w:rsidRPr="00F95F5A">
        <w:rPr>
          <w:szCs w:val="22"/>
        </w:rPr>
        <w:t> – </w:t>
      </w:r>
      <w:r w:rsidRPr="00F95F5A">
        <w:rPr>
          <w:szCs w:val="22"/>
        </w:rPr>
        <w:t>4 dni po podaní lieku.</w:t>
      </w:r>
    </w:p>
    <w:p w:rsidR="004A13E3" w:rsidRPr="00F95F5A" w:rsidRDefault="004A13E3" w:rsidP="007D4232">
      <w:pPr>
        <w:spacing w:line="240" w:lineRule="auto"/>
        <w:rPr>
          <w:i/>
          <w:szCs w:val="22"/>
        </w:rPr>
      </w:pPr>
    </w:p>
    <w:p w:rsidR="003C1601" w:rsidRPr="00F95F5A" w:rsidRDefault="003C1601" w:rsidP="002870C6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F95F5A">
        <w:rPr>
          <w:bCs/>
          <w:i/>
          <w:iCs/>
          <w:szCs w:val="22"/>
        </w:rPr>
        <w:t>Starší pacienti</w:t>
      </w:r>
    </w:p>
    <w:p w:rsidR="003C1601" w:rsidRPr="00F95F5A" w:rsidRDefault="003C1601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lastRenderedPageBreak/>
        <w:t>U starších pacientov sa všeobecne nevyžaduje úprava dávky.</w:t>
      </w:r>
    </w:p>
    <w:p w:rsidR="003C1601" w:rsidRPr="00F95F5A" w:rsidRDefault="003C1601" w:rsidP="007D4232">
      <w:pPr>
        <w:spacing w:line="240" w:lineRule="auto"/>
        <w:rPr>
          <w:i/>
          <w:szCs w:val="22"/>
        </w:rPr>
      </w:pPr>
    </w:p>
    <w:p w:rsidR="00B05886" w:rsidRPr="00F95F5A" w:rsidRDefault="000C5D4D" w:rsidP="007D4232">
      <w:pPr>
        <w:spacing w:line="240" w:lineRule="auto"/>
        <w:rPr>
          <w:i/>
          <w:szCs w:val="22"/>
        </w:rPr>
      </w:pPr>
      <w:r w:rsidRPr="00F95F5A">
        <w:rPr>
          <w:i/>
          <w:szCs w:val="22"/>
        </w:rPr>
        <w:t>Pediatrická populácia</w:t>
      </w:r>
    </w:p>
    <w:p w:rsidR="000C5D4D" w:rsidRPr="00F95F5A" w:rsidRDefault="005420E3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Bezpečnosť a účinnosť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nebola stanovená u detí mladších ako 6 mesiacov. </w:t>
      </w:r>
      <w:proofErr w:type="spellStart"/>
      <w:r w:rsidRPr="00F95F5A">
        <w:rPr>
          <w:szCs w:val="22"/>
        </w:rPr>
        <w:t>Cefixín</w:t>
      </w:r>
      <w:proofErr w:type="spellEnd"/>
      <w:r w:rsidRPr="00F95F5A">
        <w:rPr>
          <w:szCs w:val="22"/>
        </w:rPr>
        <w:t xml:space="preserve"> sa </w:t>
      </w:r>
      <w:r w:rsidR="00221275" w:rsidRPr="00F95F5A">
        <w:rPr>
          <w:szCs w:val="22"/>
        </w:rPr>
        <w:t xml:space="preserve">nemá </w:t>
      </w:r>
      <w:r w:rsidRPr="00F95F5A">
        <w:rPr>
          <w:szCs w:val="22"/>
        </w:rPr>
        <w:t xml:space="preserve">podávať deťom mladším ako 6 mesiacov. </w:t>
      </w:r>
      <w:r w:rsidR="000A6C31" w:rsidRPr="00F95F5A">
        <w:rPr>
          <w:szCs w:val="22"/>
        </w:rPr>
        <w:t>P</w:t>
      </w:r>
      <w:r w:rsidRPr="00F95F5A">
        <w:rPr>
          <w:szCs w:val="22"/>
        </w:rPr>
        <w:t>re deti vo veku od 6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mesiacov do 12 rokov</w:t>
      </w:r>
      <w:r w:rsidR="000A6C31" w:rsidRPr="00F95F5A">
        <w:rPr>
          <w:szCs w:val="22"/>
        </w:rPr>
        <w:t xml:space="preserve"> sa odporúča </w:t>
      </w:r>
      <w:proofErr w:type="spellStart"/>
      <w:r w:rsidR="000A6C31" w:rsidRPr="00F95F5A">
        <w:rPr>
          <w:szCs w:val="22"/>
        </w:rPr>
        <w:t>cefixim</w:t>
      </w:r>
      <w:proofErr w:type="spellEnd"/>
      <w:r w:rsidR="000A6C31" w:rsidRPr="00F95F5A">
        <w:rPr>
          <w:szCs w:val="22"/>
        </w:rPr>
        <w:t xml:space="preserve"> v liekovej forme perorálna suspenzia</w:t>
      </w:r>
      <w:r w:rsidR="000C5D4D" w:rsidRPr="00F95F5A">
        <w:rPr>
          <w:szCs w:val="22"/>
        </w:rPr>
        <w:t>.</w:t>
      </w:r>
      <w:r w:rsidRPr="00F95F5A">
        <w:rPr>
          <w:szCs w:val="22"/>
        </w:rPr>
        <w:t xml:space="preserve"> Tablety sa odporúčajú pre dospievajúcich starších ako 12 rokov.</w:t>
      </w:r>
    </w:p>
    <w:p w:rsidR="000C5D4D" w:rsidRPr="00F95F5A" w:rsidRDefault="000C5D4D" w:rsidP="007D4232">
      <w:pPr>
        <w:spacing w:line="240" w:lineRule="auto"/>
        <w:rPr>
          <w:i/>
          <w:szCs w:val="22"/>
          <w:u w:val="single"/>
        </w:rPr>
      </w:pPr>
    </w:p>
    <w:p w:rsidR="000C5D4D" w:rsidRPr="00F95F5A" w:rsidRDefault="000C5D4D" w:rsidP="007D4232">
      <w:pPr>
        <w:spacing w:line="240" w:lineRule="auto"/>
        <w:rPr>
          <w:szCs w:val="22"/>
        </w:rPr>
      </w:pPr>
    </w:p>
    <w:p w:rsidR="000C5D4D" w:rsidRPr="00F95F5A" w:rsidRDefault="000C5D4D" w:rsidP="007D4232">
      <w:pPr>
        <w:spacing w:line="240" w:lineRule="auto"/>
        <w:rPr>
          <w:i/>
          <w:szCs w:val="22"/>
        </w:rPr>
      </w:pPr>
      <w:r w:rsidRPr="00F95F5A">
        <w:rPr>
          <w:i/>
          <w:szCs w:val="22"/>
        </w:rPr>
        <w:t>Dospievajúci nad 12 rokov</w:t>
      </w:r>
    </w:p>
    <w:p w:rsidR="00015032" w:rsidRPr="00F95F5A" w:rsidRDefault="000C5D4D" w:rsidP="002870C6">
      <w:pPr>
        <w:spacing w:line="240" w:lineRule="auto"/>
        <w:rPr>
          <w:szCs w:val="22"/>
        </w:rPr>
      </w:pPr>
      <w:r w:rsidRPr="00F95F5A">
        <w:rPr>
          <w:szCs w:val="22"/>
        </w:rPr>
        <w:t>Dávkovanie v tejto skupine je rovnaké ako u dospelých.</w:t>
      </w:r>
    </w:p>
    <w:p w:rsidR="000C5D4D" w:rsidRPr="00F95F5A" w:rsidRDefault="000C5D4D" w:rsidP="002870C6">
      <w:pPr>
        <w:spacing w:line="240" w:lineRule="auto"/>
        <w:rPr>
          <w:i/>
          <w:szCs w:val="22"/>
        </w:rPr>
      </w:pPr>
    </w:p>
    <w:p w:rsidR="00D06279" w:rsidRPr="00F95F5A" w:rsidRDefault="00D06279" w:rsidP="007D4232">
      <w:pPr>
        <w:spacing w:line="240" w:lineRule="auto"/>
        <w:rPr>
          <w:szCs w:val="22"/>
          <w:u w:val="single"/>
        </w:rPr>
      </w:pPr>
    </w:p>
    <w:p w:rsidR="004A13E3" w:rsidRPr="00F95F5A" w:rsidRDefault="004A13E3" w:rsidP="007D4232">
      <w:pPr>
        <w:spacing w:line="240" w:lineRule="auto"/>
        <w:rPr>
          <w:i/>
          <w:szCs w:val="22"/>
        </w:rPr>
      </w:pPr>
      <w:r w:rsidRPr="00F95F5A">
        <w:rPr>
          <w:bCs/>
          <w:i/>
          <w:iCs/>
          <w:szCs w:val="22"/>
        </w:rPr>
        <w:t>Po</w:t>
      </w:r>
      <w:r w:rsidR="007D4232" w:rsidRPr="00F95F5A">
        <w:rPr>
          <w:bCs/>
          <w:i/>
          <w:iCs/>
          <w:szCs w:val="22"/>
        </w:rPr>
        <w:t>rucha</w:t>
      </w:r>
      <w:r w:rsidRPr="00F95F5A">
        <w:rPr>
          <w:bCs/>
          <w:i/>
          <w:iCs/>
          <w:szCs w:val="22"/>
        </w:rPr>
        <w:t xml:space="preserve"> funkcie obličiek</w:t>
      </w:r>
      <w:r w:rsidRPr="00F95F5A">
        <w:rPr>
          <w:i/>
          <w:szCs w:val="22"/>
        </w:rPr>
        <w:t xml:space="preserve"> </w:t>
      </w:r>
    </w:p>
    <w:p w:rsidR="000C5D4D" w:rsidRPr="00F95F5A" w:rsidRDefault="000C5D4D" w:rsidP="007D4232">
      <w:pPr>
        <w:spacing w:line="240" w:lineRule="auto"/>
        <w:rPr>
          <w:szCs w:val="22"/>
        </w:rPr>
      </w:pPr>
      <w:r w:rsidRPr="00F95F5A">
        <w:rPr>
          <w:szCs w:val="22"/>
        </w:rPr>
        <w:t>V prípade ťažk</w:t>
      </w:r>
      <w:r w:rsidR="007D4232" w:rsidRPr="00F95F5A">
        <w:rPr>
          <w:szCs w:val="22"/>
        </w:rPr>
        <w:t>ej poruchy</w:t>
      </w:r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renálnych</w:t>
      </w:r>
      <w:proofErr w:type="spellEnd"/>
      <w:r w:rsidRPr="00F95F5A">
        <w:rPr>
          <w:szCs w:val="22"/>
        </w:rPr>
        <w:t xml:space="preserve"> funkcií sa musí dávka redukovať. </w:t>
      </w:r>
    </w:p>
    <w:p w:rsidR="000C5D4D" w:rsidRPr="00F95F5A" w:rsidRDefault="000C5D4D" w:rsidP="007D4232">
      <w:pPr>
        <w:spacing w:line="240" w:lineRule="auto"/>
        <w:rPr>
          <w:szCs w:val="22"/>
          <w:u w:val="single"/>
        </w:rPr>
      </w:pPr>
      <w:r w:rsidRPr="00F95F5A">
        <w:rPr>
          <w:szCs w:val="22"/>
        </w:rPr>
        <w:t xml:space="preserve">U dospelých a </w:t>
      </w:r>
      <w:r w:rsidR="00C878BA" w:rsidRPr="00F95F5A">
        <w:rPr>
          <w:szCs w:val="22"/>
        </w:rPr>
        <w:t>dospievajúcich</w:t>
      </w:r>
      <w:r w:rsidRPr="00F95F5A">
        <w:rPr>
          <w:szCs w:val="22"/>
        </w:rPr>
        <w:t xml:space="preserve"> nad 12 rokov s </w:t>
      </w:r>
      <w:proofErr w:type="spellStart"/>
      <w:r w:rsidRPr="00F95F5A">
        <w:rPr>
          <w:szCs w:val="22"/>
        </w:rPr>
        <w:t>klírensom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kreatinínu</w:t>
      </w:r>
      <w:proofErr w:type="spellEnd"/>
      <w:r w:rsidRPr="00F95F5A">
        <w:rPr>
          <w:szCs w:val="22"/>
        </w:rPr>
        <w:t xml:space="preserve"> nižším ako 20 ml/min/1,73 m², je odporúčaná dávka 1-krát 200 mg. </w:t>
      </w:r>
    </w:p>
    <w:p w:rsidR="000C5D4D" w:rsidRPr="00F95F5A" w:rsidRDefault="000C5D4D" w:rsidP="007D4232">
      <w:pPr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Dĺžka liečby</w:t>
      </w:r>
    </w:p>
    <w:p w:rsidR="007D4232" w:rsidRPr="00F95F5A" w:rsidRDefault="000C5D4D" w:rsidP="007D4232">
      <w:pPr>
        <w:spacing w:line="240" w:lineRule="auto"/>
        <w:rPr>
          <w:szCs w:val="22"/>
        </w:rPr>
      </w:pPr>
      <w:r w:rsidRPr="00F95F5A">
        <w:rPr>
          <w:szCs w:val="22"/>
        </w:rPr>
        <w:t>V</w:t>
      </w:r>
      <w:r w:rsidR="00A8518D" w:rsidRPr="00F95F5A">
        <w:rPr>
          <w:szCs w:val="22"/>
        </w:rPr>
        <w:t xml:space="preserve"> prípade bakteriálnych infekcií závisí od priebehu ochorenia. </w:t>
      </w:r>
      <w:r w:rsidR="00920D70" w:rsidRPr="00F95F5A">
        <w:rPr>
          <w:szCs w:val="22"/>
        </w:rPr>
        <w:t xml:space="preserve">Antibiotické kúry trvajú zvyčajne </w:t>
      </w:r>
    </w:p>
    <w:p w:rsidR="00A8518D" w:rsidRPr="00F95F5A" w:rsidRDefault="00920D70" w:rsidP="007D4232">
      <w:pPr>
        <w:spacing w:line="240" w:lineRule="auto"/>
        <w:rPr>
          <w:szCs w:val="22"/>
        </w:rPr>
      </w:pPr>
      <w:r w:rsidRPr="00F95F5A">
        <w:rPr>
          <w:szCs w:val="22"/>
        </w:rPr>
        <w:t>5</w:t>
      </w:r>
      <w:r w:rsidR="007D4232" w:rsidRPr="00F95F5A">
        <w:rPr>
          <w:szCs w:val="22"/>
        </w:rPr>
        <w:t> – </w:t>
      </w:r>
      <w:r w:rsidRPr="00F95F5A">
        <w:rPr>
          <w:szCs w:val="22"/>
        </w:rPr>
        <w:t>10 dní.</w:t>
      </w:r>
    </w:p>
    <w:p w:rsidR="00E37887" w:rsidRPr="00F95F5A" w:rsidRDefault="005E3E57" w:rsidP="007D4232">
      <w:pPr>
        <w:spacing w:line="240" w:lineRule="auto"/>
        <w:rPr>
          <w:szCs w:val="22"/>
          <w:u w:val="single"/>
        </w:rPr>
      </w:pPr>
      <w:r w:rsidRPr="00F95F5A">
        <w:rPr>
          <w:szCs w:val="22"/>
        </w:rPr>
        <w:t xml:space="preserve">V liečbe </w:t>
      </w:r>
      <w:r w:rsidR="00920D70" w:rsidRPr="00F95F5A">
        <w:rPr>
          <w:szCs w:val="22"/>
        </w:rPr>
        <w:t xml:space="preserve">streptokokových </w:t>
      </w:r>
      <w:r w:rsidRPr="00F95F5A">
        <w:rPr>
          <w:szCs w:val="22"/>
        </w:rPr>
        <w:t xml:space="preserve">infekcií treba pokračovať aspoň 10 dní, aby sa predišlo </w:t>
      </w:r>
      <w:r w:rsidR="009C5E92" w:rsidRPr="00F95F5A">
        <w:rPr>
          <w:szCs w:val="22"/>
        </w:rPr>
        <w:t xml:space="preserve">možným </w:t>
      </w:r>
      <w:r w:rsidRPr="00F95F5A">
        <w:rPr>
          <w:szCs w:val="22"/>
        </w:rPr>
        <w:t>neskor</w:t>
      </w:r>
      <w:r w:rsidR="009C5E92" w:rsidRPr="00F95F5A">
        <w:rPr>
          <w:szCs w:val="22"/>
        </w:rPr>
        <w:t>ší</w:t>
      </w:r>
      <w:r w:rsidRPr="00F95F5A">
        <w:rPr>
          <w:szCs w:val="22"/>
        </w:rPr>
        <w:t>m komplikáciám.</w:t>
      </w:r>
      <w:r w:rsidRPr="00F95F5A">
        <w:rPr>
          <w:szCs w:val="22"/>
          <w:u w:val="single"/>
        </w:rPr>
        <w:t xml:space="preserve"> </w:t>
      </w:r>
    </w:p>
    <w:p w:rsidR="00883989" w:rsidRPr="00F95F5A" w:rsidRDefault="00847D3A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Pri liečbe nekomplikovaných infekcií </w:t>
      </w:r>
      <w:r w:rsidR="004A13E3" w:rsidRPr="00F95F5A">
        <w:rPr>
          <w:szCs w:val="22"/>
        </w:rPr>
        <w:t xml:space="preserve">dolných </w:t>
      </w:r>
      <w:r w:rsidRPr="00F95F5A">
        <w:rPr>
          <w:szCs w:val="22"/>
        </w:rPr>
        <w:t xml:space="preserve">močových ciest u žien je </w:t>
      </w:r>
      <w:r w:rsidR="009C5E92" w:rsidRPr="00F95F5A">
        <w:rPr>
          <w:szCs w:val="22"/>
        </w:rPr>
        <w:t xml:space="preserve">zvyčajne </w:t>
      </w:r>
      <w:r w:rsidRPr="00F95F5A">
        <w:rPr>
          <w:szCs w:val="22"/>
        </w:rPr>
        <w:t>dostatočná 1</w:t>
      </w:r>
      <w:r w:rsidR="000C5D4D" w:rsidRPr="00F95F5A">
        <w:rPr>
          <w:szCs w:val="22"/>
        </w:rPr>
        <w:t xml:space="preserve"> až </w:t>
      </w:r>
      <w:r w:rsidRPr="00F95F5A">
        <w:rPr>
          <w:szCs w:val="22"/>
        </w:rPr>
        <w:t>3</w:t>
      </w:r>
      <w:r w:rsidR="000C5D4D" w:rsidRPr="00F95F5A">
        <w:rPr>
          <w:szCs w:val="22"/>
        </w:rPr>
        <w:t>-</w:t>
      </w:r>
      <w:r w:rsidRPr="00F95F5A">
        <w:rPr>
          <w:szCs w:val="22"/>
        </w:rPr>
        <w:t>dňová liečba.</w:t>
      </w:r>
      <w:r w:rsidR="00883989" w:rsidRPr="00F95F5A">
        <w:rPr>
          <w:szCs w:val="22"/>
        </w:rPr>
        <w:t xml:space="preserve"> </w:t>
      </w:r>
    </w:p>
    <w:p w:rsidR="00883989" w:rsidRPr="00F95F5A" w:rsidRDefault="00883989" w:rsidP="002870C6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F95F5A" w:rsidRDefault="00F32C30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Spôsob podávania</w:t>
      </w:r>
    </w:p>
    <w:p w:rsidR="00C64ED6" w:rsidRPr="00F95F5A" w:rsidRDefault="00C64ED6" w:rsidP="007D4232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F95F5A" w:rsidRDefault="00F32C30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Na perorálne podanie. </w:t>
      </w:r>
    </w:p>
    <w:p w:rsidR="00F32C30" w:rsidRPr="00F95F5A" w:rsidRDefault="00AC480B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Cefixím</w:t>
      </w:r>
      <w:proofErr w:type="spellEnd"/>
      <w:r w:rsidR="00F32C30" w:rsidRPr="00F95F5A">
        <w:rPr>
          <w:szCs w:val="22"/>
        </w:rPr>
        <w:t xml:space="preserve"> sa smie podávať pred alebo počas jedla, nemá to žiadn</w:t>
      </w:r>
      <w:r w:rsidR="00F968E9" w:rsidRPr="00F95F5A">
        <w:rPr>
          <w:szCs w:val="22"/>
        </w:rPr>
        <w:t>y</w:t>
      </w:r>
      <w:r w:rsidR="00F32C30" w:rsidRPr="00F95F5A">
        <w:rPr>
          <w:szCs w:val="22"/>
        </w:rPr>
        <w:t xml:space="preserve"> </w:t>
      </w:r>
      <w:r w:rsidR="00F968E9" w:rsidRPr="00F95F5A">
        <w:rPr>
          <w:szCs w:val="22"/>
        </w:rPr>
        <w:t>vplyv</w:t>
      </w:r>
      <w:r w:rsidR="00F32C30" w:rsidRPr="00F95F5A">
        <w:rPr>
          <w:szCs w:val="22"/>
        </w:rPr>
        <w:t xml:space="preserve"> na absorpciu liečiva. </w:t>
      </w:r>
    </w:p>
    <w:p w:rsidR="00F32C30" w:rsidRPr="00F95F5A" w:rsidRDefault="00F32C30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Filmom obalené tablety sa majú </w:t>
      </w:r>
      <w:r w:rsidR="004A13E3" w:rsidRPr="00F95F5A">
        <w:rPr>
          <w:szCs w:val="22"/>
        </w:rPr>
        <w:t>zapiť hojným množstvom vody</w:t>
      </w:r>
      <w:r w:rsidRPr="00F95F5A">
        <w:rPr>
          <w:szCs w:val="22"/>
        </w:rPr>
        <w:t xml:space="preserve">. </w:t>
      </w:r>
    </w:p>
    <w:p w:rsidR="00F32C30" w:rsidRPr="00F95F5A" w:rsidRDefault="00F32C30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4.3</w:t>
      </w:r>
      <w:r w:rsidRPr="00F95F5A">
        <w:rPr>
          <w:b/>
          <w:szCs w:val="22"/>
        </w:rPr>
        <w:tab/>
      </w:r>
      <w:r w:rsidR="00847D3A" w:rsidRPr="00F95F5A">
        <w:rPr>
          <w:b/>
          <w:szCs w:val="22"/>
        </w:rPr>
        <w:t>Kontraindikácie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B20A77" w:rsidRPr="00F95F5A" w:rsidRDefault="00847D3A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Precitlivenosť na </w:t>
      </w:r>
      <w:r w:rsidR="007D4232" w:rsidRPr="00F95F5A">
        <w:rPr>
          <w:szCs w:val="22"/>
        </w:rPr>
        <w:t>liečivo</w:t>
      </w:r>
      <w:r w:rsidRPr="00F95F5A">
        <w:rPr>
          <w:szCs w:val="22"/>
        </w:rPr>
        <w:t xml:space="preserve"> alebo na ktorúkoľvek z pomocných látok</w:t>
      </w:r>
      <w:r w:rsidR="00F32C30" w:rsidRPr="00F95F5A">
        <w:rPr>
          <w:szCs w:val="22"/>
        </w:rPr>
        <w:t xml:space="preserve"> </w:t>
      </w:r>
      <w:r w:rsidR="00F32C30" w:rsidRPr="00F95F5A">
        <w:rPr>
          <w:noProof/>
          <w:szCs w:val="22"/>
        </w:rPr>
        <w:t>uvedených v časti 6.1.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4.4</w:t>
      </w:r>
      <w:r w:rsidRPr="00F95F5A">
        <w:rPr>
          <w:b/>
          <w:szCs w:val="22"/>
        </w:rPr>
        <w:tab/>
      </w:r>
      <w:r w:rsidR="00847D3A" w:rsidRPr="00F95F5A">
        <w:rPr>
          <w:b/>
          <w:szCs w:val="22"/>
        </w:rPr>
        <w:t>Osobitné upozornenia a opatrenia pri používaní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E420D0" w:rsidRPr="00F95F5A" w:rsidRDefault="00E420D0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Poznámka:</w:t>
      </w:r>
    </w:p>
    <w:p w:rsidR="00E420D0" w:rsidRPr="00F95F5A" w:rsidRDefault="00E420D0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Verifikované infekcie vyvolané stafylokokmi sa nesmú liečiť </w:t>
      </w:r>
      <w:proofErr w:type="spellStart"/>
      <w:r w:rsidRPr="00F95F5A">
        <w:rPr>
          <w:szCs w:val="22"/>
        </w:rPr>
        <w:t>Supraxom</w:t>
      </w:r>
      <w:proofErr w:type="spellEnd"/>
      <w:r w:rsidRPr="00F95F5A">
        <w:rPr>
          <w:szCs w:val="22"/>
        </w:rPr>
        <w:t>, keďže stafylokoky sú rezistentné na túto látku.</w:t>
      </w:r>
    </w:p>
    <w:p w:rsidR="00E420D0" w:rsidRPr="00F95F5A" w:rsidRDefault="00E420D0" w:rsidP="007D4232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F95F5A" w:rsidRDefault="00F32C30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Závažné kožné nežiaduce účinky:</w:t>
      </w:r>
    </w:p>
    <w:p w:rsidR="00F32C30" w:rsidRPr="00F95F5A" w:rsidRDefault="00F32C30" w:rsidP="007D4232">
      <w:pPr>
        <w:rPr>
          <w:szCs w:val="22"/>
        </w:rPr>
      </w:pPr>
      <w:r w:rsidRPr="00F95F5A">
        <w:rPr>
          <w:szCs w:val="22"/>
        </w:rPr>
        <w:t xml:space="preserve">Závažné kožné nežiaduce účinky ako toxická </w:t>
      </w:r>
      <w:proofErr w:type="spellStart"/>
      <w:r w:rsidRPr="00F95F5A">
        <w:rPr>
          <w:szCs w:val="22"/>
        </w:rPr>
        <w:t>epidermálna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nekrolýza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Stevensov-Johnsonov</w:t>
      </w:r>
      <w:proofErr w:type="spellEnd"/>
      <w:r w:rsidRPr="00F95F5A">
        <w:rPr>
          <w:szCs w:val="22"/>
        </w:rPr>
        <w:t xml:space="preserve"> syndróm a vyrážka z liekov spolu s </w:t>
      </w:r>
      <w:proofErr w:type="spellStart"/>
      <w:r w:rsidRPr="00F95F5A">
        <w:rPr>
          <w:szCs w:val="22"/>
        </w:rPr>
        <w:t>eozinofíliou</w:t>
      </w:r>
      <w:proofErr w:type="spellEnd"/>
      <w:r w:rsidRPr="00F95F5A">
        <w:rPr>
          <w:szCs w:val="22"/>
        </w:rPr>
        <w:t xml:space="preserve"> a systémovými príznakmi (DRESS) boli zaznamenané u niektorých pacientov liečených </w:t>
      </w:r>
      <w:proofErr w:type="spellStart"/>
      <w:r w:rsidRPr="00F95F5A">
        <w:rPr>
          <w:szCs w:val="22"/>
        </w:rPr>
        <w:t>cefixímom</w:t>
      </w:r>
      <w:proofErr w:type="spellEnd"/>
      <w:r w:rsidRPr="00F95F5A">
        <w:rPr>
          <w:szCs w:val="22"/>
        </w:rPr>
        <w:t xml:space="preserve">. Ak dôjde k závažným kožným nežiaducim účinkom, liečba </w:t>
      </w:r>
      <w:proofErr w:type="spellStart"/>
      <w:r w:rsidRPr="00F95F5A">
        <w:rPr>
          <w:szCs w:val="22"/>
        </w:rPr>
        <w:t>cefixímom</w:t>
      </w:r>
      <w:proofErr w:type="spellEnd"/>
      <w:r w:rsidRPr="00F95F5A">
        <w:rPr>
          <w:szCs w:val="22"/>
        </w:rPr>
        <w:t xml:space="preserve"> sa m</w:t>
      </w:r>
      <w:r w:rsidR="00C96C1C" w:rsidRPr="00F95F5A">
        <w:rPr>
          <w:szCs w:val="22"/>
        </w:rPr>
        <w:t>usí</w:t>
      </w:r>
      <w:r w:rsidRPr="00F95F5A">
        <w:rPr>
          <w:szCs w:val="22"/>
        </w:rPr>
        <w:t xml:space="preserve"> prerušiť a má sa zabezpečiť vhodná liečba a/alebo opatrenia.</w:t>
      </w:r>
    </w:p>
    <w:p w:rsidR="00F32C30" w:rsidRPr="00F95F5A" w:rsidRDefault="00F32C30" w:rsidP="007D4232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F95F5A" w:rsidRDefault="00F32C30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Precitlivenosť na penicilíny</w:t>
      </w:r>
      <w:r w:rsidR="002870C6" w:rsidRPr="00F95F5A">
        <w:rPr>
          <w:szCs w:val="22"/>
          <w:u w:val="single"/>
        </w:rPr>
        <w:t>:</w:t>
      </w:r>
    </w:p>
    <w:p w:rsidR="006409E5" w:rsidRPr="00F95F5A" w:rsidRDefault="002E073D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sa má podávať s opatrnosťou pacientom s anamnézou precitlivenosti na penicilíny</w:t>
      </w:r>
      <w:r w:rsidR="00515BB7" w:rsidRPr="00F95F5A">
        <w:rPr>
          <w:szCs w:val="22"/>
        </w:rPr>
        <w:t xml:space="preserve">. </w:t>
      </w:r>
      <w:r w:rsidR="006409E5" w:rsidRPr="00F95F5A">
        <w:rPr>
          <w:szCs w:val="22"/>
        </w:rPr>
        <w:t xml:space="preserve">Treba zvážiť možnosť skríženej alergie s inými </w:t>
      </w:r>
      <w:proofErr w:type="spellStart"/>
      <w:r w:rsidR="006409E5" w:rsidRPr="00F95F5A">
        <w:rPr>
          <w:szCs w:val="22"/>
        </w:rPr>
        <w:t>beta-laktámovými</w:t>
      </w:r>
      <w:proofErr w:type="spellEnd"/>
      <w:r w:rsidR="006409E5" w:rsidRPr="00F95F5A">
        <w:rPr>
          <w:szCs w:val="22"/>
        </w:rPr>
        <w:t xml:space="preserve"> antibiotikami. </w:t>
      </w:r>
    </w:p>
    <w:p w:rsidR="006409E5" w:rsidRPr="00F95F5A" w:rsidRDefault="006409E5" w:rsidP="007D4232">
      <w:pPr>
        <w:spacing w:line="240" w:lineRule="auto"/>
        <w:rPr>
          <w:szCs w:val="22"/>
        </w:rPr>
      </w:pPr>
      <w:r w:rsidRPr="00F95F5A">
        <w:rPr>
          <w:szCs w:val="22"/>
        </w:rPr>
        <w:t>Preto sa má venovať zvláštna pozornosť pacientom s diagnostikovan</w:t>
      </w:r>
      <w:r w:rsidR="00F62487" w:rsidRPr="00F95F5A">
        <w:rPr>
          <w:szCs w:val="22"/>
        </w:rPr>
        <w:t>ou</w:t>
      </w:r>
      <w:r w:rsidRPr="00F95F5A">
        <w:rPr>
          <w:szCs w:val="22"/>
        </w:rPr>
        <w:t xml:space="preserve"> alergi</w:t>
      </w:r>
      <w:r w:rsidR="00F62487" w:rsidRPr="00F95F5A">
        <w:rPr>
          <w:szCs w:val="22"/>
        </w:rPr>
        <w:t>ou</w:t>
      </w:r>
      <w:r w:rsidRPr="00F95F5A">
        <w:rPr>
          <w:szCs w:val="22"/>
        </w:rPr>
        <w:t xml:space="preserve"> alebo bronchiálnou astmou</w:t>
      </w:r>
      <w:r w:rsidR="00F62487" w:rsidRPr="00F95F5A">
        <w:rPr>
          <w:szCs w:val="22"/>
        </w:rPr>
        <w:t xml:space="preserve"> v anamnéze</w:t>
      </w:r>
      <w:r w:rsidR="00B20A77" w:rsidRPr="00F95F5A">
        <w:rPr>
          <w:szCs w:val="22"/>
        </w:rPr>
        <w:t xml:space="preserve">. </w:t>
      </w:r>
      <w:r w:rsidRPr="00F95F5A">
        <w:rPr>
          <w:szCs w:val="22"/>
        </w:rPr>
        <w:t xml:space="preserve">V prípade </w:t>
      </w:r>
      <w:proofErr w:type="spellStart"/>
      <w:r w:rsidRPr="00F95F5A">
        <w:rPr>
          <w:szCs w:val="22"/>
        </w:rPr>
        <w:t>anafylaktickej</w:t>
      </w:r>
      <w:proofErr w:type="spellEnd"/>
      <w:r w:rsidRPr="00F95F5A">
        <w:rPr>
          <w:szCs w:val="22"/>
        </w:rPr>
        <w:t xml:space="preserve"> reakcie sa má rýchlo podať adrenalín, kyslík a </w:t>
      </w:r>
      <w:proofErr w:type="spellStart"/>
      <w:r w:rsidRPr="00F95F5A">
        <w:rPr>
          <w:szCs w:val="22"/>
        </w:rPr>
        <w:t>steroidy</w:t>
      </w:r>
      <w:proofErr w:type="spellEnd"/>
      <w:r w:rsidRPr="00F95F5A">
        <w:rPr>
          <w:szCs w:val="22"/>
        </w:rPr>
        <w:t xml:space="preserve">, ako aj zaistiť voľné dýchacie cesty. </w:t>
      </w:r>
    </w:p>
    <w:p w:rsidR="00515BB7" w:rsidRPr="00F95F5A" w:rsidRDefault="00515BB7" w:rsidP="007D4232">
      <w:pPr>
        <w:spacing w:line="240" w:lineRule="auto"/>
        <w:rPr>
          <w:szCs w:val="22"/>
        </w:rPr>
      </w:pPr>
    </w:p>
    <w:p w:rsidR="00515BB7" w:rsidRPr="00F95F5A" w:rsidRDefault="00515BB7" w:rsidP="002870C6">
      <w:pPr>
        <w:rPr>
          <w:szCs w:val="22"/>
          <w:u w:val="single"/>
        </w:rPr>
      </w:pPr>
      <w:proofErr w:type="spellStart"/>
      <w:r w:rsidRPr="00F95F5A">
        <w:rPr>
          <w:szCs w:val="22"/>
          <w:u w:val="single"/>
        </w:rPr>
        <w:t>Hemolytická</w:t>
      </w:r>
      <w:proofErr w:type="spellEnd"/>
      <w:r w:rsidRPr="00F95F5A">
        <w:rPr>
          <w:szCs w:val="22"/>
          <w:u w:val="single"/>
        </w:rPr>
        <w:t xml:space="preserve"> anémia:</w:t>
      </w:r>
    </w:p>
    <w:p w:rsidR="00515BB7" w:rsidRPr="00F95F5A" w:rsidRDefault="00515BB7" w:rsidP="007D4232">
      <w:pPr>
        <w:rPr>
          <w:szCs w:val="22"/>
        </w:rPr>
      </w:pPr>
      <w:r w:rsidRPr="00F95F5A">
        <w:rPr>
          <w:szCs w:val="22"/>
        </w:rPr>
        <w:t xml:space="preserve">Pri </w:t>
      </w:r>
      <w:proofErr w:type="spellStart"/>
      <w:r w:rsidRPr="00F95F5A">
        <w:rPr>
          <w:szCs w:val="22"/>
        </w:rPr>
        <w:t>cefalosporínoch</w:t>
      </w:r>
      <w:proofErr w:type="spellEnd"/>
      <w:r w:rsidRPr="00F95F5A">
        <w:rPr>
          <w:szCs w:val="22"/>
        </w:rPr>
        <w:t xml:space="preserve"> (ako triede) bola popísaná liekom vyvolaná </w:t>
      </w:r>
      <w:proofErr w:type="spellStart"/>
      <w:r w:rsidRPr="00F95F5A">
        <w:rPr>
          <w:szCs w:val="22"/>
        </w:rPr>
        <w:t>hemolytická</w:t>
      </w:r>
      <w:proofErr w:type="spellEnd"/>
      <w:r w:rsidRPr="00F95F5A">
        <w:rPr>
          <w:szCs w:val="22"/>
        </w:rPr>
        <w:t xml:space="preserve"> anémia, vrátane ťažkých prípado</w:t>
      </w:r>
      <w:r w:rsidR="002E073D" w:rsidRPr="00F95F5A">
        <w:rPr>
          <w:szCs w:val="22"/>
        </w:rPr>
        <w:t>v</w:t>
      </w:r>
      <w:r w:rsidRPr="00F95F5A">
        <w:rPr>
          <w:szCs w:val="22"/>
        </w:rPr>
        <w:t xml:space="preserve"> s fatálnym koncom. Taktiež bol zaznamenaný opakovaný výskyt </w:t>
      </w:r>
      <w:proofErr w:type="spellStart"/>
      <w:r w:rsidRPr="00F95F5A">
        <w:rPr>
          <w:szCs w:val="22"/>
        </w:rPr>
        <w:t>hemolytickej</w:t>
      </w:r>
      <w:proofErr w:type="spellEnd"/>
      <w:r w:rsidRPr="00F95F5A">
        <w:rPr>
          <w:szCs w:val="22"/>
        </w:rPr>
        <w:t xml:space="preserve"> anémie po </w:t>
      </w:r>
      <w:r w:rsidRPr="00F95F5A">
        <w:rPr>
          <w:szCs w:val="22"/>
        </w:rPr>
        <w:lastRenderedPageBreak/>
        <w:t xml:space="preserve">opakovanom podávaní </w:t>
      </w:r>
      <w:proofErr w:type="spellStart"/>
      <w:r w:rsidRPr="00F95F5A">
        <w:rPr>
          <w:szCs w:val="22"/>
        </w:rPr>
        <w:t>cefalosporínov</w:t>
      </w:r>
      <w:proofErr w:type="spellEnd"/>
      <w:r w:rsidRPr="00F95F5A">
        <w:rPr>
          <w:szCs w:val="22"/>
        </w:rPr>
        <w:t xml:space="preserve"> u pacienta s anamnézou </w:t>
      </w:r>
      <w:proofErr w:type="spellStart"/>
      <w:r w:rsidRPr="00F95F5A">
        <w:rPr>
          <w:szCs w:val="22"/>
        </w:rPr>
        <w:t>hemolytickej</w:t>
      </w:r>
      <w:proofErr w:type="spellEnd"/>
      <w:r w:rsidRPr="00F95F5A">
        <w:rPr>
          <w:szCs w:val="22"/>
        </w:rPr>
        <w:t xml:space="preserve"> anémie spojenej s </w:t>
      </w:r>
      <w:proofErr w:type="spellStart"/>
      <w:r w:rsidRPr="00F95F5A">
        <w:rPr>
          <w:szCs w:val="22"/>
        </w:rPr>
        <w:t>cefalosporínmi</w:t>
      </w:r>
      <w:proofErr w:type="spellEnd"/>
      <w:r w:rsidRPr="00F95F5A">
        <w:rPr>
          <w:szCs w:val="22"/>
        </w:rPr>
        <w:t xml:space="preserve"> (vrátane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>).</w:t>
      </w:r>
    </w:p>
    <w:p w:rsidR="00515BB7" w:rsidRPr="00F95F5A" w:rsidRDefault="00515BB7" w:rsidP="007D4232">
      <w:pPr>
        <w:rPr>
          <w:szCs w:val="22"/>
        </w:rPr>
      </w:pPr>
    </w:p>
    <w:p w:rsidR="00515BB7" w:rsidRPr="00F95F5A" w:rsidRDefault="00515BB7" w:rsidP="007D4232">
      <w:pPr>
        <w:rPr>
          <w:szCs w:val="22"/>
          <w:u w:val="single"/>
        </w:rPr>
      </w:pPr>
      <w:r w:rsidRPr="00F95F5A">
        <w:rPr>
          <w:szCs w:val="22"/>
          <w:u w:val="single"/>
        </w:rPr>
        <w:t>Akútne</w:t>
      </w:r>
      <w:r w:rsidR="002870C6" w:rsidRPr="00F95F5A">
        <w:rPr>
          <w:szCs w:val="22"/>
          <w:u w:val="single"/>
        </w:rPr>
        <w:t xml:space="preserve"> </w:t>
      </w:r>
      <w:r w:rsidRPr="00F95F5A">
        <w:rPr>
          <w:szCs w:val="22"/>
          <w:u w:val="single"/>
        </w:rPr>
        <w:t>zlyhanie</w:t>
      </w:r>
      <w:r w:rsidR="001F3BD9" w:rsidRPr="00F95F5A">
        <w:rPr>
          <w:szCs w:val="22"/>
          <w:u w:val="single"/>
        </w:rPr>
        <w:t xml:space="preserve"> obličiek</w:t>
      </w:r>
      <w:r w:rsidRPr="00F95F5A">
        <w:rPr>
          <w:szCs w:val="22"/>
          <w:u w:val="single"/>
        </w:rPr>
        <w:t>:</w:t>
      </w:r>
    </w:p>
    <w:p w:rsidR="00515BB7" w:rsidRPr="00F95F5A" w:rsidRDefault="00515BB7" w:rsidP="007D4232">
      <w:pPr>
        <w:rPr>
          <w:szCs w:val="22"/>
        </w:rPr>
      </w:pPr>
      <w:r w:rsidRPr="00F95F5A">
        <w:rPr>
          <w:szCs w:val="22"/>
        </w:rPr>
        <w:t xml:space="preserve">Rovnako ako u iných </w:t>
      </w:r>
      <w:proofErr w:type="spellStart"/>
      <w:r w:rsidRPr="00F95F5A">
        <w:rPr>
          <w:szCs w:val="22"/>
        </w:rPr>
        <w:t>cefalosporínov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môže spôsobiť akútne zlyhanie obličiek, vrátane </w:t>
      </w:r>
      <w:proofErr w:type="spellStart"/>
      <w:r w:rsidRPr="00F95F5A">
        <w:rPr>
          <w:szCs w:val="22"/>
        </w:rPr>
        <w:t>tubulointersticiálnej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nefritídy</w:t>
      </w:r>
      <w:proofErr w:type="spellEnd"/>
      <w:r w:rsidRPr="00F95F5A">
        <w:rPr>
          <w:szCs w:val="22"/>
        </w:rPr>
        <w:t xml:space="preserve"> ako základného patologického stavu. Ak dôjde k akútnemu zlyhaniu obličiek, liečba </w:t>
      </w:r>
      <w:proofErr w:type="spellStart"/>
      <w:r w:rsidRPr="00F95F5A">
        <w:rPr>
          <w:szCs w:val="22"/>
        </w:rPr>
        <w:t>cefixímom</w:t>
      </w:r>
      <w:proofErr w:type="spellEnd"/>
      <w:r w:rsidRPr="00F95F5A">
        <w:rPr>
          <w:szCs w:val="22"/>
        </w:rPr>
        <w:t xml:space="preserve"> sa m</w:t>
      </w:r>
      <w:r w:rsidR="002E073D" w:rsidRPr="00F95F5A">
        <w:rPr>
          <w:szCs w:val="22"/>
        </w:rPr>
        <w:t>usí</w:t>
      </w:r>
      <w:r w:rsidRPr="00F95F5A">
        <w:rPr>
          <w:szCs w:val="22"/>
        </w:rPr>
        <w:t xml:space="preserve"> prerušiť a má sa prijať vhodná liečba a/alebo opatrenia.</w:t>
      </w:r>
    </w:p>
    <w:p w:rsidR="00515BB7" w:rsidRPr="00F95F5A" w:rsidRDefault="00515BB7" w:rsidP="007D4232">
      <w:pPr>
        <w:spacing w:line="240" w:lineRule="auto"/>
        <w:rPr>
          <w:szCs w:val="22"/>
        </w:rPr>
      </w:pPr>
    </w:p>
    <w:p w:rsidR="00515BB7" w:rsidRPr="00F95F5A" w:rsidRDefault="001F3BD9" w:rsidP="002870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Porucha funkcie obličiek</w:t>
      </w:r>
      <w:r w:rsidR="00515BB7" w:rsidRPr="00F95F5A">
        <w:rPr>
          <w:szCs w:val="22"/>
          <w:u w:val="single"/>
        </w:rPr>
        <w:t>:</w:t>
      </w:r>
    </w:p>
    <w:p w:rsidR="00515BB7" w:rsidRPr="00F95F5A" w:rsidRDefault="006409E5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V prípade ťažkej </w:t>
      </w:r>
      <w:proofErr w:type="spellStart"/>
      <w:r w:rsidRPr="00F95F5A">
        <w:rPr>
          <w:szCs w:val="22"/>
        </w:rPr>
        <w:t>renálnej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insuficiencie</w:t>
      </w:r>
      <w:proofErr w:type="spellEnd"/>
      <w:r w:rsidRPr="00F95F5A">
        <w:rPr>
          <w:szCs w:val="22"/>
        </w:rPr>
        <w:t xml:space="preserve"> (</w:t>
      </w:r>
      <w:proofErr w:type="spellStart"/>
      <w:r w:rsidRPr="00F95F5A">
        <w:rPr>
          <w:szCs w:val="22"/>
        </w:rPr>
        <w:t>klírens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kreatinínu</w:t>
      </w:r>
      <w:proofErr w:type="spellEnd"/>
      <w:r w:rsidRPr="00F95F5A">
        <w:rPr>
          <w:szCs w:val="22"/>
        </w:rPr>
        <w:t xml:space="preserve"> nižším ako 10ml/min/1,73 </w:t>
      </w:r>
      <w:r w:rsidR="00515BB7" w:rsidRPr="00F95F5A">
        <w:rPr>
          <w:szCs w:val="22"/>
        </w:rPr>
        <w:t>m</w:t>
      </w:r>
      <w:r w:rsidR="00515BB7" w:rsidRPr="00F95F5A">
        <w:rPr>
          <w:szCs w:val="22"/>
          <w:vertAlign w:val="superscript"/>
        </w:rPr>
        <w:t>2</w:t>
      </w:r>
      <w:r w:rsidR="00751C27" w:rsidRPr="00F95F5A">
        <w:rPr>
          <w:szCs w:val="22"/>
        </w:rPr>
        <w:t>)</w:t>
      </w:r>
      <w:r w:rsidR="00515BB7" w:rsidRPr="00F95F5A">
        <w:rPr>
          <w:szCs w:val="22"/>
        </w:rPr>
        <w:t xml:space="preserve"> </w:t>
      </w:r>
      <w:r w:rsidR="00105746" w:rsidRPr="00F95F5A">
        <w:rPr>
          <w:szCs w:val="22"/>
        </w:rPr>
        <w:t xml:space="preserve">sa </w:t>
      </w:r>
      <w:proofErr w:type="spellStart"/>
      <w:r w:rsidR="00C878BA" w:rsidRPr="00F95F5A">
        <w:rPr>
          <w:szCs w:val="22"/>
        </w:rPr>
        <w:t>cefixím</w:t>
      </w:r>
      <w:proofErr w:type="spellEnd"/>
      <w:r w:rsidR="00105746" w:rsidRPr="00F95F5A">
        <w:rPr>
          <w:szCs w:val="22"/>
        </w:rPr>
        <w:t xml:space="preserve"> má podávať zvlášť opatrne (pozri časť 4.2</w:t>
      </w:r>
      <w:r w:rsidR="00515BB7" w:rsidRPr="00F95F5A">
        <w:rPr>
          <w:szCs w:val="22"/>
        </w:rPr>
        <w:t xml:space="preserve"> a 5.2</w:t>
      </w:r>
      <w:r w:rsidR="00105746" w:rsidRPr="00F95F5A">
        <w:rPr>
          <w:szCs w:val="22"/>
        </w:rPr>
        <w:t>)</w:t>
      </w:r>
      <w:r w:rsidR="00960C75" w:rsidRPr="00F95F5A">
        <w:rPr>
          <w:szCs w:val="22"/>
        </w:rPr>
        <w:t>.</w:t>
      </w:r>
    </w:p>
    <w:p w:rsidR="001F3BD9" w:rsidRPr="00F95F5A" w:rsidRDefault="001F3BD9" w:rsidP="007D4232">
      <w:pPr>
        <w:spacing w:line="240" w:lineRule="auto"/>
        <w:rPr>
          <w:szCs w:val="22"/>
        </w:rPr>
      </w:pPr>
    </w:p>
    <w:p w:rsidR="00105746" w:rsidRPr="00F95F5A" w:rsidRDefault="00515BB7" w:rsidP="007D4232">
      <w:pPr>
        <w:spacing w:line="240" w:lineRule="auto"/>
        <w:rPr>
          <w:b/>
          <w:szCs w:val="22"/>
        </w:rPr>
      </w:pPr>
      <w:r w:rsidRPr="00F95F5A">
        <w:rPr>
          <w:szCs w:val="22"/>
          <w:u w:val="single"/>
        </w:rPr>
        <w:t>Iné</w:t>
      </w:r>
      <w:r w:rsidRPr="00F95F5A">
        <w:rPr>
          <w:b/>
          <w:szCs w:val="22"/>
        </w:rPr>
        <w:t>:</w:t>
      </w:r>
    </w:p>
    <w:p w:rsidR="00423813" w:rsidRPr="00F95F5A" w:rsidRDefault="008D6EB9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U pacientov na dlhodobej liečbe vysokými dávkami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treba sledovať funkcie obličiek a pečene a krvný obraz.</w:t>
      </w:r>
      <w:r w:rsidR="00455DCF" w:rsidRPr="00F95F5A">
        <w:rPr>
          <w:szCs w:val="22"/>
        </w:rPr>
        <w:t xml:space="preserve"> </w:t>
      </w:r>
    </w:p>
    <w:p w:rsidR="00423813" w:rsidRPr="00F95F5A" w:rsidRDefault="00423813" w:rsidP="002870C6">
      <w:pPr>
        <w:tabs>
          <w:tab w:val="clear" w:pos="567"/>
        </w:tabs>
        <w:spacing w:line="240" w:lineRule="auto"/>
        <w:rPr>
          <w:szCs w:val="22"/>
        </w:rPr>
      </w:pPr>
    </w:p>
    <w:p w:rsidR="008D6EB9" w:rsidRPr="00F95F5A" w:rsidRDefault="008D6EB9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Pri kombinovaní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s </w:t>
      </w:r>
      <w:proofErr w:type="spellStart"/>
      <w:r w:rsidRPr="00F95F5A">
        <w:rPr>
          <w:szCs w:val="22"/>
        </w:rPr>
        <w:t>aminoglykozidmi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polymyxínom</w:t>
      </w:r>
      <w:proofErr w:type="spellEnd"/>
      <w:r w:rsidRPr="00F95F5A">
        <w:rPr>
          <w:szCs w:val="22"/>
        </w:rPr>
        <w:t xml:space="preserve"> B, </w:t>
      </w:r>
      <w:proofErr w:type="spellStart"/>
      <w:r w:rsidRPr="00F95F5A">
        <w:rPr>
          <w:szCs w:val="22"/>
        </w:rPr>
        <w:t>kolistínom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viomycínom</w:t>
      </w:r>
      <w:proofErr w:type="spellEnd"/>
      <w:r w:rsidRPr="00F95F5A">
        <w:rPr>
          <w:szCs w:val="22"/>
        </w:rPr>
        <w:t xml:space="preserve"> alebo s vysokými dávkami </w:t>
      </w:r>
      <w:proofErr w:type="spellStart"/>
      <w:r w:rsidR="00EA3661" w:rsidRPr="00F95F5A">
        <w:rPr>
          <w:szCs w:val="22"/>
        </w:rPr>
        <w:t>kľučkových</w:t>
      </w:r>
      <w:proofErr w:type="spellEnd"/>
      <w:r w:rsidR="00EA3661" w:rsidRPr="00F95F5A">
        <w:rPr>
          <w:szCs w:val="22"/>
        </w:rPr>
        <w:t xml:space="preserve"> </w:t>
      </w:r>
      <w:r w:rsidRPr="00F95F5A">
        <w:rPr>
          <w:szCs w:val="22"/>
        </w:rPr>
        <w:t xml:space="preserve"> diuretík </w:t>
      </w:r>
      <w:r w:rsidR="00C37BBE" w:rsidRPr="00F95F5A">
        <w:rPr>
          <w:szCs w:val="22"/>
        </w:rPr>
        <w:t xml:space="preserve"> </w:t>
      </w:r>
      <w:r w:rsidRPr="00F95F5A">
        <w:rPr>
          <w:szCs w:val="22"/>
        </w:rPr>
        <w:t xml:space="preserve">(napr. </w:t>
      </w:r>
      <w:proofErr w:type="spellStart"/>
      <w:r w:rsidRPr="00F95F5A">
        <w:rPr>
          <w:szCs w:val="22"/>
        </w:rPr>
        <w:t>furosemid</w:t>
      </w:r>
      <w:proofErr w:type="spellEnd"/>
      <w:r w:rsidRPr="00F95F5A">
        <w:rPr>
          <w:szCs w:val="22"/>
        </w:rPr>
        <w:t>) treba zvlášť pozorne sledovať funkciu obličiek (pozri časť 4.5). To sa týka najmä pacientov s predchádzajúcim poškodením obličiek.</w:t>
      </w:r>
    </w:p>
    <w:p w:rsidR="0036243C" w:rsidRPr="00F95F5A" w:rsidRDefault="0036243C" w:rsidP="007D4232">
      <w:pPr>
        <w:spacing w:line="240" w:lineRule="auto"/>
        <w:rPr>
          <w:szCs w:val="22"/>
        </w:rPr>
      </w:pPr>
    </w:p>
    <w:p w:rsidR="0036243C" w:rsidRPr="00F95F5A" w:rsidRDefault="0036243C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Pacienti s ťažkými </w:t>
      </w:r>
      <w:proofErr w:type="spellStart"/>
      <w:r w:rsidRPr="00F95F5A">
        <w:rPr>
          <w:szCs w:val="22"/>
        </w:rPr>
        <w:t>gastrointestinálnymi</w:t>
      </w:r>
      <w:proofErr w:type="spellEnd"/>
      <w:r w:rsidRPr="00F95F5A">
        <w:rPr>
          <w:szCs w:val="22"/>
        </w:rPr>
        <w:t xml:space="preserve"> poruchami s vracaním alebo hnačkou nem</w:t>
      </w:r>
      <w:r w:rsidR="00EC72BB" w:rsidRPr="00F95F5A">
        <w:rPr>
          <w:szCs w:val="22"/>
        </w:rPr>
        <w:t>aj</w:t>
      </w:r>
      <w:r w:rsidRPr="00F95F5A">
        <w:rPr>
          <w:szCs w:val="22"/>
        </w:rPr>
        <w:t xml:space="preserve">ú byť liečení </w:t>
      </w:r>
      <w:proofErr w:type="spellStart"/>
      <w:r w:rsidRPr="00F95F5A">
        <w:rPr>
          <w:szCs w:val="22"/>
        </w:rPr>
        <w:t>cefixímom</w:t>
      </w:r>
      <w:proofErr w:type="spellEnd"/>
      <w:r w:rsidRPr="00F95F5A">
        <w:rPr>
          <w:szCs w:val="22"/>
        </w:rPr>
        <w:t xml:space="preserve">, pretože sa nedá zabezpečiť dostatočná absorpcia (v takýchto prípadoch sa odporúča </w:t>
      </w:r>
      <w:proofErr w:type="spellStart"/>
      <w:r w:rsidRPr="00F95F5A">
        <w:rPr>
          <w:szCs w:val="22"/>
        </w:rPr>
        <w:t>parenterálna</w:t>
      </w:r>
      <w:proofErr w:type="spellEnd"/>
      <w:r w:rsidRPr="00F95F5A">
        <w:rPr>
          <w:szCs w:val="22"/>
        </w:rPr>
        <w:t xml:space="preserve"> liečba vhodným antibiotikom).</w:t>
      </w:r>
    </w:p>
    <w:p w:rsidR="00EC72BB" w:rsidRPr="00F95F5A" w:rsidRDefault="00EC72BB" w:rsidP="002870C6">
      <w:pPr>
        <w:tabs>
          <w:tab w:val="clear" w:pos="567"/>
        </w:tabs>
        <w:spacing w:line="240" w:lineRule="auto"/>
        <w:rPr>
          <w:szCs w:val="22"/>
        </w:rPr>
      </w:pPr>
    </w:p>
    <w:p w:rsidR="004A13E3" w:rsidRPr="00F95F5A" w:rsidRDefault="004A13E3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Ako pri všetkých dlhodobých liečbach antibiotikami, treba pacienta stále sledovať pre zvýšené množenie rezistentných baktérií alebo húb.</w:t>
      </w:r>
    </w:p>
    <w:p w:rsidR="004A13E3" w:rsidRPr="00F95F5A" w:rsidRDefault="004A13E3" w:rsidP="007D4232">
      <w:pPr>
        <w:tabs>
          <w:tab w:val="clear" w:pos="567"/>
        </w:tabs>
        <w:spacing w:line="240" w:lineRule="auto"/>
        <w:rPr>
          <w:szCs w:val="22"/>
        </w:rPr>
      </w:pPr>
    </w:p>
    <w:p w:rsidR="0036243C" w:rsidRPr="00F95F5A" w:rsidRDefault="0036243C" w:rsidP="007D4232">
      <w:pPr>
        <w:spacing w:line="240" w:lineRule="auto"/>
        <w:rPr>
          <w:szCs w:val="22"/>
          <w:u w:val="single"/>
        </w:rPr>
      </w:pPr>
      <w:proofErr w:type="spellStart"/>
      <w:r w:rsidRPr="00F95F5A">
        <w:rPr>
          <w:szCs w:val="22"/>
          <w:u w:val="single"/>
        </w:rPr>
        <w:t>Pseudomembranózna</w:t>
      </w:r>
      <w:proofErr w:type="spellEnd"/>
      <w:r w:rsidRPr="00F95F5A">
        <w:rPr>
          <w:szCs w:val="22"/>
          <w:u w:val="single"/>
        </w:rPr>
        <w:t xml:space="preserve"> </w:t>
      </w:r>
      <w:proofErr w:type="spellStart"/>
      <w:r w:rsidRPr="00F95F5A">
        <w:rPr>
          <w:szCs w:val="22"/>
          <w:u w:val="single"/>
        </w:rPr>
        <w:t>kolitída</w:t>
      </w:r>
      <w:proofErr w:type="spellEnd"/>
    </w:p>
    <w:p w:rsidR="00E1271B" w:rsidRPr="00F95F5A" w:rsidRDefault="00E1271B" w:rsidP="007D4232">
      <w:pPr>
        <w:spacing w:line="240" w:lineRule="auto"/>
        <w:rPr>
          <w:szCs w:val="22"/>
        </w:rPr>
      </w:pPr>
    </w:p>
    <w:p w:rsidR="005A0E60" w:rsidRPr="00F95F5A" w:rsidRDefault="005A0E60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V prípade chronickej alebo opakovanej liečby sa môže vyvinúť </w:t>
      </w:r>
      <w:proofErr w:type="spellStart"/>
      <w:r w:rsidRPr="00F95F5A">
        <w:rPr>
          <w:szCs w:val="22"/>
        </w:rPr>
        <w:t>superinfekcia</w:t>
      </w:r>
      <w:proofErr w:type="spellEnd"/>
      <w:r w:rsidRPr="00F95F5A">
        <w:rPr>
          <w:szCs w:val="22"/>
        </w:rPr>
        <w:t xml:space="preserve"> rezistentnými baktériami alebo kvasinkami.</w:t>
      </w:r>
    </w:p>
    <w:p w:rsidR="00E1271B" w:rsidRPr="00F95F5A" w:rsidRDefault="00F71311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V prípade ťažkej a pretrvávajúcej hnačky počas liečby alebo po liečbe sa musí vziať do úvahy </w:t>
      </w:r>
      <w:proofErr w:type="spellStart"/>
      <w:r w:rsidRPr="00F95F5A">
        <w:rPr>
          <w:szCs w:val="22"/>
        </w:rPr>
        <w:t>pseudomembranózna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kolitída</w:t>
      </w:r>
      <w:proofErr w:type="spellEnd"/>
      <w:r w:rsidR="0036243C" w:rsidRPr="00F95F5A">
        <w:rPr>
          <w:szCs w:val="22"/>
        </w:rPr>
        <w:t>.</w:t>
      </w:r>
      <w:r w:rsidRPr="00F95F5A">
        <w:rPr>
          <w:szCs w:val="22"/>
        </w:rPr>
        <w:t xml:space="preserve"> V tomto prípade sa podávanie </w:t>
      </w:r>
      <w:proofErr w:type="spellStart"/>
      <w:r w:rsidR="0036243C"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musí </w:t>
      </w:r>
      <w:r w:rsidR="0036243C" w:rsidRPr="00F95F5A">
        <w:rPr>
          <w:szCs w:val="22"/>
        </w:rPr>
        <w:t xml:space="preserve">ihneď </w:t>
      </w:r>
      <w:r w:rsidRPr="00F95F5A">
        <w:rPr>
          <w:szCs w:val="22"/>
        </w:rPr>
        <w:t>zastaviť</w:t>
      </w:r>
      <w:r w:rsidR="0036243C" w:rsidRPr="00F95F5A">
        <w:rPr>
          <w:szCs w:val="22"/>
        </w:rPr>
        <w:t xml:space="preserve">, musia sa odoslať vzorky na izolovanie a skúšku citlivosti vyvolávajúcich </w:t>
      </w:r>
      <w:r w:rsidR="00E90127" w:rsidRPr="00F95F5A">
        <w:rPr>
          <w:szCs w:val="22"/>
        </w:rPr>
        <w:t>mikro</w:t>
      </w:r>
      <w:r w:rsidR="0036243C" w:rsidRPr="00F95F5A">
        <w:rPr>
          <w:szCs w:val="22"/>
        </w:rPr>
        <w:t>organ</w:t>
      </w:r>
      <w:r w:rsidR="00E90127" w:rsidRPr="00F95F5A">
        <w:rPr>
          <w:szCs w:val="22"/>
        </w:rPr>
        <w:t>i</w:t>
      </w:r>
      <w:r w:rsidR="0036243C" w:rsidRPr="00F95F5A">
        <w:rPr>
          <w:szCs w:val="22"/>
        </w:rPr>
        <w:t>zmov</w:t>
      </w:r>
      <w:r w:rsidRPr="00F95F5A">
        <w:rPr>
          <w:szCs w:val="22"/>
        </w:rPr>
        <w:t xml:space="preserve"> a má sa začať primeraná liečba</w:t>
      </w:r>
      <w:r w:rsidR="0036243C" w:rsidRPr="00F95F5A">
        <w:rPr>
          <w:szCs w:val="22"/>
        </w:rPr>
        <w:t xml:space="preserve"> (napr. perorálny </w:t>
      </w:r>
      <w:proofErr w:type="spellStart"/>
      <w:r w:rsidR="0036243C" w:rsidRPr="00F95F5A">
        <w:rPr>
          <w:szCs w:val="22"/>
        </w:rPr>
        <w:t>vankomycín</w:t>
      </w:r>
      <w:proofErr w:type="spellEnd"/>
      <w:r w:rsidR="0036243C" w:rsidRPr="00F95F5A">
        <w:rPr>
          <w:szCs w:val="22"/>
        </w:rPr>
        <w:t xml:space="preserve"> 4 x 250 mg denne)</w:t>
      </w:r>
      <w:r w:rsidRPr="00F95F5A">
        <w:rPr>
          <w:szCs w:val="22"/>
        </w:rPr>
        <w:t xml:space="preserve">. Lieky </w:t>
      </w:r>
      <w:proofErr w:type="spellStart"/>
      <w:r w:rsidRPr="00F95F5A">
        <w:rPr>
          <w:szCs w:val="22"/>
        </w:rPr>
        <w:t>inhibujúce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peristaltiku</w:t>
      </w:r>
      <w:proofErr w:type="spellEnd"/>
      <w:r w:rsidRPr="00F95F5A">
        <w:rPr>
          <w:szCs w:val="22"/>
        </w:rPr>
        <w:t xml:space="preserve"> sú kontraindikované.</w:t>
      </w:r>
      <w:r w:rsidR="00E1271B" w:rsidRPr="00F95F5A">
        <w:rPr>
          <w:szCs w:val="22"/>
        </w:rPr>
        <w:t xml:space="preserve"> </w:t>
      </w:r>
    </w:p>
    <w:p w:rsidR="00515BB7" w:rsidRPr="00F95F5A" w:rsidRDefault="00515BB7" w:rsidP="007D4232">
      <w:pPr>
        <w:tabs>
          <w:tab w:val="clear" w:pos="567"/>
        </w:tabs>
        <w:spacing w:line="240" w:lineRule="auto"/>
        <w:rPr>
          <w:szCs w:val="22"/>
        </w:rPr>
      </w:pPr>
    </w:p>
    <w:p w:rsidR="00E1271B" w:rsidRPr="00F95F5A" w:rsidRDefault="00E1271B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4.5</w:t>
      </w:r>
      <w:r w:rsidRPr="00F95F5A">
        <w:rPr>
          <w:b/>
          <w:szCs w:val="22"/>
        </w:rPr>
        <w:tab/>
      </w:r>
      <w:r w:rsidR="00BD4E37" w:rsidRPr="00F95F5A">
        <w:rPr>
          <w:b/>
          <w:szCs w:val="22"/>
        </w:rPr>
        <w:t>Liekové a iné interakcie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8C34E8" w:rsidRPr="00F95F5A" w:rsidRDefault="008C34E8" w:rsidP="007D4232">
      <w:pPr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In</w:t>
      </w:r>
      <w:r w:rsidR="002A3C64" w:rsidRPr="00F95F5A">
        <w:rPr>
          <w:szCs w:val="22"/>
          <w:u w:val="single"/>
        </w:rPr>
        <w:t>terferencia s laboratórnymi test</w:t>
      </w:r>
      <w:r w:rsidR="00F62487" w:rsidRPr="00F95F5A">
        <w:rPr>
          <w:szCs w:val="22"/>
          <w:u w:val="single"/>
        </w:rPr>
        <w:t>a</w:t>
      </w:r>
      <w:r w:rsidR="002A3C64" w:rsidRPr="00F95F5A">
        <w:rPr>
          <w:szCs w:val="22"/>
          <w:u w:val="single"/>
        </w:rPr>
        <w:t>mi</w:t>
      </w:r>
    </w:p>
    <w:p w:rsidR="001B7073" w:rsidRPr="00F95F5A" w:rsidRDefault="002A3C64" w:rsidP="007D4232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F95F5A">
        <w:rPr>
          <w:sz w:val="22"/>
          <w:szCs w:val="22"/>
        </w:rPr>
        <w:t xml:space="preserve">Počas liečby </w:t>
      </w:r>
      <w:proofErr w:type="spellStart"/>
      <w:r w:rsidRPr="00F95F5A">
        <w:rPr>
          <w:sz w:val="22"/>
          <w:szCs w:val="22"/>
        </w:rPr>
        <w:t>Supraxom</w:t>
      </w:r>
      <w:proofErr w:type="spellEnd"/>
      <w:r w:rsidRPr="00F95F5A">
        <w:rPr>
          <w:sz w:val="22"/>
          <w:szCs w:val="22"/>
        </w:rPr>
        <w:t xml:space="preserve"> sú možné falošne pozitívne neenzymatické glukózové testy v</w:t>
      </w:r>
      <w:r w:rsidR="001B7073" w:rsidRPr="00F95F5A">
        <w:rPr>
          <w:sz w:val="22"/>
          <w:szCs w:val="22"/>
        </w:rPr>
        <w:t> </w:t>
      </w:r>
      <w:r w:rsidRPr="00F95F5A">
        <w:rPr>
          <w:sz w:val="22"/>
          <w:szCs w:val="22"/>
        </w:rPr>
        <w:t>moči</w:t>
      </w:r>
      <w:r w:rsidR="001B7073" w:rsidRPr="00F95F5A">
        <w:rPr>
          <w:sz w:val="22"/>
          <w:szCs w:val="22"/>
        </w:rPr>
        <w:t xml:space="preserve"> (keď sa používa </w:t>
      </w:r>
      <w:proofErr w:type="spellStart"/>
      <w:r w:rsidR="001B7073" w:rsidRPr="00F95F5A">
        <w:rPr>
          <w:color w:val="auto"/>
          <w:sz w:val="22"/>
          <w:szCs w:val="22"/>
        </w:rPr>
        <w:t>Benedict</w:t>
      </w:r>
      <w:r w:rsidR="0046726E" w:rsidRPr="00F95F5A">
        <w:rPr>
          <w:color w:val="auto"/>
          <w:sz w:val="22"/>
          <w:szCs w:val="22"/>
        </w:rPr>
        <w:t>ov</w:t>
      </w:r>
      <w:proofErr w:type="spellEnd"/>
      <w:r w:rsidR="0046726E" w:rsidRPr="00F95F5A">
        <w:rPr>
          <w:sz w:val="22"/>
          <w:szCs w:val="22"/>
        </w:rPr>
        <w:t xml:space="preserve"> roztok</w:t>
      </w:r>
      <w:r w:rsidR="001B7073" w:rsidRPr="00F95F5A">
        <w:rPr>
          <w:color w:val="auto"/>
          <w:sz w:val="22"/>
          <w:szCs w:val="22"/>
        </w:rPr>
        <w:t xml:space="preserve">, </w:t>
      </w:r>
      <w:proofErr w:type="spellStart"/>
      <w:r w:rsidR="001B7073" w:rsidRPr="00F95F5A">
        <w:rPr>
          <w:color w:val="auto"/>
          <w:sz w:val="22"/>
          <w:szCs w:val="22"/>
        </w:rPr>
        <w:t>Fehling</w:t>
      </w:r>
      <w:r w:rsidR="0046726E" w:rsidRPr="00F95F5A">
        <w:rPr>
          <w:color w:val="auto"/>
          <w:sz w:val="22"/>
          <w:szCs w:val="22"/>
        </w:rPr>
        <w:t>ov</w:t>
      </w:r>
      <w:proofErr w:type="spellEnd"/>
      <w:r w:rsidR="0046726E" w:rsidRPr="00F95F5A">
        <w:rPr>
          <w:sz w:val="22"/>
          <w:szCs w:val="22"/>
        </w:rPr>
        <w:t xml:space="preserve"> roztok</w:t>
      </w:r>
      <w:r w:rsidR="001B7073" w:rsidRPr="00F95F5A">
        <w:rPr>
          <w:color w:val="auto"/>
          <w:sz w:val="22"/>
          <w:szCs w:val="22"/>
        </w:rPr>
        <w:t xml:space="preserve"> alebo </w:t>
      </w:r>
      <w:proofErr w:type="spellStart"/>
      <w:r w:rsidR="001B7073" w:rsidRPr="00F95F5A">
        <w:rPr>
          <w:color w:val="auto"/>
          <w:sz w:val="22"/>
          <w:szCs w:val="22"/>
        </w:rPr>
        <w:t>Clinitest</w:t>
      </w:r>
      <w:proofErr w:type="spellEnd"/>
      <w:r w:rsidR="001B7073" w:rsidRPr="00F95F5A">
        <w:rPr>
          <w:color w:val="auto"/>
          <w:sz w:val="22"/>
          <w:szCs w:val="22"/>
        </w:rPr>
        <w:t>)</w:t>
      </w:r>
      <w:r w:rsidRPr="00F95F5A">
        <w:rPr>
          <w:sz w:val="22"/>
          <w:szCs w:val="22"/>
        </w:rPr>
        <w:t xml:space="preserve">. </w:t>
      </w:r>
      <w:r w:rsidR="001B7073" w:rsidRPr="00F95F5A">
        <w:rPr>
          <w:color w:val="auto"/>
          <w:sz w:val="22"/>
          <w:szCs w:val="22"/>
        </w:rPr>
        <w:t xml:space="preserve">Odporúča sa, aby sa používali glukózové testy, ktoré sa zakladajú na reakciách enzymatickej </w:t>
      </w:r>
      <w:proofErr w:type="spellStart"/>
      <w:r w:rsidR="001B7073" w:rsidRPr="00F95F5A">
        <w:rPr>
          <w:color w:val="auto"/>
          <w:sz w:val="22"/>
          <w:szCs w:val="22"/>
        </w:rPr>
        <w:t>glukóz</w:t>
      </w:r>
      <w:r w:rsidR="0046726E" w:rsidRPr="00F95F5A">
        <w:rPr>
          <w:color w:val="auto"/>
          <w:sz w:val="22"/>
          <w:szCs w:val="22"/>
        </w:rPr>
        <w:t>o</w:t>
      </w:r>
      <w:r w:rsidR="001B7073" w:rsidRPr="00F95F5A">
        <w:rPr>
          <w:color w:val="auto"/>
          <w:sz w:val="22"/>
          <w:szCs w:val="22"/>
        </w:rPr>
        <w:t>oxidázy</w:t>
      </w:r>
      <w:proofErr w:type="spellEnd"/>
      <w:r w:rsidR="001B7073" w:rsidRPr="00F95F5A">
        <w:rPr>
          <w:color w:val="auto"/>
          <w:sz w:val="22"/>
          <w:szCs w:val="22"/>
        </w:rPr>
        <w:t xml:space="preserve"> (napr. </w:t>
      </w:r>
      <w:proofErr w:type="spellStart"/>
      <w:r w:rsidR="001B7073" w:rsidRPr="00F95F5A">
        <w:rPr>
          <w:color w:val="auto"/>
          <w:sz w:val="22"/>
          <w:szCs w:val="22"/>
        </w:rPr>
        <w:t>Tes-Tape</w:t>
      </w:r>
      <w:proofErr w:type="spellEnd"/>
      <w:r w:rsidR="001B7073" w:rsidRPr="00F95F5A">
        <w:rPr>
          <w:color w:val="auto"/>
          <w:sz w:val="22"/>
          <w:szCs w:val="22"/>
        </w:rPr>
        <w:t>).</w:t>
      </w:r>
    </w:p>
    <w:p w:rsidR="00EE2149" w:rsidRPr="00F95F5A" w:rsidRDefault="00EE2149" w:rsidP="007D4232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F95F5A">
        <w:rPr>
          <w:color w:val="auto"/>
          <w:sz w:val="22"/>
          <w:szCs w:val="22"/>
        </w:rPr>
        <w:t xml:space="preserve">Počas liečby </w:t>
      </w:r>
      <w:proofErr w:type="spellStart"/>
      <w:r w:rsidRPr="00F95F5A">
        <w:rPr>
          <w:color w:val="auto"/>
          <w:sz w:val="22"/>
          <w:szCs w:val="22"/>
        </w:rPr>
        <w:t>cefixímom</w:t>
      </w:r>
      <w:proofErr w:type="spellEnd"/>
      <w:r w:rsidRPr="00F95F5A">
        <w:rPr>
          <w:color w:val="auto"/>
          <w:sz w:val="22"/>
          <w:szCs w:val="22"/>
        </w:rPr>
        <w:t xml:space="preserve"> sa môže vyskytnúť falošne pozitívny priamy </w:t>
      </w:r>
      <w:proofErr w:type="spellStart"/>
      <w:r w:rsidRPr="00F95F5A">
        <w:rPr>
          <w:color w:val="auto"/>
          <w:sz w:val="22"/>
          <w:szCs w:val="22"/>
        </w:rPr>
        <w:t>Coombsov</w:t>
      </w:r>
      <w:proofErr w:type="spellEnd"/>
      <w:r w:rsidRPr="00F95F5A">
        <w:rPr>
          <w:color w:val="auto"/>
          <w:sz w:val="22"/>
          <w:szCs w:val="22"/>
        </w:rPr>
        <w:t xml:space="preserve"> test.</w:t>
      </w:r>
    </w:p>
    <w:p w:rsidR="008C34E8" w:rsidRPr="00F95F5A" w:rsidRDefault="008C34E8" w:rsidP="007D4232">
      <w:pPr>
        <w:spacing w:line="240" w:lineRule="auto"/>
        <w:rPr>
          <w:szCs w:val="22"/>
        </w:rPr>
      </w:pPr>
    </w:p>
    <w:p w:rsidR="00F62F9E" w:rsidRPr="00F95F5A" w:rsidRDefault="00F930BB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Možno očakávať, že kombinácia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s potenciálne </w:t>
      </w:r>
      <w:proofErr w:type="spellStart"/>
      <w:r w:rsidRPr="00F95F5A">
        <w:rPr>
          <w:szCs w:val="22"/>
        </w:rPr>
        <w:t>nefrotoxickými</w:t>
      </w:r>
      <w:proofErr w:type="spellEnd"/>
      <w:r w:rsidRPr="00F95F5A">
        <w:rPr>
          <w:szCs w:val="22"/>
        </w:rPr>
        <w:t xml:space="preserve"> látkami (ako napr. </w:t>
      </w:r>
      <w:proofErr w:type="spellStart"/>
      <w:r w:rsidRPr="00F95F5A">
        <w:rPr>
          <w:szCs w:val="22"/>
        </w:rPr>
        <w:t>aminoglykozidy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kolistín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polymyxín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viomycín</w:t>
      </w:r>
      <w:proofErr w:type="spellEnd"/>
      <w:r w:rsidRPr="00F95F5A">
        <w:rPr>
          <w:szCs w:val="22"/>
        </w:rPr>
        <w:t xml:space="preserve">) alebo silnými diuretikami (ako kyselina </w:t>
      </w:r>
      <w:proofErr w:type="spellStart"/>
      <w:r w:rsidRPr="00F95F5A">
        <w:rPr>
          <w:szCs w:val="22"/>
        </w:rPr>
        <w:t>etakrinová</w:t>
      </w:r>
      <w:proofErr w:type="spellEnd"/>
      <w:r w:rsidRPr="00F95F5A">
        <w:rPr>
          <w:szCs w:val="22"/>
        </w:rPr>
        <w:t xml:space="preserve"> alebo </w:t>
      </w:r>
      <w:proofErr w:type="spellStart"/>
      <w:r w:rsidRPr="00F95F5A">
        <w:rPr>
          <w:szCs w:val="22"/>
        </w:rPr>
        <w:t>furosemid</w:t>
      </w:r>
      <w:proofErr w:type="spellEnd"/>
      <w:r w:rsidRPr="00F95F5A">
        <w:rPr>
          <w:szCs w:val="22"/>
        </w:rPr>
        <w:t>) bude zvyšovať riziko poškodenia funkcie obličiek (pozri časť 4.4).</w:t>
      </w:r>
      <w:r w:rsidR="007D4232" w:rsidRPr="00F95F5A">
        <w:rPr>
          <w:szCs w:val="22"/>
        </w:rPr>
        <w:t xml:space="preserve"> </w:t>
      </w:r>
      <w:r w:rsidR="00F62F9E" w:rsidRPr="00F95F5A">
        <w:rPr>
          <w:szCs w:val="22"/>
        </w:rPr>
        <w:t xml:space="preserve">Týka sa to hlavne pacientov s predchádzajúcou </w:t>
      </w:r>
      <w:proofErr w:type="spellStart"/>
      <w:r w:rsidR="00F62F9E" w:rsidRPr="00F95F5A">
        <w:rPr>
          <w:szCs w:val="22"/>
        </w:rPr>
        <w:t>renálnou</w:t>
      </w:r>
      <w:proofErr w:type="spellEnd"/>
      <w:r w:rsidR="00F62F9E" w:rsidRPr="00F95F5A">
        <w:rPr>
          <w:szCs w:val="22"/>
        </w:rPr>
        <w:t xml:space="preserve"> </w:t>
      </w:r>
      <w:proofErr w:type="spellStart"/>
      <w:r w:rsidR="00F62F9E" w:rsidRPr="00F95F5A">
        <w:rPr>
          <w:szCs w:val="22"/>
        </w:rPr>
        <w:t>insuficienciou</w:t>
      </w:r>
      <w:proofErr w:type="spellEnd"/>
      <w:r w:rsidR="00F62F9E" w:rsidRPr="00F95F5A">
        <w:rPr>
          <w:szCs w:val="22"/>
        </w:rPr>
        <w:t>.</w:t>
      </w:r>
    </w:p>
    <w:p w:rsidR="008C34E8" w:rsidRPr="00F95F5A" w:rsidRDefault="008C34E8" w:rsidP="007D4232">
      <w:pPr>
        <w:spacing w:line="240" w:lineRule="auto"/>
        <w:rPr>
          <w:szCs w:val="22"/>
        </w:rPr>
      </w:pPr>
    </w:p>
    <w:p w:rsidR="00423813" w:rsidRPr="00F95F5A" w:rsidRDefault="00F930BB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U pacientov súčasne liečených </w:t>
      </w:r>
      <w:proofErr w:type="spellStart"/>
      <w:r w:rsidRPr="00F95F5A">
        <w:rPr>
          <w:szCs w:val="22"/>
        </w:rPr>
        <w:t>cefixímom</w:t>
      </w:r>
      <w:proofErr w:type="spellEnd"/>
      <w:r w:rsidRPr="00F95F5A">
        <w:rPr>
          <w:szCs w:val="22"/>
        </w:rPr>
        <w:t xml:space="preserve"> a </w:t>
      </w:r>
      <w:proofErr w:type="spellStart"/>
      <w:r w:rsidRPr="00F95F5A">
        <w:rPr>
          <w:szCs w:val="22"/>
        </w:rPr>
        <w:t>antikoagulanciami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kumarínového</w:t>
      </w:r>
      <w:proofErr w:type="spellEnd"/>
      <w:r w:rsidRPr="00F95F5A">
        <w:rPr>
          <w:szCs w:val="22"/>
        </w:rPr>
        <w:t xml:space="preserve"> typu bolo hlásené predĺženie </w:t>
      </w:r>
      <w:proofErr w:type="spellStart"/>
      <w:r w:rsidRPr="00F95F5A">
        <w:rPr>
          <w:szCs w:val="22"/>
        </w:rPr>
        <w:t>protrombínového</w:t>
      </w:r>
      <w:proofErr w:type="spellEnd"/>
      <w:r w:rsidRPr="00F95F5A">
        <w:rPr>
          <w:szCs w:val="22"/>
        </w:rPr>
        <w:t xml:space="preserve"> času s krvácaním a bez neho. Pretože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môže zvýšiť účinok </w:t>
      </w:r>
      <w:proofErr w:type="spellStart"/>
      <w:r w:rsidRPr="00F95F5A">
        <w:rPr>
          <w:szCs w:val="22"/>
        </w:rPr>
        <w:t>antikoagulancií</w:t>
      </w:r>
      <w:proofErr w:type="spellEnd"/>
      <w:r w:rsidRPr="00F95F5A">
        <w:rPr>
          <w:szCs w:val="22"/>
        </w:rPr>
        <w:t xml:space="preserve">, je preto vhodné sledovať koagulačné premenné.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sa má podávať opatrne pacientom užívajúcim </w:t>
      </w:r>
      <w:proofErr w:type="spellStart"/>
      <w:r w:rsidRPr="00F95F5A">
        <w:rPr>
          <w:szCs w:val="22"/>
        </w:rPr>
        <w:t>antikoagulanciá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kumarínového</w:t>
      </w:r>
      <w:proofErr w:type="spellEnd"/>
      <w:r w:rsidRPr="00F95F5A">
        <w:rPr>
          <w:szCs w:val="22"/>
        </w:rPr>
        <w:t xml:space="preserve"> typu napr</w:t>
      </w:r>
      <w:r w:rsidR="00F62F9E" w:rsidRPr="00F95F5A">
        <w:rPr>
          <w:szCs w:val="22"/>
        </w:rPr>
        <w:t>.</w:t>
      </w:r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warfarín</w:t>
      </w:r>
      <w:proofErr w:type="spellEnd"/>
      <w:r w:rsidRPr="00F95F5A">
        <w:rPr>
          <w:szCs w:val="22"/>
        </w:rPr>
        <w:t>.</w:t>
      </w:r>
    </w:p>
    <w:p w:rsidR="001B7073" w:rsidRPr="00F95F5A" w:rsidRDefault="001B7073" w:rsidP="007D4232">
      <w:pPr>
        <w:spacing w:line="240" w:lineRule="auto"/>
        <w:rPr>
          <w:szCs w:val="22"/>
        </w:rPr>
      </w:pPr>
    </w:p>
    <w:p w:rsidR="008C34E8" w:rsidRPr="00F95F5A" w:rsidRDefault="002B5BF6" w:rsidP="007D4232">
      <w:pPr>
        <w:spacing w:line="240" w:lineRule="auto"/>
        <w:rPr>
          <w:szCs w:val="22"/>
        </w:rPr>
      </w:pPr>
      <w:r w:rsidRPr="00F95F5A">
        <w:rPr>
          <w:szCs w:val="22"/>
        </w:rPr>
        <w:lastRenderedPageBreak/>
        <w:t xml:space="preserve">U zdravých dobrovoľníkov </w:t>
      </w:r>
      <w:proofErr w:type="spellStart"/>
      <w:r w:rsidR="000C4C31" w:rsidRPr="00F95F5A">
        <w:rPr>
          <w:szCs w:val="22"/>
        </w:rPr>
        <w:t>blokátor</w:t>
      </w:r>
      <w:proofErr w:type="spellEnd"/>
      <w:r w:rsidR="000C4C31" w:rsidRPr="00F95F5A">
        <w:rPr>
          <w:szCs w:val="22"/>
        </w:rPr>
        <w:t xml:space="preserve"> kalciových kanálov </w:t>
      </w:r>
      <w:proofErr w:type="spellStart"/>
      <w:r w:rsidRPr="00F95F5A">
        <w:rPr>
          <w:szCs w:val="22"/>
        </w:rPr>
        <w:t>nifedipín</w:t>
      </w:r>
      <w:proofErr w:type="spellEnd"/>
      <w:r w:rsidRPr="00F95F5A">
        <w:rPr>
          <w:szCs w:val="22"/>
        </w:rPr>
        <w:t xml:space="preserve"> zvyšoval biologickú dostupnosť </w:t>
      </w:r>
      <w:proofErr w:type="spellStart"/>
      <w:r w:rsidRPr="00F95F5A">
        <w:rPr>
          <w:szCs w:val="22"/>
        </w:rPr>
        <w:t>cefixímu</w:t>
      </w:r>
      <w:proofErr w:type="spellEnd"/>
      <w:r w:rsidR="000C4C31" w:rsidRPr="00F95F5A">
        <w:rPr>
          <w:szCs w:val="22"/>
        </w:rPr>
        <w:t xml:space="preserve"> </w:t>
      </w:r>
      <w:r w:rsidR="008D3B51" w:rsidRPr="00F95F5A">
        <w:rPr>
          <w:szCs w:val="22"/>
        </w:rPr>
        <w:t>o približne 70%</w:t>
      </w:r>
      <w:r w:rsidRPr="00F95F5A">
        <w:rPr>
          <w:szCs w:val="22"/>
        </w:rPr>
        <w:t>, ale klinická významnosť tohto zvýšenia sa nedokázala.</w:t>
      </w:r>
    </w:p>
    <w:p w:rsidR="00F4644E" w:rsidRPr="00F95F5A" w:rsidRDefault="00F4644E" w:rsidP="007D4232">
      <w:pPr>
        <w:spacing w:line="240" w:lineRule="auto"/>
        <w:rPr>
          <w:szCs w:val="22"/>
        </w:rPr>
      </w:pPr>
    </w:p>
    <w:p w:rsidR="008C34E8" w:rsidRPr="00F95F5A" w:rsidRDefault="00DA1547" w:rsidP="002870C6">
      <w:pPr>
        <w:spacing w:line="240" w:lineRule="auto"/>
        <w:rPr>
          <w:szCs w:val="22"/>
        </w:rPr>
      </w:pPr>
      <w:r w:rsidRPr="00F95F5A">
        <w:rPr>
          <w:szCs w:val="22"/>
        </w:rPr>
        <w:t xml:space="preserve">Doteraz sa nepozorovali </w:t>
      </w:r>
      <w:r w:rsidR="00F64EEC" w:rsidRPr="00F95F5A">
        <w:rPr>
          <w:szCs w:val="22"/>
        </w:rPr>
        <w:t xml:space="preserve">metabolické </w:t>
      </w:r>
      <w:r w:rsidRPr="00F95F5A">
        <w:rPr>
          <w:szCs w:val="22"/>
        </w:rPr>
        <w:t>interakcie</w:t>
      </w:r>
      <w:r w:rsidR="00F64EEC" w:rsidRPr="00F95F5A">
        <w:rPr>
          <w:szCs w:val="22"/>
        </w:rPr>
        <w:t xml:space="preserve"> liekov so</w:t>
      </w:r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Suprax</w:t>
      </w:r>
      <w:r w:rsidR="00F64EEC" w:rsidRPr="00F95F5A">
        <w:rPr>
          <w:szCs w:val="22"/>
        </w:rPr>
        <w:t>om</w:t>
      </w:r>
      <w:proofErr w:type="spellEnd"/>
      <w:r w:rsidRPr="00F95F5A">
        <w:rPr>
          <w:szCs w:val="22"/>
        </w:rPr>
        <w:t>.</w:t>
      </w:r>
      <w:r w:rsidR="008C34E8" w:rsidRPr="00F95F5A">
        <w:rPr>
          <w:szCs w:val="22"/>
        </w:rPr>
        <w:t xml:space="preserve"> </w:t>
      </w:r>
    </w:p>
    <w:p w:rsidR="00F4644E" w:rsidRPr="00F95F5A" w:rsidRDefault="00F4644E" w:rsidP="007D4232">
      <w:pPr>
        <w:tabs>
          <w:tab w:val="clear" w:pos="567"/>
        </w:tabs>
        <w:spacing w:line="240" w:lineRule="auto"/>
        <w:rPr>
          <w:szCs w:val="22"/>
        </w:rPr>
      </w:pPr>
    </w:p>
    <w:p w:rsidR="008C34E8" w:rsidRPr="00F95F5A" w:rsidRDefault="00DA1547" w:rsidP="007D423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Mukolytiká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acetylcysteínového</w:t>
      </w:r>
      <w:proofErr w:type="spellEnd"/>
      <w:r w:rsidRPr="00F95F5A">
        <w:rPr>
          <w:szCs w:val="22"/>
        </w:rPr>
        <w:t xml:space="preserve"> typu možno užívať súčasne so </w:t>
      </w:r>
      <w:proofErr w:type="spellStart"/>
      <w:r w:rsidRPr="00F95F5A">
        <w:rPr>
          <w:szCs w:val="22"/>
        </w:rPr>
        <w:t>Supraxom</w:t>
      </w:r>
      <w:proofErr w:type="spellEnd"/>
      <w:r w:rsidRPr="00F95F5A">
        <w:rPr>
          <w:szCs w:val="22"/>
        </w:rPr>
        <w:t>.</w:t>
      </w:r>
    </w:p>
    <w:p w:rsidR="008C34E8" w:rsidRPr="00F95F5A" w:rsidRDefault="008C34E8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4.6</w:t>
      </w:r>
      <w:r w:rsidRPr="00F95F5A">
        <w:rPr>
          <w:b/>
          <w:szCs w:val="22"/>
        </w:rPr>
        <w:tab/>
      </w:r>
      <w:proofErr w:type="spellStart"/>
      <w:r w:rsidR="00F4644E" w:rsidRPr="00F95F5A">
        <w:rPr>
          <w:b/>
          <w:szCs w:val="22"/>
        </w:rPr>
        <w:t>Fertilita</w:t>
      </w:r>
      <w:proofErr w:type="spellEnd"/>
      <w:r w:rsidR="00F4644E" w:rsidRPr="00F95F5A">
        <w:rPr>
          <w:b/>
          <w:szCs w:val="22"/>
        </w:rPr>
        <w:t>, g</w:t>
      </w:r>
      <w:r w:rsidR="008C1896" w:rsidRPr="00F95F5A">
        <w:rPr>
          <w:b/>
          <w:szCs w:val="22"/>
        </w:rPr>
        <w:t>ravidita a laktácia</w:t>
      </w:r>
    </w:p>
    <w:p w:rsidR="004005CB" w:rsidRPr="00F95F5A" w:rsidRDefault="004005CB" w:rsidP="007D4232">
      <w:pPr>
        <w:spacing w:line="240" w:lineRule="auto"/>
        <w:rPr>
          <w:szCs w:val="22"/>
        </w:rPr>
      </w:pPr>
    </w:p>
    <w:p w:rsidR="00F4644E" w:rsidRPr="00F95F5A" w:rsidRDefault="00F4644E" w:rsidP="002870C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Gravidita</w:t>
      </w:r>
    </w:p>
    <w:p w:rsidR="00F4644E" w:rsidRPr="00F95F5A" w:rsidRDefault="00F4644E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Bezpečnosť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u gravidných žien nebola stanovená. </w:t>
      </w:r>
      <w:r w:rsidR="008C1896" w:rsidRPr="00F95F5A">
        <w:rPr>
          <w:szCs w:val="22"/>
        </w:rPr>
        <w:t xml:space="preserve">V reprodukčných štúdiách </w:t>
      </w:r>
      <w:r w:rsidR="00575A0D" w:rsidRPr="00F95F5A">
        <w:rPr>
          <w:szCs w:val="22"/>
        </w:rPr>
        <w:t xml:space="preserve">na zvieratách </w:t>
      </w:r>
      <w:r w:rsidR="008C1896" w:rsidRPr="00F95F5A">
        <w:rPr>
          <w:szCs w:val="22"/>
        </w:rPr>
        <w:t xml:space="preserve">neboli dokázané žiadne </w:t>
      </w:r>
      <w:proofErr w:type="spellStart"/>
      <w:r w:rsidR="009B32CE" w:rsidRPr="00F95F5A">
        <w:rPr>
          <w:szCs w:val="22"/>
        </w:rPr>
        <w:t>teratogénne</w:t>
      </w:r>
      <w:proofErr w:type="spellEnd"/>
      <w:r w:rsidR="009B32CE" w:rsidRPr="00F95F5A">
        <w:rPr>
          <w:szCs w:val="22"/>
        </w:rPr>
        <w:t xml:space="preserve"> </w:t>
      </w:r>
      <w:r w:rsidR="008C1896" w:rsidRPr="00F95F5A">
        <w:rPr>
          <w:szCs w:val="22"/>
        </w:rPr>
        <w:t xml:space="preserve">účinky. Napriek tomu používanie </w:t>
      </w:r>
      <w:proofErr w:type="spellStart"/>
      <w:r w:rsidR="008C1896" w:rsidRPr="00F95F5A">
        <w:rPr>
          <w:szCs w:val="22"/>
        </w:rPr>
        <w:t>cefixímu</w:t>
      </w:r>
      <w:proofErr w:type="spellEnd"/>
      <w:r w:rsidR="008C1896" w:rsidRPr="00F95F5A">
        <w:rPr>
          <w:szCs w:val="22"/>
        </w:rPr>
        <w:t xml:space="preserve"> počas gravidity, zvlášť v prvom </w:t>
      </w:r>
      <w:proofErr w:type="spellStart"/>
      <w:r w:rsidR="008C1896" w:rsidRPr="00F95F5A">
        <w:rPr>
          <w:szCs w:val="22"/>
        </w:rPr>
        <w:t>trimestri</w:t>
      </w:r>
      <w:proofErr w:type="spellEnd"/>
      <w:r w:rsidR="008C1896" w:rsidRPr="00F95F5A">
        <w:rPr>
          <w:szCs w:val="22"/>
        </w:rPr>
        <w:t>, vyžaduje starostlivé zhodnotenie pomeru pr</w:t>
      </w:r>
      <w:r w:rsidR="00F62487" w:rsidRPr="00F95F5A">
        <w:rPr>
          <w:szCs w:val="22"/>
        </w:rPr>
        <w:t>ínos</w:t>
      </w:r>
      <w:r w:rsidR="00137C31" w:rsidRPr="00F95F5A">
        <w:rPr>
          <w:szCs w:val="22"/>
        </w:rPr>
        <w:t>/ riziko</w:t>
      </w:r>
      <w:r w:rsidR="008C1896" w:rsidRPr="00F95F5A">
        <w:rPr>
          <w:szCs w:val="22"/>
        </w:rPr>
        <w:t>.</w:t>
      </w:r>
      <w:r w:rsidR="004005CB" w:rsidRPr="00F95F5A">
        <w:rPr>
          <w:szCs w:val="22"/>
        </w:rPr>
        <w:t xml:space="preserve"> </w:t>
      </w:r>
    </w:p>
    <w:p w:rsidR="00F4644E" w:rsidRPr="00F95F5A" w:rsidRDefault="008C1896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prechádza placentou</w:t>
      </w:r>
      <w:r w:rsidR="002761A8" w:rsidRPr="00F95F5A">
        <w:rPr>
          <w:szCs w:val="22"/>
        </w:rPr>
        <w:t>.</w:t>
      </w:r>
      <w:r w:rsidRPr="00F95F5A">
        <w:rPr>
          <w:szCs w:val="22"/>
        </w:rPr>
        <w:t xml:space="preserve"> </w:t>
      </w:r>
      <w:r w:rsidR="002761A8" w:rsidRPr="00F95F5A">
        <w:rPr>
          <w:szCs w:val="22"/>
        </w:rPr>
        <w:t>J</w:t>
      </w:r>
      <w:r w:rsidRPr="00F95F5A">
        <w:rPr>
          <w:szCs w:val="22"/>
        </w:rPr>
        <w:t xml:space="preserve">eho hladina v </w:t>
      </w:r>
      <w:proofErr w:type="spellStart"/>
      <w:r w:rsidRPr="00F95F5A">
        <w:rPr>
          <w:szCs w:val="22"/>
        </w:rPr>
        <w:t>pupočníkovej</w:t>
      </w:r>
      <w:proofErr w:type="spellEnd"/>
      <w:r w:rsidRPr="00F95F5A">
        <w:rPr>
          <w:szCs w:val="22"/>
        </w:rPr>
        <w:t xml:space="preserve"> krvi </w:t>
      </w:r>
      <w:r w:rsidR="002761A8" w:rsidRPr="00F95F5A">
        <w:rPr>
          <w:szCs w:val="22"/>
        </w:rPr>
        <w:t>nebola vyššia ako sérová koncentrácia u</w:t>
      </w:r>
      <w:r w:rsidR="00423813" w:rsidRPr="00F95F5A">
        <w:rPr>
          <w:szCs w:val="22"/>
        </w:rPr>
        <w:t> </w:t>
      </w:r>
      <w:r w:rsidR="002761A8" w:rsidRPr="00F95F5A">
        <w:rPr>
          <w:szCs w:val="22"/>
        </w:rPr>
        <w:t>matky</w:t>
      </w:r>
      <w:r w:rsidR="00423813" w:rsidRPr="00F95F5A">
        <w:rPr>
          <w:szCs w:val="22"/>
        </w:rPr>
        <w:t xml:space="preserve"> </w:t>
      </w:r>
      <w:r w:rsidR="00137C31" w:rsidRPr="00F95F5A">
        <w:rPr>
          <w:szCs w:val="22"/>
        </w:rPr>
        <w:t>(</w:t>
      </w:r>
      <w:r w:rsidRPr="00F95F5A">
        <w:rPr>
          <w:szCs w:val="22"/>
        </w:rPr>
        <w:t xml:space="preserve">dosahuje 1/6 </w:t>
      </w:r>
      <w:r w:rsidR="007D4232" w:rsidRPr="00F95F5A">
        <w:rPr>
          <w:szCs w:val="22"/>
        </w:rPr>
        <w:t>–</w:t>
      </w:r>
      <w:r w:rsidRPr="00F95F5A">
        <w:rPr>
          <w:szCs w:val="22"/>
        </w:rPr>
        <w:t xml:space="preserve"> 1/2 hladiny v krvi matky</w:t>
      </w:r>
      <w:r w:rsidR="00137C31" w:rsidRPr="00F95F5A">
        <w:rPr>
          <w:szCs w:val="22"/>
        </w:rPr>
        <w:t>)</w:t>
      </w:r>
      <w:r w:rsidRPr="00F95F5A">
        <w:rPr>
          <w:szCs w:val="22"/>
        </w:rPr>
        <w:t xml:space="preserve">. </w:t>
      </w:r>
    </w:p>
    <w:p w:rsidR="00F4644E" w:rsidRPr="00F95F5A" w:rsidRDefault="00F4644E" w:rsidP="007D4232">
      <w:pPr>
        <w:spacing w:line="240" w:lineRule="auto"/>
        <w:rPr>
          <w:szCs w:val="22"/>
        </w:rPr>
      </w:pPr>
    </w:p>
    <w:p w:rsidR="00F4644E" w:rsidRPr="00F95F5A" w:rsidRDefault="00EF2C95" w:rsidP="007D4232">
      <w:pPr>
        <w:tabs>
          <w:tab w:val="clear" w:pos="567"/>
        </w:tabs>
        <w:ind w:right="-92"/>
        <w:rPr>
          <w:szCs w:val="22"/>
          <w:u w:val="single"/>
        </w:rPr>
      </w:pPr>
      <w:r w:rsidRPr="00F95F5A">
        <w:rPr>
          <w:szCs w:val="22"/>
          <w:u w:val="single"/>
        </w:rPr>
        <w:t>Dojčenie</w:t>
      </w:r>
    </w:p>
    <w:p w:rsidR="004005CB" w:rsidRPr="00F95F5A" w:rsidRDefault="00F4644E" w:rsidP="007D4232">
      <w:pPr>
        <w:tabs>
          <w:tab w:val="clear" w:pos="567"/>
        </w:tabs>
        <w:ind w:right="-92"/>
        <w:rPr>
          <w:szCs w:val="22"/>
        </w:rPr>
      </w:pPr>
      <w:r w:rsidRPr="00F95F5A">
        <w:rPr>
          <w:szCs w:val="22"/>
        </w:rPr>
        <w:t xml:space="preserve">Nie je známe, či sa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vylučuje do materského mlieka. </w:t>
      </w:r>
      <w:r w:rsidR="009B32CE" w:rsidRPr="00F95F5A">
        <w:rPr>
          <w:szCs w:val="22"/>
        </w:rPr>
        <w:t>Vzhľadom na nedostatok</w:t>
      </w:r>
      <w:r w:rsidR="002761A8" w:rsidRPr="00F95F5A">
        <w:rPr>
          <w:szCs w:val="22"/>
        </w:rPr>
        <w:t xml:space="preserve"> klinických skúseností s </w:t>
      </w:r>
      <w:proofErr w:type="spellStart"/>
      <w:r w:rsidR="002761A8" w:rsidRPr="00F95F5A">
        <w:rPr>
          <w:szCs w:val="22"/>
        </w:rPr>
        <w:t>cefixímom</w:t>
      </w:r>
      <w:proofErr w:type="spellEnd"/>
      <w:r w:rsidR="009B32CE" w:rsidRPr="00F95F5A">
        <w:rPr>
          <w:szCs w:val="22"/>
        </w:rPr>
        <w:t xml:space="preserve"> </w:t>
      </w:r>
      <w:r w:rsidR="002761A8" w:rsidRPr="00F95F5A">
        <w:rPr>
          <w:szCs w:val="22"/>
        </w:rPr>
        <w:t xml:space="preserve">sa </w:t>
      </w:r>
      <w:r w:rsidR="009B32CE" w:rsidRPr="00F95F5A">
        <w:rPr>
          <w:szCs w:val="22"/>
        </w:rPr>
        <w:t xml:space="preserve">liek nemá </w:t>
      </w:r>
      <w:r w:rsidR="002761A8" w:rsidRPr="00F95F5A">
        <w:rPr>
          <w:szCs w:val="22"/>
        </w:rPr>
        <w:t>podávať dojčiacim ženám</w:t>
      </w:r>
      <w:r w:rsidR="009B32CE" w:rsidRPr="00F95F5A">
        <w:rPr>
          <w:szCs w:val="22"/>
        </w:rPr>
        <w:t xml:space="preserve">. Ak </w:t>
      </w:r>
      <w:r w:rsidR="002761A8" w:rsidRPr="00F95F5A">
        <w:rPr>
          <w:szCs w:val="22"/>
        </w:rPr>
        <w:t xml:space="preserve">je liečba nevyhnutná, odporúča sa počas celého trvania liečby mlieko odsávať a znehodnotiť. </w:t>
      </w:r>
      <w:r w:rsidR="004005CB" w:rsidRPr="00F95F5A">
        <w:rPr>
          <w:szCs w:val="22"/>
        </w:rPr>
        <w:t xml:space="preserve"> </w:t>
      </w:r>
    </w:p>
    <w:p w:rsidR="004005CB" w:rsidRPr="00F95F5A" w:rsidRDefault="004005CB" w:rsidP="002870C6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4.7</w:t>
      </w:r>
      <w:r w:rsidRPr="00F95F5A">
        <w:rPr>
          <w:b/>
          <w:szCs w:val="22"/>
        </w:rPr>
        <w:tab/>
      </w:r>
      <w:r w:rsidR="008C1896" w:rsidRPr="00F95F5A">
        <w:rPr>
          <w:b/>
          <w:szCs w:val="22"/>
        </w:rPr>
        <w:t>Ovplyvnenie schopnosti viesť vozidlá a obsluhovať stroje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EF2C95" w:rsidRPr="00F95F5A" w:rsidRDefault="00EF2C95" w:rsidP="007D4232">
      <w:pPr>
        <w:pStyle w:val="Default"/>
        <w:rPr>
          <w:sz w:val="22"/>
          <w:szCs w:val="22"/>
          <w:lang w:val="sk-SK"/>
        </w:rPr>
      </w:pPr>
      <w:r w:rsidRPr="00F95F5A">
        <w:rPr>
          <w:sz w:val="22"/>
          <w:szCs w:val="22"/>
          <w:lang w:val="sk-SK"/>
        </w:rPr>
        <w:t>Neboli vykonané žiadne štúdie účinku na schopnosť viezť vozidlá a obsluhovať stroje.</w:t>
      </w:r>
    </w:p>
    <w:p w:rsidR="004005CB" w:rsidRPr="00F95F5A" w:rsidRDefault="004005CB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9C4B68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F95F5A">
        <w:rPr>
          <w:b/>
          <w:szCs w:val="22"/>
        </w:rPr>
        <w:t>4.8</w:t>
      </w:r>
      <w:r w:rsidRPr="00F95F5A">
        <w:rPr>
          <w:b/>
          <w:szCs w:val="22"/>
        </w:rPr>
        <w:tab/>
        <w:t>Nežiaduce účinky</w:t>
      </w:r>
    </w:p>
    <w:p w:rsidR="001A3F1F" w:rsidRPr="00F95F5A" w:rsidRDefault="001A3F1F" w:rsidP="007D4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1A3F1F" w:rsidRPr="00F95F5A" w:rsidRDefault="00F4644E" w:rsidP="007D4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F95F5A">
        <w:rPr>
          <w:szCs w:val="22"/>
        </w:rPr>
        <w:t>Pri posudzovaní nežiaducich sa používajú nasledovné frekvencie výskytu:</w:t>
      </w:r>
      <w:r w:rsidR="001A3F1F" w:rsidRPr="00F95F5A">
        <w:rPr>
          <w:szCs w:val="22"/>
        </w:rPr>
        <w:t xml:space="preserve"> </w:t>
      </w:r>
      <w:r w:rsidR="001A3F1F" w:rsidRPr="00F95F5A">
        <w:rPr>
          <w:szCs w:val="22"/>
          <w:lang w:eastAsia="de-DE"/>
        </w:rPr>
        <w:t>veľmi časté (</w:t>
      </w:r>
      <w:r w:rsidR="001A3F1F" w:rsidRPr="00F95F5A">
        <w:rPr>
          <w:szCs w:val="22"/>
          <w:lang w:eastAsia="de-DE"/>
        </w:rPr>
        <w:sym w:font="Symbol" w:char="F0B3"/>
      </w:r>
      <w:r w:rsidR="007D4232" w:rsidRPr="00F95F5A">
        <w:rPr>
          <w:szCs w:val="22"/>
          <w:lang w:eastAsia="de-DE"/>
        </w:rPr>
        <w:t> </w:t>
      </w:r>
      <w:r w:rsidR="001A3F1F" w:rsidRPr="00F95F5A">
        <w:rPr>
          <w:szCs w:val="22"/>
          <w:lang w:eastAsia="de-DE"/>
        </w:rPr>
        <w:t>1/10)</w:t>
      </w:r>
    </w:p>
    <w:p w:rsidR="00F4644E" w:rsidRPr="00F95F5A" w:rsidRDefault="00F4644E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časté (≥ 1/100 až &lt;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1/10), menej časté (≥ 1/1 000 až &lt;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1/100), zriedkavé (≥ 1/10 000 až &lt;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1/1 000), veľmi zriedkavé (&lt;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 xml:space="preserve">1/10 000), neznáme (frekvenciu z dostupných údajov nemožno odhadnúť). </w:t>
      </w:r>
    </w:p>
    <w:p w:rsidR="00F4644E" w:rsidRPr="00F95F5A" w:rsidRDefault="00F4644E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szCs w:val="22"/>
        </w:rPr>
        <w:t>Počas klinických štúdií a/alebo po uvedení na trh boli pozorované tieto nežiaduce účinky.</w:t>
      </w:r>
    </w:p>
    <w:p w:rsidR="00F4644E" w:rsidRPr="00F95F5A" w:rsidRDefault="00F4644E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F4644E" w:rsidRPr="00F95F5A" w:rsidRDefault="00F4644E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F95F5A">
        <w:rPr>
          <w:i/>
          <w:iCs/>
          <w:szCs w:val="22"/>
        </w:rPr>
        <w:t>Infekcie a nákazy</w:t>
      </w:r>
    </w:p>
    <w:p w:rsidR="00F4644E" w:rsidRPr="00F95F5A" w:rsidRDefault="00F4644E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F95F5A">
        <w:rPr>
          <w:szCs w:val="22"/>
        </w:rPr>
        <w:t xml:space="preserve">Zriedkavé: </w:t>
      </w:r>
      <w:r w:rsidR="007D4232" w:rsidRPr="00F95F5A">
        <w:rPr>
          <w:szCs w:val="22"/>
        </w:rPr>
        <w:tab/>
      </w:r>
      <w:r w:rsidRPr="00F95F5A">
        <w:rPr>
          <w:szCs w:val="22"/>
        </w:rPr>
        <w:t xml:space="preserve">dlhodobé alebo opakované užívanie môže viesť k </w:t>
      </w:r>
      <w:proofErr w:type="spellStart"/>
      <w:r w:rsidRPr="00F95F5A">
        <w:rPr>
          <w:szCs w:val="22"/>
        </w:rPr>
        <w:t>superinfekciám</w:t>
      </w:r>
      <w:proofErr w:type="spellEnd"/>
      <w:r w:rsidRPr="00F95F5A">
        <w:rPr>
          <w:szCs w:val="22"/>
        </w:rPr>
        <w:t xml:space="preserve"> rezistentnými baktériami alebo hubami.</w:t>
      </w:r>
    </w:p>
    <w:p w:rsidR="00F4644E" w:rsidRPr="00F95F5A" w:rsidRDefault="00F4644E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F4644E" w:rsidRPr="00F95F5A" w:rsidRDefault="00F4644E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F95F5A">
        <w:rPr>
          <w:i/>
          <w:iCs/>
          <w:szCs w:val="22"/>
        </w:rPr>
        <w:t>Poruchy krvi a lymfatického systému</w:t>
      </w:r>
    </w:p>
    <w:p w:rsidR="00F4644E" w:rsidRPr="00F95F5A" w:rsidRDefault="00F4644E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F95F5A">
        <w:rPr>
          <w:szCs w:val="22"/>
        </w:rPr>
        <w:t xml:space="preserve">Zriedkavé: </w:t>
      </w:r>
      <w:r w:rsidR="007D4232" w:rsidRPr="00F95F5A">
        <w:rPr>
          <w:szCs w:val="22"/>
        </w:rPr>
        <w:tab/>
      </w:r>
      <w:proofErr w:type="spellStart"/>
      <w:r w:rsidRPr="00F95F5A">
        <w:rPr>
          <w:szCs w:val="22"/>
        </w:rPr>
        <w:t>eozinofília</w:t>
      </w:r>
      <w:proofErr w:type="spellEnd"/>
      <w:r w:rsidR="00EC51A7" w:rsidRPr="00F95F5A">
        <w:rPr>
          <w:szCs w:val="22"/>
        </w:rPr>
        <w:t>.</w:t>
      </w:r>
      <w:r w:rsidRPr="00F95F5A">
        <w:rPr>
          <w:szCs w:val="22"/>
        </w:rPr>
        <w:t xml:space="preserve"> </w:t>
      </w:r>
    </w:p>
    <w:p w:rsidR="00F4644E" w:rsidRPr="00F95F5A" w:rsidRDefault="00F4644E" w:rsidP="007D4232">
      <w:pPr>
        <w:pStyle w:val="Oznaitext"/>
        <w:ind w:left="1610" w:hanging="1610"/>
        <w:jc w:val="left"/>
      </w:pPr>
      <w:r w:rsidRPr="00F95F5A">
        <w:t>Veľmi zriedkavé:</w:t>
      </w:r>
      <w:r w:rsidR="00652484" w:rsidRPr="00F95F5A">
        <w:t xml:space="preserve"> </w:t>
      </w:r>
      <w:proofErr w:type="spellStart"/>
      <w:r w:rsidRPr="00F95F5A">
        <w:t>leukopénia</w:t>
      </w:r>
      <w:proofErr w:type="spellEnd"/>
      <w:r w:rsidRPr="00F95F5A">
        <w:t xml:space="preserve">, </w:t>
      </w:r>
      <w:proofErr w:type="spellStart"/>
      <w:r w:rsidRPr="00F95F5A">
        <w:t>agranulocytóza</w:t>
      </w:r>
      <w:proofErr w:type="spellEnd"/>
      <w:r w:rsidRPr="00F95F5A">
        <w:t xml:space="preserve">, </w:t>
      </w:r>
      <w:proofErr w:type="spellStart"/>
      <w:r w:rsidRPr="00F95F5A">
        <w:t>pancytopénia</w:t>
      </w:r>
      <w:proofErr w:type="spellEnd"/>
      <w:r w:rsidR="00652484" w:rsidRPr="00F95F5A">
        <w:t>,</w:t>
      </w:r>
      <w:r w:rsidRPr="00F95F5A">
        <w:t xml:space="preserve"> </w:t>
      </w:r>
      <w:proofErr w:type="spellStart"/>
      <w:r w:rsidRPr="00F95F5A">
        <w:t>trombocytopénia</w:t>
      </w:r>
      <w:proofErr w:type="spellEnd"/>
      <w:r w:rsidR="00652484" w:rsidRPr="00F95F5A">
        <w:t xml:space="preserve"> (ktoré sa spontánne upravili po ukončení liečby),</w:t>
      </w:r>
      <w:r w:rsidRPr="00F95F5A">
        <w:t xml:space="preserve"> </w:t>
      </w:r>
      <w:proofErr w:type="spellStart"/>
      <w:r w:rsidR="00652484" w:rsidRPr="00F95F5A">
        <w:t>k</w:t>
      </w:r>
      <w:r w:rsidRPr="00F95F5A">
        <w:t>oagulopatia</w:t>
      </w:r>
      <w:proofErr w:type="spellEnd"/>
      <w:r w:rsidR="00EC51A7" w:rsidRPr="00F95F5A">
        <w:t>.</w:t>
      </w:r>
    </w:p>
    <w:p w:rsidR="00F4644E" w:rsidRPr="00F95F5A" w:rsidRDefault="00F4644E" w:rsidP="007D4232">
      <w:pPr>
        <w:pStyle w:val="Oznaitext"/>
        <w:ind w:left="1610" w:hanging="1610"/>
        <w:jc w:val="left"/>
      </w:pPr>
      <w:r w:rsidRPr="00F95F5A">
        <w:t>Neznáme:</w:t>
      </w:r>
      <w:r w:rsidR="00652484" w:rsidRPr="00F95F5A">
        <w:t xml:space="preserve"> </w:t>
      </w:r>
      <w:r w:rsidR="007D4232" w:rsidRPr="00F95F5A">
        <w:tab/>
      </w:r>
      <w:proofErr w:type="spellStart"/>
      <w:r w:rsidR="00652484" w:rsidRPr="00F95F5A">
        <w:t>h</w:t>
      </w:r>
      <w:r w:rsidRPr="00F95F5A">
        <w:t>emolytická</w:t>
      </w:r>
      <w:proofErr w:type="spellEnd"/>
      <w:r w:rsidRPr="00F95F5A">
        <w:t xml:space="preserve"> anémia, </w:t>
      </w:r>
      <w:proofErr w:type="spellStart"/>
      <w:r w:rsidRPr="00F95F5A">
        <w:t>granulocytopénia</w:t>
      </w:r>
      <w:proofErr w:type="spellEnd"/>
      <w:r w:rsidR="00EC51A7" w:rsidRPr="00F95F5A">
        <w:t>.</w:t>
      </w:r>
    </w:p>
    <w:p w:rsidR="00F4644E" w:rsidRPr="00F95F5A" w:rsidRDefault="00F4644E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F95F5A" w:rsidRDefault="00652484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F95F5A">
        <w:rPr>
          <w:i/>
          <w:iCs/>
          <w:szCs w:val="22"/>
        </w:rPr>
        <w:t>Poruchy imunitného systému</w:t>
      </w:r>
    </w:p>
    <w:p w:rsidR="00652484" w:rsidRPr="00F95F5A" w:rsidRDefault="00652484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F95F5A">
        <w:rPr>
          <w:szCs w:val="22"/>
        </w:rPr>
        <w:t xml:space="preserve">Zriedkavé: </w:t>
      </w:r>
      <w:r w:rsidR="00CA2B14" w:rsidRPr="00F95F5A">
        <w:rPr>
          <w:szCs w:val="22"/>
        </w:rPr>
        <w:t xml:space="preserve"> </w:t>
      </w:r>
      <w:r w:rsidR="007D4232" w:rsidRPr="00F95F5A">
        <w:rPr>
          <w:szCs w:val="22"/>
        </w:rPr>
        <w:tab/>
      </w:r>
      <w:r w:rsidR="00CA2B14" w:rsidRPr="00F95F5A">
        <w:rPr>
          <w:szCs w:val="22"/>
        </w:rPr>
        <w:t xml:space="preserve">reakcie z precitlivenosti všetkých stupňov závažnosti*, </w:t>
      </w:r>
      <w:proofErr w:type="spellStart"/>
      <w:r w:rsidRPr="00F95F5A">
        <w:rPr>
          <w:szCs w:val="22"/>
        </w:rPr>
        <w:t>anafylaktické</w:t>
      </w:r>
      <w:proofErr w:type="spellEnd"/>
      <w:r w:rsidRPr="00F95F5A">
        <w:rPr>
          <w:szCs w:val="22"/>
        </w:rPr>
        <w:t xml:space="preserve"> reakcie</w:t>
      </w:r>
      <w:r w:rsidR="00EC51A7" w:rsidRPr="00F95F5A">
        <w:rPr>
          <w:szCs w:val="22"/>
        </w:rPr>
        <w:t>.</w:t>
      </w:r>
      <w:r w:rsidR="00DA67A6" w:rsidRPr="00F95F5A">
        <w:rPr>
          <w:szCs w:val="22"/>
        </w:rPr>
        <w:t xml:space="preserve"> </w:t>
      </w:r>
    </w:p>
    <w:p w:rsidR="00652484" w:rsidRPr="00F95F5A" w:rsidRDefault="007501F3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F95F5A">
        <w:rPr>
          <w:szCs w:val="22"/>
        </w:rPr>
        <w:t>Veľmi zriedkavé</w:t>
      </w:r>
      <w:r w:rsidR="00652484" w:rsidRPr="00F95F5A">
        <w:rPr>
          <w:szCs w:val="22"/>
        </w:rPr>
        <w:t>: reakcia podobná sérovej chorobe</w:t>
      </w:r>
      <w:r w:rsidR="00EC51A7" w:rsidRPr="00F95F5A">
        <w:rPr>
          <w:szCs w:val="22"/>
        </w:rPr>
        <w:t>.</w:t>
      </w:r>
    </w:p>
    <w:p w:rsidR="0065248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F95F5A" w:rsidRDefault="00652484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F95F5A">
        <w:rPr>
          <w:i/>
          <w:iCs/>
          <w:szCs w:val="22"/>
        </w:rPr>
        <w:t>Poruchy nervového systému</w:t>
      </w:r>
    </w:p>
    <w:p w:rsidR="00652484" w:rsidRPr="00F95F5A" w:rsidRDefault="00652484" w:rsidP="007D4232">
      <w:pPr>
        <w:tabs>
          <w:tab w:val="clear" w:pos="567"/>
          <w:tab w:val="left" w:pos="1701"/>
        </w:tabs>
        <w:ind w:left="1610" w:right="-91" w:hanging="1610"/>
        <w:rPr>
          <w:szCs w:val="22"/>
        </w:rPr>
      </w:pPr>
      <w:r w:rsidRPr="00F95F5A">
        <w:rPr>
          <w:szCs w:val="22"/>
        </w:rPr>
        <w:t xml:space="preserve">Menej časté: </w:t>
      </w:r>
      <w:r w:rsidR="007D4232" w:rsidRPr="00F95F5A">
        <w:rPr>
          <w:szCs w:val="22"/>
        </w:rPr>
        <w:tab/>
      </w:r>
      <w:r w:rsidRPr="00F95F5A">
        <w:rPr>
          <w:szCs w:val="22"/>
        </w:rPr>
        <w:t>bolesť hlavy</w:t>
      </w:r>
      <w:r w:rsidR="00EC51A7" w:rsidRPr="00F95F5A">
        <w:rPr>
          <w:szCs w:val="22"/>
        </w:rPr>
        <w:t>.</w:t>
      </w:r>
    </w:p>
    <w:p w:rsidR="00652484" w:rsidRPr="00F95F5A" w:rsidRDefault="00652484" w:rsidP="007D4232">
      <w:pPr>
        <w:tabs>
          <w:tab w:val="clear" w:pos="567"/>
          <w:tab w:val="left" w:pos="1701"/>
        </w:tabs>
        <w:ind w:left="1610" w:right="-91" w:hanging="1610"/>
        <w:rPr>
          <w:szCs w:val="22"/>
        </w:rPr>
      </w:pPr>
      <w:r w:rsidRPr="00F95F5A">
        <w:rPr>
          <w:szCs w:val="22"/>
        </w:rPr>
        <w:t xml:space="preserve">Zriedkavé: </w:t>
      </w:r>
      <w:r w:rsidR="007D4232" w:rsidRPr="00F95F5A">
        <w:rPr>
          <w:szCs w:val="22"/>
        </w:rPr>
        <w:tab/>
      </w:r>
      <w:r w:rsidRPr="00F95F5A">
        <w:rPr>
          <w:szCs w:val="22"/>
        </w:rPr>
        <w:t>závrat</w:t>
      </w:r>
      <w:r w:rsidR="00EC51A7" w:rsidRPr="00F95F5A">
        <w:rPr>
          <w:szCs w:val="22"/>
        </w:rPr>
        <w:t>.</w:t>
      </w:r>
    </w:p>
    <w:p w:rsidR="00652484" w:rsidRPr="00F95F5A" w:rsidRDefault="00652484" w:rsidP="007D4232">
      <w:pPr>
        <w:tabs>
          <w:tab w:val="clear" w:pos="567"/>
          <w:tab w:val="left" w:pos="1701"/>
        </w:tabs>
        <w:ind w:left="1610" w:right="-91" w:hanging="1610"/>
        <w:rPr>
          <w:szCs w:val="22"/>
        </w:rPr>
      </w:pPr>
      <w:r w:rsidRPr="00F95F5A">
        <w:rPr>
          <w:szCs w:val="22"/>
        </w:rPr>
        <w:t xml:space="preserve">Veľmi zriedkavé: prechodná </w:t>
      </w:r>
      <w:proofErr w:type="spellStart"/>
      <w:r w:rsidRPr="00F95F5A">
        <w:rPr>
          <w:szCs w:val="22"/>
        </w:rPr>
        <w:t>hyperaktivita</w:t>
      </w:r>
      <w:proofErr w:type="spellEnd"/>
      <w:r w:rsidRPr="00F95F5A">
        <w:rPr>
          <w:szCs w:val="22"/>
        </w:rPr>
        <w:t>, zvýšený sklon k</w:t>
      </w:r>
      <w:r w:rsidR="00EC51A7" w:rsidRPr="00F95F5A">
        <w:rPr>
          <w:szCs w:val="22"/>
        </w:rPr>
        <w:t> </w:t>
      </w:r>
      <w:r w:rsidRPr="00F95F5A">
        <w:rPr>
          <w:szCs w:val="22"/>
        </w:rPr>
        <w:t>záchvatom</w:t>
      </w:r>
      <w:r w:rsidR="00EC51A7" w:rsidRPr="00F95F5A">
        <w:rPr>
          <w:szCs w:val="22"/>
        </w:rPr>
        <w:t>.</w:t>
      </w:r>
    </w:p>
    <w:p w:rsidR="0065248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F95F5A" w:rsidRDefault="00652484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F95F5A">
        <w:rPr>
          <w:i/>
          <w:iCs/>
          <w:szCs w:val="22"/>
        </w:rPr>
        <w:t>Poruchy dýchacej sústavy, hrudníka a </w:t>
      </w:r>
      <w:proofErr w:type="spellStart"/>
      <w:r w:rsidRPr="00F95F5A">
        <w:rPr>
          <w:i/>
          <w:iCs/>
          <w:szCs w:val="22"/>
        </w:rPr>
        <w:t>mediastína</w:t>
      </w:r>
      <w:proofErr w:type="spellEnd"/>
    </w:p>
    <w:p w:rsidR="00652484" w:rsidRPr="00F95F5A" w:rsidRDefault="00652484" w:rsidP="007D4232">
      <w:pPr>
        <w:tabs>
          <w:tab w:val="clear" w:pos="567"/>
        </w:tabs>
        <w:ind w:left="1610" w:right="-92" w:hanging="1610"/>
        <w:rPr>
          <w:iCs/>
          <w:szCs w:val="22"/>
        </w:rPr>
      </w:pPr>
      <w:r w:rsidRPr="00F95F5A">
        <w:rPr>
          <w:iCs/>
          <w:szCs w:val="22"/>
        </w:rPr>
        <w:t xml:space="preserve">Neznáme: </w:t>
      </w:r>
      <w:r w:rsidR="007D4232" w:rsidRPr="00F95F5A">
        <w:rPr>
          <w:iCs/>
          <w:szCs w:val="22"/>
        </w:rPr>
        <w:tab/>
      </w:r>
      <w:proofErr w:type="spellStart"/>
      <w:r w:rsidRPr="00F95F5A">
        <w:rPr>
          <w:iCs/>
          <w:szCs w:val="22"/>
        </w:rPr>
        <w:t>dyspnoe</w:t>
      </w:r>
      <w:proofErr w:type="spellEnd"/>
      <w:r w:rsidR="00EC51A7" w:rsidRPr="00F95F5A">
        <w:rPr>
          <w:iCs/>
          <w:szCs w:val="22"/>
        </w:rPr>
        <w:t>.</w:t>
      </w:r>
    </w:p>
    <w:p w:rsidR="0065248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i/>
          <w:szCs w:val="22"/>
        </w:rPr>
      </w:pPr>
    </w:p>
    <w:p w:rsidR="004005CB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  <w:u w:val="single"/>
        </w:rPr>
      </w:pPr>
      <w:r w:rsidRPr="00F95F5A">
        <w:rPr>
          <w:i/>
          <w:szCs w:val="22"/>
        </w:rPr>
        <w:t xml:space="preserve">Poruchy </w:t>
      </w:r>
      <w:proofErr w:type="spellStart"/>
      <w:r w:rsidRPr="00F95F5A">
        <w:rPr>
          <w:i/>
          <w:szCs w:val="22"/>
        </w:rPr>
        <w:t>g</w:t>
      </w:r>
      <w:r w:rsidR="009C4B68" w:rsidRPr="00F95F5A">
        <w:rPr>
          <w:i/>
          <w:szCs w:val="22"/>
        </w:rPr>
        <w:t>astrointestináln</w:t>
      </w:r>
      <w:r w:rsidRPr="00F95F5A">
        <w:rPr>
          <w:i/>
          <w:szCs w:val="22"/>
        </w:rPr>
        <w:t>eho</w:t>
      </w:r>
      <w:proofErr w:type="spellEnd"/>
      <w:r w:rsidR="009C4B68" w:rsidRPr="00F95F5A">
        <w:rPr>
          <w:i/>
          <w:szCs w:val="22"/>
        </w:rPr>
        <w:t xml:space="preserve"> trakt</w:t>
      </w:r>
      <w:r w:rsidRPr="00F95F5A">
        <w:rPr>
          <w:i/>
          <w:szCs w:val="22"/>
        </w:rPr>
        <w:t>u</w:t>
      </w:r>
    </w:p>
    <w:p w:rsidR="004005CB" w:rsidRPr="00F95F5A" w:rsidRDefault="009C4B68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>Čast</w:t>
      </w:r>
      <w:r w:rsidR="00652484" w:rsidRPr="00F95F5A">
        <w:rPr>
          <w:szCs w:val="22"/>
        </w:rPr>
        <w:t xml:space="preserve">é: </w:t>
      </w:r>
      <w:r w:rsidR="007D4232" w:rsidRPr="00F95F5A">
        <w:rPr>
          <w:szCs w:val="22"/>
        </w:rPr>
        <w:tab/>
      </w:r>
      <w:r w:rsidR="00652484" w:rsidRPr="00F95F5A">
        <w:rPr>
          <w:szCs w:val="22"/>
        </w:rPr>
        <w:t>m</w:t>
      </w:r>
      <w:r w:rsidRPr="00F95F5A">
        <w:rPr>
          <w:szCs w:val="22"/>
        </w:rPr>
        <w:t>äkk</w:t>
      </w:r>
      <w:r w:rsidR="00652484" w:rsidRPr="00F95F5A">
        <w:rPr>
          <w:szCs w:val="22"/>
        </w:rPr>
        <w:t>á</w:t>
      </w:r>
      <w:r w:rsidRPr="00F95F5A">
        <w:rPr>
          <w:szCs w:val="22"/>
        </w:rPr>
        <w:t xml:space="preserve"> stolic</w:t>
      </w:r>
      <w:r w:rsidR="00652484" w:rsidRPr="00F95F5A">
        <w:rPr>
          <w:szCs w:val="22"/>
        </w:rPr>
        <w:t>a</w:t>
      </w:r>
      <w:r w:rsidR="008F39F9" w:rsidRPr="00F95F5A">
        <w:rPr>
          <w:szCs w:val="22"/>
        </w:rPr>
        <w:t>,</w:t>
      </w:r>
      <w:r w:rsidRPr="00F95F5A">
        <w:rPr>
          <w:szCs w:val="22"/>
        </w:rPr>
        <w:t xml:space="preserve"> hnačka</w:t>
      </w:r>
      <w:r w:rsidR="00EC51A7" w:rsidRPr="00F95F5A">
        <w:rPr>
          <w:szCs w:val="22"/>
        </w:rPr>
        <w:t>.</w:t>
      </w:r>
    </w:p>
    <w:p w:rsidR="0065248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lastRenderedPageBreak/>
        <w:t xml:space="preserve">Menej časté: </w:t>
      </w:r>
      <w:r w:rsidR="007D4232" w:rsidRPr="00F95F5A">
        <w:rPr>
          <w:szCs w:val="22"/>
        </w:rPr>
        <w:tab/>
      </w:r>
      <w:r w:rsidR="009C4B68" w:rsidRPr="00F95F5A">
        <w:rPr>
          <w:szCs w:val="22"/>
        </w:rPr>
        <w:t>boles</w:t>
      </w:r>
      <w:r w:rsidRPr="00F95F5A">
        <w:rPr>
          <w:szCs w:val="22"/>
        </w:rPr>
        <w:t>ti brucha</w:t>
      </w:r>
      <w:r w:rsidR="001778CD" w:rsidRPr="00F95F5A">
        <w:rPr>
          <w:szCs w:val="22"/>
        </w:rPr>
        <w:t>, poruchy trávenia,</w:t>
      </w:r>
      <w:r w:rsidR="009C4B68" w:rsidRPr="00F95F5A">
        <w:rPr>
          <w:szCs w:val="22"/>
        </w:rPr>
        <w:t xml:space="preserve"> </w:t>
      </w:r>
      <w:proofErr w:type="spellStart"/>
      <w:r w:rsidR="009C4B68" w:rsidRPr="00F95F5A">
        <w:rPr>
          <w:szCs w:val="22"/>
        </w:rPr>
        <w:t>nauzea</w:t>
      </w:r>
      <w:proofErr w:type="spellEnd"/>
      <w:r w:rsidR="009C4B68" w:rsidRPr="00F95F5A">
        <w:rPr>
          <w:szCs w:val="22"/>
        </w:rPr>
        <w:t xml:space="preserve"> a</w:t>
      </w:r>
      <w:r w:rsidR="009A2A39" w:rsidRPr="00F95F5A">
        <w:rPr>
          <w:szCs w:val="22"/>
        </w:rPr>
        <w:t> </w:t>
      </w:r>
      <w:r w:rsidR="009C4B68" w:rsidRPr="00F95F5A">
        <w:rPr>
          <w:szCs w:val="22"/>
        </w:rPr>
        <w:t>vracanie</w:t>
      </w:r>
      <w:r w:rsidR="009A2A39" w:rsidRPr="00F95F5A">
        <w:rPr>
          <w:szCs w:val="22"/>
        </w:rPr>
        <w:t>.</w:t>
      </w:r>
      <w:r w:rsidR="009C4B68" w:rsidRPr="00F95F5A">
        <w:rPr>
          <w:szCs w:val="22"/>
        </w:rPr>
        <w:t xml:space="preserve"> </w:t>
      </w:r>
    </w:p>
    <w:p w:rsidR="004005CB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>Z</w:t>
      </w:r>
      <w:r w:rsidR="009C4B68" w:rsidRPr="00F95F5A">
        <w:rPr>
          <w:szCs w:val="22"/>
        </w:rPr>
        <w:t>riedkav</w:t>
      </w:r>
      <w:r w:rsidRPr="00F95F5A">
        <w:rPr>
          <w:szCs w:val="22"/>
        </w:rPr>
        <w:t>é:</w:t>
      </w:r>
      <w:r w:rsidR="00D32BA4" w:rsidRPr="00F95F5A">
        <w:rPr>
          <w:szCs w:val="22"/>
        </w:rPr>
        <w:t xml:space="preserve"> </w:t>
      </w:r>
      <w:r w:rsidR="007D4232" w:rsidRPr="00F95F5A">
        <w:rPr>
          <w:szCs w:val="22"/>
        </w:rPr>
        <w:tab/>
      </w:r>
      <w:r w:rsidR="009C4B68" w:rsidRPr="00F95F5A">
        <w:rPr>
          <w:szCs w:val="22"/>
        </w:rPr>
        <w:t>nechutenstvo</w:t>
      </w:r>
      <w:r w:rsidRPr="00F95F5A">
        <w:rPr>
          <w:szCs w:val="22"/>
        </w:rPr>
        <w:t>,</w:t>
      </w:r>
      <w:r w:rsidR="00EC51A7" w:rsidRPr="00F95F5A">
        <w:rPr>
          <w:szCs w:val="22"/>
        </w:rPr>
        <w:t> </w:t>
      </w:r>
      <w:proofErr w:type="spellStart"/>
      <w:r w:rsidR="009D6295" w:rsidRPr="00F95F5A">
        <w:rPr>
          <w:szCs w:val="22"/>
        </w:rPr>
        <w:t>flatulencia</w:t>
      </w:r>
      <w:proofErr w:type="spellEnd"/>
      <w:r w:rsidR="00EC51A7" w:rsidRPr="00F95F5A">
        <w:rPr>
          <w:szCs w:val="22"/>
        </w:rPr>
        <w:t>.</w:t>
      </w:r>
    </w:p>
    <w:p w:rsidR="009A2A39" w:rsidRPr="00F95F5A" w:rsidRDefault="009C4B68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>Veľmi zriedkav</w:t>
      </w:r>
      <w:r w:rsidR="00652484" w:rsidRPr="00F95F5A">
        <w:rPr>
          <w:szCs w:val="22"/>
        </w:rPr>
        <w:t xml:space="preserve">é: </w:t>
      </w:r>
      <w:proofErr w:type="spellStart"/>
      <w:r w:rsidRPr="00F95F5A">
        <w:rPr>
          <w:szCs w:val="22"/>
        </w:rPr>
        <w:t>pseudomembranózna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kolitída</w:t>
      </w:r>
      <w:proofErr w:type="spellEnd"/>
      <w:r w:rsidR="001979D4" w:rsidRPr="00F95F5A">
        <w:rPr>
          <w:szCs w:val="22"/>
        </w:rPr>
        <w:t xml:space="preserve"> </w:t>
      </w:r>
      <w:r w:rsidR="001778CD" w:rsidRPr="00F95F5A">
        <w:rPr>
          <w:szCs w:val="22"/>
        </w:rPr>
        <w:t xml:space="preserve">počas liečby alebo po nej. Tento </w:t>
      </w:r>
      <w:r w:rsidR="00A55D90" w:rsidRPr="00F95F5A">
        <w:rPr>
          <w:szCs w:val="22"/>
        </w:rPr>
        <w:t xml:space="preserve">stav </w:t>
      </w:r>
      <w:r w:rsidR="001778CD" w:rsidRPr="00F95F5A">
        <w:rPr>
          <w:szCs w:val="22"/>
        </w:rPr>
        <w:t>je charakterizovaný ťažkou pretrvávajúcou hnačkou, a treba prijať liečebné protiopatrenia (pozri časť 4.4).</w:t>
      </w:r>
    </w:p>
    <w:p w:rsidR="001979D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 xml:space="preserve">Neznáme: </w:t>
      </w:r>
      <w:r w:rsidR="007D4232" w:rsidRPr="00F95F5A">
        <w:rPr>
          <w:szCs w:val="22"/>
        </w:rPr>
        <w:tab/>
      </w:r>
      <w:proofErr w:type="spellStart"/>
      <w:r w:rsidRPr="00F95F5A">
        <w:rPr>
          <w:szCs w:val="22"/>
        </w:rPr>
        <w:t>dyspepsia</w:t>
      </w:r>
      <w:proofErr w:type="spellEnd"/>
      <w:r w:rsidR="00EC51A7" w:rsidRPr="00F95F5A">
        <w:rPr>
          <w:szCs w:val="22"/>
        </w:rPr>
        <w:t>.</w:t>
      </w:r>
    </w:p>
    <w:p w:rsidR="0065248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F95F5A" w:rsidRDefault="0065248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F95F5A">
        <w:rPr>
          <w:i/>
          <w:szCs w:val="22"/>
        </w:rPr>
        <w:t>Poruchy pečene a žlčových ciest</w:t>
      </w:r>
    </w:p>
    <w:p w:rsidR="00652484" w:rsidRPr="00F95F5A" w:rsidRDefault="00652484" w:rsidP="007D4232">
      <w:pPr>
        <w:tabs>
          <w:tab w:val="clear" w:pos="567"/>
          <w:tab w:val="left" w:pos="1701"/>
        </w:tabs>
        <w:ind w:left="1610" w:right="-92" w:hanging="1610"/>
        <w:rPr>
          <w:szCs w:val="22"/>
        </w:rPr>
      </w:pPr>
      <w:r w:rsidRPr="00F95F5A">
        <w:rPr>
          <w:szCs w:val="22"/>
        </w:rPr>
        <w:t>Veľmi zriedkavé: hepatitíd</w:t>
      </w:r>
      <w:r w:rsidR="00651330" w:rsidRPr="00F95F5A">
        <w:rPr>
          <w:szCs w:val="22"/>
        </w:rPr>
        <w:t>a</w:t>
      </w:r>
      <w:r w:rsidR="00753C14" w:rsidRPr="00F95F5A">
        <w:rPr>
          <w:szCs w:val="22"/>
        </w:rPr>
        <w:t xml:space="preserve"> a</w:t>
      </w:r>
      <w:r w:rsidR="00EC51A7" w:rsidRPr="00F95F5A">
        <w:rPr>
          <w:szCs w:val="22"/>
        </w:rPr>
        <w:t> </w:t>
      </w:r>
      <w:proofErr w:type="spellStart"/>
      <w:r w:rsidR="00753C14" w:rsidRPr="00F95F5A">
        <w:rPr>
          <w:szCs w:val="22"/>
        </w:rPr>
        <w:t>cholest</w:t>
      </w:r>
      <w:r w:rsidR="00651330" w:rsidRPr="00F95F5A">
        <w:rPr>
          <w:szCs w:val="22"/>
        </w:rPr>
        <w:t>atická</w:t>
      </w:r>
      <w:proofErr w:type="spellEnd"/>
      <w:r w:rsidR="00651330" w:rsidRPr="00F95F5A">
        <w:rPr>
          <w:szCs w:val="22"/>
        </w:rPr>
        <w:t xml:space="preserve"> žltačka</w:t>
      </w:r>
      <w:r w:rsidR="00EC51A7" w:rsidRPr="00F95F5A">
        <w:rPr>
          <w:szCs w:val="22"/>
        </w:rPr>
        <w:t>.</w:t>
      </w:r>
      <w:r w:rsidRPr="00F95F5A">
        <w:rPr>
          <w:szCs w:val="22"/>
        </w:rPr>
        <w:t xml:space="preserve"> </w:t>
      </w:r>
    </w:p>
    <w:p w:rsidR="00652484" w:rsidRPr="00F95F5A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753C14" w:rsidRPr="00F95F5A" w:rsidRDefault="00753C1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F95F5A">
        <w:rPr>
          <w:i/>
          <w:szCs w:val="22"/>
        </w:rPr>
        <w:t>Poruchy kože a podkožného tkaniva</w:t>
      </w:r>
    </w:p>
    <w:p w:rsidR="00753C14" w:rsidRPr="00F95F5A" w:rsidRDefault="00753C14" w:rsidP="007D4232">
      <w:pPr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>Menej časté:</w:t>
      </w:r>
      <w:r w:rsidR="007D4232" w:rsidRPr="00F95F5A">
        <w:rPr>
          <w:szCs w:val="22"/>
        </w:rPr>
        <w:tab/>
      </w:r>
      <w:r w:rsidR="00D32BA4" w:rsidRPr="00F95F5A">
        <w:rPr>
          <w:szCs w:val="22"/>
        </w:rPr>
        <w:t xml:space="preserve"> </w:t>
      </w:r>
      <w:proofErr w:type="spellStart"/>
      <w:r w:rsidR="00D32BA4" w:rsidRPr="00F95F5A">
        <w:rPr>
          <w:szCs w:val="22"/>
        </w:rPr>
        <w:t>erytém</w:t>
      </w:r>
      <w:proofErr w:type="spellEnd"/>
      <w:r w:rsidR="00AC4005" w:rsidRPr="00F95F5A">
        <w:rPr>
          <w:szCs w:val="22"/>
        </w:rPr>
        <w:t>.</w:t>
      </w:r>
      <w:r w:rsidR="00651330" w:rsidRPr="00F95F5A">
        <w:rPr>
          <w:szCs w:val="22"/>
        </w:rPr>
        <w:t xml:space="preserve"> </w:t>
      </w:r>
      <w:r w:rsidR="009254E7" w:rsidRPr="00F95F5A">
        <w:rPr>
          <w:szCs w:val="22"/>
        </w:rPr>
        <w:t>v</w:t>
      </w:r>
      <w:r w:rsidR="00651330" w:rsidRPr="00F95F5A">
        <w:rPr>
          <w:szCs w:val="22"/>
        </w:rPr>
        <w:t>yrážka.</w:t>
      </w:r>
    </w:p>
    <w:p w:rsidR="00753C14" w:rsidRPr="00F95F5A" w:rsidRDefault="00753C14" w:rsidP="007D4232">
      <w:pPr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>Z</w:t>
      </w:r>
      <w:r w:rsidR="00966EDE" w:rsidRPr="00F95F5A">
        <w:rPr>
          <w:szCs w:val="22"/>
        </w:rPr>
        <w:t>riedkav</w:t>
      </w:r>
      <w:r w:rsidRPr="00F95F5A">
        <w:rPr>
          <w:szCs w:val="22"/>
        </w:rPr>
        <w:t>é:</w:t>
      </w:r>
      <w:r w:rsidR="00966EDE" w:rsidRPr="00F95F5A">
        <w:rPr>
          <w:szCs w:val="22"/>
        </w:rPr>
        <w:t xml:space="preserve"> </w:t>
      </w:r>
      <w:r w:rsidR="007D4232" w:rsidRPr="00F95F5A">
        <w:rPr>
          <w:szCs w:val="22"/>
        </w:rPr>
        <w:tab/>
      </w:r>
      <w:proofErr w:type="spellStart"/>
      <w:r w:rsidRPr="00F95F5A">
        <w:rPr>
          <w:szCs w:val="22"/>
        </w:rPr>
        <w:t>pruritus</w:t>
      </w:r>
      <w:proofErr w:type="spellEnd"/>
      <w:r w:rsidRPr="00F95F5A">
        <w:rPr>
          <w:szCs w:val="22"/>
        </w:rPr>
        <w:t xml:space="preserve">, </w:t>
      </w:r>
      <w:r w:rsidR="00966EDE" w:rsidRPr="00F95F5A">
        <w:rPr>
          <w:szCs w:val="22"/>
        </w:rPr>
        <w:t>zápal slizníc</w:t>
      </w:r>
      <w:r w:rsidR="00EC51A7" w:rsidRPr="00F95F5A">
        <w:rPr>
          <w:szCs w:val="22"/>
        </w:rPr>
        <w:t>.</w:t>
      </w:r>
    </w:p>
    <w:p w:rsidR="00753C14" w:rsidRPr="00F95F5A" w:rsidRDefault="00966EDE" w:rsidP="007D4232">
      <w:pPr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>Veľmi zriedkav</w:t>
      </w:r>
      <w:r w:rsidR="00753C14" w:rsidRPr="00F95F5A">
        <w:rPr>
          <w:szCs w:val="22"/>
        </w:rPr>
        <w:t>é:</w:t>
      </w:r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multiformný</w:t>
      </w:r>
      <w:proofErr w:type="spellEnd"/>
      <w:r w:rsidRPr="00F95F5A">
        <w:rPr>
          <w:szCs w:val="22"/>
        </w:rPr>
        <w:t xml:space="preserve"> exsudatívny </w:t>
      </w:r>
      <w:proofErr w:type="spellStart"/>
      <w:r w:rsidRPr="00F95F5A">
        <w:rPr>
          <w:szCs w:val="22"/>
        </w:rPr>
        <w:t>erytém</w:t>
      </w:r>
      <w:proofErr w:type="spellEnd"/>
      <w:r w:rsidR="00753C14" w:rsidRPr="00F95F5A">
        <w:rPr>
          <w:szCs w:val="22"/>
        </w:rPr>
        <w:t xml:space="preserve">, toxická </w:t>
      </w:r>
      <w:proofErr w:type="spellStart"/>
      <w:r w:rsidR="00753C14" w:rsidRPr="00F95F5A">
        <w:rPr>
          <w:szCs w:val="22"/>
        </w:rPr>
        <w:t>epidermálna</w:t>
      </w:r>
      <w:proofErr w:type="spellEnd"/>
      <w:r w:rsidR="00753C14" w:rsidRPr="00F95F5A">
        <w:rPr>
          <w:szCs w:val="22"/>
        </w:rPr>
        <w:t xml:space="preserve"> </w:t>
      </w:r>
      <w:proofErr w:type="spellStart"/>
      <w:r w:rsidR="00753C14" w:rsidRPr="00F95F5A">
        <w:rPr>
          <w:szCs w:val="22"/>
        </w:rPr>
        <w:t>nekrolýza</w:t>
      </w:r>
      <w:proofErr w:type="spellEnd"/>
      <w:r w:rsidR="00F70D8A" w:rsidRPr="00F95F5A">
        <w:rPr>
          <w:szCs w:val="22"/>
        </w:rPr>
        <w:t xml:space="preserve"> (TEN)</w:t>
      </w:r>
      <w:r w:rsidR="00AC4005" w:rsidRPr="00F95F5A">
        <w:rPr>
          <w:szCs w:val="22"/>
        </w:rPr>
        <w:t>.</w:t>
      </w:r>
    </w:p>
    <w:p w:rsidR="00753C14" w:rsidRPr="00F95F5A" w:rsidRDefault="00753C14" w:rsidP="007D4232">
      <w:pPr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 xml:space="preserve">Neznáme: </w:t>
      </w:r>
      <w:r w:rsidR="007D4232" w:rsidRPr="00F95F5A">
        <w:rPr>
          <w:szCs w:val="22"/>
        </w:rPr>
        <w:tab/>
      </w:r>
      <w:r w:rsidRPr="00F95F5A">
        <w:rPr>
          <w:szCs w:val="22"/>
        </w:rPr>
        <w:t xml:space="preserve">lieková vyrážka s </w:t>
      </w:r>
      <w:proofErr w:type="spellStart"/>
      <w:r w:rsidRPr="00F95F5A">
        <w:rPr>
          <w:szCs w:val="22"/>
        </w:rPr>
        <w:t>eozinofíliou</w:t>
      </w:r>
      <w:proofErr w:type="spellEnd"/>
      <w:r w:rsidRPr="00F95F5A">
        <w:rPr>
          <w:szCs w:val="22"/>
        </w:rPr>
        <w:t xml:space="preserve"> a systémovými symptómami (DRESS), </w:t>
      </w:r>
      <w:proofErr w:type="spellStart"/>
      <w:r w:rsidRPr="00F95F5A">
        <w:rPr>
          <w:szCs w:val="22"/>
        </w:rPr>
        <w:t>Stevensov-Johnsonov</w:t>
      </w:r>
      <w:proofErr w:type="spellEnd"/>
      <w:r w:rsidRPr="00F95F5A">
        <w:rPr>
          <w:szCs w:val="22"/>
        </w:rPr>
        <w:t xml:space="preserve"> syndróm, </w:t>
      </w:r>
      <w:proofErr w:type="spellStart"/>
      <w:r w:rsidRPr="00F95F5A">
        <w:rPr>
          <w:szCs w:val="22"/>
        </w:rPr>
        <w:t>urtikária</w:t>
      </w:r>
      <w:proofErr w:type="spellEnd"/>
      <w:r w:rsidR="00AC4005" w:rsidRPr="00F95F5A">
        <w:rPr>
          <w:szCs w:val="22"/>
        </w:rPr>
        <w:t>.</w:t>
      </w:r>
    </w:p>
    <w:p w:rsidR="00753C14" w:rsidRPr="00F95F5A" w:rsidRDefault="00753C14" w:rsidP="007D4232">
      <w:pPr>
        <w:spacing w:line="240" w:lineRule="auto"/>
        <w:ind w:left="1610" w:hanging="1610"/>
        <w:rPr>
          <w:szCs w:val="22"/>
        </w:rPr>
      </w:pPr>
    </w:p>
    <w:p w:rsidR="00753C14" w:rsidRPr="00F95F5A" w:rsidRDefault="00753C1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F95F5A">
        <w:rPr>
          <w:i/>
          <w:szCs w:val="22"/>
        </w:rPr>
        <w:t>Poruchy obličiek a močových ciest</w:t>
      </w:r>
    </w:p>
    <w:p w:rsidR="00753C14" w:rsidRPr="00F95F5A" w:rsidRDefault="00753C14" w:rsidP="007D4232">
      <w:pPr>
        <w:spacing w:line="240" w:lineRule="auto"/>
        <w:ind w:left="1610" w:hanging="1610"/>
        <w:rPr>
          <w:szCs w:val="22"/>
        </w:rPr>
      </w:pPr>
      <w:r w:rsidRPr="00F95F5A">
        <w:rPr>
          <w:szCs w:val="22"/>
        </w:rPr>
        <w:t xml:space="preserve">Neznáme: </w:t>
      </w:r>
      <w:r w:rsidR="007D4232" w:rsidRPr="00F95F5A">
        <w:rPr>
          <w:szCs w:val="22"/>
        </w:rPr>
        <w:tab/>
      </w:r>
      <w:r w:rsidRPr="00F95F5A">
        <w:rPr>
          <w:szCs w:val="22"/>
        </w:rPr>
        <w:t xml:space="preserve">akútne </w:t>
      </w:r>
      <w:proofErr w:type="spellStart"/>
      <w:r w:rsidRPr="00F95F5A">
        <w:rPr>
          <w:szCs w:val="22"/>
        </w:rPr>
        <w:t>renálne</w:t>
      </w:r>
      <w:proofErr w:type="spellEnd"/>
      <w:r w:rsidRPr="00F95F5A">
        <w:rPr>
          <w:szCs w:val="22"/>
        </w:rPr>
        <w:t xml:space="preserve"> zlyhanie</w:t>
      </w:r>
      <w:r w:rsidR="00DD1289" w:rsidRPr="00F95F5A">
        <w:rPr>
          <w:szCs w:val="22"/>
        </w:rPr>
        <w:t>,</w:t>
      </w:r>
      <w:r w:rsidRPr="00F95F5A">
        <w:rPr>
          <w:szCs w:val="22"/>
        </w:rPr>
        <w:t xml:space="preserve"> vrátane </w:t>
      </w:r>
      <w:proofErr w:type="spellStart"/>
      <w:r w:rsidRPr="00F95F5A">
        <w:rPr>
          <w:szCs w:val="22"/>
        </w:rPr>
        <w:t>tubulointersticiálnej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nefritídy</w:t>
      </w:r>
      <w:proofErr w:type="spellEnd"/>
      <w:r w:rsidRPr="00F95F5A">
        <w:rPr>
          <w:szCs w:val="22"/>
        </w:rPr>
        <w:t xml:space="preserve"> ako základného patologického stavu</w:t>
      </w:r>
      <w:r w:rsidR="00AC4005" w:rsidRPr="00F95F5A">
        <w:rPr>
          <w:szCs w:val="22"/>
        </w:rPr>
        <w:t>.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/>
          <w:szCs w:val="22"/>
        </w:rPr>
      </w:pPr>
    </w:p>
    <w:p w:rsidR="00753C14" w:rsidRPr="00F95F5A" w:rsidRDefault="00753C1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F95F5A">
        <w:rPr>
          <w:i/>
          <w:szCs w:val="22"/>
        </w:rPr>
        <w:t>Celkové poruchy a reakcie v mieste podania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F95F5A">
        <w:rPr>
          <w:iCs/>
          <w:noProof/>
          <w:szCs w:val="22"/>
        </w:rPr>
        <w:t xml:space="preserve">Neznáme: </w:t>
      </w:r>
      <w:r w:rsidR="007D4232" w:rsidRPr="00F95F5A">
        <w:rPr>
          <w:iCs/>
          <w:noProof/>
          <w:szCs w:val="22"/>
        </w:rPr>
        <w:tab/>
      </w:r>
      <w:r w:rsidRPr="00F95F5A">
        <w:rPr>
          <w:iCs/>
          <w:noProof/>
          <w:szCs w:val="22"/>
        </w:rPr>
        <w:t>pyrexia, opuch tváre</w:t>
      </w:r>
      <w:r w:rsidR="00AC4005" w:rsidRPr="00F95F5A">
        <w:rPr>
          <w:iCs/>
          <w:noProof/>
          <w:szCs w:val="22"/>
        </w:rPr>
        <w:t>.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/>
          <w:iCs/>
          <w:noProof/>
          <w:szCs w:val="22"/>
        </w:rPr>
      </w:pPr>
    </w:p>
    <w:p w:rsidR="002F2405" w:rsidRPr="00F95F5A" w:rsidRDefault="00CA2B14" w:rsidP="007D4232">
      <w:pPr>
        <w:tabs>
          <w:tab w:val="clear" w:pos="567"/>
        </w:tabs>
        <w:ind w:left="1610" w:right="-92" w:hanging="1610"/>
        <w:rPr>
          <w:b/>
          <w:i/>
          <w:szCs w:val="22"/>
          <w:lang w:val="it-IT"/>
        </w:rPr>
      </w:pPr>
      <w:r w:rsidRPr="00F95F5A">
        <w:rPr>
          <w:bCs/>
          <w:i/>
          <w:szCs w:val="22"/>
          <w:lang w:val="it-IT"/>
        </w:rPr>
        <w:t>Laboratórne a funkčné vyšetrenia</w:t>
      </w:r>
      <w:r w:rsidRPr="00F95F5A">
        <w:rPr>
          <w:b/>
          <w:i/>
          <w:szCs w:val="22"/>
          <w:lang w:val="it-IT"/>
        </w:rPr>
        <w:t xml:space="preserve"> 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F95F5A">
        <w:rPr>
          <w:iCs/>
          <w:noProof/>
          <w:szCs w:val="22"/>
        </w:rPr>
        <w:t xml:space="preserve">Menej časté: </w:t>
      </w:r>
      <w:r w:rsidR="007D4232" w:rsidRPr="00F95F5A">
        <w:rPr>
          <w:iCs/>
          <w:noProof/>
          <w:szCs w:val="22"/>
        </w:rPr>
        <w:tab/>
      </w:r>
      <w:r w:rsidRPr="00F95F5A">
        <w:rPr>
          <w:iCs/>
          <w:noProof/>
          <w:szCs w:val="22"/>
        </w:rPr>
        <w:t xml:space="preserve">reverzibilné zvýšenie sérových hladín pečeňových enzýmov (aspartátaminotransferázy, alanínaminotransferázy, alkalickej fosfatázy) 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F95F5A">
        <w:rPr>
          <w:iCs/>
          <w:noProof/>
          <w:szCs w:val="22"/>
        </w:rPr>
        <w:t xml:space="preserve">Zriedkavé:  </w:t>
      </w:r>
      <w:r w:rsidR="007D4232" w:rsidRPr="00F95F5A">
        <w:rPr>
          <w:iCs/>
          <w:noProof/>
          <w:szCs w:val="22"/>
        </w:rPr>
        <w:tab/>
      </w:r>
      <w:r w:rsidRPr="00F95F5A">
        <w:rPr>
          <w:iCs/>
          <w:noProof/>
          <w:szCs w:val="22"/>
        </w:rPr>
        <w:t xml:space="preserve">zvýšenie </w:t>
      </w:r>
      <w:r w:rsidR="009222CD" w:rsidRPr="00F95F5A">
        <w:rPr>
          <w:iCs/>
          <w:noProof/>
          <w:szCs w:val="22"/>
        </w:rPr>
        <w:t xml:space="preserve">koncentrácie </w:t>
      </w:r>
      <w:r w:rsidRPr="00F95F5A">
        <w:rPr>
          <w:iCs/>
          <w:noProof/>
          <w:szCs w:val="22"/>
        </w:rPr>
        <w:t xml:space="preserve">močoviny v krvi 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F95F5A">
        <w:rPr>
          <w:iCs/>
          <w:noProof/>
          <w:szCs w:val="22"/>
        </w:rPr>
        <w:t>Veľmi zriedkavé: zvýšená hladina kreatinínu v krvi</w:t>
      </w:r>
    </w:p>
    <w:p w:rsidR="00753C14" w:rsidRPr="00F95F5A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F95F5A">
        <w:rPr>
          <w:iCs/>
          <w:noProof/>
          <w:szCs w:val="22"/>
        </w:rPr>
        <w:t xml:space="preserve">Neznáme: </w:t>
      </w:r>
      <w:r w:rsidR="007D4232" w:rsidRPr="00F95F5A">
        <w:rPr>
          <w:iCs/>
          <w:noProof/>
          <w:szCs w:val="22"/>
        </w:rPr>
        <w:tab/>
      </w:r>
      <w:r w:rsidRPr="00F95F5A">
        <w:rPr>
          <w:iCs/>
          <w:noProof/>
          <w:szCs w:val="22"/>
        </w:rPr>
        <w:t>zvýšenie bilirubínu v krvi</w:t>
      </w:r>
    </w:p>
    <w:p w:rsidR="00753C14" w:rsidRPr="00F95F5A" w:rsidRDefault="00753C14" w:rsidP="007D4232">
      <w:pPr>
        <w:spacing w:line="240" w:lineRule="auto"/>
        <w:rPr>
          <w:szCs w:val="22"/>
        </w:rPr>
      </w:pPr>
    </w:p>
    <w:p w:rsidR="00753C14" w:rsidRPr="00F95F5A" w:rsidRDefault="00CA2B14" w:rsidP="007D4232">
      <w:pPr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*</w:t>
      </w:r>
      <w:r w:rsidR="00753C14" w:rsidRPr="00F95F5A">
        <w:rPr>
          <w:szCs w:val="22"/>
          <w:u w:val="single"/>
        </w:rPr>
        <w:t>Reakcie z precitlivenosti</w:t>
      </w:r>
    </w:p>
    <w:p w:rsidR="009330C3" w:rsidRPr="00F95F5A" w:rsidRDefault="009330C3" w:rsidP="007D4232">
      <w:pPr>
        <w:spacing w:line="240" w:lineRule="auto"/>
        <w:rPr>
          <w:szCs w:val="22"/>
        </w:rPr>
      </w:pPr>
      <w:r w:rsidRPr="00F95F5A">
        <w:rPr>
          <w:szCs w:val="22"/>
        </w:rPr>
        <w:t>R</w:t>
      </w:r>
      <w:r w:rsidR="00753C14" w:rsidRPr="00F95F5A">
        <w:rPr>
          <w:szCs w:val="22"/>
        </w:rPr>
        <w:t xml:space="preserve">eakcie </w:t>
      </w:r>
      <w:r w:rsidRPr="00F95F5A">
        <w:rPr>
          <w:szCs w:val="22"/>
        </w:rPr>
        <w:t xml:space="preserve">z </w:t>
      </w:r>
      <w:r w:rsidR="00753C14" w:rsidRPr="00F95F5A">
        <w:rPr>
          <w:szCs w:val="22"/>
        </w:rPr>
        <w:t xml:space="preserve">precitlivenosti sú </w:t>
      </w:r>
      <w:proofErr w:type="spellStart"/>
      <w:r w:rsidR="00753C14" w:rsidRPr="00F95F5A">
        <w:rPr>
          <w:szCs w:val="22"/>
        </w:rPr>
        <w:t>signifikantne</w:t>
      </w:r>
      <w:proofErr w:type="spellEnd"/>
      <w:r w:rsidR="00753C14" w:rsidRPr="00F95F5A">
        <w:rPr>
          <w:szCs w:val="22"/>
        </w:rPr>
        <w:t xml:space="preserve"> častejšie po </w:t>
      </w:r>
      <w:proofErr w:type="spellStart"/>
      <w:r w:rsidR="00753C14" w:rsidRPr="00F95F5A">
        <w:rPr>
          <w:szCs w:val="22"/>
        </w:rPr>
        <w:t>intramuskulárnom</w:t>
      </w:r>
      <w:proofErr w:type="spellEnd"/>
      <w:r w:rsidR="00753C14" w:rsidRPr="00F95F5A">
        <w:rPr>
          <w:szCs w:val="22"/>
        </w:rPr>
        <w:t xml:space="preserve"> alebo intravenóznom použití</w:t>
      </w:r>
      <w:r w:rsidRPr="00F95F5A">
        <w:rPr>
          <w:szCs w:val="22"/>
        </w:rPr>
        <w:t xml:space="preserve"> ako počas používania perorálnych </w:t>
      </w:r>
      <w:proofErr w:type="spellStart"/>
      <w:r w:rsidRPr="00F95F5A">
        <w:rPr>
          <w:szCs w:val="22"/>
        </w:rPr>
        <w:t>cefalosporínov</w:t>
      </w:r>
      <w:proofErr w:type="spellEnd"/>
      <w:r w:rsidRPr="00F95F5A">
        <w:rPr>
          <w:szCs w:val="22"/>
        </w:rPr>
        <w:t>.</w:t>
      </w:r>
    </w:p>
    <w:p w:rsidR="00753C14" w:rsidRPr="00F95F5A" w:rsidRDefault="00753C14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Známky ťažkých akútnych reakcií </w:t>
      </w:r>
      <w:r w:rsidR="009330C3" w:rsidRPr="00F95F5A">
        <w:rPr>
          <w:szCs w:val="22"/>
        </w:rPr>
        <w:t xml:space="preserve">z </w:t>
      </w:r>
      <w:r w:rsidRPr="00F95F5A">
        <w:rPr>
          <w:szCs w:val="22"/>
        </w:rPr>
        <w:t xml:space="preserve">precitlivenosti sú nasledujúce: edém tváre, opuch jazyka, </w:t>
      </w:r>
      <w:proofErr w:type="spellStart"/>
      <w:r w:rsidRPr="00F95F5A">
        <w:rPr>
          <w:szCs w:val="22"/>
        </w:rPr>
        <w:t>laryngeálny</w:t>
      </w:r>
      <w:proofErr w:type="spellEnd"/>
      <w:r w:rsidRPr="00F95F5A">
        <w:rPr>
          <w:szCs w:val="22"/>
        </w:rPr>
        <w:t xml:space="preserve"> edém so stiahnutím dýchacích ciest, </w:t>
      </w:r>
      <w:proofErr w:type="spellStart"/>
      <w:r w:rsidRPr="00F95F5A">
        <w:rPr>
          <w:szCs w:val="22"/>
        </w:rPr>
        <w:t>palpitácie</w:t>
      </w:r>
      <w:proofErr w:type="spellEnd"/>
      <w:r w:rsidRPr="00F95F5A">
        <w:rPr>
          <w:szCs w:val="22"/>
        </w:rPr>
        <w:t xml:space="preserve">, </w:t>
      </w:r>
      <w:proofErr w:type="spellStart"/>
      <w:r w:rsidRPr="00F95F5A">
        <w:rPr>
          <w:szCs w:val="22"/>
        </w:rPr>
        <w:t>dyspnoe</w:t>
      </w:r>
      <w:proofErr w:type="spellEnd"/>
      <w:r w:rsidRPr="00F95F5A">
        <w:rPr>
          <w:szCs w:val="22"/>
        </w:rPr>
        <w:t>, hypotenzia, ktoré môžu viesť do hroziaceho šoku. V takýchto prípadoch je nevyhnutný rýchly lekársky zákrok.</w:t>
      </w:r>
    </w:p>
    <w:p w:rsidR="00753C14" w:rsidRPr="00F95F5A" w:rsidRDefault="00753C14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Manifestácia alergie z dôvodu precitlivenosti môže zriedkavo zahŕňať liekovú horúčku a veľmi zriedkavo bol tiež hlásený syndróm podobný sérovej chorobe, </w:t>
      </w:r>
      <w:proofErr w:type="spellStart"/>
      <w:r w:rsidRPr="00F95F5A">
        <w:rPr>
          <w:szCs w:val="22"/>
        </w:rPr>
        <w:t>hemolytická</w:t>
      </w:r>
      <w:proofErr w:type="spellEnd"/>
      <w:r w:rsidRPr="00F95F5A">
        <w:rPr>
          <w:szCs w:val="22"/>
        </w:rPr>
        <w:t xml:space="preserve"> anémia a </w:t>
      </w:r>
      <w:proofErr w:type="spellStart"/>
      <w:r w:rsidRPr="00F95F5A">
        <w:rPr>
          <w:szCs w:val="22"/>
        </w:rPr>
        <w:t>intersticiálna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nefritída</w:t>
      </w:r>
      <w:proofErr w:type="spellEnd"/>
      <w:r w:rsidRPr="00F95F5A">
        <w:rPr>
          <w:szCs w:val="22"/>
        </w:rPr>
        <w:t>.</w:t>
      </w:r>
    </w:p>
    <w:p w:rsidR="00753C14" w:rsidRPr="00F95F5A" w:rsidRDefault="00753C14" w:rsidP="007D4232">
      <w:pPr>
        <w:spacing w:line="240" w:lineRule="auto"/>
        <w:rPr>
          <w:szCs w:val="22"/>
        </w:rPr>
      </w:pPr>
    </w:p>
    <w:p w:rsidR="00753C14" w:rsidRPr="00F95F5A" w:rsidRDefault="00753C14" w:rsidP="002870C6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F95F5A">
        <w:rPr>
          <w:noProof/>
          <w:szCs w:val="22"/>
          <w:u w:val="single"/>
        </w:rPr>
        <w:t>Hlásenie podozrení na nežiaduce reakcie</w:t>
      </w:r>
    </w:p>
    <w:p w:rsidR="00753C14" w:rsidRPr="00F95F5A" w:rsidRDefault="00753C14" w:rsidP="007D4232">
      <w:pPr>
        <w:suppressLineNumbers/>
        <w:autoSpaceDE w:val="0"/>
        <w:autoSpaceDN w:val="0"/>
        <w:adjustRightInd w:val="0"/>
        <w:rPr>
          <w:noProof/>
          <w:szCs w:val="22"/>
        </w:rPr>
      </w:pPr>
      <w:r w:rsidRPr="00F95F5A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="002A17B8" w:rsidRPr="00F95F5A">
        <w:rPr>
          <w:szCs w:val="22"/>
        </w:rPr>
        <w:t>reakcie</w:t>
      </w:r>
      <w:r w:rsidR="00AC456D" w:rsidRPr="00F95F5A">
        <w:rPr>
          <w:szCs w:val="22"/>
        </w:rPr>
        <w:t xml:space="preserve"> </w:t>
      </w:r>
      <w:r w:rsidR="007D4232" w:rsidRPr="00F95F5A">
        <w:rPr>
          <w:noProof/>
          <w:szCs w:val="22"/>
        </w:rPr>
        <w:t>na</w:t>
      </w:r>
      <w:r w:rsidRPr="00F95F5A">
        <w:rPr>
          <w:noProof/>
          <w:szCs w:val="22"/>
        </w:rPr>
        <w:t xml:space="preserve"> </w:t>
      </w:r>
      <w:r w:rsidRPr="00F95F5A">
        <w:rPr>
          <w:noProof/>
          <w:szCs w:val="22"/>
          <w:highlight w:val="lightGray"/>
        </w:rPr>
        <w:t>národné</w:t>
      </w:r>
      <w:r w:rsidR="007D4232" w:rsidRPr="00F95F5A">
        <w:rPr>
          <w:noProof/>
          <w:szCs w:val="22"/>
          <w:highlight w:val="lightGray"/>
        </w:rPr>
        <w:t xml:space="preserve"> centrum</w:t>
      </w:r>
      <w:r w:rsidRPr="00F95F5A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F95F5A" w:rsidRPr="00AB7BB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F95F5A">
        <w:rPr>
          <w:noProof/>
          <w:szCs w:val="22"/>
        </w:rPr>
        <w:t>.</w:t>
      </w:r>
    </w:p>
    <w:p w:rsidR="00B52FF8" w:rsidRPr="00F95F5A" w:rsidRDefault="00B52FF8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4.9</w:t>
      </w:r>
      <w:r w:rsidRPr="00F95F5A">
        <w:rPr>
          <w:b/>
          <w:szCs w:val="22"/>
        </w:rPr>
        <w:tab/>
      </w:r>
      <w:r w:rsidR="00DE18D5" w:rsidRPr="00F95F5A">
        <w:rPr>
          <w:b/>
          <w:szCs w:val="22"/>
        </w:rPr>
        <w:t>Predávkovanie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336F9B" w:rsidRPr="00F95F5A" w:rsidRDefault="00DE18D5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Príznaky intoxikácie </w:t>
      </w:r>
      <w:proofErr w:type="spellStart"/>
      <w:r w:rsidR="00651330" w:rsidRPr="00F95F5A">
        <w:rPr>
          <w:szCs w:val="22"/>
        </w:rPr>
        <w:t>cefixímom</w:t>
      </w:r>
      <w:proofErr w:type="spellEnd"/>
      <w:r w:rsidR="00651330" w:rsidRPr="00F95F5A">
        <w:rPr>
          <w:szCs w:val="22"/>
        </w:rPr>
        <w:t xml:space="preserve"> </w:t>
      </w:r>
      <w:r w:rsidR="00AC4005" w:rsidRPr="00F95F5A">
        <w:rPr>
          <w:szCs w:val="22"/>
        </w:rPr>
        <w:t>nie sú známe.</w:t>
      </w:r>
      <w:r w:rsidR="002870C6" w:rsidRPr="00F95F5A">
        <w:rPr>
          <w:szCs w:val="22"/>
        </w:rPr>
        <w:t xml:space="preserve"> </w:t>
      </w:r>
      <w:r w:rsidR="009330C3" w:rsidRPr="00F95F5A">
        <w:rPr>
          <w:szCs w:val="22"/>
        </w:rPr>
        <w:t>N</w:t>
      </w:r>
      <w:r w:rsidR="00985440" w:rsidRPr="00F95F5A">
        <w:rPr>
          <w:szCs w:val="22"/>
        </w:rPr>
        <w:t xml:space="preserve">ie </w:t>
      </w:r>
      <w:r w:rsidR="009330C3" w:rsidRPr="00F95F5A">
        <w:rPr>
          <w:szCs w:val="22"/>
        </w:rPr>
        <w:t xml:space="preserve">je špecifické </w:t>
      </w:r>
      <w:proofErr w:type="spellStart"/>
      <w:r w:rsidR="009330C3" w:rsidRPr="00F95F5A">
        <w:rPr>
          <w:szCs w:val="22"/>
        </w:rPr>
        <w:t>antidotum</w:t>
      </w:r>
      <w:proofErr w:type="spellEnd"/>
      <w:r w:rsidR="009330C3" w:rsidRPr="00F95F5A">
        <w:rPr>
          <w:szCs w:val="22"/>
        </w:rPr>
        <w:t xml:space="preserve">. Odporúča sa nasadenie všeobecných podporných opatrení. </w:t>
      </w:r>
      <w:r w:rsidR="00336F9B" w:rsidRPr="00F95F5A">
        <w:rPr>
          <w:szCs w:val="22"/>
        </w:rPr>
        <w:t>H</w:t>
      </w:r>
      <w:r w:rsidRPr="00F95F5A">
        <w:rPr>
          <w:szCs w:val="22"/>
        </w:rPr>
        <w:t xml:space="preserve">emodialýza alebo </w:t>
      </w:r>
      <w:proofErr w:type="spellStart"/>
      <w:r w:rsidRPr="00F95F5A">
        <w:rPr>
          <w:szCs w:val="22"/>
        </w:rPr>
        <w:t>peritoneálna</w:t>
      </w:r>
      <w:proofErr w:type="spellEnd"/>
      <w:r w:rsidRPr="00F95F5A">
        <w:rPr>
          <w:szCs w:val="22"/>
        </w:rPr>
        <w:t xml:space="preserve"> dialýza nie sú vhodné na odstránenie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>.</w:t>
      </w: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9A2A39" w:rsidRPr="00F95F5A" w:rsidRDefault="009A2A39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Pri liečbe </w:t>
      </w:r>
      <w:proofErr w:type="spellStart"/>
      <w:r w:rsidRPr="00F95F5A">
        <w:rPr>
          <w:szCs w:val="22"/>
        </w:rPr>
        <w:t>anafylaktického</w:t>
      </w:r>
      <w:proofErr w:type="spellEnd"/>
      <w:r w:rsidRPr="00F95F5A">
        <w:rPr>
          <w:szCs w:val="22"/>
        </w:rPr>
        <w:t xml:space="preserve"> šoku treba prijať zvyčajné pohotovostné opatrenia, ak je to možné hneď, ako sa objavia prvé príznaky. </w:t>
      </w:r>
    </w:p>
    <w:p w:rsidR="009A2A39" w:rsidRPr="00F95F5A" w:rsidRDefault="009A2A39" w:rsidP="007D4232">
      <w:pPr>
        <w:tabs>
          <w:tab w:val="clear" w:pos="567"/>
        </w:tabs>
        <w:spacing w:line="240" w:lineRule="auto"/>
        <w:rPr>
          <w:szCs w:val="22"/>
        </w:rPr>
      </w:pPr>
    </w:p>
    <w:p w:rsidR="00336F9B" w:rsidRPr="00F95F5A" w:rsidRDefault="00336F9B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5.</w:t>
      </w:r>
      <w:r w:rsidRPr="00F95F5A">
        <w:rPr>
          <w:b/>
          <w:szCs w:val="22"/>
        </w:rPr>
        <w:tab/>
      </w:r>
      <w:r w:rsidR="00DE18D5" w:rsidRPr="00F95F5A">
        <w:rPr>
          <w:b/>
          <w:szCs w:val="22"/>
        </w:rPr>
        <w:t xml:space="preserve">FARMAKOLOGICKÉ </w:t>
      </w:r>
      <w:r w:rsidR="00091E1A" w:rsidRPr="00F95F5A">
        <w:rPr>
          <w:b/>
          <w:szCs w:val="22"/>
        </w:rPr>
        <w:t>VLASTNOSTI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b/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 xml:space="preserve">5.1 </w:t>
      </w:r>
      <w:r w:rsidRPr="00F95F5A">
        <w:rPr>
          <w:b/>
          <w:szCs w:val="22"/>
        </w:rPr>
        <w:tab/>
      </w:r>
      <w:proofErr w:type="spellStart"/>
      <w:r w:rsidR="00091E1A" w:rsidRPr="00F95F5A">
        <w:rPr>
          <w:b/>
          <w:szCs w:val="22"/>
        </w:rPr>
        <w:t>Farmakodynamické</w:t>
      </w:r>
      <w:proofErr w:type="spellEnd"/>
      <w:r w:rsidR="00091E1A" w:rsidRPr="00F95F5A">
        <w:rPr>
          <w:b/>
          <w:szCs w:val="22"/>
        </w:rPr>
        <w:t xml:space="preserve"> vlastnosti</w:t>
      </w:r>
    </w:p>
    <w:p w:rsidR="00077463" w:rsidRPr="00F95F5A" w:rsidRDefault="00077463" w:rsidP="007D4232">
      <w:pPr>
        <w:spacing w:line="240" w:lineRule="auto"/>
        <w:rPr>
          <w:szCs w:val="22"/>
        </w:rPr>
      </w:pPr>
    </w:p>
    <w:p w:rsidR="00077463" w:rsidRPr="00F95F5A" w:rsidRDefault="00091E1A" w:rsidP="007D423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Farmakoterapeutická</w:t>
      </w:r>
      <w:proofErr w:type="spellEnd"/>
      <w:r w:rsidRPr="00F95F5A">
        <w:rPr>
          <w:szCs w:val="22"/>
        </w:rPr>
        <w:t xml:space="preserve"> skupina</w:t>
      </w:r>
      <w:r w:rsidR="00077463" w:rsidRPr="00F95F5A">
        <w:rPr>
          <w:szCs w:val="22"/>
        </w:rPr>
        <w:t xml:space="preserve">: </w:t>
      </w:r>
      <w:r w:rsidRPr="00F95F5A">
        <w:rPr>
          <w:szCs w:val="22"/>
        </w:rPr>
        <w:t>iné</w:t>
      </w:r>
      <w:r w:rsidR="006B71D3" w:rsidRPr="00F95F5A">
        <w:rPr>
          <w:szCs w:val="22"/>
        </w:rPr>
        <w:t xml:space="preserve"> </w:t>
      </w:r>
      <w:proofErr w:type="spellStart"/>
      <w:r w:rsidR="00AC456D" w:rsidRPr="00F95F5A">
        <w:rPr>
          <w:szCs w:val="22"/>
        </w:rPr>
        <w:t>beta</w:t>
      </w:r>
      <w:r w:rsidR="006B71D3" w:rsidRPr="00F95F5A">
        <w:rPr>
          <w:szCs w:val="22"/>
        </w:rPr>
        <w:t>l</w:t>
      </w:r>
      <w:r w:rsidRPr="00F95F5A">
        <w:rPr>
          <w:szCs w:val="22"/>
        </w:rPr>
        <w:t>aktámové</w:t>
      </w:r>
      <w:proofErr w:type="spellEnd"/>
      <w:r w:rsidRPr="00F95F5A">
        <w:rPr>
          <w:szCs w:val="22"/>
        </w:rPr>
        <w:t xml:space="preserve"> antibiotiká, </w:t>
      </w:r>
      <w:proofErr w:type="spellStart"/>
      <w:r w:rsidR="003D1466" w:rsidRPr="00F95F5A">
        <w:rPr>
          <w:szCs w:val="22"/>
        </w:rPr>
        <w:t>Cefalosporíny</w:t>
      </w:r>
      <w:proofErr w:type="spellEnd"/>
      <w:r w:rsidR="003D1466" w:rsidRPr="00F95F5A">
        <w:rPr>
          <w:szCs w:val="22"/>
        </w:rPr>
        <w:t xml:space="preserve"> tretej generácie; </w:t>
      </w:r>
      <w:r w:rsidRPr="00F95F5A">
        <w:rPr>
          <w:szCs w:val="22"/>
        </w:rPr>
        <w:t>ATC kód</w:t>
      </w:r>
      <w:r w:rsidR="00077463" w:rsidRPr="00F95F5A">
        <w:rPr>
          <w:szCs w:val="22"/>
        </w:rPr>
        <w:t xml:space="preserve">: </w:t>
      </w:r>
      <w:r w:rsidR="006B71D3" w:rsidRPr="00F95F5A">
        <w:rPr>
          <w:szCs w:val="22"/>
        </w:rPr>
        <w:t>J01D</w:t>
      </w:r>
      <w:r w:rsidR="003C5546" w:rsidRPr="00F95F5A">
        <w:rPr>
          <w:szCs w:val="22"/>
        </w:rPr>
        <w:t>D08</w:t>
      </w:r>
    </w:p>
    <w:p w:rsidR="00077463" w:rsidRPr="00F95F5A" w:rsidRDefault="00077463" w:rsidP="007D4232">
      <w:pPr>
        <w:spacing w:line="240" w:lineRule="auto"/>
        <w:rPr>
          <w:szCs w:val="22"/>
        </w:rPr>
      </w:pPr>
    </w:p>
    <w:p w:rsidR="00091E1A" w:rsidRPr="00F95F5A" w:rsidRDefault="006B71D3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</w:t>
      </w:r>
      <w:r w:rsidR="00091E1A" w:rsidRPr="00F95F5A">
        <w:rPr>
          <w:szCs w:val="22"/>
        </w:rPr>
        <w:t>efixím</w:t>
      </w:r>
      <w:proofErr w:type="spellEnd"/>
      <w:r w:rsidRPr="00F95F5A">
        <w:rPr>
          <w:szCs w:val="22"/>
        </w:rPr>
        <w:t>,</w:t>
      </w:r>
      <w:r w:rsidR="00091E1A" w:rsidRPr="00F95F5A">
        <w:rPr>
          <w:szCs w:val="22"/>
        </w:rPr>
        <w:t xml:space="preserve"> liečivo </w:t>
      </w:r>
      <w:proofErr w:type="spellStart"/>
      <w:r w:rsidR="00091E1A" w:rsidRPr="00F95F5A">
        <w:rPr>
          <w:szCs w:val="22"/>
        </w:rPr>
        <w:t>Supraxu</w:t>
      </w:r>
      <w:proofErr w:type="spellEnd"/>
      <w:r w:rsidR="00091E1A" w:rsidRPr="00F95F5A">
        <w:rPr>
          <w:szCs w:val="22"/>
        </w:rPr>
        <w:t xml:space="preserve"> je </w:t>
      </w:r>
      <w:proofErr w:type="spellStart"/>
      <w:r w:rsidR="00091E1A" w:rsidRPr="00F95F5A">
        <w:rPr>
          <w:szCs w:val="22"/>
        </w:rPr>
        <w:t>cefalosporínové</w:t>
      </w:r>
      <w:proofErr w:type="spellEnd"/>
      <w:r w:rsidR="00091E1A" w:rsidRPr="00F95F5A">
        <w:rPr>
          <w:szCs w:val="22"/>
        </w:rPr>
        <w:t xml:space="preserve"> antibiotikum 3.</w:t>
      </w:r>
      <w:r w:rsidR="00960C75" w:rsidRPr="00F95F5A">
        <w:rPr>
          <w:szCs w:val="22"/>
        </w:rPr>
        <w:t xml:space="preserve"> </w:t>
      </w:r>
      <w:r w:rsidR="00091E1A" w:rsidRPr="00F95F5A">
        <w:rPr>
          <w:szCs w:val="22"/>
        </w:rPr>
        <w:t>generácie určené pre perorálne podávanie.</w:t>
      </w:r>
      <w:r w:rsidRPr="00F95F5A">
        <w:rPr>
          <w:szCs w:val="22"/>
        </w:rPr>
        <w:t xml:space="preserve"> </w:t>
      </w:r>
    </w:p>
    <w:p w:rsidR="009330C3" w:rsidRPr="00F95F5A" w:rsidRDefault="009330C3" w:rsidP="007D4232">
      <w:pPr>
        <w:spacing w:line="240" w:lineRule="auto"/>
        <w:rPr>
          <w:szCs w:val="22"/>
        </w:rPr>
      </w:pPr>
    </w:p>
    <w:p w:rsidR="009330C3" w:rsidRPr="00F95F5A" w:rsidRDefault="009330C3" w:rsidP="002870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Mechanizmus účinku</w:t>
      </w:r>
    </w:p>
    <w:p w:rsidR="009330C3" w:rsidRPr="00F95F5A" w:rsidRDefault="00E11EF1" w:rsidP="002870C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je perorálne </w:t>
      </w:r>
      <w:proofErr w:type="spellStart"/>
      <w:r w:rsidRPr="00F95F5A">
        <w:rPr>
          <w:szCs w:val="22"/>
        </w:rPr>
        <w:t>cefalosporínové</w:t>
      </w:r>
      <w:proofErr w:type="spellEnd"/>
      <w:r w:rsidRPr="00F95F5A">
        <w:rPr>
          <w:szCs w:val="22"/>
        </w:rPr>
        <w:t xml:space="preserve"> antibiotikum so štruktúrou, spektrom účinnosti a stupňom </w:t>
      </w:r>
      <w:proofErr w:type="spellStart"/>
      <w:r w:rsidRPr="00F95F5A">
        <w:rPr>
          <w:szCs w:val="22"/>
        </w:rPr>
        <w:t>betalaktamázovej</w:t>
      </w:r>
      <w:proofErr w:type="spellEnd"/>
      <w:r w:rsidRPr="00F95F5A">
        <w:rPr>
          <w:szCs w:val="22"/>
        </w:rPr>
        <w:t xml:space="preserve"> stability podobnej </w:t>
      </w:r>
      <w:proofErr w:type="spellStart"/>
      <w:r w:rsidRPr="00F95F5A">
        <w:rPr>
          <w:szCs w:val="22"/>
        </w:rPr>
        <w:t>parenterálnym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cefalosporínom</w:t>
      </w:r>
      <w:proofErr w:type="spellEnd"/>
      <w:r w:rsidRPr="00F95F5A">
        <w:rPr>
          <w:szCs w:val="22"/>
        </w:rPr>
        <w:t xml:space="preserve"> tretej generácie </w:t>
      </w:r>
      <w:proofErr w:type="spellStart"/>
      <w:r w:rsidRPr="00F95F5A">
        <w:rPr>
          <w:szCs w:val="22"/>
        </w:rPr>
        <w:t>cefotaxímového</w:t>
      </w:r>
      <w:proofErr w:type="spellEnd"/>
      <w:r w:rsidRPr="00F95F5A">
        <w:rPr>
          <w:szCs w:val="22"/>
        </w:rPr>
        <w:t xml:space="preserve"> typu.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má baktericídne účinky proti </w:t>
      </w:r>
      <w:proofErr w:type="spellStart"/>
      <w:r w:rsidRPr="00F95F5A">
        <w:rPr>
          <w:szCs w:val="22"/>
        </w:rPr>
        <w:t>gram-pozitívnym</w:t>
      </w:r>
      <w:proofErr w:type="spellEnd"/>
      <w:r w:rsidRPr="00F95F5A">
        <w:rPr>
          <w:szCs w:val="22"/>
        </w:rPr>
        <w:t xml:space="preserve"> a </w:t>
      </w:r>
      <w:proofErr w:type="spellStart"/>
      <w:r w:rsidRPr="00F95F5A">
        <w:rPr>
          <w:szCs w:val="22"/>
        </w:rPr>
        <w:t>gram-negatívnym</w:t>
      </w:r>
      <w:proofErr w:type="spellEnd"/>
      <w:r w:rsidRPr="00F95F5A">
        <w:rPr>
          <w:szCs w:val="22"/>
        </w:rPr>
        <w:t xml:space="preserve"> baktériám a má vysokú stabilitu voči mnohým klinicky relevantným </w:t>
      </w:r>
      <w:proofErr w:type="spellStart"/>
      <w:r w:rsidRPr="00F95F5A">
        <w:rPr>
          <w:szCs w:val="22"/>
        </w:rPr>
        <w:t>betalaktamázam</w:t>
      </w:r>
      <w:proofErr w:type="spellEnd"/>
      <w:r w:rsidRPr="00F95F5A">
        <w:rPr>
          <w:szCs w:val="22"/>
        </w:rPr>
        <w:t xml:space="preserve">. Mechanizmus účinku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sa zakladá na inhibícii syntézy bunkovej steny. </w:t>
      </w:r>
      <w:proofErr w:type="spellStart"/>
      <w:r w:rsidR="009330C3" w:rsidRPr="00F95F5A">
        <w:rPr>
          <w:szCs w:val="22"/>
        </w:rPr>
        <w:t>Cefixím</w:t>
      </w:r>
      <w:proofErr w:type="spellEnd"/>
      <w:r w:rsidR="009330C3" w:rsidRPr="00F95F5A">
        <w:rPr>
          <w:szCs w:val="22"/>
        </w:rPr>
        <w:t xml:space="preserve"> má vysokú afinitu </w:t>
      </w:r>
      <w:r w:rsidR="00E76045" w:rsidRPr="00F95F5A">
        <w:rPr>
          <w:szCs w:val="22"/>
        </w:rPr>
        <w:t>k</w:t>
      </w:r>
      <w:r w:rsidR="009330C3" w:rsidRPr="00F95F5A">
        <w:rPr>
          <w:szCs w:val="22"/>
        </w:rPr>
        <w:t xml:space="preserve"> penicilín viažuc</w:t>
      </w:r>
      <w:r w:rsidR="00E76045" w:rsidRPr="00F95F5A">
        <w:rPr>
          <w:szCs w:val="22"/>
        </w:rPr>
        <w:t>im</w:t>
      </w:r>
      <w:r w:rsidR="009330C3" w:rsidRPr="00F95F5A">
        <w:rPr>
          <w:szCs w:val="22"/>
        </w:rPr>
        <w:t xml:space="preserve"> proteín</w:t>
      </w:r>
      <w:r w:rsidR="00E76045" w:rsidRPr="00F95F5A">
        <w:rPr>
          <w:szCs w:val="22"/>
        </w:rPr>
        <w:t>om</w:t>
      </w:r>
      <w:r w:rsidR="009330C3" w:rsidRPr="00F95F5A">
        <w:rPr>
          <w:szCs w:val="22"/>
        </w:rPr>
        <w:t xml:space="preserve"> (PBP) 1 (1a, 1b a 1c) a 3 a zabraňuje reakcii</w:t>
      </w:r>
      <w:r w:rsidR="00E76045" w:rsidRPr="00F95F5A">
        <w:rPr>
          <w:szCs w:val="22"/>
        </w:rPr>
        <w:t>, pri ktorej sa tvoria priečne väzby</w:t>
      </w:r>
      <w:r w:rsidR="009330C3" w:rsidRPr="00F95F5A">
        <w:rPr>
          <w:szCs w:val="22"/>
        </w:rPr>
        <w:t>.</w:t>
      </w:r>
    </w:p>
    <w:p w:rsidR="009204F2" w:rsidRPr="00F95F5A" w:rsidRDefault="009204F2" w:rsidP="007D4232">
      <w:pPr>
        <w:spacing w:line="240" w:lineRule="auto"/>
        <w:rPr>
          <w:szCs w:val="22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F95F5A" w:rsidRDefault="00402083" w:rsidP="007D423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Mechanizmy rezistencie</w:t>
      </w:r>
    </w:p>
    <w:p w:rsidR="00402083" w:rsidRPr="00F95F5A" w:rsidRDefault="00402083" w:rsidP="007D4232">
      <w:pPr>
        <w:keepNext/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Rezistencia voči </w:t>
      </w:r>
      <w:proofErr w:type="spellStart"/>
      <w:r w:rsidRPr="00F95F5A">
        <w:rPr>
          <w:szCs w:val="22"/>
        </w:rPr>
        <w:t>betalaktámom</w:t>
      </w:r>
      <w:proofErr w:type="spellEnd"/>
      <w:r w:rsidRPr="00F95F5A">
        <w:rPr>
          <w:szCs w:val="22"/>
        </w:rPr>
        <w:t xml:space="preserve"> je sprostredkovaná nasledovnými mechanizmami:</w:t>
      </w:r>
    </w:p>
    <w:p w:rsidR="00402083" w:rsidRPr="00F95F5A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Produkcia </w:t>
      </w:r>
      <w:proofErr w:type="spellStart"/>
      <w:r w:rsidRPr="00F95F5A">
        <w:rPr>
          <w:szCs w:val="22"/>
        </w:rPr>
        <w:t>betalaktamáz</w:t>
      </w:r>
      <w:proofErr w:type="spellEnd"/>
      <w:r w:rsidRPr="00F95F5A">
        <w:rPr>
          <w:szCs w:val="22"/>
        </w:rPr>
        <w:t xml:space="preserve">, ktoré môžu </w:t>
      </w:r>
      <w:proofErr w:type="spellStart"/>
      <w:r w:rsidRPr="00F95F5A">
        <w:rPr>
          <w:szCs w:val="22"/>
        </w:rPr>
        <w:t>inaktivovať</w:t>
      </w:r>
      <w:proofErr w:type="spellEnd"/>
      <w:r w:rsidRPr="00F95F5A">
        <w:rPr>
          <w:szCs w:val="22"/>
        </w:rPr>
        <w:t xml:space="preserve"> tieto antibiotiká, najmä široko spektrálne </w:t>
      </w:r>
      <w:proofErr w:type="spellStart"/>
      <w:r w:rsidRPr="00F95F5A">
        <w:rPr>
          <w:szCs w:val="22"/>
        </w:rPr>
        <w:t>betalaktamázy</w:t>
      </w:r>
      <w:proofErr w:type="spellEnd"/>
      <w:r w:rsidRPr="00F95F5A">
        <w:rPr>
          <w:szCs w:val="22"/>
        </w:rPr>
        <w:t xml:space="preserve"> (ESBL), ktoré sú aktívne proti väčšine </w:t>
      </w:r>
      <w:proofErr w:type="spellStart"/>
      <w:r w:rsidRPr="00F95F5A">
        <w:rPr>
          <w:szCs w:val="22"/>
        </w:rPr>
        <w:t>cefalosporínov</w:t>
      </w:r>
      <w:proofErr w:type="spellEnd"/>
      <w:r w:rsidRPr="00F95F5A">
        <w:rPr>
          <w:szCs w:val="22"/>
        </w:rPr>
        <w:t xml:space="preserve">. ESBL sa nachádzajú predovšetkým u </w:t>
      </w:r>
      <w:proofErr w:type="spellStart"/>
      <w:r w:rsidRPr="00F95F5A">
        <w:rPr>
          <w:i/>
          <w:iCs/>
          <w:szCs w:val="22"/>
        </w:rPr>
        <w:t>Escherichia</w:t>
      </w:r>
      <w:proofErr w:type="spellEnd"/>
      <w:r w:rsidRPr="00F95F5A">
        <w:rPr>
          <w:i/>
          <w:iCs/>
          <w:szCs w:val="22"/>
        </w:rPr>
        <w:t xml:space="preserve"> </w:t>
      </w:r>
      <w:proofErr w:type="spellStart"/>
      <w:r w:rsidRPr="00F95F5A">
        <w:rPr>
          <w:i/>
          <w:iCs/>
          <w:szCs w:val="22"/>
        </w:rPr>
        <w:t>coli</w:t>
      </w:r>
      <w:proofErr w:type="spellEnd"/>
      <w:r w:rsidRPr="00F95F5A">
        <w:rPr>
          <w:szCs w:val="22"/>
        </w:rPr>
        <w:t xml:space="preserve"> alebo </w:t>
      </w:r>
      <w:proofErr w:type="spellStart"/>
      <w:r w:rsidRPr="00F95F5A">
        <w:rPr>
          <w:i/>
          <w:iCs/>
          <w:szCs w:val="22"/>
        </w:rPr>
        <w:t>Klebsiella</w:t>
      </w:r>
      <w:proofErr w:type="spellEnd"/>
      <w:r w:rsidRPr="00F95F5A">
        <w:rPr>
          <w:i/>
          <w:iCs/>
          <w:szCs w:val="22"/>
        </w:rPr>
        <w:t xml:space="preserve"> </w:t>
      </w:r>
      <w:proofErr w:type="spellStart"/>
      <w:r w:rsidRPr="00F95F5A">
        <w:rPr>
          <w:i/>
          <w:iCs/>
          <w:szCs w:val="22"/>
        </w:rPr>
        <w:t>pneumoniae</w:t>
      </w:r>
      <w:proofErr w:type="spellEnd"/>
      <w:r w:rsidRPr="00F95F5A">
        <w:rPr>
          <w:szCs w:val="22"/>
        </w:rPr>
        <w:t xml:space="preserve"> a sprostredkujú rôzne stupne rezistencie voči </w:t>
      </w:r>
      <w:proofErr w:type="spellStart"/>
      <w:r w:rsidRPr="00F95F5A">
        <w:rPr>
          <w:szCs w:val="22"/>
        </w:rPr>
        <w:t>cefalosporínom</w:t>
      </w:r>
      <w:proofErr w:type="spellEnd"/>
      <w:r w:rsidRPr="00F95F5A">
        <w:rPr>
          <w:szCs w:val="22"/>
        </w:rPr>
        <w:t xml:space="preserve"> tretej generácie.</w:t>
      </w:r>
    </w:p>
    <w:p w:rsidR="00402083" w:rsidRPr="00F95F5A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Znížená afinita PBP k </w:t>
      </w:r>
      <w:proofErr w:type="spellStart"/>
      <w:r w:rsidRPr="00F95F5A">
        <w:rPr>
          <w:szCs w:val="22"/>
        </w:rPr>
        <w:t>betalaktámovým</w:t>
      </w:r>
      <w:proofErr w:type="spellEnd"/>
      <w:r w:rsidRPr="00F95F5A">
        <w:rPr>
          <w:szCs w:val="22"/>
        </w:rPr>
        <w:t xml:space="preserve"> antibiotikám. Získaná rezistencia </w:t>
      </w:r>
      <w:proofErr w:type="spellStart"/>
      <w:r w:rsidRPr="00F95F5A">
        <w:rPr>
          <w:szCs w:val="22"/>
        </w:rPr>
        <w:t>pneumokokov</w:t>
      </w:r>
      <w:proofErr w:type="spellEnd"/>
      <w:r w:rsidRPr="00F95F5A">
        <w:rPr>
          <w:szCs w:val="22"/>
        </w:rPr>
        <w:t xml:space="preserve"> a iných streptokokov je spôsobená mutáciou ich endogénnych PBP.</w:t>
      </w:r>
    </w:p>
    <w:p w:rsidR="00402083" w:rsidRPr="00F95F5A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Rozvoj zníženej </w:t>
      </w:r>
      <w:proofErr w:type="spellStart"/>
      <w:r w:rsidRPr="00F95F5A">
        <w:rPr>
          <w:szCs w:val="22"/>
        </w:rPr>
        <w:t>permeability</w:t>
      </w:r>
      <w:proofErr w:type="spellEnd"/>
      <w:r w:rsidRPr="00F95F5A">
        <w:rPr>
          <w:szCs w:val="22"/>
        </w:rPr>
        <w:t xml:space="preserve"> bunkovej steny baktérie, ktorý bráni </w:t>
      </w:r>
      <w:proofErr w:type="spellStart"/>
      <w:r w:rsidRPr="00F95F5A">
        <w:rPr>
          <w:szCs w:val="22"/>
        </w:rPr>
        <w:t>betalaktámom</w:t>
      </w:r>
      <w:proofErr w:type="spellEnd"/>
      <w:r w:rsidRPr="00F95F5A">
        <w:rPr>
          <w:szCs w:val="22"/>
        </w:rPr>
        <w:t xml:space="preserve"> dosiahnuť miesto účinku.</w:t>
      </w:r>
    </w:p>
    <w:p w:rsidR="00402083" w:rsidRPr="00F95F5A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Aktívne </w:t>
      </w:r>
      <w:proofErr w:type="spellStart"/>
      <w:r w:rsidRPr="00F95F5A">
        <w:rPr>
          <w:szCs w:val="22"/>
        </w:rPr>
        <w:t>efluxné</w:t>
      </w:r>
      <w:proofErr w:type="spellEnd"/>
      <w:r w:rsidRPr="00F95F5A">
        <w:rPr>
          <w:szCs w:val="22"/>
        </w:rPr>
        <w:t xml:space="preserve"> pumpy môžu tiež ovplyvniť prienik, nakoľko odstraňujú antibiotikum z miesta jeho účinku. 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F95F5A">
        <w:rPr>
          <w:bCs/>
          <w:i/>
          <w:iCs/>
          <w:szCs w:val="22"/>
        </w:rPr>
        <w:t>Zlomové body: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Národná komisia pre klinické laboratórne štandardy (</w:t>
      </w:r>
      <w:proofErr w:type="spellStart"/>
      <w:r w:rsidRPr="00F95F5A">
        <w:rPr>
          <w:szCs w:val="22"/>
        </w:rPr>
        <w:t>The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National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Committee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for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Clinical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Laboratory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Standards</w:t>
      </w:r>
      <w:proofErr w:type="spellEnd"/>
      <w:r w:rsidRPr="00F95F5A">
        <w:rPr>
          <w:szCs w:val="22"/>
        </w:rPr>
        <w:t xml:space="preserve"> (NCCLS)) stanovila nasledovné minimálne inhibičné koncentrácie ako zlomové body citlivosti niektorých bakteriálnych </w:t>
      </w:r>
      <w:proofErr w:type="spellStart"/>
      <w:r w:rsidRPr="00F95F5A">
        <w:rPr>
          <w:szCs w:val="22"/>
        </w:rPr>
        <w:t>izolátov</w:t>
      </w:r>
      <w:proofErr w:type="spellEnd"/>
      <w:r w:rsidRPr="00F95F5A">
        <w:rPr>
          <w:szCs w:val="22"/>
        </w:rPr>
        <w:t xml:space="preserve"> voči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>: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szCs w:val="22"/>
        </w:rPr>
        <w:t>-</w:t>
      </w:r>
      <w:r w:rsidRPr="00F95F5A">
        <w:rPr>
          <w:szCs w:val="22"/>
        </w:rPr>
        <w:tab/>
      </w:r>
      <w:proofErr w:type="spellStart"/>
      <w:r w:rsidRPr="00F95F5A">
        <w:rPr>
          <w:i/>
          <w:szCs w:val="22"/>
        </w:rPr>
        <w:t>Enterobacteriaceae</w:t>
      </w:r>
      <w:proofErr w:type="spellEnd"/>
      <w:r w:rsidRPr="00F95F5A">
        <w:rPr>
          <w:szCs w:val="22"/>
        </w:rPr>
        <w:t>: citlivé ≤ 1,0 µg/ml, stredne citlivé 2,0 µg/ml a rezistentné ≥ 4,0 µg/ml.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ind w:left="588" w:hanging="588"/>
        <w:rPr>
          <w:szCs w:val="22"/>
        </w:rPr>
      </w:pPr>
      <w:r w:rsidRPr="00F95F5A">
        <w:rPr>
          <w:szCs w:val="22"/>
        </w:rPr>
        <w:t>-</w:t>
      </w:r>
      <w:r w:rsidRPr="00F95F5A">
        <w:rPr>
          <w:szCs w:val="22"/>
        </w:rPr>
        <w:tab/>
      </w:r>
      <w:proofErr w:type="spellStart"/>
      <w:r w:rsidRPr="00F95F5A">
        <w:rPr>
          <w:i/>
          <w:szCs w:val="22"/>
        </w:rPr>
        <w:t>Haemophilus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spp</w:t>
      </w:r>
      <w:proofErr w:type="spellEnd"/>
      <w:r w:rsidRPr="00F95F5A">
        <w:rPr>
          <w:szCs w:val="22"/>
        </w:rPr>
        <w:t>.: citlivé ≤ 1,0 µg/ml.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ind w:left="588" w:hanging="588"/>
        <w:rPr>
          <w:szCs w:val="22"/>
        </w:rPr>
      </w:pPr>
      <w:r w:rsidRPr="00F95F5A">
        <w:rPr>
          <w:szCs w:val="22"/>
        </w:rPr>
        <w:t>-</w:t>
      </w:r>
      <w:r w:rsidRPr="00F95F5A">
        <w:rPr>
          <w:szCs w:val="22"/>
        </w:rPr>
        <w:tab/>
      </w:r>
      <w:proofErr w:type="spellStart"/>
      <w:r w:rsidRPr="00F95F5A">
        <w:rPr>
          <w:i/>
          <w:szCs w:val="22"/>
        </w:rPr>
        <w:t>Neisseria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gonorrhoeae</w:t>
      </w:r>
      <w:proofErr w:type="spellEnd"/>
      <w:r w:rsidRPr="00F95F5A">
        <w:rPr>
          <w:szCs w:val="22"/>
        </w:rPr>
        <w:t>: citlivé ≤ 0,25 µg/ml.</w:t>
      </w:r>
    </w:p>
    <w:p w:rsidR="00402083" w:rsidRPr="00F95F5A" w:rsidRDefault="00402083" w:rsidP="002870C6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V súčasnosti NCCLS neodporúča žiadne zlomové body pre </w:t>
      </w:r>
      <w:proofErr w:type="spellStart"/>
      <w:r w:rsidRPr="00F95F5A">
        <w:rPr>
          <w:i/>
          <w:szCs w:val="22"/>
        </w:rPr>
        <w:t>Streptococcus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pneumoniae</w:t>
      </w:r>
      <w:proofErr w:type="spellEnd"/>
      <w:r w:rsidRPr="00F95F5A">
        <w:rPr>
          <w:szCs w:val="22"/>
        </w:rPr>
        <w:t xml:space="preserve"> alebo iné streptokoky, </w:t>
      </w:r>
      <w:proofErr w:type="spellStart"/>
      <w:r w:rsidRPr="00F95F5A">
        <w:rPr>
          <w:i/>
          <w:szCs w:val="22"/>
        </w:rPr>
        <w:t>Enterococcus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spp</w:t>
      </w:r>
      <w:proofErr w:type="spellEnd"/>
      <w:r w:rsidRPr="00F95F5A">
        <w:rPr>
          <w:szCs w:val="22"/>
        </w:rPr>
        <w:t xml:space="preserve">., </w:t>
      </w:r>
      <w:proofErr w:type="spellStart"/>
      <w:r w:rsidRPr="00F95F5A">
        <w:rPr>
          <w:i/>
          <w:szCs w:val="22"/>
        </w:rPr>
        <w:t>Staphylococcus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spp</w:t>
      </w:r>
      <w:proofErr w:type="spellEnd"/>
      <w:r w:rsidRPr="00F95F5A">
        <w:rPr>
          <w:szCs w:val="22"/>
        </w:rPr>
        <w:t xml:space="preserve">., </w:t>
      </w:r>
      <w:proofErr w:type="spellStart"/>
      <w:r w:rsidRPr="00F95F5A">
        <w:rPr>
          <w:i/>
          <w:szCs w:val="22"/>
        </w:rPr>
        <w:t>Pseudomonas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aeruginosa</w:t>
      </w:r>
      <w:proofErr w:type="spellEnd"/>
      <w:r w:rsidRPr="00F95F5A">
        <w:rPr>
          <w:szCs w:val="22"/>
        </w:rPr>
        <w:t xml:space="preserve"> alebo iné </w:t>
      </w:r>
      <w:proofErr w:type="spellStart"/>
      <w:r w:rsidRPr="00F95F5A">
        <w:rPr>
          <w:szCs w:val="22"/>
        </w:rPr>
        <w:t>ne-</w:t>
      </w:r>
      <w:r w:rsidRPr="00F95F5A">
        <w:rPr>
          <w:i/>
          <w:szCs w:val="22"/>
        </w:rPr>
        <w:t>Enterobacteriaceae</w:t>
      </w:r>
      <w:proofErr w:type="spellEnd"/>
      <w:r w:rsidRPr="00F95F5A">
        <w:rPr>
          <w:szCs w:val="22"/>
        </w:rPr>
        <w:t xml:space="preserve">. Zlomový bod citlivosti ≤ 1,0 µg/ml pre </w:t>
      </w:r>
      <w:r w:rsidRPr="00F95F5A">
        <w:rPr>
          <w:i/>
          <w:szCs w:val="22"/>
        </w:rPr>
        <w:t xml:space="preserve">S. </w:t>
      </w:r>
      <w:proofErr w:type="spellStart"/>
      <w:r w:rsidRPr="00F95F5A">
        <w:rPr>
          <w:i/>
          <w:szCs w:val="22"/>
        </w:rPr>
        <w:t>pneumoniae</w:t>
      </w:r>
      <w:proofErr w:type="spellEnd"/>
      <w:r w:rsidRPr="00F95F5A">
        <w:rPr>
          <w:szCs w:val="22"/>
        </w:rPr>
        <w:t xml:space="preserve"> bol odvodený od </w:t>
      </w:r>
      <w:proofErr w:type="spellStart"/>
      <w:r w:rsidRPr="00F95F5A">
        <w:rPr>
          <w:szCs w:val="22"/>
        </w:rPr>
        <w:t>farmakokinetických</w:t>
      </w:r>
      <w:proofErr w:type="spellEnd"/>
      <w:r w:rsidRPr="00F95F5A">
        <w:rPr>
          <w:szCs w:val="22"/>
        </w:rPr>
        <w:t xml:space="preserve"> a </w:t>
      </w:r>
      <w:proofErr w:type="spellStart"/>
      <w:r w:rsidRPr="00F95F5A">
        <w:rPr>
          <w:szCs w:val="22"/>
        </w:rPr>
        <w:t>farmakodynamických</w:t>
      </w:r>
      <w:proofErr w:type="spellEnd"/>
      <w:r w:rsidRPr="00F95F5A">
        <w:rPr>
          <w:szCs w:val="22"/>
        </w:rPr>
        <w:t xml:space="preserve"> parametrov, založených na štandardnom dávkovaní. Citlivosť </w:t>
      </w:r>
      <w:r w:rsidRPr="00F95F5A">
        <w:rPr>
          <w:i/>
          <w:szCs w:val="22"/>
        </w:rPr>
        <w:t>S. </w:t>
      </w:r>
      <w:proofErr w:type="spellStart"/>
      <w:r w:rsidRPr="00F95F5A">
        <w:rPr>
          <w:i/>
          <w:szCs w:val="22"/>
        </w:rPr>
        <w:t>pneumoniae</w:t>
      </w:r>
      <w:proofErr w:type="spellEnd"/>
      <w:r w:rsidRPr="00F95F5A">
        <w:rPr>
          <w:szCs w:val="22"/>
        </w:rPr>
        <w:t xml:space="preserve"> voči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sa dá odhadnúť podľa citlivosti voči penicilínu.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Doteraz neboli publikované zlomové body EUCAST.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Výskyt získanej rezistencie vybraných kmeňov sa môže líšiť geograficky a v čase, a preto sú potrebné miestne informácie o rezistencii, najmä pri liečbe ťažkých infekcií. Ak je to potrebné, treba poskytnúť odborné stanovisko, ak je miestny výskyt rezistencie taký, že užitočnosť liečiva je prinajmenej u niektorých typov infekcií sporná.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675" w:type="dxa"/>
        <w:tblLook w:val="01E0"/>
      </w:tblPr>
      <w:tblGrid>
        <w:gridCol w:w="4805"/>
        <w:gridCol w:w="3806"/>
      </w:tblGrid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F95F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Všeobecne podozrivé kmene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Gram-pozitívne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aeróbne mikroorganizmy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pyogenes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Gram-negatívne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aeróbne organizmy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lastRenderedPageBreak/>
              <w:t>Escherichia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coli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oxytoca</w:t>
            </w:r>
            <w:proofErr w:type="spellEnd"/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Branhamella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)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Neisseria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gonorrhoeae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mirabilis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Providencia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sp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95F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Kmene, u ktorých môže byť problémom získaná rezistencia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Gram-negatívne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aeróbne organizmy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Citrobacter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freundii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Enterobacter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cloacae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morganii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Serratia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marcescens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95F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Dedične rezistentné organizmy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Gram-pozitívne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aeróbne organizmy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Enterococcus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F95F5A" w:rsidRDefault="00402083" w:rsidP="007D4232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  <w:p w:rsidR="00402083" w:rsidRPr="00F95F5A" w:rsidRDefault="00402083" w:rsidP="007D4232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(ak je stredne citlivý alebo rezistentné voči penicilínu)</w:t>
            </w:r>
          </w:p>
        </w:tc>
      </w:tr>
      <w:tr w:rsidR="00402083" w:rsidRPr="00F95F5A" w:rsidTr="00FA6247">
        <w:tc>
          <w:tcPr>
            <w:tcW w:w="4962" w:type="dxa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Gram-negatívne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aeróbne organizmy</w:t>
            </w:r>
          </w:p>
        </w:tc>
        <w:tc>
          <w:tcPr>
            <w:tcW w:w="3969" w:type="dxa"/>
          </w:tcPr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Pseudomonas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aeruginosa</w:t>
            </w:r>
            <w:proofErr w:type="spellEnd"/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Iné mikroorganizmy</w:t>
            </w:r>
          </w:p>
        </w:tc>
      </w:tr>
      <w:tr w:rsidR="00402083" w:rsidRPr="00F95F5A" w:rsidTr="00FA6247">
        <w:tc>
          <w:tcPr>
            <w:tcW w:w="8931" w:type="dxa"/>
            <w:gridSpan w:val="2"/>
          </w:tcPr>
          <w:p w:rsidR="00402083" w:rsidRPr="00F95F5A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Chlamydia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Chlamydophila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Legionella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pneumophila</w:t>
            </w:r>
            <w:proofErr w:type="spellEnd"/>
          </w:p>
          <w:p w:rsidR="00402083" w:rsidRPr="00F95F5A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proofErr w:type="spellStart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Mycoplasma</w:t>
            </w:r>
            <w:proofErr w:type="spellEnd"/>
            <w:r w:rsidRPr="00F95F5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95F5A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F95F5A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</w:tr>
    </w:tbl>
    <w:p w:rsidR="00402083" w:rsidRPr="00F95F5A" w:rsidRDefault="00402083" w:rsidP="002870C6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F95F5A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$</w:t>
      </w:r>
      <w:r w:rsidRPr="00F95F5A">
        <w:rPr>
          <w:rFonts w:ascii="Times New Roman" w:hAnsi="Times New Roman" w:cs="Times New Roman"/>
          <w:sz w:val="22"/>
          <w:szCs w:val="22"/>
          <w:lang w:val="sk-SK"/>
        </w:rPr>
        <w:t xml:space="preserve"> Kmene vykazujú prirodzenú strednú citlivosť.</w:t>
      </w:r>
    </w:p>
    <w:p w:rsidR="00402083" w:rsidRPr="00F95F5A" w:rsidRDefault="00402083" w:rsidP="007D4232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F95F5A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%</w:t>
      </w:r>
      <w:r w:rsidRPr="00F95F5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95F5A">
        <w:rPr>
          <w:rFonts w:ascii="Times New Roman" w:hAnsi="Times New Roman" w:cs="Times New Roman"/>
          <w:sz w:val="22"/>
          <w:szCs w:val="22"/>
          <w:lang w:val="sk-SK"/>
        </w:rPr>
        <w:t>Betalaktamázy</w:t>
      </w:r>
      <w:proofErr w:type="spellEnd"/>
      <w:r w:rsidRPr="00F95F5A">
        <w:rPr>
          <w:rFonts w:ascii="Times New Roman" w:hAnsi="Times New Roman" w:cs="Times New Roman"/>
          <w:sz w:val="22"/>
          <w:szCs w:val="22"/>
          <w:lang w:val="sk-SK"/>
        </w:rPr>
        <w:t xml:space="preserve"> so širokým spektrom (ESBL) produkujúce kmene sú vždy rezistentné</w:t>
      </w:r>
    </w:p>
    <w:p w:rsidR="00402083" w:rsidRPr="00F95F5A" w:rsidRDefault="00402083" w:rsidP="007D4232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Ďalšie informácie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Izoláty</w:t>
      </w:r>
      <w:proofErr w:type="spellEnd"/>
      <w:r w:rsidRPr="00F95F5A">
        <w:rPr>
          <w:szCs w:val="22"/>
        </w:rPr>
        <w:t xml:space="preserve"> </w:t>
      </w:r>
      <w:r w:rsidRPr="00F95F5A">
        <w:rPr>
          <w:i/>
          <w:szCs w:val="22"/>
        </w:rPr>
        <w:t xml:space="preserve">S. </w:t>
      </w:r>
      <w:proofErr w:type="spellStart"/>
      <w:r w:rsidRPr="00F95F5A">
        <w:rPr>
          <w:i/>
          <w:szCs w:val="22"/>
        </w:rPr>
        <w:t>pneumoniae</w:t>
      </w:r>
      <w:proofErr w:type="spellEnd"/>
      <w:r w:rsidRPr="00F95F5A">
        <w:rPr>
          <w:szCs w:val="22"/>
        </w:rPr>
        <w:t xml:space="preserve">, ktoré sú citlivé na penicilín, sa dajú považovať za citlivé na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. Miera rezistencie v Rakúsku, Nemecku, Taliansku, Belgicku, Česku, Švajčiarsku a Veľkej Británii zostáva nízka. Aj pri podozrení na infekciu </w:t>
      </w:r>
      <w:r w:rsidRPr="00F95F5A">
        <w:rPr>
          <w:i/>
          <w:szCs w:val="22"/>
        </w:rPr>
        <w:t xml:space="preserve">S. </w:t>
      </w:r>
      <w:proofErr w:type="spellStart"/>
      <w:r w:rsidRPr="00F95F5A">
        <w:rPr>
          <w:i/>
          <w:szCs w:val="22"/>
        </w:rPr>
        <w:t>pneumoniae</w:t>
      </w:r>
      <w:proofErr w:type="spellEnd"/>
      <w:r w:rsidRPr="00F95F5A">
        <w:rPr>
          <w:szCs w:val="22"/>
        </w:rPr>
        <w:t xml:space="preserve"> je v týchto krajinách stále obhajovaná empirická liečba.</w:t>
      </w: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F95F5A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Kmene</w:t>
      </w:r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Klebsiella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spp</w:t>
      </w:r>
      <w:proofErr w:type="spellEnd"/>
      <w:r w:rsidRPr="00F95F5A">
        <w:rPr>
          <w:szCs w:val="22"/>
        </w:rPr>
        <w:t xml:space="preserve">. a </w:t>
      </w:r>
      <w:r w:rsidRPr="00F95F5A">
        <w:rPr>
          <w:i/>
          <w:szCs w:val="22"/>
        </w:rPr>
        <w:t xml:space="preserve">E. </w:t>
      </w:r>
      <w:proofErr w:type="spellStart"/>
      <w:r w:rsidRPr="00F95F5A">
        <w:rPr>
          <w:i/>
          <w:szCs w:val="22"/>
        </w:rPr>
        <w:t>coli</w:t>
      </w:r>
      <w:proofErr w:type="spellEnd"/>
      <w:r w:rsidRPr="00F95F5A">
        <w:rPr>
          <w:szCs w:val="22"/>
        </w:rPr>
        <w:t xml:space="preserve">, ktoré produkujú </w:t>
      </w:r>
      <w:proofErr w:type="spellStart"/>
      <w:r w:rsidRPr="00F95F5A">
        <w:rPr>
          <w:szCs w:val="22"/>
        </w:rPr>
        <w:t>betalaktamázy</w:t>
      </w:r>
      <w:proofErr w:type="spellEnd"/>
      <w:r w:rsidRPr="00F95F5A">
        <w:rPr>
          <w:szCs w:val="22"/>
        </w:rPr>
        <w:t xml:space="preserve"> so širokým spektrom (ESBL) môžu byť klinicky rezistentné voči </w:t>
      </w:r>
      <w:proofErr w:type="spellStart"/>
      <w:r w:rsidRPr="00F95F5A">
        <w:rPr>
          <w:szCs w:val="22"/>
        </w:rPr>
        <w:t>cefalosporínom</w:t>
      </w:r>
      <w:proofErr w:type="spellEnd"/>
      <w:r w:rsidRPr="00F95F5A">
        <w:rPr>
          <w:szCs w:val="22"/>
        </w:rPr>
        <w:t xml:space="preserve">, aj napriek zjavnej citlivosti </w:t>
      </w:r>
      <w:r w:rsidRPr="00F95F5A">
        <w:rPr>
          <w:i/>
          <w:szCs w:val="22"/>
        </w:rPr>
        <w:t xml:space="preserve">in </w:t>
      </w:r>
      <w:proofErr w:type="spellStart"/>
      <w:r w:rsidRPr="00F95F5A">
        <w:rPr>
          <w:i/>
          <w:szCs w:val="22"/>
        </w:rPr>
        <w:t>vitro</w:t>
      </w:r>
      <w:proofErr w:type="spellEnd"/>
      <w:r w:rsidRPr="00F95F5A">
        <w:rPr>
          <w:szCs w:val="22"/>
        </w:rPr>
        <w:t xml:space="preserve">, a preto ich treba považovať za rezistentné. Všetky </w:t>
      </w:r>
      <w:proofErr w:type="spellStart"/>
      <w:r w:rsidRPr="00F95F5A">
        <w:rPr>
          <w:szCs w:val="22"/>
        </w:rPr>
        <w:t>cefalosporíny</w:t>
      </w:r>
      <w:proofErr w:type="spellEnd"/>
      <w:r w:rsidRPr="00F95F5A">
        <w:rPr>
          <w:szCs w:val="22"/>
        </w:rPr>
        <w:t xml:space="preserve"> vykazujú </w:t>
      </w:r>
      <w:r w:rsidRPr="00F95F5A">
        <w:rPr>
          <w:i/>
          <w:iCs/>
          <w:szCs w:val="22"/>
        </w:rPr>
        <w:t xml:space="preserve">in </w:t>
      </w:r>
      <w:proofErr w:type="spellStart"/>
      <w:r w:rsidRPr="00F95F5A">
        <w:rPr>
          <w:i/>
          <w:iCs/>
          <w:szCs w:val="22"/>
        </w:rPr>
        <w:t>vitro</w:t>
      </w:r>
      <w:proofErr w:type="spellEnd"/>
      <w:r w:rsidRPr="00F95F5A">
        <w:rPr>
          <w:szCs w:val="22"/>
        </w:rPr>
        <w:t xml:space="preserve"> aktivitu proti </w:t>
      </w:r>
      <w:r w:rsidRPr="00F95F5A">
        <w:rPr>
          <w:i/>
          <w:szCs w:val="22"/>
        </w:rPr>
        <w:t>S. </w:t>
      </w:r>
      <w:proofErr w:type="spellStart"/>
      <w:r w:rsidRPr="00F95F5A">
        <w:rPr>
          <w:i/>
          <w:szCs w:val="22"/>
        </w:rPr>
        <w:t>aureus</w:t>
      </w:r>
      <w:proofErr w:type="spellEnd"/>
      <w:r w:rsidRPr="00F95F5A">
        <w:rPr>
          <w:szCs w:val="22"/>
        </w:rPr>
        <w:t xml:space="preserve">, rezistentnému voči </w:t>
      </w:r>
      <w:proofErr w:type="spellStart"/>
      <w:r w:rsidRPr="00F95F5A">
        <w:rPr>
          <w:szCs w:val="22"/>
        </w:rPr>
        <w:t>meticilínu</w:t>
      </w:r>
      <w:proofErr w:type="spellEnd"/>
      <w:r w:rsidRPr="00F95F5A">
        <w:rPr>
          <w:szCs w:val="22"/>
        </w:rPr>
        <w:t xml:space="preserve"> (MRSA) a </w:t>
      </w:r>
      <w:proofErr w:type="spellStart"/>
      <w:r w:rsidRPr="00F95F5A">
        <w:rPr>
          <w:szCs w:val="22"/>
        </w:rPr>
        <w:t>koagulázo-negatívnym</w:t>
      </w:r>
      <w:proofErr w:type="spellEnd"/>
      <w:r w:rsidRPr="00F95F5A">
        <w:rPr>
          <w:szCs w:val="22"/>
        </w:rPr>
        <w:t xml:space="preserve"> stafylokokom, ale nie sú klinicky účinné. Preto treba za rezistentné považovať aj </w:t>
      </w:r>
      <w:proofErr w:type="spellStart"/>
      <w:r w:rsidRPr="00F95F5A">
        <w:rPr>
          <w:szCs w:val="22"/>
        </w:rPr>
        <w:t>izoláty</w:t>
      </w:r>
      <w:proofErr w:type="spellEnd"/>
      <w:r w:rsidRPr="00F95F5A">
        <w:rPr>
          <w:szCs w:val="22"/>
        </w:rPr>
        <w:t xml:space="preserve">. To isté platí pre </w:t>
      </w:r>
      <w:proofErr w:type="spellStart"/>
      <w:r w:rsidRPr="00F95F5A">
        <w:rPr>
          <w:i/>
          <w:szCs w:val="22"/>
        </w:rPr>
        <w:t>Enterococcus</w:t>
      </w:r>
      <w:proofErr w:type="spellEnd"/>
      <w:r w:rsidRPr="00F95F5A">
        <w:rPr>
          <w:i/>
          <w:szCs w:val="22"/>
        </w:rPr>
        <w:t xml:space="preserve"> </w:t>
      </w:r>
      <w:proofErr w:type="spellStart"/>
      <w:r w:rsidRPr="00F95F5A">
        <w:rPr>
          <w:i/>
          <w:szCs w:val="22"/>
        </w:rPr>
        <w:t>spp</w:t>
      </w:r>
      <w:proofErr w:type="spellEnd"/>
      <w:r w:rsidRPr="00F95F5A">
        <w:rPr>
          <w:szCs w:val="22"/>
        </w:rPr>
        <w:t>.</w:t>
      </w:r>
    </w:p>
    <w:p w:rsidR="009204F2" w:rsidRPr="00F95F5A" w:rsidRDefault="009204F2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5.2</w:t>
      </w:r>
      <w:r w:rsidRPr="00F95F5A">
        <w:rPr>
          <w:b/>
          <w:szCs w:val="22"/>
        </w:rPr>
        <w:tab/>
      </w:r>
      <w:proofErr w:type="spellStart"/>
      <w:r w:rsidR="001A78D2" w:rsidRPr="00F95F5A">
        <w:rPr>
          <w:b/>
          <w:szCs w:val="22"/>
        </w:rPr>
        <w:t>Farmakokinetické</w:t>
      </w:r>
      <w:proofErr w:type="spellEnd"/>
      <w:r w:rsidR="001A78D2" w:rsidRPr="00F95F5A">
        <w:rPr>
          <w:b/>
          <w:szCs w:val="22"/>
        </w:rPr>
        <w:t xml:space="preserve"> vlastnosti</w:t>
      </w:r>
    </w:p>
    <w:p w:rsidR="00077463" w:rsidRPr="00F95F5A" w:rsidRDefault="00077463" w:rsidP="007D4232">
      <w:pPr>
        <w:spacing w:line="240" w:lineRule="auto"/>
        <w:rPr>
          <w:szCs w:val="22"/>
        </w:rPr>
      </w:pPr>
    </w:p>
    <w:p w:rsidR="001C3FF4" w:rsidRPr="00F95F5A" w:rsidRDefault="001C3FF4" w:rsidP="007D4232">
      <w:pPr>
        <w:pStyle w:val="Zkladntext"/>
        <w:spacing w:after="0"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Absorpcia</w:t>
      </w:r>
    </w:p>
    <w:p w:rsidR="00C71C55" w:rsidRPr="00F95F5A" w:rsidRDefault="00C71C55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Absorpcia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je závislá </w:t>
      </w:r>
      <w:r w:rsidR="00651330" w:rsidRPr="00F95F5A">
        <w:rPr>
          <w:szCs w:val="22"/>
        </w:rPr>
        <w:t>od dávky,</w:t>
      </w:r>
      <w:r w:rsidRPr="00F95F5A">
        <w:rPr>
          <w:szCs w:val="22"/>
        </w:rPr>
        <w:t xml:space="preserve"> ale </w:t>
      </w:r>
      <w:r w:rsidR="005B5DF5" w:rsidRPr="00F95F5A">
        <w:rPr>
          <w:szCs w:val="22"/>
        </w:rPr>
        <w:t>nie je</w:t>
      </w:r>
      <w:r w:rsidR="00824FB0" w:rsidRPr="00F95F5A">
        <w:rPr>
          <w:szCs w:val="22"/>
        </w:rPr>
        <w:t xml:space="preserve"> jej</w:t>
      </w:r>
      <w:r w:rsidR="005B5DF5" w:rsidRPr="00F95F5A">
        <w:rPr>
          <w:szCs w:val="22"/>
        </w:rPr>
        <w:t xml:space="preserve"> priamo úmerná</w:t>
      </w:r>
      <w:r w:rsidRPr="00F95F5A">
        <w:rPr>
          <w:szCs w:val="22"/>
        </w:rPr>
        <w:t>. Absolútna biologická dostupnosť je v rozsahu 22</w:t>
      </w:r>
      <w:r w:rsidR="007D4232" w:rsidRPr="00F95F5A">
        <w:rPr>
          <w:szCs w:val="22"/>
        </w:rPr>
        <w:t> – </w:t>
      </w:r>
      <w:r w:rsidRPr="00F95F5A">
        <w:rPr>
          <w:szCs w:val="22"/>
        </w:rPr>
        <w:t>54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 xml:space="preserve">% a príjem potravy </w:t>
      </w:r>
      <w:r w:rsidR="00B86A1D" w:rsidRPr="00F95F5A">
        <w:rPr>
          <w:szCs w:val="22"/>
        </w:rPr>
        <w:t>na ňu nemá žiadny vplyv</w:t>
      </w:r>
      <w:r w:rsidRPr="00F95F5A">
        <w:rPr>
          <w:szCs w:val="22"/>
        </w:rPr>
        <w:t>.</w:t>
      </w:r>
    </w:p>
    <w:p w:rsidR="001C3FF4" w:rsidRPr="00F95F5A" w:rsidRDefault="001C3FF4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Po perorálnom podaní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zdravým dobrovoľníkom sa najvyššie koncentrácie v sére obvykle dosahujú po 3 až 4 hodinách. Po jednorazovej perorálnej dávke 50, 100 a 200 mg boli priemerné najvyššie sérové koncentrácie 1,02, 1,46</w:t>
      </w:r>
      <w:r w:rsidR="00FA6247" w:rsidRPr="00F95F5A">
        <w:rPr>
          <w:szCs w:val="22"/>
        </w:rPr>
        <w:t>,</w:t>
      </w:r>
      <w:r w:rsidRPr="00F95F5A">
        <w:rPr>
          <w:szCs w:val="22"/>
        </w:rPr>
        <w:t xml:space="preserve"> 2,63 </w:t>
      </w:r>
      <w:r w:rsidR="00FA6247" w:rsidRPr="00F95F5A">
        <w:rPr>
          <w:szCs w:val="22"/>
        </w:rPr>
        <w:t xml:space="preserve">a 3,85 </w:t>
      </w:r>
      <w:r w:rsidRPr="00F95F5A">
        <w:rPr>
          <w:szCs w:val="22"/>
        </w:rPr>
        <w:t>mg/</w:t>
      </w:r>
      <w:r w:rsidR="002323D2" w:rsidRPr="00F95F5A">
        <w:rPr>
          <w:szCs w:val="22"/>
        </w:rPr>
        <w:t>l</w:t>
      </w:r>
      <w:r w:rsidR="000951CD" w:rsidRPr="00F95F5A">
        <w:rPr>
          <w:szCs w:val="22"/>
        </w:rPr>
        <w:t>.</w:t>
      </w:r>
    </w:p>
    <w:p w:rsidR="009F60D7" w:rsidRPr="00F95F5A" w:rsidRDefault="009F60D7" w:rsidP="002870C6">
      <w:pPr>
        <w:tabs>
          <w:tab w:val="clear" w:pos="567"/>
        </w:tabs>
        <w:spacing w:line="240" w:lineRule="auto"/>
        <w:rPr>
          <w:i/>
          <w:szCs w:val="22"/>
        </w:rPr>
      </w:pPr>
    </w:p>
    <w:p w:rsidR="001C3FF4" w:rsidRPr="00F95F5A" w:rsidRDefault="001C3FF4" w:rsidP="002870C6">
      <w:pPr>
        <w:tabs>
          <w:tab w:val="clear" w:pos="567"/>
        </w:tabs>
        <w:spacing w:line="240" w:lineRule="auto"/>
        <w:rPr>
          <w:i/>
          <w:szCs w:val="22"/>
        </w:rPr>
      </w:pPr>
      <w:r w:rsidRPr="00F95F5A">
        <w:rPr>
          <w:i/>
          <w:szCs w:val="22"/>
        </w:rPr>
        <w:t>Pediatrická populácia</w:t>
      </w:r>
    </w:p>
    <w:p w:rsidR="001C3FF4" w:rsidRPr="00F95F5A" w:rsidRDefault="00BB4ED6" w:rsidP="007D4232">
      <w:pPr>
        <w:pStyle w:val="Zkladntext"/>
        <w:spacing w:after="0"/>
        <w:rPr>
          <w:szCs w:val="22"/>
        </w:rPr>
      </w:pPr>
      <w:r w:rsidRPr="00F95F5A">
        <w:rPr>
          <w:szCs w:val="22"/>
        </w:rPr>
        <w:t xml:space="preserve">Po podaní </w:t>
      </w:r>
      <w:proofErr w:type="spellStart"/>
      <w:r w:rsidR="00412D9B" w:rsidRPr="00F95F5A">
        <w:rPr>
          <w:szCs w:val="22"/>
        </w:rPr>
        <w:t>cefixímu</w:t>
      </w:r>
      <w:proofErr w:type="spellEnd"/>
      <w:r w:rsidR="00412D9B" w:rsidRPr="00F95F5A">
        <w:rPr>
          <w:szCs w:val="22"/>
        </w:rPr>
        <w:t xml:space="preserve"> </w:t>
      </w:r>
      <w:r w:rsidRPr="00F95F5A">
        <w:rPr>
          <w:szCs w:val="22"/>
        </w:rPr>
        <w:t>deťom (do 12 rokov) v dávke 4</w:t>
      </w:r>
      <w:r w:rsidR="00BD72E0" w:rsidRPr="00F95F5A">
        <w:rPr>
          <w:szCs w:val="22"/>
        </w:rPr>
        <w:t xml:space="preserve"> </w:t>
      </w:r>
      <w:r w:rsidRPr="00F95F5A">
        <w:rPr>
          <w:szCs w:val="22"/>
        </w:rPr>
        <w:t>mg/kg</w:t>
      </w:r>
      <w:r w:rsidR="00412D9B" w:rsidRPr="00F95F5A">
        <w:rPr>
          <w:szCs w:val="22"/>
        </w:rPr>
        <w:t xml:space="preserve"> telesnej hmotnosti</w:t>
      </w:r>
      <w:r w:rsidRPr="00F95F5A">
        <w:rPr>
          <w:szCs w:val="22"/>
        </w:rPr>
        <w:t xml:space="preserve"> </w:t>
      </w:r>
      <w:r w:rsidR="00412D9B" w:rsidRPr="00F95F5A">
        <w:rPr>
          <w:szCs w:val="22"/>
        </w:rPr>
        <w:t>,</w:t>
      </w:r>
      <w:r w:rsidRPr="00F95F5A">
        <w:rPr>
          <w:szCs w:val="22"/>
        </w:rPr>
        <w:t>priemerná vrcholová sérová hladina dosiahne 1</w:t>
      </w:r>
      <w:r w:rsidR="00960C75" w:rsidRPr="00F95F5A">
        <w:rPr>
          <w:szCs w:val="22"/>
        </w:rPr>
        <w:t xml:space="preserve">,8 </w:t>
      </w:r>
      <w:proofErr w:type="spellStart"/>
      <w:r w:rsidR="00BD72E0" w:rsidRPr="00F95F5A">
        <w:rPr>
          <w:szCs w:val="22"/>
        </w:rPr>
        <w:t>μ</w:t>
      </w:r>
      <w:r w:rsidR="00960C75" w:rsidRPr="00F95F5A">
        <w:rPr>
          <w:szCs w:val="22"/>
        </w:rPr>
        <w:t>g</w:t>
      </w:r>
      <w:proofErr w:type="spellEnd"/>
      <w:r w:rsidR="00960C75" w:rsidRPr="00F95F5A">
        <w:rPr>
          <w:szCs w:val="22"/>
        </w:rPr>
        <w:t xml:space="preserve">/ml a pri dávke 8 mg/kg </w:t>
      </w:r>
      <w:r w:rsidRPr="00F95F5A">
        <w:rPr>
          <w:szCs w:val="22"/>
        </w:rPr>
        <w:t xml:space="preserve">až 3,6 </w:t>
      </w:r>
      <w:proofErr w:type="spellStart"/>
      <w:r w:rsidR="00BD72E0" w:rsidRPr="00F95F5A">
        <w:rPr>
          <w:szCs w:val="22"/>
        </w:rPr>
        <w:t>μ</w:t>
      </w:r>
      <w:r w:rsidRPr="00F95F5A">
        <w:rPr>
          <w:szCs w:val="22"/>
        </w:rPr>
        <w:t>g</w:t>
      </w:r>
      <w:proofErr w:type="spellEnd"/>
      <w:r w:rsidRPr="00F95F5A">
        <w:rPr>
          <w:szCs w:val="22"/>
        </w:rPr>
        <w:t>/ml.</w:t>
      </w:r>
    </w:p>
    <w:p w:rsidR="00BB4ED6" w:rsidRPr="00F95F5A" w:rsidRDefault="00BB4ED6" w:rsidP="007D4232">
      <w:pPr>
        <w:pStyle w:val="Zkladntext"/>
        <w:spacing w:after="0"/>
        <w:rPr>
          <w:szCs w:val="22"/>
        </w:rPr>
      </w:pPr>
    </w:p>
    <w:p w:rsidR="00530CC5" w:rsidRPr="00F95F5A" w:rsidRDefault="00530CC5" w:rsidP="002870C6">
      <w:pPr>
        <w:tabs>
          <w:tab w:val="clear" w:pos="567"/>
        </w:tabs>
        <w:spacing w:line="240" w:lineRule="auto"/>
        <w:rPr>
          <w:i/>
          <w:szCs w:val="22"/>
        </w:rPr>
      </w:pPr>
      <w:r w:rsidRPr="00F95F5A">
        <w:rPr>
          <w:i/>
          <w:szCs w:val="22"/>
        </w:rPr>
        <w:t>Starší pacienti</w:t>
      </w:r>
    </w:p>
    <w:p w:rsidR="00530CC5" w:rsidRPr="00F95F5A" w:rsidRDefault="00530CC5" w:rsidP="002870C6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Plocha pod krivkou závislosti plazmatickej koncentrácie od času (AUC) je u starších pacientov iba mierne väčšia ako u mladších. Starší pacienti môžu byť liečení rovnakými dávkami ako ostatná populácia.</w:t>
      </w:r>
    </w:p>
    <w:p w:rsidR="00530CC5" w:rsidRPr="00F95F5A" w:rsidRDefault="00530CC5" w:rsidP="007D4232">
      <w:pPr>
        <w:spacing w:line="240" w:lineRule="auto"/>
        <w:rPr>
          <w:szCs w:val="22"/>
          <w:u w:val="single"/>
        </w:rPr>
      </w:pPr>
    </w:p>
    <w:p w:rsidR="001C3FF4" w:rsidRPr="00F95F5A" w:rsidRDefault="001C3FF4" w:rsidP="00A50B4A">
      <w:pPr>
        <w:spacing w:line="240" w:lineRule="auto"/>
        <w:rPr>
          <w:szCs w:val="22"/>
        </w:rPr>
      </w:pPr>
      <w:r w:rsidRPr="00F95F5A">
        <w:rPr>
          <w:szCs w:val="22"/>
          <w:u w:val="single"/>
        </w:rPr>
        <w:t>Distribúcia</w:t>
      </w:r>
    </w:p>
    <w:p w:rsidR="005636FB" w:rsidRPr="00F95F5A" w:rsidRDefault="005636FB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Po jednorazovej perorálnej dávke 400 mg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sa dosiahnu koncentrácie v moči dlhšie ako 24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hodín, ktoré sú vyššie, ako je hodnota minimálnej inhibičnej koncentrácie (MIC) vnímavých patogénov.</w:t>
      </w:r>
    </w:p>
    <w:p w:rsidR="00065989" w:rsidRPr="00F95F5A" w:rsidRDefault="009C04E4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sa objavuje vo vysokých koncentráciách v žlči. Po podaní 2</w:t>
      </w:r>
      <w:r w:rsidR="00BD72E0" w:rsidRPr="00F95F5A">
        <w:rPr>
          <w:szCs w:val="22"/>
        </w:rPr>
        <w:t>-krát</w:t>
      </w:r>
      <w:r w:rsidRPr="00F95F5A">
        <w:rPr>
          <w:szCs w:val="22"/>
        </w:rPr>
        <w:t xml:space="preserve"> 200 mg/deň </w:t>
      </w:r>
      <w:proofErr w:type="spellStart"/>
      <w:r w:rsidRPr="00F95F5A">
        <w:rPr>
          <w:szCs w:val="22"/>
        </w:rPr>
        <w:t>cefixímu</w:t>
      </w:r>
      <w:proofErr w:type="spellEnd"/>
      <w:r w:rsidR="00065989" w:rsidRPr="00F95F5A">
        <w:rPr>
          <w:szCs w:val="22"/>
        </w:rPr>
        <w:t xml:space="preserve"> </w:t>
      </w:r>
      <w:r w:rsidRPr="00F95F5A">
        <w:rPr>
          <w:szCs w:val="22"/>
        </w:rPr>
        <w:t xml:space="preserve">počas dvoch dní pacientom čakajúcim na </w:t>
      </w:r>
      <w:proofErr w:type="spellStart"/>
      <w:r w:rsidRPr="00F95F5A">
        <w:rPr>
          <w:szCs w:val="22"/>
        </w:rPr>
        <w:t>cholecystektómiu</w:t>
      </w:r>
      <w:proofErr w:type="spellEnd"/>
      <w:r w:rsidRPr="00F95F5A">
        <w:rPr>
          <w:szCs w:val="22"/>
        </w:rPr>
        <w:t xml:space="preserve"> sa dosiahla priemerná</w:t>
      </w:r>
      <w:r w:rsidR="00543D38" w:rsidRPr="00F95F5A">
        <w:rPr>
          <w:szCs w:val="22"/>
        </w:rPr>
        <w:t xml:space="preserve"> koncentrácia v žlči 199,3</w:t>
      </w:r>
      <w:r w:rsidR="007D4232" w:rsidRPr="00F95F5A">
        <w:rPr>
          <w:szCs w:val="22"/>
        </w:rPr>
        <w:t> </w:t>
      </w:r>
      <w:proofErr w:type="spellStart"/>
      <w:r w:rsidR="00BD72E0" w:rsidRPr="00F95F5A">
        <w:rPr>
          <w:szCs w:val="22"/>
        </w:rPr>
        <w:t>μ</w:t>
      </w:r>
      <w:r w:rsidR="00543D38" w:rsidRPr="00F95F5A">
        <w:rPr>
          <w:szCs w:val="22"/>
        </w:rPr>
        <w:t>g</w:t>
      </w:r>
      <w:proofErr w:type="spellEnd"/>
      <w:r w:rsidR="00543D38" w:rsidRPr="00F95F5A">
        <w:rPr>
          <w:szCs w:val="22"/>
        </w:rPr>
        <w:t>/ml 13 až 17 hodín po poslednej dávke</w:t>
      </w:r>
      <w:r w:rsidR="00065989" w:rsidRPr="00F95F5A">
        <w:rPr>
          <w:szCs w:val="22"/>
        </w:rPr>
        <w:t>.</w:t>
      </w:r>
      <w:r w:rsidR="00543D38" w:rsidRPr="00F95F5A">
        <w:rPr>
          <w:szCs w:val="22"/>
        </w:rPr>
        <w:t xml:space="preserve"> Približne</w:t>
      </w:r>
      <w:r w:rsidR="00065989" w:rsidRPr="00F95F5A">
        <w:rPr>
          <w:szCs w:val="22"/>
        </w:rPr>
        <w:t xml:space="preserve"> 10 % </w:t>
      </w:r>
      <w:r w:rsidR="00543D38" w:rsidRPr="00F95F5A">
        <w:rPr>
          <w:szCs w:val="22"/>
        </w:rPr>
        <w:t>podanej dávky sa vylučuje do žlče.</w:t>
      </w:r>
    </w:p>
    <w:p w:rsidR="00065989" w:rsidRPr="00F95F5A" w:rsidRDefault="00543D38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Koncentrácie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boli nájdené v nasledujúcich tkanivách</w:t>
      </w:r>
      <w:r w:rsidR="001C3FF4" w:rsidRPr="00F95F5A">
        <w:rPr>
          <w:szCs w:val="22"/>
        </w:rPr>
        <w:t xml:space="preserve"> alebo orgánoch</w:t>
      </w:r>
      <w:r w:rsidRPr="00F95F5A">
        <w:rPr>
          <w:szCs w:val="22"/>
        </w:rPr>
        <w:t xml:space="preserve">: tonzily (5 hodín po podaní 4 mg/kg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boli priemerné tkanivové koncentrácie v pravej a ľavej tonzile </w:t>
      </w:r>
      <w:smartTag w:uri="urn:schemas-microsoft-com:office:smarttags" w:element="metricconverter">
        <w:smartTagPr>
          <w:attr w:name="ProductID" w:val="0,74 a"/>
        </w:smartTagPr>
        <w:r w:rsidRPr="00F95F5A">
          <w:rPr>
            <w:szCs w:val="22"/>
          </w:rPr>
          <w:t>0,74 a</w:t>
        </w:r>
      </w:smartTag>
      <w:r w:rsidRPr="00F95F5A">
        <w:rPr>
          <w:szCs w:val="22"/>
        </w:rPr>
        <w:t xml:space="preserve"> 0,53</w:t>
      </w:r>
      <w:r w:rsidR="007D4232" w:rsidRPr="00F95F5A">
        <w:rPr>
          <w:szCs w:val="22"/>
        </w:rPr>
        <w:t> </w:t>
      </w:r>
      <w:proofErr w:type="spellStart"/>
      <w:r w:rsidR="00BD72E0" w:rsidRPr="00F95F5A">
        <w:rPr>
          <w:szCs w:val="22"/>
        </w:rPr>
        <w:t>μ</w:t>
      </w:r>
      <w:r w:rsidRPr="00F95F5A">
        <w:rPr>
          <w:szCs w:val="22"/>
        </w:rPr>
        <w:t>g</w:t>
      </w:r>
      <w:proofErr w:type="spellEnd"/>
      <w:r w:rsidRPr="00F95F5A">
        <w:rPr>
          <w:szCs w:val="22"/>
        </w:rPr>
        <w:t>/g</w:t>
      </w:r>
      <w:r w:rsidR="00065989" w:rsidRPr="00F95F5A">
        <w:rPr>
          <w:szCs w:val="22"/>
        </w:rPr>
        <w:t>)</w:t>
      </w:r>
      <w:r w:rsidR="00375630" w:rsidRPr="00F95F5A">
        <w:rPr>
          <w:szCs w:val="22"/>
        </w:rPr>
        <w:t>;</w:t>
      </w:r>
      <w:r w:rsidRPr="00F95F5A">
        <w:rPr>
          <w:szCs w:val="22"/>
        </w:rPr>
        <w:t xml:space="preserve"> pľúcne tkanivo (7,8 hodín po podaní 200 mg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bola priemerná tkanivová koncentrácia 0,99 </w:t>
      </w:r>
      <w:proofErr w:type="spellStart"/>
      <w:r w:rsidR="00BD72E0" w:rsidRPr="00F95F5A">
        <w:rPr>
          <w:szCs w:val="22"/>
        </w:rPr>
        <w:t>μ</w:t>
      </w:r>
      <w:r w:rsidRPr="00F95F5A">
        <w:rPr>
          <w:szCs w:val="22"/>
        </w:rPr>
        <w:t>g</w:t>
      </w:r>
      <w:proofErr w:type="spellEnd"/>
      <w:r w:rsidRPr="00F95F5A">
        <w:rPr>
          <w:szCs w:val="22"/>
        </w:rPr>
        <w:t xml:space="preserve">/g, kým 8 hodín po podaní 400 mg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priemerná tkanivová koncentrácia </w:t>
      </w:r>
      <w:r w:rsidR="00F83218" w:rsidRPr="00F95F5A">
        <w:rPr>
          <w:szCs w:val="22"/>
        </w:rPr>
        <w:t xml:space="preserve">bola 1,76 </w:t>
      </w:r>
      <w:proofErr w:type="spellStart"/>
      <w:r w:rsidR="00BD72E0" w:rsidRPr="00F95F5A">
        <w:rPr>
          <w:szCs w:val="22"/>
        </w:rPr>
        <w:t>μ</w:t>
      </w:r>
      <w:r w:rsidR="00F83218" w:rsidRPr="00F95F5A">
        <w:rPr>
          <w:szCs w:val="22"/>
        </w:rPr>
        <w:t>g</w:t>
      </w:r>
      <w:proofErr w:type="spellEnd"/>
      <w:r w:rsidR="00F83218" w:rsidRPr="00F95F5A">
        <w:rPr>
          <w:szCs w:val="22"/>
        </w:rPr>
        <w:t xml:space="preserve">/g); výtok z </w:t>
      </w:r>
      <w:r w:rsidR="00CD4238" w:rsidRPr="00F95F5A">
        <w:rPr>
          <w:szCs w:val="22"/>
        </w:rPr>
        <w:t>ucha (2</w:t>
      </w:r>
      <w:r w:rsidR="002870C6" w:rsidRPr="00F95F5A">
        <w:rPr>
          <w:szCs w:val="22"/>
        </w:rPr>
        <w:t> – </w:t>
      </w:r>
      <w:r w:rsidR="00CD4238" w:rsidRPr="00F95F5A">
        <w:rPr>
          <w:szCs w:val="22"/>
        </w:rPr>
        <w:t>3 hodiny po podaní</w:t>
      </w:r>
      <w:r w:rsidR="00F83218" w:rsidRPr="00F95F5A">
        <w:rPr>
          <w:szCs w:val="22"/>
        </w:rPr>
        <w:t xml:space="preserve"> 100 mg </w:t>
      </w:r>
      <w:proofErr w:type="spellStart"/>
      <w:r w:rsidR="00F83218" w:rsidRPr="00F95F5A">
        <w:rPr>
          <w:szCs w:val="22"/>
        </w:rPr>
        <w:t>cefixímu</w:t>
      </w:r>
      <w:proofErr w:type="spellEnd"/>
      <w:r w:rsidR="00F83218" w:rsidRPr="00F95F5A">
        <w:rPr>
          <w:szCs w:val="22"/>
        </w:rPr>
        <w:t xml:space="preserve"> dvakrát denne počas liečby trvajúcej niekoľko dní bola</w:t>
      </w:r>
      <w:r w:rsidR="00CD4238" w:rsidRPr="00F95F5A">
        <w:rPr>
          <w:szCs w:val="22"/>
        </w:rPr>
        <w:t xml:space="preserve"> </w:t>
      </w:r>
      <w:r w:rsidR="00F83218" w:rsidRPr="00F95F5A">
        <w:rPr>
          <w:szCs w:val="22"/>
        </w:rPr>
        <w:t xml:space="preserve">koncentrácia vyššia ako 1 </w:t>
      </w:r>
      <w:proofErr w:type="spellStart"/>
      <w:r w:rsidR="00BD72E0" w:rsidRPr="00F95F5A">
        <w:rPr>
          <w:szCs w:val="22"/>
        </w:rPr>
        <w:t>μ</w:t>
      </w:r>
      <w:r w:rsidR="00F83218" w:rsidRPr="00F95F5A">
        <w:rPr>
          <w:szCs w:val="22"/>
        </w:rPr>
        <w:t>g</w:t>
      </w:r>
      <w:proofErr w:type="spellEnd"/>
      <w:r w:rsidR="00F83218" w:rsidRPr="00F95F5A">
        <w:rPr>
          <w:szCs w:val="22"/>
        </w:rPr>
        <w:t>/ml)</w:t>
      </w:r>
      <w:r w:rsidR="00375630" w:rsidRPr="00F95F5A">
        <w:rPr>
          <w:szCs w:val="22"/>
        </w:rPr>
        <w:t>;</w:t>
      </w:r>
      <w:r w:rsidR="00F83218" w:rsidRPr="00F95F5A">
        <w:rPr>
          <w:szCs w:val="22"/>
        </w:rPr>
        <w:t xml:space="preserve"> spútum (0,02</w:t>
      </w:r>
      <w:r w:rsidR="002870C6" w:rsidRPr="00F95F5A">
        <w:rPr>
          <w:szCs w:val="22"/>
        </w:rPr>
        <w:t> – </w:t>
      </w:r>
      <w:r w:rsidR="00F83218" w:rsidRPr="00F95F5A">
        <w:rPr>
          <w:szCs w:val="22"/>
        </w:rPr>
        <w:t xml:space="preserve">0,05 </w:t>
      </w:r>
      <w:proofErr w:type="spellStart"/>
      <w:r w:rsidR="00BD72E0" w:rsidRPr="00F95F5A">
        <w:rPr>
          <w:szCs w:val="22"/>
        </w:rPr>
        <w:t>μ</w:t>
      </w:r>
      <w:r w:rsidR="00F83218" w:rsidRPr="00F95F5A">
        <w:rPr>
          <w:szCs w:val="22"/>
        </w:rPr>
        <w:t>g</w:t>
      </w:r>
      <w:proofErr w:type="spellEnd"/>
      <w:r w:rsidR="00F83218" w:rsidRPr="00F95F5A">
        <w:rPr>
          <w:szCs w:val="22"/>
        </w:rPr>
        <w:t xml:space="preserve">/ml po </w:t>
      </w:r>
      <w:r w:rsidR="00065989" w:rsidRPr="00F95F5A">
        <w:rPr>
          <w:szCs w:val="22"/>
        </w:rPr>
        <w:t>100</w:t>
      </w:r>
      <w:r w:rsidR="00F83218" w:rsidRPr="00F95F5A">
        <w:rPr>
          <w:szCs w:val="22"/>
        </w:rPr>
        <w:t xml:space="preserve"> mg dávke</w:t>
      </w:r>
      <w:r w:rsidR="00065989" w:rsidRPr="00F95F5A">
        <w:rPr>
          <w:szCs w:val="22"/>
        </w:rPr>
        <w:t>).</w:t>
      </w:r>
    </w:p>
    <w:p w:rsidR="00CE4E14" w:rsidRPr="00F95F5A" w:rsidRDefault="00CE4E14" w:rsidP="007D4232">
      <w:pPr>
        <w:spacing w:line="240" w:lineRule="auto"/>
        <w:rPr>
          <w:szCs w:val="22"/>
        </w:rPr>
      </w:pPr>
    </w:p>
    <w:p w:rsidR="00CE4E14" w:rsidRPr="00F95F5A" w:rsidRDefault="00CE4E14" w:rsidP="007D4232">
      <w:pPr>
        <w:spacing w:line="240" w:lineRule="auto"/>
        <w:rPr>
          <w:szCs w:val="22"/>
          <w:u w:val="single"/>
        </w:rPr>
      </w:pPr>
      <w:proofErr w:type="spellStart"/>
      <w:r w:rsidRPr="00F95F5A">
        <w:rPr>
          <w:szCs w:val="22"/>
          <w:u w:val="single"/>
        </w:rPr>
        <w:t>Biotransformácia</w:t>
      </w:r>
      <w:proofErr w:type="spellEnd"/>
    </w:p>
    <w:p w:rsidR="00065989" w:rsidRPr="00F95F5A" w:rsidRDefault="00F83218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Neexistujú žiadne údaje týkajúce sa metabolizmu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>.</w:t>
      </w:r>
      <w:r w:rsidR="00CE4E14" w:rsidRPr="00F95F5A">
        <w:rPr>
          <w:szCs w:val="22"/>
        </w:rPr>
        <w:t xml:space="preserve"> Po perorálnom podaní zdravým dobrovoľníkom</w:t>
      </w:r>
      <w:r w:rsidR="00355682" w:rsidRPr="00F95F5A">
        <w:rPr>
          <w:szCs w:val="22"/>
        </w:rPr>
        <w:t xml:space="preserve"> </w:t>
      </w:r>
      <w:r w:rsidR="00CE4E14" w:rsidRPr="00F95F5A">
        <w:rPr>
          <w:szCs w:val="22"/>
        </w:rPr>
        <w:t xml:space="preserve">neboli nájdené v plazme ani v moči žiadne biologicky aktívne </w:t>
      </w:r>
      <w:proofErr w:type="spellStart"/>
      <w:r w:rsidR="00CE4E14" w:rsidRPr="00F95F5A">
        <w:rPr>
          <w:szCs w:val="22"/>
        </w:rPr>
        <w:t>metabolity</w:t>
      </w:r>
      <w:proofErr w:type="spellEnd"/>
      <w:r w:rsidR="00CE4E14" w:rsidRPr="00F95F5A">
        <w:rPr>
          <w:szCs w:val="22"/>
        </w:rPr>
        <w:t xml:space="preserve"> </w:t>
      </w:r>
      <w:proofErr w:type="spellStart"/>
      <w:r w:rsidR="00CE4E14" w:rsidRPr="00F95F5A">
        <w:rPr>
          <w:szCs w:val="22"/>
        </w:rPr>
        <w:t>cefixímu</w:t>
      </w:r>
      <w:proofErr w:type="spellEnd"/>
      <w:r w:rsidR="00CE4E14" w:rsidRPr="00F95F5A">
        <w:rPr>
          <w:szCs w:val="22"/>
        </w:rPr>
        <w:t>.</w:t>
      </w:r>
    </w:p>
    <w:p w:rsidR="00355682" w:rsidRPr="00F95F5A" w:rsidRDefault="00355682" w:rsidP="002870C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B2619E" w:rsidRPr="00F95F5A" w:rsidRDefault="00355682" w:rsidP="007D4232">
      <w:pPr>
        <w:tabs>
          <w:tab w:val="clear" w:pos="567"/>
        </w:tabs>
        <w:spacing w:line="240" w:lineRule="auto"/>
        <w:rPr>
          <w:b/>
          <w:szCs w:val="22"/>
        </w:rPr>
      </w:pPr>
      <w:r w:rsidRPr="00F95F5A">
        <w:rPr>
          <w:szCs w:val="22"/>
          <w:u w:val="single"/>
        </w:rPr>
        <w:t>El</w:t>
      </w:r>
      <w:r w:rsidR="00B2619E" w:rsidRPr="00F95F5A">
        <w:rPr>
          <w:szCs w:val="22"/>
          <w:u w:val="single"/>
        </w:rPr>
        <w:t>iminácia</w:t>
      </w:r>
    </w:p>
    <w:p w:rsidR="007D4232" w:rsidRPr="00F95F5A" w:rsidRDefault="00CE4E14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Vylučovací polčas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je 2 – 4 h</w:t>
      </w:r>
      <w:r w:rsidR="00654C67" w:rsidRPr="00F95F5A">
        <w:rPr>
          <w:szCs w:val="22"/>
        </w:rPr>
        <w:t>odiny, ne</w:t>
      </w:r>
      <w:r w:rsidRPr="00F95F5A">
        <w:rPr>
          <w:szCs w:val="22"/>
        </w:rPr>
        <w:t>závisí od dávky</w:t>
      </w:r>
      <w:r w:rsidR="00654C67" w:rsidRPr="00F95F5A">
        <w:rPr>
          <w:szCs w:val="22"/>
        </w:rPr>
        <w:t xml:space="preserve"> a liekovej formy</w:t>
      </w:r>
      <w:r w:rsidRPr="00F95F5A">
        <w:rPr>
          <w:szCs w:val="22"/>
        </w:rPr>
        <w:t>. 10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–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 xml:space="preserve">20 % podanej látky sa vylučuje v nezmenenej podobe močom počas prvých 24 hodín po perorálnej dávke </w:t>
      </w:r>
    </w:p>
    <w:p w:rsidR="00CE4E14" w:rsidRPr="00F95F5A" w:rsidRDefault="008D3C22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1</w:t>
      </w:r>
      <w:r w:rsidR="00CE4E14" w:rsidRPr="00F95F5A">
        <w:rPr>
          <w:szCs w:val="22"/>
        </w:rPr>
        <w:t>00</w:t>
      </w:r>
      <w:r w:rsidR="007D4232" w:rsidRPr="00F95F5A">
        <w:rPr>
          <w:szCs w:val="22"/>
        </w:rPr>
        <w:t> </w:t>
      </w:r>
      <w:r w:rsidR="00CE4E14" w:rsidRPr="00F95F5A">
        <w:rPr>
          <w:szCs w:val="22"/>
        </w:rPr>
        <w:t>–</w:t>
      </w:r>
      <w:r w:rsidR="007D4232" w:rsidRPr="00F95F5A">
        <w:rPr>
          <w:szCs w:val="22"/>
        </w:rPr>
        <w:t> </w:t>
      </w:r>
      <w:r w:rsidRPr="00F95F5A">
        <w:rPr>
          <w:szCs w:val="22"/>
        </w:rPr>
        <w:t>2</w:t>
      </w:r>
      <w:r w:rsidR="00CE4E14" w:rsidRPr="00F95F5A">
        <w:rPr>
          <w:szCs w:val="22"/>
        </w:rPr>
        <w:t xml:space="preserve">00 mg. </w:t>
      </w:r>
    </w:p>
    <w:p w:rsidR="006B50FF" w:rsidRPr="00F95F5A" w:rsidRDefault="006B50FF" w:rsidP="007D4232">
      <w:pPr>
        <w:spacing w:line="240" w:lineRule="auto"/>
        <w:rPr>
          <w:szCs w:val="22"/>
        </w:rPr>
      </w:pP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/>
          <w:iCs/>
          <w:szCs w:val="22"/>
          <w:u w:val="single"/>
        </w:rPr>
      </w:pPr>
      <w:r w:rsidRPr="00F95F5A">
        <w:rPr>
          <w:i/>
          <w:iCs/>
          <w:szCs w:val="22"/>
          <w:u w:val="single"/>
        </w:rPr>
        <w:t xml:space="preserve">Porucha funkcie obličiek </w:t>
      </w: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F95F5A">
        <w:rPr>
          <w:iCs/>
          <w:szCs w:val="22"/>
        </w:rPr>
        <w:t xml:space="preserve">Štúdie u pacientov s rôznym stupňom </w:t>
      </w:r>
      <w:proofErr w:type="spellStart"/>
      <w:r w:rsidRPr="00F95F5A">
        <w:rPr>
          <w:iCs/>
          <w:szCs w:val="22"/>
        </w:rPr>
        <w:t>renálnej</w:t>
      </w:r>
      <w:proofErr w:type="spellEnd"/>
      <w:r w:rsidRPr="00F95F5A">
        <w:rPr>
          <w:iCs/>
          <w:szCs w:val="22"/>
        </w:rPr>
        <w:t xml:space="preserve"> dysfunkcie, ktorým sa podávali jednorazové 400 mg perorálne dávky </w:t>
      </w:r>
      <w:proofErr w:type="spellStart"/>
      <w:r w:rsidRPr="00F95F5A">
        <w:rPr>
          <w:iCs/>
          <w:szCs w:val="22"/>
        </w:rPr>
        <w:t>cefixímu</w:t>
      </w:r>
      <w:proofErr w:type="spellEnd"/>
      <w:r w:rsidRPr="00F95F5A">
        <w:rPr>
          <w:iCs/>
          <w:szCs w:val="22"/>
        </w:rPr>
        <w:t xml:space="preserve">, ukázali, že polčas eliminácie, perorálny </w:t>
      </w:r>
      <w:proofErr w:type="spellStart"/>
      <w:r w:rsidRPr="00F95F5A">
        <w:rPr>
          <w:iCs/>
          <w:szCs w:val="22"/>
        </w:rPr>
        <w:t>klírens</w:t>
      </w:r>
      <w:proofErr w:type="spellEnd"/>
      <w:r w:rsidRPr="00F95F5A">
        <w:rPr>
          <w:iCs/>
          <w:szCs w:val="22"/>
        </w:rPr>
        <w:t xml:space="preserve"> (CL/F), </w:t>
      </w:r>
      <w:proofErr w:type="spellStart"/>
      <w:r w:rsidRPr="00F95F5A">
        <w:rPr>
          <w:iCs/>
          <w:szCs w:val="22"/>
        </w:rPr>
        <w:t>renálny</w:t>
      </w:r>
      <w:proofErr w:type="spellEnd"/>
      <w:r w:rsidRPr="00F95F5A">
        <w:rPr>
          <w:iCs/>
          <w:szCs w:val="22"/>
        </w:rPr>
        <w:t xml:space="preserve"> </w:t>
      </w:r>
      <w:proofErr w:type="spellStart"/>
      <w:r w:rsidRPr="00F95F5A">
        <w:rPr>
          <w:iCs/>
          <w:szCs w:val="22"/>
        </w:rPr>
        <w:t>klírens</w:t>
      </w:r>
      <w:proofErr w:type="spellEnd"/>
      <w:r w:rsidRPr="00F95F5A">
        <w:rPr>
          <w:iCs/>
          <w:szCs w:val="22"/>
        </w:rPr>
        <w:t xml:space="preserve"> a AUC boli v porovnaní so zdravými jedincami zmenené u pacientov s ťažkou obličkovou dysfunkciou (</w:t>
      </w:r>
      <w:proofErr w:type="spellStart"/>
      <w:r w:rsidRPr="00F95F5A">
        <w:rPr>
          <w:iCs/>
          <w:szCs w:val="22"/>
        </w:rPr>
        <w:t>klírens</w:t>
      </w:r>
      <w:proofErr w:type="spellEnd"/>
      <w:r w:rsidRPr="00F95F5A">
        <w:rPr>
          <w:iCs/>
          <w:szCs w:val="22"/>
        </w:rPr>
        <w:t xml:space="preserve"> </w:t>
      </w:r>
      <w:proofErr w:type="spellStart"/>
      <w:r w:rsidRPr="00F95F5A">
        <w:rPr>
          <w:iCs/>
          <w:szCs w:val="22"/>
        </w:rPr>
        <w:t>kreatinínu</w:t>
      </w:r>
      <w:proofErr w:type="spellEnd"/>
      <w:r w:rsidRPr="00F95F5A">
        <w:rPr>
          <w:iCs/>
          <w:szCs w:val="22"/>
        </w:rPr>
        <w:t xml:space="preserve"> &lt;</w:t>
      </w:r>
      <w:r w:rsidR="007D4232" w:rsidRPr="00F95F5A">
        <w:rPr>
          <w:iCs/>
          <w:szCs w:val="22"/>
        </w:rPr>
        <w:t> </w:t>
      </w:r>
      <w:r w:rsidRPr="00F95F5A">
        <w:rPr>
          <w:iCs/>
          <w:szCs w:val="22"/>
        </w:rPr>
        <w:t>20 ml/min) a u tých, ktorí boli na hemod</w:t>
      </w:r>
      <w:r w:rsidR="00CE25E2" w:rsidRPr="00F95F5A">
        <w:rPr>
          <w:iCs/>
          <w:szCs w:val="22"/>
        </w:rPr>
        <w:t>i</w:t>
      </w:r>
      <w:r w:rsidRPr="00F95F5A">
        <w:rPr>
          <w:iCs/>
          <w:szCs w:val="22"/>
        </w:rPr>
        <w:t xml:space="preserve">alýze alebo kontinuálnej ambulantnej </w:t>
      </w:r>
      <w:proofErr w:type="spellStart"/>
      <w:r w:rsidRPr="00F95F5A">
        <w:rPr>
          <w:iCs/>
          <w:szCs w:val="22"/>
        </w:rPr>
        <w:t>peritoneálnej</w:t>
      </w:r>
      <w:proofErr w:type="spellEnd"/>
      <w:r w:rsidRPr="00F95F5A">
        <w:rPr>
          <w:iCs/>
          <w:szCs w:val="22"/>
        </w:rPr>
        <w:t xml:space="preserve"> dialýze (CAPD).</w:t>
      </w: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F95F5A">
        <w:rPr>
          <w:iCs/>
          <w:szCs w:val="22"/>
        </w:rPr>
        <w:t xml:space="preserve">Tabuľka 2 </w:t>
      </w:r>
      <w:proofErr w:type="spellStart"/>
      <w:r w:rsidRPr="00F95F5A">
        <w:rPr>
          <w:iCs/>
          <w:szCs w:val="22"/>
        </w:rPr>
        <w:t>Farmakokinetické</w:t>
      </w:r>
      <w:proofErr w:type="spellEnd"/>
      <w:r w:rsidRPr="00F95F5A">
        <w:rPr>
          <w:iCs/>
          <w:szCs w:val="22"/>
        </w:rPr>
        <w:t xml:space="preserve"> vlastnosti (priemerné hodnoty) </w:t>
      </w:r>
      <w:proofErr w:type="spellStart"/>
      <w:r w:rsidRPr="00F95F5A">
        <w:rPr>
          <w:iCs/>
          <w:szCs w:val="22"/>
        </w:rPr>
        <w:t>cefixímu</w:t>
      </w:r>
      <w:proofErr w:type="spellEnd"/>
      <w:r w:rsidRPr="00F95F5A">
        <w:rPr>
          <w:iCs/>
          <w:szCs w:val="22"/>
        </w:rPr>
        <w:t xml:space="preserve"> u zdravých dobrovoľníkov a</w:t>
      </w:r>
      <w:r w:rsidR="007D4232" w:rsidRPr="00F95F5A">
        <w:rPr>
          <w:iCs/>
          <w:szCs w:val="22"/>
        </w:rPr>
        <w:t> </w:t>
      </w:r>
      <w:r w:rsidRPr="00F95F5A">
        <w:rPr>
          <w:iCs/>
          <w:szCs w:val="22"/>
        </w:rPr>
        <w:t xml:space="preserve">pacientov s rôznym stupňom </w:t>
      </w:r>
      <w:proofErr w:type="spellStart"/>
      <w:r w:rsidRPr="00F95F5A">
        <w:rPr>
          <w:iCs/>
          <w:szCs w:val="22"/>
        </w:rPr>
        <w:t>renálnej</w:t>
      </w:r>
      <w:proofErr w:type="spellEnd"/>
      <w:r w:rsidRPr="00F95F5A">
        <w:rPr>
          <w:iCs/>
          <w:szCs w:val="22"/>
        </w:rPr>
        <w:t xml:space="preserve"> dysfunkcie</w:t>
      </w: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</w:p>
    <w:tbl>
      <w:tblPr>
        <w:tblW w:w="9339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426"/>
        <w:gridCol w:w="1021"/>
        <w:gridCol w:w="1022"/>
        <w:gridCol w:w="1022"/>
        <w:gridCol w:w="1022"/>
        <w:gridCol w:w="1258"/>
        <w:gridCol w:w="1228"/>
        <w:gridCol w:w="1340"/>
      </w:tblGrid>
      <w:tr w:rsidR="00CE4E14" w:rsidRPr="00F95F5A" w:rsidTr="00A71614"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Študovaná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skupina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CL</w:t>
            </w:r>
            <w:r w:rsidRPr="00F95F5A">
              <w:rPr>
                <w:color w:val="000000"/>
                <w:szCs w:val="22"/>
                <w:vertAlign w:val="subscript"/>
                <w:lang w:val="hu-HU" w:eastAsia="hu-HU"/>
              </w:rPr>
              <w:t>Cr</w:t>
            </w:r>
            <w:proofErr w:type="spellEnd"/>
          </w:p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(ml/min/1,73 m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2</w:t>
            </w:r>
            <w:r w:rsidRPr="00F95F5A">
              <w:rPr>
                <w:color w:val="000000"/>
                <w:szCs w:val="22"/>
                <w:lang w:val="hu-HU" w:eastAsia="hu-HU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C</w:t>
            </w:r>
            <w:r w:rsidRPr="00F95F5A">
              <w:rPr>
                <w:color w:val="000000"/>
                <w:szCs w:val="22"/>
                <w:vertAlign w:val="subscript"/>
                <w:lang w:val="hu-HU" w:eastAsia="hu-HU"/>
              </w:rPr>
              <w:t>max</w:t>
            </w:r>
            <w:proofErr w:type="spellEnd"/>
            <w:r w:rsidRPr="00F95F5A">
              <w:rPr>
                <w:color w:val="000000"/>
                <w:szCs w:val="22"/>
                <w:vertAlign w:val="subscript"/>
                <w:lang w:val="hu-HU" w:eastAsia="hu-HU"/>
              </w:rPr>
              <w:t xml:space="preserve"> </w:t>
            </w:r>
            <w:r w:rsidRPr="00F95F5A">
              <w:rPr>
                <w:color w:val="000000"/>
                <w:szCs w:val="22"/>
                <w:lang w:val="hu-HU" w:eastAsia="hu-HU"/>
              </w:rPr>
              <w:t>(mg/l)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T</w:t>
            </w:r>
            <w:r w:rsidRPr="00F95F5A">
              <w:rPr>
                <w:color w:val="000000"/>
                <w:szCs w:val="22"/>
                <w:vertAlign w:val="subscript"/>
                <w:lang w:val="hu-HU" w:eastAsia="hu-HU"/>
              </w:rPr>
              <w:t>max</w:t>
            </w:r>
            <w:proofErr w:type="spellEnd"/>
          </w:p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T1/2</w:t>
            </w:r>
            <w:r w:rsidRPr="00F95F5A">
              <w:rPr>
                <w:color w:val="000000"/>
                <w:szCs w:val="22"/>
                <w:vertAlign w:val="subscript"/>
                <w:lang w:val="hu-HU" w:eastAsia="hu-HU"/>
              </w:rPr>
              <w:t>β</w:t>
            </w:r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</w:p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 xml:space="preserve">AUC </w:t>
            </w:r>
          </w:p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(mg</w:t>
            </w:r>
            <w:r w:rsidRPr="00F95F5A">
              <w:rPr>
                <w:szCs w:val="22"/>
                <w:lang w:val="hu-HU" w:eastAsia="hu-HU"/>
              </w:rPr>
              <w:t>·</w:t>
            </w:r>
            <w:r w:rsidRPr="00F95F5A">
              <w:rPr>
                <w:color w:val="000000"/>
                <w:szCs w:val="22"/>
                <w:lang w:val="hu-HU" w:eastAsia="hu-HU"/>
              </w:rPr>
              <w:t>h/l)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CL/F (ml/kg/h)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Renálny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klírens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(ml/kg/h)</w:t>
            </w:r>
          </w:p>
        </w:tc>
      </w:tr>
      <w:tr w:rsidR="00CE4E14" w:rsidRPr="00F95F5A" w:rsidTr="00A71614">
        <w:tc>
          <w:tcPr>
            <w:tcW w:w="1426" w:type="dxa"/>
            <w:tcBorders>
              <w:top w:val="single" w:sz="4" w:space="0" w:color="auto"/>
            </w:tcBorders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Zdraví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dobrovoľníci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111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3,2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141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</w:p>
        </w:tc>
        <w:tc>
          <w:tcPr>
            <w:tcW w:w="7913" w:type="dxa"/>
            <w:gridSpan w:val="7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Renálna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dysfunkcia</w:t>
            </w:r>
            <w:proofErr w:type="spellEnd"/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Veľmi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mierna</w:t>
            </w:r>
            <w:proofErr w:type="spellEnd"/>
          </w:p>
        </w:tc>
        <w:tc>
          <w:tcPr>
            <w:tcW w:w="1021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71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5,8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4,0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4,7</w:t>
            </w:r>
          </w:p>
        </w:tc>
        <w:tc>
          <w:tcPr>
            <w:tcW w:w="125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57</w:t>
            </w:r>
          </w:p>
        </w:tc>
        <w:tc>
          <w:tcPr>
            <w:tcW w:w="122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127</w:t>
            </w:r>
          </w:p>
        </w:tc>
        <w:tc>
          <w:tcPr>
            <w:tcW w:w="1340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Mierna</w:t>
            </w:r>
            <w:proofErr w:type="spellEnd"/>
          </w:p>
        </w:tc>
        <w:tc>
          <w:tcPr>
            <w:tcW w:w="1021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51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7,6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4,5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7,0</w:t>
            </w:r>
          </w:p>
        </w:tc>
        <w:tc>
          <w:tcPr>
            <w:tcW w:w="125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90</w:t>
            </w:r>
          </w:p>
        </w:tc>
        <w:tc>
          <w:tcPr>
            <w:tcW w:w="122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70</w:t>
            </w:r>
          </w:p>
        </w:tc>
        <w:tc>
          <w:tcPr>
            <w:tcW w:w="1340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10</w:t>
            </w:r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Stredne</w:t>
            </w:r>
            <w:proofErr w:type="spellEnd"/>
            <w:r w:rsidRPr="00F95F5A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ťažká</w:t>
            </w:r>
            <w:proofErr w:type="spellEnd"/>
          </w:p>
        </w:tc>
        <w:tc>
          <w:tcPr>
            <w:tcW w:w="1021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28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7,5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3,5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7,2</w:t>
            </w:r>
          </w:p>
        </w:tc>
        <w:tc>
          <w:tcPr>
            <w:tcW w:w="125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100</w:t>
            </w:r>
          </w:p>
        </w:tc>
        <w:tc>
          <w:tcPr>
            <w:tcW w:w="122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80</w:t>
            </w:r>
          </w:p>
        </w:tc>
        <w:tc>
          <w:tcPr>
            <w:tcW w:w="1340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3,7</w:t>
            </w:r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Závažná</w:t>
            </w:r>
            <w:proofErr w:type="spellEnd"/>
          </w:p>
        </w:tc>
        <w:tc>
          <w:tcPr>
            <w:tcW w:w="1021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9,8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9,6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6,0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11,5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188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41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2,1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F95F5A">
              <w:rPr>
                <w:color w:val="000000"/>
                <w:szCs w:val="22"/>
                <w:lang w:val="hu-HU" w:eastAsia="hu-HU"/>
              </w:rPr>
              <w:t>Hemodialýza</w:t>
            </w:r>
            <w:proofErr w:type="spellEnd"/>
          </w:p>
        </w:tc>
        <w:tc>
          <w:tcPr>
            <w:tcW w:w="1021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1,3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6,2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4,8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8,2</w:t>
            </w:r>
          </w:p>
        </w:tc>
        <w:tc>
          <w:tcPr>
            <w:tcW w:w="125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94</w:t>
            </w:r>
          </w:p>
        </w:tc>
        <w:tc>
          <w:tcPr>
            <w:tcW w:w="122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73</w:t>
            </w:r>
          </w:p>
        </w:tc>
        <w:tc>
          <w:tcPr>
            <w:tcW w:w="1340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0,4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CE4E14" w:rsidRPr="00F95F5A" w:rsidTr="00A71614">
        <w:tc>
          <w:tcPr>
            <w:tcW w:w="1426" w:type="dxa"/>
          </w:tcPr>
          <w:p w:rsidR="00CE4E14" w:rsidRPr="00F95F5A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CAPD</w:t>
            </w:r>
          </w:p>
        </w:tc>
        <w:tc>
          <w:tcPr>
            <w:tcW w:w="1021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3,0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10,2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5,0</w:t>
            </w:r>
          </w:p>
        </w:tc>
        <w:tc>
          <w:tcPr>
            <w:tcW w:w="1022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14,9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220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42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:rsidR="00CE4E14" w:rsidRPr="00F95F5A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F95F5A">
              <w:rPr>
                <w:color w:val="000000"/>
                <w:szCs w:val="22"/>
                <w:lang w:val="hu-HU" w:eastAsia="hu-HU"/>
              </w:rPr>
              <w:t>0,5</w:t>
            </w:r>
            <w:r w:rsidRPr="00F95F5A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</w:tbl>
    <w:p w:rsidR="00CE4E14" w:rsidRPr="00F95F5A" w:rsidRDefault="00CE4E14" w:rsidP="002870C6">
      <w:pPr>
        <w:numPr>
          <w:ilvl w:val="12"/>
          <w:numId w:val="0"/>
        </w:numPr>
        <w:ind w:right="-2"/>
        <w:rPr>
          <w:iCs/>
          <w:szCs w:val="22"/>
        </w:rPr>
      </w:pPr>
      <w:r w:rsidRPr="00F95F5A">
        <w:rPr>
          <w:iCs/>
          <w:szCs w:val="22"/>
        </w:rPr>
        <w:t>Rozdiel štatisticky významný v porovnaní so zdravými dobrovoľníkmi</w:t>
      </w: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F95F5A">
        <w:rPr>
          <w:iCs/>
          <w:szCs w:val="22"/>
        </w:rPr>
        <w:t xml:space="preserve">Skratky: </w:t>
      </w:r>
      <w:proofErr w:type="spellStart"/>
      <w:r w:rsidRPr="00F95F5A">
        <w:rPr>
          <w:iCs/>
          <w:szCs w:val="22"/>
        </w:rPr>
        <w:t>CL</w:t>
      </w:r>
      <w:r w:rsidRPr="00F95F5A">
        <w:rPr>
          <w:iCs/>
          <w:szCs w:val="22"/>
          <w:vertAlign w:val="subscript"/>
        </w:rPr>
        <w:t>Cr</w:t>
      </w:r>
      <w:proofErr w:type="spellEnd"/>
      <w:r w:rsidRPr="00F95F5A">
        <w:rPr>
          <w:iCs/>
          <w:szCs w:val="22"/>
        </w:rPr>
        <w:t xml:space="preserve"> = </w:t>
      </w:r>
      <w:proofErr w:type="spellStart"/>
      <w:r w:rsidRPr="00F95F5A">
        <w:rPr>
          <w:iCs/>
          <w:szCs w:val="22"/>
        </w:rPr>
        <w:t>klírens</w:t>
      </w:r>
      <w:proofErr w:type="spellEnd"/>
      <w:r w:rsidRPr="00F95F5A">
        <w:rPr>
          <w:iCs/>
          <w:szCs w:val="22"/>
        </w:rPr>
        <w:t xml:space="preserve"> </w:t>
      </w:r>
      <w:proofErr w:type="spellStart"/>
      <w:r w:rsidRPr="00F95F5A">
        <w:rPr>
          <w:iCs/>
          <w:szCs w:val="22"/>
        </w:rPr>
        <w:t>kreatinínu</w:t>
      </w:r>
      <w:proofErr w:type="spellEnd"/>
      <w:r w:rsidRPr="00F95F5A">
        <w:rPr>
          <w:iCs/>
          <w:szCs w:val="22"/>
        </w:rPr>
        <w:t>, T1/2</w:t>
      </w:r>
      <w:r w:rsidRPr="00F95F5A">
        <w:rPr>
          <w:iCs/>
          <w:szCs w:val="22"/>
          <w:vertAlign w:val="subscript"/>
        </w:rPr>
        <w:t>ß</w:t>
      </w:r>
      <w:r w:rsidRPr="00F95F5A">
        <w:rPr>
          <w:iCs/>
          <w:szCs w:val="22"/>
        </w:rPr>
        <w:t xml:space="preserve"> = eliminačný polčas, CL/F = perorálny </w:t>
      </w:r>
      <w:proofErr w:type="spellStart"/>
      <w:r w:rsidRPr="00F95F5A">
        <w:rPr>
          <w:iCs/>
          <w:szCs w:val="22"/>
        </w:rPr>
        <w:t>klírens</w:t>
      </w:r>
      <w:proofErr w:type="spellEnd"/>
      <w:r w:rsidRPr="00F95F5A">
        <w:rPr>
          <w:iCs/>
          <w:szCs w:val="22"/>
        </w:rPr>
        <w:t xml:space="preserve">, CAPD = kontinuálna ambulantná </w:t>
      </w:r>
      <w:proofErr w:type="spellStart"/>
      <w:r w:rsidRPr="00F95F5A">
        <w:rPr>
          <w:iCs/>
          <w:szCs w:val="22"/>
        </w:rPr>
        <w:t>peritoneálna</w:t>
      </w:r>
      <w:proofErr w:type="spellEnd"/>
      <w:r w:rsidRPr="00F95F5A">
        <w:rPr>
          <w:iCs/>
          <w:szCs w:val="22"/>
        </w:rPr>
        <w:t xml:space="preserve"> dialýza</w:t>
      </w:r>
    </w:p>
    <w:p w:rsidR="00CE4E14" w:rsidRPr="00F95F5A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F95F5A">
        <w:rPr>
          <w:iCs/>
          <w:szCs w:val="22"/>
          <w:vertAlign w:val="superscript"/>
        </w:rPr>
        <w:lastRenderedPageBreak/>
        <w:t>#</w:t>
      </w:r>
      <w:r w:rsidRPr="00F95F5A">
        <w:rPr>
          <w:iCs/>
          <w:szCs w:val="22"/>
        </w:rPr>
        <w:t>p &lt;</w:t>
      </w:r>
      <w:r w:rsidR="007D4232" w:rsidRPr="00F95F5A">
        <w:rPr>
          <w:iCs/>
          <w:szCs w:val="22"/>
        </w:rPr>
        <w:t> </w:t>
      </w:r>
      <w:r w:rsidRPr="00F95F5A">
        <w:rPr>
          <w:iCs/>
          <w:szCs w:val="22"/>
        </w:rPr>
        <w:t>0,05 v porovnaní so zdravými dobrovoľníkmi</w:t>
      </w:r>
    </w:p>
    <w:p w:rsidR="00651330" w:rsidRPr="00F95F5A" w:rsidRDefault="00651330" w:rsidP="0065133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:rsidR="00651330" w:rsidRPr="00F95F5A" w:rsidRDefault="00651330" w:rsidP="0065133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Vzťah medzi koncentráciou a účinkom (PK/PD)</w:t>
      </w:r>
    </w:p>
    <w:p w:rsidR="00651330" w:rsidRPr="00F95F5A" w:rsidRDefault="00651330" w:rsidP="00651330">
      <w:pPr>
        <w:keepNext/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Účinnosť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koreluje</w:t>
      </w:r>
      <w:proofErr w:type="spellEnd"/>
      <w:r w:rsidRPr="00F95F5A">
        <w:rPr>
          <w:szCs w:val="22"/>
        </w:rPr>
        <w:t xml:space="preserve"> s časom, kedy hladiny liečiva v sére zostávajú nad MIC (čas nad MIC) pre dotyčné baktérie.</w:t>
      </w:r>
    </w:p>
    <w:p w:rsidR="00CE4E14" w:rsidRPr="00F95F5A" w:rsidRDefault="00CE4E14" w:rsidP="007D4232">
      <w:pPr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F95F5A">
        <w:rPr>
          <w:b/>
          <w:szCs w:val="22"/>
        </w:rPr>
        <w:t>5.3</w:t>
      </w:r>
      <w:r w:rsidRPr="00F95F5A">
        <w:rPr>
          <w:b/>
          <w:szCs w:val="22"/>
        </w:rPr>
        <w:tab/>
        <w:t>Pre</w:t>
      </w:r>
      <w:r w:rsidR="00396C8B" w:rsidRPr="00F95F5A">
        <w:rPr>
          <w:b/>
          <w:szCs w:val="22"/>
        </w:rPr>
        <w:t>dklinické údaje o bezpečnosti</w:t>
      </w:r>
    </w:p>
    <w:p w:rsidR="00A27F19" w:rsidRPr="00F95F5A" w:rsidRDefault="00A27F19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651330" w:rsidRPr="00F95F5A" w:rsidRDefault="00A27F19" w:rsidP="00651330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Akútna toxicita </w:t>
      </w:r>
      <w:proofErr w:type="spellStart"/>
      <w:r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 je nízka.</w:t>
      </w:r>
    </w:p>
    <w:p w:rsidR="00651330" w:rsidRPr="00F95F5A" w:rsidRDefault="00651330" w:rsidP="00651330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Štúdie toxicity opakovaných dávok vykázali účinky na </w:t>
      </w:r>
      <w:proofErr w:type="spellStart"/>
      <w:r w:rsidRPr="00F95F5A">
        <w:rPr>
          <w:szCs w:val="22"/>
        </w:rPr>
        <w:t>gastrointestinálny</w:t>
      </w:r>
      <w:proofErr w:type="spellEnd"/>
      <w:r w:rsidRPr="00F95F5A">
        <w:rPr>
          <w:szCs w:val="22"/>
        </w:rPr>
        <w:t xml:space="preserve"> trakt a obličky spájané s látkou. Ako iné </w:t>
      </w:r>
      <w:proofErr w:type="spellStart"/>
      <w:r w:rsidRPr="00F95F5A">
        <w:rPr>
          <w:szCs w:val="22"/>
        </w:rPr>
        <w:t>cefalosporíny</w:t>
      </w:r>
      <w:proofErr w:type="spellEnd"/>
      <w:r w:rsidRPr="00F95F5A">
        <w:rPr>
          <w:szCs w:val="22"/>
        </w:rPr>
        <w:t xml:space="preserve">, aj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treba považovať za potenciálne </w:t>
      </w:r>
      <w:proofErr w:type="spellStart"/>
      <w:r w:rsidRPr="00F95F5A">
        <w:rPr>
          <w:szCs w:val="22"/>
        </w:rPr>
        <w:t>nefrotoxický</w:t>
      </w:r>
      <w:proofErr w:type="spellEnd"/>
      <w:r w:rsidRPr="00F95F5A">
        <w:rPr>
          <w:szCs w:val="22"/>
        </w:rPr>
        <w:t>.</w:t>
      </w:r>
    </w:p>
    <w:p w:rsidR="00077463" w:rsidRPr="00F95F5A" w:rsidRDefault="00077463" w:rsidP="007D4232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396C8B" w:rsidRPr="00F95F5A" w:rsidRDefault="00396C8B" w:rsidP="007D4232">
      <w:pPr>
        <w:spacing w:line="240" w:lineRule="auto"/>
        <w:rPr>
          <w:szCs w:val="22"/>
        </w:rPr>
      </w:pPr>
      <w:r w:rsidRPr="00F95F5A">
        <w:rPr>
          <w:szCs w:val="22"/>
        </w:rPr>
        <w:t>Štúdie na potkan</w:t>
      </w:r>
      <w:r w:rsidR="009F60D7" w:rsidRPr="00F95F5A">
        <w:rPr>
          <w:szCs w:val="22"/>
        </w:rPr>
        <w:t>och</w:t>
      </w:r>
      <w:r w:rsidRPr="00F95F5A">
        <w:rPr>
          <w:szCs w:val="22"/>
        </w:rPr>
        <w:t>, myši</w:t>
      </w:r>
      <w:r w:rsidR="009F60D7" w:rsidRPr="00F95F5A">
        <w:rPr>
          <w:szCs w:val="22"/>
        </w:rPr>
        <w:t>ach</w:t>
      </w:r>
      <w:r w:rsidRPr="00F95F5A">
        <w:rPr>
          <w:szCs w:val="22"/>
        </w:rPr>
        <w:t xml:space="preserve"> a</w:t>
      </w:r>
      <w:r w:rsidR="009F60D7" w:rsidRPr="00F95F5A">
        <w:rPr>
          <w:szCs w:val="22"/>
        </w:rPr>
        <w:t> </w:t>
      </w:r>
      <w:r w:rsidRPr="00F95F5A">
        <w:rPr>
          <w:szCs w:val="22"/>
        </w:rPr>
        <w:t>králik</w:t>
      </w:r>
      <w:r w:rsidR="009F60D7" w:rsidRPr="00F95F5A">
        <w:rPr>
          <w:szCs w:val="22"/>
        </w:rPr>
        <w:t xml:space="preserve">och </w:t>
      </w:r>
      <w:r w:rsidRPr="00F95F5A">
        <w:rPr>
          <w:szCs w:val="22"/>
        </w:rPr>
        <w:t>ne</w:t>
      </w:r>
      <w:r w:rsidR="009F60D7" w:rsidRPr="00F95F5A">
        <w:rPr>
          <w:szCs w:val="22"/>
        </w:rPr>
        <w:t>pre</w:t>
      </w:r>
      <w:r w:rsidRPr="00F95F5A">
        <w:rPr>
          <w:szCs w:val="22"/>
        </w:rPr>
        <w:t>ukázal</w:t>
      </w:r>
      <w:r w:rsidR="00BD72E0" w:rsidRPr="00F95F5A">
        <w:rPr>
          <w:szCs w:val="22"/>
        </w:rPr>
        <w:t>i</w:t>
      </w:r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teratogénn</w:t>
      </w:r>
      <w:r w:rsidR="009F60D7" w:rsidRPr="00F95F5A">
        <w:rPr>
          <w:szCs w:val="22"/>
        </w:rPr>
        <w:t>e</w:t>
      </w:r>
      <w:proofErr w:type="spellEnd"/>
      <w:r w:rsidR="009F60D7" w:rsidRPr="00F95F5A">
        <w:rPr>
          <w:szCs w:val="22"/>
        </w:rPr>
        <w:t xml:space="preserve"> účinky</w:t>
      </w:r>
      <w:r w:rsidR="00E57060" w:rsidRPr="00F95F5A">
        <w:rPr>
          <w:szCs w:val="22"/>
        </w:rPr>
        <w:t xml:space="preserve"> </w:t>
      </w:r>
      <w:proofErr w:type="spellStart"/>
      <w:r w:rsidR="00E57060" w:rsidRPr="00F95F5A">
        <w:rPr>
          <w:szCs w:val="22"/>
        </w:rPr>
        <w:t>cefixímu</w:t>
      </w:r>
      <w:proofErr w:type="spellEnd"/>
      <w:r w:rsidRPr="00F95F5A">
        <w:rPr>
          <w:szCs w:val="22"/>
        </w:rPr>
        <w:t xml:space="preserve">. Podobne nemal </w:t>
      </w:r>
      <w:proofErr w:type="spellStart"/>
      <w:r w:rsidRPr="00F95F5A">
        <w:rPr>
          <w:szCs w:val="22"/>
        </w:rPr>
        <w:t>cefixím</w:t>
      </w:r>
      <w:proofErr w:type="spellEnd"/>
      <w:r w:rsidRPr="00F95F5A">
        <w:rPr>
          <w:szCs w:val="22"/>
        </w:rPr>
        <w:t xml:space="preserve"> žiaden zistiteľný účinok na plodnosť potkanov alebo ich </w:t>
      </w:r>
      <w:proofErr w:type="spellStart"/>
      <w:r w:rsidRPr="00F95F5A">
        <w:rPr>
          <w:szCs w:val="22"/>
        </w:rPr>
        <w:t>peri</w:t>
      </w:r>
      <w:proofErr w:type="spellEnd"/>
      <w:r w:rsidRPr="00F95F5A">
        <w:rPr>
          <w:szCs w:val="22"/>
        </w:rPr>
        <w:t xml:space="preserve">- alebo </w:t>
      </w:r>
      <w:proofErr w:type="spellStart"/>
      <w:r w:rsidRPr="00F95F5A">
        <w:rPr>
          <w:szCs w:val="22"/>
        </w:rPr>
        <w:t>postnatálny</w:t>
      </w:r>
      <w:proofErr w:type="spellEnd"/>
      <w:r w:rsidRPr="00F95F5A">
        <w:rPr>
          <w:szCs w:val="22"/>
        </w:rPr>
        <w:t xml:space="preserve"> vývoj.</w:t>
      </w:r>
    </w:p>
    <w:p w:rsidR="009F60D7" w:rsidRPr="00F95F5A" w:rsidRDefault="009F60D7" w:rsidP="007D4232">
      <w:pPr>
        <w:spacing w:line="240" w:lineRule="auto"/>
        <w:rPr>
          <w:szCs w:val="22"/>
        </w:rPr>
      </w:pPr>
    </w:p>
    <w:p w:rsidR="00065989" w:rsidRPr="00F95F5A" w:rsidRDefault="00396C8B" w:rsidP="007D4232">
      <w:pPr>
        <w:spacing w:line="240" w:lineRule="auto"/>
        <w:rPr>
          <w:szCs w:val="22"/>
        </w:rPr>
      </w:pPr>
      <w:r w:rsidRPr="00F95F5A">
        <w:rPr>
          <w:szCs w:val="22"/>
        </w:rPr>
        <w:t>Množstvo</w:t>
      </w:r>
      <w:r w:rsidR="00065989" w:rsidRPr="00F95F5A">
        <w:rPr>
          <w:szCs w:val="22"/>
        </w:rPr>
        <w:t xml:space="preserve"> </w:t>
      </w:r>
      <w:r w:rsidR="00065989" w:rsidRPr="00F95F5A">
        <w:rPr>
          <w:i/>
          <w:szCs w:val="22"/>
        </w:rPr>
        <w:t xml:space="preserve">in </w:t>
      </w:r>
      <w:proofErr w:type="spellStart"/>
      <w:r w:rsidR="00065989" w:rsidRPr="00F95F5A">
        <w:rPr>
          <w:i/>
          <w:szCs w:val="22"/>
        </w:rPr>
        <w:t>vitro</w:t>
      </w:r>
      <w:proofErr w:type="spellEnd"/>
      <w:r w:rsidRPr="00F95F5A">
        <w:rPr>
          <w:szCs w:val="22"/>
        </w:rPr>
        <w:t xml:space="preserve"> a</w:t>
      </w:r>
      <w:r w:rsidR="00065989" w:rsidRPr="00F95F5A">
        <w:rPr>
          <w:szCs w:val="22"/>
        </w:rPr>
        <w:t xml:space="preserve"> </w:t>
      </w:r>
      <w:r w:rsidR="00065989" w:rsidRPr="00F95F5A">
        <w:rPr>
          <w:i/>
          <w:szCs w:val="22"/>
        </w:rPr>
        <w:t xml:space="preserve">in </w:t>
      </w:r>
      <w:proofErr w:type="spellStart"/>
      <w:r w:rsidR="00065989" w:rsidRPr="00F95F5A">
        <w:rPr>
          <w:i/>
          <w:szCs w:val="22"/>
        </w:rPr>
        <w:t>vivo</w:t>
      </w:r>
      <w:proofErr w:type="spellEnd"/>
      <w:r w:rsidR="00065989" w:rsidRPr="00F95F5A">
        <w:rPr>
          <w:szCs w:val="22"/>
        </w:rPr>
        <w:t xml:space="preserve"> </w:t>
      </w:r>
      <w:r w:rsidRPr="00F95F5A">
        <w:rPr>
          <w:szCs w:val="22"/>
        </w:rPr>
        <w:t xml:space="preserve">testov na </w:t>
      </w:r>
      <w:proofErr w:type="spellStart"/>
      <w:r w:rsidRPr="00F95F5A">
        <w:rPr>
          <w:szCs w:val="22"/>
        </w:rPr>
        <w:t>mutagenitu</w:t>
      </w:r>
      <w:proofErr w:type="spellEnd"/>
      <w:r w:rsidRPr="00F95F5A">
        <w:rPr>
          <w:szCs w:val="22"/>
        </w:rPr>
        <w:t xml:space="preserve"> </w:t>
      </w:r>
      <w:r w:rsidR="00C92AE9" w:rsidRPr="00F95F5A">
        <w:rPr>
          <w:szCs w:val="22"/>
        </w:rPr>
        <w:t>preukázalo</w:t>
      </w:r>
      <w:r w:rsidR="003D2B54" w:rsidRPr="00F95F5A">
        <w:rPr>
          <w:szCs w:val="22"/>
        </w:rPr>
        <w:t xml:space="preserve"> negatívne výsledky.</w:t>
      </w:r>
      <w:r w:rsidR="003E38C4" w:rsidRPr="00F95F5A">
        <w:rPr>
          <w:szCs w:val="22"/>
        </w:rPr>
        <w:t xml:space="preserve"> </w:t>
      </w:r>
      <w:r w:rsidR="003D2B54" w:rsidRPr="00F95F5A">
        <w:rPr>
          <w:szCs w:val="22"/>
        </w:rPr>
        <w:t xml:space="preserve">Nakoľko vyšetrenia </w:t>
      </w:r>
      <w:proofErr w:type="spellStart"/>
      <w:r w:rsidR="003D2B54" w:rsidRPr="00F95F5A">
        <w:rPr>
          <w:szCs w:val="22"/>
        </w:rPr>
        <w:t>mutagenity</w:t>
      </w:r>
      <w:proofErr w:type="spellEnd"/>
      <w:r w:rsidR="003D2B54" w:rsidRPr="00F95F5A">
        <w:rPr>
          <w:szCs w:val="22"/>
        </w:rPr>
        <w:t xml:space="preserve"> a dlhodobé toxikologické štúdie na potkanoch nepriniesli dôkazy o karcinogénnom </w:t>
      </w:r>
      <w:proofErr w:type="spellStart"/>
      <w:r w:rsidR="003D2B54" w:rsidRPr="00F95F5A">
        <w:rPr>
          <w:szCs w:val="22"/>
        </w:rPr>
        <w:t>potenciále</w:t>
      </w:r>
      <w:proofErr w:type="spellEnd"/>
      <w:r w:rsidR="003D2B54" w:rsidRPr="00F95F5A">
        <w:rPr>
          <w:szCs w:val="22"/>
        </w:rPr>
        <w:t xml:space="preserve"> a </w:t>
      </w:r>
      <w:proofErr w:type="spellStart"/>
      <w:r w:rsidR="003D2B54" w:rsidRPr="00F95F5A">
        <w:rPr>
          <w:szCs w:val="22"/>
        </w:rPr>
        <w:t>cefixím</w:t>
      </w:r>
      <w:proofErr w:type="spellEnd"/>
      <w:r w:rsidR="003D2B54" w:rsidRPr="00F95F5A">
        <w:rPr>
          <w:szCs w:val="22"/>
        </w:rPr>
        <w:t xml:space="preserve"> sa zvyčajne nepoužíva na dlhodobú liečbu, neboli vykonané žiadne dlhodobé štúdie karcinogenity.</w:t>
      </w: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6B27B2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F95F5A">
        <w:rPr>
          <w:b/>
          <w:szCs w:val="22"/>
        </w:rPr>
        <w:t>6.</w:t>
      </w:r>
      <w:r w:rsidRPr="00F95F5A">
        <w:rPr>
          <w:b/>
          <w:szCs w:val="22"/>
        </w:rPr>
        <w:tab/>
        <w:t>FARMACEUTICKÉ INFORMÁCIE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6.1</w:t>
      </w:r>
      <w:r w:rsidRPr="00F95F5A">
        <w:rPr>
          <w:b/>
          <w:szCs w:val="22"/>
        </w:rPr>
        <w:tab/>
      </w:r>
      <w:r w:rsidR="006B27B2" w:rsidRPr="00F95F5A">
        <w:rPr>
          <w:b/>
          <w:szCs w:val="22"/>
        </w:rPr>
        <w:t>Zoznam pomocných látok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C1059" w:rsidRPr="00F95F5A" w:rsidRDefault="006B27B2" w:rsidP="007D4232">
      <w:pPr>
        <w:spacing w:line="240" w:lineRule="auto"/>
        <w:rPr>
          <w:szCs w:val="22"/>
          <w:u w:val="single"/>
        </w:rPr>
      </w:pPr>
      <w:r w:rsidRPr="00F95F5A">
        <w:rPr>
          <w:szCs w:val="22"/>
          <w:u w:val="single"/>
        </w:rPr>
        <w:t>Jadro tablety</w:t>
      </w:r>
      <w:r w:rsidR="004C1059" w:rsidRPr="00F95F5A">
        <w:rPr>
          <w:szCs w:val="22"/>
          <w:u w:val="single"/>
        </w:rPr>
        <w:t>:</w:t>
      </w:r>
    </w:p>
    <w:p w:rsidR="00D409AE" w:rsidRPr="00F95F5A" w:rsidRDefault="0010141B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magnéziumstearát</w:t>
      </w:r>
      <w:proofErr w:type="spellEnd"/>
    </w:p>
    <w:p w:rsidR="00D409AE" w:rsidRPr="00F95F5A" w:rsidRDefault="0010141B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predželatinovaný</w:t>
      </w:r>
      <w:proofErr w:type="spellEnd"/>
      <w:r w:rsidRPr="00F95F5A">
        <w:rPr>
          <w:szCs w:val="22"/>
        </w:rPr>
        <w:t xml:space="preserve"> škrob</w:t>
      </w:r>
    </w:p>
    <w:p w:rsidR="00D409AE" w:rsidRPr="00F95F5A" w:rsidRDefault="00525878" w:rsidP="007D4232">
      <w:pPr>
        <w:spacing w:line="240" w:lineRule="auto"/>
        <w:rPr>
          <w:szCs w:val="22"/>
        </w:rPr>
      </w:pPr>
      <w:r w:rsidRPr="00F95F5A">
        <w:rPr>
          <w:szCs w:val="22"/>
        </w:rPr>
        <w:t>mikrokryštalická celulóza</w:t>
      </w:r>
    </w:p>
    <w:p w:rsidR="007D4232" w:rsidRPr="00F95F5A" w:rsidRDefault="0010141B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dihydrát</w:t>
      </w:r>
      <w:proofErr w:type="spellEnd"/>
      <w:r w:rsidRPr="00F95F5A">
        <w:rPr>
          <w:szCs w:val="22"/>
        </w:rPr>
        <w:t xml:space="preserve"> fosforečnanu vápenatého</w:t>
      </w:r>
    </w:p>
    <w:p w:rsidR="00FF7D58" w:rsidRPr="00F95F5A" w:rsidRDefault="00FF7D58" w:rsidP="007D4232">
      <w:pPr>
        <w:spacing w:line="240" w:lineRule="auto"/>
        <w:rPr>
          <w:szCs w:val="22"/>
        </w:rPr>
      </w:pPr>
    </w:p>
    <w:p w:rsidR="00FF7D58" w:rsidRPr="00F95F5A" w:rsidRDefault="006B27B2" w:rsidP="007D4232">
      <w:pPr>
        <w:spacing w:line="240" w:lineRule="auto"/>
        <w:rPr>
          <w:szCs w:val="22"/>
          <w:u w:val="single"/>
        </w:rPr>
      </w:pPr>
      <w:proofErr w:type="spellStart"/>
      <w:r w:rsidRPr="00F95F5A">
        <w:rPr>
          <w:szCs w:val="22"/>
          <w:u w:val="single"/>
        </w:rPr>
        <w:t>Filmotvorný</w:t>
      </w:r>
      <w:proofErr w:type="spellEnd"/>
      <w:r w:rsidRPr="00F95F5A">
        <w:rPr>
          <w:szCs w:val="22"/>
          <w:u w:val="single"/>
        </w:rPr>
        <w:t xml:space="preserve"> poťah</w:t>
      </w:r>
      <w:r w:rsidR="00FF7D58" w:rsidRPr="00F95F5A">
        <w:rPr>
          <w:szCs w:val="22"/>
          <w:u w:val="single"/>
        </w:rPr>
        <w:t>:</w:t>
      </w:r>
    </w:p>
    <w:p w:rsidR="00D409AE" w:rsidRPr="00F95F5A" w:rsidRDefault="00092296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nátriumlaurylsulfát</w:t>
      </w:r>
      <w:proofErr w:type="spellEnd"/>
    </w:p>
    <w:p w:rsidR="00D409AE" w:rsidRPr="00F95F5A" w:rsidRDefault="00092296" w:rsidP="007D4232">
      <w:pPr>
        <w:spacing w:line="240" w:lineRule="auto"/>
        <w:rPr>
          <w:szCs w:val="22"/>
        </w:rPr>
      </w:pPr>
      <w:r w:rsidRPr="00F95F5A">
        <w:rPr>
          <w:szCs w:val="22"/>
        </w:rPr>
        <w:t>ľahký tekutý parafín</w:t>
      </w:r>
    </w:p>
    <w:p w:rsidR="00D409AE" w:rsidRPr="00F95F5A" w:rsidRDefault="00092296" w:rsidP="007D4232">
      <w:pPr>
        <w:spacing w:line="240" w:lineRule="auto"/>
        <w:rPr>
          <w:szCs w:val="22"/>
        </w:rPr>
      </w:pPr>
      <w:r w:rsidRPr="00F95F5A">
        <w:rPr>
          <w:szCs w:val="22"/>
        </w:rPr>
        <w:t xml:space="preserve">oxid </w:t>
      </w:r>
      <w:proofErr w:type="spellStart"/>
      <w:r w:rsidRPr="00F95F5A">
        <w:rPr>
          <w:szCs w:val="22"/>
        </w:rPr>
        <w:t>titaničitý</w:t>
      </w:r>
      <w:proofErr w:type="spellEnd"/>
      <w:r w:rsidR="00FF7D58" w:rsidRPr="00F95F5A">
        <w:rPr>
          <w:szCs w:val="22"/>
        </w:rPr>
        <w:t xml:space="preserve"> (E 171)</w:t>
      </w:r>
    </w:p>
    <w:p w:rsidR="004C1059" w:rsidRPr="00F95F5A" w:rsidRDefault="00092296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hypromelóza</w:t>
      </w:r>
      <w:proofErr w:type="spellEnd"/>
      <w:r w:rsidR="004C1059" w:rsidRPr="00F95F5A">
        <w:rPr>
          <w:szCs w:val="22"/>
        </w:rPr>
        <w:t xml:space="preserve"> </w:t>
      </w:r>
    </w:p>
    <w:p w:rsidR="00FF7D58" w:rsidRPr="00F95F5A" w:rsidRDefault="00FF7D58" w:rsidP="007D4232">
      <w:pPr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6.2</w:t>
      </w:r>
      <w:r w:rsidRPr="00F95F5A">
        <w:rPr>
          <w:b/>
          <w:szCs w:val="22"/>
        </w:rPr>
        <w:tab/>
        <w:t>In</w:t>
      </w:r>
      <w:r w:rsidR="00C368A4" w:rsidRPr="00F95F5A">
        <w:rPr>
          <w:b/>
          <w:szCs w:val="22"/>
        </w:rPr>
        <w:t>kompatibility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C368A4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Neaplikovateľné</w:t>
      </w:r>
      <w:r w:rsidR="00077463" w:rsidRPr="00F95F5A">
        <w:rPr>
          <w:szCs w:val="22"/>
        </w:rPr>
        <w:t>.</w:t>
      </w:r>
    </w:p>
    <w:p w:rsidR="00FF7D58" w:rsidRPr="00F95F5A" w:rsidRDefault="00FF7D58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6.3</w:t>
      </w:r>
      <w:r w:rsidRPr="00F95F5A">
        <w:rPr>
          <w:b/>
          <w:szCs w:val="22"/>
        </w:rPr>
        <w:tab/>
      </w:r>
      <w:r w:rsidR="00C368A4" w:rsidRPr="00F95F5A">
        <w:rPr>
          <w:b/>
          <w:szCs w:val="22"/>
        </w:rPr>
        <w:t>Čas použiteľnosti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7A59A8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2 roky</w:t>
      </w:r>
    </w:p>
    <w:p w:rsidR="004F34A7" w:rsidRPr="00F95F5A" w:rsidRDefault="004F34A7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6.4</w:t>
      </w:r>
      <w:r w:rsidRPr="00F95F5A">
        <w:rPr>
          <w:b/>
          <w:szCs w:val="22"/>
        </w:rPr>
        <w:tab/>
      </w:r>
      <w:r w:rsidR="007A59A8" w:rsidRPr="00F95F5A">
        <w:rPr>
          <w:b/>
          <w:szCs w:val="22"/>
        </w:rPr>
        <w:t>Špeciálne upozornenia na uchovávanie</w:t>
      </w:r>
    </w:p>
    <w:p w:rsidR="00536254" w:rsidRPr="00F95F5A" w:rsidRDefault="00536254" w:rsidP="007D4232">
      <w:pPr>
        <w:tabs>
          <w:tab w:val="clear" w:pos="567"/>
        </w:tabs>
        <w:spacing w:line="240" w:lineRule="auto"/>
        <w:rPr>
          <w:szCs w:val="22"/>
        </w:rPr>
      </w:pPr>
    </w:p>
    <w:p w:rsidR="00FF7D58" w:rsidRPr="00F95F5A" w:rsidRDefault="00C67E1D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U</w:t>
      </w:r>
      <w:r w:rsidR="007A59A8" w:rsidRPr="00F95F5A">
        <w:rPr>
          <w:szCs w:val="22"/>
        </w:rPr>
        <w:t>chovávajte pri teplote n</w:t>
      </w:r>
      <w:r w:rsidRPr="00F95F5A">
        <w:rPr>
          <w:szCs w:val="22"/>
        </w:rPr>
        <w:t>eprevyšujúcej</w:t>
      </w:r>
      <w:r w:rsidR="00FF7D58" w:rsidRPr="00F95F5A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F7D58" w:rsidRPr="00F95F5A">
          <w:rPr>
            <w:szCs w:val="22"/>
          </w:rPr>
          <w:t>25</w:t>
        </w:r>
        <w:r w:rsidR="00536254" w:rsidRPr="00F95F5A">
          <w:rPr>
            <w:szCs w:val="22"/>
          </w:rPr>
          <w:t xml:space="preserve"> </w:t>
        </w:r>
        <w:r w:rsidR="00FF7D58" w:rsidRPr="00F95F5A">
          <w:rPr>
            <w:szCs w:val="22"/>
          </w:rPr>
          <w:t>°C</w:t>
        </w:r>
      </w:smartTag>
      <w:r w:rsidR="00FF7D58" w:rsidRPr="00F95F5A">
        <w:rPr>
          <w:szCs w:val="22"/>
        </w:rPr>
        <w:t>.</w:t>
      </w:r>
    </w:p>
    <w:p w:rsidR="00FF7D58" w:rsidRPr="00F95F5A" w:rsidRDefault="00FF7D58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6.5</w:t>
      </w:r>
      <w:r w:rsidRPr="00F95F5A">
        <w:rPr>
          <w:b/>
          <w:szCs w:val="22"/>
        </w:rPr>
        <w:tab/>
      </w:r>
      <w:r w:rsidR="00A86640" w:rsidRPr="00F95F5A">
        <w:rPr>
          <w:b/>
          <w:szCs w:val="22"/>
        </w:rPr>
        <w:t>Druh obalu a obsah balenia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FF7D58" w:rsidRPr="00F95F5A" w:rsidRDefault="00FF7D58" w:rsidP="007D4232">
      <w:pPr>
        <w:spacing w:line="240" w:lineRule="auto"/>
        <w:rPr>
          <w:szCs w:val="22"/>
        </w:rPr>
      </w:pPr>
    </w:p>
    <w:p w:rsidR="002E128D" w:rsidRPr="00F95F5A" w:rsidRDefault="00A86640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10 filmom obalených tabliet v</w:t>
      </w:r>
      <w:r w:rsidR="00F5579B" w:rsidRPr="00F95F5A">
        <w:rPr>
          <w:szCs w:val="22"/>
        </w:rPr>
        <w:t xml:space="preserve"> </w:t>
      </w:r>
      <w:r w:rsidRPr="00F95F5A">
        <w:rPr>
          <w:szCs w:val="22"/>
        </w:rPr>
        <w:t>PVC/PVDC/</w:t>
      </w:r>
      <w:proofErr w:type="spellStart"/>
      <w:r w:rsidR="009A4612" w:rsidRPr="00F95F5A">
        <w:rPr>
          <w:szCs w:val="22"/>
        </w:rPr>
        <w:t>Al</w:t>
      </w:r>
      <w:proofErr w:type="spellEnd"/>
      <w:r w:rsidR="009A4612" w:rsidRPr="00F95F5A">
        <w:rPr>
          <w:szCs w:val="22"/>
        </w:rPr>
        <w:t xml:space="preserve"> </w:t>
      </w:r>
      <w:proofErr w:type="spellStart"/>
      <w:r w:rsidR="009A4612" w:rsidRPr="00F95F5A">
        <w:rPr>
          <w:szCs w:val="22"/>
        </w:rPr>
        <w:t>blistri</w:t>
      </w:r>
      <w:proofErr w:type="spellEnd"/>
      <w:r w:rsidR="009A4612" w:rsidRPr="00F95F5A">
        <w:rPr>
          <w:szCs w:val="22"/>
        </w:rPr>
        <w:t xml:space="preserve"> a papierová škatuľa</w:t>
      </w:r>
      <w:r w:rsidR="00F5579B" w:rsidRPr="00F95F5A">
        <w:rPr>
          <w:szCs w:val="22"/>
        </w:rPr>
        <w:t>.</w:t>
      </w:r>
    </w:p>
    <w:p w:rsidR="006C7511" w:rsidRPr="00F95F5A" w:rsidRDefault="006C7511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20 fil</w:t>
      </w:r>
      <w:r w:rsidR="00A86640" w:rsidRPr="00F95F5A">
        <w:rPr>
          <w:szCs w:val="22"/>
        </w:rPr>
        <w:t>mom obalených tabliet v PVC/PVDC/</w:t>
      </w:r>
      <w:proofErr w:type="spellStart"/>
      <w:r w:rsidR="00A86640" w:rsidRPr="00F95F5A">
        <w:rPr>
          <w:szCs w:val="22"/>
        </w:rPr>
        <w:t>Al</w:t>
      </w:r>
      <w:proofErr w:type="spellEnd"/>
      <w:r w:rsidR="00A86640" w:rsidRPr="00F95F5A">
        <w:rPr>
          <w:szCs w:val="22"/>
        </w:rPr>
        <w:t xml:space="preserve"> </w:t>
      </w:r>
      <w:proofErr w:type="spellStart"/>
      <w:r w:rsidR="00A86640" w:rsidRPr="00F95F5A">
        <w:rPr>
          <w:szCs w:val="22"/>
        </w:rPr>
        <w:t>blistri</w:t>
      </w:r>
      <w:proofErr w:type="spellEnd"/>
      <w:r w:rsidR="00A86640" w:rsidRPr="00F95F5A">
        <w:rPr>
          <w:szCs w:val="22"/>
        </w:rPr>
        <w:t xml:space="preserve"> a</w:t>
      </w:r>
      <w:r w:rsidR="009A4612" w:rsidRPr="00F95F5A">
        <w:rPr>
          <w:szCs w:val="22"/>
        </w:rPr>
        <w:t xml:space="preserve"> papierová škatuľa</w:t>
      </w:r>
      <w:r w:rsidRPr="00F95F5A">
        <w:rPr>
          <w:szCs w:val="22"/>
        </w:rPr>
        <w:t>.</w:t>
      </w:r>
    </w:p>
    <w:p w:rsidR="002E128D" w:rsidRPr="00F95F5A" w:rsidRDefault="002E128D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6.6</w:t>
      </w:r>
      <w:r w:rsidRPr="00F95F5A">
        <w:rPr>
          <w:b/>
          <w:szCs w:val="22"/>
        </w:rPr>
        <w:tab/>
      </w:r>
      <w:r w:rsidR="001333A7" w:rsidRPr="00F95F5A">
        <w:rPr>
          <w:b/>
          <w:szCs w:val="22"/>
        </w:rPr>
        <w:t>Špeciálne opatrenia na likvidáciu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DA6D03" w:rsidRPr="00F95F5A" w:rsidRDefault="001333A7" w:rsidP="007D4232">
      <w:pPr>
        <w:pStyle w:val="Default"/>
        <w:rPr>
          <w:color w:val="auto"/>
          <w:sz w:val="22"/>
          <w:szCs w:val="22"/>
          <w:lang w:val="sk-SK"/>
        </w:rPr>
      </w:pPr>
      <w:r w:rsidRPr="00F95F5A">
        <w:rPr>
          <w:color w:val="auto"/>
          <w:sz w:val="22"/>
          <w:szCs w:val="22"/>
          <w:lang w:val="sk-SK"/>
        </w:rPr>
        <w:t>Nepoužitý liek alebo odpad vzniknutý z lieku má byť zlikvidovaný v súlade s národnými požiadavkami.</w:t>
      </w:r>
      <w:r w:rsidR="00DA6D03" w:rsidRPr="00F95F5A">
        <w:rPr>
          <w:color w:val="auto"/>
          <w:sz w:val="22"/>
          <w:szCs w:val="22"/>
          <w:lang w:val="sk-SK"/>
        </w:rPr>
        <w:t xml:space="preserve"> </w:t>
      </w:r>
    </w:p>
    <w:p w:rsidR="004F34A7" w:rsidRPr="00F95F5A" w:rsidRDefault="004F34A7" w:rsidP="007D4232">
      <w:pPr>
        <w:spacing w:line="240" w:lineRule="auto"/>
        <w:rPr>
          <w:szCs w:val="22"/>
        </w:rPr>
      </w:pPr>
    </w:p>
    <w:p w:rsidR="00077463" w:rsidRPr="00F95F5A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7.</w:t>
      </w:r>
      <w:r w:rsidRPr="00F95F5A">
        <w:rPr>
          <w:b/>
          <w:szCs w:val="22"/>
        </w:rPr>
        <w:tab/>
      </w:r>
      <w:r w:rsidR="00CA0DCB" w:rsidRPr="00F95F5A">
        <w:rPr>
          <w:b/>
          <w:szCs w:val="22"/>
        </w:rPr>
        <w:t>DRŽITEĽ ROZHODNUTIA O REGISTRÁCII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860D2F" w:rsidRPr="00F95F5A" w:rsidRDefault="002E128D" w:rsidP="007D4232">
      <w:pPr>
        <w:spacing w:line="240" w:lineRule="auto"/>
        <w:rPr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F95F5A">
          <w:rPr>
            <w:szCs w:val="22"/>
          </w:rPr>
          <w:t>Gedeon</w:t>
        </w:r>
        <w:proofErr w:type="spellEnd"/>
        <w:r w:rsidRPr="00F95F5A">
          <w:rPr>
            <w:szCs w:val="22"/>
          </w:rPr>
          <w:t xml:space="preserve"> Richter</w:t>
        </w:r>
      </w:smartTag>
      <w:r w:rsidRPr="00F95F5A">
        <w:rPr>
          <w:szCs w:val="22"/>
        </w:rPr>
        <w:t xml:space="preserve"> </w:t>
      </w:r>
      <w:proofErr w:type="spellStart"/>
      <w:r w:rsidR="006C7511" w:rsidRPr="00F95F5A">
        <w:rPr>
          <w:szCs w:val="22"/>
        </w:rPr>
        <w:t>Plc</w:t>
      </w:r>
      <w:proofErr w:type="spellEnd"/>
      <w:r w:rsidR="00860D2F" w:rsidRPr="00F95F5A">
        <w:rPr>
          <w:szCs w:val="22"/>
        </w:rPr>
        <w:t>.</w:t>
      </w:r>
    </w:p>
    <w:p w:rsidR="00860D2F" w:rsidRPr="00F95F5A" w:rsidRDefault="00CA0DCB" w:rsidP="007D4232">
      <w:pPr>
        <w:spacing w:line="240" w:lineRule="auto"/>
        <w:rPr>
          <w:szCs w:val="22"/>
        </w:rPr>
      </w:pPr>
      <w:r w:rsidRPr="00F95F5A">
        <w:rPr>
          <w:szCs w:val="22"/>
        </w:rPr>
        <w:t>H-1103 Budapešť</w:t>
      </w:r>
    </w:p>
    <w:p w:rsidR="00860D2F" w:rsidRPr="00F95F5A" w:rsidRDefault="002E128D" w:rsidP="007D4232">
      <w:pPr>
        <w:spacing w:line="240" w:lineRule="auto"/>
        <w:rPr>
          <w:szCs w:val="22"/>
        </w:rPr>
      </w:pPr>
      <w:proofErr w:type="spellStart"/>
      <w:r w:rsidRPr="00F95F5A">
        <w:rPr>
          <w:szCs w:val="22"/>
        </w:rPr>
        <w:t>Gyömrői</w:t>
      </w:r>
      <w:proofErr w:type="spellEnd"/>
      <w:r w:rsidRPr="00F95F5A">
        <w:rPr>
          <w:szCs w:val="22"/>
        </w:rPr>
        <w:t xml:space="preserve"> </w:t>
      </w:r>
      <w:proofErr w:type="spellStart"/>
      <w:r w:rsidRPr="00F95F5A">
        <w:rPr>
          <w:szCs w:val="22"/>
        </w:rPr>
        <w:t>út</w:t>
      </w:r>
      <w:proofErr w:type="spellEnd"/>
      <w:r w:rsidRPr="00F95F5A">
        <w:rPr>
          <w:szCs w:val="22"/>
        </w:rPr>
        <w:t xml:space="preserve"> 19-21.</w:t>
      </w:r>
    </w:p>
    <w:p w:rsidR="002E128D" w:rsidRPr="00F95F5A" w:rsidRDefault="00CA0DCB" w:rsidP="007D4232">
      <w:pPr>
        <w:spacing w:line="240" w:lineRule="auto"/>
        <w:rPr>
          <w:szCs w:val="22"/>
        </w:rPr>
      </w:pPr>
      <w:r w:rsidRPr="00F95F5A">
        <w:rPr>
          <w:szCs w:val="22"/>
        </w:rPr>
        <w:t>Maďarsko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F95F5A" w:rsidRDefault="00CA0DCB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F95F5A">
        <w:rPr>
          <w:b/>
          <w:szCs w:val="22"/>
        </w:rPr>
        <w:t>8.</w:t>
      </w:r>
      <w:r w:rsidRPr="00F95F5A">
        <w:rPr>
          <w:b/>
          <w:szCs w:val="22"/>
        </w:rPr>
        <w:tab/>
        <w:t>REGISTRAČNÉ ČÍSLO</w:t>
      </w:r>
      <w:r w:rsidR="00077463" w:rsidRPr="00F95F5A">
        <w:rPr>
          <w:b/>
          <w:szCs w:val="22"/>
        </w:rPr>
        <w:t xml:space="preserve"> 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077" w:rsidRPr="00F95F5A" w:rsidRDefault="003E6DE9" w:rsidP="007D4232">
      <w:pPr>
        <w:spacing w:line="240" w:lineRule="auto"/>
        <w:rPr>
          <w:szCs w:val="22"/>
        </w:rPr>
      </w:pPr>
      <w:r w:rsidRPr="00F95F5A">
        <w:rPr>
          <w:szCs w:val="22"/>
        </w:rPr>
        <w:t>15/</w:t>
      </w:r>
      <w:r w:rsidR="007E333C" w:rsidRPr="00F95F5A">
        <w:rPr>
          <w:szCs w:val="22"/>
        </w:rPr>
        <w:t>0809/95-S</w:t>
      </w:r>
    </w:p>
    <w:p w:rsidR="00AC0077" w:rsidRPr="00F95F5A" w:rsidRDefault="00AC0077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2E128D" w:rsidRPr="00F95F5A" w:rsidRDefault="002E128D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F95F5A" w:rsidRDefault="008E45EE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95F5A">
        <w:rPr>
          <w:b/>
          <w:szCs w:val="22"/>
        </w:rPr>
        <w:t>9.</w:t>
      </w:r>
      <w:r w:rsidRPr="00F95F5A">
        <w:rPr>
          <w:b/>
          <w:szCs w:val="22"/>
        </w:rPr>
        <w:tab/>
        <w:t>DÁTUM PRVEJ REGISTRÁCIE</w:t>
      </w:r>
      <w:r w:rsidR="00077463" w:rsidRPr="00F95F5A">
        <w:rPr>
          <w:b/>
          <w:szCs w:val="22"/>
        </w:rPr>
        <w:t>/</w:t>
      </w:r>
      <w:r w:rsidRPr="00F95F5A">
        <w:rPr>
          <w:b/>
          <w:szCs w:val="22"/>
        </w:rPr>
        <w:t>PREDĹŽENIA REGISTRÁCIE</w:t>
      </w:r>
    </w:p>
    <w:p w:rsidR="00077463" w:rsidRPr="00F95F5A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2E128D" w:rsidRPr="00F95F5A" w:rsidRDefault="00CA0DCB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Dátum prvej registrácie</w:t>
      </w:r>
      <w:r w:rsidR="00A9057E" w:rsidRPr="00F95F5A">
        <w:rPr>
          <w:szCs w:val="22"/>
        </w:rPr>
        <w:t xml:space="preserve">: </w:t>
      </w:r>
      <w:r w:rsidR="007E333C" w:rsidRPr="00F95F5A">
        <w:rPr>
          <w:szCs w:val="22"/>
        </w:rPr>
        <w:t>d</w:t>
      </w:r>
      <w:r w:rsidR="003E6DE9" w:rsidRPr="00F95F5A">
        <w:rPr>
          <w:szCs w:val="22"/>
        </w:rPr>
        <w:t>ecember 199</w:t>
      </w:r>
      <w:r w:rsidR="007E333C" w:rsidRPr="00F95F5A">
        <w:rPr>
          <w:szCs w:val="22"/>
        </w:rPr>
        <w:t>5</w:t>
      </w:r>
    </w:p>
    <w:p w:rsidR="00A9057E" w:rsidRPr="00F95F5A" w:rsidRDefault="00CA0DCB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 xml:space="preserve">Dátum </w:t>
      </w:r>
      <w:r w:rsidR="002870C6" w:rsidRPr="00F95F5A">
        <w:rPr>
          <w:szCs w:val="22"/>
        </w:rPr>
        <w:t xml:space="preserve">posledného </w:t>
      </w:r>
      <w:r w:rsidRPr="00F95F5A">
        <w:rPr>
          <w:szCs w:val="22"/>
        </w:rPr>
        <w:t>predĺženia registrácie</w:t>
      </w:r>
      <w:r w:rsidR="00A9057E" w:rsidRPr="00F95F5A">
        <w:rPr>
          <w:szCs w:val="22"/>
        </w:rPr>
        <w:t xml:space="preserve">: </w:t>
      </w:r>
      <w:r w:rsidR="007E333C" w:rsidRPr="00F95F5A">
        <w:rPr>
          <w:szCs w:val="22"/>
        </w:rPr>
        <w:t>máj 2007</w:t>
      </w:r>
    </w:p>
    <w:p w:rsidR="00A74020" w:rsidRPr="00F95F5A" w:rsidRDefault="00A74020" w:rsidP="007D4232">
      <w:pPr>
        <w:tabs>
          <w:tab w:val="clear" w:pos="567"/>
        </w:tabs>
        <w:spacing w:line="240" w:lineRule="auto"/>
        <w:rPr>
          <w:i/>
          <w:szCs w:val="22"/>
        </w:rPr>
      </w:pPr>
    </w:p>
    <w:p w:rsidR="002E128D" w:rsidRPr="00F95F5A" w:rsidRDefault="002E128D" w:rsidP="007D4232">
      <w:pPr>
        <w:tabs>
          <w:tab w:val="clear" w:pos="567"/>
        </w:tabs>
        <w:spacing w:line="240" w:lineRule="auto"/>
        <w:rPr>
          <w:szCs w:val="22"/>
        </w:rPr>
      </w:pPr>
    </w:p>
    <w:p w:rsidR="0051101D" w:rsidRPr="00F95F5A" w:rsidRDefault="0051101D" w:rsidP="007D4232">
      <w:pPr>
        <w:tabs>
          <w:tab w:val="clear" w:pos="567"/>
        </w:tabs>
        <w:spacing w:line="240" w:lineRule="auto"/>
        <w:rPr>
          <w:szCs w:val="22"/>
        </w:rPr>
      </w:pPr>
    </w:p>
    <w:p w:rsidR="00091F27" w:rsidRPr="00F95F5A" w:rsidRDefault="007A0480" w:rsidP="007D4232">
      <w:pPr>
        <w:tabs>
          <w:tab w:val="clear" w:pos="567"/>
        </w:tabs>
        <w:spacing w:line="240" w:lineRule="auto"/>
        <w:rPr>
          <w:b/>
          <w:szCs w:val="22"/>
        </w:rPr>
      </w:pPr>
      <w:r w:rsidRPr="00F95F5A">
        <w:rPr>
          <w:b/>
          <w:szCs w:val="22"/>
        </w:rPr>
        <w:t>10.</w:t>
      </w:r>
      <w:r w:rsidR="009330C3" w:rsidRPr="00F95F5A">
        <w:rPr>
          <w:b/>
          <w:szCs w:val="22"/>
        </w:rPr>
        <w:tab/>
      </w:r>
      <w:r w:rsidRPr="00F95F5A">
        <w:rPr>
          <w:b/>
          <w:szCs w:val="22"/>
        </w:rPr>
        <w:t>D</w:t>
      </w:r>
      <w:r w:rsidR="008E45EE" w:rsidRPr="00F95F5A">
        <w:rPr>
          <w:b/>
          <w:szCs w:val="22"/>
        </w:rPr>
        <w:t>ÁTUM REVÍZIE TEXTU</w:t>
      </w:r>
    </w:p>
    <w:p w:rsidR="000C5D4D" w:rsidRPr="007D4232" w:rsidRDefault="00C92AE9" w:rsidP="007D4232">
      <w:pPr>
        <w:tabs>
          <w:tab w:val="clear" w:pos="567"/>
        </w:tabs>
        <w:spacing w:line="240" w:lineRule="auto"/>
        <w:rPr>
          <w:szCs w:val="22"/>
        </w:rPr>
      </w:pPr>
      <w:r w:rsidRPr="00F95F5A">
        <w:rPr>
          <w:szCs w:val="22"/>
        </w:rPr>
        <w:t>0</w:t>
      </w:r>
      <w:r w:rsidR="00CB6E54" w:rsidRPr="00F95F5A">
        <w:rPr>
          <w:szCs w:val="22"/>
        </w:rPr>
        <w:t>7</w:t>
      </w:r>
      <w:r w:rsidRPr="00F95F5A">
        <w:rPr>
          <w:szCs w:val="22"/>
        </w:rPr>
        <w:t>/2017</w:t>
      </w:r>
    </w:p>
    <w:sectPr w:rsidR="000C5D4D" w:rsidRPr="007D4232" w:rsidSect="007D4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C83" w:rsidRDefault="00FC3C83">
      <w:r>
        <w:separator/>
      </w:r>
    </w:p>
  </w:endnote>
  <w:endnote w:type="continuationSeparator" w:id="0">
    <w:p w:rsidR="00FC3C83" w:rsidRDefault="00FC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7F" w:rsidRDefault="00EB31E6" w:rsidP="0025363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5247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5247F" w:rsidRDefault="0065247F" w:rsidP="00077463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7F" w:rsidRPr="007D4232" w:rsidRDefault="00EB31E6" w:rsidP="007D4232">
    <w:pPr>
      <w:pStyle w:val="Pta"/>
      <w:framePr w:wrap="around" w:vAnchor="text" w:hAnchor="page" w:x="5486" w:y="22"/>
      <w:rPr>
        <w:rStyle w:val="slostrany"/>
        <w:sz w:val="18"/>
        <w:szCs w:val="18"/>
      </w:rPr>
    </w:pPr>
    <w:r w:rsidRPr="007D4232">
      <w:rPr>
        <w:rStyle w:val="slostrany"/>
        <w:sz w:val="18"/>
        <w:szCs w:val="18"/>
      </w:rPr>
      <w:fldChar w:fldCharType="begin"/>
    </w:r>
    <w:r w:rsidR="0065247F" w:rsidRPr="007D4232">
      <w:rPr>
        <w:rStyle w:val="slostrany"/>
        <w:sz w:val="18"/>
        <w:szCs w:val="18"/>
      </w:rPr>
      <w:instrText xml:space="preserve">PAGE  </w:instrText>
    </w:r>
    <w:r w:rsidRPr="007D4232">
      <w:rPr>
        <w:rStyle w:val="slostrany"/>
        <w:sz w:val="18"/>
        <w:szCs w:val="18"/>
      </w:rPr>
      <w:fldChar w:fldCharType="separate"/>
    </w:r>
    <w:r w:rsidR="00F95F5A">
      <w:rPr>
        <w:rStyle w:val="slostrany"/>
        <w:noProof/>
        <w:sz w:val="18"/>
        <w:szCs w:val="18"/>
      </w:rPr>
      <w:t>2</w:t>
    </w:r>
    <w:r w:rsidRPr="007D4232">
      <w:rPr>
        <w:rStyle w:val="slostrany"/>
        <w:sz w:val="18"/>
        <w:szCs w:val="18"/>
      </w:rPr>
      <w:fldChar w:fldCharType="end"/>
    </w:r>
    <w:r w:rsidR="0065247F" w:rsidRPr="007D4232">
      <w:rPr>
        <w:rStyle w:val="slostrany"/>
        <w:sz w:val="18"/>
        <w:szCs w:val="18"/>
      </w:rPr>
      <w:t>/</w:t>
    </w:r>
    <w:r w:rsidRPr="007D4232">
      <w:rPr>
        <w:rStyle w:val="slostrany"/>
        <w:sz w:val="18"/>
        <w:szCs w:val="18"/>
      </w:rPr>
      <w:fldChar w:fldCharType="begin"/>
    </w:r>
    <w:r w:rsidR="0065247F" w:rsidRPr="007D4232">
      <w:rPr>
        <w:rStyle w:val="slostrany"/>
        <w:sz w:val="18"/>
        <w:szCs w:val="18"/>
      </w:rPr>
      <w:instrText xml:space="preserve"> NUMPAGES </w:instrText>
    </w:r>
    <w:r w:rsidRPr="007D4232">
      <w:rPr>
        <w:rStyle w:val="slostrany"/>
        <w:sz w:val="18"/>
        <w:szCs w:val="18"/>
      </w:rPr>
      <w:fldChar w:fldCharType="separate"/>
    </w:r>
    <w:r w:rsidR="00F95F5A">
      <w:rPr>
        <w:rStyle w:val="slostrany"/>
        <w:noProof/>
        <w:sz w:val="18"/>
        <w:szCs w:val="18"/>
      </w:rPr>
      <w:t>10</w:t>
    </w:r>
    <w:r w:rsidRPr="007D4232">
      <w:rPr>
        <w:rStyle w:val="slostrany"/>
        <w:sz w:val="18"/>
        <w:szCs w:val="18"/>
      </w:rPr>
      <w:fldChar w:fldCharType="end"/>
    </w:r>
  </w:p>
  <w:p w:rsidR="0065247F" w:rsidRDefault="0065247F" w:rsidP="00077463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7F" w:rsidRPr="007D4232" w:rsidRDefault="00EB31E6">
    <w:pPr>
      <w:pStyle w:val="Pta"/>
      <w:jc w:val="center"/>
      <w:rPr>
        <w:sz w:val="18"/>
        <w:szCs w:val="18"/>
      </w:rPr>
    </w:pPr>
    <w:r w:rsidRPr="007D4232">
      <w:rPr>
        <w:sz w:val="18"/>
        <w:szCs w:val="18"/>
      </w:rPr>
      <w:fldChar w:fldCharType="begin"/>
    </w:r>
    <w:r w:rsidR="0065247F" w:rsidRPr="007D4232">
      <w:rPr>
        <w:sz w:val="18"/>
        <w:szCs w:val="18"/>
      </w:rPr>
      <w:instrText>PAGE   \* MERGEFORMAT</w:instrText>
    </w:r>
    <w:r w:rsidRPr="007D4232">
      <w:rPr>
        <w:sz w:val="18"/>
        <w:szCs w:val="18"/>
      </w:rPr>
      <w:fldChar w:fldCharType="separate"/>
    </w:r>
    <w:r w:rsidR="00F95F5A">
      <w:rPr>
        <w:noProof/>
        <w:sz w:val="18"/>
        <w:szCs w:val="18"/>
      </w:rPr>
      <w:t>1</w:t>
    </w:r>
    <w:r w:rsidRPr="007D4232">
      <w:rPr>
        <w:sz w:val="18"/>
        <w:szCs w:val="18"/>
      </w:rPr>
      <w:fldChar w:fldCharType="end"/>
    </w:r>
  </w:p>
  <w:p w:rsidR="0065247F" w:rsidRDefault="0065247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C83" w:rsidRDefault="00FC3C83">
      <w:r>
        <w:separator/>
      </w:r>
    </w:p>
  </w:footnote>
  <w:footnote w:type="continuationSeparator" w:id="0">
    <w:p w:rsidR="00FC3C83" w:rsidRDefault="00FC3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07" w:rsidRDefault="0050770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07" w:rsidRDefault="00507707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7F" w:rsidRDefault="0065247F" w:rsidP="007D4232">
    <w:pPr>
      <w:tabs>
        <w:tab w:val="clear" w:pos="567"/>
      </w:tabs>
      <w:spacing w:line="240" w:lineRule="auto"/>
      <w:ind w:left="567" w:hanging="567"/>
      <w:rPr>
        <w:sz w:val="18"/>
        <w:szCs w:val="18"/>
      </w:rPr>
    </w:pPr>
    <w:r>
      <w:rPr>
        <w:sz w:val="18"/>
        <w:szCs w:val="18"/>
      </w:rPr>
      <w:t xml:space="preserve">Schválený text k rozhodnutiu o zmene, ev. </w:t>
    </w:r>
    <w:r>
      <w:rPr>
        <w:sz w:val="18"/>
        <w:szCs w:val="18"/>
      </w:rPr>
      <w:t>č.:, 2014/02121-ZME</w:t>
    </w:r>
  </w:p>
  <w:p w:rsidR="0065247F" w:rsidRDefault="0065247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2BF"/>
    <w:multiLevelType w:val="hybridMultilevel"/>
    <w:tmpl w:val="7E7E14F8"/>
    <w:lvl w:ilvl="0" w:tplc="8C68ECC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7316BA8"/>
    <w:multiLevelType w:val="multilevel"/>
    <w:tmpl w:val="2AE028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21D63"/>
    <w:multiLevelType w:val="hybridMultilevel"/>
    <w:tmpl w:val="2AE0282C"/>
    <w:lvl w:ilvl="0" w:tplc="8C68E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2621D"/>
    <w:multiLevelType w:val="hybridMultilevel"/>
    <w:tmpl w:val="22547738"/>
    <w:lvl w:ilvl="0" w:tplc="0F7A204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911AA7"/>
    <w:multiLevelType w:val="singleLevel"/>
    <w:tmpl w:val="5AFE3CE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C780839"/>
    <w:multiLevelType w:val="hybridMultilevel"/>
    <w:tmpl w:val="2C96D136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72353059"/>
    <w:multiLevelType w:val="hybridMultilevel"/>
    <w:tmpl w:val="84F63E22"/>
    <w:lvl w:ilvl="0" w:tplc="7F58C9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445AC7"/>
    <w:multiLevelType w:val="hybridMultilevel"/>
    <w:tmpl w:val="FC0C12C0"/>
    <w:lvl w:ilvl="0" w:tplc="CF70985E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0A4576"/>
    <w:multiLevelType w:val="multilevel"/>
    <w:tmpl w:val="2C96D1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463"/>
    <w:rsid w:val="00004CC7"/>
    <w:rsid w:val="00015032"/>
    <w:rsid w:val="0002004D"/>
    <w:rsid w:val="00021A4D"/>
    <w:rsid w:val="00026B7E"/>
    <w:rsid w:val="00033223"/>
    <w:rsid w:val="00035BE1"/>
    <w:rsid w:val="00036C2F"/>
    <w:rsid w:val="00036E85"/>
    <w:rsid w:val="000568D6"/>
    <w:rsid w:val="00064D22"/>
    <w:rsid w:val="00065989"/>
    <w:rsid w:val="000670B9"/>
    <w:rsid w:val="00070516"/>
    <w:rsid w:val="00071DE5"/>
    <w:rsid w:val="00072930"/>
    <w:rsid w:val="00077463"/>
    <w:rsid w:val="0008449D"/>
    <w:rsid w:val="000862C2"/>
    <w:rsid w:val="00091E1A"/>
    <w:rsid w:val="00091F27"/>
    <w:rsid w:val="00092296"/>
    <w:rsid w:val="00094A9B"/>
    <w:rsid w:val="000951CD"/>
    <w:rsid w:val="000A6C31"/>
    <w:rsid w:val="000B05EE"/>
    <w:rsid w:val="000C05BD"/>
    <w:rsid w:val="000C2577"/>
    <w:rsid w:val="000C4C31"/>
    <w:rsid w:val="000C5D4D"/>
    <w:rsid w:val="000D4C64"/>
    <w:rsid w:val="000E6CFB"/>
    <w:rsid w:val="000F0778"/>
    <w:rsid w:val="000F418B"/>
    <w:rsid w:val="000F703F"/>
    <w:rsid w:val="0010141B"/>
    <w:rsid w:val="00103C70"/>
    <w:rsid w:val="0010446D"/>
    <w:rsid w:val="00105746"/>
    <w:rsid w:val="00106096"/>
    <w:rsid w:val="00107BE6"/>
    <w:rsid w:val="00117C79"/>
    <w:rsid w:val="00127EC9"/>
    <w:rsid w:val="001333A7"/>
    <w:rsid w:val="001352F3"/>
    <w:rsid w:val="0013780C"/>
    <w:rsid w:val="00137C31"/>
    <w:rsid w:val="00144F6C"/>
    <w:rsid w:val="001452EA"/>
    <w:rsid w:val="00156D22"/>
    <w:rsid w:val="00157F68"/>
    <w:rsid w:val="0016077A"/>
    <w:rsid w:val="00166F02"/>
    <w:rsid w:val="001778CD"/>
    <w:rsid w:val="00183A0E"/>
    <w:rsid w:val="0019168C"/>
    <w:rsid w:val="001979D4"/>
    <w:rsid w:val="00197EFA"/>
    <w:rsid w:val="001A3F1F"/>
    <w:rsid w:val="001A5935"/>
    <w:rsid w:val="001A78D2"/>
    <w:rsid w:val="001B13A1"/>
    <w:rsid w:val="001B175B"/>
    <w:rsid w:val="001B5774"/>
    <w:rsid w:val="001B7073"/>
    <w:rsid w:val="001C3FF4"/>
    <w:rsid w:val="001C5206"/>
    <w:rsid w:val="001D4357"/>
    <w:rsid w:val="001D637E"/>
    <w:rsid w:val="001E0663"/>
    <w:rsid w:val="001E2CD0"/>
    <w:rsid w:val="001E528A"/>
    <w:rsid w:val="001F3BD9"/>
    <w:rsid w:val="001F678A"/>
    <w:rsid w:val="001F6A4C"/>
    <w:rsid w:val="00205181"/>
    <w:rsid w:val="002079A1"/>
    <w:rsid w:val="00212226"/>
    <w:rsid w:val="00221275"/>
    <w:rsid w:val="002214F8"/>
    <w:rsid w:val="00223A24"/>
    <w:rsid w:val="00227E33"/>
    <w:rsid w:val="00230EB3"/>
    <w:rsid w:val="002323D2"/>
    <w:rsid w:val="00236EE5"/>
    <w:rsid w:val="0023716A"/>
    <w:rsid w:val="00242195"/>
    <w:rsid w:val="00245CC1"/>
    <w:rsid w:val="0025363A"/>
    <w:rsid w:val="002753E7"/>
    <w:rsid w:val="002755D0"/>
    <w:rsid w:val="002761A8"/>
    <w:rsid w:val="002870C6"/>
    <w:rsid w:val="00293704"/>
    <w:rsid w:val="00293AA2"/>
    <w:rsid w:val="002950DA"/>
    <w:rsid w:val="0029669D"/>
    <w:rsid w:val="002A17B8"/>
    <w:rsid w:val="002A3C64"/>
    <w:rsid w:val="002B2467"/>
    <w:rsid w:val="002B5BF6"/>
    <w:rsid w:val="002B640F"/>
    <w:rsid w:val="002C0B13"/>
    <w:rsid w:val="002C597D"/>
    <w:rsid w:val="002D135B"/>
    <w:rsid w:val="002E073D"/>
    <w:rsid w:val="002E128D"/>
    <w:rsid w:val="002E2DB6"/>
    <w:rsid w:val="002E7708"/>
    <w:rsid w:val="002F2405"/>
    <w:rsid w:val="002F3407"/>
    <w:rsid w:val="002F3E46"/>
    <w:rsid w:val="00300A98"/>
    <w:rsid w:val="00302D3A"/>
    <w:rsid w:val="003354EA"/>
    <w:rsid w:val="00336F9B"/>
    <w:rsid w:val="00341466"/>
    <w:rsid w:val="0034611A"/>
    <w:rsid w:val="00347A03"/>
    <w:rsid w:val="0035377D"/>
    <w:rsid w:val="0035508F"/>
    <w:rsid w:val="00355682"/>
    <w:rsid w:val="003622E0"/>
    <w:rsid w:val="0036243C"/>
    <w:rsid w:val="00362CB9"/>
    <w:rsid w:val="00363309"/>
    <w:rsid w:val="003644C0"/>
    <w:rsid w:val="00375630"/>
    <w:rsid w:val="003820C6"/>
    <w:rsid w:val="00382477"/>
    <w:rsid w:val="00386D8C"/>
    <w:rsid w:val="00387C54"/>
    <w:rsid w:val="00390875"/>
    <w:rsid w:val="00396C8B"/>
    <w:rsid w:val="003A1B45"/>
    <w:rsid w:val="003A5531"/>
    <w:rsid w:val="003A6C39"/>
    <w:rsid w:val="003B6213"/>
    <w:rsid w:val="003C1601"/>
    <w:rsid w:val="003C5546"/>
    <w:rsid w:val="003C774B"/>
    <w:rsid w:val="003D1466"/>
    <w:rsid w:val="003D1FF5"/>
    <w:rsid w:val="003D26EC"/>
    <w:rsid w:val="003D2B54"/>
    <w:rsid w:val="003E38C4"/>
    <w:rsid w:val="003E6DE9"/>
    <w:rsid w:val="003F766C"/>
    <w:rsid w:val="004005CB"/>
    <w:rsid w:val="00402083"/>
    <w:rsid w:val="0040227B"/>
    <w:rsid w:val="00412D9B"/>
    <w:rsid w:val="00422438"/>
    <w:rsid w:val="00423813"/>
    <w:rsid w:val="004271FC"/>
    <w:rsid w:val="00427709"/>
    <w:rsid w:val="00432D90"/>
    <w:rsid w:val="00453340"/>
    <w:rsid w:val="00455BE7"/>
    <w:rsid w:val="00455DCF"/>
    <w:rsid w:val="004616EF"/>
    <w:rsid w:val="00465104"/>
    <w:rsid w:val="00465933"/>
    <w:rsid w:val="00465DED"/>
    <w:rsid w:val="0046726E"/>
    <w:rsid w:val="00467EFF"/>
    <w:rsid w:val="00497E5A"/>
    <w:rsid w:val="004A13E3"/>
    <w:rsid w:val="004A6A77"/>
    <w:rsid w:val="004B1339"/>
    <w:rsid w:val="004B2948"/>
    <w:rsid w:val="004B373E"/>
    <w:rsid w:val="004B478C"/>
    <w:rsid w:val="004B6FB6"/>
    <w:rsid w:val="004B7C2D"/>
    <w:rsid w:val="004C08F1"/>
    <w:rsid w:val="004C1059"/>
    <w:rsid w:val="004C5A99"/>
    <w:rsid w:val="004D0964"/>
    <w:rsid w:val="004D3000"/>
    <w:rsid w:val="004D6CEE"/>
    <w:rsid w:val="004E1957"/>
    <w:rsid w:val="004E50D5"/>
    <w:rsid w:val="004E585D"/>
    <w:rsid w:val="004F34A7"/>
    <w:rsid w:val="00507707"/>
    <w:rsid w:val="0051101D"/>
    <w:rsid w:val="00511292"/>
    <w:rsid w:val="0051467C"/>
    <w:rsid w:val="00514C29"/>
    <w:rsid w:val="0051564C"/>
    <w:rsid w:val="00515BB7"/>
    <w:rsid w:val="005163B2"/>
    <w:rsid w:val="00525878"/>
    <w:rsid w:val="00525C86"/>
    <w:rsid w:val="00530CC5"/>
    <w:rsid w:val="005328F9"/>
    <w:rsid w:val="00533588"/>
    <w:rsid w:val="00536254"/>
    <w:rsid w:val="00541D05"/>
    <w:rsid w:val="005420E3"/>
    <w:rsid w:val="00543D38"/>
    <w:rsid w:val="00551D9A"/>
    <w:rsid w:val="005636FB"/>
    <w:rsid w:val="00570A87"/>
    <w:rsid w:val="005727B8"/>
    <w:rsid w:val="00574F43"/>
    <w:rsid w:val="00575A0D"/>
    <w:rsid w:val="00575F9C"/>
    <w:rsid w:val="00581285"/>
    <w:rsid w:val="005856EF"/>
    <w:rsid w:val="0058775F"/>
    <w:rsid w:val="00593478"/>
    <w:rsid w:val="0059564E"/>
    <w:rsid w:val="005A0E60"/>
    <w:rsid w:val="005A7B81"/>
    <w:rsid w:val="005B5DF5"/>
    <w:rsid w:val="005E3E57"/>
    <w:rsid w:val="005E5295"/>
    <w:rsid w:val="005F3ED5"/>
    <w:rsid w:val="005F738C"/>
    <w:rsid w:val="0060192F"/>
    <w:rsid w:val="00604CE5"/>
    <w:rsid w:val="00610632"/>
    <w:rsid w:val="00612619"/>
    <w:rsid w:val="006149FB"/>
    <w:rsid w:val="006205F3"/>
    <w:rsid w:val="00620FFF"/>
    <w:rsid w:val="00631CE5"/>
    <w:rsid w:val="006409E5"/>
    <w:rsid w:val="00642906"/>
    <w:rsid w:val="00651330"/>
    <w:rsid w:val="0065247F"/>
    <w:rsid w:val="00652484"/>
    <w:rsid w:val="00654C0E"/>
    <w:rsid w:val="00654C67"/>
    <w:rsid w:val="00655E5C"/>
    <w:rsid w:val="00660150"/>
    <w:rsid w:val="0067190C"/>
    <w:rsid w:val="00676EBA"/>
    <w:rsid w:val="0068559B"/>
    <w:rsid w:val="00686BA2"/>
    <w:rsid w:val="006963F1"/>
    <w:rsid w:val="006A7735"/>
    <w:rsid w:val="006B0382"/>
    <w:rsid w:val="006B27B2"/>
    <w:rsid w:val="006B4401"/>
    <w:rsid w:val="006B50FF"/>
    <w:rsid w:val="006B71A5"/>
    <w:rsid w:val="006B71D3"/>
    <w:rsid w:val="006C4567"/>
    <w:rsid w:val="006C6369"/>
    <w:rsid w:val="006C7511"/>
    <w:rsid w:val="006E4A76"/>
    <w:rsid w:val="006F5F49"/>
    <w:rsid w:val="007046FB"/>
    <w:rsid w:val="0070675A"/>
    <w:rsid w:val="0070709C"/>
    <w:rsid w:val="00707127"/>
    <w:rsid w:val="0071261B"/>
    <w:rsid w:val="00720C71"/>
    <w:rsid w:val="00725311"/>
    <w:rsid w:val="00730727"/>
    <w:rsid w:val="0073410E"/>
    <w:rsid w:val="00744BD0"/>
    <w:rsid w:val="0074578E"/>
    <w:rsid w:val="00745EE7"/>
    <w:rsid w:val="007501F3"/>
    <w:rsid w:val="00751C27"/>
    <w:rsid w:val="00753959"/>
    <w:rsid w:val="00753C14"/>
    <w:rsid w:val="0075467A"/>
    <w:rsid w:val="0075769F"/>
    <w:rsid w:val="00774706"/>
    <w:rsid w:val="007865E2"/>
    <w:rsid w:val="007A0480"/>
    <w:rsid w:val="007A4515"/>
    <w:rsid w:val="007A4525"/>
    <w:rsid w:val="007A59A8"/>
    <w:rsid w:val="007B69A2"/>
    <w:rsid w:val="007D4232"/>
    <w:rsid w:val="007E12A7"/>
    <w:rsid w:val="007E1802"/>
    <w:rsid w:val="007E2366"/>
    <w:rsid w:val="007E333C"/>
    <w:rsid w:val="007E534C"/>
    <w:rsid w:val="007E5D1B"/>
    <w:rsid w:val="007E6F28"/>
    <w:rsid w:val="00801C29"/>
    <w:rsid w:val="0080668B"/>
    <w:rsid w:val="008079D4"/>
    <w:rsid w:val="00807FE4"/>
    <w:rsid w:val="008218AA"/>
    <w:rsid w:val="00824014"/>
    <w:rsid w:val="00824837"/>
    <w:rsid w:val="00824FB0"/>
    <w:rsid w:val="00831763"/>
    <w:rsid w:val="00835817"/>
    <w:rsid w:val="00847D3A"/>
    <w:rsid w:val="00860D2F"/>
    <w:rsid w:val="008758C0"/>
    <w:rsid w:val="008760C4"/>
    <w:rsid w:val="00883989"/>
    <w:rsid w:val="008851DA"/>
    <w:rsid w:val="008A4FB3"/>
    <w:rsid w:val="008A741E"/>
    <w:rsid w:val="008B24FB"/>
    <w:rsid w:val="008B7A18"/>
    <w:rsid w:val="008C1896"/>
    <w:rsid w:val="008C2898"/>
    <w:rsid w:val="008C34E8"/>
    <w:rsid w:val="008C7B53"/>
    <w:rsid w:val="008D3B51"/>
    <w:rsid w:val="008D3C22"/>
    <w:rsid w:val="008D6EB9"/>
    <w:rsid w:val="008E05A9"/>
    <w:rsid w:val="008E0C47"/>
    <w:rsid w:val="008E45EE"/>
    <w:rsid w:val="008F39F9"/>
    <w:rsid w:val="008F3CAD"/>
    <w:rsid w:val="0090026A"/>
    <w:rsid w:val="0090076C"/>
    <w:rsid w:val="009138E5"/>
    <w:rsid w:val="009204F2"/>
    <w:rsid w:val="00920D70"/>
    <w:rsid w:val="009222CD"/>
    <w:rsid w:val="00924713"/>
    <w:rsid w:val="009254E7"/>
    <w:rsid w:val="009268C0"/>
    <w:rsid w:val="009309B6"/>
    <w:rsid w:val="009330C3"/>
    <w:rsid w:val="00933FC2"/>
    <w:rsid w:val="00936D47"/>
    <w:rsid w:val="00960C75"/>
    <w:rsid w:val="00966EDE"/>
    <w:rsid w:val="00967400"/>
    <w:rsid w:val="00985440"/>
    <w:rsid w:val="00985FEC"/>
    <w:rsid w:val="009A2A39"/>
    <w:rsid w:val="009A38FD"/>
    <w:rsid w:val="009A4612"/>
    <w:rsid w:val="009B32CE"/>
    <w:rsid w:val="009C04E4"/>
    <w:rsid w:val="009C388D"/>
    <w:rsid w:val="009C4B68"/>
    <w:rsid w:val="009C5E92"/>
    <w:rsid w:val="009D6295"/>
    <w:rsid w:val="009E4EF0"/>
    <w:rsid w:val="009E6781"/>
    <w:rsid w:val="009F60D7"/>
    <w:rsid w:val="00A0752A"/>
    <w:rsid w:val="00A14485"/>
    <w:rsid w:val="00A16348"/>
    <w:rsid w:val="00A27F19"/>
    <w:rsid w:val="00A3205D"/>
    <w:rsid w:val="00A34843"/>
    <w:rsid w:val="00A373C2"/>
    <w:rsid w:val="00A437DD"/>
    <w:rsid w:val="00A50B4A"/>
    <w:rsid w:val="00A55D90"/>
    <w:rsid w:val="00A67B42"/>
    <w:rsid w:val="00A71614"/>
    <w:rsid w:val="00A74020"/>
    <w:rsid w:val="00A82D3C"/>
    <w:rsid w:val="00A83AAE"/>
    <w:rsid w:val="00A8518D"/>
    <w:rsid w:val="00A86640"/>
    <w:rsid w:val="00A8775B"/>
    <w:rsid w:val="00A9057E"/>
    <w:rsid w:val="00AA0AD0"/>
    <w:rsid w:val="00AA32FA"/>
    <w:rsid w:val="00AC0077"/>
    <w:rsid w:val="00AC0B6E"/>
    <w:rsid w:val="00AC25CD"/>
    <w:rsid w:val="00AC4005"/>
    <w:rsid w:val="00AC456D"/>
    <w:rsid w:val="00AC480B"/>
    <w:rsid w:val="00AC6B59"/>
    <w:rsid w:val="00AC6E28"/>
    <w:rsid w:val="00AD0733"/>
    <w:rsid w:val="00AE0FFE"/>
    <w:rsid w:val="00AE610A"/>
    <w:rsid w:val="00AE720D"/>
    <w:rsid w:val="00B05886"/>
    <w:rsid w:val="00B17565"/>
    <w:rsid w:val="00B17AAB"/>
    <w:rsid w:val="00B20A77"/>
    <w:rsid w:val="00B225C2"/>
    <w:rsid w:val="00B2619E"/>
    <w:rsid w:val="00B30341"/>
    <w:rsid w:val="00B37AC5"/>
    <w:rsid w:val="00B44EB2"/>
    <w:rsid w:val="00B52FF8"/>
    <w:rsid w:val="00B55A61"/>
    <w:rsid w:val="00B74483"/>
    <w:rsid w:val="00B77518"/>
    <w:rsid w:val="00B82AAD"/>
    <w:rsid w:val="00B86A1D"/>
    <w:rsid w:val="00BA359C"/>
    <w:rsid w:val="00BA454D"/>
    <w:rsid w:val="00BA69A6"/>
    <w:rsid w:val="00BB0310"/>
    <w:rsid w:val="00BB3F51"/>
    <w:rsid w:val="00BB4ED6"/>
    <w:rsid w:val="00BC1B83"/>
    <w:rsid w:val="00BC74EF"/>
    <w:rsid w:val="00BC7869"/>
    <w:rsid w:val="00BC7AC0"/>
    <w:rsid w:val="00BD15ED"/>
    <w:rsid w:val="00BD4E37"/>
    <w:rsid w:val="00BD72E0"/>
    <w:rsid w:val="00BF0571"/>
    <w:rsid w:val="00BF4FA6"/>
    <w:rsid w:val="00C14E17"/>
    <w:rsid w:val="00C31699"/>
    <w:rsid w:val="00C368A4"/>
    <w:rsid w:val="00C37BBE"/>
    <w:rsid w:val="00C44439"/>
    <w:rsid w:val="00C47F34"/>
    <w:rsid w:val="00C501F7"/>
    <w:rsid w:val="00C56FB8"/>
    <w:rsid w:val="00C64ED6"/>
    <w:rsid w:val="00C67E1D"/>
    <w:rsid w:val="00C71C55"/>
    <w:rsid w:val="00C77A5E"/>
    <w:rsid w:val="00C86DD8"/>
    <w:rsid w:val="00C878BA"/>
    <w:rsid w:val="00C92AE9"/>
    <w:rsid w:val="00C92EF3"/>
    <w:rsid w:val="00C96C1C"/>
    <w:rsid w:val="00CA0DCB"/>
    <w:rsid w:val="00CA2B14"/>
    <w:rsid w:val="00CB6E54"/>
    <w:rsid w:val="00CC2509"/>
    <w:rsid w:val="00CD3773"/>
    <w:rsid w:val="00CD4238"/>
    <w:rsid w:val="00CE0907"/>
    <w:rsid w:val="00CE0C56"/>
    <w:rsid w:val="00CE25E2"/>
    <w:rsid w:val="00CE4E14"/>
    <w:rsid w:val="00CE71C4"/>
    <w:rsid w:val="00CE7ED0"/>
    <w:rsid w:val="00D00052"/>
    <w:rsid w:val="00D04528"/>
    <w:rsid w:val="00D06279"/>
    <w:rsid w:val="00D127FF"/>
    <w:rsid w:val="00D161EF"/>
    <w:rsid w:val="00D278A5"/>
    <w:rsid w:val="00D32BA4"/>
    <w:rsid w:val="00D340E1"/>
    <w:rsid w:val="00D36F8A"/>
    <w:rsid w:val="00D409AE"/>
    <w:rsid w:val="00D43EF4"/>
    <w:rsid w:val="00D44CA3"/>
    <w:rsid w:val="00D50FD5"/>
    <w:rsid w:val="00D51F23"/>
    <w:rsid w:val="00D572F9"/>
    <w:rsid w:val="00D61E74"/>
    <w:rsid w:val="00D743F7"/>
    <w:rsid w:val="00D805A0"/>
    <w:rsid w:val="00D83218"/>
    <w:rsid w:val="00D910F4"/>
    <w:rsid w:val="00D94269"/>
    <w:rsid w:val="00D97602"/>
    <w:rsid w:val="00DA0BE4"/>
    <w:rsid w:val="00DA1547"/>
    <w:rsid w:val="00DA67A6"/>
    <w:rsid w:val="00DA6D03"/>
    <w:rsid w:val="00DC4C25"/>
    <w:rsid w:val="00DC6B07"/>
    <w:rsid w:val="00DD1289"/>
    <w:rsid w:val="00DD20A8"/>
    <w:rsid w:val="00DD3E35"/>
    <w:rsid w:val="00DD3EE2"/>
    <w:rsid w:val="00DE0997"/>
    <w:rsid w:val="00DE115E"/>
    <w:rsid w:val="00DE18D5"/>
    <w:rsid w:val="00DE30A5"/>
    <w:rsid w:val="00E06791"/>
    <w:rsid w:val="00E11EF1"/>
    <w:rsid w:val="00E1271B"/>
    <w:rsid w:val="00E2013C"/>
    <w:rsid w:val="00E26668"/>
    <w:rsid w:val="00E32ACA"/>
    <w:rsid w:val="00E37887"/>
    <w:rsid w:val="00E420D0"/>
    <w:rsid w:val="00E541ED"/>
    <w:rsid w:val="00E57060"/>
    <w:rsid w:val="00E57BD4"/>
    <w:rsid w:val="00E61EA1"/>
    <w:rsid w:val="00E61EE4"/>
    <w:rsid w:val="00E6200B"/>
    <w:rsid w:val="00E6782E"/>
    <w:rsid w:val="00E73EB4"/>
    <w:rsid w:val="00E76045"/>
    <w:rsid w:val="00E76956"/>
    <w:rsid w:val="00E85071"/>
    <w:rsid w:val="00E8752B"/>
    <w:rsid w:val="00E90127"/>
    <w:rsid w:val="00EA3661"/>
    <w:rsid w:val="00EB31E6"/>
    <w:rsid w:val="00EB4644"/>
    <w:rsid w:val="00EB5C84"/>
    <w:rsid w:val="00EC51A7"/>
    <w:rsid w:val="00EC72BB"/>
    <w:rsid w:val="00EE2149"/>
    <w:rsid w:val="00EE5BA5"/>
    <w:rsid w:val="00EF103E"/>
    <w:rsid w:val="00EF2C95"/>
    <w:rsid w:val="00F078EA"/>
    <w:rsid w:val="00F1285E"/>
    <w:rsid w:val="00F32C30"/>
    <w:rsid w:val="00F41A2C"/>
    <w:rsid w:val="00F4644E"/>
    <w:rsid w:val="00F5213D"/>
    <w:rsid w:val="00F52257"/>
    <w:rsid w:val="00F528E6"/>
    <w:rsid w:val="00F538C6"/>
    <w:rsid w:val="00F5579B"/>
    <w:rsid w:val="00F57C7E"/>
    <w:rsid w:val="00F60B7E"/>
    <w:rsid w:val="00F62487"/>
    <w:rsid w:val="00F62F9E"/>
    <w:rsid w:val="00F63A9B"/>
    <w:rsid w:val="00F64CBA"/>
    <w:rsid w:val="00F64EEC"/>
    <w:rsid w:val="00F65BCD"/>
    <w:rsid w:val="00F70D8A"/>
    <w:rsid w:val="00F71311"/>
    <w:rsid w:val="00F72F72"/>
    <w:rsid w:val="00F80516"/>
    <w:rsid w:val="00F83218"/>
    <w:rsid w:val="00F85770"/>
    <w:rsid w:val="00F879CB"/>
    <w:rsid w:val="00F930BB"/>
    <w:rsid w:val="00F95F5A"/>
    <w:rsid w:val="00F964E8"/>
    <w:rsid w:val="00F968E9"/>
    <w:rsid w:val="00FA3275"/>
    <w:rsid w:val="00FA5360"/>
    <w:rsid w:val="00FA6247"/>
    <w:rsid w:val="00FB4AFC"/>
    <w:rsid w:val="00FC1850"/>
    <w:rsid w:val="00FC3C83"/>
    <w:rsid w:val="00FF3903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746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E06791"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/>
      <w:b/>
      <w:kern w:val="28"/>
      <w:sz w:val="28"/>
      <w:lang w:val="cs-CZ" w:eastAsia="sk-SK"/>
    </w:rPr>
  </w:style>
  <w:style w:type="paragraph" w:styleId="Nadpis2">
    <w:name w:val="heading 2"/>
    <w:basedOn w:val="Normlny"/>
    <w:next w:val="Normlny"/>
    <w:qFormat/>
    <w:rsid w:val="00E06791"/>
    <w:pPr>
      <w:keepNext/>
      <w:tabs>
        <w:tab w:val="clear" w:pos="567"/>
      </w:tabs>
      <w:spacing w:before="240" w:after="60" w:line="240" w:lineRule="auto"/>
      <w:outlineLvl w:val="1"/>
    </w:pPr>
    <w:rPr>
      <w:rFonts w:ascii="Arial" w:hAnsi="Arial"/>
      <w:b/>
      <w:i/>
      <w:sz w:val="24"/>
      <w:lang w:val="cs-CZ" w:eastAsia="sk-SK"/>
    </w:rPr>
  </w:style>
  <w:style w:type="paragraph" w:styleId="Nadpis3">
    <w:name w:val="heading 3"/>
    <w:basedOn w:val="Normlny"/>
    <w:next w:val="Normlny"/>
    <w:qFormat/>
    <w:rsid w:val="00883989"/>
    <w:pPr>
      <w:keepNext/>
      <w:widowControl w:val="0"/>
      <w:tabs>
        <w:tab w:val="clear" w:pos="567"/>
        <w:tab w:val="left" w:pos="426"/>
      </w:tabs>
      <w:spacing w:line="-380" w:lineRule="auto"/>
      <w:jc w:val="both"/>
      <w:outlineLvl w:val="2"/>
    </w:pPr>
    <w:rPr>
      <w:snapToGrid w:val="0"/>
      <w:sz w:val="24"/>
      <w:lang w:eastAsia="hu-HU"/>
    </w:rPr>
  </w:style>
  <w:style w:type="paragraph" w:styleId="Nadpis4">
    <w:name w:val="heading 4"/>
    <w:basedOn w:val="Normlny"/>
    <w:next w:val="Normlny"/>
    <w:qFormat/>
    <w:rsid w:val="00883989"/>
    <w:pPr>
      <w:keepNext/>
      <w:widowControl w:val="0"/>
      <w:tabs>
        <w:tab w:val="clear" w:pos="567"/>
        <w:tab w:val="left" w:pos="426"/>
      </w:tabs>
      <w:spacing w:line="-380" w:lineRule="auto"/>
      <w:jc w:val="center"/>
      <w:outlineLvl w:val="3"/>
    </w:pPr>
    <w:rPr>
      <w:snapToGrid w:val="0"/>
      <w:sz w:val="24"/>
      <w:lang w:eastAsia="hu-HU"/>
    </w:rPr>
  </w:style>
  <w:style w:type="paragraph" w:styleId="Nadpis5">
    <w:name w:val="heading 5"/>
    <w:basedOn w:val="Normlny"/>
    <w:next w:val="Normlny"/>
    <w:qFormat/>
    <w:rsid w:val="00E06791"/>
    <w:pPr>
      <w:keepNext/>
      <w:tabs>
        <w:tab w:val="clear" w:pos="567"/>
      </w:tabs>
      <w:spacing w:line="240" w:lineRule="auto"/>
      <w:outlineLvl w:val="4"/>
    </w:pPr>
    <w:rPr>
      <w:sz w:val="24"/>
      <w:lang w:eastAsia="sk-SK"/>
    </w:rPr>
  </w:style>
  <w:style w:type="paragraph" w:styleId="Nadpis6">
    <w:name w:val="heading 6"/>
    <w:basedOn w:val="Normlny"/>
    <w:next w:val="Normlny"/>
    <w:qFormat/>
    <w:rsid w:val="00E06791"/>
    <w:pPr>
      <w:keepNext/>
      <w:tabs>
        <w:tab w:val="clear" w:pos="567"/>
      </w:tabs>
      <w:spacing w:line="240" w:lineRule="auto"/>
      <w:outlineLvl w:val="5"/>
    </w:pPr>
    <w:rPr>
      <w:sz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77463"/>
    <w:pPr>
      <w:tabs>
        <w:tab w:val="clear" w:pos="567"/>
        <w:tab w:val="center" w:pos="4536"/>
        <w:tab w:val="right" w:pos="9072"/>
      </w:tabs>
    </w:pPr>
    <w:rPr>
      <w:lang/>
    </w:rPr>
  </w:style>
  <w:style w:type="character" w:styleId="slostrany">
    <w:name w:val="page number"/>
    <w:basedOn w:val="Predvolenpsmoodseku"/>
    <w:rsid w:val="00077463"/>
  </w:style>
  <w:style w:type="paragraph" w:styleId="Zarkazkladnhotextu">
    <w:name w:val="Body Text Indent"/>
    <w:basedOn w:val="Normlny"/>
    <w:rsid w:val="008C34E8"/>
    <w:pPr>
      <w:tabs>
        <w:tab w:val="clear" w:pos="567"/>
      </w:tabs>
      <w:spacing w:line="360" w:lineRule="atLeast"/>
      <w:ind w:left="720"/>
      <w:jc w:val="both"/>
    </w:pPr>
    <w:rPr>
      <w:rFonts w:ascii="Arial" w:hAnsi="Arial"/>
      <w:sz w:val="24"/>
      <w:lang w:eastAsia="hu-HU"/>
    </w:rPr>
  </w:style>
  <w:style w:type="paragraph" w:styleId="Zkladntext">
    <w:name w:val="Body Text"/>
    <w:basedOn w:val="Normlny"/>
    <w:rsid w:val="009204F2"/>
    <w:pPr>
      <w:spacing w:after="120"/>
    </w:pPr>
  </w:style>
  <w:style w:type="paragraph" w:styleId="Zkladntext3">
    <w:name w:val="Body Text 3"/>
    <w:basedOn w:val="Normlny"/>
    <w:rsid w:val="00094A9B"/>
    <w:pPr>
      <w:tabs>
        <w:tab w:val="clear" w:pos="567"/>
      </w:tabs>
      <w:spacing w:after="120" w:line="240" w:lineRule="auto"/>
    </w:pPr>
    <w:rPr>
      <w:rFonts w:cs="Arial Unicode MS"/>
      <w:sz w:val="16"/>
      <w:szCs w:val="16"/>
      <w:lang w:eastAsia="hu-HU" w:bidi="ml-IN"/>
    </w:rPr>
  </w:style>
  <w:style w:type="paragraph" w:styleId="Hlavika">
    <w:name w:val="header"/>
    <w:basedOn w:val="Normlny"/>
    <w:rsid w:val="0025363A"/>
    <w:pPr>
      <w:tabs>
        <w:tab w:val="clear" w:pos="567"/>
        <w:tab w:val="center" w:pos="4536"/>
        <w:tab w:val="right" w:pos="9072"/>
      </w:tabs>
    </w:pPr>
  </w:style>
  <w:style w:type="paragraph" w:customStyle="1" w:styleId="Default">
    <w:name w:val="Default"/>
    <w:rsid w:val="00D97602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styleId="Textbubliny">
    <w:name w:val="Balloon Text"/>
    <w:basedOn w:val="Normlny"/>
    <w:link w:val="TextbublinyChar"/>
    <w:rsid w:val="00D97602"/>
    <w:pPr>
      <w:spacing w:line="240" w:lineRule="auto"/>
    </w:pPr>
    <w:rPr>
      <w:rFonts w:ascii="Tahoma" w:hAnsi="Tahoma"/>
      <w:sz w:val="16"/>
      <w:szCs w:val="16"/>
      <w:lang w:val="en-GB"/>
    </w:rPr>
  </w:style>
  <w:style w:type="character" w:customStyle="1" w:styleId="TextbublinyChar">
    <w:name w:val="Text bubliny Char"/>
    <w:link w:val="Textbubliny"/>
    <w:rsid w:val="00D97602"/>
    <w:rPr>
      <w:rFonts w:ascii="Tahoma" w:hAnsi="Tahoma" w:cs="Tahoma"/>
      <w:sz w:val="16"/>
      <w:szCs w:val="16"/>
      <w:lang w:val="en-GB" w:eastAsia="en-US"/>
    </w:rPr>
  </w:style>
  <w:style w:type="paragraph" w:styleId="Zkladntext2">
    <w:name w:val="Body Text 2"/>
    <w:basedOn w:val="Normlny"/>
    <w:rsid w:val="00E06791"/>
    <w:pPr>
      <w:tabs>
        <w:tab w:val="clear" w:pos="567"/>
      </w:tabs>
      <w:spacing w:line="240" w:lineRule="auto"/>
    </w:pPr>
    <w:rPr>
      <w:sz w:val="24"/>
      <w:lang w:eastAsia="sk-SK"/>
    </w:rPr>
  </w:style>
  <w:style w:type="paragraph" w:customStyle="1" w:styleId="Datum">
    <w:name w:val="Datum"/>
    <w:basedOn w:val="Normlny"/>
    <w:rsid w:val="00E06791"/>
    <w:pPr>
      <w:tabs>
        <w:tab w:val="clear" w:pos="567"/>
      </w:tabs>
      <w:spacing w:line="240" w:lineRule="auto"/>
    </w:pPr>
    <w:rPr>
      <w:sz w:val="20"/>
      <w:lang w:val="cs-CZ" w:eastAsia="sk-SK"/>
    </w:rPr>
  </w:style>
  <w:style w:type="character" w:styleId="Odkaznakomentr">
    <w:name w:val="annotation reference"/>
    <w:rsid w:val="00467EF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67EFF"/>
    <w:rPr>
      <w:sz w:val="20"/>
      <w:lang w:val="en-GB"/>
    </w:rPr>
  </w:style>
  <w:style w:type="paragraph" w:styleId="Predmetkomentra">
    <w:name w:val="annotation subject"/>
    <w:basedOn w:val="Textkomentra"/>
    <w:next w:val="Textkomentra"/>
    <w:semiHidden/>
    <w:rsid w:val="00467EFF"/>
    <w:rPr>
      <w:b/>
      <w:bCs/>
    </w:rPr>
  </w:style>
  <w:style w:type="character" w:customStyle="1" w:styleId="apple-converted-space">
    <w:name w:val="apple-converted-space"/>
    <w:rsid w:val="001B7073"/>
  </w:style>
  <w:style w:type="paragraph" w:styleId="Oznaitext">
    <w:name w:val="Block Text"/>
    <w:basedOn w:val="Normlny"/>
    <w:rsid w:val="001B7073"/>
    <w:pPr>
      <w:tabs>
        <w:tab w:val="clear" w:pos="567"/>
      </w:tabs>
      <w:ind w:left="1701" w:right="-92" w:hanging="1701"/>
      <w:jc w:val="both"/>
    </w:pPr>
    <w:rPr>
      <w:szCs w:val="22"/>
    </w:rPr>
  </w:style>
  <w:style w:type="paragraph" w:styleId="Normlnywebov">
    <w:name w:val="Normal (Web)"/>
    <w:basedOn w:val="Normlny"/>
    <w:unhideWhenUsed/>
    <w:rsid w:val="001B7073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eastAsia="sk-SK"/>
    </w:rPr>
  </w:style>
  <w:style w:type="character" w:styleId="Hypertextovprepojenie">
    <w:name w:val="Hyperlink"/>
    <w:rsid w:val="0074578E"/>
    <w:rPr>
      <w:color w:val="0000FF"/>
      <w:u w:val="single"/>
    </w:rPr>
  </w:style>
  <w:style w:type="character" w:customStyle="1" w:styleId="TextkomentraChar">
    <w:name w:val="Text komentára Char"/>
    <w:link w:val="Textkomentra"/>
    <w:rsid w:val="0074578E"/>
    <w:rPr>
      <w:lang w:val="en-GB" w:eastAsia="en-US"/>
    </w:rPr>
  </w:style>
  <w:style w:type="paragraph" w:styleId="Revzia">
    <w:name w:val="Revision"/>
    <w:hidden/>
    <w:uiPriority w:val="99"/>
    <w:semiHidden/>
    <w:rsid w:val="00F5213D"/>
    <w:rPr>
      <w:sz w:val="22"/>
      <w:lang w:eastAsia="en-US"/>
    </w:rPr>
  </w:style>
  <w:style w:type="paragraph" w:customStyle="1" w:styleId="Text">
    <w:name w:val="Text"/>
    <w:rsid w:val="00402083"/>
    <w:pPr>
      <w:spacing w:line="240" w:lineRule="atLeast"/>
      <w:ind w:left="568"/>
    </w:pPr>
    <w:rPr>
      <w:rFonts w:ascii="Arial" w:eastAsia="MS Mincho" w:hAnsi="Arial" w:cs="Arial"/>
      <w:lang w:val="de-DE" w:eastAsia="de-DE"/>
    </w:rPr>
  </w:style>
  <w:style w:type="character" w:styleId="Odkaznakoncovpoznmku">
    <w:name w:val="endnote reference"/>
    <w:uiPriority w:val="99"/>
    <w:unhideWhenUsed/>
    <w:rsid w:val="008218AA"/>
    <w:rPr>
      <w:vertAlign w:val="superscript"/>
    </w:rPr>
  </w:style>
  <w:style w:type="character" w:customStyle="1" w:styleId="PtaChar">
    <w:name w:val="Päta Char"/>
    <w:link w:val="Pta"/>
    <w:uiPriority w:val="99"/>
    <w:rsid w:val="007D4232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60BA-855F-481E-BB81-8D16BF6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3392</Words>
  <Characters>19341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[Version 6</vt:lpstr>
      <vt:lpstr>[Version 6</vt:lpstr>
      <vt:lpstr>[Version 6</vt:lpstr>
    </vt:vector>
  </TitlesOfParts>
  <Company>Richter Gedeon Rt.</Company>
  <LinksUpToDate>false</LinksUpToDate>
  <CharactersWithSpaces>22688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6</dc:title>
  <dc:subject/>
  <dc:creator>Richter Gedeon Rt.</dc:creator>
  <cp:keywords/>
  <cp:lastModifiedBy> Jana Repiščáková</cp:lastModifiedBy>
  <cp:revision>8</cp:revision>
  <cp:lastPrinted>2014-04-01T12:08:00Z</cp:lastPrinted>
  <dcterms:created xsi:type="dcterms:W3CDTF">2017-07-06T07:50:00Z</dcterms:created>
  <dcterms:modified xsi:type="dcterms:W3CDTF">2017-07-24T09:26:00Z</dcterms:modified>
</cp:coreProperties>
</file>