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FF" w:rsidRPr="002823CB" w:rsidRDefault="004160FF" w:rsidP="004160FF">
      <w:pPr>
        <w:tabs>
          <w:tab w:val="left" w:pos="-1440"/>
          <w:tab w:val="left" w:pos="-720"/>
        </w:tabs>
        <w:spacing w:line="240" w:lineRule="auto"/>
        <w:jc w:val="center"/>
        <w:rPr>
          <w:b/>
          <w:lang w:val="sk-SK"/>
        </w:rPr>
      </w:pPr>
      <w:r w:rsidRPr="002823CB">
        <w:rPr>
          <w:b/>
          <w:szCs w:val="22"/>
          <w:lang w:val="sk-SK"/>
        </w:rPr>
        <w:t>SÚHRN CHARAKTERISTICKÝCH VLASTNOSTÍ LIEKU</w:t>
      </w:r>
    </w:p>
    <w:p w:rsidR="004160FF" w:rsidRPr="002823CB" w:rsidRDefault="004160FF" w:rsidP="004160FF">
      <w:pPr>
        <w:tabs>
          <w:tab w:val="left" w:pos="-1440"/>
          <w:tab w:val="left" w:pos="-720"/>
        </w:tabs>
        <w:spacing w:line="240" w:lineRule="auto"/>
        <w:rPr>
          <w:b/>
          <w:lang w:val="sk-SK"/>
        </w:rPr>
      </w:pPr>
    </w:p>
    <w:p w:rsidR="004160FF" w:rsidRPr="002823CB" w:rsidRDefault="004160FF" w:rsidP="004160FF">
      <w:pPr>
        <w:widowControl w:val="0"/>
        <w:spacing w:line="240" w:lineRule="auto"/>
        <w:rPr>
          <w:lang w:val="sk-SK"/>
        </w:rPr>
      </w:pPr>
      <w:r w:rsidRPr="002823CB">
        <w:rPr>
          <w:b/>
          <w:lang w:val="sk-SK"/>
        </w:rPr>
        <w:t>1.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NÁZOV LIEKU</w:t>
      </w:r>
    </w:p>
    <w:p w:rsidR="004160FF" w:rsidRPr="002823CB" w:rsidRDefault="004160FF" w:rsidP="004160FF">
      <w:pPr>
        <w:widowControl w:val="0"/>
        <w:spacing w:line="240" w:lineRule="auto"/>
        <w:rPr>
          <w:szCs w:val="22"/>
          <w:lang w:val="sk-SK"/>
        </w:rPr>
      </w:pPr>
    </w:p>
    <w:p w:rsidR="004160FF" w:rsidRPr="002823CB" w:rsidRDefault="004160FF" w:rsidP="004160FF">
      <w:pPr>
        <w:widowControl w:val="0"/>
        <w:spacing w:line="240" w:lineRule="auto"/>
        <w:rPr>
          <w:lang w:val="sk-SK"/>
        </w:rPr>
      </w:pPr>
      <w:r w:rsidRPr="002823CB">
        <w:rPr>
          <w:lang w:val="sk-SK"/>
        </w:rPr>
        <w:t>Peroxid vodíka 3 % MIKROCHEM</w:t>
      </w:r>
    </w:p>
    <w:p w:rsidR="004160FF" w:rsidRPr="002823CB" w:rsidRDefault="004160FF" w:rsidP="004160FF">
      <w:pPr>
        <w:widowControl w:val="0"/>
        <w:spacing w:line="240" w:lineRule="auto"/>
        <w:rPr>
          <w:lang w:val="sk-SK"/>
        </w:rPr>
      </w:pPr>
      <w:proofErr w:type="spellStart"/>
      <w:r w:rsidRPr="002823CB">
        <w:rPr>
          <w:lang w:val="sk-SK"/>
        </w:rPr>
        <w:t>Dermálny</w:t>
      </w:r>
      <w:proofErr w:type="spellEnd"/>
      <w:r w:rsidRPr="002823CB">
        <w:rPr>
          <w:lang w:val="sk-SK"/>
        </w:rPr>
        <w:t xml:space="preserve"> a orálny roztok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widowControl w:val="0"/>
        <w:spacing w:line="240" w:lineRule="auto"/>
        <w:rPr>
          <w:lang w:val="sk-SK"/>
        </w:rPr>
      </w:pPr>
      <w:r w:rsidRPr="002823CB">
        <w:rPr>
          <w:b/>
          <w:lang w:val="sk-SK"/>
        </w:rPr>
        <w:t>2.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KVALITATÍVNE A KVANTITATÍVNE ZLOŽENIE</w:t>
      </w:r>
    </w:p>
    <w:p w:rsidR="004160FF" w:rsidRPr="002823CB" w:rsidRDefault="004160FF" w:rsidP="004160FF">
      <w:pPr>
        <w:spacing w:line="240" w:lineRule="auto"/>
        <w:jc w:val="both"/>
        <w:rPr>
          <w:lang w:val="sk-SK"/>
        </w:rPr>
      </w:pPr>
    </w:p>
    <w:p w:rsidR="004160FF" w:rsidRPr="002823CB" w:rsidRDefault="004160FF" w:rsidP="004160FF">
      <w:pPr>
        <w:spacing w:line="240" w:lineRule="auto"/>
        <w:jc w:val="both"/>
        <w:rPr>
          <w:lang w:val="sk-SK"/>
        </w:rPr>
      </w:pPr>
      <w:r w:rsidRPr="002823CB">
        <w:rPr>
          <w:lang w:val="sk-SK"/>
        </w:rPr>
        <w:t>1 g roztoku obsahuje 100 mg peroxidu vodíka 30 %.</w:t>
      </w:r>
    </w:p>
    <w:p w:rsidR="004160FF" w:rsidRPr="002823CB" w:rsidRDefault="004160FF" w:rsidP="004160FF">
      <w:pPr>
        <w:spacing w:line="240" w:lineRule="auto"/>
        <w:jc w:val="both"/>
        <w:rPr>
          <w:szCs w:val="22"/>
          <w:lang w:val="sk-SK"/>
        </w:rPr>
      </w:pPr>
    </w:p>
    <w:p w:rsidR="004160FF" w:rsidRPr="002823CB" w:rsidRDefault="004160FF" w:rsidP="004160FF">
      <w:pPr>
        <w:spacing w:line="240" w:lineRule="auto"/>
        <w:jc w:val="both"/>
        <w:rPr>
          <w:lang w:val="sk-SK"/>
        </w:rPr>
      </w:pPr>
      <w:r w:rsidRPr="002823CB">
        <w:rPr>
          <w:szCs w:val="22"/>
          <w:lang w:val="sk-SK"/>
        </w:rPr>
        <w:t>Úplný zoznam pomocných látok, pozri časť 6.1.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rPr>
          <w:caps/>
          <w:lang w:val="sk-SK"/>
        </w:rPr>
      </w:pPr>
      <w:r w:rsidRPr="002823CB">
        <w:rPr>
          <w:b/>
          <w:lang w:val="sk-SK"/>
        </w:rPr>
        <w:t>3.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LIEKOVÁ FORMA</w:t>
      </w:r>
    </w:p>
    <w:p w:rsidR="004160FF" w:rsidRPr="002823CB" w:rsidRDefault="004160FF" w:rsidP="004160FF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4160FF" w:rsidRPr="002823CB" w:rsidRDefault="004160FF" w:rsidP="004160FF">
      <w:pPr>
        <w:autoSpaceDE w:val="0"/>
        <w:autoSpaceDN w:val="0"/>
        <w:adjustRightInd w:val="0"/>
        <w:spacing w:line="240" w:lineRule="auto"/>
        <w:jc w:val="both"/>
        <w:rPr>
          <w:lang w:val="sk-SK"/>
        </w:rPr>
      </w:pPr>
      <w:proofErr w:type="spellStart"/>
      <w:r w:rsidRPr="002823CB">
        <w:rPr>
          <w:lang w:val="sk-SK"/>
        </w:rPr>
        <w:t>Dermálny</w:t>
      </w:r>
      <w:proofErr w:type="spellEnd"/>
      <w:r w:rsidRPr="002823CB">
        <w:rPr>
          <w:lang w:val="sk-SK"/>
        </w:rPr>
        <w:t xml:space="preserve"> a orálny roztok.</w:t>
      </w:r>
    </w:p>
    <w:p w:rsidR="004160FF" w:rsidRPr="002823CB" w:rsidRDefault="004160FF" w:rsidP="004160FF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outlineLvl w:val="0"/>
        <w:rPr>
          <w:lang w:val="sk-SK"/>
        </w:rPr>
      </w:pPr>
      <w:r w:rsidRPr="002823CB">
        <w:rPr>
          <w:lang w:val="sk-SK"/>
        </w:rPr>
        <w:t>Peroxid vodíka 3 % MIKROCHEM je číry, bezfarebný roztok slabého charakteristického zápachu.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rPr>
          <w:caps/>
          <w:lang w:val="sk-SK"/>
        </w:rPr>
      </w:pPr>
      <w:r w:rsidRPr="002823CB">
        <w:rPr>
          <w:b/>
          <w:caps/>
          <w:lang w:val="sk-SK"/>
        </w:rPr>
        <w:t>4.</w:t>
      </w:r>
      <w:r w:rsidRPr="002823CB">
        <w:rPr>
          <w:b/>
          <w:caps/>
          <w:lang w:val="sk-SK"/>
        </w:rPr>
        <w:tab/>
      </w:r>
      <w:r w:rsidRPr="002823CB">
        <w:rPr>
          <w:b/>
          <w:lang w:val="sk-SK"/>
        </w:rPr>
        <w:t>KLINICKÉ ÚDAJE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outlineLvl w:val="0"/>
        <w:rPr>
          <w:lang w:val="sk-SK"/>
        </w:rPr>
      </w:pPr>
      <w:r w:rsidRPr="002823CB">
        <w:rPr>
          <w:b/>
          <w:lang w:val="sk-SK"/>
        </w:rPr>
        <w:t>4.1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Terapeutické indikácie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jc w:val="both"/>
        <w:rPr>
          <w:lang w:val="sk-SK"/>
        </w:rPr>
      </w:pPr>
      <w:r w:rsidRPr="002823CB">
        <w:rPr>
          <w:lang w:val="sk-SK"/>
        </w:rPr>
        <w:t xml:space="preserve">Liek sa používa ako topické antiseptikum na čistenie a dezodoráciu rán, vredov, na výplachy ústnej dutiny pri </w:t>
      </w:r>
      <w:proofErr w:type="spellStart"/>
      <w:r w:rsidRPr="002823CB">
        <w:rPr>
          <w:lang w:val="sk-SK"/>
        </w:rPr>
        <w:t>stomatitíde</w:t>
      </w:r>
      <w:proofErr w:type="spellEnd"/>
      <w:r w:rsidRPr="002823CB">
        <w:rPr>
          <w:lang w:val="sk-SK"/>
        </w:rPr>
        <w:t xml:space="preserve">, </w:t>
      </w:r>
      <w:proofErr w:type="spellStart"/>
      <w:r w:rsidRPr="002823CB">
        <w:rPr>
          <w:lang w:val="sk-SK"/>
        </w:rPr>
        <w:t>gingivitíde</w:t>
      </w:r>
      <w:proofErr w:type="spellEnd"/>
      <w:r w:rsidRPr="002823CB">
        <w:rPr>
          <w:lang w:val="sk-SK"/>
        </w:rPr>
        <w:t xml:space="preserve">, </w:t>
      </w:r>
      <w:proofErr w:type="spellStart"/>
      <w:r w:rsidRPr="002823CB">
        <w:rPr>
          <w:lang w:val="sk-SK"/>
        </w:rPr>
        <w:t>parodontopatiách</w:t>
      </w:r>
      <w:proofErr w:type="spellEnd"/>
      <w:r w:rsidRPr="002823CB">
        <w:rPr>
          <w:lang w:val="sk-SK"/>
        </w:rPr>
        <w:t xml:space="preserve"> alebo ako kloktadlo. V zubnom lekárstve sa používa na preliečenie koreňového kanála.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outlineLvl w:val="0"/>
        <w:rPr>
          <w:b/>
          <w:lang w:val="sk-SK"/>
        </w:rPr>
      </w:pPr>
      <w:r w:rsidRPr="002823CB">
        <w:rPr>
          <w:b/>
          <w:lang w:val="sk-SK"/>
        </w:rPr>
        <w:t>4.2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Dávkovanie a spôsob podávania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u w:val="single"/>
          <w:lang w:val="sk-SK"/>
        </w:rPr>
      </w:pPr>
      <w:r w:rsidRPr="002823CB">
        <w:rPr>
          <w:szCs w:val="22"/>
          <w:u w:val="single"/>
          <w:lang w:val="sk-SK"/>
        </w:rPr>
        <w:t>Dávkovanie</w:t>
      </w:r>
    </w:p>
    <w:p w:rsidR="004160FF" w:rsidRPr="002823CB" w:rsidRDefault="004160FF" w:rsidP="004160FF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4160FF" w:rsidRPr="002823CB" w:rsidRDefault="004160FF" w:rsidP="004160FF">
      <w:pPr>
        <w:autoSpaceDE w:val="0"/>
        <w:autoSpaceDN w:val="0"/>
        <w:adjustRightInd w:val="0"/>
        <w:spacing w:line="240" w:lineRule="auto"/>
        <w:jc w:val="both"/>
        <w:rPr>
          <w:lang w:val="sk-SK"/>
        </w:rPr>
      </w:pPr>
      <w:r w:rsidRPr="002823CB">
        <w:rPr>
          <w:lang w:val="sk-SK"/>
        </w:rPr>
        <w:t xml:space="preserve">Liek je vo forme určenej na </w:t>
      </w:r>
      <w:proofErr w:type="spellStart"/>
      <w:r w:rsidRPr="002823CB">
        <w:rPr>
          <w:lang w:val="sk-SK"/>
        </w:rPr>
        <w:t>dermálne</w:t>
      </w:r>
      <w:proofErr w:type="spellEnd"/>
      <w:r w:rsidRPr="002823CB">
        <w:rPr>
          <w:lang w:val="sk-SK"/>
        </w:rPr>
        <w:t xml:space="preserve"> a orálne použitie. Pre použitie v dutine ústnej je možné riedenie použitého množstva lieku rovnakým objemom vody.</w:t>
      </w:r>
    </w:p>
    <w:p w:rsidR="004160FF" w:rsidRPr="002823CB" w:rsidRDefault="004160FF" w:rsidP="004160FF">
      <w:pPr>
        <w:spacing w:line="240" w:lineRule="auto"/>
        <w:rPr>
          <w:szCs w:val="22"/>
          <w:u w:val="single"/>
          <w:lang w:val="sk-SK"/>
        </w:rPr>
      </w:pPr>
    </w:p>
    <w:p w:rsidR="004160FF" w:rsidRPr="002823CB" w:rsidRDefault="004160FF" w:rsidP="004160FF">
      <w:pPr>
        <w:spacing w:line="240" w:lineRule="auto"/>
        <w:rPr>
          <w:u w:val="single"/>
          <w:lang w:val="sk-SK"/>
        </w:rPr>
      </w:pPr>
      <w:r w:rsidRPr="002823CB">
        <w:rPr>
          <w:szCs w:val="22"/>
          <w:u w:val="single"/>
          <w:lang w:val="sk-SK"/>
        </w:rPr>
        <w:t>Spôsob podávania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jc w:val="both"/>
        <w:rPr>
          <w:lang w:val="sk-SK"/>
        </w:rPr>
      </w:pPr>
      <w:r w:rsidRPr="002823CB">
        <w:rPr>
          <w:lang w:val="sk-SK"/>
        </w:rPr>
        <w:t>Poranenie ošetriť dostatočným množstvom roztoku.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rPr>
          <w:szCs w:val="22"/>
          <w:lang w:val="sk-SK"/>
        </w:rPr>
      </w:pPr>
      <w:r w:rsidRPr="002823CB">
        <w:rPr>
          <w:b/>
          <w:szCs w:val="22"/>
          <w:lang w:val="sk-SK"/>
        </w:rPr>
        <w:t>4.3</w:t>
      </w:r>
      <w:r w:rsidRPr="002823CB">
        <w:rPr>
          <w:b/>
          <w:szCs w:val="22"/>
          <w:lang w:val="sk-SK"/>
        </w:rPr>
        <w:tab/>
        <w:t>Kontraindikácie</w:t>
      </w:r>
    </w:p>
    <w:p w:rsidR="004160FF" w:rsidRPr="002823CB" w:rsidRDefault="004160FF" w:rsidP="004160FF">
      <w:pPr>
        <w:spacing w:line="240" w:lineRule="auto"/>
        <w:rPr>
          <w:szCs w:val="22"/>
          <w:lang w:val="sk-SK"/>
        </w:rPr>
      </w:pPr>
    </w:p>
    <w:p w:rsidR="004160FF" w:rsidRPr="002823CB" w:rsidRDefault="004160FF" w:rsidP="004160FF">
      <w:pPr>
        <w:spacing w:line="240" w:lineRule="auto"/>
        <w:rPr>
          <w:szCs w:val="22"/>
          <w:lang w:val="sk-SK"/>
        </w:rPr>
      </w:pPr>
      <w:r w:rsidRPr="002823CB">
        <w:rPr>
          <w:szCs w:val="22"/>
          <w:lang w:val="sk-SK"/>
        </w:rPr>
        <w:t>Precitlivenosť na liečivo alebo na ktorúkoľvek z pomocných látok uvedených v časti 6.1.</w:t>
      </w:r>
    </w:p>
    <w:p w:rsidR="004160FF" w:rsidRPr="002823CB" w:rsidRDefault="004160FF" w:rsidP="004160FF">
      <w:pPr>
        <w:spacing w:line="240" w:lineRule="auto"/>
        <w:rPr>
          <w:szCs w:val="22"/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rPr>
          <w:b/>
          <w:szCs w:val="22"/>
          <w:lang w:val="sk-SK"/>
        </w:rPr>
      </w:pPr>
      <w:r w:rsidRPr="002823CB">
        <w:rPr>
          <w:b/>
          <w:szCs w:val="22"/>
          <w:lang w:val="sk-SK"/>
        </w:rPr>
        <w:t>4.4</w:t>
      </w:r>
      <w:r w:rsidRPr="002823CB">
        <w:rPr>
          <w:b/>
          <w:szCs w:val="22"/>
          <w:lang w:val="sk-SK"/>
        </w:rPr>
        <w:tab/>
        <w:t>Osobitné upozornenia a opatrenia pri používaní</w:t>
      </w:r>
    </w:p>
    <w:p w:rsidR="004160FF" w:rsidRPr="002823CB" w:rsidRDefault="004160FF" w:rsidP="004160FF">
      <w:pPr>
        <w:spacing w:line="240" w:lineRule="auto"/>
        <w:ind w:left="567" w:hanging="567"/>
        <w:rPr>
          <w:lang w:val="sk-SK"/>
        </w:rPr>
      </w:pPr>
    </w:p>
    <w:p w:rsidR="004160FF" w:rsidRPr="002823CB" w:rsidRDefault="004160FF" w:rsidP="004160FF">
      <w:pPr>
        <w:spacing w:line="240" w:lineRule="auto"/>
        <w:jc w:val="both"/>
        <w:rPr>
          <w:szCs w:val="22"/>
          <w:lang w:val="sk-SK"/>
        </w:rPr>
      </w:pPr>
      <w:r w:rsidRPr="002823CB">
        <w:rPr>
          <w:szCs w:val="22"/>
          <w:lang w:val="sk-SK"/>
        </w:rPr>
        <w:t xml:space="preserve">Liek sa nesmie používať vnútorne, pretože dochádza k poškodeniu sliznice </w:t>
      </w:r>
      <w:proofErr w:type="spellStart"/>
      <w:r w:rsidRPr="002823CB">
        <w:rPr>
          <w:szCs w:val="22"/>
          <w:lang w:val="sk-SK"/>
        </w:rPr>
        <w:t>gastrointestinálného</w:t>
      </w:r>
      <w:proofErr w:type="spellEnd"/>
      <w:r w:rsidRPr="002823CB">
        <w:rPr>
          <w:szCs w:val="22"/>
          <w:lang w:val="sk-SK"/>
        </w:rPr>
        <w:t xml:space="preserve"> traktu (</w:t>
      </w:r>
      <w:proofErr w:type="spellStart"/>
      <w:r w:rsidRPr="002823CB">
        <w:rPr>
          <w:szCs w:val="22"/>
          <w:lang w:val="sk-SK"/>
        </w:rPr>
        <w:t>hemoragická</w:t>
      </w:r>
      <w:proofErr w:type="spellEnd"/>
      <w:r w:rsidRPr="002823CB">
        <w:rPr>
          <w:szCs w:val="22"/>
          <w:lang w:val="sk-SK"/>
        </w:rPr>
        <w:t xml:space="preserve"> gastritída) a k prieniku plynného kyslíka do </w:t>
      </w:r>
      <w:proofErr w:type="spellStart"/>
      <w:r w:rsidRPr="002823CB">
        <w:rPr>
          <w:szCs w:val="22"/>
          <w:lang w:val="sk-SK"/>
        </w:rPr>
        <w:t>portálnej</w:t>
      </w:r>
      <w:proofErr w:type="spellEnd"/>
      <w:r w:rsidRPr="002823CB">
        <w:rPr>
          <w:szCs w:val="22"/>
          <w:lang w:val="sk-SK"/>
        </w:rPr>
        <w:t xml:space="preserve"> cirkulácie. Liek nesmie prísť do styku s okom. Liek sa nesmie používať na ošetrenie hlbokých rán a abscesových dutín (</w:t>
      </w:r>
      <w:proofErr w:type="spellStart"/>
      <w:r w:rsidRPr="002823CB">
        <w:rPr>
          <w:szCs w:val="22"/>
          <w:lang w:val="sk-SK"/>
        </w:rPr>
        <w:t>nebezpečie</w:t>
      </w:r>
      <w:proofErr w:type="spellEnd"/>
      <w:r w:rsidRPr="002823CB">
        <w:rPr>
          <w:szCs w:val="22"/>
          <w:lang w:val="sk-SK"/>
        </w:rPr>
        <w:t xml:space="preserve"> tkanivového </w:t>
      </w:r>
      <w:proofErr w:type="spellStart"/>
      <w:r w:rsidRPr="002823CB">
        <w:rPr>
          <w:szCs w:val="22"/>
          <w:lang w:val="sk-SK"/>
        </w:rPr>
        <w:t>emfyzému</w:t>
      </w:r>
      <w:proofErr w:type="spellEnd"/>
      <w:r w:rsidRPr="002823CB">
        <w:rPr>
          <w:szCs w:val="22"/>
          <w:lang w:val="sk-SK"/>
        </w:rPr>
        <w:t xml:space="preserve"> alebo kyslíkovej embólie).</w:t>
      </w:r>
    </w:p>
    <w:p w:rsidR="004160FF" w:rsidRPr="002823CB" w:rsidRDefault="004160FF" w:rsidP="004160FF">
      <w:pPr>
        <w:spacing w:line="240" w:lineRule="auto"/>
        <w:rPr>
          <w:szCs w:val="22"/>
          <w:lang w:val="sk-SK"/>
        </w:rPr>
      </w:pPr>
    </w:p>
    <w:p w:rsidR="004160FF" w:rsidRPr="002823CB" w:rsidRDefault="004160FF" w:rsidP="004160F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both"/>
        <w:rPr>
          <w:lang w:val="sk-SK"/>
        </w:rPr>
      </w:pPr>
      <w:r w:rsidRPr="002823CB">
        <w:rPr>
          <w:lang w:val="sk-SK"/>
        </w:rPr>
        <w:t xml:space="preserve">Liek obsahuje kyselinu </w:t>
      </w:r>
      <w:proofErr w:type="spellStart"/>
      <w:r w:rsidRPr="002823CB">
        <w:rPr>
          <w:lang w:val="sk-SK"/>
        </w:rPr>
        <w:t>benzoovú</w:t>
      </w:r>
      <w:proofErr w:type="spellEnd"/>
      <w:r w:rsidRPr="002823CB">
        <w:rPr>
          <w:lang w:val="sk-SK"/>
        </w:rPr>
        <w:t>.</w:t>
      </w:r>
    </w:p>
    <w:p w:rsidR="004160FF" w:rsidRPr="002823CB" w:rsidRDefault="004160FF" w:rsidP="004160F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both"/>
        <w:rPr>
          <w:lang w:val="sk-SK"/>
        </w:rPr>
      </w:pPr>
      <w:r w:rsidRPr="002823CB">
        <w:rPr>
          <w:lang w:val="sk-SK"/>
        </w:rPr>
        <w:t>Mierne dráždivý účinok na kožu, oči a sliznice.</w:t>
      </w:r>
    </w:p>
    <w:p w:rsidR="004160FF" w:rsidRPr="002823CB" w:rsidRDefault="004160FF" w:rsidP="004160FF">
      <w:pPr>
        <w:spacing w:line="240" w:lineRule="auto"/>
        <w:rPr>
          <w:szCs w:val="22"/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outlineLvl w:val="0"/>
        <w:rPr>
          <w:szCs w:val="22"/>
          <w:lang w:val="sk-SK"/>
        </w:rPr>
      </w:pPr>
      <w:r w:rsidRPr="002823CB">
        <w:rPr>
          <w:b/>
          <w:szCs w:val="22"/>
          <w:lang w:val="sk-SK"/>
        </w:rPr>
        <w:t>4.5</w:t>
      </w:r>
      <w:r w:rsidRPr="002823CB">
        <w:rPr>
          <w:b/>
          <w:szCs w:val="22"/>
          <w:lang w:val="sk-SK"/>
        </w:rPr>
        <w:tab/>
        <w:t>Liekové a iné interakcie</w:t>
      </w:r>
    </w:p>
    <w:p w:rsidR="004160FF" w:rsidRPr="002823CB" w:rsidRDefault="004160FF" w:rsidP="004160FF">
      <w:pPr>
        <w:spacing w:line="240" w:lineRule="auto"/>
        <w:rPr>
          <w:szCs w:val="22"/>
          <w:lang w:val="sk-SK"/>
        </w:rPr>
      </w:pPr>
    </w:p>
    <w:p w:rsidR="004160FF" w:rsidRPr="002823CB" w:rsidRDefault="004160FF" w:rsidP="004160FF">
      <w:pPr>
        <w:spacing w:line="240" w:lineRule="auto"/>
        <w:jc w:val="both"/>
        <w:rPr>
          <w:szCs w:val="22"/>
          <w:lang w:val="sk-SK"/>
        </w:rPr>
      </w:pPr>
      <w:r w:rsidRPr="002823CB">
        <w:rPr>
          <w:szCs w:val="22"/>
          <w:lang w:val="sk-SK"/>
        </w:rPr>
        <w:lastRenderedPageBreak/>
        <w:t xml:space="preserve">Pôsobením svetla, iónov ťažkých kovov ako aj </w:t>
      </w:r>
      <w:proofErr w:type="spellStart"/>
      <w:r w:rsidRPr="002823CB">
        <w:rPr>
          <w:szCs w:val="22"/>
          <w:lang w:val="sk-SK"/>
        </w:rPr>
        <w:t>okysličiteľných</w:t>
      </w:r>
      <w:proofErr w:type="spellEnd"/>
      <w:r w:rsidRPr="002823CB">
        <w:rPr>
          <w:szCs w:val="22"/>
          <w:lang w:val="sk-SK"/>
        </w:rPr>
        <w:t xml:space="preserve"> organických látok sa liek rozkladá už pri obyčajnej teplote za vývoja kyslíka.</w:t>
      </w:r>
    </w:p>
    <w:p w:rsidR="004160FF" w:rsidRPr="002823CB" w:rsidRDefault="004160FF" w:rsidP="004160FF">
      <w:pPr>
        <w:spacing w:line="240" w:lineRule="auto"/>
        <w:rPr>
          <w:szCs w:val="22"/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outlineLvl w:val="0"/>
        <w:rPr>
          <w:lang w:val="sk-SK"/>
        </w:rPr>
      </w:pPr>
      <w:r w:rsidRPr="002823CB">
        <w:rPr>
          <w:b/>
          <w:lang w:val="sk-SK"/>
        </w:rPr>
        <w:t>4.6</w:t>
      </w:r>
      <w:r w:rsidRPr="002823CB">
        <w:rPr>
          <w:b/>
          <w:lang w:val="sk-SK"/>
        </w:rPr>
        <w:tab/>
      </w:r>
      <w:proofErr w:type="spellStart"/>
      <w:r w:rsidRPr="002823CB">
        <w:rPr>
          <w:b/>
          <w:szCs w:val="22"/>
          <w:lang w:val="sk-SK"/>
        </w:rPr>
        <w:t>Fertilita</w:t>
      </w:r>
      <w:proofErr w:type="spellEnd"/>
      <w:r w:rsidRPr="002823CB">
        <w:rPr>
          <w:b/>
          <w:szCs w:val="22"/>
          <w:lang w:val="sk-SK"/>
        </w:rPr>
        <w:t>, gravidita a laktácia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szCs w:val="22"/>
          <w:lang w:val="sk-SK"/>
        </w:rPr>
      </w:pPr>
      <w:r w:rsidRPr="002823CB">
        <w:rPr>
          <w:szCs w:val="22"/>
          <w:u w:val="single"/>
          <w:lang w:val="sk-SK"/>
        </w:rPr>
        <w:t>Gravidita</w:t>
      </w:r>
    </w:p>
    <w:p w:rsidR="004160FF" w:rsidRPr="002823CB" w:rsidRDefault="004160FF" w:rsidP="004160FF">
      <w:pPr>
        <w:spacing w:line="240" w:lineRule="auto"/>
        <w:rPr>
          <w:szCs w:val="22"/>
          <w:lang w:val="sk-SK"/>
        </w:rPr>
      </w:pPr>
    </w:p>
    <w:p w:rsidR="004160FF" w:rsidRPr="002823CB" w:rsidRDefault="004160FF" w:rsidP="004160FF">
      <w:pPr>
        <w:spacing w:line="240" w:lineRule="auto"/>
        <w:rPr>
          <w:lang w:val="sk-SK"/>
        </w:rPr>
      </w:pPr>
      <w:r w:rsidRPr="002823CB">
        <w:rPr>
          <w:lang w:val="sk-SK"/>
        </w:rPr>
        <w:t>Liek je možné používať v období gravidity v rámci uvedených indikácií.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szCs w:val="22"/>
          <w:lang w:val="sk-SK"/>
        </w:rPr>
      </w:pPr>
      <w:r w:rsidRPr="002823CB">
        <w:rPr>
          <w:szCs w:val="22"/>
          <w:u w:val="single"/>
          <w:lang w:val="sk-SK"/>
        </w:rPr>
        <w:t>Dojčenie</w:t>
      </w:r>
    </w:p>
    <w:p w:rsidR="004160FF" w:rsidRPr="002823CB" w:rsidRDefault="004160FF" w:rsidP="004160FF">
      <w:pPr>
        <w:spacing w:line="240" w:lineRule="auto"/>
        <w:rPr>
          <w:szCs w:val="22"/>
          <w:lang w:val="sk-SK"/>
        </w:rPr>
      </w:pPr>
    </w:p>
    <w:p w:rsidR="004160FF" w:rsidRPr="002823CB" w:rsidRDefault="004160FF" w:rsidP="004160FF">
      <w:pPr>
        <w:spacing w:line="240" w:lineRule="auto"/>
        <w:rPr>
          <w:lang w:val="sk-SK"/>
        </w:rPr>
      </w:pPr>
      <w:r w:rsidRPr="002823CB">
        <w:rPr>
          <w:lang w:val="sk-SK"/>
        </w:rPr>
        <w:t>Liek je možné používať v období dojčenia v rámci uvedených indikácií.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outlineLvl w:val="0"/>
        <w:rPr>
          <w:lang w:val="sk-SK"/>
        </w:rPr>
      </w:pPr>
      <w:r w:rsidRPr="002823CB">
        <w:rPr>
          <w:b/>
          <w:lang w:val="sk-SK"/>
        </w:rPr>
        <w:t>4.7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Ovplyvnenie schopnosti viesť vozidlá a obsluhovať stroje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szCs w:val="22"/>
          <w:lang w:val="sk-SK"/>
        </w:rPr>
      </w:pPr>
      <w:r w:rsidRPr="002823CB">
        <w:rPr>
          <w:lang w:val="sk-SK"/>
        </w:rPr>
        <w:t xml:space="preserve">Peroxid vodíka 3 % MIKROCHEM </w:t>
      </w:r>
      <w:r w:rsidRPr="002823CB">
        <w:rPr>
          <w:szCs w:val="22"/>
          <w:lang w:val="sk-SK"/>
        </w:rPr>
        <w:t>nemá žiadny vplyv na schopnosť viesť vozidlá a obsluhovať stroje.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outlineLvl w:val="0"/>
        <w:rPr>
          <w:b/>
          <w:lang w:val="sk-SK"/>
        </w:rPr>
      </w:pPr>
      <w:r w:rsidRPr="002823CB">
        <w:rPr>
          <w:b/>
          <w:lang w:val="sk-SK"/>
        </w:rPr>
        <w:t>4.8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Nežiaduce účinky</w:t>
      </w:r>
    </w:p>
    <w:p w:rsidR="004160FF" w:rsidRPr="002823CB" w:rsidRDefault="004160FF" w:rsidP="004160FF">
      <w:pPr>
        <w:autoSpaceDE w:val="0"/>
        <w:autoSpaceDN w:val="0"/>
        <w:adjustRightInd w:val="0"/>
        <w:spacing w:line="240" w:lineRule="auto"/>
        <w:rPr>
          <w:lang w:val="sk-SK"/>
        </w:rPr>
      </w:pPr>
    </w:p>
    <w:p w:rsidR="004160FF" w:rsidRPr="002823CB" w:rsidRDefault="004160FF" w:rsidP="004160FF">
      <w:pPr>
        <w:autoSpaceDE w:val="0"/>
        <w:autoSpaceDN w:val="0"/>
        <w:adjustRightInd w:val="0"/>
        <w:spacing w:line="240" w:lineRule="auto"/>
        <w:jc w:val="both"/>
        <w:rPr>
          <w:lang w:val="sk-SK"/>
        </w:rPr>
      </w:pPr>
      <w:r w:rsidRPr="002823CB">
        <w:rPr>
          <w:lang w:val="sk-SK"/>
        </w:rPr>
        <w:t xml:space="preserve">Dlhodobejšie opakované používanie roztoku na ústne výplachy alebo ako kloktadlo môže vyvolať podráždenie </w:t>
      </w:r>
      <w:proofErr w:type="spellStart"/>
      <w:r w:rsidRPr="002823CB">
        <w:rPr>
          <w:lang w:val="sk-SK"/>
        </w:rPr>
        <w:t>bukálnej</w:t>
      </w:r>
      <w:proofErr w:type="spellEnd"/>
      <w:r w:rsidRPr="002823CB">
        <w:rPr>
          <w:lang w:val="sk-SK"/>
        </w:rPr>
        <w:t xml:space="preserve"> sliznice alebo hypertrofiu </w:t>
      </w:r>
      <w:proofErr w:type="spellStart"/>
      <w:r w:rsidRPr="002823CB">
        <w:rPr>
          <w:lang w:val="sk-SK"/>
        </w:rPr>
        <w:t>filiformných</w:t>
      </w:r>
      <w:proofErr w:type="spellEnd"/>
      <w:r w:rsidRPr="002823CB">
        <w:rPr>
          <w:lang w:val="sk-SK"/>
        </w:rPr>
        <w:t xml:space="preserve"> papíl jazyka tzv. „chlpatý jazyk“. Tieto príznaky vymiznú po ukončení používania lieku.</w:t>
      </w:r>
    </w:p>
    <w:p w:rsidR="004160FF" w:rsidRPr="002823CB" w:rsidRDefault="004160FF" w:rsidP="004160FF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4160FF" w:rsidRPr="002823CB" w:rsidRDefault="004160FF" w:rsidP="004160FF">
      <w:pPr>
        <w:autoSpaceDE w:val="0"/>
        <w:autoSpaceDN w:val="0"/>
        <w:adjustRightInd w:val="0"/>
        <w:spacing w:line="240" w:lineRule="auto"/>
        <w:jc w:val="both"/>
        <w:rPr>
          <w:szCs w:val="22"/>
          <w:u w:val="single"/>
          <w:lang w:val="sk-SK"/>
        </w:rPr>
      </w:pPr>
      <w:r w:rsidRPr="002823CB">
        <w:rPr>
          <w:szCs w:val="22"/>
          <w:u w:val="single"/>
          <w:lang w:val="sk-SK"/>
        </w:rPr>
        <w:t>Hlásenie podozrení na nežiaduce reakcie</w:t>
      </w:r>
    </w:p>
    <w:p w:rsidR="004160FF" w:rsidRPr="002823CB" w:rsidRDefault="004160FF" w:rsidP="004160FF">
      <w:pPr>
        <w:autoSpaceDE w:val="0"/>
        <w:autoSpaceDN w:val="0"/>
        <w:adjustRightInd w:val="0"/>
        <w:spacing w:line="240" w:lineRule="auto"/>
        <w:jc w:val="both"/>
        <w:rPr>
          <w:szCs w:val="22"/>
          <w:lang w:val="sk-SK"/>
        </w:rPr>
      </w:pPr>
      <w:r w:rsidRPr="002823CB">
        <w:rPr>
          <w:szCs w:val="22"/>
          <w:lang w:val="sk-SK"/>
        </w:rPr>
        <w:t>Hlásenie podozrení na nežiaduce reakcie po registrácii lieku je dôležité. Umožňuje priebežné monitorovanie pomeru prínosu</w:t>
      </w:r>
      <w:r w:rsidRPr="002823CB">
        <w:rPr>
          <w:lang w:val="sk-SK"/>
        </w:rPr>
        <w:t xml:space="preserve"> a</w:t>
      </w:r>
      <w:r w:rsidRPr="002823CB">
        <w:rPr>
          <w:szCs w:val="22"/>
          <w:lang w:val="sk-SK"/>
        </w:rPr>
        <w:t xml:space="preserve"> rizika lieku. Od zdravotníckych pracovníkov sa vyžaduje, aby hlásili akékoľvek podozrenia na nežiaduce reakcie na </w:t>
      </w:r>
      <w:r w:rsidRPr="007A1DB0">
        <w:rPr>
          <w:szCs w:val="22"/>
          <w:highlight w:val="lightGray"/>
          <w:lang w:val="sk-SK"/>
        </w:rPr>
        <w:t>národné centrum hlásenia uvedené v </w:t>
      </w:r>
      <w:hyperlink r:id="rId8" w:history="1">
        <w:r w:rsidRPr="007A1DB0">
          <w:rPr>
            <w:rStyle w:val="Hypertextovprepojenie"/>
            <w:szCs w:val="22"/>
            <w:highlight w:val="lightGray"/>
            <w:lang w:val="sk-SK"/>
          </w:rPr>
          <w:t>P</w:t>
        </w:r>
        <w:r w:rsidRPr="007A1DB0">
          <w:rPr>
            <w:rStyle w:val="Hypertextovprepojenie"/>
            <w:highlight w:val="lightGray"/>
            <w:lang w:val="sk-SK"/>
          </w:rPr>
          <w:t xml:space="preserve">rílohe </w:t>
        </w:r>
        <w:r w:rsidRPr="007A1DB0">
          <w:rPr>
            <w:rStyle w:val="Hypertextovprepojenie"/>
            <w:szCs w:val="22"/>
            <w:highlight w:val="lightGray"/>
            <w:lang w:val="sk-SK"/>
          </w:rPr>
          <w:t>V</w:t>
        </w:r>
      </w:hyperlink>
      <w:r w:rsidRPr="002823CB">
        <w:rPr>
          <w:szCs w:val="22"/>
          <w:lang w:val="sk-SK"/>
        </w:rPr>
        <w:t>.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outlineLvl w:val="0"/>
        <w:rPr>
          <w:lang w:val="sk-SK"/>
        </w:rPr>
      </w:pPr>
      <w:r w:rsidRPr="002823CB">
        <w:rPr>
          <w:b/>
          <w:lang w:val="sk-SK"/>
        </w:rPr>
        <w:t>4.9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Predávkovanie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jc w:val="both"/>
        <w:rPr>
          <w:lang w:val="sk-SK"/>
        </w:rPr>
      </w:pPr>
      <w:r w:rsidRPr="002823CB">
        <w:rPr>
          <w:lang w:val="sk-SK"/>
        </w:rPr>
        <w:t xml:space="preserve">Pri správnom používaní nie je známe predávkovanie. Pri náhodnom požití peroxidu vodíka, náhle uvoľnenie kyslíka v žalúdku spôsobí jeho roztiahnutie, podráždenie hornej časti </w:t>
      </w:r>
      <w:proofErr w:type="spellStart"/>
      <w:r w:rsidRPr="002823CB">
        <w:rPr>
          <w:lang w:val="sk-SK"/>
        </w:rPr>
        <w:t>gastrointestinálneho</w:t>
      </w:r>
      <w:proofErr w:type="spellEnd"/>
      <w:r w:rsidRPr="002823CB">
        <w:rPr>
          <w:lang w:val="sk-SK"/>
        </w:rPr>
        <w:t xml:space="preserve"> traktu, </w:t>
      </w:r>
      <w:proofErr w:type="spellStart"/>
      <w:r w:rsidRPr="002823CB">
        <w:rPr>
          <w:lang w:val="sk-SK"/>
        </w:rPr>
        <w:t>nauzeu</w:t>
      </w:r>
      <w:proofErr w:type="spellEnd"/>
      <w:r w:rsidRPr="002823CB">
        <w:rPr>
          <w:lang w:val="sk-SK"/>
        </w:rPr>
        <w:t xml:space="preserve"> a vracanie. Pri požití malých množstiev nie je potrebná žiadna liečba. Pri požití väčšieho množstva sa </w:t>
      </w:r>
      <w:r>
        <w:rPr>
          <w:lang w:val="sk-SK"/>
        </w:rPr>
        <w:t>odporúča</w:t>
      </w:r>
      <w:r w:rsidRPr="002823CB">
        <w:rPr>
          <w:lang w:val="sk-SK"/>
        </w:rPr>
        <w:t xml:space="preserve"> napiť sa vody resp. zaviesť </w:t>
      </w:r>
      <w:proofErr w:type="spellStart"/>
      <w:r w:rsidRPr="002823CB">
        <w:rPr>
          <w:lang w:val="sk-SK"/>
        </w:rPr>
        <w:t>nazogastrickú</w:t>
      </w:r>
      <w:proofErr w:type="spellEnd"/>
      <w:r w:rsidRPr="002823CB">
        <w:rPr>
          <w:lang w:val="sk-SK"/>
        </w:rPr>
        <w:t xml:space="preserve"> sondu na uvoľnenie tlaku v žalúdku.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rPr>
          <w:lang w:val="sk-SK"/>
        </w:rPr>
      </w:pPr>
      <w:r w:rsidRPr="002823CB">
        <w:rPr>
          <w:b/>
          <w:lang w:val="sk-SK"/>
        </w:rPr>
        <w:t>5.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FARMAKOLOGICKÉ VLASTNOSTI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outlineLvl w:val="0"/>
        <w:rPr>
          <w:lang w:val="sk-SK"/>
        </w:rPr>
      </w:pPr>
      <w:r w:rsidRPr="002823CB">
        <w:rPr>
          <w:b/>
          <w:lang w:val="sk-SK"/>
        </w:rPr>
        <w:t>5.1</w:t>
      </w:r>
      <w:r w:rsidRPr="002823CB">
        <w:rPr>
          <w:b/>
          <w:lang w:val="sk-SK"/>
        </w:rPr>
        <w:tab/>
      </w:r>
      <w:proofErr w:type="spellStart"/>
      <w:r w:rsidRPr="002823CB">
        <w:rPr>
          <w:b/>
          <w:szCs w:val="22"/>
          <w:lang w:val="sk-SK"/>
        </w:rPr>
        <w:t>Farmakodynamické</w:t>
      </w:r>
      <w:proofErr w:type="spellEnd"/>
      <w:r w:rsidRPr="002823CB">
        <w:rPr>
          <w:b/>
          <w:szCs w:val="22"/>
          <w:lang w:val="sk-SK"/>
        </w:rPr>
        <w:t xml:space="preserve"> vlastnosti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outlineLvl w:val="0"/>
        <w:rPr>
          <w:lang w:val="sk-SK"/>
        </w:rPr>
      </w:pPr>
      <w:proofErr w:type="spellStart"/>
      <w:r w:rsidRPr="002823CB">
        <w:rPr>
          <w:szCs w:val="22"/>
          <w:lang w:val="sk-SK"/>
        </w:rPr>
        <w:t>Farmakoterapeutická</w:t>
      </w:r>
      <w:proofErr w:type="spellEnd"/>
      <w:r w:rsidRPr="002823CB">
        <w:rPr>
          <w:szCs w:val="22"/>
          <w:lang w:val="sk-SK"/>
        </w:rPr>
        <w:t xml:space="preserve"> skupina:</w:t>
      </w:r>
      <w:r w:rsidRPr="002823CB">
        <w:rPr>
          <w:lang w:val="sk-SK"/>
        </w:rPr>
        <w:t xml:space="preserve"> </w:t>
      </w:r>
      <w:r w:rsidRPr="002823CB">
        <w:rPr>
          <w:szCs w:val="22"/>
          <w:lang w:val="sk-SK"/>
        </w:rPr>
        <w:t xml:space="preserve">Antiseptiká a </w:t>
      </w:r>
      <w:proofErr w:type="spellStart"/>
      <w:r w:rsidRPr="002823CB">
        <w:rPr>
          <w:szCs w:val="22"/>
          <w:lang w:val="sk-SK"/>
        </w:rPr>
        <w:t>dezinficienciá</w:t>
      </w:r>
      <w:proofErr w:type="spellEnd"/>
      <w:r w:rsidRPr="002823CB">
        <w:rPr>
          <w:szCs w:val="22"/>
          <w:lang w:val="sk-SK"/>
        </w:rPr>
        <w:t>, ATC kód:</w:t>
      </w:r>
      <w:r w:rsidRPr="002823CB">
        <w:rPr>
          <w:lang w:val="sk-SK"/>
        </w:rPr>
        <w:t xml:space="preserve"> </w:t>
      </w:r>
      <w:r w:rsidRPr="002823CB">
        <w:rPr>
          <w:szCs w:val="22"/>
          <w:lang w:val="sk-SK"/>
        </w:rPr>
        <w:t>D08AX01</w:t>
      </w:r>
    </w:p>
    <w:p w:rsidR="004160FF" w:rsidRPr="002823CB" w:rsidRDefault="004160FF" w:rsidP="004160FF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4160FF" w:rsidRPr="002823CB" w:rsidRDefault="004160FF" w:rsidP="004160FF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2823CB">
        <w:rPr>
          <w:szCs w:val="22"/>
          <w:u w:val="single"/>
          <w:lang w:val="sk-SK"/>
        </w:rPr>
        <w:t>Mechanizmus účinku</w:t>
      </w:r>
    </w:p>
    <w:p w:rsidR="004160FF" w:rsidRPr="002823CB" w:rsidRDefault="004160FF" w:rsidP="004160FF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4160FF" w:rsidRPr="002823CB" w:rsidRDefault="004160FF" w:rsidP="004160FF">
      <w:pPr>
        <w:autoSpaceDE w:val="0"/>
        <w:autoSpaceDN w:val="0"/>
        <w:adjustRightInd w:val="0"/>
        <w:spacing w:line="240" w:lineRule="auto"/>
        <w:jc w:val="both"/>
        <w:rPr>
          <w:lang w:val="sk-SK"/>
        </w:rPr>
      </w:pPr>
      <w:r w:rsidRPr="002823CB">
        <w:rPr>
          <w:lang w:val="sk-SK"/>
        </w:rPr>
        <w:t xml:space="preserve">Mechanizmus účinku spočíva v oxidácii funkčných skupín </w:t>
      </w:r>
      <w:r>
        <w:rPr>
          <w:lang w:val="sk-SK"/>
        </w:rPr>
        <w:t>bielkovín</w:t>
      </w:r>
      <w:r w:rsidRPr="002823CB">
        <w:rPr>
          <w:lang w:val="sk-SK"/>
        </w:rPr>
        <w:t xml:space="preserve">, čím dochádza k poškodeniu štrukturálnych proteínov, ako aj najrôznejších enzýmov. Ďalším efektom účinnosti je mechanický efekt, spôsobený šumením uvoľneného kyslíka, ktorý napomáha uvoľňovať </w:t>
      </w:r>
      <w:proofErr w:type="spellStart"/>
      <w:r w:rsidRPr="002823CB">
        <w:rPr>
          <w:lang w:val="sk-SK"/>
        </w:rPr>
        <w:t>zbytky</w:t>
      </w:r>
      <w:proofErr w:type="spellEnd"/>
      <w:r w:rsidRPr="002823CB">
        <w:rPr>
          <w:lang w:val="sk-SK"/>
        </w:rPr>
        <w:t xml:space="preserve"> nekrotického tkaniva a vyplavovať mikroorganizmy z tkanív čím znižuje bakteriálne zaťaženie rany. Pri aplikovaní na menšie poranenia má aj </w:t>
      </w:r>
      <w:proofErr w:type="spellStart"/>
      <w:r w:rsidRPr="002823CB">
        <w:rPr>
          <w:lang w:val="sk-SK"/>
        </w:rPr>
        <w:t>hemostatický</w:t>
      </w:r>
      <w:proofErr w:type="spellEnd"/>
      <w:r w:rsidRPr="002823CB">
        <w:rPr>
          <w:lang w:val="sk-SK"/>
        </w:rPr>
        <w:t xml:space="preserve"> efekt.</w:t>
      </w:r>
    </w:p>
    <w:p w:rsidR="004160FF" w:rsidRPr="002823CB" w:rsidRDefault="004160FF" w:rsidP="004160FF">
      <w:pPr>
        <w:numPr>
          <w:ilvl w:val="12"/>
          <w:numId w:val="0"/>
        </w:numPr>
        <w:spacing w:line="240" w:lineRule="auto"/>
        <w:ind w:right="-2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outlineLvl w:val="0"/>
        <w:rPr>
          <w:b/>
          <w:lang w:val="sk-SK"/>
        </w:rPr>
      </w:pPr>
      <w:r w:rsidRPr="002823CB">
        <w:rPr>
          <w:b/>
          <w:lang w:val="sk-SK"/>
        </w:rPr>
        <w:t>5.2</w:t>
      </w:r>
      <w:r w:rsidRPr="002823CB">
        <w:rPr>
          <w:b/>
          <w:lang w:val="sk-SK"/>
        </w:rPr>
        <w:tab/>
      </w:r>
      <w:proofErr w:type="spellStart"/>
      <w:r w:rsidRPr="002823CB">
        <w:rPr>
          <w:b/>
          <w:szCs w:val="22"/>
          <w:lang w:val="sk-SK"/>
        </w:rPr>
        <w:t>Farmakokinetické</w:t>
      </w:r>
      <w:proofErr w:type="spellEnd"/>
      <w:r w:rsidRPr="002823CB">
        <w:rPr>
          <w:b/>
          <w:szCs w:val="22"/>
          <w:lang w:val="sk-SK"/>
        </w:rPr>
        <w:t xml:space="preserve"> vlastnosti</w:t>
      </w:r>
      <w:bookmarkStart w:id="0" w:name="_GoBack"/>
      <w:bookmarkEnd w:id="0"/>
    </w:p>
    <w:p w:rsidR="004160FF" w:rsidRPr="002823CB" w:rsidRDefault="004160FF" w:rsidP="004160FF">
      <w:pPr>
        <w:spacing w:line="240" w:lineRule="auto"/>
        <w:ind w:left="567" w:hanging="567"/>
        <w:outlineLvl w:val="0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outlineLvl w:val="0"/>
        <w:rPr>
          <w:lang w:val="sk-SK"/>
        </w:rPr>
      </w:pPr>
      <w:r w:rsidRPr="002823CB">
        <w:rPr>
          <w:lang w:val="sk-SK"/>
        </w:rPr>
        <w:t>Liek sa po lokálnej aplikácii nevstrebáva a rozkladá sa na vodu a kyslík.</w:t>
      </w:r>
    </w:p>
    <w:p w:rsidR="004160FF" w:rsidRPr="002823CB" w:rsidRDefault="004160FF" w:rsidP="004160FF">
      <w:pPr>
        <w:spacing w:line="240" w:lineRule="auto"/>
        <w:outlineLvl w:val="0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outlineLvl w:val="0"/>
        <w:rPr>
          <w:lang w:val="sk-SK"/>
        </w:rPr>
      </w:pPr>
      <w:r w:rsidRPr="002823CB">
        <w:rPr>
          <w:b/>
          <w:lang w:val="sk-SK"/>
        </w:rPr>
        <w:t>5.3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Predklinické údaje o bezpečnosti</w:t>
      </w:r>
    </w:p>
    <w:p w:rsidR="004160FF" w:rsidRPr="002823CB" w:rsidRDefault="004160FF" w:rsidP="004160FF">
      <w:pPr>
        <w:spacing w:line="240" w:lineRule="auto"/>
        <w:jc w:val="both"/>
        <w:rPr>
          <w:lang w:val="sk-SK"/>
        </w:rPr>
      </w:pPr>
    </w:p>
    <w:p w:rsidR="004160FF" w:rsidRPr="002823CB" w:rsidRDefault="004160FF" w:rsidP="004160FF">
      <w:pPr>
        <w:spacing w:line="240" w:lineRule="auto"/>
        <w:jc w:val="both"/>
        <w:rPr>
          <w:lang w:val="sk-SK"/>
        </w:rPr>
      </w:pPr>
      <w:r w:rsidRPr="002823CB">
        <w:rPr>
          <w:szCs w:val="22"/>
          <w:lang w:val="sk-SK"/>
        </w:rPr>
        <w:t>V koncentrácii 3 % neboli zistené žiadne prejavy toxicity na experimentálnych zvieratách.</w:t>
      </w:r>
    </w:p>
    <w:p w:rsidR="004160FF" w:rsidRPr="002823CB" w:rsidRDefault="004160FF" w:rsidP="004160FF">
      <w:pPr>
        <w:spacing w:line="240" w:lineRule="auto"/>
        <w:rPr>
          <w:strike/>
          <w:color w:val="FF0000"/>
          <w:lang w:val="sk-SK"/>
        </w:rPr>
      </w:pP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rPr>
          <w:b/>
          <w:lang w:val="sk-SK"/>
        </w:rPr>
      </w:pPr>
      <w:r w:rsidRPr="002823CB">
        <w:rPr>
          <w:b/>
          <w:lang w:val="sk-SK"/>
        </w:rPr>
        <w:t>6.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FARMACEUTICKÉ INFORMÁCIE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outlineLvl w:val="0"/>
        <w:rPr>
          <w:lang w:val="sk-SK"/>
        </w:rPr>
      </w:pPr>
      <w:r w:rsidRPr="002823CB">
        <w:rPr>
          <w:b/>
          <w:lang w:val="sk-SK"/>
        </w:rPr>
        <w:t>6.1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Zoznam pomocných látok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lang w:val="sk-SK"/>
        </w:rPr>
      </w:pPr>
      <w:proofErr w:type="spellStart"/>
      <w:r w:rsidRPr="002823CB">
        <w:rPr>
          <w:lang w:val="sk-SK"/>
        </w:rPr>
        <w:t>Difosforečnan</w:t>
      </w:r>
      <w:proofErr w:type="spellEnd"/>
      <w:r w:rsidRPr="002823CB">
        <w:rPr>
          <w:lang w:val="sk-SK"/>
        </w:rPr>
        <w:t xml:space="preserve"> </w:t>
      </w:r>
      <w:proofErr w:type="spellStart"/>
      <w:r w:rsidRPr="002823CB">
        <w:rPr>
          <w:lang w:val="sk-SK"/>
        </w:rPr>
        <w:t>tetrasodný</w:t>
      </w:r>
      <w:proofErr w:type="spellEnd"/>
      <w:r w:rsidRPr="002823CB">
        <w:rPr>
          <w:lang w:val="sk-SK"/>
        </w:rPr>
        <w:t xml:space="preserve"> (E450 (</w:t>
      </w:r>
      <w:proofErr w:type="spellStart"/>
      <w:r w:rsidRPr="002823CB">
        <w:rPr>
          <w:lang w:val="sk-SK"/>
        </w:rPr>
        <w:t>iii</w:t>
      </w:r>
      <w:proofErr w:type="spellEnd"/>
      <w:r w:rsidRPr="002823CB">
        <w:rPr>
          <w:lang w:val="sk-SK"/>
        </w:rPr>
        <w:t xml:space="preserve">)), kyselina </w:t>
      </w:r>
      <w:proofErr w:type="spellStart"/>
      <w:r w:rsidRPr="002823CB">
        <w:rPr>
          <w:lang w:val="sk-SK"/>
        </w:rPr>
        <w:t>benzoová</w:t>
      </w:r>
      <w:proofErr w:type="spellEnd"/>
      <w:r w:rsidRPr="002823CB">
        <w:rPr>
          <w:lang w:val="sk-SK"/>
        </w:rPr>
        <w:t xml:space="preserve"> (E210), </w:t>
      </w:r>
      <w:proofErr w:type="spellStart"/>
      <w:r w:rsidRPr="002823CB">
        <w:rPr>
          <w:lang w:val="sk-SK"/>
        </w:rPr>
        <w:t>metylparabén</w:t>
      </w:r>
      <w:proofErr w:type="spellEnd"/>
      <w:r w:rsidRPr="002823CB">
        <w:rPr>
          <w:lang w:val="sk-SK"/>
        </w:rPr>
        <w:t xml:space="preserve">, </w:t>
      </w:r>
      <w:proofErr w:type="spellStart"/>
      <w:r w:rsidRPr="002823CB">
        <w:rPr>
          <w:lang w:val="sk-SK"/>
        </w:rPr>
        <w:t>propylparabén</w:t>
      </w:r>
      <w:proofErr w:type="spellEnd"/>
      <w:r w:rsidRPr="002823CB">
        <w:rPr>
          <w:lang w:val="sk-SK"/>
        </w:rPr>
        <w:t>, čistená voda.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outlineLvl w:val="0"/>
        <w:rPr>
          <w:lang w:val="sk-SK"/>
        </w:rPr>
      </w:pPr>
      <w:r w:rsidRPr="002823CB">
        <w:rPr>
          <w:b/>
          <w:lang w:val="sk-SK"/>
        </w:rPr>
        <w:t>6.2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Inkompatibility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lang w:val="sk-SK"/>
        </w:rPr>
      </w:pPr>
      <w:r w:rsidRPr="002823CB">
        <w:rPr>
          <w:lang w:val="sk-SK"/>
        </w:rPr>
        <w:t xml:space="preserve">Redukčné činidlá, alkálie, kovy,  jodidy a </w:t>
      </w:r>
      <w:proofErr w:type="spellStart"/>
      <w:r w:rsidRPr="002823CB">
        <w:rPr>
          <w:lang w:val="sk-SK"/>
        </w:rPr>
        <w:t>permanganáty</w:t>
      </w:r>
      <w:proofErr w:type="spellEnd"/>
      <w:r w:rsidRPr="002823CB">
        <w:rPr>
          <w:lang w:val="sk-SK"/>
        </w:rPr>
        <w:t>.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outlineLvl w:val="0"/>
        <w:rPr>
          <w:lang w:val="sk-SK"/>
        </w:rPr>
      </w:pPr>
      <w:r w:rsidRPr="002823CB">
        <w:rPr>
          <w:b/>
          <w:lang w:val="sk-SK"/>
        </w:rPr>
        <w:t>6.3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Čas použiteľnosti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lang w:val="sk-SK"/>
        </w:rPr>
      </w:pPr>
      <w:r w:rsidRPr="002823CB">
        <w:rPr>
          <w:szCs w:val="22"/>
          <w:lang w:val="sk-SK"/>
        </w:rPr>
        <w:t>2 roky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outlineLvl w:val="0"/>
        <w:rPr>
          <w:b/>
          <w:lang w:val="sk-SK"/>
        </w:rPr>
      </w:pPr>
      <w:r w:rsidRPr="002823CB">
        <w:rPr>
          <w:b/>
          <w:lang w:val="sk-SK"/>
        </w:rPr>
        <w:t>6.4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Špeciálne upozornenia na uchovávanie</w:t>
      </w:r>
    </w:p>
    <w:p w:rsidR="004160FF" w:rsidRPr="002823CB" w:rsidRDefault="004160FF" w:rsidP="004160FF">
      <w:pPr>
        <w:spacing w:line="240" w:lineRule="auto"/>
        <w:ind w:left="567" w:hanging="567"/>
        <w:outlineLvl w:val="0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outlineLvl w:val="0"/>
        <w:rPr>
          <w:lang w:val="sk-SK"/>
        </w:rPr>
      </w:pPr>
      <w:r w:rsidRPr="002823CB">
        <w:rPr>
          <w:lang w:val="sk-SK"/>
        </w:rPr>
        <w:t>Uchovávať pri teplote do 25 °C v dobre uzatvorených nádobách na ochranu pred svetlom.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outlineLvl w:val="0"/>
        <w:rPr>
          <w:b/>
          <w:lang w:val="sk-SK"/>
        </w:rPr>
      </w:pPr>
      <w:r w:rsidRPr="002823CB">
        <w:rPr>
          <w:b/>
          <w:lang w:val="sk-SK"/>
        </w:rPr>
        <w:t>6.5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Druh obalu a obsah balenia</w:t>
      </w:r>
    </w:p>
    <w:p w:rsidR="004160FF" w:rsidRPr="002823CB" w:rsidRDefault="004160FF" w:rsidP="004160FF">
      <w:pPr>
        <w:spacing w:line="240" w:lineRule="auto"/>
        <w:outlineLvl w:val="0"/>
        <w:rPr>
          <w:lang w:val="sk-SK"/>
        </w:rPr>
      </w:pPr>
    </w:p>
    <w:p w:rsidR="004160FF" w:rsidRPr="002823CB" w:rsidRDefault="004160FF" w:rsidP="004160FF">
      <w:pPr>
        <w:numPr>
          <w:ilvl w:val="0"/>
          <w:numId w:val="1"/>
        </w:numPr>
        <w:spacing w:line="240" w:lineRule="auto"/>
        <w:ind w:left="426" w:hanging="426"/>
        <w:outlineLvl w:val="0"/>
        <w:rPr>
          <w:lang w:val="sk-SK"/>
        </w:rPr>
      </w:pPr>
      <w:r w:rsidRPr="002823CB">
        <w:rPr>
          <w:lang w:val="sk-SK"/>
        </w:rPr>
        <w:t>Druh obalu: Fľaša z tmavého skla, bezpečnostný PE uzáver, štítok</w:t>
      </w:r>
    </w:p>
    <w:p w:rsidR="004160FF" w:rsidRPr="002823CB" w:rsidRDefault="004160FF" w:rsidP="004160FF">
      <w:pPr>
        <w:spacing w:line="240" w:lineRule="auto"/>
        <w:ind w:left="426"/>
        <w:outlineLvl w:val="0"/>
        <w:rPr>
          <w:lang w:val="sk-SK"/>
        </w:rPr>
      </w:pPr>
      <w:r w:rsidRPr="002823CB">
        <w:rPr>
          <w:lang w:val="sk-SK"/>
        </w:rPr>
        <w:t>Veľkosť balenia: 1 000 g, 100 g</w:t>
      </w:r>
    </w:p>
    <w:p w:rsidR="004160FF" w:rsidRPr="002823CB" w:rsidRDefault="004160FF" w:rsidP="004160FF">
      <w:pPr>
        <w:spacing w:line="240" w:lineRule="auto"/>
        <w:outlineLvl w:val="0"/>
        <w:rPr>
          <w:lang w:val="sk-SK"/>
        </w:rPr>
      </w:pPr>
    </w:p>
    <w:p w:rsidR="004160FF" w:rsidRPr="002823CB" w:rsidRDefault="004160FF" w:rsidP="004160FF">
      <w:pPr>
        <w:numPr>
          <w:ilvl w:val="0"/>
          <w:numId w:val="1"/>
        </w:numPr>
        <w:spacing w:line="240" w:lineRule="auto"/>
        <w:ind w:left="426" w:hanging="426"/>
        <w:outlineLvl w:val="0"/>
        <w:rPr>
          <w:lang w:val="sk-SK"/>
        </w:rPr>
      </w:pPr>
      <w:r w:rsidRPr="002823CB">
        <w:rPr>
          <w:lang w:val="sk-SK"/>
        </w:rPr>
        <w:t>Druh obalu: HDPE fľaša, PE mechanický rozprašovač, kryt rozprašovača, štítok</w:t>
      </w:r>
    </w:p>
    <w:p w:rsidR="004160FF" w:rsidRPr="002823CB" w:rsidRDefault="004160FF" w:rsidP="004160FF">
      <w:pPr>
        <w:spacing w:line="240" w:lineRule="auto"/>
        <w:ind w:left="426"/>
        <w:outlineLvl w:val="0"/>
        <w:rPr>
          <w:lang w:val="sk-SK"/>
        </w:rPr>
      </w:pPr>
      <w:r w:rsidRPr="002823CB">
        <w:rPr>
          <w:lang w:val="sk-SK"/>
        </w:rPr>
        <w:t>Veľkosť balenia: 100 g</w:t>
      </w:r>
    </w:p>
    <w:p w:rsidR="004160FF" w:rsidRPr="002823CB" w:rsidRDefault="004160FF" w:rsidP="004160FF">
      <w:pPr>
        <w:spacing w:line="240" w:lineRule="auto"/>
        <w:outlineLvl w:val="0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lang w:val="sk-SK"/>
        </w:rPr>
      </w:pPr>
      <w:r w:rsidRPr="002823CB">
        <w:rPr>
          <w:szCs w:val="24"/>
          <w:lang w:val="sk-SK"/>
        </w:rPr>
        <w:t>Na trh nemusia byť uvedené</w:t>
      </w:r>
      <w:r w:rsidRPr="002823CB">
        <w:rPr>
          <w:szCs w:val="22"/>
          <w:lang w:val="sk-SK"/>
        </w:rPr>
        <w:t xml:space="preserve"> všetky veľkosti balenia.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outlineLvl w:val="0"/>
        <w:rPr>
          <w:lang w:val="sk-SK"/>
        </w:rPr>
      </w:pPr>
      <w:bookmarkStart w:id="1" w:name="OLE_LINK1"/>
      <w:r w:rsidRPr="002823CB">
        <w:rPr>
          <w:b/>
          <w:lang w:val="sk-SK"/>
        </w:rPr>
        <w:t>6.6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Špeciálne opatrenia na likvidáciu</w:t>
      </w:r>
    </w:p>
    <w:bookmarkEnd w:id="1"/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szCs w:val="22"/>
          <w:lang w:val="sk-SK"/>
        </w:rPr>
      </w:pPr>
      <w:r w:rsidRPr="002823CB">
        <w:rPr>
          <w:szCs w:val="22"/>
          <w:lang w:val="sk-SK"/>
        </w:rPr>
        <w:t>Všetok nepoužitý liek alebo odpad vzniknutý z lieku sa má zlikvidovať v súlade s národnými požiadavkami.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rPr>
          <w:lang w:val="sk-SK"/>
        </w:rPr>
      </w:pPr>
      <w:r w:rsidRPr="002823CB">
        <w:rPr>
          <w:b/>
          <w:lang w:val="sk-SK"/>
        </w:rPr>
        <w:t>7.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DRŽITEĽ ROZHODNUTIA O REGISTRÁCII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szCs w:val="22"/>
          <w:lang w:val="sk-SK"/>
        </w:rPr>
      </w:pPr>
      <w:r w:rsidRPr="002823CB">
        <w:rPr>
          <w:szCs w:val="22"/>
          <w:lang w:val="sk-SK"/>
        </w:rPr>
        <w:t>MIKROCHEM spol. s r.o.</w:t>
      </w:r>
    </w:p>
    <w:p w:rsidR="004160FF" w:rsidRPr="002823CB" w:rsidRDefault="004160FF" w:rsidP="004160FF">
      <w:pPr>
        <w:spacing w:line="240" w:lineRule="auto"/>
        <w:rPr>
          <w:szCs w:val="22"/>
          <w:lang w:val="sk-SK"/>
        </w:rPr>
      </w:pPr>
      <w:r w:rsidRPr="002823CB">
        <w:rPr>
          <w:szCs w:val="22"/>
          <w:lang w:val="sk-SK"/>
        </w:rPr>
        <w:t>Za dráhou 33</w:t>
      </w:r>
    </w:p>
    <w:p w:rsidR="004160FF" w:rsidRPr="002823CB" w:rsidRDefault="004160FF" w:rsidP="004160FF">
      <w:pPr>
        <w:spacing w:line="240" w:lineRule="auto"/>
        <w:rPr>
          <w:szCs w:val="22"/>
          <w:lang w:val="sk-SK"/>
        </w:rPr>
      </w:pPr>
      <w:r w:rsidRPr="002823CB">
        <w:rPr>
          <w:szCs w:val="22"/>
          <w:lang w:val="sk-SK"/>
        </w:rPr>
        <w:t>902 01 Pezinok</w:t>
      </w:r>
    </w:p>
    <w:p w:rsidR="004160FF" w:rsidRPr="002823CB" w:rsidRDefault="004160FF" w:rsidP="004160FF">
      <w:pPr>
        <w:spacing w:line="240" w:lineRule="auto"/>
        <w:rPr>
          <w:lang w:val="sk-SK"/>
        </w:rPr>
      </w:pPr>
      <w:r w:rsidRPr="002823CB">
        <w:rPr>
          <w:szCs w:val="22"/>
          <w:lang w:val="sk-SK"/>
        </w:rPr>
        <w:t>Slovenská republika</w:t>
      </w:r>
    </w:p>
    <w:p w:rsidR="004160FF" w:rsidRPr="002823CB" w:rsidRDefault="004160FF" w:rsidP="004160FF">
      <w:pPr>
        <w:spacing w:line="240" w:lineRule="auto"/>
        <w:rPr>
          <w:lang w:val="sk-SK"/>
        </w:rPr>
      </w:pPr>
      <w:r w:rsidRPr="002823CB">
        <w:rPr>
          <w:szCs w:val="22"/>
          <w:lang w:val="sk-SK"/>
        </w:rPr>
        <w:t>tel.: +421 33 6905611</w:t>
      </w:r>
    </w:p>
    <w:p w:rsidR="004160FF" w:rsidRPr="002823CB" w:rsidRDefault="004160FF" w:rsidP="004160FF">
      <w:pPr>
        <w:spacing w:line="240" w:lineRule="auto"/>
        <w:rPr>
          <w:lang w:val="sk-SK"/>
        </w:rPr>
      </w:pPr>
      <w:r w:rsidRPr="002823CB">
        <w:rPr>
          <w:szCs w:val="22"/>
          <w:lang w:val="sk-SK"/>
        </w:rPr>
        <w:t>fax: +421 33 6905600</w:t>
      </w:r>
    </w:p>
    <w:p w:rsidR="004160FF" w:rsidRPr="002823CB" w:rsidRDefault="004160FF" w:rsidP="004160FF">
      <w:pPr>
        <w:spacing w:line="240" w:lineRule="auto"/>
        <w:rPr>
          <w:lang w:val="sk-SK"/>
        </w:rPr>
      </w:pPr>
      <w:r w:rsidRPr="002823CB">
        <w:rPr>
          <w:szCs w:val="22"/>
          <w:lang w:val="sk-SK"/>
        </w:rPr>
        <w:t>e-mail: mikrochem@mikrochem.sk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rPr>
          <w:b/>
          <w:lang w:val="sk-SK"/>
        </w:rPr>
      </w:pPr>
      <w:r w:rsidRPr="002823CB">
        <w:rPr>
          <w:b/>
          <w:lang w:val="sk-SK"/>
        </w:rPr>
        <w:t>8.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REGISTRAČNÉ ČÍSLO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lang w:val="sk-SK"/>
        </w:rPr>
      </w:pPr>
      <w:r w:rsidRPr="0028523C">
        <w:rPr>
          <w:lang w:val="sk-SK"/>
        </w:rPr>
        <w:t>32/0235/17-S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rPr>
          <w:lang w:val="sk-SK"/>
        </w:rPr>
      </w:pPr>
      <w:r w:rsidRPr="002823CB">
        <w:rPr>
          <w:b/>
          <w:lang w:val="sk-SK"/>
        </w:rPr>
        <w:t>9.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DÁTUM PRVEJ REGISTRÁCIE/PREDĹŽENIA REGISTRÁCIE</w:t>
      </w:r>
    </w:p>
    <w:p w:rsidR="004160FF" w:rsidRDefault="004160FF" w:rsidP="004160FF">
      <w:pPr>
        <w:spacing w:line="240" w:lineRule="auto"/>
        <w:rPr>
          <w:szCs w:val="22"/>
          <w:lang w:val="sk-SK"/>
        </w:rPr>
      </w:pPr>
    </w:p>
    <w:p w:rsidR="004160FF" w:rsidRPr="002823CB" w:rsidRDefault="004160FF" w:rsidP="004160FF">
      <w:pPr>
        <w:spacing w:line="240" w:lineRule="auto"/>
        <w:rPr>
          <w:i/>
          <w:lang w:val="sk-SK"/>
        </w:rPr>
      </w:pPr>
      <w:r w:rsidRPr="002823CB">
        <w:rPr>
          <w:szCs w:val="22"/>
          <w:lang w:val="sk-SK"/>
        </w:rPr>
        <w:lastRenderedPageBreak/>
        <w:t>Dátum prvej registrácie: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ind w:left="567" w:hanging="567"/>
        <w:rPr>
          <w:b/>
          <w:lang w:val="sk-SK"/>
        </w:rPr>
      </w:pPr>
      <w:r w:rsidRPr="002823CB">
        <w:rPr>
          <w:b/>
          <w:lang w:val="sk-SK"/>
        </w:rPr>
        <w:t>10.</w:t>
      </w:r>
      <w:r w:rsidRPr="002823CB">
        <w:rPr>
          <w:b/>
          <w:lang w:val="sk-SK"/>
        </w:rPr>
        <w:tab/>
      </w:r>
      <w:r w:rsidRPr="002823CB">
        <w:rPr>
          <w:b/>
          <w:szCs w:val="22"/>
          <w:lang w:val="sk-SK"/>
        </w:rPr>
        <w:t>DÁTUM REVÍZIE TEXTU</w:t>
      </w:r>
    </w:p>
    <w:p w:rsidR="004160FF" w:rsidRPr="002823CB" w:rsidRDefault="004160FF" w:rsidP="004160FF">
      <w:pPr>
        <w:spacing w:line="240" w:lineRule="auto"/>
        <w:rPr>
          <w:lang w:val="sk-SK"/>
        </w:rPr>
      </w:pPr>
    </w:p>
    <w:p w:rsidR="004160FF" w:rsidRPr="002823CB" w:rsidRDefault="004160FF" w:rsidP="004160FF">
      <w:pPr>
        <w:spacing w:line="240" w:lineRule="auto"/>
        <w:rPr>
          <w:lang w:val="sk-SK"/>
        </w:rPr>
      </w:pPr>
      <w:r w:rsidRPr="002823CB">
        <w:rPr>
          <w:lang w:val="sk-SK"/>
        </w:rPr>
        <w:t>08/2017</w:t>
      </w:r>
    </w:p>
    <w:p w:rsidR="000C61CB" w:rsidRDefault="000C61CB"/>
    <w:sectPr w:rsidR="000C61CB" w:rsidSect="009140C6"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5A4" w:rsidRDefault="009615A4" w:rsidP="009140C6">
      <w:pPr>
        <w:spacing w:line="240" w:lineRule="auto"/>
      </w:pPr>
      <w:r>
        <w:separator/>
      </w:r>
    </w:p>
  </w:endnote>
  <w:endnote w:type="continuationSeparator" w:id="0">
    <w:p w:rsidR="009615A4" w:rsidRDefault="009615A4" w:rsidP="00914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325398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140C6" w:rsidRPr="009140C6" w:rsidRDefault="009140C6">
        <w:pPr>
          <w:pStyle w:val="Pta"/>
          <w:jc w:val="center"/>
          <w:rPr>
            <w:sz w:val="18"/>
            <w:szCs w:val="18"/>
          </w:rPr>
        </w:pPr>
        <w:r w:rsidRPr="009140C6">
          <w:rPr>
            <w:sz w:val="18"/>
            <w:szCs w:val="18"/>
          </w:rPr>
          <w:fldChar w:fldCharType="begin"/>
        </w:r>
        <w:r w:rsidRPr="009140C6">
          <w:rPr>
            <w:sz w:val="18"/>
            <w:szCs w:val="18"/>
          </w:rPr>
          <w:instrText>PAGE   \* MERGEFORMAT</w:instrText>
        </w:r>
        <w:r w:rsidRPr="009140C6">
          <w:rPr>
            <w:sz w:val="18"/>
            <w:szCs w:val="18"/>
          </w:rPr>
          <w:fldChar w:fldCharType="separate"/>
        </w:r>
        <w:r w:rsidRPr="009140C6">
          <w:rPr>
            <w:noProof/>
            <w:sz w:val="18"/>
            <w:szCs w:val="18"/>
            <w:lang w:val="sk-SK"/>
          </w:rPr>
          <w:t>4</w:t>
        </w:r>
        <w:r w:rsidRPr="009140C6">
          <w:rPr>
            <w:sz w:val="18"/>
            <w:szCs w:val="18"/>
          </w:rPr>
          <w:fldChar w:fldCharType="end"/>
        </w:r>
      </w:p>
    </w:sdtContent>
  </w:sdt>
  <w:p w:rsidR="009140C6" w:rsidRDefault="009140C6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693795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9140C6" w:rsidRPr="009140C6" w:rsidRDefault="009140C6">
        <w:pPr>
          <w:pStyle w:val="Pta"/>
          <w:jc w:val="center"/>
          <w:rPr>
            <w:sz w:val="18"/>
            <w:szCs w:val="18"/>
          </w:rPr>
        </w:pPr>
        <w:r w:rsidRPr="009140C6">
          <w:rPr>
            <w:sz w:val="18"/>
            <w:szCs w:val="18"/>
          </w:rPr>
          <w:fldChar w:fldCharType="begin"/>
        </w:r>
        <w:r w:rsidRPr="009140C6">
          <w:rPr>
            <w:sz w:val="18"/>
            <w:szCs w:val="18"/>
          </w:rPr>
          <w:instrText>PAGE   \* MERGEFORMAT</w:instrText>
        </w:r>
        <w:r w:rsidRPr="009140C6">
          <w:rPr>
            <w:sz w:val="18"/>
            <w:szCs w:val="18"/>
          </w:rPr>
          <w:fldChar w:fldCharType="separate"/>
        </w:r>
        <w:r w:rsidRPr="009140C6">
          <w:rPr>
            <w:noProof/>
            <w:sz w:val="18"/>
            <w:szCs w:val="18"/>
            <w:lang w:val="sk-SK"/>
          </w:rPr>
          <w:t>1</w:t>
        </w:r>
        <w:r w:rsidRPr="009140C6">
          <w:rPr>
            <w:sz w:val="18"/>
            <w:szCs w:val="18"/>
          </w:rPr>
          <w:fldChar w:fldCharType="end"/>
        </w:r>
      </w:p>
    </w:sdtContent>
  </w:sdt>
  <w:p w:rsidR="009140C6" w:rsidRDefault="009140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5A4" w:rsidRDefault="009615A4" w:rsidP="009140C6">
      <w:pPr>
        <w:spacing w:line="240" w:lineRule="auto"/>
      </w:pPr>
      <w:r>
        <w:separator/>
      </w:r>
    </w:p>
  </w:footnote>
  <w:footnote w:type="continuationSeparator" w:id="0">
    <w:p w:rsidR="009615A4" w:rsidRDefault="009615A4" w:rsidP="009140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0C6" w:rsidRDefault="009140C6" w:rsidP="009140C6">
    <w:pPr>
      <w:pStyle w:val="Hlavika"/>
    </w:pPr>
    <w:proofErr w:type="spellStart"/>
    <w:r w:rsidRPr="0037722E">
      <w:rPr>
        <w:sz w:val="18"/>
        <w:szCs w:val="18"/>
      </w:rPr>
      <w:t>Schválený</w:t>
    </w:r>
    <w:proofErr w:type="spellEnd"/>
    <w:r w:rsidRPr="0037722E">
      <w:rPr>
        <w:sz w:val="18"/>
        <w:szCs w:val="18"/>
      </w:rPr>
      <w:t xml:space="preserve"> text k </w:t>
    </w:r>
    <w:proofErr w:type="spellStart"/>
    <w:r w:rsidRPr="0037722E">
      <w:rPr>
        <w:sz w:val="18"/>
        <w:szCs w:val="18"/>
      </w:rPr>
      <w:t>rozhodnutiu</w:t>
    </w:r>
    <w:proofErr w:type="spellEnd"/>
    <w:r w:rsidRPr="0037722E">
      <w:rPr>
        <w:sz w:val="18"/>
        <w:szCs w:val="18"/>
      </w:rPr>
      <w:t xml:space="preserve"> o </w:t>
    </w:r>
    <w:proofErr w:type="spellStart"/>
    <w:r w:rsidRPr="0037722E">
      <w:rPr>
        <w:sz w:val="18"/>
        <w:szCs w:val="18"/>
      </w:rPr>
      <w:t>registrácii</w:t>
    </w:r>
    <w:proofErr w:type="spellEnd"/>
    <w:r w:rsidRPr="0037722E">
      <w:rPr>
        <w:sz w:val="18"/>
        <w:szCs w:val="18"/>
      </w:rPr>
      <w:t xml:space="preserve">, </w:t>
    </w:r>
    <w:proofErr w:type="spellStart"/>
    <w:r w:rsidRPr="0037722E">
      <w:rPr>
        <w:sz w:val="18"/>
        <w:szCs w:val="18"/>
      </w:rPr>
      <w:t>ev</w:t>
    </w:r>
    <w:proofErr w:type="spellEnd"/>
    <w:r w:rsidRPr="0037722E">
      <w:rPr>
        <w:sz w:val="18"/>
        <w:szCs w:val="18"/>
      </w:rPr>
      <w:t xml:space="preserve">. </w:t>
    </w:r>
    <w:proofErr w:type="gramStart"/>
    <w:r w:rsidRPr="0037722E">
      <w:rPr>
        <w:sz w:val="18"/>
        <w:szCs w:val="18"/>
      </w:rPr>
      <w:t>č</w:t>
    </w:r>
    <w:proofErr w:type="gramEnd"/>
    <w:r w:rsidRPr="0037722E">
      <w:rPr>
        <w:sz w:val="18"/>
        <w:szCs w:val="18"/>
      </w:rPr>
      <w:t xml:space="preserve">. </w:t>
    </w:r>
    <w:r w:rsidRPr="00CD6CF5">
      <w:rPr>
        <w:sz w:val="18"/>
        <w:szCs w:val="18"/>
      </w:rPr>
      <w:t>2012/07086-REG</w:t>
    </w:r>
  </w:p>
  <w:p w:rsidR="009140C6" w:rsidRDefault="009140C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A7961"/>
    <w:multiLevelType w:val="hybridMultilevel"/>
    <w:tmpl w:val="203E590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FF"/>
    <w:rsid w:val="000C61CB"/>
    <w:rsid w:val="004160FF"/>
    <w:rsid w:val="009140C6"/>
    <w:rsid w:val="0096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60F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160F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140C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40C6"/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9140C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40C6"/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4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40C6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60F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160FF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140C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140C6"/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9140C6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140C6"/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4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40C6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A6"/>
    <w:rsid w:val="00743E9B"/>
    <w:rsid w:val="00E3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5429BA854DDC46E79F33C8E8D98340E0">
    <w:name w:val="5429BA854DDC46E79F33C8E8D98340E0"/>
    <w:rsid w:val="00E301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5429BA854DDC46E79F33C8E8D98340E0">
    <w:name w:val="5429BA854DDC46E79F33C8E8D98340E0"/>
    <w:rsid w:val="00E30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Košuthová, Katarína</dc:creator>
  <cp:lastModifiedBy>Košuthová, Katarína</cp:lastModifiedBy>
  <cp:revision>2</cp:revision>
  <dcterms:created xsi:type="dcterms:W3CDTF">2017-08-14T04:16:00Z</dcterms:created>
  <dcterms:modified xsi:type="dcterms:W3CDTF">2017-08-14T04:19:00Z</dcterms:modified>
</cp:coreProperties>
</file>