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C9" w:rsidRPr="009D6757" w:rsidRDefault="00CA02C9" w:rsidP="00CA02C9">
      <w:pPr>
        <w:pStyle w:val="NormalArial"/>
        <w:rPr>
          <w:rFonts w:ascii="Times New Roman" w:hAnsi="Times New Roman" w:cs="Times New Roman"/>
          <w:i w:val="0"/>
          <w:caps/>
          <w:sz w:val="22"/>
          <w:szCs w:val="22"/>
        </w:rPr>
      </w:pPr>
      <w:bookmarkStart w:id="0" w:name="_GoBack"/>
      <w:bookmarkEnd w:id="0"/>
      <w:r w:rsidRPr="009D6757">
        <w:rPr>
          <w:rFonts w:ascii="Times New Roman" w:hAnsi="Times New Roman" w:cs="Times New Roman"/>
          <w:i w:val="0"/>
          <w:caps/>
          <w:sz w:val="22"/>
          <w:szCs w:val="22"/>
        </w:rPr>
        <w:t>Súhrn charakteris</w:t>
      </w:r>
      <w:r w:rsidR="009D6757" w:rsidRPr="009D6757">
        <w:rPr>
          <w:rFonts w:ascii="Times New Roman" w:hAnsi="Times New Roman" w:cs="Times New Roman"/>
          <w:i w:val="0"/>
          <w:caps/>
          <w:sz w:val="22"/>
          <w:szCs w:val="22"/>
        </w:rPr>
        <w:t xml:space="preserve">tických vlastností lieku </w:t>
      </w:r>
    </w:p>
    <w:p w:rsidR="00226867" w:rsidRPr="009D6757" w:rsidRDefault="00226867" w:rsidP="00CA02C9">
      <w:pPr>
        <w:pStyle w:val="tl1"/>
        <w:rPr>
          <w:b/>
          <w:caps/>
          <w:sz w:val="22"/>
          <w:szCs w:val="22"/>
        </w:rPr>
      </w:pPr>
    </w:p>
    <w:p w:rsidR="0096721D" w:rsidRPr="009D6757" w:rsidRDefault="0096721D" w:rsidP="00CA02C9">
      <w:pPr>
        <w:pStyle w:val="tl1"/>
        <w:rPr>
          <w:b/>
          <w:caps/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b/>
          <w:caps/>
          <w:sz w:val="22"/>
          <w:szCs w:val="22"/>
        </w:rPr>
      </w:pPr>
      <w:r w:rsidRPr="003378EF">
        <w:rPr>
          <w:b/>
          <w:caps/>
          <w:sz w:val="22"/>
          <w:szCs w:val="22"/>
        </w:rPr>
        <w:t>1.</w:t>
      </w:r>
      <w:r w:rsidRPr="003378EF">
        <w:rPr>
          <w:b/>
          <w:caps/>
          <w:sz w:val="22"/>
          <w:szCs w:val="22"/>
        </w:rPr>
        <w:tab/>
        <w:t>názov lieku</w:t>
      </w:r>
    </w:p>
    <w:p w:rsidR="00C77BD8" w:rsidRPr="00283E6D" w:rsidRDefault="00C77BD8" w:rsidP="00CC589C">
      <w:pPr>
        <w:rPr>
          <w:rFonts w:ascii="Times New Roman" w:hAnsi="Times New Roman" w:cs="Times New Roman"/>
          <w:sz w:val="22"/>
          <w:szCs w:val="22"/>
        </w:rPr>
      </w:pPr>
    </w:p>
    <w:p w:rsidR="002151E2" w:rsidRDefault="0063715B" w:rsidP="00CC589C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Orinox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0,5 </w:t>
      </w:r>
      <w:r w:rsidR="00226867" w:rsidRPr="00226867">
        <w:rPr>
          <w:rFonts w:ascii="Times New Roman" w:hAnsi="Times New Roman" w:cs="Times New Roman"/>
          <w:sz w:val="22"/>
          <w:szCs w:val="22"/>
        </w:rPr>
        <w:t>mg/ml</w:t>
      </w:r>
    </w:p>
    <w:p w:rsidR="002151E2" w:rsidRDefault="002151E2" w:rsidP="00CC589C">
      <w:pPr>
        <w:rPr>
          <w:rFonts w:ascii="Times New Roman" w:hAnsi="Times New Roman" w:cs="Times New Roman"/>
          <w:sz w:val="22"/>
          <w:szCs w:val="22"/>
        </w:rPr>
      </w:pPr>
    </w:p>
    <w:p w:rsidR="0096721D" w:rsidRPr="00226867" w:rsidRDefault="00954039" w:rsidP="00CC589C">
      <w:pPr>
        <w:rPr>
          <w:rFonts w:ascii="Times New Roman" w:hAnsi="Times New Roman" w:cs="Times New Roman"/>
          <w:sz w:val="22"/>
          <w:szCs w:val="22"/>
        </w:rPr>
      </w:pPr>
      <w:r w:rsidRPr="00226867">
        <w:rPr>
          <w:rFonts w:ascii="Times New Roman" w:hAnsi="Times New Roman" w:cs="Times New Roman"/>
          <w:sz w:val="22"/>
          <w:szCs w:val="22"/>
        </w:rPr>
        <w:t>n</w:t>
      </w:r>
      <w:r w:rsidR="0096721D" w:rsidRPr="00226867">
        <w:rPr>
          <w:rFonts w:ascii="Times New Roman" w:hAnsi="Times New Roman" w:cs="Times New Roman"/>
          <w:sz w:val="22"/>
          <w:szCs w:val="22"/>
        </w:rPr>
        <w:t xml:space="preserve">osová roztoková </w:t>
      </w:r>
      <w:proofErr w:type="spellStart"/>
      <w:r w:rsidR="0096721D" w:rsidRPr="00226867">
        <w:rPr>
          <w:rFonts w:ascii="Times New Roman" w:hAnsi="Times New Roman" w:cs="Times New Roman"/>
          <w:sz w:val="22"/>
          <w:szCs w:val="22"/>
        </w:rPr>
        <w:t>aerodisperzia</w:t>
      </w:r>
      <w:proofErr w:type="spellEnd"/>
    </w:p>
    <w:p w:rsidR="00C77BD8" w:rsidRPr="00226867" w:rsidRDefault="00C77BD8" w:rsidP="00CC589C">
      <w:pPr>
        <w:rPr>
          <w:rFonts w:ascii="Times New Roman" w:hAnsi="Times New Roman" w:cs="Times New Roman"/>
          <w:sz w:val="22"/>
          <w:szCs w:val="22"/>
        </w:rPr>
      </w:pPr>
    </w:p>
    <w:p w:rsidR="006B2ED1" w:rsidRPr="003378EF" w:rsidRDefault="006B2ED1" w:rsidP="00283E6D">
      <w:pPr>
        <w:pStyle w:val="tl1"/>
        <w:jc w:val="left"/>
        <w:rPr>
          <w:caps/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b/>
          <w:caps/>
          <w:sz w:val="22"/>
          <w:szCs w:val="22"/>
        </w:rPr>
      </w:pPr>
      <w:r w:rsidRPr="003378EF">
        <w:rPr>
          <w:b/>
          <w:caps/>
          <w:sz w:val="22"/>
          <w:szCs w:val="22"/>
        </w:rPr>
        <w:t>2.</w:t>
      </w:r>
      <w:r w:rsidRPr="003378EF">
        <w:rPr>
          <w:b/>
          <w:caps/>
          <w:sz w:val="22"/>
          <w:szCs w:val="22"/>
        </w:rPr>
        <w:tab/>
        <w:t xml:space="preserve">kvalitatívne a kvantitatívne zloženie </w:t>
      </w:r>
    </w:p>
    <w:p w:rsidR="009D6757" w:rsidRPr="003378EF" w:rsidRDefault="009D6757" w:rsidP="00CC589C">
      <w:pPr>
        <w:pStyle w:val="tl1"/>
        <w:jc w:val="left"/>
        <w:rPr>
          <w:sz w:val="22"/>
          <w:szCs w:val="22"/>
        </w:rPr>
      </w:pPr>
    </w:p>
    <w:p w:rsidR="00EA53BD" w:rsidRPr="00226867" w:rsidRDefault="00226867" w:rsidP="00CC589C">
      <w:pPr>
        <w:pStyle w:val="tl1"/>
        <w:jc w:val="left"/>
        <w:rPr>
          <w:sz w:val="22"/>
          <w:szCs w:val="22"/>
        </w:rPr>
      </w:pPr>
      <w:r w:rsidRPr="00226867">
        <w:rPr>
          <w:sz w:val="22"/>
          <w:szCs w:val="22"/>
        </w:rPr>
        <w:t xml:space="preserve">1 ml </w:t>
      </w:r>
      <w:r w:rsidR="00CA02C9" w:rsidRPr="00226867">
        <w:rPr>
          <w:sz w:val="22"/>
          <w:szCs w:val="22"/>
        </w:rPr>
        <w:t>nosov</w:t>
      </w:r>
      <w:r w:rsidRPr="00226867">
        <w:rPr>
          <w:sz w:val="22"/>
          <w:szCs w:val="22"/>
        </w:rPr>
        <w:t>ej</w:t>
      </w:r>
      <w:r w:rsidR="00B97EA1" w:rsidRPr="00226867">
        <w:rPr>
          <w:sz w:val="22"/>
          <w:szCs w:val="22"/>
        </w:rPr>
        <w:t xml:space="preserve"> roztokov</w:t>
      </w:r>
      <w:r w:rsidRPr="00226867">
        <w:rPr>
          <w:sz w:val="22"/>
          <w:szCs w:val="22"/>
        </w:rPr>
        <w:t>ej</w:t>
      </w:r>
      <w:r w:rsidR="00B97EA1" w:rsidRPr="00226867">
        <w:rPr>
          <w:sz w:val="22"/>
          <w:szCs w:val="22"/>
        </w:rPr>
        <w:t xml:space="preserve"> </w:t>
      </w:r>
      <w:proofErr w:type="spellStart"/>
      <w:r w:rsidR="00B97EA1" w:rsidRPr="00226867">
        <w:rPr>
          <w:sz w:val="22"/>
          <w:szCs w:val="22"/>
        </w:rPr>
        <w:t>aerodisperzi</w:t>
      </w:r>
      <w:r w:rsidRPr="00226867">
        <w:rPr>
          <w:sz w:val="22"/>
          <w:szCs w:val="22"/>
        </w:rPr>
        <w:t>e</w:t>
      </w:r>
      <w:proofErr w:type="spellEnd"/>
      <w:r w:rsidR="0063715B">
        <w:rPr>
          <w:sz w:val="22"/>
          <w:szCs w:val="22"/>
        </w:rPr>
        <w:t xml:space="preserve"> obsahuje 0,5</w:t>
      </w:r>
      <w:r w:rsidR="00CA02C9" w:rsidRPr="00226867">
        <w:rPr>
          <w:sz w:val="22"/>
          <w:szCs w:val="22"/>
        </w:rPr>
        <w:t xml:space="preserve"> mg </w:t>
      </w:r>
      <w:proofErr w:type="spellStart"/>
      <w:r w:rsidR="00CA02C9" w:rsidRPr="00226867">
        <w:rPr>
          <w:sz w:val="22"/>
          <w:szCs w:val="22"/>
        </w:rPr>
        <w:t>xylometazol</w:t>
      </w:r>
      <w:r w:rsidR="00CC589C" w:rsidRPr="00226867">
        <w:rPr>
          <w:sz w:val="22"/>
          <w:szCs w:val="22"/>
        </w:rPr>
        <w:t>ín</w:t>
      </w:r>
      <w:r w:rsidR="00A242C6" w:rsidRPr="00226867">
        <w:rPr>
          <w:sz w:val="22"/>
          <w:szCs w:val="22"/>
        </w:rPr>
        <w:t>ium</w:t>
      </w:r>
      <w:r w:rsidR="00CA02C9" w:rsidRPr="00226867">
        <w:rPr>
          <w:sz w:val="22"/>
          <w:szCs w:val="22"/>
        </w:rPr>
        <w:t>chloridu</w:t>
      </w:r>
      <w:proofErr w:type="spellEnd"/>
      <w:r w:rsidR="001F3FC0">
        <w:rPr>
          <w:sz w:val="22"/>
          <w:szCs w:val="22"/>
        </w:rPr>
        <w:t>.</w:t>
      </w:r>
      <w:r w:rsidR="00EA53BD" w:rsidRPr="00226867">
        <w:rPr>
          <w:sz w:val="22"/>
          <w:szCs w:val="22"/>
        </w:rPr>
        <w:t xml:space="preserve"> </w:t>
      </w:r>
    </w:p>
    <w:p w:rsidR="00F107EC" w:rsidRDefault="0063715B" w:rsidP="00283E6D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1 dávka (138 µl) obsahuje 7</w:t>
      </w:r>
      <w:r w:rsidR="00226867" w:rsidRPr="00762AE9">
        <w:rPr>
          <w:sz w:val="22"/>
          <w:szCs w:val="22"/>
        </w:rPr>
        <w:t xml:space="preserve">0 </w:t>
      </w:r>
      <w:proofErr w:type="spellStart"/>
      <w:r w:rsidR="00226867" w:rsidRPr="00762AE9">
        <w:rPr>
          <w:sz w:val="22"/>
          <w:szCs w:val="22"/>
        </w:rPr>
        <w:t>mikrogramov</w:t>
      </w:r>
      <w:proofErr w:type="spellEnd"/>
      <w:r w:rsidR="00226867">
        <w:rPr>
          <w:sz w:val="22"/>
          <w:szCs w:val="22"/>
        </w:rPr>
        <w:t xml:space="preserve"> </w:t>
      </w:r>
      <w:proofErr w:type="spellStart"/>
      <w:r w:rsidR="00226867">
        <w:rPr>
          <w:sz w:val="22"/>
          <w:szCs w:val="22"/>
        </w:rPr>
        <w:t>xylometazolíniumchloridu</w:t>
      </w:r>
      <w:proofErr w:type="spellEnd"/>
      <w:r w:rsidR="00226867" w:rsidRPr="00762AE9">
        <w:rPr>
          <w:sz w:val="22"/>
          <w:szCs w:val="22"/>
        </w:rPr>
        <w:t>.</w:t>
      </w:r>
    </w:p>
    <w:p w:rsidR="00226867" w:rsidRDefault="00226867" w:rsidP="00283E6D">
      <w:pPr>
        <w:pStyle w:val="tl1"/>
        <w:jc w:val="left"/>
        <w:rPr>
          <w:sz w:val="22"/>
          <w:szCs w:val="22"/>
        </w:rPr>
      </w:pPr>
    </w:p>
    <w:p w:rsidR="00226867" w:rsidRDefault="00226867" w:rsidP="00283E6D">
      <w:pPr>
        <w:pStyle w:val="tl1"/>
        <w:jc w:val="left"/>
        <w:rPr>
          <w:sz w:val="22"/>
          <w:szCs w:val="22"/>
        </w:rPr>
      </w:pPr>
      <w:r w:rsidRPr="00226867">
        <w:rPr>
          <w:sz w:val="22"/>
          <w:szCs w:val="22"/>
          <w:u w:val="single"/>
        </w:rPr>
        <w:t>Pomocná látk</w:t>
      </w:r>
      <w:r w:rsidR="00107232">
        <w:rPr>
          <w:sz w:val="22"/>
          <w:szCs w:val="22"/>
          <w:u w:val="single"/>
        </w:rPr>
        <w:t>a</w:t>
      </w:r>
      <w:r>
        <w:rPr>
          <w:sz w:val="22"/>
          <w:szCs w:val="22"/>
          <w:u w:val="single"/>
        </w:rPr>
        <w:t xml:space="preserve"> </w:t>
      </w:r>
      <w:r w:rsidRPr="00226867">
        <w:rPr>
          <w:sz w:val="22"/>
          <w:szCs w:val="22"/>
          <w:u w:val="single"/>
        </w:rPr>
        <w:t>so známym účinkom</w:t>
      </w:r>
      <w:r>
        <w:rPr>
          <w:sz w:val="22"/>
          <w:szCs w:val="22"/>
        </w:rPr>
        <w:t xml:space="preserve">: tento liek obsahuje </w:t>
      </w:r>
      <w:proofErr w:type="spellStart"/>
      <w:r>
        <w:rPr>
          <w:sz w:val="22"/>
          <w:szCs w:val="22"/>
        </w:rPr>
        <w:t>konzervant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benzalkóniumchlorid</w:t>
      </w:r>
      <w:proofErr w:type="spellEnd"/>
      <w:r>
        <w:rPr>
          <w:sz w:val="22"/>
          <w:szCs w:val="22"/>
        </w:rPr>
        <w:t>.</w:t>
      </w:r>
    </w:p>
    <w:p w:rsidR="00226867" w:rsidRPr="00D91C5E" w:rsidRDefault="00226867" w:rsidP="00226867">
      <w:pPr>
        <w:pStyle w:val="tl1"/>
        <w:jc w:val="left"/>
        <w:rPr>
          <w:sz w:val="22"/>
          <w:szCs w:val="22"/>
        </w:rPr>
      </w:pPr>
      <w:r w:rsidRPr="00D91C5E">
        <w:rPr>
          <w:sz w:val="22"/>
          <w:szCs w:val="22"/>
        </w:rPr>
        <w:t xml:space="preserve">1 ml nosovej roztokovej </w:t>
      </w:r>
      <w:proofErr w:type="spellStart"/>
      <w:r w:rsidRPr="00D91C5E">
        <w:rPr>
          <w:sz w:val="22"/>
          <w:szCs w:val="22"/>
        </w:rPr>
        <w:t>aerodisperzie</w:t>
      </w:r>
      <w:proofErr w:type="spellEnd"/>
      <w:r w:rsidRPr="00D91C5E">
        <w:rPr>
          <w:sz w:val="22"/>
          <w:szCs w:val="22"/>
        </w:rPr>
        <w:t xml:space="preserve"> obsahuje </w:t>
      </w:r>
      <w:r>
        <w:rPr>
          <w:sz w:val="22"/>
          <w:szCs w:val="22"/>
        </w:rPr>
        <w:t>0,</w:t>
      </w:r>
      <w:r w:rsidRPr="00D91C5E">
        <w:rPr>
          <w:sz w:val="22"/>
          <w:szCs w:val="22"/>
        </w:rPr>
        <w:t>1 mg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benzalkóniumchloridu</w:t>
      </w:r>
      <w:proofErr w:type="spellEnd"/>
      <w:r>
        <w:rPr>
          <w:sz w:val="22"/>
          <w:szCs w:val="22"/>
        </w:rPr>
        <w:t>.</w:t>
      </w:r>
    </w:p>
    <w:p w:rsidR="00226867" w:rsidRDefault="00226867" w:rsidP="00226867">
      <w:pPr>
        <w:pStyle w:val="tl1"/>
        <w:jc w:val="left"/>
        <w:rPr>
          <w:sz w:val="22"/>
          <w:szCs w:val="22"/>
        </w:rPr>
      </w:pPr>
      <w:r w:rsidRPr="00762AE9">
        <w:rPr>
          <w:sz w:val="22"/>
          <w:szCs w:val="22"/>
        </w:rPr>
        <w:t xml:space="preserve">1 dávka (138 µl) obsahuje 14 </w:t>
      </w:r>
      <w:proofErr w:type="spellStart"/>
      <w:r w:rsidRPr="00762AE9">
        <w:rPr>
          <w:sz w:val="22"/>
          <w:szCs w:val="22"/>
        </w:rPr>
        <w:t>mikrogramov</w:t>
      </w:r>
      <w:proofErr w:type="spellEnd"/>
      <w:r w:rsidRPr="0022686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benzalkóniumchloridu</w:t>
      </w:r>
      <w:proofErr w:type="spellEnd"/>
      <w:r>
        <w:rPr>
          <w:sz w:val="22"/>
          <w:szCs w:val="22"/>
        </w:rPr>
        <w:t>.</w:t>
      </w:r>
      <w:r w:rsidRPr="00762AE9">
        <w:rPr>
          <w:sz w:val="22"/>
          <w:szCs w:val="22"/>
        </w:rPr>
        <w:t>.</w:t>
      </w:r>
    </w:p>
    <w:p w:rsidR="00226867" w:rsidRDefault="00226867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9A78A1" w:rsidP="00283E6D">
      <w:pPr>
        <w:pStyle w:val="tl1"/>
        <w:jc w:val="left"/>
        <w:rPr>
          <w:sz w:val="22"/>
          <w:szCs w:val="22"/>
        </w:rPr>
      </w:pPr>
      <w:r w:rsidRPr="003378EF">
        <w:rPr>
          <w:sz w:val="22"/>
          <w:szCs w:val="22"/>
        </w:rPr>
        <w:t>Úplný zoznam pomocných látok pozri časť 6.1.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9D6757" w:rsidRPr="003378EF" w:rsidRDefault="009D6757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ind w:left="567" w:hanging="567"/>
        <w:jc w:val="left"/>
        <w:rPr>
          <w:bCs/>
          <w:sz w:val="22"/>
          <w:szCs w:val="22"/>
        </w:rPr>
      </w:pPr>
      <w:r w:rsidRPr="003378EF">
        <w:rPr>
          <w:b/>
          <w:sz w:val="22"/>
          <w:szCs w:val="22"/>
        </w:rPr>
        <w:t>3.</w:t>
      </w:r>
      <w:r w:rsidRPr="003378EF">
        <w:rPr>
          <w:b/>
          <w:sz w:val="22"/>
          <w:szCs w:val="22"/>
        </w:rPr>
        <w:tab/>
        <w:t>LIEKOVÁ FORMA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19033A" w:rsidRPr="003378EF" w:rsidRDefault="00226867" w:rsidP="00283E6D">
      <w:pPr>
        <w:pStyle w:val="tl1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Nosová roztoková </w:t>
      </w:r>
      <w:proofErr w:type="spellStart"/>
      <w:r>
        <w:rPr>
          <w:sz w:val="22"/>
          <w:szCs w:val="22"/>
        </w:rPr>
        <w:t>aerodisperzia</w:t>
      </w:r>
      <w:proofErr w:type="spellEnd"/>
      <w:r w:rsidR="009A78A1" w:rsidRPr="003378EF">
        <w:rPr>
          <w:sz w:val="22"/>
          <w:szCs w:val="22"/>
        </w:rPr>
        <w:t xml:space="preserve"> </w:t>
      </w:r>
    </w:p>
    <w:p w:rsidR="00390A51" w:rsidRPr="003378EF" w:rsidRDefault="00436F34" w:rsidP="00283E6D">
      <w:pPr>
        <w:pStyle w:val="tl1"/>
        <w:jc w:val="left"/>
        <w:rPr>
          <w:color w:val="000000"/>
          <w:sz w:val="22"/>
          <w:szCs w:val="22"/>
        </w:rPr>
      </w:pPr>
      <w:r w:rsidRPr="003378EF">
        <w:rPr>
          <w:color w:val="000000"/>
          <w:sz w:val="22"/>
          <w:szCs w:val="22"/>
        </w:rPr>
        <w:t>Č</w:t>
      </w:r>
      <w:r w:rsidR="00390A51" w:rsidRPr="003378EF">
        <w:rPr>
          <w:color w:val="000000"/>
          <w:sz w:val="22"/>
          <w:szCs w:val="22"/>
        </w:rPr>
        <w:t>íry</w:t>
      </w:r>
      <w:r w:rsidR="00565A7E">
        <w:rPr>
          <w:color w:val="000000"/>
          <w:sz w:val="22"/>
          <w:szCs w:val="22"/>
        </w:rPr>
        <w:t>,</w:t>
      </w:r>
      <w:r w:rsidR="00390A51" w:rsidRPr="003378EF">
        <w:rPr>
          <w:color w:val="000000"/>
          <w:sz w:val="22"/>
          <w:szCs w:val="22"/>
        </w:rPr>
        <w:t xml:space="preserve"> </w:t>
      </w:r>
      <w:r w:rsidR="00565A7E" w:rsidRPr="004761B5">
        <w:rPr>
          <w:sz w:val="22"/>
          <w:szCs w:val="22"/>
        </w:rPr>
        <w:t xml:space="preserve">bezfarebný </w:t>
      </w:r>
      <w:r w:rsidR="00565A7E">
        <w:rPr>
          <w:sz w:val="22"/>
          <w:szCs w:val="22"/>
        </w:rPr>
        <w:t xml:space="preserve">alebo takmer bezfarebný </w:t>
      </w:r>
      <w:r w:rsidR="00565A7E" w:rsidRPr="004761B5">
        <w:rPr>
          <w:sz w:val="22"/>
          <w:szCs w:val="22"/>
        </w:rPr>
        <w:t>roztok</w:t>
      </w:r>
      <w:r w:rsidR="00565A7E">
        <w:rPr>
          <w:sz w:val="22"/>
          <w:szCs w:val="22"/>
        </w:rPr>
        <w:t>.</w:t>
      </w:r>
    </w:p>
    <w:p w:rsidR="00390A51" w:rsidRPr="003378EF" w:rsidRDefault="00390A51" w:rsidP="00283E6D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b/>
          <w:sz w:val="22"/>
          <w:szCs w:val="22"/>
        </w:rPr>
      </w:pPr>
      <w:r w:rsidRPr="003378EF">
        <w:rPr>
          <w:b/>
          <w:caps/>
          <w:sz w:val="22"/>
          <w:szCs w:val="22"/>
        </w:rPr>
        <w:t>4.</w:t>
      </w:r>
      <w:r w:rsidRPr="003378EF">
        <w:rPr>
          <w:b/>
          <w:caps/>
          <w:sz w:val="22"/>
          <w:szCs w:val="22"/>
        </w:rPr>
        <w:tab/>
        <w:t>klinické údaje</w:t>
      </w:r>
    </w:p>
    <w:p w:rsidR="00CA02C9" w:rsidRPr="003378EF" w:rsidRDefault="00CA02C9" w:rsidP="00283E6D">
      <w:pPr>
        <w:pStyle w:val="tl1"/>
        <w:jc w:val="left"/>
        <w:rPr>
          <w:b/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4.1</w:t>
      </w:r>
      <w:r w:rsidRPr="003378EF">
        <w:rPr>
          <w:b/>
          <w:sz w:val="22"/>
          <w:szCs w:val="22"/>
        </w:rPr>
        <w:tab/>
        <w:t>Terapeutické indikácie</w:t>
      </w:r>
    </w:p>
    <w:p w:rsidR="001F31A4" w:rsidRPr="003378EF" w:rsidRDefault="001F31A4" w:rsidP="00283E6D">
      <w:pPr>
        <w:pStyle w:val="tl1"/>
        <w:jc w:val="left"/>
        <w:rPr>
          <w:sz w:val="22"/>
          <w:szCs w:val="22"/>
        </w:rPr>
      </w:pPr>
    </w:p>
    <w:p w:rsidR="00565A7E" w:rsidRDefault="00565A7E" w:rsidP="00CC589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Tento liek je určený na liečbu upchatého nosa.</w:t>
      </w:r>
    </w:p>
    <w:p w:rsidR="00565A7E" w:rsidRDefault="00565A7E" w:rsidP="00CC589C">
      <w:pPr>
        <w:rPr>
          <w:rFonts w:ascii="Times New Roman" w:hAnsi="Times New Roman" w:cs="Times New Roman"/>
          <w:sz w:val="22"/>
          <w:szCs w:val="22"/>
        </w:rPr>
      </w:pPr>
    </w:p>
    <w:p w:rsidR="00DC6B0D" w:rsidRPr="003378EF" w:rsidRDefault="00226867" w:rsidP="00CC589C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Orinox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3715B">
        <w:rPr>
          <w:rFonts w:ascii="Times New Roman" w:hAnsi="Times New Roman" w:cs="Times New Roman"/>
          <w:sz w:val="22"/>
          <w:szCs w:val="22"/>
        </w:rPr>
        <w:t xml:space="preserve">0,5 </w:t>
      </w:r>
      <w:r>
        <w:rPr>
          <w:rFonts w:ascii="Times New Roman" w:hAnsi="Times New Roman" w:cs="Times New Roman"/>
          <w:sz w:val="22"/>
          <w:szCs w:val="22"/>
        </w:rPr>
        <w:t>mg/ml</w:t>
      </w:r>
      <w:r w:rsidR="00565A7E">
        <w:rPr>
          <w:rFonts w:ascii="Times New Roman" w:hAnsi="Times New Roman" w:cs="Times New Roman"/>
          <w:sz w:val="22"/>
          <w:szCs w:val="22"/>
        </w:rPr>
        <w:t xml:space="preserve"> je indikovaný deťom vo veku</w:t>
      </w:r>
      <w:r w:rsidR="00DC6B0D" w:rsidRPr="003378EF">
        <w:rPr>
          <w:rFonts w:ascii="Times New Roman" w:hAnsi="Times New Roman" w:cs="Times New Roman"/>
          <w:sz w:val="22"/>
          <w:szCs w:val="22"/>
        </w:rPr>
        <w:t xml:space="preserve"> </w:t>
      </w:r>
      <w:r w:rsidR="0063715B">
        <w:rPr>
          <w:rFonts w:ascii="Times New Roman" w:hAnsi="Times New Roman" w:cs="Times New Roman"/>
          <w:sz w:val="22"/>
          <w:szCs w:val="22"/>
        </w:rPr>
        <w:t>od 2 do</w:t>
      </w:r>
      <w:r w:rsidR="00DC6B0D" w:rsidRPr="003378EF">
        <w:rPr>
          <w:rFonts w:ascii="Times New Roman" w:hAnsi="Times New Roman" w:cs="Times New Roman"/>
          <w:sz w:val="22"/>
          <w:szCs w:val="22"/>
        </w:rPr>
        <w:t xml:space="preserve"> 12 rokov.</w:t>
      </w:r>
    </w:p>
    <w:p w:rsidR="007C1DBA" w:rsidRPr="003378EF" w:rsidRDefault="007C1DBA" w:rsidP="00283E6D">
      <w:pPr>
        <w:pStyle w:val="tl1"/>
        <w:jc w:val="left"/>
        <w:rPr>
          <w:b/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b/>
          <w:color w:val="FF0000"/>
          <w:sz w:val="22"/>
          <w:szCs w:val="22"/>
        </w:rPr>
      </w:pPr>
      <w:r w:rsidRPr="003378EF">
        <w:rPr>
          <w:b/>
          <w:sz w:val="22"/>
          <w:szCs w:val="22"/>
        </w:rPr>
        <w:t>4.2</w:t>
      </w:r>
      <w:r w:rsidRPr="003378EF">
        <w:rPr>
          <w:b/>
          <w:sz w:val="22"/>
          <w:szCs w:val="22"/>
        </w:rPr>
        <w:tab/>
        <w:t xml:space="preserve">Dávkovanie a spôsob podávania </w:t>
      </w:r>
    </w:p>
    <w:p w:rsidR="00CA02C9" w:rsidRPr="003378EF" w:rsidRDefault="00CA02C9" w:rsidP="00283E6D">
      <w:pPr>
        <w:pStyle w:val="tl1"/>
        <w:ind w:left="567"/>
        <w:jc w:val="left"/>
        <w:rPr>
          <w:sz w:val="22"/>
          <w:szCs w:val="22"/>
        </w:rPr>
      </w:pPr>
    </w:p>
    <w:p w:rsidR="004C6298" w:rsidRPr="003378EF" w:rsidRDefault="004C6298" w:rsidP="00283E6D">
      <w:pPr>
        <w:pStyle w:val="tl1"/>
        <w:jc w:val="left"/>
        <w:rPr>
          <w:sz w:val="22"/>
          <w:szCs w:val="22"/>
          <w:u w:val="single"/>
        </w:rPr>
      </w:pPr>
      <w:r w:rsidRPr="003378EF">
        <w:rPr>
          <w:sz w:val="22"/>
          <w:szCs w:val="22"/>
          <w:u w:val="single"/>
        </w:rPr>
        <w:t>Dávkovanie</w:t>
      </w:r>
    </w:p>
    <w:p w:rsidR="00DC6B0D" w:rsidRPr="00565A7E" w:rsidRDefault="00565A7E" w:rsidP="00283E6D">
      <w:pPr>
        <w:pStyle w:val="tl1"/>
        <w:jc w:val="left"/>
        <w:rPr>
          <w:i/>
          <w:sz w:val="22"/>
          <w:szCs w:val="22"/>
        </w:rPr>
      </w:pPr>
      <w:r w:rsidRPr="00565A7E">
        <w:rPr>
          <w:i/>
          <w:sz w:val="22"/>
          <w:szCs w:val="22"/>
        </w:rPr>
        <w:t>Pediatrická populácia</w:t>
      </w:r>
      <w:r w:rsidR="00DC6B0D" w:rsidRPr="00565A7E">
        <w:rPr>
          <w:i/>
          <w:sz w:val="22"/>
          <w:szCs w:val="22"/>
        </w:rPr>
        <w:t xml:space="preserve"> </w:t>
      </w:r>
    </w:p>
    <w:p w:rsidR="00807ED3" w:rsidRPr="00E36D94" w:rsidRDefault="00226867" w:rsidP="00807ED3">
      <w:pPr>
        <w:pStyle w:val="Zkladntext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Orinox</w:t>
      </w:r>
      <w:proofErr w:type="spellEnd"/>
      <w:r>
        <w:rPr>
          <w:color w:val="000000"/>
          <w:sz w:val="22"/>
          <w:szCs w:val="22"/>
        </w:rPr>
        <w:t xml:space="preserve"> </w:t>
      </w:r>
      <w:r w:rsidR="00807ED3">
        <w:rPr>
          <w:color w:val="000000"/>
          <w:sz w:val="22"/>
          <w:szCs w:val="22"/>
        </w:rPr>
        <w:t xml:space="preserve">0,5 </w:t>
      </w:r>
      <w:r>
        <w:rPr>
          <w:color w:val="000000"/>
          <w:sz w:val="22"/>
          <w:szCs w:val="22"/>
        </w:rPr>
        <w:t>mg/ml</w:t>
      </w:r>
      <w:r w:rsidR="002B1EF1" w:rsidRPr="008260C0">
        <w:rPr>
          <w:color w:val="000000"/>
          <w:sz w:val="22"/>
          <w:szCs w:val="22"/>
        </w:rPr>
        <w:t xml:space="preserve"> </w:t>
      </w:r>
      <w:proofErr w:type="spellStart"/>
      <w:r w:rsidR="002B1EF1" w:rsidRPr="008260C0">
        <w:rPr>
          <w:color w:val="000000"/>
          <w:sz w:val="22"/>
          <w:szCs w:val="22"/>
        </w:rPr>
        <w:t>sa</w:t>
      </w:r>
      <w:proofErr w:type="spellEnd"/>
      <w:r w:rsidR="002B1EF1" w:rsidRPr="008260C0">
        <w:rPr>
          <w:color w:val="000000"/>
          <w:sz w:val="22"/>
          <w:szCs w:val="22"/>
        </w:rPr>
        <w:t xml:space="preserve"> </w:t>
      </w:r>
      <w:proofErr w:type="spellStart"/>
      <w:r w:rsidR="002B1EF1" w:rsidRPr="008260C0">
        <w:rPr>
          <w:color w:val="000000"/>
          <w:sz w:val="22"/>
          <w:szCs w:val="22"/>
        </w:rPr>
        <w:t>nesmie</w:t>
      </w:r>
      <w:proofErr w:type="spellEnd"/>
      <w:r w:rsidR="002B1EF1" w:rsidRPr="008260C0">
        <w:rPr>
          <w:color w:val="000000"/>
          <w:sz w:val="22"/>
          <w:szCs w:val="22"/>
        </w:rPr>
        <w:t xml:space="preserve"> </w:t>
      </w:r>
      <w:proofErr w:type="spellStart"/>
      <w:r w:rsidR="002B1EF1" w:rsidRPr="008260C0">
        <w:rPr>
          <w:color w:val="000000"/>
          <w:sz w:val="22"/>
          <w:szCs w:val="22"/>
        </w:rPr>
        <w:t>používať</w:t>
      </w:r>
      <w:proofErr w:type="spellEnd"/>
      <w:r w:rsidR="002B1EF1" w:rsidRPr="008260C0">
        <w:rPr>
          <w:color w:val="000000"/>
          <w:sz w:val="22"/>
          <w:szCs w:val="22"/>
        </w:rPr>
        <w:t xml:space="preserve"> u </w:t>
      </w:r>
      <w:proofErr w:type="spellStart"/>
      <w:r w:rsidR="002B1EF1" w:rsidRPr="008260C0">
        <w:rPr>
          <w:color w:val="000000"/>
          <w:sz w:val="22"/>
          <w:szCs w:val="22"/>
        </w:rPr>
        <w:t>detí</w:t>
      </w:r>
      <w:proofErr w:type="spellEnd"/>
      <w:r w:rsidR="002B1EF1" w:rsidRPr="008260C0">
        <w:rPr>
          <w:color w:val="000000"/>
          <w:sz w:val="22"/>
          <w:szCs w:val="22"/>
        </w:rPr>
        <w:t xml:space="preserve"> mladších </w:t>
      </w:r>
      <w:proofErr w:type="spellStart"/>
      <w:r w:rsidR="002B1EF1" w:rsidRPr="008260C0">
        <w:rPr>
          <w:color w:val="000000"/>
          <w:sz w:val="22"/>
          <w:szCs w:val="22"/>
        </w:rPr>
        <w:t>ako</w:t>
      </w:r>
      <w:proofErr w:type="spellEnd"/>
      <w:r w:rsidR="002B1EF1" w:rsidRPr="008260C0">
        <w:rPr>
          <w:color w:val="000000"/>
          <w:sz w:val="22"/>
          <w:szCs w:val="22"/>
        </w:rPr>
        <w:t xml:space="preserve"> 2 rok</w:t>
      </w:r>
      <w:r w:rsidR="00807ED3">
        <w:rPr>
          <w:color w:val="000000"/>
          <w:sz w:val="22"/>
          <w:szCs w:val="22"/>
        </w:rPr>
        <w:t>y</w:t>
      </w:r>
      <w:r w:rsidR="002B1EF1" w:rsidRPr="008260C0">
        <w:rPr>
          <w:color w:val="000000"/>
          <w:sz w:val="22"/>
          <w:szCs w:val="22"/>
        </w:rPr>
        <w:t>.</w:t>
      </w:r>
      <w:r w:rsidR="00807ED3">
        <w:rPr>
          <w:color w:val="000000"/>
          <w:sz w:val="22"/>
          <w:szCs w:val="22"/>
        </w:rPr>
        <w:t xml:space="preserve"> </w:t>
      </w:r>
      <w:proofErr w:type="spellStart"/>
      <w:r w:rsidR="00807ED3" w:rsidRPr="00E36D94">
        <w:rPr>
          <w:sz w:val="22"/>
          <w:szCs w:val="22"/>
        </w:rPr>
        <w:t>Bezpečnosť</w:t>
      </w:r>
      <w:proofErr w:type="spellEnd"/>
      <w:r w:rsidR="00807ED3" w:rsidRPr="00E36D94">
        <w:rPr>
          <w:sz w:val="22"/>
          <w:szCs w:val="22"/>
        </w:rPr>
        <w:t xml:space="preserve"> a </w:t>
      </w:r>
      <w:proofErr w:type="spellStart"/>
      <w:r w:rsidR="00807ED3" w:rsidRPr="00E36D94">
        <w:rPr>
          <w:sz w:val="22"/>
          <w:szCs w:val="22"/>
        </w:rPr>
        <w:t>účinnosť</w:t>
      </w:r>
      <w:proofErr w:type="spellEnd"/>
      <w:r w:rsidR="00807ED3" w:rsidRPr="00E36D94">
        <w:rPr>
          <w:sz w:val="22"/>
          <w:szCs w:val="22"/>
        </w:rPr>
        <w:t xml:space="preserve"> </w:t>
      </w:r>
      <w:proofErr w:type="spellStart"/>
      <w:r w:rsidR="00807ED3" w:rsidRPr="00E36D94">
        <w:rPr>
          <w:sz w:val="22"/>
          <w:szCs w:val="22"/>
        </w:rPr>
        <w:t>tohto</w:t>
      </w:r>
      <w:proofErr w:type="spellEnd"/>
      <w:r w:rsidR="00807ED3" w:rsidRPr="00E36D94">
        <w:rPr>
          <w:sz w:val="22"/>
          <w:szCs w:val="22"/>
        </w:rPr>
        <w:t xml:space="preserve"> </w:t>
      </w:r>
      <w:proofErr w:type="spellStart"/>
      <w:r w:rsidR="00807ED3" w:rsidRPr="00E36D94">
        <w:rPr>
          <w:sz w:val="22"/>
          <w:szCs w:val="22"/>
        </w:rPr>
        <w:t>lieku</w:t>
      </w:r>
      <w:proofErr w:type="spellEnd"/>
      <w:r w:rsidR="00807ED3" w:rsidRPr="00E36D94">
        <w:rPr>
          <w:sz w:val="22"/>
          <w:szCs w:val="22"/>
        </w:rPr>
        <w:t xml:space="preserve"> </w:t>
      </w:r>
      <w:proofErr w:type="spellStart"/>
      <w:r w:rsidR="00807ED3" w:rsidRPr="00E36D94">
        <w:rPr>
          <w:sz w:val="22"/>
          <w:szCs w:val="22"/>
        </w:rPr>
        <w:t>nebola</w:t>
      </w:r>
      <w:proofErr w:type="spellEnd"/>
      <w:r w:rsidR="00807ED3" w:rsidRPr="00E36D94">
        <w:rPr>
          <w:sz w:val="22"/>
          <w:szCs w:val="22"/>
        </w:rPr>
        <w:t xml:space="preserve"> stanovená u </w:t>
      </w:r>
      <w:proofErr w:type="spellStart"/>
      <w:r w:rsidR="00807ED3" w:rsidRPr="00E36D94">
        <w:rPr>
          <w:sz w:val="22"/>
          <w:szCs w:val="22"/>
        </w:rPr>
        <w:t>detí</w:t>
      </w:r>
      <w:proofErr w:type="spellEnd"/>
      <w:r w:rsidR="00807ED3" w:rsidRPr="00E36D94">
        <w:rPr>
          <w:sz w:val="22"/>
          <w:szCs w:val="22"/>
        </w:rPr>
        <w:t xml:space="preserve"> mladších </w:t>
      </w:r>
      <w:proofErr w:type="spellStart"/>
      <w:r w:rsidR="00807ED3" w:rsidRPr="00E36D94">
        <w:rPr>
          <w:sz w:val="22"/>
          <w:szCs w:val="22"/>
        </w:rPr>
        <w:t>ako</w:t>
      </w:r>
      <w:proofErr w:type="spellEnd"/>
      <w:r w:rsidR="00807ED3" w:rsidRPr="00E36D94">
        <w:rPr>
          <w:sz w:val="22"/>
          <w:szCs w:val="22"/>
        </w:rPr>
        <w:t xml:space="preserve"> 2 roky.</w:t>
      </w:r>
      <w:r w:rsidR="00807ED3">
        <w:rPr>
          <w:sz w:val="22"/>
          <w:szCs w:val="22"/>
        </w:rPr>
        <w:t xml:space="preserve"> </w:t>
      </w:r>
      <w:proofErr w:type="spellStart"/>
      <w:r w:rsidR="00807ED3">
        <w:rPr>
          <w:sz w:val="22"/>
          <w:szCs w:val="22"/>
        </w:rPr>
        <w:t>Podanie</w:t>
      </w:r>
      <w:proofErr w:type="spellEnd"/>
      <w:r w:rsidR="00807ED3">
        <w:rPr>
          <w:sz w:val="22"/>
          <w:szCs w:val="22"/>
        </w:rPr>
        <w:t xml:space="preserve"> u </w:t>
      </w:r>
      <w:proofErr w:type="spellStart"/>
      <w:r w:rsidR="00807ED3">
        <w:rPr>
          <w:sz w:val="22"/>
          <w:szCs w:val="22"/>
        </w:rPr>
        <w:t>detí</w:t>
      </w:r>
      <w:proofErr w:type="spellEnd"/>
      <w:r w:rsidR="00807ED3">
        <w:rPr>
          <w:sz w:val="22"/>
          <w:szCs w:val="22"/>
        </w:rPr>
        <w:t xml:space="preserve"> </w:t>
      </w:r>
      <w:proofErr w:type="spellStart"/>
      <w:r w:rsidR="00807ED3">
        <w:rPr>
          <w:sz w:val="22"/>
          <w:szCs w:val="22"/>
        </w:rPr>
        <w:t>vo</w:t>
      </w:r>
      <w:proofErr w:type="spellEnd"/>
      <w:r w:rsidR="00807ED3">
        <w:rPr>
          <w:sz w:val="22"/>
          <w:szCs w:val="22"/>
        </w:rPr>
        <w:t xml:space="preserve"> veku od 2 do 12 </w:t>
      </w:r>
      <w:proofErr w:type="spellStart"/>
      <w:r w:rsidR="00807ED3">
        <w:rPr>
          <w:sz w:val="22"/>
          <w:szCs w:val="22"/>
        </w:rPr>
        <w:t>rokov</w:t>
      </w:r>
      <w:proofErr w:type="spellEnd"/>
      <w:r w:rsidR="00807ED3">
        <w:rPr>
          <w:sz w:val="22"/>
          <w:szCs w:val="22"/>
        </w:rPr>
        <w:t xml:space="preserve"> má byť pod </w:t>
      </w:r>
      <w:proofErr w:type="spellStart"/>
      <w:r w:rsidR="00807ED3">
        <w:rPr>
          <w:sz w:val="22"/>
          <w:szCs w:val="22"/>
        </w:rPr>
        <w:t>dohľadom</w:t>
      </w:r>
      <w:proofErr w:type="spellEnd"/>
      <w:r w:rsidR="00807ED3">
        <w:rPr>
          <w:sz w:val="22"/>
          <w:szCs w:val="22"/>
        </w:rPr>
        <w:t xml:space="preserve"> </w:t>
      </w:r>
      <w:proofErr w:type="spellStart"/>
      <w:r w:rsidR="00807ED3">
        <w:rPr>
          <w:sz w:val="22"/>
          <w:szCs w:val="22"/>
        </w:rPr>
        <w:t>rodičov</w:t>
      </w:r>
      <w:proofErr w:type="spellEnd"/>
      <w:r w:rsidR="00807ED3">
        <w:rPr>
          <w:sz w:val="22"/>
          <w:szCs w:val="22"/>
        </w:rPr>
        <w:t>.</w:t>
      </w:r>
    </w:p>
    <w:p w:rsidR="002B1EF1" w:rsidRPr="008260C0" w:rsidRDefault="002B1EF1" w:rsidP="00E36D94">
      <w:pPr>
        <w:pStyle w:val="tl1"/>
        <w:jc w:val="left"/>
        <w:rPr>
          <w:i/>
          <w:color w:val="000000"/>
          <w:sz w:val="22"/>
          <w:szCs w:val="22"/>
        </w:rPr>
      </w:pPr>
    </w:p>
    <w:p w:rsidR="00565A7E" w:rsidRPr="00565A7E" w:rsidRDefault="00565A7E" w:rsidP="009B4F90">
      <w:pPr>
        <w:pStyle w:val="tl1"/>
        <w:rPr>
          <w:color w:val="000000"/>
          <w:sz w:val="22"/>
          <w:szCs w:val="22"/>
          <w:lang w:eastAsia="en-US"/>
        </w:rPr>
      </w:pPr>
      <w:r w:rsidRPr="00565A7E">
        <w:rPr>
          <w:noProof/>
          <w:snapToGrid w:val="0"/>
          <w:color w:val="000000"/>
          <w:sz w:val="22"/>
          <w:szCs w:val="22"/>
          <w:lang w:eastAsia="zh-CN"/>
        </w:rPr>
        <w:t>T</w:t>
      </w:r>
      <w:r w:rsidR="00DE2887">
        <w:rPr>
          <w:noProof/>
          <w:snapToGrid w:val="0"/>
          <w:color w:val="000000"/>
          <w:sz w:val="22"/>
          <w:szCs w:val="22"/>
          <w:lang w:eastAsia="zh-CN"/>
        </w:rPr>
        <w:t>ak</w:t>
      </w:r>
      <w:r w:rsidRPr="00565A7E">
        <w:rPr>
          <w:noProof/>
          <w:snapToGrid w:val="0"/>
          <w:color w:val="000000"/>
          <w:sz w:val="22"/>
          <w:szCs w:val="22"/>
          <w:lang w:eastAsia="zh-CN"/>
        </w:rPr>
        <w:t xml:space="preserve"> ako aj iné va</w:t>
      </w:r>
      <w:r w:rsidR="000929B8">
        <w:rPr>
          <w:noProof/>
          <w:snapToGrid w:val="0"/>
          <w:color w:val="000000"/>
          <w:sz w:val="22"/>
          <w:szCs w:val="22"/>
          <w:lang w:eastAsia="zh-CN"/>
        </w:rPr>
        <w:t>z</w:t>
      </w:r>
      <w:r w:rsidRPr="00565A7E">
        <w:rPr>
          <w:noProof/>
          <w:snapToGrid w:val="0"/>
          <w:color w:val="000000"/>
          <w:sz w:val="22"/>
          <w:szCs w:val="22"/>
          <w:lang w:eastAsia="zh-CN"/>
        </w:rPr>
        <w:t>okonstri</w:t>
      </w:r>
      <w:r w:rsidR="000929B8">
        <w:rPr>
          <w:noProof/>
          <w:snapToGrid w:val="0"/>
          <w:color w:val="000000"/>
          <w:sz w:val="22"/>
          <w:szCs w:val="22"/>
          <w:lang w:eastAsia="zh-CN"/>
        </w:rPr>
        <w:t>k</w:t>
      </w:r>
      <w:r w:rsidRPr="00565A7E">
        <w:rPr>
          <w:noProof/>
          <w:snapToGrid w:val="0"/>
          <w:color w:val="000000"/>
          <w:sz w:val="22"/>
          <w:szCs w:val="22"/>
          <w:lang w:eastAsia="zh-CN"/>
        </w:rPr>
        <w:t xml:space="preserve">čné látky, aj Orinox </w:t>
      </w:r>
      <w:r w:rsidR="00807ED3">
        <w:rPr>
          <w:noProof/>
          <w:snapToGrid w:val="0"/>
          <w:color w:val="000000"/>
          <w:sz w:val="22"/>
          <w:szCs w:val="22"/>
          <w:lang w:eastAsia="zh-CN"/>
        </w:rPr>
        <w:t>0,5</w:t>
      </w:r>
      <w:r w:rsidRPr="00565A7E">
        <w:rPr>
          <w:noProof/>
          <w:snapToGrid w:val="0"/>
          <w:color w:val="000000"/>
          <w:sz w:val="22"/>
          <w:szCs w:val="22"/>
          <w:lang w:eastAsia="zh-CN"/>
        </w:rPr>
        <w:t xml:space="preserve"> mg/ml sa nemá používať nepretržite dlhšie ako 1 týždeň. </w:t>
      </w:r>
      <w:r w:rsidRPr="00565A7E">
        <w:rPr>
          <w:color w:val="000000"/>
          <w:sz w:val="22"/>
          <w:szCs w:val="22"/>
          <w:lang w:eastAsia="en-US"/>
        </w:rPr>
        <w:t xml:space="preserve">Odporúčaná dávka </w:t>
      </w:r>
      <w:r w:rsidR="0035655A">
        <w:rPr>
          <w:color w:val="000000"/>
          <w:sz w:val="22"/>
          <w:szCs w:val="22"/>
          <w:lang w:eastAsia="en-US"/>
        </w:rPr>
        <w:t>nemá byť prekročená</w:t>
      </w:r>
      <w:r w:rsidRPr="00565A7E">
        <w:rPr>
          <w:color w:val="000000"/>
          <w:sz w:val="22"/>
          <w:szCs w:val="22"/>
          <w:lang w:eastAsia="en-US"/>
        </w:rPr>
        <w:t>, a to najmä u detí a starších ľudí.</w:t>
      </w:r>
    </w:p>
    <w:p w:rsidR="00565A7E" w:rsidRDefault="00565A7E" w:rsidP="00565A7E">
      <w:pPr>
        <w:widowControl/>
        <w:autoSpaceDE/>
        <w:autoSpaceDN/>
        <w:adjustRightInd/>
        <w:rPr>
          <w:rFonts w:ascii="Times New Roman" w:hAnsi="Times New Roman" w:cs="Times New Roman"/>
          <w:noProof/>
          <w:snapToGrid w:val="0"/>
          <w:color w:val="000000"/>
          <w:sz w:val="22"/>
          <w:szCs w:val="22"/>
          <w:u w:val="single"/>
          <w:lang w:eastAsia="zh-CN"/>
        </w:rPr>
      </w:pPr>
    </w:p>
    <w:p w:rsidR="000929B8" w:rsidRPr="000929B8" w:rsidRDefault="000929B8" w:rsidP="00565A7E">
      <w:pPr>
        <w:widowControl/>
        <w:autoSpaceDE/>
        <w:autoSpaceDN/>
        <w:adjustRightInd/>
        <w:rPr>
          <w:rFonts w:ascii="Times New Roman" w:hAnsi="Times New Roman" w:cs="Times New Roman"/>
          <w:noProof/>
          <w:snapToGrid w:val="0"/>
          <w:color w:val="000000"/>
          <w:sz w:val="22"/>
          <w:szCs w:val="22"/>
          <w:u w:val="single"/>
          <w:lang w:eastAsia="zh-CN"/>
        </w:rPr>
      </w:pPr>
      <w:r w:rsidRPr="000929B8">
        <w:rPr>
          <w:rFonts w:ascii="Times New Roman" w:hAnsi="Times New Roman" w:cs="Times New Roman"/>
          <w:noProof/>
          <w:snapToGrid w:val="0"/>
          <w:color w:val="000000"/>
          <w:sz w:val="22"/>
          <w:szCs w:val="22"/>
          <w:u w:val="single"/>
          <w:lang w:eastAsia="zh-CN"/>
        </w:rPr>
        <w:t>Spôsob podávania</w:t>
      </w:r>
    </w:p>
    <w:p w:rsidR="009A5D96" w:rsidRPr="00F73862" w:rsidRDefault="00F102B5" w:rsidP="00CC589C">
      <w:pPr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Deti vo veku 2 až 6</w:t>
      </w:r>
      <w:r w:rsidR="00807ED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rokov</w:t>
      </w:r>
      <w:r w:rsidR="00061087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:rsidR="00F102B5" w:rsidRDefault="00F102B5" w:rsidP="00F73862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Pod dohľadom rodičov:</w:t>
      </w:r>
    </w:p>
    <w:p w:rsidR="00F73862" w:rsidRPr="00F73862" w:rsidRDefault="00F73862" w:rsidP="00F7386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73862">
        <w:rPr>
          <w:rFonts w:ascii="Times New Roman" w:hAnsi="Times New Roman" w:cs="Times New Roman"/>
          <w:color w:val="000000"/>
          <w:sz w:val="22"/>
          <w:szCs w:val="22"/>
        </w:rPr>
        <w:t xml:space="preserve">Ak je to potrebné, 1 </w:t>
      </w:r>
      <w:r w:rsidR="00807ED3">
        <w:rPr>
          <w:rFonts w:ascii="Times New Roman" w:hAnsi="Times New Roman" w:cs="Times New Roman"/>
          <w:color w:val="000000"/>
          <w:sz w:val="22"/>
          <w:szCs w:val="22"/>
        </w:rPr>
        <w:t>až 3-krát</w:t>
      </w:r>
      <w:r w:rsidR="008C5A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102B5">
        <w:rPr>
          <w:rFonts w:ascii="Times New Roman" w:hAnsi="Times New Roman" w:cs="Times New Roman"/>
          <w:color w:val="000000"/>
          <w:sz w:val="22"/>
          <w:szCs w:val="22"/>
        </w:rPr>
        <w:t>za deň</w:t>
      </w:r>
      <w:r w:rsidRPr="00F73862">
        <w:rPr>
          <w:rFonts w:ascii="Times New Roman" w:hAnsi="Times New Roman" w:cs="Times New Roman"/>
          <w:color w:val="000000"/>
          <w:sz w:val="22"/>
          <w:szCs w:val="22"/>
        </w:rPr>
        <w:t xml:space="preserve"> 1 vstrek do každej nosovej dierky.</w:t>
      </w:r>
    </w:p>
    <w:p w:rsidR="00F73862" w:rsidRPr="00F73862" w:rsidRDefault="00F73862" w:rsidP="00F73862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73862">
        <w:rPr>
          <w:rFonts w:ascii="Times New Roman" w:hAnsi="Times New Roman" w:cs="Times New Roman"/>
          <w:color w:val="000000"/>
          <w:sz w:val="22"/>
          <w:szCs w:val="22"/>
        </w:rPr>
        <w:t>Medzi dvoma podaniami má byť časový odstup 8 až 10 hodín.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73862" w:rsidRPr="00F73862" w:rsidRDefault="00F73862" w:rsidP="00CC589C">
      <w:pPr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734F39" w:rsidRDefault="00F102B5" w:rsidP="00283E6D">
      <w:pPr>
        <w:pStyle w:val="tl1"/>
        <w:jc w:val="left"/>
        <w:rPr>
          <w:i/>
          <w:color w:val="000000"/>
          <w:sz w:val="22"/>
          <w:szCs w:val="22"/>
        </w:rPr>
      </w:pPr>
      <w:r w:rsidRPr="00E36D94">
        <w:rPr>
          <w:i/>
          <w:color w:val="000000"/>
          <w:sz w:val="22"/>
          <w:szCs w:val="22"/>
        </w:rPr>
        <w:t>Deti vo veku 6 až 12 rokov</w:t>
      </w:r>
      <w:r w:rsidR="00061087">
        <w:rPr>
          <w:i/>
          <w:color w:val="000000"/>
          <w:sz w:val="22"/>
          <w:szCs w:val="22"/>
        </w:rPr>
        <w:t>.</w:t>
      </w:r>
    </w:p>
    <w:p w:rsidR="00F102B5" w:rsidRDefault="00F102B5" w:rsidP="00283E6D">
      <w:pPr>
        <w:pStyle w:val="tl1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 dohľadom rodičov:</w:t>
      </w:r>
    </w:p>
    <w:p w:rsidR="00F102B5" w:rsidRPr="00E36D94" w:rsidRDefault="00F102B5" w:rsidP="00283E6D">
      <w:pPr>
        <w:pStyle w:val="tl1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Ak je to potrebné, 1 až 3-krát za deň, 1 až 2 vstreky do každej nosovej dierky.</w:t>
      </w:r>
    </w:p>
    <w:p w:rsidR="00F102B5" w:rsidRPr="00F73862" w:rsidRDefault="00F102B5" w:rsidP="00F102B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F73862">
        <w:rPr>
          <w:rFonts w:ascii="Times New Roman" w:hAnsi="Times New Roman" w:cs="Times New Roman"/>
          <w:color w:val="000000"/>
          <w:sz w:val="22"/>
          <w:szCs w:val="22"/>
        </w:rPr>
        <w:t>Medzi dvoma podaniami má byť časový odstup 8 až 10 hodín.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102B5" w:rsidRPr="00E36D94" w:rsidRDefault="00F102B5" w:rsidP="00A87714">
      <w:pPr>
        <w:pStyle w:val="tl1"/>
        <w:tabs>
          <w:tab w:val="clear" w:pos="567"/>
          <w:tab w:val="left" w:pos="5418"/>
        </w:tabs>
        <w:jc w:val="left"/>
        <w:rPr>
          <w:color w:val="000000"/>
          <w:sz w:val="22"/>
          <w:szCs w:val="22"/>
          <w:highlight w:val="lightGray"/>
        </w:rPr>
      </w:pPr>
    </w:p>
    <w:p w:rsidR="002C7F4E" w:rsidRPr="00F73862" w:rsidRDefault="00F73862" w:rsidP="00F73862">
      <w:pPr>
        <w:pStyle w:val="tl1"/>
        <w:jc w:val="left"/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Sprejová pumpička zaisťuje dobré rozptýlenie roztoku po celom povrchu nosovej sliznice. Dávkovací mechanizmus</w:t>
      </w:r>
      <w:r w:rsidR="003D4896" w:rsidRPr="00F73862">
        <w:rPr>
          <w:color w:val="000000"/>
          <w:sz w:val="22"/>
          <w:szCs w:val="22"/>
        </w:rPr>
        <w:t xml:space="preserve"> umožňuje presnosť dávkovania </w:t>
      </w:r>
      <w:r w:rsidRPr="00F73862">
        <w:rPr>
          <w:color w:val="000000"/>
          <w:sz w:val="22"/>
          <w:szCs w:val="22"/>
        </w:rPr>
        <w:t xml:space="preserve">a </w:t>
      </w:r>
      <w:r w:rsidR="00726C30" w:rsidRPr="00F73862">
        <w:rPr>
          <w:color w:val="000000"/>
          <w:sz w:val="22"/>
          <w:szCs w:val="22"/>
        </w:rPr>
        <w:t>zamedzuje</w:t>
      </w:r>
      <w:r w:rsidR="003D4896" w:rsidRPr="00F73862">
        <w:rPr>
          <w:color w:val="000000"/>
          <w:sz w:val="22"/>
          <w:szCs w:val="22"/>
        </w:rPr>
        <w:t xml:space="preserve"> možnos</w:t>
      </w:r>
      <w:r w:rsidR="00726C30" w:rsidRPr="00F73862">
        <w:rPr>
          <w:color w:val="000000"/>
          <w:sz w:val="22"/>
          <w:szCs w:val="22"/>
        </w:rPr>
        <w:t>ti</w:t>
      </w:r>
      <w:r w:rsidR="003D4896" w:rsidRPr="00F73862">
        <w:rPr>
          <w:color w:val="000000"/>
          <w:sz w:val="22"/>
          <w:szCs w:val="22"/>
        </w:rPr>
        <w:t xml:space="preserve"> neúmyselného predávkovania.</w:t>
      </w:r>
      <w:r w:rsidR="00CC756C" w:rsidRPr="00F73862">
        <w:rPr>
          <w:rFonts w:ascii="Arial" w:hAnsi="Arial" w:cs="Arial"/>
          <w:color w:val="222222"/>
          <w:sz w:val="20"/>
          <w:lang w:eastAsia="en-US"/>
        </w:rPr>
        <w:t xml:space="preserve"> </w:t>
      </w:r>
    </w:p>
    <w:p w:rsidR="00F73862" w:rsidRPr="00F73862" w:rsidRDefault="00F73862" w:rsidP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</w:p>
    <w:p w:rsidR="00B63EF9" w:rsidRDefault="00B63EF9" w:rsidP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Orinox</w:t>
      </w:r>
      <w:proofErr w:type="spellEnd"/>
      <w:r>
        <w:rPr>
          <w:color w:val="000000"/>
          <w:sz w:val="22"/>
          <w:szCs w:val="22"/>
        </w:rPr>
        <w:t xml:space="preserve"> 0,5 mg/ml sa </w:t>
      </w:r>
      <w:r w:rsidR="0029170F" w:rsidRPr="00AA5677">
        <w:rPr>
          <w:color w:val="000000"/>
          <w:sz w:val="22"/>
          <w:szCs w:val="22"/>
        </w:rPr>
        <w:t>použ</w:t>
      </w:r>
      <w:r w:rsidR="00AA5677">
        <w:rPr>
          <w:color w:val="000000"/>
          <w:sz w:val="22"/>
          <w:szCs w:val="22"/>
        </w:rPr>
        <w:t>íva</w:t>
      </w:r>
      <w:r w:rsidRPr="00AA5677">
        <w:rPr>
          <w:color w:val="000000"/>
          <w:sz w:val="22"/>
          <w:szCs w:val="22"/>
        </w:rPr>
        <w:t xml:space="preserve"> po vyčistení nosa.</w:t>
      </w:r>
    </w:p>
    <w:p w:rsidR="00F73862" w:rsidRPr="00F73862" w:rsidRDefault="00F73862" w:rsidP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Odstráňte bezpečnostný uzáver.</w:t>
      </w:r>
    </w:p>
    <w:p w:rsidR="00F73862" w:rsidRPr="00F73862" w:rsidRDefault="00F73862" w:rsidP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 xml:space="preserve">Pred prvým použitím stlačte pumpičku 5-krát, aby ste pripravili sprej k aplikácii. V prípade, že sprej nebol používaný </w:t>
      </w:r>
      <w:r w:rsidR="00A44380">
        <w:rPr>
          <w:color w:val="000000"/>
          <w:sz w:val="22"/>
          <w:szCs w:val="22"/>
        </w:rPr>
        <w:t xml:space="preserve">viac ako </w:t>
      </w:r>
      <w:r w:rsidRPr="00F73862">
        <w:rPr>
          <w:color w:val="000000"/>
          <w:sz w:val="22"/>
          <w:szCs w:val="22"/>
        </w:rPr>
        <w:t xml:space="preserve">14 dní (po prvom použití), stlačte pumpičku </w:t>
      </w:r>
      <w:r w:rsidR="000929B8">
        <w:rPr>
          <w:color w:val="000000"/>
          <w:sz w:val="22"/>
          <w:szCs w:val="22"/>
        </w:rPr>
        <w:t>jedenkrát</w:t>
      </w:r>
      <w:r w:rsidRPr="00F73862">
        <w:rPr>
          <w:color w:val="000000"/>
          <w:sz w:val="22"/>
          <w:szCs w:val="22"/>
        </w:rPr>
        <w:t xml:space="preserve"> na prípravu k ďalšiemu použitiu. Sprej je tak pripravený pre následné použitie. </w:t>
      </w:r>
    </w:p>
    <w:p w:rsidR="00F73862" w:rsidRDefault="00F73862" w:rsidP="00F73862">
      <w:pPr>
        <w:pStyle w:val="tl1"/>
        <w:tabs>
          <w:tab w:val="left" w:pos="0"/>
        </w:tabs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Vložte nosov</w:t>
      </w:r>
      <w:r w:rsidR="0073544A">
        <w:rPr>
          <w:color w:val="000000"/>
          <w:sz w:val="22"/>
          <w:szCs w:val="22"/>
        </w:rPr>
        <w:t>ú</w:t>
      </w:r>
      <w:r w:rsidRPr="00F73862">
        <w:rPr>
          <w:color w:val="000000"/>
          <w:sz w:val="22"/>
          <w:szCs w:val="22"/>
        </w:rPr>
        <w:t xml:space="preserve"> pumpičk</w:t>
      </w:r>
      <w:r w:rsidR="0073544A">
        <w:rPr>
          <w:color w:val="000000"/>
          <w:sz w:val="22"/>
          <w:szCs w:val="22"/>
        </w:rPr>
        <w:t>u</w:t>
      </w:r>
      <w:r w:rsidRPr="00F73862">
        <w:rPr>
          <w:color w:val="000000"/>
          <w:sz w:val="22"/>
          <w:szCs w:val="22"/>
        </w:rPr>
        <w:t xml:space="preserve"> do nosovej dierky a raz silno stlačte sprejovú pumpičku. </w:t>
      </w:r>
      <w:r w:rsidR="0029170F" w:rsidRPr="0029170F">
        <w:rPr>
          <w:color w:val="000000"/>
          <w:sz w:val="22"/>
          <w:szCs w:val="22"/>
        </w:rPr>
        <w:t>Držte rozprašovač stlačený, kým ho nevyberiete z</w:t>
      </w:r>
      <w:r w:rsidR="0029170F">
        <w:rPr>
          <w:color w:val="000000"/>
          <w:sz w:val="22"/>
          <w:szCs w:val="22"/>
        </w:rPr>
        <w:t> </w:t>
      </w:r>
      <w:r w:rsidR="0029170F" w:rsidRPr="0029170F">
        <w:rPr>
          <w:color w:val="000000"/>
          <w:sz w:val="22"/>
          <w:szCs w:val="22"/>
        </w:rPr>
        <w:t>nosa</w:t>
      </w:r>
      <w:r w:rsidR="0029170F">
        <w:rPr>
          <w:color w:val="000000"/>
          <w:sz w:val="22"/>
          <w:szCs w:val="22"/>
        </w:rPr>
        <w:t xml:space="preserve">. </w:t>
      </w:r>
      <w:r w:rsidR="00900F39" w:rsidRPr="008C5A93">
        <w:rPr>
          <w:color w:val="000000"/>
          <w:sz w:val="22"/>
          <w:szCs w:val="22"/>
        </w:rPr>
        <w:t>Optimálne rozptýlenie sprej</w:t>
      </w:r>
      <w:r w:rsidR="00A87714">
        <w:rPr>
          <w:color w:val="000000"/>
          <w:sz w:val="22"/>
          <w:szCs w:val="22"/>
        </w:rPr>
        <w:t>a</w:t>
      </w:r>
      <w:r w:rsidR="00900F39" w:rsidRPr="008C5A93">
        <w:rPr>
          <w:color w:val="000000"/>
          <w:sz w:val="22"/>
          <w:szCs w:val="22"/>
        </w:rPr>
        <w:t xml:space="preserve"> sa dosiahne </w:t>
      </w:r>
      <w:r w:rsidR="006C65B3" w:rsidRPr="008C5A93">
        <w:rPr>
          <w:color w:val="000000"/>
          <w:sz w:val="22"/>
          <w:szCs w:val="22"/>
        </w:rPr>
        <w:t>vďaka</w:t>
      </w:r>
      <w:r w:rsidR="00900F39" w:rsidRPr="008C5A93">
        <w:rPr>
          <w:color w:val="000000"/>
          <w:sz w:val="22"/>
          <w:szCs w:val="22"/>
        </w:rPr>
        <w:t xml:space="preserve"> nádychu nosom počas stl</w:t>
      </w:r>
      <w:r w:rsidR="0073544A">
        <w:rPr>
          <w:color w:val="000000"/>
          <w:sz w:val="22"/>
          <w:szCs w:val="22"/>
        </w:rPr>
        <w:t>á</w:t>
      </w:r>
      <w:r w:rsidR="00900F39" w:rsidRPr="008C5A93">
        <w:rPr>
          <w:color w:val="000000"/>
          <w:sz w:val="22"/>
          <w:szCs w:val="22"/>
        </w:rPr>
        <w:t>č</w:t>
      </w:r>
      <w:r w:rsidR="0073544A">
        <w:rPr>
          <w:color w:val="000000"/>
          <w:sz w:val="22"/>
          <w:szCs w:val="22"/>
        </w:rPr>
        <w:t>a</w:t>
      </w:r>
      <w:r w:rsidR="00900F39" w:rsidRPr="008C5A93">
        <w:rPr>
          <w:color w:val="000000"/>
          <w:sz w:val="22"/>
          <w:szCs w:val="22"/>
        </w:rPr>
        <w:t>n</w:t>
      </w:r>
      <w:r w:rsidR="00267EC0">
        <w:rPr>
          <w:color w:val="000000"/>
          <w:sz w:val="22"/>
          <w:szCs w:val="22"/>
        </w:rPr>
        <w:t>ia</w:t>
      </w:r>
      <w:r w:rsidR="00900F39" w:rsidRPr="008C5A93">
        <w:rPr>
          <w:color w:val="000000"/>
          <w:sz w:val="22"/>
          <w:szCs w:val="22"/>
        </w:rPr>
        <w:t xml:space="preserve"> </w:t>
      </w:r>
      <w:r w:rsidR="0073544A">
        <w:rPr>
          <w:color w:val="000000"/>
          <w:sz w:val="22"/>
          <w:szCs w:val="22"/>
        </w:rPr>
        <w:t>pumpičky</w:t>
      </w:r>
      <w:r w:rsidR="00900F39" w:rsidRPr="008C5A93">
        <w:rPr>
          <w:color w:val="000000"/>
          <w:sz w:val="22"/>
          <w:szCs w:val="22"/>
        </w:rPr>
        <w:t xml:space="preserve">. </w:t>
      </w:r>
      <w:r w:rsidR="006C65B3" w:rsidRPr="008C5A93">
        <w:rPr>
          <w:color w:val="000000"/>
          <w:sz w:val="22"/>
          <w:szCs w:val="22"/>
        </w:rPr>
        <w:t>Po použití nasaďte</w:t>
      </w:r>
      <w:r w:rsidR="006C65B3">
        <w:rPr>
          <w:color w:val="000000"/>
          <w:sz w:val="22"/>
          <w:szCs w:val="22"/>
        </w:rPr>
        <w:t xml:space="preserve"> bezpečnostný uzáver.</w:t>
      </w:r>
    </w:p>
    <w:p w:rsidR="00F73862" w:rsidRPr="00F73862" w:rsidRDefault="00F73862" w:rsidP="00AE7C86">
      <w:pPr>
        <w:pStyle w:val="tl1"/>
        <w:jc w:val="left"/>
        <w:rPr>
          <w:color w:val="000000"/>
          <w:sz w:val="22"/>
          <w:szCs w:val="22"/>
        </w:rPr>
      </w:pPr>
      <w:r w:rsidRPr="00F73862">
        <w:rPr>
          <w:rFonts w:ascii="Arial" w:hAnsi="Arial" w:cs="Arial"/>
          <w:color w:val="222222"/>
          <w:sz w:val="20"/>
          <w:lang w:eastAsia="en-US"/>
        </w:rPr>
        <w:t xml:space="preserve"> </w:t>
      </w:r>
    </w:p>
    <w:p w:rsidR="00CA02C9" w:rsidRDefault="00F73862" w:rsidP="00F73862">
      <w:pPr>
        <w:pStyle w:val="tl1"/>
        <w:tabs>
          <w:tab w:val="clear" w:pos="567"/>
          <w:tab w:val="left" w:pos="0"/>
        </w:tabs>
        <w:jc w:val="left"/>
        <w:rPr>
          <w:color w:val="000000"/>
          <w:sz w:val="22"/>
          <w:szCs w:val="22"/>
        </w:rPr>
      </w:pPr>
      <w:r w:rsidRPr="00F73862">
        <w:rPr>
          <w:color w:val="000000"/>
          <w:sz w:val="22"/>
          <w:szCs w:val="22"/>
        </w:rPr>
        <w:t>Aby sa zabránilo prípadnému prenosu infekcie, fľaštičku má používať iba jedna osoba.</w:t>
      </w:r>
    </w:p>
    <w:p w:rsidR="00900F39" w:rsidRPr="003378EF" w:rsidRDefault="00900F39" w:rsidP="00F73862">
      <w:pPr>
        <w:pStyle w:val="tl1"/>
        <w:tabs>
          <w:tab w:val="clear" w:pos="567"/>
          <w:tab w:val="left" w:pos="0"/>
        </w:tabs>
        <w:jc w:val="left"/>
        <w:rPr>
          <w:color w:val="000000"/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color w:val="000000"/>
          <w:sz w:val="22"/>
          <w:szCs w:val="22"/>
        </w:rPr>
      </w:pPr>
      <w:r w:rsidRPr="003378EF">
        <w:rPr>
          <w:b/>
          <w:color w:val="000000"/>
          <w:sz w:val="22"/>
          <w:szCs w:val="22"/>
        </w:rPr>
        <w:t>4.3</w:t>
      </w:r>
      <w:r w:rsidRPr="003378EF">
        <w:rPr>
          <w:b/>
          <w:color w:val="000000"/>
          <w:sz w:val="22"/>
          <w:szCs w:val="22"/>
        </w:rPr>
        <w:tab/>
        <w:t>Kontraindikácie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1331A7">
      <w:pPr>
        <w:pStyle w:val="tl1"/>
        <w:numPr>
          <w:ilvl w:val="0"/>
          <w:numId w:val="10"/>
        </w:numPr>
        <w:tabs>
          <w:tab w:val="clear" w:pos="567"/>
          <w:tab w:val="left" w:pos="0"/>
        </w:tabs>
        <w:ind w:left="0" w:firstLine="0"/>
        <w:jc w:val="left"/>
        <w:rPr>
          <w:sz w:val="22"/>
          <w:szCs w:val="22"/>
        </w:rPr>
      </w:pPr>
      <w:r w:rsidRPr="003378EF">
        <w:rPr>
          <w:sz w:val="22"/>
          <w:szCs w:val="22"/>
        </w:rPr>
        <w:t xml:space="preserve">Precitlivenosť na </w:t>
      </w:r>
      <w:r w:rsidR="001331A7">
        <w:rPr>
          <w:sz w:val="22"/>
          <w:szCs w:val="22"/>
        </w:rPr>
        <w:t xml:space="preserve">liečivo </w:t>
      </w:r>
      <w:r w:rsidR="007D7F35" w:rsidRPr="00FA48D0">
        <w:rPr>
          <w:sz w:val="22"/>
          <w:szCs w:val="22"/>
        </w:rPr>
        <w:t>a</w:t>
      </w:r>
      <w:r w:rsidR="007D7F35" w:rsidRPr="003378EF">
        <w:rPr>
          <w:sz w:val="22"/>
          <w:szCs w:val="22"/>
        </w:rPr>
        <w:t xml:space="preserve">lebo na </w:t>
      </w:r>
      <w:r w:rsidRPr="003378EF">
        <w:rPr>
          <w:sz w:val="22"/>
          <w:szCs w:val="22"/>
        </w:rPr>
        <w:t>ktorúkoľvek z</w:t>
      </w:r>
      <w:r w:rsidR="00264340">
        <w:rPr>
          <w:sz w:val="22"/>
          <w:szCs w:val="22"/>
        </w:rPr>
        <w:t> pomocných látok</w:t>
      </w:r>
      <w:r w:rsidRPr="003378EF">
        <w:rPr>
          <w:sz w:val="22"/>
          <w:szCs w:val="22"/>
        </w:rPr>
        <w:t xml:space="preserve"> lieku</w:t>
      </w:r>
      <w:r w:rsidR="001331A7">
        <w:rPr>
          <w:sz w:val="22"/>
          <w:szCs w:val="22"/>
        </w:rPr>
        <w:t xml:space="preserve"> uvedených v časti 6.1</w:t>
      </w:r>
      <w:r w:rsidRPr="003378EF">
        <w:rPr>
          <w:sz w:val="22"/>
          <w:szCs w:val="22"/>
        </w:rPr>
        <w:t>.</w:t>
      </w:r>
    </w:p>
    <w:p w:rsidR="00CA02C9" w:rsidRPr="003378EF" w:rsidRDefault="00CA02C9" w:rsidP="001331A7">
      <w:pPr>
        <w:pStyle w:val="tl1"/>
        <w:numPr>
          <w:ilvl w:val="0"/>
          <w:numId w:val="10"/>
        </w:numPr>
        <w:tabs>
          <w:tab w:val="clear" w:pos="567"/>
          <w:tab w:val="left" w:pos="0"/>
        </w:tabs>
        <w:ind w:left="709" w:hanging="709"/>
        <w:jc w:val="left"/>
        <w:rPr>
          <w:sz w:val="22"/>
          <w:szCs w:val="22"/>
        </w:rPr>
      </w:pPr>
      <w:r w:rsidRPr="003378EF">
        <w:rPr>
          <w:sz w:val="22"/>
          <w:szCs w:val="22"/>
        </w:rPr>
        <w:t xml:space="preserve">Tak ako aj v prípade ostatných </w:t>
      </w:r>
      <w:proofErr w:type="spellStart"/>
      <w:r w:rsidRPr="003378EF">
        <w:rPr>
          <w:sz w:val="22"/>
          <w:szCs w:val="22"/>
        </w:rPr>
        <w:t>vazokonstrikčných</w:t>
      </w:r>
      <w:proofErr w:type="spellEnd"/>
      <w:r w:rsidRPr="003378EF">
        <w:rPr>
          <w:sz w:val="22"/>
          <w:szCs w:val="22"/>
        </w:rPr>
        <w:t xml:space="preserve"> látok </w:t>
      </w:r>
      <w:r w:rsidR="00264340">
        <w:rPr>
          <w:sz w:val="22"/>
          <w:szCs w:val="22"/>
        </w:rPr>
        <w:t xml:space="preserve">sa </w:t>
      </w:r>
      <w:proofErr w:type="spellStart"/>
      <w:r w:rsidR="000929B8">
        <w:rPr>
          <w:sz w:val="22"/>
          <w:szCs w:val="22"/>
        </w:rPr>
        <w:t>xylometazolín</w:t>
      </w:r>
      <w:proofErr w:type="spellEnd"/>
      <w:r w:rsidR="000929B8">
        <w:rPr>
          <w:sz w:val="22"/>
          <w:szCs w:val="22"/>
        </w:rPr>
        <w:t xml:space="preserve"> </w:t>
      </w:r>
      <w:r w:rsidR="00264340">
        <w:rPr>
          <w:sz w:val="22"/>
          <w:szCs w:val="22"/>
        </w:rPr>
        <w:t>nesmie používať</w:t>
      </w:r>
      <w:r w:rsidR="00C77BD8">
        <w:rPr>
          <w:sz w:val="22"/>
          <w:szCs w:val="22"/>
        </w:rPr>
        <w:t xml:space="preserve"> </w:t>
      </w:r>
      <w:r w:rsidRPr="003378EF">
        <w:rPr>
          <w:sz w:val="22"/>
          <w:szCs w:val="22"/>
        </w:rPr>
        <w:t>u pacientov s </w:t>
      </w:r>
      <w:proofErr w:type="spellStart"/>
      <w:r w:rsidRPr="003378EF">
        <w:rPr>
          <w:sz w:val="22"/>
          <w:szCs w:val="22"/>
        </w:rPr>
        <w:t>transfenoidálnou</w:t>
      </w:r>
      <w:proofErr w:type="spellEnd"/>
      <w:r w:rsidRPr="003378EF">
        <w:rPr>
          <w:sz w:val="22"/>
          <w:szCs w:val="22"/>
        </w:rPr>
        <w:t xml:space="preserve"> </w:t>
      </w:r>
      <w:proofErr w:type="spellStart"/>
      <w:r w:rsidRPr="003378EF">
        <w:rPr>
          <w:sz w:val="22"/>
          <w:szCs w:val="22"/>
        </w:rPr>
        <w:t>hypof</w:t>
      </w:r>
      <w:r w:rsidR="00A354B8">
        <w:rPr>
          <w:sz w:val="22"/>
          <w:szCs w:val="22"/>
        </w:rPr>
        <w:t>y</w:t>
      </w:r>
      <w:r w:rsidRPr="003378EF">
        <w:rPr>
          <w:sz w:val="22"/>
          <w:szCs w:val="22"/>
        </w:rPr>
        <w:t>zektómiou</w:t>
      </w:r>
      <w:proofErr w:type="spellEnd"/>
      <w:r w:rsidRPr="003378EF">
        <w:rPr>
          <w:sz w:val="22"/>
          <w:szCs w:val="22"/>
        </w:rPr>
        <w:t xml:space="preserve"> a u pacientov po operácii </w:t>
      </w:r>
      <w:proofErr w:type="spellStart"/>
      <w:r w:rsidRPr="003378EF">
        <w:rPr>
          <w:sz w:val="22"/>
          <w:szCs w:val="22"/>
        </w:rPr>
        <w:t>dura</w:t>
      </w:r>
      <w:proofErr w:type="spellEnd"/>
      <w:r w:rsidRPr="003378EF">
        <w:rPr>
          <w:sz w:val="22"/>
          <w:szCs w:val="22"/>
        </w:rPr>
        <w:t xml:space="preserve"> mater.</w:t>
      </w:r>
    </w:p>
    <w:p w:rsidR="00472C15" w:rsidRPr="001331A7" w:rsidRDefault="001331A7" w:rsidP="00952E6C">
      <w:pPr>
        <w:pStyle w:val="tl1"/>
        <w:numPr>
          <w:ilvl w:val="0"/>
          <w:numId w:val="10"/>
        </w:numPr>
        <w:tabs>
          <w:tab w:val="clear" w:pos="567"/>
          <w:tab w:val="left" w:pos="709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Suchý zápal nosovej sliznice (</w:t>
      </w:r>
      <w:proofErr w:type="spellStart"/>
      <w:r>
        <w:rPr>
          <w:sz w:val="22"/>
          <w:szCs w:val="22"/>
        </w:rPr>
        <w:t>rhinitis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sicca</w:t>
      </w:r>
      <w:proofErr w:type="spellEnd"/>
      <w:r>
        <w:rPr>
          <w:sz w:val="22"/>
          <w:szCs w:val="22"/>
        </w:rPr>
        <w:t>)</w:t>
      </w:r>
    </w:p>
    <w:p w:rsidR="006A561F" w:rsidRDefault="006A561F" w:rsidP="00283E6D">
      <w:pPr>
        <w:pStyle w:val="tl1"/>
        <w:jc w:val="left"/>
        <w:rPr>
          <w:b/>
          <w:sz w:val="22"/>
          <w:szCs w:val="22"/>
        </w:rPr>
      </w:pPr>
    </w:p>
    <w:p w:rsidR="001331A7" w:rsidRPr="008260C0" w:rsidRDefault="001331A7" w:rsidP="001331A7">
      <w:pPr>
        <w:pStyle w:val="tl1"/>
        <w:jc w:val="lef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Orinox</w:t>
      </w:r>
      <w:proofErr w:type="spellEnd"/>
      <w:r>
        <w:rPr>
          <w:color w:val="000000"/>
          <w:sz w:val="22"/>
          <w:szCs w:val="22"/>
        </w:rPr>
        <w:t xml:space="preserve"> </w:t>
      </w:r>
      <w:r w:rsidR="003D14FC">
        <w:rPr>
          <w:color w:val="000000"/>
          <w:sz w:val="22"/>
          <w:szCs w:val="22"/>
        </w:rPr>
        <w:t xml:space="preserve">0,5 </w:t>
      </w:r>
      <w:r>
        <w:rPr>
          <w:color w:val="000000"/>
          <w:sz w:val="22"/>
          <w:szCs w:val="22"/>
        </w:rPr>
        <w:t>mg/ml</w:t>
      </w:r>
      <w:r w:rsidRPr="008260C0">
        <w:rPr>
          <w:color w:val="000000"/>
          <w:sz w:val="22"/>
          <w:szCs w:val="22"/>
        </w:rPr>
        <w:t xml:space="preserve"> sa nesmie používať u detí mladších ako 2 rok</w:t>
      </w:r>
      <w:r w:rsidR="003D14FC">
        <w:rPr>
          <w:color w:val="000000"/>
          <w:sz w:val="22"/>
          <w:szCs w:val="22"/>
        </w:rPr>
        <w:t>y</w:t>
      </w:r>
      <w:r w:rsidRPr="008260C0">
        <w:rPr>
          <w:color w:val="000000"/>
          <w:sz w:val="22"/>
          <w:szCs w:val="22"/>
        </w:rPr>
        <w:t>.</w:t>
      </w:r>
    </w:p>
    <w:p w:rsidR="001331A7" w:rsidRPr="003378EF" w:rsidRDefault="001331A7" w:rsidP="00283E6D">
      <w:pPr>
        <w:pStyle w:val="tl1"/>
        <w:jc w:val="left"/>
        <w:rPr>
          <w:b/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4.4</w:t>
      </w:r>
      <w:r w:rsidR="002A3F08" w:rsidRPr="003378EF">
        <w:rPr>
          <w:b/>
          <w:sz w:val="22"/>
          <w:szCs w:val="22"/>
        </w:rPr>
        <w:tab/>
      </w:r>
      <w:r w:rsidR="00CD0BC4" w:rsidRPr="003378EF">
        <w:rPr>
          <w:b/>
          <w:sz w:val="22"/>
          <w:szCs w:val="22"/>
        </w:rPr>
        <w:t>Osobitné upozornenia a opatrenia pri používaní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1331A7" w:rsidRDefault="001331A7" w:rsidP="00283E6D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Vyvarujte sa kontaktu s očami. Opatrnosť sa odporúča u pacientov s </w:t>
      </w:r>
      <w:proofErr w:type="spellStart"/>
      <w:r>
        <w:rPr>
          <w:sz w:val="22"/>
          <w:szCs w:val="22"/>
        </w:rPr>
        <w:t>glaukómom</w:t>
      </w:r>
      <w:proofErr w:type="spellEnd"/>
      <w:r>
        <w:rPr>
          <w:sz w:val="22"/>
          <w:szCs w:val="22"/>
        </w:rPr>
        <w:t xml:space="preserve"> s úzkym uhlom. </w:t>
      </w:r>
    </w:p>
    <w:p w:rsidR="001331A7" w:rsidRDefault="001331A7" w:rsidP="00283E6D">
      <w:pPr>
        <w:pStyle w:val="tl1"/>
        <w:jc w:val="left"/>
        <w:rPr>
          <w:sz w:val="22"/>
          <w:szCs w:val="22"/>
        </w:rPr>
      </w:pPr>
    </w:p>
    <w:p w:rsidR="004A59FE" w:rsidRDefault="00516BFB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Tak </w:t>
      </w:r>
      <w:r w:rsidR="00CA02C9" w:rsidRPr="003378EF">
        <w:rPr>
          <w:sz w:val="22"/>
          <w:szCs w:val="22"/>
        </w:rPr>
        <w:t xml:space="preserve">ako aj </w:t>
      </w:r>
      <w:r>
        <w:rPr>
          <w:sz w:val="22"/>
          <w:szCs w:val="22"/>
        </w:rPr>
        <w:t xml:space="preserve">u iných </w:t>
      </w:r>
      <w:proofErr w:type="spellStart"/>
      <w:r>
        <w:rPr>
          <w:sz w:val="22"/>
          <w:szCs w:val="22"/>
        </w:rPr>
        <w:t>sympatomimetik</w:t>
      </w:r>
      <w:proofErr w:type="spellEnd"/>
      <w:r>
        <w:rPr>
          <w:sz w:val="22"/>
          <w:szCs w:val="22"/>
        </w:rPr>
        <w:t xml:space="preserve"> je potrebná opatrnosť pri použití </w:t>
      </w:r>
      <w:proofErr w:type="spellStart"/>
      <w:r>
        <w:rPr>
          <w:sz w:val="22"/>
          <w:szCs w:val="22"/>
        </w:rPr>
        <w:t>xylometazolínu</w:t>
      </w:r>
      <w:proofErr w:type="spellEnd"/>
      <w:r>
        <w:rPr>
          <w:sz w:val="22"/>
          <w:szCs w:val="22"/>
        </w:rPr>
        <w:t xml:space="preserve"> </w:t>
      </w:r>
      <w:r w:rsidR="00CA02C9" w:rsidRPr="003378EF">
        <w:rPr>
          <w:sz w:val="22"/>
          <w:szCs w:val="22"/>
        </w:rPr>
        <w:t xml:space="preserve">hlavne u pacientov, ktorí silne reagujú na </w:t>
      </w:r>
      <w:proofErr w:type="spellStart"/>
      <w:r w:rsidR="00CA02C9" w:rsidRPr="003378EF">
        <w:rPr>
          <w:sz w:val="22"/>
          <w:szCs w:val="22"/>
        </w:rPr>
        <w:t>adrenergné</w:t>
      </w:r>
      <w:proofErr w:type="spellEnd"/>
      <w:r w:rsidR="00CA02C9" w:rsidRPr="003378EF">
        <w:rPr>
          <w:sz w:val="22"/>
          <w:szCs w:val="22"/>
        </w:rPr>
        <w:t xml:space="preserve"> látky, a to príznakmi ako sú nespavosť, závra</w:t>
      </w:r>
      <w:r w:rsidR="00010200" w:rsidRPr="003378EF">
        <w:rPr>
          <w:sz w:val="22"/>
          <w:szCs w:val="22"/>
        </w:rPr>
        <w:t>t</w:t>
      </w:r>
      <w:r w:rsidR="00CA02C9" w:rsidRPr="003378EF">
        <w:rPr>
          <w:sz w:val="22"/>
          <w:szCs w:val="22"/>
        </w:rPr>
        <w:t xml:space="preserve">, </w:t>
      </w:r>
      <w:proofErr w:type="spellStart"/>
      <w:r w:rsidR="00CA02C9" w:rsidRPr="003378EF">
        <w:rPr>
          <w:sz w:val="22"/>
          <w:szCs w:val="22"/>
        </w:rPr>
        <w:t>tremor</w:t>
      </w:r>
      <w:proofErr w:type="spellEnd"/>
      <w:r w:rsidR="00CA02C9" w:rsidRPr="003378EF">
        <w:rPr>
          <w:sz w:val="22"/>
          <w:szCs w:val="22"/>
        </w:rPr>
        <w:t xml:space="preserve">, srdcová </w:t>
      </w:r>
      <w:proofErr w:type="spellStart"/>
      <w:r w:rsidR="00CA02C9" w:rsidRPr="003378EF">
        <w:rPr>
          <w:sz w:val="22"/>
          <w:szCs w:val="22"/>
        </w:rPr>
        <w:t>arytmia</w:t>
      </w:r>
      <w:proofErr w:type="spellEnd"/>
      <w:r w:rsidR="00CA02C9" w:rsidRPr="003378EF">
        <w:rPr>
          <w:sz w:val="22"/>
          <w:szCs w:val="22"/>
        </w:rPr>
        <w:t xml:space="preserve"> alebo zvýšený krvný tlak. </w:t>
      </w:r>
    </w:p>
    <w:p w:rsidR="00516BFB" w:rsidRDefault="00516BFB" w:rsidP="00E36D94">
      <w:pPr>
        <w:pStyle w:val="tl1"/>
        <w:rPr>
          <w:sz w:val="22"/>
          <w:szCs w:val="22"/>
        </w:rPr>
      </w:pPr>
    </w:p>
    <w:p w:rsidR="00DF1AD9" w:rsidRPr="00DF1AD9" w:rsidRDefault="00DF1AD9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>N</w:t>
      </w:r>
      <w:r w:rsidRPr="00DF1AD9">
        <w:rPr>
          <w:sz w:val="22"/>
          <w:szCs w:val="22"/>
        </w:rPr>
        <w:t>ajmä pri dlhodobom uží</w:t>
      </w:r>
      <w:r>
        <w:rPr>
          <w:sz w:val="22"/>
          <w:szCs w:val="22"/>
        </w:rPr>
        <w:t>vaní a v prípade predávkovania</w:t>
      </w:r>
      <w:r w:rsidRPr="00DF1AD9">
        <w:rPr>
          <w:sz w:val="22"/>
          <w:szCs w:val="22"/>
        </w:rPr>
        <w:t xml:space="preserve"> </w:t>
      </w:r>
      <w:r w:rsidR="00650DA2">
        <w:rPr>
          <w:sz w:val="22"/>
          <w:szCs w:val="22"/>
        </w:rPr>
        <w:t xml:space="preserve">nazálnymi </w:t>
      </w:r>
      <w:proofErr w:type="spellStart"/>
      <w:r w:rsidRPr="00DF1AD9">
        <w:rPr>
          <w:sz w:val="22"/>
          <w:szCs w:val="22"/>
        </w:rPr>
        <w:t>dekong</w:t>
      </w:r>
      <w:r>
        <w:rPr>
          <w:sz w:val="22"/>
          <w:szCs w:val="22"/>
        </w:rPr>
        <w:t>estív</w:t>
      </w:r>
      <w:r w:rsidR="00650DA2">
        <w:rPr>
          <w:sz w:val="22"/>
          <w:szCs w:val="22"/>
        </w:rPr>
        <w:t>ami</w:t>
      </w:r>
      <w:proofErr w:type="spellEnd"/>
      <w:r w:rsidRPr="00DF1A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môže byť ich účinok oslabený. Nasledujúce stavy sa môžu vyskytnúť v dôsledku </w:t>
      </w:r>
      <w:r w:rsidRPr="0073544A">
        <w:rPr>
          <w:sz w:val="22"/>
          <w:szCs w:val="22"/>
        </w:rPr>
        <w:t>nad</w:t>
      </w:r>
      <w:r w:rsidR="00650DA2" w:rsidRPr="0073544A">
        <w:rPr>
          <w:sz w:val="22"/>
          <w:szCs w:val="22"/>
        </w:rPr>
        <w:t>merného užívania nazálnych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dekongestív</w:t>
      </w:r>
      <w:proofErr w:type="spellEnd"/>
      <w:r w:rsidRPr="00DF1AD9">
        <w:rPr>
          <w:sz w:val="22"/>
          <w:szCs w:val="22"/>
        </w:rPr>
        <w:t>:</w:t>
      </w:r>
    </w:p>
    <w:p w:rsidR="00DF1AD9" w:rsidRPr="00DF1AD9" w:rsidRDefault="00DF1AD9" w:rsidP="00A87714">
      <w:pPr>
        <w:pStyle w:val="tl1"/>
        <w:numPr>
          <w:ilvl w:val="0"/>
          <w:numId w:val="12"/>
        </w:numPr>
        <w:ind w:left="426" w:hanging="426"/>
        <w:rPr>
          <w:sz w:val="22"/>
          <w:szCs w:val="22"/>
        </w:rPr>
      </w:pPr>
      <w:r w:rsidRPr="00DF1AD9">
        <w:rPr>
          <w:sz w:val="22"/>
          <w:szCs w:val="22"/>
        </w:rPr>
        <w:t>Reaktívne prekrvenie nosovej sliznice (</w:t>
      </w:r>
      <w:proofErr w:type="spellStart"/>
      <w:r w:rsidRPr="00DF1AD9">
        <w:rPr>
          <w:sz w:val="22"/>
          <w:szCs w:val="22"/>
        </w:rPr>
        <w:t>rhinitis</w:t>
      </w:r>
      <w:proofErr w:type="spellEnd"/>
      <w:r w:rsidRPr="00DF1AD9">
        <w:rPr>
          <w:sz w:val="22"/>
          <w:szCs w:val="22"/>
        </w:rPr>
        <w:t xml:space="preserve"> </w:t>
      </w:r>
      <w:proofErr w:type="spellStart"/>
      <w:r w:rsidRPr="00DF1AD9">
        <w:rPr>
          <w:sz w:val="22"/>
          <w:szCs w:val="22"/>
        </w:rPr>
        <w:t>medicamentosa</w:t>
      </w:r>
      <w:proofErr w:type="spellEnd"/>
      <w:r w:rsidRPr="00DF1AD9">
        <w:rPr>
          <w:sz w:val="22"/>
          <w:szCs w:val="22"/>
        </w:rPr>
        <w:t>).</w:t>
      </w:r>
    </w:p>
    <w:p w:rsidR="00DF1AD9" w:rsidRPr="00DF1AD9" w:rsidRDefault="00DF1AD9" w:rsidP="00A87714">
      <w:pPr>
        <w:pStyle w:val="tl1"/>
        <w:numPr>
          <w:ilvl w:val="0"/>
          <w:numId w:val="12"/>
        </w:numPr>
        <w:ind w:left="426" w:hanging="426"/>
        <w:rPr>
          <w:sz w:val="22"/>
          <w:szCs w:val="22"/>
        </w:rPr>
      </w:pPr>
      <w:r w:rsidRPr="00DF1AD9">
        <w:rPr>
          <w:sz w:val="22"/>
          <w:szCs w:val="22"/>
        </w:rPr>
        <w:t>Atrofia nosovej sliznice.</w:t>
      </w:r>
    </w:p>
    <w:p w:rsidR="00DF1AD9" w:rsidRPr="00DF1AD9" w:rsidRDefault="00DF1AD9" w:rsidP="00DF1AD9">
      <w:pPr>
        <w:pStyle w:val="tl1"/>
        <w:rPr>
          <w:sz w:val="22"/>
          <w:szCs w:val="22"/>
        </w:rPr>
      </w:pPr>
    </w:p>
    <w:p w:rsidR="00516BFB" w:rsidRDefault="00DF1AD9" w:rsidP="00DF1AD9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>Z dôvodu zachovania aspoň čiastočnej možnosti dýchať nosom</w:t>
      </w:r>
      <w:r w:rsidR="00EE7A90">
        <w:rPr>
          <w:sz w:val="22"/>
          <w:szCs w:val="22"/>
        </w:rPr>
        <w:t>,</w:t>
      </w:r>
      <w:r w:rsidRPr="00DF1A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nemajú </w:t>
      </w:r>
      <w:proofErr w:type="spellStart"/>
      <w:r>
        <w:rPr>
          <w:sz w:val="22"/>
          <w:szCs w:val="22"/>
        </w:rPr>
        <w:t>sympatomimetika</w:t>
      </w:r>
      <w:proofErr w:type="spellEnd"/>
      <w:r>
        <w:rPr>
          <w:sz w:val="22"/>
          <w:szCs w:val="22"/>
        </w:rPr>
        <w:t xml:space="preserve"> používať v druhej nosovej dierke</w:t>
      </w:r>
      <w:r w:rsidRPr="00DF1AD9">
        <w:rPr>
          <w:sz w:val="22"/>
          <w:szCs w:val="22"/>
        </w:rPr>
        <w:t xml:space="preserve">, </w:t>
      </w:r>
      <w:r w:rsidRPr="00A84EEE">
        <w:rPr>
          <w:sz w:val="22"/>
          <w:szCs w:val="22"/>
        </w:rPr>
        <w:t xml:space="preserve">pokiaľ </w:t>
      </w:r>
      <w:r w:rsidR="00A84EEE">
        <w:rPr>
          <w:sz w:val="22"/>
          <w:szCs w:val="22"/>
        </w:rPr>
        <w:t>neodznejú príznaky v prvej</w:t>
      </w:r>
      <w:r w:rsidRPr="00A84EEE">
        <w:rPr>
          <w:sz w:val="22"/>
          <w:szCs w:val="22"/>
        </w:rPr>
        <w:t>.</w:t>
      </w:r>
    </w:p>
    <w:p w:rsidR="00EC5E3B" w:rsidRPr="003378EF" w:rsidRDefault="00EC5E3B" w:rsidP="00283E6D">
      <w:pPr>
        <w:pStyle w:val="tl1"/>
        <w:jc w:val="left"/>
        <w:rPr>
          <w:sz w:val="22"/>
          <w:szCs w:val="22"/>
        </w:rPr>
      </w:pPr>
    </w:p>
    <w:p w:rsidR="00516BFB" w:rsidRDefault="00516BFB" w:rsidP="007311AA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Opatrnosť sa odporúča u pacientov </w:t>
      </w:r>
      <w:r w:rsidR="00CA02C9" w:rsidRPr="003378EF">
        <w:rPr>
          <w:sz w:val="22"/>
          <w:szCs w:val="22"/>
        </w:rPr>
        <w:t>s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porfýriou</w:t>
      </w:r>
      <w:proofErr w:type="spellEnd"/>
      <w:r>
        <w:rPr>
          <w:sz w:val="22"/>
          <w:szCs w:val="22"/>
        </w:rPr>
        <w:t xml:space="preserve">, </w:t>
      </w:r>
      <w:r w:rsidR="00CA02C9" w:rsidRPr="003378EF">
        <w:rPr>
          <w:sz w:val="22"/>
          <w:szCs w:val="22"/>
        </w:rPr>
        <w:t>hypertenziou</w:t>
      </w:r>
      <w:r w:rsidR="00A354B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354B8">
        <w:rPr>
          <w:sz w:val="22"/>
          <w:szCs w:val="22"/>
        </w:rPr>
        <w:t>s</w:t>
      </w:r>
      <w:r w:rsidR="00CA02C9" w:rsidRPr="003378EF">
        <w:rPr>
          <w:sz w:val="22"/>
          <w:szCs w:val="22"/>
        </w:rPr>
        <w:t xml:space="preserve"> kardiovaskulárnymi </w:t>
      </w:r>
      <w:r w:rsidR="00FA48D0">
        <w:rPr>
          <w:sz w:val="22"/>
          <w:szCs w:val="22"/>
        </w:rPr>
        <w:t>o</w:t>
      </w:r>
      <w:r w:rsidR="00CA02C9" w:rsidRPr="003378EF">
        <w:rPr>
          <w:sz w:val="22"/>
          <w:szCs w:val="22"/>
        </w:rPr>
        <w:t>chor</w:t>
      </w:r>
      <w:r w:rsidR="00FA48D0">
        <w:rPr>
          <w:sz w:val="22"/>
          <w:szCs w:val="22"/>
        </w:rPr>
        <w:t>enia</w:t>
      </w:r>
      <w:r w:rsidR="00CA02C9" w:rsidRPr="003378EF">
        <w:rPr>
          <w:sz w:val="22"/>
          <w:szCs w:val="22"/>
        </w:rPr>
        <w:t>mi</w:t>
      </w:r>
      <w:r>
        <w:rPr>
          <w:sz w:val="22"/>
          <w:szCs w:val="22"/>
        </w:rPr>
        <w:t xml:space="preserve"> a ochoreniami štítnej žľazy, s </w:t>
      </w:r>
      <w:proofErr w:type="spellStart"/>
      <w:r w:rsidRPr="00283E6D">
        <w:rPr>
          <w:sz w:val="22"/>
          <w:szCs w:val="22"/>
        </w:rPr>
        <w:t>prostatickou</w:t>
      </w:r>
      <w:proofErr w:type="spellEnd"/>
      <w:r w:rsidRPr="00283E6D">
        <w:rPr>
          <w:sz w:val="22"/>
          <w:szCs w:val="22"/>
        </w:rPr>
        <w:t xml:space="preserve"> hypertrofio</w:t>
      </w:r>
      <w:r>
        <w:rPr>
          <w:sz w:val="22"/>
          <w:szCs w:val="22"/>
        </w:rPr>
        <w:t>u, s </w:t>
      </w:r>
      <w:proofErr w:type="spellStart"/>
      <w:r w:rsidRPr="00283E6D">
        <w:rPr>
          <w:sz w:val="22"/>
          <w:szCs w:val="22"/>
        </w:rPr>
        <w:t>feochromocytómom</w:t>
      </w:r>
      <w:proofErr w:type="spellEnd"/>
      <w:r>
        <w:rPr>
          <w:sz w:val="22"/>
          <w:szCs w:val="22"/>
        </w:rPr>
        <w:t xml:space="preserve"> a diabetom</w:t>
      </w:r>
      <w:r w:rsidRPr="003378EF">
        <w:rPr>
          <w:sz w:val="22"/>
          <w:szCs w:val="22"/>
        </w:rPr>
        <w:t xml:space="preserve"> </w:t>
      </w:r>
      <w:proofErr w:type="spellStart"/>
      <w:r w:rsidRPr="003378EF">
        <w:rPr>
          <w:sz w:val="22"/>
          <w:szCs w:val="22"/>
        </w:rPr>
        <w:t>mellitus</w:t>
      </w:r>
      <w:proofErr w:type="spellEnd"/>
      <w:r>
        <w:rPr>
          <w:sz w:val="22"/>
          <w:szCs w:val="22"/>
        </w:rPr>
        <w:t>.</w:t>
      </w:r>
    </w:p>
    <w:p w:rsidR="0099610C" w:rsidRPr="003378EF" w:rsidRDefault="0099610C" w:rsidP="007311AA">
      <w:pPr>
        <w:pStyle w:val="tl1"/>
        <w:rPr>
          <w:sz w:val="22"/>
          <w:szCs w:val="22"/>
        </w:rPr>
      </w:pPr>
    </w:p>
    <w:p w:rsidR="00EC5E3B" w:rsidRDefault="00EC5E3B" w:rsidP="007311AA">
      <w:pPr>
        <w:pStyle w:val="tl1"/>
        <w:rPr>
          <w:sz w:val="22"/>
          <w:szCs w:val="22"/>
        </w:rPr>
      </w:pPr>
      <w:r w:rsidRPr="003378EF">
        <w:rPr>
          <w:sz w:val="22"/>
          <w:szCs w:val="22"/>
        </w:rPr>
        <w:t xml:space="preserve">Podobne ako iné </w:t>
      </w:r>
      <w:proofErr w:type="spellStart"/>
      <w:r w:rsidRPr="003378EF">
        <w:rPr>
          <w:sz w:val="22"/>
          <w:szCs w:val="22"/>
        </w:rPr>
        <w:t>vazokonstrikčné</w:t>
      </w:r>
      <w:proofErr w:type="spellEnd"/>
      <w:r w:rsidRPr="003378EF">
        <w:rPr>
          <w:sz w:val="22"/>
          <w:szCs w:val="22"/>
        </w:rPr>
        <w:t xml:space="preserve"> látky, ani </w:t>
      </w:r>
      <w:proofErr w:type="spellStart"/>
      <w:r w:rsidR="00516BFB" w:rsidRPr="00516BFB">
        <w:rPr>
          <w:sz w:val="22"/>
          <w:szCs w:val="22"/>
        </w:rPr>
        <w:t>xylometazolín</w:t>
      </w:r>
      <w:r w:rsidR="0000595F">
        <w:rPr>
          <w:sz w:val="22"/>
          <w:szCs w:val="22"/>
        </w:rPr>
        <w:t>iumchlorid</w:t>
      </w:r>
      <w:proofErr w:type="spellEnd"/>
      <w:r w:rsidR="00516BFB" w:rsidRPr="00516BFB">
        <w:rPr>
          <w:sz w:val="22"/>
          <w:szCs w:val="22"/>
        </w:rPr>
        <w:t xml:space="preserve"> sa nemá používať nepretržite dlhšie ako 1 týždeň</w:t>
      </w:r>
      <w:r w:rsidR="00516BFB">
        <w:rPr>
          <w:sz w:val="22"/>
          <w:szCs w:val="22"/>
        </w:rPr>
        <w:t xml:space="preserve">. </w:t>
      </w:r>
      <w:r w:rsidR="00650DA2">
        <w:rPr>
          <w:sz w:val="22"/>
          <w:szCs w:val="22"/>
        </w:rPr>
        <w:t>Dlhodobé alebo n</w:t>
      </w:r>
      <w:r w:rsidRPr="003378EF">
        <w:rPr>
          <w:sz w:val="22"/>
          <w:szCs w:val="22"/>
        </w:rPr>
        <w:t xml:space="preserve">admerné používanie môže viesť ku </w:t>
      </w:r>
      <w:proofErr w:type="spellStart"/>
      <w:r w:rsidRPr="003378EF">
        <w:rPr>
          <w:sz w:val="22"/>
          <w:szCs w:val="22"/>
        </w:rPr>
        <w:t>kongestívnemu</w:t>
      </w:r>
      <w:proofErr w:type="spellEnd"/>
      <w:r w:rsidRPr="003378EF">
        <w:rPr>
          <w:sz w:val="22"/>
          <w:szCs w:val="22"/>
        </w:rPr>
        <w:t xml:space="preserve"> </w:t>
      </w:r>
      <w:proofErr w:type="spellStart"/>
      <w:r w:rsidRPr="003378EF">
        <w:rPr>
          <w:sz w:val="22"/>
          <w:szCs w:val="22"/>
        </w:rPr>
        <w:t>rebound</w:t>
      </w:r>
      <w:proofErr w:type="spellEnd"/>
      <w:r w:rsidRPr="003378EF">
        <w:rPr>
          <w:sz w:val="22"/>
          <w:szCs w:val="22"/>
        </w:rPr>
        <w:t xml:space="preserve"> fenoménu</w:t>
      </w:r>
      <w:r w:rsidR="00516BFB">
        <w:rPr>
          <w:sz w:val="22"/>
          <w:szCs w:val="22"/>
        </w:rPr>
        <w:t>.</w:t>
      </w:r>
    </w:p>
    <w:p w:rsidR="00516BFB" w:rsidRPr="008260C0" w:rsidRDefault="00516BFB" w:rsidP="00283E6D">
      <w:pPr>
        <w:pStyle w:val="tl1"/>
        <w:jc w:val="left"/>
        <w:rPr>
          <w:color w:val="000000"/>
          <w:sz w:val="22"/>
          <w:szCs w:val="22"/>
        </w:rPr>
      </w:pPr>
    </w:p>
    <w:p w:rsidR="00EC5E3B" w:rsidRPr="00516BFB" w:rsidRDefault="00EC5E3B" w:rsidP="00283E6D">
      <w:pPr>
        <w:pStyle w:val="tl1"/>
        <w:tabs>
          <w:tab w:val="clear" w:pos="567"/>
          <w:tab w:val="left" w:pos="0"/>
        </w:tabs>
        <w:jc w:val="left"/>
        <w:rPr>
          <w:color w:val="000000"/>
          <w:sz w:val="22"/>
          <w:szCs w:val="22"/>
        </w:rPr>
      </w:pPr>
      <w:r w:rsidRPr="00516BFB">
        <w:rPr>
          <w:color w:val="000000"/>
          <w:sz w:val="22"/>
          <w:szCs w:val="22"/>
          <w:lang w:eastAsia="en-US"/>
        </w:rPr>
        <w:t>Odporúčaná dávka nemá byť prekročená, a to najmä u detí a starších ľudí.</w:t>
      </w:r>
      <w:r w:rsidRPr="00516BFB">
        <w:rPr>
          <w:color w:val="000000"/>
          <w:sz w:val="22"/>
          <w:szCs w:val="22"/>
        </w:rPr>
        <w:t xml:space="preserve"> </w:t>
      </w:r>
    </w:p>
    <w:p w:rsidR="00EC5E3B" w:rsidRPr="003378EF" w:rsidRDefault="00EC5E3B" w:rsidP="00283E6D">
      <w:pPr>
        <w:pStyle w:val="tl1"/>
        <w:jc w:val="left"/>
        <w:rPr>
          <w:sz w:val="22"/>
          <w:szCs w:val="22"/>
        </w:rPr>
      </w:pPr>
    </w:p>
    <w:p w:rsidR="0000595F" w:rsidRPr="00E36D94" w:rsidRDefault="0000595F" w:rsidP="0000595F">
      <w:pPr>
        <w:pStyle w:val="Zkladntext"/>
        <w:jc w:val="both"/>
        <w:rPr>
          <w:sz w:val="22"/>
          <w:szCs w:val="22"/>
        </w:rPr>
      </w:pPr>
      <w:r w:rsidRPr="00E36D94">
        <w:rPr>
          <w:sz w:val="22"/>
          <w:szCs w:val="22"/>
        </w:rPr>
        <w:t xml:space="preserve">Tento </w:t>
      </w:r>
      <w:proofErr w:type="spellStart"/>
      <w:r w:rsidRPr="00E36D94">
        <w:rPr>
          <w:sz w:val="22"/>
          <w:szCs w:val="22"/>
        </w:rPr>
        <w:t>liek</w:t>
      </w:r>
      <w:proofErr w:type="spellEnd"/>
      <w:r w:rsidRPr="00E36D94">
        <w:rPr>
          <w:sz w:val="22"/>
          <w:szCs w:val="22"/>
        </w:rPr>
        <w:t xml:space="preserve"> obsahuje </w:t>
      </w:r>
      <w:proofErr w:type="spellStart"/>
      <w:r w:rsidRPr="00E36D94">
        <w:rPr>
          <w:sz w:val="22"/>
          <w:szCs w:val="22"/>
        </w:rPr>
        <w:t>benzalkó</w:t>
      </w:r>
      <w:r w:rsidRPr="0000595F">
        <w:rPr>
          <w:sz w:val="22"/>
          <w:szCs w:val="22"/>
        </w:rPr>
        <w:t>niumchlorid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0595F">
        <w:rPr>
          <w:sz w:val="22"/>
          <w:szCs w:val="22"/>
        </w:rPr>
        <w:t>m</w:t>
      </w:r>
      <w:r w:rsidRPr="00E36D94">
        <w:rPr>
          <w:sz w:val="22"/>
          <w:szCs w:val="22"/>
        </w:rPr>
        <w:t>ôže</w:t>
      </w:r>
      <w:proofErr w:type="spellEnd"/>
      <w:r w:rsidRPr="00E36D94">
        <w:rPr>
          <w:sz w:val="22"/>
          <w:szCs w:val="22"/>
        </w:rPr>
        <w:t xml:space="preserve"> </w:t>
      </w:r>
      <w:proofErr w:type="spellStart"/>
      <w:r w:rsidRPr="00E36D94">
        <w:rPr>
          <w:sz w:val="22"/>
          <w:szCs w:val="22"/>
        </w:rPr>
        <w:t>spôsobiť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podráždenie</w:t>
      </w:r>
      <w:proofErr w:type="spellEnd"/>
      <w:r>
        <w:rPr>
          <w:sz w:val="22"/>
          <w:szCs w:val="22"/>
        </w:rPr>
        <w:t xml:space="preserve">, obzvlášť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dlhodobom</w:t>
      </w:r>
      <w:proofErr w:type="spellEnd"/>
      <w:r>
        <w:rPr>
          <w:sz w:val="22"/>
          <w:szCs w:val="22"/>
        </w:rPr>
        <w:t xml:space="preserve"> používaní</w:t>
      </w:r>
      <w:r w:rsidR="00650DA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opuch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nosovej</w:t>
      </w:r>
      <w:proofErr w:type="spellEnd"/>
      <w:r>
        <w:rPr>
          <w:sz w:val="22"/>
          <w:szCs w:val="22"/>
        </w:rPr>
        <w:t xml:space="preserve"> sliznice.</w:t>
      </w:r>
    </w:p>
    <w:p w:rsidR="0000595F" w:rsidRDefault="0000595F" w:rsidP="0035655A">
      <w:pPr>
        <w:pStyle w:val="tl1"/>
        <w:jc w:val="left"/>
        <w:rPr>
          <w:sz w:val="22"/>
          <w:szCs w:val="22"/>
        </w:rPr>
      </w:pPr>
    </w:p>
    <w:p w:rsidR="0000595F" w:rsidRPr="00E36D94" w:rsidRDefault="0035655A" w:rsidP="0000595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36D94">
        <w:rPr>
          <w:rFonts w:ascii="Times New Roman" w:hAnsi="Times New Roman" w:cs="Times New Roman"/>
          <w:sz w:val="22"/>
          <w:szCs w:val="22"/>
        </w:rPr>
        <w:lastRenderedPageBreak/>
        <w:t>Xylometazolín</w:t>
      </w:r>
      <w:proofErr w:type="spellEnd"/>
      <w:r w:rsidRPr="00E36D94">
        <w:rPr>
          <w:rFonts w:ascii="Times New Roman" w:hAnsi="Times New Roman" w:cs="Times New Roman"/>
          <w:sz w:val="22"/>
          <w:szCs w:val="22"/>
        </w:rPr>
        <w:t xml:space="preserve"> </w:t>
      </w:r>
      <w:r w:rsidRPr="00E36D94">
        <w:rPr>
          <w:rFonts w:ascii="Times New Roman" w:hAnsi="Times New Roman" w:cs="Times New Roman"/>
          <w:color w:val="000000"/>
          <w:sz w:val="22"/>
          <w:szCs w:val="22"/>
        </w:rPr>
        <w:t>sa nesmie používať u detí mladších ako 2 rok</w:t>
      </w:r>
      <w:r w:rsidR="0000595F" w:rsidRPr="00E36D94">
        <w:rPr>
          <w:rFonts w:ascii="Times New Roman" w:hAnsi="Times New Roman" w:cs="Times New Roman"/>
          <w:color w:val="000000"/>
          <w:sz w:val="22"/>
          <w:szCs w:val="22"/>
        </w:rPr>
        <w:t>y a</w:t>
      </w:r>
      <w:r w:rsidR="0000595F" w:rsidRPr="00E36D94">
        <w:rPr>
          <w:rFonts w:ascii="Times New Roman" w:hAnsi="Times New Roman" w:cs="Times New Roman"/>
          <w:sz w:val="22"/>
          <w:szCs w:val="22"/>
        </w:rPr>
        <w:t xml:space="preserve"> u detí vo veku 2 až 12 rokov sa nemá používať bez dozoru dospelých.</w:t>
      </w:r>
    </w:p>
    <w:p w:rsidR="00CA02C9" w:rsidRPr="003378EF" w:rsidRDefault="0035655A" w:rsidP="00283E6D">
      <w:pPr>
        <w:pStyle w:val="tl1"/>
        <w:jc w:val="left"/>
        <w:rPr>
          <w:sz w:val="22"/>
          <w:szCs w:val="22"/>
        </w:rPr>
      </w:pPr>
      <w:r w:rsidRPr="008260C0">
        <w:rPr>
          <w:color w:val="000000"/>
          <w:sz w:val="22"/>
          <w:szCs w:val="22"/>
        </w:rPr>
        <w:t>.</w:t>
      </w:r>
    </w:p>
    <w:p w:rsidR="00CA02C9" w:rsidRPr="003378EF" w:rsidRDefault="00CA02C9" w:rsidP="00283E6D">
      <w:pPr>
        <w:numPr>
          <w:ilvl w:val="12"/>
          <w:numId w:val="0"/>
        </w:numPr>
        <w:overflowPunct w:val="0"/>
        <w:ind w:right="43"/>
        <w:rPr>
          <w:rFonts w:ascii="Times New Roman" w:hAnsi="Times New Roman" w:cs="Times New Roman"/>
          <w:b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4.5</w:t>
      </w:r>
      <w:r w:rsidR="00EB2024" w:rsidRPr="003378EF">
        <w:rPr>
          <w:rFonts w:ascii="Times New Roman" w:hAnsi="Times New Roman" w:cs="Times New Roman"/>
          <w:b/>
          <w:sz w:val="22"/>
          <w:szCs w:val="22"/>
        </w:rPr>
        <w:tab/>
      </w:r>
      <w:r w:rsidRPr="003378EF">
        <w:rPr>
          <w:rFonts w:ascii="Times New Roman" w:hAnsi="Times New Roman" w:cs="Times New Roman"/>
          <w:b/>
          <w:sz w:val="22"/>
          <w:szCs w:val="22"/>
        </w:rPr>
        <w:t>Liekové a iné interakcie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35655A" w:rsidRDefault="0035655A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Tak ako u všetkých </w:t>
      </w:r>
      <w:proofErr w:type="spellStart"/>
      <w:r>
        <w:rPr>
          <w:sz w:val="22"/>
          <w:szCs w:val="22"/>
        </w:rPr>
        <w:t>sympatomimetik</w:t>
      </w:r>
      <w:proofErr w:type="spellEnd"/>
      <w:r w:rsidR="002C06A1">
        <w:rPr>
          <w:sz w:val="22"/>
          <w:szCs w:val="22"/>
        </w:rPr>
        <w:t>,</w:t>
      </w:r>
      <w:r w:rsidR="002C06A1" w:rsidRPr="002C06A1">
        <w:rPr>
          <w:sz w:val="22"/>
          <w:szCs w:val="22"/>
        </w:rPr>
        <w:t xml:space="preserve"> </w:t>
      </w:r>
      <w:r w:rsidR="002C06A1">
        <w:rPr>
          <w:sz w:val="22"/>
          <w:szCs w:val="22"/>
        </w:rPr>
        <w:t>ani u </w:t>
      </w:r>
      <w:proofErr w:type="spellStart"/>
      <w:r w:rsidR="002C06A1">
        <w:rPr>
          <w:sz w:val="22"/>
          <w:szCs w:val="22"/>
        </w:rPr>
        <w:t>xylometazolínu</w:t>
      </w:r>
      <w:proofErr w:type="spellEnd"/>
      <w:r>
        <w:rPr>
          <w:sz w:val="22"/>
          <w:szCs w:val="22"/>
        </w:rPr>
        <w:t xml:space="preserve"> nemôžeme vylúčiť zosilnenie systémového účinku pri súčasnom užívaní s inhibítor</w:t>
      </w:r>
      <w:r w:rsidR="0099209B">
        <w:rPr>
          <w:sz w:val="22"/>
          <w:szCs w:val="22"/>
        </w:rPr>
        <w:t>mi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monoaminooxidázy</w:t>
      </w:r>
      <w:proofErr w:type="spellEnd"/>
      <w:r>
        <w:rPr>
          <w:sz w:val="22"/>
          <w:szCs w:val="22"/>
        </w:rPr>
        <w:t xml:space="preserve"> ty</w:t>
      </w:r>
      <w:r w:rsidRPr="0035655A">
        <w:rPr>
          <w:sz w:val="22"/>
          <w:szCs w:val="22"/>
        </w:rPr>
        <w:t xml:space="preserve">pu </w:t>
      </w:r>
      <w:proofErr w:type="spellStart"/>
      <w:r w:rsidRPr="0035655A">
        <w:rPr>
          <w:sz w:val="22"/>
          <w:szCs w:val="22"/>
        </w:rPr>
        <w:t>tranylcypromín</w:t>
      </w:r>
      <w:proofErr w:type="spellEnd"/>
      <w:r w:rsidRPr="0035655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 </w:t>
      </w:r>
      <w:proofErr w:type="spellStart"/>
      <w:r w:rsidRPr="0035655A">
        <w:rPr>
          <w:sz w:val="22"/>
          <w:szCs w:val="22"/>
        </w:rPr>
        <w:t>tricyklickými</w:t>
      </w:r>
      <w:proofErr w:type="spellEnd"/>
      <w:r w:rsidRPr="0035655A">
        <w:rPr>
          <w:sz w:val="22"/>
          <w:szCs w:val="22"/>
        </w:rPr>
        <w:t xml:space="preserve"> al</w:t>
      </w:r>
      <w:r>
        <w:rPr>
          <w:sz w:val="22"/>
          <w:szCs w:val="22"/>
        </w:rPr>
        <w:t xml:space="preserve">ebo </w:t>
      </w:r>
      <w:proofErr w:type="spellStart"/>
      <w:r>
        <w:rPr>
          <w:sz w:val="22"/>
          <w:szCs w:val="22"/>
        </w:rPr>
        <w:t>tetracyklický</w:t>
      </w:r>
      <w:r w:rsidR="0099209B">
        <w:rPr>
          <w:sz w:val="22"/>
          <w:szCs w:val="22"/>
        </w:rPr>
        <w:t>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antidepresívami</w:t>
      </w:r>
      <w:proofErr w:type="spellEnd"/>
      <w:r>
        <w:rPr>
          <w:sz w:val="22"/>
          <w:szCs w:val="22"/>
        </w:rPr>
        <w:t xml:space="preserve"> a s </w:t>
      </w:r>
      <w:proofErr w:type="spellStart"/>
      <w:r>
        <w:rPr>
          <w:sz w:val="22"/>
          <w:szCs w:val="22"/>
        </w:rPr>
        <w:t>antihypertenzívami</w:t>
      </w:r>
      <w:proofErr w:type="spellEnd"/>
      <w:r>
        <w:rPr>
          <w:sz w:val="22"/>
          <w:szCs w:val="22"/>
        </w:rPr>
        <w:t>, najmä v prípade predávkovania.</w:t>
      </w:r>
    </w:p>
    <w:p w:rsidR="0035655A" w:rsidRDefault="0035655A" w:rsidP="00E36D94">
      <w:pPr>
        <w:pStyle w:val="tl1"/>
        <w:rPr>
          <w:sz w:val="22"/>
          <w:szCs w:val="22"/>
        </w:rPr>
      </w:pPr>
    </w:p>
    <w:p w:rsidR="009F54B9" w:rsidRDefault="0099209B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>Keďže</w:t>
      </w:r>
      <w:r w:rsidR="009F54B9">
        <w:rPr>
          <w:sz w:val="22"/>
          <w:szCs w:val="22"/>
        </w:rPr>
        <w:t xml:space="preserve"> </w:t>
      </w:r>
      <w:proofErr w:type="spellStart"/>
      <w:r w:rsidR="009F54B9">
        <w:rPr>
          <w:sz w:val="22"/>
          <w:szCs w:val="22"/>
        </w:rPr>
        <w:t>xylometazolín</w:t>
      </w:r>
      <w:proofErr w:type="spellEnd"/>
      <w:r w:rsidR="009F54B9">
        <w:rPr>
          <w:sz w:val="22"/>
          <w:szCs w:val="22"/>
        </w:rPr>
        <w:t xml:space="preserve"> môže zmeniť účinok niektorých </w:t>
      </w:r>
      <w:proofErr w:type="spellStart"/>
      <w:r w:rsidR="009F54B9">
        <w:rPr>
          <w:sz w:val="22"/>
          <w:szCs w:val="22"/>
        </w:rPr>
        <w:t>beta-blokátorov</w:t>
      </w:r>
      <w:proofErr w:type="spellEnd"/>
      <w:r w:rsidR="009F54B9">
        <w:rPr>
          <w:sz w:val="22"/>
          <w:szCs w:val="22"/>
        </w:rPr>
        <w:t>, existuje možnosť interakcie s </w:t>
      </w:r>
      <w:proofErr w:type="spellStart"/>
      <w:r w:rsidR="009F54B9">
        <w:rPr>
          <w:sz w:val="22"/>
          <w:szCs w:val="22"/>
        </w:rPr>
        <w:t>beta-blokátormi</w:t>
      </w:r>
      <w:proofErr w:type="spellEnd"/>
      <w:r w:rsidR="009F54B9">
        <w:rPr>
          <w:sz w:val="22"/>
          <w:szCs w:val="22"/>
        </w:rPr>
        <w:t xml:space="preserve">. </w:t>
      </w:r>
    </w:p>
    <w:p w:rsidR="00CA02C9" w:rsidRPr="003378EF" w:rsidRDefault="00CA02C9" w:rsidP="00E36D94">
      <w:pPr>
        <w:pStyle w:val="tl1"/>
        <w:ind w:left="567"/>
        <w:rPr>
          <w:sz w:val="22"/>
          <w:szCs w:val="22"/>
        </w:rPr>
      </w:pPr>
    </w:p>
    <w:p w:rsidR="006B2ED1" w:rsidRPr="003378EF" w:rsidRDefault="00CA02C9" w:rsidP="00E36D94">
      <w:pPr>
        <w:overflowPunct w:val="0"/>
        <w:ind w:right="4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4.6</w:t>
      </w:r>
      <w:r w:rsidR="00EB2024" w:rsidRPr="003378EF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="00D363D7" w:rsidRPr="003378EF">
        <w:rPr>
          <w:rFonts w:ascii="Times New Roman" w:hAnsi="Times New Roman" w:cs="Times New Roman"/>
          <w:b/>
          <w:sz w:val="22"/>
          <w:szCs w:val="22"/>
        </w:rPr>
        <w:t>Fertilita</w:t>
      </w:r>
      <w:proofErr w:type="spellEnd"/>
      <w:r w:rsidR="00D363D7" w:rsidRPr="003378EF">
        <w:rPr>
          <w:rFonts w:ascii="Times New Roman" w:hAnsi="Times New Roman" w:cs="Times New Roman"/>
          <w:b/>
          <w:sz w:val="22"/>
          <w:szCs w:val="22"/>
        </w:rPr>
        <w:t>,</w:t>
      </w:r>
      <w:r w:rsidRPr="003378EF">
        <w:rPr>
          <w:rFonts w:ascii="Times New Roman" w:hAnsi="Times New Roman" w:cs="Times New Roman"/>
          <w:b/>
          <w:sz w:val="22"/>
          <w:szCs w:val="22"/>
        </w:rPr>
        <w:t xml:space="preserve"> gravidit</w:t>
      </w:r>
      <w:r w:rsidR="00D363D7" w:rsidRPr="003378EF">
        <w:rPr>
          <w:rFonts w:ascii="Times New Roman" w:hAnsi="Times New Roman" w:cs="Times New Roman"/>
          <w:b/>
          <w:sz w:val="22"/>
          <w:szCs w:val="22"/>
        </w:rPr>
        <w:t>a</w:t>
      </w:r>
      <w:r w:rsidRPr="003378EF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6B2ED1" w:rsidRPr="003378EF">
        <w:rPr>
          <w:rFonts w:ascii="Times New Roman" w:hAnsi="Times New Roman" w:cs="Times New Roman"/>
          <w:b/>
          <w:sz w:val="22"/>
          <w:szCs w:val="22"/>
        </w:rPr>
        <w:t> </w:t>
      </w:r>
      <w:r w:rsidRPr="003378EF">
        <w:rPr>
          <w:rFonts w:ascii="Times New Roman" w:hAnsi="Times New Roman" w:cs="Times New Roman"/>
          <w:b/>
          <w:sz w:val="22"/>
          <w:szCs w:val="22"/>
        </w:rPr>
        <w:t>laktáci</w:t>
      </w:r>
      <w:r w:rsidR="00D363D7" w:rsidRPr="003378EF">
        <w:rPr>
          <w:rFonts w:ascii="Times New Roman" w:hAnsi="Times New Roman" w:cs="Times New Roman"/>
          <w:b/>
          <w:sz w:val="22"/>
          <w:szCs w:val="22"/>
        </w:rPr>
        <w:t>a</w:t>
      </w:r>
    </w:p>
    <w:p w:rsidR="00EB2024" w:rsidRDefault="00EB2024" w:rsidP="00E36D94">
      <w:pPr>
        <w:overflowPunct w:val="0"/>
        <w:ind w:right="43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:rsidR="002151E2" w:rsidRDefault="00DF1AD9" w:rsidP="00E36D94">
      <w:pPr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eastAsia="cs-CZ"/>
        </w:rPr>
      </w:pPr>
      <w:r w:rsidRPr="00DE31AE">
        <w:rPr>
          <w:rFonts w:ascii="Times New Roman" w:hAnsi="Times New Roman" w:cs="Times New Roman"/>
          <w:color w:val="000000"/>
          <w:sz w:val="22"/>
          <w:szCs w:val="22"/>
          <w:u w:val="single"/>
          <w:lang w:eastAsia="cs-CZ"/>
        </w:rPr>
        <w:t>Gravidita</w:t>
      </w:r>
    </w:p>
    <w:p w:rsidR="00F90F85" w:rsidRDefault="00DF1AD9" w:rsidP="00E36D94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Dáta z obmedzeného počtu expozícií počas prvého </w:t>
      </w: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trimestra</w:t>
      </w:r>
      <w:proofErr w:type="spellEnd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tehotenstva nepreukázali žiadne nežiaduce úči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nky na tehotenstvo alebo plod/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novorodenca. K dispozícii nie sú žiadne ďalšie epidemiologické údaje. Štúdie na zvieratách ukázali reprodukčnú toxicitu </w:t>
      </w:r>
      <w:r w:rsidR="00DE31AE"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pri vyšších 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dávkach ako sú </w:t>
      </w:r>
      <w:r w:rsidR="00DE31AE"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odporúčané terapeutické dávky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(pozri časť 5.3). Opatrnosť je potrebná v prípade hypertenzie alebo </w:t>
      </w:r>
      <w:r w:rsidR="0099209B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prejavov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zníženého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prietoku krvi v maternici. Pri 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používaní vysokých dávok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a dlhodobom užívaní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nemožno vylúčiť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zn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íženie prietok</w:t>
      </w:r>
      <w:r w:rsidR="00833DC4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u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krvi do maternice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Xylometazolín</w:t>
      </w:r>
      <w:proofErr w:type="spellEnd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môže b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yť používaný počas tehotenstva podľa odporúčaní a po dobu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ni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e</w:t>
      </w:r>
      <w:r w:rsid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dlhšiu</w:t>
      </w: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ako jeden týždeň.</w:t>
      </w:r>
    </w:p>
    <w:p w:rsidR="00DE31AE" w:rsidRPr="00DE31AE" w:rsidRDefault="00DE31AE" w:rsidP="00E36D94">
      <w:pPr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cs-CZ"/>
        </w:rPr>
      </w:pPr>
    </w:p>
    <w:p w:rsidR="00DE31AE" w:rsidRPr="00DE31AE" w:rsidRDefault="00DE31AE" w:rsidP="00E36D94">
      <w:pPr>
        <w:pStyle w:val="tl1"/>
        <w:rPr>
          <w:sz w:val="22"/>
          <w:szCs w:val="22"/>
          <w:u w:val="single"/>
        </w:rPr>
      </w:pPr>
      <w:r w:rsidRPr="00DE31AE">
        <w:rPr>
          <w:sz w:val="22"/>
          <w:szCs w:val="22"/>
          <w:u w:val="single"/>
        </w:rPr>
        <w:t>Dojčenie</w:t>
      </w:r>
    </w:p>
    <w:p w:rsidR="00F90F85" w:rsidRDefault="00DE31AE" w:rsidP="00E36D94">
      <w:pPr>
        <w:jc w:val="both"/>
        <w:rPr>
          <w:rFonts w:ascii="Times New Roman" w:hAnsi="Times New Roman" w:cs="Times New Roman"/>
          <w:sz w:val="22"/>
          <w:szCs w:val="22"/>
        </w:rPr>
      </w:pPr>
      <w:r w:rsidRPr="00DE31AE">
        <w:rPr>
          <w:rFonts w:ascii="Times New Roman" w:hAnsi="Times New Roman" w:cs="Times New Roman"/>
          <w:sz w:val="22"/>
          <w:szCs w:val="22"/>
        </w:rPr>
        <w:t xml:space="preserve">Nie je známe, či sa </w:t>
      </w:r>
      <w:proofErr w:type="spellStart"/>
      <w:r w:rsidRPr="00DE31AE">
        <w:rPr>
          <w:rFonts w:ascii="Times New Roman" w:hAnsi="Times New Roman" w:cs="Times New Roman"/>
          <w:sz w:val="22"/>
          <w:szCs w:val="22"/>
        </w:rPr>
        <w:t>xylometazolín</w:t>
      </w:r>
      <w:proofErr w:type="spellEnd"/>
      <w:r w:rsidRPr="00DE31AE">
        <w:rPr>
          <w:rFonts w:ascii="Times New Roman" w:hAnsi="Times New Roman" w:cs="Times New Roman"/>
          <w:sz w:val="22"/>
          <w:szCs w:val="22"/>
        </w:rPr>
        <w:t xml:space="preserve"> vylučuje do materského mlieka. Nie je možné vylúčiť riziko pre dojča. Po zvážení prínosu dojčenia pre dieťa voči prínosu</w:t>
      </w:r>
      <w:r>
        <w:rPr>
          <w:rFonts w:ascii="Times New Roman" w:hAnsi="Times New Roman" w:cs="Times New Roman"/>
          <w:sz w:val="22"/>
          <w:szCs w:val="22"/>
        </w:rPr>
        <w:t xml:space="preserve"> liečby pre matku</w:t>
      </w:r>
      <w:r w:rsidRPr="00DE31AE">
        <w:rPr>
          <w:rFonts w:ascii="Times New Roman" w:hAnsi="Times New Roman" w:cs="Times New Roman"/>
          <w:sz w:val="22"/>
          <w:szCs w:val="22"/>
        </w:rPr>
        <w:t xml:space="preserve">, je potrebné rozhodnúť, či prerušiť dojčenie alebo sa vyhnúť použitiu </w:t>
      </w:r>
      <w:proofErr w:type="spellStart"/>
      <w:r w:rsidRPr="00DE31AE">
        <w:rPr>
          <w:rFonts w:ascii="Times New Roman" w:hAnsi="Times New Roman" w:cs="Times New Roman"/>
          <w:sz w:val="22"/>
          <w:szCs w:val="22"/>
        </w:rPr>
        <w:t>xylometazolínu</w:t>
      </w:r>
      <w:proofErr w:type="spellEnd"/>
      <w:r w:rsidRPr="00DE31AE">
        <w:rPr>
          <w:rFonts w:ascii="Times New Roman" w:hAnsi="Times New Roman" w:cs="Times New Roman"/>
          <w:sz w:val="22"/>
          <w:szCs w:val="22"/>
        </w:rPr>
        <w:t>.</w:t>
      </w:r>
    </w:p>
    <w:p w:rsidR="00DE31AE" w:rsidRPr="00B9249A" w:rsidRDefault="00DE31AE" w:rsidP="00E36D94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</w:p>
    <w:p w:rsidR="007933F7" w:rsidRDefault="00F90F85" w:rsidP="00E55801">
      <w:pPr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u w:val="single"/>
          <w:lang w:eastAsia="cs-CZ"/>
        </w:rPr>
        <w:t>Fertilit</w:t>
      </w:r>
      <w:r w:rsidR="00DE31AE" w:rsidRPr="00DE31AE">
        <w:rPr>
          <w:rFonts w:ascii="Times New Roman" w:hAnsi="Times New Roman" w:cs="Times New Roman"/>
          <w:color w:val="000000"/>
          <w:sz w:val="22"/>
          <w:szCs w:val="22"/>
          <w:u w:val="single"/>
          <w:lang w:eastAsia="cs-CZ"/>
        </w:rPr>
        <w:t>a</w:t>
      </w:r>
      <w:proofErr w:type="spellEnd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</w:p>
    <w:p w:rsidR="00F90F85" w:rsidRPr="00DE31AE" w:rsidRDefault="00DE31AE" w:rsidP="00E55801">
      <w:pPr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Nie sú známe žiadne účinky liečby </w:t>
      </w:r>
      <w:proofErr w:type="spellStart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xylometazolínom</w:t>
      </w:r>
      <w:proofErr w:type="spellEnd"/>
      <w:r w:rsidRPr="00DE31AE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na plodnosť.</w:t>
      </w:r>
    </w:p>
    <w:p w:rsidR="00F90F85" w:rsidRPr="003378EF" w:rsidRDefault="00F90F85" w:rsidP="00CC589C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4.</w:t>
      </w:r>
      <w:r w:rsidR="00EB2024" w:rsidRPr="003378EF">
        <w:rPr>
          <w:b/>
          <w:sz w:val="22"/>
          <w:szCs w:val="22"/>
        </w:rPr>
        <w:t>7</w:t>
      </w:r>
      <w:r w:rsidR="00EB2024" w:rsidRPr="003378EF">
        <w:rPr>
          <w:b/>
          <w:sz w:val="22"/>
          <w:szCs w:val="22"/>
        </w:rPr>
        <w:tab/>
      </w:r>
      <w:r w:rsidRPr="003378EF">
        <w:rPr>
          <w:b/>
          <w:sz w:val="22"/>
          <w:szCs w:val="22"/>
        </w:rPr>
        <w:t>Ovplyvnenie schopnosti viesť vozidlá a obsluhovať stroje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933917" w:rsidP="00283E6D">
      <w:pPr>
        <w:pStyle w:val="tl1"/>
        <w:jc w:val="left"/>
        <w:rPr>
          <w:sz w:val="22"/>
          <w:szCs w:val="22"/>
        </w:rPr>
      </w:pPr>
      <w:r w:rsidRPr="00933917">
        <w:rPr>
          <w:sz w:val="22"/>
          <w:szCs w:val="22"/>
        </w:rPr>
        <w:t>Nie sú k dispozícii žiadne údaje o vplyvu tohto lieku na schopnosť viesť vozidlá a obsluhovať stroje</w:t>
      </w:r>
      <w:r w:rsidR="00623C1D" w:rsidRPr="003378EF">
        <w:rPr>
          <w:sz w:val="22"/>
          <w:szCs w:val="22"/>
        </w:rPr>
        <w:t>.</w:t>
      </w:r>
    </w:p>
    <w:p w:rsidR="00CA02C9" w:rsidRDefault="00933917" w:rsidP="00A87714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Na základe </w:t>
      </w:r>
      <w:proofErr w:type="spellStart"/>
      <w:r>
        <w:rPr>
          <w:sz w:val="22"/>
          <w:szCs w:val="22"/>
        </w:rPr>
        <w:t>farmakodynamického</w:t>
      </w:r>
      <w:proofErr w:type="spellEnd"/>
      <w:r>
        <w:rPr>
          <w:sz w:val="22"/>
          <w:szCs w:val="22"/>
        </w:rPr>
        <w:t xml:space="preserve"> </w:t>
      </w:r>
      <w:r w:rsidR="00E55801">
        <w:rPr>
          <w:sz w:val="22"/>
          <w:szCs w:val="22"/>
        </w:rPr>
        <w:t xml:space="preserve">profilu </w:t>
      </w:r>
      <w:r>
        <w:rPr>
          <w:sz w:val="22"/>
          <w:szCs w:val="22"/>
        </w:rPr>
        <w:t xml:space="preserve">a/alebo </w:t>
      </w:r>
      <w:r w:rsidR="007933F7">
        <w:rPr>
          <w:sz w:val="22"/>
          <w:szCs w:val="22"/>
        </w:rPr>
        <w:t>profilu nežiaducich účink</w:t>
      </w:r>
      <w:r w:rsidR="00A87714">
        <w:rPr>
          <w:sz w:val="22"/>
          <w:szCs w:val="22"/>
        </w:rPr>
        <w:t>ov</w:t>
      </w:r>
      <w:r w:rsidR="007933F7">
        <w:rPr>
          <w:sz w:val="22"/>
          <w:szCs w:val="22"/>
        </w:rPr>
        <w:t xml:space="preserve"> </w:t>
      </w:r>
      <w:r w:rsidR="00E55801">
        <w:rPr>
          <w:sz w:val="22"/>
          <w:szCs w:val="22"/>
        </w:rPr>
        <w:t xml:space="preserve">sa u </w:t>
      </w:r>
      <w:proofErr w:type="spellStart"/>
      <w:r>
        <w:rPr>
          <w:sz w:val="22"/>
          <w:szCs w:val="22"/>
        </w:rPr>
        <w:t>xylometazolínu</w:t>
      </w:r>
      <w:proofErr w:type="spellEnd"/>
      <w:r>
        <w:rPr>
          <w:sz w:val="22"/>
          <w:szCs w:val="22"/>
        </w:rPr>
        <w:t xml:space="preserve"> </w:t>
      </w:r>
      <w:r w:rsidR="00602B56">
        <w:rPr>
          <w:sz w:val="22"/>
          <w:szCs w:val="22"/>
        </w:rPr>
        <w:t>nepredpokladá</w:t>
      </w:r>
      <w:r>
        <w:rPr>
          <w:sz w:val="22"/>
          <w:szCs w:val="22"/>
        </w:rPr>
        <w:t xml:space="preserve"> vplyv na </w:t>
      </w:r>
      <w:r w:rsidR="00602B56">
        <w:rPr>
          <w:sz w:val="22"/>
          <w:szCs w:val="22"/>
        </w:rPr>
        <w:t xml:space="preserve">schopnosť viesť </w:t>
      </w:r>
      <w:r w:rsidR="00602B56" w:rsidRPr="00933917">
        <w:rPr>
          <w:sz w:val="22"/>
          <w:szCs w:val="22"/>
        </w:rPr>
        <w:t>vozidlá a obsluhovať stroje</w:t>
      </w:r>
      <w:r w:rsidR="00602B56">
        <w:rPr>
          <w:sz w:val="22"/>
          <w:szCs w:val="22"/>
        </w:rPr>
        <w:t>.</w:t>
      </w:r>
    </w:p>
    <w:p w:rsidR="00602B56" w:rsidRPr="003378EF" w:rsidRDefault="00602B56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4.8</w:t>
      </w:r>
      <w:r w:rsidRPr="003378EF">
        <w:rPr>
          <w:b/>
          <w:sz w:val="22"/>
          <w:szCs w:val="22"/>
        </w:rPr>
        <w:tab/>
        <w:t>Nežiaduce účinky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602B56" w:rsidRDefault="00602B56" w:rsidP="00283E6D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Tak ako všetky lieky aj tento liek môže spôsobiť </w:t>
      </w:r>
      <w:r w:rsidR="00833DC4">
        <w:rPr>
          <w:sz w:val="22"/>
          <w:szCs w:val="22"/>
        </w:rPr>
        <w:t>nežiaduce</w:t>
      </w:r>
      <w:r>
        <w:rPr>
          <w:sz w:val="22"/>
          <w:szCs w:val="22"/>
        </w:rPr>
        <w:t xml:space="preserve"> účinky.</w:t>
      </w:r>
    </w:p>
    <w:p w:rsidR="00602B56" w:rsidRDefault="005E0C61" w:rsidP="00283E6D">
      <w:pPr>
        <w:pStyle w:val="tl1"/>
        <w:jc w:val="left"/>
        <w:rPr>
          <w:sz w:val="22"/>
          <w:szCs w:val="22"/>
        </w:rPr>
      </w:pPr>
      <w:r w:rsidRPr="008C5A93">
        <w:rPr>
          <w:sz w:val="22"/>
          <w:szCs w:val="22"/>
        </w:rPr>
        <w:t xml:space="preserve">Nežiaduce účinky </w:t>
      </w:r>
      <w:r w:rsidR="00602B56" w:rsidRPr="008C5A93">
        <w:rPr>
          <w:sz w:val="22"/>
          <w:szCs w:val="22"/>
        </w:rPr>
        <w:t>s</w:t>
      </w:r>
      <w:r w:rsidRPr="008C5A93">
        <w:rPr>
          <w:sz w:val="22"/>
          <w:szCs w:val="22"/>
        </w:rPr>
        <w:t xml:space="preserve">ú </w:t>
      </w:r>
      <w:r w:rsidR="00BE5FCB" w:rsidRPr="008C5A93">
        <w:rPr>
          <w:sz w:val="22"/>
          <w:szCs w:val="22"/>
        </w:rPr>
        <w:t>klasifikované na základe nasledujúcej konvencie</w:t>
      </w:r>
      <w:r w:rsidR="00602B56" w:rsidRPr="008C5A93">
        <w:rPr>
          <w:sz w:val="22"/>
          <w:szCs w:val="22"/>
        </w:rPr>
        <w:t>:</w:t>
      </w:r>
    </w:p>
    <w:p w:rsidR="00602B56" w:rsidRDefault="00602B56" w:rsidP="007933F7">
      <w:pPr>
        <w:pStyle w:val="tl1"/>
        <w:tabs>
          <w:tab w:val="clear" w:pos="567"/>
          <w:tab w:val="left" w:pos="2268"/>
        </w:tabs>
        <w:jc w:val="left"/>
        <w:rPr>
          <w:sz w:val="22"/>
          <w:szCs w:val="22"/>
        </w:rPr>
      </w:pPr>
      <w:r>
        <w:rPr>
          <w:sz w:val="22"/>
          <w:szCs w:val="22"/>
        </w:rPr>
        <w:t>V</w:t>
      </w:r>
      <w:r w:rsidR="005E0C61" w:rsidRPr="003378EF">
        <w:rPr>
          <w:sz w:val="22"/>
          <w:szCs w:val="22"/>
        </w:rPr>
        <w:t>eľmi časté</w:t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 w:rsidR="005E0C61" w:rsidRPr="003378EF">
        <w:rPr>
          <w:sz w:val="22"/>
          <w:szCs w:val="22"/>
        </w:rPr>
        <w:t>1/1</w:t>
      </w:r>
      <w:r>
        <w:rPr>
          <w:sz w:val="22"/>
          <w:szCs w:val="22"/>
        </w:rPr>
        <w:t>0)</w:t>
      </w:r>
    </w:p>
    <w:p w:rsidR="00602B56" w:rsidRDefault="00602B56" w:rsidP="007933F7">
      <w:pPr>
        <w:pStyle w:val="tl1"/>
        <w:tabs>
          <w:tab w:val="clear" w:pos="567"/>
          <w:tab w:val="left" w:pos="1418"/>
          <w:tab w:val="left" w:pos="2268"/>
        </w:tabs>
        <w:jc w:val="left"/>
        <w:rPr>
          <w:sz w:val="22"/>
          <w:szCs w:val="22"/>
        </w:rPr>
      </w:pPr>
      <w:r>
        <w:rPr>
          <w:sz w:val="22"/>
          <w:szCs w:val="22"/>
        </w:rPr>
        <w:t>Časté</w:t>
      </w:r>
      <w:r>
        <w:rPr>
          <w:sz w:val="22"/>
          <w:szCs w:val="22"/>
        </w:rPr>
        <w:tab/>
      </w:r>
      <w:r w:rsidR="00833DC4">
        <w:rPr>
          <w:sz w:val="22"/>
          <w:szCs w:val="22"/>
        </w:rPr>
        <w:t xml:space="preserve">               </w:t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>
        <w:rPr>
          <w:sz w:val="22"/>
          <w:szCs w:val="22"/>
        </w:rPr>
        <w:t>1/100 až &lt;1/10)</w:t>
      </w:r>
    </w:p>
    <w:p w:rsidR="00602B56" w:rsidRDefault="00602B56" w:rsidP="007933F7">
      <w:pPr>
        <w:pStyle w:val="tl1"/>
        <w:tabs>
          <w:tab w:val="clear" w:pos="567"/>
          <w:tab w:val="left" w:pos="2268"/>
        </w:tabs>
        <w:jc w:val="left"/>
        <w:rPr>
          <w:sz w:val="22"/>
          <w:szCs w:val="22"/>
        </w:rPr>
      </w:pPr>
      <w:r>
        <w:rPr>
          <w:sz w:val="22"/>
          <w:szCs w:val="22"/>
        </w:rPr>
        <w:t>Menej časté</w:t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>
        <w:rPr>
          <w:sz w:val="22"/>
          <w:szCs w:val="22"/>
        </w:rPr>
        <w:t>1/1000 až &lt;1/100)</w:t>
      </w:r>
    </w:p>
    <w:p w:rsidR="00602B56" w:rsidRDefault="00602B56" w:rsidP="007933F7">
      <w:pPr>
        <w:pStyle w:val="tl1"/>
        <w:tabs>
          <w:tab w:val="clear" w:pos="567"/>
          <w:tab w:val="left" w:pos="2268"/>
        </w:tabs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="005E0C61" w:rsidRPr="003378EF">
        <w:rPr>
          <w:sz w:val="22"/>
          <w:szCs w:val="22"/>
        </w:rPr>
        <w:t>riedkavé</w:t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</w:t>
      </w:r>
      <w:r w:rsidR="005E0C61" w:rsidRPr="003378EF">
        <w:rPr>
          <w:noProof/>
          <w:sz w:val="22"/>
          <w:szCs w:val="22"/>
        </w:rPr>
        <w:sym w:font="Symbol" w:char="F0B3"/>
      </w:r>
      <w:r w:rsidR="005E0C61" w:rsidRPr="003378EF">
        <w:rPr>
          <w:sz w:val="22"/>
          <w:szCs w:val="22"/>
        </w:rPr>
        <w:t>1/10</w:t>
      </w:r>
      <w:r w:rsidR="00A8335E">
        <w:rPr>
          <w:sz w:val="22"/>
          <w:szCs w:val="22"/>
        </w:rPr>
        <w:t> </w:t>
      </w:r>
      <w:r>
        <w:rPr>
          <w:sz w:val="22"/>
          <w:szCs w:val="22"/>
        </w:rPr>
        <w:t>000 až &lt;1/1000)</w:t>
      </w:r>
      <w:r>
        <w:rPr>
          <w:sz w:val="22"/>
          <w:szCs w:val="22"/>
        </w:rPr>
        <w:tab/>
      </w:r>
    </w:p>
    <w:p w:rsidR="005E0C61" w:rsidRDefault="00602B56" w:rsidP="007933F7">
      <w:pPr>
        <w:pStyle w:val="tl1"/>
        <w:tabs>
          <w:tab w:val="clear" w:pos="567"/>
          <w:tab w:val="left" w:pos="2268"/>
        </w:tabs>
        <w:jc w:val="left"/>
        <w:rPr>
          <w:sz w:val="22"/>
          <w:szCs w:val="22"/>
        </w:rPr>
      </w:pPr>
      <w:r>
        <w:rPr>
          <w:sz w:val="22"/>
          <w:szCs w:val="22"/>
        </w:rPr>
        <w:t>Veľmi zriedkavé</w:t>
      </w:r>
      <w:r>
        <w:rPr>
          <w:sz w:val="22"/>
          <w:szCs w:val="22"/>
        </w:rPr>
        <w:tab/>
      </w:r>
      <w:r w:rsidR="005E0C61" w:rsidRPr="003378EF">
        <w:rPr>
          <w:sz w:val="22"/>
          <w:szCs w:val="22"/>
        </w:rPr>
        <w:t>(&lt;1/10</w:t>
      </w:r>
      <w:r w:rsidR="00A8335E">
        <w:rPr>
          <w:sz w:val="22"/>
          <w:szCs w:val="22"/>
        </w:rPr>
        <w:t> </w:t>
      </w:r>
      <w:r>
        <w:rPr>
          <w:sz w:val="22"/>
          <w:szCs w:val="22"/>
        </w:rPr>
        <w:t>000)</w:t>
      </w:r>
    </w:p>
    <w:p w:rsidR="00DD7E83" w:rsidRPr="003378EF" w:rsidRDefault="00DD7E83" w:rsidP="007933F7">
      <w:pPr>
        <w:pStyle w:val="tl1"/>
        <w:tabs>
          <w:tab w:val="left" w:pos="2268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Neznáme </w:t>
      </w:r>
      <w:r w:rsidR="007933F7">
        <w:rPr>
          <w:sz w:val="22"/>
          <w:szCs w:val="22"/>
        </w:rPr>
        <w:tab/>
      </w:r>
      <w:r>
        <w:rPr>
          <w:sz w:val="22"/>
          <w:szCs w:val="22"/>
        </w:rPr>
        <w:t>(nedá sa odhadnúť z dostupných údajov)</w:t>
      </w:r>
    </w:p>
    <w:p w:rsidR="00BE5FCB" w:rsidRPr="00B9249A" w:rsidRDefault="00BE5FCB" w:rsidP="00BE5FCB">
      <w:pPr>
        <w:jc w:val="both"/>
        <w:rPr>
          <w:sz w:val="22"/>
          <w:szCs w:val="22"/>
        </w:rPr>
      </w:pPr>
    </w:p>
    <w:p w:rsidR="002504CB" w:rsidRPr="00B9249A" w:rsidRDefault="002504CB" w:rsidP="00BE5FCB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1872"/>
        <w:gridCol w:w="1708"/>
        <w:gridCol w:w="1417"/>
        <w:gridCol w:w="1809"/>
      </w:tblGrid>
      <w:tr w:rsidR="00BE5FCB" w:rsidRPr="003146E5" w:rsidTr="00952E6C">
        <w:tc>
          <w:tcPr>
            <w:tcW w:w="2941" w:type="dxa"/>
            <w:tcBorders>
              <w:top w:val="nil"/>
              <w:left w:val="nil"/>
            </w:tcBorders>
            <w:shd w:val="clear" w:color="auto" w:fill="auto"/>
          </w:tcPr>
          <w:p w:rsidR="00BE5FCB" w:rsidRPr="00952E6C" w:rsidRDefault="00BE5FCB" w:rsidP="00952E6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BE5FCB" w:rsidRPr="00952E6C" w:rsidRDefault="006C65B3" w:rsidP="00952E6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Časté</w:t>
            </w:r>
          </w:p>
        </w:tc>
        <w:tc>
          <w:tcPr>
            <w:tcW w:w="1708" w:type="dxa"/>
            <w:shd w:val="clear" w:color="auto" w:fill="auto"/>
          </w:tcPr>
          <w:p w:rsidR="00BE5FCB" w:rsidRPr="00952E6C" w:rsidRDefault="006C65B3" w:rsidP="00952E6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Menej časté</w:t>
            </w:r>
          </w:p>
        </w:tc>
        <w:tc>
          <w:tcPr>
            <w:tcW w:w="1417" w:type="dxa"/>
            <w:shd w:val="clear" w:color="auto" w:fill="auto"/>
          </w:tcPr>
          <w:p w:rsidR="00BE5FCB" w:rsidRPr="00952E6C" w:rsidRDefault="006C65B3" w:rsidP="00952E6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Zriedkavé</w:t>
            </w:r>
          </w:p>
        </w:tc>
        <w:tc>
          <w:tcPr>
            <w:tcW w:w="1809" w:type="dxa"/>
            <w:shd w:val="clear" w:color="auto" w:fill="auto"/>
          </w:tcPr>
          <w:p w:rsidR="00BE5FCB" w:rsidRPr="00952E6C" w:rsidRDefault="006C65B3" w:rsidP="00952E6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b/>
                <w:sz w:val="22"/>
                <w:szCs w:val="22"/>
              </w:rPr>
              <w:t>Veľmi zriedkavé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imunitného systému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Hypersenzitívne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 reakcie (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angioedém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52E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vyrážka, 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pruritus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E5FCB" w:rsidRPr="00952E6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Poruchy nervového systému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Bolesť hlavy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Default="007933F7" w:rsidP="003352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7933F7">
              <w:rPr>
                <w:rFonts w:ascii="Times New Roman" w:hAnsi="Times New Roman" w:cs="Times New Roman"/>
                <w:sz w:val="22"/>
                <w:szCs w:val="22"/>
              </w:rPr>
              <w:t>espavosť</w:t>
            </w:r>
            <w:r w:rsidR="00BE5FCB"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33DC4">
              <w:rPr>
                <w:rFonts w:ascii="Times New Roman" w:hAnsi="Times New Roman" w:cs="Times New Roman"/>
                <w:sz w:val="22"/>
                <w:szCs w:val="22"/>
              </w:rPr>
              <w:t>závrat</w:t>
            </w:r>
            <w:r w:rsidR="0033527B" w:rsidRPr="00952E6C">
              <w:rPr>
                <w:rFonts w:ascii="Times New Roman" w:hAnsi="Times New Roman" w:cs="Times New Roman"/>
                <w:sz w:val="22"/>
                <w:szCs w:val="22"/>
              </w:rPr>
              <w:t>, tras</w:t>
            </w:r>
            <w:r w:rsidR="00DD7E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504CB" w:rsidRDefault="00DD7E83" w:rsidP="003352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Nervozita,</w:t>
            </w:r>
          </w:p>
          <w:p w:rsidR="00DD7E83" w:rsidRPr="00952E6C" w:rsidRDefault="00DD7E83" w:rsidP="003352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Halucinácie (predovšetkým u detí)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oka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33527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Prechodné poruchy videnia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srdca a srdcovej činnosti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Del="006E0BA4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Del="006E0BA4" w:rsidRDefault="00BF517C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Nepravidelná alebo rýchla činnosť srdca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Poruchy ciev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F517C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Hypertenzia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F517C" w:rsidP="006C65B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Suchá nosová sliznica</w:t>
            </w:r>
            <w:r w:rsidRPr="00952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alebo nepríjemný pocit v nose .</w:t>
            </w:r>
          </w:p>
          <w:p w:rsidR="00BE5FCB" w:rsidRPr="00952E6C" w:rsidRDefault="0033527B" w:rsidP="003352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Pocit pálenia</w:t>
            </w:r>
            <w:r w:rsidR="00BE5FCB"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kýchanie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RDefault="001B0A89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Apnoe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 novorodencov a </w:t>
            </w:r>
            <w:r w:rsidRPr="0073544A">
              <w:rPr>
                <w:rFonts w:ascii="Times New Roman" w:hAnsi="Times New Roman" w:cs="Times New Roman"/>
                <w:sz w:val="22"/>
                <w:szCs w:val="22"/>
              </w:rPr>
              <w:t>malých detí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Poruchy </w:t>
            </w:r>
            <w:proofErr w:type="spellStart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gastrointestinálneho</w:t>
            </w:r>
            <w:proofErr w:type="spellEnd"/>
            <w:r w:rsidRPr="00952E6C">
              <w:rPr>
                <w:rFonts w:ascii="Times New Roman" w:hAnsi="Times New Roman" w:cs="Times New Roman"/>
                <w:sz w:val="22"/>
                <w:szCs w:val="22"/>
              </w:rPr>
              <w:t xml:space="preserve"> traktu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F517C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/>
                <w:sz w:val="22"/>
                <w:szCs w:val="22"/>
              </w:rPr>
              <w:t>Nevoľnosť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Del="006E0BA4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Del="006E0BA4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A89" w:rsidRPr="003146E5" w:rsidTr="00952E6C">
        <w:tc>
          <w:tcPr>
            <w:tcW w:w="2941" w:type="dxa"/>
            <w:shd w:val="clear" w:color="auto" w:fill="auto"/>
            <w:vAlign w:val="center"/>
          </w:tcPr>
          <w:p w:rsidR="001B0A89" w:rsidRPr="000618ED" w:rsidRDefault="001B0A89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A89">
              <w:rPr>
                <w:rFonts w:ascii="Times New Roman" w:hAnsi="Times New Roman" w:cs="Times New Roman"/>
                <w:sz w:val="22"/>
                <w:szCs w:val="22"/>
              </w:rPr>
              <w:t>Poruchy pohybového systému a </w:t>
            </w:r>
            <w:r w:rsidRPr="00C33A93">
              <w:rPr>
                <w:rFonts w:ascii="Times New Roman" w:hAnsi="Times New Roman" w:cs="Times New Roman"/>
                <w:sz w:val="22"/>
                <w:szCs w:val="22"/>
              </w:rPr>
              <w:t>spojivového tkaniva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B0A89" w:rsidRPr="000618ED" w:rsidRDefault="001B0A89" w:rsidP="006C65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1B0A89" w:rsidRPr="002504CB" w:rsidDel="006E0BA4" w:rsidRDefault="001B0A89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0A89" w:rsidRPr="00DB2556" w:rsidRDefault="001B0A89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1B0A89" w:rsidRPr="00E36D94" w:rsidDel="006E0BA4" w:rsidRDefault="001B0A89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534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061087">
              <w:rPr>
                <w:rFonts w:ascii="Times New Roman" w:hAnsi="Times New Roman" w:cs="Times New Roman"/>
                <w:sz w:val="22"/>
                <w:szCs w:val="22"/>
              </w:rPr>
              <w:t>ŕče (predovšetkým u</w:t>
            </w:r>
            <w:r w:rsidRPr="0088324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B45D6">
              <w:rPr>
                <w:rFonts w:ascii="Times New Roman" w:hAnsi="Times New Roman" w:cs="Times New Roman"/>
                <w:sz w:val="22"/>
                <w:szCs w:val="22"/>
              </w:rPr>
              <w:t>detí)</w:t>
            </w:r>
          </w:p>
        </w:tc>
      </w:tr>
      <w:tr w:rsidR="00BE5FCB" w:rsidRPr="003146E5" w:rsidTr="00952E6C">
        <w:tc>
          <w:tcPr>
            <w:tcW w:w="2941" w:type="dxa"/>
            <w:shd w:val="clear" w:color="auto" w:fill="auto"/>
            <w:vAlign w:val="center"/>
          </w:tcPr>
          <w:p w:rsidR="00BE5FCB" w:rsidRPr="00952E6C" w:rsidRDefault="006C65B3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Celkové poruchy a reakcie v mieste podania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E5FCB" w:rsidRPr="00952E6C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E5FCB" w:rsidRPr="00952E6C" w:rsidDel="006E0BA4" w:rsidRDefault="0033527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2E6C">
              <w:rPr>
                <w:rFonts w:ascii="Times New Roman" w:hAnsi="Times New Roman" w:cs="Times New Roman"/>
                <w:sz w:val="22"/>
                <w:szCs w:val="22"/>
              </w:rPr>
              <w:t>Krvácanie z nosa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5FCB" w:rsidRPr="00952E6C" w:rsidDel="006E0BA4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BE5FCB" w:rsidRPr="00952E6C" w:rsidDel="006E0BA4" w:rsidRDefault="00BE5FCB" w:rsidP="006C65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B2024" w:rsidRPr="003378EF" w:rsidRDefault="00EB2024" w:rsidP="00CC589C">
      <w:pPr>
        <w:rPr>
          <w:rFonts w:ascii="Times New Roman" w:hAnsi="Times New Roman" w:cs="Times New Roman"/>
          <w:b/>
          <w:sz w:val="22"/>
          <w:szCs w:val="22"/>
        </w:rPr>
      </w:pPr>
    </w:p>
    <w:p w:rsidR="00F33458" w:rsidRDefault="0033527B" w:rsidP="00B1444E">
      <w:pPr>
        <w:pStyle w:val="tl1"/>
        <w:rPr>
          <w:sz w:val="22"/>
          <w:szCs w:val="22"/>
        </w:rPr>
      </w:pPr>
      <w:r w:rsidRPr="0033527B">
        <w:rPr>
          <w:sz w:val="22"/>
          <w:szCs w:val="22"/>
        </w:rPr>
        <w:t xml:space="preserve">Údaje z klinických štúdií a </w:t>
      </w:r>
      <w:proofErr w:type="spellStart"/>
      <w:r w:rsidRPr="0033527B">
        <w:rPr>
          <w:sz w:val="22"/>
          <w:szCs w:val="22"/>
        </w:rPr>
        <w:t>post-marketingových</w:t>
      </w:r>
      <w:proofErr w:type="spellEnd"/>
      <w:r w:rsidRPr="0033527B">
        <w:rPr>
          <w:sz w:val="22"/>
          <w:szCs w:val="22"/>
        </w:rPr>
        <w:t xml:space="preserve"> dát ukazujú, že </w:t>
      </w:r>
      <w:proofErr w:type="spellStart"/>
      <w:r w:rsidRPr="0033527B">
        <w:rPr>
          <w:sz w:val="22"/>
          <w:szCs w:val="22"/>
        </w:rPr>
        <w:t>xylometazol</w:t>
      </w:r>
      <w:r>
        <w:rPr>
          <w:sz w:val="22"/>
          <w:szCs w:val="22"/>
        </w:rPr>
        <w:t>ín</w:t>
      </w:r>
      <w:proofErr w:type="spellEnd"/>
      <w:r>
        <w:rPr>
          <w:sz w:val="22"/>
          <w:szCs w:val="22"/>
        </w:rPr>
        <w:t xml:space="preserve"> je všeobecne dobre tolerovaný</w:t>
      </w:r>
      <w:r w:rsidRPr="0033527B">
        <w:rPr>
          <w:sz w:val="22"/>
          <w:szCs w:val="22"/>
        </w:rPr>
        <w:t xml:space="preserve"> deť</w:t>
      </w:r>
      <w:r>
        <w:rPr>
          <w:sz w:val="22"/>
          <w:szCs w:val="22"/>
        </w:rPr>
        <w:t>mi staršími</w:t>
      </w:r>
      <w:r w:rsidRPr="0033527B">
        <w:rPr>
          <w:sz w:val="22"/>
          <w:szCs w:val="22"/>
        </w:rPr>
        <w:t xml:space="preserve"> ako 2 roky. Frekvencia, typ a závažnosť nežiaducich účinkov</w:t>
      </w:r>
      <w:r>
        <w:rPr>
          <w:sz w:val="22"/>
          <w:szCs w:val="22"/>
        </w:rPr>
        <w:t xml:space="preserve"> u detí by mali byť podobné ako u dospelých</w:t>
      </w:r>
      <w:r w:rsidRPr="0033527B">
        <w:rPr>
          <w:sz w:val="22"/>
          <w:szCs w:val="22"/>
        </w:rPr>
        <w:t>. Väčšina nežiaducic</w:t>
      </w:r>
      <w:r>
        <w:rPr>
          <w:sz w:val="22"/>
          <w:szCs w:val="22"/>
        </w:rPr>
        <w:t>h účinkov</w:t>
      </w:r>
      <w:r w:rsidRPr="0033527B">
        <w:rPr>
          <w:sz w:val="22"/>
          <w:szCs w:val="22"/>
        </w:rPr>
        <w:t xml:space="preserve"> u detí </w:t>
      </w:r>
      <w:r>
        <w:rPr>
          <w:sz w:val="22"/>
          <w:szCs w:val="22"/>
        </w:rPr>
        <w:t>boli hlásené v prípade, keď došlo k predávkovan</w:t>
      </w:r>
      <w:r w:rsidR="00833DC4">
        <w:rPr>
          <w:sz w:val="22"/>
          <w:szCs w:val="22"/>
        </w:rPr>
        <w:t>iu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xylometazolínom</w:t>
      </w:r>
      <w:proofErr w:type="spellEnd"/>
      <w:r w:rsidRPr="0033527B">
        <w:rPr>
          <w:sz w:val="22"/>
          <w:szCs w:val="22"/>
        </w:rPr>
        <w:t xml:space="preserve"> (pozri časť 4.9).</w:t>
      </w:r>
    </w:p>
    <w:p w:rsidR="00250FD0" w:rsidRPr="008C5A93" w:rsidRDefault="00DB2556" w:rsidP="00283E6D">
      <w:pPr>
        <w:pStyle w:val="tl1"/>
        <w:jc w:val="left"/>
        <w:rPr>
          <w:sz w:val="22"/>
          <w:szCs w:val="22"/>
        </w:rPr>
      </w:pPr>
      <w:r w:rsidRPr="008C5A93">
        <w:rPr>
          <w:sz w:val="22"/>
          <w:szCs w:val="22"/>
        </w:rPr>
        <w:t xml:space="preserve">Ak má vaše dieťa halucinácie, nepokoj alebo poruchy spánku, prestaňte používať </w:t>
      </w:r>
      <w:proofErr w:type="spellStart"/>
      <w:r w:rsidRPr="008C5A93">
        <w:rPr>
          <w:sz w:val="22"/>
          <w:szCs w:val="22"/>
        </w:rPr>
        <w:t>xylometazolín</w:t>
      </w:r>
      <w:proofErr w:type="spellEnd"/>
      <w:r w:rsidRPr="008C5A93">
        <w:rPr>
          <w:sz w:val="22"/>
          <w:szCs w:val="22"/>
        </w:rPr>
        <w:t xml:space="preserve">. </w:t>
      </w:r>
    </w:p>
    <w:p w:rsidR="00DB2556" w:rsidRDefault="00DB2556" w:rsidP="00283E6D">
      <w:pPr>
        <w:pStyle w:val="tl1"/>
        <w:jc w:val="left"/>
        <w:rPr>
          <w:sz w:val="22"/>
          <w:szCs w:val="22"/>
          <w:u w:val="single"/>
        </w:rPr>
      </w:pPr>
    </w:p>
    <w:p w:rsidR="00F33458" w:rsidRPr="00283E6D" w:rsidRDefault="00F33458" w:rsidP="00E36D94">
      <w:pPr>
        <w:pStyle w:val="tl1"/>
        <w:rPr>
          <w:sz w:val="22"/>
          <w:szCs w:val="22"/>
          <w:u w:val="single"/>
        </w:rPr>
      </w:pPr>
      <w:r w:rsidRPr="00283E6D">
        <w:rPr>
          <w:sz w:val="22"/>
          <w:szCs w:val="22"/>
          <w:u w:val="single"/>
        </w:rPr>
        <w:t>Hláseni</w:t>
      </w:r>
      <w:r w:rsidR="00C63588" w:rsidRPr="00283E6D">
        <w:rPr>
          <w:sz w:val="22"/>
          <w:szCs w:val="22"/>
          <w:u w:val="single"/>
        </w:rPr>
        <w:t>e</w:t>
      </w:r>
      <w:r w:rsidRPr="00283E6D">
        <w:rPr>
          <w:sz w:val="22"/>
          <w:szCs w:val="22"/>
          <w:u w:val="single"/>
        </w:rPr>
        <w:t xml:space="preserve"> podozrení na nežiaduce </w:t>
      </w:r>
      <w:r w:rsidR="00C63588" w:rsidRPr="00283E6D">
        <w:rPr>
          <w:sz w:val="22"/>
          <w:szCs w:val="22"/>
          <w:u w:val="single"/>
        </w:rPr>
        <w:t>reakcie</w:t>
      </w:r>
    </w:p>
    <w:p w:rsidR="00F33458" w:rsidRDefault="00F33458" w:rsidP="00E36D94">
      <w:pPr>
        <w:pStyle w:val="tl1"/>
        <w:rPr>
          <w:sz w:val="22"/>
          <w:szCs w:val="22"/>
        </w:rPr>
      </w:pPr>
      <w:r w:rsidRPr="00283E6D">
        <w:rPr>
          <w:sz w:val="22"/>
          <w:szCs w:val="22"/>
        </w:rPr>
        <w:t>Hláseni</w:t>
      </w:r>
      <w:r w:rsidR="00C63588">
        <w:rPr>
          <w:sz w:val="22"/>
          <w:szCs w:val="22"/>
        </w:rPr>
        <w:t>e</w:t>
      </w:r>
      <w:r w:rsidRPr="00283E6D">
        <w:rPr>
          <w:sz w:val="22"/>
          <w:szCs w:val="22"/>
        </w:rPr>
        <w:t xml:space="preserve"> podozrení na nežiaduce </w:t>
      </w:r>
      <w:r w:rsidR="00C63588">
        <w:rPr>
          <w:sz w:val="22"/>
          <w:szCs w:val="22"/>
        </w:rPr>
        <w:t>reakcie</w:t>
      </w:r>
      <w:r w:rsidRPr="00283E6D">
        <w:rPr>
          <w:sz w:val="22"/>
          <w:szCs w:val="22"/>
        </w:rPr>
        <w:t xml:space="preserve"> po registrácii lieku je dôležité</w:t>
      </w:r>
      <w:r>
        <w:rPr>
          <w:sz w:val="22"/>
          <w:szCs w:val="22"/>
        </w:rPr>
        <w:t xml:space="preserve">. </w:t>
      </w:r>
      <w:r w:rsidR="00C63588">
        <w:rPr>
          <w:sz w:val="22"/>
          <w:szCs w:val="22"/>
        </w:rPr>
        <w:t>U</w:t>
      </w:r>
      <w:r w:rsidRPr="00283E6D">
        <w:rPr>
          <w:sz w:val="22"/>
          <w:szCs w:val="22"/>
        </w:rPr>
        <w:t xml:space="preserve">možňuje </w:t>
      </w:r>
      <w:r w:rsidR="00C63588">
        <w:rPr>
          <w:sz w:val="22"/>
          <w:szCs w:val="22"/>
        </w:rPr>
        <w:t>priebežné monitorovanie</w:t>
      </w:r>
      <w:r w:rsidRPr="00283E6D">
        <w:rPr>
          <w:sz w:val="22"/>
          <w:szCs w:val="22"/>
        </w:rPr>
        <w:t xml:space="preserve"> pomeru prínosu </w:t>
      </w:r>
      <w:r w:rsidR="00C63588">
        <w:rPr>
          <w:sz w:val="22"/>
          <w:szCs w:val="22"/>
        </w:rPr>
        <w:t>a</w:t>
      </w:r>
      <w:r w:rsidRPr="00283E6D">
        <w:rPr>
          <w:sz w:val="22"/>
          <w:szCs w:val="22"/>
        </w:rPr>
        <w:t xml:space="preserve"> rizika lieku. </w:t>
      </w:r>
      <w:r w:rsidR="00C63588">
        <w:rPr>
          <w:sz w:val="22"/>
          <w:szCs w:val="22"/>
        </w:rPr>
        <w:t>Od z</w:t>
      </w:r>
      <w:r w:rsidRPr="00283E6D">
        <w:rPr>
          <w:sz w:val="22"/>
          <w:szCs w:val="22"/>
        </w:rPr>
        <w:t>dravotníck</w:t>
      </w:r>
      <w:r w:rsidR="00C63588">
        <w:rPr>
          <w:sz w:val="22"/>
          <w:szCs w:val="22"/>
        </w:rPr>
        <w:t xml:space="preserve">ych </w:t>
      </w:r>
      <w:r w:rsidRPr="00283E6D">
        <w:rPr>
          <w:sz w:val="22"/>
          <w:szCs w:val="22"/>
        </w:rPr>
        <w:t>pracovní</w:t>
      </w:r>
      <w:r w:rsidR="00C63588">
        <w:rPr>
          <w:sz w:val="22"/>
          <w:szCs w:val="22"/>
        </w:rPr>
        <w:t>kov sa vyžaduje, aby hlásili akékoľvek</w:t>
      </w:r>
      <w:r w:rsidRPr="00283E6D">
        <w:rPr>
          <w:sz w:val="22"/>
          <w:szCs w:val="22"/>
        </w:rPr>
        <w:t xml:space="preserve"> podozrenia na nežiaduce </w:t>
      </w:r>
      <w:r w:rsidR="00C63588">
        <w:rPr>
          <w:sz w:val="22"/>
          <w:szCs w:val="22"/>
        </w:rPr>
        <w:t>reakcie</w:t>
      </w:r>
      <w:r w:rsidRPr="00283E6D">
        <w:rPr>
          <w:sz w:val="22"/>
          <w:szCs w:val="22"/>
        </w:rPr>
        <w:t xml:space="preserve"> prostredníctvom </w:t>
      </w:r>
      <w:r w:rsidRPr="00283E6D">
        <w:rPr>
          <w:sz w:val="22"/>
          <w:szCs w:val="22"/>
          <w:highlight w:val="lightGray"/>
        </w:rPr>
        <w:t xml:space="preserve">národného systému </w:t>
      </w:r>
      <w:r w:rsidR="00C63588" w:rsidRPr="00283E6D">
        <w:rPr>
          <w:sz w:val="22"/>
          <w:szCs w:val="22"/>
          <w:highlight w:val="lightGray"/>
        </w:rPr>
        <w:t>hlásenia uvedeného v </w:t>
      </w:r>
      <w:hyperlink r:id="rId8" w:history="1">
        <w:r w:rsidR="0069310A" w:rsidRPr="0069310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69310A">
        <w:rPr>
          <w:sz w:val="22"/>
          <w:szCs w:val="22"/>
          <w:highlight w:val="lightGray"/>
        </w:rPr>
        <w:t>.</w:t>
      </w:r>
    </w:p>
    <w:p w:rsidR="009D3A38" w:rsidRPr="003378EF" w:rsidRDefault="009D3A38" w:rsidP="00E36D94">
      <w:pPr>
        <w:pStyle w:val="tl1"/>
        <w:rPr>
          <w:sz w:val="22"/>
          <w:szCs w:val="22"/>
        </w:rPr>
      </w:pPr>
    </w:p>
    <w:p w:rsidR="00CA02C9" w:rsidRPr="003378EF" w:rsidRDefault="00CA02C9" w:rsidP="00A87714">
      <w:pPr>
        <w:pStyle w:val="tl1"/>
        <w:keepNext/>
        <w:rPr>
          <w:sz w:val="22"/>
          <w:szCs w:val="22"/>
        </w:rPr>
      </w:pPr>
      <w:r w:rsidRPr="003378EF">
        <w:rPr>
          <w:b/>
          <w:sz w:val="22"/>
          <w:szCs w:val="22"/>
        </w:rPr>
        <w:t>4.9</w:t>
      </w:r>
      <w:r w:rsidRPr="003378EF">
        <w:rPr>
          <w:b/>
          <w:sz w:val="22"/>
          <w:szCs w:val="22"/>
        </w:rPr>
        <w:tab/>
        <w:t>Predávkovanie</w:t>
      </w:r>
    </w:p>
    <w:p w:rsidR="00CA02C9" w:rsidRPr="003378EF" w:rsidRDefault="00CA02C9" w:rsidP="00A87714">
      <w:pPr>
        <w:pStyle w:val="tl1"/>
        <w:keepNext/>
        <w:rPr>
          <w:sz w:val="22"/>
          <w:szCs w:val="22"/>
        </w:rPr>
      </w:pPr>
    </w:p>
    <w:p w:rsidR="00A90147" w:rsidRDefault="00A90147" w:rsidP="00E36D94">
      <w:pPr>
        <w:pStyle w:val="tl1"/>
        <w:ind w:left="567" w:hanging="567"/>
        <w:rPr>
          <w:sz w:val="22"/>
          <w:szCs w:val="22"/>
        </w:rPr>
      </w:pPr>
      <w:r w:rsidRPr="00D91C5E">
        <w:rPr>
          <w:sz w:val="22"/>
          <w:szCs w:val="22"/>
        </w:rPr>
        <w:t>Predávkovanie m</w:t>
      </w:r>
      <w:r w:rsidRPr="00DF34D8">
        <w:rPr>
          <w:sz w:val="22"/>
          <w:szCs w:val="22"/>
        </w:rPr>
        <w:t xml:space="preserve">ôže nastať </w:t>
      </w:r>
      <w:r>
        <w:rPr>
          <w:sz w:val="22"/>
          <w:szCs w:val="22"/>
        </w:rPr>
        <w:t>ako dôsledok na</w:t>
      </w:r>
      <w:r w:rsidR="00833DC4">
        <w:rPr>
          <w:sz w:val="22"/>
          <w:szCs w:val="22"/>
        </w:rPr>
        <w:t>z</w:t>
      </w:r>
      <w:r>
        <w:rPr>
          <w:sz w:val="22"/>
          <w:szCs w:val="22"/>
        </w:rPr>
        <w:t>álneho podania ako aj perorálneho.</w:t>
      </w:r>
    </w:p>
    <w:p w:rsidR="00A90147" w:rsidRDefault="00A90147" w:rsidP="00E36D94">
      <w:pPr>
        <w:pStyle w:val="tl1"/>
        <w:ind w:left="567" w:hanging="567"/>
        <w:rPr>
          <w:sz w:val="22"/>
          <w:szCs w:val="22"/>
        </w:rPr>
      </w:pPr>
    </w:p>
    <w:p w:rsidR="00A90147" w:rsidRPr="00A90147" w:rsidRDefault="00A90147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 xml:space="preserve">Predávkovanie môže spôsobiť, </w:t>
      </w:r>
      <w:r w:rsidRPr="00A90147">
        <w:rPr>
          <w:sz w:val="22"/>
          <w:szCs w:val="22"/>
        </w:rPr>
        <w:t>najmä</w:t>
      </w:r>
      <w:r>
        <w:rPr>
          <w:sz w:val="22"/>
          <w:szCs w:val="22"/>
        </w:rPr>
        <w:t xml:space="preserve"> u malých detí, ťažký útlm</w:t>
      </w:r>
      <w:r w:rsidRPr="00A90147">
        <w:rPr>
          <w:sz w:val="22"/>
          <w:szCs w:val="22"/>
        </w:rPr>
        <w:t xml:space="preserve"> centrálneho nervového systému. Klinický obraz po intoxikácii </w:t>
      </w:r>
      <w:proofErr w:type="spellStart"/>
      <w:r>
        <w:rPr>
          <w:sz w:val="22"/>
          <w:szCs w:val="22"/>
        </w:rPr>
        <w:t>imidazolínovými</w:t>
      </w:r>
      <w:proofErr w:type="spellEnd"/>
      <w:r>
        <w:rPr>
          <w:sz w:val="22"/>
          <w:szCs w:val="22"/>
        </w:rPr>
        <w:t xml:space="preserve"> derivátmi môže byť mätúci </w:t>
      </w:r>
      <w:r w:rsidR="00833DC4">
        <w:rPr>
          <w:sz w:val="22"/>
          <w:szCs w:val="22"/>
        </w:rPr>
        <w:t>kvôli</w:t>
      </w:r>
      <w:r>
        <w:rPr>
          <w:sz w:val="22"/>
          <w:szCs w:val="22"/>
        </w:rPr>
        <w:t xml:space="preserve"> striedan</w:t>
      </w:r>
      <w:r w:rsidR="00833DC4">
        <w:rPr>
          <w:sz w:val="22"/>
          <w:szCs w:val="22"/>
        </w:rPr>
        <w:t>iu</w:t>
      </w:r>
      <w:r>
        <w:rPr>
          <w:sz w:val="22"/>
          <w:szCs w:val="22"/>
        </w:rPr>
        <w:t xml:space="preserve"> sa fáz </w:t>
      </w:r>
      <w:proofErr w:type="spellStart"/>
      <w:r w:rsidRPr="00A90147">
        <w:rPr>
          <w:sz w:val="22"/>
          <w:szCs w:val="22"/>
        </w:rPr>
        <w:t>hyperaktivity</w:t>
      </w:r>
      <w:proofErr w:type="spellEnd"/>
      <w:r w:rsidRPr="00A901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fázami </w:t>
      </w:r>
      <w:r w:rsidR="006C2DBF">
        <w:rPr>
          <w:sz w:val="22"/>
          <w:szCs w:val="22"/>
        </w:rPr>
        <w:t>útlmu</w:t>
      </w:r>
      <w:r w:rsidR="006C2DBF" w:rsidRPr="00A90147">
        <w:rPr>
          <w:sz w:val="22"/>
          <w:szCs w:val="22"/>
        </w:rPr>
        <w:t xml:space="preserve"> </w:t>
      </w:r>
      <w:r w:rsidRPr="00A90147">
        <w:rPr>
          <w:sz w:val="22"/>
          <w:szCs w:val="22"/>
        </w:rPr>
        <w:t>centrálneho nervového systému a kardiovaskulárne</w:t>
      </w:r>
      <w:r>
        <w:rPr>
          <w:sz w:val="22"/>
          <w:szCs w:val="22"/>
        </w:rPr>
        <w:t>ho</w:t>
      </w:r>
      <w:r w:rsidRPr="00A9014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dýchacieho </w:t>
      </w:r>
      <w:r w:rsidRPr="00A90147">
        <w:rPr>
          <w:sz w:val="22"/>
          <w:szCs w:val="22"/>
        </w:rPr>
        <w:t>systém</w:t>
      </w:r>
      <w:r>
        <w:rPr>
          <w:sz w:val="22"/>
          <w:szCs w:val="22"/>
        </w:rPr>
        <w:t>u</w:t>
      </w:r>
      <w:r w:rsidRPr="00A90147">
        <w:rPr>
          <w:sz w:val="22"/>
          <w:szCs w:val="22"/>
        </w:rPr>
        <w:t>.</w:t>
      </w:r>
    </w:p>
    <w:p w:rsidR="00A90147" w:rsidRPr="00A90147" w:rsidRDefault="00A90147" w:rsidP="00E36D94">
      <w:pPr>
        <w:pStyle w:val="tl1"/>
        <w:rPr>
          <w:sz w:val="22"/>
          <w:szCs w:val="22"/>
        </w:rPr>
      </w:pPr>
    </w:p>
    <w:p w:rsidR="00336DA2" w:rsidRPr="00A90147" w:rsidRDefault="00A90147" w:rsidP="00E36D94">
      <w:pPr>
        <w:pStyle w:val="tl1"/>
        <w:rPr>
          <w:sz w:val="22"/>
          <w:szCs w:val="22"/>
        </w:rPr>
      </w:pPr>
      <w:r w:rsidRPr="00A90147">
        <w:rPr>
          <w:sz w:val="22"/>
          <w:szCs w:val="22"/>
        </w:rPr>
        <w:t xml:space="preserve">Stimulácia centrálneho </w:t>
      </w:r>
      <w:r w:rsidR="00336DA2">
        <w:rPr>
          <w:sz w:val="22"/>
          <w:szCs w:val="22"/>
        </w:rPr>
        <w:t>nervového systému sa prejavuje</w:t>
      </w:r>
      <w:r w:rsidRPr="00A90147">
        <w:rPr>
          <w:sz w:val="22"/>
          <w:szCs w:val="22"/>
        </w:rPr>
        <w:t xml:space="preserve">: </w:t>
      </w:r>
      <w:r w:rsidR="00336DA2" w:rsidRPr="00A90147">
        <w:rPr>
          <w:sz w:val="22"/>
          <w:szCs w:val="22"/>
        </w:rPr>
        <w:t>úzkosť</w:t>
      </w:r>
      <w:r w:rsidR="00336DA2">
        <w:rPr>
          <w:sz w:val="22"/>
          <w:szCs w:val="22"/>
        </w:rPr>
        <w:t>a</w:t>
      </w:r>
      <w:r w:rsidR="00336DA2" w:rsidRPr="00A90147">
        <w:rPr>
          <w:sz w:val="22"/>
          <w:szCs w:val="22"/>
        </w:rPr>
        <w:t>mi</w:t>
      </w:r>
      <w:r w:rsidRPr="00A90147">
        <w:rPr>
          <w:sz w:val="22"/>
          <w:szCs w:val="22"/>
        </w:rPr>
        <w:t>, nepokoj</w:t>
      </w:r>
      <w:r w:rsidR="00336DA2">
        <w:rPr>
          <w:sz w:val="22"/>
          <w:szCs w:val="22"/>
        </w:rPr>
        <w:t>om, halucináciami, kŕčmi</w:t>
      </w:r>
      <w:r w:rsidRPr="00A90147">
        <w:rPr>
          <w:sz w:val="22"/>
          <w:szCs w:val="22"/>
        </w:rPr>
        <w:t xml:space="preserve">. </w:t>
      </w:r>
      <w:r w:rsidR="006C2DBF">
        <w:rPr>
          <w:sz w:val="22"/>
          <w:szCs w:val="22"/>
        </w:rPr>
        <w:t>Útlm</w:t>
      </w:r>
      <w:r w:rsidR="006C2DBF" w:rsidRPr="00A90147">
        <w:rPr>
          <w:sz w:val="22"/>
          <w:szCs w:val="22"/>
        </w:rPr>
        <w:t xml:space="preserve"> </w:t>
      </w:r>
      <w:r w:rsidRPr="00A90147">
        <w:rPr>
          <w:sz w:val="22"/>
          <w:szCs w:val="22"/>
        </w:rPr>
        <w:t>centrálneho nervového systé</w:t>
      </w:r>
      <w:r w:rsidR="00336DA2">
        <w:rPr>
          <w:sz w:val="22"/>
          <w:szCs w:val="22"/>
        </w:rPr>
        <w:t>mu sa prejavuje: zníženou telesnou teplotou, letargiou</w:t>
      </w:r>
      <w:r w:rsidRPr="00A90147">
        <w:rPr>
          <w:sz w:val="22"/>
          <w:szCs w:val="22"/>
        </w:rPr>
        <w:t>, ospalosť</w:t>
      </w:r>
      <w:r w:rsidR="00336DA2">
        <w:rPr>
          <w:sz w:val="22"/>
          <w:szCs w:val="22"/>
        </w:rPr>
        <w:t>ou, kómou. Ďalšie príznaky môžu byť</w:t>
      </w:r>
      <w:r w:rsidRPr="00A90147">
        <w:rPr>
          <w:sz w:val="22"/>
          <w:szCs w:val="22"/>
        </w:rPr>
        <w:t xml:space="preserve"> zúženie zreníc, </w:t>
      </w:r>
      <w:proofErr w:type="spellStart"/>
      <w:r w:rsidRPr="00A90147">
        <w:rPr>
          <w:sz w:val="22"/>
          <w:szCs w:val="22"/>
        </w:rPr>
        <w:t>mydriáza</w:t>
      </w:r>
      <w:proofErr w:type="spellEnd"/>
      <w:r w:rsidRPr="00A90147">
        <w:rPr>
          <w:sz w:val="22"/>
          <w:szCs w:val="22"/>
        </w:rPr>
        <w:t xml:space="preserve">, potenie, bledosť, </w:t>
      </w:r>
      <w:proofErr w:type="spellStart"/>
      <w:r w:rsidRPr="00A90147">
        <w:rPr>
          <w:sz w:val="22"/>
          <w:szCs w:val="22"/>
        </w:rPr>
        <w:t>cyanóza</w:t>
      </w:r>
      <w:proofErr w:type="spellEnd"/>
      <w:r w:rsidRPr="00A90147">
        <w:rPr>
          <w:sz w:val="22"/>
          <w:szCs w:val="22"/>
        </w:rPr>
        <w:t xml:space="preserve">, </w:t>
      </w:r>
      <w:proofErr w:type="spellStart"/>
      <w:r w:rsidRPr="00A90147">
        <w:rPr>
          <w:sz w:val="22"/>
          <w:szCs w:val="22"/>
        </w:rPr>
        <w:t>tachykardia</w:t>
      </w:r>
      <w:proofErr w:type="spellEnd"/>
      <w:r w:rsidRPr="00A90147">
        <w:rPr>
          <w:sz w:val="22"/>
          <w:szCs w:val="22"/>
        </w:rPr>
        <w:t xml:space="preserve"> a </w:t>
      </w:r>
      <w:proofErr w:type="spellStart"/>
      <w:r w:rsidRPr="00A90147">
        <w:rPr>
          <w:sz w:val="22"/>
          <w:szCs w:val="22"/>
        </w:rPr>
        <w:t>apnoe</w:t>
      </w:r>
      <w:proofErr w:type="spellEnd"/>
      <w:r w:rsidRPr="00A90147">
        <w:rPr>
          <w:sz w:val="22"/>
          <w:szCs w:val="22"/>
        </w:rPr>
        <w:t xml:space="preserve">. Ak prevládajú centrálne </w:t>
      </w:r>
      <w:r w:rsidR="00336DA2">
        <w:rPr>
          <w:sz w:val="22"/>
          <w:szCs w:val="22"/>
        </w:rPr>
        <w:t>účinky, najmä u detí bradykardia</w:t>
      </w:r>
      <w:r w:rsidRPr="00A90147">
        <w:rPr>
          <w:sz w:val="22"/>
          <w:szCs w:val="22"/>
        </w:rPr>
        <w:t xml:space="preserve"> a </w:t>
      </w:r>
      <w:r w:rsidR="002151E2">
        <w:rPr>
          <w:sz w:val="22"/>
          <w:szCs w:val="22"/>
        </w:rPr>
        <w:t>hypertenzi</w:t>
      </w:r>
      <w:r w:rsidR="00833DC4">
        <w:rPr>
          <w:sz w:val="22"/>
          <w:szCs w:val="22"/>
        </w:rPr>
        <w:t>a</w:t>
      </w:r>
      <w:r w:rsidRPr="00A90147">
        <w:rPr>
          <w:sz w:val="22"/>
          <w:szCs w:val="22"/>
        </w:rPr>
        <w:t>, mož</w:t>
      </w:r>
      <w:r w:rsidR="00336DA2">
        <w:rPr>
          <w:sz w:val="22"/>
          <w:szCs w:val="22"/>
        </w:rPr>
        <w:t>no pozorovať následn</w:t>
      </w:r>
      <w:r w:rsidR="00833DC4">
        <w:rPr>
          <w:sz w:val="22"/>
          <w:szCs w:val="22"/>
        </w:rPr>
        <w:t>ú</w:t>
      </w:r>
      <w:r w:rsidR="00336DA2">
        <w:rPr>
          <w:sz w:val="22"/>
          <w:szCs w:val="22"/>
        </w:rPr>
        <w:t xml:space="preserve"> hypotenziu</w:t>
      </w:r>
      <w:r w:rsidRPr="00A90147">
        <w:rPr>
          <w:sz w:val="22"/>
          <w:szCs w:val="22"/>
        </w:rPr>
        <w:t>.</w:t>
      </w:r>
    </w:p>
    <w:p w:rsidR="00303534" w:rsidRDefault="00303534" w:rsidP="00E36D94">
      <w:pPr>
        <w:pStyle w:val="tl1"/>
        <w:rPr>
          <w:sz w:val="22"/>
          <w:szCs w:val="22"/>
        </w:rPr>
      </w:pPr>
    </w:p>
    <w:p w:rsidR="00A90147" w:rsidRPr="00A90147" w:rsidRDefault="00833DC4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>Keďže</w:t>
      </w:r>
      <w:r w:rsidR="00336DA2">
        <w:rPr>
          <w:sz w:val="22"/>
          <w:szCs w:val="22"/>
        </w:rPr>
        <w:t xml:space="preserve"> sa </w:t>
      </w:r>
      <w:proofErr w:type="spellStart"/>
      <w:r w:rsidR="00336DA2">
        <w:rPr>
          <w:sz w:val="22"/>
          <w:szCs w:val="22"/>
        </w:rPr>
        <w:t>xylometazolín</w:t>
      </w:r>
      <w:proofErr w:type="spellEnd"/>
      <w:r w:rsidR="00336DA2">
        <w:rPr>
          <w:sz w:val="22"/>
          <w:szCs w:val="22"/>
        </w:rPr>
        <w:t xml:space="preserve"> môže rýchlo vstrebať, má sa podať aktívne uhlie (</w:t>
      </w:r>
      <w:proofErr w:type="spellStart"/>
      <w:r w:rsidR="00336DA2">
        <w:rPr>
          <w:sz w:val="22"/>
          <w:szCs w:val="22"/>
        </w:rPr>
        <w:t>adsorbent</w:t>
      </w:r>
      <w:proofErr w:type="spellEnd"/>
      <w:r w:rsidR="00336DA2">
        <w:rPr>
          <w:sz w:val="22"/>
          <w:szCs w:val="22"/>
        </w:rPr>
        <w:t>) a síran sodný</w:t>
      </w:r>
      <w:r w:rsidR="00A90147" w:rsidRPr="00A90147">
        <w:rPr>
          <w:sz w:val="22"/>
          <w:szCs w:val="22"/>
        </w:rPr>
        <w:t xml:space="preserve"> (</w:t>
      </w:r>
      <w:proofErr w:type="spellStart"/>
      <w:r w:rsidR="00A90147" w:rsidRPr="00A90147">
        <w:rPr>
          <w:sz w:val="22"/>
          <w:szCs w:val="22"/>
        </w:rPr>
        <w:t>laxatívum</w:t>
      </w:r>
      <w:proofErr w:type="spellEnd"/>
      <w:r w:rsidR="00A90147" w:rsidRPr="00A90147">
        <w:rPr>
          <w:sz w:val="22"/>
          <w:szCs w:val="22"/>
        </w:rPr>
        <w:t xml:space="preserve">) alebo </w:t>
      </w:r>
      <w:r w:rsidR="00336DA2">
        <w:rPr>
          <w:sz w:val="22"/>
          <w:szCs w:val="22"/>
        </w:rPr>
        <w:t xml:space="preserve">sa má </w:t>
      </w:r>
      <w:r w:rsidR="00A90147" w:rsidRPr="00A90147">
        <w:rPr>
          <w:sz w:val="22"/>
          <w:szCs w:val="22"/>
        </w:rPr>
        <w:t xml:space="preserve">prípadne </w:t>
      </w:r>
      <w:r w:rsidR="00336DA2">
        <w:rPr>
          <w:sz w:val="22"/>
          <w:szCs w:val="22"/>
        </w:rPr>
        <w:t xml:space="preserve">vykonať </w:t>
      </w:r>
      <w:r w:rsidR="00A90147" w:rsidRPr="00A90147">
        <w:rPr>
          <w:sz w:val="22"/>
          <w:szCs w:val="22"/>
        </w:rPr>
        <w:t xml:space="preserve">výplach žalúdka s </w:t>
      </w:r>
      <w:r w:rsidR="00A90147" w:rsidRPr="00A87714">
        <w:rPr>
          <w:sz w:val="22"/>
          <w:szCs w:val="22"/>
        </w:rPr>
        <w:t>veľkým množstvom</w:t>
      </w:r>
      <w:r w:rsidR="006C2DBF">
        <w:rPr>
          <w:sz w:val="22"/>
          <w:szCs w:val="22"/>
        </w:rPr>
        <w:t xml:space="preserve"> tekutiny</w:t>
      </w:r>
      <w:r w:rsidR="00336DA2">
        <w:rPr>
          <w:sz w:val="22"/>
          <w:szCs w:val="22"/>
        </w:rPr>
        <w:t xml:space="preserve">. </w:t>
      </w:r>
      <w:r w:rsidR="00A90147" w:rsidRPr="00A90147">
        <w:rPr>
          <w:sz w:val="22"/>
          <w:szCs w:val="22"/>
        </w:rPr>
        <w:t xml:space="preserve">Pri závažnom predávkovaní </w:t>
      </w:r>
      <w:r w:rsidR="00C45A79">
        <w:rPr>
          <w:sz w:val="22"/>
          <w:szCs w:val="22"/>
        </w:rPr>
        <w:t xml:space="preserve">je indikovaná </w:t>
      </w:r>
      <w:r w:rsidR="00A90147" w:rsidRPr="00A90147">
        <w:rPr>
          <w:sz w:val="22"/>
          <w:szCs w:val="22"/>
        </w:rPr>
        <w:t xml:space="preserve">hospitalizácia </w:t>
      </w:r>
      <w:r w:rsidR="00C45A79">
        <w:rPr>
          <w:sz w:val="22"/>
          <w:szCs w:val="22"/>
        </w:rPr>
        <w:t xml:space="preserve">na </w:t>
      </w:r>
      <w:r w:rsidR="00A90147" w:rsidRPr="00A90147">
        <w:rPr>
          <w:sz w:val="22"/>
          <w:szCs w:val="22"/>
        </w:rPr>
        <w:t xml:space="preserve">jednotke intenzívnej starostlivosti. Ako </w:t>
      </w:r>
      <w:proofErr w:type="spellStart"/>
      <w:r w:rsidR="00C45A79">
        <w:rPr>
          <w:sz w:val="22"/>
          <w:szCs w:val="22"/>
        </w:rPr>
        <w:t>antidótum</w:t>
      </w:r>
      <w:proofErr w:type="spellEnd"/>
      <w:r w:rsidR="00C45A79">
        <w:rPr>
          <w:sz w:val="22"/>
          <w:szCs w:val="22"/>
        </w:rPr>
        <w:t xml:space="preserve"> </w:t>
      </w:r>
      <w:r w:rsidR="006C2DBF">
        <w:rPr>
          <w:sz w:val="22"/>
          <w:szCs w:val="22"/>
        </w:rPr>
        <w:t>môž</w:t>
      </w:r>
      <w:r w:rsidR="004C3AAA">
        <w:rPr>
          <w:sz w:val="22"/>
          <w:szCs w:val="22"/>
        </w:rPr>
        <w:t>u byť podané</w:t>
      </w:r>
      <w:r w:rsidR="006C2DBF">
        <w:rPr>
          <w:sz w:val="22"/>
          <w:szCs w:val="22"/>
        </w:rPr>
        <w:t xml:space="preserve"> </w:t>
      </w:r>
      <w:r w:rsidR="00A90147" w:rsidRPr="00A90147">
        <w:rPr>
          <w:sz w:val="22"/>
          <w:szCs w:val="22"/>
        </w:rPr>
        <w:t>neselektívn</w:t>
      </w:r>
      <w:r w:rsidR="004C3AAA">
        <w:rPr>
          <w:sz w:val="22"/>
          <w:szCs w:val="22"/>
        </w:rPr>
        <w:t>e</w:t>
      </w:r>
      <w:r w:rsidR="00A90147" w:rsidRPr="00A90147">
        <w:rPr>
          <w:sz w:val="22"/>
          <w:szCs w:val="22"/>
        </w:rPr>
        <w:t xml:space="preserve"> </w:t>
      </w:r>
      <w:proofErr w:type="spellStart"/>
      <w:r w:rsidR="00A90147" w:rsidRPr="00A90147">
        <w:rPr>
          <w:sz w:val="22"/>
          <w:szCs w:val="22"/>
        </w:rPr>
        <w:t>alfa</w:t>
      </w:r>
      <w:r w:rsidR="006C2DBF">
        <w:rPr>
          <w:sz w:val="22"/>
          <w:szCs w:val="22"/>
        </w:rPr>
        <w:t>-</w:t>
      </w:r>
      <w:r w:rsidR="00A90147" w:rsidRPr="00A90147">
        <w:rPr>
          <w:sz w:val="22"/>
          <w:szCs w:val="22"/>
        </w:rPr>
        <w:t>sympatolyti</w:t>
      </w:r>
      <w:r w:rsidR="004C3AAA">
        <w:rPr>
          <w:sz w:val="22"/>
          <w:szCs w:val="22"/>
        </w:rPr>
        <w:t>ká</w:t>
      </w:r>
      <w:proofErr w:type="spellEnd"/>
      <w:r w:rsidR="00A90147" w:rsidRPr="00A90147">
        <w:rPr>
          <w:sz w:val="22"/>
          <w:szCs w:val="22"/>
        </w:rPr>
        <w:t xml:space="preserve">, </w:t>
      </w:r>
      <w:r w:rsidR="00C45A79">
        <w:rPr>
          <w:sz w:val="22"/>
          <w:szCs w:val="22"/>
        </w:rPr>
        <w:t xml:space="preserve">napr. </w:t>
      </w:r>
      <w:proofErr w:type="spellStart"/>
      <w:r w:rsidR="00C45A79">
        <w:rPr>
          <w:sz w:val="22"/>
          <w:szCs w:val="22"/>
        </w:rPr>
        <w:t>fentolamín</w:t>
      </w:r>
      <w:proofErr w:type="spellEnd"/>
      <w:r w:rsidR="00C45A79">
        <w:rPr>
          <w:sz w:val="22"/>
          <w:szCs w:val="22"/>
        </w:rPr>
        <w:t xml:space="preserve">. </w:t>
      </w:r>
    </w:p>
    <w:p w:rsidR="00303534" w:rsidRDefault="00303534" w:rsidP="00E36D94">
      <w:pPr>
        <w:pStyle w:val="tl1"/>
        <w:rPr>
          <w:sz w:val="22"/>
          <w:szCs w:val="22"/>
        </w:rPr>
      </w:pPr>
    </w:p>
    <w:p w:rsidR="00A90147" w:rsidRPr="00A90147" w:rsidRDefault="00A90147" w:rsidP="00E36D94">
      <w:pPr>
        <w:pStyle w:val="tl1"/>
        <w:rPr>
          <w:sz w:val="22"/>
          <w:szCs w:val="22"/>
        </w:rPr>
      </w:pPr>
      <w:proofErr w:type="spellStart"/>
      <w:r w:rsidRPr="00A90147">
        <w:rPr>
          <w:sz w:val="22"/>
          <w:szCs w:val="22"/>
        </w:rPr>
        <w:t>Naloxón</w:t>
      </w:r>
      <w:proofErr w:type="spellEnd"/>
      <w:r w:rsidRPr="00A90147">
        <w:rPr>
          <w:sz w:val="22"/>
          <w:szCs w:val="22"/>
        </w:rPr>
        <w:t xml:space="preserve"> </w:t>
      </w:r>
      <w:r w:rsidR="00C45A79">
        <w:rPr>
          <w:sz w:val="22"/>
          <w:szCs w:val="22"/>
        </w:rPr>
        <w:t xml:space="preserve">by mohol </w:t>
      </w:r>
      <w:r w:rsidRPr="00A90147">
        <w:rPr>
          <w:sz w:val="22"/>
          <w:szCs w:val="22"/>
        </w:rPr>
        <w:t xml:space="preserve">mať vplyv na </w:t>
      </w:r>
      <w:r w:rsidR="006C2DBF">
        <w:rPr>
          <w:sz w:val="22"/>
          <w:szCs w:val="22"/>
        </w:rPr>
        <w:t>útlm</w:t>
      </w:r>
      <w:r w:rsidR="006C2DBF" w:rsidRPr="00A90147">
        <w:rPr>
          <w:sz w:val="22"/>
          <w:szCs w:val="22"/>
        </w:rPr>
        <w:t xml:space="preserve"> </w:t>
      </w:r>
      <w:r w:rsidRPr="00A90147">
        <w:rPr>
          <w:sz w:val="22"/>
          <w:szCs w:val="22"/>
        </w:rPr>
        <w:t>centrálneho nervového systému u pacientov s ťažkou intoxik</w:t>
      </w:r>
      <w:r w:rsidR="00C45A79">
        <w:rPr>
          <w:sz w:val="22"/>
          <w:szCs w:val="22"/>
        </w:rPr>
        <w:t>áciou. Avšak, vplyv</w:t>
      </w:r>
      <w:r w:rsidRPr="00A90147">
        <w:rPr>
          <w:sz w:val="22"/>
          <w:szCs w:val="22"/>
        </w:rPr>
        <w:t xml:space="preserve"> nebol doteraz </w:t>
      </w:r>
      <w:r w:rsidR="00C45A79">
        <w:rPr>
          <w:sz w:val="22"/>
          <w:szCs w:val="22"/>
        </w:rPr>
        <w:t xml:space="preserve">klinicky stanovený. </w:t>
      </w:r>
      <w:proofErr w:type="spellStart"/>
      <w:r w:rsidR="00C45A79">
        <w:rPr>
          <w:sz w:val="22"/>
          <w:szCs w:val="22"/>
        </w:rPr>
        <w:t>Vazopresory</w:t>
      </w:r>
      <w:proofErr w:type="spellEnd"/>
      <w:r w:rsidRPr="00A90147">
        <w:rPr>
          <w:sz w:val="22"/>
          <w:szCs w:val="22"/>
        </w:rPr>
        <w:t xml:space="preserve"> sú kontraindikované.</w:t>
      </w:r>
    </w:p>
    <w:p w:rsidR="00A90147" w:rsidRPr="00A90147" w:rsidRDefault="00A90147" w:rsidP="00E36D94">
      <w:pPr>
        <w:pStyle w:val="tl1"/>
        <w:rPr>
          <w:sz w:val="22"/>
          <w:szCs w:val="22"/>
        </w:rPr>
      </w:pPr>
    </w:p>
    <w:p w:rsidR="00A90147" w:rsidRDefault="00A90147" w:rsidP="00E36D94">
      <w:pPr>
        <w:pStyle w:val="tl1"/>
        <w:rPr>
          <w:sz w:val="22"/>
          <w:szCs w:val="22"/>
        </w:rPr>
      </w:pPr>
      <w:r w:rsidRPr="00A90147">
        <w:rPr>
          <w:sz w:val="22"/>
          <w:szCs w:val="22"/>
        </w:rPr>
        <w:t>Ďalšia liečba pod lekárskym dohľadom je podporná a symptomatická.</w:t>
      </w:r>
    </w:p>
    <w:p w:rsidR="00336DA2" w:rsidRDefault="00336DA2" w:rsidP="00A90147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b/>
          <w:sz w:val="22"/>
          <w:szCs w:val="22"/>
        </w:rPr>
      </w:pPr>
      <w:r w:rsidRPr="003378EF">
        <w:rPr>
          <w:b/>
          <w:caps/>
          <w:sz w:val="22"/>
          <w:szCs w:val="22"/>
        </w:rPr>
        <w:t>5.</w:t>
      </w:r>
      <w:r w:rsidRPr="003378EF">
        <w:rPr>
          <w:b/>
          <w:caps/>
          <w:sz w:val="22"/>
          <w:szCs w:val="22"/>
        </w:rPr>
        <w:tab/>
        <w:t>farmakologické vlastnosti</w:t>
      </w:r>
    </w:p>
    <w:p w:rsidR="00CA02C9" w:rsidRPr="003378EF" w:rsidRDefault="00CA02C9" w:rsidP="00283E6D">
      <w:pPr>
        <w:pStyle w:val="tl1"/>
        <w:jc w:val="left"/>
        <w:rPr>
          <w:b/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5.1</w:t>
      </w:r>
      <w:r w:rsidRPr="003378EF">
        <w:rPr>
          <w:b/>
          <w:sz w:val="22"/>
          <w:szCs w:val="22"/>
        </w:rPr>
        <w:tab/>
      </w:r>
      <w:proofErr w:type="spellStart"/>
      <w:r w:rsidRPr="003378EF">
        <w:rPr>
          <w:b/>
          <w:sz w:val="22"/>
          <w:szCs w:val="22"/>
        </w:rPr>
        <w:t>Farmakodynamické</w:t>
      </w:r>
      <w:proofErr w:type="spellEnd"/>
      <w:r w:rsidRPr="003378EF">
        <w:rPr>
          <w:b/>
          <w:sz w:val="22"/>
          <w:szCs w:val="22"/>
        </w:rPr>
        <w:t xml:space="preserve"> vlastnosti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CA02C9" w:rsidRDefault="00CA02C9" w:rsidP="00A87714">
      <w:pPr>
        <w:pStyle w:val="tl1"/>
        <w:rPr>
          <w:sz w:val="22"/>
          <w:szCs w:val="22"/>
        </w:rPr>
      </w:pPr>
      <w:proofErr w:type="spellStart"/>
      <w:r w:rsidRPr="002A187F">
        <w:rPr>
          <w:sz w:val="22"/>
          <w:szCs w:val="22"/>
        </w:rPr>
        <w:t>Farmakoterapeutická</w:t>
      </w:r>
      <w:proofErr w:type="spellEnd"/>
      <w:r w:rsidRPr="002A187F">
        <w:rPr>
          <w:sz w:val="22"/>
          <w:szCs w:val="22"/>
        </w:rPr>
        <w:t xml:space="preserve"> skupina</w:t>
      </w:r>
      <w:r w:rsidR="002A187F">
        <w:rPr>
          <w:sz w:val="22"/>
          <w:szCs w:val="22"/>
        </w:rPr>
        <w:t xml:space="preserve">: </w:t>
      </w:r>
      <w:proofErr w:type="spellStart"/>
      <w:r w:rsidR="002A187F">
        <w:rPr>
          <w:sz w:val="22"/>
          <w:szCs w:val="22"/>
        </w:rPr>
        <w:t>d</w:t>
      </w:r>
      <w:r w:rsidR="002A187F" w:rsidRPr="002A187F">
        <w:rPr>
          <w:sz w:val="22"/>
          <w:szCs w:val="22"/>
        </w:rPr>
        <w:t>ekongestíva</w:t>
      </w:r>
      <w:proofErr w:type="spellEnd"/>
      <w:r w:rsidR="002A187F" w:rsidRPr="002A187F">
        <w:rPr>
          <w:sz w:val="22"/>
          <w:szCs w:val="22"/>
        </w:rPr>
        <w:t xml:space="preserve"> a iné no</w:t>
      </w:r>
      <w:r w:rsidR="002A187F">
        <w:rPr>
          <w:sz w:val="22"/>
          <w:szCs w:val="22"/>
        </w:rPr>
        <w:t xml:space="preserve">sové liečivá na lokálne použitie, </w:t>
      </w:r>
      <w:proofErr w:type="spellStart"/>
      <w:r w:rsidR="002A187F">
        <w:rPr>
          <w:sz w:val="22"/>
          <w:szCs w:val="22"/>
        </w:rPr>
        <w:t>s</w:t>
      </w:r>
      <w:r w:rsidR="002A187F" w:rsidRPr="002A187F">
        <w:rPr>
          <w:sz w:val="22"/>
          <w:szCs w:val="22"/>
        </w:rPr>
        <w:t>ympatomimetiká</w:t>
      </w:r>
      <w:proofErr w:type="spellEnd"/>
      <w:r w:rsidR="002A187F" w:rsidRPr="002A187F">
        <w:rPr>
          <w:sz w:val="22"/>
          <w:szCs w:val="22"/>
        </w:rPr>
        <w:t xml:space="preserve"> samotné</w:t>
      </w:r>
      <w:r w:rsidR="002A187F">
        <w:rPr>
          <w:sz w:val="22"/>
          <w:szCs w:val="22"/>
        </w:rPr>
        <w:t xml:space="preserve">, </w:t>
      </w:r>
      <w:r w:rsidRPr="003378EF">
        <w:rPr>
          <w:sz w:val="22"/>
          <w:szCs w:val="22"/>
        </w:rPr>
        <w:t xml:space="preserve">ATC kód: R01AA07 </w:t>
      </w:r>
    </w:p>
    <w:p w:rsidR="002A187F" w:rsidRDefault="002A187F" w:rsidP="00283E6D">
      <w:pPr>
        <w:pStyle w:val="tl1"/>
        <w:jc w:val="left"/>
        <w:rPr>
          <w:sz w:val="22"/>
          <w:szCs w:val="22"/>
        </w:rPr>
      </w:pPr>
    </w:p>
    <w:p w:rsidR="002A187F" w:rsidRPr="003378EF" w:rsidRDefault="002A187F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  <w:proofErr w:type="spellStart"/>
      <w:r w:rsidRPr="00D9532D">
        <w:rPr>
          <w:sz w:val="22"/>
          <w:szCs w:val="22"/>
        </w:rPr>
        <w:t>Xylometazolín</w:t>
      </w:r>
      <w:proofErr w:type="spellEnd"/>
      <w:r>
        <w:rPr>
          <w:sz w:val="22"/>
          <w:szCs w:val="22"/>
        </w:rPr>
        <w:t xml:space="preserve"> </w:t>
      </w:r>
      <w:r w:rsidRPr="00283E6D">
        <w:rPr>
          <w:sz w:val="22"/>
          <w:szCs w:val="22"/>
        </w:rPr>
        <w:t xml:space="preserve">je </w:t>
      </w:r>
      <w:proofErr w:type="spellStart"/>
      <w:r w:rsidR="00AA5677">
        <w:rPr>
          <w:sz w:val="22"/>
          <w:szCs w:val="22"/>
        </w:rPr>
        <w:t>alfa-</w:t>
      </w:r>
      <w:r w:rsidRPr="00283E6D">
        <w:rPr>
          <w:sz w:val="22"/>
          <w:szCs w:val="22"/>
        </w:rPr>
        <w:t>sympatomi</w:t>
      </w:r>
      <w:r w:rsidR="00AA5677">
        <w:rPr>
          <w:sz w:val="22"/>
          <w:szCs w:val="22"/>
        </w:rPr>
        <w:t>metikum</w:t>
      </w:r>
      <w:proofErr w:type="spellEnd"/>
      <w:r>
        <w:rPr>
          <w:sz w:val="22"/>
          <w:szCs w:val="22"/>
        </w:rPr>
        <w:t xml:space="preserve">. </w:t>
      </w:r>
      <w:proofErr w:type="spellStart"/>
      <w:r w:rsidRPr="002A187F">
        <w:rPr>
          <w:sz w:val="22"/>
          <w:szCs w:val="22"/>
        </w:rPr>
        <w:t>Xylometazolíniumchlorid</w:t>
      </w:r>
      <w:proofErr w:type="spellEnd"/>
      <w:r>
        <w:rPr>
          <w:sz w:val="22"/>
          <w:szCs w:val="22"/>
        </w:rPr>
        <w:t xml:space="preserve">, určený </w:t>
      </w:r>
      <w:r w:rsidR="00A87714">
        <w:rPr>
          <w:sz w:val="22"/>
          <w:szCs w:val="22"/>
        </w:rPr>
        <w:t>na</w:t>
      </w:r>
      <w:r w:rsidR="006C2DBF">
        <w:rPr>
          <w:sz w:val="22"/>
          <w:szCs w:val="22"/>
        </w:rPr>
        <w:t xml:space="preserve"> nazálne </w:t>
      </w:r>
      <w:r>
        <w:rPr>
          <w:sz w:val="22"/>
          <w:szCs w:val="22"/>
        </w:rPr>
        <w:t>podanie</w:t>
      </w:r>
      <w:r w:rsidRPr="002A187F">
        <w:rPr>
          <w:sz w:val="22"/>
          <w:szCs w:val="22"/>
        </w:rPr>
        <w:t xml:space="preserve">, má </w:t>
      </w:r>
      <w:proofErr w:type="spellStart"/>
      <w:r w:rsidRPr="002A187F">
        <w:rPr>
          <w:sz w:val="22"/>
          <w:szCs w:val="22"/>
        </w:rPr>
        <w:t>vazokonstrikčný</w:t>
      </w:r>
      <w:proofErr w:type="spellEnd"/>
      <w:r w:rsidRPr="002A187F">
        <w:rPr>
          <w:sz w:val="22"/>
          <w:szCs w:val="22"/>
        </w:rPr>
        <w:t xml:space="preserve"> účinok, </w:t>
      </w:r>
      <w:r>
        <w:rPr>
          <w:sz w:val="22"/>
          <w:szCs w:val="22"/>
        </w:rPr>
        <w:t xml:space="preserve">ktorý spôsobuje </w:t>
      </w:r>
      <w:proofErr w:type="spellStart"/>
      <w:r>
        <w:rPr>
          <w:sz w:val="22"/>
          <w:szCs w:val="22"/>
        </w:rPr>
        <w:t>dekongesciu</w:t>
      </w:r>
      <w:proofErr w:type="spellEnd"/>
      <w:r>
        <w:rPr>
          <w:sz w:val="22"/>
          <w:szCs w:val="22"/>
        </w:rPr>
        <w:t xml:space="preserve"> </w:t>
      </w:r>
      <w:r w:rsidRPr="002A187F">
        <w:rPr>
          <w:sz w:val="22"/>
          <w:szCs w:val="22"/>
        </w:rPr>
        <w:t>nos</w:t>
      </w:r>
      <w:r w:rsidR="004531C3">
        <w:rPr>
          <w:sz w:val="22"/>
          <w:szCs w:val="22"/>
        </w:rPr>
        <w:t>ov</w:t>
      </w:r>
      <w:r w:rsidRPr="002A187F">
        <w:rPr>
          <w:sz w:val="22"/>
          <w:szCs w:val="22"/>
        </w:rPr>
        <w:t>ej sliznice</w:t>
      </w:r>
      <w:r w:rsidRPr="008C5A93">
        <w:rPr>
          <w:sz w:val="22"/>
          <w:szCs w:val="22"/>
        </w:rPr>
        <w:t>. Zlepší sa</w:t>
      </w:r>
      <w:r w:rsidR="00E5531F" w:rsidRPr="008C5A93">
        <w:rPr>
          <w:sz w:val="22"/>
          <w:szCs w:val="22"/>
        </w:rPr>
        <w:t xml:space="preserve"> tak</w:t>
      </w:r>
      <w:r w:rsidRPr="008C5A93">
        <w:rPr>
          <w:sz w:val="22"/>
          <w:szCs w:val="22"/>
        </w:rPr>
        <w:t xml:space="preserve"> prekrvenie nosa a pacient</w:t>
      </w:r>
      <w:r w:rsidRPr="002A187F">
        <w:rPr>
          <w:sz w:val="22"/>
          <w:szCs w:val="22"/>
        </w:rPr>
        <w:t xml:space="preserve"> môže</w:t>
      </w:r>
      <w:r>
        <w:rPr>
          <w:sz w:val="22"/>
          <w:szCs w:val="22"/>
        </w:rPr>
        <w:t xml:space="preserve"> </w:t>
      </w:r>
      <w:r w:rsidR="004531C3">
        <w:rPr>
          <w:sz w:val="22"/>
          <w:szCs w:val="22"/>
        </w:rPr>
        <w:t>ľahšie</w:t>
      </w:r>
      <w:r w:rsidR="00E5531F">
        <w:rPr>
          <w:sz w:val="22"/>
          <w:szCs w:val="22"/>
        </w:rPr>
        <w:t xml:space="preserve"> dýchať</w:t>
      </w:r>
      <w:r w:rsidR="004531C3">
        <w:rPr>
          <w:sz w:val="22"/>
          <w:szCs w:val="22"/>
        </w:rPr>
        <w:t xml:space="preserve"> cez nos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Xylometazolínium</w:t>
      </w:r>
      <w:r w:rsidR="00E5531F">
        <w:rPr>
          <w:sz w:val="22"/>
          <w:szCs w:val="22"/>
        </w:rPr>
        <w:t>chlorid</w:t>
      </w:r>
      <w:proofErr w:type="spellEnd"/>
      <w:r>
        <w:rPr>
          <w:sz w:val="22"/>
          <w:szCs w:val="22"/>
        </w:rPr>
        <w:t xml:space="preserve"> začne účinkovať do </w:t>
      </w:r>
      <w:r w:rsidRPr="002A187F">
        <w:rPr>
          <w:sz w:val="22"/>
          <w:szCs w:val="22"/>
        </w:rPr>
        <w:t>5 až 10 minút</w:t>
      </w:r>
      <w:r>
        <w:rPr>
          <w:sz w:val="22"/>
          <w:szCs w:val="22"/>
        </w:rPr>
        <w:t xml:space="preserve"> po podaní</w:t>
      </w:r>
      <w:r w:rsidRPr="002A187F">
        <w:rPr>
          <w:sz w:val="22"/>
          <w:szCs w:val="22"/>
        </w:rPr>
        <w:t xml:space="preserve"> a </w:t>
      </w:r>
      <w:r>
        <w:rPr>
          <w:sz w:val="22"/>
          <w:szCs w:val="22"/>
        </w:rPr>
        <w:t>pretrváva</w:t>
      </w:r>
      <w:r w:rsidRPr="002A187F">
        <w:rPr>
          <w:sz w:val="22"/>
          <w:szCs w:val="22"/>
        </w:rPr>
        <w:t xml:space="preserve"> po dobu niekoľkých hodín.</w:t>
      </w:r>
    </w:p>
    <w:p w:rsidR="00E5531F" w:rsidRPr="003378EF" w:rsidRDefault="00E5531F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CA02C9" w:rsidRPr="003378EF" w:rsidRDefault="00CA02C9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  <w:r w:rsidRPr="003378EF">
        <w:rPr>
          <w:b/>
          <w:sz w:val="22"/>
          <w:szCs w:val="22"/>
        </w:rPr>
        <w:t>5.2</w:t>
      </w:r>
      <w:r w:rsidRPr="003378EF">
        <w:rPr>
          <w:b/>
          <w:sz w:val="22"/>
          <w:szCs w:val="22"/>
        </w:rPr>
        <w:tab/>
      </w:r>
      <w:proofErr w:type="spellStart"/>
      <w:r w:rsidRPr="003378EF">
        <w:rPr>
          <w:b/>
          <w:sz w:val="22"/>
          <w:szCs w:val="22"/>
        </w:rPr>
        <w:t>Farmakokinetické</w:t>
      </w:r>
      <w:proofErr w:type="spellEnd"/>
      <w:r w:rsidRPr="003378EF">
        <w:rPr>
          <w:b/>
          <w:sz w:val="22"/>
          <w:szCs w:val="22"/>
        </w:rPr>
        <w:t xml:space="preserve"> vlastnosti</w:t>
      </w:r>
    </w:p>
    <w:p w:rsidR="00CA02C9" w:rsidRPr="003378EF" w:rsidRDefault="00CA02C9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E5531F" w:rsidRPr="00E5531F" w:rsidRDefault="00E5531F" w:rsidP="00E36D94">
      <w:pPr>
        <w:pStyle w:val="tl1"/>
        <w:tabs>
          <w:tab w:val="left" w:pos="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Xylometazolín</w:t>
      </w:r>
      <w:proofErr w:type="spellEnd"/>
      <w:r>
        <w:rPr>
          <w:sz w:val="22"/>
          <w:szCs w:val="22"/>
        </w:rPr>
        <w:t xml:space="preserve"> </w:t>
      </w:r>
      <w:r w:rsidRPr="00E5531F">
        <w:rPr>
          <w:sz w:val="22"/>
          <w:szCs w:val="22"/>
        </w:rPr>
        <w:t>začína</w:t>
      </w:r>
      <w:r>
        <w:rPr>
          <w:sz w:val="22"/>
          <w:szCs w:val="22"/>
        </w:rPr>
        <w:t xml:space="preserve"> účinkovať</w:t>
      </w:r>
      <w:r w:rsidRPr="00E5531F">
        <w:rPr>
          <w:sz w:val="22"/>
          <w:szCs w:val="22"/>
        </w:rPr>
        <w:t xml:space="preserve"> v priebehu niekoľkých minút a</w:t>
      </w:r>
      <w:r w:rsidR="00B52368">
        <w:rPr>
          <w:sz w:val="22"/>
          <w:szCs w:val="22"/>
        </w:rPr>
        <w:t xml:space="preserve"> účinok </w:t>
      </w:r>
      <w:r>
        <w:rPr>
          <w:sz w:val="22"/>
          <w:szCs w:val="22"/>
        </w:rPr>
        <w:t>pre</w:t>
      </w:r>
      <w:r w:rsidRPr="00E5531F">
        <w:rPr>
          <w:sz w:val="22"/>
          <w:szCs w:val="22"/>
        </w:rPr>
        <w:t>trvá</w:t>
      </w:r>
      <w:r>
        <w:rPr>
          <w:sz w:val="22"/>
          <w:szCs w:val="22"/>
        </w:rPr>
        <w:t>va</w:t>
      </w:r>
      <w:r w:rsidRPr="00E5531F">
        <w:rPr>
          <w:sz w:val="22"/>
          <w:szCs w:val="22"/>
        </w:rPr>
        <w:t xml:space="preserve"> niekoľko hodín (</w:t>
      </w:r>
      <w:r w:rsidR="00615F5F">
        <w:rPr>
          <w:sz w:val="22"/>
          <w:szCs w:val="22"/>
        </w:rPr>
        <w:t>v</w:t>
      </w:r>
      <w:r w:rsidR="006C2DBF">
        <w:rPr>
          <w:sz w:val="22"/>
          <w:szCs w:val="22"/>
        </w:rPr>
        <w:t> </w:t>
      </w:r>
      <w:r w:rsidR="00615F5F">
        <w:rPr>
          <w:sz w:val="22"/>
          <w:szCs w:val="22"/>
        </w:rPr>
        <w:t xml:space="preserve">priemere </w:t>
      </w:r>
      <w:r w:rsidRPr="00E5531F">
        <w:rPr>
          <w:sz w:val="22"/>
          <w:szCs w:val="22"/>
        </w:rPr>
        <w:t>6 až 8 hodín).</w:t>
      </w:r>
    </w:p>
    <w:p w:rsidR="00E5531F" w:rsidRPr="00E5531F" w:rsidRDefault="00E5531F" w:rsidP="00E36D94">
      <w:pPr>
        <w:pStyle w:val="tl1"/>
        <w:tabs>
          <w:tab w:val="left" w:pos="0"/>
        </w:tabs>
        <w:rPr>
          <w:sz w:val="22"/>
          <w:szCs w:val="22"/>
        </w:rPr>
      </w:pPr>
    </w:p>
    <w:p w:rsidR="00E5531F" w:rsidRPr="00E5531F" w:rsidRDefault="00E5531F" w:rsidP="00E36D94">
      <w:pPr>
        <w:pStyle w:val="tl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intranazálnom</w:t>
      </w:r>
      <w:proofErr w:type="spellEnd"/>
      <w:r>
        <w:rPr>
          <w:sz w:val="22"/>
          <w:szCs w:val="22"/>
        </w:rPr>
        <w:t xml:space="preserve"> podaní</w:t>
      </w:r>
      <w:r w:rsidRPr="00E5531F">
        <w:rPr>
          <w:sz w:val="22"/>
          <w:szCs w:val="22"/>
        </w:rPr>
        <w:t xml:space="preserve"> môže byť </w:t>
      </w:r>
      <w:r>
        <w:rPr>
          <w:sz w:val="22"/>
          <w:szCs w:val="22"/>
        </w:rPr>
        <w:t>absorbované množstvo dostatočné na vyvolanie systémového</w:t>
      </w:r>
      <w:r w:rsidRPr="00E5531F">
        <w:rPr>
          <w:sz w:val="22"/>
          <w:szCs w:val="22"/>
        </w:rPr>
        <w:t xml:space="preserve"> účin</w:t>
      </w:r>
      <w:r>
        <w:rPr>
          <w:sz w:val="22"/>
          <w:szCs w:val="22"/>
        </w:rPr>
        <w:t>ku</w:t>
      </w:r>
      <w:r w:rsidRPr="00E5531F">
        <w:rPr>
          <w:sz w:val="22"/>
          <w:szCs w:val="22"/>
        </w:rPr>
        <w:t>, napr</w:t>
      </w:r>
      <w:r>
        <w:rPr>
          <w:sz w:val="22"/>
          <w:szCs w:val="22"/>
        </w:rPr>
        <w:t>. v centrálnom nervovom</w:t>
      </w:r>
      <w:r w:rsidRPr="00E5531F">
        <w:rPr>
          <w:sz w:val="22"/>
          <w:szCs w:val="22"/>
        </w:rPr>
        <w:t xml:space="preserve"> systém</w:t>
      </w:r>
      <w:r>
        <w:rPr>
          <w:sz w:val="22"/>
          <w:szCs w:val="22"/>
        </w:rPr>
        <w:t>e</w:t>
      </w:r>
      <w:r w:rsidRPr="00E5531F">
        <w:rPr>
          <w:sz w:val="22"/>
          <w:szCs w:val="22"/>
        </w:rPr>
        <w:t xml:space="preserve"> a</w:t>
      </w:r>
      <w:r>
        <w:rPr>
          <w:sz w:val="22"/>
          <w:szCs w:val="22"/>
        </w:rPr>
        <w:t> v kardiovaskulárnom</w:t>
      </w:r>
      <w:r w:rsidRPr="00E5531F">
        <w:rPr>
          <w:sz w:val="22"/>
          <w:szCs w:val="22"/>
        </w:rPr>
        <w:t xml:space="preserve"> systém</w:t>
      </w:r>
      <w:r>
        <w:rPr>
          <w:sz w:val="22"/>
          <w:szCs w:val="22"/>
        </w:rPr>
        <w:t>e</w:t>
      </w:r>
      <w:r w:rsidRPr="00E5531F">
        <w:rPr>
          <w:sz w:val="22"/>
          <w:szCs w:val="22"/>
        </w:rPr>
        <w:t>.</w:t>
      </w:r>
    </w:p>
    <w:p w:rsidR="00E5531F" w:rsidRPr="00E5531F" w:rsidRDefault="00E5531F" w:rsidP="00E36D94">
      <w:pPr>
        <w:pStyle w:val="tl1"/>
        <w:tabs>
          <w:tab w:val="left" w:pos="0"/>
        </w:tabs>
        <w:rPr>
          <w:sz w:val="22"/>
          <w:szCs w:val="22"/>
        </w:rPr>
      </w:pPr>
    </w:p>
    <w:p w:rsidR="00CA02C9" w:rsidRDefault="00E5531F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  <w:r w:rsidRPr="00E5531F">
        <w:rPr>
          <w:sz w:val="22"/>
          <w:szCs w:val="22"/>
        </w:rPr>
        <w:t xml:space="preserve">Nie sú k dispozícii údaje z </w:t>
      </w:r>
      <w:proofErr w:type="spellStart"/>
      <w:r w:rsidRPr="00E5531F">
        <w:rPr>
          <w:sz w:val="22"/>
          <w:szCs w:val="22"/>
        </w:rPr>
        <w:t>farmakokinetických</w:t>
      </w:r>
      <w:proofErr w:type="spellEnd"/>
      <w:r w:rsidRPr="00E5531F">
        <w:rPr>
          <w:sz w:val="22"/>
          <w:szCs w:val="22"/>
        </w:rPr>
        <w:t xml:space="preserve"> štúdií u ľudí.</w:t>
      </w:r>
    </w:p>
    <w:p w:rsidR="00B52368" w:rsidRPr="003378EF" w:rsidRDefault="00B52368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4C6298" w:rsidRPr="009A5D96" w:rsidRDefault="004C6298" w:rsidP="00A87714">
      <w:pPr>
        <w:keepNext/>
        <w:rPr>
          <w:rFonts w:ascii="Times New Roman" w:hAnsi="Times New Roman" w:cs="Times New Roman"/>
          <w:sz w:val="22"/>
          <w:szCs w:val="22"/>
        </w:rPr>
      </w:pPr>
      <w:r w:rsidRPr="009A5D96">
        <w:rPr>
          <w:rFonts w:ascii="Times New Roman" w:hAnsi="Times New Roman" w:cs="Times New Roman"/>
          <w:b/>
          <w:sz w:val="22"/>
          <w:szCs w:val="22"/>
        </w:rPr>
        <w:t>5.3</w:t>
      </w:r>
      <w:r w:rsidRPr="009A5D96">
        <w:rPr>
          <w:rFonts w:ascii="Times New Roman" w:hAnsi="Times New Roman" w:cs="Times New Roman"/>
          <w:b/>
          <w:sz w:val="22"/>
          <w:szCs w:val="22"/>
        </w:rPr>
        <w:tab/>
        <w:t>Predklinické údaje o bezpečnosti</w:t>
      </w:r>
    </w:p>
    <w:p w:rsidR="00CA02C9" w:rsidRPr="003378EF" w:rsidRDefault="00CA02C9" w:rsidP="00A87714">
      <w:pPr>
        <w:pStyle w:val="tl1"/>
        <w:keepNext/>
        <w:jc w:val="left"/>
        <w:rPr>
          <w:sz w:val="22"/>
          <w:szCs w:val="22"/>
        </w:rPr>
      </w:pPr>
    </w:p>
    <w:p w:rsidR="00615F5F" w:rsidRDefault="00615F5F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>Pr</w:t>
      </w:r>
      <w:r w:rsidRPr="00615F5F">
        <w:rPr>
          <w:sz w:val="22"/>
          <w:szCs w:val="22"/>
        </w:rPr>
        <w:t>edklinické údaje založené na opa</w:t>
      </w:r>
      <w:r>
        <w:rPr>
          <w:sz w:val="22"/>
          <w:szCs w:val="22"/>
        </w:rPr>
        <w:t xml:space="preserve">kovaných toxických a </w:t>
      </w:r>
      <w:proofErr w:type="spellStart"/>
      <w:r>
        <w:rPr>
          <w:sz w:val="22"/>
          <w:szCs w:val="22"/>
        </w:rPr>
        <w:t>genotoxických</w:t>
      </w:r>
      <w:proofErr w:type="spellEnd"/>
      <w:r w:rsidRPr="00615F5F">
        <w:rPr>
          <w:sz w:val="22"/>
          <w:szCs w:val="22"/>
        </w:rPr>
        <w:t xml:space="preserve"> dávkach neodhalili žiadne osobitné riziko pre ľudí. U potkanov a myší neboli pozorované žiad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teratogénne</w:t>
      </w:r>
      <w:proofErr w:type="spellEnd"/>
      <w:r>
        <w:rPr>
          <w:sz w:val="22"/>
          <w:szCs w:val="22"/>
        </w:rPr>
        <w:t xml:space="preserve"> účinky. Dávky vyššie ako sú terapeutické spôsobili</w:t>
      </w:r>
      <w:r w:rsidRPr="00615F5F">
        <w:rPr>
          <w:sz w:val="22"/>
          <w:szCs w:val="22"/>
        </w:rPr>
        <w:t xml:space="preserve"> znížený rast plodu. </w:t>
      </w:r>
      <w:r>
        <w:rPr>
          <w:sz w:val="22"/>
          <w:szCs w:val="22"/>
        </w:rPr>
        <w:t>U </w:t>
      </w:r>
      <w:r w:rsidRPr="00615F5F">
        <w:rPr>
          <w:sz w:val="22"/>
          <w:szCs w:val="22"/>
        </w:rPr>
        <w:t>potkanov</w:t>
      </w:r>
      <w:r>
        <w:rPr>
          <w:sz w:val="22"/>
          <w:szCs w:val="22"/>
        </w:rPr>
        <w:t xml:space="preserve"> bola zaznamenaná znížená produkcia mlieka</w:t>
      </w:r>
      <w:r w:rsidRPr="00615F5F">
        <w:rPr>
          <w:sz w:val="22"/>
          <w:szCs w:val="22"/>
        </w:rPr>
        <w:t>. Neexistuje žiadny dôkaz pre účinky na plodnosť.</w:t>
      </w:r>
    </w:p>
    <w:p w:rsidR="00CA02C9" w:rsidRDefault="00CA02C9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A8335E" w:rsidRPr="003378EF" w:rsidRDefault="00A8335E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CA02C9" w:rsidRPr="003378EF" w:rsidRDefault="00CA02C9" w:rsidP="00A87714">
      <w:pPr>
        <w:pStyle w:val="tl1"/>
        <w:keepNext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6</w:t>
      </w:r>
      <w:r w:rsidR="00A8335E" w:rsidRPr="003378EF">
        <w:rPr>
          <w:b/>
          <w:sz w:val="22"/>
          <w:szCs w:val="22"/>
        </w:rPr>
        <w:t>.</w:t>
      </w:r>
      <w:r w:rsidR="00A8335E">
        <w:rPr>
          <w:b/>
          <w:sz w:val="22"/>
          <w:szCs w:val="22"/>
        </w:rPr>
        <w:tab/>
      </w:r>
      <w:r w:rsidRPr="003378EF">
        <w:rPr>
          <w:b/>
          <w:sz w:val="22"/>
          <w:szCs w:val="22"/>
        </w:rPr>
        <w:t>FARMACEUTICKÉ INFORMÁCIE</w:t>
      </w:r>
    </w:p>
    <w:p w:rsidR="00CA02C9" w:rsidRPr="003378EF" w:rsidRDefault="00CA02C9" w:rsidP="00A87714">
      <w:pPr>
        <w:pStyle w:val="tl1"/>
        <w:keepNext/>
        <w:rPr>
          <w:b/>
          <w:sz w:val="22"/>
          <w:szCs w:val="22"/>
        </w:rPr>
      </w:pPr>
    </w:p>
    <w:p w:rsidR="00CA02C9" w:rsidRPr="003378EF" w:rsidRDefault="00CA02C9" w:rsidP="00A87714">
      <w:pPr>
        <w:pStyle w:val="tl1"/>
        <w:keepNext/>
        <w:rPr>
          <w:sz w:val="22"/>
          <w:szCs w:val="22"/>
        </w:rPr>
      </w:pPr>
      <w:r w:rsidRPr="003378EF">
        <w:rPr>
          <w:b/>
          <w:sz w:val="22"/>
          <w:szCs w:val="22"/>
        </w:rPr>
        <w:t>6.1</w:t>
      </w:r>
      <w:r w:rsidRPr="003378EF">
        <w:rPr>
          <w:b/>
          <w:sz w:val="22"/>
          <w:szCs w:val="22"/>
        </w:rPr>
        <w:tab/>
        <w:t>Zoznam pomocných látok</w:t>
      </w:r>
    </w:p>
    <w:p w:rsidR="00CA02C9" w:rsidRPr="003378EF" w:rsidRDefault="00CA02C9" w:rsidP="00A87714">
      <w:pPr>
        <w:pStyle w:val="tl1"/>
        <w:keepNext/>
        <w:rPr>
          <w:sz w:val="22"/>
          <w:szCs w:val="22"/>
        </w:rPr>
      </w:pPr>
    </w:p>
    <w:p w:rsidR="006C2DBF" w:rsidRDefault="005A657B" w:rsidP="00E36D94">
      <w:pPr>
        <w:pStyle w:val="tl1"/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="004031FA">
        <w:rPr>
          <w:sz w:val="22"/>
          <w:szCs w:val="22"/>
        </w:rPr>
        <w:t>enzalkóniumchlorid</w:t>
      </w:r>
      <w:proofErr w:type="spellEnd"/>
    </w:p>
    <w:p w:rsidR="006C2DBF" w:rsidRDefault="006C2DBF" w:rsidP="00E36D94">
      <w:pPr>
        <w:pStyle w:val="tl1"/>
        <w:rPr>
          <w:sz w:val="22"/>
          <w:szCs w:val="22"/>
        </w:rPr>
      </w:pPr>
      <w:proofErr w:type="spellStart"/>
      <w:r>
        <w:rPr>
          <w:sz w:val="22"/>
          <w:szCs w:val="22"/>
        </w:rPr>
        <w:t>edetát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C7EF1">
        <w:rPr>
          <w:sz w:val="22"/>
          <w:szCs w:val="22"/>
        </w:rPr>
        <w:t>disodn</w:t>
      </w:r>
      <w:r>
        <w:rPr>
          <w:sz w:val="22"/>
          <w:szCs w:val="22"/>
        </w:rPr>
        <w:t>ý</w:t>
      </w:r>
      <w:proofErr w:type="spellEnd"/>
    </w:p>
    <w:p w:rsidR="006C2DBF" w:rsidRDefault="007C7EF1" w:rsidP="00E36D94">
      <w:pPr>
        <w:pStyle w:val="tl1"/>
        <w:rPr>
          <w:sz w:val="22"/>
          <w:szCs w:val="22"/>
        </w:rPr>
      </w:pPr>
      <w:proofErr w:type="spellStart"/>
      <w:r>
        <w:rPr>
          <w:sz w:val="22"/>
          <w:szCs w:val="22"/>
        </w:rPr>
        <w:t>dihydrát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dihydrogénfosforečnanu</w:t>
      </w:r>
      <w:proofErr w:type="spellEnd"/>
      <w:r>
        <w:rPr>
          <w:sz w:val="22"/>
          <w:szCs w:val="22"/>
        </w:rPr>
        <w:t xml:space="preserve"> sodného</w:t>
      </w:r>
    </w:p>
    <w:p w:rsidR="006C2DBF" w:rsidRDefault="007C7EF1" w:rsidP="00E36D94">
      <w:pPr>
        <w:pStyle w:val="tl1"/>
        <w:rPr>
          <w:sz w:val="22"/>
          <w:szCs w:val="22"/>
        </w:rPr>
      </w:pPr>
      <w:proofErr w:type="spellStart"/>
      <w:r>
        <w:rPr>
          <w:sz w:val="22"/>
          <w:szCs w:val="22"/>
        </w:rPr>
        <w:t>dodekahydrát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hydrogénfosforečnanu</w:t>
      </w:r>
      <w:proofErr w:type="spellEnd"/>
      <w:r>
        <w:rPr>
          <w:sz w:val="22"/>
          <w:szCs w:val="22"/>
        </w:rPr>
        <w:t xml:space="preserve"> sodného</w:t>
      </w:r>
    </w:p>
    <w:p w:rsidR="006C2DBF" w:rsidRDefault="007C7EF1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>chlorid sodný</w:t>
      </w:r>
    </w:p>
    <w:p w:rsidR="00CA02C9" w:rsidRPr="003378EF" w:rsidRDefault="007C7EF1" w:rsidP="00E36D94">
      <w:pPr>
        <w:pStyle w:val="tl1"/>
        <w:rPr>
          <w:sz w:val="22"/>
          <w:szCs w:val="22"/>
        </w:rPr>
      </w:pPr>
      <w:r>
        <w:rPr>
          <w:sz w:val="22"/>
          <w:szCs w:val="22"/>
        </w:rPr>
        <w:t>čistená voda</w:t>
      </w:r>
      <w:r w:rsidR="00CA02C9" w:rsidRPr="003378EF">
        <w:rPr>
          <w:sz w:val="22"/>
          <w:szCs w:val="22"/>
        </w:rPr>
        <w:t>.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6.2</w:t>
      </w:r>
      <w:r w:rsidRPr="003378EF">
        <w:rPr>
          <w:b/>
          <w:sz w:val="22"/>
          <w:szCs w:val="22"/>
        </w:rPr>
        <w:tab/>
        <w:t>Inkompatibility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  <w:r w:rsidRPr="003378EF">
        <w:rPr>
          <w:sz w:val="22"/>
          <w:szCs w:val="22"/>
        </w:rPr>
        <w:lastRenderedPageBreak/>
        <w:t>Nie sú známe.</w:t>
      </w:r>
    </w:p>
    <w:p w:rsidR="00CA02C9" w:rsidRPr="003378EF" w:rsidRDefault="00CA02C9" w:rsidP="00283E6D">
      <w:pPr>
        <w:pStyle w:val="tl1"/>
        <w:jc w:val="left"/>
        <w:rPr>
          <w:sz w:val="22"/>
          <w:szCs w:val="22"/>
        </w:rPr>
      </w:pPr>
    </w:p>
    <w:p w:rsidR="00CA02C9" w:rsidRPr="003378EF" w:rsidRDefault="00CA02C9" w:rsidP="00A87714">
      <w:pPr>
        <w:pStyle w:val="tl1"/>
        <w:keepNext/>
        <w:jc w:val="left"/>
        <w:rPr>
          <w:sz w:val="22"/>
          <w:szCs w:val="22"/>
        </w:rPr>
      </w:pPr>
      <w:r w:rsidRPr="003378EF">
        <w:rPr>
          <w:b/>
          <w:sz w:val="22"/>
          <w:szCs w:val="22"/>
        </w:rPr>
        <w:t>6.</w:t>
      </w:r>
      <w:r w:rsidR="00E72805" w:rsidRPr="003378EF">
        <w:rPr>
          <w:b/>
          <w:sz w:val="22"/>
          <w:szCs w:val="22"/>
        </w:rPr>
        <w:t>3</w:t>
      </w:r>
      <w:r w:rsidR="00E72805" w:rsidRPr="003378EF">
        <w:rPr>
          <w:b/>
          <w:sz w:val="22"/>
          <w:szCs w:val="22"/>
        </w:rPr>
        <w:tab/>
      </w:r>
      <w:r w:rsidRPr="003378EF">
        <w:rPr>
          <w:b/>
          <w:sz w:val="22"/>
          <w:szCs w:val="22"/>
        </w:rPr>
        <w:t>Čas použiteľnosti</w:t>
      </w:r>
    </w:p>
    <w:p w:rsidR="00E72805" w:rsidRPr="003378EF" w:rsidRDefault="00E72805" w:rsidP="00A87714">
      <w:pPr>
        <w:pStyle w:val="tl1"/>
        <w:keepNext/>
        <w:jc w:val="left"/>
        <w:rPr>
          <w:sz w:val="22"/>
          <w:szCs w:val="22"/>
        </w:rPr>
      </w:pPr>
    </w:p>
    <w:p w:rsidR="004C6298" w:rsidRPr="003378EF" w:rsidRDefault="00CA02C9" w:rsidP="00283E6D">
      <w:pPr>
        <w:pStyle w:val="tl1"/>
        <w:jc w:val="left"/>
        <w:rPr>
          <w:sz w:val="22"/>
          <w:szCs w:val="22"/>
        </w:rPr>
      </w:pPr>
      <w:r w:rsidRPr="003378EF">
        <w:rPr>
          <w:sz w:val="22"/>
          <w:szCs w:val="22"/>
        </w:rPr>
        <w:t>3</w:t>
      </w:r>
      <w:r w:rsidR="004F1A12" w:rsidRPr="003378EF">
        <w:rPr>
          <w:sz w:val="22"/>
          <w:szCs w:val="22"/>
        </w:rPr>
        <w:t xml:space="preserve"> roky</w:t>
      </w:r>
    </w:p>
    <w:p w:rsidR="00CA02C9" w:rsidRDefault="00CA02C9" w:rsidP="00283E6D">
      <w:pPr>
        <w:pStyle w:val="tl1"/>
        <w:jc w:val="left"/>
        <w:rPr>
          <w:sz w:val="22"/>
          <w:szCs w:val="22"/>
        </w:rPr>
      </w:pPr>
    </w:p>
    <w:p w:rsidR="006F4F6D" w:rsidRDefault="008C5A93" w:rsidP="00283E6D">
      <w:pPr>
        <w:pStyle w:val="tl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r w:rsidRPr="008C5A93">
        <w:rPr>
          <w:sz w:val="22"/>
          <w:szCs w:val="22"/>
        </w:rPr>
        <w:t xml:space="preserve">otvorení rozprašovača </w:t>
      </w:r>
      <w:r w:rsidR="00F23D66" w:rsidRPr="008C5A93">
        <w:rPr>
          <w:sz w:val="22"/>
          <w:szCs w:val="22"/>
        </w:rPr>
        <w:t>nesmie</w:t>
      </w:r>
      <w:r w:rsidR="00F23D66">
        <w:rPr>
          <w:sz w:val="22"/>
          <w:szCs w:val="22"/>
        </w:rPr>
        <w:t xml:space="preserve"> byť sprej používaný dlhšie ako 1 mesiac. </w:t>
      </w:r>
    </w:p>
    <w:p w:rsidR="009C38F8" w:rsidRPr="003378EF" w:rsidRDefault="009C38F8" w:rsidP="00283E6D">
      <w:pPr>
        <w:pStyle w:val="tl1"/>
        <w:jc w:val="left"/>
        <w:rPr>
          <w:sz w:val="22"/>
          <w:szCs w:val="22"/>
        </w:rPr>
      </w:pPr>
    </w:p>
    <w:p w:rsidR="004F1A12" w:rsidRPr="009A5D96" w:rsidRDefault="00CA02C9" w:rsidP="00A87714">
      <w:pPr>
        <w:pStyle w:val="tl1"/>
        <w:keepNext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6.</w:t>
      </w:r>
      <w:r w:rsidR="00E72805" w:rsidRPr="003378EF">
        <w:rPr>
          <w:b/>
          <w:sz w:val="22"/>
          <w:szCs w:val="22"/>
        </w:rPr>
        <w:t>4</w:t>
      </w:r>
      <w:r w:rsidR="00E72805" w:rsidRPr="003378EF">
        <w:rPr>
          <w:b/>
          <w:sz w:val="22"/>
          <w:szCs w:val="22"/>
        </w:rPr>
        <w:tab/>
      </w:r>
      <w:r w:rsidR="004F1A12" w:rsidRPr="009A5D96">
        <w:rPr>
          <w:b/>
          <w:sz w:val="22"/>
          <w:szCs w:val="22"/>
        </w:rPr>
        <w:t>Špeciálne upozornenia na uchovávanie</w:t>
      </w:r>
    </w:p>
    <w:p w:rsidR="006B2ED1" w:rsidRPr="003378EF" w:rsidRDefault="006B2ED1" w:rsidP="00A87714">
      <w:pPr>
        <w:pStyle w:val="tl1"/>
        <w:keepNext/>
        <w:jc w:val="left"/>
        <w:rPr>
          <w:b/>
          <w:sz w:val="22"/>
          <w:szCs w:val="22"/>
        </w:rPr>
      </w:pPr>
    </w:p>
    <w:p w:rsidR="00CA02C9" w:rsidRDefault="009C38F8" w:rsidP="00283E6D">
      <w:pPr>
        <w:pStyle w:val="tl1"/>
        <w:ind w:left="567" w:hanging="567"/>
        <w:jc w:val="left"/>
        <w:rPr>
          <w:sz w:val="22"/>
          <w:szCs w:val="22"/>
        </w:rPr>
      </w:pPr>
      <w:r w:rsidRPr="009C38F8">
        <w:rPr>
          <w:sz w:val="22"/>
          <w:szCs w:val="22"/>
        </w:rPr>
        <w:t>Uchovávajte pri teplote do 25</w:t>
      </w:r>
      <w:r w:rsidR="00353A97">
        <w:rPr>
          <w:sz w:val="22"/>
          <w:szCs w:val="22"/>
        </w:rPr>
        <w:t> </w:t>
      </w:r>
      <w:r w:rsidRPr="009C38F8">
        <w:rPr>
          <w:sz w:val="22"/>
          <w:szCs w:val="22"/>
        </w:rPr>
        <w:t>°C.</w:t>
      </w:r>
    </w:p>
    <w:p w:rsidR="009C38F8" w:rsidRPr="003378EF" w:rsidRDefault="009C38F8" w:rsidP="00283E6D">
      <w:pPr>
        <w:pStyle w:val="tl1"/>
        <w:ind w:left="567" w:hanging="567"/>
        <w:jc w:val="left"/>
        <w:rPr>
          <w:sz w:val="22"/>
          <w:szCs w:val="22"/>
        </w:rPr>
      </w:pPr>
    </w:p>
    <w:p w:rsidR="00CA02C9" w:rsidRPr="003378EF" w:rsidRDefault="00CA02C9" w:rsidP="00A87714">
      <w:pPr>
        <w:pStyle w:val="tl1"/>
        <w:keepNext/>
        <w:ind w:left="567" w:hanging="567"/>
        <w:jc w:val="left"/>
        <w:rPr>
          <w:b/>
          <w:sz w:val="22"/>
          <w:szCs w:val="22"/>
        </w:rPr>
      </w:pPr>
      <w:r w:rsidRPr="003378EF">
        <w:rPr>
          <w:b/>
          <w:sz w:val="22"/>
          <w:szCs w:val="22"/>
        </w:rPr>
        <w:t>6.</w:t>
      </w:r>
      <w:r w:rsidR="00780371" w:rsidRPr="003378EF">
        <w:rPr>
          <w:b/>
          <w:sz w:val="22"/>
          <w:szCs w:val="22"/>
        </w:rPr>
        <w:t>5</w:t>
      </w:r>
      <w:r w:rsidR="00780371" w:rsidRPr="003378EF">
        <w:rPr>
          <w:b/>
          <w:sz w:val="22"/>
          <w:szCs w:val="22"/>
        </w:rPr>
        <w:tab/>
      </w:r>
      <w:r w:rsidR="004F1A12" w:rsidRPr="003378EF">
        <w:rPr>
          <w:b/>
          <w:sz w:val="22"/>
          <w:szCs w:val="22"/>
          <w:lang w:val="es-ES_tradnl"/>
        </w:rPr>
        <w:t>Druh obalu a obsah balenia</w:t>
      </w:r>
      <w:r w:rsidR="004F1A12" w:rsidRPr="003378EF">
        <w:rPr>
          <w:b/>
          <w:color w:val="0000FF"/>
          <w:sz w:val="22"/>
          <w:szCs w:val="22"/>
          <w:lang w:val="es-ES_tradnl"/>
        </w:rPr>
        <w:t xml:space="preserve"> </w:t>
      </w:r>
    </w:p>
    <w:p w:rsidR="004F1A12" w:rsidRPr="003378EF" w:rsidRDefault="004F1A12" w:rsidP="00A87714">
      <w:pPr>
        <w:pStyle w:val="tl1"/>
        <w:keepNext/>
        <w:ind w:left="567" w:hanging="567"/>
        <w:jc w:val="left"/>
        <w:rPr>
          <w:b/>
          <w:sz w:val="22"/>
          <w:szCs w:val="22"/>
        </w:rPr>
      </w:pPr>
    </w:p>
    <w:p w:rsidR="001F31A4" w:rsidRDefault="004531C3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Žltohnedá priehľadná</w:t>
      </w:r>
      <w:r w:rsidR="009C38F8">
        <w:rPr>
          <w:sz w:val="22"/>
          <w:szCs w:val="22"/>
        </w:rPr>
        <w:t xml:space="preserve"> sklenená fľaštička</w:t>
      </w:r>
      <w:r w:rsidR="009C38F8" w:rsidRPr="009C38F8">
        <w:rPr>
          <w:sz w:val="22"/>
          <w:szCs w:val="22"/>
        </w:rPr>
        <w:t xml:space="preserve"> (typ III) s</w:t>
      </w:r>
      <w:r w:rsidR="00B104DD">
        <w:rPr>
          <w:sz w:val="22"/>
          <w:szCs w:val="22"/>
        </w:rPr>
        <w:t xml:space="preserve"> bielym </w:t>
      </w:r>
      <w:r w:rsidR="009C38F8" w:rsidRPr="009C38F8">
        <w:rPr>
          <w:sz w:val="22"/>
          <w:szCs w:val="22"/>
        </w:rPr>
        <w:t>plastovým rozprašovačom a ochranným polypropylén</w:t>
      </w:r>
      <w:r w:rsidR="009C38F8">
        <w:rPr>
          <w:sz w:val="22"/>
          <w:szCs w:val="22"/>
        </w:rPr>
        <w:t>ovým</w:t>
      </w:r>
      <w:r w:rsidR="00B104DD">
        <w:rPr>
          <w:sz w:val="22"/>
          <w:szCs w:val="22"/>
        </w:rPr>
        <w:t xml:space="preserve"> alebo HDPE</w:t>
      </w:r>
      <w:r w:rsidR="009C38F8" w:rsidRPr="009C38F8">
        <w:rPr>
          <w:sz w:val="22"/>
          <w:szCs w:val="22"/>
        </w:rPr>
        <w:t xml:space="preserve"> uzáverom, obsah 10 ml.</w:t>
      </w:r>
    </w:p>
    <w:p w:rsidR="009C38F8" w:rsidRPr="003378EF" w:rsidRDefault="009C38F8" w:rsidP="00E36D94">
      <w:pPr>
        <w:pStyle w:val="tl1"/>
        <w:ind w:left="567" w:hanging="567"/>
        <w:rPr>
          <w:sz w:val="22"/>
          <w:szCs w:val="22"/>
        </w:rPr>
      </w:pPr>
    </w:p>
    <w:p w:rsidR="001F31A4" w:rsidRPr="003378EF" w:rsidRDefault="00FE7236" w:rsidP="00A87714">
      <w:pPr>
        <w:pStyle w:val="tl1"/>
        <w:keepNext/>
        <w:ind w:left="567" w:hanging="567"/>
        <w:rPr>
          <w:sz w:val="22"/>
          <w:szCs w:val="22"/>
        </w:rPr>
      </w:pPr>
      <w:r w:rsidRPr="003378EF">
        <w:rPr>
          <w:b/>
          <w:sz w:val="22"/>
          <w:szCs w:val="22"/>
        </w:rPr>
        <w:t>6.6</w:t>
      </w:r>
      <w:r w:rsidR="00780371" w:rsidRPr="003378EF">
        <w:rPr>
          <w:b/>
          <w:sz w:val="22"/>
          <w:szCs w:val="22"/>
        </w:rPr>
        <w:tab/>
      </w:r>
      <w:r w:rsidR="004C6298" w:rsidRPr="003378EF">
        <w:rPr>
          <w:b/>
          <w:sz w:val="22"/>
          <w:szCs w:val="22"/>
        </w:rPr>
        <w:t xml:space="preserve">Špeciálne opatrenia na likvidáciu </w:t>
      </w:r>
    </w:p>
    <w:p w:rsidR="00F11B39" w:rsidRPr="003378EF" w:rsidRDefault="00F11B39" w:rsidP="00A87714">
      <w:pPr>
        <w:pStyle w:val="tl1"/>
        <w:keepNext/>
        <w:ind w:left="567" w:hanging="567"/>
        <w:rPr>
          <w:sz w:val="22"/>
          <w:szCs w:val="22"/>
        </w:rPr>
      </w:pPr>
    </w:p>
    <w:p w:rsidR="007100BA" w:rsidRPr="003378EF" w:rsidRDefault="009C38F8" w:rsidP="00E36D94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  <w:r w:rsidRPr="009C38F8">
        <w:rPr>
          <w:sz w:val="22"/>
          <w:szCs w:val="22"/>
        </w:rPr>
        <w:t>Všetok nepoužitý liek alebo odpad vzniknutý z lieku sa má zlikvidovať v s</w:t>
      </w:r>
      <w:r w:rsidR="00E36D94">
        <w:rPr>
          <w:sz w:val="22"/>
          <w:szCs w:val="22"/>
        </w:rPr>
        <w:t>úlade s národnými požiadavkami.</w:t>
      </w:r>
    </w:p>
    <w:p w:rsidR="0096721D" w:rsidRDefault="0096721D" w:rsidP="00283E6D">
      <w:pPr>
        <w:overflowPunct w:val="0"/>
        <w:ind w:right="43"/>
        <w:rPr>
          <w:rFonts w:ascii="Times New Roman" w:hAnsi="Times New Roman" w:cs="Times New Roman"/>
          <w:b/>
          <w:sz w:val="22"/>
          <w:szCs w:val="22"/>
        </w:rPr>
      </w:pPr>
    </w:p>
    <w:p w:rsidR="009C38F8" w:rsidRPr="003378EF" w:rsidRDefault="009C38F8" w:rsidP="00283E6D">
      <w:pPr>
        <w:overflowPunct w:val="0"/>
        <w:ind w:right="43"/>
        <w:rPr>
          <w:rFonts w:ascii="Times New Roman" w:hAnsi="Times New Roman" w:cs="Times New Roman"/>
          <w:b/>
          <w:sz w:val="22"/>
          <w:szCs w:val="22"/>
        </w:rPr>
      </w:pPr>
    </w:p>
    <w:p w:rsidR="00CA02C9" w:rsidRPr="00283E6D" w:rsidRDefault="00CA02C9" w:rsidP="00A87714">
      <w:pPr>
        <w:keepNext/>
        <w:tabs>
          <w:tab w:val="left" w:pos="567"/>
        </w:tabs>
        <w:overflowPunct w:val="0"/>
        <w:ind w:right="43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7.</w:t>
      </w:r>
      <w:r w:rsidR="00696222">
        <w:rPr>
          <w:rFonts w:ascii="Times New Roman" w:hAnsi="Times New Roman" w:cs="Times New Roman"/>
          <w:b/>
          <w:sz w:val="22"/>
          <w:szCs w:val="22"/>
        </w:rPr>
        <w:tab/>
      </w:r>
      <w:r w:rsidR="006B2ED1" w:rsidRPr="00283E6D">
        <w:rPr>
          <w:rFonts w:ascii="Times New Roman" w:hAnsi="Times New Roman" w:cs="Times New Roman"/>
          <w:b/>
          <w:snapToGrid w:val="0"/>
          <w:sz w:val="22"/>
          <w:szCs w:val="22"/>
        </w:rPr>
        <w:t>DRŽITEĽ ROZHODNUTIA O REGISTRÁCII</w:t>
      </w:r>
    </w:p>
    <w:p w:rsidR="009C38F8" w:rsidRPr="003378EF" w:rsidRDefault="009C38F8" w:rsidP="00A87714">
      <w:pPr>
        <w:keepNext/>
        <w:rPr>
          <w:rFonts w:ascii="Times New Roman" w:hAnsi="Times New Roman" w:cs="Times New Roman"/>
          <w:sz w:val="22"/>
          <w:szCs w:val="22"/>
        </w:rPr>
      </w:pPr>
    </w:p>
    <w:p w:rsidR="00620491" w:rsidRPr="00620491" w:rsidRDefault="00620491" w:rsidP="00620491">
      <w:pPr>
        <w:keepNext/>
        <w:rPr>
          <w:rFonts w:ascii="Times New Roman" w:hAnsi="Times New Roman" w:cs="Times New Roman"/>
          <w:sz w:val="22"/>
          <w:szCs w:val="22"/>
          <w:lang w:eastAsia="sk-SK"/>
        </w:rPr>
      </w:pPr>
      <w:r w:rsidRPr="00620491">
        <w:rPr>
          <w:rFonts w:ascii="Times New Roman" w:hAnsi="Times New Roman" w:cs="Times New Roman"/>
          <w:sz w:val="22"/>
          <w:szCs w:val="22"/>
          <w:lang w:eastAsia="sk-SK"/>
        </w:rPr>
        <w:t xml:space="preserve">Dr. Max </w:t>
      </w:r>
      <w:proofErr w:type="spellStart"/>
      <w:r w:rsidRPr="00620491">
        <w:rPr>
          <w:rFonts w:ascii="Times New Roman" w:hAnsi="Times New Roman" w:cs="Times New Roman"/>
          <w:sz w:val="22"/>
          <w:szCs w:val="22"/>
          <w:lang w:eastAsia="sk-SK"/>
        </w:rPr>
        <w:t>Pharma</w:t>
      </w:r>
      <w:proofErr w:type="spellEnd"/>
      <w:r w:rsidRPr="00620491">
        <w:rPr>
          <w:rFonts w:ascii="Times New Roman" w:hAnsi="Times New Roman" w:cs="Times New Roman"/>
          <w:sz w:val="22"/>
          <w:szCs w:val="22"/>
          <w:lang w:eastAsia="sk-SK"/>
        </w:rPr>
        <w:t xml:space="preserve"> s.r.o.</w:t>
      </w:r>
    </w:p>
    <w:p w:rsidR="00620491" w:rsidRPr="00620491" w:rsidRDefault="00620491" w:rsidP="00620491">
      <w:pPr>
        <w:keepNext/>
        <w:rPr>
          <w:rFonts w:ascii="Times New Roman" w:hAnsi="Times New Roman" w:cs="Times New Roman"/>
          <w:sz w:val="22"/>
          <w:szCs w:val="22"/>
          <w:lang w:eastAsia="sk-SK"/>
        </w:rPr>
      </w:pPr>
      <w:r w:rsidRPr="00620491">
        <w:rPr>
          <w:rFonts w:ascii="Times New Roman" w:hAnsi="Times New Roman" w:cs="Times New Roman"/>
          <w:sz w:val="22"/>
          <w:szCs w:val="22"/>
          <w:lang w:eastAsia="sk-SK"/>
        </w:rPr>
        <w:t xml:space="preserve">Na </w:t>
      </w:r>
      <w:proofErr w:type="spellStart"/>
      <w:r w:rsidRPr="00620491">
        <w:rPr>
          <w:rFonts w:ascii="Times New Roman" w:hAnsi="Times New Roman" w:cs="Times New Roman"/>
          <w:sz w:val="22"/>
          <w:szCs w:val="22"/>
          <w:lang w:eastAsia="sk-SK"/>
        </w:rPr>
        <w:t>Florenci</w:t>
      </w:r>
      <w:proofErr w:type="spellEnd"/>
      <w:r w:rsidRPr="00620491">
        <w:rPr>
          <w:rFonts w:ascii="Times New Roman" w:hAnsi="Times New Roman" w:cs="Times New Roman"/>
          <w:sz w:val="22"/>
          <w:szCs w:val="22"/>
          <w:lang w:eastAsia="sk-SK"/>
        </w:rPr>
        <w:t xml:space="preserve"> 2116/15</w:t>
      </w:r>
    </w:p>
    <w:p w:rsidR="00620491" w:rsidRPr="00620491" w:rsidRDefault="00620491" w:rsidP="00620491">
      <w:pPr>
        <w:keepNext/>
        <w:rPr>
          <w:rFonts w:ascii="Times New Roman" w:hAnsi="Times New Roman" w:cs="Times New Roman"/>
          <w:sz w:val="22"/>
          <w:szCs w:val="22"/>
          <w:lang w:eastAsia="sk-SK"/>
        </w:rPr>
      </w:pPr>
      <w:r w:rsidRPr="00620491">
        <w:rPr>
          <w:rFonts w:ascii="Times New Roman" w:hAnsi="Times New Roman" w:cs="Times New Roman"/>
          <w:sz w:val="22"/>
          <w:szCs w:val="22"/>
          <w:lang w:eastAsia="sk-SK"/>
        </w:rPr>
        <w:t xml:space="preserve">Nové </w:t>
      </w:r>
      <w:proofErr w:type="spellStart"/>
      <w:r w:rsidRPr="00620491">
        <w:rPr>
          <w:rFonts w:ascii="Times New Roman" w:hAnsi="Times New Roman" w:cs="Times New Roman"/>
          <w:sz w:val="22"/>
          <w:szCs w:val="22"/>
          <w:lang w:eastAsia="sk-SK"/>
        </w:rPr>
        <w:t>Město</w:t>
      </w:r>
      <w:proofErr w:type="spellEnd"/>
    </w:p>
    <w:p w:rsidR="00620491" w:rsidRPr="00620491" w:rsidRDefault="00620491" w:rsidP="00620491">
      <w:pPr>
        <w:keepNext/>
        <w:rPr>
          <w:rFonts w:ascii="Times New Roman" w:hAnsi="Times New Roman" w:cs="Times New Roman"/>
          <w:sz w:val="22"/>
          <w:szCs w:val="22"/>
          <w:lang w:eastAsia="sk-SK"/>
        </w:rPr>
      </w:pPr>
      <w:r w:rsidRPr="00620491">
        <w:rPr>
          <w:rFonts w:ascii="Times New Roman" w:hAnsi="Times New Roman" w:cs="Times New Roman"/>
          <w:sz w:val="22"/>
          <w:szCs w:val="22"/>
          <w:lang w:eastAsia="sk-SK"/>
        </w:rPr>
        <w:t>110 00 Praha 1</w:t>
      </w:r>
    </w:p>
    <w:p w:rsidR="00F62A4F" w:rsidRPr="003378EF" w:rsidRDefault="00620491" w:rsidP="009C38F8">
      <w:pPr>
        <w:pStyle w:val="tl1"/>
        <w:jc w:val="left"/>
        <w:rPr>
          <w:sz w:val="22"/>
          <w:szCs w:val="22"/>
        </w:rPr>
      </w:pPr>
      <w:r w:rsidRPr="00620491">
        <w:rPr>
          <w:sz w:val="22"/>
          <w:szCs w:val="22"/>
        </w:rPr>
        <w:t xml:space="preserve">Česká republika </w:t>
      </w:r>
    </w:p>
    <w:p w:rsidR="00CA02C9" w:rsidRPr="003378EF" w:rsidRDefault="00CA02C9" w:rsidP="009C38F8">
      <w:pPr>
        <w:pStyle w:val="tl1"/>
        <w:jc w:val="left"/>
        <w:rPr>
          <w:sz w:val="22"/>
          <w:szCs w:val="22"/>
        </w:rPr>
      </w:pPr>
    </w:p>
    <w:p w:rsidR="006B2ED1" w:rsidRPr="003378EF" w:rsidRDefault="00CA02C9" w:rsidP="00A87714">
      <w:pPr>
        <w:keepNext/>
        <w:tabs>
          <w:tab w:val="left" w:pos="567"/>
        </w:tabs>
        <w:overflowPunct w:val="0"/>
        <w:ind w:right="43"/>
      </w:pPr>
      <w:r w:rsidRPr="003378EF">
        <w:rPr>
          <w:rFonts w:ascii="Times New Roman" w:hAnsi="Times New Roman" w:cs="Times New Roman"/>
          <w:b/>
          <w:sz w:val="22"/>
          <w:szCs w:val="22"/>
        </w:rPr>
        <w:t>8.</w:t>
      </w:r>
      <w:r w:rsidR="00780371" w:rsidRPr="003378EF">
        <w:rPr>
          <w:rFonts w:ascii="Times New Roman" w:hAnsi="Times New Roman" w:cs="Times New Roman"/>
          <w:b/>
          <w:sz w:val="22"/>
          <w:szCs w:val="22"/>
        </w:rPr>
        <w:tab/>
      </w:r>
      <w:r w:rsidR="006B2ED1" w:rsidRPr="009A5D96">
        <w:rPr>
          <w:rFonts w:ascii="Times New Roman" w:hAnsi="Times New Roman" w:cs="Times New Roman"/>
          <w:b/>
          <w:snapToGrid w:val="0"/>
          <w:sz w:val="22"/>
          <w:szCs w:val="22"/>
        </w:rPr>
        <w:t>REG</w:t>
      </w:r>
      <w:r w:rsidR="009C38F8">
        <w:rPr>
          <w:rFonts w:ascii="Times New Roman" w:hAnsi="Times New Roman" w:cs="Times New Roman"/>
          <w:b/>
          <w:snapToGrid w:val="0"/>
          <w:sz w:val="22"/>
          <w:szCs w:val="22"/>
        </w:rPr>
        <w:t>ISTRAČNÉ ČÍSLO</w:t>
      </w:r>
    </w:p>
    <w:p w:rsidR="00080912" w:rsidRDefault="00080912" w:rsidP="00A87714">
      <w:pPr>
        <w:pStyle w:val="tl1"/>
        <w:keepNext/>
        <w:ind w:firstLine="720"/>
        <w:jc w:val="left"/>
        <w:rPr>
          <w:sz w:val="22"/>
          <w:szCs w:val="22"/>
        </w:rPr>
      </w:pPr>
    </w:p>
    <w:p w:rsidR="00353A97" w:rsidRDefault="004531C3" w:rsidP="00A87714">
      <w:pPr>
        <w:pStyle w:val="tl1"/>
        <w:keepNext/>
        <w:jc w:val="left"/>
        <w:rPr>
          <w:sz w:val="22"/>
          <w:szCs w:val="22"/>
        </w:rPr>
      </w:pPr>
      <w:r w:rsidRPr="004531C3">
        <w:rPr>
          <w:sz w:val="22"/>
          <w:szCs w:val="22"/>
        </w:rPr>
        <w:t>69/0330/15-S</w:t>
      </w:r>
    </w:p>
    <w:p w:rsidR="004531C3" w:rsidRDefault="004531C3" w:rsidP="00A87714">
      <w:pPr>
        <w:pStyle w:val="tl1"/>
        <w:keepNext/>
        <w:jc w:val="left"/>
        <w:rPr>
          <w:sz w:val="22"/>
          <w:szCs w:val="22"/>
        </w:rPr>
      </w:pPr>
    </w:p>
    <w:p w:rsidR="004531C3" w:rsidRPr="003378EF" w:rsidRDefault="004531C3" w:rsidP="00A87714">
      <w:pPr>
        <w:pStyle w:val="tl1"/>
        <w:keepNext/>
        <w:jc w:val="left"/>
        <w:rPr>
          <w:sz w:val="22"/>
          <w:szCs w:val="22"/>
        </w:rPr>
      </w:pPr>
    </w:p>
    <w:p w:rsidR="006B2ED1" w:rsidRPr="009A5D96" w:rsidRDefault="00CA02C9" w:rsidP="002151E2">
      <w:pPr>
        <w:pStyle w:val="tl1"/>
        <w:ind w:left="567" w:hanging="567"/>
        <w:jc w:val="left"/>
        <w:rPr>
          <w:b/>
          <w:snapToGrid w:val="0"/>
          <w:sz w:val="22"/>
          <w:szCs w:val="22"/>
        </w:rPr>
      </w:pPr>
      <w:r w:rsidRPr="003378EF">
        <w:rPr>
          <w:b/>
          <w:sz w:val="22"/>
          <w:szCs w:val="22"/>
        </w:rPr>
        <w:t>9.</w:t>
      </w:r>
      <w:r w:rsidR="00080912" w:rsidRPr="003378EF">
        <w:rPr>
          <w:b/>
          <w:sz w:val="22"/>
          <w:szCs w:val="22"/>
        </w:rPr>
        <w:tab/>
      </w:r>
      <w:r w:rsidR="006B2ED1" w:rsidRPr="009A5D96">
        <w:rPr>
          <w:b/>
          <w:snapToGrid w:val="0"/>
          <w:sz w:val="22"/>
          <w:szCs w:val="22"/>
        </w:rPr>
        <w:t>DÁTUM PRVEJ REGISTRÁCIE/ PREDĹŽENIA REGISTRÁCIE</w:t>
      </w:r>
    </w:p>
    <w:p w:rsidR="006B2ED1" w:rsidRPr="003378EF" w:rsidRDefault="006B2ED1" w:rsidP="002151E2">
      <w:pPr>
        <w:pStyle w:val="tl1"/>
        <w:ind w:left="567" w:hanging="567"/>
        <w:jc w:val="left"/>
        <w:rPr>
          <w:b/>
          <w:sz w:val="22"/>
          <w:szCs w:val="22"/>
        </w:rPr>
      </w:pPr>
    </w:p>
    <w:p w:rsidR="00087479" w:rsidRPr="003378EF" w:rsidRDefault="00087479" w:rsidP="002151E2">
      <w:pPr>
        <w:pStyle w:val="tl1"/>
        <w:ind w:left="567" w:hanging="567"/>
        <w:jc w:val="left"/>
        <w:rPr>
          <w:b/>
          <w:sz w:val="22"/>
          <w:szCs w:val="22"/>
        </w:rPr>
      </w:pPr>
    </w:p>
    <w:p w:rsidR="006B2ED1" w:rsidRPr="009A5D96" w:rsidRDefault="00CA02C9" w:rsidP="002151E2">
      <w:pP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</w:rPr>
      </w:pPr>
      <w:r w:rsidRPr="003378EF">
        <w:rPr>
          <w:rFonts w:ascii="Times New Roman" w:hAnsi="Times New Roman" w:cs="Times New Roman"/>
          <w:b/>
          <w:sz w:val="22"/>
          <w:szCs w:val="22"/>
        </w:rPr>
        <w:t>10.</w:t>
      </w:r>
      <w:r w:rsidR="00696222">
        <w:rPr>
          <w:rFonts w:ascii="Times New Roman" w:hAnsi="Times New Roman" w:cs="Times New Roman"/>
          <w:b/>
          <w:sz w:val="22"/>
          <w:szCs w:val="22"/>
        </w:rPr>
        <w:tab/>
      </w:r>
      <w:r w:rsidR="006B2ED1" w:rsidRPr="009A5D96">
        <w:rPr>
          <w:rFonts w:ascii="Times New Roman" w:hAnsi="Times New Roman" w:cs="Times New Roman"/>
          <w:b/>
          <w:sz w:val="22"/>
          <w:szCs w:val="22"/>
        </w:rPr>
        <w:t>DÁTUM REVÍZIE TEXTU</w:t>
      </w:r>
    </w:p>
    <w:p w:rsidR="00CA02C9" w:rsidRPr="003378EF" w:rsidRDefault="00CA02C9" w:rsidP="00283E6D">
      <w:pPr>
        <w:overflowPunct w:val="0"/>
        <w:ind w:right="43"/>
        <w:rPr>
          <w:rFonts w:ascii="Times New Roman" w:hAnsi="Times New Roman" w:cs="Times New Roman"/>
          <w:sz w:val="22"/>
          <w:szCs w:val="22"/>
        </w:rPr>
      </w:pPr>
    </w:p>
    <w:p w:rsidR="00E83F94" w:rsidRPr="009D6757" w:rsidRDefault="005A657B" w:rsidP="00CC589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September 2017</w:t>
      </w:r>
    </w:p>
    <w:sectPr w:rsidR="00E83F94" w:rsidRPr="009D6757" w:rsidSect="00B924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40" w:code="9"/>
      <w:pgMar w:top="1417" w:right="1417" w:bottom="1417" w:left="1417" w:header="851" w:footer="8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09" w:rsidRDefault="00150309">
      <w:r>
        <w:separator/>
      </w:r>
    </w:p>
  </w:endnote>
  <w:endnote w:type="continuationSeparator" w:id="0">
    <w:p w:rsidR="00150309" w:rsidRDefault="0015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A31B8C" w:rsidP="00283E6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31B8C" w:rsidRDefault="00A31B8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5F6618" w:rsidP="00A87714">
    <w:pPr>
      <w:tabs>
        <w:tab w:val="left" w:pos="567"/>
        <w:tab w:val="right" w:pos="993"/>
        <w:tab w:val="center" w:pos="4536"/>
        <w:tab w:val="center" w:pos="8930"/>
      </w:tabs>
      <w:jc w:val="center"/>
    </w:pPr>
    <w:r>
      <w:rPr>
        <w:rFonts w:ascii="Times New Roman" w:hAnsi="Times New Roman"/>
        <w:lang w:val="en-GB"/>
      </w:rPr>
      <w:fldChar w:fldCharType="begin"/>
    </w:r>
    <w:r>
      <w:rPr>
        <w:rFonts w:ascii="Times New Roman" w:hAnsi="Times New Roman"/>
        <w:lang w:val="en-GB"/>
      </w:rPr>
      <w:instrText>PAGE   \* MERGEFORMAT</w:instrText>
    </w:r>
    <w:r>
      <w:rPr>
        <w:rFonts w:ascii="Times New Roman" w:hAnsi="Times New Roman"/>
        <w:lang w:val="en-GB"/>
      </w:rPr>
      <w:fldChar w:fldCharType="separate"/>
    </w:r>
    <w:r w:rsidR="008931D9" w:rsidRPr="008931D9">
      <w:rPr>
        <w:rFonts w:ascii="Times New Roman" w:hAnsi="Times New Roman"/>
        <w:noProof/>
        <w:lang w:val="es-ES"/>
      </w:rPr>
      <w:t>6</w:t>
    </w:r>
    <w:r>
      <w:rPr>
        <w:rFonts w:ascii="Times New Roman" w:hAnsi="Times New Roman"/>
        <w:lang w:val="en-GB"/>
      </w:rPr>
      <w:fldChar w:fldCharType="end"/>
    </w:r>
    <w:r>
      <w:rPr>
        <w:rFonts w:ascii="Times New Roman" w:hAnsi="Times New Roman"/>
        <w:lang w:val="en-GB"/>
      </w:rPr>
      <w:t>/</w:t>
    </w:r>
    <w:r>
      <w:rPr>
        <w:rFonts w:ascii="Times New Roman" w:hAnsi="Times New Roman"/>
        <w:lang w:val="en-GB"/>
      </w:rPr>
      <w:fldChar w:fldCharType="begin"/>
    </w:r>
    <w:r>
      <w:rPr>
        <w:rFonts w:ascii="Times New Roman" w:hAnsi="Times New Roman"/>
        <w:lang w:val="en-GB"/>
      </w:rPr>
      <w:instrText xml:space="preserve"> NUMPAGES   \* MERGEFORMAT </w:instrText>
    </w:r>
    <w:r>
      <w:rPr>
        <w:rFonts w:ascii="Times New Roman" w:hAnsi="Times New Roman"/>
        <w:lang w:val="en-GB"/>
      </w:rPr>
      <w:fldChar w:fldCharType="separate"/>
    </w:r>
    <w:r w:rsidR="008931D9">
      <w:rPr>
        <w:rFonts w:ascii="Times New Roman" w:hAnsi="Times New Roman"/>
        <w:noProof/>
        <w:lang w:val="en-GB"/>
      </w:rPr>
      <w:t>6</w:t>
    </w:r>
    <w:r>
      <w:rPr>
        <w:rFonts w:ascii="Times New Roman" w:hAnsi="Times New Roman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09" w:rsidRDefault="00150309">
      <w:r>
        <w:separator/>
      </w:r>
    </w:p>
  </w:footnote>
  <w:footnote w:type="continuationSeparator" w:id="0">
    <w:p w:rsidR="00150309" w:rsidRDefault="0015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A31B8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31B8C" w:rsidRDefault="00A31B8C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C" w:rsidRDefault="00A31B8C">
    <w:pPr>
      <w:pStyle w:val="Hlavika"/>
      <w:framePr w:wrap="around" w:vAnchor="text" w:hAnchor="margin" w:xAlign="right" w:y="1"/>
      <w:rPr>
        <w:rStyle w:val="slostrany"/>
      </w:rPr>
    </w:pPr>
  </w:p>
  <w:p w:rsidR="00620491" w:rsidRPr="00962DC0" w:rsidRDefault="00620491" w:rsidP="00620491">
    <w:pPr>
      <w:tabs>
        <w:tab w:val="center" w:pos="4536"/>
        <w:tab w:val="right" w:pos="9072"/>
      </w:tabs>
      <w:rPr>
        <w:rFonts w:ascii="Times New Roman" w:eastAsia="Calibri" w:hAnsi="Times New Roman" w:cs="Times New Roman"/>
        <w:bCs/>
        <w:sz w:val="18"/>
        <w:szCs w:val="18"/>
        <w:lang w:eastAsia="sk-SK"/>
      </w:rPr>
    </w:pPr>
  </w:p>
  <w:p w:rsidR="00A31B8C" w:rsidRDefault="00A31B8C">
    <w:pPr>
      <w:pStyle w:val="Hlavik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491" w:rsidRPr="00962DC0" w:rsidRDefault="00620491" w:rsidP="00620491">
    <w:pPr>
      <w:tabs>
        <w:tab w:val="center" w:pos="4536"/>
        <w:tab w:val="right" w:pos="9072"/>
      </w:tabs>
      <w:rPr>
        <w:rFonts w:ascii="Times New Roman" w:eastAsia="Calibri" w:hAnsi="Times New Roman" w:cs="Times New Roman"/>
        <w:bCs/>
        <w:sz w:val="18"/>
        <w:szCs w:val="18"/>
        <w:lang w:eastAsia="sk-SK"/>
      </w:rPr>
    </w:pPr>
    <w:r w:rsidRPr="00962DC0">
      <w:rPr>
        <w:rFonts w:ascii="Times New Roman" w:eastAsia="Calibri" w:hAnsi="Times New Roman" w:cs="Times New Roman"/>
        <w:bCs/>
        <w:sz w:val="18"/>
        <w:szCs w:val="18"/>
        <w:lang w:val="x-none" w:eastAsia="sk-SK"/>
      </w:rPr>
      <w:t>Schválený text k rozhodnutiu o </w:t>
    </w:r>
    <w:r w:rsidRPr="00962DC0">
      <w:rPr>
        <w:rFonts w:ascii="Times New Roman" w:eastAsia="Calibri" w:hAnsi="Times New Roman" w:cs="Times New Roman"/>
        <w:bCs/>
        <w:sz w:val="18"/>
        <w:szCs w:val="18"/>
        <w:lang w:eastAsia="sk-SK"/>
      </w:rPr>
      <w:t xml:space="preserve">prevode, ev. č.: </w:t>
    </w:r>
    <w:r w:rsidR="00900C1C">
      <w:rPr>
        <w:rFonts w:ascii="Times New Roman" w:eastAsia="Calibri" w:hAnsi="Times New Roman" w:cs="Times New Roman"/>
        <w:bCs/>
        <w:sz w:val="18"/>
        <w:szCs w:val="18"/>
        <w:lang w:eastAsia="sk-SK"/>
      </w:rPr>
      <w:t>2017/04310-TR</w:t>
    </w:r>
  </w:p>
  <w:p w:rsidR="00620491" w:rsidRDefault="0062049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D50"/>
    <w:multiLevelType w:val="multilevel"/>
    <w:tmpl w:val="1980AA42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2F5644F"/>
    <w:multiLevelType w:val="singleLevel"/>
    <w:tmpl w:val="06DA5704"/>
    <w:lvl w:ilvl="0">
      <w:start w:val="2"/>
      <w:numFmt w:val="decimal"/>
      <w:lvlText w:val="6.%1.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>
    <w:nsid w:val="1D5F6EFF"/>
    <w:multiLevelType w:val="hybridMultilevel"/>
    <w:tmpl w:val="BE22A620"/>
    <w:lvl w:ilvl="0" w:tplc="4B72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E55A1"/>
    <w:multiLevelType w:val="hybridMultilevel"/>
    <w:tmpl w:val="B5062D96"/>
    <w:lvl w:ilvl="0" w:tplc="D9A63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A5B7E"/>
    <w:multiLevelType w:val="singleLevel"/>
    <w:tmpl w:val="C9FA37F6"/>
    <w:lvl w:ilvl="0">
      <w:start w:val="1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5">
    <w:nsid w:val="405416E8"/>
    <w:multiLevelType w:val="hybridMultilevel"/>
    <w:tmpl w:val="099CEA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C6BDF"/>
    <w:multiLevelType w:val="hybridMultilevel"/>
    <w:tmpl w:val="390E536A"/>
    <w:lvl w:ilvl="0" w:tplc="D9A63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02528"/>
    <w:multiLevelType w:val="singleLevel"/>
    <w:tmpl w:val="5A980226"/>
    <w:lvl w:ilvl="0">
      <w:start w:val="4"/>
      <w:numFmt w:val="decimal"/>
      <w:lvlText w:val="4.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8">
    <w:nsid w:val="56AD6C27"/>
    <w:multiLevelType w:val="singleLevel"/>
    <w:tmpl w:val="9E4097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9">
    <w:nsid w:val="57C26BA0"/>
    <w:multiLevelType w:val="singleLevel"/>
    <w:tmpl w:val="632C1DD8"/>
    <w:lvl w:ilvl="0">
      <w:start w:val="9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0">
    <w:nsid w:val="5DDD29B1"/>
    <w:multiLevelType w:val="hybridMultilevel"/>
    <w:tmpl w:val="468C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D6CD4"/>
    <w:multiLevelType w:val="singleLevel"/>
    <w:tmpl w:val="921225A6"/>
    <w:lvl w:ilvl="0">
      <w:start w:val="3"/>
      <w:numFmt w:val="decimal"/>
      <w:lvlText w:val="%1."/>
      <w:legacy w:legacy="1" w:legacySpace="0" w:legacyIndent="677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7"/>
    <w:lvlOverride w:ilvl="0">
      <w:lvl w:ilvl="0">
        <w:start w:val="4"/>
        <w:numFmt w:val="decimal"/>
        <w:lvlText w:val="4.%1."/>
        <w:legacy w:legacy="1" w:legacySpace="0" w:legacyIndent="705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S">
    <w15:presenceInfo w15:providerId="None" w15:userId="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94"/>
    <w:rsid w:val="0000595F"/>
    <w:rsid w:val="00010200"/>
    <w:rsid w:val="00014797"/>
    <w:rsid w:val="00020431"/>
    <w:rsid w:val="00026458"/>
    <w:rsid w:val="00034369"/>
    <w:rsid w:val="0003595C"/>
    <w:rsid w:val="000569EC"/>
    <w:rsid w:val="00056E8F"/>
    <w:rsid w:val="00061087"/>
    <w:rsid w:val="000618ED"/>
    <w:rsid w:val="000631DD"/>
    <w:rsid w:val="0006349B"/>
    <w:rsid w:val="00080912"/>
    <w:rsid w:val="00087479"/>
    <w:rsid w:val="000929B8"/>
    <w:rsid w:val="00093503"/>
    <w:rsid w:val="000A533A"/>
    <w:rsid w:val="000A6961"/>
    <w:rsid w:val="000C0C68"/>
    <w:rsid w:val="000C7AF1"/>
    <w:rsid w:val="000E0EBE"/>
    <w:rsid w:val="000E360D"/>
    <w:rsid w:val="00105399"/>
    <w:rsid w:val="00107232"/>
    <w:rsid w:val="001331A7"/>
    <w:rsid w:val="00134ADC"/>
    <w:rsid w:val="00150309"/>
    <w:rsid w:val="0015314C"/>
    <w:rsid w:val="00156A76"/>
    <w:rsid w:val="0018288C"/>
    <w:rsid w:val="0019033A"/>
    <w:rsid w:val="00193059"/>
    <w:rsid w:val="001B0A89"/>
    <w:rsid w:val="001C10A2"/>
    <w:rsid w:val="001C2EF7"/>
    <w:rsid w:val="001D2268"/>
    <w:rsid w:val="001D5BEF"/>
    <w:rsid w:val="001F31A4"/>
    <w:rsid w:val="001F3FC0"/>
    <w:rsid w:val="001F41FA"/>
    <w:rsid w:val="002151E2"/>
    <w:rsid w:val="00217274"/>
    <w:rsid w:val="00226867"/>
    <w:rsid w:val="002504CB"/>
    <w:rsid w:val="00250FD0"/>
    <w:rsid w:val="00253782"/>
    <w:rsid w:val="00264340"/>
    <w:rsid w:val="00265512"/>
    <w:rsid w:val="00267079"/>
    <w:rsid w:val="00267EC0"/>
    <w:rsid w:val="00275482"/>
    <w:rsid w:val="00277C36"/>
    <w:rsid w:val="002838C3"/>
    <w:rsid w:val="00283E6D"/>
    <w:rsid w:val="0029170F"/>
    <w:rsid w:val="002921DC"/>
    <w:rsid w:val="00293DAD"/>
    <w:rsid w:val="002A1116"/>
    <w:rsid w:val="002A187F"/>
    <w:rsid w:val="002A3F08"/>
    <w:rsid w:val="002B1EF1"/>
    <w:rsid w:val="002B51FE"/>
    <w:rsid w:val="002C06A1"/>
    <w:rsid w:val="002C358A"/>
    <w:rsid w:val="002C7F4E"/>
    <w:rsid w:val="002F31CE"/>
    <w:rsid w:val="002F3B40"/>
    <w:rsid w:val="00301AF4"/>
    <w:rsid w:val="00302163"/>
    <w:rsid w:val="00303534"/>
    <w:rsid w:val="00306B45"/>
    <w:rsid w:val="003135E2"/>
    <w:rsid w:val="00323D05"/>
    <w:rsid w:val="0033009A"/>
    <w:rsid w:val="0033527B"/>
    <w:rsid w:val="00336DA2"/>
    <w:rsid w:val="003378EF"/>
    <w:rsid w:val="0034412B"/>
    <w:rsid w:val="00353A97"/>
    <w:rsid w:val="00353C96"/>
    <w:rsid w:val="00354344"/>
    <w:rsid w:val="0035655A"/>
    <w:rsid w:val="00360F6D"/>
    <w:rsid w:val="00367A2B"/>
    <w:rsid w:val="0037631B"/>
    <w:rsid w:val="00380D97"/>
    <w:rsid w:val="00390A51"/>
    <w:rsid w:val="003A1A9F"/>
    <w:rsid w:val="003A52E2"/>
    <w:rsid w:val="003B5C20"/>
    <w:rsid w:val="003C0316"/>
    <w:rsid w:val="003C145F"/>
    <w:rsid w:val="003C5999"/>
    <w:rsid w:val="003D0393"/>
    <w:rsid w:val="003D0689"/>
    <w:rsid w:val="003D0B2E"/>
    <w:rsid w:val="003D14FC"/>
    <w:rsid w:val="003D1D8C"/>
    <w:rsid w:val="003D4896"/>
    <w:rsid w:val="003D6435"/>
    <w:rsid w:val="003E62E7"/>
    <w:rsid w:val="003F46FD"/>
    <w:rsid w:val="004031FA"/>
    <w:rsid w:val="00406796"/>
    <w:rsid w:val="00412F13"/>
    <w:rsid w:val="0042033B"/>
    <w:rsid w:val="004313AB"/>
    <w:rsid w:val="00436F34"/>
    <w:rsid w:val="00442786"/>
    <w:rsid w:val="004531C3"/>
    <w:rsid w:val="00470888"/>
    <w:rsid w:val="00472C15"/>
    <w:rsid w:val="00485E20"/>
    <w:rsid w:val="004A59FE"/>
    <w:rsid w:val="004A6C9B"/>
    <w:rsid w:val="004B37B8"/>
    <w:rsid w:val="004B4239"/>
    <w:rsid w:val="004B711A"/>
    <w:rsid w:val="004C3AAA"/>
    <w:rsid w:val="004C6298"/>
    <w:rsid w:val="004E1AEA"/>
    <w:rsid w:val="004E1D9B"/>
    <w:rsid w:val="004F18B5"/>
    <w:rsid w:val="004F1A12"/>
    <w:rsid w:val="004F7270"/>
    <w:rsid w:val="0050330F"/>
    <w:rsid w:val="00516BFB"/>
    <w:rsid w:val="0053293E"/>
    <w:rsid w:val="00533116"/>
    <w:rsid w:val="00547ED5"/>
    <w:rsid w:val="00564474"/>
    <w:rsid w:val="00565A7E"/>
    <w:rsid w:val="005A657B"/>
    <w:rsid w:val="005B41C7"/>
    <w:rsid w:val="005B54AC"/>
    <w:rsid w:val="005B7711"/>
    <w:rsid w:val="005C0CE9"/>
    <w:rsid w:val="005D475E"/>
    <w:rsid w:val="005E0803"/>
    <w:rsid w:val="005E0C61"/>
    <w:rsid w:val="005F3958"/>
    <w:rsid w:val="005F6618"/>
    <w:rsid w:val="00602B56"/>
    <w:rsid w:val="00602FA5"/>
    <w:rsid w:val="00604210"/>
    <w:rsid w:val="0060573C"/>
    <w:rsid w:val="006101F2"/>
    <w:rsid w:val="00615836"/>
    <w:rsid w:val="0061585C"/>
    <w:rsid w:val="00615F5F"/>
    <w:rsid w:val="00620491"/>
    <w:rsid w:val="00623C1D"/>
    <w:rsid w:val="0063715B"/>
    <w:rsid w:val="00650DA2"/>
    <w:rsid w:val="00654631"/>
    <w:rsid w:val="00662632"/>
    <w:rsid w:val="0067016B"/>
    <w:rsid w:val="0069195D"/>
    <w:rsid w:val="0069225A"/>
    <w:rsid w:val="0069310A"/>
    <w:rsid w:val="0069410A"/>
    <w:rsid w:val="00696222"/>
    <w:rsid w:val="006A561F"/>
    <w:rsid w:val="006A67F7"/>
    <w:rsid w:val="006B2ED1"/>
    <w:rsid w:val="006B632F"/>
    <w:rsid w:val="006C2DBF"/>
    <w:rsid w:val="006C65B3"/>
    <w:rsid w:val="006D6513"/>
    <w:rsid w:val="006D66B4"/>
    <w:rsid w:val="006E2BC8"/>
    <w:rsid w:val="006E6227"/>
    <w:rsid w:val="006F4216"/>
    <w:rsid w:val="006F4F6D"/>
    <w:rsid w:val="007100BA"/>
    <w:rsid w:val="007158F6"/>
    <w:rsid w:val="00717141"/>
    <w:rsid w:val="00717B63"/>
    <w:rsid w:val="00726C30"/>
    <w:rsid w:val="007311AA"/>
    <w:rsid w:val="00734F39"/>
    <w:rsid w:val="0073544A"/>
    <w:rsid w:val="00743F8E"/>
    <w:rsid w:val="0074649C"/>
    <w:rsid w:val="007513FA"/>
    <w:rsid w:val="00766431"/>
    <w:rsid w:val="00776F82"/>
    <w:rsid w:val="00780371"/>
    <w:rsid w:val="00782D1A"/>
    <w:rsid w:val="007838AB"/>
    <w:rsid w:val="007933F7"/>
    <w:rsid w:val="007B70AC"/>
    <w:rsid w:val="007C1DBA"/>
    <w:rsid w:val="007C455A"/>
    <w:rsid w:val="007C7EF1"/>
    <w:rsid w:val="007D7F35"/>
    <w:rsid w:val="007E7E9F"/>
    <w:rsid w:val="007F2E40"/>
    <w:rsid w:val="00804F7B"/>
    <w:rsid w:val="00807ED3"/>
    <w:rsid w:val="008147F0"/>
    <w:rsid w:val="008149B2"/>
    <w:rsid w:val="008171EA"/>
    <w:rsid w:val="008260C0"/>
    <w:rsid w:val="00833DC4"/>
    <w:rsid w:val="0083436B"/>
    <w:rsid w:val="008361E8"/>
    <w:rsid w:val="00851A45"/>
    <w:rsid w:val="00852C46"/>
    <w:rsid w:val="0085640A"/>
    <w:rsid w:val="0086112C"/>
    <w:rsid w:val="00865B70"/>
    <w:rsid w:val="00880364"/>
    <w:rsid w:val="0088324D"/>
    <w:rsid w:val="00885E3C"/>
    <w:rsid w:val="008931D9"/>
    <w:rsid w:val="008A73D7"/>
    <w:rsid w:val="008B2EC6"/>
    <w:rsid w:val="008C1A16"/>
    <w:rsid w:val="008C5A93"/>
    <w:rsid w:val="008D0363"/>
    <w:rsid w:val="00900C1C"/>
    <w:rsid w:val="00900F39"/>
    <w:rsid w:val="00900FC9"/>
    <w:rsid w:val="00901E4E"/>
    <w:rsid w:val="00917019"/>
    <w:rsid w:val="00933917"/>
    <w:rsid w:val="009426A5"/>
    <w:rsid w:val="00952E6C"/>
    <w:rsid w:val="00954039"/>
    <w:rsid w:val="00960C03"/>
    <w:rsid w:val="0096721D"/>
    <w:rsid w:val="0099209B"/>
    <w:rsid w:val="0099286B"/>
    <w:rsid w:val="009953CA"/>
    <w:rsid w:val="0099610C"/>
    <w:rsid w:val="009A5D96"/>
    <w:rsid w:val="009A78A1"/>
    <w:rsid w:val="009B4F90"/>
    <w:rsid w:val="009C38F8"/>
    <w:rsid w:val="009D1AD6"/>
    <w:rsid w:val="009D384D"/>
    <w:rsid w:val="009D3A38"/>
    <w:rsid w:val="009D6757"/>
    <w:rsid w:val="009F1C15"/>
    <w:rsid w:val="009F34F7"/>
    <w:rsid w:val="009F54B9"/>
    <w:rsid w:val="00A05105"/>
    <w:rsid w:val="00A12DE8"/>
    <w:rsid w:val="00A176BF"/>
    <w:rsid w:val="00A242C6"/>
    <w:rsid w:val="00A31B8C"/>
    <w:rsid w:val="00A354B8"/>
    <w:rsid w:val="00A403DF"/>
    <w:rsid w:val="00A432BE"/>
    <w:rsid w:val="00A44030"/>
    <w:rsid w:val="00A44380"/>
    <w:rsid w:val="00A52B8E"/>
    <w:rsid w:val="00A673BE"/>
    <w:rsid w:val="00A774D1"/>
    <w:rsid w:val="00A7772F"/>
    <w:rsid w:val="00A8052D"/>
    <w:rsid w:val="00A80EF4"/>
    <w:rsid w:val="00A825DB"/>
    <w:rsid w:val="00A8335E"/>
    <w:rsid w:val="00A84AA4"/>
    <w:rsid w:val="00A84EEE"/>
    <w:rsid w:val="00A86105"/>
    <w:rsid w:val="00A87714"/>
    <w:rsid w:val="00A87B86"/>
    <w:rsid w:val="00A90147"/>
    <w:rsid w:val="00AA367E"/>
    <w:rsid w:val="00AA4192"/>
    <w:rsid w:val="00AA5677"/>
    <w:rsid w:val="00AB3DA9"/>
    <w:rsid w:val="00AC0AC1"/>
    <w:rsid w:val="00AE6925"/>
    <w:rsid w:val="00AE7C86"/>
    <w:rsid w:val="00AF6689"/>
    <w:rsid w:val="00B023A3"/>
    <w:rsid w:val="00B104DD"/>
    <w:rsid w:val="00B109C4"/>
    <w:rsid w:val="00B13A58"/>
    <w:rsid w:val="00B1444E"/>
    <w:rsid w:val="00B231FA"/>
    <w:rsid w:val="00B27F5F"/>
    <w:rsid w:val="00B31559"/>
    <w:rsid w:val="00B37B09"/>
    <w:rsid w:val="00B436BE"/>
    <w:rsid w:val="00B52368"/>
    <w:rsid w:val="00B55A2D"/>
    <w:rsid w:val="00B63EF9"/>
    <w:rsid w:val="00B64E88"/>
    <w:rsid w:val="00B7278A"/>
    <w:rsid w:val="00B914C9"/>
    <w:rsid w:val="00B9249A"/>
    <w:rsid w:val="00B9556F"/>
    <w:rsid w:val="00B97EA1"/>
    <w:rsid w:val="00BA50EB"/>
    <w:rsid w:val="00BD1E69"/>
    <w:rsid w:val="00BD5CDB"/>
    <w:rsid w:val="00BD7A27"/>
    <w:rsid w:val="00BE2498"/>
    <w:rsid w:val="00BE5FCB"/>
    <w:rsid w:val="00BF1F0A"/>
    <w:rsid w:val="00BF233D"/>
    <w:rsid w:val="00BF517C"/>
    <w:rsid w:val="00C05F16"/>
    <w:rsid w:val="00C1257F"/>
    <w:rsid w:val="00C16E16"/>
    <w:rsid w:val="00C2589A"/>
    <w:rsid w:val="00C3338A"/>
    <w:rsid w:val="00C33A93"/>
    <w:rsid w:val="00C45A79"/>
    <w:rsid w:val="00C504ED"/>
    <w:rsid w:val="00C63588"/>
    <w:rsid w:val="00C64E60"/>
    <w:rsid w:val="00C7200B"/>
    <w:rsid w:val="00C77BD8"/>
    <w:rsid w:val="00C94091"/>
    <w:rsid w:val="00C942E4"/>
    <w:rsid w:val="00CA003A"/>
    <w:rsid w:val="00CA02C9"/>
    <w:rsid w:val="00CB45D6"/>
    <w:rsid w:val="00CC02CF"/>
    <w:rsid w:val="00CC589C"/>
    <w:rsid w:val="00CC756C"/>
    <w:rsid w:val="00CD0BC4"/>
    <w:rsid w:val="00CD3CB5"/>
    <w:rsid w:val="00CE31A2"/>
    <w:rsid w:val="00CE6CCF"/>
    <w:rsid w:val="00D060D1"/>
    <w:rsid w:val="00D13A40"/>
    <w:rsid w:val="00D24593"/>
    <w:rsid w:val="00D260E7"/>
    <w:rsid w:val="00D267F5"/>
    <w:rsid w:val="00D363D7"/>
    <w:rsid w:val="00D47E5E"/>
    <w:rsid w:val="00D61660"/>
    <w:rsid w:val="00D62C20"/>
    <w:rsid w:val="00D77293"/>
    <w:rsid w:val="00D86985"/>
    <w:rsid w:val="00D9166F"/>
    <w:rsid w:val="00D9532D"/>
    <w:rsid w:val="00DA2CCB"/>
    <w:rsid w:val="00DB0087"/>
    <w:rsid w:val="00DB2556"/>
    <w:rsid w:val="00DC6B0D"/>
    <w:rsid w:val="00DD2C7B"/>
    <w:rsid w:val="00DD5895"/>
    <w:rsid w:val="00DD670B"/>
    <w:rsid w:val="00DD7E83"/>
    <w:rsid w:val="00DE2887"/>
    <w:rsid w:val="00DE31AE"/>
    <w:rsid w:val="00DE6298"/>
    <w:rsid w:val="00DF1AD9"/>
    <w:rsid w:val="00E00799"/>
    <w:rsid w:val="00E20279"/>
    <w:rsid w:val="00E36D94"/>
    <w:rsid w:val="00E50DE2"/>
    <w:rsid w:val="00E52834"/>
    <w:rsid w:val="00E5531F"/>
    <w:rsid w:val="00E55801"/>
    <w:rsid w:val="00E635B6"/>
    <w:rsid w:val="00E72805"/>
    <w:rsid w:val="00E73C2A"/>
    <w:rsid w:val="00E83F94"/>
    <w:rsid w:val="00E86AE6"/>
    <w:rsid w:val="00E92FC8"/>
    <w:rsid w:val="00E9508A"/>
    <w:rsid w:val="00EA36E5"/>
    <w:rsid w:val="00EA3A7A"/>
    <w:rsid w:val="00EA53BD"/>
    <w:rsid w:val="00EB2024"/>
    <w:rsid w:val="00EB551F"/>
    <w:rsid w:val="00EB743A"/>
    <w:rsid w:val="00EC5E3B"/>
    <w:rsid w:val="00EE365E"/>
    <w:rsid w:val="00EE7A8B"/>
    <w:rsid w:val="00EE7A90"/>
    <w:rsid w:val="00EF1B03"/>
    <w:rsid w:val="00EF5594"/>
    <w:rsid w:val="00EF6EB3"/>
    <w:rsid w:val="00F00373"/>
    <w:rsid w:val="00F01E41"/>
    <w:rsid w:val="00F102B5"/>
    <w:rsid w:val="00F107EC"/>
    <w:rsid w:val="00F11B39"/>
    <w:rsid w:val="00F14B88"/>
    <w:rsid w:val="00F23D66"/>
    <w:rsid w:val="00F33458"/>
    <w:rsid w:val="00F449C8"/>
    <w:rsid w:val="00F46A21"/>
    <w:rsid w:val="00F62A4F"/>
    <w:rsid w:val="00F73862"/>
    <w:rsid w:val="00F75045"/>
    <w:rsid w:val="00F90F85"/>
    <w:rsid w:val="00F952F4"/>
    <w:rsid w:val="00FA48D0"/>
    <w:rsid w:val="00FC0271"/>
    <w:rsid w:val="00FC3B90"/>
    <w:rsid w:val="00FC59CE"/>
    <w:rsid w:val="00FE7236"/>
    <w:rsid w:val="00FE7718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4AC"/>
    <w:pPr>
      <w:widowControl w:val="0"/>
      <w:autoSpaceDE w:val="0"/>
      <w:autoSpaceDN w:val="0"/>
      <w:adjustRightInd w:val="0"/>
    </w:pPr>
    <w:rPr>
      <w:rFonts w:ascii="Arial" w:hAnsi="Arial" w:cs="Arial"/>
      <w:lang w:val="sk-SK" w:eastAsia="en-US"/>
    </w:rPr>
  </w:style>
  <w:style w:type="paragraph" w:styleId="Nadpis1">
    <w:name w:val="heading 1"/>
    <w:basedOn w:val="Normlny"/>
    <w:next w:val="Normlny"/>
    <w:qFormat/>
    <w:rsid w:val="007F2E40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F2E40"/>
    <w:pPr>
      <w:widowControl/>
      <w:autoSpaceDE/>
      <w:autoSpaceDN/>
      <w:adjustRightInd/>
    </w:pPr>
    <w:rPr>
      <w:rFonts w:ascii="Times New Roman" w:hAnsi="Times New Roman" w:cs="Times New Roman"/>
      <w:sz w:val="24"/>
      <w:lang w:val="cs-CZ"/>
    </w:rPr>
  </w:style>
  <w:style w:type="paragraph" w:styleId="Zkladntext3">
    <w:name w:val="Body Text 3"/>
    <w:basedOn w:val="Normlny"/>
    <w:rsid w:val="00960C03"/>
    <w:pPr>
      <w:spacing w:after="120"/>
    </w:pPr>
    <w:rPr>
      <w:sz w:val="16"/>
      <w:szCs w:val="16"/>
    </w:rPr>
  </w:style>
  <w:style w:type="paragraph" w:customStyle="1" w:styleId="tl1">
    <w:name w:val="Štýl1"/>
    <w:basedOn w:val="Normlny"/>
    <w:rsid w:val="00CA02C9"/>
    <w:pPr>
      <w:widowControl/>
      <w:tabs>
        <w:tab w:val="left" w:pos="567"/>
      </w:tabs>
      <w:autoSpaceDE/>
      <w:autoSpaceDN/>
      <w:adjustRightInd/>
      <w:jc w:val="both"/>
    </w:pPr>
    <w:rPr>
      <w:rFonts w:ascii="Times New Roman" w:hAnsi="Times New Roman" w:cs="Times New Roman"/>
      <w:sz w:val="24"/>
      <w:lang w:eastAsia="sk-SK"/>
    </w:rPr>
  </w:style>
  <w:style w:type="character" w:styleId="slostrany">
    <w:name w:val="page number"/>
    <w:basedOn w:val="Predvolenpsmoodseku"/>
    <w:rsid w:val="00CA02C9"/>
  </w:style>
  <w:style w:type="paragraph" w:styleId="Pta">
    <w:name w:val="footer"/>
    <w:basedOn w:val="Normlny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styleId="Hlavika">
    <w:name w:val="header"/>
    <w:basedOn w:val="Normlny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customStyle="1" w:styleId="NormalArial">
    <w:name w:val="Normal + Arial"/>
    <w:basedOn w:val="Normlny"/>
    <w:link w:val="NormalArialChar"/>
    <w:rsid w:val="00CA02C9"/>
    <w:pPr>
      <w:widowControl/>
      <w:overflowPunct w:val="0"/>
      <w:ind w:right="43"/>
      <w:jc w:val="center"/>
    </w:pPr>
    <w:rPr>
      <w:b/>
      <w:i/>
      <w:sz w:val="16"/>
      <w:szCs w:val="16"/>
      <w:lang w:eastAsia="sk-SK"/>
    </w:rPr>
  </w:style>
  <w:style w:type="character" w:customStyle="1" w:styleId="NormalArialChar">
    <w:name w:val="Normal + Arial Char"/>
    <w:link w:val="NormalArial"/>
    <w:rsid w:val="00CA02C9"/>
    <w:rPr>
      <w:rFonts w:ascii="Arial" w:hAnsi="Arial" w:cs="Arial"/>
      <w:b/>
      <w:i/>
      <w:sz w:val="16"/>
      <w:szCs w:val="16"/>
      <w:lang w:val="sk-SK" w:eastAsia="sk-SK" w:bidi="ar-SA"/>
    </w:rPr>
  </w:style>
  <w:style w:type="paragraph" w:styleId="Textbubliny">
    <w:name w:val="Balloon Text"/>
    <w:basedOn w:val="Normlny"/>
    <w:semiHidden/>
    <w:rsid w:val="00353C9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link w:val="TextChar"/>
    <w:rsid w:val="00DC6B0D"/>
    <w:pPr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sz w:val="24"/>
    </w:rPr>
  </w:style>
  <w:style w:type="character" w:customStyle="1" w:styleId="TextChar">
    <w:name w:val="Text Char"/>
    <w:link w:val="Text"/>
    <w:rsid w:val="00DC6B0D"/>
    <w:rPr>
      <w:rFonts w:eastAsia="MS Mincho"/>
      <w:sz w:val="24"/>
    </w:rPr>
  </w:style>
  <w:style w:type="paragraph" w:customStyle="1" w:styleId="Table">
    <w:name w:val="Table"/>
    <w:basedOn w:val="Normlny"/>
    <w:link w:val="TableChar"/>
    <w:rsid w:val="002B1EF1"/>
    <w:pPr>
      <w:keepLines/>
      <w:widowControl/>
      <w:tabs>
        <w:tab w:val="left" w:pos="284"/>
      </w:tabs>
      <w:autoSpaceDE/>
      <w:autoSpaceDN/>
      <w:adjustRightInd/>
      <w:spacing w:before="40" w:after="20"/>
    </w:pPr>
    <w:rPr>
      <w:rFonts w:eastAsia="MS Mincho" w:cs="Times New Roman"/>
      <w:szCs w:val="24"/>
    </w:rPr>
  </w:style>
  <w:style w:type="character" w:customStyle="1" w:styleId="TableChar">
    <w:name w:val="Table Char"/>
    <w:link w:val="Table"/>
    <w:rsid w:val="002B1EF1"/>
    <w:rPr>
      <w:rFonts w:ascii="Arial" w:eastAsia="MS Mincho" w:hAnsi="Arial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EE7A8B"/>
    <w:pPr>
      <w:keepNext/>
      <w:keepLines/>
      <w:widowControl/>
      <w:autoSpaceDE/>
      <w:autoSpaceDN/>
      <w:adjustRightInd/>
      <w:spacing w:before="240" w:after="60"/>
      <w:ind w:left="1701" w:hanging="1701"/>
    </w:pPr>
    <w:rPr>
      <w:rFonts w:eastAsia="MS Gothic" w:cs="Times New Roman"/>
      <w:b/>
      <w:sz w:val="24"/>
      <w:szCs w:val="24"/>
    </w:rPr>
  </w:style>
  <w:style w:type="character" w:customStyle="1" w:styleId="Nottoc-headingsChar">
    <w:name w:val="Not toc-headings Char"/>
    <w:link w:val="Nottoc-headings"/>
    <w:rsid w:val="00EE7A8B"/>
    <w:rPr>
      <w:rFonts w:ascii="Arial" w:eastAsia="MS Gothic" w:hAnsi="Arial"/>
      <w:b/>
      <w:sz w:val="24"/>
      <w:szCs w:val="24"/>
    </w:rPr>
  </w:style>
  <w:style w:type="paragraph" w:customStyle="1" w:styleId="Listlevel1">
    <w:name w:val="List level 1"/>
    <w:basedOn w:val="Normlny"/>
    <w:rsid w:val="0067016B"/>
    <w:pPr>
      <w:widowControl/>
      <w:autoSpaceDE/>
      <w:autoSpaceDN/>
      <w:adjustRightInd/>
      <w:spacing w:before="40" w:after="20"/>
      <w:ind w:left="425" w:hanging="425"/>
    </w:pPr>
    <w:rPr>
      <w:rFonts w:ascii="Times New Roman" w:eastAsia="MS Mincho" w:hAnsi="Times New Roman" w:cs="Times New Roman"/>
      <w:sz w:val="24"/>
    </w:rPr>
  </w:style>
  <w:style w:type="paragraph" w:customStyle="1" w:styleId="Comment">
    <w:name w:val="Comment"/>
    <w:basedOn w:val="Normlny"/>
    <w:next w:val="Normlny"/>
    <w:link w:val="CommentChar"/>
    <w:rsid w:val="008B2EC6"/>
    <w:pPr>
      <w:keepLines/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i/>
      <w:color w:val="BF30B5"/>
      <w:sz w:val="24"/>
      <w:szCs w:val="24"/>
    </w:rPr>
  </w:style>
  <w:style w:type="character" w:customStyle="1" w:styleId="CommentChar">
    <w:name w:val="Comment Char"/>
    <w:link w:val="Comment"/>
    <w:rsid w:val="008B2EC6"/>
    <w:rPr>
      <w:rFonts w:eastAsia="MS Mincho"/>
      <w:i/>
      <w:color w:val="BF30B5"/>
      <w:sz w:val="24"/>
      <w:szCs w:val="24"/>
    </w:rPr>
  </w:style>
  <w:style w:type="character" w:customStyle="1" w:styleId="hps">
    <w:name w:val="hps"/>
    <w:rsid w:val="00734F39"/>
  </w:style>
  <w:style w:type="character" w:styleId="Odkaznakomentr">
    <w:name w:val="annotation reference"/>
    <w:uiPriority w:val="99"/>
    <w:semiHidden/>
    <w:unhideWhenUsed/>
    <w:rsid w:val="00A80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0EF4"/>
  </w:style>
  <w:style w:type="character" w:customStyle="1" w:styleId="TextkomentraChar">
    <w:name w:val="Text komentára Char"/>
    <w:link w:val="Textkomentra"/>
    <w:uiPriority w:val="99"/>
    <w:semiHidden/>
    <w:rsid w:val="00A80EF4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EF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80EF4"/>
    <w:rPr>
      <w:rFonts w:ascii="Arial" w:hAnsi="Arial" w:cs="Arial"/>
      <w:b/>
      <w:bCs/>
    </w:rPr>
  </w:style>
  <w:style w:type="paragraph" w:styleId="Odsekzoznamu">
    <w:name w:val="List Paragraph"/>
    <w:basedOn w:val="Normlny"/>
    <w:uiPriority w:val="34"/>
    <w:qFormat/>
    <w:rsid w:val="00516BF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val="nl-NL" w:eastAsia="nl-NL"/>
    </w:rPr>
  </w:style>
  <w:style w:type="table" w:styleId="Mriekatabuky">
    <w:name w:val="Table Grid"/>
    <w:basedOn w:val="Normlnatabuka"/>
    <w:rsid w:val="00BE5FC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A90147"/>
    <w:rPr>
      <w:i/>
      <w:iCs/>
    </w:rPr>
  </w:style>
  <w:style w:type="character" w:styleId="Hypertextovprepojenie">
    <w:name w:val="Hyperlink"/>
    <w:semiHidden/>
    <w:unhideWhenUsed/>
    <w:rsid w:val="0069310A"/>
    <w:rPr>
      <w:color w:val="0000FF"/>
      <w:u w:val="single"/>
    </w:rPr>
  </w:style>
  <w:style w:type="paragraph" w:styleId="Revzia">
    <w:name w:val="Revision"/>
    <w:hidden/>
    <w:uiPriority w:val="99"/>
    <w:semiHidden/>
    <w:rsid w:val="007311AA"/>
    <w:rPr>
      <w:rFonts w:ascii="Arial" w:hAnsi="Arial" w:cs="Arial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4AC"/>
    <w:pPr>
      <w:widowControl w:val="0"/>
      <w:autoSpaceDE w:val="0"/>
      <w:autoSpaceDN w:val="0"/>
      <w:adjustRightInd w:val="0"/>
    </w:pPr>
    <w:rPr>
      <w:rFonts w:ascii="Arial" w:hAnsi="Arial" w:cs="Arial"/>
      <w:lang w:val="sk-SK" w:eastAsia="en-US"/>
    </w:rPr>
  </w:style>
  <w:style w:type="paragraph" w:styleId="Nadpis1">
    <w:name w:val="heading 1"/>
    <w:basedOn w:val="Normlny"/>
    <w:next w:val="Normlny"/>
    <w:qFormat/>
    <w:rsid w:val="007F2E40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7F2E40"/>
    <w:pPr>
      <w:widowControl/>
      <w:autoSpaceDE/>
      <w:autoSpaceDN/>
      <w:adjustRightInd/>
    </w:pPr>
    <w:rPr>
      <w:rFonts w:ascii="Times New Roman" w:hAnsi="Times New Roman" w:cs="Times New Roman"/>
      <w:sz w:val="24"/>
      <w:lang w:val="cs-CZ"/>
    </w:rPr>
  </w:style>
  <w:style w:type="paragraph" w:styleId="Zkladntext3">
    <w:name w:val="Body Text 3"/>
    <w:basedOn w:val="Normlny"/>
    <w:rsid w:val="00960C03"/>
    <w:pPr>
      <w:spacing w:after="120"/>
    </w:pPr>
    <w:rPr>
      <w:sz w:val="16"/>
      <w:szCs w:val="16"/>
    </w:rPr>
  </w:style>
  <w:style w:type="paragraph" w:customStyle="1" w:styleId="tl1">
    <w:name w:val="Štýl1"/>
    <w:basedOn w:val="Normlny"/>
    <w:rsid w:val="00CA02C9"/>
    <w:pPr>
      <w:widowControl/>
      <w:tabs>
        <w:tab w:val="left" w:pos="567"/>
      </w:tabs>
      <w:autoSpaceDE/>
      <w:autoSpaceDN/>
      <w:adjustRightInd/>
      <w:jc w:val="both"/>
    </w:pPr>
    <w:rPr>
      <w:rFonts w:ascii="Times New Roman" w:hAnsi="Times New Roman" w:cs="Times New Roman"/>
      <w:sz w:val="24"/>
      <w:lang w:eastAsia="sk-SK"/>
    </w:rPr>
  </w:style>
  <w:style w:type="character" w:styleId="slostrany">
    <w:name w:val="page number"/>
    <w:basedOn w:val="Predvolenpsmoodseku"/>
    <w:rsid w:val="00CA02C9"/>
  </w:style>
  <w:style w:type="paragraph" w:styleId="Pta">
    <w:name w:val="footer"/>
    <w:basedOn w:val="Normlny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styleId="Hlavika">
    <w:name w:val="header"/>
    <w:basedOn w:val="Normlny"/>
    <w:rsid w:val="00CA02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lang w:eastAsia="sk-SK"/>
    </w:rPr>
  </w:style>
  <w:style w:type="paragraph" w:customStyle="1" w:styleId="NormalArial">
    <w:name w:val="Normal + Arial"/>
    <w:basedOn w:val="Normlny"/>
    <w:link w:val="NormalArialChar"/>
    <w:rsid w:val="00CA02C9"/>
    <w:pPr>
      <w:widowControl/>
      <w:overflowPunct w:val="0"/>
      <w:ind w:right="43"/>
      <w:jc w:val="center"/>
    </w:pPr>
    <w:rPr>
      <w:b/>
      <w:i/>
      <w:sz w:val="16"/>
      <w:szCs w:val="16"/>
      <w:lang w:eastAsia="sk-SK"/>
    </w:rPr>
  </w:style>
  <w:style w:type="character" w:customStyle="1" w:styleId="NormalArialChar">
    <w:name w:val="Normal + Arial Char"/>
    <w:link w:val="NormalArial"/>
    <w:rsid w:val="00CA02C9"/>
    <w:rPr>
      <w:rFonts w:ascii="Arial" w:hAnsi="Arial" w:cs="Arial"/>
      <w:b/>
      <w:i/>
      <w:sz w:val="16"/>
      <w:szCs w:val="16"/>
      <w:lang w:val="sk-SK" w:eastAsia="sk-SK" w:bidi="ar-SA"/>
    </w:rPr>
  </w:style>
  <w:style w:type="paragraph" w:styleId="Textbubliny">
    <w:name w:val="Balloon Text"/>
    <w:basedOn w:val="Normlny"/>
    <w:semiHidden/>
    <w:rsid w:val="00353C9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link w:val="TextChar"/>
    <w:rsid w:val="00DC6B0D"/>
    <w:pPr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sz w:val="24"/>
    </w:rPr>
  </w:style>
  <w:style w:type="character" w:customStyle="1" w:styleId="TextChar">
    <w:name w:val="Text Char"/>
    <w:link w:val="Text"/>
    <w:rsid w:val="00DC6B0D"/>
    <w:rPr>
      <w:rFonts w:eastAsia="MS Mincho"/>
      <w:sz w:val="24"/>
    </w:rPr>
  </w:style>
  <w:style w:type="paragraph" w:customStyle="1" w:styleId="Table">
    <w:name w:val="Table"/>
    <w:basedOn w:val="Normlny"/>
    <w:link w:val="TableChar"/>
    <w:rsid w:val="002B1EF1"/>
    <w:pPr>
      <w:keepLines/>
      <w:widowControl/>
      <w:tabs>
        <w:tab w:val="left" w:pos="284"/>
      </w:tabs>
      <w:autoSpaceDE/>
      <w:autoSpaceDN/>
      <w:adjustRightInd/>
      <w:spacing w:before="40" w:after="20"/>
    </w:pPr>
    <w:rPr>
      <w:rFonts w:eastAsia="MS Mincho" w:cs="Times New Roman"/>
      <w:szCs w:val="24"/>
    </w:rPr>
  </w:style>
  <w:style w:type="character" w:customStyle="1" w:styleId="TableChar">
    <w:name w:val="Table Char"/>
    <w:link w:val="Table"/>
    <w:rsid w:val="002B1EF1"/>
    <w:rPr>
      <w:rFonts w:ascii="Arial" w:eastAsia="MS Mincho" w:hAnsi="Arial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EE7A8B"/>
    <w:pPr>
      <w:keepNext/>
      <w:keepLines/>
      <w:widowControl/>
      <w:autoSpaceDE/>
      <w:autoSpaceDN/>
      <w:adjustRightInd/>
      <w:spacing w:before="240" w:after="60"/>
      <w:ind w:left="1701" w:hanging="1701"/>
    </w:pPr>
    <w:rPr>
      <w:rFonts w:eastAsia="MS Gothic" w:cs="Times New Roman"/>
      <w:b/>
      <w:sz w:val="24"/>
      <w:szCs w:val="24"/>
    </w:rPr>
  </w:style>
  <w:style w:type="character" w:customStyle="1" w:styleId="Nottoc-headingsChar">
    <w:name w:val="Not toc-headings Char"/>
    <w:link w:val="Nottoc-headings"/>
    <w:rsid w:val="00EE7A8B"/>
    <w:rPr>
      <w:rFonts w:ascii="Arial" w:eastAsia="MS Gothic" w:hAnsi="Arial"/>
      <w:b/>
      <w:sz w:val="24"/>
      <w:szCs w:val="24"/>
    </w:rPr>
  </w:style>
  <w:style w:type="paragraph" w:customStyle="1" w:styleId="Listlevel1">
    <w:name w:val="List level 1"/>
    <w:basedOn w:val="Normlny"/>
    <w:rsid w:val="0067016B"/>
    <w:pPr>
      <w:widowControl/>
      <w:autoSpaceDE/>
      <w:autoSpaceDN/>
      <w:adjustRightInd/>
      <w:spacing w:before="40" w:after="20"/>
      <w:ind w:left="425" w:hanging="425"/>
    </w:pPr>
    <w:rPr>
      <w:rFonts w:ascii="Times New Roman" w:eastAsia="MS Mincho" w:hAnsi="Times New Roman" w:cs="Times New Roman"/>
      <w:sz w:val="24"/>
    </w:rPr>
  </w:style>
  <w:style w:type="paragraph" w:customStyle="1" w:styleId="Comment">
    <w:name w:val="Comment"/>
    <w:basedOn w:val="Normlny"/>
    <w:next w:val="Normlny"/>
    <w:link w:val="CommentChar"/>
    <w:rsid w:val="008B2EC6"/>
    <w:pPr>
      <w:keepLines/>
      <w:widowControl/>
      <w:autoSpaceDE/>
      <w:autoSpaceDN/>
      <w:adjustRightInd/>
      <w:spacing w:before="120"/>
      <w:jc w:val="both"/>
    </w:pPr>
    <w:rPr>
      <w:rFonts w:ascii="Times New Roman" w:eastAsia="MS Mincho" w:hAnsi="Times New Roman" w:cs="Times New Roman"/>
      <w:i/>
      <w:color w:val="BF30B5"/>
      <w:sz w:val="24"/>
      <w:szCs w:val="24"/>
    </w:rPr>
  </w:style>
  <w:style w:type="character" w:customStyle="1" w:styleId="CommentChar">
    <w:name w:val="Comment Char"/>
    <w:link w:val="Comment"/>
    <w:rsid w:val="008B2EC6"/>
    <w:rPr>
      <w:rFonts w:eastAsia="MS Mincho"/>
      <w:i/>
      <w:color w:val="BF30B5"/>
      <w:sz w:val="24"/>
      <w:szCs w:val="24"/>
    </w:rPr>
  </w:style>
  <w:style w:type="character" w:customStyle="1" w:styleId="hps">
    <w:name w:val="hps"/>
    <w:rsid w:val="00734F39"/>
  </w:style>
  <w:style w:type="character" w:styleId="Odkaznakomentr">
    <w:name w:val="annotation reference"/>
    <w:uiPriority w:val="99"/>
    <w:semiHidden/>
    <w:unhideWhenUsed/>
    <w:rsid w:val="00A80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0EF4"/>
  </w:style>
  <w:style w:type="character" w:customStyle="1" w:styleId="TextkomentraChar">
    <w:name w:val="Text komentára Char"/>
    <w:link w:val="Textkomentra"/>
    <w:uiPriority w:val="99"/>
    <w:semiHidden/>
    <w:rsid w:val="00A80EF4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EF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80EF4"/>
    <w:rPr>
      <w:rFonts w:ascii="Arial" w:hAnsi="Arial" w:cs="Arial"/>
      <w:b/>
      <w:bCs/>
    </w:rPr>
  </w:style>
  <w:style w:type="paragraph" w:styleId="Odsekzoznamu">
    <w:name w:val="List Paragraph"/>
    <w:basedOn w:val="Normlny"/>
    <w:uiPriority w:val="34"/>
    <w:qFormat/>
    <w:rsid w:val="00516BF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val="nl-NL" w:eastAsia="nl-NL"/>
    </w:rPr>
  </w:style>
  <w:style w:type="table" w:styleId="Mriekatabuky">
    <w:name w:val="Table Grid"/>
    <w:basedOn w:val="Normlnatabuka"/>
    <w:rsid w:val="00BE5FC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A90147"/>
    <w:rPr>
      <w:i/>
      <w:iCs/>
    </w:rPr>
  </w:style>
  <w:style w:type="character" w:styleId="Hypertextovprepojenie">
    <w:name w:val="Hyperlink"/>
    <w:semiHidden/>
    <w:unhideWhenUsed/>
    <w:rsid w:val="0069310A"/>
    <w:rPr>
      <w:color w:val="0000FF"/>
      <w:u w:val="single"/>
    </w:rPr>
  </w:style>
  <w:style w:type="paragraph" w:styleId="Revzia">
    <w:name w:val="Revision"/>
    <w:hidden/>
    <w:uiPriority w:val="99"/>
    <w:semiHidden/>
    <w:rsid w:val="007311AA"/>
    <w:rPr>
      <w:rFonts w:ascii="Arial" w:hAnsi="Arial" w:cs="Arial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5549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87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A6FF"/>
                            <w:left w:val="single" w:sz="6" w:space="2" w:color="66A6FF"/>
                            <w:bottom w:val="single" w:sz="6" w:space="2" w:color="66A6FF"/>
                            <w:right w:val="single" w:sz="6" w:space="2" w:color="66A6FF"/>
                          </w:divBdr>
                        </w:div>
                        <w:div w:id="88363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3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A6FF"/>
                            <w:left w:val="single" w:sz="6" w:space="2" w:color="66A6FF"/>
                            <w:bottom w:val="single" w:sz="6" w:space="2" w:color="66A6FF"/>
                            <w:right w:val="single" w:sz="6" w:space="2" w:color="66A6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1797</Words>
  <Characters>10246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Novartis</Company>
  <LinksUpToDate>false</LinksUpToDate>
  <CharactersWithSpaces>12019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Júlia Subová</dc:creator>
  <cp:lastModifiedBy>EM</cp:lastModifiedBy>
  <cp:revision>4</cp:revision>
  <cp:lastPrinted>2017-09-12T07:42:00Z</cp:lastPrinted>
  <dcterms:created xsi:type="dcterms:W3CDTF">2017-09-12T07:17:00Z</dcterms:created>
  <dcterms:modified xsi:type="dcterms:W3CDTF">2017-09-12T07:42:00Z</dcterms:modified>
</cp:coreProperties>
</file>