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AF348" w14:textId="77777777" w:rsidR="009939A8" w:rsidRDefault="009939A8" w:rsidP="00374898">
      <w:pPr>
        <w:ind w:left="567" w:hanging="567"/>
        <w:jc w:val="center"/>
        <w:rPr>
          <w:b/>
          <w:caps/>
          <w:sz w:val="22"/>
          <w:szCs w:val="22"/>
          <w:lang w:val="sk-SK"/>
        </w:rPr>
      </w:pPr>
      <w:bookmarkStart w:id="0" w:name="_GoBack"/>
      <w:bookmarkEnd w:id="0"/>
    </w:p>
    <w:p w14:paraId="22042043" w14:textId="77777777" w:rsidR="00374898" w:rsidRPr="00BB6D58" w:rsidRDefault="00374898" w:rsidP="00374898">
      <w:pPr>
        <w:ind w:left="567" w:hanging="567"/>
        <w:jc w:val="center"/>
        <w:rPr>
          <w:b/>
          <w:caps/>
          <w:sz w:val="22"/>
          <w:szCs w:val="22"/>
          <w:lang w:val="sk-SK"/>
        </w:rPr>
      </w:pPr>
      <w:r w:rsidRPr="00BB6D58">
        <w:rPr>
          <w:b/>
          <w:caps/>
          <w:sz w:val="22"/>
          <w:szCs w:val="22"/>
          <w:lang w:val="sk-SK"/>
        </w:rPr>
        <w:t>Súhrn charakteristických vlastností lieku</w:t>
      </w:r>
    </w:p>
    <w:p w14:paraId="13566E27" w14:textId="77777777" w:rsidR="00374898" w:rsidRPr="00BB6D58" w:rsidRDefault="00374898" w:rsidP="00374898">
      <w:pPr>
        <w:ind w:left="567" w:hanging="567"/>
        <w:jc w:val="center"/>
        <w:rPr>
          <w:b/>
          <w:caps/>
          <w:sz w:val="22"/>
          <w:szCs w:val="22"/>
          <w:lang w:val="sk-SK"/>
        </w:rPr>
      </w:pPr>
    </w:p>
    <w:p w14:paraId="75CC9067" w14:textId="77777777" w:rsidR="00374898" w:rsidRPr="00EB5AA1" w:rsidRDefault="00374898" w:rsidP="00374898">
      <w:pPr>
        <w:ind w:left="567" w:hanging="567"/>
        <w:rPr>
          <w:b/>
          <w:bCs/>
          <w:sz w:val="22"/>
          <w:szCs w:val="22"/>
          <w:lang w:val="sk-SK"/>
        </w:rPr>
      </w:pPr>
    </w:p>
    <w:p w14:paraId="43CCAF23" w14:textId="77777777" w:rsidR="00374898" w:rsidRPr="00EB5AA1" w:rsidRDefault="00374898" w:rsidP="00374898">
      <w:pPr>
        <w:ind w:left="567" w:hanging="567"/>
        <w:rPr>
          <w:b/>
          <w:sz w:val="22"/>
          <w:szCs w:val="22"/>
          <w:lang w:val="sk-SK"/>
        </w:rPr>
      </w:pPr>
      <w:r w:rsidRPr="00EB5AA1">
        <w:rPr>
          <w:b/>
          <w:bCs/>
          <w:sz w:val="22"/>
          <w:szCs w:val="22"/>
          <w:lang w:val="sk-SK"/>
        </w:rPr>
        <w:t>1.</w:t>
      </w:r>
      <w:r w:rsidRPr="00EB5AA1">
        <w:rPr>
          <w:rStyle w:val="tw4winExternal"/>
          <w:rFonts w:ascii="Times New Roman" w:hAnsi="Times New Roman"/>
          <w:sz w:val="22"/>
          <w:szCs w:val="22"/>
          <w:lang w:val="sk-SK"/>
        </w:rPr>
        <w:tab/>
      </w:r>
      <w:r w:rsidRPr="00EB5AA1">
        <w:rPr>
          <w:b/>
          <w:bCs/>
          <w:sz w:val="22"/>
          <w:szCs w:val="22"/>
          <w:lang w:val="sk-SK"/>
        </w:rPr>
        <w:t>NÁZOV LIEKU</w:t>
      </w:r>
    </w:p>
    <w:p w14:paraId="1E67A4F6" w14:textId="77777777" w:rsidR="00374898" w:rsidRPr="00EB5AA1" w:rsidRDefault="00374898" w:rsidP="00374898">
      <w:pPr>
        <w:rPr>
          <w:sz w:val="22"/>
          <w:szCs w:val="22"/>
          <w:lang w:val="sk-SK"/>
        </w:rPr>
      </w:pPr>
    </w:p>
    <w:p w14:paraId="152DCC84" w14:textId="77777777" w:rsidR="0036354C" w:rsidRDefault="0036354C" w:rsidP="0036354C">
      <w:pPr>
        <w:rPr>
          <w:sz w:val="22"/>
          <w:szCs w:val="22"/>
          <w:lang w:val="sk-SK"/>
        </w:rPr>
      </w:pPr>
      <w:proofErr w:type="spellStart"/>
      <w:r w:rsidRPr="00982042">
        <w:rPr>
          <w:sz w:val="22"/>
          <w:szCs w:val="22"/>
          <w:lang w:val="sk-SK"/>
        </w:rPr>
        <w:t>Bleomedac</w:t>
      </w:r>
      <w:proofErr w:type="spellEnd"/>
      <w:r w:rsidRPr="00982042">
        <w:rPr>
          <w:sz w:val="22"/>
          <w:szCs w:val="22"/>
          <w:lang w:val="sk-SK"/>
        </w:rPr>
        <w:t xml:space="preserve"> 15000 IU</w:t>
      </w:r>
    </w:p>
    <w:p w14:paraId="190B95C8" w14:textId="77777777" w:rsidR="0036354C" w:rsidRDefault="0036354C" w:rsidP="0036354C">
      <w:pPr>
        <w:rPr>
          <w:sz w:val="22"/>
          <w:szCs w:val="22"/>
          <w:lang w:val="sk-SK"/>
        </w:rPr>
      </w:pPr>
      <w:proofErr w:type="spellStart"/>
      <w:r>
        <w:rPr>
          <w:sz w:val="22"/>
          <w:szCs w:val="22"/>
          <w:lang w:val="sk-SK"/>
        </w:rPr>
        <w:t>Bleomedac</w:t>
      </w:r>
      <w:proofErr w:type="spellEnd"/>
      <w:r>
        <w:rPr>
          <w:sz w:val="22"/>
          <w:szCs w:val="22"/>
          <w:lang w:val="sk-SK"/>
        </w:rPr>
        <w:t xml:space="preserve"> </w:t>
      </w:r>
      <w:r w:rsidRPr="00982042">
        <w:rPr>
          <w:sz w:val="22"/>
          <w:szCs w:val="22"/>
          <w:lang w:val="sk-SK"/>
        </w:rPr>
        <w:t>30000 IU</w:t>
      </w:r>
    </w:p>
    <w:p w14:paraId="6C7DEB7A" w14:textId="77777777" w:rsidR="00B95DEA" w:rsidRPr="005F07D2" w:rsidRDefault="00B95DEA" w:rsidP="00262C04">
      <w:pPr>
        <w:rPr>
          <w:sz w:val="22"/>
          <w:szCs w:val="22"/>
          <w:lang w:val="sk-SK"/>
        </w:rPr>
      </w:pPr>
    </w:p>
    <w:p w14:paraId="1B9FAEFD" w14:textId="77777777" w:rsidR="00374898" w:rsidRPr="00EB5AA1" w:rsidRDefault="00374898" w:rsidP="00374898">
      <w:pPr>
        <w:rPr>
          <w:sz w:val="22"/>
          <w:szCs w:val="22"/>
          <w:lang w:val="sk-SK"/>
        </w:rPr>
      </w:pPr>
      <w:r w:rsidRPr="00EB5AA1">
        <w:rPr>
          <w:bCs/>
          <w:sz w:val="22"/>
          <w:szCs w:val="22"/>
          <w:lang w:val="sk-SK"/>
        </w:rPr>
        <w:t>prášok na injekčný roztok</w:t>
      </w:r>
    </w:p>
    <w:p w14:paraId="5808F387" w14:textId="77777777" w:rsidR="00374898" w:rsidRPr="00EB5AA1" w:rsidRDefault="00374898" w:rsidP="00374898">
      <w:pPr>
        <w:rPr>
          <w:b/>
          <w:sz w:val="22"/>
          <w:szCs w:val="22"/>
          <w:lang w:val="sk-SK"/>
        </w:rPr>
      </w:pPr>
    </w:p>
    <w:p w14:paraId="6A737727" w14:textId="77777777" w:rsidR="00374898" w:rsidRPr="00EB5AA1" w:rsidRDefault="00374898" w:rsidP="00374898">
      <w:pPr>
        <w:rPr>
          <w:b/>
          <w:sz w:val="22"/>
          <w:szCs w:val="22"/>
          <w:lang w:val="sk-SK"/>
        </w:rPr>
      </w:pPr>
    </w:p>
    <w:p w14:paraId="6AAF0FB2" w14:textId="77777777" w:rsidR="00374898" w:rsidRPr="00EB5AA1" w:rsidRDefault="00374898" w:rsidP="00374898">
      <w:pPr>
        <w:ind w:left="567" w:hanging="567"/>
        <w:rPr>
          <w:b/>
          <w:snapToGrid w:val="0"/>
          <w:sz w:val="22"/>
          <w:szCs w:val="22"/>
          <w:lang w:val="sk-SK"/>
        </w:rPr>
      </w:pPr>
      <w:r w:rsidRPr="00EB5AA1">
        <w:rPr>
          <w:b/>
          <w:bCs/>
          <w:snapToGrid w:val="0"/>
          <w:sz w:val="22"/>
          <w:szCs w:val="22"/>
          <w:lang w:val="sk-SK"/>
        </w:rPr>
        <w:t>2.</w:t>
      </w:r>
      <w:r w:rsidRPr="00EB5AA1">
        <w:rPr>
          <w:rStyle w:val="tw4winExternal"/>
          <w:rFonts w:ascii="Times New Roman" w:hAnsi="Times New Roman"/>
          <w:sz w:val="22"/>
          <w:szCs w:val="22"/>
          <w:lang w:val="sk-SK"/>
        </w:rPr>
        <w:tab/>
      </w:r>
      <w:r w:rsidRPr="00EB5AA1">
        <w:rPr>
          <w:b/>
          <w:bCs/>
          <w:snapToGrid w:val="0"/>
          <w:sz w:val="22"/>
          <w:szCs w:val="22"/>
          <w:lang w:val="sk-SK"/>
        </w:rPr>
        <w:t>KVALITATÍVNE A KVANTITATÍVNE ZLOŽENIE</w:t>
      </w:r>
    </w:p>
    <w:p w14:paraId="58FA1B85" w14:textId="77777777" w:rsidR="00374898" w:rsidRPr="00EB5AA1" w:rsidRDefault="00374898" w:rsidP="00374898">
      <w:pPr>
        <w:rPr>
          <w:sz w:val="22"/>
          <w:szCs w:val="22"/>
          <w:lang w:val="sk-SK"/>
        </w:rPr>
      </w:pPr>
    </w:p>
    <w:p w14:paraId="0DFEA0D3" w14:textId="4F407A19" w:rsidR="00374898" w:rsidRPr="00EB5AA1" w:rsidRDefault="00374898" w:rsidP="00374898">
      <w:pPr>
        <w:rPr>
          <w:sz w:val="22"/>
          <w:szCs w:val="22"/>
          <w:lang w:val="sk-SK"/>
        </w:rPr>
      </w:pPr>
      <w:r w:rsidRPr="00EB5AA1">
        <w:rPr>
          <w:sz w:val="22"/>
          <w:szCs w:val="22"/>
          <w:lang w:val="sk-SK"/>
        </w:rPr>
        <w:t xml:space="preserve">Jedna injekčná liekovka 10 ml obsahuje 15000 IU (Eur. liekopis) </w:t>
      </w:r>
      <w:proofErr w:type="spellStart"/>
      <w:r w:rsidRPr="00EB5AA1">
        <w:rPr>
          <w:sz w:val="22"/>
          <w:szCs w:val="22"/>
          <w:lang w:val="sk-SK"/>
        </w:rPr>
        <w:t>bleomycín</w:t>
      </w:r>
      <w:r w:rsidR="00424890">
        <w:rPr>
          <w:sz w:val="22"/>
          <w:szCs w:val="22"/>
          <w:lang w:val="sk-SK"/>
        </w:rPr>
        <w:t>ium</w:t>
      </w:r>
      <w:r w:rsidRPr="00EB5AA1">
        <w:rPr>
          <w:sz w:val="22"/>
          <w:szCs w:val="22"/>
          <w:lang w:val="sk-SK"/>
        </w:rPr>
        <w:t>sulfátu</w:t>
      </w:r>
      <w:proofErr w:type="spellEnd"/>
      <w:r>
        <w:rPr>
          <w:sz w:val="22"/>
          <w:szCs w:val="22"/>
          <w:lang w:val="sk-SK"/>
        </w:rPr>
        <w:t>.</w:t>
      </w:r>
    </w:p>
    <w:p w14:paraId="7C6C7A84" w14:textId="7798FDF3" w:rsidR="00374898" w:rsidRPr="00EB5AA1" w:rsidRDefault="00374898" w:rsidP="00374898">
      <w:pPr>
        <w:rPr>
          <w:sz w:val="22"/>
          <w:szCs w:val="22"/>
          <w:lang w:val="sk-SK"/>
        </w:rPr>
      </w:pPr>
      <w:r w:rsidRPr="00EB5AA1">
        <w:rPr>
          <w:sz w:val="22"/>
          <w:szCs w:val="22"/>
          <w:lang w:val="sk-SK"/>
        </w:rPr>
        <w:t xml:space="preserve">Jedna injekčná liekovka 20 ml obsahuje 30000 IU (Eur. liekopis) </w:t>
      </w:r>
      <w:proofErr w:type="spellStart"/>
      <w:r w:rsidRPr="00EB5AA1">
        <w:rPr>
          <w:sz w:val="22"/>
          <w:szCs w:val="22"/>
          <w:lang w:val="sk-SK"/>
        </w:rPr>
        <w:t>bleomycín</w:t>
      </w:r>
      <w:r w:rsidR="00424890">
        <w:rPr>
          <w:sz w:val="22"/>
          <w:szCs w:val="22"/>
          <w:lang w:val="sk-SK"/>
        </w:rPr>
        <w:t>ium</w:t>
      </w:r>
      <w:r w:rsidRPr="00EB5AA1">
        <w:rPr>
          <w:sz w:val="22"/>
          <w:szCs w:val="22"/>
          <w:lang w:val="sk-SK"/>
        </w:rPr>
        <w:t>sulfátu</w:t>
      </w:r>
      <w:proofErr w:type="spellEnd"/>
      <w:r>
        <w:rPr>
          <w:sz w:val="22"/>
          <w:szCs w:val="22"/>
          <w:lang w:val="sk-SK"/>
        </w:rPr>
        <w:t>.</w:t>
      </w:r>
    </w:p>
    <w:p w14:paraId="68A51F2C" w14:textId="77777777" w:rsidR="00374898" w:rsidRPr="00EB5AA1" w:rsidRDefault="00374898" w:rsidP="00374898">
      <w:pPr>
        <w:rPr>
          <w:sz w:val="22"/>
          <w:szCs w:val="22"/>
          <w:lang w:val="sk-SK"/>
        </w:rPr>
      </w:pPr>
      <w:r w:rsidRPr="00EB5AA1">
        <w:rPr>
          <w:sz w:val="22"/>
          <w:szCs w:val="22"/>
          <w:lang w:val="sk-SK"/>
        </w:rPr>
        <w:t>1 mg suchej hmotnosti prášku zodpovedá minimálne 1500 IU (Eur. liekopis).</w:t>
      </w:r>
    </w:p>
    <w:p w14:paraId="21A9D98A" w14:textId="77777777" w:rsidR="00374898" w:rsidRPr="00EB5AA1" w:rsidRDefault="00374898" w:rsidP="00374898">
      <w:pPr>
        <w:rPr>
          <w:sz w:val="22"/>
          <w:szCs w:val="22"/>
          <w:lang w:val="sk-SK"/>
        </w:rPr>
      </w:pPr>
    </w:p>
    <w:p w14:paraId="0C0B54F5" w14:textId="77777777" w:rsidR="00374898" w:rsidRPr="00EB5AA1" w:rsidRDefault="00374898" w:rsidP="00374898">
      <w:pPr>
        <w:rPr>
          <w:sz w:val="22"/>
          <w:szCs w:val="22"/>
          <w:lang w:val="sk-SK"/>
        </w:rPr>
      </w:pPr>
      <w:r w:rsidRPr="00EB5AA1">
        <w:rPr>
          <w:sz w:val="22"/>
          <w:szCs w:val="22"/>
          <w:lang w:val="sk-SK"/>
        </w:rPr>
        <w:t>1 U (Liekopis USA) zodpovedá 1000 IU (Eur. liekopis)</w:t>
      </w:r>
    </w:p>
    <w:p w14:paraId="29C6FBF8" w14:textId="77777777" w:rsidR="00374898" w:rsidRPr="00EB5AA1" w:rsidRDefault="00374898" w:rsidP="00374898">
      <w:pPr>
        <w:rPr>
          <w:sz w:val="22"/>
          <w:szCs w:val="22"/>
          <w:lang w:val="sk-SK"/>
        </w:rPr>
      </w:pPr>
    </w:p>
    <w:p w14:paraId="51BD1F13" w14:textId="77777777" w:rsidR="00374898" w:rsidRPr="00EB5AA1" w:rsidRDefault="00374898" w:rsidP="00374898">
      <w:pPr>
        <w:rPr>
          <w:sz w:val="22"/>
          <w:szCs w:val="22"/>
          <w:lang w:val="sk-SK"/>
        </w:rPr>
      </w:pPr>
      <w:r w:rsidRPr="00EB5AA1">
        <w:rPr>
          <w:sz w:val="22"/>
          <w:szCs w:val="22"/>
          <w:lang w:val="sk-SK"/>
        </w:rPr>
        <w:t>Úplný zoznam pomocných látok, pozri časť</w:t>
      </w:r>
      <w:r>
        <w:rPr>
          <w:sz w:val="22"/>
          <w:szCs w:val="22"/>
          <w:lang w:val="sk-SK"/>
        </w:rPr>
        <w:t> </w:t>
      </w:r>
      <w:r w:rsidRPr="00EB5AA1">
        <w:rPr>
          <w:sz w:val="22"/>
          <w:szCs w:val="22"/>
          <w:lang w:val="sk-SK"/>
        </w:rPr>
        <w:t>6.1.</w:t>
      </w:r>
    </w:p>
    <w:p w14:paraId="5F5E0EC4" w14:textId="77777777" w:rsidR="00374898" w:rsidRPr="00EB5AA1" w:rsidRDefault="00374898" w:rsidP="00374898">
      <w:pPr>
        <w:rPr>
          <w:sz w:val="22"/>
          <w:szCs w:val="22"/>
          <w:lang w:val="sk-SK"/>
        </w:rPr>
      </w:pPr>
    </w:p>
    <w:p w14:paraId="36696080" w14:textId="77777777" w:rsidR="00374898" w:rsidRPr="00EB5AA1" w:rsidRDefault="00374898" w:rsidP="00374898">
      <w:pPr>
        <w:rPr>
          <w:sz w:val="22"/>
          <w:szCs w:val="22"/>
          <w:lang w:val="sk-SK"/>
        </w:rPr>
      </w:pPr>
    </w:p>
    <w:p w14:paraId="03A7EC8A" w14:textId="77777777" w:rsidR="00374898" w:rsidRPr="00EB5AA1" w:rsidRDefault="00374898" w:rsidP="00374898">
      <w:pPr>
        <w:ind w:left="567" w:hanging="567"/>
        <w:rPr>
          <w:b/>
          <w:snapToGrid w:val="0"/>
          <w:sz w:val="22"/>
          <w:szCs w:val="22"/>
          <w:lang w:val="sk-SK"/>
        </w:rPr>
      </w:pPr>
      <w:r w:rsidRPr="00EB5AA1">
        <w:rPr>
          <w:b/>
          <w:bCs/>
          <w:snapToGrid w:val="0"/>
          <w:sz w:val="22"/>
          <w:szCs w:val="22"/>
          <w:lang w:val="sk-SK"/>
        </w:rPr>
        <w:t>3.</w:t>
      </w:r>
      <w:r w:rsidRPr="00EB5AA1">
        <w:rPr>
          <w:rStyle w:val="tw4winExternal"/>
          <w:rFonts w:ascii="Times New Roman" w:hAnsi="Times New Roman"/>
          <w:sz w:val="22"/>
          <w:szCs w:val="22"/>
          <w:lang w:val="sk-SK"/>
        </w:rPr>
        <w:tab/>
      </w:r>
      <w:r w:rsidRPr="00EB5AA1">
        <w:rPr>
          <w:b/>
          <w:bCs/>
          <w:snapToGrid w:val="0"/>
          <w:sz w:val="22"/>
          <w:szCs w:val="22"/>
          <w:lang w:val="sk-SK"/>
        </w:rPr>
        <w:t>LIEKOVÁ FORMA</w:t>
      </w:r>
    </w:p>
    <w:p w14:paraId="5C2A1C09" w14:textId="77777777" w:rsidR="00374898" w:rsidRPr="00EB5AA1" w:rsidRDefault="00374898" w:rsidP="00374898">
      <w:pPr>
        <w:rPr>
          <w:sz w:val="22"/>
          <w:szCs w:val="22"/>
          <w:lang w:val="sk-SK"/>
        </w:rPr>
      </w:pPr>
    </w:p>
    <w:p w14:paraId="56825E0F" w14:textId="77777777" w:rsidR="00374898" w:rsidRPr="00EB5AA1" w:rsidRDefault="00374898" w:rsidP="00374898">
      <w:pPr>
        <w:pStyle w:val="Nadpis1"/>
        <w:ind w:left="0"/>
        <w:jc w:val="left"/>
        <w:rPr>
          <w:snapToGrid w:val="0"/>
          <w:sz w:val="22"/>
          <w:szCs w:val="22"/>
          <w:lang w:val="sk-SK"/>
        </w:rPr>
      </w:pPr>
      <w:r w:rsidRPr="00EB5AA1">
        <w:rPr>
          <w:snapToGrid w:val="0"/>
          <w:sz w:val="22"/>
          <w:szCs w:val="22"/>
          <w:lang w:val="sk-SK"/>
        </w:rPr>
        <w:t xml:space="preserve">Prášok na injekčný roztok. </w:t>
      </w:r>
    </w:p>
    <w:p w14:paraId="625F48A7" w14:textId="77777777" w:rsidR="00374898" w:rsidRPr="00EB5AA1" w:rsidRDefault="00374898" w:rsidP="00374898">
      <w:pPr>
        <w:pStyle w:val="Nadpis1"/>
        <w:ind w:left="0"/>
        <w:jc w:val="left"/>
        <w:rPr>
          <w:sz w:val="22"/>
          <w:szCs w:val="22"/>
          <w:lang w:val="sk-SK"/>
        </w:rPr>
      </w:pPr>
      <w:r w:rsidRPr="00EB5AA1">
        <w:rPr>
          <w:snapToGrid w:val="0"/>
          <w:sz w:val="22"/>
          <w:szCs w:val="22"/>
          <w:lang w:val="sk-SK"/>
        </w:rPr>
        <w:t>Kompaktná hmota je tvorená bielym alebo žltkastým práškom v uzavretých injekčných liekovkách.</w:t>
      </w:r>
    </w:p>
    <w:p w14:paraId="7C731B63" w14:textId="77777777" w:rsidR="00374898" w:rsidRPr="00EB5AA1" w:rsidRDefault="00374898" w:rsidP="00374898">
      <w:pPr>
        <w:rPr>
          <w:sz w:val="22"/>
          <w:szCs w:val="22"/>
          <w:lang w:val="sk-SK"/>
        </w:rPr>
      </w:pPr>
    </w:p>
    <w:p w14:paraId="66EE944E" w14:textId="77777777" w:rsidR="00374898" w:rsidRPr="00EB5AA1" w:rsidRDefault="00374898" w:rsidP="00374898">
      <w:pPr>
        <w:rPr>
          <w:sz w:val="22"/>
          <w:szCs w:val="22"/>
          <w:lang w:val="sk-SK"/>
        </w:rPr>
      </w:pPr>
    </w:p>
    <w:p w14:paraId="69BC7164" w14:textId="77777777" w:rsidR="00374898" w:rsidRPr="00EB5AA1" w:rsidRDefault="00374898" w:rsidP="00374898">
      <w:pPr>
        <w:ind w:left="567" w:hanging="567"/>
        <w:rPr>
          <w:b/>
          <w:sz w:val="22"/>
          <w:szCs w:val="22"/>
          <w:lang w:val="sk-SK"/>
        </w:rPr>
      </w:pPr>
      <w:r w:rsidRPr="00EB5AA1">
        <w:rPr>
          <w:b/>
          <w:bCs/>
          <w:snapToGrid w:val="0"/>
          <w:sz w:val="22"/>
          <w:szCs w:val="22"/>
          <w:lang w:val="sk-SK"/>
        </w:rPr>
        <w:t>4.</w:t>
      </w:r>
      <w:r w:rsidRPr="00EB5AA1">
        <w:rPr>
          <w:rStyle w:val="tw4winExternal"/>
          <w:rFonts w:ascii="Times New Roman" w:hAnsi="Times New Roman"/>
          <w:sz w:val="22"/>
          <w:szCs w:val="22"/>
          <w:lang w:val="sk-SK"/>
        </w:rPr>
        <w:tab/>
      </w:r>
      <w:r w:rsidRPr="00EB5AA1">
        <w:rPr>
          <w:b/>
          <w:bCs/>
          <w:snapToGrid w:val="0"/>
          <w:sz w:val="22"/>
          <w:szCs w:val="22"/>
          <w:lang w:val="sk-SK"/>
        </w:rPr>
        <w:t>KLINICKÉ ÚDAJE</w:t>
      </w:r>
    </w:p>
    <w:p w14:paraId="7D56E93C" w14:textId="77777777" w:rsidR="00374898" w:rsidRPr="00EB5AA1" w:rsidRDefault="00374898" w:rsidP="00374898">
      <w:pPr>
        <w:rPr>
          <w:sz w:val="22"/>
          <w:szCs w:val="22"/>
          <w:lang w:val="sk-SK"/>
        </w:rPr>
      </w:pPr>
    </w:p>
    <w:p w14:paraId="0A3E8FD2" w14:textId="77777777" w:rsidR="00374898" w:rsidRPr="00EB5AA1" w:rsidRDefault="00374898" w:rsidP="00374898">
      <w:pPr>
        <w:ind w:left="567" w:hanging="567"/>
        <w:rPr>
          <w:b/>
          <w:bCs/>
          <w:sz w:val="22"/>
          <w:szCs w:val="22"/>
          <w:lang w:val="sk-SK"/>
        </w:rPr>
      </w:pPr>
      <w:r w:rsidRPr="00EB5AA1">
        <w:rPr>
          <w:b/>
          <w:bCs/>
          <w:sz w:val="22"/>
          <w:szCs w:val="22"/>
          <w:lang w:val="sk-SK"/>
        </w:rPr>
        <w:t>4.1</w:t>
      </w:r>
      <w:r w:rsidRPr="00EB5AA1">
        <w:rPr>
          <w:rStyle w:val="tw4winExternal"/>
          <w:rFonts w:ascii="Times New Roman" w:hAnsi="Times New Roman"/>
          <w:sz w:val="22"/>
          <w:szCs w:val="22"/>
          <w:lang w:val="sk-SK"/>
        </w:rPr>
        <w:tab/>
      </w:r>
      <w:r w:rsidRPr="00EB5AA1">
        <w:rPr>
          <w:b/>
          <w:bCs/>
          <w:sz w:val="22"/>
          <w:szCs w:val="22"/>
          <w:lang w:val="sk-SK"/>
        </w:rPr>
        <w:t>Terapeutické indikácie</w:t>
      </w:r>
    </w:p>
    <w:p w14:paraId="1D2029DB" w14:textId="77777777" w:rsidR="00374898" w:rsidRPr="00EB5AA1" w:rsidRDefault="00374898" w:rsidP="00374898">
      <w:pPr>
        <w:rPr>
          <w:sz w:val="22"/>
          <w:szCs w:val="22"/>
          <w:lang w:val="sk-SK"/>
        </w:rPr>
      </w:pPr>
    </w:p>
    <w:p w14:paraId="75F283BB"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takmer vždy podáva v kombinácii s inými </w:t>
      </w:r>
      <w:proofErr w:type="spellStart"/>
      <w:r w:rsidRPr="00EB5AA1">
        <w:rPr>
          <w:sz w:val="22"/>
          <w:szCs w:val="22"/>
          <w:lang w:val="sk-SK"/>
        </w:rPr>
        <w:t>cytostatickými</w:t>
      </w:r>
      <w:proofErr w:type="spellEnd"/>
      <w:r w:rsidRPr="00EB5AA1">
        <w:rPr>
          <w:sz w:val="22"/>
          <w:szCs w:val="22"/>
          <w:lang w:val="sk-SK"/>
        </w:rPr>
        <w:t xml:space="preserve"> liečivami a/alebo s rádioterapiou.</w:t>
      </w:r>
    </w:p>
    <w:p w14:paraId="73B4A094" w14:textId="77777777" w:rsidR="00374898" w:rsidRPr="00EB5AA1" w:rsidRDefault="00374898" w:rsidP="00374898">
      <w:pPr>
        <w:rPr>
          <w:sz w:val="22"/>
          <w:szCs w:val="22"/>
          <w:lang w:val="sk-SK"/>
        </w:rPr>
      </w:pPr>
    </w:p>
    <w:p w14:paraId="73815383"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je určený na liečbu:</w:t>
      </w:r>
    </w:p>
    <w:p w14:paraId="436DAB45"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Skvamocelulárneho</w:t>
      </w:r>
      <w:proofErr w:type="spellEnd"/>
      <w:r w:rsidRPr="00EB5AA1">
        <w:rPr>
          <w:sz w:val="22"/>
          <w:szCs w:val="22"/>
          <w:lang w:val="sk-SK"/>
        </w:rPr>
        <w:t xml:space="preserve"> karcinómu (</w:t>
      </w:r>
      <w:proofErr w:type="spellStart"/>
      <w:r w:rsidRPr="00EB5AA1">
        <w:rPr>
          <w:sz w:val="22"/>
          <w:szCs w:val="22"/>
          <w:lang w:val="sk-SK"/>
        </w:rPr>
        <w:t>squamous</w:t>
      </w:r>
      <w:proofErr w:type="spellEnd"/>
      <w:r w:rsidRPr="00EB5AA1">
        <w:rPr>
          <w:sz w:val="22"/>
          <w:szCs w:val="22"/>
          <w:lang w:val="sk-SK"/>
        </w:rPr>
        <w:t xml:space="preserve"> </w:t>
      </w:r>
      <w:proofErr w:type="spellStart"/>
      <w:r w:rsidRPr="00EB5AA1">
        <w:rPr>
          <w:sz w:val="22"/>
          <w:szCs w:val="22"/>
          <w:lang w:val="sk-SK"/>
        </w:rPr>
        <w:t>cell</w:t>
      </w:r>
      <w:proofErr w:type="spellEnd"/>
      <w:r w:rsidRPr="00EB5AA1">
        <w:rPr>
          <w:sz w:val="22"/>
          <w:szCs w:val="22"/>
          <w:lang w:val="sk-SK"/>
        </w:rPr>
        <w:t xml:space="preserve"> </w:t>
      </w:r>
      <w:proofErr w:type="spellStart"/>
      <w:r w:rsidRPr="00EB5AA1">
        <w:rPr>
          <w:sz w:val="22"/>
          <w:szCs w:val="22"/>
          <w:lang w:val="sk-SK"/>
        </w:rPr>
        <w:t>carcinoma</w:t>
      </w:r>
      <w:proofErr w:type="spellEnd"/>
      <w:r w:rsidRPr="00EB5AA1">
        <w:rPr>
          <w:sz w:val="22"/>
          <w:szCs w:val="22"/>
          <w:lang w:val="sk-SK"/>
        </w:rPr>
        <w:t>, SCC) hlavy a krku, vonkajších genitálií a krčka maternice.</w:t>
      </w:r>
    </w:p>
    <w:p w14:paraId="61505872"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Hodgkinov</w:t>
      </w:r>
      <w:proofErr w:type="spellEnd"/>
      <w:r w:rsidRPr="00EB5AA1">
        <w:rPr>
          <w:sz w:val="22"/>
          <w:szCs w:val="22"/>
          <w:lang w:val="sk-SK"/>
        </w:rPr>
        <w:t xml:space="preserve"> </w:t>
      </w:r>
      <w:proofErr w:type="spellStart"/>
      <w:r w:rsidRPr="00EB5AA1">
        <w:rPr>
          <w:sz w:val="22"/>
          <w:szCs w:val="22"/>
          <w:lang w:val="sk-SK"/>
        </w:rPr>
        <w:t>lymfóm</w:t>
      </w:r>
      <w:proofErr w:type="spellEnd"/>
      <w:r w:rsidRPr="00EB5AA1">
        <w:rPr>
          <w:sz w:val="22"/>
          <w:szCs w:val="22"/>
          <w:lang w:val="sk-SK"/>
        </w:rPr>
        <w:t>.</w:t>
      </w:r>
    </w:p>
    <w:p w14:paraId="625DFA35"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NonHodgkinov</w:t>
      </w:r>
      <w:proofErr w:type="spellEnd"/>
      <w:r w:rsidRPr="00EB5AA1">
        <w:rPr>
          <w:sz w:val="22"/>
          <w:szCs w:val="22"/>
          <w:lang w:val="sk-SK"/>
        </w:rPr>
        <w:t xml:space="preserve"> </w:t>
      </w:r>
      <w:proofErr w:type="spellStart"/>
      <w:r w:rsidRPr="00EB5AA1">
        <w:rPr>
          <w:sz w:val="22"/>
          <w:szCs w:val="22"/>
          <w:lang w:val="sk-SK"/>
        </w:rPr>
        <w:t>lymfóm</w:t>
      </w:r>
      <w:proofErr w:type="spellEnd"/>
      <w:r w:rsidRPr="00EB5AA1">
        <w:rPr>
          <w:sz w:val="22"/>
          <w:szCs w:val="22"/>
          <w:lang w:val="sk-SK"/>
        </w:rPr>
        <w:t xml:space="preserve"> stredného a vysokého stupňa malignity u dospelých.</w:t>
      </w:r>
    </w:p>
    <w:p w14:paraId="4A54B991"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Karcinómu semenníkov (</w:t>
      </w:r>
      <w:proofErr w:type="spellStart"/>
      <w:r w:rsidRPr="00EB5AA1">
        <w:rPr>
          <w:sz w:val="22"/>
          <w:szCs w:val="22"/>
          <w:lang w:val="sk-SK"/>
        </w:rPr>
        <w:t>seminómu</w:t>
      </w:r>
      <w:proofErr w:type="spellEnd"/>
      <w:r w:rsidRPr="00EB5AA1">
        <w:rPr>
          <w:sz w:val="22"/>
          <w:szCs w:val="22"/>
          <w:lang w:val="sk-SK"/>
        </w:rPr>
        <w:t xml:space="preserve"> a </w:t>
      </w:r>
      <w:proofErr w:type="spellStart"/>
      <w:r w:rsidRPr="00EB5AA1">
        <w:rPr>
          <w:sz w:val="22"/>
          <w:szCs w:val="22"/>
          <w:lang w:val="sk-SK"/>
        </w:rPr>
        <w:t>neseminomatózneho</w:t>
      </w:r>
      <w:proofErr w:type="spellEnd"/>
      <w:r w:rsidRPr="00EB5AA1">
        <w:rPr>
          <w:sz w:val="22"/>
          <w:szCs w:val="22"/>
          <w:lang w:val="sk-SK"/>
        </w:rPr>
        <w:t xml:space="preserve"> nádoru).</w:t>
      </w:r>
    </w:p>
    <w:p w14:paraId="2F5FC240"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Intrapleurálnu</w:t>
      </w:r>
      <w:proofErr w:type="spellEnd"/>
      <w:r w:rsidRPr="00EB5AA1">
        <w:rPr>
          <w:sz w:val="22"/>
          <w:szCs w:val="22"/>
          <w:lang w:val="sk-SK"/>
        </w:rPr>
        <w:t xml:space="preserve"> liečbu malígneho </w:t>
      </w:r>
      <w:proofErr w:type="spellStart"/>
      <w:r w:rsidRPr="00EB5AA1">
        <w:rPr>
          <w:sz w:val="22"/>
          <w:szCs w:val="22"/>
          <w:lang w:val="sk-SK"/>
        </w:rPr>
        <w:t>pleurálneho</w:t>
      </w:r>
      <w:proofErr w:type="spellEnd"/>
      <w:r w:rsidRPr="00EB5AA1">
        <w:rPr>
          <w:sz w:val="22"/>
          <w:szCs w:val="22"/>
          <w:lang w:val="sk-SK"/>
        </w:rPr>
        <w:t xml:space="preserve"> </w:t>
      </w:r>
      <w:proofErr w:type="spellStart"/>
      <w:r w:rsidRPr="00EB5AA1">
        <w:rPr>
          <w:sz w:val="22"/>
          <w:szCs w:val="22"/>
          <w:lang w:val="sk-SK"/>
        </w:rPr>
        <w:t>výpotku</w:t>
      </w:r>
      <w:proofErr w:type="spellEnd"/>
      <w:r w:rsidRPr="00EB5AA1">
        <w:rPr>
          <w:sz w:val="22"/>
          <w:szCs w:val="22"/>
          <w:lang w:val="sk-SK"/>
        </w:rPr>
        <w:t>.</w:t>
      </w:r>
    </w:p>
    <w:p w14:paraId="07ABCB2C" w14:textId="77777777" w:rsidR="00374898" w:rsidRPr="00EB5AA1" w:rsidRDefault="00374898" w:rsidP="00374898">
      <w:pPr>
        <w:rPr>
          <w:sz w:val="22"/>
          <w:szCs w:val="22"/>
          <w:lang w:val="sk-SK"/>
        </w:rPr>
      </w:pPr>
    </w:p>
    <w:p w14:paraId="649E1A1E" w14:textId="77777777" w:rsidR="00374898" w:rsidRPr="00EB5AA1" w:rsidRDefault="00374898" w:rsidP="00374898">
      <w:pPr>
        <w:ind w:left="567" w:hanging="567"/>
        <w:rPr>
          <w:b/>
          <w:bCs/>
          <w:sz w:val="22"/>
          <w:szCs w:val="22"/>
          <w:lang w:val="sk-SK"/>
        </w:rPr>
      </w:pPr>
      <w:r w:rsidRPr="00EB5AA1">
        <w:rPr>
          <w:b/>
          <w:bCs/>
          <w:sz w:val="22"/>
          <w:szCs w:val="22"/>
          <w:lang w:val="sk-SK"/>
        </w:rPr>
        <w:t>4.2</w:t>
      </w:r>
      <w:r w:rsidRPr="00EB5AA1">
        <w:rPr>
          <w:rStyle w:val="tw4winExternal"/>
          <w:rFonts w:ascii="Times New Roman" w:hAnsi="Times New Roman"/>
          <w:sz w:val="22"/>
          <w:szCs w:val="22"/>
          <w:lang w:val="sk-SK"/>
        </w:rPr>
        <w:tab/>
      </w:r>
      <w:r w:rsidRPr="00EB5AA1">
        <w:rPr>
          <w:b/>
          <w:bCs/>
          <w:sz w:val="22"/>
          <w:szCs w:val="22"/>
          <w:lang w:val="sk-SK"/>
        </w:rPr>
        <w:t>Dávkovanie a spôsob podávania</w:t>
      </w:r>
    </w:p>
    <w:p w14:paraId="205CE783" w14:textId="77777777" w:rsidR="00374898" w:rsidRPr="00BB6D58" w:rsidRDefault="00374898" w:rsidP="00374898">
      <w:pPr>
        <w:ind w:left="567" w:hanging="567"/>
        <w:rPr>
          <w:b/>
          <w:sz w:val="22"/>
          <w:szCs w:val="22"/>
          <w:lang w:val="sk-SK"/>
        </w:rPr>
      </w:pPr>
    </w:p>
    <w:p w14:paraId="272A54AC" w14:textId="77777777" w:rsidR="00374898" w:rsidRPr="00EB5AA1" w:rsidRDefault="00374898" w:rsidP="00374898">
      <w:pPr>
        <w:ind w:left="567" w:hanging="567"/>
        <w:rPr>
          <w:bCs/>
          <w:sz w:val="22"/>
          <w:szCs w:val="22"/>
          <w:lang w:val="sk-SK"/>
        </w:rPr>
      </w:pPr>
      <w:r w:rsidRPr="00EB5AA1">
        <w:rPr>
          <w:bCs/>
          <w:sz w:val="22"/>
          <w:szCs w:val="22"/>
          <w:lang w:val="sk-SK"/>
        </w:rPr>
        <w:t>Dávkovanie</w:t>
      </w:r>
    </w:p>
    <w:p w14:paraId="1DFF1A49" w14:textId="77777777" w:rsidR="00374898" w:rsidRPr="00EB5AA1" w:rsidRDefault="00374898" w:rsidP="00374898">
      <w:pPr>
        <w:rPr>
          <w:sz w:val="22"/>
          <w:szCs w:val="22"/>
          <w:lang w:val="sk-SK"/>
        </w:rPr>
      </w:pPr>
    </w:p>
    <w:p w14:paraId="5EA02727" w14:textId="77777777" w:rsidR="00374898" w:rsidRPr="00EB5AA1" w:rsidRDefault="00374898" w:rsidP="00374898">
      <w:pPr>
        <w:pStyle w:val="Normlnywebov"/>
        <w:spacing w:before="0" w:beforeAutospacing="0" w:after="0" w:afterAutospacing="0"/>
        <w:rPr>
          <w:sz w:val="22"/>
          <w:szCs w:val="22"/>
          <w:lang w:val="sk-SK"/>
        </w:rPr>
      </w:pPr>
      <w:r w:rsidRPr="00EB5AA1">
        <w:rPr>
          <w:sz w:val="22"/>
          <w:szCs w:val="22"/>
          <w:u w:val="single"/>
          <w:lang w:val="sk-SK"/>
        </w:rPr>
        <w:t>Varovanie:</w:t>
      </w:r>
      <w:r w:rsidRPr="00EB5AA1">
        <w:rPr>
          <w:sz w:val="22"/>
          <w:szCs w:val="22"/>
          <w:lang w:val="sk-SK"/>
        </w:rPr>
        <w:t xml:space="preserve"> Pri všetkých terapeutických indikáciách je dávkovanie uvedené v IU a nie v mg. Niektoré liečebné protokoly môžu uvádzať „mg“ namiesto jednotiek (U alebo IU). Takáto hodnota mg sa vzťahuje na mg v zmysle účinnosti a nie na mg v zmysle množstva suchej látky, čo predstavuje rôzne hodnoty. </w:t>
      </w:r>
    </w:p>
    <w:p w14:paraId="3D4C680B" w14:textId="77777777" w:rsidR="00E20160" w:rsidRDefault="00374898" w:rsidP="00374898">
      <w:pPr>
        <w:pStyle w:val="Normlnywebov"/>
        <w:spacing w:before="0" w:beforeAutospacing="0" w:after="0" w:afterAutospacing="0"/>
        <w:rPr>
          <w:sz w:val="22"/>
          <w:szCs w:val="22"/>
          <w:lang w:val="sk-SK"/>
        </w:rPr>
      </w:pPr>
      <w:r w:rsidRPr="00EB5AA1">
        <w:rPr>
          <w:sz w:val="22"/>
          <w:szCs w:val="22"/>
          <w:lang w:val="sk-SK"/>
        </w:rPr>
        <w:t xml:space="preserve">Naším odporúčaním je ignorovať takéto dávkovanie v mg a v skutočnosti použiť dávkovanie v medzinárodných jednotkách (IU), ako je uvedené v tomto </w:t>
      </w:r>
      <w:proofErr w:type="spellStart"/>
      <w:r w:rsidRPr="00EB5AA1">
        <w:rPr>
          <w:sz w:val="22"/>
          <w:szCs w:val="22"/>
          <w:lang w:val="sk-SK"/>
        </w:rPr>
        <w:t>SmPC</w:t>
      </w:r>
      <w:proofErr w:type="spellEnd"/>
      <w:r w:rsidRPr="00EB5AA1">
        <w:rPr>
          <w:sz w:val="22"/>
          <w:szCs w:val="22"/>
          <w:lang w:val="sk-SK"/>
        </w:rPr>
        <w:t xml:space="preserve"> pri príslušných terapeutických indikáciách.</w:t>
      </w:r>
      <w:r w:rsidRPr="00EB5AA1">
        <w:rPr>
          <w:sz w:val="22"/>
          <w:szCs w:val="22"/>
          <w:lang w:val="sk-SK"/>
        </w:rPr>
        <w:br/>
        <w:t xml:space="preserve">Pripomíname, že 1 mg suchej látky zodpovedá minimálne 1500 IU (pozri aj časť 2). I tak však </w:t>
      </w:r>
    </w:p>
    <w:p w14:paraId="13841C72" w14:textId="77777777" w:rsidR="00E20160" w:rsidRDefault="00E20160" w:rsidP="00374898">
      <w:pPr>
        <w:pStyle w:val="Normlnywebov"/>
        <w:spacing w:before="0" w:beforeAutospacing="0" w:after="0" w:afterAutospacing="0"/>
        <w:rPr>
          <w:sz w:val="22"/>
          <w:szCs w:val="22"/>
          <w:lang w:val="sk-SK"/>
        </w:rPr>
      </w:pPr>
    </w:p>
    <w:p w14:paraId="410AEBB1" w14:textId="37405360" w:rsidR="00374898" w:rsidRPr="00EB5AA1" w:rsidRDefault="00374898" w:rsidP="00374898">
      <w:pPr>
        <w:pStyle w:val="Normlnywebov"/>
        <w:spacing w:before="0" w:beforeAutospacing="0" w:after="0" w:afterAutospacing="0"/>
        <w:rPr>
          <w:sz w:val="22"/>
          <w:szCs w:val="22"/>
          <w:lang w:val="sk-SK"/>
        </w:rPr>
      </w:pPr>
      <w:r w:rsidRPr="00EB5AA1">
        <w:rPr>
          <w:sz w:val="22"/>
          <w:szCs w:val="22"/>
          <w:lang w:val="sk-SK"/>
        </w:rPr>
        <w:t xml:space="preserve">rozhodne odporúčame </w:t>
      </w:r>
      <w:r w:rsidRPr="00EB5AA1">
        <w:rPr>
          <w:b/>
          <w:bCs/>
          <w:sz w:val="22"/>
          <w:szCs w:val="22"/>
          <w:u w:val="single"/>
          <w:lang w:val="sk-SK"/>
        </w:rPr>
        <w:t>nepoužívať tento prevod</w:t>
      </w:r>
      <w:r w:rsidRPr="00EB5AA1">
        <w:rPr>
          <w:sz w:val="22"/>
          <w:szCs w:val="22"/>
          <w:lang w:val="sk-SK"/>
        </w:rPr>
        <w:t>, keďže to môže viesť k predávkovaniu kvôli rozdielom medzi mg v zmysle účinnosti a mg v zmysle množstva suchej látky. Preto sa má tento liek predpisovať len v medzinárodných jednotkách (IU).</w:t>
      </w:r>
    </w:p>
    <w:p w14:paraId="5B00CE0D" w14:textId="77777777" w:rsidR="00374898" w:rsidRPr="00EB5AA1" w:rsidRDefault="00374898" w:rsidP="00374898">
      <w:pPr>
        <w:rPr>
          <w:sz w:val="22"/>
          <w:szCs w:val="22"/>
          <w:lang w:val="sk-SK"/>
        </w:rPr>
      </w:pPr>
    </w:p>
    <w:p w14:paraId="48EDA004"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má byť podávaný iba pod najprísnejším dohľadom lekára špecializovaného na podávanie </w:t>
      </w:r>
      <w:proofErr w:type="spellStart"/>
      <w:r w:rsidRPr="00EB5AA1">
        <w:rPr>
          <w:sz w:val="22"/>
          <w:szCs w:val="22"/>
          <w:lang w:val="sk-SK"/>
        </w:rPr>
        <w:t>onkolytík</w:t>
      </w:r>
      <w:proofErr w:type="spellEnd"/>
      <w:r w:rsidRPr="00EB5AA1">
        <w:rPr>
          <w:sz w:val="22"/>
          <w:szCs w:val="22"/>
          <w:lang w:val="sk-SK"/>
        </w:rPr>
        <w:t>, najlepšie v nemocnici, v ktorej sú skúsenosti s takýmito terapiami.</w:t>
      </w:r>
    </w:p>
    <w:p w14:paraId="5F208461" w14:textId="77777777" w:rsidR="00374898" w:rsidRPr="00EB5AA1" w:rsidRDefault="00374898" w:rsidP="00374898">
      <w:pPr>
        <w:rPr>
          <w:sz w:val="22"/>
          <w:szCs w:val="22"/>
          <w:lang w:val="sk-SK"/>
        </w:rPr>
      </w:pPr>
    </w:p>
    <w:p w14:paraId="7D836FA6" w14:textId="77777777" w:rsidR="00374898" w:rsidRPr="00EB5AA1" w:rsidRDefault="00374898" w:rsidP="00374898">
      <w:pPr>
        <w:keepNext/>
        <w:keepLines/>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môže podávať intravenózne, </w:t>
      </w:r>
      <w:proofErr w:type="spellStart"/>
      <w:r w:rsidRPr="00EB5AA1">
        <w:rPr>
          <w:sz w:val="22"/>
          <w:szCs w:val="22"/>
          <w:lang w:val="sk-SK"/>
        </w:rPr>
        <w:t>intramuskulárne</w:t>
      </w:r>
      <w:proofErr w:type="spellEnd"/>
      <w:r w:rsidRPr="00EB5AA1">
        <w:rPr>
          <w:sz w:val="22"/>
          <w:szCs w:val="22"/>
          <w:lang w:val="sk-SK"/>
        </w:rPr>
        <w:t xml:space="preserve">, </w:t>
      </w:r>
      <w:proofErr w:type="spellStart"/>
      <w:r w:rsidRPr="00EB5AA1">
        <w:rPr>
          <w:sz w:val="22"/>
          <w:szCs w:val="22"/>
          <w:lang w:val="sk-SK"/>
        </w:rPr>
        <w:t>intrapleurálne</w:t>
      </w:r>
      <w:proofErr w:type="spellEnd"/>
      <w:r w:rsidRPr="00EB5AA1">
        <w:rPr>
          <w:sz w:val="22"/>
          <w:szCs w:val="22"/>
          <w:lang w:val="sk-SK"/>
        </w:rPr>
        <w:t xml:space="preserve">, </w:t>
      </w:r>
      <w:proofErr w:type="spellStart"/>
      <w:r w:rsidRPr="00EB5AA1">
        <w:rPr>
          <w:sz w:val="22"/>
          <w:szCs w:val="22"/>
          <w:lang w:val="sk-SK"/>
        </w:rPr>
        <w:t>intraperitoneálne</w:t>
      </w:r>
      <w:proofErr w:type="spellEnd"/>
      <w:r w:rsidRPr="00EB5AA1">
        <w:rPr>
          <w:sz w:val="22"/>
          <w:szCs w:val="22"/>
          <w:lang w:val="sk-SK"/>
        </w:rPr>
        <w:t xml:space="preserve">, </w:t>
      </w:r>
      <w:proofErr w:type="spellStart"/>
      <w:r w:rsidRPr="00EB5AA1">
        <w:rPr>
          <w:sz w:val="22"/>
          <w:szCs w:val="22"/>
          <w:lang w:val="sk-SK"/>
        </w:rPr>
        <w:t>intraarteriálne</w:t>
      </w:r>
      <w:proofErr w:type="spellEnd"/>
      <w:r w:rsidRPr="00EB5AA1">
        <w:rPr>
          <w:sz w:val="22"/>
          <w:szCs w:val="22"/>
          <w:lang w:val="sk-SK"/>
        </w:rPr>
        <w:t xml:space="preserve"> alebo </w:t>
      </w:r>
      <w:proofErr w:type="spellStart"/>
      <w:r w:rsidRPr="00EB5AA1">
        <w:rPr>
          <w:sz w:val="22"/>
          <w:szCs w:val="22"/>
          <w:lang w:val="sk-SK"/>
        </w:rPr>
        <w:t>subkutánne</w:t>
      </w:r>
      <w:proofErr w:type="spellEnd"/>
      <w:r w:rsidRPr="00EB5AA1">
        <w:rPr>
          <w:sz w:val="22"/>
          <w:szCs w:val="22"/>
          <w:lang w:val="sk-SK"/>
        </w:rPr>
        <w:t>. Občas môže byť indikovaná lokálna injekcia priamo do nádoru.</w:t>
      </w:r>
    </w:p>
    <w:p w14:paraId="365F4185" w14:textId="77777777" w:rsidR="00374898" w:rsidRPr="00EB5AA1" w:rsidRDefault="00374898" w:rsidP="00374898">
      <w:pPr>
        <w:rPr>
          <w:sz w:val="22"/>
          <w:szCs w:val="22"/>
          <w:lang w:val="sk-SK"/>
        </w:rPr>
      </w:pPr>
    </w:p>
    <w:p w14:paraId="7F615BB6" w14:textId="77777777" w:rsidR="00374898" w:rsidRPr="00EB5AA1" w:rsidRDefault="00374898" w:rsidP="00374898">
      <w:pPr>
        <w:rPr>
          <w:sz w:val="22"/>
          <w:szCs w:val="22"/>
          <w:lang w:val="sk-SK"/>
        </w:rPr>
      </w:pPr>
      <w:r w:rsidRPr="00EB5AA1">
        <w:rPr>
          <w:sz w:val="22"/>
          <w:szCs w:val="22"/>
          <w:lang w:val="sk-SK"/>
        </w:rPr>
        <w:t>Dávka a intervaly medzi podaním injekcií závisia od indikácie, spôsobu podávania, veku a stavu pacienta. Odporúča sa upraviť dávku podľa telesného povrchu pacienta.</w:t>
      </w:r>
    </w:p>
    <w:p w14:paraId="5508517F" w14:textId="77777777" w:rsidR="00374898" w:rsidRPr="00EB5AA1" w:rsidRDefault="00374898" w:rsidP="00374898">
      <w:pPr>
        <w:rPr>
          <w:sz w:val="22"/>
          <w:szCs w:val="22"/>
          <w:lang w:val="sk-SK"/>
        </w:rPr>
      </w:pPr>
    </w:p>
    <w:p w14:paraId="3B2B630F" w14:textId="77777777" w:rsidR="00374898" w:rsidRPr="00BB6D58" w:rsidRDefault="00374898" w:rsidP="00374898">
      <w:pPr>
        <w:keepNext/>
        <w:keepLines/>
        <w:rPr>
          <w:i/>
          <w:sz w:val="22"/>
          <w:szCs w:val="22"/>
          <w:lang w:val="sk-SK"/>
        </w:rPr>
      </w:pPr>
      <w:proofErr w:type="spellStart"/>
      <w:r w:rsidRPr="00BB6D58">
        <w:rPr>
          <w:i/>
          <w:sz w:val="22"/>
          <w:szCs w:val="22"/>
          <w:lang w:val="sk-SK"/>
        </w:rPr>
        <w:t>Skvamocelulárny</w:t>
      </w:r>
      <w:proofErr w:type="spellEnd"/>
      <w:r w:rsidRPr="00BB6D58">
        <w:rPr>
          <w:i/>
          <w:sz w:val="22"/>
          <w:szCs w:val="22"/>
          <w:lang w:val="sk-SK"/>
        </w:rPr>
        <w:t xml:space="preserve"> karcinóm</w:t>
      </w:r>
    </w:p>
    <w:p w14:paraId="0A83FBD6" w14:textId="77777777" w:rsidR="00374898" w:rsidRPr="00EB5AA1" w:rsidRDefault="00374898" w:rsidP="00374898">
      <w:pPr>
        <w:keepNext/>
        <w:keepLines/>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Intramuskulárna</w:t>
      </w:r>
      <w:proofErr w:type="spellEnd"/>
      <w:r w:rsidRPr="00EB5AA1">
        <w:rPr>
          <w:sz w:val="22"/>
          <w:szCs w:val="22"/>
          <w:lang w:val="sk-SK"/>
        </w:rPr>
        <w:t xml:space="preserve"> alebo intravenózna injekcia 10 – 15 x 10³ IU/m² jedenkrát alebo dvakrát týždenne. V liečbe sa môže pokračovať počas po sebe nasledujúcich týždňov, alebo, čo je častejšie, v 3 – 4-týždňových intervaloch, až do celkovej kumulatívnej dávky 400 x 10³ IU.</w:t>
      </w:r>
    </w:p>
    <w:p w14:paraId="0460FBDD"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 xml:space="preserve">Intravenózna infúzia 10 – 15 x 10³ IU/m² denne trvajúca 6 – 24 hodín počas 4 až 7 po sebe nasledujúcich dní raz za 3 až 4 týždne. Výskyt </w:t>
      </w:r>
      <w:proofErr w:type="spellStart"/>
      <w:r w:rsidRPr="00EB5AA1">
        <w:rPr>
          <w:sz w:val="22"/>
          <w:szCs w:val="22"/>
          <w:lang w:val="sk-SK"/>
        </w:rPr>
        <w:t>stomatitídy</w:t>
      </w:r>
      <w:proofErr w:type="spellEnd"/>
      <w:r w:rsidRPr="00EB5AA1">
        <w:rPr>
          <w:sz w:val="22"/>
          <w:szCs w:val="22"/>
          <w:lang w:val="sk-SK"/>
        </w:rPr>
        <w:t xml:space="preserve"> je najtypickejším ukazovateľom individuálnej znášanlivosti s ohľadom na maximálnu dávku.</w:t>
      </w:r>
    </w:p>
    <w:p w14:paraId="17AB0CD4" w14:textId="77777777" w:rsidR="00374898" w:rsidRPr="00EB5AA1" w:rsidRDefault="00374898" w:rsidP="00374898">
      <w:pPr>
        <w:rPr>
          <w:sz w:val="22"/>
          <w:szCs w:val="22"/>
          <w:lang w:val="sk-SK"/>
        </w:rPr>
      </w:pPr>
    </w:p>
    <w:p w14:paraId="1817D5B1" w14:textId="77777777" w:rsidR="00374898" w:rsidRPr="00BB6D58" w:rsidRDefault="00374898" w:rsidP="00374898">
      <w:pPr>
        <w:rPr>
          <w:i/>
          <w:sz w:val="22"/>
          <w:szCs w:val="22"/>
          <w:lang w:val="sk-SK"/>
        </w:rPr>
      </w:pPr>
      <w:r w:rsidRPr="00BB6D58">
        <w:rPr>
          <w:i/>
          <w:sz w:val="22"/>
          <w:szCs w:val="22"/>
          <w:lang w:val="sk-SK"/>
        </w:rPr>
        <w:t>Karcinóm semenníkov</w:t>
      </w:r>
    </w:p>
    <w:p w14:paraId="656DB560"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Intramuskulárna</w:t>
      </w:r>
      <w:proofErr w:type="spellEnd"/>
      <w:r w:rsidRPr="00EB5AA1">
        <w:rPr>
          <w:sz w:val="22"/>
          <w:szCs w:val="22"/>
          <w:lang w:val="sk-SK"/>
        </w:rPr>
        <w:t xml:space="preserve"> alebo intravenózna injekcia 10 – 15 x 10³ IU/m² jedenkrát alebo dvakrát týždenne. V liečbe sa môže pokračovať počas po sebe nasledujúcich týždňov, alebo, čo je častejšie, v 3 – 4 týždňových intervaloch, až do celkovej kumulatívnej dávky 400 x 10³ IU.</w:t>
      </w:r>
    </w:p>
    <w:p w14:paraId="3CD4080E"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 xml:space="preserve">Intravenózna infúzia 10 – 15 x 10³ IU/m² denne trvajúca 6 – 24 hodín počas 5 až 6 po sebe nasledujúcich dní raz za 3 až 4 týždne. Výskyt </w:t>
      </w:r>
      <w:proofErr w:type="spellStart"/>
      <w:r w:rsidRPr="00EB5AA1">
        <w:rPr>
          <w:sz w:val="22"/>
          <w:szCs w:val="22"/>
          <w:lang w:val="sk-SK"/>
        </w:rPr>
        <w:t>stomatitídy</w:t>
      </w:r>
      <w:proofErr w:type="spellEnd"/>
      <w:r w:rsidRPr="00EB5AA1">
        <w:rPr>
          <w:sz w:val="22"/>
          <w:szCs w:val="22"/>
          <w:lang w:val="sk-SK"/>
        </w:rPr>
        <w:t xml:space="preserve"> je najtypickejším ukazovateľom individuálnej znášanlivosti s ohľadom na maximálnu dávku.</w:t>
      </w:r>
    </w:p>
    <w:p w14:paraId="2D45D54F" w14:textId="77777777" w:rsidR="00374898" w:rsidRPr="00EB5AA1" w:rsidRDefault="00374898" w:rsidP="00374898">
      <w:pPr>
        <w:rPr>
          <w:b/>
          <w:i/>
          <w:sz w:val="22"/>
          <w:szCs w:val="22"/>
          <w:lang w:val="sk-SK"/>
        </w:rPr>
      </w:pPr>
    </w:p>
    <w:p w14:paraId="6B14F177" w14:textId="77777777" w:rsidR="00374898" w:rsidRPr="00BB6D58" w:rsidRDefault="00374898" w:rsidP="00374898">
      <w:pPr>
        <w:rPr>
          <w:i/>
          <w:sz w:val="22"/>
          <w:szCs w:val="22"/>
          <w:lang w:val="sk-SK"/>
        </w:rPr>
      </w:pPr>
      <w:r w:rsidRPr="00BB6D58">
        <w:rPr>
          <w:i/>
          <w:sz w:val="22"/>
          <w:szCs w:val="22"/>
          <w:lang w:val="sk-SK"/>
        </w:rPr>
        <w:t xml:space="preserve">Malígne </w:t>
      </w:r>
      <w:proofErr w:type="spellStart"/>
      <w:r w:rsidRPr="00BB6D58">
        <w:rPr>
          <w:i/>
          <w:sz w:val="22"/>
          <w:szCs w:val="22"/>
          <w:lang w:val="sk-SK"/>
        </w:rPr>
        <w:t>lymfómy</w:t>
      </w:r>
      <w:proofErr w:type="spellEnd"/>
      <w:r w:rsidRPr="00BB6D58">
        <w:rPr>
          <w:i/>
          <w:sz w:val="22"/>
          <w:szCs w:val="22"/>
          <w:lang w:val="sk-SK"/>
        </w:rPr>
        <w:t xml:space="preserve"> (</w:t>
      </w:r>
      <w:proofErr w:type="spellStart"/>
      <w:r w:rsidRPr="00BB6D58">
        <w:rPr>
          <w:i/>
          <w:sz w:val="22"/>
          <w:szCs w:val="22"/>
          <w:lang w:val="sk-SK"/>
        </w:rPr>
        <w:t>Hodgkinove</w:t>
      </w:r>
      <w:proofErr w:type="spellEnd"/>
      <w:r w:rsidRPr="00BB6D58">
        <w:rPr>
          <w:i/>
          <w:sz w:val="22"/>
          <w:szCs w:val="22"/>
          <w:lang w:val="sk-SK"/>
        </w:rPr>
        <w:t xml:space="preserve">, </w:t>
      </w:r>
      <w:proofErr w:type="spellStart"/>
      <w:r w:rsidRPr="00BB6D58">
        <w:rPr>
          <w:i/>
          <w:sz w:val="22"/>
          <w:szCs w:val="22"/>
          <w:lang w:val="sk-SK"/>
        </w:rPr>
        <w:t>nonHodgkinove</w:t>
      </w:r>
      <w:proofErr w:type="spellEnd"/>
      <w:r w:rsidRPr="00BB6D58">
        <w:rPr>
          <w:i/>
          <w:sz w:val="22"/>
          <w:szCs w:val="22"/>
          <w:lang w:val="sk-SK"/>
        </w:rPr>
        <w:t>)</w:t>
      </w:r>
    </w:p>
    <w:p w14:paraId="1D806429"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Pri použití lieku v </w:t>
      </w:r>
      <w:proofErr w:type="spellStart"/>
      <w:r w:rsidRPr="00EB5AA1">
        <w:rPr>
          <w:sz w:val="22"/>
          <w:szCs w:val="22"/>
          <w:lang w:val="sk-SK"/>
        </w:rPr>
        <w:t>monoterapii</w:t>
      </w:r>
      <w:proofErr w:type="spellEnd"/>
      <w:r w:rsidRPr="00EB5AA1">
        <w:rPr>
          <w:sz w:val="22"/>
          <w:szCs w:val="22"/>
          <w:lang w:val="sk-SK"/>
        </w:rPr>
        <w:t xml:space="preserve"> sa odporúča dávka 5 – 15 x 10³ IU jedenkrát až dvakrát týždenne, až do celkovej dávky 225 x 10³ IU.</w:t>
      </w:r>
    </w:p>
    <w:p w14:paraId="618F2B05" w14:textId="77777777" w:rsidR="00374898" w:rsidRPr="00EB5AA1" w:rsidRDefault="00374898" w:rsidP="00374898">
      <w:pPr>
        <w:rPr>
          <w:sz w:val="22"/>
          <w:szCs w:val="22"/>
          <w:lang w:val="sk-SK"/>
        </w:rPr>
      </w:pPr>
      <w:r w:rsidRPr="00EB5AA1">
        <w:rPr>
          <w:sz w:val="22"/>
          <w:szCs w:val="22"/>
          <w:lang w:val="sk-SK"/>
        </w:rPr>
        <w:t xml:space="preserve">Vzhľadom na zvýšené riziko </w:t>
      </w:r>
      <w:proofErr w:type="spellStart"/>
      <w:r w:rsidRPr="00EB5AA1">
        <w:rPr>
          <w:sz w:val="22"/>
          <w:szCs w:val="22"/>
          <w:lang w:val="sk-SK"/>
        </w:rPr>
        <w:t>anafylaktickej</w:t>
      </w:r>
      <w:proofErr w:type="spellEnd"/>
      <w:r w:rsidRPr="00EB5AA1">
        <w:rPr>
          <w:sz w:val="22"/>
          <w:szCs w:val="22"/>
          <w:lang w:val="sk-SK"/>
        </w:rPr>
        <w:t xml:space="preserve"> reakcie sa liečba pacientov s </w:t>
      </w:r>
      <w:proofErr w:type="spellStart"/>
      <w:r w:rsidRPr="00EB5AA1">
        <w:rPr>
          <w:sz w:val="22"/>
          <w:szCs w:val="22"/>
          <w:lang w:val="sk-SK"/>
        </w:rPr>
        <w:t>lymfómom</w:t>
      </w:r>
      <w:proofErr w:type="spellEnd"/>
      <w:r w:rsidRPr="00EB5AA1">
        <w:rPr>
          <w:sz w:val="22"/>
          <w:szCs w:val="22"/>
          <w:lang w:val="sk-SK"/>
        </w:rPr>
        <w:t xml:space="preserve"> má začať nižšími dávkami (napríklad 2 x 10³ IU).</w:t>
      </w:r>
    </w:p>
    <w:p w14:paraId="4C724C83" w14:textId="77777777" w:rsidR="00374898" w:rsidRPr="00EB5AA1" w:rsidRDefault="00374898" w:rsidP="00374898">
      <w:pPr>
        <w:rPr>
          <w:sz w:val="22"/>
          <w:szCs w:val="22"/>
          <w:lang w:val="sk-SK"/>
        </w:rPr>
      </w:pPr>
      <w:r w:rsidRPr="00EB5AA1">
        <w:rPr>
          <w:sz w:val="22"/>
          <w:szCs w:val="22"/>
          <w:lang w:val="sk-SK"/>
        </w:rPr>
        <w:t>Ak sa v priebehu 4 hodinového sledovania nevyskytnú žiadne akútne reakcie, je možné riadiť sa zvyčajnou dávkovacou schémou.</w:t>
      </w:r>
    </w:p>
    <w:p w14:paraId="57EE146E" w14:textId="77777777" w:rsidR="00374898" w:rsidRPr="00ED6048" w:rsidRDefault="00374898" w:rsidP="00374898">
      <w:pPr>
        <w:rPr>
          <w:sz w:val="22"/>
          <w:szCs w:val="22"/>
          <w:lang w:val="sk-SK"/>
        </w:rPr>
      </w:pPr>
    </w:p>
    <w:p w14:paraId="6392ADCE" w14:textId="77777777" w:rsidR="00374898" w:rsidRPr="00BB6D58" w:rsidRDefault="00374898" w:rsidP="00374898">
      <w:pPr>
        <w:rPr>
          <w:i/>
          <w:sz w:val="22"/>
          <w:szCs w:val="22"/>
          <w:lang w:val="sk-SK"/>
        </w:rPr>
      </w:pPr>
      <w:proofErr w:type="spellStart"/>
      <w:r w:rsidRPr="00BB6D58">
        <w:rPr>
          <w:i/>
          <w:sz w:val="22"/>
          <w:szCs w:val="22"/>
          <w:lang w:val="sk-SK"/>
        </w:rPr>
        <w:t>Intrapleurálna</w:t>
      </w:r>
      <w:proofErr w:type="spellEnd"/>
      <w:r w:rsidRPr="00BB6D58">
        <w:rPr>
          <w:i/>
          <w:sz w:val="22"/>
          <w:szCs w:val="22"/>
          <w:lang w:val="sk-SK"/>
        </w:rPr>
        <w:t xml:space="preserve"> liečba malígnych </w:t>
      </w:r>
      <w:proofErr w:type="spellStart"/>
      <w:r w:rsidRPr="00BB6D58">
        <w:rPr>
          <w:i/>
          <w:sz w:val="22"/>
          <w:szCs w:val="22"/>
          <w:lang w:val="sk-SK"/>
        </w:rPr>
        <w:t>pleurálnych</w:t>
      </w:r>
      <w:proofErr w:type="spellEnd"/>
      <w:r w:rsidRPr="00BB6D58">
        <w:rPr>
          <w:i/>
          <w:sz w:val="22"/>
          <w:szCs w:val="22"/>
          <w:lang w:val="sk-SK"/>
        </w:rPr>
        <w:t xml:space="preserve"> </w:t>
      </w:r>
      <w:proofErr w:type="spellStart"/>
      <w:r w:rsidRPr="00BB6D58">
        <w:rPr>
          <w:i/>
          <w:sz w:val="22"/>
          <w:szCs w:val="22"/>
          <w:lang w:val="sk-SK"/>
        </w:rPr>
        <w:t>výpotkov</w:t>
      </w:r>
      <w:proofErr w:type="spellEnd"/>
    </w:p>
    <w:p w14:paraId="0D229C9E"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v </w:t>
      </w:r>
      <w:proofErr w:type="spellStart"/>
      <w:r w:rsidRPr="00EB5AA1">
        <w:rPr>
          <w:sz w:val="22"/>
          <w:szCs w:val="22"/>
          <w:lang w:val="sk-SK"/>
        </w:rPr>
        <w:t>monoterapii</w:t>
      </w:r>
      <w:proofErr w:type="spellEnd"/>
      <w:r w:rsidRPr="00EB5AA1">
        <w:rPr>
          <w:sz w:val="22"/>
          <w:szCs w:val="22"/>
          <w:lang w:val="sk-SK"/>
        </w:rPr>
        <w:t xml:space="preserve"> formou jednorazovej dávky do 60 x 10³ IU </w:t>
      </w:r>
      <w:proofErr w:type="spellStart"/>
      <w:r w:rsidRPr="00EB5AA1">
        <w:rPr>
          <w:sz w:val="22"/>
          <w:szCs w:val="22"/>
          <w:lang w:val="sk-SK"/>
        </w:rPr>
        <w:t>intrapleurálne</w:t>
      </w:r>
      <w:proofErr w:type="spellEnd"/>
      <w:r w:rsidRPr="00EB5AA1">
        <w:rPr>
          <w:sz w:val="22"/>
          <w:szCs w:val="22"/>
          <w:lang w:val="sk-SK"/>
        </w:rPr>
        <w:t>. Ďalšie podrobné informácie možno nájsť v aktuálnej literatúre.</w:t>
      </w:r>
    </w:p>
    <w:p w14:paraId="03DF18A4" w14:textId="77777777" w:rsidR="00374898" w:rsidRPr="00EB5AA1" w:rsidRDefault="00374898" w:rsidP="00374898">
      <w:pPr>
        <w:rPr>
          <w:sz w:val="22"/>
          <w:szCs w:val="22"/>
          <w:lang w:val="sk-SK"/>
        </w:rPr>
      </w:pPr>
    </w:p>
    <w:p w14:paraId="20C10ABF" w14:textId="77777777" w:rsidR="00374898" w:rsidRPr="00EB5AA1" w:rsidRDefault="00374898" w:rsidP="00374898">
      <w:pPr>
        <w:rPr>
          <w:sz w:val="22"/>
          <w:szCs w:val="22"/>
          <w:lang w:val="sk-SK"/>
        </w:rPr>
      </w:pPr>
      <w:r w:rsidRPr="00EB5AA1">
        <w:rPr>
          <w:sz w:val="22"/>
          <w:szCs w:val="22"/>
          <w:lang w:val="sk-SK"/>
        </w:rPr>
        <w:t xml:space="preserve">Po drenáži </w:t>
      </w:r>
      <w:proofErr w:type="spellStart"/>
      <w:r w:rsidRPr="00EB5AA1">
        <w:rPr>
          <w:sz w:val="22"/>
          <w:szCs w:val="22"/>
          <w:lang w:val="sk-SK"/>
        </w:rPr>
        <w:t>pleurálnej</w:t>
      </w:r>
      <w:proofErr w:type="spellEnd"/>
      <w:r w:rsidRPr="00EB5AA1">
        <w:rPr>
          <w:sz w:val="22"/>
          <w:szCs w:val="22"/>
          <w:lang w:val="sk-SK"/>
        </w:rPr>
        <w:t xml:space="preserve"> dutiny sa 60 x 10³ IU </w:t>
      </w:r>
      <w:proofErr w:type="spellStart"/>
      <w:r w:rsidRPr="00EB5AA1">
        <w:rPr>
          <w:sz w:val="22"/>
          <w:szCs w:val="22"/>
          <w:lang w:val="sk-SK"/>
        </w:rPr>
        <w:t>bleomycínu</w:t>
      </w:r>
      <w:proofErr w:type="spellEnd"/>
      <w:r w:rsidRPr="00EB5AA1">
        <w:rPr>
          <w:sz w:val="22"/>
          <w:szCs w:val="22"/>
          <w:lang w:val="sk-SK"/>
        </w:rPr>
        <w:t>, rozpustených v 100 ml fyziologického roztoku, podáva infúziou cez drenážnu ihlu alebo kanylu. Po podaní sa drenážna ihla alebo kanyla vytiahne. Podanie sa môže v prípade potreby zopakovať.</w:t>
      </w:r>
    </w:p>
    <w:p w14:paraId="28C5F996" w14:textId="77777777" w:rsidR="00374898" w:rsidRPr="00EB5AA1" w:rsidRDefault="00374898" w:rsidP="00374898">
      <w:pPr>
        <w:rPr>
          <w:sz w:val="22"/>
          <w:szCs w:val="22"/>
          <w:lang w:val="sk-SK"/>
        </w:rPr>
      </w:pPr>
      <w:r w:rsidRPr="00EB5AA1">
        <w:rPr>
          <w:sz w:val="22"/>
          <w:szCs w:val="22"/>
          <w:lang w:val="sk-SK"/>
        </w:rPr>
        <w:t xml:space="preserve">Absorbuje sa približne 45 % podanej dávky </w:t>
      </w:r>
      <w:proofErr w:type="spellStart"/>
      <w:r w:rsidRPr="00EB5AA1">
        <w:rPr>
          <w:sz w:val="22"/>
          <w:szCs w:val="22"/>
          <w:lang w:val="sk-SK"/>
        </w:rPr>
        <w:t>bleomycínu</w:t>
      </w:r>
      <w:proofErr w:type="spellEnd"/>
      <w:r w:rsidRPr="00EB5AA1">
        <w:rPr>
          <w:sz w:val="22"/>
          <w:szCs w:val="22"/>
          <w:lang w:val="sk-SK"/>
        </w:rPr>
        <w:t>, čo sa musí vziať do úvahy pri celkovej dávke (plocha telesného povrchu, funkcia obličiek, funkcia pľúc).</w:t>
      </w:r>
    </w:p>
    <w:p w14:paraId="4E04ABCF" w14:textId="77777777" w:rsidR="00374898" w:rsidRPr="00EB5AA1" w:rsidRDefault="00374898" w:rsidP="00374898">
      <w:pPr>
        <w:rPr>
          <w:sz w:val="22"/>
          <w:szCs w:val="22"/>
          <w:lang w:val="sk-SK"/>
        </w:rPr>
      </w:pPr>
    </w:p>
    <w:p w14:paraId="24400682" w14:textId="77777777" w:rsidR="00374898" w:rsidRPr="00BB6D58" w:rsidRDefault="00374898" w:rsidP="00374898">
      <w:pPr>
        <w:rPr>
          <w:i/>
          <w:sz w:val="22"/>
          <w:szCs w:val="22"/>
          <w:lang w:val="sk-SK"/>
        </w:rPr>
      </w:pPr>
      <w:r w:rsidRPr="00BB6D58">
        <w:rPr>
          <w:i/>
          <w:sz w:val="22"/>
          <w:szCs w:val="22"/>
          <w:lang w:val="sk-SK"/>
        </w:rPr>
        <w:t>Kombinovaná liečba</w:t>
      </w:r>
    </w:p>
    <w:p w14:paraId="474668B1" w14:textId="77777777" w:rsidR="00374898" w:rsidRPr="00EB5AA1" w:rsidRDefault="00374898" w:rsidP="00374898">
      <w:pPr>
        <w:rPr>
          <w:sz w:val="22"/>
          <w:szCs w:val="22"/>
          <w:lang w:val="sk-SK"/>
        </w:rPr>
      </w:pPr>
      <w:r w:rsidRPr="00EB5AA1">
        <w:rPr>
          <w:sz w:val="22"/>
          <w:szCs w:val="22"/>
          <w:lang w:val="sk-SK"/>
        </w:rPr>
        <w:t>Podrobné informácie o schémach používaných pri špecifických indikáciách sa uvádzajú v aktuálnej literatúre.</w:t>
      </w:r>
    </w:p>
    <w:p w14:paraId="732B225E" w14:textId="77777777" w:rsidR="00374898" w:rsidRPr="00EB5AA1" w:rsidRDefault="00374898" w:rsidP="00374898">
      <w:pPr>
        <w:rPr>
          <w:sz w:val="22"/>
          <w:szCs w:val="22"/>
          <w:lang w:val="sk-SK"/>
        </w:rPr>
      </w:pPr>
    </w:p>
    <w:p w14:paraId="58D268B5" w14:textId="77777777" w:rsidR="00374898" w:rsidRPr="00EB5AA1" w:rsidRDefault="00374898" w:rsidP="00374898">
      <w:pPr>
        <w:rPr>
          <w:sz w:val="22"/>
          <w:szCs w:val="22"/>
          <w:lang w:val="sk-SK"/>
        </w:rPr>
      </w:pPr>
      <w:r w:rsidRPr="00EB5AA1">
        <w:rPr>
          <w:sz w:val="22"/>
          <w:szCs w:val="22"/>
          <w:lang w:val="sk-SK"/>
        </w:rPr>
        <w:t xml:space="preserve">Pri používaní </w:t>
      </w:r>
      <w:proofErr w:type="spellStart"/>
      <w:r w:rsidRPr="00EB5AA1">
        <w:rPr>
          <w:sz w:val="22"/>
          <w:szCs w:val="22"/>
          <w:lang w:val="sk-SK"/>
        </w:rPr>
        <w:t>bleomycínu</w:t>
      </w:r>
      <w:proofErr w:type="spellEnd"/>
      <w:r w:rsidRPr="00EB5AA1">
        <w:rPr>
          <w:sz w:val="22"/>
          <w:szCs w:val="22"/>
          <w:lang w:val="sk-SK"/>
        </w:rPr>
        <w:t xml:space="preserve"> v kombinovanej liečbe môže byť potrebná úprava dávky.</w:t>
      </w:r>
    </w:p>
    <w:p w14:paraId="1B07CBA3" w14:textId="77777777" w:rsidR="00374898" w:rsidRPr="00EB5AA1" w:rsidRDefault="00374898" w:rsidP="00374898">
      <w:pPr>
        <w:rPr>
          <w:sz w:val="22"/>
          <w:szCs w:val="22"/>
          <w:lang w:val="sk-SK"/>
        </w:rPr>
      </w:pPr>
    </w:p>
    <w:p w14:paraId="151BE490" w14:textId="77777777" w:rsidR="00374898" w:rsidRPr="00EB5AA1" w:rsidRDefault="00374898" w:rsidP="00374898">
      <w:pPr>
        <w:rPr>
          <w:sz w:val="22"/>
          <w:szCs w:val="22"/>
          <w:lang w:val="sk-SK"/>
        </w:rPr>
      </w:pPr>
      <w:r w:rsidRPr="00EB5AA1">
        <w:rPr>
          <w:sz w:val="22"/>
          <w:szCs w:val="22"/>
          <w:lang w:val="sk-SK"/>
        </w:rPr>
        <w:t xml:space="preserve">Pri používaní </w:t>
      </w:r>
      <w:proofErr w:type="spellStart"/>
      <w:r w:rsidRPr="00EB5AA1">
        <w:rPr>
          <w:sz w:val="22"/>
          <w:szCs w:val="22"/>
          <w:lang w:val="sk-SK"/>
        </w:rPr>
        <w:t>bleomycínu</w:t>
      </w:r>
      <w:proofErr w:type="spellEnd"/>
      <w:r w:rsidRPr="00EB5AA1">
        <w:rPr>
          <w:sz w:val="22"/>
          <w:szCs w:val="22"/>
          <w:lang w:val="sk-SK"/>
        </w:rPr>
        <w:t xml:space="preserve"> v kombinácii s rádioterapiou sa zvyšuje riziko poškodenia slizníc. Z tohto dôvodu môže byť potrebné znížiť dávku </w:t>
      </w:r>
      <w:proofErr w:type="spellStart"/>
      <w:r w:rsidRPr="00EB5AA1">
        <w:rPr>
          <w:sz w:val="22"/>
          <w:szCs w:val="22"/>
          <w:lang w:val="sk-SK"/>
        </w:rPr>
        <w:t>bleomycínu</w:t>
      </w:r>
      <w:proofErr w:type="spellEnd"/>
      <w:r w:rsidRPr="00EB5AA1">
        <w:rPr>
          <w:sz w:val="22"/>
          <w:szCs w:val="22"/>
          <w:lang w:val="sk-SK"/>
        </w:rPr>
        <w:t>.</w:t>
      </w:r>
    </w:p>
    <w:p w14:paraId="4E440B11" w14:textId="77777777" w:rsidR="00E20160" w:rsidRDefault="00E20160" w:rsidP="00374898">
      <w:pPr>
        <w:rPr>
          <w:sz w:val="22"/>
          <w:szCs w:val="22"/>
          <w:lang w:val="sk-SK"/>
        </w:rPr>
      </w:pPr>
    </w:p>
    <w:p w14:paraId="6A1C3290"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často používa ako súčasť </w:t>
      </w:r>
      <w:proofErr w:type="spellStart"/>
      <w:r w:rsidRPr="00EB5AA1">
        <w:rPr>
          <w:sz w:val="22"/>
          <w:szCs w:val="22"/>
          <w:lang w:val="sk-SK"/>
        </w:rPr>
        <w:t>polychemoterapeutických</w:t>
      </w:r>
      <w:proofErr w:type="spellEnd"/>
      <w:r w:rsidRPr="00EB5AA1">
        <w:rPr>
          <w:sz w:val="22"/>
          <w:szCs w:val="22"/>
          <w:lang w:val="sk-SK"/>
        </w:rPr>
        <w:t xml:space="preserve"> režimov (napríklad pri </w:t>
      </w:r>
      <w:proofErr w:type="spellStart"/>
      <w:r w:rsidRPr="00EB5AA1">
        <w:rPr>
          <w:sz w:val="22"/>
          <w:szCs w:val="22"/>
          <w:lang w:val="sk-SK"/>
        </w:rPr>
        <w:t>skvamocelulárnom</w:t>
      </w:r>
      <w:proofErr w:type="spellEnd"/>
      <w:r w:rsidRPr="00EB5AA1">
        <w:rPr>
          <w:sz w:val="22"/>
          <w:szCs w:val="22"/>
          <w:lang w:val="sk-SK"/>
        </w:rPr>
        <w:t xml:space="preserve"> karcinóme, karcinóme semenníkov a </w:t>
      </w:r>
      <w:proofErr w:type="spellStart"/>
      <w:r w:rsidRPr="00EB5AA1">
        <w:rPr>
          <w:sz w:val="22"/>
          <w:szCs w:val="22"/>
          <w:lang w:val="sk-SK"/>
        </w:rPr>
        <w:t>lymfóme</w:t>
      </w:r>
      <w:proofErr w:type="spellEnd"/>
      <w:r w:rsidRPr="00EB5AA1">
        <w:rPr>
          <w:sz w:val="22"/>
          <w:szCs w:val="22"/>
          <w:lang w:val="sk-SK"/>
        </w:rPr>
        <w:t>).</w:t>
      </w:r>
    </w:p>
    <w:p w14:paraId="56CCBEBD" w14:textId="77777777" w:rsidR="00374898" w:rsidRPr="00EB5AA1" w:rsidRDefault="00374898" w:rsidP="00374898">
      <w:pPr>
        <w:rPr>
          <w:sz w:val="22"/>
          <w:szCs w:val="22"/>
          <w:lang w:val="sk-SK"/>
        </w:rPr>
      </w:pPr>
      <w:r w:rsidRPr="00EB5AA1">
        <w:rPr>
          <w:sz w:val="22"/>
          <w:szCs w:val="22"/>
          <w:lang w:val="sk-SK"/>
        </w:rPr>
        <w:t xml:space="preserve">Pri výbere a dávkovaní liekov s podobnou toxicitou sa má vziať do úvahy slizničná toxicita </w:t>
      </w:r>
      <w:proofErr w:type="spellStart"/>
      <w:r w:rsidRPr="00EB5AA1">
        <w:rPr>
          <w:sz w:val="22"/>
          <w:szCs w:val="22"/>
          <w:lang w:val="sk-SK"/>
        </w:rPr>
        <w:t>bleomycínu</w:t>
      </w:r>
      <w:proofErr w:type="spellEnd"/>
      <w:r w:rsidRPr="00EB5AA1">
        <w:rPr>
          <w:sz w:val="22"/>
          <w:szCs w:val="22"/>
          <w:lang w:val="sk-SK"/>
        </w:rPr>
        <w:t>, keď sa takéto lieky používajú v kombinovaných liečebných režimoch.</w:t>
      </w:r>
    </w:p>
    <w:p w14:paraId="07BE3F3E" w14:textId="77777777" w:rsidR="00374898" w:rsidRPr="00EB5AA1" w:rsidRDefault="00374898" w:rsidP="00374898">
      <w:pPr>
        <w:rPr>
          <w:sz w:val="22"/>
          <w:szCs w:val="22"/>
          <w:lang w:val="sk-SK"/>
        </w:rPr>
      </w:pPr>
    </w:p>
    <w:p w14:paraId="288CD430" w14:textId="77777777" w:rsidR="00374898" w:rsidRPr="00BB6D58" w:rsidRDefault="00374898" w:rsidP="00374898">
      <w:pPr>
        <w:keepNext/>
        <w:keepLines/>
        <w:rPr>
          <w:i/>
          <w:sz w:val="22"/>
          <w:szCs w:val="22"/>
          <w:lang w:val="sk-SK"/>
        </w:rPr>
      </w:pPr>
      <w:r w:rsidRPr="00BB6D58">
        <w:rPr>
          <w:i/>
          <w:sz w:val="22"/>
          <w:szCs w:val="22"/>
          <w:lang w:val="sk-SK"/>
        </w:rPr>
        <w:t>Pacienti vo vyššom veku</w:t>
      </w:r>
    </w:p>
    <w:p w14:paraId="3DB504C9" w14:textId="77777777" w:rsidR="00374898" w:rsidRPr="00EB5AA1" w:rsidRDefault="00374898" w:rsidP="00374898">
      <w:pPr>
        <w:keepNext/>
        <w:keepLines/>
        <w:rPr>
          <w:sz w:val="22"/>
          <w:szCs w:val="22"/>
          <w:lang w:val="sk-SK"/>
        </w:rPr>
      </w:pPr>
      <w:r w:rsidRPr="00EB5AA1">
        <w:rPr>
          <w:sz w:val="22"/>
          <w:szCs w:val="22"/>
          <w:lang w:val="sk-SK"/>
        </w:rPr>
        <w:t xml:space="preserve">Celková dávka </w:t>
      </w:r>
      <w:proofErr w:type="spellStart"/>
      <w:r w:rsidRPr="00EB5AA1">
        <w:rPr>
          <w:sz w:val="22"/>
          <w:szCs w:val="22"/>
          <w:lang w:val="sk-SK"/>
        </w:rPr>
        <w:t>bleomycínu</w:t>
      </w:r>
      <w:proofErr w:type="spellEnd"/>
      <w:r w:rsidRPr="00EB5AA1">
        <w:rPr>
          <w:sz w:val="22"/>
          <w:szCs w:val="22"/>
          <w:lang w:val="sk-SK"/>
        </w:rPr>
        <w:t xml:space="preserve"> sa má u starších pacientov znížiť nasledovne:</w:t>
      </w:r>
    </w:p>
    <w:p w14:paraId="64857A92" w14:textId="77777777" w:rsidR="00374898" w:rsidRPr="00EB5AA1" w:rsidRDefault="00374898" w:rsidP="00374898">
      <w:pPr>
        <w:keepNext/>
        <w:keepLines/>
        <w:rPr>
          <w:sz w:val="22"/>
          <w:szCs w:val="22"/>
          <w:lang w:val="sk-SK"/>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880"/>
        <w:gridCol w:w="2880"/>
      </w:tblGrid>
      <w:tr w:rsidR="00374898" w:rsidRPr="00EB5AA1" w14:paraId="4688A6D5" w14:textId="77777777" w:rsidTr="00F62E25">
        <w:tc>
          <w:tcPr>
            <w:tcW w:w="2700" w:type="dxa"/>
            <w:shd w:val="clear" w:color="auto" w:fill="auto"/>
          </w:tcPr>
          <w:p w14:paraId="6FBC0DED" w14:textId="77777777" w:rsidR="00374898" w:rsidRPr="00EB5AA1" w:rsidRDefault="00374898" w:rsidP="00F62E25">
            <w:pPr>
              <w:keepNext/>
              <w:keepLines/>
              <w:rPr>
                <w:i/>
                <w:sz w:val="22"/>
                <w:szCs w:val="22"/>
                <w:lang w:val="sk-SK"/>
              </w:rPr>
            </w:pPr>
            <w:r w:rsidRPr="00EB5AA1">
              <w:rPr>
                <w:i/>
                <w:iCs/>
                <w:sz w:val="22"/>
                <w:szCs w:val="22"/>
                <w:lang w:val="sk-SK"/>
              </w:rPr>
              <w:t>Vek (v rokoch)</w:t>
            </w:r>
          </w:p>
        </w:tc>
        <w:tc>
          <w:tcPr>
            <w:tcW w:w="2880" w:type="dxa"/>
            <w:shd w:val="clear" w:color="auto" w:fill="auto"/>
          </w:tcPr>
          <w:p w14:paraId="1C6F239A" w14:textId="77777777" w:rsidR="00374898" w:rsidRPr="00EB5AA1" w:rsidRDefault="00374898" w:rsidP="00F62E25">
            <w:pPr>
              <w:keepNext/>
              <w:keepLines/>
              <w:rPr>
                <w:i/>
                <w:sz w:val="22"/>
                <w:szCs w:val="22"/>
                <w:lang w:val="sk-SK"/>
              </w:rPr>
            </w:pPr>
            <w:r w:rsidRPr="00EB5AA1">
              <w:rPr>
                <w:i/>
                <w:iCs/>
                <w:sz w:val="22"/>
                <w:szCs w:val="22"/>
                <w:lang w:val="sk-SK"/>
              </w:rPr>
              <w:t>Celková dávka (IU)</w:t>
            </w:r>
          </w:p>
        </w:tc>
        <w:tc>
          <w:tcPr>
            <w:tcW w:w="2880" w:type="dxa"/>
            <w:shd w:val="clear" w:color="auto" w:fill="auto"/>
          </w:tcPr>
          <w:p w14:paraId="6EB59100" w14:textId="77777777" w:rsidR="00374898" w:rsidRPr="00EB5AA1" w:rsidRDefault="00374898" w:rsidP="00F62E25">
            <w:pPr>
              <w:keepNext/>
              <w:keepLines/>
              <w:rPr>
                <w:i/>
                <w:sz w:val="22"/>
                <w:szCs w:val="22"/>
                <w:lang w:val="sk-SK"/>
              </w:rPr>
            </w:pPr>
            <w:r w:rsidRPr="00EB5AA1">
              <w:rPr>
                <w:i/>
                <w:iCs/>
                <w:sz w:val="22"/>
                <w:szCs w:val="22"/>
                <w:lang w:val="sk-SK"/>
              </w:rPr>
              <w:t>Dávka na týždeň (IU)</w:t>
            </w:r>
          </w:p>
        </w:tc>
      </w:tr>
      <w:tr w:rsidR="00374898" w:rsidRPr="00EB5AA1" w14:paraId="20B21FCA" w14:textId="77777777" w:rsidTr="00F62E25">
        <w:tc>
          <w:tcPr>
            <w:tcW w:w="2700" w:type="dxa"/>
            <w:shd w:val="clear" w:color="auto" w:fill="auto"/>
          </w:tcPr>
          <w:p w14:paraId="0375208F" w14:textId="77777777" w:rsidR="00374898" w:rsidRPr="00EB5AA1" w:rsidRDefault="00374898" w:rsidP="00F62E25">
            <w:pPr>
              <w:keepNext/>
              <w:keepLines/>
              <w:rPr>
                <w:sz w:val="22"/>
                <w:szCs w:val="22"/>
                <w:lang w:val="sk-SK"/>
              </w:rPr>
            </w:pPr>
            <w:r w:rsidRPr="00EB5AA1">
              <w:rPr>
                <w:sz w:val="22"/>
                <w:szCs w:val="22"/>
                <w:lang w:val="sk-SK"/>
              </w:rPr>
              <w:t>≥ 80</w:t>
            </w:r>
          </w:p>
        </w:tc>
        <w:tc>
          <w:tcPr>
            <w:tcW w:w="2880" w:type="dxa"/>
            <w:shd w:val="clear" w:color="auto" w:fill="auto"/>
          </w:tcPr>
          <w:p w14:paraId="3F6EC5FF" w14:textId="77777777" w:rsidR="00374898" w:rsidRPr="00EB5AA1" w:rsidRDefault="00374898" w:rsidP="00F62E25">
            <w:pPr>
              <w:keepNext/>
              <w:keepLines/>
              <w:rPr>
                <w:sz w:val="22"/>
                <w:szCs w:val="22"/>
                <w:lang w:val="sk-SK"/>
              </w:rPr>
            </w:pPr>
            <w:r w:rsidRPr="00EB5AA1">
              <w:rPr>
                <w:sz w:val="22"/>
                <w:szCs w:val="22"/>
                <w:lang w:val="sk-SK"/>
              </w:rPr>
              <w:t>100 x 10³ IU</w:t>
            </w:r>
          </w:p>
        </w:tc>
        <w:tc>
          <w:tcPr>
            <w:tcW w:w="2880" w:type="dxa"/>
            <w:shd w:val="clear" w:color="auto" w:fill="auto"/>
          </w:tcPr>
          <w:p w14:paraId="17AE9C62" w14:textId="77777777" w:rsidR="00374898" w:rsidRPr="00EB5AA1" w:rsidRDefault="00374898" w:rsidP="00F62E25">
            <w:pPr>
              <w:keepNext/>
              <w:keepLines/>
              <w:rPr>
                <w:sz w:val="22"/>
                <w:szCs w:val="22"/>
                <w:lang w:val="sk-SK"/>
              </w:rPr>
            </w:pPr>
            <w:r w:rsidRPr="00EB5AA1">
              <w:rPr>
                <w:sz w:val="22"/>
                <w:szCs w:val="22"/>
                <w:lang w:val="sk-SK"/>
              </w:rPr>
              <w:t>15 x 10³ IU</w:t>
            </w:r>
          </w:p>
        </w:tc>
      </w:tr>
      <w:tr w:rsidR="00374898" w:rsidRPr="00EB5AA1" w14:paraId="085F4551" w14:textId="77777777" w:rsidTr="00F62E25">
        <w:tc>
          <w:tcPr>
            <w:tcW w:w="2700" w:type="dxa"/>
            <w:shd w:val="clear" w:color="auto" w:fill="auto"/>
          </w:tcPr>
          <w:p w14:paraId="6C7A4718" w14:textId="77777777" w:rsidR="00374898" w:rsidRPr="00EB5AA1" w:rsidRDefault="00374898" w:rsidP="00F62E25">
            <w:pPr>
              <w:keepNext/>
              <w:keepLines/>
              <w:rPr>
                <w:sz w:val="22"/>
                <w:szCs w:val="22"/>
                <w:lang w:val="sk-SK"/>
              </w:rPr>
            </w:pPr>
            <w:r w:rsidRPr="00EB5AA1">
              <w:rPr>
                <w:sz w:val="22"/>
                <w:szCs w:val="22"/>
                <w:lang w:val="sk-SK"/>
              </w:rPr>
              <w:t>70 – 79</w:t>
            </w:r>
          </w:p>
        </w:tc>
        <w:tc>
          <w:tcPr>
            <w:tcW w:w="2880" w:type="dxa"/>
            <w:shd w:val="clear" w:color="auto" w:fill="auto"/>
          </w:tcPr>
          <w:p w14:paraId="2A066532" w14:textId="77777777" w:rsidR="00374898" w:rsidRPr="00EB5AA1" w:rsidRDefault="00374898" w:rsidP="00F62E25">
            <w:pPr>
              <w:keepNext/>
              <w:keepLines/>
              <w:rPr>
                <w:sz w:val="22"/>
                <w:szCs w:val="22"/>
                <w:lang w:val="sk-SK"/>
              </w:rPr>
            </w:pPr>
            <w:r w:rsidRPr="00EB5AA1">
              <w:rPr>
                <w:sz w:val="22"/>
                <w:szCs w:val="22"/>
                <w:lang w:val="sk-SK"/>
              </w:rPr>
              <w:t>150 – 200 x 10³ IU</w:t>
            </w:r>
          </w:p>
        </w:tc>
        <w:tc>
          <w:tcPr>
            <w:tcW w:w="2880" w:type="dxa"/>
            <w:shd w:val="clear" w:color="auto" w:fill="auto"/>
          </w:tcPr>
          <w:p w14:paraId="52650435" w14:textId="77777777" w:rsidR="00374898" w:rsidRPr="00EB5AA1" w:rsidRDefault="00374898" w:rsidP="00F62E25">
            <w:pPr>
              <w:keepNext/>
              <w:keepLines/>
              <w:rPr>
                <w:sz w:val="22"/>
                <w:szCs w:val="22"/>
                <w:lang w:val="sk-SK"/>
              </w:rPr>
            </w:pPr>
            <w:r w:rsidRPr="00EB5AA1">
              <w:rPr>
                <w:sz w:val="22"/>
                <w:szCs w:val="22"/>
                <w:lang w:val="sk-SK"/>
              </w:rPr>
              <w:t>30 x 10³ IU</w:t>
            </w:r>
          </w:p>
        </w:tc>
      </w:tr>
      <w:tr w:rsidR="00374898" w:rsidRPr="00EB5AA1" w14:paraId="1D9F4CEC" w14:textId="77777777" w:rsidTr="00F62E25">
        <w:tc>
          <w:tcPr>
            <w:tcW w:w="2700" w:type="dxa"/>
            <w:shd w:val="clear" w:color="auto" w:fill="auto"/>
          </w:tcPr>
          <w:p w14:paraId="49F2E2A8" w14:textId="77777777" w:rsidR="00374898" w:rsidRPr="00EB5AA1" w:rsidRDefault="00374898" w:rsidP="00F62E25">
            <w:pPr>
              <w:keepNext/>
              <w:keepLines/>
              <w:rPr>
                <w:sz w:val="22"/>
                <w:szCs w:val="22"/>
                <w:lang w:val="sk-SK"/>
              </w:rPr>
            </w:pPr>
            <w:r w:rsidRPr="00EB5AA1">
              <w:rPr>
                <w:sz w:val="22"/>
                <w:szCs w:val="22"/>
                <w:lang w:val="sk-SK"/>
              </w:rPr>
              <w:t>60 – 69</w:t>
            </w:r>
          </w:p>
        </w:tc>
        <w:tc>
          <w:tcPr>
            <w:tcW w:w="2880" w:type="dxa"/>
            <w:shd w:val="clear" w:color="auto" w:fill="auto"/>
          </w:tcPr>
          <w:p w14:paraId="05EE23A6" w14:textId="77777777" w:rsidR="00374898" w:rsidRPr="00EB5AA1" w:rsidRDefault="00374898" w:rsidP="00F62E25">
            <w:pPr>
              <w:keepNext/>
              <w:keepLines/>
              <w:rPr>
                <w:sz w:val="22"/>
                <w:szCs w:val="22"/>
                <w:lang w:val="sk-SK"/>
              </w:rPr>
            </w:pPr>
            <w:r w:rsidRPr="00EB5AA1">
              <w:rPr>
                <w:sz w:val="22"/>
                <w:szCs w:val="22"/>
                <w:lang w:val="sk-SK"/>
              </w:rPr>
              <w:t>200 – 300 x 10³ IU</w:t>
            </w:r>
          </w:p>
        </w:tc>
        <w:tc>
          <w:tcPr>
            <w:tcW w:w="2880" w:type="dxa"/>
            <w:shd w:val="clear" w:color="auto" w:fill="auto"/>
          </w:tcPr>
          <w:p w14:paraId="1BDA37E7" w14:textId="77777777" w:rsidR="00374898" w:rsidRPr="00EB5AA1" w:rsidRDefault="00374898" w:rsidP="00F62E25">
            <w:pPr>
              <w:keepNext/>
              <w:keepLines/>
              <w:rPr>
                <w:sz w:val="22"/>
                <w:szCs w:val="22"/>
                <w:lang w:val="sk-SK"/>
              </w:rPr>
            </w:pPr>
            <w:r w:rsidRPr="00EB5AA1">
              <w:rPr>
                <w:sz w:val="22"/>
                <w:szCs w:val="22"/>
                <w:lang w:val="sk-SK"/>
              </w:rPr>
              <w:t>30 – 60 x 10³ IU</w:t>
            </w:r>
          </w:p>
        </w:tc>
      </w:tr>
      <w:tr w:rsidR="00374898" w:rsidRPr="00EB5AA1" w14:paraId="4CA433BD" w14:textId="77777777" w:rsidTr="00F62E25">
        <w:tc>
          <w:tcPr>
            <w:tcW w:w="2700" w:type="dxa"/>
            <w:shd w:val="clear" w:color="auto" w:fill="auto"/>
          </w:tcPr>
          <w:p w14:paraId="0356AF76" w14:textId="77777777" w:rsidR="00374898" w:rsidRPr="00EB5AA1" w:rsidRDefault="00374898" w:rsidP="00F62E25">
            <w:pPr>
              <w:keepNext/>
              <w:keepLines/>
              <w:rPr>
                <w:sz w:val="22"/>
                <w:szCs w:val="22"/>
                <w:lang w:val="sk-SK"/>
              </w:rPr>
            </w:pPr>
            <w:r w:rsidRPr="00EB5AA1">
              <w:rPr>
                <w:sz w:val="22"/>
                <w:szCs w:val="22"/>
                <w:lang w:val="sk-SK"/>
              </w:rPr>
              <w:t>&lt; 60</w:t>
            </w:r>
          </w:p>
        </w:tc>
        <w:tc>
          <w:tcPr>
            <w:tcW w:w="2880" w:type="dxa"/>
            <w:shd w:val="clear" w:color="auto" w:fill="auto"/>
          </w:tcPr>
          <w:p w14:paraId="2F95FE69" w14:textId="77777777" w:rsidR="00374898" w:rsidRPr="00EB5AA1" w:rsidRDefault="00374898" w:rsidP="00F62E25">
            <w:pPr>
              <w:keepNext/>
              <w:keepLines/>
              <w:rPr>
                <w:sz w:val="22"/>
                <w:szCs w:val="22"/>
                <w:lang w:val="sk-SK"/>
              </w:rPr>
            </w:pPr>
            <w:r w:rsidRPr="00EB5AA1">
              <w:rPr>
                <w:sz w:val="22"/>
                <w:szCs w:val="22"/>
                <w:lang w:val="sk-SK"/>
              </w:rPr>
              <w:t>400 x 10³ IU</w:t>
            </w:r>
          </w:p>
        </w:tc>
        <w:tc>
          <w:tcPr>
            <w:tcW w:w="2880" w:type="dxa"/>
            <w:shd w:val="clear" w:color="auto" w:fill="auto"/>
          </w:tcPr>
          <w:p w14:paraId="284DD2FE" w14:textId="77777777" w:rsidR="00374898" w:rsidRPr="00EB5AA1" w:rsidRDefault="00374898" w:rsidP="00F62E25">
            <w:pPr>
              <w:keepNext/>
              <w:keepLines/>
              <w:rPr>
                <w:sz w:val="22"/>
                <w:szCs w:val="22"/>
                <w:lang w:val="sk-SK"/>
              </w:rPr>
            </w:pPr>
            <w:r w:rsidRPr="00EB5AA1">
              <w:rPr>
                <w:sz w:val="22"/>
                <w:szCs w:val="22"/>
                <w:lang w:val="sk-SK"/>
              </w:rPr>
              <w:t>30 – 60 x 10³ IU</w:t>
            </w:r>
          </w:p>
        </w:tc>
      </w:tr>
    </w:tbl>
    <w:p w14:paraId="5261AEDA" w14:textId="77777777" w:rsidR="00374898" w:rsidRPr="00EB5AA1" w:rsidRDefault="00374898" w:rsidP="00374898">
      <w:pPr>
        <w:rPr>
          <w:sz w:val="22"/>
          <w:szCs w:val="22"/>
          <w:lang w:val="sk-SK"/>
        </w:rPr>
      </w:pPr>
    </w:p>
    <w:p w14:paraId="087DCF32" w14:textId="77777777" w:rsidR="00374898" w:rsidRPr="00BB6D58" w:rsidRDefault="00374898" w:rsidP="00374898">
      <w:pPr>
        <w:keepNext/>
        <w:keepLines/>
        <w:rPr>
          <w:i/>
          <w:sz w:val="22"/>
          <w:szCs w:val="22"/>
          <w:lang w:val="sk-SK"/>
        </w:rPr>
      </w:pPr>
      <w:r w:rsidRPr="00BB6D58">
        <w:rPr>
          <w:i/>
          <w:sz w:val="22"/>
          <w:szCs w:val="22"/>
          <w:lang w:val="sk-SK"/>
        </w:rPr>
        <w:t>Pediatrická populácia</w:t>
      </w:r>
      <w:r w:rsidRPr="00BB6D58" w:rsidDel="00EB5AA1">
        <w:rPr>
          <w:i/>
          <w:sz w:val="22"/>
          <w:szCs w:val="22"/>
          <w:lang w:val="sk-SK"/>
        </w:rPr>
        <w:t xml:space="preserve"> </w:t>
      </w:r>
    </w:p>
    <w:p w14:paraId="5D825727" w14:textId="77777777" w:rsidR="00374898" w:rsidRPr="00EB5AA1" w:rsidRDefault="00374898" w:rsidP="00374898">
      <w:pPr>
        <w:keepNext/>
        <w:keepLines/>
        <w:rPr>
          <w:sz w:val="22"/>
          <w:szCs w:val="22"/>
          <w:lang w:val="sk-SK"/>
        </w:rPr>
      </w:pPr>
      <w:r w:rsidRPr="00EB5AA1">
        <w:rPr>
          <w:sz w:val="22"/>
          <w:szCs w:val="22"/>
          <w:lang w:val="sk-SK"/>
        </w:rPr>
        <w:t xml:space="preserve">Pokiaľ nebude k dispozícii viac informácií, </w:t>
      </w:r>
      <w:proofErr w:type="spellStart"/>
      <w:r w:rsidRPr="00EB5AA1">
        <w:rPr>
          <w:sz w:val="22"/>
          <w:szCs w:val="22"/>
          <w:lang w:val="sk-SK"/>
        </w:rPr>
        <w:t>bleomycín</w:t>
      </w:r>
      <w:proofErr w:type="spellEnd"/>
      <w:r w:rsidRPr="00EB5AA1">
        <w:rPr>
          <w:sz w:val="22"/>
          <w:szCs w:val="22"/>
          <w:lang w:val="sk-SK"/>
        </w:rPr>
        <w:t xml:space="preserve"> sa má podávať deťom iba vo výnimočných prípadoch a v špecializovaných centrách. Dávka má vychádzať z odporúčanej dávky pre dospelých a má byť upravená podľa telesného povrchu a telesnej hmotnosti.</w:t>
      </w:r>
    </w:p>
    <w:p w14:paraId="6C565087" w14:textId="77777777" w:rsidR="00374898" w:rsidRPr="00EB5AA1" w:rsidRDefault="00374898" w:rsidP="00374898">
      <w:pPr>
        <w:rPr>
          <w:sz w:val="22"/>
          <w:szCs w:val="22"/>
          <w:lang w:val="sk-SK"/>
        </w:rPr>
      </w:pPr>
    </w:p>
    <w:p w14:paraId="465C3152" w14:textId="77777777" w:rsidR="00374898" w:rsidRPr="00BB6D58" w:rsidRDefault="00374898" w:rsidP="00374898">
      <w:pPr>
        <w:rPr>
          <w:i/>
          <w:sz w:val="22"/>
          <w:szCs w:val="22"/>
          <w:lang w:val="sk-SK"/>
        </w:rPr>
      </w:pPr>
      <w:r w:rsidRPr="00BB6D58">
        <w:rPr>
          <w:i/>
          <w:iCs/>
          <w:sz w:val="22"/>
          <w:szCs w:val="22"/>
          <w:lang w:val="sk-SK"/>
        </w:rPr>
        <w:t>Porucha funkcie</w:t>
      </w:r>
      <w:r w:rsidRPr="00BB6D58">
        <w:rPr>
          <w:i/>
          <w:sz w:val="22"/>
          <w:szCs w:val="22"/>
          <w:lang w:val="sk-SK"/>
        </w:rPr>
        <w:t xml:space="preserve"> obličiek</w:t>
      </w:r>
    </w:p>
    <w:p w14:paraId="59DCEE61" w14:textId="77777777" w:rsidR="00374898" w:rsidRPr="00EB5AA1" w:rsidRDefault="00374898" w:rsidP="00374898">
      <w:pPr>
        <w:rPr>
          <w:sz w:val="22"/>
          <w:szCs w:val="22"/>
          <w:lang w:val="sk-SK"/>
        </w:rPr>
      </w:pPr>
      <w:r w:rsidRPr="00EB5AA1">
        <w:rPr>
          <w:sz w:val="22"/>
          <w:szCs w:val="22"/>
          <w:lang w:val="sk-SK"/>
        </w:rPr>
        <w:t xml:space="preserve">Pri poruche funkcie obličiek, najmä pri </w:t>
      </w:r>
      <w:proofErr w:type="spellStart"/>
      <w:r w:rsidRPr="00EB5AA1">
        <w:rPr>
          <w:sz w:val="22"/>
          <w:szCs w:val="22"/>
          <w:lang w:val="sk-SK"/>
        </w:rPr>
        <w:t>klírense</w:t>
      </w:r>
      <w:proofErr w:type="spellEnd"/>
      <w:r w:rsidRPr="00EB5AA1">
        <w:rPr>
          <w:sz w:val="22"/>
          <w:szCs w:val="22"/>
          <w:lang w:val="sk-SK"/>
        </w:rPr>
        <w:t xml:space="preserve"> </w:t>
      </w:r>
      <w:proofErr w:type="spellStart"/>
      <w:r w:rsidRPr="00EB5AA1">
        <w:rPr>
          <w:sz w:val="22"/>
          <w:szCs w:val="22"/>
          <w:lang w:val="sk-SK"/>
        </w:rPr>
        <w:t>kreatinínu</w:t>
      </w:r>
      <w:proofErr w:type="spellEnd"/>
      <w:r w:rsidRPr="00EB5AA1">
        <w:rPr>
          <w:sz w:val="22"/>
          <w:szCs w:val="22"/>
          <w:lang w:val="sk-SK"/>
        </w:rPr>
        <w:t xml:space="preserve"> &lt; 35 ml/min, sa spomaľuje vylučovanie </w:t>
      </w:r>
      <w:proofErr w:type="spellStart"/>
      <w:r w:rsidRPr="00EB5AA1">
        <w:rPr>
          <w:sz w:val="22"/>
          <w:szCs w:val="22"/>
          <w:lang w:val="sk-SK"/>
        </w:rPr>
        <w:t>bleomycínu</w:t>
      </w:r>
      <w:proofErr w:type="spellEnd"/>
      <w:r w:rsidRPr="00EB5AA1">
        <w:rPr>
          <w:sz w:val="22"/>
          <w:szCs w:val="22"/>
          <w:lang w:val="sk-SK"/>
        </w:rPr>
        <w:t>. K dispozícii však nie je žiaden konkrétny návod na úpravu dávkovania u takýchto pacientov, ale možno odporúčať nasledovné:</w:t>
      </w:r>
    </w:p>
    <w:p w14:paraId="0BB1E60B" w14:textId="77777777" w:rsidR="00374898" w:rsidRPr="00EB5AA1" w:rsidRDefault="00374898" w:rsidP="00374898">
      <w:pPr>
        <w:rPr>
          <w:sz w:val="22"/>
          <w:szCs w:val="22"/>
          <w:lang w:val="sk-SK"/>
        </w:rPr>
      </w:pPr>
      <w:r w:rsidRPr="00EB5AA1">
        <w:rPr>
          <w:sz w:val="22"/>
          <w:szCs w:val="22"/>
          <w:lang w:val="sk-SK"/>
        </w:rPr>
        <w:t>Pacientom so stredne ťažkým zlyhaním obličiek (GFR 10 až 50 ml/min) sa má podať 75 % zvyčajnej dávky, ktorá sa podáva v obvyklom dávkovacom intervale a pacientom so závažným zlyhaním obličiek (GFR pod 10 ml/min) sa má podať 50 % zvyčajnej dávky, ktorá sa podáva v obvyklom dávkovacom intervale. U pacientov s GFR nad 50 ml/min nie je potrebná žiadna úprava dávkovania.</w:t>
      </w:r>
    </w:p>
    <w:p w14:paraId="42D2EF90" w14:textId="77777777" w:rsidR="00374898" w:rsidRPr="00EB5AA1" w:rsidRDefault="00374898" w:rsidP="00374898">
      <w:pPr>
        <w:rPr>
          <w:sz w:val="22"/>
          <w:szCs w:val="22"/>
          <w:lang w:val="sk-SK"/>
        </w:rPr>
      </w:pPr>
    </w:p>
    <w:p w14:paraId="313D50AA" w14:textId="77777777" w:rsidR="00374898" w:rsidRPr="00EB5AA1" w:rsidRDefault="00374898" w:rsidP="00374898">
      <w:pPr>
        <w:rPr>
          <w:sz w:val="22"/>
          <w:szCs w:val="22"/>
          <w:u w:val="single"/>
          <w:lang w:val="sk-SK"/>
        </w:rPr>
      </w:pPr>
      <w:r w:rsidRPr="00EB5AA1">
        <w:rPr>
          <w:sz w:val="22"/>
          <w:szCs w:val="22"/>
          <w:u w:val="single"/>
          <w:lang w:val="sk-SK"/>
        </w:rPr>
        <w:t>Spôsob podávania</w:t>
      </w:r>
    </w:p>
    <w:p w14:paraId="184C4C12" w14:textId="77777777" w:rsidR="00374898" w:rsidRPr="00EB5AA1" w:rsidRDefault="00374898" w:rsidP="00374898">
      <w:pPr>
        <w:rPr>
          <w:sz w:val="22"/>
          <w:szCs w:val="22"/>
          <w:u w:val="single"/>
          <w:lang w:val="sk-SK"/>
        </w:rPr>
      </w:pPr>
    </w:p>
    <w:p w14:paraId="420F1EDD" w14:textId="77777777" w:rsidR="00374898" w:rsidRPr="00EB5AA1" w:rsidRDefault="00374898" w:rsidP="00374898">
      <w:pPr>
        <w:rPr>
          <w:i/>
          <w:sz w:val="22"/>
          <w:szCs w:val="22"/>
          <w:lang w:val="sk-SK"/>
        </w:rPr>
      </w:pPr>
      <w:proofErr w:type="spellStart"/>
      <w:r w:rsidRPr="00BB6D58">
        <w:rPr>
          <w:i/>
          <w:sz w:val="22"/>
          <w:szCs w:val="22"/>
          <w:lang w:val="sk-SK"/>
        </w:rPr>
        <w:t>Intramuskulárna</w:t>
      </w:r>
      <w:proofErr w:type="spellEnd"/>
      <w:r w:rsidRPr="00BB6D58">
        <w:rPr>
          <w:i/>
          <w:sz w:val="22"/>
          <w:szCs w:val="22"/>
          <w:lang w:val="sk-SK"/>
        </w:rPr>
        <w:t xml:space="preserve"> a </w:t>
      </w:r>
      <w:proofErr w:type="spellStart"/>
      <w:r w:rsidRPr="00BB6D58">
        <w:rPr>
          <w:i/>
          <w:sz w:val="22"/>
          <w:szCs w:val="22"/>
          <w:lang w:val="sk-SK"/>
        </w:rPr>
        <w:t>subkutánna</w:t>
      </w:r>
      <w:proofErr w:type="spellEnd"/>
      <w:r w:rsidRPr="00BB6D58">
        <w:rPr>
          <w:i/>
          <w:sz w:val="22"/>
          <w:szCs w:val="22"/>
          <w:lang w:val="sk-SK"/>
        </w:rPr>
        <w:t xml:space="preserve"> injekcia</w:t>
      </w:r>
    </w:p>
    <w:p w14:paraId="591FD355" w14:textId="77777777" w:rsidR="00374898" w:rsidRPr="00EB5AA1" w:rsidRDefault="00374898" w:rsidP="00374898">
      <w:pPr>
        <w:rPr>
          <w:sz w:val="22"/>
          <w:szCs w:val="22"/>
          <w:lang w:val="sk-SK"/>
        </w:rPr>
      </w:pPr>
      <w:r w:rsidRPr="00EB5AA1">
        <w:rPr>
          <w:sz w:val="22"/>
          <w:szCs w:val="22"/>
          <w:lang w:val="sk-SK"/>
        </w:rPr>
        <w:t xml:space="preserve">Rozpustite potrebnú dávku v maximálne 5 ml vhodného rozpúšťadla, akým je 0,9 % roztok chloridu sodného. Ak sa v mieste vpichu vyskytne bolesť, do vhodného injekčného roztoku sa môže pridať lokálne anestetikum (1 % roztok </w:t>
      </w:r>
      <w:proofErr w:type="spellStart"/>
      <w:r w:rsidRPr="00EB5AA1">
        <w:rPr>
          <w:sz w:val="22"/>
          <w:szCs w:val="22"/>
          <w:lang w:val="sk-SK"/>
        </w:rPr>
        <w:t>lidokaínu</w:t>
      </w:r>
      <w:proofErr w:type="spellEnd"/>
      <w:r w:rsidRPr="00EB5AA1">
        <w:rPr>
          <w:sz w:val="22"/>
          <w:szCs w:val="22"/>
          <w:lang w:val="sk-SK"/>
        </w:rPr>
        <w:t>).</w:t>
      </w:r>
    </w:p>
    <w:p w14:paraId="34FB55EC" w14:textId="77777777" w:rsidR="00374898" w:rsidRPr="00EB5AA1" w:rsidRDefault="00374898" w:rsidP="00374898">
      <w:pPr>
        <w:rPr>
          <w:sz w:val="22"/>
          <w:szCs w:val="22"/>
          <w:lang w:val="sk-SK"/>
        </w:rPr>
      </w:pPr>
    </w:p>
    <w:p w14:paraId="291C03BF" w14:textId="77777777" w:rsidR="00374898" w:rsidRPr="00EB5AA1" w:rsidRDefault="00374898" w:rsidP="00374898">
      <w:pPr>
        <w:rPr>
          <w:sz w:val="22"/>
          <w:szCs w:val="22"/>
          <w:lang w:val="sk-SK"/>
        </w:rPr>
      </w:pPr>
      <w:r w:rsidRPr="00BB6D58">
        <w:rPr>
          <w:i/>
          <w:sz w:val="22"/>
          <w:szCs w:val="22"/>
          <w:lang w:val="sk-SK"/>
        </w:rPr>
        <w:t>Intravenózne podanie</w:t>
      </w:r>
    </w:p>
    <w:p w14:paraId="32C87507" w14:textId="77777777" w:rsidR="00374898" w:rsidRPr="00EB5AA1" w:rsidRDefault="00374898" w:rsidP="00374898">
      <w:pPr>
        <w:rPr>
          <w:sz w:val="22"/>
          <w:szCs w:val="22"/>
          <w:lang w:val="sk-SK"/>
        </w:rPr>
      </w:pPr>
      <w:r w:rsidRPr="00EB5AA1">
        <w:rPr>
          <w:sz w:val="22"/>
          <w:szCs w:val="22"/>
          <w:lang w:val="sk-SK"/>
        </w:rPr>
        <w:t>Rozpustite potrebnú dávku v 5 - 1 000 ml 0,9 % roztoku chloridu sodného a podávajte pomalou injekciou alebo pridajte do tečúcej infúzie.</w:t>
      </w:r>
    </w:p>
    <w:p w14:paraId="4F3E61B0" w14:textId="77777777" w:rsidR="00374898" w:rsidRPr="00EB5AA1" w:rsidRDefault="00374898" w:rsidP="00374898">
      <w:pPr>
        <w:rPr>
          <w:sz w:val="22"/>
          <w:szCs w:val="22"/>
          <w:lang w:val="sk-SK"/>
        </w:rPr>
      </w:pPr>
    </w:p>
    <w:p w14:paraId="2736761B" w14:textId="77777777" w:rsidR="00374898" w:rsidRPr="00EB5AA1" w:rsidRDefault="00374898" w:rsidP="00374898">
      <w:pPr>
        <w:rPr>
          <w:sz w:val="22"/>
          <w:szCs w:val="22"/>
          <w:lang w:val="sk-SK"/>
        </w:rPr>
      </w:pPr>
      <w:proofErr w:type="spellStart"/>
      <w:r w:rsidRPr="00BB6D58">
        <w:rPr>
          <w:i/>
          <w:sz w:val="22"/>
          <w:szCs w:val="22"/>
          <w:lang w:val="sk-SK"/>
        </w:rPr>
        <w:t>Intraarteriálne</w:t>
      </w:r>
      <w:proofErr w:type="spellEnd"/>
      <w:r w:rsidRPr="00BB6D58">
        <w:rPr>
          <w:i/>
          <w:sz w:val="22"/>
          <w:szCs w:val="22"/>
          <w:lang w:val="sk-SK"/>
        </w:rPr>
        <w:t xml:space="preserve"> podanie</w:t>
      </w:r>
    </w:p>
    <w:p w14:paraId="6F5DA320" w14:textId="77777777" w:rsidR="00374898" w:rsidRPr="00EB5AA1" w:rsidRDefault="00374898" w:rsidP="00374898">
      <w:pPr>
        <w:rPr>
          <w:sz w:val="22"/>
          <w:szCs w:val="22"/>
          <w:lang w:val="sk-SK"/>
        </w:rPr>
      </w:pPr>
      <w:r w:rsidRPr="00EB5AA1">
        <w:rPr>
          <w:sz w:val="22"/>
          <w:szCs w:val="22"/>
          <w:lang w:val="sk-SK"/>
        </w:rPr>
        <w:t>Používa sa pomalá infúzia s fyziologickým roztokom.</w:t>
      </w:r>
    </w:p>
    <w:p w14:paraId="7648011A" w14:textId="77777777" w:rsidR="00374898" w:rsidRPr="00EB5AA1" w:rsidRDefault="00374898" w:rsidP="00374898">
      <w:pPr>
        <w:rPr>
          <w:sz w:val="22"/>
          <w:szCs w:val="22"/>
          <w:lang w:val="sk-SK"/>
        </w:rPr>
      </w:pPr>
    </w:p>
    <w:p w14:paraId="435F33A9" w14:textId="77777777" w:rsidR="00374898" w:rsidRPr="00EB5AA1" w:rsidRDefault="00374898" w:rsidP="00374898">
      <w:pPr>
        <w:rPr>
          <w:sz w:val="22"/>
          <w:szCs w:val="22"/>
          <w:lang w:val="sk-SK"/>
        </w:rPr>
      </w:pPr>
      <w:proofErr w:type="spellStart"/>
      <w:r w:rsidRPr="00BB6D58">
        <w:rPr>
          <w:i/>
          <w:sz w:val="22"/>
          <w:szCs w:val="22"/>
          <w:lang w:val="sk-SK"/>
        </w:rPr>
        <w:t>Intrapleurálna</w:t>
      </w:r>
      <w:proofErr w:type="spellEnd"/>
      <w:r w:rsidRPr="00BB6D58">
        <w:rPr>
          <w:i/>
          <w:sz w:val="22"/>
          <w:szCs w:val="22"/>
          <w:lang w:val="sk-SK"/>
        </w:rPr>
        <w:t xml:space="preserve"> injekcia</w:t>
      </w:r>
    </w:p>
    <w:p w14:paraId="364DC5EB" w14:textId="77777777" w:rsidR="00374898" w:rsidRPr="00EB5AA1" w:rsidRDefault="00374898" w:rsidP="00374898">
      <w:pPr>
        <w:rPr>
          <w:sz w:val="22"/>
          <w:szCs w:val="22"/>
          <w:lang w:val="sk-SK"/>
        </w:rPr>
      </w:pPr>
      <w:r w:rsidRPr="00EB5AA1">
        <w:rPr>
          <w:sz w:val="22"/>
          <w:szCs w:val="22"/>
          <w:lang w:val="sk-SK"/>
        </w:rPr>
        <w:t>Rozpustite 60 x 10³ IU v 100 ml 0,9 % roztoku chloridu sodného.</w:t>
      </w:r>
    </w:p>
    <w:p w14:paraId="60AE94F2" w14:textId="77777777" w:rsidR="00374898" w:rsidRPr="00EB5AA1" w:rsidRDefault="00374898" w:rsidP="00374898">
      <w:pPr>
        <w:rPr>
          <w:sz w:val="22"/>
          <w:szCs w:val="22"/>
          <w:lang w:val="sk-SK"/>
        </w:rPr>
      </w:pPr>
    </w:p>
    <w:p w14:paraId="2494FA2F" w14:textId="77777777" w:rsidR="00374898" w:rsidRPr="00EB5AA1" w:rsidRDefault="00374898" w:rsidP="00374898">
      <w:pPr>
        <w:rPr>
          <w:sz w:val="22"/>
          <w:szCs w:val="22"/>
          <w:lang w:val="sk-SK"/>
        </w:rPr>
      </w:pPr>
      <w:r w:rsidRPr="00BB6D58">
        <w:rPr>
          <w:i/>
          <w:sz w:val="22"/>
          <w:szCs w:val="22"/>
          <w:lang w:val="sk-SK"/>
        </w:rPr>
        <w:t>Lokálne/</w:t>
      </w:r>
      <w:proofErr w:type="spellStart"/>
      <w:r w:rsidRPr="00BB6D58">
        <w:rPr>
          <w:i/>
          <w:sz w:val="22"/>
          <w:szCs w:val="22"/>
          <w:lang w:val="sk-SK"/>
        </w:rPr>
        <w:t>intranádorové</w:t>
      </w:r>
      <w:proofErr w:type="spellEnd"/>
      <w:r w:rsidRPr="00BB6D58">
        <w:rPr>
          <w:i/>
          <w:sz w:val="22"/>
          <w:szCs w:val="22"/>
          <w:lang w:val="sk-SK"/>
        </w:rPr>
        <w:t xml:space="preserve"> injekcie</w:t>
      </w:r>
    </w:p>
    <w:p w14:paraId="024E90A1"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rozpustí v 0,9 % roztoku chloridu sodného na roztok s koncentráciou 1 – 3 x 10³ IU/ml.</w:t>
      </w:r>
    </w:p>
    <w:p w14:paraId="1B0F22C5" w14:textId="77777777" w:rsidR="00374898" w:rsidRPr="00EB5AA1" w:rsidRDefault="00374898" w:rsidP="00374898">
      <w:pPr>
        <w:rPr>
          <w:sz w:val="22"/>
          <w:szCs w:val="22"/>
          <w:lang w:val="sk-SK"/>
        </w:rPr>
      </w:pPr>
    </w:p>
    <w:p w14:paraId="2EB58E7A" w14:textId="77777777" w:rsidR="00374898" w:rsidRPr="00EB5AA1" w:rsidRDefault="00374898" w:rsidP="00374898">
      <w:pPr>
        <w:ind w:left="567" w:hanging="567"/>
        <w:rPr>
          <w:b/>
          <w:bCs/>
          <w:sz w:val="22"/>
          <w:szCs w:val="22"/>
          <w:lang w:val="sk-SK"/>
        </w:rPr>
      </w:pPr>
      <w:r w:rsidRPr="00EB5AA1">
        <w:rPr>
          <w:b/>
          <w:bCs/>
          <w:sz w:val="22"/>
          <w:szCs w:val="22"/>
          <w:lang w:val="sk-SK"/>
        </w:rPr>
        <w:t>4.3</w:t>
      </w:r>
      <w:r w:rsidRPr="00EB5AA1">
        <w:rPr>
          <w:rStyle w:val="tw4winExternal"/>
          <w:rFonts w:ascii="Times New Roman" w:hAnsi="Times New Roman"/>
          <w:sz w:val="22"/>
          <w:szCs w:val="22"/>
          <w:lang w:val="sk-SK"/>
        </w:rPr>
        <w:tab/>
      </w:r>
      <w:r w:rsidRPr="00EB5AA1">
        <w:rPr>
          <w:b/>
          <w:bCs/>
          <w:sz w:val="22"/>
          <w:szCs w:val="22"/>
          <w:lang w:val="sk-SK"/>
        </w:rPr>
        <w:t>Kontraindikácie</w:t>
      </w:r>
    </w:p>
    <w:p w14:paraId="06279D90" w14:textId="77777777" w:rsidR="00374898" w:rsidRPr="00EB5AA1" w:rsidRDefault="00374898" w:rsidP="00374898">
      <w:pPr>
        <w:rPr>
          <w:sz w:val="22"/>
          <w:szCs w:val="22"/>
          <w:lang w:val="sk-SK"/>
        </w:rPr>
      </w:pPr>
    </w:p>
    <w:p w14:paraId="38D45C7A"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D6048">
        <w:rPr>
          <w:sz w:val="22"/>
          <w:szCs w:val="22"/>
          <w:lang w:val="sk-SK"/>
        </w:rPr>
        <w:t xml:space="preserve">Precitlivenosť na </w:t>
      </w:r>
      <w:r w:rsidRPr="00EB5AA1">
        <w:rPr>
          <w:sz w:val="22"/>
          <w:szCs w:val="22"/>
          <w:lang w:val="sk-SK"/>
        </w:rPr>
        <w:t>liečiv</w:t>
      </w:r>
      <w:r>
        <w:rPr>
          <w:sz w:val="22"/>
          <w:szCs w:val="22"/>
          <w:lang w:val="sk-SK"/>
        </w:rPr>
        <w:t>o</w:t>
      </w:r>
      <w:r w:rsidRPr="00EB5AA1">
        <w:rPr>
          <w:sz w:val="22"/>
          <w:szCs w:val="22"/>
          <w:lang w:val="sk-SK"/>
        </w:rPr>
        <w:t xml:space="preserve"> </w:t>
      </w:r>
      <w:r w:rsidRPr="00ED6048">
        <w:rPr>
          <w:sz w:val="22"/>
          <w:szCs w:val="22"/>
          <w:lang w:val="sk-SK"/>
        </w:rPr>
        <w:t>alebo na ktorúkoľvek z po</w:t>
      </w:r>
      <w:r>
        <w:rPr>
          <w:sz w:val="22"/>
          <w:szCs w:val="22"/>
          <w:lang w:val="sk-SK"/>
        </w:rPr>
        <w:t>mocných látok uvedených v časti </w:t>
      </w:r>
      <w:r w:rsidRPr="00ED6048">
        <w:rPr>
          <w:sz w:val="22"/>
          <w:szCs w:val="22"/>
          <w:lang w:val="sk-SK"/>
        </w:rPr>
        <w:t>6.1</w:t>
      </w:r>
    </w:p>
    <w:p w14:paraId="45EC92E1"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Akútna pľúcna infekcia alebo závažne znížená funkcia pľúc,</w:t>
      </w:r>
    </w:p>
    <w:p w14:paraId="1FCBA46C"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 xml:space="preserve">Pľúcna toxicita </w:t>
      </w:r>
      <w:proofErr w:type="spellStart"/>
      <w:r w:rsidRPr="00EB5AA1">
        <w:rPr>
          <w:sz w:val="22"/>
          <w:szCs w:val="22"/>
          <w:lang w:val="sk-SK"/>
        </w:rPr>
        <w:t>súvisiacia</w:t>
      </w:r>
      <w:proofErr w:type="spellEnd"/>
      <w:r w:rsidRPr="00EB5AA1">
        <w:rPr>
          <w:sz w:val="22"/>
          <w:szCs w:val="22"/>
          <w:lang w:val="sk-SK"/>
        </w:rPr>
        <w:t xml:space="preserve"> s </w:t>
      </w:r>
      <w:proofErr w:type="spellStart"/>
      <w:r w:rsidRPr="00EB5AA1">
        <w:rPr>
          <w:sz w:val="22"/>
          <w:szCs w:val="22"/>
          <w:lang w:val="sk-SK"/>
        </w:rPr>
        <w:t>bleomycínom</w:t>
      </w:r>
      <w:proofErr w:type="spellEnd"/>
      <w:r w:rsidRPr="00EB5AA1">
        <w:rPr>
          <w:sz w:val="22"/>
          <w:szCs w:val="22"/>
          <w:lang w:val="sk-SK"/>
        </w:rPr>
        <w:t xml:space="preserve"> alebo znížená funkcia pľúc, ktorá môže svedčiť o pľúcnej toxicite súvisiacej s </w:t>
      </w:r>
      <w:proofErr w:type="spellStart"/>
      <w:r w:rsidRPr="00EB5AA1">
        <w:rPr>
          <w:sz w:val="22"/>
          <w:szCs w:val="22"/>
          <w:lang w:val="sk-SK"/>
        </w:rPr>
        <w:t>bleomycínom</w:t>
      </w:r>
      <w:proofErr w:type="spellEnd"/>
      <w:r w:rsidRPr="00EB5AA1">
        <w:rPr>
          <w:sz w:val="22"/>
          <w:szCs w:val="22"/>
          <w:lang w:val="sk-SK"/>
        </w:rPr>
        <w:t>,</w:t>
      </w:r>
    </w:p>
    <w:p w14:paraId="626F7F2D"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proofErr w:type="spellStart"/>
      <w:r w:rsidRPr="00EB5AA1">
        <w:rPr>
          <w:sz w:val="22"/>
          <w:szCs w:val="22"/>
          <w:lang w:val="sk-SK"/>
        </w:rPr>
        <w:t>Ataxia-telangiektázia</w:t>
      </w:r>
      <w:proofErr w:type="spellEnd"/>
      <w:r w:rsidRPr="00EB5AA1">
        <w:rPr>
          <w:sz w:val="22"/>
          <w:szCs w:val="22"/>
          <w:lang w:val="sk-SK"/>
        </w:rPr>
        <w:t>,</w:t>
      </w:r>
    </w:p>
    <w:p w14:paraId="23697A39" w14:textId="77777777" w:rsidR="00E20160" w:rsidRDefault="00E20160" w:rsidP="00374898">
      <w:pPr>
        <w:ind w:left="567" w:hanging="567"/>
        <w:rPr>
          <w:sz w:val="22"/>
          <w:szCs w:val="22"/>
          <w:lang w:val="sk-SK"/>
        </w:rPr>
      </w:pPr>
    </w:p>
    <w:p w14:paraId="6A6EC72C" w14:textId="77777777" w:rsidR="00374898" w:rsidRPr="00EB5AA1" w:rsidRDefault="00374898" w:rsidP="00374898">
      <w:pPr>
        <w:ind w:left="567" w:hanging="567"/>
        <w:rPr>
          <w:sz w:val="22"/>
          <w:szCs w:val="22"/>
          <w:lang w:val="sk-SK"/>
        </w:rPr>
      </w:pPr>
      <w:r w:rsidRPr="00EB5AA1">
        <w:rPr>
          <w:sz w:val="22"/>
          <w:szCs w:val="22"/>
          <w:lang w:val="sk-SK"/>
        </w:rPr>
        <w:t>-</w:t>
      </w:r>
      <w:r w:rsidRPr="00EB5AA1">
        <w:rPr>
          <w:rStyle w:val="tw4winExternal"/>
          <w:rFonts w:ascii="Times New Roman" w:hAnsi="Times New Roman"/>
          <w:sz w:val="22"/>
          <w:szCs w:val="22"/>
          <w:lang w:val="sk-SK"/>
        </w:rPr>
        <w:tab/>
      </w:r>
      <w:r w:rsidRPr="00EB5AA1">
        <w:rPr>
          <w:sz w:val="22"/>
          <w:szCs w:val="22"/>
          <w:lang w:val="sk-SK"/>
        </w:rPr>
        <w:t>Dojčenie.</w:t>
      </w:r>
    </w:p>
    <w:p w14:paraId="36DBDD6B" w14:textId="77777777" w:rsidR="00374898" w:rsidRPr="00EB5AA1" w:rsidRDefault="00374898" w:rsidP="00374898">
      <w:pPr>
        <w:rPr>
          <w:sz w:val="22"/>
          <w:szCs w:val="22"/>
          <w:lang w:val="sk-SK"/>
        </w:rPr>
      </w:pPr>
    </w:p>
    <w:p w14:paraId="2BCA2412" w14:textId="77777777" w:rsidR="00374898" w:rsidRPr="00EB5AA1" w:rsidRDefault="00374898" w:rsidP="00374898">
      <w:pPr>
        <w:keepNext/>
        <w:keepLines/>
        <w:ind w:left="567" w:hanging="567"/>
        <w:rPr>
          <w:b/>
          <w:bCs/>
          <w:sz w:val="22"/>
          <w:szCs w:val="22"/>
          <w:lang w:val="sk-SK"/>
        </w:rPr>
      </w:pPr>
      <w:r w:rsidRPr="00EB5AA1">
        <w:rPr>
          <w:b/>
          <w:bCs/>
          <w:sz w:val="22"/>
          <w:szCs w:val="22"/>
          <w:lang w:val="sk-SK"/>
        </w:rPr>
        <w:t>4.4</w:t>
      </w:r>
      <w:r w:rsidRPr="00EB5AA1">
        <w:rPr>
          <w:rStyle w:val="tw4winExternal"/>
          <w:rFonts w:ascii="Times New Roman" w:hAnsi="Times New Roman"/>
          <w:sz w:val="22"/>
          <w:szCs w:val="22"/>
          <w:lang w:val="sk-SK"/>
        </w:rPr>
        <w:tab/>
      </w:r>
      <w:r w:rsidRPr="00EB5AA1">
        <w:rPr>
          <w:b/>
          <w:bCs/>
          <w:sz w:val="22"/>
          <w:szCs w:val="22"/>
          <w:lang w:val="sk-SK"/>
        </w:rPr>
        <w:t>Osobitné upozornenia a opatrenia pri používaní</w:t>
      </w:r>
    </w:p>
    <w:p w14:paraId="04D683FC" w14:textId="77777777" w:rsidR="00374898" w:rsidRPr="00EB5AA1" w:rsidRDefault="00374898" w:rsidP="00374898">
      <w:pPr>
        <w:keepNext/>
        <w:keepLines/>
        <w:rPr>
          <w:sz w:val="22"/>
          <w:szCs w:val="22"/>
          <w:lang w:val="sk-SK"/>
        </w:rPr>
      </w:pPr>
    </w:p>
    <w:p w14:paraId="34920BED" w14:textId="77777777" w:rsidR="00374898" w:rsidRPr="00EB5AA1" w:rsidRDefault="00374898" w:rsidP="00374898">
      <w:pPr>
        <w:keepNext/>
        <w:keepLines/>
        <w:rPr>
          <w:sz w:val="22"/>
          <w:szCs w:val="22"/>
          <w:lang w:val="sk-SK"/>
        </w:rPr>
      </w:pPr>
      <w:r w:rsidRPr="00EB5AA1">
        <w:rPr>
          <w:sz w:val="22"/>
          <w:szCs w:val="22"/>
          <w:lang w:val="sk-SK"/>
        </w:rPr>
        <w:t xml:space="preserve">U pacientov, ktorí sú liečení </w:t>
      </w:r>
      <w:proofErr w:type="spellStart"/>
      <w:r w:rsidRPr="00EB5AA1">
        <w:rPr>
          <w:sz w:val="22"/>
          <w:szCs w:val="22"/>
          <w:lang w:val="sk-SK"/>
        </w:rPr>
        <w:t>bleomycínom</w:t>
      </w:r>
      <w:proofErr w:type="spellEnd"/>
      <w:r w:rsidRPr="00EB5AA1">
        <w:rPr>
          <w:sz w:val="22"/>
          <w:szCs w:val="22"/>
          <w:lang w:val="sk-SK"/>
        </w:rPr>
        <w:t>, sa má pravidelne vykonávať vyšetrenie funkcie pľúc ako aj röntgenové vyšetrenie hrudníka. Vo vykonávaní týchto vyšetrení sa má pokračovať ešte 8 týždňov po ukončení liečby.</w:t>
      </w:r>
    </w:p>
    <w:p w14:paraId="61E05179" w14:textId="77777777" w:rsidR="00374898" w:rsidRPr="00EB5AA1" w:rsidRDefault="00374898" w:rsidP="00374898">
      <w:pPr>
        <w:keepNext/>
        <w:keepLines/>
        <w:rPr>
          <w:sz w:val="22"/>
          <w:szCs w:val="22"/>
          <w:lang w:val="sk-SK"/>
        </w:rPr>
      </w:pPr>
    </w:p>
    <w:p w14:paraId="75A268A5" w14:textId="77777777" w:rsidR="00374898" w:rsidRPr="00EB5AA1" w:rsidRDefault="00374898" w:rsidP="00374898">
      <w:pPr>
        <w:keepNext/>
        <w:keepLines/>
        <w:rPr>
          <w:sz w:val="22"/>
          <w:szCs w:val="22"/>
          <w:lang w:val="sk-SK"/>
        </w:rPr>
      </w:pPr>
      <w:r w:rsidRPr="00EB5AA1">
        <w:rPr>
          <w:sz w:val="22"/>
          <w:szCs w:val="22"/>
          <w:lang w:val="sk-SK"/>
        </w:rPr>
        <w:t>Pri súčasnej rádioterapii hrudníka sa má vyšetrenie hrudníka alebo röntgenové vyšetrenie hrudníka prípadne vykonávať častejšie. Vyšetrenie funkcie pľúc, konkrétne vyšetrenie difúznej kapacity pľúc pre oxid uhoľnatý a vitálnej kapacity pľúc, často umožňuje včasnú diagnózu pľúcnej toxicity.</w:t>
      </w:r>
    </w:p>
    <w:p w14:paraId="72956C09" w14:textId="77777777" w:rsidR="00374898" w:rsidRPr="00EB5AA1" w:rsidRDefault="00374898" w:rsidP="00374898">
      <w:pPr>
        <w:rPr>
          <w:sz w:val="22"/>
          <w:szCs w:val="22"/>
          <w:lang w:val="sk-SK"/>
        </w:rPr>
      </w:pPr>
    </w:p>
    <w:p w14:paraId="695E9D43" w14:textId="77777777" w:rsidR="00374898" w:rsidRPr="00EB5AA1" w:rsidRDefault="00374898" w:rsidP="00374898">
      <w:pPr>
        <w:rPr>
          <w:sz w:val="22"/>
          <w:szCs w:val="22"/>
          <w:lang w:val="sk-SK"/>
        </w:rPr>
      </w:pPr>
      <w:r w:rsidRPr="00EB5AA1">
        <w:rPr>
          <w:sz w:val="22"/>
          <w:szCs w:val="22"/>
          <w:lang w:val="sk-SK"/>
        </w:rPr>
        <w:t xml:space="preserve">Ak sa vyskytne nevysvetliteľný kašeľ, </w:t>
      </w:r>
      <w:proofErr w:type="spellStart"/>
      <w:r w:rsidRPr="00EB5AA1">
        <w:rPr>
          <w:sz w:val="22"/>
          <w:szCs w:val="22"/>
          <w:lang w:val="sk-SK"/>
        </w:rPr>
        <w:t>dyspnoe</w:t>
      </w:r>
      <w:proofErr w:type="spellEnd"/>
      <w:r w:rsidRPr="00EB5AA1">
        <w:rPr>
          <w:sz w:val="22"/>
          <w:szCs w:val="22"/>
          <w:lang w:val="sk-SK"/>
        </w:rPr>
        <w:t xml:space="preserve">, bazálne </w:t>
      </w:r>
      <w:proofErr w:type="spellStart"/>
      <w:r w:rsidRPr="00EB5AA1">
        <w:rPr>
          <w:sz w:val="22"/>
          <w:szCs w:val="22"/>
          <w:lang w:val="sk-SK"/>
        </w:rPr>
        <w:t>krepitácie</w:t>
      </w:r>
      <w:proofErr w:type="spellEnd"/>
      <w:r w:rsidRPr="00EB5AA1">
        <w:rPr>
          <w:sz w:val="22"/>
          <w:szCs w:val="22"/>
          <w:lang w:val="sk-SK"/>
        </w:rPr>
        <w:t xml:space="preserve"> (praskoty) alebo difúzna sieťovitá kresba na röntgene hrudníka, podávanie </w:t>
      </w:r>
      <w:proofErr w:type="spellStart"/>
      <w:r w:rsidRPr="00EB5AA1">
        <w:rPr>
          <w:sz w:val="22"/>
          <w:szCs w:val="22"/>
          <w:lang w:val="sk-SK"/>
        </w:rPr>
        <w:t>bleomycínu</w:t>
      </w:r>
      <w:proofErr w:type="spellEnd"/>
      <w:r w:rsidRPr="00EB5AA1">
        <w:rPr>
          <w:sz w:val="22"/>
          <w:szCs w:val="22"/>
          <w:lang w:val="sk-SK"/>
        </w:rPr>
        <w:t xml:space="preserve"> sa musí ihneď prerušiť, a to až dovtedy, kým sa nevylúči toxicita </w:t>
      </w:r>
      <w:proofErr w:type="spellStart"/>
      <w:r w:rsidRPr="00EB5AA1">
        <w:rPr>
          <w:sz w:val="22"/>
          <w:szCs w:val="22"/>
          <w:lang w:val="sk-SK"/>
        </w:rPr>
        <w:t>bleomycínu</w:t>
      </w:r>
      <w:proofErr w:type="spellEnd"/>
      <w:r w:rsidRPr="00EB5AA1">
        <w:rPr>
          <w:sz w:val="22"/>
          <w:szCs w:val="22"/>
          <w:lang w:val="sk-SK"/>
        </w:rPr>
        <w:t xml:space="preserve"> ako možná príčina. Odporúča sa podávať antibiotiká a v prípade potreby aj </w:t>
      </w:r>
      <w:proofErr w:type="spellStart"/>
      <w:r w:rsidRPr="00EB5AA1">
        <w:rPr>
          <w:sz w:val="22"/>
          <w:szCs w:val="22"/>
          <w:lang w:val="sk-SK"/>
        </w:rPr>
        <w:t>kortikosteroidy</w:t>
      </w:r>
      <w:proofErr w:type="spellEnd"/>
      <w:r w:rsidRPr="00EB5AA1">
        <w:rPr>
          <w:sz w:val="22"/>
          <w:szCs w:val="22"/>
          <w:lang w:val="sk-SK"/>
        </w:rPr>
        <w:t xml:space="preserve"> (napríklad 100</w:t>
      </w:r>
      <w:r>
        <w:rPr>
          <w:sz w:val="22"/>
          <w:szCs w:val="22"/>
          <w:lang w:val="sk-SK"/>
        </w:rPr>
        <w:t> </w:t>
      </w:r>
      <w:r w:rsidRPr="00EB5AA1">
        <w:rPr>
          <w:sz w:val="22"/>
          <w:szCs w:val="22"/>
          <w:lang w:val="sk-SK"/>
        </w:rPr>
        <w:t xml:space="preserve">mg </w:t>
      </w:r>
      <w:proofErr w:type="spellStart"/>
      <w:r w:rsidRPr="00EB5AA1">
        <w:rPr>
          <w:sz w:val="22"/>
          <w:szCs w:val="22"/>
          <w:lang w:val="sk-SK"/>
        </w:rPr>
        <w:t>hydrokortizónu</w:t>
      </w:r>
      <w:proofErr w:type="spellEnd"/>
      <w:r w:rsidRPr="00EB5AA1">
        <w:rPr>
          <w:sz w:val="22"/>
          <w:szCs w:val="22"/>
          <w:lang w:val="sk-SK"/>
        </w:rPr>
        <w:t xml:space="preserve"> </w:t>
      </w:r>
      <w:proofErr w:type="spellStart"/>
      <w:r w:rsidRPr="00EB5AA1">
        <w:rPr>
          <w:sz w:val="22"/>
          <w:szCs w:val="22"/>
          <w:lang w:val="sk-SK"/>
        </w:rPr>
        <w:t>intramuskulárne</w:t>
      </w:r>
      <w:proofErr w:type="spellEnd"/>
      <w:r w:rsidRPr="00EB5AA1">
        <w:rPr>
          <w:sz w:val="22"/>
          <w:szCs w:val="22"/>
          <w:lang w:val="sk-SK"/>
        </w:rPr>
        <w:t xml:space="preserve"> vo forme </w:t>
      </w:r>
      <w:proofErr w:type="spellStart"/>
      <w:r w:rsidRPr="00EB5AA1">
        <w:rPr>
          <w:sz w:val="22"/>
          <w:szCs w:val="22"/>
          <w:lang w:val="sk-SK"/>
        </w:rPr>
        <w:t>nátriumsukcinátu</w:t>
      </w:r>
      <w:proofErr w:type="spellEnd"/>
      <w:r w:rsidRPr="00EB5AA1">
        <w:rPr>
          <w:sz w:val="22"/>
          <w:szCs w:val="22"/>
          <w:lang w:val="sk-SK"/>
        </w:rPr>
        <w:t xml:space="preserve"> denne, počas 5 dní, po ktorých sa následne podáva 10 mg </w:t>
      </w:r>
      <w:proofErr w:type="spellStart"/>
      <w:r w:rsidRPr="00EB5AA1">
        <w:rPr>
          <w:sz w:val="22"/>
          <w:szCs w:val="22"/>
          <w:lang w:val="sk-SK"/>
        </w:rPr>
        <w:t>prednizolónu</w:t>
      </w:r>
      <w:proofErr w:type="spellEnd"/>
      <w:r w:rsidRPr="00EB5AA1">
        <w:rPr>
          <w:sz w:val="22"/>
          <w:szCs w:val="22"/>
          <w:lang w:val="sk-SK"/>
        </w:rPr>
        <w:t xml:space="preserve"> 2-krát denne).</w:t>
      </w:r>
    </w:p>
    <w:p w14:paraId="6DC40740" w14:textId="77777777" w:rsidR="00374898" w:rsidRPr="00EB5AA1" w:rsidRDefault="00374898" w:rsidP="00374898">
      <w:pPr>
        <w:rPr>
          <w:sz w:val="22"/>
          <w:szCs w:val="22"/>
          <w:lang w:val="sk-SK"/>
        </w:rPr>
      </w:pPr>
      <w:r w:rsidRPr="00EB5AA1">
        <w:rPr>
          <w:sz w:val="22"/>
          <w:szCs w:val="22"/>
          <w:lang w:val="sk-SK"/>
        </w:rPr>
        <w:t xml:space="preserve">V prípade poškodenia pľúc v dôsledku liečby </w:t>
      </w:r>
      <w:proofErr w:type="spellStart"/>
      <w:r w:rsidRPr="00EB5AA1">
        <w:rPr>
          <w:sz w:val="22"/>
          <w:szCs w:val="22"/>
          <w:lang w:val="sk-SK"/>
        </w:rPr>
        <w:t>bleomycínom</w:t>
      </w:r>
      <w:proofErr w:type="spellEnd"/>
      <w:r w:rsidRPr="00EB5AA1">
        <w:rPr>
          <w:sz w:val="22"/>
          <w:szCs w:val="22"/>
          <w:lang w:val="sk-SK"/>
        </w:rPr>
        <w:t xml:space="preserve"> sa </w:t>
      </w:r>
      <w:proofErr w:type="spellStart"/>
      <w:r w:rsidRPr="00EB5AA1">
        <w:rPr>
          <w:sz w:val="22"/>
          <w:szCs w:val="22"/>
          <w:lang w:val="sk-SK"/>
        </w:rPr>
        <w:t>bleomycín</w:t>
      </w:r>
      <w:proofErr w:type="spellEnd"/>
      <w:r w:rsidRPr="00EB5AA1">
        <w:rPr>
          <w:sz w:val="22"/>
          <w:szCs w:val="22"/>
          <w:lang w:val="sk-SK"/>
        </w:rPr>
        <w:t xml:space="preserve"> už viac nemá podávať (pozri časť</w:t>
      </w:r>
      <w:r>
        <w:rPr>
          <w:sz w:val="22"/>
          <w:szCs w:val="22"/>
          <w:lang w:val="sk-SK"/>
        </w:rPr>
        <w:t> </w:t>
      </w:r>
      <w:r w:rsidRPr="00EB5AA1">
        <w:rPr>
          <w:sz w:val="22"/>
          <w:szCs w:val="22"/>
          <w:lang w:val="sk-SK"/>
        </w:rPr>
        <w:t>4.3).</w:t>
      </w:r>
    </w:p>
    <w:p w14:paraId="14572261" w14:textId="77777777" w:rsidR="00374898" w:rsidRPr="00EB5AA1" w:rsidRDefault="00374898" w:rsidP="00374898">
      <w:pPr>
        <w:rPr>
          <w:sz w:val="22"/>
          <w:szCs w:val="22"/>
          <w:lang w:val="sk-SK"/>
        </w:rPr>
      </w:pPr>
    </w:p>
    <w:p w14:paraId="6DCEADF0" w14:textId="77777777" w:rsidR="00374898" w:rsidRPr="00EB5AA1" w:rsidRDefault="00374898" w:rsidP="00374898">
      <w:pPr>
        <w:keepNext/>
        <w:keepLines/>
        <w:rPr>
          <w:sz w:val="22"/>
          <w:szCs w:val="22"/>
          <w:lang w:val="sk-SK"/>
        </w:rPr>
      </w:pPr>
      <w:r w:rsidRPr="00EB5AA1">
        <w:rPr>
          <w:sz w:val="22"/>
          <w:szCs w:val="22"/>
          <w:lang w:val="sk-SK"/>
        </w:rPr>
        <w:t xml:space="preserve">Aj keď sa výskyt pľúcnej toxicity </w:t>
      </w:r>
      <w:proofErr w:type="spellStart"/>
      <w:r w:rsidRPr="00EB5AA1">
        <w:rPr>
          <w:sz w:val="22"/>
          <w:szCs w:val="22"/>
          <w:lang w:val="sk-SK"/>
        </w:rPr>
        <w:t>bleomycínu</w:t>
      </w:r>
      <w:proofErr w:type="spellEnd"/>
      <w:r w:rsidRPr="00EB5AA1">
        <w:rPr>
          <w:sz w:val="22"/>
          <w:szCs w:val="22"/>
          <w:lang w:val="sk-SK"/>
        </w:rPr>
        <w:t xml:space="preserve"> zjavne zvyšuje pri kumulatívnej dávke 400</w:t>
      </w:r>
      <w:r>
        <w:rPr>
          <w:sz w:val="22"/>
          <w:szCs w:val="22"/>
          <w:lang w:val="sk-SK"/>
        </w:rPr>
        <w:t> </w:t>
      </w:r>
      <w:r w:rsidRPr="00EB5AA1">
        <w:rPr>
          <w:sz w:val="22"/>
          <w:szCs w:val="22"/>
          <w:lang w:val="sk-SK"/>
        </w:rPr>
        <w:t>U, môže sa vyskytnúť aj pri podstatne nižšej dávke, hlavne u starších pacientov, pacientov so zníženou funkciou pečene alebo obličiek, s už jestvujúcou pľúcnou chorobou, po predchádzajúcom ožarovaní pľúc a u pacientov, ktorým sa podáva kyslík. V týchto prípadoch je prítomný rizikový faktor pľúcnej toxicity.</w:t>
      </w:r>
    </w:p>
    <w:p w14:paraId="2CF3D410" w14:textId="77777777" w:rsidR="00374898" w:rsidRPr="00EB5AA1" w:rsidRDefault="00374898" w:rsidP="00374898">
      <w:pPr>
        <w:rPr>
          <w:sz w:val="22"/>
          <w:szCs w:val="22"/>
          <w:lang w:val="sk-SK"/>
        </w:rPr>
      </w:pPr>
      <w:r w:rsidRPr="00EB5AA1">
        <w:rPr>
          <w:sz w:val="22"/>
          <w:szCs w:val="22"/>
          <w:lang w:val="sk-SK"/>
        </w:rPr>
        <w:t xml:space="preserve">U pacientov liečených </w:t>
      </w:r>
      <w:proofErr w:type="spellStart"/>
      <w:r w:rsidRPr="00EB5AA1">
        <w:rPr>
          <w:sz w:val="22"/>
          <w:szCs w:val="22"/>
          <w:lang w:val="sk-SK"/>
        </w:rPr>
        <w:t>bleomycínom</w:t>
      </w:r>
      <w:proofErr w:type="spellEnd"/>
      <w:r w:rsidRPr="00EB5AA1">
        <w:rPr>
          <w:sz w:val="22"/>
          <w:szCs w:val="22"/>
          <w:lang w:val="sk-SK"/>
        </w:rPr>
        <w:t xml:space="preserve"> sa nemajú používať funkčné vyšetrenia pľúc so 100 % kyslíkom. Odporúčajú sa funkčné vyšetrenia pľúc s 21 % kyslíkom.</w:t>
      </w:r>
    </w:p>
    <w:p w14:paraId="211B37AA" w14:textId="77777777" w:rsidR="00374898" w:rsidRPr="00EB5AA1" w:rsidRDefault="00374898" w:rsidP="00374898">
      <w:pPr>
        <w:rPr>
          <w:sz w:val="22"/>
          <w:szCs w:val="22"/>
          <w:lang w:val="sk-SK"/>
        </w:rPr>
      </w:pPr>
    </w:p>
    <w:p w14:paraId="2C334409" w14:textId="77777777" w:rsidR="00374898" w:rsidRPr="00EB5AA1" w:rsidRDefault="00374898" w:rsidP="00374898">
      <w:pPr>
        <w:tabs>
          <w:tab w:val="left" w:pos="730"/>
        </w:tabs>
        <w:autoSpaceDE w:val="0"/>
        <w:autoSpaceDN w:val="0"/>
        <w:adjustRightInd w:val="0"/>
        <w:rPr>
          <w:sz w:val="22"/>
          <w:szCs w:val="22"/>
          <w:lang w:val="sk-SK"/>
        </w:rPr>
      </w:pPr>
      <w:r w:rsidRPr="00EB5AA1">
        <w:rPr>
          <w:sz w:val="22"/>
          <w:szCs w:val="22"/>
          <w:lang w:val="sk-SK"/>
        </w:rPr>
        <w:t xml:space="preserve">Vzhľadom na účinky </w:t>
      </w:r>
      <w:proofErr w:type="spellStart"/>
      <w:r w:rsidRPr="00EB5AA1">
        <w:rPr>
          <w:sz w:val="22"/>
          <w:szCs w:val="22"/>
          <w:lang w:val="sk-SK"/>
        </w:rPr>
        <w:t>bleomycínu</w:t>
      </w:r>
      <w:proofErr w:type="spellEnd"/>
      <w:r w:rsidRPr="00EB5AA1">
        <w:rPr>
          <w:sz w:val="22"/>
          <w:szCs w:val="22"/>
          <w:lang w:val="sk-SK"/>
        </w:rPr>
        <w:t xml:space="preserve"> na pľúcne tkanivo sú pacienti, ktorým sa tento liek podal, vystavení zvýšenému riziku vzniku pľúcnej toxicity, keď sa im počas operácie podáva kyslík. Je známe, že dlhotrvajúca expozícia veľmi vysokým koncentráciám kyslíka spôsobuje poškodenie pľúc, ale po podaní </w:t>
      </w:r>
      <w:proofErr w:type="spellStart"/>
      <w:r w:rsidRPr="00EB5AA1">
        <w:rPr>
          <w:sz w:val="22"/>
          <w:szCs w:val="22"/>
          <w:lang w:val="sk-SK"/>
        </w:rPr>
        <w:t>bleomycínu</w:t>
      </w:r>
      <w:proofErr w:type="spellEnd"/>
      <w:r w:rsidRPr="00EB5AA1">
        <w:rPr>
          <w:sz w:val="22"/>
          <w:szCs w:val="22"/>
          <w:lang w:val="sk-SK"/>
        </w:rPr>
        <w:t xml:space="preserve"> môže dôjsť k poškodeniu pľúc pri nižších koncentráciách kyslíka než koncentrácie zvyčajne považované za bezpečné. Optimálna starostlivosť počas operácie si preto vyžaduje podanie najnižšej frakcie inspirovaného kyslíka (FIO2) zodpovedajúcej dostatočnej </w:t>
      </w:r>
      <w:proofErr w:type="spellStart"/>
      <w:r w:rsidRPr="00EB5AA1">
        <w:rPr>
          <w:sz w:val="22"/>
          <w:szCs w:val="22"/>
          <w:lang w:val="sk-SK"/>
        </w:rPr>
        <w:t>oxygenácii</w:t>
      </w:r>
      <w:proofErr w:type="spellEnd"/>
      <w:r w:rsidRPr="00EB5AA1">
        <w:rPr>
          <w:sz w:val="22"/>
          <w:szCs w:val="22"/>
          <w:lang w:val="sk-SK"/>
        </w:rPr>
        <w:t xml:space="preserve"> (pozri časť</w:t>
      </w:r>
      <w:r>
        <w:rPr>
          <w:sz w:val="22"/>
          <w:szCs w:val="22"/>
          <w:lang w:val="sk-SK"/>
        </w:rPr>
        <w:t> </w:t>
      </w:r>
      <w:r w:rsidRPr="00EB5AA1">
        <w:rPr>
          <w:sz w:val="22"/>
          <w:szCs w:val="22"/>
          <w:lang w:val="sk-SK"/>
        </w:rPr>
        <w:t>4.5 a 4.8).</w:t>
      </w:r>
    </w:p>
    <w:p w14:paraId="45C5C77D" w14:textId="77777777" w:rsidR="00374898" w:rsidRPr="00EB5AA1" w:rsidRDefault="00374898" w:rsidP="00374898">
      <w:pPr>
        <w:tabs>
          <w:tab w:val="left" w:pos="730"/>
        </w:tabs>
        <w:autoSpaceDE w:val="0"/>
        <w:autoSpaceDN w:val="0"/>
        <w:adjustRightInd w:val="0"/>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má používať s mimoriadnou opatrnosťou u pacientov s karcinómom pľúc, keďže u týchto pacientov sa zistil zvýšený výskyt pľúcnej toxicity.</w:t>
      </w:r>
    </w:p>
    <w:p w14:paraId="4F82E56B" w14:textId="77777777" w:rsidR="00374898" w:rsidRPr="00EB5AA1" w:rsidRDefault="00374898" w:rsidP="00374898">
      <w:pPr>
        <w:rPr>
          <w:sz w:val="22"/>
          <w:szCs w:val="22"/>
          <w:lang w:val="sk-SK"/>
        </w:rPr>
      </w:pPr>
    </w:p>
    <w:p w14:paraId="6BA81FFF" w14:textId="77777777" w:rsidR="00374898" w:rsidRPr="00EB5AA1" w:rsidRDefault="00374898" w:rsidP="00374898">
      <w:pPr>
        <w:rPr>
          <w:sz w:val="22"/>
          <w:szCs w:val="22"/>
          <w:lang w:val="sk-SK"/>
        </w:rPr>
      </w:pPr>
      <w:r w:rsidRPr="00EB5AA1">
        <w:rPr>
          <w:sz w:val="22"/>
          <w:szCs w:val="22"/>
          <w:lang w:val="sk-SK"/>
        </w:rPr>
        <w:t xml:space="preserve">Citlivosť na </w:t>
      </w:r>
      <w:proofErr w:type="spellStart"/>
      <w:r w:rsidRPr="00EB5AA1">
        <w:rPr>
          <w:sz w:val="22"/>
          <w:szCs w:val="22"/>
          <w:lang w:val="sk-SK"/>
        </w:rPr>
        <w:t>bleomycín</w:t>
      </w:r>
      <w:proofErr w:type="spellEnd"/>
      <w:r w:rsidRPr="00EB5AA1">
        <w:rPr>
          <w:sz w:val="22"/>
          <w:szCs w:val="22"/>
          <w:lang w:val="sk-SK"/>
        </w:rPr>
        <w:t xml:space="preserve"> sa zvyšuje u starších ľudí.</w:t>
      </w:r>
    </w:p>
    <w:p w14:paraId="2BE06995" w14:textId="77777777" w:rsidR="00374898" w:rsidRPr="00EB5AA1" w:rsidRDefault="00374898" w:rsidP="00374898">
      <w:pPr>
        <w:rPr>
          <w:sz w:val="22"/>
          <w:szCs w:val="22"/>
          <w:lang w:val="sk-SK"/>
        </w:rPr>
      </w:pPr>
    </w:p>
    <w:p w14:paraId="5B3F3AD7" w14:textId="77777777" w:rsidR="00374898" w:rsidRPr="00EB5AA1" w:rsidRDefault="00374898" w:rsidP="00374898">
      <w:pPr>
        <w:rPr>
          <w:sz w:val="22"/>
          <w:szCs w:val="22"/>
          <w:lang w:val="sk-SK"/>
        </w:rPr>
      </w:pPr>
      <w:r w:rsidRPr="00EB5AA1">
        <w:rPr>
          <w:sz w:val="22"/>
          <w:szCs w:val="22"/>
          <w:lang w:val="sk-SK"/>
        </w:rPr>
        <w:t xml:space="preserve">Keďže 2/3 podanej dávky </w:t>
      </w:r>
      <w:proofErr w:type="spellStart"/>
      <w:r w:rsidRPr="00EB5AA1">
        <w:rPr>
          <w:sz w:val="22"/>
          <w:szCs w:val="22"/>
          <w:lang w:val="sk-SK"/>
        </w:rPr>
        <w:t>bleomycínu</w:t>
      </w:r>
      <w:proofErr w:type="spellEnd"/>
      <w:r w:rsidRPr="00EB5AA1">
        <w:rPr>
          <w:sz w:val="22"/>
          <w:szCs w:val="22"/>
          <w:lang w:val="sk-SK"/>
        </w:rPr>
        <w:t xml:space="preserve"> sa vylúči v nezmenenej forme močom, rýchlosť vylučovania je vo veľkej miere ovplyvnená funkciou obličiek.</w:t>
      </w:r>
    </w:p>
    <w:p w14:paraId="23C12F69" w14:textId="77777777" w:rsidR="00374898" w:rsidRPr="00EB5AA1" w:rsidRDefault="00374898" w:rsidP="00374898">
      <w:pPr>
        <w:rPr>
          <w:sz w:val="22"/>
          <w:szCs w:val="22"/>
          <w:lang w:val="sk-SK"/>
        </w:rPr>
      </w:pPr>
      <w:r w:rsidRPr="00EB5AA1">
        <w:rPr>
          <w:sz w:val="22"/>
          <w:szCs w:val="22"/>
          <w:lang w:val="sk-SK"/>
        </w:rPr>
        <w:t>Pri podávaní zvyčajných dávok pacientom s poruchou funkcie obličiek sa plazmatické koncentrácie výrazne zvýšia.</w:t>
      </w:r>
    </w:p>
    <w:p w14:paraId="454498CD" w14:textId="77777777" w:rsidR="00374898" w:rsidRPr="00EB5AA1" w:rsidRDefault="00374898" w:rsidP="00374898">
      <w:pPr>
        <w:rPr>
          <w:sz w:val="22"/>
          <w:szCs w:val="22"/>
          <w:lang w:val="sk-SK"/>
        </w:rPr>
      </w:pPr>
    </w:p>
    <w:p w14:paraId="73A6B926" w14:textId="77777777" w:rsidR="00374898" w:rsidRPr="00EB5AA1" w:rsidRDefault="00374898" w:rsidP="00374898">
      <w:pPr>
        <w:rPr>
          <w:sz w:val="22"/>
          <w:szCs w:val="22"/>
          <w:lang w:val="sk-SK"/>
        </w:rPr>
      </w:pPr>
      <w:r w:rsidRPr="00EB5AA1">
        <w:rPr>
          <w:sz w:val="22"/>
          <w:szCs w:val="22"/>
          <w:lang w:val="sk-SK"/>
        </w:rPr>
        <w:t xml:space="preserve">Tento liek sa nemá podávať gravidným pacientkam ani dojčiacim ženám. Štúdie na zvieratách preukázali, že tak ako väčšina </w:t>
      </w:r>
      <w:proofErr w:type="spellStart"/>
      <w:r w:rsidRPr="00EB5AA1">
        <w:rPr>
          <w:sz w:val="22"/>
          <w:szCs w:val="22"/>
          <w:lang w:val="sk-SK"/>
        </w:rPr>
        <w:t>cytostatík</w:t>
      </w:r>
      <w:proofErr w:type="spellEnd"/>
      <w:r w:rsidRPr="00EB5AA1">
        <w:rPr>
          <w:sz w:val="22"/>
          <w:szCs w:val="22"/>
          <w:lang w:val="sk-SK"/>
        </w:rPr>
        <w:t xml:space="preserve"> i </w:t>
      </w:r>
      <w:proofErr w:type="spellStart"/>
      <w:r w:rsidRPr="00EB5AA1">
        <w:rPr>
          <w:sz w:val="22"/>
          <w:szCs w:val="22"/>
          <w:lang w:val="sk-SK"/>
        </w:rPr>
        <w:t>bleomycín</w:t>
      </w:r>
      <w:proofErr w:type="spellEnd"/>
      <w:r w:rsidRPr="00EB5AA1">
        <w:rPr>
          <w:sz w:val="22"/>
          <w:szCs w:val="22"/>
          <w:lang w:val="sk-SK"/>
        </w:rPr>
        <w:t xml:space="preserve"> môže mať </w:t>
      </w:r>
      <w:proofErr w:type="spellStart"/>
      <w:r w:rsidRPr="00EB5AA1">
        <w:rPr>
          <w:sz w:val="22"/>
          <w:szCs w:val="22"/>
          <w:lang w:val="sk-SK"/>
        </w:rPr>
        <w:t>teratogénne</w:t>
      </w:r>
      <w:proofErr w:type="spellEnd"/>
      <w:r w:rsidRPr="00EB5AA1">
        <w:rPr>
          <w:sz w:val="22"/>
          <w:szCs w:val="22"/>
          <w:lang w:val="sk-SK"/>
        </w:rPr>
        <w:t xml:space="preserve"> a mutagénne vlastnosti. Preto majú muži aj ženy používať účinný spôsob antikoncepcie ešte tri mesiace po ukončení liečby (pozri časť</w:t>
      </w:r>
      <w:r>
        <w:rPr>
          <w:sz w:val="22"/>
          <w:szCs w:val="22"/>
          <w:lang w:val="sk-SK"/>
        </w:rPr>
        <w:t> </w:t>
      </w:r>
      <w:r w:rsidRPr="00EB5AA1">
        <w:rPr>
          <w:sz w:val="22"/>
          <w:szCs w:val="22"/>
          <w:lang w:val="sk-SK"/>
        </w:rPr>
        <w:t>4.6).</w:t>
      </w:r>
    </w:p>
    <w:p w14:paraId="5E19EE59" w14:textId="77777777" w:rsidR="00374898" w:rsidRPr="00EB5AA1" w:rsidRDefault="00374898" w:rsidP="00374898">
      <w:pPr>
        <w:rPr>
          <w:sz w:val="22"/>
          <w:szCs w:val="22"/>
          <w:lang w:val="sk-SK"/>
        </w:rPr>
      </w:pPr>
    </w:p>
    <w:p w14:paraId="23D9BCCD" w14:textId="77777777" w:rsidR="00374898" w:rsidRPr="00EB5AA1" w:rsidRDefault="00374898" w:rsidP="00374898">
      <w:pPr>
        <w:autoSpaceDE w:val="0"/>
        <w:autoSpaceDN w:val="0"/>
        <w:adjustRightInd w:val="0"/>
        <w:rPr>
          <w:sz w:val="22"/>
          <w:szCs w:val="22"/>
          <w:lang w:val="sk-SK"/>
        </w:rPr>
      </w:pPr>
      <w:r w:rsidRPr="00EB5AA1">
        <w:rPr>
          <w:sz w:val="22"/>
          <w:szCs w:val="22"/>
          <w:lang w:val="sk-SK"/>
        </w:rPr>
        <w:t xml:space="preserve">Pľúcna toxicita </w:t>
      </w:r>
      <w:proofErr w:type="spellStart"/>
      <w:r w:rsidRPr="00EB5AA1">
        <w:rPr>
          <w:sz w:val="22"/>
          <w:szCs w:val="22"/>
          <w:lang w:val="sk-SK"/>
        </w:rPr>
        <w:t>bleomycínu</w:t>
      </w:r>
      <w:proofErr w:type="spellEnd"/>
      <w:r w:rsidRPr="00EB5AA1">
        <w:rPr>
          <w:sz w:val="22"/>
          <w:szCs w:val="22"/>
          <w:lang w:val="sk-SK"/>
        </w:rPr>
        <w:t xml:space="preserve"> zrejme závisí od podanej dávky a výrazne sa zvyšuje pri celkovej dávke nad 400 x 10³ IU. Celkové dávky nad 400 x 10³ IU sa musia podávať s mimoriadnou opatrnosťou.</w:t>
      </w:r>
    </w:p>
    <w:p w14:paraId="732CD099" w14:textId="77777777" w:rsidR="00374898" w:rsidRPr="00EB5AA1" w:rsidRDefault="00374898" w:rsidP="00374898">
      <w:pPr>
        <w:rPr>
          <w:sz w:val="22"/>
          <w:szCs w:val="22"/>
          <w:lang w:val="sk-SK"/>
        </w:rPr>
      </w:pPr>
    </w:p>
    <w:p w14:paraId="20829787" w14:textId="77777777" w:rsidR="00E20160" w:rsidRDefault="00E20160" w:rsidP="00374898">
      <w:pPr>
        <w:keepNext/>
        <w:keepLines/>
        <w:ind w:left="567" w:hanging="567"/>
        <w:rPr>
          <w:b/>
          <w:bCs/>
          <w:sz w:val="22"/>
          <w:szCs w:val="22"/>
          <w:lang w:val="sk-SK"/>
        </w:rPr>
      </w:pPr>
    </w:p>
    <w:p w14:paraId="194B6C67" w14:textId="77777777" w:rsidR="00374898" w:rsidRPr="00EB5AA1" w:rsidRDefault="00374898" w:rsidP="00374898">
      <w:pPr>
        <w:keepNext/>
        <w:keepLines/>
        <w:ind w:left="567" w:hanging="567"/>
        <w:rPr>
          <w:b/>
          <w:bCs/>
          <w:sz w:val="22"/>
          <w:szCs w:val="22"/>
          <w:lang w:val="sk-SK"/>
        </w:rPr>
      </w:pPr>
      <w:r w:rsidRPr="00EB5AA1">
        <w:rPr>
          <w:b/>
          <w:bCs/>
          <w:sz w:val="22"/>
          <w:szCs w:val="22"/>
          <w:lang w:val="sk-SK"/>
        </w:rPr>
        <w:t>4.5</w:t>
      </w:r>
      <w:r w:rsidRPr="00EB5AA1">
        <w:rPr>
          <w:rStyle w:val="tw4winExternal"/>
          <w:rFonts w:ascii="Times New Roman" w:hAnsi="Times New Roman"/>
          <w:sz w:val="22"/>
          <w:szCs w:val="22"/>
          <w:lang w:val="sk-SK"/>
        </w:rPr>
        <w:tab/>
      </w:r>
      <w:r w:rsidRPr="00EB5AA1">
        <w:rPr>
          <w:b/>
          <w:bCs/>
          <w:sz w:val="22"/>
          <w:szCs w:val="22"/>
          <w:lang w:val="sk-SK"/>
        </w:rPr>
        <w:t>Liekové a iné interakcie</w:t>
      </w:r>
    </w:p>
    <w:p w14:paraId="7D8A77C4" w14:textId="77777777" w:rsidR="00374898" w:rsidRPr="00EB5AA1" w:rsidRDefault="00374898" w:rsidP="00374898">
      <w:pPr>
        <w:keepNext/>
        <w:keepLines/>
        <w:rPr>
          <w:sz w:val="22"/>
          <w:szCs w:val="22"/>
          <w:lang w:val="sk-SK"/>
        </w:rPr>
      </w:pPr>
    </w:p>
    <w:p w14:paraId="44219DED" w14:textId="77777777" w:rsidR="00374898" w:rsidRPr="00EB5AA1" w:rsidRDefault="00374898" w:rsidP="00374898">
      <w:pPr>
        <w:keepNext/>
        <w:keepLines/>
        <w:rPr>
          <w:i/>
          <w:iCs/>
          <w:sz w:val="22"/>
          <w:szCs w:val="22"/>
          <w:lang w:val="sk-SK"/>
        </w:rPr>
      </w:pPr>
      <w:proofErr w:type="spellStart"/>
      <w:r w:rsidRPr="00EB5AA1">
        <w:rPr>
          <w:i/>
          <w:iCs/>
          <w:sz w:val="22"/>
          <w:szCs w:val="22"/>
          <w:lang w:val="sk-SK"/>
        </w:rPr>
        <w:t>Digoxín</w:t>
      </w:r>
      <w:proofErr w:type="spellEnd"/>
      <w:r w:rsidRPr="00EB5AA1">
        <w:rPr>
          <w:i/>
          <w:iCs/>
          <w:sz w:val="22"/>
          <w:szCs w:val="22"/>
          <w:lang w:val="sk-SK"/>
        </w:rPr>
        <w:t xml:space="preserve"> </w:t>
      </w:r>
    </w:p>
    <w:p w14:paraId="58B47360" w14:textId="77777777" w:rsidR="00374898" w:rsidRPr="00EB5AA1" w:rsidRDefault="00374898" w:rsidP="00374898">
      <w:pPr>
        <w:keepNext/>
        <w:keepLines/>
        <w:rPr>
          <w:sz w:val="22"/>
          <w:szCs w:val="22"/>
          <w:lang w:val="sk-SK"/>
        </w:rPr>
      </w:pPr>
      <w:r w:rsidRPr="00EB5AA1">
        <w:rPr>
          <w:sz w:val="22"/>
          <w:szCs w:val="22"/>
          <w:lang w:val="sk-SK"/>
        </w:rPr>
        <w:t xml:space="preserve">Hlásili sa prípady zníženého účinku </w:t>
      </w:r>
      <w:proofErr w:type="spellStart"/>
      <w:r w:rsidRPr="00EB5AA1">
        <w:rPr>
          <w:sz w:val="22"/>
          <w:szCs w:val="22"/>
          <w:lang w:val="sk-SK"/>
        </w:rPr>
        <w:t>digoxínu</w:t>
      </w:r>
      <w:proofErr w:type="spellEnd"/>
      <w:r w:rsidRPr="00EB5AA1">
        <w:rPr>
          <w:sz w:val="22"/>
          <w:szCs w:val="22"/>
          <w:lang w:val="sk-SK"/>
        </w:rPr>
        <w:t xml:space="preserve"> v dôsledku zníženej perorálnej biologickej dostupnosti, keď sa podával v kombinácii s </w:t>
      </w:r>
      <w:proofErr w:type="spellStart"/>
      <w:r w:rsidRPr="00EB5AA1">
        <w:rPr>
          <w:sz w:val="22"/>
          <w:szCs w:val="22"/>
          <w:lang w:val="sk-SK"/>
        </w:rPr>
        <w:t>bleomycínom</w:t>
      </w:r>
      <w:proofErr w:type="spellEnd"/>
      <w:r w:rsidRPr="00EB5AA1">
        <w:rPr>
          <w:sz w:val="22"/>
          <w:szCs w:val="22"/>
          <w:lang w:val="sk-SK"/>
        </w:rPr>
        <w:t>.</w:t>
      </w:r>
    </w:p>
    <w:p w14:paraId="1DBB0165" w14:textId="77777777" w:rsidR="00374898" w:rsidRPr="00EB5AA1" w:rsidRDefault="00374898" w:rsidP="00374898">
      <w:pPr>
        <w:keepNext/>
        <w:keepLines/>
        <w:rPr>
          <w:sz w:val="22"/>
          <w:szCs w:val="22"/>
          <w:lang w:val="sk-SK"/>
        </w:rPr>
      </w:pPr>
    </w:p>
    <w:p w14:paraId="2A31392A" w14:textId="77777777" w:rsidR="00374898" w:rsidRPr="00EB5AA1" w:rsidRDefault="00374898" w:rsidP="00374898">
      <w:pPr>
        <w:keepNext/>
        <w:keepLines/>
        <w:rPr>
          <w:sz w:val="22"/>
          <w:szCs w:val="22"/>
          <w:lang w:val="sk-SK"/>
        </w:rPr>
      </w:pPr>
      <w:proofErr w:type="spellStart"/>
      <w:r w:rsidRPr="00EB5AA1">
        <w:rPr>
          <w:i/>
          <w:iCs/>
          <w:sz w:val="22"/>
          <w:szCs w:val="22"/>
          <w:lang w:val="sk-SK"/>
        </w:rPr>
        <w:t>Fenytoín</w:t>
      </w:r>
      <w:proofErr w:type="spellEnd"/>
      <w:r w:rsidRPr="00EB5AA1">
        <w:rPr>
          <w:i/>
          <w:iCs/>
          <w:sz w:val="22"/>
          <w:szCs w:val="22"/>
          <w:lang w:val="sk-SK"/>
        </w:rPr>
        <w:t xml:space="preserve"> a </w:t>
      </w:r>
      <w:proofErr w:type="spellStart"/>
      <w:r w:rsidRPr="00EB5AA1">
        <w:rPr>
          <w:i/>
          <w:iCs/>
          <w:sz w:val="22"/>
          <w:szCs w:val="22"/>
          <w:lang w:val="sk-SK"/>
        </w:rPr>
        <w:t>fosfofenytoín</w:t>
      </w:r>
      <w:proofErr w:type="spellEnd"/>
      <w:r w:rsidRPr="00EB5AA1">
        <w:rPr>
          <w:sz w:val="22"/>
          <w:szCs w:val="22"/>
          <w:lang w:val="sk-SK"/>
        </w:rPr>
        <w:t xml:space="preserve"> </w:t>
      </w:r>
    </w:p>
    <w:p w14:paraId="3D6ABFF3" w14:textId="77777777" w:rsidR="00374898" w:rsidRPr="00EB5AA1" w:rsidRDefault="00374898" w:rsidP="00374898">
      <w:pPr>
        <w:keepNext/>
        <w:keepLines/>
        <w:rPr>
          <w:sz w:val="22"/>
          <w:szCs w:val="22"/>
          <w:lang w:val="sk-SK"/>
        </w:rPr>
      </w:pPr>
      <w:r w:rsidRPr="00EB5AA1">
        <w:rPr>
          <w:sz w:val="22"/>
          <w:szCs w:val="22"/>
          <w:lang w:val="sk-SK"/>
        </w:rPr>
        <w:t>Pri podávaní v kombinácii s </w:t>
      </w:r>
      <w:proofErr w:type="spellStart"/>
      <w:r w:rsidRPr="00EB5AA1">
        <w:rPr>
          <w:sz w:val="22"/>
          <w:szCs w:val="22"/>
          <w:lang w:val="sk-SK"/>
        </w:rPr>
        <w:t>bleomycínom</w:t>
      </w:r>
      <w:proofErr w:type="spellEnd"/>
      <w:r w:rsidRPr="00EB5AA1">
        <w:rPr>
          <w:sz w:val="22"/>
          <w:szCs w:val="22"/>
          <w:lang w:val="sk-SK"/>
        </w:rPr>
        <w:t xml:space="preserve"> sa hlásili prípady znížených hladín </w:t>
      </w:r>
      <w:proofErr w:type="spellStart"/>
      <w:r w:rsidRPr="00EB5AA1">
        <w:rPr>
          <w:sz w:val="22"/>
          <w:szCs w:val="22"/>
          <w:lang w:val="sk-SK"/>
        </w:rPr>
        <w:t>fenytoínu</w:t>
      </w:r>
      <w:proofErr w:type="spellEnd"/>
      <w:r w:rsidRPr="00EB5AA1">
        <w:rPr>
          <w:sz w:val="22"/>
          <w:szCs w:val="22"/>
          <w:lang w:val="sk-SK"/>
        </w:rPr>
        <w:t xml:space="preserve">. Existuje riziko </w:t>
      </w:r>
      <w:proofErr w:type="spellStart"/>
      <w:r w:rsidRPr="00EB5AA1">
        <w:rPr>
          <w:sz w:val="22"/>
          <w:szCs w:val="22"/>
          <w:lang w:val="sk-SK"/>
        </w:rPr>
        <w:t>exacerbácie</w:t>
      </w:r>
      <w:proofErr w:type="spellEnd"/>
      <w:r w:rsidRPr="00EB5AA1">
        <w:rPr>
          <w:sz w:val="22"/>
          <w:szCs w:val="22"/>
          <w:lang w:val="sk-SK"/>
        </w:rPr>
        <w:t xml:space="preserve"> kŕčov následkom zníženej absorpcie </w:t>
      </w:r>
      <w:proofErr w:type="spellStart"/>
      <w:r w:rsidRPr="00EB5AA1">
        <w:rPr>
          <w:sz w:val="22"/>
          <w:szCs w:val="22"/>
          <w:lang w:val="sk-SK"/>
        </w:rPr>
        <w:t>fenytoínu</w:t>
      </w:r>
      <w:proofErr w:type="spellEnd"/>
      <w:r w:rsidRPr="00EB5AA1">
        <w:rPr>
          <w:sz w:val="22"/>
          <w:szCs w:val="22"/>
          <w:lang w:val="sk-SK"/>
        </w:rPr>
        <w:t xml:space="preserve"> v tráviacom trakte vyvolanej </w:t>
      </w:r>
      <w:proofErr w:type="spellStart"/>
      <w:r w:rsidRPr="00EB5AA1">
        <w:rPr>
          <w:sz w:val="22"/>
          <w:szCs w:val="22"/>
          <w:lang w:val="sk-SK"/>
        </w:rPr>
        <w:t>cytotoxickým</w:t>
      </w:r>
      <w:proofErr w:type="spellEnd"/>
      <w:r w:rsidRPr="00EB5AA1">
        <w:rPr>
          <w:sz w:val="22"/>
          <w:szCs w:val="22"/>
          <w:lang w:val="sk-SK"/>
        </w:rPr>
        <w:t xml:space="preserve"> liekom alebo riziko zvýšenej toxicity alebo straty účinnosti </w:t>
      </w:r>
      <w:proofErr w:type="spellStart"/>
      <w:r w:rsidRPr="00EB5AA1">
        <w:rPr>
          <w:sz w:val="22"/>
          <w:szCs w:val="22"/>
          <w:lang w:val="sk-SK"/>
        </w:rPr>
        <w:t>cytotoxického</w:t>
      </w:r>
      <w:proofErr w:type="spellEnd"/>
      <w:r w:rsidRPr="00EB5AA1">
        <w:rPr>
          <w:sz w:val="22"/>
          <w:szCs w:val="22"/>
          <w:lang w:val="sk-SK"/>
        </w:rPr>
        <w:t xml:space="preserve"> lieku následkom zvýšeného </w:t>
      </w:r>
      <w:proofErr w:type="spellStart"/>
      <w:r w:rsidRPr="00EB5AA1">
        <w:rPr>
          <w:sz w:val="22"/>
          <w:szCs w:val="22"/>
          <w:lang w:val="sk-SK"/>
        </w:rPr>
        <w:t>hepatálneho</w:t>
      </w:r>
      <w:proofErr w:type="spellEnd"/>
      <w:r w:rsidRPr="00EB5AA1">
        <w:rPr>
          <w:sz w:val="22"/>
          <w:szCs w:val="22"/>
          <w:lang w:val="sk-SK"/>
        </w:rPr>
        <w:t xml:space="preserve"> metabolizmu vyvolaného </w:t>
      </w:r>
      <w:proofErr w:type="spellStart"/>
      <w:r w:rsidRPr="00EB5AA1">
        <w:rPr>
          <w:sz w:val="22"/>
          <w:szCs w:val="22"/>
          <w:lang w:val="sk-SK"/>
        </w:rPr>
        <w:t>fenytoínom</w:t>
      </w:r>
      <w:proofErr w:type="spellEnd"/>
      <w:r w:rsidRPr="00EB5AA1">
        <w:rPr>
          <w:sz w:val="22"/>
          <w:szCs w:val="22"/>
          <w:lang w:val="sk-SK"/>
        </w:rPr>
        <w:t>.</w:t>
      </w:r>
    </w:p>
    <w:p w14:paraId="43528FE4" w14:textId="77777777" w:rsidR="00374898" w:rsidRPr="00EB5AA1" w:rsidRDefault="00374898" w:rsidP="00374898">
      <w:pPr>
        <w:rPr>
          <w:sz w:val="22"/>
          <w:szCs w:val="22"/>
          <w:lang w:val="sk-SK"/>
        </w:rPr>
      </w:pPr>
      <w:r w:rsidRPr="00EB5AA1">
        <w:rPr>
          <w:sz w:val="22"/>
          <w:szCs w:val="22"/>
          <w:lang w:val="sk-SK"/>
        </w:rPr>
        <w:t>Súbežné použitie sa neodporúča.</w:t>
      </w:r>
    </w:p>
    <w:p w14:paraId="5166E3A9" w14:textId="77777777" w:rsidR="00374898" w:rsidRPr="00EB5AA1" w:rsidRDefault="00374898" w:rsidP="00374898">
      <w:pPr>
        <w:rPr>
          <w:sz w:val="22"/>
          <w:szCs w:val="22"/>
          <w:lang w:val="sk-SK"/>
        </w:rPr>
      </w:pPr>
    </w:p>
    <w:p w14:paraId="7338AF52" w14:textId="77777777" w:rsidR="00374898" w:rsidRPr="00EB5AA1" w:rsidRDefault="00374898" w:rsidP="00374898">
      <w:pPr>
        <w:rPr>
          <w:i/>
          <w:iCs/>
          <w:sz w:val="22"/>
          <w:szCs w:val="22"/>
          <w:lang w:val="sk-SK"/>
        </w:rPr>
      </w:pPr>
      <w:r w:rsidRPr="00EB5AA1">
        <w:rPr>
          <w:i/>
          <w:iCs/>
          <w:sz w:val="22"/>
          <w:szCs w:val="22"/>
          <w:lang w:val="sk-SK"/>
        </w:rPr>
        <w:t xml:space="preserve">Alkaloidy z rodu Vinca </w:t>
      </w:r>
    </w:p>
    <w:p w14:paraId="60AAD054" w14:textId="77777777" w:rsidR="00374898" w:rsidRPr="00EB5AA1" w:rsidRDefault="00374898" w:rsidP="00374898">
      <w:pPr>
        <w:rPr>
          <w:sz w:val="22"/>
          <w:szCs w:val="22"/>
          <w:lang w:val="sk-SK"/>
        </w:rPr>
      </w:pPr>
      <w:r w:rsidRPr="00EB5AA1">
        <w:rPr>
          <w:sz w:val="22"/>
          <w:szCs w:val="22"/>
          <w:lang w:val="sk-SK"/>
        </w:rPr>
        <w:t>U</w:t>
      </w:r>
      <w:r w:rsidRPr="00EB5AA1">
        <w:rPr>
          <w:i/>
          <w:iCs/>
          <w:sz w:val="22"/>
          <w:szCs w:val="22"/>
          <w:lang w:val="sk-SK"/>
        </w:rPr>
        <w:t> </w:t>
      </w:r>
      <w:r w:rsidRPr="00EB5AA1">
        <w:rPr>
          <w:sz w:val="22"/>
          <w:szCs w:val="22"/>
          <w:lang w:val="sk-SK"/>
        </w:rPr>
        <w:t xml:space="preserve">pacientov s karcinómom semenníkov, ktorí boli liečení kombináciou </w:t>
      </w:r>
      <w:proofErr w:type="spellStart"/>
      <w:r w:rsidRPr="00EB5AA1">
        <w:rPr>
          <w:sz w:val="22"/>
          <w:szCs w:val="22"/>
          <w:lang w:val="sk-SK"/>
        </w:rPr>
        <w:t>bleomycínu</w:t>
      </w:r>
      <w:proofErr w:type="spellEnd"/>
      <w:r w:rsidRPr="00EB5AA1">
        <w:rPr>
          <w:sz w:val="22"/>
          <w:szCs w:val="22"/>
          <w:lang w:val="sk-SK"/>
        </w:rPr>
        <w:t xml:space="preserve"> a alkaloidov z rodu Vinca, sa zaznamenal syndróm pripomínajúci </w:t>
      </w:r>
      <w:proofErr w:type="spellStart"/>
      <w:r w:rsidRPr="00EB5AA1">
        <w:rPr>
          <w:sz w:val="22"/>
          <w:szCs w:val="22"/>
          <w:lang w:val="sk-SK"/>
        </w:rPr>
        <w:t>Raynaudov</w:t>
      </w:r>
      <w:proofErr w:type="spellEnd"/>
      <w:r w:rsidRPr="00EB5AA1">
        <w:rPr>
          <w:sz w:val="22"/>
          <w:szCs w:val="22"/>
          <w:lang w:val="sk-SK"/>
        </w:rPr>
        <w:t xml:space="preserve"> fenomén: ischémia periférnych častí tela, ktorá môže viesť k </w:t>
      </w:r>
      <w:proofErr w:type="spellStart"/>
      <w:r w:rsidRPr="00EB5AA1">
        <w:rPr>
          <w:sz w:val="22"/>
          <w:szCs w:val="22"/>
          <w:lang w:val="sk-SK"/>
        </w:rPr>
        <w:t>nekróze</w:t>
      </w:r>
      <w:proofErr w:type="spellEnd"/>
      <w:r w:rsidRPr="00EB5AA1">
        <w:rPr>
          <w:sz w:val="22"/>
          <w:szCs w:val="22"/>
          <w:lang w:val="sk-SK"/>
        </w:rPr>
        <w:t xml:space="preserve"> (prsty na rukách, prsty na nohách, nos).</w:t>
      </w:r>
    </w:p>
    <w:p w14:paraId="140703CE" w14:textId="77777777" w:rsidR="00374898" w:rsidRPr="00EB5AA1" w:rsidRDefault="00374898" w:rsidP="00374898">
      <w:pPr>
        <w:rPr>
          <w:sz w:val="22"/>
          <w:szCs w:val="22"/>
          <w:lang w:val="sk-SK"/>
        </w:rPr>
      </w:pPr>
    </w:p>
    <w:p w14:paraId="6C29AEC7" w14:textId="77777777" w:rsidR="00374898" w:rsidRPr="00EB5AA1" w:rsidRDefault="00374898" w:rsidP="00374898">
      <w:pPr>
        <w:pStyle w:val="Zkladntext"/>
        <w:rPr>
          <w:sz w:val="22"/>
          <w:szCs w:val="22"/>
          <w:lang w:val="sk-SK"/>
        </w:rPr>
      </w:pPr>
      <w:r w:rsidRPr="00EB5AA1">
        <w:rPr>
          <w:i/>
          <w:iCs/>
          <w:sz w:val="22"/>
          <w:szCs w:val="22"/>
          <w:lang w:val="sk-SK"/>
        </w:rPr>
        <w:t>Živé očkovacie látky</w:t>
      </w:r>
      <w:r w:rsidRPr="00EB5AA1">
        <w:rPr>
          <w:sz w:val="22"/>
          <w:szCs w:val="22"/>
          <w:lang w:val="sk-SK"/>
        </w:rPr>
        <w:t xml:space="preserve"> </w:t>
      </w:r>
    </w:p>
    <w:p w14:paraId="16230A4C" w14:textId="77777777" w:rsidR="00374898" w:rsidRPr="00EB5AA1" w:rsidRDefault="00374898" w:rsidP="00374898">
      <w:pPr>
        <w:pStyle w:val="Zkladntext"/>
        <w:rPr>
          <w:sz w:val="22"/>
          <w:szCs w:val="22"/>
          <w:lang w:val="sk-SK"/>
        </w:rPr>
      </w:pPr>
      <w:r w:rsidRPr="00EB5AA1">
        <w:rPr>
          <w:sz w:val="22"/>
          <w:szCs w:val="22"/>
          <w:lang w:val="sk-SK"/>
        </w:rPr>
        <w:t>Očkovanie živými očkovacími látkami, napríklad očkovacou látkou proti žltej zimnici, spôsobilo závažné a fatálne infekcie, keď sa použilo v kombinácii s </w:t>
      </w:r>
      <w:proofErr w:type="spellStart"/>
      <w:r w:rsidRPr="00EB5AA1">
        <w:rPr>
          <w:sz w:val="22"/>
          <w:szCs w:val="22"/>
          <w:lang w:val="sk-SK"/>
        </w:rPr>
        <w:t>imunosupresívnymi</w:t>
      </w:r>
      <w:proofErr w:type="spellEnd"/>
      <w:r w:rsidRPr="00EB5AA1">
        <w:rPr>
          <w:sz w:val="22"/>
          <w:szCs w:val="22"/>
          <w:lang w:val="sk-SK"/>
        </w:rPr>
        <w:t xml:space="preserve"> </w:t>
      </w:r>
      <w:proofErr w:type="spellStart"/>
      <w:r w:rsidRPr="00EB5AA1">
        <w:rPr>
          <w:sz w:val="22"/>
          <w:szCs w:val="22"/>
          <w:lang w:val="sk-SK"/>
        </w:rPr>
        <w:t>chemoterapeutikami</w:t>
      </w:r>
      <w:proofErr w:type="spellEnd"/>
      <w:r w:rsidRPr="00EB5AA1">
        <w:rPr>
          <w:sz w:val="22"/>
          <w:szCs w:val="22"/>
          <w:lang w:val="sk-SK"/>
        </w:rPr>
        <w:t xml:space="preserve">. Toto riziko je zvýšené u osôb už postihnutých </w:t>
      </w:r>
      <w:proofErr w:type="spellStart"/>
      <w:r w:rsidRPr="00EB5AA1">
        <w:rPr>
          <w:sz w:val="22"/>
          <w:szCs w:val="22"/>
          <w:lang w:val="sk-SK"/>
        </w:rPr>
        <w:t>imunosupresiou</w:t>
      </w:r>
      <w:proofErr w:type="spellEnd"/>
      <w:r w:rsidRPr="00EB5AA1">
        <w:rPr>
          <w:sz w:val="22"/>
          <w:szCs w:val="22"/>
          <w:lang w:val="sk-SK"/>
        </w:rPr>
        <w:t xml:space="preserve"> spôsobenou ich ochorením. Pokiaľ je k dispozícii, treba použiť </w:t>
      </w:r>
      <w:proofErr w:type="spellStart"/>
      <w:r w:rsidRPr="00EB5AA1">
        <w:rPr>
          <w:sz w:val="22"/>
          <w:szCs w:val="22"/>
          <w:lang w:val="sk-SK"/>
        </w:rPr>
        <w:t>inaktivovanú</w:t>
      </w:r>
      <w:proofErr w:type="spellEnd"/>
      <w:r w:rsidRPr="00EB5AA1">
        <w:rPr>
          <w:sz w:val="22"/>
          <w:szCs w:val="22"/>
          <w:lang w:val="sk-SK"/>
        </w:rPr>
        <w:t xml:space="preserve"> očkovaciu látku (napríklad proti </w:t>
      </w:r>
      <w:proofErr w:type="spellStart"/>
      <w:r w:rsidRPr="00EB5AA1">
        <w:rPr>
          <w:sz w:val="22"/>
          <w:szCs w:val="22"/>
          <w:lang w:val="sk-SK"/>
        </w:rPr>
        <w:t>poliomyelitíde</w:t>
      </w:r>
      <w:proofErr w:type="spellEnd"/>
      <w:r w:rsidRPr="00EB5AA1">
        <w:rPr>
          <w:sz w:val="22"/>
          <w:szCs w:val="22"/>
          <w:lang w:val="sk-SK"/>
        </w:rPr>
        <w:t>).</w:t>
      </w:r>
    </w:p>
    <w:p w14:paraId="594EBEC7" w14:textId="77777777" w:rsidR="00374898" w:rsidRPr="00EB5AA1" w:rsidRDefault="00374898" w:rsidP="00374898">
      <w:pPr>
        <w:rPr>
          <w:sz w:val="22"/>
          <w:szCs w:val="22"/>
          <w:lang w:val="sk-SK"/>
        </w:rPr>
      </w:pPr>
      <w:r w:rsidRPr="00EB5AA1">
        <w:rPr>
          <w:sz w:val="22"/>
          <w:szCs w:val="22"/>
          <w:lang w:val="sk-SK"/>
        </w:rPr>
        <w:t>Táto kombinácia sa nesmie použiť.</w:t>
      </w:r>
    </w:p>
    <w:p w14:paraId="3CF9C8D6" w14:textId="77777777" w:rsidR="00374898" w:rsidRPr="00EB5AA1" w:rsidRDefault="00374898" w:rsidP="00374898">
      <w:pPr>
        <w:rPr>
          <w:sz w:val="22"/>
          <w:szCs w:val="22"/>
          <w:lang w:val="sk-SK"/>
        </w:rPr>
      </w:pPr>
    </w:p>
    <w:p w14:paraId="559A8CD6" w14:textId="77777777" w:rsidR="00374898" w:rsidRPr="00EB5AA1" w:rsidRDefault="00374898" w:rsidP="00374898">
      <w:pPr>
        <w:rPr>
          <w:sz w:val="22"/>
          <w:szCs w:val="22"/>
          <w:lang w:val="sk-SK"/>
        </w:rPr>
      </w:pPr>
      <w:proofErr w:type="spellStart"/>
      <w:r w:rsidRPr="00EB5AA1">
        <w:rPr>
          <w:i/>
          <w:iCs/>
          <w:sz w:val="22"/>
          <w:szCs w:val="22"/>
          <w:lang w:val="sk-SK"/>
        </w:rPr>
        <w:t>Nefrotoxické</w:t>
      </w:r>
      <w:proofErr w:type="spellEnd"/>
      <w:r w:rsidRPr="00EB5AA1">
        <w:rPr>
          <w:i/>
          <w:iCs/>
          <w:sz w:val="22"/>
          <w:szCs w:val="22"/>
          <w:lang w:val="sk-SK"/>
        </w:rPr>
        <w:t xml:space="preserve"> látky, napr. </w:t>
      </w:r>
      <w:proofErr w:type="spellStart"/>
      <w:r w:rsidRPr="00EB5AA1">
        <w:rPr>
          <w:i/>
          <w:iCs/>
          <w:sz w:val="22"/>
          <w:szCs w:val="22"/>
          <w:lang w:val="sk-SK"/>
        </w:rPr>
        <w:t>cisplatina</w:t>
      </w:r>
      <w:proofErr w:type="spellEnd"/>
      <w:r w:rsidRPr="00EB5AA1">
        <w:rPr>
          <w:sz w:val="22"/>
          <w:szCs w:val="22"/>
          <w:lang w:val="sk-SK"/>
        </w:rPr>
        <w:t xml:space="preserve"> </w:t>
      </w:r>
    </w:p>
    <w:p w14:paraId="2519D871" w14:textId="77777777" w:rsidR="00374898" w:rsidRPr="00EB5AA1" w:rsidRDefault="00374898" w:rsidP="00374898">
      <w:pPr>
        <w:rPr>
          <w:sz w:val="22"/>
          <w:szCs w:val="22"/>
          <w:lang w:val="sk-SK"/>
        </w:rPr>
      </w:pPr>
      <w:r w:rsidRPr="00EB5AA1">
        <w:rPr>
          <w:sz w:val="22"/>
          <w:szCs w:val="22"/>
          <w:lang w:val="sk-SK"/>
        </w:rPr>
        <w:t xml:space="preserve">Poškodenie obličiek vyvolané </w:t>
      </w:r>
      <w:proofErr w:type="spellStart"/>
      <w:r w:rsidRPr="00EB5AA1">
        <w:rPr>
          <w:sz w:val="22"/>
          <w:szCs w:val="22"/>
          <w:lang w:val="sk-SK"/>
        </w:rPr>
        <w:t>cisplatinou</w:t>
      </w:r>
      <w:proofErr w:type="spellEnd"/>
      <w:r w:rsidRPr="00EB5AA1">
        <w:rPr>
          <w:sz w:val="22"/>
          <w:szCs w:val="22"/>
          <w:lang w:val="sk-SK"/>
        </w:rPr>
        <w:t xml:space="preserve"> môže viesť k zníženiu </w:t>
      </w:r>
      <w:proofErr w:type="spellStart"/>
      <w:r w:rsidRPr="00EB5AA1">
        <w:rPr>
          <w:sz w:val="22"/>
          <w:szCs w:val="22"/>
          <w:lang w:val="sk-SK"/>
        </w:rPr>
        <w:t>klírensu</w:t>
      </w:r>
      <w:proofErr w:type="spellEnd"/>
      <w:r w:rsidRPr="00EB5AA1">
        <w:rPr>
          <w:sz w:val="22"/>
          <w:szCs w:val="22"/>
          <w:lang w:val="sk-SK"/>
        </w:rPr>
        <w:t xml:space="preserve"> </w:t>
      </w:r>
      <w:proofErr w:type="spellStart"/>
      <w:r w:rsidRPr="00EB5AA1">
        <w:rPr>
          <w:sz w:val="22"/>
          <w:szCs w:val="22"/>
          <w:lang w:val="sk-SK"/>
        </w:rPr>
        <w:t>bleomycínu</w:t>
      </w:r>
      <w:proofErr w:type="spellEnd"/>
      <w:r w:rsidRPr="00EB5AA1">
        <w:rPr>
          <w:sz w:val="22"/>
          <w:szCs w:val="22"/>
          <w:lang w:val="sk-SK"/>
        </w:rPr>
        <w:t xml:space="preserve">. U pacientov, ktorí dostávali </w:t>
      </w:r>
      <w:proofErr w:type="spellStart"/>
      <w:r w:rsidRPr="00EB5AA1">
        <w:rPr>
          <w:sz w:val="22"/>
          <w:szCs w:val="22"/>
          <w:lang w:val="sk-SK"/>
        </w:rPr>
        <w:t>bleomycín</w:t>
      </w:r>
      <w:proofErr w:type="spellEnd"/>
      <w:r w:rsidRPr="00EB5AA1">
        <w:rPr>
          <w:sz w:val="22"/>
          <w:szCs w:val="22"/>
          <w:lang w:val="sk-SK"/>
        </w:rPr>
        <w:t xml:space="preserve"> a </w:t>
      </w:r>
      <w:proofErr w:type="spellStart"/>
      <w:r w:rsidRPr="00EB5AA1">
        <w:rPr>
          <w:sz w:val="22"/>
          <w:szCs w:val="22"/>
          <w:lang w:val="sk-SK"/>
        </w:rPr>
        <w:t>cisplatinu</w:t>
      </w:r>
      <w:proofErr w:type="spellEnd"/>
      <w:r w:rsidRPr="00EB5AA1">
        <w:rPr>
          <w:sz w:val="22"/>
          <w:szCs w:val="22"/>
          <w:lang w:val="sk-SK"/>
        </w:rPr>
        <w:t>, bola hlásená zvýšená pľúcna toxicita, v niektorých prípadoch smrteľná.</w:t>
      </w:r>
    </w:p>
    <w:p w14:paraId="6B9133B3" w14:textId="77777777" w:rsidR="00374898" w:rsidRPr="00EB5AA1" w:rsidRDefault="00374898" w:rsidP="00374898">
      <w:pPr>
        <w:rPr>
          <w:sz w:val="22"/>
          <w:szCs w:val="22"/>
          <w:lang w:val="sk-SK"/>
        </w:rPr>
      </w:pPr>
    </w:p>
    <w:p w14:paraId="3C795343" w14:textId="77777777" w:rsidR="00374898" w:rsidRPr="00EB5AA1" w:rsidRDefault="00374898" w:rsidP="00374898">
      <w:pPr>
        <w:keepNext/>
        <w:keepLines/>
        <w:rPr>
          <w:sz w:val="22"/>
          <w:szCs w:val="22"/>
          <w:lang w:val="sk-SK"/>
        </w:rPr>
      </w:pPr>
      <w:r w:rsidRPr="00EB5AA1">
        <w:rPr>
          <w:i/>
          <w:iCs/>
          <w:sz w:val="22"/>
          <w:szCs w:val="22"/>
          <w:lang w:val="sk-SK"/>
        </w:rPr>
        <w:t>Kyslík</w:t>
      </w:r>
    </w:p>
    <w:p w14:paraId="157C0723" w14:textId="77777777" w:rsidR="00374898" w:rsidRPr="00EB5AA1" w:rsidRDefault="00374898" w:rsidP="00374898">
      <w:pPr>
        <w:keepNext/>
        <w:keepLines/>
        <w:rPr>
          <w:sz w:val="22"/>
          <w:szCs w:val="22"/>
          <w:lang w:val="sk-SK"/>
        </w:rPr>
      </w:pPr>
      <w:r w:rsidRPr="00EB5AA1">
        <w:rPr>
          <w:sz w:val="22"/>
          <w:szCs w:val="22"/>
          <w:lang w:val="sk-SK"/>
        </w:rPr>
        <w:t xml:space="preserve">Podávanie kyslíka počas anestézie môže spôsobiť pľúcnu </w:t>
      </w:r>
      <w:proofErr w:type="spellStart"/>
      <w:r w:rsidRPr="00EB5AA1">
        <w:rPr>
          <w:sz w:val="22"/>
          <w:szCs w:val="22"/>
          <w:lang w:val="sk-SK"/>
        </w:rPr>
        <w:t>fibrózu</w:t>
      </w:r>
      <w:proofErr w:type="spellEnd"/>
      <w:r w:rsidRPr="00EB5AA1">
        <w:rPr>
          <w:sz w:val="22"/>
          <w:szCs w:val="22"/>
          <w:lang w:val="sk-SK"/>
        </w:rPr>
        <w:t>.</w:t>
      </w:r>
    </w:p>
    <w:p w14:paraId="522A7C5E" w14:textId="77777777" w:rsidR="00374898" w:rsidRPr="00EB5AA1" w:rsidRDefault="00374898" w:rsidP="00374898">
      <w:pPr>
        <w:keepNext/>
        <w:keepLines/>
        <w:rPr>
          <w:sz w:val="22"/>
          <w:szCs w:val="22"/>
          <w:lang w:val="sk-SK"/>
        </w:rPr>
      </w:pPr>
      <w:r w:rsidRPr="00EB5AA1">
        <w:rPr>
          <w:sz w:val="22"/>
          <w:szCs w:val="22"/>
          <w:lang w:val="sk-SK"/>
        </w:rPr>
        <w:t xml:space="preserve">Pacienti liečení </w:t>
      </w:r>
      <w:proofErr w:type="spellStart"/>
      <w:r w:rsidRPr="00EB5AA1">
        <w:rPr>
          <w:sz w:val="22"/>
          <w:szCs w:val="22"/>
          <w:lang w:val="sk-SK"/>
        </w:rPr>
        <w:t>bleomycínom</w:t>
      </w:r>
      <w:proofErr w:type="spellEnd"/>
      <w:r w:rsidRPr="00EB5AA1">
        <w:rPr>
          <w:sz w:val="22"/>
          <w:szCs w:val="22"/>
          <w:lang w:val="sk-SK"/>
        </w:rPr>
        <w:t xml:space="preserve"> sú vystavení zvýšenému riziku pľúcnej toxicity, ak sa im počas operácie podáva čistý kyslík. Odporúča sa znížiť koncentráciu kyslíka počas operácie a v pooperačnom období (pozri časť</w:t>
      </w:r>
      <w:r>
        <w:rPr>
          <w:sz w:val="22"/>
          <w:szCs w:val="22"/>
          <w:lang w:val="sk-SK"/>
        </w:rPr>
        <w:t> </w:t>
      </w:r>
      <w:r w:rsidRPr="00EB5AA1">
        <w:rPr>
          <w:sz w:val="22"/>
          <w:szCs w:val="22"/>
          <w:lang w:val="sk-SK"/>
        </w:rPr>
        <w:t>4.4 a 4.8).</w:t>
      </w:r>
    </w:p>
    <w:p w14:paraId="42F1F3E5" w14:textId="77777777" w:rsidR="00374898" w:rsidRPr="00EB5AA1" w:rsidRDefault="00374898" w:rsidP="00374898">
      <w:pPr>
        <w:rPr>
          <w:sz w:val="22"/>
          <w:szCs w:val="22"/>
          <w:lang w:val="sk-SK"/>
        </w:rPr>
      </w:pPr>
    </w:p>
    <w:p w14:paraId="5726788C" w14:textId="77777777" w:rsidR="00374898" w:rsidRPr="00EB5AA1" w:rsidRDefault="00374898" w:rsidP="00374898">
      <w:pPr>
        <w:rPr>
          <w:sz w:val="22"/>
          <w:szCs w:val="22"/>
          <w:lang w:val="sk-SK"/>
        </w:rPr>
      </w:pPr>
      <w:r w:rsidRPr="00EB5AA1">
        <w:rPr>
          <w:i/>
          <w:iCs/>
          <w:sz w:val="22"/>
          <w:szCs w:val="22"/>
          <w:lang w:val="sk-SK"/>
        </w:rPr>
        <w:t>Rádioterapia</w:t>
      </w:r>
    </w:p>
    <w:p w14:paraId="79EB8353" w14:textId="77777777" w:rsidR="00374898" w:rsidRPr="00EB5AA1" w:rsidRDefault="00374898" w:rsidP="00374898">
      <w:pPr>
        <w:rPr>
          <w:sz w:val="22"/>
          <w:szCs w:val="22"/>
          <w:lang w:val="sk-SK"/>
        </w:rPr>
      </w:pPr>
      <w:r w:rsidRPr="00EB5AA1">
        <w:rPr>
          <w:sz w:val="22"/>
          <w:szCs w:val="22"/>
          <w:lang w:val="sk-SK"/>
        </w:rPr>
        <w:t>Súbežná rádioterapia môže zvýšiť riziko výskytu pľúcnej a dermatologickej toxicity.</w:t>
      </w:r>
    </w:p>
    <w:p w14:paraId="5B19F9A4" w14:textId="77777777" w:rsidR="00374898" w:rsidRPr="00EB5AA1" w:rsidRDefault="00374898" w:rsidP="00374898">
      <w:pPr>
        <w:rPr>
          <w:sz w:val="22"/>
          <w:szCs w:val="22"/>
          <w:lang w:val="sk-SK"/>
        </w:rPr>
      </w:pPr>
      <w:r w:rsidRPr="00EB5AA1">
        <w:rPr>
          <w:sz w:val="22"/>
          <w:szCs w:val="22"/>
          <w:lang w:val="sk-SK"/>
        </w:rPr>
        <w:t>Predchádzajúca alebo sprievodná rádioterapia hrudníka je dôležitým faktorom, ktorý môže zvýšiť výskyt a závažnosť pľúcnej toxicity.</w:t>
      </w:r>
    </w:p>
    <w:p w14:paraId="0E8AF767" w14:textId="77777777" w:rsidR="00374898" w:rsidRPr="00EB5AA1" w:rsidRDefault="00374898" w:rsidP="00374898">
      <w:pPr>
        <w:rPr>
          <w:sz w:val="22"/>
          <w:szCs w:val="22"/>
          <w:lang w:val="sk-SK"/>
        </w:rPr>
      </w:pPr>
    </w:p>
    <w:p w14:paraId="0441D056" w14:textId="77777777" w:rsidR="00374898" w:rsidRPr="00EB5AA1" w:rsidRDefault="00374898" w:rsidP="00374898">
      <w:pPr>
        <w:rPr>
          <w:sz w:val="22"/>
          <w:szCs w:val="22"/>
          <w:lang w:val="sk-SK"/>
        </w:rPr>
      </w:pPr>
      <w:r w:rsidRPr="00EB5AA1">
        <w:rPr>
          <w:sz w:val="22"/>
          <w:szCs w:val="22"/>
          <w:lang w:val="sk-SK"/>
        </w:rPr>
        <w:t xml:space="preserve">Zvýšené riziko pľúcnej toxicity sa zaznamenalo pri súčasnom podávaní iných liečiv vyvolávajúcich pľúcnu toxicitu, napr. </w:t>
      </w:r>
      <w:proofErr w:type="spellStart"/>
      <w:r w:rsidRPr="00EB5AA1">
        <w:rPr>
          <w:sz w:val="22"/>
          <w:szCs w:val="22"/>
          <w:lang w:val="sk-SK"/>
        </w:rPr>
        <w:t>karmustínu</w:t>
      </w:r>
      <w:proofErr w:type="spellEnd"/>
      <w:r w:rsidRPr="00EB5AA1">
        <w:rPr>
          <w:sz w:val="22"/>
          <w:szCs w:val="22"/>
          <w:lang w:val="sk-SK"/>
        </w:rPr>
        <w:t xml:space="preserve">, </w:t>
      </w:r>
      <w:proofErr w:type="spellStart"/>
      <w:r w:rsidRPr="00EB5AA1">
        <w:rPr>
          <w:sz w:val="22"/>
          <w:szCs w:val="22"/>
          <w:lang w:val="sk-SK"/>
        </w:rPr>
        <w:t>mitomycínu</w:t>
      </w:r>
      <w:proofErr w:type="spellEnd"/>
      <w:r w:rsidRPr="00EB5AA1">
        <w:rPr>
          <w:sz w:val="22"/>
          <w:szCs w:val="22"/>
          <w:lang w:val="sk-SK"/>
        </w:rPr>
        <w:t xml:space="preserve"> C, </w:t>
      </w:r>
      <w:proofErr w:type="spellStart"/>
      <w:r w:rsidRPr="00EB5AA1">
        <w:rPr>
          <w:sz w:val="22"/>
          <w:szCs w:val="22"/>
          <w:lang w:val="sk-SK"/>
        </w:rPr>
        <w:t>cyklofosfamidu</w:t>
      </w:r>
      <w:proofErr w:type="spellEnd"/>
      <w:r w:rsidRPr="00EB5AA1">
        <w:rPr>
          <w:sz w:val="22"/>
          <w:szCs w:val="22"/>
          <w:lang w:val="sk-SK"/>
        </w:rPr>
        <w:t xml:space="preserve"> a </w:t>
      </w:r>
      <w:proofErr w:type="spellStart"/>
      <w:r w:rsidRPr="00EB5AA1">
        <w:rPr>
          <w:sz w:val="22"/>
          <w:szCs w:val="22"/>
          <w:lang w:val="sk-SK"/>
        </w:rPr>
        <w:t>metotrexátu</w:t>
      </w:r>
      <w:proofErr w:type="spellEnd"/>
      <w:r w:rsidRPr="00EB5AA1">
        <w:rPr>
          <w:sz w:val="22"/>
          <w:szCs w:val="22"/>
          <w:lang w:val="sk-SK"/>
        </w:rPr>
        <w:t>.</w:t>
      </w:r>
    </w:p>
    <w:p w14:paraId="6BE22345" w14:textId="77777777" w:rsidR="00374898" w:rsidRPr="00EB5AA1" w:rsidRDefault="00374898" w:rsidP="00374898">
      <w:pPr>
        <w:rPr>
          <w:b/>
          <w:sz w:val="22"/>
          <w:szCs w:val="22"/>
          <w:u w:val="single"/>
          <w:lang w:val="sk-SK"/>
        </w:rPr>
      </w:pPr>
    </w:p>
    <w:p w14:paraId="5D6FF877" w14:textId="77777777" w:rsidR="00374898" w:rsidRPr="00EB5AA1" w:rsidRDefault="00374898" w:rsidP="00374898">
      <w:pPr>
        <w:tabs>
          <w:tab w:val="left" w:pos="993"/>
          <w:tab w:val="left" w:pos="3402"/>
        </w:tabs>
        <w:rPr>
          <w:sz w:val="22"/>
          <w:szCs w:val="22"/>
          <w:lang w:val="sk-SK"/>
        </w:rPr>
      </w:pPr>
      <w:proofErr w:type="spellStart"/>
      <w:r w:rsidRPr="00EB5AA1">
        <w:rPr>
          <w:i/>
          <w:iCs/>
          <w:sz w:val="22"/>
          <w:szCs w:val="22"/>
          <w:lang w:val="sk-SK"/>
        </w:rPr>
        <w:t>Cyklosporín</w:t>
      </w:r>
      <w:proofErr w:type="spellEnd"/>
      <w:r w:rsidRPr="00EB5AA1">
        <w:rPr>
          <w:i/>
          <w:iCs/>
          <w:sz w:val="22"/>
          <w:szCs w:val="22"/>
          <w:lang w:val="sk-SK"/>
        </w:rPr>
        <w:t xml:space="preserve">, </w:t>
      </w:r>
      <w:proofErr w:type="spellStart"/>
      <w:r w:rsidRPr="00EB5AA1">
        <w:rPr>
          <w:i/>
          <w:iCs/>
          <w:sz w:val="22"/>
          <w:szCs w:val="22"/>
          <w:lang w:val="sk-SK"/>
        </w:rPr>
        <w:t>takrolimus</w:t>
      </w:r>
      <w:proofErr w:type="spellEnd"/>
    </w:p>
    <w:p w14:paraId="2B9BC460" w14:textId="77777777" w:rsidR="00374898" w:rsidRPr="00EB5AA1" w:rsidRDefault="00374898" w:rsidP="00374898">
      <w:pPr>
        <w:tabs>
          <w:tab w:val="left" w:pos="993"/>
          <w:tab w:val="left" w:pos="3402"/>
        </w:tabs>
        <w:rPr>
          <w:b/>
          <w:iCs/>
          <w:sz w:val="22"/>
          <w:szCs w:val="22"/>
          <w:u w:val="single"/>
          <w:lang w:val="sk-SK"/>
        </w:rPr>
      </w:pPr>
      <w:r w:rsidRPr="00EB5AA1">
        <w:rPr>
          <w:sz w:val="22"/>
          <w:szCs w:val="22"/>
          <w:lang w:val="sk-SK"/>
        </w:rPr>
        <w:t xml:space="preserve">Existuje nadmerná </w:t>
      </w:r>
      <w:proofErr w:type="spellStart"/>
      <w:r w:rsidRPr="00EB5AA1">
        <w:rPr>
          <w:sz w:val="22"/>
          <w:szCs w:val="22"/>
          <w:lang w:val="sk-SK"/>
        </w:rPr>
        <w:t>imunosupresia</w:t>
      </w:r>
      <w:proofErr w:type="spellEnd"/>
      <w:r w:rsidRPr="00EB5AA1">
        <w:rPr>
          <w:sz w:val="22"/>
          <w:szCs w:val="22"/>
          <w:lang w:val="sk-SK"/>
        </w:rPr>
        <w:t xml:space="preserve"> s rizikom </w:t>
      </w:r>
      <w:proofErr w:type="spellStart"/>
      <w:r w:rsidRPr="00EB5AA1">
        <w:rPr>
          <w:sz w:val="22"/>
          <w:szCs w:val="22"/>
          <w:lang w:val="sk-SK"/>
        </w:rPr>
        <w:t>lymfoproliferácie</w:t>
      </w:r>
      <w:proofErr w:type="spellEnd"/>
      <w:r w:rsidRPr="00EB5AA1">
        <w:rPr>
          <w:sz w:val="22"/>
          <w:szCs w:val="22"/>
          <w:lang w:val="sk-SK"/>
        </w:rPr>
        <w:t>.</w:t>
      </w:r>
    </w:p>
    <w:p w14:paraId="11C953DF" w14:textId="77777777" w:rsidR="00374898" w:rsidRPr="00EB5AA1" w:rsidRDefault="00374898" w:rsidP="00374898">
      <w:pPr>
        <w:rPr>
          <w:sz w:val="22"/>
          <w:szCs w:val="22"/>
          <w:lang w:val="sk-SK"/>
        </w:rPr>
      </w:pPr>
    </w:p>
    <w:p w14:paraId="73A33FF1" w14:textId="77777777" w:rsidR="00374898" w:rsidRPr="00EB5AA1" w:rsidRDefault="00374898" w:rsidP="00374898">
      <w:pPr>
        <w:ind w:left="567" w:hanging="567"/>
        <w:rPr>
          <w:b/>
          <w:bCs/>
          <w:sz w:val="22"/>
          <w:szCs w:val="22"/>
          <w:lang w:val="sk-SK"/>
        </w:rPr>
      </w:pPr>
      <w:r w:rsidRPr="00EB5AA1">
        <w:rPr>
          <w:b/>
          <w:bCs/>
          <w:sz w:val="22"/>
          <w:szCs w:val="22"/>
          <w:lang w:val="sk-SK"/>
        </w:rPr>
        <w:t>4.6</w:t>
      </w:r>
      <w:r w:rsidRPr="00EB5AA1">
        <w:rPr>
          <w:rStyle w:val="tw4winExternal"/>
          <w:rFonts w:ascii="Times New Roman" w:hAnsi="Times New Roman"/>
          <w:sz w:val="22"/>
          <w:szCs w:val="22"/>
          <w:lang w:val="sk-SK"/>
        </w:rPr>
        <w:tab/>
      </w:r>
      <w:proofErr w:type="spellStart"/>
      <w:r w:rsidRPr="00EB5AA1">
        <w:rPr>
          <w:b/>
          <w:bCs/>
          <w:sz w:val="22"/>
          <w:szCs w:val="22"/>
          <w:lang w:val="sk-SK"/>
        </w:rPr>
        <w:t>Fertilita</w:t>
      </w:r>
      <w:proofErr w:type="spellEnd"/>
      <w:r w:rsidRPr="00EB5AA1">
        <w:rPr>
          <w:b/>
          <w:bCs/>
          <w:sz w:val="22"/>
          <w:szCs w:val="22"/>
          <w:lang w:val="sk-SK"/>
        </w:rPr>
        <w:t>, gravidita a laktácia</w:t>
      </w:r>
    </w:p>
    <w:p w14:paraId="58D8E7A7" w14:textId="77777777" w:rsidR="00374898" w:rsidRPr="00EB5AA1" w:rsidRDefault="00374898" w:rsidP="00374898">
      <w:pPr>
        <w:rPr>
          <w:sz w:val="22"/>
          <w:szCs w:val="22"/>
          <w:lang w:val="sk-SK"/>
        </w:rPr>
      </w:pPr>
    </w:p>
    <w:p w14:paraId="143BC91D" w14:textId="77777777" w:rsidR="00374898" w:rsidRPr="00EB5AA1" w:rsidRDefault="00374898" w:rsidP="00374898">
      <w:pPr>
        <w:rPr>
          <w:sz w:val="22"/>
          <w:szCs w:val="22"/>
          <w:u w:val="single"/>
          <w:lang w:val="sk-SK"/>
        </w:rPr>
      </w:pPr>
      <w:r w:rsidRPr="00EB5AA1">
        <w:rPr>
          <w:sz w:val="22"/>
          <w:szCs w:val="22"/>
          <w:u w:val="single"/>
          <w:lang w:val="sk-SK"/>
        </w:rPr>
        <w:t>Gravidita</w:t>
      </w:r>
    </w:p>
    <w:p w14:paraId="549F1009" w14:textId="77777777" w:rsidR="00374898" w:rsidRPr="00EB5AA1" w:rsidRDefault="00374898" w:rsidP="00374898">
      <w:pPr>
        <w:rPr>
          <w:sz w:val="22"/>
          <w:szCs w:val="22"/>
          <w:u w:val="single"/>
          <w:lang w:val="sk-SK"/>
        </w:rPr>
      </w:pPr>
    </w:p>
    <w:p w14:paraId="75371371" w14:textId="2ACF9C6D" w:rsidR="00374898" w:rsidRPr="00EB5AA1" w:rsidRDefault="00374898" w:rsidP="00374898">
      <w:pPr>
        <w:rPr>
          <w:sz w:val="22"/>
          <w:szCs w:val="22"/>
          <w:lang w:val="sk-SK"/>
        </w:rPr>
      </w:pPr>
      <w:r w:rsidRPr="00EB5AA1">
        <w:rPr>
          <w:sz w:val="22"/>
          <w:szCs w:val="22"/>
          <w:lang w:val="sk-SK"/>
        </w:rPr>
        <w:t>Nie sú k dispozícii</w:t>
      </w:r>
      <w:r w:rsidRPr="00591193">
        <w:rPr>
          <w:noProof/>
          <w:sz w:val="22"/>
          <w:lang w:val="sk-SK"/>
        </w:rPr>
        <w:t xml:space="preserve"> </w:t>
      </w:r>
      <w:r>
        <w:rPr>
          <w:noProof/>
          <w:sz w:val="22"/>
          <w:lang w:val="sk-SK"/>
        </w:rPr>
        <w:t xml:space="preserve">alebo je iba obmedzené množstvo údajov </w:t>
      </w:r>
      <w:r w:rsidRPr="00EB5AA1">
        <w:rPr>
          <w:sz w:val="22"/>
          <w:szCs w:val="22"/>
          <w:lang w:val="sk-SK"/>
        </w:rPr>
        <w:t xml:space="preserve">o použití </w:t>
      </w:r>
      <w:proofErr w:type="spellStart"/>
      <w:r w:rsidRPr="00EB5AA1">
        <w:rPr>
          <w:sz w:val="22"/>
          <w:szCs w:val="22"/>
          <w:lang w:val="sk-SK"/>
        </w:rPr>
        <w:t>bleomycínu</w:t>
      </w:r>
      <w:proofErr w:type="spellEnd"/>
      <w:r w:rsidRPr="00EB5AA1">
        <w:rPr>
          <w:sz w:val="22"/>
          <w:szCs w:val="22"/>
          <w:lang w:val="sk-SK"/>
        </w:rPr>
        <w:t xml:space="preserve"> u gravidných žien. Štúdie na zvieratách preukázali reprodukčnú toxicitu (pozri časť</w:t>
      </w:r>
      <w:r>
        <w:rPr>
          <w:sz w:val="22"/>
          <w:szCs w:val="22"/>
          <w:lang w:val="sk-SK"/>
        </w:rPr>
        <w:t> </w:t>
      </w:r>
      <w:r w:rsidRPr="00EB5AA1">
        <w:rPr>
          <w:sz w:val="22"/>
          <w:szCs w:val="22"/>
          <w:lang w:val="sk-SK"/>
        </w:rPr>
        <w:t>5.3). Na základe výsledkov štúdií na zvieratách a farmakologického účinku lieku existuje potenciálne riziko embryonálnych a </w:t>
      </w:r>
      <w:proofErr w:type="spellStart"/>
      <w:r w:rsidRPr="00EB5AA1">
        <w:rPr>
          <w:sz w:val="22"/>
          <w:szCs w:val="22"/>
          <w:lang w:val="sk-SK"/>
        </w:rPr>
        <w:t>fetálnych</w:t>
      </w:r>
      <w:proofErr w:type="spellEnd"/>
      <w:r w:rsidRPr="00EB5AA1">
        <w:rPr>
          <w:sz w:val="22"/>
          <w:szCs w:val="22"/>
          <w:lang w:val="sk-SK"/>
        </w:rPr>
        <w:t xml:space="preserve"> abnormalít.</w:t>
      </w:r>
    </w:p>
    <w:p w14:paraId="4CFBE012" w14:textId="77777777" w:rsidR="00E20160" w:rsidRDefault="00E20160" w:rsidP="00374898">
      <w:pPr>
        <w:rPr>
          <w:sz w:val="22"/>
          <w:szCs w:val="22"/>
          <w:lang w:val="sk-SK"/>
        </w:rPr>
      </w:pPr>
    </w:p>
    <w:p w14:paraId="5CF1BEA6" w14:textId="77777777" w:rsidR="00374898" w:rsidRPr="00EB5AA1" w:rsidRDefault="00374898" w:rsidP="00374898">
      <w:pPr>
        <w:rPr>
          <w:sz w:val="22"/>
          <w:szCs w:val="22"/>
          <w:lang w:val="sk-SK"/>
        </w:rPr>
      </w:pPr>
      <w:proofErr w:type="spellStart"/>
      <w:r w:rsidRPr="00EB5AA1">
        <w:rPr>
          <w:sz w:val="22"/>
          <w:szCs w:val="22"/>
          <w:lang w:val="sk-SK"/>
        </w:rPr>
        <w:t>Bleomedac</w:t>
      </w:r>
      <w:proofErr w:type="spellEnd"/>
      <w:r w:rsidRPr="00EB5AA1">
        <w:rPr>
          <w:sz w:val="22"/>
          <w:szCs w:val="22"/>
          <w:lang w:val="sk-SK"/>
        </w:rPr>
        <w:t xml:space="preserve"> sa preto nemá používať počas gravidity, pokiaľ klinický stav pacientky nevyžaduje liečbu </w:t>
      </w:r>
      <w:proofErr w:type="spellStart"/>
      <w:r w:rsidRPr="00EB5AA1">
        <w:rPr>
          <w:sz w:val="22"/>
          <w:szCs w:val="22"/>
          <w:lang w:val="sk-SK"/>
        </w:rPr>
        <w:t>bleomycínom</w:t>
      </w:r>
      <w:proofErr w:type="spellEnd"/>
      <w:r w:rsidRPr="00EB5AA1">
        <w:rPr>
          <w:sz w:val="22"/>
          <w:szCs w:val="22"/>
          <w:lang w:val="sk-SK"/>
        </w:rPr>
        <w:t xml:space="preserve">. </w:t>
      </w:r>
    </w:p>
    <w:p w14:paraId="412BD606" w14:textId="77777777" w:rsidR="00374898" w:rsidRPr="00EB5AA1" w:rsidRDefault="00374898" w:rsidP="00374898">
      <w:pPr>
        <w:widowControl w:val="0"/>
        <w:rPr>
          <w:sz w:val="22"/>
          <w:szCs w:val="22"/>
          <w:lang w:val="sk-SK"/>
        </w:rPr>
      </w:pPr>
      <w:r w:rsidRPr="00EB5AA1">
        <w:rPr>
          <w:sz w:val="22"/>
          <w:szCs w:val="22"/>
          <w:lang w:val="sk-SK"/>
        </w:rPr>
        <w:t>Ak dôjde ku gravidite v priebehu liečby, pacientka musí byť informovaná o rizikách pre nenarodené dieťa a musí byť starostlivo sledovaná. Treba zvážiť prípadné genetické poradenstvo. Genetické poradenstvo sa odporúča aj pre pacientky, ktoré chcú otehotnieť po liečbe.</w:t>
      </w:r>
    </w:p>
    <w:p w14:paraId="49BE775A" w14:textId="77777777" w:rsidR="00374898" w:rsidRPr="00EB5AA1" w:rsidRDefault="00374898" w:rsidP="00374898">
      <w:pPr>
        <w:rPr>
          <w:sz w:val="22"/>
          <w:szCs w:val="22"/>
          <w:lang w:val="sk-SK"/>
        </w:rPr>
      </w:pPr>
    </w:p>
    <w:p w14:paraId="2AF58300" w14:textId="1AEE265A" w:rsidR="00374898" w:rsidRPr="00EB5AA1" w:rsidRDefault="00374898" w:rsidP="00374898">
      <w:pPr>
        <w:rPr>
          <w:sz w:val="22"/>
          <w:szCs w:val="22"/>
          <w:u w:val="single"/>
          <w:lang w:val="sk-SK"/>
        </w:rPr>
      </w:pPr>
      <w:r w:rsidRPr="00EB5AA1">
        <w:rPr>
          <w:sz w:val="22"/>
          <w:szCs w:val="22"/>
          <w:u w:val="single"/>
          <w:lang w:val="sk-SK"/>
        </w:rPr>
        <w:t xml:space="preserve">Antikoncepcia u mužov </w:t>
      </w:r>
      <w:r w:rsidR="00F22803" w:rsidRPr="00EB5AA1">
        <w:rPr>
          <w:sz w:val="22"/>
          <w:szCs w:val="22"/>
          <w:u w:val="single"/>
          <w:lang w:val="sk-SK"/>
        </w:rPr>
        <w:t>a</w:t>
      </w:r>
      <w:r w:rsidRPr="00EB5AA1">
        <w:rPr>
          <w:sz w:val="22"/>
          <w:szCs w:val="22"/>
          <w:u w:val="single"/>
          <w:lang w:val="sk-SK"/>
        </w:rPr>
        <w:t xml:space="preserve"> žien</w:t>
      </w:r>
    </w:p>
    <w:p w14:paraId="27AF5F88" w14:textId="77777777" w:rsidR="00374898" w:rsidRPr="00EB5AA1" w:rsidRDefault="00374898" w:rsidP="00374898">
      <w:pPr>
        <w:rPr>
          <w:sz w:val="22"/>
          <w:szCs w:val="22"/>
          <w:u w:val="single"/>
          <w:lang w:val="sk-SK"/>
        </w:rPr>
      </w:pPr>
    </w:p>
    <w:p w14:paraId="0DF0B7A8" w14:textId="3D421806" w:rsidR="00374898" w:rsidRPr="00EB5AA1" w:rsidRDefault="00374898" w:rsidP="00374898">
      <w:pPr>
        <w:rPr>
          <w:sz w:val="22"/>
          <w:szCs w:val="22"/>
          <w:lang w:val="sk-SK"/>
        </w:rPr>
      </w:pPr>
      <w:r w:rsidRPr="00EB5AA1">
        <w:rPr>
          <w:sz w:val="22"/>
          <w:szCs w:val="22"/>
          <w:lang w:val="sk-SK"/>
        </w:rPr>
        <w:t xml:space="preserve">Muži </w:t>
      </w:r>
      <w:r w:rsidR="00FC6628" w:rsidRPr="00EB5AA1">
        <w:rPr>
          <w:sz w:val="22"/>
          <w:szCs w:val="22"/>
          <w:lang w:val="sk-SK"/>
        </w:rPr>
        <w:t>a</w:t>
      </w:r>
      <w:r w:rsidRPr="00EB5AA1">
        <w:rPr>
          <w:sz w:val="22"/>
          <w:szCs w:val="22"/>
          <w:lang w:val="sk-SK"/>
        </w:rPr>
        <w:t xml:space="preserve"> ženy by mali používať účinný spôsob antikoncepcie ešte tri mesiace po ukončení liečby.</w:t>
      </w:r>
    </w:p>
    <w:p w14:paraId="66C253F0" w14:textId="77777777" w:rsidR="00374898" w:rsidRPr="00EB5AA1" w:rsidRDefault="00374898" w:rsidP="00374898">
      <w:pPr>
        <w:rPr>
          <w:sz w:val="22"/>
          <w:szCs w:val="22"/>
          <w:lang w:val="sk-SK"/>
        </w:rPr>
      </w:pPr>
    </w:p>
    <w:p w14:paraId="481B08F6" w14:textId="77777777" w:rsidR="00374898" w:rsidRPr="00EB5AA1" w:rsidRDefault="00374898" w:rsidP="00374898">
      <w:pPr>
        <w:rPr>
          <w:sz w:val="22"/>
          <w:szCs w:val="22"/>
          <w:u w:val="single"/>
          <w:lang w:val="sk-SK"/>
        </w:rPr>
      </w:pPr>
      <w:r w:rsidRPr="00EB5AA1">
        <w:rPr>
          <w:sz w:val="22"/>
          <w:szCs w:val="22"/>
          <w:u w:val="single"/>
          <w:lang w:val="sk-SK"/>
        </w:rPr>
        <w:t>Dojčenie</w:t>
      </w:r>
    </w:p>
    <w:p w14:paraId="503398FD" w14:textId="77777777" w:rsidR="00374898" w:rsidRPr="00EB5AA1" w:rsidRDefault="00374898" w:rsidP="00374898">
      <w:pPr>
        <w:rPr>
          <w:sz w:val="22"/>
          <w:szCs w:val="22"/>
          <w:u w:val="single"/>
          <w:lang w:val="sk-SK"/>
        </w:rPr>
      </w:pPr>
    </w:p>
    <w:p w14:paraId="6680F0A8" w14:textId="4353508F" w:rsidR="00374898" w:rsidRPr="00EB5AA1" w:rsidRDefault="00374898" w:rsidP="00374898">
      <w:pPr>
        <w:rPr>
          <w:sz w:val="22"/>
          <w:szCs w:val="22"/>
          <w:lang w:val="sk-SK"/>
        </w:rPr>
      </w:pPr>
      <w:r w:rsidRPr="00EB5AA1">
        <w:rPr>
          <w:sz w:val="22"/>
          <w:szCs w:val="22"/>
          <w:lang w:val="sk-SK"/>
        </w:rPr>
        <w:t xml:space="preserve">Nie je známe, či sa </w:t>
      </w:r>
      <w:proofErr w:type="spellStart"/>
      <w:r w:rsidRPr="00EB5AA1">
        <w:rPr>
          <w:sz w:val="22"/>
          <w:szCs w:val="22"/>
          <w:lang w:val="sk-SK"/>
        </w:rPr>
        <w:t>metabolity</w:t>
      </w:r>
      <w:proofErr w:type="spellEnd"/>
      <w:r w:rsidRPr="00EB5AA1">
        <w:rPr>
          <w:sz w:val="22"/>
          <w:szCs w:val="22"/>
          <w:lang w:val="sk-SK"/>
        </w:rPr>
        <w:t xml:space="preserve"> </w:t>
      </w:r>
      <w:proofErr w:type="spellStart"/>
      <w:r w:rsidRPr="00EB5AA1">
        <w:rPr>
          <w:sz w:val="22"/>
          <w:szCs w:val="22"/>
          <w:lang w:val="sk-SK"/>
        </w:rPr>
        <w:t>bleomycínu</w:t>
      </w:r>
      <w:proofErr w:type="spellEnd"/>
      <w:r w:rsidRPr="00EB5AA1">
        <w:rPr>
          <w:sz w:val="22"/>
          <w:szCs w:val="22"/>
          <w:lang w:val="sk-SK"/>
        </w:rPr>
        <w:t xml:space="preserve"> vylučujú do </w:t>
      </w:r>
      <w:r>
        <w:rPr>
          <w:rFonts w:eastAsia="SimSun"/>
          <w:color w:val="000000"/>
          <w:sz w:val="22"/>
          <w:szCs w:val="22"/>
          <w:lang w:val="sk-SK" w:eastAsia="zh-CN"/>
        </w:rPr>
        <w:t>ľudského</w:t>
      </w:r>
      <w:r w:rsidRPr="00EB5AA1">
        <w:rPr>
          <w:sz w:val="22"/>
          <w:szCs w:val="22"/>
          <w:lang w:val="sk-SK"/>
        </w:rPr>
        <w:t xml:space="preserve"> mlieka. </w:t>
      </w:r>
      <w:proofErr w:type="spellStart"/>
      <w:r>
        <w:rPr>
          <w:sz w:val="22"/>
          <w:szCs w:val="22"/>
          <w:lang w:val="sk-SK"/>
        </w:rPr>
        <w:t>Bleomedac</w:t>
      </w:r>
      <w:proofErr w:type="spellEnd"/>
      <w:r>
        <w:rPr>
          <w:sz w:val="22"/>
          <w:szCs w:val="22"/>
          <w:lang w:val="sk-SK"/>
        </w:rPr>
        <w:t xml:space="preserve"> </w:t>
      </w:r>
      <w:r w:rsidRPr="00870719">
        <w:rPr>
          <w:sz w:val="22"/>
          <w:szCs w:val="22"/>
          <w:lang w:val="sk-SK"/>
        </w:rPr>
        <w:t>je kontraindikovaný počas laktácie (pozri časť</w:t>
      </w:r>
      <w:r>
        <w:rPr>
          <w:sz w:val="22"/>
          <w:szCs w:val="22"/>
          <w:lang w:val="sk-SK"/>
        </w:rPr>
        <w:t> </w:t>
      </w:r>
      <w:r w:rsidRPr="00870719">
        <w:rPr>
          <w:sz w:val="22"/>
          <w:szCs w:val="22"/>
          <w:lang w:val="sk-SK"/>
        </w:rPr>
        <w:t>4.</w:t>
      </w:r>
      <w:r>
        <w:rPr>
          <w:sz w:val="22"/>
          <w:szCs w:val="22"/>
          <w:lang w:val="sk-SK"/>
        </w:rPr>
        <w:t>3) v</w:t>
      </w:r>
      <w:r w:rsidRPr="00EB5AA1">
        <w:rPr>
          <w:sz w:val="22"/>
          <w:szCs w:val="22"/>
          <w:lang w:val="sk-SK"/>
        </w:rPr>
        <w:t>zhľadom na to, že sú možné veľmi škodlivé účinky na dojča</w:t>
      </w:r>
      <w:r>
        <w:rPr>
          <w:sz w:val="22"/>
          <w:szCs w:val="22"/>
          <w:lang w:val="sk-SK"/>
        </w:rPr>
        <w:t>.</w:t>
      </w:r>
    </w:p>
    <w:p w14:paraId="43044DB3" w14:textId="77777777" w:rsidR="009419B0" w:rsidRDefault="009419B0" w:rsidP="00374898">
      <w:pPr>
        <w:rPr>
          <w:sz w:val="22"/>
          <w:szCs w:val="22"/>
          <w:u w:val="single"/>
          <w:lang w:val="sk-SK"/>
        </w:rPr>
      </w:pPr>
    </w:p>
    <w:p w14:paraId="7B9D598F" w14:textId="2BA0630A" w:rsidR="00374898" w:rsidRPr="00EB5AA1" w:rsidRDefault="00374898" w:rsidP="00374898">
      <w:pPr>
        <w:rPr>
          <w:sz w:val="22"/>
          <w:szCs w:val="22"/>
          <w:u w:val="single"/>
          <w:lang w:val="sk-SK"/>
        </w:rPr>
      </w:pPr>
      <w:proofErr w:type="spellStart"/>
      <w:r w:rsidRPr="00EB5AA1">
        <w:rPr>
          <w:sz w:val="22"/>
          <w:szCs w:val="22"/>
          <w:u w:val="single"/>
          <w:lang w:val="sk-SK"/>
        </w:rPr>
        <w:t>Fertilita</w:t>
      </w:r>
      <w:proofErr w:type="spellEnd"/>
    </w:p>
    <w:p w14:paraId="5E81BECE" w14:textId="77777777" w:rsidR="00374898" w:rsidRPr="00EB5AA1" w:rsidRDefault="00374898" w:rsidP="00374898">
      <w:pPr>
        <w:rPr>
          <w:sz w:val="22"/>
          <w:szCs w:val="22"/>
          <w:u w:val="single"/>
          <w:lang w:val="sk-SK"/>
        </w:rPr>
      </w:pPr>
    </w:p>
    <w:p w14:paraId="3281C86B" w14:textId="77777777" w:rsidR="00374898" w:rsidRPr="00EB5AA1" w:rsidRDefault="00374898" w:rsidP="00374898">
      <w:pPr>
        <w:rPr>
          <w:sz w:val="22"/>
          <w:szCs w:val="22"/>
          <w:lang w:val="sk-SK"/>
        </w:rPr>
      </w:pPr>
      <w:r w:rsidRPr="00EB5AA1">
        <w:rPr>
          <w:sz w:val="22"/>
          <w:szCs w:val="22"/>
          <w:lang w:val="sk-SK"/>
        </w:rPr>
        <w:t xml:space="preserve">Vzhľadom k možnosti vzniku ireverzibilnej neplodnosti v dôsledku liečby </w:t>
      </w:r>
      <w:proofErr w:type="spellStart"/>
      <w:r w:rsidRPr="00EB5AA1">
        <w:rPr>
          <w:sz w:val="22"/>
          <w:szCs w:val="22"/>
          <w:lang w:val="sk-SK"/>
        </w:rPr>
        <w:t>bleomycínom</w:t>
      </w:r>
      <w:proofErr w:type="spellEnd"/>
      <w:r w:rsidRPr="00EB5AA1">
        <w:rPr>
          <w:sz w:val="22"/>
          <w:szCs w:val="22"/>
          <w:lang w:val="sk-SK"/>
        </w:rPr>
        <w:t xml:space="preserve"> je vhodné pred zahájením liečby konzultovať možnosť konzervácie spermií.</w:t>
      </w:r>
    </w:p>
    <w:p w14:paraId="37F273B5" w14:textId="77777777" w:rsidR="00374898" w:rsidRPr="00EB5AA1" w:rsidRDefault="00374898" w:rsidP="00374898">
      <w:pPr>
        <w:rPr>
          <w:sz w:val="22"/>
          <w:szCs w:val="22"/>
          <w:lang w:val="sk-SK"/>
        </w:rPr>
      </w:pPr>
    </w:p>
    <w:p w14:paraId="6B4DC17D" w14:textId="77777777" w:rsidR="00374898" w:rsidRPr="00EB5AA1" w:rsidRDefault="00374898" w:rsidP="00374898">
      <w:pPr>
        <w:ind w:left="567" w:hanging="567"/>
        <w:rPr>
          <w:b/>
          <w:bCs/>
          <w:sz w:val="22"/>
          <w:szCs w:val="22"/>
          <w:lang w:val="sk-SK"/>
        </w:rPr>
      </w:pPr>
      <w:r w:rsidRPr="00EB5AA1">
        <w:rPr>
          <w:b/>
          <w:bCs/>
          <w:sz w:val="22"/>
          <w:szCs w:val="22"/>
          <w:lang w:val="sk-SK"/>
        </w:rPr>
        <w:t>4.7</w:t>
      </w:r>
      <w:r w:rsidRPr="00EB5AA1">
        <w:rPr>
          <w:rStyle w:val="tw4winExternal"/>
          <w:rFonts w:ascii="Times New Roman" w:hAnsi="Times New Roman"/>
          <w:sz w:val="22"/>
          <w:szCs w:val="22"/>
          <w:lang w:val="sk-SK"/>
        </w:rPr>
        <w:tab/>
      </w:r>
      <w:r w:rsidRPr="00EB5AA1">
        <w:rPr>
          <w:b/>
          <w:bCs/>
          <w:sz w:val="22"/>
          <w:szCs w:val="22"/>
          <w:lang w:val="sk-SK"/>
        </w:rPr>
        <w:t>Ovplyvnenie schopnosti viesť vozidlá a obsluhovať stroje</w:t>
      </w:r>
    </w:p>
    <w:p w14:paraId="2104D757" w14:textId="77777777" w:rsidR="00374898" w:rsidRPr="00EB5AA1" w:rsidRDefault="00374898" w:rsidP="00374898">
      <w:pPr>
        <w:rPr>
          <w:sz w:val="22"/>
          <w:szCs w:val="22"/>
          <w:lang w:val="sk-SK"/>
        </w:rPr>
      </w:pPr>
    </w:p>
    <w:p w14:paraId="51C5F2E8" w14:textId="77777777" w:rsidR="00374898" w:rsidRPr="00EB5AA1" w:rsidRDefault="00374898" w:rsidP="00374898">
      <w:pPr>
        <w:rPr>
          <w:sz w:val="22"/>
          <w:szCs w:val="22"/>
          <w:lang w:val="sk-SK"/>
        </w:rPr>
      </w:pPr>
      <w:r w:rsidRPr="00EB5AA1">
        <w:rPr>
          <w:sz w:val="22"/>
          <w:szCs w:val="22"/>
          <w:lang w:val="sk-SK"/>
        </w:rPr>
        <w:t>Niektoré vedľajšie účinky, akými sú nauzea, vracanie a únava, môžu mať nepriamy vplyv na schopnosť viesť vozidlo alebo obsluhovať stroje.</w:t>
      </w:r>
    </w:p>
    <w:p w14:paraId="32048101" w14:textId="77777777" w:rsidR="00374898" w:rsidRPr="00EB5AA1" w:rsidRDefault="00374898" w:rsidP="00374898">
      <w:pPr>
        <w:rPr>
          <w:sz w:val="22"/>
          <w:szCs w:val="22"/>
          <w:lang w:val="sk-SK"/>
        </w:rPr>
      </w:pPr>
    </w:p>
    <w:p w14:paraId="71D5CB38" w14:textId="77777777" w:rsidR="00374898" w:rsidRPr="00EB5AA1" w:rsidRDefault="00374898" w:rsidP="00374898">
      <w:pPr>
        <w:keepNext/>
        <w:keepLines/>
        <w:ind w:left="567" w:hanging="567"/>
        <w:rPr>
          <w:b/>
          <w:bCs/>
          <w:sz w:val="22"/>
          <w:szCs w:val="22"/>
          <w:lang w:val="sk-SK"/>
        </w:rPr>
      </w:pPr>
      <w:r w:rsidRPr="00EB5AA1">
        <w:rPr>
          <w:b/>
          <w:bCs/>
          <w:sz w:val="22"/>
          <w:szCs w:val="22"/>
          <w:lang w:val="sk-SK"/>
        </w:rPr>
        <w:t>4.8</w:t>
      </w:r>
      <w:r w:rsidRPr="00EB5AA1">
        <w:rPr>
          <w:rStyle w:val="tw4winExternal"/>
          <w:rFonts w:ascii="Times New Roman" w:hAnsi="Times New Roman"/>
          <w:sz w:val="22"/>
          <w:szCs w:val="22"/>
          <w:lang w:val="sk-SK"/>
        </w:rPr>
        <w:tab/>
      </w:r>
      <w:r w:rsidRPr="00EB5AA1">
        <w:rPr>
          <w:b/>
          <w:bCs/>
          <w:sz w:val="22"/>
          <w:szCs w:val="22"/>
          <w:lang w:val="sk-SK"/>
        </w:rPr>
        <w:t>Nežiaduce účinky</w:t>
      </w:r>
    </w:p>
    <w:p w14:paraId="31E2049A" w14:textId="77777777" w:rsidR="00374898" w:rsidRPr="00EB5AA1" w:rsidRDefault="00374898" w:rsidP="00374898">
      <w:pPr>
        <w:keepNext/>
        <w:keepLines/>
        <w:rPr>
          <w:sz w:val="22"/>
          <w:szCs w:val="22"/>
          <w:lang w:val="sk-SK"/>
        </w:rPr>
      </w:pPr>
    </w:p>
    <w:p w14:paraId="46D758F1" w14:textId="77777777" w:rsidR="00374898" w:rsidRPr="00EB5AA1" w:rsidRDefault="00374898" w:rsidP="00374898">
      <w:pPr>
        <w:keepNext/>
        <w:keepLines/>
        <w:rPr>
          <w:sz w:val="22"/>
          <w:szCs w:val="22"/>
          <w:lang w:val="sk-SK"/>
        </w:rPr>
      </w:pPr>
      <w:r w:rsidRPr="00EB5AA1">
        <w:rPr>
          <w:sz w:val="22"/>
          <w:szCs w:val="22"/>
          <w:lang w:val="sk-SK"/>
        </w:rPr>
        <w:t>Veľmi časté (≥ 1/10)</w:t>
      </w:r>
    </w:p>
    <w:p w14:paraId="4E7BFCF4" w14:textId="77777777" w:rsidR="00374898" w:rsidRPr="00EB5AA1" w:rsidRDefault="00374898" w:rsidP="00374898">
      <w:pPr>
        <w:keepNext/>
        <w:keepLines/>
        <w:rPr>
          <w:sz w:val="22"/>
          <w:szCs w:val="22"/>
          <w:lang w:val="sk-SK"/>
        </w:rPr>
      </w:pPr>
      <w:r w:rsidRPr="00EB5AA1">
        <w:rPr>
          <w:sz w:val="22"/>
          <w:szCs w:val="22"/>
          <w:lang w:val="sk-SK"/>
        </w:rPr>
        <w:t>Časté (od ≥ 1/100 do &lt; 1/10)</w:t>
      </w:r>
    </w:p>
    <w:p w14:paraId="05A3E999" w14:textId="77777777" w:rsidR="00374898" w:rsidRPr="00EB5AA1" w:rsidRDefault="00374898" w:rsidP="00374898">
      <w:pPr>
        <w:keepNext/>
        <w:keepLines/>
        <w:rPr>
          <w:sz w:val="22"/>
          <w:szCs w:val="22"/>
          <w:lang w:val="sk-SK"/>
        </w:rPr>
      </w:pPr>
      <w:r w:rsidRPr="00EB5AA1">
        <w:rPr>
          <w:sz w:val="22"/>
          <w:szCs w:val="22"/>
          <w:lang w:val="sk-SK"/>
        </w:rPr>
        <w:t>Menej časté (≥ 1/1000 až &lt; 1/100)</w:t>
      </w:r>
    </w:p>
    <w:p w14:paraId="7C453499" w14:textId="77777777" w:rsidR="00374898" w:rsidRPr="00EB5AA1" w:rsidRDefault="00374898" w:rsidP="00374898">
      <w:pPr>
        <w:keepNext/>
        <w:keepLines/>
        <w:rPr>
          <w:sz w:val="22"/>
          <w:szCs w:val="22"/>
          <w:lang w:val="sk-SK"/>
        </w:rPr>
      </w:pPr>
      <w:r w:rsidRPr="00EB5AA1">
        <w:rPr>
          <w:sz w:val="22"/>
          <w:szCs w:val="22"/>
          <w:lang w:val="sk-SK"/>
        </w:rPr>
        <w:t>Zriedkavé (≥ 1/10 000 až &lt; 1/1000)</w:t>
      </w:r>
    </w:p>
    <w:p w14:paraId="05FFBD42" w14:textId="77777777" w:rsidR="00374898" w:rsidRPr="00EB5AA1" w:rsidRDefault="00374898" w:rsidP="00374898">
      <w:pPr>
        <w:keepNext/>
        <w:keepLines/>
        <w:rPr>
          <w:sz w:val="22"/>
          <w:szCs w:val="22"/>
          <w:lang w:val="sk-SK"/>
        </w:rPr>
      </w:pPr>
      <w:r w:rsidRPr="00EB5AA1">
        <w:rPr>
          <w:sz w:val="22"/>
          <w:szCs w:val="22"/>
          <w:lang w:val="sk-SK"/>
        </w:rPr>
        <w:t xml:space="preserve">Veľmi zriedkavé (&lt; 1/10,000), </w:t>
      </w:r>
    </w:p>
    <w:p w14:paraId="3F0C4134" w14:textId="19EDC5B7" w:rsidR="00374898" w:rsidRPr="00EB5AA1" w:rsidRDefault="00374898" w:rsidP="00374898">
      <w:pPr>
        <w:keepNext/>
        <w:keepLines/>
        <w:rPr>
          <w:sz w:val="22"/>
          <w:szCs w:val="22"/>
          <w:lang w:val="sk-SK"/>
        </w:rPr>
      </w:pPr>
      <w:r w:rsidRPr="00EB5AA1">
        <w:rPr>
          <w:sz w:val="22"/>
          <w:szCs w:val="22"/>
          <w:lang w:val="sk-SK"/>
        </w:rPr>
        <w:t>Neznáme (z dostupných údajov).</w:t>
      </w:r>
    </w:p>
    <w:p w14:paraId="542E3285" w14:textId="77777777" w:rsidR="00374898" w:rsidRPr="00EB5AA1" w:rsidRDefault="00374898" w:rsidP="00374898">
      <w:pPr>
        <w:rPr>
          <w:sz w:val="22"/>
          <w:szCs w:val="22"/>
          <w:lang w:val="sk-SK"/>
        </w:rPr>
      </w:pPr>
    </w:p>
    <w:p w14:paraId="0B54EEDD" w14:textId="77777777" w:rsidR="00374898" w:rsidRPr="00EB5AA1" w:rsidRDefault="00374898" w:rsidP="00374898">
      <w:pPr>
        <w:rPr>
          <w:sz w:val="22"/>
          <w:szCs w:val="22"/>
          <w:lang w:val="sk-SK"/>
        </w:rPr>
      </w:pPr>
      <w:r w:rsidRPr="00EB5AA1">
        <w:rPr>
          <w:sz w:val="22"/>
          <w:szCs w:val="22"/>
          <w:lang w:val="sk-SK"/>
        </w:rPr>
        <w:t xml:space="preserve">Tak ako väčšina </w:t>
      </w:r>
      <w:proofErr w:type="spellStart"/>
      <w:r w:rsidRPr="00EB5AA1">
        <w:rPr>
          <w:sz w:val="22"/>
          <w:szCs w:val="22"/>
          <w:lang w:val="sk-SK"/>
        </w:rPr>
        <w:t>cytostatík</w:t>
      </w:r>
      <w:proofErr w:type="spellEnd"/>
      <w:r w:rsidRPr="00EB5AA1">
        <w:rPr>
          <w:sz w:val="22"/>
          <w:szCs w:val="22"/>
          <w:lang w:val="sk-SK"/>
        </w:rPr>
        <w:t xml:space="preserve">, aj </w:t>
      </w:r>
      <w:proofErr w:type="spellStart"/>
      <w:r w:rsidRPr="00EB5AA1">
        <w:rPr>
          <w:sz w:val="22"/>
          <w:szCs w:val="22"/>
          <w:lang w:val="sk-SK"/>
        </w:rPr>
        <w:t>bleomycín</w:t>
      </w:r>
      <w:proofErr w:type="spellEnd"/>
      <w:r w:rsidRPr="00EB5AA1">
        <w:rPr>
          <w:sz w:val="22"/>
          <w:szCs w:val="22"/>
          <w:lang w:val="sk-SK"/>
        </w:rPr>
        <w:t xml:space="preserve"> môže mať akútny i oneskorený toxický účinok.</w:t>
      </w:r>
    </w:p>
    <w:p w14:paraId="545C3FE4" w14:textId="77777777" w:rsidR="00374898" w:rsidRPr="00EB5AA1" w:rsidRDefault="00374898" w:rsidP="00374898">
      <w:pPr>
        <w:rPr>
          <w:sz w:val="22"/>
          <w:szCs w:val="22"/>
          <w:lang w:val="sk-SK"/>
        </w:rPr>
      </w:pPr>
      <w:r w:rsidRPr="00EB5AA1">
        <w:rPr>
          <w:sz w:val="22"/>
          <w:szCs w:val="22"/>
          <w:lang w:val="sk-SK"/>
        </w:rPr>
        <w:t xml:space="preserve">Akútne príznaky: </w:t>
      </w:r>
      <w:proofErr w:type="spellStart"/>
      <w:r w:rsidRPr="00EB5AA1">
        <w:rPr>
          <w:sz w:val="22"/>
          <w:szCs w:val="22"/>
          <w:lang w:val="sk-SK"/>
        </w:rPr>
        <w:t>anorexia</w:t>
      </w:r>
      <w:proofErr w:type="spellEnd"/>
      <w:r w:rsidRPr="00EB5AA1">
        <w:rPr>
          <w:sz w:val="22"/>
          <w:szCs w:val="22"/>
          <w:lang w:val="sk-SK"/>
        </w:rPr>
        <w:t>, únava, nauzea a horúčka.</w:t>
      </w:r>
    </w:p>
    <w:p w14:paraId="720C0317" w14:textId="77777777" w:rsidR="00374898" w:rsidRPr="00EB5AA1" w:rsidRDefault="00374898" w:rsidP="00374898">
      <w:pPr>
        <w:rPr>
          <w:sz w:val="22"/>
          <w:szCs w:val="22"/>
          <w:lang w:val="sk-SK"/>
        </w:rPr>
      </w:pPr>
    </w:p>
    <w:p w14:paraId="51DF6D75" w14:textId="77777777" w:rsidR="00374898" w:rsidRPr="00BB6D58" w:rsidRDefault="00374898" w:rsidP="00374898">
      <w:pPr>
        <w:keepNext/>
        <w:keepLines/>
        <w:rPr>
          <w:i/>
          <w:sz w:val="22"/>
          <w:szCs w:val="22"/>
          <w:lang w:val="sk-SK"/>
        </w:rPr>
      </w:pPr>
      <w:r w:rsidRPr="00BB6D58">
        <w:rPr>
          <w:i/>
          <w:sz w:val="22"/>
          <w:szCs w:val="22"/>
          <w:lang w:val="sk-SK"/>
        </w:rPr>
        <w:t>Poruchy krvi a lymfatického systému</w:t>
      </w:r>
    </w:p>
    <w:p w14:paraId="0377151F" w14:textId="77777777" w:rsidR="00374898" w:rsidRPr="00EB5AA1" w:rsidRDefault="00374898" w:rsidP="00374898">
      <w:pPr>
        <w:keepNext/>
        <w:keepLines/>
        <w:rPr>
          <w:sz w:val="22"/>
          <w:szCs w:val="22"/>
          <w:u w:val="single"/>
          <w:lang w:val="sk-SK"/>
        </w:rPr>
      </w:pPr>
    </w:p>
    <w:p w14:paraId="0A720428" w14:textId="77777777" w:rsidR="00374898" w:rsidRPr="00EB5AA1" w:rsidRDefault="00374898" w:rsidP="00374898">
      <w:pPr>
        <w:keepNext/>
        <w:keepLines/>
        <w:rPr>
          <w:sz w:val="22"/>
          <w:szCs w:val="22"/>
          <w:u w:val="single"/>
          <w:lang w:val="sk-SK"/>
        </w:rPr>
      </w:pPr>
      <w:r w:rsidRPr="00EB5AA1">
        <w:rPr>
          <w:sz w:val="22"/>
          <w:szCs w:val="22"/>
          <w:u w:val="single"/>
          <w:lang w:val="sk-SK"/>
        </w:rPr>
        <w:t>Menej časté</w:t>
      </w:r>
    </w:p>
    <w:p w14:paraId="5316275B" w14:textId="77777777" w:rsidR="00374898" w:rsidRPr="00BB6D58" w:rsidRDefault="00374898" w:rsidP="00374898">
      <w:pPr>
        <w:keepNext/>
        <w:keepLines/>
        <w:rPr>
          <w:sz w:val="22"/>
          <w:szCs w:val="22"/>
          <w:u w:val="single"/>
          <w:lang w:val="sk-SK"/>
        </w:rPr>
      </w:pPr>
      <w:r w:rsidRPr="00EB5AA1">
        <w:rPr>
          <w:sz w:val="22"/>
          <w:szCs w:val="22"/>
          <w:lang w:val="sk-SK"/>
        </w:rPr>
        <w:t xml:space="preserve">Toxicita na kostnú dreň, </w:t>
      </w:r>
      <w:proofErr w:type="spellStart"/>
      <w:r w:rsidRPr="00EB5AA1">
        <w:rPr>
          <w:sz w:val="22"/>
          <w:szCs w:val="22"/>
          <w:lang w:val="sk-SK"/>
        </w:rPr>
        <w:t>trombocytopénia</w:t>
      </w:r>
      <w:proofErr w:type="spellEnd"/>
    </w:p>
    <w:p w14:paraId="13F0AA13" w14:textId="77777777" w:rsidR="00374898" w:rsidRPr="00BB6D58" w:rsidRDefault="00374898" w:rsidP="00374898">
      <w:pPr>
        <w:keepNext/>
        <w:keepLines/>
        <w:rPr>
          <w:sz w:val="22"/>
          <w:szCs w:val="22"/>
          <w:lang w:val="sk-SK"/>
        </w:rPr>
      </w:pPr>
    </w:p>
    <w:p w14:paraId="4CA7FECB" w14:textId="77777777" w:rsidR="00ED010B" w:rsidRPr="002D2593" w:rsidRDefault="002D2593" w:rsidP="005F07D2">
      <w:pPr>
        <w:keepNext/>
        <w:keepLines/>
        <w:rPr>
          <w:sz w:val="22"/>
          <w:szCs w:val="22"/>
          <w:u w:val="single"/>
          <w:lang w:val="sk-SK"/>
        </w:rPr>
      </w:pPr>
      <w:r w:rsidRPr="005F07D2">
        <w:rPr>
          <w:bCs/>
          <w:sz w:val="22"/>
          <w:szCs w:val="22"/>
          <w:u w:val="single"/>
          <w:lang w:val="sk-SK"/>
        </w:rPr>
        <w:t>Zriedkavé</w:t>
      </w:r>
    </w:p>
    <w:p w14:paraId="6A512D49" w14:textId="77777777" w:rsidR="00374898" w:rsidRPr="00EB5AA1" w:rsidRDefault="00374898" w:rsidP="00374898">
      <w:pPr>
        <w:keepNext/>
        <w:keepLines/>
        <w:rPr>
          <w:sz w:val="22"/>
          <w:szCs w:val="22"/>
          <w:u w:val="single"/>
          <w:lang w:val="sk-SK"/>
        </w:rPr>
      </w:pPr>
      <w:proofErr w:type="spellStart"/>
      <w:r w:rsidRPr="00EB5AA1">
        <w:rPr>
          <w:sz w:val="22"/>
          <w:szCs w:val="22"/>
          <w:lang w:val="sk-SK"/>
        </w:rPr>
        <w:t>Hemolyticko</w:t>
      </w:r>
      <w:proofErr w:type="spellEnd"/>
      <w:r w:rsidRPr="00EB5AA1">
        <w:rPr>
          <w:sz w:val="22"/>
          <w:szCs w:val="22"/>
          <w:lang w:val="sk-SK"/>
        </w:rPr>
        <w:t xml:space="preserve">-uremický </w:t>
      </w:r>
      <w:proofErr w:type="spellStart"/>
      <w:r w:rsidRPr="00EB5AA1">
        <w:rPr>
          <w:sz w:val="22"/>
          <w:szCs w:val="22"/>
          <w:lang w:val="sk-SK"/>
        </w:rPr>
        <w:t>syndrom</w:t>
      </w:r>
      <w:proofErr w:type="spellEnd"/>
    </w:p>
    <w:p w14:paraId="474348F9" w14:textId="77777777" w:rsidR="00374898" w:rsidRPr="00EB5AA1" w:rsidRDefault="00374898" w:rsidP="00374898">
      <w:pPr>
        <w:rPr>
          <w:b/>
          <w:i/>
          <w:sz w:val="22"/>
          <w:szCs w:val="22"/>
          <w:lang w:val="sk-SK"/>
        </w:rPr>
      </w:pPr>
    </w:p>
    <w:p w14:paraId="7B53512B" w14:textId="77777777" w:rsidR="00374898" w:rsidRPr="00EB5AA1" w:rsidRDefault="00374898" w:rsidP="00374898">
      <w:pPr>
        <w:rPr>
          <w:i/>
          <w:sz w:val="22"/>
          <w:szCs w:val="22"/>
          <w:lang w:val="sk-SK"/>
        </w:rPr>
      </w:pPr>
      <w:r w:rsidRPr="00EB5AA1">
        <w:rPr>
          <w:bCs/>
          <w:i/>
          <w:sz w:val="22"/>
          <w:szCs w:val="22"/>
          <w:lang w:val="sk-SK"/>
        </w:rPr>
        <w:t>Poruchy imunitného systému</w:t>
      </w:r>
    </w:p>
    <w:p w14:paraId="465DE139" w14:textId="77777777" w:rsidR="00374898" w:rsidRPr="00EB5AA1" w:rsidRDefault="00374898" w:rsidP="00374898">
      <w:pPr>
        <w:rPr>
          <w:sz w:val="22"/>
          <w:szCs w:val="22"/>
          <w:u w:val="single"/>
          <w:lang w:val="sk-SK"/>
        </w:rPr>
      </w:pPr>
    </w:p>
    <w:p w14:paraId="1A961243" w14:textId="77777777" w:rsidR="00374898" w:rsidRPr="00EB5AA1" w:rsidRDefault="00374898" w:rsidP="00374898">
      <w:pPr>
        <w:rPr>
          <w:sz w:val="22"/>
          <w:szCs w:val="22"/>
          <w:u w:val="single"/>
          <w:lang w:val="sk-SK"/>
        </w:rPr>
      </w:pPr>
      <w:r w:rsidRPr="00EB5AA1">
        <w:rPr>
          <w:sz w:val="22"/>
          <w:szCs w:val="22"/>
          <w:u w:val="single"/>
          <w:lang w:val="sk-SK"/>
        </w:rPr>
        <w:t>Časté</w:t>
      </w:r>
    </w:p>
    <w:p w14:paraId="0A4763EB" w14:textId="77777777" w:rsidR="00374898" w:rsidRPr="00EB5AA1" w:rsidRDefault="00374898" w:rsidP="00374898">
      <w:pPr>
        <w:rPr>
          <w:b/>
          <w:i/>
          <w:sz w:val="22"/>
          <w:szCs w:val="22"/>
          <w:lang w:val="sk-SK"/>
        </w:rPr>
      </w:pPr>
      <w:proofErr w:type="spellStart"/>
      <w:r w:rsidRPr="00EB5AA1">
        <w:rPr>
          <w:sz w:val="22"/>
          <w:szCs w:val="22"/>
          <w:lang w:val="sk-SK"/>
        </w:rPr>
        <w:t>Hypersenzitivita</w:t>
      </w:r>
      <w:proofErr w:type="spellEnd"/>
      <w:r w:rsidRPr="00EB5AA1">
        <w:rPr>
          <w:sz w:val="22"/>
          <w:szCs w:val="22"/>
          <w:lang w:val="sk-SK"/>
        </w:rPr>
        <w:t xml:space="preserve">, </w:t>
      </w:r>
      <w:proofErr w:type="spellStart"/>
      <w:r w:rsidRPr="00EB5AA1">
        <w:rPr>
          <w:sz w:val="22"/>
          <w:szCs w:val="22"/>
          <w:lang w:val="sk-SK"/>
        </w:rPr>
        <w:t>idiosynkratické</w:t>
      </w:r>
      <w:proofErr w:type="spellEnd"/>
      <w:r w:rsidRPr="00EB5AA1">
        <w:rPr>
          <w:sz w:val="22"/>
          <w:szCs w:val="22"/>
          <w:lang w:val="sk-SK"/>
        </w:rPr>
        <w:t xml:space="preserve"> reakcie, </w:t>
      </w:r>
      <w:proofErr w:type="spellStart"/>
      <w:r w:rsidRPr="00EB5AA1">
        <w:rPr>
          <w:sz w:val="22"/>
          <w:szCs w:val="22"/>
          <w:lang w:val="sk-SK"/>
        </w:rPr>
        <w:t>anafylaktická</w:t>
      </w:r>
      <w:proofErr w:type="spellEnd"/>
      <w:r w:rsidRPr="00EB5AA1">
        <w:rPr>
          <w:sz w:val="22"/>
          <w:szCs w:val="22"/>
          <w:lang w:val="sk-SK"/>
        </w:rPr>
        <w:t xml:space="preserve"> reakcia </w:t>
      </w:r>
    </w:p>
    <w:p w14:paraId="6FD0DE19" w14:textId="77777777" w:rsidR="00374898" w:rsidRPr="00EB5AA1" w:rsidRDefault="00374898" w:rsidP="00374898">
      <w:pPr>
        <w:rPr>
          <w:sz w:val="22"/>
          <w:szCs w:val="22"/>
          <w:lang w:val="sk-SK"/>
        </w:rPr>
      </w:pPr>
    </w:p>
    <w:p w14:paraId="3AE559F9" w14:textId="77777777" w:rsidR="00374898" w:rsidRPr="00BB6D58" w:rsidRDefault="00374898" w:rsidP="00374898">
      <w:pPr>
        <w:rPr>
          <w:i/>
          <w:sz w:val="22"/>
          <w:szCs w:val="22"/>
          <w:lang w:val="sk-SK"/>
        </w:rPr>
      </w:pPr>
      <w:r w:rsidRPr="00BB6D58">
        <w:rPr>
          <w:i/>
          <w:sz w:val="22"/>
          <w:szCs w:val="22"/>
          <w:lang w:val="sk-SK"/>
        </w:rPr>
        <w:t>Poruchy nervového systému</w:t>
      </w:r>
    </w:p>
    <w:p w14:paraId="0BB966B9" w14:textId="77777777" w:rsidR="00374898" w:rsidRPr="00EB5AA1" w:rsidRDefault="00374898" w:rsidP="00374898">
      <w:pPr>
        <w:rPr>
          <w:bCs/>
          <w:i/>
          <w:sz w:val="22"/>
          <w:szCs w:val="22"/>
          <w:u w:val="single"/>
          <w:lang w:val="sk-SK"/>
        </w:rPr>
      </w:pPr>
    </w:p>
    <w:p w14:paraId="62A682B3" w14:textId="77777777" w:rsidR="00374898" w:rsidRPr="00EB5AA1" w:rsidRDefault="00374898" w:rsidP="00374898">
      <w:pPr>
        <w:rPr>
          <w:sz w:val="22"/>
          <w:szCs w:val="22"/>
          <w:u w:val="single"/>
          <w:lang w:val="sk-SK"/>
        </w:rPr>
      </w:pPr>
      <w:r w:rsidRPr="00EB5AA1">
        <w:rPr>
          <w:bCs/>
          <w:sz w:val="22"/>
          <w:szCs w:val="22"/>
          <w:u w:val="single"/>
          <w:lang w:val="sk-SK"/>
        </w:rPr>
        <w:t>Neznáme</w:t>
      </w:r>
    </w:p>
    <w:p w14:paraId="28F0EF69" w14:textId="77777777" w:rsidR="00374898" w:rsidRPr="00EB5AA1" w:rsidRDefault="00374898" w:rsidP="00374898">
      <w:pPr>
        <w:rPr>
          <w:sz w:val="22"/>
          <w:szCs w:val="22"/>
          <w:lang w:val="sk-SK"/>
        </w:rPr>
      </w:pPr>
      <w:proofErr w:type="spellStart"/>
      <w:r w:rsidRPr="00EB5AA1">
        <w:rPr>
          <w:sz w:val="22"/>
          <w:szCs w:val="22"/>
          <w:lang w:val="sk-SK"/>
        </w:rPr>
        <w:t>Parestézia</w:t>
      </w:r>
      <w:proofErr w:type="spellEnd"/>
      <w:r w:rsidRPr="00EB5AA1">
        <w:rPr>
          <w:sz w:val="22"/>
          <w:szCs w:val="22"/>
          <w:lang w:val="sk-SK"/>
        </w:rPr>
        <w:t xml:space="preserve">, </w:t>
      </w:r>
      <w:proofErr w:type="spellStart"/>
      <w:r w:rsidRPr="00EB5AA1">
        <w:rPr>
          <w:sz w:val="22"/>
          <w:szCs w:val="22"/>
          <w:lang w:val="sk-SK"/>
        </w:rPr>
        <w:t>hyperestézia</w:t>
      </w:r>
      <w:proofErr w:type="spellEnd"/>
      <w:r w:rsidRPr="00EB5AA1">
        <w:rPr>
          <w:sz w:val="22"/>
          <w:szCs w:val="22"/>
          <w:lang w:val="sk-SK"/>
        </w:rPr>
        <w:t xml:space="preserve">  </w:t>
      </w:r>
    </w:p>
    <w:p w14:paraId="3E1D5594" w14:textId="77777777" w:rsidR="00374898" w:rsidRPr="00EB5AA1" w:rsidRDefault="00374898" w:rsidP="00374898">
      <w:pPr>
        <w:rPr>
          <w:sz w:val="22"/>
          <w:szCs w:val="22"/>
          <w:lang w:val="sk-SK"/>
        </w:rPr>
      </w:pPr>
    </w:p>
    <w:p w14:paraId="0668DEB8" w14:textId="77777777" w:rsidR="00374898" w:rsidRPr="00BB6D58" w:rsidRDefault="00374898" w:rsidP="00374898">
      <w:pPr>
        <w:rPr>
          <w:i/>
          <w:sz w:val="22"/>
          <w:szCs w:val="22"/>
          <w:lang w:val="sk-SK"/>
        </w:rPr>
      </w:pPr>
      <w:r w:rsidRPr="00BB6D58">
        <w:rPr>
          <w:i/>
          <w:sz w:val="22"/>
          <w:szCs w:val="22"/>
          <w:lang w:val="sk-SK"/>
        </w:rPr>
        <w:t>Srdcové poruchy</w:t>
      </w:r>
    </w:p>
    <w:p w14:paraId="0034E50E" w14:textId="77777777" w:rsidR="00374898" w:rsidRPr="00EB5AA1" w:rsidRDefault="00374898" w:rsidP="00374898">
      <w:pPr>
        <w:rPr>
          <w:sz w:val="22"/>
          <w:szCs w:val="22"/>
          <w:u w:val="single"/>
          <w:lang w:val="sk-SK"/>
        </w:rPr>
      </w:pPr>
    </w:p>
    <w:p w14:paraId="08440402" w14:textId="77777777" w:rsidR="00374898" w:rsidRPr="00EB5AA1" w:rsidRDefault="00374898" w:rsidP="00374898">
      <w:pPr>
        <w:rPr>
          <w:sz w:val="22"/>
          <w:szCs w:val="22"/>
          <w:u w:val="single"/>
          <w:lang w:val="sk-SK"/>
        </w:rPr>
      </w:pPr>
      <w:r w:rsidRPr="00EB5AA1">
        <w:rPr>
          <w:sz w:val="22"/>
          <w:szCs w:val="22"/>
          <w:u w:val="single"/>
          <w:lang w:val="sk-SK"/>
        </w:rPr>
        <w:t>Zriedkavé</w:t>
      </w:r>
    </w:p>
    <w:p w14:paraId="345A83DD" w14:textId="77777777" w:rsidR="00374898" w:rsidRPr="00EB5AA1" w:rsidRDefault="00374898" w:rsidP="00374898">
      <w:pPr>
        <w:rPr>
          <w:b/>
          <w:i/>
          <w:sz w:val="22"/>
          <w:szCs w:val="22"/>
          <w:lang w:val="sk-SK"/>
        </w:rPr>
      </w:pPr>
      <w:r w:rsidRPr="00EB5AA1">
        <w:rPr>
          <w:sz w:val="22"/>
          <w:szCs w:val="22"/>
          <w:lang w:val="sk-SK"/>
        </w:rPr>
        <w:t>Srdcový infarkt, koronárna choroba srdca</w:t>
      </w:r>
    </w:p>
    <w:p w14:paraId="0F8193EA" w14:textId="77777777" w:rsidR="00374898" w:rsidRPr="00EB5AA1" w:rsidRDefault="00374898" w:rsidP="00374898">
      <w:pPr>
        <w:rPr>
          <w:b/>
          <w:i/>
          <w:sz w:val="22"/>
          <w:szCs w:val="22"/>
          <w:lang w:val="sk-SK"/>
        </w:rPr>
      </w:pPr>
    </w:p>
    <w:p w14:paraId="79142C0B" w14:textId="77777777" w:rsidR="00374898" w:rsidRPr="00BB6D58" w:rsidRDefault="00374898" w:rsidP="00374898">
      <w:pPr>
        <w:rPr>
          <w:i/>
          <w:sz w:val="22"/>
          <w:szCs w:val="22"/>
          <w:lang w:val="sk-SK"/>
        </w:rPr>
      </w:pPr>
      <w:r w:rsidRPr="00BB6D58">
        <w:rPr>
          <w:i/>
          <w:sz w:val="22"/>
          <w:szCs w:val="22"/>
          <w:lang w:val="sk-SK"/>
        </w:rPr>
        <w:t>Poruchy ciev</w:t>
      </w:r>
    </w:p>
    <w:p w14:paraId="15EA94C0" w14:textId="77777777" w:rsidR="00374898" w:rsidRPr="00EB5AA1" w:rsidRDefault="00374898" w:rsidP="00374898">
      <w:pPr>
        <w:rPr>
          <w:sz w:val="22"/>
          <w:szCs w:val="22"/>
          <w:lang w:val="sk-SK"/>
        </w:rPr>
      </w:pPr>
    </w:p>
    <w:p w14:paraId="63595773" w14:textId="77777777" w:rsidR="00374898" w:rsidRPr="00EB5AA1" w:rsidRDefault="00374898" w:rsidP="00374898">
      <w:pPr>
        <w:rPr>
          <w:sz w:val="22"/>
          <w:szCs w:val="22"/>
          <w:u w:val="single"/>
          <w:lang w:val="sk-SK"/>
        </w:rPr>
      </w:pPr>
      <w:r w:rsidRPr="00EB5AA1">
        <w:rPr>
          <w:sz w:val="22"/>
          <w:szCs w:val="22"/>
          <w:u w:val="single"/>
          <w:lang w:val="sk-SK"/>
        </w:rPr>
        <w:t>Zriedkavé</w:t>
      </w:r>
    </w:p>
    <w:p w14:paraId="757CBE7A" w14:textId="77777777" w:rsidR="00374898" w:rsidRPr="00EB5AA1" w:rsidRDefault="00374898" w:rsidP="00374898">
      <w:pPr>
        <w:rPr>
          <w:sz w:val="22"/>
          <w:szCs w:val="22"/>
          <w:lang w:val="sk-SK"/>
        </w:rPr>
      </w:pPr>
      <w:r w:rsidRPr="00EB5AA1">
        <w:rPr>
          <w:sz w:val="22"/>
          <w:szCs w:val="22"/>
          <w:lang w:val="sk-SK"/>
        </w:rPr>
        <w:t xml:space="preserve">Poškodenie ciev, poruchy prietoku krvi v mozgu, cerebrálna </w:t>
      </w:r>
      <w:proofErr w:type="spellStart"/>
      <w:r w:rsidRPr="00EB5AA1">
        <w:rPr>
          <w:sz w:val="22"/>
          <w:szCs w:val="22"/>
          <w:lang w:val="sk-SK"/>
        </w:rPr>
        <w:t>vaskulitída</w:t>
      </w:r>
      <w:proofErr w:type="spellEnd"/>
      <w:r w:rsidRPr="00EB5AA1">
        <w:rPr>
          <w:sz w:val="22"/>
          <w:szCs w:val="22"/>
          <w:lang w:val="sk-SK"/>
        </w:rPr>
        <w:t xml:space="preserve"> </w:t>
      </w:r>
    </w:p>
    <w:p w14:paraId="4DA43725" w14:textId="77777777" w:rsidR="00374898" w:rsidRPr="00EB5AA1" w:rsidRDefault="00374898" w:rsidP="00374898">
      <w:pPr>
        <w:rPr>
          <w:sz w:val="22"/>
          <w:szCs w:val="22"/>
          <w:lang w:val="sk-SK"/>
        </w:rPr>
      </w:pPr>
    </w:p>
    <w:p w14:paraId="2FE464C7" w14:textId="77777777" w:rsidR="00374898" w:rsidRPr="00EB5AA1" w:rsidRDefault="00374898" w:rsidP="00374898">
      <w:pPr>
        <w:rPr>
          <w:sz w:val="22"/>
          <w:szCs w:val="22"/>
          <w:u w:val="single"/>
          <w:lang w:val="sk-SK"/>
        </w:rPr>
      </w:pPr>
      <w:r w:rsidRPr="00EB5AA1">
        <w:rPr>
          <w:sz w:val="22"/>
          <w:szCs w:val="22"/>
          <w:u w:val="single"/>
          <w:lang w:val="sk-SK"/>
        </w:rPr>
        <w:t>Neznáme</w:t>
      </w:r>
    </w:p>
    <w:p w14:paraId="67FAF411" w14:textId="77777777" w:rsidR="00374898" w:rsidRPr="00EB5AA1" w:rsidRDefault="00374898" w:rsidP="00374898">
      <w:pPr>
        <w:rPr>
          <w:sz w:val="22"/>
          <w:szCs w:val="22"/>
          <w:lang w:val="sk-SK"/>
        </w:rPr>
      </w:pPr>
      <w:r w:rsidRPr="00EB5AA1">
        <w:rPr>
          <w:sz w:val="22"/>
          <w:szCs w:val="22"/>
          <w:lang w:val="sk-SK"/>
        </w:rPr>
        <w:t xml:space="preserve">Hypotenzia, žilná </w:t>
      </w:r>
      <w:proofErr w:type="spellStart"/>
      <w:r w:rsidRPr="00EB5AA1">
        <w:rPr>
          <w:sz w:val="22"/>
          <w:szCs w:val="22"/>
          <w:lang w:val="sk-SK"/>
        </w:rPr>
        <w:t>oklúzia</w:t>
      </w:r>
      <w:proofErr w:type="spellEnd"/>
      <w:r w:rsidRPr="00EB5AA1">
        <w:rPr>
          <w:sz w:val="22"/>
          <w:szCs w:val="22"/>
          <w:lang w:val="sk-SK"/>
        </w:rPr>
        <w:t xml:space="preserve">, </w:t>
      </w:r>
      <w:proofErr w:type="spellStart"/>
      <w:r w:rsidRPr="00EB5AA1">
        <w:rPr>
          <w:sz w:val="22"/>
          <w:szCs w:val="22"/>
          <w:lang w:val="sk-SK"/>
        </w:rPr>
        <w:t>Raynaudov</w:t>
      </w:r>
      <w:proofErr w:type="spellEnd"/>
      <w:r w:rsidRPr="00EB5AA1">
        <w:rPr>
          <w:sz w:val="22"/>
          <w:szCs w:val="22"/>
          <w:lang w:val="sk-SK"/>
        </w:rPr>
        <w:t xml:space="preserve"> fenomén </w:t>
      </w:r>
    </w:p>
    <w:p w14:paraId="21721ED9" w14:textId="77777777" w:rsidR="00374898" w:rsidRPr="00EB5AA1" w:rsidRDefault="00374898" w:rsidP="00374898">
      <w:pPr>
        <w:rPr>
          <w:b/>
          <w:i/>
          <w:sz w:val="22"/>
          <w:szCs w:val="22"/>
          <w:lang w:val="sk-SK"/>
        </w:rPr>
      </w:pPr>
    </w:p>
    <w:p w14:paraId="3216292C" w14:textId="77777777" w:rsidR="00374898" w:rsidRPr="00BB6D58" w:rsidRDefault="00374898" w:rsidP="00374898">
      <w:pPr>
        <w:rPr>
          <w:i/>
          <w:sz w:val="22"/>
          <w:szCs w:val="22"/>
          <w:lang w:val="sk-SK"/>
        </w:rPr>
      </w:pPr>
      <w:r w:rsidRPr="00BB6D58">
        <w:rPr>
          <w:i/>
          <w:sz w:val="22"/>
          <w:szCs w:val="22"/>
          <w:lang w:val="sk-SK"/>
        </w:rPr>
        <w:t>Poruchy dýchacej sústavy, hrudníka a </w:t>
      </w:r>
      <w:proofErr w:type="spellStart"/>
      <w:r w:rsidRPr="00BB6D58">
        <w:rPr>
          <w:i/>
          <w:sz w:val="22"/>
          <w:szCs w:val="22"/>
          <w:lang w:val="sk-SK"/>
        </w:rPr>
        <w:t>mediastína</w:t>
      </w:r>
      <w:proofErr w:type="spellEnd"/>
    </w:p>
    <w:p w14:paraId="17365B9F" w14:textId="77777777" w:rsidR="00374898" w:rsidRPr="00EB5AA1" w:rsidRDefault="00374898" w:rsidP="00374898">
      <w:pPr>
        <w:rPr>
          <w:sz w:val="22"/>
          <w:szCs w:val="22"/>
          <w:u w:val="single"/>
          <w:lang w:val="sk-SK"/>
        </w:rPr>
      </w:pPr>
    </w:p>
    <w:p w14:paraId="1B65A60D" w14:textId="77777777" w:rsidR="00374898" w:rsidRPr="00EB5AA1" w:rsidRDefault="00374898" w:rsidP="00374898">
      <w:pPr>
        <w:rPr>
          <w:sz w:val="22"/>
          <w:szCs w:val="22"/>
          <w:u w:val="single"/>
          <w:lang w:val="sk-SK"/>
        </w:rPr>
      </w:pPr>
      <w:r w:rsidRPr="00EB5AA1">
        <w:rPr>
          <w:sz w:val="22"/>
          <w:szCs w:val="22"/>
          <w:u w:val="single"/>
          <w:lang w:val="sk-SK"/>
        </w:rPr>
        <w:t>Veľmi časté</w:t>
      </w:r>
    </w:p>
    <w:p w14:paraId="259FF88C" w14:textId="77777777" w:rsidR="00374898" w:rsidRPr="00EB5AA1" w:rsidRDefault="00374898" w:rsidP="00374898">
      <w:pPr>
        <w:rPr>
          <w:sz w:val="22"/>
          <w:szCs w:val="22"/>
          <w:lang w:val="sk-SK"/>
        </w:rPr>
      </w:pPr>
      <w:proofErr w:type="spellStart"/>
      <w:r w:rsidRPr="00EB5AA1">
        <w:rPr>
          <w:sz w:val="22"/>
          <w:szCs w:val="22"/>
          <w:lang w:val="sk-SK"/>
        </w:rPr>
        <w:t>Intersticiálna</w:t>
      </w:r>
      <w:proofErr w:type="spellEnd"/>
      <w:r w:rsidRPr="00EB5AA1">
        <w:rPr>
          <w:sz w:val="22"/>
          <w:szCs w:val="22"/>
          <w:lang w:val="sk-SK"/>
        </w:rPr>
        <w:t xml:space="preserve"> pneumónia, pľúcna </w:t>
      </w:r>
      <w:proofErr w:type="spellStart"/>
      <w:r w:rsidRPr="00EB5AA1">
        <w:rPr>
          <w:sz w:val="22"/>
          <w:szCs w:val="22"/>
          <w:lang w:val="sk-SK"/>
        </w:rPr>
        <w:t>fibróza</w:t>
      </w:r>
      <w:proofErr w:type="spellEnd"/>
      <w:r w:rsidRPr="00EB5AA1">
        <w:rPr>
          <w:sz w:val="22"/>
          <w:szCs w:val="22"/>
          <w:lang w:val="sk-SK"/>
        </w:rPr>
        <w:t xml:space="preserve"> </w:t>
      </w:r>
    </w:p>
    <w:p w14:paraId="050ED2B4" w14:textId="77777777" w:rsidR="00374898" w:rsidRPr="00EB5AA1" w:rsidRDefault="00374898" w:rsidP="00374898">
      <w:pPr>
        <w:rPr>
          <w:sz w:val="22"/>
          <w:szCs w:val="22"/>
          <w:lang w:val="sk-SK"/>
        </w:rPr>
      </w:pPr>
    </w:p>
    <w:p w14:paraId="24B5ED94" w14:textId="77777777" w:rsidR="00374898" w:rsidRPr="00BB6D58" w:rsidRDefault="00374898" w:rsidP="00374898">
      <w:pPr>
        <w:keepNext/>
        <w:keepLines/>
        <w:rPr>
          <w:i/>
          <w:sz w:val="22"/>
          <w:szCs w:val="22"/>
          <w:lang w:val="sk-SK"/>
        </w:rPr>
      </w:pPr>
      <w:r w:rsidRPr="00BB6D58">
        <w:rPr>
          <w:i/>
          <w:sz w:val="22"/>
          <w:szCs w:val="22"/>
          <w:lang w:val="sk-SK"/>
        </w:rPr>
        <w:t xml:space="preserve">Poruchy </w:t>
      </w:r>
      <w:proofErr w:type="spellStart"/>
      <w:r w:rsidRPr="00BB6D58">
        <w:rPr>
          <w:i/>
          <w:sz w:val="22"/>
          <w:szCs w:val="22"/>
          <w:lang w:val="sk-SK"/>
        </w:rPr>
        <w:t>gastrointestinálneho</w:t>
      </w:r>
      <w:proofErr w:type="spellEnd"/>
      <w:r w:rsidRPr="00BB6D58">
        <w:rPr>
          <w:i/>
          <w:sz w:val="22"/>
          <w:szCs w:val="22"/>
          <w:lang w:val="sk-SK"/>
        </w:rPr>
        <w:t xml:space="preserve"> traktu</w:t>
      </w:r>
    </w:p>
    <w:p w14:paraId="7268045B" w14:textId="77777777" w:rsidR="00374898" w:rsidRPr="00EB5AA1" w:rsidRDefault="00374898" w:rsidP="00374898">
      <w:pPr>
        <w:keepNext/>
        <w:keepLines/>
        <w:rPr>
          <w:i/>
          <w:sz w:val="22"/>
          <w:szCs w:val="22"/>
          <w:lang w:val="sk-SK"/>
        </w:rPr>
      </w:pPr>
    </w:p>
    <w:p w14:paraId="1B7BFCBD" w14:textId="77777777" w:rsidR="00374898" w:rsidRPr="00EB5AA1" w:rsidRDefault="00374898" w:rsidP="00374898">
      <w:pPr>
        <w:keepNext/>
        <w:keepLines/>
        <w:rPr>
          <w:sz w:val="22"/>
          <w:szCs w:val="22"/>
          <w:u w:val="single"/>
          <w:lang w:val="sk-SK"/>
        </w:rPr>
      </w:pPr>
      <w:r w:rsidRPr="00EB5AA1">
        <w:rPr>
          <w:sz w:val="22"/>
          <w:szCs w:val="22"/>
          <w:u w:val="single"/>
          <w:lang w:val="sk-SK"/>
        </w:rPr>
        <w:t>Veľmi časté</w:t>
      </w:r>
    </w:p>
    <w:p w14:paraId="7E9BA4DD" w14:textId="77777777" w:rsidR="00374898" w:rsidRPr="00EB5AA1" w:rsidRDefault="00374898" w:rsidP="00374898">
      <w:pPr>
        <w:keepNext/>
        <w:keepLines/>
        <w:rPr>
          <w:sz w:val="22"/>
          <w:szCs w:val="22"/>
          <w:u w:val="single"/>
          <w:lang w:val="sk-SK"/>
        </w:rPr>
      </w:pPr>
      <w:r w:rsidRPr="00EB5AA1">
        <w:rPr>
          <w:sz w:val="22"/>
          <w:szCs w:val="22"/>
          <w:lang w:val="sk-SK"/>
        </w:rPr>
        <w:t xml:space="preserve">Nauzea, zvracanie, zápal slizníc, </w:t>
      </w:r>
      <w:proofErr w:type="spellStart"/>
      <w:r w:rsidRPr="00EB5AA1">
        <w:rPr>
          <w:sz w:val="22"/>
          <w:szCs w:val="22"/>
          <w:lang w:val="sk-SK"/>
        </w:rPr>
        <w:t>stomatitída</w:t>
      </w:r>
      <w:proofErr w:type="spellEnd"/>
      <w:r w:rsidRPr="00EB5AA1">
        <w:rPr>
          <w:sz w:val="22"/>
          <w:szCs w:val="22"/>
          <w:lang w:val="sk-SK"/>
        </w:rPr>
        <w:t xml:space="preserve">, </w:t>
      </w:r>
      <w:proofErr w:type="spellStart"/>
      <w:r w:rsidRPr="00EB5AA1">
        <w:rPr>
          <w:sz w:val="22"/>
          <w:szCs w:val="22"/>
          <w:lang w:val="sk-SK"/>
        </w:rPr>
        <w:t>ulcerácia</w:t>
      </w:r>
      <w:proofErr w:type="spellEnd"/>
      <w:r w:rsidRPr="00EB5AA1">
        <w:rPr>
          <w:sz w:val="22"/>
          <w:szCs w:val="22"/>
          <w:lang w:val="sk-SK"/>
        </w:rPr>
        <w:t xml:space="preserve"> slizníc, znížená chuť k jedlu, úbytok hmotnosti</w:t>
      </w:r>
    </w:p>
    <w:p w14:paraId="3410BA0E" w14:textId="77777777" w:rsidR="00374898" w:rsidRPr="00EB5AA1" w:rsidRDefault="00374898" w:rsidP="00374898">
      <w:pPr>
        <w:rPr>
          <w:sz w:val="22"/>
          <w:szCs w:val="22"/>
          <w:lang w:val="sk-SK"/>
        </w:rPr>
      </w:pPr>
    </w:p>
    <w:p w14:paraId="00BE8A06" w14:textId="77777777" w:rsidR="00374898" w:rsidRPr="00BB6D58" w:rsidRDefault="00374898" w:rsidP="00374898">
      <w:pPr>
        <w:rPr>
          <w:i/>
          <w:sz w:val="22"/>
          <w:szCs w:val="22"/>
          <w:lang w:val="sk-SK"/>
        </w:rPr>
      </w:pPr>
      <w:r w:rsidRPr="00BB6D58">
        <w:rPr>
          <w:i/>
          <w:sz w:val="22"/>
          <w:szCs w:val="22"/>
          <w:lang w:val="sk-SK"/>
        </w:rPr>
        <w:t>Poruchy kože a podkožného tkaniva</w:t>
      </w:r>
    </w:p>
    <w:p w14:paraId="28C1C0FA" w14:textId="77777777" w:rsidR="00374898" w:rsidRPr="00EB5AA1" w:rsidRDefault="00374898" w:rsidP="00374898">
      <w:pPr>
        <w:rPr>
          <w:sz w:val="22"/>
          <w:szCs w:val="22"/>
          <w:u w:val="single"/>
          <w:lang w:val="sk-SK"/>
        </w:rPr>
      </w:pPr>
    </w:p>
    <w:p w14:paraId="2C150486" w14:textId="77777777" w:rsidR="00374898" w:rsidRPr="00EB5AA1" w:rsidRDefault="00374898" w:rsidP="00374898">
      <w:pPr>
        <w:rPr>
          <w:sz w:val="22"/>
          <w:szCs w:val="22"/>
          <w:u w:val="single"/>
          <w:lang w:val="sk-SK"/>
        </w:rPr>
      </w:pPr>
      <w:r w:rsidRPr="00EB5AA1">
        <w:rPr>
          <w:sz w:val="22"/>
          <w:szCs w:val="22"/>
          <w:u w:val="single"/>
          <w:lang w:val="sk-SK"/>
        </w:rPr>
        <w:t>Veľmi časté</w:t>
      </w:r>
    </w:p>
    <w:p w14:paraId="3D5B5585" w14:textId="77777777" w:rsidR="00374898" w:rsidRPr="00EB5AA1" w:rsidRDefault="00374898" w:rsidP="00374898">
      <w:pPr>
        <w:rPr>
          <w:sz w:val="22"/>
          <w:szCs w:val="22"/>
          <w:lang w:val="sk-SK"/>
        </w:rPr>
      </w:pPr>
      <w:proofErr w:type="spellStart"/>
      <w:r w:rsidRPr="00EB5AA1">
        <w:rPr>
          <w:sz w:val="22"/>
          <w:szCs w:val="22"/>
          <w:lang w:val="sk-SK"/>
        </w:rPr>
        <w:t>Polieková</w:t>
      </w:r>
      <w:proofErr w:type="spellEnd"/>
      <w:r w:rsidRPr="00EB5AA1">
        <w:rPr>
          <w:sz w:val="22"/>
          <w:szCs w:val="22"/>
          <w:lang w:val="sk-SK"/>
        </w:rPr>
        <w:t xml:space="preserve"> dermatitída (</w:t>
      </w:r>
      <w:proofErr w:type="spellStart"/>
      <w:r w:rsidRPr="00EB5AA1">
        <w:rPr>
          <w:sz w:val="22"/>
          <w:szCs w:val="22"/>
          <w:lang w:val="sk-SK"/>
        </w:rPr>
        <w:t>flagelácia</w:t>
      </w:r>
      <w:proofErr w:type="spellEnd"/>
      <w:r w:rsidRPr="00EB5AA1">
        <w:rPr>
          <w:sz w:val="22"/>
          <w:szCs w:val="22"/>
          <w:lang w:val="sk-SK"/>
        </w:rPr>
        <w:t xml:space="preserve">), hypertrofia kože, </w:t>
      </w:r>
      <w:proofErr w:type="spellStart"/>
      <w:r w:rsidRPr="00EB5AA1">
        <w:rPr>
          <w:sz w:val="22"/>
          <w:szCs w:val="22"/>
          <w:lang w:val="sk-SK"/>
        </w:rPr>
        <w:t>hyperkeratóza</w:t>
      </w:r>
      <w:proofErr w:type="spellEnd"/>
      <w:r w:rsidRPr="00EB5AA1">
        <w:rPr>
          <w:sz w:val="22"/>
          <w:szCs w:val="22"/>
          <w:lang w:val="sk-SK"/>
        </w:rPr>
        <w:t xml:space="preserve">, </w:t>
      </w:r>
      <w:proofErr w:type="spellStart"/>
      <w:r w:rsidRPr="00EB5AA1">
        <w:rPr>
          <w:sz w:val="22"/>
          <w:szCs w:val="22"/>
          <w:lang w:val="sk-SK"/>
        </w:rPr>
        <w:t>erytém</w:t>
      </w:r>
      <w:proofErr w:type="spellEnd"/>
      <w:r w:rsidRPr="00EB5AA1">
        <w:rPr>
          <w:sz w:val="22"/>
          <w:szCs w:val="22"/>
          <w:lang w:val="sk-SK"/>
        </w:rPr>
        <w:t xml:space="preserve">, miestny opuch (končeky prstov a miesta citlivé na tlak), vyrážky, strie, pľuzgiere, zmeny nechtov, </w:t>
      </w:r>
      <w:proofErr w:type="spellStart"/>
      <w:r w:rsidRPr="00EB5AA1">
        <w:rPr>
          <w:sz w:val="22"/>
          <w:szCs w:val="22"/>
          <w:lang w:val="sk-SK"/>
        </w:rPr>
        <w:t>alopécia</w:t>
      </w:r>
      <w:proofErr w:type="spellEnd"/>
      <w:r w:rsidRPr="00EB5AA1">
        <w:rPr>
          <w:sz w:val="22"/>
          <w:szCs w:val="22"/>
          <w:lang w:val="sk-SK"/>
        </w:rPr>
        <w:t xml:space="preserve">. </w:t>
      </w:r>
    </w:p>
    <w:p w14:paraId="73ECA06C" w14:textId="77777777" w:rsidR="00374898" w:rsidRPr="00EB5AA1" w:rsidRDefault="00374898" w:rsidP="00374898">
      <w:pPr>
        <w:rPr>
          <w:sz w:val="22"/>
          <w:szCs w:val="22"/>
          <w:lang w:val="sk-SK"/>
        </w:rPr>
      </w:pPr>
    </w:p>
    <w:p w14:paraId="57D3544E" w14:textId="77777777" w:rsidR="00374898" w:rsidRPr="00EB5AA1" w:rsidRDefault="00374898" w:rsidP="00374898">
      <w:pPr>
        <w:rPr>
          <w:sz w:val="22"/>
          <w:szCs w:val="22"/>
          <w:u w:val="single"/>
          <w:lang w:val="sk-SK"/>
        </w:rPr>
      </w:pPr>
      <w:r w:rsidRPr="00EB5AA1">
        <w:rPr>
          <w:sz w:val="22"/>
          <w:szCs w:val="22"/>
          <w:u w:val="single"/>
          <w:lang w:val="sk-SK"/>
        </w:rPr>
        <w:t>Neznáme</w:t>
      </w:r>
    </w:p>
    <w:p w14:paraId="615624F4" w14:textId="77777777" w:rsidR="00374898" w:rsidRPr="00EB5AA1" w:rsidRDefault="00374898" w:rsidP="00374898">
      <w:pPr>
        <w:rPr>
          <w:sz w:val="22"/>
          <w:szCs w:val="22"/>
          <w:lang w:val="sk-SK"/>
        </w:rPr>
      </w:pPr>
      <w:proofErr w:type="spellStart"/>
      <w:r w:rsidRPr="00EB5AA1">
        <w:rPr>
          <w:sz w:val="22"/>
          <w:szCs w:val="22"/>
          <w:lang w:val="sk-SK"/>
        </w:rPr>
        <w:t>Sklerodermia</w:t>
      </w:r>
      <w:proofErr w:type="spellEnd"/>
    </w:p>
    <w:p w14:paraId="40D47EB4" w14:textId="77777777" w:rsidR="00374898" w:rsidRPr="00EB5AA1" w:rsidRDefault="00374898" w:rsidP="00374898">
      <w:pPr>
        <w:rPr>
          <w:sz w:val="22"/>
          <w:szCs w:val="22"/>
          <w:lang w:val="sk-SK"/>
        </w:rPr>
      </w:pPr>
    </w:p>
    <w:p w14:paraId="330DA5F8" w14:textId="77777777" w:rsidR="00374898" w:rsidRPr="00BB6D58" w:rsidRDefault="00374898" w:rsidP="00374898">
      <w:pPr>
        <w:rPr>
          <w:i/>
          <w:sz w:val="22"/>
          <w:szCs w:val="22"/>
          <w:lang w:val="sk-SK"/>
        </w:rPr>
      </w:pPr>
      <w:r w:rsidRPr="00BB6D58">
        <w:rPr>
          <w:i/>
          <w:sz w:val="22"/>
          <w:szCs w:val="22"/>
          <w:lang w:val="sk-SK"/>
        </w:rPr>
        <w:t>Poruchy kostrovej a svalovej sústavy a spojivového tkaniva</w:t>
      </w:r>
    </w:p>
    <w:p w14:paraId="2DA4E81F" w14:textId="77777777" w:rsidR="00374898" w:rsidRPr="00EB5AA1" w:rsidRDefault="00374898" w:rsidP="00374898">
      <w:pPr>
        <w:rPr>
          <w:sz w:val="22"/>
          <w:szCs w:val="22"/>
          <w:lang w:val="sk-SK"/>
        </w:rPr>
      </w:pPr>
    </w:p>
    <w:p w14:paraId="2A69BC9D" w14:textId="77777777" w:rsidR="00374898" w:rsidRPr="00EB5AA1" w:rsidRDefault="00374898" w:rsidP="00374898">
      <w:pPr>
        <w:rPr>
          <w:sz w:val="22"/>
          <w:szCs w:val="22"/>
          <w:u w:val="single"/>
          <w:lang w:val="sk-SK"/>
        </w:rPr>
      </w:pPr>
      <w:r w:rsidRPr="00EB5AA1">
        <w:rPr>
          <w:sz w:val="22"/>
          <w:szCs w:val="22"/>
          <w:u w:val="single"/>
          <w:lang w:val="sk-SK"/>
        </w:rPr>
        <w:t>Neznáme</w:t>
      </w:r>
    </w:p>
    <w:p w14:paraId="35759439" w14:textId="77777777" w:rsidR="00374898" w:rsidRPr="00EB5AA1" w:rsidRDefault="00374898" w:rsidP="00374898">
      <w:pPr>
        <w:rPr>
          <w:sz w:val="22"/>
          <w:szCs w:val="22"/>
          <w:lang w:val="sk-SK"/>
        </w:rPr>
      </w:pPr>
      <w:proofErr w:type="spellStart"/>
      <w:r w:rsidRPr="00EB5AA1">
        <w:rPr>
          <w:sz w:val="22"/>
          <w:szCs w:val="22"/>
          <w:lang w:val="sk-SK"/>
        </w:rPr>
        <w:t>Myalgia</w:t>
      </w:r>
      <w:proofErr w:type="spellEnd"/>
      <w:r w:rsidRPr="00EB5AA1">
        <w:rPr>
          <w:sz w:val="22"/>
          <w:szCs w:val="22"/>
          <w:lang w:val="sk-SK"/>
        </w:rPr>
        <w:t>, bolesť svalov a končatín</w:t>
      </w:r>
    </w:p>
    <w:p w14:paraId="7AC42997" w14:textId="77777777" w:rsidR="00374898" w:rsidRPr="00EB5AA1" w:rsidRDefault="00374898" w:rsidP="00374898">
      <w:pPr>
        <w:rPr>
          <w:sz w:val="22"/>
          <w:szCs w:val="22"/>
          <w:lang w:val="sk-SK"/>
        </w:rPr>
      </w:pPr>
    </w:p>
    <w:p w14:paraId="527C92B8" w14:textId="77777777" w:rsidR="00374898" w:rsidRPr="00BB6D58" w:rsidRDefault="00374898" w:rsidP="00374898">
      <w:pPr>
        <w:rPr>
          <w:i/>
          <w:sz w:val="22"/>
          <w:szCs w:val="22"/>
          <w:lang w:val="sk-SK"/>
        </w:rPr>
      </w:pPr>
      <w:r w:rsidRPr="00BB6D58">
        <w:rPr>
          <w:i/>
          <w:sz w:val="22"/>
          <w:szCs w:val="22"/>
          <w:lang w:val="sk-SK"/>
        </w:rPr>
        <w:t>Poruchy reprodukčného systému a prsníkov</w:t>
      </w:r>
    </w:p>
    <w:p w14:paraId="10158945" w14:textId="77777777" w:rsidR="00374898" w:rsidRPr="00EB5AA1" w:rsidRDefault="00374898" w:rsidP="00374898">
      <w:pPr>
        <w:rPr>
          <w:sz w:val="22"/>
          <w:szCs w:val="22"/>
          <w:lang w:val="sk-SK"/>
        </w:rPr>
      </w:pPr>
    </w:p>
    <w:p w14:paraId="253FC92D" w14:textId="77777777" w:rsidR="00374898" w:rsidRPr="00EB5AA1" w:rsidRDefault="00374898" w:rsidP="00374898">
      <w:pPr>
        <w:rPr>
          <w:sz w:val="22"/>
          <w:szCs w:val="22"/>
          <w:u w:val="single"/>
          <w:lang w:val="sk-SK"/>
        </w:rPr>
      </w:pPr>
      <w:r w:rsidRPr="00EB5AA1">
        <w:rPr>
          <w:sz w:val="22"/>
          <w:szCs w:val="22"/>
          <w:u w:val="single"/>
          <w:lang w:val="sk-SK"/>
        </w:rPr>
        <w:t>Neznáme</w:t>
      </w:r>
    </w:p>
    <w:p w14:paraId="1B15842A" w14:textId="77777777" w:rsidR="00374898" w:rsidRPr="00EB5AA1" w:rsidRDefault="00374898" w:rsidP="00374898">
      <w:pPr>
        <w:rPr>
          <w:sz w:val="22"/>
          <w:szCs w:val="22"/>
          <w:lang w:val="sk-SK"/>
        </w:rPr>
      </w:pPr>
      <w:r w:rsidRPr="00EB5AA1">
        <w:rPr>
          <w:sz w:val="22"/>
          <w:szCs w:val="22"/>
          <w:lang w:val="sk-SK"/>
        </w:rPr>
        <w:t xml:space="preserve">Abnormálna </w:t>
      </w:r>
      <w:proofErr w:type="spellStart"/>
      <w:r w:rsidRPr="00EB5AA1">
        <w:rPr>
          <w:sz w:val="22"/>
          <w:szCs w:val="22"/>
          <w:lang w:val="sk-SK"/>
        </w:rPr>
        <w:t>spermatozoa</w:t>
      </w:r>
      <w:proofErr w:type="spellEnd"/>
      <w:r w:rsidRPr="00EB5AA1">
        <w:rPr>
          <w:sz w:val="22"/>
          <w:szCs w:val="22"/>
          <w:lang w:val="sk-SK"/>
        </w:rPr>
        <w:t xml:space="preserve"> </w:t>
      </w:r>
    </w:p>
    <w:p w14:paraId="237BF74E" w14:textId="77777777" w:rsidR="00374898" w:rsidRPr="00EB5AA1" w:rsidRDefault="00374898" w:rsidP="00374898">
      <w:pPr>
        <w:rPr>
          <w:sz w:val="22"/>
          <w:szCs w:val="22"/>
          <w:lang w:val="sk-SK"/>
        </w:rPr>
      </w:pPr>
    </w:p>
    <w:p w14:paraId="65CB4014" w14:textId="77777777" w:rsidR="00374898" w:rsidRPr="00BB6D58" w:rsidRDefault="00374898" w:rsidP="00374898">
      <w:pPr>
        <w:rPr>
          <w:i/>
          <w:sz w:val="22"/>
          <w:szCs w:val="22"/>
          <w:lang w:val="sk-SK"/>
        </w:rPr>
      </w:pPr>
      <w:r w:rsidRPr="00BB6D58">
        <w:rPr>
          <w:i/>
          <w:sz w:val="22"/>
          <w:szCs w:val="22"/>
          <w:lang w:val="sk-SK"/>
        </w:rPr>
        <w:t>Celkové poruchy a reakcie v mieste podania</w:t>
      </w:r>
    </w:p>
    <w:p w14:paraId="416629D0" w14:textId="77777777" w:rsidR="00374898" w:rsidRPr="00EB5AA1" w:rsidRDefault="00374898" w:rsidP="00374898">
      <w:pPr>
        <w:rPr>
          <w:sz w:val="22"/>
          <w:szCs w:val="22"/>
          <w:u w:val="single"/>
          <w:lang w:val="sk-SK"/>
        </w:rPr>
      </w:pPr>
    </w:p>
    <w:p w14:paraId="075EF5A5" w14:textId="77777777" w:rsidR="00374898" w:rsidRPr="00EB5AA1" w:rsidRDefault="00374898" w:rsidP="00374898">
      <w:pPr>
        <w:rPr>
          <w:sz w:val="22"/>
          <w:szCs w:val="22"/>
          <w:u w:val="single"/>
          <w:lang w:val="sk-SK"/>
        </w:rPr>
      </w:pPr>
      <w:r w:rsidRPr="00EB5AA1">
        <w:rPr>
          <w:sz w:val="22"/>
          <w:szCs w:val="22"/>
          <w:u w:val="single"/>
          <w:lang w:val="sk-SK"/>
        </w:rPr>
        <w:t>Časté</w:t>
      </w:r>
    </w:p>
    <w:p w14:paraId="61026FB0" w14:textId="77777777" w:rsidR="00374898" w:rsidRPr="00EB5AA1" w:rsidRDefault="00374898" w:rsidP="00374898">
      <w:pPr>
        <w:rPr>
          <w:sz w:val="22"/>
          <w:szCs w:val="22"/>
          <w:lang w:val="sk-SK"/>
        </w:rPr>
      </w:pPr>
      <w:r w:rsidRPr="00EB5AA1">
        <w:rPr>
          <w:sz w:val="22"/>
          <w:szCs w:val="22"/>
          <w:lang w:val="sk-SK"/>
        </w:rPr>
        <w:t xml:space="preserve">Horúčka </w:t>
      </w:r>
    </w:p>
    <w:p w14:paraId="3583AE58" w14:textId="77777777" w:rsidR="00374898" w:rsidRPr="00BB6D58" w:rsidRDefault="00374898" w:rsidP="00374898">
      <w:pPr>
        <w:rPr>
          <w:i/>
          <w:sz w:val="22"/>
          <w:szCs w:val="22"/>
          <w:lang w:val="sk-SK"/>
        </w:rPr>
      </w:pPr>
    </w:p>
    <w:p w14:paraId="63E6867D" w14:textId="77777777" w:rsidR="00D12694" w:rsidRPr="005F07D2" w:rsidRDefault="00D12694" w:rsidP="00262C04">
      <w:pPr>
        <w:rPr>
          <w:sz w:val="22"/>
          <w:szCs w:val="22"/>
          <w:u w:val="single"/>
          <w:lang w:val="sk-SK"/>
        </w:rPr>
      </w:pPr>
      <w:r w:rsidRPr="005F07D2">
        <w:rPr>
          <w:sz w:val="22"/>
          <w:szCs w:val="22"/>
          <w:u w:val="single"/>
          <w:lang w:val="sk-SK"/>
        </w:rPr>
        <w:t>Zriedkavé</w:t>
      </w:r>
    </w:p>
    <w:p w14:paraId="17C44608" w14:textId="77777777" w:rsidR="00374898" w:rsidRPr="00EB5AA1" w:rsidRDefault="00374898" w:rsidP="00374898">
      <w:pPr>
        <w:rPr>
          <w:sz w:val="22"/>
          <w:szCs w:val="22"/>
          <w:lang w:val="sk-SK"/>
        </w:rPr>
      </w:pPr>
      <w:r w:rsidRPr="00EB5AA1">
        <w:rPr>
          <w:sz w:val="22"/>
          <w:szCs w:val="22"/>
          <w:lang w:val="sk-SK"/>
        </w:rPr>
        <w:t xml:space="preserve">Po </w:t>
      </w:r>
      <w:proofErr w:type="spellStart"/>
      <w:r w:rsidRPr="00EB5AA1">
        <w:rPr>
          <w:sz w:val="22"/>
          <w:szCs w:val="22"/>
          <w:lang w:val="sk-SK"/>
        </w:rPr>
        <w:t>intrakavitárnom</w:t>
      </w:r>
      <w:proofErr w:type="spellEnd"/>
      <w:r w:rsidRPr="00EB5AA1">
        <w:rPr>
          <w:sz w:val="22"/>
          <w:szCs w:val="22"/>
          <w:lang w:val="sk-SK"/>
        </w:rPr>
        <w:t xml:space="preserve"> podaní</w:t>
      </w:r>
      <w:r>
        <w:rPr>
          <w:sz w:val="22"/>
          <w:szCs w:val="22"/>
          <w:lang w:val="sk-SK"/>
        </w:rPr>
        <w:t>: h</w:t>
      </w:r>
      <w:r w:rsidRPr="00EB5AA1">
        <w:rPr>
          <w:sz w:val="22"/>
          <w:szCs w:val="22"/>
          <w:lang w:val="sk-SK"/>
        </w:rPr>
        <w:t xml:space="preserve">ypotenzia, </w:t>
      </w:r>
      <w:proofErr w:type="spellStart"/>
      <w:r w:rsidRPr="00EB5AA1">
        <w:rPr>
          <w:sz w:val="22"/>
          <w:szCs w:val="22"/>
          <w:lang w:val="sk-SK"/>
        </w:rPr>
        <w:t>hyperpyrexia</w:t>
      </w:r>
      <w:proofErr w:type="spellEnd"/>
      <w:r w:rsidRPr="00EB5AA1">
        <w:rPr>
          <w:sz w:val="22"/>
          <w:szCs w:val="22"/>
          <w:lang w:val="sk-SK"/>
        </w:rPr>
        <w:t xml:space="preserve"> </w:t>
      </w:r>
    </w:p>
    <w:p w14:paraId="5FBF4F23" w14:textId="77777777" w:rsidR="00374898" w:rsidRPr="00EB5AA1" w:rsidRDefault="00374898" w:rsidP="00374898">
      <w:pPr>
        <w:rPr>
          <w:sz w:val="22"/>
          <w:szCs w:val="22"/>
          <w:lang w:val="sk-SK"/>
        </w:rPr>
      </w:pPr>
    </w:p>
    <w:p w14:paraId="494BCE53" w14:textId="77777777" w:rsidR="00374898" w:rsidRPr="00EB5AA1" w:rsidRDefault="00374898" w:rsidP="00374898">
      <w:pPr>
        <w:rPr>
          <w:sz w:val="22"/>
          <w:szCs w:val="22"/>
          <w:u w:val="single"/>
          <w:lang w:val="sk-SK"/>
        </w:rPr>
      </w:pPr>
      <w:r w:rsidRPr="00EB5AA1">
        <w:rPr>
          <w:sz w:val="22"/>
          <w:szCs w:val="22"/>
          <w:u w:val="single"/>
          <w:lang w:val="sk-SK"/>
        </w:rPr>
        <w:t>Neznáme</w:t>
      </w:r>
    </w:p>
    <w:p w14:paraId="7C373378" w14:textId="77777777" w:rsidR="00374898" w:rsidRPr="00EB5AA1" w:rsidRDefault="00374898" w:rsidP="00374898">
      <w:pPr>
        <w:rPr>
          <w:sz w:val="22"/>
          <w:szCs w:val="22"/>
          <w:lang w:val="sk-SK"/>
        </w:rPr>
      </w:pPr>
      <w:r w:rsidRPr="00EB5AA1">
        <w:rPr>
          <w:sz w:val="22"/>
          <w:szCs w:val="22"/>
          <w:lang w:val="sk-SK"/>
        </w:rPr>
        <w:t>Bolesť v mieste vpichu, tromboflebitída v mieste infúzie</w:t>
      </w:r>
    </w:p>
    <w:p w14:paraId="6CBE8351" w14:textId="77777777" w:rsidR="00374898" w:rsidRPr="00EB5AA1" w:rsidRDefault="00374898" w:rsidP="00374898">
      <w:pPr>
        <w:rPr>
          <w:sz w:val="22"/>
          <w:szCs w:val="22"/>
          <w:lang w:val="sk-SK"/>
        </w:rPr>
      </w:pPr>
    </w:p>
    <w:p w14:paraId="63C0BCE0" w14:textId="77777777" w:rsidR="00374898" w:rsidRPr="00EB5AA1" w:rsidRDefault="00374898" w:rsidP="00374898">
      <w:pPr>
        <w:rPr>
          <w:sz w:val="22"/>
          <w:szCs w:val="22"/>
          <w:lang w:val="sk-SK"/>
        </w:rPr>
      </w:pPr>
      <w:r w:rsidRPr="00EB5AA1">
        <w:rPr>
          <w:b/>
          <w:sz w:val="22"/>
          <w:szCs w:val="22"/>
          <w:lang w:val="sk-SK"/>
        </w:rPr>
        <w:t>Poruchy krvi a lymfatického systému</w:t>
      </w:r>
    </w:p>
    <w:p w14:paraId="75CFFE0F" w14:textId="77777777" w:rsidR="00E20160" w:rsidRDefault="00E20160" w:rsidP="00374898">
      <w:pPr>
        <w:rPr>
          <w:sz w:val="22"/>
          <w:szCs w:val="22"/>
          <w:lang w:val="sk-SK"/>
        </w:rPr>
      </w:pPr>
    </w:p>
    <w:p w14:paraId="47527864" w14:textId="77777777" w:rsidR="00E20160" w:rsidRDefault="00E20160" w:rsidP="00374898">
      <w:pPr>
        <w:rPr>
          <w:sz w:val="22"/>
          <w:szCs w:val="22"/>
          <w:lang w:val="sk-SK"/>
        </w:rPr>
      </w:pPr>
    </w:p>
    <w:p w14:paraId="741AC05A"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vyvoláva miernu </w:t>
      </w:r>
      <w:proofErr w:type="spellStart"/>
      <w:r w:rsidRPr="00EB5AA1">
        <w:rPr>
          <w:sz w:val="22"/>
          <w:szCs w:val="22"/>
          <w:lang w:val="sk-SK"/>
        </w:rPr>
        <w:t>supresiu</w:t>
      </w:r>
      <w:proofErr w:type="spellEnd"/>
      <w:r w:rsidRPr="00EB5AA1">
        <w:rPr>
          <w:sz w:val="22"/>
          <w:szCs w:val="22"/>
          <w:lang w:val="sk-SK"/>
        </w:rPr>
        <w:t xml:space="preserve"> kostnej drene. Môže sa objaviť mierna </w:t>
      </w:r>
      <w:proofErr w:type="spellStart"/>
      <w:r w:rsidRPr="00EB5AA1">
        <w:rPr>
          <w:sz w:val="22"/>
          <w:szCs w:val="22"/>
          <w:lang w:val="sk-SK"/>
        </w:rPr>
        <w:t>trombopénia</w:t>
      </w:r>
      <w:proofErr w:type="spellEnd"/>
      <w:r w:rsidRPr="00EB5AA1">
        <w:rPr>
          <w:sz w:val="22"/>
          <w:szCs w:val="22"/>
          <w:lang w:val="sk-SK"/>
        </w:rPr>
        <w:t xml:space="preserve">, ktorá po ukončení liečby rýchlo </w:t>
      </w:r>
      <w:proofErr w:type="spellStart"/>
      <w:r w:rsidRPr="00EB5AA1">
        <w:rPr>
          <w:sz w:val="22"/>
          <w:szCs w:val="22"/>
          <w:lang w:val="sk-SK"/>
        </w:rPr>
        <w:t>odoznie</w:t>
      </w:r>
      <w:proofErr w:type="spellEnd"/>
      <w:r w:rsidRPr="00EB5AA1">
        <w:rPr>
          <w:sz w:val="22"/>
          <w:szCs w:val="22"/>
          <w:lang w:val="sk-SK"/>
        </w:rPr>
        <w:t>. Tá je dôsledkom zvýšenej spotreby trombocytov a nemôže byť pripisovaná ich zníženej tvorbe.</w:t>
      </w:r>
    </w:p>
    <w:p w14:paraId="41523AE0" w14:textId="77777777" w:rsidR="00374898" w:rsidRPr="00EB5AA1" w:rsidRDefault="00374898" w:rsidP="00374898">
      <w:pPr>
        <w:rPr>
          <w:sz w:val="22"/>
          <w:szCs w:val="22"/>
          <w:u w:val="single"/>
          <w:lang w:val="sk-SK"/>
        </w:rPr>
      </w:pPr>
    </w:p>
    <w:p w14:paraId="0AA978B9" w14:textId="77777777" w:rsidR="00374898" w:rsidRPr="00EB5AA1" w:rsidRDefault="00374898" w:rsidP="00374898">
      <w:pPr>
        <w:keepNext/>
        <w:keepLines/>
        <w:rPr>
          <w:sz w:val="22"/>
          <w:szCs w:val="22"/>
          <w:lang w:val="sk-SK"/>
        </w:rPr>
      </w:pPr>
      <w:r w:rsidRPr="00EB5AA1">
        <w:rPr>
          <w:b/>
          <w:sz w:val="22"/>
          <w:szCs w:val="22"/>
          <w:lang w:val="sk-SK"/>
        </w:rPr>
        <w:t>Poruchy imunitného systému</w:t>
      </w:r>
    </w:p>
    <w:p w14:paraId="2289006A" w14:textId="77777777" w:rsidR="00374898" w:rsidRPr="00EB5AA1" w:rsidRDefault="00374898" w:rsidP="00374898">
      <w:pPr>
        <w:keepNext/>
        <w:keepLines/>
        <w:rPr>
          <w:sz w:val="22"/>
          <w:szCs w:val="22"/>
          <w:lang w:val="sk-SK"/>
        </w:rPr>
      </w:pPr>
      <w:r w:rsidRPr="00EB5AA1">
        <w:rPr>
          <w:sz w:val="22"/>
          <w:szCs w:val="22"/>
          <w:lang w:val="sk-SK"/>
        </w:rPr>
        <w:t xml:space="preserve">Závažné </w:t>
      </w:r>
      <w:proofErr w:type="spellStart"/>
      <w:r w:rsidRPr="00EB5AA1">
        <w:rPr>
          <w:sz w:val="22"/>
          <w:szCs w:val="22"/>
          <w:lang w:val="sk-SK"/>
        </w:rPr>
        <w:t>hypersenzitívne</w:t>
      </w:r>
      <w:proofErr w:type="spellEnd"/>
      <w:r w:rsidRPr="00EB5AA1">
        <w:rPr>
          <w:sz w:val="22"/>
          <w:szCs w:val="22"/>
          <w:lang w:val="sk-SK"/>
        </w:rPr>
        <w:t>/</w:t>
      </w:r>
      <w:proofErr w:type="spellStart"/>
      <w:r w:rsidRPr="00EB5AA1">
        <w:rPr>
          <w:sz w:val="22"/>
          <w:szCs w:val="22"/>
          <w:lang w:val="sk-SK"/>
        </w:rPr>
        <w:t>idiosynkratické</w:t>
      </w:r>
      <w:proofErr w:type="spellEnd"/>
      <w:r w:rsidRPr="00EB5AA1">
        <w:rPr>
          <w:sz w:val="22"/>
          <w:szCs w:val="22"/>
          <w:lang w:val="sk-SK"/>
        </w:rPr>
        <w:t xml:space="preserve"> reakcie podobné klinickému obrazu </w:t>
      </w:r>
      <w:proofErr w:type="spellStart"/>
      <w:r w:rsidRPr="00EB5AA1">
        <w:rPr>
          <w:sz w:val="22"/>
          <w:szCs w:val="22"/>
          <w:lang w:val="sk-SK"/>
        </w:rPr>
        <w:t>anafylaxie</w:t>
      </w:r>
      <w:proofErr w:type="spellEnd"/>
      <w:r w:rsidRPr="00EB5AA1">
        <w:rPr>
          <w:sz w:val="22"/>
          <w:szCs w:val="22"/>
          <w:lang w:val="sk-SK"/>
        </w:rPr>
        <w:t xml:space="preserve"> boli pozorované približne u 1 % pacientov, hlavne u pacientov s </w:t>
      </w:r>
      <w:proofErr w:type="spellStart"/>
      <w:r w:rsidRPr="00EB5AA1">
        <w:rPr>
          <w:sz w:val="22"/>
          <w:szCs w:val="22"/>
          <w:lang w:val="sk-SK"/>
        </w:rPr>
        <w:t>lymfómom</w:t>
      </w:r>
      <w:proofErr w:type="spellEnd"/>
      <w:r w:rsidRPr="00EB5AA1">
        <w:rPr>
          <w:sz w:val="22"/>
          <w:szCs w:val="22"/>
          <w:lang w:val="sk-SK"/>
        </w:rPr>
        <w:t>.</w:t>
      </w:r>
    </w:p>
    <w:p w14:paraId="7CE1A69D" w14:textId="77777777" w:rsidR="00374898" w:rsidRPr="00EB5AA1" w:rsidRDefault="00374898" w:rsidP="00374898">
      <w:pPr>
        <w:keepNext/>
        <w:keepLines/>
        <w:rPr>
          <w:sz w:val="22"/>
          <w:szCs w:val="22"/>
          <w:lang w:val="sk-SK"/>
        </w:rPr>
      </w:pPr>
      <w:proofErr w:type="spellStart"/>
      <w:r w:rsidRPr="00EB5AA1">
        <w:rPr>
          <w:sz w:val="22"/>
          <w:szCs w:val="22"/>
          <w:lang w:val="sk-SK"/>
        </w:rPr>
        <w:t>Anafylaktické</w:t>
      </w:r>
      <w:proofErr w:type="spellEnd"/>
      <w:r w:rsidRPr="00EB5AA1">
        <w:rPr>
          <w:sz w:val="22"/>
          <w:szCs w:val="22"/>
          <w:lang w:val="sk-SK"/>
        </w:rPr>
        <w:t xml:space="preserve"> reakcie môžu byť okamžité alebo oneskorené o niekoľko hodín a obvykle </w:t>
      </w:r>
      <w:proofErr w:type="spellStart"/>
      <w:r w:rsidRPr="00EB5AA1">
        <w:rPr>
          <w:sz w:val="22"/>
          <w:szCs w:val="22"/>
          <w:lang w:val="sk-SK"/>
        </w:rPr>
        <w:t>se</w:t>
      </w:r>
      <w:proofErr w:type="spellEnd"/>
      <w:r w:rsidRPr="00EB5AA1">
        <w:rPr>
          <w:sz w:val="22"/>
          <w:szCs w:val="22"/>
          <w:lang w:val="sk-SK"/>
        </w:rPr>
        <w:t xml:space="preserve"> objavujú po podaní prvej alebo druhej dávky. Spočívajú v hypotenzii, duševnej zmätenosti, horúčke, zimnici, </w:t>
      </w:r>
      <w:proofErr w:type="spellStart"/>
      <w:r w:rsidRPr="00EB5AA1">
        <w:rPr>
          <w:sz w:val="22"/>
          <w:szCs w:val="22"/>
          <w:lang w:val="sk-SK"/>
        </w:rPr>
        <w:t>sípaní</w:t>
      </w:r>
      <w:proofErr w:type="spellEnd"/>
      <w:r w:rsidRPr="00EB5AA1">
        <w:rPr>
          <w:sz w:val="22"/>
          <w:szCs w:val="22"/>
          <w:lang w:val="sk-SK"/>
        </w:rPr>
        <w:t xml:space="preserve"> a môžu byť </w:t>
      </w:r>
      <w:proofErr w:type="spellStart"/>
      <w:r w:rsidRPr="00EB5AA1">
        <w:rPr>
          <w:sz w:val="22"/>
          <w:szCs w:val="22"/>
          <w:lang w:val="sk-SK"/>
        </w:rPr>
        <w:t>smrtelné</w:t>
      </w:r>
      <w:proofErr w:type="spellEnd"/>
      <w:r w:rsidRPr="00EB5AA1">
        <w:rPr>
          <w:sz w:val="22"/>
          <w:szCs w:val="22"/>
          <w:lang w:val="sk-SK"/>
        </w:rPr>
        <w:t xml:space="preserve">. Liečba je symptomatická a zahŕňa </w:t>
      </w:r>
      <w:proofErr w:type="spellStart"/>
      <w:r w:rsidRPr="00EB5AA1">
        <w:rPr>
          <w:sz w:val="22"/>
          <w:szCs w:val="22"/>
          <w:lang w:val="sk-SK"/>
        </w:rPr>
        <w:t>volumexpanziu</w:t>
      </w:r>
      <w:proofErr w:type="spellEnd"/>
      <w:r w:rsidRPr="00EB5AA1">
        <w:rPr>
          <w:sz w:val="22"/>
          <w:szCs w:val="22"/>
          <w:lang w:val="sk-SK"/>
        </w:rPr>
        <w:t xml:space="preserve">, lieky na zvýšenie tlaku, </w:t>
      </w:r>
      <w:proofErr w:type="spellStart"/>
      <w:r w:rsidRPr="00EB5AA1">
        <w:rPr>
          <w:sz w:val="22"/>
          <w:szCs w:val="22"/>
          <w:lang w:val="sk-SK"/>
        </w:rPr>
        <w:t>antihistaminiká</w:t>
      </w:r>
      <w:proofErr w:type="spellEnd"/>
      <w:r w:rsidRPr="00EB5AA1">
        <w:rPr>
          <w:sz w:val="22"/>
          <w:szCs w:val="22"/>
          <w:lang w:val="sk-SK"/>
        </w:rPr>
        <w:t xml:space="preserve"> a </w:t>
      </w:r>
      <w:proofErr w:type="spellStart"/>
      <w:r w:rsidRPr="00EB5AA1">
        <w:rPr>
          <w:sz w:val="22"/>
          <w:szCs w:val="22"/>
          <w:lang w:val="sk-SK"/>
        </w:rPr>
        <w:t>kortikosteroidy</w:t>
      </w:r>
      <w:proofErr w:type="spellEnd"/>
      <w:r w:rsidRPr="00EB5AA1">
        <w:rPr>
          <w:sz w:val="22"/>
          <w:szCs w:val="22"/>
          <w:lang w:val="sk-SK"/>
        </w:rPr>
        <w:t>.</w:t>
      </w:r>
    </w:p>
    <w:p w14:paraId="77C1D981" w14:textId="77777777" w:rsidR="00374898" w:rsidRPr="00EB5AA1" w:rsidRDefault="00374898" w:rsidP="00374898">
      <w:pPr>
        <w:rPr>
          <w:sz w:val="22"/>
          <w:szCs w:val="22"/>
          <w:lang w:val="sk-SK"/>
        </w:rPr>
      </w:pPr>
    </w:p>
    <w:p w14:paraId="62C22F75" w14:textId="77777777" w:rsidR="00374898" w:rsidRPr="00EB5AA1" w:rsidRDefault="00374898" w:rsidP="00374898">
      <w:pPr>
        <w:rPr>
          <w:sz w:val="22"/>
          <w:szCs w:val="22"/>
          <w:lang w:val="sk-SK"/>
        </w:rPr>
      </w:pPr>
      <w:r w:rsidRPr="00EB5AA1">
        <w:rPr>
          <w:b/>
          <w:sz w:val="22"/>
          <w:szCs w:val="22"/>
          <w:lang w:val="sk-SK"/>
        </w:rPr>
        <w:t>Poruchy ciev</w:t>
      </w:r>
    </w:p>
    <w:p w14:paraId="4EA3969C" w14:textId="77777777" w:rsidR="00374898" w:rsidRPr="00EB5AA1" w:rsidRDefault="00374898" w:rsidP="00374898">
      <w:pPr>
        <w:rPr>
          <w:sz w:val="22"/>
          <w:szCs w:val="22"/>
          <w:lang w:val="sk-SK"/>
        </w:rPr>
      </w:pPr>
      <w:r w:rsidRPr="00EB5AA1">
        <w:rPr>
          <w:sz w:val="22"/>
          <w:szCs w:val="22"/>
          <w:lang w:val="sk-SK"/>
        </w:rPr>
        <w:t xml:space="preserve">U pacientov s </w:t>
      </w:r>
      <w:proofErr w:type="spellStart"/>
      <w:r w:rsidRPr="00EB5AA1">
        <w:rPr>
          <w:sz w:val="22"/>
          <w:szCs w:val="22"/>
          <w:lang w:val="sk-SK"/>
        </w:rPr>
        <w:t>Hodgkinovou</w:t>
      </w:r>
      <w:proofErr w:type="spellEnd"/>
      <w:r w:rsidRPr="00EB5AA1">
        <w:rPr>
          <w:sz w:val="22"/>
          <w:szCs w:val="22"/>
          <w:lang w:val="sk-SK"/>
        </w:rPr>
        <w:t xml:space="preserve"> chorobou, ktorí boli liečení vysokými počiatočnými dávkami, boli popísané epizódy hypotenzie. Môže sa objaviť </w:t>
      </w:r>
      <w:proofErr w:type="spellStart"/>
      <w:r w:rsidRPr="00EB5AA1">
        <w:rPr>
          <w:sz w:val="22"/>
          <w:szCs w:val="22"/>
          <w:lang w:val="sk-SK"/>
        </w:rPr>
        <w:t>arteriálna</w:t>
      </w:r>
      <w:proofErr w:type="spellEnd"/>
      <w:r w:rsidRPr="00EB5AA1">
        <w:rPr>
          <w:sz w:val="22"/>
          <w:szCs w:val="22"/>
          <w:lang w:val="sk-SK"/>
        </w:rPr>
        <w:t xml:space="preserve"> hypotenzia a žilová </w:t>
      </w:r>
      <w:proofErr w:type="spellStart"/>
      <w:r w:rsidRPr="00EB5AA1">
        <w:rPr>
          <w:sz w:val="22"/>
          <w:szCs w:val="22"/>
          <w:lang w:val="sk-SK"/>
        </w:rPr>
        <w:t>oklúzia</w:t>
      </w:r>
      <w:proofErr w:type="spellEnd"/>
      <w:r w:rsidRPr="00EB5AA1">
        <w:rPr>
          <w:sz w:val="22"/>
          <w:szCs w:val="22"/>
          <w:lang w:val="sk-SK"/>
        </w:rPr>
        <w:t>.</w:t>
      </w:r>
      <w:r w:rsidRPr="00EB5AA1">
        <w:rPr>
          <w:sz w:val="22"/>
          <w:szCs w:val="22"/>
          <w:lang w:val="sk-SK"/>
        </w:rPr>
        <w:br/>
        <w:t xml:space="preserve">Poškodenie krvných ciev (napr. Infarkt myokardu, ischemická choroba srdca, poruchy prietoku krvi v mozgu, zápal krvných ciev v mozgu, tzv. </w:t>
      </w:r>
      <w:proofErr w:type="spellStart"/>
      <w:r w:rsidRPr="00EB5AA1">
        <w:rPr>
          <w:sz w:val="22"/>
          <w:szCs w:val="22"/>
          <w:lang w:val="sk-SK"/>
        </w:rPr>
        <w:t>Hemolyticko</w:t>
      </w:r>
      <w:proofErr w:type="spellEnd"/>
      <w:r w:rsidRPr="00EB5AA1">
        <w:rPr>
          <w:sz w:val="22"/>
          <w:szCs w:val="22"/>
          <w:lang w:val="sk-SK"/>
        </w:rPr>
        <w:t xml:space="preserve">-uremický syndróm, </w:t>
      </w:r>
      <w:proofErr w:type="spellStart"/>
      <w:r w:rsidRPr="00EB5AA1">
        <w:rPr>
          <w:sz w:val="22"/>
          <w:szCs w:val="22"/>
          <w:lang w:val="sk-SK"/>
        </w:rPr>
        <w:t>Raynaudov</w:t>
      </w:r>
      <w:proofErr w:type="spellEnd"/>
      <w:r w:rsidRPr="00EB5AA1">
        <w:rPr>
          <w:sz w:val="22"/>
          <w:szCs w:val="22"/>
          <w:lang w:val="sk-SK"/>
        </w:rPr>
        <w:t xml:space="preserve"> fenomén).</w:t>
      </w:r>
    </w:p>
    <w:p w14:paraId="74D5C938" w14:textId="77777777" w:rsidR="00374898" w:rsidRPr="00EB5AA1" w:rsidRDefault="00374898" w:rsidP="00374898">
      <w:pPr>
        <w:rPr>
          <w:sz w:val="22"/>
          <w:szCs w:val="22"/>
          <w:lang w:val="sk-SK"/>
        </w:rPr>
      </w:pPr>
    </w:p>
    <w:p w14:paraId="48954E6C" w14:textId="77777777" w:rsidR="00374898" w:rsidRPr="00EB5AA1" w:rsidRDefault="00374898" w:rsidP="00374898">
      <w:pPr>
        <w:rPr>
          <w:sz w:val="22"/>
          <w:szCs w:val="22"/>
          <w:lang w:val="sk-SK"/>
        </w:rPr>
      </w:pPr>
      <w:r w:rsidRPr="00EB5AA1">
        <w:rPr>
          <w:b/>
          <w:sz w:val="22"/>
          <w:szCs w:val="22"/>
          <w:lang w:val="sk-SK"/>
        </w:rPr>
        <w:t xml:space="preserve">Poruchy dýchacej sústavy, hrudníka a </w:t>
      </w:r>
      <w:proofErr w:type="spellStart"/>
      <w:r w:rsidRPr="00EB5AA1">
        <w:rPr>
          <w:b/>
          <w:sz w:val="22"/>
          <w:szCs w:val="22"/>
          <w:lang w:val="sk-SK"/>
        </w:rPr>
        <w:t>mediastína</w:t>
      </w:r>
      <w:proofErr w:type="spellEnd"/>
    </w:p>
    <w:p w14:paraId="22EE606D" w14:textId="77777777" w:rsidR="00374898" w:rsidRPr="00EB5AA1" w:rsidRDefault="00374898" w:rsidP="00374898">
      <w:pPr>
        <w:rPr>
          <w:sz w:val="22"/>
          <w:szCs w:val="22"/>
          <w:lang w:val="sk-SK"/>
        </w:rPr>
      </w:pPr>
      <w:r w:rsidRPr="00EB5AA1">
        <w:rPr>
          <w:sz w:val="22"/>
          <w:szCs w:val="22"/>
          <w:lang w:val="sk-SK"/>
        </w:rPr>
        <w:t xml:space="preserve">Najzávažnejším nežiaducim účinkom je </w:t>
      </w:r>
      <w:proofErr w:type="spellStart"/>
      <w:r w:rsidRPr="00EB5AA1">
        <w:rPr>
          <w:sz w:val="22"/>
          <w:szCs w:val="22"/>
          <w:lang w:val="sk-SK"/>
        </w:rPr>
        <w:t>intersticiálna</w:t>
      </w:r>
      <w:proofErr w:type="spellEnd"/>
      <w:r w:rsidRPr="00EB5AA1">
        <w:rPr>
          <w:sz w:val="22"/>
          <w:szCs w:val="22"/>
          <w:lang w:val="sk-SK"/>
        </w:rPr>
        <w:t xml:space="preserve"> pneumónia, ktorá sa môže objaviť počas liečby </w:t>
      </w:r>
      <w:proofErr w:type="spellStart"/>
      <w:r w:rsidRPr="00EB5AA1">
        <w:rPr>
          <w:sz w:val="22"/>
          <w:szCs w:val="22"/>
          <w:lang w:val="sk-SK"/>
        </w:rPr>
        <w:t>bleomycínom</w:t>
      </w:r>
      <w:proofErr w:type="spellEnd"/>
      <w:r w:rsidRPr="00EB5AA1">
        <w:rPr>
          <w:sz w:val="22"/>
          <w:szCs w:val="22"/>
          <w:lang w:val="sk-SK"/>
        </w:rPr>
        <w:t xml:space="preserve"> alebo v zriedkavých prípadoch po jej ukončení. </w:t>
      </w:r>
      <w:proofErr w:type="spellStart"/>
      <w:r w:rsidRPr="00EB5AA1">
        <w:rPr>
          <w:sz w:val="22"/>
          <w:szCs w:val="22"/>
          <w:lang w:val="sk-SK"/>
        </w:rPr>
        <w:t>Intersticiálna</w:t>
      </w:r>
      <w:proofErr w:type="spellEnd"/>
      <w:r w:rsidRPr="00EB5AA1">
        <w:rPr>
          <w:sz w:val="22"/>
          <w:szCs w:val="22"/>
          <w:lang w:val="sk-SK"/>
        </w:rPr>
        <w:t xml:space="preserve"> pneumónia sa vyskytuje približne u 10% pacientov liečených </w:t>
      </w:r>
      <w:proofErr w:type="spellStart"/>
      <w:r w:rsidRPr="00EB5AA1">
        <w:rPr>
          <w:sz w:val="22"/>
          <w:szCs w:val="22"/>
          <w:lang w:val="sk-SK"/>
        </w:rPr>
        <w:t>bleomycínom</w:t>
      </w:r>
      <w:proofErr w:type="spellEnd"/>
      <w:r w:rsidRPr="00EB5AA1">
        <w:rPr>
          <w:sz w:val="22"/>
          <w:szCs w:val="22"/>
          <w:lang w:val="sk-SK"/>
        </w:rPr>
        <w:t xml:space="preserve">. Pneumónia vyvolaná </w:t>
      </w:r>
      <w:proofErr w:type="spellStart"/>
      <w:r w:rsidRPr="00EB5AA1">
        <w:rPr>
          <w:sz w:val="22"/>
          <w:szCs w:val="22"/>
          <w:lang w:val="sk-SK"/>
        </w:rPr>
        <w:t>bleomycínom</w:t>
      </w:r>
      <w:proofErr w:type="spellEnd"/>
      <w:r w:rsidRPr="00EB5AA1">
        <w:rPr>
          <w:sz w:val="22"/>
          <w:szCs w:val="22"/>
          <w:lang w:val="sk-SK"/>
        </w:rPr>
        <w:t xml:space="preserve"> môže viesť v zriedkavých prípadoch k pľúcnej </w:t>
      </w:r>
      <w:proofErr w:type="spellStart"/>
      <w:r w:rsidRPr="00EB5AA1">
        <w:rPr>
          <w:sz w:val="22"/>
          <w:szCs w:val="22"/>
          <w:lang w:val="sk-SK"/>
        </w:rPr>
        <w:t>fibróze</w:t>
      </w:r>
      <w:proofErr w:type="spellEnd"/>
      <w:r w:rsidRPr="00EB5AA1">
        <w:rPr>
          <w:sz w:val="22"/>
          <w:szCs w:val="22"/>
          <w:lang w:val="sk-SK"/>
        </w:rPr>
        <w:t xml:space="preserve"> a spôsobila úmrtia u približne 1% pacientov liečených </w:t>
      </w:r>
      <w:proofErr w:type="spellStart"/>
      <w:r w:rsidRPr="00EB5AA1">
        <w:rPr>
          <w:sz w:val="22"/>
          <w:szCs w:val="22"/>
          <w:lang w:val="sk-SK"/>
        </w:rPr>
        <w:t>bleomycínom</w:t>
      </w:r>
      <w:proofErr w:type="spellEnd"/>
      <w:r w:rsidRPr="00EB5AA1">
        <w:rPr>
          <w:sz w:val="22"/>
          <w:szCs w:val="22"/>
          <w:lang w:val="sk-SK"/>
        </w:rPr>
        <w:t>.</w:t>
      </w:r>
      <w:r w:rsidRPr="00EB5AA1">
        <w:rPr>
          <w:sz w:val="22"/>
          <w:szCs w:val="22"/>
          <w:lang w:val="sk-SK"/>
        </w:rPr>
        <w:br/>
        <w:t>Riziko pľúcnej toxicity rastie s kumulatívnymi dávkami. Pľúcna toxicita sa môže objaviť už pri veľmi nízkych kumulatívnych dávkach u starších pacientov, pacientov po rádioterapii hrudníka alebo pacientov na kyslíku.</w:t>
      </w:r>
      <w:r w:rsidRPr="00EB5AA1">
        <w:rPr>
          <w:sz w:val="22"/>
          <w:szCs w:val="22"/>
          <w:lang w:val="sk-SK"/>
        </w:rPr>
        <w:br/>
        <w:t xml:space="preserve">Zdá sa, že pacienti, ktorým bol </w:t>
      </w:r>
      <w:proofErr w:type="spellStart"/>
      <w:r w:rsidRPr="00EB5AA1">
        <w:rPr>
          <w:sz w:val="22"/>
          <w:szCs w:val="22"/>
          <w:lang w:val="sk-SK"/>
        </w:rPr>
        <w:t>bleomycín</w:t>
      </w:r>
      <w:proofErr w:type="spellEnd"/>
      <w:r w:rsidRPr="00EB5AA1">
        <w:rPr>
          <w:sz w:val="22"/>
          <w:szCs w:val="22"/>
          <w:lang w:val="sk-SK"/>
        </w:rPr>
        <w:t xml:space="preserve"> podaný predoperačne, majú vyššie riziko vzniku pľúcnej toxicity. Počas operácie a po nej sa odporúča znížiť koncentráciu podaného kyslíka, ak je použitý kyslík v koncentrácii vyššej ako 21% (pozri časti</w:t>
      </w:r>
      <w:r>
        <w:rPr>
          <w:sz w:val="22"/>
          <w:szCs w:val="22"/>
          <w:lang w:val="sk-SK"/>
        </w:rPr>
        <w:t> </w:t>
      </w:r>
      <w:r w:rsidRPr="00EB5AA1">
        <w:rPr>
          <w:sz w:val="22"/>
          <w:szCs w:val="22"/>
          <w:lang w:val="sk-SK"/>
        </w:rPr>
        <w:t>4.4</w:t>
      </w:r>
      <w:r>
        <w:rPr>
          <w:sz w:val="22"/>
          <w:szCs w:val="22"/>
          <w:lang w:val="sk-SK"/>
        </w:rPr>
        <w:t> </w:t>
      </w:r>
      <w:r w:rsidRPr="00EB5AA1">
        <w:rPr>
          <w:sz w:val="22"/>
          <w:szCs w:val="22"/>
          <w:lang w:val="sk-SK"/>
        </w:rPr>
        <w:t>a</w:t>
      </w:r>
      <w:r>
        <w:rPr>
          <w:sz w:val="22"/>
          <w:szCs w:val="22"/>
          <w:lang w:val="sk-SK"/>
        </w:rPr>
        <w:t> </w:t>
      </w:r>
      <w:r w:rsidRPr="00EB5AA1">
        <w:rPr>
          <w:sz w:val="22"/>
          <w:szCs w:val="22"/>
          <w:lang w:val="sk-SK"/>
        </w:rPr>
        <w:t>4.5).</w:t>
      </w:r>
      <w:r w:rsidRPr="00EB5AA1">
        <w:rPr>
          <w:sz w:val="22"/>
          <w:szCs w:val="22"/>
          <w:lang w:val="sk-SK"/>
        </w:rPr>
        <w:br/>
        <w:t>V pľúcach dochádza k cievnym zmenám, ktoré čiastočne ovplyvňujú pružnosť cievnej steny.</w:t>
      </w:r>
      <w:r w:rsidRPr="00EB5AA1">
        <w:rPr>
          <w:sz w:val="22"/>
          <w:szCs w:val="22"/>
          <w:lang w:val="sk-SK"/>
        </w:rPr>
        <w:br/>
        <w:t xml:space="preserve">Ak sa vyskytne nevysvetliteľný kašeľ, dýchavičnosť, bazálna </w:t>
      </w:r>
      <w:proofErr w:type="spellStart"/>
      <w:r w:rsidRPr="00EB5AA1">
        <w:rPr>
          <w:sz w:val="22"/>
          <w:szCs w:val="22"/>
          <w:lang w:val="sk-SK"/>
        </w:rPr>
        <w:t>krepitácia</w:t>
      </w:r>
      <w:proofErr w:type="spellEnd"/>
      <w:r w:rsidRPr="00EB5AA1">
        <w:rPr>
          <w:sz w:val="22"/>
          <w:szCs w:val="22"/>
          <w:lang w:val="sk-SK"/>
        </w:rPr>
        <w:t xml:space="preserve"> alebo sa na röntgene hrudníka objaví difúzna </w:t>
      </w:r>
      <w:proofErr w:type="spellStart"/>
      <w:r w:rsidRPr="00EB5AA1">
        <w:rPr>
          <w:sz w:val="22"/>
          <w:szCs w:val="22"/>
          <w:lang w:val="sk-SK"/>
        </w:rPr>
        <w:t>retikulárna</w:t>
      </w:r>
      <w:proofErr w:type="spellEnd"/>
      <w:r w:rsidRPr="00EB5AA1">
        <w:rPr>
          <w:sz w:val="22"/>
          <w:szCs w:val="22"/>
          <w:lang w:val="sk-SK"/>
        </w:rPr>
        <w:t xml:space="preserve"> kresba, je ktorýkoľvek z týchto príznakov dôvodom pre prerušenie podávania </w:t>
      </w:r>
      <w:proofErr w:type="spellStart"/>
      <w:r w:rsidRPr="00EB5AA1">
        <w:rPr>
          <w:sz w:val="22"/>
          <w:szCs w:val="22"/>
          <w:lang w:val="sk-SK"/>
        </w:rPr>
        <w:t>bleomycínu</w:t>
      </w:r>
      <w:proofErr w:type="spellEnd"/>
      <w:r w:rsidRPr="00EB5AA1">
        <w:rPr>
          <w:sz w:val="22"/>
          <w:szCs w:val="22"/>
          <w:lang w:val="sk-SK"/>
        </w:rPr>
        <w:t xml:space="preserve">, kým sa toxicita </w:t>
      </w:r>
      <w:proofErr w:type="spellStart"/>
      <w:r w:rsidRPr="00EB5AA1">
        <w:rPr>
          <w:sz w:val="22"/>
          <w:szCs w:val="22"/>
          <w:lang w:val="sk-SK"/>
        </w:rPr>
        <w:t>bleomycínu</w:t>
      </w:r>
      <w:proofErr w:type="spellEnd"/>
      <w:r w:rsidRPr="00EB5AA1">
        <w:rPr>
          <w:sz w:val="22"/>
          <w:szCs w:val="22"/>
          <w:lang w:val="sk-SK"/>
        </w:rPr>
        <w:t xml:space="preserve"> nevylúči ako príčina. Pre pľúcnu toxicitu súvisiacu s </w:t>
      </w:r>
      <w:proofErr w:type="spellStart"/>
      <w:r w:rsidRPr="00EB5AA1">
        <w:rPr>
          <w:sz w:val="22"/>
          <w:szCs w:val="22"/>
          <w:lang w:val="sk-SK"/>
        </w:rPr>
        <w:t>bleomycínom</w:t>
      </w:r>
      <w:proofErr w:type="spellEnd"/>
      <w:r w:rsidRPr="00EB5AA1">
        <w:rPr>
          <w:sz w:val="22"/>
          <w:szCs w:val="22"/>
          <w:lang w:val="sk-SK"/>
        </w:rPr>
        <w:t xml:space="preserve"> nie je k dispozícii špecifická liečba. V niektorých prípadoch bol popísaný priaznivý vplyv liečby </w:t>
      </w:r>
      <w:proofErr w:type="spellStart"/>
      <w:r w:rsidRPr="00EB5AA1">
        <w:rPr>
          <w:sz w:val="22"/>
          <w:szCs w:val="22"/>
          <w:lang w:val="sk-SK"/>
        </w:rPr>
        <w:t>kortikosteroidmi</w:t>
      </w:r>
      <w:proofErr w:type="spellEnd"/>
      <w:r w:rsidRPr="00EB5AA1">
        <w:rPr>
          <w:sz w:val="22"/>
          <w:szCs w:val="22"/>
          <w:lang w:val="sk-SK"/>
        </w:rPr>
        <w:t>.</w:t>
      </w:r>
    </w:p>
    <w:p w14:paraId="2DF5EB3F" w14:textId="77777777" w:rsidR="00374898" w:rsidRPr="00EB5AA1" w:rsidRDefault="00374898" w:rsidP="00374898">
      <w:pPr>
        <w:rPr>
          <w:sz w:val="22"/>
          <w:szCs w:val="22"/>
          <w:lang w:val="sk-SK"/>
        </w:rPr>
      </w:pPr>
    </w:p>
    <w:p w14:paraId="4E4EABD3" w14:textId="77777777" w:rsidR="00374898" w:rsidRPr="00EB5AA1" w:rsidRDefault="00374898" w:rsidP="00374898">
      <w:pPr>
        <w:rPr>
          <w:sz w:val="22"/>
          <w:szCs w:val="22"/>
          <w:lang w:val="sk-SK"/>
        </w:rPr>
      </w:pPr>
      <w:r w:rsidRPr="00EB5AA1">
        <w:rPr>
          <w:b/>
          <w:sz w:val="22"/>
          <w:szCs w:val="22"/>
          <w:lang w:val="sk-SK"/>
        </w:rPr>
        <w:t xml:space="preserve">Poruchy </w:t>
      </w:r>
      <w:proofErr w:type="spellStart"/>
      <w:r w:rsidRPr="00EB5AA1">
        <w:rPr>
          <w:b/>
          <w:sz w:val="22"/>
          <w:szCs w:val="22"/>
          <w:lang w:val="sk-SK"/>
        </w:rPr>
        <w:t>gastrointestinálneho</w:t>
      </w:r>
      <w:proofErr w:type="spellEnd"/>
      <w:r w:rsidRPr="00EB5AA1">
        <w:rPr>
          <w:b/>
          <w:sz w:val="22"/>
          <w:szCs w:val="22"/>
          <w:lang w:val="sk-SK"/>
        </w:rPr>
        <w:t xml:space="preserve"> traktu</w:t>
      </w:r>
    </w:p>
    <w:p w14:paraId="3B22929F" w14:textId="77777777" w:rsidR="00374898" w:rsidRPr="00EB5AA1" w:rsidRDefault="00374898" w:rsidP="00374898">
      <w:pPr>
        <w:rPr>
          <w:sz w:val="22"/>
          <w:szCs w:val="22"/>
          <w:lang w:val="sk-SK"/>
        </w:rPr>
      </w:pPr>
      <w:r w:rsidRPr="00EB5AA1">
        <w:rPr>
          <w:sz w:val="22"/>
          <w:szCs w:val="22"/>
          <w:lang w:val="sk-SK"/>
        </w:rPr>
        <w:t>U väčšiny pacientov (až 50% pacientov),</w:t>
      </w:r>
      <w:r>
        <w:rPr>
          <w:sz w:val="22"/>
          <w:szCs w:val="22"/>
          <w:lang w:val="sk-SK"/>
        </w:rPr>
        <w:t xml:space="preserve"> </w:t>
      </w:r>
      <w:r w:rsidRPr="00EB5AA1">
        <w:rPr>
          <w:sz w:val="22"/>
          <w:szCs w:val="22"/>
          <w:lang w:val="sk-SK"/>
        </w:rPr>
        <w:t xml:space="preserve">ktorí prekonali kompletnú liečbu </w:t>
      </w:r>
      <w:proofErr w:type="spellStart"/>
      <w:r w:rsidRPr="00EB5AA1">
        <w:rPr>
          <w:sz w:val="22"/>
          <w:szCs w:val="22"/>
          <w:lang w:val="sk-SK"/>
        </w:rPr>
        <w:t>bleomycínom</w:t>
      </w:r>
      <w:proofErr w:type="spellEnd"/>
      <w:r w:rsidRPr="00EB5AA1">
        <w:rPr>
          <w:sz w:val="22"/>
          <w:szCs w:val="22"/>
          <w:lang w:val="sk-SK"/>
        </w:rPr>
        <w:t xml:space="preserve">, sa objavilo poškodenie slizníc alebo kože (pozri odsek </w:t>
      </w:r>
      <w:r w:rsidRPr="00BB6D58">
        <w:rPr>
          <w:b/>
          <w:sz w:val="22"/>
          <w:szCs w:val="22"/>
          <w:lang w:val="sk-SK"/>
        </w:rPr>
        <w:t>Poruchy kože a podkožného tkaniva</w:t>
      </w:r>
      <w:r w:rsidRPr="00EB5AA1">
        <w:rPr>
          <w:sz w:val="22"/>
          <w:szCs w:val="22"/>
          <w:lang w:val="sk-SK"/>
        </w:rPr>
        <w:t xml:space="preserve"> v bode 4.8). </w:t>
      </w:r>
      <w:proofErr w:type="spellStart"/>
      <w:r w:rsidRPr="00EB5AA1">
        <w:rPr>
          <w:sz w:val="22"/>
          <w:szCs w:val="22"/>
          <w:lang w:val="sk-SK"/>
        </w:rPr>
        <w:t>Ulcerácia</w:t>
      </w:r>
      <w:proofErr w:type="spellEnd"/>
      <w:r w:rsidRPr="00EB5AA1">
        <w:rPr>
          <w:sz w:val="22"/>
          <w:szCs w:val="22"/>
          <w:lang w:val="sk-SK"/>
        </w:rPr>
        <w:t xml:space="preserve"> slizníc môže byť silnejšia, ak je </w:t>
      </w:r>
      <w:proofErr w:type="spellStart"/>
      <w:r w:rsidRPr="00EB5AA1">
        <w:rPr>
          <w:sz w:val="22"/>
          <w:szCs w:val="22"/>
          <w:lang w:val="sk-SK"/>
        </w:rPr>
        <w:t>bleomycín</w:t>
      </w:r>
      <w:proofErr w:type="spellEnd"/>
      <w:r w:rsidRPr="00EB5AA1">
        <w:rPr>
          <w:sz w:val="22"/>
          <w:szCs w:val="22"/>
          <w:lang w:val="sk-SK"/>
        </w:rPr>
        <w:t xml:space="preserve"> kombinovaný s rádioterapiou alebo s inými liekmi s toxickým pôsobením na sliznice.</w:t>
      </w:r>
      <w:r w:rsidRPr="00EB5AA1">
        <w:rPr>
          <w:sz w:val="22"/>
          <w:szCs w:val="22"/>
          <w:lang w:val="sk-SK"/>
        </w:rPr>
        <w:br/>
        <w:t xml:space="preserve">Môžu sa vyskytnúť </w:t>
      </w:r>
      <w:proofErr w:type="spellStart"/>
      <w:r w:rsidRPr="00EB5AA1">
        <w:rPr>
          <w:sz w:val="22"/>
          <w:szCs w:val="22"/>
          <w:lang w:val="sk-SK"/>
        </w:rPr>
        <w:t>gastrointestinálne</w:t>
      </w:r>
      <w:proofErr w:type="spellEnd"/>
      <w:r w:rsidRPr="00EB5AA1">
        <w:rPr>
          <w:sz w:val="22"/>
          <w:szCs w:val="22"/>
          <w:lang w:val="sk-SK"/>
        </w:rPr>
        <w:t xml:space="preserve"> nežiaduce účinky, ako napr. Nauzea, zvracanie, strata chuti do jedla, úbytok telesnej hmotnosti a zápal slizníc (</w:t>
      </w:r>
      <w:proofErr w:type="spellStart"/>
      <w:r w:rsidRPr="00EB5AA1">
        <w:rPr>
          <w:sz w:val="22"/>
          <w:szCs w:val="22"/>
          <w:lang w:val="sk-SK"/>
        </w:rPr>
        <w:t>mukozitída</w:t>
      </w:r>
      <w:proofErr w:type="spellEnd"/>
      <w:r w:rsidRPr="00EB5AA1">
        <w:rPr>
          <w:sz w:val="22"/>
          <w:szCs w:val="22"/>
          <w:lang w:val="sk-SK"/>
        </w:rPr>
        <w:t xml:space="preserve">, </w:t>
      </w:r>
      <w:proofErr w:type="spellStart"/>
      <w:r w:rsidRPr="00EB5AA1">
        <w:rPr>
          <w:sz w:val="22"/>
          <w:szCs w:val="22"/>
          <w:lang w:val="sk-SK"/>
        </w:rPr>
        <w:t>stomatitída</w:t>
      </w:r>
      <w:proofErr w:type="spellEnd"/>
      <w:r w:rsidRPr="00EB5AA1">
        <w:rPr>
          <w:sz w:val="22"/>
          <w:szCs w:val="22"/>
          <w:lang w:val="sk-SK"/>
        </w:rPr>
        <w:t xml:space="preserve">), predovšetkým pri vysokých dávkach. Môžu byť užitočné </w:t>
      </w:r>
      <w:proofErr w:type="spellStart"/>
      <w:r w:rsidRPr="00EB5AA1">
        <w:rPr>
          <w:sz w:val="22"/>
          <w:szCs w:val="22"/>
          <w:lang w:val="sk-SK"/>
        </w:rPr>
        <w:t>antiemetiká</w:t>
      </w:r>
      <w:proofErr w:type="spellEnd"/>
      <w:r w:rsidRPr="00EB5AA1">
        <w:rPr>
          <w:sz w:val="22"/>
          <w:szCs w:val="22"/>
          <w:lang w:val="sk-SK"/>
        </w:rPr>
        <w:t xml:space="preserve">. </w:t>
      </w:r>
      <w:proofErr w:type="spellStart"/>
      <w:r w:rsidRPr="00EB5AA1">
        <w:rPr>
          <w:sz w:val="22"/>
          <w:szCs w:val="22"/>
          <w:lang w:val="sk-SK"/>
        </w:rPr>
        <w:t>Stomatitída</w:t>
      </w:r>
      <w:proofErr w:type="spellEnd"/>
      <w:r w:rsidRPr="00EB5AA1">
        <w:rPr>
          <w:sz w:val="22"/>
          <w:szCs w:val="22"/>
          <w:lang w:val="sk-SK"/>
        </w:rPr>
        <w:t xml:space="preserve"> je zriedka závažná a zvyčajne ustúpi po ukončení liečby.</w:t>
      </w:r>
    </w:p>
    <w:p w14:paraId="385FB6DA" w14:textId="77777777" w:rsidR="00374898" w:rsidRPr="00EB5AA1" w:rsidRDefault="00374898" w:rsidP="00374898">
      <w:pPr>
        <w:rPr>
          <w:sz w:val="22"/>
          <w:szCs w:val="22"/>
          <w:lang w:val="sk-SK"/>
        </w:rPr>
      </w:pPr>
    </w:p>
    <w:p w14:paraId="4AF6A1E9" w14:textId="77777777" w:rsidR="00374898" w:rsidRPr="00EB5AA1" w:rsidRDefault="00374898" w:rsidP="00374898">
      <w:pPr>
        <w:rPr>
          <w:sz w:val="22"/>
          <w:szCs w:val="22"/>
          <w:lang w:val="sk-SK"/>
        </w:rPr>
      </w:pPr>
      <w:r w:rsidRPr="00EB5AA1">
        <w:rPr>
          <w:b/>
          <w:sz w:val="22"/>
          <w:szCs w:val="22"/>
          <w:lang w:val="sk-SK"/>
        </w:rPr>
        <w:t>Poruchy kože a podkožného tkaniva</w:t>
      </w:r>
    </w:p>
    <w:p w14:paraId="41E16061" w14:textId="77777777" w:rsidR="00E20160" w:rsidRDefault="00374898" w:rsidP="00374898">
      <w:pPr>
        <w:rPr>
          <w:sz w:val="22"/>
          <w:szCs w:val="22"/>
          <w:lang w:val="sk-SK"/>
        </w:rPr>
      </w:pPr>
      <w:r w:rsidRPr="00EB5AA1">
        <w:rPr>
          <w:sz w:val="22"/>
          <w:szCs w:val="22"/>
          <w:lang w:val="sk-SK"/>
        </w:rPr>
        <w:t xml:space="preserve">U väčšiny pacientov (až 50% pacientov), ktorí prekonali kompletnú liečbu </w:t>
      </w:r>
      <w:proofErr w:type="spellStart"/>
      <w:r w:rsidRPr="00EB5AA1">
        <w:rPr>
          <w:sz w:val="22"/>
          <w:szCs w:val="22"/>
          <w:lang w:val="sk-SK"/>
        </w:rPr>
        <w:t>bleomycínom</w:t>
      </w:r>
      <w:proofErr w:type="spellEnd"/>
      <w:r w:rsidRPr="00EB5AA1">
        <w:rPr>
          <w:sz w:val="22"/>
          <w:szCs w:val="22"/>
          <w:lang w:val="sk-SK"/>
        </w:rPr>
        <w:t xml:space="preserve">, sa objavilo poškodenie kože alebo slizníc (pozri odsek </w:t>
      </w:r>
      <w:proofErr w:type="spellStart"/>
      <w:r>
        <w:rPr>
          <w:b/>
          <w:sz w:val="22"/>
          <w:szCs w:val="22"/>
          <w:lang w:val="sk-SK"/>
        </w:rPr>
        <w:t>G</w:t>
      </w:r>
      <w:r w:rsidRPr="00BB6D58">
        <w:rPr>
          <w:b/>
          <w:sz w:val="22"/>
          <w:szCs w:val="22"/>
          <w:lang w:val="sk-SK"/>
        </w:rPr>
        <w:t>astrointestinálneho</w:t>
      </w:r>
      <w:proofErr w:type="spellEnd"/>
      <w:r w:rsidRPr="00BB6D58">
        <w:rPr>
          <w:b/>
          <w:sz w:val="22"/>
          <w:szCs w:val="22"/>
          <w:lang w:val="sk-SK"/>
        </w:rPr>
        <w:t xml:space="preserve"> traktu</w:t>
      </w:r>
      <w:r w:rsidRPr="00EB5AA1">
        <w:rPr>
          <w:sz w:val="22"/>
          <w:szCs w:val="22"/>
          <w:lang w:val="sk-SK"/>
        </w:rPr>
        <w:t xml:space="preserve"> v bode 4.8). Tieto nežiaduce účinky sa zvyčajne objavia v druhom alebo treťom týždni liečby a sú obvykle, aj keď nie vždy, reverzibilné.</w:t>
      </w:r>
      <w:r w:rsidRPr="00EB5AA1">
        <w:rPr>
          <w:sz w:val="22"/>
          <w:szCs w:val="22"/>
          <w:lang w:val="sk-SK"/>
        </w:rPr>
        <w:br/>
      </w:r>
      <w:proofErr w:type="spellStart"/>
      <w:r w:rsidRPr="00EB5AA1">
        <w:rPr>
          <w:sz w:val="22"/>
          <w:szCs w:val="22"/>
          <w:lang w:val="sk-SK"/>
        </w:rPr>
        <w:t>Flagelácia</w:t>
      </w:r>
      <w:proofErr w:type="spellEnd"/>
      <w:r w:rsidRPr="00EB5AA1">
        <w:rPr>
          <w:sz w:val="22"/>
          <w:szCs w:val="22"/>
          <w:lang w:val="sk-SK"/>
        </w:rPr>
        <w:t xml:space="preserve"> je formou lokalizovanej kožnej </w:t>
      </w:r>
      <w:proofErr w:type="spellStart"/>
      <w:r w:rsidRPr="00EB5AA1">
        <w:rPr>
          <w:sz w:val="22"/>
          <w:szCs w:val="22"/>
          <w:lang w:val="sk-SK"/>
        </w:rPr>
        <w:t>hyperpigmentácie</w:t>
      </w:r>
      <w:proofErr w:type="spellEnd"/>
      <w:r w:rsidRPr="00EB5AA1">
        <w:rPr>
          <w:sz w:val="22"/>
          <w:szCs w:val="22"/>
          <w:lang w:val="sk-SK"/>
        </w:rPr>
        <w:t xml:space="preserve">, ktorá sa objavuje u 8 až 38% pacientov liečených </w:t>
      </w:r>
      <w:proofErr w:type="spellStart"/>
      <w:r w:rsidRPr="00EB5AA1">
        <w:rPr>
          <w:sz w:val="22"/>
          <w:szCs w:val="22"/>
          <w:lang w:val="sk-SK"/>
        </w:rPr>
        <w:t>bleomycínom</w:t>
      </w:r>
      <w:proofErr w:type="spellEnd"/>
      <w:r w:rsidRPr="00EB5AA1">
        <w:rPr>
          <w:sz w:val="22"/>
          <w:szCs w:val="22"/>
          <w:lang w:val="sk-SK"/>
        </w:rPr>
        <w:t xml:space="preserve">. Lézie sú závislé od dávky a prejavujú sa ako lineárne svrbiace </w:t>
      </w:r>
      <w:proofErr w:type="spellStart"/>
      <w:r w:rsidRPr="00EB5AA1">
        <w:rPr>
          <w:sz w:val="22"/>
          <w:szCs w:val="22"/>
          <w:lang w:val="sk-SK"/>
        </w:rPr>
        <w:t>hyperpigmentácie</w:t>
      </w:r>
      <w:proofErr w:type="spellEnd"/>
      <w:r w:rsidRPr="00EB5AA1">
        <w:rPr>
          <w:sz w:val="22"/>
          <w:szCs w:val="22"/>
          <w:lang w:val="sk-SK"/>
        </w:rPr>
        <w:t xml:space="preserve">. Zhrubnutie kože, </w:t>
      </w:r>
      <w:proofErr w:type="spellStart"/>
      <w:r w:rsidRPr="00EB5AA1">
        <w:rPr>
          <w:sz w:val="22"/>
          <w:szCs w:val="22"/>
          <w:lang w:val="sk-SK"/>
        </w:rPr>
        <w:t>hyperkeratóza</w:t>
      </w:r>
      <w:proofErr w:type="spellEnd"/>
      <w:r w:rsidRPr="00EB5AA1">
        <w:rPr>
          <w:sz w:val="22"/>
          <w:szCs w:val="22"/>
          <w:lang w:val="sk-SK"/>
        </w:rPr>
        <w:t xml:space="preserve">, začervenanie, citlivosť a opuch brušiek prstov, </w:t>
      </w:r>
    </w:p>
    <w:p w14:paraId="44A2AFC1" w14:textId="77777777" w:rsidR="00E20160" w:rsidRDefault="00E20160" w:rsidP="00374898">
      <w:pPr>
        <w:rPr>
          <w:sz w:val="22"/>
          <w:szCs w:val="22"/>
          <w:lang w:val="sk-SK"/>
        </w:rPr>
      </w:pPr>
    </w:p>
    <w:p w14:paraId="72AE43E1" w14:textId="7E3B5116" w:rsidR="00374898" w:rsidRPr="00EB5AA1" w:rsidRDefault="00374898" w:rsidP="00374898">
      <w:pPr>
        <w:rPr>
          <w:sz w:val="22"/>
          <w:szCs w:val="22"/>
          <w:lang w:val="sk-SK"/>
        </w:rPr>
      </w:pPr>
      <w:proofErr w:type="spellStart"/>
      <w:r w:rsidRPr="00EB5AA1">
        <w:rPr>
          <w:sz w:val="22"/>
          <w:szCs w:val="22"/>
          <w:lang w:val="sk-SK"/>
        </w:rPr>
        <w:t>erytém</w:t>
      </w:r>
      <w:proofErr w:type="spellEnd"/>
      <w:r w:rsidRPr="00EB5AA1">
        <w:rPr>
          <w:sz w:val="22"/>
          <w:szCs w:val="22"/>
          <w:lang w:val="sk-SK"/>
        </w:rPr>
        <w:t xml:space="preserve"> a exantém, predovšetkým na rukách a nohách, strie, pľuzgiere, zmeny nechtov, opuchy miest citlivých na tlak, ako sú napr. lakte, a vypadávanie vlasov sú zriedka závažné a zvyčajne vymiznú po ukončení liečby.</w:t>
      </w:r>
      <w:r w:rsidRPr="00EB5AA1">
        <w:rPr>
          <w:sz w:val="22"/>
          <w:szCs w:val="22"/>
          <w:lang w:val="sk-SK"/>
        </w:rPr>
        <w:br/>
        <w:t xml:space="preserve">U pacientov liečených </w:t>
      </w:r>
      <w:proofErr w:type="spellStart"/>
      <w:r w:rsidRPr="00EB5AA1">
        <w:rPr>
          <w:sz w:val="22"/>
          <w:szCs w:val="22"/>
          <w:lang w:val="sk-SK"/>
        </w:rPr>
        <w:t>bleomycínom</w:t>
      </w:r>
      <w:proofErr w:type="spellEnd"/>
      <w:r w:rsidRPr="00EB5AA1">
        <w:rPr>
          <w:sz w:val="22"/>
          <w:szCs w:val="22"/>
          <w:lang w:val="sk-SK"/>
        </w:rPr>
        <w:t xml:space="preserve"> bola tiež hlásená </w:t>
      </w:r>
      <w:proofErr w:type="spellStart"/>
      <w:r w:rsidRPr="00EB5AA1">
        <w:rPr>
          <w:sz w:val="22"/>
          <w:szCs w:val="22"/>
          <w:lang w:val="sk-SK"/>
        </w:rPr>
        <w:t>sklerodermia</w:t>
      </w:r>
      <w:proofErr w:type="spellEnd"/>
      <w:r w:rsidRPr="00EB5AA1">
        <w:rPr>
          <w:sz w:val="22"/>
          <w:szCs w:val="22"/>
          <w:lang w:val="sk-SK"/>
        </w:rPr>
        <w:t>.</w:t>
      </w:r>
      <w:r w:rsidRPr="00EB5AA1">
        <w:rPr>
          <w:sz w:val="22"/>
          <w:szCs w:val="22"/>
          <w:lang w:val="sk-SK"/>
        </w:rPr>
        <w:br/>
      </w:r>
    </w:p>
    <w:p w14:paraId="226EFF95" w14:textId="77777777" w:rsidR="00374898" w:rsidRPr="00EB5AA1" w:rsidRDefault="00374898" w:rsidP="00374898">
      <w:pPr>
        <w:keepNext/>
        <w:keepLines/>
        <w:rPr>
          <w:sz w:val="22"/>
          <w:szCs w:val="22"/>
          <w:lang w:val="sk-SK"/>
        </w:rPr>
      </w:pPr>
      <w:r w:rsidRPr="00EB5AA1">
        <w:rPr>
          <w:b/>
          <w:sz w:val="22"/>
          <w:szCs w:val="22"/>
          <w:lang w:val="sk-SK"/>
        </w:rPr>
        <w:t>Poruchy reprodukčného systému a prsníkov</w:t>
      </w:r>
    </w:p>
    <w:p w14:paraId="174FBFBD" w14:textId="77777777" w:rsidR="00374898" w:rsidRPr="00EB5AA1" w:rsidRDefault="00374898" w:rsidP="00374898">
      <w:pPr>
        <w:keepNext/>
        <w:keepLines/>
        <w:rPr>
          <w:sz w:val="22"/>
          <w:szCs w:val="22"/>
          <w:lang w:val="sk-SK"/>
        </w:rPr>
      </w:pPr>
      <w:r w:rsidRPr="00EB5AA1">
        <w:rPr>
          <w:sz w:val="22"/>
          <w:szCs w:val="22"/>
          <w:lang w:val="sk-SK"/>
        </w:rPr>
        <w:t xml:space="preserve">Počas chemoterapie </w:t>
      </w:r>
      <w:proofErr w:type="spellStart"/>
      <w:r w:rsidRPr="00EB5AA1">
        <w:rPr>
          <w:sz w:val="22"/>
          <w:szCs w:val="22"/>
          <w:lang w:val="sk-SK"/>
        </w:rPr>
        <w:t>bleomycínom</w:t>
      </w:r>
      <w:proofErr w:type="spellEnd"/>
      <w:r w:rsidRPr="00EB5AA1">
        <w:rPr>
          <w:sz w:val="22"/>
          <w:szCs w:val="22"/>
          <w:lang w:val="sk-SK"/>
        </w:rPr>
        <w:t xml:space="preserve"> a bezprostredne po nej sa môžu objaviť </w:t>
      </w:r>
      <w:proofErr w:type="spellStart"/>
      <w:r w:rsidRPr="00EB5AA1">
        <w:rPr>
          <w:sz w:val="22"/>
          <w:szCs w:val="22"/>
          <w:lang w:val="sk-SK"/>
        </w:rPr>
        <w:t>aneuploidné</w:t>
      </w:r>
      <w:proofErr w:type="spellEnd"/>
      <w:r w:rsidRPr="00EB5AA1">
        <w:rPr>
          <w:sz w:val="22"/>
          <w:szCs w:val="22"/>
          <w:lang w:val="sk-SK"/>
        </w:rPr>
        <w:t xml:space="preserve"> </w:t>
      </w:r>
      <w:proofErr w:type="spellStart"/>
      <w:r w:rsidRPr="00EB5AA1">
        <w:rPr>
          <w:sz w:val="22"/>
          <w:szCs w:val="22"/>
          <w:lang w:val="sk-SK"/>
        </w:rPr>
        <w:t>spermatozoa</w:t>
      </w:r>
      <w:proofErr w:type="spellEnd"/>
      <w:r w:rsidRPr="00EB5AA1">
        <w:rPr>
          <w:sz w:val="22"/>
          <w:szCs w:val="22"/>
          <w:lang w:val="sk-SK"/>
        </w:rPr>
        <w:t>.</w:t>
      </w:r>
    </w:p>
    <w:p w14:paraId="697B6982" w14:textId="77777777" w:rsidR="00374898" w:rsidRPr="00EB5AA1" w:rsidRDefault="00374898" w:rsidP="00374898">
      <w:pPr>
        <w:rPr>
          <w:b/>
          <w:sz w:val="22"/>
          <w:szCs w:val="22"/>
          <w:lang w:val="sk-SK"/>
        </w:rPr>
      </w:pPr>
    </w:p>
    <w:p w14:paraId="3E8B94BE" w14:textId="77777777" w:rsidR="00374898" w:rsidRPr="00EB5AA1" w:rsidRDefault="00374898" w:rsidP="00374898">
      <w:pPr>
        <w:rPr>
          <w:sz w:val="22"/>
          <w:szCs w:val="22"/>
          <w:lang w:val="sk-SK"/>
        </w:rPr>
      </w:pPr>
      <w:r w:rsidRPr="00EB5AA1">
        <w:rPr>
          <w:b/>
          <w:sz w:val="22"/>
          <w:szCs w:val="22"/>
          <w:lang w:val="sk-SK"/>
        </w:rPr>
        <w:t>Celkové poruchy a reakcie v mieste podania</w:t>
      </w:r>
    </w:p>
    <w:p w14:paraId="0BD601D0" w14:textId="77777777" w:rsidR="00374898" w:rsidRPr="00EB5AA1" w:rsidRDefault="00374898" w:rsidP="00374898">
      <w:pPr>
        <w:rPr>
          <w:sz w:val="22"/>
          <w:szCs w:val="22"/>
          <w:lang w:val="sk-SK"/>
        </w:rPr>
      </w:pPr>
      <w:r w:rsidRPr="00EB5AA1">
        <w:rPr>
          <w:sz w:val="22"/>
          <w:szCs w:val="22"/>
          <w:lang w:val="sk-SK"/>
        </w:rPr>
        <w:t xml:space="preserve">Za 2 až 6 hodín po podaní prvej injekcie sa môže objaviť horúčka (pozri odsek </w:t>
      </w:r>
      <w:r w:rsidRPr="00BB6D58">
        <w:rPr>
          <w:b/>
          <w:sz w:val="22"/>
          <w:szCs w:val="22"/>
          <w:lang w:val="sk-SK"/>
        </w:rPr>
        <w:t>Poruchy imunitného systému</w:t>
      </w:r>
      <w:r w:rsidRPr="00EB5AA1">
        <w:rPr>
          <w:sz w:val="22"/>
          <w:szCs w:val="22"/>
          <w:lang w:val="sk-SK"/>
        </w:rPr>
        <w:t xml:space="preserve"> v</w:t>
      </w:r>
      <w:r>
        <w:rPr>
          <w:sz w:val="22"/>
          <w:szCs w:val="22"/>
          <w:lang w:val="sk-SK"/>
        </w:rPr>
        <w:t> </w:t>
      </w:r>
      <w:r w:rsidRPr="00EB5AA1">
        <w:rPr>
          <w:sz w:val="22"/>
          <w:szCs w:val="22"/>
          <w:lang w:val="sk-SK"/>
        </w:rPr>
        <w:t>bode</w:t>
      </w:r>
      <w:r>
        <w:rPr>
          <w:sz w:val="22"/>
          <w:szCs w:val="22"/>
          <w:lang w:val="sk-SK"/>
        </w:rPr>
        <w:t> </w:t>
      </w:r>
      <w:r w:rsidRPr="00EB5AA1">
        <w:rPr>
          <w:sz w:val="22"/>
          <w:szCs w:val="22"/>
          <w:lang w:val="sk-SK"/>
        </w:rPr>
        <w:t xml:space="preserve">4.8). Ak horúčka pretrváva, môže byť potrebné podať </w:t>
      </w:r>
      <w:proofErr w:type="spellStart"/>
      <w:r w:rsidRPr="00EB5AA1">
        <w:rPr>
          <w:sz w:val="22"/>
          <w:szCs w:val="22"/>
          <w:lang w:val="sk-SK"/>
        </w:rPr>
        <w:t>antipyretiká</w:t>
      </w:r>
      <w:proofErr w:type="spellEnd"/>
      <w:r w:rsidRPr="00EB5AA1">
        <w:rPr>
          <w:sz w:val="22"/>
          <w:szCs w:val="22"/>
          <w:lang w:val="sk-SK"/>
        </w:rPr>
        <w:t>. Početnosť výskytu horúčky klesá s podaním nasledujúcich injekcií.</w:t>
      </w:r>
    </w:p>
    <w:p w14:paraId="2C10324D" w14:textId="77777777" w:rsidR="00374898" w:rsidRPr="00EB5AA1" w:rsidRDefault="00374898" w:rsidP="00374898">
      <w:pPr>
        <w:rPr>
          <w:sz w:val="22"/>
          <w:szCs w:val="22"/>
          <w:lang w:val="sk-SK"/>
        </w:rPr>
      </w:pPr>
      <w:r w:rsidRPr="00EB5AA1">
        <w:rPr>
          <w:sz w:val="22"/>
          <w:szCs w:val="22"/>
          <w:lang w:val="sk-SK"/>
        </w:rPr>
        <w:t xml:space="preserve">Po intravenóznom podaní sa môže objaviť tromboflebitída v mieste infúzie, po intravenóznom alebo </w:t>
      </w:r>
      <w:proofErr w:type="spellStart"/>
      <w:r w:rsidRPr="00EB5AA1">
        <w:rPr>
          <w:sz w:val="22"/>
          <w:szCs w:val="22"/>
          <w:lang w:val="sk-SK"/>
        </w:rPr>
        <w:t>intrakavitárnom</w:t>
      </w:r>
      <w:proofErr w:type="spellEnd"/>
      <w:r w:rsidRPr="00EB5AA1">
        <w:rPr>
          <w:sz w:val="22"/>
          <w:szCs w:val="22"/>
          <w:lang w:val="sk-SK"/>
        </w:rPr>
        <w:t xml:space="preserve"> podaní sa môže objaviť bolesť v mieste vpichu injekcie alebo v oblasti nádoru.</w:t>
      </w:r>
    </w:p>
    <w:p w14:paraId="04666E1F" w14:textId="77777777" w:rsidR="00374898" w:rsidRPr="00EB5AA1" w:rsidRDefault="00374898" w:rsidP="00374898">
      <w:pPr>
        <w:rPr>
          <w:sz w:val="22"/>
          <w:szCs w:val="22"/>
          <w:lang w:val="sk-SK"/>
        </w:rPr>
      </w:pPr>
    </w:p>
    <w:p w14:paraId="689B4CF0" w14:textId="77777777" w:rsidR="00374898" w:rsidRDefault="00374898" w:rsidP="00374898">
      <w:pPr>
        <w:rPr>
          <w:sz w:val="22"/>
          <w:szCs w:val="22"/>
          <w:lang w:val="sk-SK"/>
        </w:rPr>
      </w:pPr>
      <w:r w:rsidRPr="00EB5AA1">
        <w:rPr>
          <w:sz w:val="22"/>
          <w:szCs w:val="22"/>
          <w:lang w:val="sk-SK"/>
        </w:rPr>
        <w:t xml:space="preserve">Ak sa </w:t>
      </w:r>
      <w:proofErr w:type="spellStart"/>
      <w:r w:rsidRPr="00EB5AA1">
        <w:rPr>
          <w:sz w:val="22"/>
          <w:szCs w:val="22"/>
          <w:lang w:val="sk-SK"/>
        </w:rPr>
        <w:t>bleomycín</w:t>
      </w:r>
      <w:proofErr w:type="spellEnd"/>
      <w:r w:rsidRPr="00EB5AA1">
        <w:rPr>
          <w:sz w:val="22"/>
          <w:szCs w:val="22"/>
          <w:lang w:val="sk-SK"/>
        </w:rPr>
        <w:t xml:space="preserve"> podáva ako súčasť chemoterapeutického dávkovacieho režimu obsahujúceho viac liekov, toxicitu </w:t>
      </w:r>
      <w:proofErr w:type="spellStart"/>
      <w:r w:rsidRPr="00EB5AA1">
        <w:rPr>
          <w:sz w:val="22"/>
          <w:szCs w:val="22"/>
          <w:lang w:val="sk-SK"/>
        </w:rPr>
        <w:t>bleomycínu</w:t>
      </w:r>
      <w:proofErr w:type="spellEnd"/>
      <w:r w:rsidRPr="00EB5AA1">
        <w:rPr>
          <w:sz w:val="22"/>
          <w:szCs w:val="22"/>
          <w:lang w:val="sk-SK"/>
        </w:rPr>
        <w:t xml:space="preserve"> je nutné brať do úvahy pri výbere a dávkovaní ďalších </w:t>
      </w:r>
      <w:proofErr w:type="spellStart"/>
      <w:r w:rsidRPr="00EB5AA1">
        <w:rPr>
          <w:sz w:val="22"/>
          <w:szCs w:val="22"/>
          <w:lang w:val="sk-SK"/>
        </w:rPr>
        <w:t>cytostatických</w:t>
      </w:r>
      <w:proofErr w:type="spellEnd"/>
      <w:r w:rsidRPr="00EB5AA1">
        <w:rPr>
          <w:sz w:val="22"/>
          <w:szCs w:val="22"/>
          <w:lang w:val="sk-SK"/>
        </w:rPr>
        <w:t xml:space="preserve"> liekov s podobnou toxicitou.</w:t>
      </w:r>
      <w:r w:rsidRPr="00EB5AA1">
        <w:rPr>
          <w:sz w:val="22"/>
          <w:szCs w:val="22"/>
          <w:lang w:val="sk-SK"/>
        </w:rPr>
        <w:br/>
        <w:t xml:space="preserve">Pri podávaní </w:t>
      </w:r>
      <w:proofErr w:type="spellStart"/>
      <w:r w:rsidRPr="00EB5AA1">
        <w:rPr>
          <w:sz w:val="22"/>
          <w:szCs w:val="22"/>
          <w:lang w:val="sk-SK"/>
        </w:rPr>
        <w:t>bleomycínu</w:t>
      </w:r>
      <w:proofErr w:type="spellEnd"/>
      <w:r w:rsidRPr="00EB5AA1">
        <w:rPr>
          <w:sz w:val="22"/>
          <w:szCs w:val="22"/>
          <w:lang w:val="sk-SK"/>
        </w:rPr>
        <w:t xml:space="preserve"> s ďalšími </w:t>
      </w:r>
      <w:proofErr w:type="spellStart"/>
      <w:r w:rsidRPr="00EB5AA1">
        <w:rPr>
          <w:sz w:val="22"/>
          <w:szCs w:val="22"/>
          <w:lang w:val="sk-SK"/>
        </w:rPr>
        <w:t>cytostatickými</w:t>
      </w:r>
      <w:proofErr w:type="spellEnd"/>
      <w:r w:rsidRPr="00EB5AA1">
        <w:rPr>
          <w:sz w:val="22"/>
          <w:szCs w:val="22"/>
          <w:lang w:val="sk-SK"/>
        </w:rPr>
        <w:t xml:space="preserve"> liekmi môžu byť potrebné zmeny dávkovacích schém a úpravy dávok.</w:t>
      </w:r>
      <w:r w:rsidRPr="00EB5AA1">
        <w:rPr>
          <w:sz w:val="22"/>
          <w:szCs w:val="22"/>
          <w:lang w:val="sk-SK"/>
        </w:rPr>
        <w:br/>
        <w:t xml:space="preserve">Po intravenóznych injekciách vyšších ako odporúčaných dávok boli hlásené akútne reakcie s </w:t>
      </w:r>
      <w:proofErr w:type="spellStart"/>
      <w:r w:rsidRPr="00EB5AA1">
        <w:rPr>
          <w:sz w:val="22"/>
          <w:szCs w:val="22"/>
          <w:lang w:val="sk-SK"/>
        </w:rPr>
        <w:t>hyperpyrexiou</w:t>
      </w:r>
      <w:proofErr w:type="spellEnd"/>
      <w:r w:rsidRPr="00EB5AA1">
        <w:rPr>
          <w:sz w:val="22"/>
          <w:szCs w:val="22"/>
          <w:lang w:val="sk-SK"/>
        </w:rPr>
        <w:t xml:space="preserve"> a </w:t>
      </w:r>
      <w:proofErr w:type="spellStart"/>
      <w:r w:rsidRPr="00EB5AA1">
        <w:rPr>
          <w:sz w:val="22"/>
          <w:szCs w:val="22"/>
          <w:lang w:val="sk-SK"/>
        </w:rPr>
        <w:t>kardiorespiračným</w:t>
      </w:r>
      <w:proofErr w:type="spellEnd"/>
      <w:r w:rsidRPr="00EB5AA1">
        <w:rPr>
          <w:sz w:val="22"/>
          <w:szCs w:val="22"/>
          <w:lang w:val="sk-SK"/>
        </w:rPr>
        <w:t xml:space="preserve"> kolapsom.</w:t>
      </w:r>
      <w:r w:rsidRPr="00EB5AA1">
        <w:rPr>
          <w:sz w:val="22"/>
          <w:szCs w:val="22"/>
          <w:lang w:val="sk-SK"/>
        </w:rPr>
        <w:br/>
        <w:t xml:space="preserve">Po </w:t>
      </w:r>
      <w:proofErr w:type="spellStart"/>
      <w:r w:rsidRPr="00EB5AA1">
        <w:rPr>
          <w:sz w:val="22"/>
          <w:szCs w:val="22"/>
          <w:lang w:val="sk-SK"/>
        </w:rPr>
        <w:t>intrakavitárnom</w:t>
      </w:r>
      <w:proofErr w:type="spellEnd"/>
      <w:r w:rsidRPr="00EB5AA1">
        <w:rPr>
          <w:sz w:val="22"/>
          <w:szCs w:val="22"/>
          <w:lang w:val="sk-SK"/>
        </w:rPr>
        <w:t xml:space="preserve"> podaní </w:t>
      </w:r>
      <w:proofErr w:type="spellStart"/>
      <w:r w:rsidRPr="00EB5AA1">
        <w:rPr>
          <w:sz w:val="22"/>
          <w:szCs w:val="22"/>
          <w:lang w:val="sk-SK"/>
        </w:rPr>
        <w:t>bleomycínu</w:t>
      </w:r>
      <w:proofErr w:type="spellEnd"/>
      <w:r w:rsidRPr="00EB5AA1">
        <w:rPr>
          <w:sz w:val="22"/>
          <w:szCs w:val="22"/>
          <w:lang w:val="sk-SK"/>
        </w:rPr>
        <w:t xml:space="preserve"> bola zriedkavo hlásená hypotenzia, </w:t>
      </w:r>
      <w:proofErr w:type="spellStart"/>
      <w:r w:rsidRPr="00EB5AA1">
        <w:rPr>
          <w:sz w:val="22"/>
          <w:szCs w:val="22"/>
          <w:lang w:val="sk-SK"/>
        </w:rPr>
        <w:t>hyperpyrexia</w:t>
      </w:r>
      <w:proofErr w:type="spellEnd"/>
      <w:r w:rsidRPr="00EB5AA1">
        <w:rPr>
          <w:sz w:val="22"/>
          <w:szCs w:val="22"/>
          <w:lang w:val="sk-SK"/>
        </w:rPr>
        <w:t xml:space="preserve"> a prípady úmrtia súvisiaceho s liekom.</w:t>
      </w:r>
    </w:p>
    <w:p w14:paraId="28E37D70" w14:textId="77777777" w:rsidR="00374898" w:rsidRPr="0033056E" w:rsidRDefault="00374898" w:rsidP="00374898">
      <w:pPr>
        <w:rPr>
          <w:sz w:val="22"/>
          <w:szCs w:val="22"/>
          <w:u w:val="single"/>
          <w:lang w:val="sk-SK"/>
        </w:rPr>
      </w:pPr>
    </w:p>
    <w:p w14:paraId="3A4FFAE5" w14:textId="77777777" w:rsidR="00374898" w:rsidRPr="0033056E" w:rsidRDefault="00374898" w:rsidP="00374898">
      <w:pPr>
        <w:rPr>
          <w:sz w:val="22"/>
          <w:szCs w:val="22"/>
          <w:u w:val="single"/>
          <w:lang w:val="sk-SK"/>
        </w:rPr>
      </w:pPr>
      <w:r w:rsidRPr="0033056E">
        <w:rPr>
          <w:sz w:val="22"/>
          <w:szCs w:val="22"/>
          <w:u w:val="single"/>
          <w:lang w:val="sk-SK"/>
        </w:rPr>
        <w:t>Hlásenie podozrení na nežiaduce reakcie</w:t>
      </w:r>
    </w:p>
    <w:p w14:paraId="2958E86D" w14:textId="0FCF11D5" w:rsidR="00374898" w:rsidRPr="00BB6D58" w:rsidRDefault="00374898" w:rsidP="00374898">
      <w:pPr>
        <w:rPr>
          <w:sz w:val="22"/>
          <w:szCs w:val="22"/>
          <w:lang w:val="sk-SK"/>
        </w:rPr>
      </w:pPr>
      <w:r w:rsidRPr="00BB6D58">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A1D6D">
        <w:rPr>
          <w:sz w:val="22"/>
          <w:szCs w:val="22"/>
          <w:lang w:val="sk-SK"/>
        </w:rPr>
        <w:t xml:space="preserve">na </w:t>
      </w:r>
      <w:r w:rsidR="00BF016E" w:rsidRPr="00761B2B">
        <w:rPr>
          <w:noProof/>
          <w:sz w:val="22"/>
          <w:szCs w:val="22"/>
          <w:highlight w:val="lightGray"/>
          <w:lang w:val="sk-SK" w:eastAsia="sk-SK" w:bidi="sk-SK"/>
        </w:rPr>
        <w:t>národné</w:t>
      </w:r>
      <w:r w:rsidR="000A1D6D">
        <w:rPr>
          <w:noProof/>
          <w:sz w:val="22"/>
          <w:szCs w:val="22"/>
          <w:highlight w:val="lightGray"/>
          <w:lang w:val="sk-SK" w:eastAsia="sk-SK" w:bidi="sk-SK"/>
        </w:rPr>
        <w:t xml:space="preserve"> centrum</w:t>
      </w:r>
      <w:r w:rsidR="00BF016E" w:rsidRPr="00761B2B">
        <w:rPr>
          <w:noProof/>
          <w:sz w:val="22"/>
          <w:szCs w:val="22"/>
          <w:highlight w:val="lightGray"/>
          <w:lang w:val="sk-SK" w:eastAsia="sk-SK" w:bidi="sk-SK"/>
        </w:rPr>
        <w:t xml:space="preserve"> hlásenia</w:t>
      </w:r>
      <w:r w:rsidRPr="009419B0">
        <w:rPr>
          <w:sz w:val="22"/>
          <w:highlight w:val="lightGray"/>
          <w:lang w:val="sk-SK"/>
        </w:rPr>
        <w:t xml:space="preserve"> uvedené </w:t>
      </w:r>
      <w:r w:rsidR="00BF016E" w:rsidRPr="00761B2B">
        <w:rPr>
          <w:noProof/>
          <w:sz w:val="22"/>
          <w:szCs w:val="22"/>
          <w:highlight w:val="lightGray"/>
          <w:lang w:val="sk-SK" w:eastAsia="sk-SK" w:bidi="sk-SK"/>
        </w:rPr>
        <w:t>v </w:t>
      </w:r>
      <w:hyperlink r:id="rId7" w:history="1">
        <w:r w:rsidR="00BF016E" w:rsidRPr="00761B2B">
          <w:rPr>
            <w:noProof/>
            <w:color w:val="0000FF"/>
            <w:sz w:val="22"/>
            <w:szCs w:val="22"/>
            <w:highlight w:val="lightGray"/>
            <w:u w:val="single"/>
            <w:lang w:val="sk-SK" w:eastAsia="sk-SK" w:bidi="sk-SK"/>
          </w:rPr>
          <w:t>P</w:t>
        </w:r>
        <w:r w:rsidR="00BF016E" w:rsidRPr="00761B2B">
          <w:rPr>
            <w:color w:val="0000FF"/>
            <w:sz w:val="22"/>
            <w:highlight w:val="lightGray"/>
            <w:u w:val="single"/>
            <w:lang w:val="sk-SK" w:eastAsia="sk-SK" w:bidi="sk-SK"/>
          </w:rPr>
          <w:t xml:space="preserve">rílohe </w:t>
        </w:r>
        <w:r w:rsidR="00BF016E" w:rsidRPr="00761B2B">
          <w:rPr>
            <w:noProof/>
            <w:color w:val="0000FF"/>
            <w:sz w:val="22"/>
            <w:szCs w:val="22"/>
            <w:highlight w:val="lightGray"/>
            <w:u w:val="single"/>
            <w:lang w:val="sk-SK" w:eastAsia="sk-SK" w:bidi="sk-SK"/>
          </w:rPr>
          <w:t>V</w:t>
        </w:r>
      </w:hyperlink>
      <w:r w:rsidR="0033056E" w:rsidRPr="005F07D2">
        <w:rPr>
          <w:sz w:val="22"/>
          <w:szCs w:val="22"/>
          <w:lang w:val="sk-SK"/>
        </w:rPr>
        <w:t>.</w:t>
      </w:r>
    </w:p>
    <w:p w14:paraId="1B17D7BF" w14:textId="77777777" w:rsidR="0033056E" w:rsidRPr="005F07D2" w:rsidRDefault="0033056E" w:rsidP="0033056E">
      <w:pPr>
        <w:rPr>
          <w:sz w:val="22"/>
          <w:szCs w:val="22"/>
          <w:lang w:val="sk-SK"/>
        </w:rPr>
      </w:pPr>
    </w:p>
    <w:p w14:paraId="1DFDCE96" w14:textId="77777777" w:rsidR="00374898" w:rsidRPr="00EB5AA1" w:rsidRDefault="00374898" w:rsidP="00374898">
      <w:pPr>
        <w:rPr>
          <w:sz w:val="22"/>
          <w:szCs w:val="22"/>
          <w:lang w:val="sk-SK"/>
        </w:rPr>
      </w:pPr>
    </w:p>
    <w:p w14:paraId="2CEB102F" w14:textId="77777777" w:rsidR="00374898" w:rsidRPr="00EB5AA1" w:rsidRDefault="00374898" w:rsidP="00374898">
      <w:pPr>
        <w:keepNext/>
        <w:keepLines/>
        <w:ind w:left="567" w:hanging="567"/>
        <w:rPr>
          <w:b/>
          <w:bCs/>
          <w:sz w:val="22"/>
          <w:szCs w:val="22"/>
          <w:lang w:val="sk-SK"/>
        </w:rPr>
      </w:pPr>
      <w:r w:rsidRPr="00EB5AA1">
        <w:rPr>
          <w:b/>
          <w:bCs/>
          <w:sz w:val="22"/>
          <w:szCs w:val="22"/>
          <w:lang w:val="sk-SK"/>
        </w:rPr>
        <w:t>4.9</w:t>
      </w:r>
      <w:r w:rsidRPr="00EB5AA1">
        <w:rPr>
          <w:rStyle w:val="tw4winExternal"/>
          <w:rFonts w:ascii="Times New Roman" w:hAnsi="Times New Roman"/>
          <w:sz w:val="22"/>
          <w:szCs w:val="22"/>
          <w:lang w:val="sk-SK"/>
        </w:rPr>
        <w:tab/>
      </w:r>
      <w:r w:rsidRPr="00EB5AA1">
        <w:rPr>
          <w:b/>
          <w:bCs/>
          <w:sz w:val="22"/>
          <w:szCs w:val="22"/>
          <w:lang w:val="sk-SK"/>
        </w:rPr>
        <w:t>Predávkovanie</w:t>
      </w:r>
    </w:p>
    <w:p w14:paraId="50D89DAF" w14:textId="77777777" w:rsidR="00374898" w:rsidRPr="00EB5AA1" w:rsidRDefault="00374898" w:rsidP="00374898">
      <w:pPr>
        <w:keepNext/>
        <w:keepLines/>
        <w:rPr>
          <w:sz w:val="22"/>
          <w:szCs w:val="22"/>
          <w:lang w:val="sk-SK"/>
        </w:rPr>
      </w:pPr>
    </w:p>
    <w:p w14:paraId="21262EC6" w14:textId="77777777" w:rsidR="00374898" w:rsidRPr="00EB5AA1" w:rsidRDefault="00374898" w:rsidP="00374898">
      <w:pPr>
        <w:keepNext/>
        <w:keepLines/>
        <w:rPr>
          <w:sz w:val="22"/>
          <w:szCs w:val="22"/>
          <w:lang w:val="sk-SK"/>
        </w:rPr>
      </w:pPr>
      <w:r w:rsidRPr="00EB5AA1">
        <w:rPr>
          <w:sz w:val="22"/>
          <w:szCs w:val="22"/>
          <w:lang w:val="sk-SK"/>
        </w:rPr>
        <w:t xml:space="preserve">Nie je k dispozícii žiadne špecifické </w:t>
      </w:r>
      <w:proofErr w:type="spellStart"/>
      <w:r w:rsidRPr="00EB5AA1">
        <w:rPr>
          <w:sz w:val="22"/>
          <w:szCs w:val="22"/>
          <w:lang w:val="sk-SK"/>
        </w:rPr>
        <w:t>antidotum</w:t>
      </w:r>
      <w:proofErr w:type="spellEnd"/>
      <w:r w:rsidRPr="00EB5AA1">
        <w:rPr>
          <w:sz w:val="22"/>
          <w:szCs w:val="22"/>
          <w:lang w:val="sk-SK"/>
        </w:rPr>
        <w:t>. Akútne reakcie po predávkovaní zahŕňajú hypotenziu, horúčku, zrýchlený pulz a celkové príznaky šoku. Liečba je symptomatická a spojená s dôkladným monitorovaním funkcie pľúc a hematologických parametrov.</w:t>
      </w:r>
    </w:p>
    <w:p w14:paraId="50DD207E" w14:textId="77777777" w:rsidR="00374898" w:rsidRPr="00EB5AA1" w:rsidRDefault="00374898" w:rsidP="00374898">
      <w:pPr>
        <w:keepNext/>
        <w:keepLines/>
        <w:rPr>
          <w:sz w:val="22"/>
          <w:szCs w:val="22"/>
          <w:lang w:val="sk-SK"/>
        </w:rPr>
      </w:pPr>
      <w:r w:rsidRPr="00EB5AA1">
        <w:rPr>
          <w:sz w:val="22"/>
          <w:szCs w:val="22"/>
          <w:lang w:val="sk-SK"/>
        </w:rPr>
        <w:t xml:space="preserve">V prípade dýchacích ťažkostí má byť pacient liečený </w:t>
      </w:r>
      <w:proofErr w:type="spellStart"/>
      <w:r w:rsidRPr="00EB5AA1">
        <w:rPr>
          <w:sz w:val="22"/>
          <w:szCs w:val="22"/>
          <w:lang w:val="sk-SK"/>
        </w:rPr>
        <w:t>kortikosteroidmi</w:t>
      </w:r>
      <w:proofErr w:type="spellEnd"/>
      <w:r w:rsidRPr="00EB5AA1">
        <w:rPr>
          <w:sz w:val="22"/>
          <w:szCs w:val="22"/>
          <w:lang w:val="sk-SK"/>
        </w:rPr>
        <w:t xml:space="preserve"> a širokospektrálnymi antibiotikami. Pľúcne reakcie na predávkovanie (</w:t>
      </w:r>
      <w:proofErr w:type="spellStart"/>
      <w:r w:rsidRPr="00EB5AA1">
        <w:rPr>
          <w:sz w:val="22"/>
          <w:szCs w:val="22"/>
          <w:lang w:val="sk-SK"/>
        </w:rPr>
        <w:t>fibróza</w:t>
      </w:r>
      <w:proofErr w:type="spellEnd"/>
      <w:r w:rsidRPr="00EB5AA1">
        <w:rPr>
          <w:sz w:val="22"/>
          <w:szCs w:val="22"/>
          <w:lang w:val="sk-SK"/>
        </w:rPr>
        <w:t xml:space="preserve">) zvyčajne nie sú reverzibilné, pokiaľ nie sú diagnostikované v skorej fáze. </w:t>
      </w:r>
      <w:proofErr w:type="spellStart"/>
      <w:r w:rsidRPr="00EB5AA1">
        <w:rPr>
          <w:sz w:val="22"/>
          <w:szCs w:val="22"/>
          <w:lang w:val="sk-SK"/>
        </w:rPr>
        <w:t>Bleomycín</w:t>
      </w:r>
      <w:proofErr w:type="spellEnd"/>
      <w:r w:rsidRPr="00EB5AA1">
        <w:rPr>
          <w:sz w:val="22"/>
          <w:szCs w:val="22"/>
          <w:lang w:val="sk-SK"/>
        </w:rPr>
        <w:t xml:space="preserve"> nie je </w:t>
      </w:r>
      <w:proofErr w:type="spellStart"/>
      <w:r w:rsidRPr="00EB5AA1">
        <w:rPr>
          <w:sz w:val="22"/>
          <w:szCs w:val="22"/>
          <w:lang w:val="sk-SK"/>
        </w:rPr>
        <w:t>dialyzovateľný</w:t>
      </w:r>
      <w:proofErr w:type="spellEnd"/>
      <w:r w:rsidRPr="00EB5AA1">
        <w:rPr>
          <w:sz w:val="22"/>
          <w:szCs w:val="22"/>
          <w:lang w:val="sk-SK"/>
        </w:rPr>
        <w:t>.</w:t>
      </w:r>
    </w:p>
    <w:p w14:paraId="4E347550" w14:textId="77777777" w:rsidR="00374898" w:rsidRPr="00EB5AA1" w:rsidRDefault="00374898" w:rsidP="00374898">
      <w:pPr>
        <w:rPr>
          <w:sz w:val="22"/>
          <w:szCs w:val="22"/>
          <w:lang w:val="sk-SK"/>
        </w:rPr>
      </w:pPr>
    </w:p>
    <w:p w14:paraId="4D855B59" w14:textId="77777777" w:rsidR="00374898" w:rsidRPr="00EB5AA1" w:rsidRDefault="00374898" w:rsidP="00374898">
      <w:pPr>
        <w:rPr>
          <w:sz w:val="22"/>
          <w:szCs w:val="22"/>
          <w:lang w:val="sk-SK"/>
        </w:rPr>
      </w:pPr>
    </w:p>
    <w:p w14:paraId="100E44A5" w14:textId="77777777" w:rsidR="00374898" w:rsidRPr="00EB5AA1" w:rsidRDefault="00374898" w:rsidP="00374898">
      <w:pPr>
        <w:ind w:left="567" w:hanging="567"/>
        <w:rPr>
          <w:b/>
          <w:sz w:val="22"/>
          <w:szCs w:val="22"/>
          <w:lang w:val="sk-SK"/>
        </w:rPr>
      </w:pPr>
      <w:r w:rsidRPr="00EB5AA1">
        <w:rPr>
          <w:b/>
          <w:bCs/>
          <w:snapToGrid w:val="0"/>
          <w:sz w:val="22"/>
          <w:szCs w:val="22"/>
          <w:lang w:val="sk-SK"/>
        </w:rPr>
        <w:t>5.</w:t>
      </w:r>
      <w:r w:rsidRPr="00EB5AA1">
        <w:rPr>
          <w:rStyle w:val="tw4winExternal"/>
          <w:rFonts w:ascii="Times New Roman" w:hAnsi="Times New Roman"/>
          <w:sz w:val="22"/>
          <w:szCs w:val="22"/>
          <w:lang w:val="sk-SK"/>
        </w:rPr>
        <w:tab/>
      </w:r>
      <w:r w:rsidRPr="00EB5AA1">
        <w:rPr>
          <w:b/>
          <w:bCs/>
          <w:snapToGrid w:val="0"/>
          <w:sz w:val="22"/>
          <w:szCs w:val="22"/>
          <w:lang w:val="sk-SK"/>
        </w:rPr>
        <w:t>FARMAKOLOGICKÉ VLASTNOSTI</w:t>
      </w:r>
    </w:p>
    <w:p w14:paraId="0E6C2338" w14:textId="77777777" w:rsidR="00374898" w:rsidRPr="00EB5AA1" w:rsidRDefault="00374898" w:rsidP="00374898">
      <w:pPr>
        <w:tabs>
          <w:tab w:val="left" w:pos="567"/>
        </w:tabs>
        <w:rPr>
          <w:sz w:val="22"/>
          <w:szCs w:val="22"/>
          <w:lang w:val="sk-SK"/>
        </w:rPr>
      </w:pPr>
    </w:p>
    <w:p w14:paraId="658FD470" w14:textId="77777777" w:rsidR="00374898" w:rsidRPr="00EB5AA1" w:rsidRDefault="00374898" w:rsidP="00374898">
      <w:pPr>
        <w:ind w:left="567" w:hanging="567"/>
        <w:rPr>
          <w:b/>
          <w:bCs/>
          <w:sz w:val="22"/>
          <w:szCs w:val="22"/>
          <w:lang w:val="sk-SK"/>
        </w:rPr>
      </w:pPr>
      <w:r w:rsidRPr="00EB5AA1">
        <w:rPr>
          <w:b/>
          <w:bCs/>
          <w:snapToGrid w:val="0"/>
          <w:sz w:val="22"/>
          <w:szCs w:val="22"/>
          <w:lang w:val="sk-SK"/>
        </w:rPr>
        <w:t>5.1</w:t>
      </w:r>
      <w:r w:rsidRPr="00EB5AA1">
        <w:rPr>
          <w:rStyle w:val="tw4winExternal"/>
          <w:rFonts w:ascii="Times New Roman" w:hAnsi="Times New Roman"/>
          <w:sz w:val="22"/>
          <w:szCs w:val="22"/>
          <w:lang w:val="sk-SK"/>
        </w:rPr>
        <w:tab/>
      </w:r>
      <w:proofErr w:type="spellStart"/>
      <w:r w:rsidRPr="00EB5AA1">
        <w:rPr>
          <w:b/>
          <w:bCs/>
          <w:sz w:val="22"/>
          <w:szCs w:val="22"/>
          <w:lang w:val="sk-SK"/>
        </w:rPr>
        <w:t>Farmakodynamické</w:t>
      </w:r>
      <w:proofErr w:type="spellEnd"/>
      <w:r w:rsidRPr="00EB5AA1">
        <w:rPr>
          <w:b/>
          <w:bCs/>
          <w:sz w:val="22"/>
          <w:szCs w:val="22"/>
          <w:lang w:val="sk-SK"/>
        </w:rPr>
        <w:t xml:space="preserve"> vlastnosti</w:t>
      </w:r>
    </w:p>
    <w:p w14:paraId="59D5B643" w14:textId="77777777" w:rsidR="00374898" w:rsidRPr="00EB5AA1" w:rsidRDefault="00374898" w:rsidP="00374898">
      <w:pPr>
        <w:rPr>
          <w:sz w:val="22"/>
          <w:szCs w:val="22"/>
          <w:lang w:val="sk-SK"/>
        </w:rPr>
      </w:pPr>
    </w:p>
    <w:p w14:paraId="76BDFF8E" w14:textId="77777777" w:rsidR="00374898" w:rsidRPr="00EB5AA1" w:rsidRDefault="00374898" w:rsidP="00374898">
      <w:pPr>
        <w:rPr>
          <w:sz w:val="22"/>
          <w:szCs w:val="22"/>
          <w:lang w:val="sk-SK"/>
        </w:rPr>
      </w:pPr>
      <w:proofErr w:type="spellStart"/>
      <w:r w:rsidRPr="00EB5AA1">
        <w:rPr>
          <w:sz w:val="22"/>
          <w:szCs w:val="22"/>
          <w:lang w:val="sk-SK"/>
        </w:rPr>
        <w:t>Farmakoterapeutická</w:t>
      </w:r>
      <w:proofErr w:type="spellEnd"/>
      <w:r w:rsidRPr="00EB5AA1">
        <w:rPr>
          <w:sz w:val="22"/>
          <w:szCs w:val="22"/>
          <w:lang w:val="sk-SK"/>
        </w:rPr>
        <w:t xml:space="preserve"> skupina: iné </w:t>
      </w:r>
      <w:proofErr w:type="spellStart"/>
      <w:r w:rsidRPr="00EB5AA1">
        <w:rPr>
          <w:sz w:val="22"/>
          <w:szCs w:val="22"/>
          <w:lang w:val="sk-SK"/>
        </w:rPr>
        <w:t>cytostatické</w:t>
      </w:r>
      <w:proofErr w:type="spellEnd"/>
      <w:r w:rsidRPr="00EB5AA1">
        <w:rPr>
          <w:sz w:val="22"/>
          <w:szCs w:val="22"/>
          <w:lang w:val="sk-SK"/>
        </w:rPr>
        <w:t xml:space="preserve"> antibiotiká. Kód ATC: L01DC 01.</w:t>
      </w:r>
    </w:p>
    <w:p w14:paraId="7201D4E8" w14:textId="77777777" w:rsidR="00374898" w:rsidRPr="00EB5AA1" w:rsidRDefault="00374898" w:rsidP="00374898">
      <w:pPr>
        <w:rPr>
          <w:sz w:val="22"/>
          <w:szCs w:val="22"/>
          <w:lang w:val="sk-SK"/>
        </w:rPr>
      </w:pPr>
    </w:p>
    <w:p w14:paraId="4B51BEE4"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patrí medzi </w:t>
      </w:r>
      <w:proofErr w:type="spellStart"/>
      <w:r w:rsidRPr="00EB5AA1">
        <w:rPr>
          <w:sz w:val="22"/>
          <w:szCs w:val="22"/>
          <w:lang w:val="sk-SK"/>
        </w:rPr>
        <w:t>cytostatické</w:t>
      </w:r>
      <w:proofErr w:type="spellEnd"/>
      <w:r w:rsidRPr="00EB5AA1">
        <w:rPr>
          <w:sz w:val="22"/>
          <w:szCs w:val="22"/>
          <w:lang w:val="sk-SK"/>
        </w:rPr>
        <w:t xml:space="preserve"> antibiotiká: je to zmes štrukturálne príbuzných, zásaditých, vo vode rozpustných, </w:t>
      </w:r>
      <w:proofErr w:type="spellStart"/>
      <w:r w:rsidRPr="00EB5AA1">
        <w:rPr>
          <w:sz w:val="22"/>
          <w:szCs w:val="22"/>
          <w:lang w:val="sk-SK"/>
        </w:rPr>
        <w:t>glykopeptidových</w:t>
      </w:r>
      <w:proofErr w:type="spellEnd"/>
      <w:r w:rsidRPr="00EB5AA1">
        <w:rPr>
          <w:sz w:val="22"/>
          <w:szCs w:val="22"/>
          <w:lang w:val="sk-SK"/>
        </w:rPr>
        <w:t xml:space="preserve"> antibiotík s </w:t>
      </w:r>
      <w:proofErr w:type="spellStart"/>
      <w:r w:rsidRPr="00EB5AA1">
        <w:rPr>
          <w:sz w:val="22"/>
          <w:szCs w:val="22"/>
          <w:lang w:val="sk-SK"/>
        </w:rPr>
        <w:t>cytostatickým</w:t>
      </w:r>
      <w:proofErr w:type="spellEnd"/>
      <w:r w:rsidRPr="00EB5AA1">
        <w:rPr>
          <w:sz w:val="22"/>
          <w:szCs w:val="22"/>
          <w:lang w:val="sk-SK"/>
        </w:rPr>
        <w:t xml:space="preserve"> účinkom. Účinok </w:t>
      </w:r>
      <w:proofErr w:type="spellStart"/>
      <w:r w:rsidRPr="00EB5AA1">
        <w:rPr>
          <w:sz w:val="22"/>
          <w:szCs w:val="22"/>
          <w:lang w:val="sk-SK"/>
        </w:rPr>
        <w:t>bleomycínu</w:t>
      </w:r>
      <w:proofErr w:type="spellEnd"/>
      <w:r w:rsidRPr="00EB5AA1">
        <w:rPr>
          <w:sz w:val="22"/>
          <w:szCs w:val="22"/>
          <w:lang w:val="sk-SK"/>
        </w:rPr>
        <w:t xml:space="preserve"> spočíva v </w:t>
      </w:r>
      <w:proofErr w:type="spellStart"/>
      <w:r w:rsidRPr="00EB5AA1">
        <w:rPr>
          <w:sz w:val="22"/>
          <w:szCs w:val="22"/>
          <w:lang w:val="sk-SK"/>
        </w:rPr>
        <w:t>interkalácii</w:t>
      </w:r>
      <w:proofErr w:type="spellEnd"/>
      <w:r w:rsidRPr="00EB5AA1">
        <w:rPr>
          <w:sz w:val="22"/>
          <w:szCs w:val="22"/>
          <w:lang w:val="sk-SK"/>
        </w:rPr>
        <w:t xml:space="preserve"> do jednovláknovej a dvojvláknovej DNA, čo má za následok jednovláknové a dvojvláknové zlomy, ktoré </w:t>
      </w:r>
      <w:proofErr w:type="spellStart"/>
      <w:r w:rsidRPr="00EB5AA1">
        <w:rPr>
          <w:sz w:val="22"/>
          <w:szCs w:val="22"/>
          <w:lang w:val="sk-SK"/>
        </w:rPr>
        <w:t>inhibujú</w:t>
      </w:r>
      <w:proofErr w:type="spellEnd"/>
      <w:r w:rsidRPr="00EB5AA1">
        <w:rPr>
          <w:sz w:val="22"/>
          <w:szCs w:val="22"/>
          <w:lang w:val="sk-SK"/>
        </w:rPr>
        <w:t xml:space="preserve"> delenie a rast buniek a syntézu DNA v bunkách.</w:t>
      </w:r>
    </w:p>
    <w:p w14:paraId="303D5535" w14:textId="77777777" w:rsidR="00E20160"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v menšej miere ovplyvňuje aj syntézu RNA a bielkovín. Najdôležitejší faktor v tkanivovej </w:t>
      </w:r>
      <w:proofErr w:type="spellStart"/>
      <w:r w:rsidRPr="00EB5AA1">
        <w:rPr>
          <w:sz w:val="22"/>
          <w:szCs w:val="22"/>
          <w:lang w:val="sk-SK"/>
        </w:rPr>
        <w:t>selektivite</w:t>
      </w:r>
      <w:proofErr w:type="spellEnd"/>
      <w:r w:rsidRPr="00EB5AA1">
        <w:rPr>
          <w:sz w:val="22"/>
          <w:szCs w:val="22"/>
          <w:lang w:val="sk-SK"/>
        </w:rPr>
        <w:t xml:space="preserve"> </w:t>
      </w:r>
      <w:proofErr w:type="spellStart"/>
      <w:r w:rsidRPr="00EB5AA1">
        <w:rPr>
          <w:sz w:val="22"/>
          <w:szCs w:val="22"/>
          <w:lang w:val="sk-SK"/>
        </w:rPr>
        <w:t>bleomycínu</w:t>
      </w:r>
      <w:proofErr w:type="spellEnd"/>
      <w:r w:rsidRPr="00EB5AA1">
        <w:rPr>
          <w:sz w:val="22"/>
          <w:szCs w:val="22"/>
          <w:lang w:val="sk-SK"/>
        </w:rPr>
        <w:t xml:space="preserve"> je rozdiel v </w:t>
      </w:r>
      <w:proofErr w:type="spellStart"/>
      <w:r w:rsidRPr="00EB5AA1">
        <w:rPr>
          <w:sz w:val="22"/>
          <w:szCs w:val="22"/>
          <w:lang w:val="sk-SK"/>
        </w:rPr>
        <w:t>intercelulárnej</w:t>
      </w:r>
      <w:proofErr w:type="spellEnd"/>
      <w:r w:rsidRPr="00EB5AA1">
        <w:rPr>
          <w:sz w:val="22"/>
          <w:szCs w:val="22"/>
          <w:lang w:val="sk-SK"/>
        </w:rPr>
        <w:t xml:space="preserve"> inaktivite. Najcitlivejšie sú bunky vo fáze G2 a M bunkového cyklu. V poslednom desaťročí sa však zhromaždilo čoraz viac dôkazov, ktoré poukazujú na RNA ako na iný možný molekulárny cieľ. </w:t>
      </w:r>
      <w:proofErr w:type="spellStart"/>
      <w:r w:rsidRPr="00EB5AA1">
        <w:rPr>
          <w:sz w:val="22"/>
          <w:szCs w:val="22"/>
          <w:lang w:val="sk-SK"/>
        </w:rPr>
        <w:t>Skvamózne</w:t>
      </w:r>
      <w:proofErr w:type="spellEnd"/>
      <w:r w:rsidRPr="00EB5AA1">
        <w:rPr>
          <w:sz w:val="22"/>
          <w:szCs w:val="22"/>
          <w:lang w:val="sk-SK"/>
        </w:rPr>
        <w:t xml:space="preserve"> bunky, v ktorých dochádza k veľmi malému </w:t>
      </w:r>
    </w:p>
    <w:p w14:paraId="18F6D9EC" w14:textId="77777777" w:rsidR="00E20160" w:rsidRDefault="00E20160" w:rsidP="00374898">
      <w:pPr>
        <w:rPr>
          <w:sz w:val="22"/>
          <w:szCs w:val="22"/>
          <w:lang w:val="sk-SK"/>
        </w:rPr>
      </w:pPr>
    </w:p>
    <w:p w14:paraId="1A151F5A" w14:textId="3BFAA0C8" w:rsidR="00374898" w:rsidRPr="00EB5AA1" w:rsidRDefault="00374898" w:rsidP="00374898">
      <w:pPr>
        <w:rPr>
          <w:sz w:val="22"/>
          <w:szCs w:val="22"/>
          <w:lang w:val="sk-SK"/>
        </w:rPr>
      </w:pPr>
      <w:r w:rsidRPr="00EB5AA1">
        <w:rPr>
          <w:sz w:val="22"/>
          <w:szCs w:val="22"/>
          <w:lang w:val="sk-SK"/>
        </w:rPr>
        <w:t xml:space="preserve">stupňu hydrolýzy </w:t>
      </w:r>
      <w:proofErr w:type="spellStart"/>
      <w:r w:rsidRPr="00EB5AA1">
        <w:rPr>
          <w:sz w:val="22"/>
          <w:szCs w:val="22"/>
          <w:lang w:val="sk-SK"/>
        </w:rPr>
        <w:t>bleomycínu</w:t>
      </w:r>
      <w:proofErr w:type="spellEnd"/>
      <w:r w:rsidRPr="00EB5AA1">
        <w:rPr>
          <w:sz w:val="22"/>
          <w:szCs w:val="22"/>
          <w:lang w:val="sk-SK"/>
        </w:rPr>
        <w:t xml:space="preserve">, vykazujú vysokú citlivosť na </w:t>
      </w:r>
      <w:proofErr w:type="spellStart"/>
      <w:r w:rsidRPr="00EB5AA1">
        <w:rPr>
          <w:sz w:val="22"/>
          <w:szCs w:val="22"/>
          <w:lang w:val="sk-SK"/>
        </w:rPr>
        <w:t>bleomycín</w:t>
      </w:r>
      <w:proofErr w:type="spellEnd"/>
      <w:r w:rsidRPr="00EB5AA1">
        <w:rPr>
          <w:sz w:val="22"/>
          <w:szCs w:val="22"/>
          <w:lang w:val="sk-SK"/>
        </w:rPr>
        <w:t xml:space="preserve">. V citlivých tkanivách, ako aj v normálnych </w:t>
      </w:r>
      <w:proofErr w:type="spellStart"/>
      <w:r w:rsidRPr="00EB5AA1">
        <w:rPr>
          <w:sz w:val="22"/>
          <w:szCs w:val="22"/>
          <w:lang w:val="sk-SK"/>
        </w:rPr>
        <w:t>neoplastických</w:t>
      </w:r>
      <w:proofErr w:type="spellEnd"/>
      <w:r w:rsidRPr="00EB5AA1">
        <w:rPr>
          <w:sz w:val="22"/>
          <w:szCs w:val="22"/>
          <w:lang w:val="sk-SK"/>
        </w:rPr>
        <w:t xml:space="preserve"> tkanivách, často dochádza k chromozómovým abnormalitám, akými sú fragmentácia, </w:t>
      </w:r>
      <w:proofErr w:type="spellStart"/>
      <w:r w:rsidRPr="00EB5AA1">
        <w:rPr>
          <w:sz w:val="22"/>
          <w:szCs w:val="22"/>
          <w:lang w:val="sk-SK"/>
        </w:rPr>
        <w:t>chromatidové</w:t>
      </w:r>
      <w:proofErr w:type="spellEnd"/>
      <w:r w:rsidRPr="00EB5AA1">
        <w:rPr>
          <w:sz w:val="22"/>
          <w:szCs w:val="22"/>
          <w:lang w:val="sk-SK"/>
        </w:rPr>
        <w:t xml:space="preserve"> zlomy a </w:t>
      </w:r>
      <w:proofErr w:type="spellStart"/>
      <w:r w:rsidRPr="00EB5AA1">
        <w:rPr>
          <w:sz w:val="22"/>
          <w:szCs w:val="22"/>
          <w:lang w:val="sk-SK"/>
        </w:rPr>
        <w:t>translokácie</w:t>
      </w:r>
      <w:proofErr w:type="spellEnd"/>
      <w:r w:rsidRPr="00EB5AA1">
        <w:rPr>
          <w:sz w:val="22"/>
          <w:szCs w:val="22"/>
          <w:lang w:val="sk-SK"/>
        </w:rPr>
        <w:t>.</w:t>
      </w:r>
    </w:p>
    <w:p w14:paraId="3760701A" w14:textId="77777777" w:rsidR="00374898" w:rsidRPr="00EB5AA1" w:rsidRDefault="00374898" w:rsidP="00374898">
      <w:pPr>
        <w:rPr>
          <w:sz w:val="22"/>
          <w:szCs w:val="22"/>
          <w:lang w:val="sk-SK"/>
        </w:rPr>
      </w:pPr>
    </w:p>
    <w:p w14:paraId="09B955F6" w14:textId="77777777" w:rsidR="00374898" w:rsidRPr="00EB5AA1" w:rsidRDefault="00374898" w:rsidP="00374898">
      <w:pPr>
        <w:rPr>
          <w:sz w:val="22"/>
          <w:szCs w:val="22"/>
          <w:lang w:val="sk-SK"/>
        </w:rPr>
      </w:pPr>
      <w:r w:rsidRPr="00EB5AA1">
        <w:rPr>
          <w:sz w:val="22"/>
          <w:szCs w:val="22"/>
          <w:lang w:val="sk-SK"/>
        </w:rPr>
        <w:t xml:space="preserve">Dobre diferencované nádory zvyčajne reagujú lepšie ako </w:t>
      </w:r>
      <w:proofErr w:type="spellStart"/>
      <w:r w:rsidRPr="00EB5AA1">
        <w:rPr>
          <w:sz w:val="22"/>
          <w:szCs w:val="22"/>
          <w:lang w:val="sk-SK"/>
        </w:rPr>
        <w:t>anaplastické</w:t>
      </w:r>
      <w:proofErr w:type="spellEnd"/>
      <w:r w:rsidRPr="00EB5AA1">
        <w:rPr>
          <w:sz w:val="22"/>
          <w:szCs w:val="22"/>
          <w:lang w:val="sk-SK"/>
        </w:rPr>
        <w:t xml:space="preserve"> nádory.</w:t>
      </w:r>
    </w:p>
    <w:p w14:paraId="262380E8" w14:textId="77777777" w:rsidR="00374898" w:rsidRPr="00EB5AA1" w:rsidRDefault="00374898" w:rsidP="00374898">
      <w:pPr>
        <w:rPr>
          <w:sz w:val="22"/>
          <w:szCs w:val="22"/>
          <w:lang w:val="sk-SK"/>
        </w:rPr>
      </w:pPr>
    </w:p>
    <w:p w14:paraId="3B150326" w14:textId="77777777" w:rsidR="00374898" w:rsidRPr="00EB5AA1" w:rsidRDefault="00374898" w:rsidP="00374898">
      <w:pPr>
        <w:rPr>
          <w:sz w:val="22"/>
          <w:szCs w:val="22"/>
          <w:lang w:val="sk-SK"/>
        </w:rPr>
      </w:pPr>
      <w:r w:rsidRPr="00EB5AA1">
        <w:rPr>
          <w:sz w:val="22"/>
          <w:szCs w:val="22"/>
          <w:lang w:val="sk-SK"/>
        </w:rPr>
        <w:t xml:space="preserve">K enzymatickému rozkladu </w:t>
      </w:r>
      <w:proofErr w:type="spellStart"/>
      <w:r w:rsidRPr="00EB5AA1">
        <w:rPr>
          <w:sz w:val="22"/>
          <w:szCs w:val="22"/>
          <w:lang w:val="sk-SK"/>
        </w:rPr>
        <w:t>bleomycínu</w:t>
      </w:r>
      <w:proofErr w:type="spellEnd"/>
      <w:r w:rsidRPr="00EB5AA1">
        <w:rPr>
          <w:sz w:val="22"/>
          <w:szCs w:val="22"/>
          <w:lang w:val="sk-SK"/>
        </w:rPr>
        <w:t xml:space="preserve"> dochádza predovšetkým v plazme, pečeni a iných orgánoch a v menšej miere v koži a pľúcach.</w:t>
      </w:r>
    </w:p>
    <w:p w14:paraId="30268B7E" w14:textId="77777777" w:rsidR="00374898" w:rsidRPr="00EB5AA1" w:rsidRDefault="00374898" w:rsidP="00374898">
      <w:pPr>
        <w:rPr>
          <w:sz w:val="22"/>
          <w:szCs w:val="22"/>
          <w:lang w:val="sk-SK"/>
        </w:rPr>
      </w:pPr>
    </w:p>
    <w:p w14:paraId="51C22D93" w14:textId="77777777" w:rsidR="00374898" w:rsidRPr="00EB5AA1" w:rsidRDefault="00374898" w:rsidP="00374898">
      <w:pPr>
        <w:ind w:left="567" w:hanging="567"/>
        <w:rPr>
          <w:b/>
          <w:bCs/>
          <w:sz w:val="22"/>
          <w:szCs w:val="22"/>
          <w:lang w:val="sk-SK"/>
        </w:rPr>
      </w:pPr>
      <w:r w:rsidRPr="00EB5AA1">
        <w:rPr>
          <w:b/>
          <w:bCs/>
          <w:sz w:val="22"/>
          <w:szCs w:val="22"/>
          <w:lang w:val="sk-SK"/>
        </w:rPr>
        <w:t>5.2</w:t>
      </w:r>
      <w:r w:rsidRPr="00EB5AA1">
        <w:rPr>
          <w:rStyle w:val="tw4winExternal"/>
          <w:rFonts w:ascii="Times New Roman" w:hAnsi="Times New Roman"/>
          <w:sz w:val="22"/>
          <w:szCs w:val="22"/>
          <w:lang w:val="sk-SK"/>
        </w:rPr>
        <w:tab/>
      </w:r>
      <w:proofErr w:type="spellStart"/>
      <w:r w:rsidRPr="00EB5AA1">
        <w:rPr>
          <w:b/>
          <w:bCs/>
          <w:sz w:val="22"/>
          <w:szCs w:val="22"/>
          <w:lang w:val="sk-SK"/>
        </w:rPr>
        <w:t>Farmakokinetické</w:t>
      </w:r>
      <w:proofErr w:type="spellEnd"/>
      <w:r w:rsidRPr="00EB5AA1">
        <w:rPr>
          <w:b/>
          <w:bCs/>
          <w:sz w:val="22"/>
          <w:szCs w:val="22"/>
          <w:lang w:val="sk-SK"/>
        </w:rPr>
        <w:t xml:space="preserve"> vlastnosti</w:t>
      </w:r>
    </w:p>
    <w:p w14:paraId="215B4136" w14:textId="77777777" w:rsidR="00374898" w:rsidRPr="00EB5AA1" w:rsidRDefault="00374898" w:rsidP="00374898">
      <w:pPr>
        <w:rPr>
          <w:sz w:val="22"/>
          <w:szCs w:val="22"/>
          <w:lang w:val="sk-SK"/>
        </w:rPr>
      </w:pPr>
    </w:p>
    <w:p w14:paraId="44E1822B" w14:textId="77777777" w:rsidR="00374898" w:rsidRPr="00EB5AA1" w:rsidRDefault="00374898" w:rsidP="00374898">
      <w:pPr>
        <w:rPr>
          <w:sz w:val="22"/>
          <w:szCs w:val="22"/>
          <w:u w:val="single"/>
          <w:lang w:val="sk-SK"/>
        </w:rPr>
      </w:pPr>
      <w:r w:rsidRPr="00EB5AA1">
        <w:rPr>
          <w:sz w:val="22"/>
          <w:szCs w:val="22"/>
          <w:u w:val="single"/>
          <w:lang w:val="sk-SK"/>
        </w:rPr>
        <w:t>Absorpcia</w:t>
      </w:r>
    </w:p>
    <w:p w14:paraId="1A4B8563"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podáva </w:t>
      </w:r>
      <w:proofErr w:type="spellStart"/>
      <w:r w:rsidRPr="00EB5AA1">
        <w:rPr>
          <w:sz w:val="22"/>
          <w:szCs w:val="22"/>
          <w:lang w:val="sk-SK"/>
        </w:rPr>
        <w:t>parenterálne</w:t>
      </w:r>
      <w:proofErr w:type="spellEnd"/>
      <w:r w:rsidRPr="00EB5AA1">
        <w:rPr>
          <w:sz w:val="22"/>
          <w:szCs w:val="22"/>
          <w:lang w:val="sk-SK"/>
        </w:rPr>
        <w:t xml:space="preserve">. Po </w:t>
      </w:r>
      <w:proofErr w:type="spellStart"/>
      <w:r w:rsidRPr="00EB5AA1">
        <w:rPr>
          <w:sz w:val="22"/>
          <w:szCs w:val="22"/>
          <w:lang w:val="sk-SK"/>
        </w:rPr>
        <w:t>intrapleurálnom</w:t>
      </w:r>
      <w:proofErr w:type="spellEnd"/>
      <w:r w:rsidRPr="00EB5AA1">
        <w:rPr>
          <w:sz w:val="22"/>
          <w:szCs w:val="22"/>
          <w:lang w:val="sk-SK"/>
        </w:rPr>
        <w:t xml:space="preserve"> alebo </w:t>
      </w:r>
      <w:proofErr w:type="spellStart"/>
      <w:r w:rsidRPr="00EB5AA1">
        <w:rPr>
          <w:sz w:val="22"/>
          <w:szCs w:val="22"/>
          <w:lang w:val="sk-SK"/>
        </w:rPr>
        <w:t>intraperitoneálnom</w:t>
      </w:r>
      <w:proofErr w:type="spellEnd"/>
      <w:r w:rsidRPr="00EB5AA1">
        <w:rPr>
          <w:sz w:val="22"/>
          <w:szCs w:val="22"/>
          <w:lang w:val="sk-SK"/>
        </w:rPr>
        <w:t xml:space="preserve"> podaní sa </w:t>
      </w:r>
      <w:proofErr w:type="spellStart"/>
      <w:r w:rsidRPr="00EB5AA1">
        <w:rPr>
          <w:sz w:val="22"/>
          <w:szCs w:val="22"/>
          <w:lang w:val="sk-SK"/>
        </w:rPr>
        <w:t>bleomycín</w:t>
      </w:r>
      <w:proofErr w:type="spellEnd"/>
      <w:r w:rsidRPr="00EB5AA1">
        <w:rPr>
          <w:sz w:val="22"/>
          <w:szCs w:val="22"/>
          <w:lang w:val="sk-SK"/>
        </w:rPr>
        <w:t xml:space="preserve"> absorbuje systémovo. Po </w:t>
      </w:r>
      <w:proofErr w:type="spellStart"/>
      <w:r w:rsidRPr="00EB5AA1">
        <w:rPr>
          <w:sz w:val="22"/>
          <w:szCs w:val="22"/>
          <w:lang w:val="sk-SK"/>
        </w:rPr>
        <w:t>intrapleurálnom</w:t>
      </w:r>
      <w:proofErr w:type="spellEnd"/>
      <w:r w:rsidRPr="00EB5AA1">
        <w:rPr>
          <w:sz w:val="22"/>
          <w:szCs w:val="22"/>
          <w:lang w:val="sk-SK"/>
        </w:rPr>
        <w:t xml:space="preserve"> podaní sa približne 45 % absorbuje do krvného obehu.</w:t>
      </w:r>
    </w:p>
    <w:p w14:paraId="5E48F1AB" w14:textId="77777777" w:rsidR="00374898" w:rsidRPr="00EB5AA1" w:rsidRDefault="00374898" w:rsidP="00374898">
      <w:pPr>
        <w:rPr>
          <w:sz w:val="22"/>
          <w:szCs w:val="22"/>
          <w:lang w:val="sk-SK"/>
        </w:rPr>
      </w:pPr>
      <w:r w:rsidRPr="00EB5AA1">
        <w:rPr>
          <w:sz w:val="22"/>
          <w:szCs w:val="22"/>
          <w:lang w:val="sk-SK"/>
        </w:rPr>
        <w:t xml:space="preserve">U ľudí sa po podaní </w:t>
      </w:r>
      <w:proofErr w:type="spellStart"/>
      <w:r w:rsidRPr="00EB5AA1">
        <w:rPr>
          <w:sz w:val="22"/>
          <w:szCs w:val="22"/>
          <w:lang w:val="sk-SK"/>
        </w:rPr>
        <w:t>intramuskulárnej</w:t>
      </w:r>
      <w:proofErr w:type="spellEnd"/>
      <w:r w:rsidRPr="00EB5AA1">
        <w:rPr>
          <w:sz w:val="22"/>
          <w:szCs w:val="22"/>
          <w:lang w:val="sk-SK"/>
        </w:rPr>
        <w:t xml:space="preserve"> injekcie 15 x 10³ IU dosiahla maximálna plazmatická koncentrácia 1 IU/ml do 30 minút po podaní. U ľudí sa po podaní intravenóznej injekcie 15 x 10³ IU/m² dosiahla maximálna plazmatická koncentrácia 1 </w:t>
      </w:r>
      <w:r>
        <w:rPr>
          <w:sz w:val="22"/>
          <w:szCs w:val="22"/>
          <w:lang w:val="sk-SK"/>
        </w:rPr>
        <w:t>–</w:t>
      </w:r>
      <w:r w:rsidRPr="00EB5AA1">
        <w:rPr>
          <w:sz w:val="22"/>
          <w:szCs w:val="22"/>
          <w:lang w:val="sk-SK"/>
        </w:rPr>
        <w:t xml:space="preserve"> 10 IU/ml.</w:t>
      </w:r>
    </w:p>
    <w:p w14:paraId="2F6C0AA2" w14:textId="77777777" w:rsidR="00374898" w:rsidRPr="00EB5AA1" w:rsidRDefault="00374898" w:rsidP="00374898">
      <w:pPr>
        <w:rPr>
          <w:sz w:val="22"/>
          <w:szCs w:val="22"/>
          <w:lang w:val="sk-SK"/>
        </w:rPr>
      </w:pPr>
      <w:r w:rsidRPr="00EB5AA1">
        <w:rPr>
          <w:sz w:val="22"/>
          <w:szCs w:val="22"/>
          <w:lang w:val="sk-SK"/>
        </w:rPr>
        <w:t xml:space="preserve">Po kontinuálnej infúzii 30 x 10³ IU </w:t>
      </w:r>
      <w:proofErr w:type="spellStart"/>
      <w:r w:rsidRPr="00EB5AA1">
        <w:rPr>
          <w:sz w:val="22"/>
          <w:szCs w:val="22"/>
          <w:lang w:val="sk-SK"/>
        </w:rPr>
        <w:t>bleomycínu</w:t>
      </w:r>
      <w:proofErr w:type="spellEnd"/>
      <w:r w:rsidRPr="00EB5AA1">
        <w:rPr>
          <w:sz w:val="22"/>
          <w:szCs w:val="22"/>
          <w:lang w:val="sk-SK"/>
        </w:rPr>
        <w:t xml:space="preserve"> denne počas 4 až 5 dní sa dosiahla priemerná rovnovážna plazmatická koncentrácia 1 až 3 IU/ml.</w:t>
      </w:r>
    </w:p>
    <w:p w14:paraId="5EE0B6B3" w14:textId="77777777" w:rsidR="00374898" w:rsidRPr="00EB5AA1" w:rsidRDefault="00374898" w:rsidP="00374898">
      <w:pPr>
        <w:rPr>
          <w:sz w:val="22"/>
          <w:szCs w:val="22"/>
          <w:lang w:val="sk-SK"/>
        </w:rPr>
      </w:pPr>
    </w:p>
    <w:p w14:paraId="6DCDE6AA" w14:textId="77777777" w:rsidR="00374898" w:rsidRPr="00EB5AA1" w:rsidRDefault="00374898" w:rsidP="00374898">
      <w:pPr>
        <w:rPr>
          <w:sz w:val="22"/>
          <w:szCs w:val="22"/>
          <w:u w:val="single"/>
          <w:lang w:val="sk-SK"/>
        </w:rPr>
      </w:pPr>
      <w:r w:rsidRPr="00EB5AA1">
        <w:rPr>
          <w:sz w:val="22"/>
          <w:szCs w:val="22"/>
          <w:u w:val="single"/>
          <w:lang w:val="sk-SK"/>
        </w:rPr>
        <w:t>Distribúcia</w:t>
      </w:r>
    </w:p>
    <w:p w14:paraId="0F16E858"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po </w:t>
      </w:r>
      <w:proofErr w:type="spellStart"/>
      <w:r w:rsidRPr="00EB5AA1">
        <w:rPr>
          <w:sz w:val="22"/>
          <w:szCs w:val="22"/>
          <w:lang w:val="sk-SK"/>
        </w:rPr>
        <w:t>parenterálnom</w:t>
      </w:r>
      <w:proofErr w:type="spellEnd"/>
      <w:r w:rsidRPr="00EB5AA1">
        <w:rPr>
          <w:sz w:val="22"/>
          <w:szCs w:val="22"/>
          <w:lang w:val="sk-SK"/>
        </w:rPr>
        <w:t xml:space="preserve"> podaní distribuuje predovšetkým do kože, pľúc, obličiek, </w:t>
      </w:r>
      <w:proofErr w:type="spellStart"/>
      <w:r w:rsidRPr="00EB5AA1">
        <w:rPr>
          <w:sz w:val="22"/>
          <w:szCs w:val="22"/>
          <w:lang w:val="sk-SK"/>
        </w:rPr>
        <w:t>peritonea</w:t>
      </w:r>
      <w:proofErr w:type="spellEnd"/>
      <w:r w:rsidRPr="00EB5AA1">
        <w:rPr>
          <w:sz w:val="22"/>
          <w:szCs w:val="22"/>
          <w:lang w:val="sk-SK"/>
        </w:rPr>
        <w:t xml:space="preserve"> a lymfy. V kostnej dreni sa nachádzajú iba nízke koncentrácie. V prípade neporušených </w:t>
      </w:r>
      <w:proofErr w:type="spellStart"/>
      <w:r w:rsidRPr="00EB5AA1">
        <w:rPr>
          <w:sz w:val="22"/>
          <w:szCs w:val="22"/>
          <w:lang w:val="sk-SK"/>
        </w:rPr>
        <w:t>meningov</w:t>
      </w:r>
      <w:proofErr w:type="spellEnd"/>
      <w:r w:rsidRPr="00EB5AA1">
        <w:rPr>
          <w:sz w:val="22"/>
          <w:szCs w:val="22"/>
          <w:lang w:val="sk-SK"/>
        </w:rPr>
        <w:t xml:space="preserve"> </w:t>
      </w:r>
      <w:proofErr w:type="spellStart"/>
      <w:r w:rsidRPr="00EB5AA1">
        <w:rPr>
          <w:sz w:val="22"/>
          <w:szCs w:val="22"/>
          <w:lang w:val="sk-SK"/>
        </w:rPr>
        <w:t>bleomycín</w:t>
      </w:r>
      <w:proofErr w:type="spellEnd"/>
      <w:r w:rsidRPr="00EB5AA1">
        <w:rPr>
          <w:sz w:val="22"/>
          <w:szCs w:val="22"/>
          <w:lang w:val="sk-SK"/>
        </w:rPr>
        <w:t xml:space="preserve"> nedokáže prejsť </w:t>
      </w:r>
      <w:proofErr w:type="spellStart"/>
      <w:r w:rsidRPr="00EB5AA1">
        <w:rPr>
          <w:sz w:val="22"/>
          <w:szCs w:val="22"/>
          <w:lang w:val="sk-SK"/>
        </w:rPr>
        <w:t>hematoencefalickou</w:t>
      </w:r>
      <w:proofErr w:type="spellEnd"/>
      <w:r w:rsidRPr="00EB5AA1">
        <w:rPr>
          <w:sz w:val="22"/>
          <w:szCs w:val="22"/>
          <w:lang w:val="sk-SK"/>
        </w:rPr>
        <w:t xml:space="preserve"> bariérou. Distribučný objem je približne 17,5 l/m². </w:t>
      </w:r>
      <w:proofErr w:type="spellStart"/>
      <w:r w:rsidRPr="00EB5AA1">
        <w:rPr>
          <w:sz w:val="22"/>
          <w:szCs w:val="22"/>
          <w:lang w:val="sk-SK"/>
        </w:rPr>
        <w:t>Bleomycín</w:t>
      </w:r>
      <w:proofErr w:type="spellEnd"/>
      <w:r w:rsidRPr="00EB5AA1">
        <w:rPr>
          <w:sz w:val="22"/>
          <w:szCs w:val="22"/>
          <w:lang w:val="sk-SK"/>
        </w:rPr>
        <w:t xml:space="preserve"> prechádza placentou.</w:t>
      </w:r>
    </w:p>
    <w:p w14:paraId="7CDC30B0" w14:textId="77777777" w:rsidR="00374898" w:rsidRPr="00EB5AA1" w:rsidRDefault="00374898" w:rsidP="00374898">
      <w:pPr>
        <w:rPr>
          <w:sz w:val="22"/>
          <w:szCs w:val="22"/>
          <w:lang w:val="sk-SK"/>
        </w:rPr>
      </w:pPr>
    </w:p>
    <w:p w14:paraId="2644BD09" w14:textId="77777777" w:rsidR="00374898" w:rsidRPr="00EB5AA1" w:rsidRDefault="00374898" w:rsidP="00374898">
      <w:pPr>
        <w:rPr>
          <w:sz w:val="22"/>
          <w:szCs w:val="22"/>
          <w:lang w:val="sk-SK"/>
        </w:rPr>
      </w:pPr>
      <w:r w:rsidRPr="00EB5AA1">
        <w:rPr>
          <w:sz w:val="22"/>
          <w:szCs w:val="22"/>
          <w:lang w:val="sk-SK"/>
        </w:rPr>
        <w:t xml:space="preserve">Väzba </w:t>
      </w:r>
      <w:proofErr w:type="spellStart"/>
      <w:r w:rsidRPr="00EB5AA1">
        <w:rPr>
          <w:sz w:val="22"/>
          <w:szCs w:val="22"/>
          <w:lang w:val="sk-SK"/>
        </w:rPr>
        <w:t>bleomycínu</w:t>
      </w:r>
      <w:proofErr w:type="spellEnd"/>
      <w:r w:rsidRPr="00EB5AA1">
        <w:rPr>
          <w:sz w:val="22"/>
          <w:szCs w:val="22"/>
          <w:lang w:val="sk-SK"/>
        </w:rPr>
        <w:t xml:space="preserve"> na plazmatické bielkoviny je veľmi nízka.</w:t>
      </w:r>
    </w:p>
    <w:p w14:paraId="3614C7BB" w14:textId="77777777" w:rsidR="00374898" w:rsidRPr="00EB5AA1" w:rsidRDefault="00374898" w:rsidP="00374898">
      <w:pPr>
        <w:rPr>
          <w:sz w:val="22"/>
          <w:szCs w:val="22"/>
          <w:lang w:val="sk-SK"/>
        </w:rPr>
      </w:pPr>
    </w:p>
    <w:p w14:paraId="563F1305" w14:textId="77777777" w:rsidR="00374898" w:rsidRPr="00EB5AA1" w:rsidRDefault="00374898" w:rsidP="00374898">
      <w:pPr>
        <w:keepNext/>
        <w:keepLines/>
        <w:rPr>
          <w:sz w:val="22"/>
          <w:szCs w:val="22"/>
          <w:u w:val="single"/>
          <w:lang w:val="sk-SK"/>
        </w:rPr>
      </w:pPr>
      <w:proofErr w:type="spellStart"/>
      <w:r w:rsidRPr="00EB5AA1">
        <w:rPr>
          <w:sz w:val="22"/>
          <w:szCs w:val="22"/>
          <w:u w:val="single"/>
          <w:lang w:val="sk-SK"/>
        </w:rPr>
        <w:t>Biotransformácia</w:t>
      </w:r>
      <w:proofErr w:type="spellEnd"/>
    </w:p>
    <w:p w14:paraId="4CC98899" w14:textId="77777777" w:rsidR="00374898" w:rsidRPr="00EB5AA1" w:rsidRDefault="00374898" w:rsidP="00374898">
      <w:pPr>
        <w:keepNext/>
        <w:keepLines/>
        <w:rPr>
          <w:sz w:val="22"/>
          <w:szCs w:val="22"/>
          <w:lang w:val="sk-SK"/>
        </w:rPr>
      </w:pPr>
      <w:proofErr w:type="spellStart"/>
      <w:r w:rsidRPr="00EB5AA1">
        <w:rPr>
          <w:sz w:val="22"/>
          <w:szCs w:val="22"/>
          <w:lang w:val="sk-SK"/>
        </w:rPr>
        <w:t>Biotransformácia</w:t>
      </w:r>
      <w:proofErr w:type="spellEnd"/>
      <w:r w:rsidRPr="00EB5AA1">
        <w:rPr>
          <w:sz w:val="22"/>
          <w:szCs w:val="22"/>
          <w:lang w:val="sk-SK"/>
        </w:rPr>
        <w:t xml:space="preserve"> nie je úplne objasnená.</w:t>
      </w:r>
    </w:p>
    <w:p w14:paraId="6A8A30FE" w14:textId="77777777" w:rsidR="00374898" w:rsidRPr="00EB5AA1" w:rsidRDefault="00374898" w:rsidP="00374898">
      <w:pPr>
        <w:keepNext/>
        <w:keepLines/>
        <w:rPr>
          <w:sz w:val="22"/>
          <w:szCs w:val="22"/>
          <w:lang w:val="sk-SK"/>
        </w:rPr>
      </w:pPr>
      <w:r w:rsidRPr="00EB5AA1">
        <w:rPr>
          <w:sz w:val="22"/>
          <w:szCs w:val="22"/>
          <w:lang w:val="sk-SK"/>
        </w:rPr>
        <w:t xml:space="preserve">K </w:t>
      </w:r>
      <w:proofErr w:type="spellStart"/>
      <w:r w:rsidRPr="00EB5AA1">
        <w:rPr>
          <w:sz w:val="22"/>
          <w:szCs w:val="22"/>
          <w:lang w:val="sk-SK"/>
        </w:rPr>
        <w:t>inaktivácii</w:t>
      </w:r>
      <w:proofErr w:type="spellEnd"/>
      <w:r w:rsidRPr="00EB5AA1">
        <w:rPr>
          <w:sz w:val="22"/>
          <w:szCs w:val="22"/>
          <w:lang w:val="sk-SK"/>
        </w:rPr>
        <w:t xml:space="preserve"> </w:t>
      </w:r>
      <w:proofErr w:type="spellStart"/>
      <w:r w:rsidRPr="00EB5AA1">
        <w:rPr>
          <w:sz w:val="22"/>
          <w:szCs w:val="22"/>
          <w:lang w:val="sk-SK"/>
        </w:rPr>
        <w:t>bleomycínu</w:t>
      </w:r>
      <w:proofErr w:type="spellEnd"/>
      <w:r w:rsidRPr="00EB5AA1">
        <w:rPr>
          <w:sz w:val="22"/>
          <w:szCs w:val="22"/>
          <w:lang w:val="sk-SK"/>
        </w:rPr>
        <w:t xml:space="preserve"> dochádza prostredníctvom enzymatického rozkladu, a to pomocou hydrolýzy </w:t>
      </w:r>
      <w:proofErr w:type="spellStart"/>
      <w:r w:rsidRPr="00EB5AA1">
        <w:rPr>
          <w:sz w:val="22"/>
          <w:szCs w:val="22"/>
          <w:lang w:val="sk-SK"/>
        </w:rPr>
        <w:t>bleomycínu</w:t>
      </w:r>
      <w:proofErr w:type="spellEnd"/>
      <w:r w:rsidRPr="00EB5AA1">
        <w:rPr>
          <w:sz w:val="22"/>
          <w:szCs w:val="22"/>
          <w:lang w:val="sk-SK"/>
        </w:rPr>
        <w:t xml:space="preserve"> predovšetkým v plazme, pečeni a iných orgánoch a v menšej miere v koži a pľúcach.</w:t>
      </w:r>
    </w:p>
    <w:p w14:paraId="52867131" w14:textId="77777777" w:rsidR="00374898" w:rsidRPr="00EB5AA1" w:rsidRDefault="00374898" w:rsidP="00374898">
      <w:pPr>
        <w:rPr>
          <w:sz w:val="22"/>
          <w:szCs w:val="22"/>
          <w:lang w:val="sk-SK"/>
        </w:rPr>
      </w:pPr>
    </w:p>
    <w:p w14:paraId="0AB13461" w14:textId="77777777" w:rsidR="00374898" w:rsidRPr="00EB5AA1" w:rsidRDefault="00374898" w:rsidP="00374898">
      <w:pPr>
        <w:rPr>
          <w:sz w:val="22"/>
          <w:szCs w:val="22"/>
          <w:u w:val="single"/>
          <w:lang w:val="sk-SK"/>
        </w:rPr>
      </w:pPr>
      <w:r w:rsidRPr="00EB5AA1">
        <w:rPr>
          <w:sz w:val="22"/>
          <w:szCs w:val="22"/>
          <w:u w:val="single"/>
          <w:lang w:val="sk-SK"/>
        </w:rPr>
        <w:t>Eliminácia</w:t>
      </w:r>
    </w:p>
    <w:p w14:paraId="4B331CF8" w14:textId="77777777" w:rsidR="00374898" w:rsidRPr="00EB5AA1" w:rsidRDefault="00374898" w:rsidP="00374898">
      <w:pPr>
        <w:rPr>
          <w:sz w:val="22"/>
          <w:szCs w:val="22"/>
          <w:lang w:val="sk-SK"/>
        </w:rPr>
      </w:pPr>
      <w:r w:rsidRPr="00EB5AA1">
        <w:rPr>
          <w:sz w:val="22"/>
          <w:szCs w:val="22"/>
          <w:lang w:val="sk-SK"/>
        </w:rPr>
        <w:t xml:space="preserve">Po intravenóznom podaní </w:t>
      </w:r>
      <w:proofErr w:type="spellStart"/>
      <w:r w:rsidRPr="00EB5AA1">
        <w:rPr>
          <w:sz w:val="22"/>
          <w:szCs w:val="22"/>
          <w:lang w:val="sk-SK"/>
        </w:rPr>
        <w:t>bolusovej</w:t>
      </w:r>
      <w:proofErr w:type="spellEnd"/>
      <w:r w:rsidRPr="00EB5AA1">
        <w:rPr>
          <w:sz w:val="22"/>
          <w:szCs w:val="22"/>
          <w:lang w:val="sk-SK"/>
        </w:rPr>
        <w:t xml:space="preserve"> injekcie je </w:t>
      </w:r>
      <w:proofErr w:type="spellStart"/>
      <w:r w:rsidRPr="00EB5AA1">
        <w:rPr>
          <w:sz w:val="22"/>
          <w:szCs w:val="22"/>
          <w:lang w:val="sk-SK"/>
        </w:rPr>
        <w:t>klírens</w:t>
      </w:r>
      <w:proofErr w:type="spellEnd"/>
      <w:r w:rsidRPr="00EB5AA1">
        <w:rPr>
          <w:sz w:val="22"/>
          <w:szCs w:val="22"/>
          <w:lang w:val="sk-SK"/>
        </w:rPr>
        <w:t xml:space="preserve"> rýchly a dochádza k dvojfázovej eliminácii. Po krátkej počiatočnej fáze (t</w:t>
      </w:r>
      <w:r w:rsidRPr="00EB5AA1">
        <w:rPr>
          <w:sz w:val="22"/>
          <w:szCs w:val="22"/>
          <w:vertAlign w:val="subscript"/>
          <w:lang w:val="sk-SK"/>
        </w:rPr>
        <w:t>1/2α</w:t>
      </w:r>
      <w:r w:rsidRPr="00EB5AA1">
        <w:rPr>
          <w:sz w:val="22"/>
          <w:szCs w:val="22"/>
          <w:lang w:val="sk-SK"/>
        </w:rPr>
        <w:t>; 24 min) nasleduje dlhšia konečná fáza (t</w:t>
      </w:r>
      <w:r w:rsidRPr="00EB5AA1">
        <w:rPr>
          <w:sz w:val="22"/>
          <w:szCs w:val="22"/>
          <w:vertAlign w:val="subscript"/>
          <w:lang w:val="sk-SK"/>
        </w:rPr>
        <w:t>1/2β</w:t>
      </w:r>
      <w:r w:rsidRPr="00EB5AA1">
        <w:rPr>
          <w:sz w:val="22"/>
          <w:szCs w:val="22"/>
          <w:lang w:val="sk-SK"/>
        </w:rPr>
        <w:t xml:space="preserve">; 2 – 4 hodiny). Po </w:t>
      </w:r>
      <w:proofErr w:type="spellStart"/>
      <w:r w:rsidRPr="00EB5AA1">
        <w:rPr>
          <w:sz w:val="22"/>
          <w:szCs w:val="22"/>
          <w:lang w:val="sk-SK"/>
        </w:rPr>
        <w:t>i.v</w:t>
      </w:r>
      <w:proofErr w:type="spellEnd"/>
      <w:r w:rsidRPr="00EB5AA1">
        <w:rPr>
          <w:sz w:val="22"/>
          <w:szCs w:val="22"/>
          <w:lang w:val="sk-SK"/>
        </w:rPr>
        <w:t xml:space="preserve">. </w:t>
      </w:r>
      <w:proofErr w:type="spellStart"/>
      <w:r w:rsidRPr="00EB5AA1">
        <w:rPr>
          <w:sz w:val="22"/>
          <w:szCs w:val="22"/>
          <w:lang w:val="sk-SK"/>
        </w:rPr>
        <w:t>bolusovej</w:t>
      </w:r>
      <w:proofErr w:type="spellEnd"/>
      <w:r w:rsidRPr="00EB5AA1">
        <w:rPr>
          <w:sz w:val="22"/>
          <w:szCs w:val="22"/>
          <w:lang w:val="sk-SK"/>
        </w:rPr>
        <w:t xml:space="preserve"> injekcii 15 x 10³ IU/m² je maximálna plazmatická koncentrácia 1 až 10 </w:t>
      </w:r>
      <w:proofErr w:type="spellStart"/>
      <w:r w:rsidRPr="00EB5AA1">
        <w:rPr>
          <w:sz w:val="22"/>
          <w:szCs w:val="22"/>
          <w:lang w:val="sk-SK"/>
        </w:rPr>
        <w:t>μg</w:t>
      </w:r>
      <w:proofErr w:type="spellEnd"/>
      <w:r w:rsidRPr="00EB5AA1">
        <w:rPr>
          <w:sz w:val="22"/>
          <w:szCs w:val="22"/>
          <w:lang w:val="sk-SK"/>
        </w:rPr>
        <w:t xml:space="preserve">/ml. Po kontinuálnej </w:t>
      </w:r>
      <w:proofErr w:type="spellStart"/>
      <w:r w:rsidRPr="00EB5AA1">
        <w:rPr>
          <w:sz w:val="22"/>
          <w:szCs w:val="22"/>
          <w:lang w:val="sk-SK"/>
        </w:rPr>
        <w:t>i.v</w:t>
      </w:r>
      <w:proofErr w:type="spellEnd"/>
      <w:r w:rsidRPr="00EB5AA1">
        <w:rPr>
          <w:sz w:val="22"/>
          <w:szCs w:val="22"/>
          <w:lang w:val="sk-SK"/>
        </w:rPr>
        <w:t>. infúzii sa môže eliminačný polčas predĺžiť približne na 9 hodín.</w:t>
      </w:r>
    </w:p>
    <w:p w14:paraId="02EB249F" w14:textId="77777777" w:rsidR="00374898" w:rsidRPr="00EB5AA1" w:rsidRDefault="00374898" w:rsidP="00374898">
      <w:pPr>
        <w:rPr>
          <w:sz w:val="22"/>
          <w:szCs w:val="22"/>
          <w:lang w:val="sk-SK"/>
        </w:rPr>
      </w:pPr>
      <w:r w:rsidRPr="00EB5AA1">
        <w:rPr>
          <w:sz w:val="22"/>
          <w:szCs w:val="22"/>
          <w:lang w:val="sk-SK"/>
        </w:rPr>
        <w:t xml:space="preserve">Približne 2/3 podaného množstva </w:t>
      </w:r>
      <w:proofErr w:type="spellStart"/>
      <w:r w:rsidRPr="00EB5AA1">
        <w:rPr>
          <w:sz w:val="22"/>
          <w:szCs w:val="22"/>
          <w:lang w:val="sk-SK"/>
        </w:rPr>
        <w:t>bleomycínu</w:t>
      </w:r>
      <w:proofErr w:type="spellEnd"/>
      <w:r w:rsidRPr="00EB5AA1">
        <w:rPr>
          <w:sz w:val="22"/>
          <w:szCs w:val="22"/>
          <w:lang w:val="sk-SK"/>
        </w:rPr>
        <w:t xml:space="preserve"> sa vylúčia v nezmenenej forme močom. Rýchlosť vylučovania je vo veľkej miere ovplyvnená funkciou obličiek.</w:t>
      </w:r>
    </w:p>
    <w:p w14:paraId="11E8A907" w14:textId="77777777" w:rsidR="00374898" w:rsidRPr="00EB5AA1" w:rsidRDefault="00374898" w:rsidP="00374898">
      <w:pPr>
        <w:rPr>
          <w:sz w:val="22"/>
          <w:szCs w:val="22"/>
          <w:lang w:val="sk-SK"/>
        </w:rPr>
      </w:pPr>
      <w:r w:rsidRPr="00EB5AA1">
        <w:rPr>
          <w:sz w:val="22"/>
          <w:szCs w:val="22"/>
          <w:lang w:val="sk-SK"/>
        </w:rPr>
        <w:t>Pri podávaní zvyčajných dávok pacientom s poruchou funkcie obličiek sa plazmatické koncentrácie výrazne zvýšia.</w:t>
      </w:r>
    </w:p>
    <w:p w14:paraId="25A92D0A"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nie je dobre </w:t>
      </w:r>
      <w:proofErr w:type="spellStart"/>
      <w:r w:rsidRPr="00EB5AA1">
        <w:rPr>
          <w:sz w:val="22"/>
          <w:szCs w:val="22"/>
          <w:lang w:val="sk-SK"/>
        </w:rPr>
        <w:t>dialyzovateľný</w:t>
      </w:r>
      <w:proofErr w:type="spellEnd"/>
      <w:r w:rsidRPr="00EB5AA1">
        <w:rPr>
          <w:sz w:val="22"/>
          <w:szCs w:val="22"/>
          <w:lang w:val="sk-SK"/>
        </w:rPr>
        <w:t>.</w:t>
      </w:r>
    </w:p>
    <w:p w14:paraId="6631ABA7" w14:textId="77777777" w:rsidR="00374898" w:rsidRPr="00EB5AA1" w:rsidRDefault="00374898" w:rsidP="00374898">
      <w:pPr>
        <w:rPr>
          <w:sz w:val="22"/>
          <w:szCs w:val="22"/>
          <w:lang w:val="sk-SK"/>
        </w:rPr>
      </w:pPr>
    </w:p>
    <w:p w14:paraId="1A930966" w14:textId="77777777" w:rsidR="00374898" w:rsidRPr="00EB5AA1" w:rsidRDefault="00374898" w:rsidP="00374898">
      <w:pPr>
        <w:ind w:left="567" w:hanging="567"/>
        <w:rPr>
          <w:b/>
          <w:bCs/>
          <w:sz w:val="22"/>
          <w:szCs w:val="22"/>
          <w:lang w:val="sk-SK"/>
        </w:rPr>
      </w:pPr>
      <w:r w:rsidRPr="00EB5AA1">
        <w:rPr>
          <w:b/>
          <w:bCs/>
          <w:sz w:val="22"/>
          <w:szCs w:val="22"/>
          <w:lang w:val="sk-SK"/>
        </w:rPr>
        <w:t>5.3</w:t>
      </w:r>
      <w:r w:rsidRPr="00EB5AA1">
        <w:rPr>
          <w:rStyle w:val="tw4winExternal"/>
          <w:rFonts w:ascii="Times New Roman" w:hAnsi="Times New Roman"/>
          <w:sz w:val="22"/>
          <w:szCs w:val="22"/>
          <w:lang w:val="sk-SK"/>
        </w:rPr>
        <w:tab/>
      </w:r>
      <w:r w:rsidRPr="00EB5AA1">
        <w:rPr>
          <w:b/>
          <w:bCs/>
          <w:sz w:val="22"/>
          <w:szCs w:val="22"/>
          <w:lang w:val="sk-SK"/>
        </w:rPr>
        <w:t>Predklinické údaje o bezpečnosti</w:t>
      </w:r>
    </w:p>
    <w:p w14:paraId="15DC5ED5" w14:textId="77777777" w:rsidR="00374898" w:rsidRPr="00EB5AA1" w:rsidRDefault="00374898" w:rsidP="00374898">
      <w:pPr>
        <w:rPr>
          <w:sz w:val="22"/>
          <w:szCs w:val="22"/>
          <w:lang w:val="sk-SK"/>
        </w:rPr>
      </w:pPr>
    </w:p>
    <w:p w14:paraId="422EBD83" w14:textId="77777777" w:rsidR="00374898" w:rsidRPr="00EB5AA1" w:rsidRDefault="00374898" w:rsidP="00374898">
      <w:pPr>
        <w:rPr>
          <w:sz w:val="22"/>
          <w:szCs w:val="22"/>
          <w:lang w:val="sk-SK"/>
        </w:rPr>
      </w:pPr>
      <w:r w:rsidRPr="00EB5AA1">
        <w:rPr>
          <w:sz w:val="22"/>
          <w:szCs w:val="22"/>
          <w:lang w:val="sk-SK"/>
        </w:rPr>
        <w:t xml:space="preserve">Na základe svojich farmakologických vlastností má </w:t>
      </w:r>
      <w:proofErr w:type="spellStart"/>
      <w:r w:rsidRPr="00EB5AA1">
        <w:rPr>
          <w:sz w:val="22"/>
          <w:szCs w:val="22"/>
          <w:lang w:val="sk-SK"/>
        </w:rPr>
        <w:t>bleomycín</w:t>
      </w:r>
      <w:proofErr w:type="spellEnd"/>
      <w:r w:rsidRPr="00EB5AA1">
        <w:rPr>
          <w:sz w:val="22"/>
          <w:szCs w:val="22"/>
          <w:lang w:val="sk-SK"/>
        </w:rPr>
        <w:t xml:space="preserve"> mutagénne, karcinogénne a </w:t>
      </w:r>
      <w:proofErr w:type="spellStart"/>
      <w:r w:rsidRPr="00EB5AA1">
        <w:rPr>
          <w:sz w:val="22"/>
          <w:szCs w:val="22"/>
          <w:lang w:val="sk-SK"/>
        </w:rPr>
        <w:t>teratogénne</w:t>
      </w:r>
      <w:proofErr w:type="spellEnd"/>
      <w:r w:rsidRPr="00EB5AA1">
        <w:rPr>
          <w:sz w:val="22"/>
          <w:szCs w:val="22"/>
          <w:lang w:val="sk-SK"/>
        </w:rPr>
        <w:t xml:space="preserve"> účinky, ktoré bolo možné preukázať na príslušných experimentálnych systémoch.</w:t>
      </w:r>
    </w:p>
    <w:p w14:paraId="162923E8" w14:textId="77777777" w:rsidR="00374898" w:rsidRPr="00EB5AA1" w:rsidRDefault="00374898" w:rsidP="00374898">
      <w:pPr>
        <w:rPr>
          <w:sz w:val="22"/>
          <w:szCs w:val="22"/>
          <w:lang w:val="sk-SK"/>
        </w:rPr>
      </w:pPr>
      <w:r w:rsidRPr="00EB5AA1">
        <w:rPr>
          <w:sz w:val="22"/>
          <w:szCs w:val="22"/>
          <w:lang w:val="sk-SK"/>
        </w:rPr>
        <w:t>Mutagénne účinky sa u ľudí očakávajú pri klinicky významných hladinách expozície.</w:t>
      </w:r>
    </w:p>
    <w:p w14:paraId="4353428A" w14:textId="77777777" w:rsidR="00374898" w:rsidRPr="00EB5AA1" w:rsidRDefault="00374898" w:rsidP="00374898">
      <w:pPr>
        <w:rPr>
          <w:sz w:val="22"/>
          <w:szCs w:val="22"/>
          <w:lang w:val="sk-SK"/>
        </w:rPr>
      </w:pPr>
      <w:r w:rsidRPr="00EB5AA1">
        <w:rPr>
          <w:sz w:val="22"/>
          <w:szCs w:val="22"/>
          <w:lang w:val="sk-SK"/>
        </w:rPr>
        <w:t xml:space="preserve">Pokiaľ ide o reprodukčnú toxicitu, u myší a potkanov boli sledované rôzne toxické účinky. U králikov sa </w:t>
      </w:r>
      <w:proofErr w:type="spellStart"/>
      <w:r w:rsidRPr="00EB5AA1">
        <w:rPr>
          <w:sz w:val="22"/>
          <w:szCs w:val="22"/>
          <w:lang w:val="sk-SK"/>
        </w:rPr>
        <w:t>teratogenita</w:t>
      </w:r>
      <w:proofErr w:type="spellEnd"/>
      <w:r w:rsidRPr="00EB5AA1">
        <w:rPr>
          <w:sz w:val="22"/>
          <w:szCs w:val="22"/>
          <w:lang w:val="sk-SK"/>
        </w:rPr>
        <w:t xml:space="preserve"> nepozorovala. U myší boli samičie reprodukčné bunky citlivejšie na </w:t>
      </w:r>
      <w:proofErr w:type="spellStart"/>
      <w:r w:rsidRPr="00EB5AA1">
        <w:rPr>
          <w:sz w:val="22"/>
          <w:szCs w:val="22"/>
          <w:lang w:val="sk-SK"/>
        </w:rPr>
        <w:t>cytotoxické</w:t>
      </w:r>
      <w:proofErr w:type="spellEnd"/>
      <w:r w:rsidRPr="00EB5AA1">
        <w:rPr>
          <w:sz w:val="22"/>
          <w:szCs w:val="22"/>
          <w:lang w:val="sk-SK"/>
        </w:rPr>
        <w:t xml:space="preserve"> a mutagénne účinky </w:t>
      </w:r>
      <w:proofErr w:type="spellStart"/>
      <w:r w:rsidRPr="00EB5AA1">
        <w:rPr>
          <w:sz w:val="22"/>
          <w:szCs w:val="22"/>
          <w:lang w:val="sk-SK"/>
        </w:rPr>
        <w:t>bleomycínu</w:t>
      </w:r>
      <w:proofErr w:type="spellEnd"/>
      <w:r w:rsidRPr="00EB5AA1">
        <w:rPr>
          <w:sz w:val="22"/>
          <w:szCs w:val="22"/>
          <w:lang w:val="sk-SK"/>
        </w:rPr>
        <w:t xml:space="preserve"> ako samčie bunky.</w:t>
      </w:r>
    </w:p>
    <w:p w14:paraId="6C2C7801" w14:textId="77777777" w:rsidR="00374898" w:rsidRPr="00EB5AA1" w:rsidRDefault="00374898" w:rsidP="00374898">
      <w:pPr>
        <w:rPr>
          <w:sz w:val="22"/>
          <w:szCs w:val="22"/>
          <w:lang w:val="sk-SK"/>
        </w:rPr>
      </w:pPr>
      <w:r w:rsidRPr="00EB5AA1">
        <w:rPr>
          <w:sz w:val="22"/>
          <w:szCs w:val="22"/>
          <w:lang w:val="sk-SK"/>
        </w:rPr>
        <w:t>V ľudských bunkách kostnej drene sa pozorovali chromozómové abnormality. Význam týchto zistení pre embryonálny/</w:t>
      </w:r>
      <w:proofErr w:type="spellStart"/>
      <w:r w:rsidRPr="00EB5AA1">
        <w:rPr>
          <w:sz w:val="22"/>
          <w:szCs w:val="22"/>
          <w:lang w:val="sk-SK"/>
        </w:rPr>
        <w:t>fetálny</w:t>
      </w:r>
      <w:proofErr w:type="spellEnd"/>
      <w:r w:rsidRPr="00EB5AA1">
        <w:rPr>
          <w:sz w:val="22"/>
          <w:szCs w:val="22"/>
          <w:lang w:val="sk-SK"/>
        </w:rPr>
        <w:t xml:space="preserve"> vývoj u ľudí nie je známy.</w:t>
      </w:r>
    </w:p>
    <w:p w14:paraId="0104B055" w14:textId="77777777" w:rsidR="00374898" w:rsidRPr="00EB5AA1" w:rsidRDefault="00374898" w:rsidP="00374898">
      <w:pPr>
        <w:tabs>
          <w:tab w:val="left" w:pos="567"/>
        </w:tabs>
        <w:rPr>
          <w:sz w:val="22"/>
          <w:szCs w:val="22"/>
          <w:lang w:val="sk-SK"/>
        </w:rPr>
      </w:pPr>
    </w:p>
    <w:p w14:paraId="2BED6AFF" w14:textId="77777777" w:rsidR="00374898" w:rsidRPr="00EB5AA1" w:rsidRDefault="00374898" w:rsidP="00374898">
      <w:pPr>
        <w:tabs>
          <w:tab w:val="left" w:pos="567"/>
        </w:tabs>
        <w:rPr>
          <w:sz w:val="22"/>
          <w:szCs w:val="22"/>
          <w:lang w:val="sk-SK"/>
        </w:rPr>
      </w:pPr>
    </w:p>
    <w:p w14:paraId="4E2E825E" w14:textId="77777777" w:rsidR="00374898" w:rsidRPr="00EB5AA1" w:rsidRDefault="00374898" w:rsidP="00374898">
      <w:pPr>
        <w:ind w:left="567" w:hanging="567"/>
        <w:rPr>
          <w:b/>
          <w:sz w:val="22"/>
          <w:szCs w:val="22"/>
          <w:lang w:val="sk-SK"/>
        </w:rPr>
      </w:pPr>
      <w:r w:rsidRPr="00EB5AA1">
        <w:rPr>
          <w:b/>
          <w:bCs/>
          <w:snapToGrid w:val="0"/>
          <w:sz w:val="22"/>
          <w:szCs w:val="22"/>
          <w:lang w:val="sk-SK"/>
        </w:rPr>
        <w:t>6.</w:t>
      </w:r>
      <w:r w:rsidRPr="00EB5AA1">
        <w:rPr>
          <w:rStyle w:val="tw4winExternal"/>
          <w:rFonts w:ascii="Times New Roman" w:hAnsi="Times New Roman"/>
          <w:sz w:val="22"/>
          <w:szCs w:val="22"/>
          <w:lang w:val="sk-SK"/>
        </w:rPr>
        <w:tab/>
      </w:r>
      <w:r w:rsidRPr="00EB5AA1">
        <w:rPr>
          <w:b/>
          <w:bCs/>
          <w:snapToGrid w:val="0"/>
          <w:sz w:val="22"/>
          <w:szCs w:val="22"/>
          <w:lang w:val="sk-SK"/>
        </w:rPr>
        <w:t>FARMACEUTICKÉ INFORMÁCIE</w:t>
      </w:r>
    </w:p>
    <w:p w14:paraId="694C2B4C" w14:textId="77777777" w:rsidR="00374898" w:rsidRPr="00EB5AA1" w:rsidRDefault="00374898" w:rsidP="00374898">
      <w:pPr>
        <w:tabs>
          <w:tab w:val="left" w:pos="567"/>
        </w:tabs>
        <w:rPr>
          <w:sz w:val="22"/>
          <w:szCs w:val="22"/>
          <w:lang w:val="sk-SK"/>
        </w:rPr>
      </w:pPr>
    </w:p>
    <w:p w14:paraId="2A25EE5C" w14:textId="77777777" w:rsidR="00374898" w:rsidRPr="00EB5AA1" w:rsidRDefault="00374898" w:rsidP="00374898">
      <w:pPr>
        <w:ind w:left="567" w:hanging="567"/>
        <w:rPr>
          <w:b/>
          <w:sz w:val="22"/>
          <w:szCs w:val="22"/>
          <w:lang w:val="sk-SK"/>
        </w:rPr>
      </w:pPr>
      <w:r w:rsidRPr="00EB5AA1">
        <w:rPr>
          <w:b/>
          <w:bCs/>
          <w:snapToGrid w:val="0"/>
          <w:sz w:val="22"/>
          <w:szCs w:val="22"/>
          <w:lang w:val="sk-SK"/>
        </w:rPr>
        <w:t>6.1</w:t>
      </w:r>
      <w:r w:rsidRPr="00EB5AA1">
        <w:rPr>
          <w:rStyle w:val="tw4winExternal"/>
          <w:rFonts w:ascii="Times New Roman" w:hAnsi="Times New Roman"/>
          <w:sz w:val="22"/>
          <w:szCs w:val="22"/>
          <w:lang w:val="sk-SK"/>
        </w:rPr>
        <w:tab/>
      </w:r>
      <w:r w:rsidRPr="00EB5AA1">
        <w:rPr>
          <w:b/>
          <w:bCs/>
          <w:snapToGrid w:val="0"/>
          <w:sz w:val="22"/>
          <w:szCs w:val="22"/>
          <w:lang w:val="sk-SK"/>
        </w:rPr>
        <w:t>Zoznam pomocných látok</w:t>
      </w:r>
    </w:p>
    <w:p w14:paraId="0C35FA8B" w14:textId="77777777" w:rsidR="00374898" w:rsidRPr="00EB5AA1" w:rsidRDefault="00374898" w:rsidP="00374898">
      <w:pPr>
        <w:pStyle w:val="Zarkazkladnhotextu"/>
        <w:ind w:left="0"/>
        <w:jc w:val="left"/>
        <w:rPr>
          <w:sz w:val="22"/>
          <w:szCs w:val="22"/>
          <w:lang w:val="sk-SK"/>
        </w:rPr>
      </w:pPr>
    </w:p>
    <w:p w14:paraId="0DD9660A" w14:textId="77777777" w:rsidR="00374898" w:rsidRPr="00EB5AA1" w:rsidRDefault="00374898" w:rsidP="00374898">
      <w:pPr>
        <w:pStyle w:val="Zarkazkladnhotextu"/>
        <w:ind w:left="0"/>
        <w:jc w:val="left"/>
        <w:rPr>
          <w:sz w:val="22"/>
          <w:szCs w:val="22"/>
          <w:lang w:val="sk-SK"/>
        </w:rPr>
      </w:pPr>
      <w:r w:rsidRPr="00EB5AA1">
        <w:rPr>
          <w:sz w:val="22"/>
          <w:szCs w:val="22"/>
          <w:lang w:val="sk-SK"/>
        </w:rPr>
        <w:t>Nemá.</w:t>
      </w:r>
    </w:p>
    <w:p w14:paraId="682C424E" w14:textId="77777777" w:rsidR="00374898" w:rsidRPr="00EB5AA1" w:rsidRDefault="00374898" w:rsidP="00374898">
      <w:pPr>
        <w:rPr>
          <w:sz w:val="22"/>
          <w:szCs w:val="22"/>
          <w:lang w:val="sk-SK"/>
        </w:rPr>
      </w:pPr>
    </w:p>
    <w:p w14:paraId="04F89EC7" w14:textId="77777777" w:rsidR="00374898" w:rsidRPr="00EB5AA1" w:rsidRDefault="00374898" w:rsidP="00374898">
      <w:pPr>
        <w:rPr>
          <w:b/>
          <w:sz w:val="22"/>
          <w:szCs w:val="22"/>
          <w:lang w:val="sk-SK"/>
        </w:rPr>
      </w:pPr>
      <w:r w:rsidRPr="00EB5AA1">
        <w:rPr>
          <w:b/>
          <w:bCs/>
          <w:snapToGrid w:val="0"/>
          <w:sz w:val="22"/>
          <w:szCs w:val="22"/>
          <w:lang w:val="sk-SK"/>
        </w:rPr>
        <w:t>6.2</w:t>
      </w:r>
      <w:r w:rsidRPr="00EB5AA1">
        <w:rPr>
          <w:rStyle w:val="tw4winExternal"/>
          <w:rFonts w:ascii="Times New Roman" w:hAnsi="Times New Roman"/>
          <w:sz w:val="22"/>
          <w:szCs w:val="22"/>
          <w:lang w:val="sk-SK"/>
        </w:rPr>
        <w:tab/>
      </w:r>
      <w:r w:rsidRPr="00EB5AA1">
        <w:rPr>
          <w:b/>
          <w:bCs/>
          <w:snapToGrid w:val="0"/>
          <w:sz w:val="22"/>
          <w:szCs w:val="22"/>
          <w:lang w:val="sk-SK"/>
        </w:rPr>
        <w:t>Inkompatibility</w:t>
      </w:r>
    </w:p>
    <w:p w14:paraId="50EFF61C" w14:textId="77777777" w:rsidR="00374898" w:rsidRPr="00EB5AA1" w:rsidRDefault="00374898" w:rsidP="00374898">
      <w:pPr>
        <w:autoSpaceDE w:val="0"/>
        <w:autoSpaceDN w:val="0"/>
        <w:adjustRightInd w:val="0"/>
        <w:rPr>
          <w:sz w:val="22"/>
          <w:szCs w:val="22"/>
          <w:lang w:val="sk-SK"/>
        </w:rPr>
      </w:pPr>
    </w:p>
    <w:p w14:paraId="20C16465" w14:textId="77777777" w:rsidR="00374898" w:rsidRPr="00EB5AA1" w:rsidRDefault="00374898" w:rsidP="00374898">
      <w:pPr>
        <w:autoSpaceDE w:val="0"/>
        <w:autoSpaceDN w:val="0"/>
        <w:adjustRightInd w:val="0"/>
        <w:rPr>
          <w:rFonts w:eastAsia="Times New Roman"/>
          <w:bCs/>
          <w:iCs/>
          <w:sz w:val="22"/>
          <w:szCs w:val="22"/>
          <w:lang w:val="sk-SK"/>
        </w:rPr>
      </w:pPr>
      <w:r w:rsidRPr="00EB5AA1">
        <w:rPr>
          <w:sz w:val="22"/>
          <w:szCs w:val="22"/>
          <w:lang w:val="sk-SK"/>
        </w:rPr>
        <w:t xml:space="preserve">Roztoky </w:t>
      </w:r>
      <w:proofErr w:type="spellStart"/>
      <w:r w:rsidRPr="00EB5AA1">
        <w:rPr>
          <w:sz w:val="22"/>
          <w:szCs w:val="22"/>
          <w:lang w:val="sk-SK"/>
        </w:rPr>
        <w:t>Bleomedacu</w:t>
      </w:r>
      <w:proofErr w:type="spellEnd"/>
      <w:r w:rsidRPr="00EB5AA1">
        <w:rPr>
          <w:sz w:val="22"/>
          <w:szCs w:val="22"/>
          <w:lang w:val="sk-SK"/>
        </w:rPr>
        <w:t xml:space="preserve"> </w:t>
      </w:r>
      <w:r w:rsidRPr="00EB5AA1">
        <w:rPr>
          <w:snapToGrid w:val="0"/>
          <w:sz w:val="22"/>
          <w:szCs w:val="22"/>
          <w:lang w:val="sk-SK"/>
        </w:rPr>
        <w:t xml:space="preserve">sa nemajú miešať s roztokmi, ktoré obsahujú esenciálne aminokyseliny, </w:t>
      </w:r>
      <w:proofErr w:type="spellStart"/>
      <w:r w:rsidRPr="00EB5AA1">
        <w:rPr>
          <w:snapToGrid w:val="0"/>
          <w:sz w:val="22"/>
          <w:szCs w:val="22"/>
          <w:lang w:val="sk-SK"/>
        </w:rPr>
        <w:t>riboflavín</w:t>
      </w:r>
      <w:proofErr w:type="spellEnd"/>
      <w:r w:rsidRPr="00EB5AA1">
        <w:rPr>
          <w:snapToGrid w:val="0"/>
          <w:sz w:val="22"/>
          <w:szCs w:val="22"/>
          <w:lang w:val="sk-SK"/>
        </w:rPr>
        <w:t xml:space="preserve">, kyselinu askorbovú, </w:t>
      </w:r>
      <w:proofErr w:type="spellStart"/>
      <w:r w:rsidRPr="00EB5AA1">
        <w:rPr>
          <w:snapToGrid w:val="0"/>
          <w:sz w:val="22"/>
          <w:szCs w:val="22"/>
          <w:lang w:val="sk-SK"/>
        </w:rPr>
        <w:t>dexametazón</w:t>
      </w:r>
      <w:proofErr w:type="spellEnd"/>
      <w:r w:rsidRPr="00EB5AA1">
        <w:rPr>
          <w:snapToGrid w:val="0"/>
          <w:sz w:val="22"/>
          <w:szCs w:val="22"/>
          <w:lang w:val="sk-SK"/>
        </w:rPr>
        <w:t xml:space="preserve">, </w:t>
      </w:r>
      <w:proofErr w:type="spellStart"/>
      <w:r w:rsidRPr="00EB5AA1">
        <w:rPr>
          <w:snapToGrid w:val="0"/>
          <w:sz w:val="22"/>
          <w:szCs w:val="22"/>
          <w:lang w:val="sk-SK"/>
        </w:rPr>
        <w:t>aminofylín</w:t>
      </w:r>
      <w:proofErr w:type="spellEnd"/>
      <w:r w:rsidRPr="00EB5AA1">
        <w:rPr>
          <w:snapToGrid w:val="0"/>
          <w:sz w:val="22"/>
          <w:szCs w:val="22"/>
          <w:lang w:val="sk-SK"/>
        </w:rPr>
        <w:t xml:space="preserve">, </w:t>
      </w:r>
      <w:proofErr w:type="spellStart"/>
      <w:r w:rsidRPr="00EB5AA1">
        <w:rPr>
          <w:snapToGrid w:val="0"/>
          <w:sz w:val="22"/>
          <w:szCs w:val="22"/>
          <w:lang w:val="sk-SK"/>
        </w:rPr>
        <w:t>furosemid</w:t>
      </w:r>
      <w:proofErr w:type="spellEnd"/>
      <w:r w:rsidRPr="00EB5AA1">
        <w:rPr>
          <w:snapToGrid w:val="0"/>
          <w:sz w:val="22"/>
          <w:szCs w:val="22"/>
          <w:lang w:val="sk-SK"/>
        </w:rPr>
        <w:t xml:space="preserve">, </w:t>
      </w:r>
      <w:proofErr w:type="spellStart"/>
      <w:r w:rsidRPr="00EB5AA1">
        <w:rPr>
          <w:rFonts w:eastAsia="Times New Roman"/>
          <w:sz w:val="22"/>
          <w:szCs w:val="22"/>
          <w:lang w:val="sk-SK"/>
        </w:rPr>
        <w:t>karindacilín</w:t>
      </w:r>
      <w:proofErr w:type="spellEnd"/>
      <w:r w:rsidRPr="00EB5AA1">
        <w:rPr>
          <w:rFonts w:eastAsia="Times New Roman"/>
          <w:sz w:val="22"/>
          <w:szCs w:val="22"/>
          <w:lang w:val="sk-SK"/>
        </w:rPr>
        <w:t xml:space="preserve">, sodnú soľ </w:t>
      </w:r>
      <w:proofErr w:type="spellStart"/>
      <w:r w:rsidRPr="00EB5AA1">
        <w:rPr>
          <w:rFonts w:eastAsia="Times New Roman"/>
          <w:sz w:val="22"/>
          <w:szCs w:val="22"/>
          <w:lang w:val="sk-SK"/>
        </w:rPr>
        <w:t>cefalotínu</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terbutalín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hydrokortizón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karbenicilín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nafcilín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benzylpenicilín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cefazolín</w:t>
      </w:r>
      <w:proofErr w:type="spellEnd"/>
      <w:r w:rsidRPr="00EB5AA1">
        <w:rPr>
          <w:rFonts w:eastAsia="Times New Roman"/>
          <w:sz w:val="22"/>
          <w:szCs w:val="22"/>
          <w:lang w:val="sk-SK"/>
        </w:rPr>
        <w:t xml:space="preserve">, </w:t>
      </w:r>
      <w:proofErr w:type="spellStart"/>
      <w:r w:rsidRPr="00EB5AA1">
        <w:rPr>
          <w:rFonts w:eastAsia="Times New Roman"/>
          <w:sz w:val="22"/>
          <w:szCs w:val="22"/>
          <w:lang w:val="sk-SK"/>
        </w:rPr>
        <w:t>metotrexát</w:t>
      </w:r>
      <w:proofErr w:type="spellEnd"/>
      <w:r w:rsidRPr="00EB5AA1">
        <w:rPr>
          <w:rFonts w:eastAsia="Times New Roman"/>
          <w:sz w:val="22"/>
          <w:szCs w:val="22"/>
          <w:lang w:val="sk-SK"/>
        </w:rPr>
        <w:t xml:space="preserve"> a </w:t>
      </w:r>
      <w:proofErr w:type="spellStart"/>
      <w:r w:rsidRPr="00EB5AA1">
        <w:rPr>
          <w:rFonts w:eastAsia="Times New Roman"/>
          <w:sz w:val="22"/>
          <w:szCs w:val="22"/>
          <w:lang w:val="sk-SK"/>
        </w:rPr>
        <w:t>mitomycín</w:t>
      </w:r>
      <w:proofErr w:type="spellEnd"/>
      <w:r w:rsidRPr="00EB5AA1">
        <w:rPr>
          <w:rFonts w:eastAsia="Times New Roman"/>
          <w:sz w:val="22"/>
          <w:szCs w:val="22"/>
          <w:lang w:val="sk-SK"/>
        </w:rPr>
        <w:t>, kvôli chemickým farmaceutickým alebo fyzikálnym inkompatibilitám.</w:t>
      </w:r>
    </w:p>
    <w:p w14:paraId="36353076" w14:textId="77777777" w:rsidR="00374898" w:rsidRPr="00EB5AA1" w:rsidRDefault="00374898" w:rsidP="00374898">
      <w:pPr>
        <w:autoSpaceDE w:val="0"/>
        <w:autoSpaceDN w:val="0"/>
        <w:adjustRightInd w:val="0"/>
        <w:rPr>
          <w:rFonts w:eastAsia="Times New Roman"/>
          <w:bCs/>
          <w:iCs/>
          <w:sz w:val="22"/>
          <w:szCs w:val="22"/>
          <w:lang w:val="sk-SK"/>
        </w:rPr>
      </w:pPr>
      <w:r w:rsidRPr="00EB5AA1">
        <w:rPr>
          <w:rFonts w:eastAsia="Times New Roman"/>
          <w:sz w:val="22"/>
          <w:szCs w:val="22"/>
          <w:lang w:val="sk-SK"/>
        </w:rPr>
        <w:t xml:space="preserve">Látky </w:t>
      </w:r>
      <w:proofErr w:type="spellStart"/>
      <w:r w:rsidRPr="00EB5AA1">
        <w:rPr>
          <w:rFonts w:eastAsia="Times New Roman"/>
          <w:sz w:val="22"/>
          <w:szCs w:val="22"/>
          <w:lang w:val="sk-SK"/>
        </w:rPr>
        <w:t>sulfhydrylového</w:t>
      </w:r>
      <w:proofErr w:type="spellEnd"/>
      <w:r w:rsidRPr="00EB5AA1">
        <w:rPr>
          <w:rFonts w:eastAsia="Times New Roman"/>
          <w:sz w:val="22"/>
          <w:szCs w:val="22"/>
          <w:lang w:val="sk-SK"/>
        </w:rPr>
        <w:t xml:space="preserve"> typu (napr. </w:t>
      </w:r>
      <w:proofErr w:type="spellStart"/>
      <w:r w:rsidRPr="00EB5AA1">
        <w:rPr>
          <w:rFonts w:eastAsia="Times New Roman"/>
          <w:sz w:val="22"/>
          <w:szCs w:val="22"/>
          <w:lang w:val="sk-SK"/>
        </w:rPr>
        <w:t>glutatión</w:t>
      </w:r>
      <w:proofErr w:type="spellEnd"/>
      <w:r w:rsidRPr="00EB5AA1">
        <w:rPr>
          <w:rFonts w:eastAsia="Times New Roman"/>
          <w:sz w:val="22"/>
          <w:szCs w:val="22"/>
          <w:lang w:val="sk-SK"/>
        </w:rPr>
        <w:t xml:space="preserve">) eliminujú účinky </w:t>
      </w:r>
      <w:proofErr w:type="spellStart"/>
      <w:r w:rsidRPr="00EB5AA1">
        <w:rPr>
          <w:rFonts w:eastAsia="Times New Roman"/>
          <w:sz w:val="22"/>
          <w:szCs w:val="22"/>
          <w:lang w:val="sk-SK"/>
        </w:rPr>
        <w:t>bleomycínu</w:t>
      </w:r>
      <w:proofErr w:type="spellEnd"/>
      <w:r w:rsidRPr="00EB5AA1">
        <w:rPr>
          <w:rFonts w:eastAsia="Times New Roman"/>
          <w:sz w:val="22"/>
          <w:szCs w:val="22"/>
          <w:lang w:val="sk-SK"/>
        </w:rPr>
        <w:t>.</w:t>
      </w:r>
    </w:p>
    <w:p w14:paraId="3190FA6E" w14:textId="77777777" w:rsidR="00374898" w:rsidRPr="00EB5AA1" w:rsidRDefault="00374898" w:rsidP="00374898">
      <w:pPr>
        <w:autoSpaceDE w:val="0"/>
        <w:autoSpaceDN w:val="0"/>
        <w:adjustRightInd w:val="0"/>
        <w:rPr>
          <w:rFonts w:eastAsia="Times New Roman"/>
          <w:bCs/>
          <w:iCs/>
          <w:sz w:val="22"/>
          <w:szCs w:val="22"/>
          <w:lang w:val="sk-SK"/>
        </w:rPr>
      </w:pPr>
      <w:r w:rsidRPr="00EB5AA1">
        <w:rPr>
          <w:rFonts w:eastAsia="Times New Roman"/>
          <w:sz w:val="22"/>
          <w:szCs w:val="22"/>
          <w:lang w:val="sk-SK"/>
        </w:rPr>
        <w:t xml:space="preserve">Keďže </w:t>
      </w:r>
      <w:proofErr w:type="spellStart"/>
      <w:r w:rsidRPr="00EB5AA1">
        <w:rPr>
          <w:rFonts w:eastAsia="Times New Roman"/>
          <w:sz w:val="22"/>
          <w:szCs w:val="22"/>
          <w:lang w:val="sk-SK"/>
        </w:rPr>
        <w:t>bleomycín</w:t>
      </w:r>
      <w:proofErr w:type="spellEnd"/>
      <w:r w:rsidRPr="00EB5AA1">
        <w:rPr>
          <w:rFonts w:eastAsia="Times New Roman"/>
          <w:sz w:val="22"/>
          <w:szCs w:val="22"/>
          <w:lang w:val="sk-SK"/>
        </w:rPr>
        <w:t xml:space="preserve"> vytvára </w:t>
      </w:r>
      <w:proofErr w:type="spellStart"/>
      <w:r w:rsidRPr="00EB5AA1">
        <w:rPr>
          <w:rFonts w:eastAsia="Times New Roman"/>
          <w:sz w:val="22"/>
          <w:szCs w:val="22"/>
          <w:lang w:val="sk-SK"/>
        </w:rPr>
        <w:t>chelát</w:t>
      </w:r>
      <w:proofErr w:type="spellEnd"/>
      <w:r w:rsidRPr="00EB5AA1">
        <w:rPr>
          <w:rFonts w:eastAsia="Times New Roman"/>
          <w:sz w:val="22"/>
          <w:szCs w:val="22"/>
          <w:lang w:val="sk-SK"/>
        </w:rPr>
        <w:t xml:space="preserve"> s dvojmocnými a trojmocnými katiónmi, nemá sa miešať s roztokmi, ktoré obsahujú takéto ióny (hlavne meď).</w:t>
      </w:r>
    </w:p>
    <w:p w14:paraId="21E42674" w14:textId="77777777" w:rsidR="00374898" w:rsidRPr="00EB5AA1" w:rsidRDefault="00374898" w:rsidP="00374898">
      <w:pPr>
        <w:autoSpaceDE w:val="0"/>
        <w:autoSpaceDN w:val="0"/>
        <w:adjustRightInd w:val="0"/>
        <w:rPr>
          <w:rFonts w:eastAsia="Times New Roman"/>
          <w:bCs/>
          <w:iCs/>
          <w:sz w:val="22"/>
          <w:szCs w:val="22"/>
          <w:lang w:val="sk-SK"/>
        </w:rPr>
      </w:pPr>
      <w:r w:rsidRPr="00EB5AA1">
        <w:rPr>
          <w:rFonts w:eastAsia="Times New Roman"/>
          <w:sz w:val="22"/>
          <w:szCs w:val="22"/>
          <w:lang w:val="sk-SK"/>
        </w:rPr>
        <w:t>Tento liek sa nesmie miešať s inými liekmi okrem tých, ktoré sú uvedené v</w:t>
      </w:r>
      <w:r>
        <w:rPr>
          <w:rFonts w:eastAsia="Times New Roman"/>
          <w:sz w:val="22"/>
          <w:szCs w:val="22"/>
          <w:lang w:val="sk-SK"/>
        </w:rPr>
        <w:t> </w:t>
      </w:r>
      <w:r w:rsidRPr="00EB5AA1">
        <w:rPr>
          <w:rFonts w:eastAsia="Times New Roman"/>
          <w:sz w:val="22"/>
          <w:szCs w:val="22"/>
          <w:lang w:val="sk-SK"/>
        </w:rPr>
        <w:t>časti</w:t>
      </w:r>
      <w:r>
        <w:rPr>
          <w:rFonts w:eastAsia="Times New Roman"/>
          <w:sz w:val="22"/>
          <w:szCs w:val="22"/>
          <w:lang w:val="sk-SK"/>
        </w:rPr>
        <w:t> </w:t>
      </w:r>
      <w:r w:rsidRPr="00EB5AA1">
        <w:rPr>
          <w:rFonts w:eastAsia="Times New Roman"/>
          <w:sz w:val="22"/>
          <w:szCs w:val="22"/>
          <w:lang w:val="sk-SK"/>
        </w:rPr>
        <w:t>6.6.</w:t>
      </w:r>
    </w:p>
    <w:p w14:paraId="48A3F779" w14:textId="77777777" w:rsidR="00374898" w:rsidRPr="00EB5AA1" w:rsidRDefault="00374898" w:rsidP="00374898">
      <w:pPr>
        <w:tabs>
          <w:tab w:val="left" w:pos="567"/>
        </w:tabs>
        <w:rPr>
          <w:sz w:val="22"/>
          <w:szCs w:val="22"/>
          <w:lang w:val="sk-SK"/>
        </w:rPr>
      </w:pPr>
    </w:p>
    <w:p w14:paraId="5559B3CC" w14:textId="77777777" w:rsidR="00374898" w:rsidRPr="00EB5AA1" w:rsidRDefault="00374898" w:rsidP="00374898">
      <w:pPr>
        <w:rPr>
          <w:b/>
          <w:sz w:val="22"/>
          <w:szCs w:val="22"/>
          <w:lang w:val="sk-SK"/>
        </w:rPr>
      </w:pPr>
      <w:r w:rsidRPr="00EB5AA1">
        <w:rPr>
          <w:b/>
          <w:bCs/>
          <w:snapToGrid w:val="0"/>
          <w:sz w:val="22"/>
          <w:szCs w:val="22"/>
          <w:lang w:val="sk-SK"/>
        </w:rPr>
        <w:t>6.3</w:t>
      </w:r>
      <w:r w:rsidRPr="00EB5AA1">
        <w:rPr>
          <w:rStyle w:val="tw4winExternal"/>
          <w:rFonts w:ascii="Times New Roman" w:hAnsi="Times New Roman"/>
          <w:sz w:val="22"/>
          <w:szCs w:val="22"/>
          <w:lang w:val="sk-SK"/>
        </w:rPr>
        <w:tab/>
      </w:r>
      <w:r w:rsidRPr="00EB5AA1">
        <w:rPr>
          <w:b/>
          <w:bCs/>
          <w:snapToGrid w:val="0"/>
          <w:sz w:val="22"/>
          <w:szCs w:val="22"/>
          <w:lang w:val="sk-SK"/>
        </w:rPr>
        <w:t>Čas použiteľnosti</w:t>
      </w:r>
    </w:p>
    <w:p w14:paraId="6D5386F4" w14:textId="77777777" w:rsidR="00374898" w:rsidRPr="00EB5AA1" w:rsidRDefault="00374898" w:rsidP="00374898">
      <w:pPr>
        <w:rPr>
          <w:sz w:val="22"/>
          <w:szCs w:val="22"/>
          <w:lang w:val="sk-SK"/>
        </w:rPr>
      </w:pPr>
    </w:p>
    <w:p w14:paraId="386D236C" w14:textId="77777777" w:rsidR="00374898" w:rsidRPr="00EB5AA1" w:rsidRDefault="00374898" w:rsidP="00374898">
      <w:pPr>
        <w:rPr>
          <w:sz w:val="22"/>
          <w:szCs w:val="22"/>
          <w:lang w:val="sk-SK"/>
        </w:rPr>
      </w:pPr>
      <w:r w:rsidRPr="00EB5AA1">
        <w:rPr>
          <w:sz w:val="22"/>
          <w:szCs w:val="22"/>
          <w:lang w:val="sk-SK"/>
        </w:rPr>
        <w:t>3 roky.</w:t>
      </w:r>
    </w:p>
    <w:p w14:paraId="4DF4A58C" w14:textId="77777777" w:rsidR="00374898" w:rsidRPr="00EB5AA1" w:rsidRDefault="00374898" w:rsidP="00374898">
      <w:pPr>
        <w:rPr>
          <w:sz w:val="22"/>
          <w:szCs w:val="22"/>
          <w:lang w:val="sk-SK"/>
        </w:rPr>
      </w:pPr>
    </w:p>
    <w:p w14:paraId="3D7FD85B" w14:textId="77777777" w:rsidR="00374898" w:rsidRPr="00BB6D58" w:rsidRDefault="00374898" w:rsidP="00374898">
      <w:pPr>
        <w:rPr>
          <w:sz w:val="22"/>
          <w:szCs w:val="22"/>
          <w:lang w:val="sk-SK"/>
        </w:rPr>
      </w:pPr>
      <w:r w:rsidRPr="00BB6D58">
        <w:rPr>
          <w:sz w:val="22"/>
          <w:szCs w:val="22"/>
          <w:lang w:val="sk-SK"/>
        </w:rPr>
        <w:t>Po rekonštitúcii</w:t>
      </w:r>
    </w:p>
    <w:p w14:paraId="6C9BF57F" w14:textId="77777777" w:rsidR="00374898" w:rsidRPr="00EB5AA1" w:rsidRDefault="00374898" w:rsidP="00374898">
      <w:pPr>
        <w:rPr>
          <w:sz w:val="22"/>
          <w:szCs w:val="22"/>
          <w:lang w:val="sk-SK"/>
        </w:rPr>
      </w:pPr>
      <w:r w:rsidRPr="00EB5AA1">
        <w:rPr>
          <w:sz w:val="22"/>
          <w:szCs w:val="22"/>
          <w:lang w:val="sk-SK"/>
        </w:rPr>
        <w:t>Chemická a fyzikálna stabilita po rozpustení v injekčnej liekovke bola preukázaná počas 24 hodín pri teplote 2 – 8 °C a 72 hodín pri teplote 25 °C.</w:t>
      </w:r>
    </w:p>
    <w:p w14:paraId="3625EC31" w14:textId="77777777" w:rsidR="00374898" w:rsidRPr="00EB5AA1" w:rsidRDefault="00374898" w:rsidP="00374898">
      <w:pPr>
        <w:rPr>
          <w:sz w:val="22"/>
          <w:szCs w:val="22"/>
          <w:lang w:val="sk-SK"/>
        </w:rPr>
      </w:pPr>
    </w:p>
    <w:p w14:paraId="67E2F295" w14:textId="77777777" w:rsidR="00374898" w:rsidRPr="00BB6D58" w:rsidRDefault="00374898" w:rsidP="00374898">
      <w:pPr>
        <w:rPr>
          <w:sz w:val="22"/>
          <w:szCs w:val="22"/>
          <w:lang w:val="sk-SK"/>
        </w:rPr>
      </w:pPr>
      <w:r w:rsidRPr="00BB6D58">
        <w:rPr>
          <w:sz w:val="22"/>
          <w:szCs w:val="22"/>
          <w:lang w:val="sk-SK"/>
        </w:rPr>
        <w:t>Po nariedení</w:t>
      </w:r>
    </w:p>
    <w:p w14:paraId="088135B8" w14:textId="77777777" w:rsidR="00374898" w:rsidRPr="00EB5AA1" w:rsidRDefault="00374898" w:rsidP="00374898">
      <w:pPr>
        <w:rPr>
          <w:sz w:val="22"/>
          <w:szCs w:val="22"/>
          <w:lang w:val="sk-SK"/>
        </w:rPr>
      </w:pPr>
      <w:r w:rsidRPr="00EB5AA1">
        <w:rPr>
          <w:sz w:val="22"/>
          <w:szCs w:val="22"/>
          <w:lang w:val="sk-SK"/>
        </w:rPr>
        <w:t>Chemická a fyzikálna stabilita bola po zriedení preukázaná počas 72 hodín pri teplote 25 °C v sklenených fľašiach a v polypropylénových injekčných striekačkách.</w:t>
      </w:r>
    </w:p>
    <w:p w14:paraId="5FF6836C" w14:textId="77777777" w:rsidR="00374898" w:rsidRPr="00EB5AA1" w:rsidRDefault="00374898" w:rsidP="00374898">
      <w:pPr>
        <w:rPr>
          <w:sz w:val="22"/>
          <w:szCs w:val="22"/>
          <w:lang w:val="sk-SK"/>
        </w:rPr>
      </w:pPr>
      <w:r w:rsidRPr="00EB5AA1">
        <w:rPr>
          <w:sz w:val="22"/>
          <w:szCs w:val="22"/>
          <w:lang w:val="sk-SK"/>
        </w:rPr>
        <w:t xml:space="preserve"> </w:t>
      </w:r>
    </w:p>
    <w:p w14:paraId="0F1CAD30" w14:textId="77777777" w:rsidR="00374898" w:rsidRPr="00EB5AA1" w:rsidRDefault="00374898" w:rsidP="00374898">
      <w:pPr>
        <w:keepNext/>
        <w:keepLines/>
        <w:rPr>
          <w:sz w:val="22"/>
          <w:szCs w:val="22"/>
          <w:lang w:val="sk-SK"/>
        </w:rPr>
      </w:pPr>
      <w:r w:rsidRPr="00EB5AA1">
        <w:rPr>
          <w:sz w:val="22"/>
          <w:szCs w:val="22"/>
          <w:lang w:val="sk-SK"/>
        </w:rPr>
        <w:t>Z hľadiska mikrobiologickej bezpečnosti sa má liek ihneď použiť. Ak sa nepoužije okamžite, za čas uskladnenia a podmienky skladovania zodpovedá užívateľ a nemajú byť zvyčajne dlhšie ako 24 hodín pri 2 až 8 ºC, pokiaľ sa rozpustenie / riedenie nevykonalo pri kontrolovaných a platných aseptických podmienkach.</w:t>
      </w:r>
    </w:p>
    <w:p w14:paraId="5A2CD3F1" w14:textId="77777777" w:rsidR="00374898" w:rsidRPr="00EB5AA1" w:rsidRDefault="00374898" w:rsidP="00374898">
      <w:pPr>
        <w:tabs>
          <w:tab w:val="left" w:pos="567"/>
        </w:tabs>
        <w:rPr>
          <w:sz w:val="22"/>
          <w:szCs w:val="22"/>
          <w:lang w:val="sk-SK"/>
        </w:rPr>
      </w:pPr>
    </w:p>
    <w:p w14:paraId="04CBA5A9" w14:textId="77777777" w:rsidR="00374898" w:rsidRPr="00EB5AA1" w:rsidRDefault="00374898" w:rsidP="00374898">
      <w:pPr>
        <w:rPr>
          <w:b/>
          <w:sz w:val="22"/>
          <w:szCs w:val="22"/>
          <w:lang w:val="sk-SK"/>
        </w:rPr>
      </w:pPr>
      <w:r w:rsidRPr="00EB5AA1">
        <w:rPr>
          <w:b/>
          <w:bCs/>
          <w:snapToGrid w:val="0"/>
          <w:sz w:val="22"/>
          <w:szCs w:val="22"/>
          <w:lang w:val="sk-SK"/>
        </w:rPr>
        <w:t>6.4</w:t>
      </w:r>
      <w:r w:rsidRPr="00EB5AA1">
        <w:rPr>
          <w:rStyle w:val="tw4winExternal"/>
          <w:rFonts w:ascii="Times New Roman" w:hAnsi="Times New Roman"/>
          <w:sz w:val="22"/>
          <w:szCs w:val="22"/>
          <w:lang w:val="sk-SK"/>
        </w:rPr>
        <w:tab/>
      </w:r>
      <w:r w:rsidRPr="00EB5AA1">
        <w:rPr>
          <w:b/>
          <w:bCs/>
          <w:snapToGrid w:val="0"/>
          <w:sz w:val="22"/>
          <w:szCs w:val="22"/>
          <w:lang w:val="sk-SK"/>
        </w:rPr>
        <w:t>Špeciálne upozornenia na uchovávanie</w:t>
      </w:r>
    </w:p>
    <w:p w14:paraId="139F0775" w14:textId="77777777" w:rsidR="00374898" w:rsidRPr="00EB5AA1" w:rsidRDefault="00374898" w:rsidP="00374898">
      <w:pPr>
        <w:rPr>
          <w:sz w:val="22"/>
          <w:szCs w:val="22"/>
          <w:lang w:val="sk-SK"/>
        </w:rPr>
      </w:pPr>
    </w:p>
    <w:p w14:paraId="56EDDCC8" w14:textId="77777777" w:rsidR="00374898" w:rsidRPr="00EB5AA1" w:rsidRDefault="00374898" w:rsidP="00374898">
      <w:pPr>
        <w:rPr>
          <w:sz w:val="22"/>
          <w:szCs w:val="22"/>
          <w:lang w:val="sk-SK"/>
        </w:rPr>
      </w:pPr>
      <w:r w:rsidRPr="00EB5AA1">
        <w:rPr>
          <w:sz w:val="22"/>
          <w:szCs w:val="22"/>
          <w:lang w:val="sk-SK"/>
        </w:rPr>
        <w:t>Uchovávajte v chladničke pri teplote 2 °C až 8 °C.</w:t>
      </w:r>
    </w:p>
    <w:p w14:paraId="7E3BD738" w14:textId="77777777" w:rsidR="00374898" w:rsidRPr="00EB5AA1" w:rsidRDefault="00374898" w:rsidP="00374898">
      <w:pPr>
        <w:rPr>
          <w:sz w:val="22"/>
          <w:szCs w:val="22"/>
          <w:lang w:val="sk-SK"/>
        </w:rPr>
      </w:pPr>
      <w:r w:rsidRPr="00EB5AA1">
        <w:rPr>
          <w:sz w:val="22"/>
          <w:szCs w:val="22"/>
          <w:lang w:val="sk-SK"/>
        </w:rPr>
        <w:t>Podmienky na uchovávanie rozpusteného a nariedeného lieku, pozri časť 6.3.</w:t>
      </w:r>
    </w:p>
    <w:p w14:paraId="58BC7521" w14:textId="77777777" w:rsidR="00374898" w:rsidRPr="00EB5AA1" w:rsidRDefault="00374898" w:rsidP="00374898">
      <w:pPr>
        <w:tabs>
          <w:tab w:val="left" w:pos="567"/>
        </w:tabs>
        <w:rPr>
          <w:sz w:val="22"/>
          <w:szCs w:val="22"/>
          <w:lang w:val="sk-SK"/>
        </w:rPr>
      </w:pPr>
    </w:p>
    <w:p w14:paraId="50E66182" w14:textId="77777777" w:rsidR="00374898" w:rsidRPr="00EB5AA1" w:rsidRDefault="00374898" w:rsidP="00374898">
      <w:pPr>
        <w:rPr>
          <w:b/>
          <w:sz w:val="22"/>
          <w:szCs w:val="22"/>
          <w:lang w:val="sk-SK"/>
        </w:rPr>
      </w:pPr>
      <w:r w:rsidRPr="00EB5AA1">
        <w:rPr>
          <w:b/>
          <w:bCs/>
          <w:snapToGrid w:val="0"/>
          <w:sz w:val="22"/>
          <w:szCs w:val="22"/>
          <w:lang w:val="sk-SK"/>
        </w:rPr>
        <w:t>6.5</w:t>
      </w:r>
      <w:r w:rsidRPr="00EB5AA1">
        <w:rPr>
          <w:rStyle w:val="tw4winExternal"/>
          <w:rFonts w:ascii="Times New Roman" w:hAnsi="Times New Roman"/>
          <w:sz w:val="22"/>
          <w:szCs w:val="22"/>
          <w:lang w:val="sk-SK"/>
        </w:rPr>
        <w:tab/>
      </w:r>
      <w:r w:rsidRPr="00EB5AA1">
        <w:rPr>
          <w:b/>
          <w:bCs/>
          <w:snapToGrid w:val="0"/>
          <w:sz w:val="22"/>
          <w:szCs w:val="22"/>
          <w:lang w:val="sk-SK"/>
        </w:rPr>
        <w:t>Druh obalu a obsah balenia</w:t>
      </w:r>
    </w:p>
    <w:p w14:paraId="31378EFF" w14:textId="77777777" w:rsidR="00374898" w:rsidRPr="00EB5AA1" w:rsidRDefault="00374898" w:rsidP="00374898">
      <w:pPr>
        <w:rPr>
          <w:sz w:val="22"/>
          <w:szCs w:val="22"/>
          <w:lang w:val="sk-SK"/>
        </w:rPr>
      </w:pPr>
    </w:p>
    <w:p w14:paraId="3B758D27" w14:textId="77777777" w:rsidR="00374898" w:rsidRPr="00EB5AA1" w:rsidRDefault="00374898" w:rsidP="00374898">
      <w:pPr>
        <w:rPr>
          <w:sz w:val="22"/>
          <w:szCs w:val="22"/>
          <w:lang w:val="sk-SK"/>
        </w:rPr>
      </w:pPr>
      <w:r w:rsidRPr="00EB5AA1">
        <w:rPr>
          <w:sz w:val="22"/>
          <w:szCs w:val="22"/>
          <w:lang w:val="sk-SK"/>
        </w:rPr>
        <w:t xml:space="preserve">10 ml injekčné liekovky z bezfarebného skla typu I uzavreté </w:t>
      </w:r>
      <w:proofErr w:type="spellStart"/>
      <w:r w:rsidRPr="00EB5AA1">
        <w:rPr>
          <w:sz w:val="22"/>
          <w:szCs w:val="22"/>
          <w:lang w:val="sk-SK"/>
        </w:rPr>
        <w:t>bromobutylovou</w:t>
      </w:r>
      <w:proofErr w:type="spellEnd"/>
      <w:r w:rsidRPr="00EB5AA1">
        <w:rPr>
          <w:sz w:val="22"/>
          <w:szCs w:val="22"/>
          <w:lang w:val="sk-SK"/>
        </w:rPr>
        <w:t xml:space="preserve"> gumovou zátkou, prekrytou viečkom z hliníka (vnútorný kryt) a polypropylénu (vonkajší kryt</w:t>
      </w:r>
      <w:r>
        <w:rPr>
          <w:sz w:val="22"/>
          <w:szCs w:val="22"/>
          <w:lang w:val="sk-SK"/>
        </w:rPr>
        <w:t xml:space="preserve"> zelený</w:t>
      </w:r>
      <w:r w:rsidRPr="00EB5AA1">
        <w:rPr>
          <w:sz w:val="22"/>
          <w:szCs w:val="22"/>
          <w:lang w:val="sk-SK"/>
        </w:rPr>
        <w:t>).</w:t>
      </w:r>
    </w:p>
    <w:p w14:paraId="27B4D3B5" w14:textId="77777777" w:rsidR="00374898" w:rsidRPr="00EB5AA1" w:rsidRDefault="00374898" w:rsidP="00374898">
      <w:pPr>
        <w:rPr>
          <w:sz w:val="22"/>
          <w:szCs w:val="22"/>
          <w:lang w:val="sk-SK"/>
        </w:rPr>
      </w:pPr>
      <w:r w:rsidRPr="00EB5AA1">
        <w:rPr>
          <w:sz w:val="22"/>
          <w:szCs w:val="22"/>
          <w:lang w:val="sk-SK"/>
        </w:rPr>
        <w:t xml:space="preserve">20 ml injekčné liekovky z bezfarebného skla typu I uzavreté </w:t>
      </w:r>
      <w:proofErr w:type="spellStart"/>
      <w:r w:rsidRPr="00EB5AA1">
        <w:rPr>
          <w:sz w:val="22"/>
          <w:szCs w:val="22"/>
          <w:lang w:val="sk-SK"/>
        </w:rPr>
        <w:t>bromobutylovou</w:t>
      </w:r>
      <w:proofErr w:type="spellEnd"/>
      <w:r w:rsidRPr="00EB5AA1">
        <w:rPr>
          <w:sz w:val="22"/>
          <w:szCs w:val="22"/>
          <w:lang w:val="sk-SK"/>
        </w:rPr>
        <w:t xml:space="preserve"> gumovou zátkou, prekrytou viečkom z hliníka (vnútorný kryt) a polypropylénu (vonkajší kryt</w:t>
      </w:r>
      <w:r>
        <w:rPr>
          <w:sz w:val="22"/>
          <w:szCs w:val="22"/>
          <w:lang w:val="sk-SK"/>
        </w:rPr>
        <w:t xml:space="preserve"> modrý</w:t>
      </w:r>
      <w:r w:rsidRPr="00EB5AA1">
        <w:rPr>
          <w:sz w:val="22"/>
          <w:szCs w:val="22"/>
          <w:lang w:val="sk-SK"/>
        </w:rPr>
        <w:t>).</w:t>
      </w:r>
    </w:p>
    <w:p w14:paraId="5F2A859E" w14:textId="77777777" w:rsidR="00374898" w:rsidRPr="00EB5AA1" w:rsidRDefault="00374898" w:rsidP="00374898">
      <w:pPr>
        <w:rPr>
          <w:sz w:val="22"/>
          <w:szCs w:val="22"/>
          <w:lang w:val="sk-SK"/>
        </w:rPr>
      </w:pPr>
      <w:r w:rsidRPr="00EB5AA1">
        <w:rPr>
          <w:sz w:val="22"/>
          <w:szCs w:val="22"/>
          <w:lang w:val="sk-SK"/>
        </w:rPr>
        <w:t xml:space="preserve">Veľkosť balenia: 1 alebo 10 injekčných liekoviek. </w:t>
      </w:r>
      <w:r w:rsidRPr="00EB5AA1">
        <w:rPr>
          <w:bCs/>
          <w:sz w:val="22"/>
          <w:szCs w:val="22"/>
          <w:lang w:val="sk-SK"/>
        </w:rPr>
        <w:t>Nie všetky veľkosti balenia sa môžu uvádzať na trh.</w:t>
      </w:r>
    </w:p>
    <w:p w14:paraId="7D54E772" w14:textId="77777777" w:rsidR="00374898" w:rsidRPr="00EB5AA1" w:rsidRDefault="00374898" w:rsidP="00374898">
      <w:pPr>
        <w:tabs>
          <w:tab w:val="left" w:pos="567"/>
        </w:tabs>
        <w:rPr>
          <w:sz w:val="22"/>
          <w:szCs w:val="22"/>
          <w:lang w:val="sk-SK"/>
        </w:rPr>
      </w:pPr>
    </w:p>
    <w:p w14:paraId="3D3FF394" w14:textId="77777777" w:rsidR="00374898" w:rsidRPr="00EB5AA1" w:rsidRDefault="00374898" w:rsidP="00374898">
      <w:pPr>
        <w:rPr>
          <w:b/>
          <w:sz w:val="22"/>
          <w:szCs w:val="22"/>
          <w:lang w:val="sk-SK"/>
        </w:rPr>
      </w:pPr>
      <w:r w:rsidRPr="00EB5AA1">
        <w:rPr>
          <w:b/>
          <w:bCs/>
          <w:snapToGrid w:val="0"/>
          <w:sz w:val="22"/>
          <w:szCs w:val="22"/>
          <w:lang w:val="sk-SK"/>
        </w:rPr>
        <w:t>6.6</w:t>
      </w:r>
      <w:r w:rsidRPr="00EB5AA1">
        <w:rPr>
          <w:rStyle w:val="tw4winExternal"/>
          <w:rFonts w:ascii="Times New Roman" w:hAnsi="Times New Roman"/>
          <w:sz w:val="22"/>
          <w:szCs w:val="22"/>
          <w:lang w:val="sk-SK"/>
        </w:rPr>
        <w:tab/>
      </w:r>
      <w:r w:rsidRPr="00EB5AA1">
        <w:rPr>
          <w:b/>
          <w:bCs/>
          <w:sz w:val="22"/>
          <w:szCs w:val="22"/>
          <w:lang w:val="sk-SK"/>
        </w:rPr>
        <w:t>Špeciálne opatrenia na likvidáciu a iné zaobchádzanie s liekom</w:t>
      </w:r>
    </w:p>
    <w:p w14:paraId="597055A6" w14:textId="77777777" w:rsidR="00374898" w:rsidRPr="00EB5AA1" w:rsidRDefault="00374898" w:rsidP="00374898">
      <w:pPr>
        <w:rPr>
          <w:sz w:val="22"/>
          <w:szCs w:val="22"/>
          <w:lang w:val="sk-SK"/>
        </w:rPr>
      </w:pPr>
    </w:p>
    <w:p w14:paraId="459295D3" w14:textId="77777777" w:rsidR="00374898" w:rsidRPr="00EB5AA1" w:rsidRDefault="00374898" w:rsidP="00374898">
      <w:pPr>
        <w:rPr>
          <w:sz w:val="22"/>
          <w:szCs w:val="22"/>
          <w:lang w:val="sk-SK"/>
        </w:rPr>
      </w:pPr>
      <w:r w:rsidRPr="00EB5AA1">
        <w:rPr>
          <w:sz w:val="22"/>
          <w:szCs w:val="22"/>
          <w:lang w:val="sk-SK"/>
        </w:rPr>
        <w:t>Iba na jedno použitie. Nepoužitú časť zničte.</w:t>
      </w:r>
    </w:p>
    <w:p w14:paraId="238A954C" w14:textId="77777777" w:rsidR="00374898" w:rsidRPr="00EB5AA1" w:rsidRDefault="00374898" w:rsidP="00374898">
      <w:pPr>
        <w:rPr>
          <w:sz w:val="22"/>
          <w:szCs w:val="22"/>
          <w:lang w:val="sk-SK"/>
        </w:rPr>
      </w:pPr>
    </w:p>
    <w:p w14:paraId="168E4FB1" w14:textId="77777777" w:rsidR="00374898" w:rsidRPr="00EB5AA1" w:rsidRDefault="00374898" w:rsidP="00374898">
      <w:pPr>
        <w:rPr>
          <w:sz w:val="22"/>
          <w:szCs w:val="22"/>
          <w:u w:val="single"/>
          <w:lang w:val="sk-SK"/>
        </w:rPr>
      </w:pPr>
      <w:r w:rsidRPr="00EB5AA1">
        <w:rPr>
          <w:sz w:val="22"/>
          <w:szCs w:val="22"/>
          <w:u w:val="single"/>
          <w:lang w:val="sk-SK"/>
        </w:rPr>
        <w:t>Intravenózna injekcia</w:t>
      </w:r>
    </w:p>
    <w:p w14:paraId="6C93ECED" w14:textId="77777777" w:rsidR="00374898" w:rsidRPr="00EB5AA1" w:rsidRDefault="00374898" w:rsidP="00374898">
      <w:pPr>
        <w:rPr>
          <w:sz w:val="22"/>
          <w:szCs w:val="22"/>
          <w:lang w:val="sk-SK"/>
        </w:rPr>
      </w:pPr>
      <w:r w:rsidRPr="00EB5AA1">
        <w:rPr>
          <w:sz w:val="22"/>
          <w:szCs w:val="22"/>
          <w:lang w:val="sk-SK"/>
        </w:rPr>
        <w:t>Obsah injekčnej liekovky rozpustite v 5 – 10 ml 0,9 % roztoku chloridu sodného.</w:t>
      </w:r>
    </w:p>
    <w:p w14:paraId="01F51FB6" w14:textId="77777777" w:rsidR="00374898" w:rsidRPr="00EB5AA1" w:rsidRDefault="00374898" w:rsidP="00374898">
      <w:pPr>
        <w:rPr>
          <w:sz w:val="22"/>
          <w:szCs w:val="22"/>
          <w:lang w:val="sk-SK"/>
        </w:rPr>
      </w:pPr>
    </w:p>
    <w:p w14:paraId="5112EE3A" w14:textId="77777777" w:rsidR="00E20160" w:rsidRDefault="00E20160" w:rsidP="00374898">
      <w:pPr>
        <w:rPr>
          <w:sz w:val="22"/>
          <w:szCs w:val="22"/>
          <w:u w:val="single"/>
          <w:lang w:val="sk-SK"/>
        </w:rPr>
      </w:pPr>
    </w:p>
    <w:p w14:paraId="33CE33E7" w14:textId="77777777" w:rsidR="00374898" w:rsidRPr="00EB5AA1" w:rsidRDefault="00374898" w:rsidP="00374898">
      <w:pPr>
        <w:rPr>
          <w:sz w:val="22"/>
          <w:szCs w:val="22"/>
          <w:u w:val="single"/>
          <w:lang w:val="sk-SK"/>
        </w:rPr>
      </w:pPr>
      <w:r w:rsidRPr="00EB5AA1">
        <w:rPr>
          <w:sz w:val="22"/>
          <w:szCs w:val="22"/>
          <w:u w:val="single"/>
          <w:lang w:val="sk-SK"/>
        </w:rPr>
        <w:t>Intravenózna infúzia</w:t>
      </w:r>
    </w:p>
    <w:p w14:paraId="08A9F3E6" w14:textId="77777777" w:rsidR="00374898" w:rsidRPr="00EB5AA1" w:rsidRDefault="00374898" w:rsidP="00374898">
      <w:pPr>
        <w:rPr>
          <w:sz w:val="22"/>
          <w:szCs w:val="22"/>
          <w:lang w:val="sk-SK"/>
        </w:rPr>
      </w:pPr>
      <w:r w:rsidRPr="00EB5AA1">
        <w:rPr>
          <w:sz w:val="22"/>
          <w:szCs w:val="22"/>
          <w:lang w:val="sk-SK"/>
        </w:rPr>
        <w:t>Obsah injekčnej liekovky rozpustite v 200 – 1000 ml 0,9 % roztoku chloridu sodného.</w:t>
      </w:r>
    </w:p>
    <w:p w14:paraId="7AFE73E6" w14:textId="77777777" w:rsidR="00374898" w:rsidRPr="00EB5AA1" w:rsidRDefault="00374898" w:rsidP="00374898">
      <w:pPr>
        <w:rPr>
          <w:sz w:val="22"/>
          <w:szCs w:val="22"/>
          <w:lang w:val="sk-SK"/>
        </w:rPr>
      </w:pPr>
    </w:p>
    <w:p w14:paraId="0EB14B59" w14:textId="77777777" w:rsidR="00374898" w:rsidRPr="00EB5AA1" w:rsidRDefault="00374898" w:rsidP="00374898">
      <w:pPr>
        <w:rPr>
          <w:sz w:val="22"/>
          <w:szCs w:val="22"/>
          <w:u w:val="single"/>
          <w:lang w:val="sk-SK"/>
        </w:rPr>
      </w:pPr>
      <w:proofErr w:type="spellStart"/>
      <w:r w:rsidRPr="00EB5AA1">
        <w:rPr>
          <w:sz w:val="22"/>
          <w:szCs w:val="22"/>
          <w:u w:val="single"/>
          <w:lang w:val="sk-SK"/>
        </w:rPr>
        <w:t>Intramuskulárna</w:t>
      </w:r>
      <w:proofErr w:type="spellEnd"/>
      <w:r w:rsidRPr="00EB5AA1">
        <w:rPr>
          <w:sz w:val="22"/>
          <w:szCs w:val="22"/>
          <w:u w:val="single"/>
          <w:lang w:val="sk-SK"/>
        </w:rPr>
        <w:t xml:space="preserve"> a </w:t>
      </w:r>
      <w:proofErr w:type="spellStart"/>
      <w:r w:rsidRPr="00EB5AA1">
        <w:rPr>
          <w:sz w:val="22"/>
          <w:szCs w:val="22"/>
          <w:u w:val="single"/>
          <w:lang w:val="sk-SK"/>
        </w:rPr>
        <w:t>subkutánna</w:t>
      </w:r>
      <w:proofErr w:type="spellEnd"/>
      <w:r w:rsidRPr="00EB5AA1">
        <w:rPr>
          <w:sz w:val="22"/>
          <w:szCs w:val="22"/>
          <w:u w:val="single"/>
          <w:lang w:val="sk-SK"/>
        </w:rPr>
        <w:t xml:space="preserve"> injekcia</w:t>
      </w:r>
    </w:p>
    <w:p w14:paraId="42A4547F" w14:textId="5056E377" w:rsidR="004248C9" w:rsidRPr="00EB5AA1" w:rsidRDefault="004248C9" w:rsidP="004248C9">
      <w:pPr>
        <w:rPr>
          <w:sz w:val="22"/>
          <w:szCs w:val="22"/>
          <w:lang w:val="sk-SK"/>
        </w:rPr>
      </w:pPr>
      <w:r w:rsidRPr="00EB5AA1">
        <w:rPr>
          <w:sz w:val="22"/>
          <w:szCs w:val="22"/>
          <w:lang w:val="sk-SK"/>
        </w:rPr>
        <w:t xml:space="preserve">Obsah </w:t>
      </w:r>
      <w:proofErr w:type="spellStart"/>
      <w:r>
        <w:rPr>
          <w:sz w:val="22"/>
          <w:szCs w:val="22"/>
          <w:lang w:val="sk-SK"/>
        </w:rPr>
        <w:t>bleomyc</w:t>
      </w:r>
      <w:r w:rsidR="00107946">
        <w:rPr>
          <w:sz w:val="22"/>
          <w:szCs w:val="22"/>
          <w:lang w:val="sk-SK"/>
        </w:rPr>
        <w:t>í</w:t>
      </w:r>
      <w:r>
        <w:rPr>
          <w:sz w:val="22"/>
          <w:szCs w:val="22"/>
          <w:lang w:val="sk-SK"/>
        </w:rPr>
        <w:t>n</w:t>
      </w:r>
      <w:r w:rsidR="00107946">
        <w:rPr>
          <w:sz w:val="22"/>
          <w:szCs w:val="22"/>
          <w:lang w:val="sk-SK"/>
        </w:rPr>
        <w:t>u</w:t>
      </w:r>
      <w:proofErr w:type="spellEnd"/>
      <w:r>
        <w:rPr>
          <w:sz w:val="22"/>
          <w:szCs w:val="22"/>
          <w:lang w:val="sk-SK"/>
        </w:rPr>
        <w:t xml:space="preserve"> 15000 IU </w:t>
      </w:r>
      <w:r w:rsidRPr="00EB5AA1">
        <w:rPr>
          <w:sz w:val="22"/>
          <w:szCs w:val="22"/>
          <w:lang w:val="sk-SK"/>
        </w:rPr>
        <w:t>injekčnej liekovky rozpustite v 1 – 5 ml</w:t>
      </w:r>
      <w:r>
        <w:rPr>
          <w:sz w:val="22"/>
          <w:szCs w:val="22"/>
          <w:lang w:val="sk-SK"/>
        </w:rPr>
        <w:t xml:space="preserve"> (</w:t>
      </w:r>
      <w:proofErr w:type="spellStart"/>
      <w:r>
        <w:rPr>
          <w:sz w:val="22"/>
          <w:szCs w:val="22"/>
          <w:lang w:val="sk-SK"/>
        </w:rPr>
        <w:t>bleomyc</w:t>
      </w:r>
      <w:r w:rsidR="00107946">
        <w:rPr>
          <w:sz w:val="22"/>
          <w:szCs w:val="22"/>
          <w:lang w:val="sk-SK"/>
        </w:rPr>
        <w:t>í</w:t>
      </w:r>
      <w:r>
        <w:rPr>
          <w:sz w:val="22"/>
          <w:szCs w:val="22"/>
          <w:lang w:val="sk-SK"/>
        </w:rPr>
        <w:t>n</w:t>
      </w:r>
      <w:r w:rsidR="00107946">
        <w:rPr>
          <w:sz w:val="22"/>
          <w:szCs w:val="22"/>
          <w:lang w:val="sk-SK"/>
        </w:rPr>
        <w:t>u</w:t>
      </w:r>
      <w:proofErr w:type="spellEnd"/>
      <w:r>
        <w:rPr>
          <w:sz w:val="22"/>
          <w:szCs w:val="22"/>
          <w:lang w:val="sk-SK"/>
        </w:rPr>
        <w:t xml:space="preserve"> 30000 IU v 2 – 10 ml)</w:t>
      </w:r>
      <w:r w:rsidRPr="00EB5AA1">
        <w:rPr>
          <w:sz w:val="22"/>
          <w:szCs w:val="22"/>
          <w:lang w:val="sk-SK"/>
        </w:rPr>
        <w:t xml:space="preserve"> 0,9 % roztoku chloridu sodného. Ak sa v mieste vpichu vyskytne bolesť, do vhodného injekčného roztoku sa môže pridať lokálne anestetikum.</w:t>
      </w:r>
    </w:p>
    <w:p w14:paraId="354A6AB2" w14:textId="77777777" w:rsidR="00374898" w:rsidRPr="00EB5AA1" w:rsidRDefault="00374898" w:rsidP="00374898">
      <w:pPr>
        <w:rPr>
          <w:sz w:val="22"/>
          <w:szCs w:val="22"/>
          <w:lang w:val="sk-SK"/>
        </w:rPr>
      </w:pPr>
    </w:p>
    <w:p w14:paraId="02EC1159" w14:textId="77777777" w:rsidR="00374898" w:rsidRPr="00EB5AA1" w:rsidRDefault="00374898" w:rsidP="00374898">
      <w:pPr>
        <w:rPr>
          <w:sz w:val="22"/>
          <w:szCs w:val="22"/>
          <w:u w:val="single"/>
          <w:lang w:val="sk-SK"/>
        </w:rPr>
      </w:pPr>
      <w:proofErr w:type="spellStart"/>
      <w:r w:rsidRPr="00EB5AA1">
        <w:rPr>
          <w:sz w:val="22"/>
          <w:szCs w:val="22"/>
          <w:u w:val="single"/>
          <w:lang w:val="sk-SK"/>
        </w:rPr>
        <w:t>Intraarteriálne</w:t>
      </w:r>
      <w:proofErr w:type="spellEnd"/>
      <w:r w:rsidRPr="00EB5AA1">
        <w:rPr>
          <w:sz w:val="22"/>
          <w:szCs w:val="22"/>
          <w:u w:val="single"/>
          <w:lang w:val="sk-SK"/>
        </w:rPr>
        <w:t xml:space="preserve"> podanie</w:t>
      </w:r>
    </w:p>
    <w:p w14:paraId="35623F47" w14:textId="77777777" w:rsidR="00374898" w:rsidRPr="00EB5AA1" w:rsidRDefault="00374898" w:rsidP="00374898">
      <w:pPr>
        <w:rPr>
          <w:sz w:val="22"/>
          <w:szCs w:val="22"/>
          <w:lang w:val="sk-SK"/>
        </w:rPr>
      </w:pPr>
      <w:r w:rsidRPr="00EB5AA1">
        <w:rPr>
          <w:sz w:val="22"/>
          <w:szCs w:val="22"/>
          <w:lang w:val="sk-SK"/>
        </w:rPr>
        <w:t>Používa sa pomalá infúzia s 0,9 % roztokom chloridu sodného.</w:t>
      </w:r>
    </w:p>
    <w:p w14:paraId="15224643" w14:textId="77777777" w:rsidR="00374898" w:rsidRPr="00EB5AA1" w:rsidRDefault="00374898" w:rsidP="00374898">
      <w:pPr>
        <w:rPr>
          <w:sz w:val="22"/>
          <w:szCs w:val="22"/>
          <w:lang w:val="sk-SK"/>
        </w:rPr>
      </w:pPr>
    </w:p>
    <w:p w14:paraId="5EEE3D0C" w14:textId="77777777" w:rsidR="00374898" w:rsidRPr="00EB5AA1" w:rsidRDefault="00374898" w:rsidP="00374898">
      <w:pPr>
        <w:rPr>
          <w:sz w:val="22"/>
          <w:szCs w:val="22"/>
          <w:u w:val="single"/>
          <w:lang w:val="sk-SK"/>
        </w:rPr>
      </w:pPr>
      <w:proofErr w:type="spellStart"/>
      <w:r w:rsidRPr="00EB5AA1">
        <w:rPr>
          <w:sz w:val="22"/>
          <w:szCs w:val="22"/>
          <w:u w:val="single"/>
          <w:lang w:val="sk-SK"/>
        </w:rPr>
        <w:t>Intrapleurálne</w:t>
      </w:r>
      <w:proofErr w:type="spellEnd"/>
      <w:r w:rsidRPr="00EB5AA1">
        <w:rPr>
          <w:sz w:val="22"/>
          <w:szCs w:val="22"/>
          <w:u w:val="single"/>
          <w:lang w:val="sk-SK"/>
        </w:rPr>
        <w:t xml:space="preserve"> podanie</w:t>
      </w:r>
    </w:p>
    <w:p w14:paraId="74A8E4DA" w14:textId="77777777" w:rsidR="00374898" w:rsidRPr="00EB5AA1" w:rsidRDefault="00374898" w:rsidP="00374898">
      <w:pPr>
        <w:rPr>
          <w:sz w:val="22"/>
          <w:szCs w:val="22"/>
          <w:lang w:val="sk-SK"/>
        </w:rPr>
      </w:pPr>
      <w:r w:rsidRPr="00EB5AA1">
        <w:rPr>
          <w:sz w:val="22"/>
          <w:szCs w:val="22"/>
          <w:lang w:val="sk-SK"/>
        </w:rPr>
        <w:t xml:space="preserve">60 x 10³ IU </w:t>
      </w:r>
      <w:proofErr w:type="spellStart"/>
      <w:r w:rsidRPr="00EB5AA1">
        <w:rPr>
          <w:sz w:val="22"/>
          <w:szCs w:val="22"/>
          <w:lang w:val="sk-SK"/>
        </w:rPr>
        <w:t>bleomycínu</w:t>
      </w:r>
      <w:proofErr w:type="spellEnd"/>
      <w:r w:rsidRPr="00EB5AA1">
        <w:rPr>
          <w:sz w:val="22"/>
          <w:szCs w:val="22"/>
          <w:lang w:val="sk-SK"/>
        </w:rPr>
        <w:t xml:space="preserve"> sa rozpustí v 100 ml 0,9 % roztoku chloridu sodného.</w:t>
      </w:r>
    </w:p>
    <w:p w14:paraId="0E6063D4" w14:textId="77777777" w:rsidR="00374898" w:rsidRPr="00EB5AA1" w:rsidRDefault="00374898" w:rsidP="00374898">
      <w:pPr>
        <w:rPr>
          <w:sz w:val="22"/>
          <w:szCs w:val="22"/>
          <w:lang w:val="sk-SK"/>
        </w:rPr>
      </w:pPr>
    </w:p>
    <w:p w14:paraId="22E26D65" w14:textId="77777777" w:rsidR="00374898" w:rsidRPr="00EB5AA1" w:rsidRDefault="00374898" w:rsidP="00374898">
      <w:pPr>
        <w:rPr>
          <w:sz w:val="22"/>
          <w:szCs w:val="22"/>
          <w:u w:val="single"/>
          <w:lang w:val="sk-SK"/>
        </w:rPr>
      </w:pPr>
      <w:r w:rsidRPr="00EB5AA1">
        <w:rPr>
          <w:sz w:val="22"/>
          <w:szCs w:val="22"/>
          <w:u w:val="single"/>
          <w:lang w:val="sk-SK"/>
        </w:rPr>
        <w:t>Lokálne/</w:t>
      </w:r>
      <w:proofErr w:type="spellStart"/>
      <w:r w:rsidRPr="00EB5AA1">
        <w:rPr>
          <w:sz w:val="22"/>
          <w:szCs w:val="22"/>
          <w:u w:val="single"/>
          <w:lang w:val="sk-SK"/>
        </w:rPr>
        <w:t>intranádorové</w:t>
      </w:r>
      <w:proofErr w:type="spellEnd"/>
      <w:r w:rsidRPr="00EB5AA1">
        <w:rPr>
          <w:sz w:val="22"/>
          <w:szCs w:val="22"/>
          <w:u w:val="single"/>
          <w:lang w:val="sk-SK"/>
        </w:rPr>
        <w:t xml:space="preserve"> injekcie</w:t>
      </w:r>
    </w:p>
    <w:p w14:paraId="638B8A11" w14:textId="77777777" w:rsidR="00374898" w:rsidRPr="00EB5AA1" w:rsidRDefault="00374898" w:rsidP="00374898">
      <w:pPr>
        <w:rPr>
          <w:sz w:val="22"/>
          <w:szCs w:val="22"/>
          <w:lang w:val="sk-SK"/>
        </w:rPr>
      </w:pPr>
      <w:proofErr w:type="spellStart"/>
      <w:r w:rsidRPr="00EB5AA1">
        <w:rPr>
          <w:sz w:val="22"/>
          <w:szCs w:val="22"/>
          <w:lang w:val="sk-SK"/>
        </w:rPr>
        <w:t>Bleomycín</w:t>
      </w:r>
      <w:proofErr w:type="spellEnd"/>
      <w:r w:rsidRPr="00EB5AA1">
        <w:rPr>
          <w:sz w:val="22"/>
          <w:szCs w:val="22"/>
          <w:lang w:val="sk-SK"/>
        </w:rPr>
        <w:t xml:space="preserve"> sa rozpustí v 0,9 % roztoku chloridu sodného na koncentráciu 1 – 3 x 10³ IU/ml.</w:t>
      </w:r>
    </w:p>
    <w:p w14:paraId="7B3C87DD" w14:textId="77777777" w:rsidR="00374898" w:rsidRPr="00EB5AA1" w:rsidRDefault="00374898" w:rsidP="00374898">
      <w:pPr>
        <w:rPr>
          <w:sz w:val="22"/>
          <w:szCs w:val="22"/>
          <w:lang w:val="sk-SK"/>
        </w:rPr>
      </w:pPr>
    </w:p>
    <w:p w14:paraId="5C351362" w14:textId="77777777" w:rsidR="00374898" w:rsidRPr="00EB5AA1" w:rsidRDefault="00374898" w:rsidP="00374898">
      <w:pPr>
        <w:rPr>
          <w:sz w:val="22"/>
          <w:szCs w:val="22"/>
          <w:u w:val="single"/>
          <w:lang w:val="sk-SK"/>
        </w:rPr>
      </w:pPr>
      <w:r w:rsidRPr="00EB5AA1">
        <w:rPr>
          <w:sz w:val="22"/>
          <w:szCs w:val="22"/>
          <w:u w:val="single"/>
          <w:lang w:val="sk-SK"/>
        </w:rPr>
        <w:t>Bezpečné zaobchádzanie</w:t>
      </w:r>
    </w:p>
    <w:p w14:paraId="7B35783B" w14:textId="77777777" w:rsidR="00374898" w:rsidRPr="00EB5AA1" w:rsidRDefault="00374898" w:rsidP="00374898">
      <w:pPr>
        <w:rPr>
          <w:sz w:val="22"/>
          <w:szCs w:val="22"/>
          <w:lang w:val="sk-SK"/>
        </w:rPr>
      </w:pPr>
      <w:r w:rsidRPr="00EB5AA1">
        <w:rPr>
          <w:sz w:val="22"/>
          <w:szCs w:val="22"/>
          <w:lang w:val="sk-SK"/>
        </w:rPr>
        <w:t xml:space="preserve">Pri príprave a podávaní </w:t>
      </w:r>
      <w:proofErr w:type="spellStart"/>
      <w:r w:rsidRPr="00EB5AA1">
        <w:rPr>
          <w:sz w:val="22"/>
          <w:szCs w:val="22"/>
          <w:lang w:val="sk-SK"/>
        </w:rPr>
        <w:t>cytostatík</w:t>
      </w:r>
      <w:proofErr w:type="spellEnd"/>
      <w:r w:rsidRPr="00EB5AA1">
        <w:rPr>
          <w:sz w:val="22"/>
          <w:szCs w:val="22"/>
          <w:lang w:val="sk-SK"/>
        </w:rPr>
        <w:t xml:space="preserve"> sú potrebné zvyčajné preventívne opatrenia. Pri likvidácii odpadu a bezpečnej manipulácii sa musia dodržiavať odporúčania týkajúce sa bezpečného zaobchádzania s </w:t>
      </w:r>
      <w:proofErr w:type="spellStart"/>
      <w:r w:rsidRPr="00EB5AA1">
        <w:rPr>
          <w:sz w:val="22"/>
          <w:szCs w:val="22"/>
          <w:lang w:val="sk-SK"/>
        </w:rPr>
        <w:t>antineoplastickými</w:t>
      </w:r>
      <w:proofErr w:type="spellEnd"/>
      <w:r w:rsidRPr="00EB5AA1">
        <w:rPr>
          <w:sz w:val="22"/>
          <w:szCs w:val="22"/>
          <w:lang w:val="sk-SK"/>
        </w:rPr>
        <w:t xml:space="preserve"> liekmi.</w:t>
      </w:r>
    </w:p>
    <w:p w14:paraId="4D526346" w14:textId="77777777" w:rsidR="00374898" w:rsidRPr="00EB5AA1" w:rsidRDefault="00374898" w:rsidP="00374898">
      <w:pPr>
        <w:rPr>
          <w:sz w:val="22"/>
          <w:szCs w:val="22"/>
          <w:lang w:val="sk-SK"/>
        </w:rPr>
      </w:pPr>
      <w:r w:rsidRPr="00EB5AA1">
        <w:rPr>
          <w:sz w:val="22"/>
          <w:szCs w:val="22"/>
          <w:lang w:val="sk-SK"/>
        </w:rPr>
        <w:t>Prípravu musí vykonať školený odborný personál. Gravidné ženy sa musia upozorniť, aby sa vyhli zaobchádzaniu s </w:t>
      </w:r>
      <w:proofErr w:type="spellStart"/>
      <w:r w:rsidRPr="00EB5AA1">
        <w:rPr>
          <w:sz w:val="22"/>
          <w:szCs w:val="22"/>
          <w:lang w:val="sk-SK"/>
        </w:rPr>
        <w:t>cytostatikami</w:t>
      </w:r>
      <w:proofErr w:type="spellEnd"/>
      <w:r w:rsidRPr="00EB5AA1">
        <w:rPr>
          <w:sz w:val="22"/>
          <w:szCs w:val="22"/>
          <w:lang w:val="sk-SK"/>
        </w:rPr>
        <w:t xml:space="preserve">. Príprava sa musí vykonať za aseptických podmienok. Má sa vykonať vo vyhradenej miestnosti. V tejto miestnosti je zakázané fajčiť, jesť alebo piť. Medzi ochranné opatrenia patrí používanie rukavíc, masky, bezpečnostných ochranných okuliarov a ochranného odevu. Odporúča sa používanie digestora s laminárnym prúdením vzduchu (LAF). Pri podávaní sa majú používať rukavice. Postupy likvidácie musia prihliadať na </w:t>
      </w:r>
      <w:proofErr w:type="spellStart"/>
      <w:r w:rsidRPr="00EB5AA1">
        <w:rPr>
          <w:sz w:val="22"/>
          <w:szCs w:val="22"/>
          <w:lang w:val="sk-SK"/>
        </w:rPr>
        <w:t>cytotoxický</w:t>
      </w:r>
      <w:proofErr w:type="spellEnd"/>
      <w:r w:rsidRPr="00EB5AA1">
        <w:rPr>
          <w:sz w:val="22"/>
          <w:szCs w:val="22"/>
          <w:lang w:val="sk-SK"/>
        </w:rPr>
        <w:t xml:space="preserve"> charakter tejto látky. Musí sa vylúčiť priamy kontakt s pokožkou, očami a sliznicami. Pri priamom kontakte okamžite dôkladne umyte vodou. Na čistenie pokožky môže byť použité mydlo. Zvýšená opatrnosť je potrebná pri manipulácii s </w:t>
      </w:r>
      <w:proofErr w:type="spellStart"/>
      <w:r w:rsidRPr="00EB5AA1">
        <w:rPr>
          <w:sz w:val="22"/>
          <w:szCs w:val="22"/>
          <w:lang w:val="sk-SK"/>
        </w:rPr>
        <w:t>exkrétmi</w:t>
      </w:r>
      <w:proofErr w:type="spellEnd"/>
      <w:r w:rsidRPr="00EB5AA1">
        <w:rPr>
          <w:sz w:val="22"/>
          <w:szCs w:val="22"/>
          <w:lang w:val="sk-SK"/>
        </w:rPr>
        <w:t xml:space="preserve"> a zvratkami.</w:t>
      </w:r>
    </w:p>
    <w:p w14:paraId="6CB74739" w14:textId="77777777" w:rsidR="00374898" w:rsidRPr="00EB5AA1" w:rsidRDefault="00374898" w:rsidP="00374898">
      <w:pPr>
        <w:rPr>
          <w:sz w:val="22"/>
          <w:szCs w:val="22"/>
          <w:lang w:val="sk-SK"/>
        </w:rPr>
      </w:pPr>
    </w:p>
    <w:p w14:paraId="4E344AE5" w14:textId="77777777" w:rsidR="00374898" w:rsidRPr="00EB5AA1" w:rsidRDefault="00374898" w:rsidP="00374898">
      <w:pPr>
        <w:tabs>
          <w:tab w:val="left" w:pos="567"/>
        </w:tabs>
        <w:rPr>
          <w:sz w:val="22"/>
          <w:szCs w:val="22"/>
          <w:lang w:val="sk-SK"/>
        </w:rPr>
      </w:pPr>
      <w:r w:rsidRPr="00EB5AA1">
        <w:rPr>
          <w:sz w:val="22"/>
          <w:szCs w:val="22"/>
          <w:lang w:val="sk-SK"/>
        </w:rPr>
        <w:t>Nepoužitý liek alebo odpad vzniknutý z lieku má byť zlikvidovaný v súlade s národnými požiadavkami.</w:t>
      </w:r>
    </w:p>
    <w:p w14:paraId="472A1054" w14:textId="77777777" w:rsidR="00374898" w:rsidRPr="00EB5AA1" w:rsidRDefault="00374898" w:rsidP="00374898">
      <w:pPr>
        <w:tabs>
          <w:tab w:val="left" w:pos="567"/>
        </w:tabs>
        <w:rPr>
          <w:sz w:val="22"/>
          <w:szCs w:val="22"/>
          <w:lang w:val="sk-SK"/>
        </w:rPr>
      </w:pPr>
    </w:p>
    <w:p w14:paraId="33C137E4" w14:textId="77777777" w:rsidR="00374898" w:rsidRPr="00EB5AA1" w:rsidRDefault="00374898" w:rsidP="00374898">
      <w:pPr>
        <w:tabs>
          <w:tab w:val="left" w:pos="567"/>
        </w:tabs>
        <w:rPr>
          <w:sz w:val="22"/>
          <w:szCs w:val="22"/>
          <w:lang w:val="sk-SK"/>
        </w:rPr>
      </w:pPr>
    </w:p>
    <w:p w14:paraId="1689E359" w14:textId="77777777" w:rsidR="00374898" w:rsidRPr="00EB5AA1" w:rsidRDefault="00374898" w:rsidP="00374898">
      <w:pPr>
        <w:keepNext/>
        <w:keepLines/>
        <w:ind w:left="567" w:hanging="567"/>
        <w:rPr>
          <w:b/>
          <w:snapToGrid w:val="0"/>
          <w:sz w:val="22"/>
          <w:szCs w:val="22"/>
          <w:lang w:val="sk-SK"/>
        </w:rPr>
      </w:pPr>
      <w:r w:rsidRPr="00EB5AA1">
        <w:rPr>
          <w:b/>
          <w:bCs/>
          <w:snapToGrid w:val="0"/>
          <w:sz w:val="22"/>
          <w:szCs w:val="22"/>
          <w:lang w:val="sk-SK"/>
        </w:rPr>
        <w:t>7.</w:t>
      </w:r>
      <w:r w:rsidRPr="00EB5AA1">
        <w:rPr>
          <w:rStyle w:val="tw4winExternal"/>
          <w:rFonts w:ascii="Times New Roman" w:hAnsi="Times New Roman"/>
          <w:sz w:val="22"/>
          <w:szCs w:val="22"/>
          <w:lang w:val="sk-SK"/>
        </w:rPr>
        <w:tab/>
      </w:r>
      <w:r w:rsidRPr="00EB5AA1">
        <w:rPr>
          <w:b/>
          <w:bCs/>
          <w:snapToGrid w:val="0"/>
          <w:sz w:val="22"/>
          <w:szCs w:val="22"/>
          <w:lang w:val="sk-SK"/>
        </w:rPr>
        <w:t>DRŽITEĽ ROZHODNUTIA O REGISTRÁCII</w:t>
      </w:r>
    </w:p>
    <w:p w14:paraId="42E385AE" w14:textId="77777777" w:rsidR="00374898" w:rsidRPr="00EB5AA1" w:rsidRDefault="00374898" w:rsidP="00374898">
      <w:pPr>
        <w:keepNext/>
        <w:keepLines/>
        <w:rPr>
          <w:b/>
          <w:sz w:val="22"/>
          <w:szCs w:val="22"/>
          <w:lang w:val="sk-SK"/>
        </w:rPr>
      </w:pPr>
    </w:p>
    <w:p w14:paraId="2D8C2E77" w14:textId="77777777" w:rsidR="00374898" w:rsidRPr="00EB5AA1" w:rsidRDefault="00374898" w:rsidP="00374898">
      <w:pPr>
        <w:pStyle w:val="Nadpis8"/>
        <w:keepLines/>
        <w:ind w:left="0"/>
        <w:jc w:val="left"/>
        <w:rPr>
          <w:sz w:val="22"/>
          <w:szCs w:val="22"/>
          <w:lang w:val="sk-SK"/>
        </w:rPr>
      </w:pPr>
      <w:proofErr w:type="spellStart"/>
      <w:r w:rsidRPr="00EB5AA1">
        <w:rPr>
          <w:sz w:val="22"/>
          <w:szCs w:val="22"/>
          <w:lang w:val="sk-SK"/>
        </w:rPr>
        <w:t>medac</w:t>
      </w:r>
      <w:proofErr w:type="spellEnd"/>
    </w:p>
    <w:p w14:paraId="75DF654B" w14:textId="77777777" w:rsidR="00374898" w:rsidRPr="00EB5AA1" w:rsidRDefault="00374898" w:rsidP="00374898">
      <w:pPr>
        <w:pStyle w:val="Nadpis8"/>
        <w:keepLines/>
        <w:ind w:left="0"/>
        <w:jc w:val="left"/>
        <w:rPr>
          <w:sz w:val="22"/>
          <w:szCs w:val="22"/>
          <w:lang w:val="sk-SK"/>
        </w:rPr>
      </w:pPr>
      <w:proofErr w:type="spellStart"/>
      <w:r w:rsidRPr="00EB5AA1">
        <w:rPr>
          <w:sz w:val="22"/>
          <w:szCs w:val="22"/>
          <w:lang w:val="sk-SK"/>
        </w:rPr>
        <w:t>Gesellschaft</w:t>
      </w:r>
      <w:proofErr w:type="spellEnd"/>
      <w:r w:rsidRPr="00EB5AA1">
        <w:rPr>
          <w:sz w:val="22"/>
          <w:szCs w:val="22"/>
          <w:lang w:val="sk-SK"/>
        </w:rPr>
        <w:t xml:space="preserve"> </w:t>
      </w:r>
      <w:proofErr w:type="spellStart"/>
      <w:r w:rsidRPr="00EB5AA1">
        <w:rPr>
          <w:sz w:val="22"/>
          <w:szCs w:val="22"/>
          <w:lang w:val="sk-SK"/>
        </w:rPr>
        <w:t>für</w:t>
      </w:r>
      <w:proofErr w:type="spellEnd"/>
      <w:r w:rsidRPr="00EB5AA1">
        <w:rPr>
          <w:sz w:val="22"/>
          <w:szCs w:val="22"/>
          <w:lang w:val="sk-SK"/>
        </w:rPr>
        <w:t xml:space="preserve"> </w:t>
      </w:r>
      <w:proofErr w:type="spellStart"/>
      <w:r w:rsidRPr="00EB5AA1">
        <w:rPr>
          <w:sz w:val="22"/>
          <w:szCs w:val="22"/>
          <w:lang w:val="sk-SK"/>
        </w:rPr>
        <w:t>klinische</w:t>
      </w:r>
      <w:proofErr w:type="spellEnd"/>
      <w:r w:rsidRPr="00EB5AA1">
        <w:rPr>
          <w:sz w:val="22"/>
          <w:szCs w:val="22"/>
          <w:lang w:val="sk-SK"/>
        </w:rPr>
        <w:t xml:space="preserve"> </w:t>
      </w:r>
      <w:proofErr w:type="spellStart"/>
      <w:r w:rsidRPr="00EB5AA1">
        <w:rPr>
          <w:sz w:val="22"/>
          <w:szCs w:val="22"/>
          <w:lang w:val="sk-SK"/>
        </w:rPr>
        <w:t>Spezialpräparate</w:t>
      </w:r>
      <w:proofErr w:type="spellEnd"/>
      <w:r w:rsidRPr="00EB5AA1">
        <w:rPr>
          <w:sz w:val="22"/>
          <w:szCs w:val="22"/>
          <w:lang w:val="sk-SK"/>
        </w:rPr>
        <w:t xml:space="preserve"> </w:t>
      </w:r>
      <w:proofErr w:type="spellStart"/>
      <w:r w:rsidRPr="00EB5AA1">
        <w:rPr>
          <w:sz w:val="22"/>
          <w:szCs w:val="22"/>
          <w:lang w:val="sk-SK"/>
        </w:rPr>
        <w:t>mbH</w:t>
      </w:r>
      <w:proofErr w:type="spellEnd"/>
    </w:p>
    <w:p w14:paraId="163DD4D3" w14:textId="24E7523C" w:rsidR="00374898" w:rsidRPr="00EB5AA1" w:rsidRDefault="00EC2625" w:rsidP="00374898">
      <w:pPr>
        <w:keepNext/>
        <w:keepLines/>
        <w:rPr>
          <w:sz w:val="22"/>
          <w:szCs w:val="22"/>
          <w:lang w:val="sk-SK"/>
        </w:rPr>
      </w:pPr>
      <w:proofErr w:type="spellStart"/>
      <w:r>
        <w:rPr>
          <w:sz w:val="22"/>
          <w:szCs w:val="22"/>
          <w:lang w:val="sk-SK"/>
        </w:rPr>
        <w:t>Theaterstr</w:t>
      </w:r>
      <w:proofErr w:type="spellEnd"/>
      <w:r>
        <w:rPr>
          <w:sz w:val="22"/>
          <w:szCs w:val="22"/>
          <w:lang w:val="sk-SK"/>
        </w:rPr>
        <w:t>. 6</w:t>
      </w:r>
    </w:p>
    <w:p w14:paraId="5D1A6FC1" w14:textId="77777777" w:rsidR="00374898" w:rsidRPr="00EB5AA1" w:rsidRDefault="00EC2625" w:rsidP="00374898">
      <w:pPr>
        <w:keepNext/>
        <w:keepLines/>
        <w:rPr>
          <w:sz w:val="22"/>
          <w:szCs w:val="22"/>
          <w:lang w:val="sk-SK"/>
        </w:rPr>
      </w:pPr>
      <w:r>
        <w:rPr>
          <w:sz w:val="22"/>
          <w:szCs w:val="22"/>
          <w:lang w:val="sk-SK"/>
        </w:rPr>
        <w:t>22880 </w:t>
      </w:r>
      <w:proofErr w:type="spellStart"/>
      <w:r>
        <w:rPr>
          <w:sz w:val="22"/>
          <w:szCs w:val="22"/>
          <w:lang w:val="sk-SK"/>
        </w:rPr>
        <w:t>Wedel</w:t>
      </w:r>
      <w:proofErr w:type="spellEnd"/>
    </w:p>
    <w:p w14:paraId="5A3E156E" w14:textId="77777777" w:rsidR="00374898" w:rsidRPr="00EB5AA1" w:rsidRDefault="00374898" w:rsidP="00374898">
      <w:pPr>
        <w:keepNext/>
        <w:keepLines/>
        <w:rPr>
          <w:snapToGrid w:val="0"/>
          <w:sz w:val="22"/>
          <w:szCs w:val="22"/>
          <w:lang w:val="sk-SK"/>
        </w:rPr>
      </w:pPr>
      <w:r w:rsidRPr="00EB5AA1">
        <w:rPr>
          <w:snapToGrid w:val="0"/>
          <w:sz w:val="22"/>
          <w:szCs w:val="22"/>
          <w:lang w:val="sk-SK"/>
        </w:rPr>
        <w:t>Nemecko</w:t>
      </w:r>
    </w:p>
    <w:p w14:paraId="1AC90065" w14:textId="77777777" w:rsidR="00374898" w:rsidRPr="00EB5AA1" w:rsidRDefault="00374898" w:rsidP="00374898">
      <w:pPr>
        <w:keepNext/>
        <w:keepLines/>
        <w:rPr>
          <w:snapToGrid w:val="0"/>
          <w:sz w:val="22"/>
          <w:szCs w:val="22"/>
          <w:lang w:val="sk-SK"/>
        </w:rPr>
      </w:pPr>
      <w:r w:rsidRPr="00EB5AA1">
        <w:rPr>
          <w:snapToGrid w:val="0"/>
          <w:sz w:val="22"/>
          <w:szCs w:val="22"/>
          <w:lang w:val="sk-SK"/>
        </w:rPr>
        <w:t>Tel.: +49 4103 8006-0</w:t>
      </w:r>
    </w:p>
    <w:p w14:paraId="2C20D798" w14:textId="77777777" w:rsidR="00374898" w:rsidRPr="00BB6D58" w:rsidRDefault="00374898" w:rsidP="00374898">
      <w:pPr>
        <w:keepNext/>
        <w:keepLines/>
        <w:rPr>
          <w:sz w:val="22"/>
          <w:szCs w:val="22"/>
          <w:lang w:val="sk-SK"/>
        </w:rPr>
      </w:pPr>
      <w:r w:rsidRPr="00EB5AA1">
        <w:rPr>
          <w:snapToGrid w:val="0"/>
          <w:sz w:val="22"/>
          <w:szCs w:val="22"/>
          <w:lang w:val="sk-SK"/>
        </w:rPr>
        <w:t>Fax: +49 4103 8006-100</w:t>
      </w:r>
    </w:p>
    <w:p w14:paraId="02FB9ED7" w14:textId="77777777" w:rsidR="00374898" w:rsidRPr="00EB5AA1" w:rsidRDefault="00374898" w:rsidP="00374898">
      <w:pPr>
        <w:tabs>
          <w:tab w:val="left" w:pos="567"/>
        </w:tabs>
        <w:rPr>
          <w:sz w:val="22"/>
          <w:szCs w:val="22"/>
          <w:lang w:val="sk-SK"/>
        </w:rPr>
      </w:pPr>
    </w:p>
    <w:p w14:paraId="0A094F90" w14:textId="77777777" w:rsidR="00374898" w:rsidRPr="00EB5AA1" w:rsidRDefault="00374898" w:rsidP="00374898">
      <w:pPr>
        <w:tabs>
          <w:tab w:val="left" w:pos="567"/>
        </w:tabs>
        <w:rPr>
          <w:sz w:val="22"/>
          <w:szCs w:val="22"/>
          <w:lang w:val="sk-SK"/>
        </w:rPr>
      </w:pPr>
    </w:p>
    <w:p w14:paraId="223DF64C" w14:textId="77777777" w:rsidR="00374898" w:rsidRPr="00EB5AA1" w:rsidRDefault="00374898" w:rsidP="00374898">
      <w:pPr>
        <w:ind w:left="567" w:hanging="567"/>
        <w:rPr>
          <w:b/>
          <w:snapToGrid w:val="0"/>
          <w:sz w:val="22"/>
          <w:szCs w:val="22"/>
          <w:lang w:val="sk-SK"/>
        </w:rPr>
      </w:pPr>
      <w:r w:rsidRPr="00EB5AA1">
        <w:rPr>
          <w:b/>
          <w:bCs/>
          <w:snapToGrid w:val="0"/>
          <w:sz w:val="22"/>
          <w:szCs w:val="22"/>
          <w:lang w:val="sk-SK"/>
        </w:rPr>
        <w:t>8.</w:t>
      </w:r>
      <w:r w:rsidRPr="00EB5AA1">
        <w:rPr>
          <w:rStyle w:val="tw4winExternal"/>
          <w:rFonts w:ascii="Times New Roman" w:hAnsi="Times New Roman"/>
          <w:sz w:val="22"/>
          <w:szCs w:val="22"/>
          <w:lang w:val="sk-SK"/>
        </w:rPr>
        <w:tab/>
      </w:r>
      <w:r w:rsidRPr="00EB5AA1">
        <w:rPr>
          <w:b/>
          <w:bCs/>
          <w:snapToGrid w:val="0"/>
          <w:sz w:val="22"/>
          <w:szCs w:val="22"/>
          <w:lang w:val="sk-SK"/>
        </w:rPr>
        <w:t>REGISTRAČNÉ ČÍSLO</w:t>
      </w:r>
    </w:p>
    <w:p w14:paraId="3E1E87CF" w14:textId="77777777" w:rsidR="00374898" w:rsidRPr="00EB5AA1" w:rsidRDefault="00374898" w:rsidP="00374898">
      <w:pPr>
        <w:rPr>
          <w:sz w:val="22"/>
          <w:szCs w:val="22"/>
          <w:lang w:val="sk-SK"/>
        </w:rPr>
      </w:pPr>
    </w:p>
    <w:p w14:paraId="344CE25C" w14:textId="77777777" w:rsidR="00374898" w:rsidRPr="00EB5AA1" w:rsidRDefault="00374898" w:rsidP="00374898">
      <w:pPr>
        <w:rPr>
          <w:sz w:val="22"/>
          <w:szCs w:val="22"/>
          <w:lang w:val="sk-SK"/>
        </w:rPr>
      </w:pPr>
      <w:r w:rsidRPr="00EB5AA1">
        <w:rPr>
          <w:sz w:val="22"/>
          <w:szCs w:val="22"/>
          <w:lang w:val="sk-SK"/>
        </w:rPr>
        <w:t>44/0165/11-S</w:t>
      </w:r>
    </w:p>
    <w:p w14:paraId="0494B09A" w14:textId="77777777" w:rsidR="00374898" w:rsidRPr="00EB5AA1" w:rsidRDefault="00374898" w:rsidP="00374898">
      <w:pPr>
        <w:rPr>
          <w:sz w:val="22"/>
          <w:szCs w:val="22"/>
          <w:lang w:val="sk-SK"/>
        </w:rPr>
      </w:pPr>
    </w:p>
    <w:p w14:paraId="5747BADE" w14:textId="77777777" w:rsidR="00374898" w:rsidRPr="00EB5AA1" w:rsidRDefault="00374898" w:rsidP="00374898">
      <w:pPr>
        <w:rPr>
          <w:sz w:val="22"/>
          <w:szCs w:val="22"/>
          <w:lang w:val="sk-SK"/>
        </w:rPr>
      </w:pPr>
    </w:p>
    <w:p w14:paraId="75D8B5F4" w14:textId="77777777" w:rsidR="00374898" w:rsidRPr="00EB5AA1" w:rsidRDefault="00374898" w:rsidP="00374898">
      <w:pPr>
        <w:ind w:left="567" w:hanging="567"/>
        <w:rPr>
          <w:b/>
          <w:snapToGrid w:val="0"/>
          <w:sz w:val="22"/>
          <w:szCs w:val="22"/>
          <w:lang w:val="sk-SK"/>
        </w:rPr>
      </w:pPr>
      <w:r w:rsidRPr="00EB5AA1">
        <w:rPr>
          <w:b/>
          <w:bCs/>
          <w:snapToGrid w:val="0"/>
          <w:sz w:val="22"/>
          <w:szCs w:val="22"/>
          <w:lang w:val="sk-SK"/>
        </w:rPr>
        <w:t>9.</w:t>
      </w:r>
      <w:r w:rsidRPr="00EB5AA1">
        <w:rPr>
          <w:rStyle w:val="tw4winExternal"/>
          <w:rFonts w:ascii="Times New Roman" w:hAnsi="Times New Roman"/>
          <w:sz w:val="22"/>
          <w:szCs w:val="22"/>
          <w:lang w:val="sk-SK"/>
        </w:rPr>
        <w:tab/>
      </w:r>
      <w:r w:rsidRPr="00EB5AA1">
        <w:rPr>
          <w:b/>
          <w:bCs/>
          <w:snapToGrid w:val="0"/>
          <w:sz w:val="22"/>
          <w:szCs w:val="22"/>
          <w:lang w:val="sk-SK"/>
        </w:rPr>
        <w:t>DÁTUM PRVEJ REGISTRÁCIE/PREDĹŽENIA REGISTRÁCIE</w:t>
      </w:r>
    </w:p>
    <w:p w14:paraId="15C953A5" w14:textId="77777777" w:rsidR="00374898" w:rsidRPr="00EB5AA1" w:rsidRDefault="00374898" w:rsidP="00374898">
      <w:pPr>
        <w:tabs>
          <w:tab w:val="left" w:pos="567"/>
        </w:tabs>
        <w:rPr>
          <w:sz w:val="22"/>
          <w:szCs w:val="22"/>
          <w:lang w:val="sk-SK"/>
        </w:rPr>
      </w:pPr>
    </w:p>
    <w:p w14:paraId="679A9A1C" w14:textId="77777777" w:rsidR="00374898" w:rsidRPr="00EB5AA1" w:rsidRDefault="00374898" w:rsidP="00374898">
      <w:pPr>
        <w:tabs>
          <w:tab w:val="left" w:pos="567"/>
        </w:tabs>
        <w:rPr>
          <w:sz w:val="22"/>
          <w:szCs w:val="22"/>
          <w:lang w:val="sk-SK"/>
        </w:rPr>
      </w:pPr>
      <w:r w:rsidRPr="00EB5AA1">
        <w:rPr>
          <w:sz w:val="22"/>
          <w:szCs w:val="22"/>
          <w:lang w:val="sk-SK"/>
        </w:rPr>
        <w:t>Dátum prvej registrácie: 22</w:t>
      </w:r>
      <w:r>
        <w:rPr>
          <w:sz w:val="22"/>
          <w:szCs w:val="22"/>
          <w:lang w:val="sk-SK"/>
        </w:rPr>
        <w:t xml:space="preserve">. </w:t>
      </w:r>
      <w:r w:rsidRPr="00EB5AA1">
        <w:rPr>
          <w:sz w:val="22"/>
          <w:szCs w:val="22"/>
          <w:lang w:val="sk-SK"/>
        </w:rPr>
        <w:t>septembra</w:t>
      </w:r>
      <w:r>
        <w:rPr>
          <w:sz w:val="22"/>
          <w:szCs w:val="22"/>
          <w:lang w:val="sk-SK"/>
        </w:rPr>
        <w:t xml:space="preserve"> </w:t>
      </w:r>
      <w:r w:rsidRPr="00EB5AA1">
        <w:rPr>
          <w:sz w:val="22"/>
          <w:szCs w:val="22"/>
          <w:lang w:val="sk-SK"/>
        </w:rPr>
        <w:t>2010</w:t>
      </w:r>
    </w:p>
    <w:p w14:paraId="311714B7" w14:textId="594A907A" w:rsidR="00374898" w:rsidRPr="00EB5AA1" w:rsidRDefault="00374898" w:rsidP="00374898">
      <w:pPr>
        <w:tabs>
          <w:tab w:val="left" w:pos="567"/>
        </w:tabs>
        <w:rPr>
          <w:sz w:val="22"/>
          <w:szCs w:val="22"/>
          <w:lang w:val="sk-SK"/>
        </w:rPr>
      </w:pPr>
      <w:r w:rsidRPr="00832D39">
        <w:rPr>
          <w:sz w:val="22"/>
          <w:lang w:val="sk-SK"/>
        </w:rPr>
        <w:t xml:space="preserve">Dátum posledného predĺženia registrácie: </w:t>
      </w:r>
    </w:p>
    <w:p w14:paraId="5D828393" w14:textId="77777777" w:rsidR="00374898" w:rsidRPr="00EB5AA1" w:rsidRDefault="00374898" w:rsidP="00374898">
      <w:pPr>
        <w:tabs>
          <w:tab w:val="left" w:pos="567"/>
        </w:tabs>
        <w:rPr>
          <w:sz w:val="22"/>
          <w:szCs w:val="22"/>
          <w:lang w:val="sk-SK"/>
        </w:rPr>
      </w:pPr>
    </w:p>
    <w:p w14:paraId="29DE7719" w14:textId="77777777" w:rsidR="00374898" w:rsidRPr="00EB5AA1" w:rsidRDefault="00374898" w:rsidP="00832D39">
      <w:pPr>
        <w:keepNext/>
        <w:keepLines/>
        <w:ind w:left="567" w:hanging="567"/>
        <w:rPr>
          <w:b/>
          <w:snapToGrid w:val="0"/>
          <w:sz w:val="22"/>
          <w:szCs w:val="22"/>
          <w:lang w:val="sk-SK"/>
        </w:rPr>
      </w:pPr>
      <w:r w:rsidRPr="00EB5AA1">
        <w:rPr>
          <w:b/>
          <w:bCs/>
          <w:snapToGrid w:val="0"/>
          <w:sz w:val="22"/>
          <w:szCs w:val="22"/>
          <w:lang w:val="sk-SK"/>
        </w:rPr>
        <w:t>10.</w:t>
      </w:r>
      <w:r w:rsidRPr="00EB5AA1">
        <w:rPr>
          <w:rStyle w:val="tw4winExternal"/>
          <w:rFonts w:ascii="Times New Roman" w:hAnsi="Times New Roman"/>
          <w:sz w:val="22"/>
          <w:szCs w:val="22"/>
          <w:lang w:val="sk-SK"/>
        </w:rPr>
        <w:tab/>
      </w:r>
      <w:r w:rsidRPr="00EB5AA1">
        <w:rPr>
          <w:b/>
          <w:bCs/>
          <w:snapToGrid w:val="0"/>
          <w:sz w:val="22"/>
          <w:szCs w:val="22"/>
          <w:lang w:val="sk-SK"/>
        </w:rPr>
        <w:t>DÁTUM REVÍZIE TEXTU</w:t>
      </w:r>
    </w:p>
    <w:p w14:paraId="568BCD07" w14:textId="77777777" w:rsidR="00374898" w:rsidRPr="00EB5AA1" w:rsidRDefault="00374898" w:rsidP="00832D39">
      <w:pPr>
        <w:keepNext/>
        <w:keepLines/>
        <w:rPr>
          <w:b/>
          <w:sz w:val="22"/>
          <w:szCs w:val="22"/>
          <w:lang w:val="sk-SK"/>
        </w:rPr>
      </w:pPr>
    </w:p>
    <w:p w14:paraId="4C45624E" w14:textId="26E4F349" w:rsidR="00CC36CC" w:rsidRPr="00374898" w:rsidRDefault="0036354C" w:rsidP="00832D39">
      <w:pPr>
        <w:keepNext/>
        <w:keepLines/>
        <w:rPr>
          <w:sz w:val="22"/>
          <w:szCs w:val="22"/>
          <w:lang w:val="sk-SK"/>
        </w:rPr>
      </w:pPr>
      <w:r>
        <w:rPr>
          <w:sz w:val="22"/>
          <w:szCs w:val="22"/>
          <w:lang w:val="sk-SK"/>
        </w:rPr>
        <w:t>0</w:t>
      </w:r>
      <w:r w:rsidR="00832D39">
        <w:rPr>
          <w:sz w:val="22"/>
          <w:szCs w:val="22"/>
          <w:lang w:val="sk-SK"/>
        </w:rPr>
        <w:t>8</w:t>
      </w:r>
      <w:r w:rsidR="000A1D6D">
        <w:rPr>
          <w:sz w:val="22"/>
          <w:szCs w:val="22"/>
          <w:lang w:val="sk-SK"/>
        </w:rPr>
        <w:t>/2017</w:t>
      </w:r>
    </w:p>
    <w:sectPr w:rsidR="00CC36CC" w:rsidRPr="00374898" w:rsidSect="00F065A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E281" w14:textId="77777777" w:rsidR="00BF2BAC" w:rsidRDefault="00BF2BAC">
      <w:r>
        <w:separator/>
      </w:r>
    </w:p>
  </w:endnote>
  <w:endnote w:type="continuationSeparator" w:id="0">
    <w:p w14:paraId="77D4728B" w14:textId="77777777" w:rsidR="00BF2BAC" w:rsidRDefault="00BF2BAC">
      <w:r>
        <w:continuationSeparator/>
      </w:r>
    </w:p>
  </w:endnote>
  <w:endnote w:type="continuationNotice" w:id="1">
    <w:p w14:paraId="755D47BD" w14:textId="77777777" w:rsidR="00BF2BAC" w:rsidRDefault="00BF2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9A55" w14:textId="77777777" w:rsidR="00850968" w:rsidRDefault="0085096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EC8E" w14:textId="317C285C" w:rsidR="00EB5AA1" w:rsidRPr="00644312" w:rsidRDefault="00EB5AA1" w:rsidP="0064431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522A" w14:textId="77777777" w:rsidR="00850968" w:rsidRDefault="0085096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F2C2E" w14:textId="77777777" w:rsidR="00BF2BAC" w:rsidRDefault="00BF2BAC">
      <w:r>
        <w:separator/>
      </w:r>
    </w:p>
  </w:footnote>
  <w:footnote w:type="continuationSeparator" w:id="0">
    <w:p w14:paraId="2F4F31E7" w14:textId="77777777" w:rsidR="00BF2BAC" w:rsidRDefault="00BF2BAC">
      <w:r>
        <w:continuationSeparator/>
      </w:r>
    </w:p>
  </w:footnote>
  <w:footnote w:type="continuationNotice" w:id="1">
    <w:p w14:paraId="2ED4C189" w14:textId="77777777" w:rsidR="00BF2BAC" w:rsidRDefault="00BF2B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C5D52" w14:textId="77777777" w:rsidR="00850968" w:rsidRDefault="0085096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42ED" w14:textId="77777777" w:rsidR="005A0412" w:rsidRDefault="005A0412">
    <w:pPr>
      <w:pStyle w:val="Hlavika"/>
      <w:rPr>
        <w:sz w:val="18"/>
        <w:lang w:val="sk-SK"/>
      </w:rPr>
    </w:pPr>
    <w:r w:rsidRPr="005F07D2">
      <w:rPr>
        <w:sz w:val="18"/>
        <w:lang w:val="sk-SK"/>
      </w:rPr>
      <w:t>Schválený text k rozhodnutiu o predĺžení: ev.</w:t>
    </w:r>
    <w:r w:rsidR="007D2B77">
      <w:rPr>
        <w:sz w:val="18"/>
        <w:lang w:val="sk-SK"/>
      </w:rPr>
      <w:t xml:space="preserve"> </w:t>
    </w:r>
    <w:r w:rsidRPr="005F07D2">
      <w:rPr>
        <w:sz w:val="18"/>
        <w:lang w:val="sk-SK"/>
      </w:rPr>
      <w:t>č.: 2014/05513</w:t>
    </w:r>
  </w:p>
  <w:p w14:paraId="6C035995" w14:textId="4C98FAA0" w:rsidR="002D2593" w:rsidRDefault="002D2593">
    <w:pPr>
      <w:pStyle w:val="Hlavika"/>
      <w:rPr>
        <w:sz w:val="18"/>
        <w:lang w:val="sk-SK"/>
      </w:rPr>
    </w:pPr>
    <w:r>
      <w:rPr>
        <w:sz w:val="18"/>
        <w:lang w:val="sk-SK"/>
      </w:rPr>
      <w:t xml:space="preserve">Schválený text k rozhodnutiu o zmene, </w:t>
    </w:r>
    <w:proofErr w:type="spellStart"/>
    <w:r>
      <w:rPr>
        <w:sz w:val="18"/>
        <w:lang w:val="sk-SK"/>
      </w:rPr>
      <w:t>ev.č</w:t>
    </w:r>
    <w:proofErr w:type="spellEnd"/>
    <w:r>
      <w:rPr>
        <w:sz w:val="18"/>
        <w:lang w:val="sk-SK"/>
      </w:rPr>
      <w:t>.: 2014/01209-ZME</w:t>
    </w:r>
  </w:p>
  <w:p w14:paraId="7344E968" w14:textId="6F90BB4F" w:rsidR="00CF00F5" w:rsidRPr="00832D39" w:rsidRDefault="005B70B3">
    <w:pPr>
      <w:pStyle w:val="Hlavika"/>
    </w:pPr>
    <w:bookmarkStart w:id="1" w:name="_Hlk482684322"/>
    <w:proofErr w:type="spellStart"/>
    <w:r>
      <w:rPr>
        <w:sz w:val="18"/>
      </w:rPr>
      <w:t>Príloha</w:t>
    </w:r>
    <w:proofErr w:type="spellEnd"/>
    <w:r>
      <w:rPr>
        <w:sz w:val="18"/>
      </w:rPr>
      <w:t xml:space="preserve"> č. </w:t>
    </w:r>
    <w:r w:rsidR="00D52376">
      <w:rPr>
        <w:sz w:val="18"/>
      </w:rPr>
      <w:t>2</w:t>
    </w:r>
    <w:r>
      <w:rPr>
        <w:sz w:val="18"/>
      </w:rPr>
      <w:t xml:space="preserve"> k </w:t>
    </w:r>
    <w:proofErr w:type="spellStart"/>
    <w:r>
      <w:rPr>
        <w:sz w:val="18"/>
      </w:rPr>
      <w:t>notifikácii</w:t>
    </w:r>
    <w:proofErr w:type="spellEnd"/>
    <w:r>
      <w:rPr>
        <w:sz w:val="18"/>
      </w:rPr>
      <w:t xml:space="preserve"> o </w:t>
    </w:r>
    <w:proofErr w:type="spellStart"/>
    <w:r>
      <w:rPr>
        <w:sz w:val="18"/>
      </w:rPr>
      <w:t>zmene</w:t>
    </w:r>
    <w:proofErr w:type="spellEnd"/>
    <w:r>
      <w:rPr>
        <w:sz w:val="18"/>
      </w:rPr>
      <w:t xml:space="preserve">, </w:t>
    </w:r>
    <w:proofErr w:type="spellStart"/>
    <w:r>
      <w:rPr>
        <w:sz w:val="18"/>
      </w:rPr>
      <w:t>ev.č</w:t>
    </w:r>
    <w:proofErr w:type="spellEnd"/>
    <w:r>
      <w:rPr>
        <w:sz w:val="18"/>
      </w:rPr>
      <w:t>.: 2016/04238-ZIA</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1B51" w14:textId="77777777" w:rsidR="00850968" w:rsidRDefault="0085096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C4C"/>
    <w:multiLevelType w:val="multilevel"/>
    <w:tmpl w:val="9984C64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665069"/>
    <w:multiLevelType w:val="hybridMultilevel"/>
    <w:tmpl w:val="0A0A8F1A"/>
    <w:lvl w:ilvl="0" w:tplc="F632655C">
      <w:start w:val="8"/>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4309F6"/>
    <w:multiLevelType w:val="hybridMultilevel"/>
    <w:tmpl w:val="C0982E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BA3686"/>
    <w:multiLevelType w:val="singleLevel"/>
    <w:tmpl w:val="A8E2770C"/>
    <w:lvl w:ilvl="0">
      <w:start w:val="1"/>
      <w:numFmt w:val="bullet"/>
      <w:lvlText w:val=""/>
      <w:lvlJc w:val="left"/>
      <w:pPr>
        <w:tabs>
          <w:tab w:val="num" w:pos="885"/>
        </w:tabs>
        <w:ind w:left="885" w:hanging="360"/>
      </w:pPr>
      <w:rPr>
        <w:rFonts w:ascii="Symbol" w:hAnsi="Symbol" w:hint="default"/>
      </w:rPr>
    </w:lvl>
  </w:abstractNum>
  <w:abstractNum w:abstractNumId="4" w15:restartNumberingAfterBreak="0">
    <w:nsid w:val="1D1262A9"/>
    <w:multiLevelType w:val="multilevel"/>
    <w:tmpl w:val="B8EA979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1EA005B8"/>
    <w:multiLevelType w:val="singleLevel"/>
    <w:tmpl w:val="4B568128"/>
    <w:lvl w:ilvl="0">
      <w:start w:val="1"/>
      <w:numFmt w:val="decimal"/>
      <w:lvlText w:val="%1."/>
      <w:lvlJc w:val="left"/>
      <w:pPr>
        <w:tabs>
          <w:tab w:val="num" w:pos="360"/>
        </w:tabs>
        <w:ind w:left="360" w:hanging="360"/>
      </w:pPr>
    </w:lvl>
  </w:abstractNum>
  <w:abstractNum w:abstractNumId="6" w15:restartNumberingAfterBreak="0">
    <w:nsid w:val="24405F63"/>
    <w:multiLevelType w:val="singleLevel"/>
    <w:tmpl w:val="A8E277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040488"/>
    <w:multiLevelType w:val="hybridMultilevel"/>
    <w:tmpl w:val="EDBA8D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895CCF"/>
    <w:multiLevelType w:val="hybridMultilevel"/>
    <w:tmpl w:val="24A88EA0"/>
    <w:lvl w:ilvl="0" w:tplc="F79841EA">
      <w:start w:val="1"/>
      <w:numFmt w:val="decimal"/>
      <w:lvlText w:val="%1."/>
      <w:lvlJc w:val="left"/>
      <w:pPr>
        <w:tabs>
          <w:tab w:val="num" w:pos="927"/>
        </w:tabs>
        <w:ind w:left="927" w:hanging="360"/>
      </w:pPr>
      <w:rPr>
        <w:rFonts w:hint="default"/>
        <w:b w:val="0"/>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9" w15:restartNumberingAfterBreak="0">
    <w:nsid w:val="2D752A78"/>
    <w:multiLevelType w:val="hybridMultilevel"/>
    <w:tmpl w:val="0D4C6B30"/>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01E0FF0"/>
    <w:multiLevelType w:val="multilevel"/>
    <w:tmpl w:val="B8EA979C"/>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4471684C"/>
    <w:multiLevelType w:val="singleLevel"/>
    <w:tmpl w:val="A8E2770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B0469F"/>
    <w:multiLevelType w:val="hybridMultilevel"/>
    <w:tmpl w:val="B8EA979C"/>
    <w:lvl w:ilvl="0" w:tplc="9698DB8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585214"/>
    <w:multiLevelType w:val="singleLevel"/>
    <w:tmpl w:val="A16A0856"/>
    <w:lvl w:ilvl="0">
      <w:start w:val="1"/>
      <w:numFmt w:val="decimal"/>
      <w:pStyle w:val="Nadpis3"/>
      <w:lvlText w:val="%1"/>
      <w:lvlJc w:val="left"/>
      <w:pPr>
        <w:tabs>
          <w:tab w:val="num" w:pos="360"/>
        </w:tabs>
        <w:ind w:left="360" w:hanging="360"/>
      </w:pPr>
    </w:lvl>
  </w:abstractNum>
  <w:abstractNum w:abstractNumId="14" w15:restartNumberingAfterBreak="0">
    <w:nsid w:val="516A1453"/>
    <w:multiLevelType w:val="multilevel"/>
    <w:tmpl w:val="9530FD0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9A19C8"/>
    <w:multiLevelType w:val="singleLevel"/>
    <w:tmpl w:val="67D82272"/>
    <w:lvl w:ilvl="0">
      <w:start w:val="3"/>
      <w:numFmt w:val="decimal"/>
      <w:lvlText w:val="%1."/>
      <w:lvlJc w:val="left"/>
      <w:pPr>
        <w:tabs>
          <w:tab w:val="num" w:pos="360"/>
        </w:tabs>
        <w:ind w:left="360" w:hanging="360"/>
      </w:pPr>
    </w:lvl>
  </w:abstractNum>
  <w:abstractNum w:abstractNumId="16" w15:restartNumberingAfterBreak="0">
    <w:nsid w:val="53CE3E12"/>
    <w:multiLevelType w:val="multilevel"/>
    <w:tmpl w:val="F1AC065E"/>
    <w:lvl w:ilvl="0">
      <w:start w:val="1"/>
      <w:numFmt w:val="decimal"/>
      <w:lvlText w:val="%1."/>
      <w:lvlJc w:val="left"/>
      <w:pPr>
        <w:tabs>
          <w:tab w:val="num" w:pos="360"/>
        </w:tabs>
        <w:ind w:left="360" w:hanging="360"/>
      </w:pPr>
      <w:rPr>
        <w:rFonts w:hint="eastAsia"/>
        <w:b/>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53D2770E"/>
    <w:multiLevelType w:val="multilevel"/>
    <w:tmpl w:val="64CC47A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2F2DC4"/>
    <w:multiLevelType w:val="singleLevel"/>
    <w:tmpl w:val="A8E2770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B80912"/>
    <w:multiLevelType w:val="multilevel"/>
    <w:tmpl w:val="5B34431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72122B"/>
    <w:multiLevelType w:val="singleLevel"/>
    <w:tmpl w:val="6F9C31F4"/>
    <w:lvl w:ilvl="0">
      <w:start w:val="5"/>
      <w:numFmt w:val="decimal"/>
      <w:pStyle w:val="Nadpis6"/>
      <w:lvlText w:val="%1"/>
      <w:lvlJc w:val="left"/>
      <w:pPr>
        <w:tabs>
          <w:tab w:val="num" w:pos="360"/>
        </w:tabs>
        <w:ind w:left="360" w:hanging="360"/>
      </w:pPr>
    </w:lvl>
  </w:abstractNum>
  <w:abstractNum w:abstractNumId="21" w15:restartNumberingAfterBreak="0">
    <w:nsid w:val="6D27408A"/>
    <w:multiLevelType w:val="multilevel"/>
    <w:tmpl w:val="5174624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264CB9"/>
    <w:multiLevelType w:val="multilevel"/>
    <w:tmpl w:val="B8EA979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71B20E24"/>
    <w:multiLevelType w:val="multilevel"/>
    <w:tmpl w:val="B1D6CA5A"/>
    <w:lvl w:ilvl="0">
      <w:start w:val="6"/>
      <w:numFmt w:val="decimal"/>
      <w:pStyle w:val="Nadpis9"/>
      <w:lvlText w:val="%1"/>
      <w:lvlJc w:val="left"/>
      <w:pPr>
        <w:tabs>
          <w:tab w:val="num" w:pos="780"/>
        </w:tabs>
        <w:ind w:left="78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582772"/>
    <w:multiLevelType w:val="hybridMultilevel"/>
    <w:tmpl w:val="8268793E"/>
    <w:lvl w:ilvl="0" w:tplc="E3781EB6">
      <w:start w:val="3"/>
      <w:numFmt w:val="decimal"/>
      <w:lvlText w:val="%1."/>
      <w:lvlJc w:val="left"/>
      <w:pPr>
        <w:tabs>
          <w:tab w:val="num" w:pos="840"/>
        </w:tabs>
        <w:ind w:left="840" w:hanging="945"/>
      </w:pPr>
      <w:rPr>
        <w:rFonts w:hint="default"/>
      </w:rPr>
    </w:lvl>
    <w:lvl w:ilvl="1" w:tplc="04070019" w:tentative="1">
      <w:start w:val="1"/>
      <w:numFmt w:val="lowerLetter"/>
      <w:lvlText w:val="%2."/>
      <w:lvlJc w:val="left"/>
      <w:pPr>
        <w:tabs>
          <w:tab w:val="num" w:pos="975"/>
        </w:tabs>
        <w:ind w:left="975" w:hanging="360"/>
      </w:pPr>
    </w:lvl>
    <w:lvl w:ilvl="2" w:tplc="0407001B" w:tentative="1">
      <w:start w:val="1"/>
      <w:numFmt w:val="lowerRoman"/>
      <w:lvlText w:val="%3."/>
      <w:lvlJc w:val="right"/>
      <w:pPr>
        <w:tabs>
          <w:tab w:val="num" w:pos="1695"/>
        </w:tabs>
        <w:ind w:left="1695" w:hanging="180"/>
      </w:pPr>
    </w:lvl>
    <w:lvl w:ilvl="3" w:tplc="0407000F" w:tentative="1">
      <w:start w:val="1"/>
      <w:numFmt w:val="decimal"/>
      <w:lvlText w:val="%4."/>
      <w:lvlJc w:val="left"/>
      <w:pPr>
        <w:tabs>
          <w:tab w:val="num" w:pos="2415"/>
        </w:tabs>
        <w:ind w:left="2415" w:hanging="360"/>
      </w:pPr>
    </w:lvl>
    <w:lvl w:ilvl="4" w:tplc="04070019" w:tentative="1">
      <w:start w:val="1"/>
      <w:numFmt w:val="lowerLetter"/>
      <w:lvlText w:val="%5."/>
      <w:lvlJc w:val="left"/>
      <w:pPr>
        <w:tabs>
          <w:tab w:val="num" w:pos="3135"/>
        </w:tabs>
        <w:ind w:left="3135" w:hanging="360"/>
      </w:pPr>
    </w:lvl>
    <w:lvl w:ilvl="5" w:tplc="0407001B" w:tentative="1">
      <w:start w:val="1"/>
      <w:numFmt w:val="lowerRoman"/>
      <w:lvlText w:val="%6."/>
      <w:lvlJc w:val="right"/>
      <w:pPr>
        <w:tabs>
          <w:tab w:val="num" w:pos="3855"/>
        </w:tabs>
        <w:ind w:left="3855" w:hanging="180"/>
      </w:pPr>
    </w:lvl>
    <w:lvl w:ilvl="6" w:tplc="0407000F" w:tentative="1">
      <w:start w:val="1"/>
      <w:numFmt w:val="decimal"/>
      <w:lvlText w:val="%7."/>
      <w:lvlJc w:val="left"/>
      <w:pPr>
        <w:tabs>
          <w:tab w:val="num" w:pos="4575"/>
        </w:tabs>
        <w:ind w:left="4575" w:hanging="360"/>
      </w:pPr>
    </w:lvl>
    <w:lvl w:ilvl="7" w:tplc="04070019" w:tentative="1">
      <w:start w:val="1"/>
      <w:numFmt w:val="lowerLetter"/>
      <w:lvlText w:val="%8."/>
      <w:lvlJc w:val="left"/>
      <w:pPr>
        <w:tabs>
          <w:tab w:val="num" w:pos="5295"/>
        </w:tabs>
        <w:ind w:left="5295" w:hanging="360"/>
      </w:pPr>
    </w:lvl>
    <w:lvl w:ilvl="8" w:tplc="0407001B" w:tentative="1">
      <w:start w:val="1"/>
      <w:numFmt w:val="lowerRoman"/>
      <w:lvlText w:val="%9."/>
      <w:lvlJc w:val="right"/>
      <w:pPr>
        <w:tabs>
          <w:tab w:val="num" w:pos="6015"/>
        </w:tabs>
        <w:ind w:left="6015" w:hanging="180"/>
      </w:pPr>
    </w:lvl>
  </w:abstractNum>
  <w:abstractNum w:abstractNumId="25" w15:restartNumberingAfterBreak="0">
    <w:nsid w:val="78B057B7"/>
    <w:multiLevelType w:val="singleLevel"/>
    <w:tmpl w:val="B666EBF4"/>
    <w:lvl w:ilvl="0">
      <w:start w:val="6"/>
      <w:numFmt w:val="decimal"/>
      <w:pStyle w:val="Nadpis7"/>
      <w:lvlText w:val="%1"/>
      <w:lvlJc w:val="left"/>
      <w:pPr>
        <w:tabs>
          <w:tab w:val="num" w:pos="360"/>
        </w:tabs>
        <w:ind w:left="360" w:hanging="360"/>
      </w:pPr>
    </w:lvl>
  </w:abstractNum>
  <w:abstractNum w:abstractNumId="26" w15:restartNumberingAfterBreak="0">
    <w:nsid w:val="7B3D331A"/>
    <w:multiLevelType w:val="singleLevel"/>
    <w:tmpl w:val="A8E2770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B046EC"/>
    <w:multiLevelType w:val="singleLevel"/>
    <w:tmpl w:val="4970BD4E"/>
    <w:lvl w:ilvl="0">
      <w:start w:val="4"/>
      <w:numFmt w:val="decimal"/>
      <w:lvlText w:val="%1"/>
      <w:lvlJc w:val="left"/>
      <w:pPr>
        <w:tabs>
          <w:tab w:val="num" w:pos="360"/>
        </w:tabs>
        <w:ind w:left="360" w:hanging="360"/>
      </w:pPr>
    </w:lvl>
  </w:abstractNum>
  <w:num w:numId="1">
    <w:abstractNumId w:val="13"/>
  </w:num>
  <w:num w:numId="2">
    <w:abstractNumId w:val="14"/>
  </w:num>
  <w:num w:numId="3">
    <w:abstractNumId w:val="17"/>
  </w:num>
  <w:num w:numId="4">
    <w:abstractNumId w:val="19"/>
  </w:num>
  <w:num w:numId="5">
    <w:abstractNumId w:val="0"/>
  </w:num>
  <w:num w:numId="6">
    <w:abstractNumId w:val="23"/>
  </w:num>
  <w:num w:numId="7">
    <w:abstractNumId w:val="27"/>
  </w:num>
  <w:num w:numId="8">
    <w:abstractNumId w:val="11"/>
  </w:num>
  <w:num w:numId="9">
    <w:abstractNumId w:val="5"/>
  </w:num>
  <w:num w:numId="10">
    <w:abstractNumId w:val="6"/>
  </w:num>
  <w:num w:numId="11">
    <w:abstractNumId w:val="15"/>
  </w:num>
  <w:num w:numId="12">
    <w:abstractNumId w:val="18"/>
  </w:num>
  <w:num w:numId="13">
    <w:abstractNumId w:val="26"/>
  </w:num>
  <w:num w:numId="14">
    <w:abstractNumId w:val="3"/>
  </w:num>
  <w:num w:numId="15">
    <w:abstractNumId w:val="20"/>
  </w:num>
  <w:num w:numId="16">
    <w:abstractNumId w:val="25"/>
  </w:num>
  <w:num w:numId="17">
    <w:abstractNumId w:val="12"/>
  </w:num>
  <w:num w:numId="18">
    <w:abstractNumId w:val="22"/>
  </w:num>
  <w:num w:numId="19">
    <w:abstractNumId w:val="4"/>
  </w:num>
  <w:num w:numId="20">
    <w:abstractNumId w:val="10"/>
  </w:num>
  <w:num w:numId="21">
    <w:abstractNumId w:val="9"/>
  </w:num>
  <w:num w:numId="22">
    <w:abstractNumId w:val="16"/>
  </w:num>
  <w:num w:numId="23">
    <w:abstractNumId w:val="7"/>
  </w:num>
  <w:num w:numId="24">
    <w:abstractNumId w:val="2"/>
  </w:num>
  <w:num w:numId="25">
    <w:abstractNumId w:val="1"/>
  </w:num>
  <w:num w:numId="26">
    <w:abstractNumId w:val="21"/>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14"/>
    <w:rsid w:val="00017051"/>
    <w:rsid w:val="00017C93"/>
    <w:rsid w:val="00020351"/>
    <w:rsid w:val="00027054"/>
    <w:rsid w:val="00037BBB"/>
    <w:rsid w:val="000402E2"/>
    <w:rsid w:val="00040DC3"/>
    <w:rsid w:val="000444A3"/>
    <w:rsid w:val="00044F4D"/>
    <w:rsid w:val="0004769E"/>
    <w:rsid w:val="000556CB"/>
    <w:rsid w:val="00060207"/>
    <w:rsid w:val="0007273B"/>
    <w:rsid w:val="00072E8F"/>
    <w:rsid w:val="00077621"/>
    <w:rsid w:val="00094BA9"/>
    <w:rsid w:val="000A1D6D"/>
    <w:rsid w:val="000A2098"/>
    <w:rsid w:val="000A4530"/>
    <w:rsid w:val="000A5A92"/>
    <w:rsid w:val="000A7B55"/>
    <w:rsid w:val="000B7255"/>
    <w:rsid w:val="000D08A7"/>
    <w:rsid w:val="000D1514"/>
    <w:rsid w:val="000D28C9"/>
    <w:rsid w:val="000E4A76"/>
    <w:rsid w:val="000E5B8A"/>
    <w:rsid w:val="000E64CD"/>
    <w:rsid w:val="000F78EC"/>
    <w:rsid w:val="000F7B4F"/>
    <w:rsid w:val="00100BF7"/>
    <w:rsid w:val="00107946"/>
    <w:rsid w:val="001139D8"/>
    <w:rsid w:val="00113DF0"/>
    <w:rsid w:val="001143B3"/>
    <w:rsid w:val="00117247"/>
    <w:rsid w:val="00127DDC"/>
    <w:rsid w:val="00133FE7"/>
    <w:rsid w:val="00135850"/>
    <w:rsid w:val="00141EC4"/>
    <w:rsid w:val="00141EE6"/>
    <w:rsid w:val="00150275"/>
    <w:rsid w:val="00157FAB"/>
    <w:rsid w:val="00172BA7"/>
    <w:rsid w:val="00173996"/>
    <w:rsid w:val="001742CA"/>
    <w:rsid w:val="001833D2"/>
    <w:rsid w:val="001976B2"/>
    <w:rsid w:val="001A10B5"/>
    <w:rsid w:val="001A1E1E"/>
    <w:rsid w:val="001A6849"/>
    <w:rsid w:val="001B7922"/>
    <w:rsid w:val="001C15FE"/>
    <w:rsid w:val="001C1AB7"/>
    <w:rsid w:val="001C5F6F"/>
    <w:rsid w:val="001C7258"/>
    <w:rsid w:val="001D03D2"/>
    <w:rsid w:val="001D5798"/>
    <w:rsid w:val="001E4C45"/>
    <w:rsid w:val="001E5329"/>
    <w:rsid w:val="00200F89"/>
    <w:rsid w:val="00202C18"/>
    <w:rsid w:val="00203F26"/>
    <w:rsid w:val="0020606D"/>
    <w:rsid w:val="00207FAE"/>
    <w:rsid w:val="00232025"/>
    <w:rsid w:val="00244099"/>
    <w:rsid w:val="002466FF"/>
    <w:rsid w:val="00262C04"/>
    <w:rsid w:val="00262DFC"/>
    <w:rsid w:val="0027546A"/>
    <w:rsid w:val="002809D1"/>
    <w:rsid w:val="002810A7"/>
    <w:rsid w:val="00282C92"/>
    <w:rsid w:val="00286BF4"/>
    <w:rsid w:val="00286D4D"/>
    <w:rsid w:val="00291B0A"/>
    <w:rsid w:val="00292F46"/>
    <w:rsid w:val="0029638D"/>
    <w:rsid w:val="002B03C2"/>
    <w:rsid w:val="002B19A2"/>
    <w:rsid w:val="002B3F8B"/>
    <w:rsid w:val="002B5A54"/>
    <w:rsid w:val="002C0A52"/>
    <w:rsid w:val="002D2593"/>
    <w:rsid w:val="002D3DDF"/>
    <w:rsid w:val="002E0197"/>
    <w:rsid w:val="002E74E0"/>
    <w:rsid w:val="002F5134"/>
    <w:rsid w:val="002F51B9"/>
    <w:rsid w:val="002F6945"/>
    <w:rsid w:val="0030578B"/>
    <w:rsid w:val="00314D81"/>
    <w:rsid w:val="00317C9D"/>
    <w:rsid w:val="0032136C"/>
    <w:rsid w:val="00322601"/>
    <w:rsid w:val="00322EE5"/>
    <w:rsid w:val="0033056E"/>
    <w:rsid w:val="0033103C"/>
    <w:rsid w:val="00331942"/>
    <w:rsid w:val="00331FF1"/>
    <w:rsid w:val="00332130"/>
    <w:rsid w:val="003342A6"/>
    <w:rsid w:val="00334716"/>
    <w:rsid w:val="0033698D"/>
    <w:rsid w:val="0033761B"/>
    <w:rsid w:val="003409EB"/>
    <w:rsid w:val="00357606"/>
    <w:rsid w:val="0036354C"/>
    <w:rsid w:val="00371514"/>
    <w:rsid w:val="00374898"/>
    <w:rsid w:val="00377E46"/>
    <w:rsid w:val="003962C5"/>
    <w:rsid w:val="003977B5"/>
    <w:rsid w:val="003A00E4"/>
    <w:rsid w:val="003A6B25"/>
    <w:rsid w:val="003B693B"/>
    <w:rsid w:val="003C322E"/>
    <w:rsid w:val="003C5314"/>
    <w:rsid w:val="003D0525"/>
    <w:rsid w:val="003E2E21"/>
    <w:rsid w:val="003F4023"/>
    <w:rsid w:val="003F6B3E"/>
    <w:rsid w:val="0040227C"/>
    <w:rsid w:val="00404953"/>
    <w:rsid w:val="004072A7"/>
    <w:rsid w:val="00411A18"/>
    <w:rsid w:val="004215A8"/>
    <w:rsid w:val="00424890"/>
    <w:rsid w:val="004248C9"/>
    <w:rsid w:val="004259A3"/>
    <w:rsid w:val="00426073"/>
    <w:rsid w:val="00426FD9"/>
    <w:rsid w:val="004354F1"/>
    <w:rsid w:val="00435FD8"/>
    <w:rsid w:val="00444835"/>
    <w:rsid w:val="00446D32"/>
    <w:rsid w:val="00456F99"/>
    <w:rsid w:val="00460EA3"/>
    <w:rsid w:val="00475817"/>
    <w:rsid w:val="00475862"/>
    <w:rsid w:val="004834E0"/>
    <w:rsid w:val="00486352"/>
    <w:rsid w:val="00493065"/>
    <w:rsid w:val="004932DD"/>
    <w:rsid w:val="00496CD9"/>
    <w:rsid w:val="004A3B86"/>
    <w:rsid w:val="004A6C14"/>
    <w:rsid w:val="004A7E32"/>
    <w:rsid w:val="004B4BC6"/>
    <w:rsid w:val="004B6C3A"/>
    <w:rsid w:val="004C02F2"/>
    <w:rsid w:val="004C1759"/>
    <w:rsid w:val="004C515A"/>
    <w:rsid w:val="004C53C7"/>
    <w:rsid w:val="004D48A8"/>
    <w:rsid w:val="004E0865"/>
    <w:rsid w:val="004F10BE"/>
    <w:rsid w:val="004F3B0D"/>
    <w:rsid w:val="004F580D"/>
    <w:rsid w:val="00515B9F"/>
    <w:rsid w:val="005166BA"/>
    <w:rsid w:val="00516D82"/>
    <w:rsid w:val="00517882"/>
    <w:rsid w:val="00526CE6"/>
    <w:rsid w:val="005325FE"/>
    <w:rsid w:val="00535E78"/>
    <w:rsid w:val="00536DA2"/>
    <w:rsid w:val="00546CB4"/>
    <w:rsid w:val="005558F8"/>
    <w:rsid w:val="00560B28"/>
    <w:rsid w:val="00571839"/>
    <w:rsid w:val="005718AE"/>
    <w:rsid w:val="00573E4C"/>
    <w:rsid w:val="00584456"/>
    <w:rsid w:val="0058477F"/>
    <w:rsid w:val="00591193"/>
    <w:rsid w:val="005930D4"/>
    <w:rsid w:val="00595F8D"/>
    <w:rsid w:val="00596BFA"/>
    <w:rsid w:val="005A0412"/>
    <w:rsid w:val="005A2455"/>
    <w:rsid w:val="005A4FFB"/>
    <w:rsid w:val="005A534C"/>
    <w:rsid w:val="005A68DE"/>
    <w:rsid w:val="005B10B4"/>
    <w:rsid w:val="005B70B3"/>
    <w:rsid w:val="005C01C2"/>
    <w:rsid w:val="005C40BC"/>
    <w:rsid w:val="005C6015"/>
    <w:rsid w:val="005C659B"/>
    <w:rsid w:val="005E11EF"/>
    <w:rsid w:val="005F07D2"/>
    <w:rsid w:val="005F3E4C"/>
    <w:rsid w:val="005F4CBF"/>
    <w:rsid w:val="005F5227"/>
    <w:rsid w:val="00600007"/>
    <w:rsid w:val="00604430"/>
    <w:rsid w:val="006255C1"/>
    <w:rsid w:val="00627583"/>
    <w:rsid w:val="00633436"/>
    <w:rsid w:val="00637E7D"/>
    <w:rsid w:val="0064150E"/>
    <w:rsid w:val="00644312"/>
    <w:rsid w:val="00645D99"/>
    <w:rsid w:val="006561BC"/>
    <w:rsid w:val="0066747B"/>
    <w:rsid w:val="00680B51"/>
    <w:rsid w:val="00690C09"/>
    <w:rsid w:val="00691884"/>
    <w:rsid w:val="006969B7"/>
    <w:rsid w:val="006A4640"/>
    <w:rsid w:val="006B2497"/>
    <w:rsid w:val="006B60D0"/>
    <w:rsid w:val="006B76E5"/>
    <w:rsid w:val="006C08A9"/>
    <w:rsid w:val="006C1937"/>
    <w:rsid w:val="006C3985"/>
    <w:rsid w:val="006C3F10"/>
    <w:rsid w:val="006C6E3B"/>
    <w:rsid w:val="006D40AB"/>
    <w:rsid w:val="006D4456"/>
    <w:rsid w:val="006D7781"/>
    <w:rsid w:val="006E3B58"/>
    <w:rsid w:val="006E7DAE"/>
    <w:rsid w:val="006F5AEF"/>
    <w:rsid w:val="006F7AEA"/>
    <w:rsid w:val="00700633"/>
    <w:rsid w:val="007016AB"/>
    <w:rsid w:val="00703DFC"/>
    <w:rsid w:val="007068D7"/>
    <w:rsid w:val="0071341A"/>
    <w:rsid w:val="007219FE"/>
    <w:rsid w:val="00723A74"/>
    <w:rsid w:val="00725519"/>
    <w:rsid w:val="00727BA3"/>
    <w:rsid w:val="0073162D"/>
    <w:rsid w:val="00732FA6"/>
    <w:rsid w:val="00734C1E"/>
    <w:rsid w:val="00735D18"/>
    <w:rsid w:val="007369CE"/>
    <w:rsid w:val="007400DF"/>
    <w:rsid w:val="007418ED"/>
    <w:rsid w:val="007430AA"/>
    <w:rsid w:val="007444EB"/>
    <w:rsid w:val="00753FFB"/>
    <w:rsid w:val="00755DC1"/>
    <w:rsid w:val="00757CFE"/>
    <w:rsid w:val="007714FE"/>
    <w:rsid w:val="0077157F"/>
    <w:rsid w:val="00771989"/>
    <w:rsid w:val="00780281"/>
    <w:rsid w:val="00781DDD"/>
    <w:rsid w:val="00791493"/>
    <w:rsid w:val="007923F0"/>
    <w:rsid w:val="00795E5D"/>
    <w:rsid w:val="007A2668"/>
    <w:rsid w:val="007A6F25"/>
    <w:rsid w:val="007B0CFC"/>
    <w:rsid w:val="007B1A58"/>
    <w:rsid w:val="007C0F07"/>
    <w:rsid w:val="007C18D5"/>
    <w:rsid w:val="007C1B5A"/>
    <w:rsid w:val="007C7D3A"/>
    <w:rsid w:val="007D043D"/>
    <w:rsid w:val="007D13FB"/>
    <w:rsid w:val="007D1FD8"/>
    <w:rsid w:val="007D2B77"/>
    <w:rsid w:val="007D2F6B"/>
    <w:rsid w:val="007F7430"/>
    <w:rsid w:val="00804E00"/>
    <w:rsid w:val="00807575"/>
    <w:rsid w:val="008121AD"/>
    <w:rsid w:val="00812814"/>
    <w:rsid w:val="008144C3"/>
    <w:rsid w:val="00815072"/>
    <w:rsid w:val="00817D60"/>
    <w:rsid w:val="0082154F"/>
    <w:rsid w:val="0082488B"/>
    <w:rsid w:val="00827B82"/>
    <w:rsid w:val="00832D39"/>
    <w:rsid w:val="008335B4"/>
    <w:rsid w:val="00840E47"/>
    <w:rsid w:val="008437AE"/>
    <w:rsid w:val="00850968"/>
    <w:rsid w:val="00852737"/>
    <w:rsid w:val="008549F3"/>
    <w:rsid w:val="008569A5"/>
    <w:rsid w:val="00856D0A"/>
    <w:rsid w:val="00856F03"/>
    <w:rsid w:val="00866BAB"/>
    <w:rsid w:val="00867EFE"/>
    <w:rsid w:val="00870719"/>
    <w:rsid w:val="00874639"/>
    <w:rsid w:val="00876D1F"/>
    <w:rsid w:val="00880430"/>
    <w:rsid w:val="00880B57"/>
    <w:rsid w:val="00880C38"/>
    <w:rsid w:val="0088174C"/>
    <w:rsid w:val="008844AA"/>
    <w:rsid w:val="00892B86"/>
    <w:rsid w:val="008930C3"/>
    <w:rsid w:val="0089339D"/>
    <w:rsid w:val="00894934"/>
    <w:rsid w:val="00894CDA"/>
    <w:rsid w:val="008A0416"/>
    <w:rsid w:val="008B57A5"/>
    <w:rsid w:val="008B6B65"/>
    <w:rsid w:val="008C0A5C"/>
    <w:rsid w:val="008C1E70"/>
    <w:rsid w:val="008C4612"/>
    <w:rsid w:val="008D1372"/>
    <w:rsid w:val="008D5D81"/>
    <w:rsid w:val="008D630C"/>
    <w:rsid w:val="008F14AC"/>
    <w:rsid w:val="008F1965"/>
    <w:rsid w:val="008F2663"/>
    <w:rsid w:val="008F3B0C"/>
    <w:rsid w:val="008F51C1"/>
    <w:rsid w:val="00900E18"/>
    <w:rsid w:val="00902D7F"/>
    <w:rsid w:val="009044DC"/>
    <w:rsid w:val="009111EC"/>
    <w:rsid w:val="00916D40"/>
    <w:rsid w:val="009253A9"/>
    <w:rsid w:val="0092693C"/>
    <w:rsid w:val="009419B0"/>
    <w:rsid w:val="00945A52"/>
    <w:rsid w:val="00950771"/>
    <w:rsid w:val="00952975"/>
    <w:rsid w:val="00952E0D"/>
    <w:rsid w:val="009553BB"/>
    <w:rsid w:val="009611CA"/>
    <w:rsid w:val="009648AE"/>
    <w:rsid w:val="009719A5"/>
    <w:rsid w:val="00982C29"/>
    <w:rsid w:val="009849DC"/>
    <w:rsid w:val="00986B8A"/>
    <w:rsid w:val="00990527"/>
    <w:rsid w:val="009939A8"/>
    <w:rsid w:val="009A3755"/>
    <w:rsid w:val="009A54BB"/>
    <w:rsid w:val="009B02FD"/>
    <w:rsid w:val="009D5A39"/>
    <w:rsid w:val="009D6A9F"/>
    <w:rsid w:val="009D7990"/>
    <w:rsid w:val="009D7A2E"/>
    <w:rsid w:val="009D7A8E"/>
    <w:rsid w:val="009D7EA6"/>
    <w:rsid w:val="00A02159"/>
    <w:rsid w:val="00A10B57"/>
    <w:rsid w:val="00A13F96"/>
    <w:rsid w:val="00A14949"/>
    <w:rsid w:val="00A157D4"/>
    <w:rsid w:val="00A208A4"/>
    <w:rsid w:val="00A20F04"/>
    <w:rsid w:val="00A21610"/>
    <w:rsid w:val="00A23DE2"/>
    <w:rsid w:val="00A30611"/>
    <w:rsid w:val="00A3307E"/>
    <w:rsid w:val="00A3696C"/>
    <w:rsid w:val="00A451E4"/>
    <w:rsid w:val="00A50AF1"/>
    <w:rsid w:val="00A52C8B"/>
    <w:rsid w:val="00A55D0C"/>
    <w:rsid w:val="00A55EF3"/>
    <w:rsid w:val="00A61E23"/>
    <w:rsid w:val="00A64A84"/>
    <w:rsid w:val="00A704F8"/>
    <w:rsid w:val="00A71631"/>
    <w:rsid w:val="00A82BB9"/>
    <w:rsid w:val="00A82C90"/>
    <w:rsid w:val="00A8688A"/>
    <w:rsid w:val="00AA164E"/>
    <w:rsid w:val="00AA3E2A"/>
    <w:rsid w:val="00AA4B61"/>
    <w:rsid w:val="00AA5862"/>
    <w:rsid w:val="00AB3F1B"/>
    <w:rsid w:val="00AB4FC1"/>
    <w:rsid w:val="00AC095D"/>
    <w:rsid w:val="00AC21B4"/>
    <w:rsid w:val="00AE0193"/>
    <w:rsid w:val="00AE68E1"/>
    <w:rsid w:val="00AE7D22"/>
    <w:rsid w:val="00AF0A00"/>
    <w:rsid w:val="00AF1E80"/>
    <w:rsid w:val="00B0067B"/>
    <w:rsid w:val="00B01F91"/>
    <w:rsid w:val="00B02C0B"/>
    <w:rsid w:val="00B02EEA"/>
    <w:rsid w:val="00B11D47"/>
    <w:rsid w:val="00B20F28"/>
    <w:rsid w:val="00B23E6E"/>
    <w:rsid w:val="00B26517"/>
    <w:rsid w:val="00B32D7F"/>
    <w:rsid w:val="00B35AB2"/>
    <w:rsid w:val="00B401B1"/>
    <w:rsid w:val="00B6021B"/>
    <w:rsid w:val="00B627C0"/>
    <w:rsid w:val="00B658D7"/>
    <w:rsid w:val="00B6604D"/>
    <w:rsid w:val="00B75A56"/>
    <w:rsid w:val="00B838B6"/>
    <w:rsid w:val="00B84CFD"/>
    <w:rsid w:val="00B84DCE"/>
    <w:rsid w:val="00B907B4"/>
    <w:rsid w:val="00B930EF"/>
    <w:rsid w:val="00B95DEA"/>
    <w:rsid w:val="00B96302"/>
    <w:rsid w:val="00BA67EB"/>
    <w:rsid w:val="00BB2F76"/>
    <w:rsid w:val="00BC01FF"/>
    <w:rsid w:val="00BC0C31"/>
    <w:rsid w:val="00BD338F"/>
    <w:rsid w:val="00BD7DB5"/>
    <w:rsid w:val="00BE252D"/>
    <w:rsid w:val="00BE3733"/>
    <w:rsid w:val="00BF016E"/>
    <w:rsid w:val="00BF08E9"/>
    <w:rsid w:val="00BF2BAC"/>
    <w:rsid w:val="00C060BF"/>
    <w:rsid w:val="00C17A58"/>
    <w:rsid w:val="00C2282A"/>
    <w:rsid w:val="00C23C69"/>
    <w:rsid w:val="00C3127E"/>
    <w:rsid w:val="00C328AB"/>
    <w:rsid w:val="00C3691F"/>
    <w:rsid w:val="00C371C6"/>
    <w:rsid w:val="00C416C2"/>
    <w:rsid w:val="00C460D0"/>
    <w:rsid w:val="00C50E65"/>
    <w:rsid w:val="00C52781"/>
    <w:rsid w:val="00C52DC1"/>
    <w:rsid w:val="00C566A8"/>
    <w:rsid w:val="00C64AF6"/>
    <w:rsid w:val="00C66458"/>
    <w:rsid w:val="00C72BAF"/>
    <w:rsid w:val="00C747C6"/>
    <w:rsid w:val="00C77F43"/>
    <w:rsid w:val="00C8132D"/>
    <w:rsid w:val="00C823FB"/>
    <w:rsid w:val="00C870CD"/>
    <w:rsid w:val="00C9631E"/>
    <w:rsid w:val="00CA17AE"/>
    <w:rsid w:val="00CC36CC"/>
    <w:rsid w:val="00CC4003"/>
    <w:rsid w:val="00CD0703"/>
    <w:rsid w:val="00CD2671"/>
    <w:rsid w:val="00CD3C63"/>
    <w:rsid w:val="00CE0C2C"/>
    <w:rsid w:val="00CE2624"/>
    <w:rsid w:val="00CE2C66"/>
    <w:rsid w:val="00CF00F5"/>
    <w:rsid w:val="00CF2A3E"/>
    <w:rsid w:val="00CF7836"/>
    <w:rsid w:val="00D01A08"/>
    <w:rsid w:val="00D0388A"/>
    <w:rsid w:val="00D12694"/>
    <w:rsid w:val="00D14D70"/>
    <w:rsid w:val="00D16A58"/>
    <w:rsid w:val="00D22E27"/>
    <w:rsid w:val="00D23AFC"/>
    <w:rsid w:val="00D26359"/>
    <w:rsid w:val="00D47B44"/>
    <w:rsid w:val="00D47D38"/>
    <w:rsid w:val="00D52376"/>
    <w:rsid w:val="00D554AF"/>
    <w:rsid w:val="00D67DFE"/>
    <w:rsid w:val="00D7461F"/>
    <w:rsid w:val="00D763D2"/>
    <w:rsid w:val="00D7671C"/>
    <w:rsid w:val="00D76C64"/>
    <w:rsid w:val="00D826E7"/>
    <w:rsid w:val="00D85324"/>
    <w:rsid w:val="00D8768E"/>
    <w:rsid w:val="00D97937"/>
    <w:rsid w:val="00DB0AD5"/>
    <w:rsid w:val="00DD2CE6"/>
    <w:rsid w:val="00DE1414"/>
    <w:rsid w:val="00DE3365"/>
    <w:rsid w:val="00DE37C4"/>
    <w:rsid w:val="00DE5218"/>
    <w:rsid w:val="00E01D78"/>
    <w:rsid w:val="00E052D2"/>
    <w:rsid w:val="00E06D4E"/>
    <w:rsid w:val="00E11D94"/>
    <w:rsid w:val="00E16BFB"/>
    <w:rsid w:val="00E20160"/>
    <w:rsid w:val="00E227CE"/>
    <w:rsid w:val="00E31A01"/>
    <w:rsid w:val="00E34A51"/>
    <w:rsid w:val="00E37E65"/>
    <w:rsid w:val="00E448B1"/>
    <w:rsid w:val="00E51319"/>
    <w:rsid w:val="00E5486D"/>
    <w:rsid w:val="00E60490"/>
    <w:rsid w:val="00E7091C"/>
    <w:rsid w:val="00E70FFF"/>
    <w:rsid w:val="00E73E2E"/>
    <w:rsid w:val="00E74B9C"/>
    <w:rsid w:val="00E76B12"/>
    <w:rsid w:val="00E77A3E"/>
    <w:rsid w:val="00E83531"/>
    <w:rsid w:val="00E83EAC"/>
    <w:rsid w:val="00E84AA5"/>
    <w:rsid w:val="00E84C5C"/>
    <w:rsid w:val="00E86683"/>
    <w:rsid w:val="00E94346"/>
    <w:rsid w:val="00E954C1"/>
    <w:rsid w:val="00E9577A"/>
    <w:rsid w:val="00EB0841"/>
    <w:rsid w:val="00EB0ECF"/>
    <w:rsid w:val="00EB47A1"/>
    <w:rsid w:val="00EB5AA1"/>
    <w:rsid w:val="00EC2625"/>
    <w:rsid w:val="00EC4758"/>
    <w:rsid w:val="00ED010B"/>
    <w:rsid w:val="00ED08B0"/>
    <w:rsid w:val="00ED6048"/>
    <w:rsid w:val="00EE0ACB"/>
    <w:rsid w:val="00EE4C3C"/>
    <w:rsid w:val="00EE4F7F"/>
    <w:rsid w:val="00EE65C4"/>
    <w:rsid w:val="00EE797C"/>
    <w:rsid w:val="00EF4880"/>
    <w:rsid w:val="00F00763"/>
    <w:rsid w:val="00F061E8"/>
    <w:rsid w:val="00F065A8"/>
    <w:rsid w:val="00F22803"/>
    <w:rsid w:val="00F22F78"/>
    <w:rsid w:val="00F27555"/>
    <w:rsid w:val="00F279C3"/>
    <w:rsid w:val="00F3736B"/>
    <w:rsid w:val="00F47A52"/>
    <w:rsid w:val="00F50352"/>
    <w:rsid w:val="00F518AD"/>
    <w:rsid w:val="00F62E25"/>
    <w:rsid w:val="00F64786"/>
    <w:rsid w:val="00F70F0C"/>
    <w:rsid w:val="00F719B1"/>
    <w:rsid w:val="00F812BE"/>
    <w:rsid w:val="00F817F1"/>
    <w:rsid w:val="00F873D6"/>
    <w:rsid w:val="00F91648"/>
    <w:rsid w:val="00F95EB7"/>
    <w:rsid w:val="00FA2726"/>
    <w:rsid w:val="00FA7CC5"/>
    <w:rsid w:val="00FB19D1"/>
    <w:rsid w:val="00FB2DA7"/>
    <w:rsid w:val="00FC1151"/>
    <w:rsid w:val="00FC1969"/>
    <w:rsid w:val="00FC4244"/>
    <w:rsid w:val="00FC6628"/>
    <w:rsid w:val="00FD3B3B"/>
    <w:rsid w:val="00FD5D11"/>
    <w:rsid w:val="00FD7D80"/>
    <w:rsid w:val="00FE0B0A"/>
    <w:rsid w:val="00FE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9DD956"/>
  <w15:docId w15:val="{150F2A96-19D1-47E1-8215-124DF492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1514"/>
    <w:rPr>
      <w:rFonts w:ascii="Times New Roman" w:hAnsi="Times New Roman"/>
      <w:lang w:val="en-GB" w:eastAsia="en-US"/>
    </w:rPr>
  </w:style>
  <w:style w:type="paragraph" w:styleId="Nadpis1">
    <w:name w:val="heading 1"/>
    <w:basedOn w:val="Normlny"/>
    <w:next w:val="Normlny"/>
    <w:link w:val="Nadpis1Char"/>
    <w:qFormat/>
    <w:rsid w:val="000D1514"/>
    <w:pPr>
      <w:keepNext/>
      <w:ind w:left="567"/>
      <w:jc w:val="both"/>
      <w:outlineLvl w:val="0"/>
    </w:pPr>
    <w:rPr>
      <w:sz w:val="24"/>
    </w:rPr>
  </w:style>
  <w:style w:type="paragraph" w:styleId="Nadpis2">
    <w:name w:val="heading 2"/>
    <w:basedOn w:val="Normlny"/>
    <w:next w:val="Normlny"/>
    <w:link w:val="Nadpis2Char"/>
    <w:qFormat/>
    <w:rsid w:val="000D1514"/>
    <w:pPr>
      <w:keepNext/>
      <w:tabs>
        <w:tab w:val="num" w:pos="567"/>
      </w:tabs>
      <w:spacing w:line="360" w:lineRule="auto"/>
      <w:ind w:left="567" w:hanging="567"/>
      <w:jc w:val="both"/>
      <w:outlineLvl w:val="1"/>
    </w:pPr>
    <w:rPr>
      <w:sz w:val="24"/>
      <w:lang w:val="fr-FR"/>
    </w:rPr>
  </w:style>
  <w:style w:type="paragraph" w:styleId="Nadpis3">
    <w:name w:val="heading 3"/>
    <w:basedOn w:val="Normlny"/>
    <w:next w:val="Normlny"/>
    <w:link w:val="Nadpis3Char"/>
    <w:qFormat/>
    <w:rsid w:val="000D1514"/>
    <w:pPr>
      <w:keepNext/>
      <w:numPr>
        <w:numId w:val="1"/>
      </w:numPr>
      <w:tabs>
        <w:tab w:val="clear" w:pos="360"/>
        <w:tab w:val="num" w:pos="567"/>
      </w:tabs>
      <w:spacing w:line="360" w:lineRule="auto"/>
      <w:ind w:left="567" w:hanging="567"/>
      <w:jc w:val="both"/>
      <w:outlineLvl w:val="2"/>
    </w:pPr>
    <w:rPr>
      <w:color w:val="FF0000"/>
      <w:sz w:val="24"/>
      <w:lang w:val="fr-FR"/>
    </w:rPr>
  </w:style>
  <w:style w:type="paragraph" w:styleId="Nadpis4">
    <w:name w:val="heading 4"/>
    <w:basedOn w:val="Normlny"/>
    <w:next w:val="Normlny"/>
    <w:link w:val="Nadpis4Char"/>
    <w:qFormat/>
    <w:rsid w:val="000D1514"/>
    <w:pPr>
      <w:keepNext/>
      <w:ind w:left="570"/>
      <w:jc w:val="both"/>
      <w:outlineLvl w:val="3"/>
    </w:pPr>
    <w:rPr>
      <w:sz w:val="24"/>
      <w:u w:val="single"/>
    </w:rPr>
  </w:style>
  <w:style w:type="paragraph" w:styleId="Nadpis5">
    <w:name w:val="heading 5"/>
    <w:basedOn w:val="Normlny"/>
    <w:next w:val="Normlny"/>
    <w:link w:val="Nadpis5Char"/>
    <w:qFormat/>
    <w:rsid w:val="000D1514"/>
    <w:pPr>
      <w:keepNext/>
      <w:tabs>
        <w:tab w:val="left" w:pos="567"/>
      </w:tabs>
      <w:ind w:left="567"/>
      <w:jc w:val="both"/>
      <w:outlineLvl w:val="4"/>
    </w:pPr>
    <w:rPr>
      <w:sz w:val="24"/>
      <w:u w:val="single"/>
    </w:rPr>
  </w:style>
  <w:style w:type="paragraph" w:styleId="Nadpis6">
    <w:name w:val="heading 6"/>
    <w:basedOn w:val="Normlny"/>
    <w:next w:val="Normlny"/>
    <w:link w:val="Nadpis6Char"/>
    <w:qFormat/>
    <w:rsid w:val="000D1514"/>
    <w:pPr>
      <w:keepNext/>
      <w:numPr>
        <w:numId w:val="15"/>
      </w:numPr>
      <w:jc w:val="both"/>
      <w:outlineLvl w:val="5"/>
    </w:pPr>
    <w:rPr>
      <w:b/>
      <w:sz w:val="24"/>
    </w:rPr>
  </w:style>
  <w:style w:type="paragraph" w:styleId="Nadpis7">
    <w:name w:val="heading 7"/>
    <w:basedOn w:val="Normlny"/>
    <w:next w:val="Normlny"/>
    <w:link w:val="Nadpis7Char"/>
    <w:qFormat/>
    <w:rsid w:val="000D1514"/>
    <w:pPr>
      <w:keepNext/>
      <w:numPr>
        <w:numId w:val="16"/>
      </w:numPr>
      <w:tabs>
        <w:tab w:val="left" w:pos="567"/>
      </w:tabs>
      <w:jc w:val="both"/>
      <w:outlineLvl w:val="6"/>
    </w:pPr>
    <w:rPr>
      <w:sz w:val="24"/>
    </w:rPr>
  </w:style>
  <w:style w:type="paragraph" w:styleId="Nadpis8">
    <w:name w:val="heading 8"/>
    <w:basedOn w:val="Normlny"/>
    <w:next w:val="Normlny"/>
    <w:link w:val="Nadpis8Char"/>
    <w:qFormat/>
    <w:rsid w:val="000D1514"/>
    <w:pPr>
      <w:keepNext/>
      <w:ind w:left="570"/>
      <w:jc w:val="both"/>
      <w:outlineLvl w:val="7"/>
    </w:pPr>
    <w:rPr>
      <w:sz w:val="24"/>
    </w:rPr>
  </w:style>
  <w:style w:type="paragraph" w:styleId="Nadpis9">
    <w:name w:val="heading 9"/>
    <w:basedOn w:val="Normlny"/>
    <w:next w:val="Normlny"/>
    <w:link w:val="Nadpis9Char"/>
    <w:qFormat/>
    <w:rsid w:val="000D1514"/>
    <w:pPr>
      <w:keepNext/>
      <w:numPr>
        <w:numId w:val="6"/>
      </w:numPr>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0D1514"/>
    <w:rPr>
      <w:sz w:val="24"/>
    </w:rPr>
  </w:style>
  <w:style w:type="paragraph" w:styleId="Hlavika">
    <w:name w:val="header"/>
    <w:basedOn w:val="Normlny"/>
    <w:link w:val="HlavikaChar"/>
    <w:rsid w:val="000D1514"/>
    <w:pPr>
      <w:tabs>
        <w:tab w:val="center" w:pos="4153"/>
        <w:tab w:val="right" w:pos="8306"/>
      </w:tabs>
    </w:pPr>
  </w:style>
  <w:style w:type="paragraph" w:styleId="Pta">
    <w:name w:val="footer"/>
    <w:basedOn w:val="Normlny"/>
    <w:link w:val="PtaChar"/>
    <w:rsid w:val="000D1514"/>
    <w:pPr>
      <w:tabs>
        <w:tab w:val="center" w:pos="4153"/>
        <w:tab w:val="right" w:pos="8306"/>
      </w:tabs>
    </w:pPr>
  </w:style>
  <w:style w:type="character" w:styleId="slostrany">
    <w:name w:val="page number"/>
    <w:basedOn w:val="Predvolenpsmoodseku"/>
    <w:rsid w:val="000D1514"/>
  </w:style>
  <w:style w:type="paragraph" w:styleId="Zarkazkladnhotextu">
    <w:name w:val="Body Text Indent"/>
    <w:basedOn w:val="Normlny"/>
    <w:link w:val="ZarkazkladnhotextuChar"/>
    <w:rsid w:val="000D1514"/>
    <w:pPr>
      <w:tabs>
        <w:tab w:val="left" w:pos="567"/>
      </w:tabs>
      <w:ind w:left="567"/>
      <w:jc w:val="both"/>
    </w:pPr>
    <w:rPr>
      <w:sz w:val="24"/>
    </w:rPr>
  </w:style>
  <w:style w:type="paragraph" w:styleId="Zarkazkladnhotextu2">
    <w:name w:val="Body Text Indent 2"/>
    <w:basedOn w:val="Normlny"/>
    <w:link w:val="Zarkazkladnhotextu2Char"/>
    <w:rsid w:val="000D1514"/>
    <w:pPr>
      <w:ind w:left="570"/>
      <w:jc w:val="both"/>
    </w:pPr>
    <w:rPr>
      <w:sz w:val="24"/>
    </w:rPr>
  </w:style>
  <w:style w:type="paragraph" w:styleId="Zarkazkladnhotextu3">
    <w:name w:val="Body Text Indent 3"/>
    <w:basedOn w:val="Normlny"/>
    <w:link w:val="Zarkazkladnhotextu3Char"/>
    <w:rsid w:val="000D1514"/>
    <w:pPr>
      <w:tabs>
        <w:tab w:val="left" w:pos="567"/>
      </w:tabs>
      <w:ind w:left="567"/>
      <w:jc w:val="both"/>
    </w:pPr>
    <w:rPr>
      <w:color w:val="FF0000"/>
      <w:sz w:val="24"/>
    </w:rPr>
  </w:style>
  <w:style w:type="paragraph" w:styleId="Dtum">
    <w:name w:val="Date"/>
    <w:basedOn w:val="Normlny"/>
    <w:next w:val="Normlny"/>
    <w:link w:val="DtumChar"/>
    <w:rsid w:val="00C823FB"/>
  </w:style>
  <w:style w:type="character" w:styleId="Odkaznakomentr">
    <w:name w:val="annotation reference"/>
    <w:semiHidden/>
    <w:rsid w:val="004C515A"/>
    <w:rPr>
      <w:sz w:val="16"/>
      <w:szCs w:val="16"/>
    </w:rPr>
  </w:style>
  <w:style w:type="paragraph" w:styleId="Textkomentra">
    <w:name w:val="annotation text"/>
    <w:basedOn w:val="Normlny"/>
    <w:link w:val="TextkomentraChar"/>
    <w:semiHidden/>
    <w:rsid w:val="004C515A"/>
  </w:style>
  <w:style w:type="paragraph" w:styleId="Predmetkomentra">
    <w:name w:val="annotation subject"/>
    <w:basedOn w:val="Textkomentra"/>
    <w:next w:val="Textkomentra"/>
    <w:link w:val="PredmetkomentraChar"/>
    <w:semiHidden/>
    <w:rsid w:val="004C515A"/>
    <w:rPr>
      <w:b/>
      <w:bCs/>
    </w:rPr>
  </w:style>
  <w:style w:type="paragraph" w:styleId="Textbubliny">
    <w:name w:val="Balloon Text"/>
    <w:basedOn w:val="Normlny"/>
    <w:link w:val="TextbublinyChar"/>
    <w:semiHidden/>
    <w:rsid w:val="004C515A"/>
    <w:rPr>
      <w:rFonts w:ascii="Tahoma" w:hAnsi="Tahoma" w:cs="Tahoma"/>
      <w:sz w:val="16"/>
      <w:szCs w:val="16"/>
    </w:rPr>
  </w:style>
  <w:style w:type="table" w:styleId="Mriekatabuky">
    <w:name w:val="Table Grid"/>
    <w:basedOn w:val="Normlnatabuka"/>
    <w:rsid w:val="00B40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FC6628"/>
    <w:pPr>
      <w:spacing w:before="100" w:beforeAutospacing="1" w:after="100" w:afterAutospacing="1"/>
    </w:pPr>
    <w:rPr>
      <w:sz w:val="24"/>
      <w:szCs w:val="24"/>
      <w:lang w:val="nl-NL" w:eastAsia="nl-NL"/>
    </w:rPr>
  </w:style>
  <w:style w:type="character" w:customStyle="1" w:styleId="tw4winNone">
    <w:name w:val="tw4winNone"/>
    <w:basedOn w:val="Predvolenpsmoodseku"/>
    <w:rsid w:val="003F6B3E"/>
  </w:style>
  <w:style w:type="character" w:customStyle="1" w:styleId="tw4winExternal">
    <w:name w:val="tw4winExternal"/>
    <w:rsid w:val="003F6B3E"/>
    <w:rPr>
      <w:rFonts w:ascii="Courier New" w:hAnsi="Courier New"/>
      <w:color w:val="808080"/>
    </w:rPr>
  </w:style>
  <w:style w:type="character" w:customStyle="1" w:styleId="tw4winInternal">
    <w:name w:val="tw4winInternal"/>
    <w:rsid w:val="003F6B3E"/>
    <w:rPr>
      <w:rFonts w:ascii="Courier New" w:hAnsi="Courier New"/>
      <w:color w:val="FF0000"/>
    </w:rPr>
  </w:style>
  <w:style w:type="character" w:customStyle="1" w:styleId="hps">
    <w:name w:val="hps"/>
    <w:rsid w:val="00515B9F"/>
  </w:style>
  <w:style w:type="character" w:customStyle="1" w:styleId="Nadpis1Char">
    <w:name w:val="Nadpis 1 Char"/>
    <w:link w:val="Nadpis1"/>
    <w:rsid w:val="00374898"/>
    <w:rPr>
      <w:rFonts w:ascii="Times New Roman" w:hAnsi="Times New Roman"/>
      <w:sz w:val="24"/>
      <w:lang w:val="en-GB" w:eastAsia="en-US"/>
    </w:rPr>
  </w:style>
  <w:style w:type="character" w:customStyle="1" w:styleId="Nadpis2Char">
    <w:name w:val="Nadpis 2 Char"/>
    <w:link w:val="Nadpis2"/>
    <w:rsid w:val="00374898"/>
    <w:rPr>
      <w:rFonts w:ascii="Times New Roman" w:hAnsi="Times New Roman"/>
      <w:sz w:val="24"/>
      <w:lang w:val="fr-FR" w:eastAsia="en-US"/>
    </w:rPr>
  </w:style>
  <w:style w:type="character" w:customStyle="1" w:styleId="Nadpis3Char">
    <w:name w:val="Nadpis 3 Char"/>
    <w:link w:val="Nadpis3"/>
    <w:rsid w:val="00374898"/>
    <w:rPr>
      <w:rFonts w:ascii="Times New Roman" w:hAnsi="Times New Roman"/>
      <w:color w:val="FF0000"/>
      <w:sz w:val="24"/>
      <w:lang w:val="fr-FR" w:eastAsia="en-US"/>
    </w:rPr>
  </w:style>
  <w:style w:type="character" w:customStyle="1" w:styleId="Nadpis4Char">
    <w:name w:val="Nadpis 4 Char"/>
    <w:link w:val="Nadpis4"/>
    <w:rsid w:val="00374898"/>
    <w:rPr>
      <w:rFonts w:ascii="Times New Roman" w:hAnsi="Times New Roman"/>
      <w:sz w:val="24"/>
      <w:u w:val="single"/>
      <w:lang w:val="en-GB" w:eastAsia="en-US"/>
    </w:rPr>
  </w:style>
  <w:style w:type="character" w:customStyle="1" w:styleId="Nadpis5Char">
    <w:name w:val="Nadpis 5 Char"/>
    <w:link w:val="Nadpis5"/>
    <w:rsid w:val="00374898"/>
    <w:rPr>
      <w:rFonts w:ascii="Times New Roman" w:hAnsi="Times New Roman"/>
      <w:sz w:val="24"/>
      <w:u w:val="single"/>
      <w:lang w:val="en-GB" w:eastAsia="en-US"/>
    </w:rPr>
  </w:style>
  <w:style w:type="character" w:customStyle="1" w:styleId="Nadpis6Char">
    <w:name w:val="Nadpis 6 Char"/>
    <w:link w:val="Nadpis6"/>
    <w:rsid w:val="00374898"/>
    <w:rPr>
      <w:rFonts w:ascii="Times New Roman" w:hAnsi="Times New Roman"/>
      <w:b/>
      <w:sz w:val="24"/>
      <w:lang w:val="en-GB" w:eastAsia="en-US"/>
    </w:rPr>
  </w:style>
  <w:style w:type="character" w:customStyle="1" w:styleId="Nadpis7Char">
    <w:name w:val="Nadpis 7 Char"/>
    <w:link w:val="Nadpis7"/>
    <w:rsid w:val="00374898"/>
    <w:rPr>
      <w:rFonts w:ascii="Times New Roman" w:hAnsi="Times New Roman"/>
      <w:sz w:val="24"/>
      <w:lang w:val="en-GB" w:eastAsia="en-US"/>
    </w:rPr>
  </w:style>
  <w:style w:type="character" w:customStyle="1" w:styleId="Nadpis8Char">
    <w:name w:val="Nadpis 8 Char"/>
    <w:link w:val="Nadpis8"/>
    <w:rsid w:val="00374898"/>
    <w:rPr>
      <w:rFonts w:ascii="Times New Roman" w:hAnsi="Times New Roman"/>
      <w:sz w:val="24"/>
      <w:lang w:val="en-GB" w:eastAsia="en-US"/>
    </w:rPr>
  </w:style>
  <w:style w:type="character" w:customStyle="1" w:styleId="Nadpis9Char">
    <w:name w:val="Nadpis 9 Char"/>
    <w:link w:val="Nadpis9"/>
    <w:rsid w:val="00374898"/>
    <w:rPr>
      <w:rFonts w:ascii="Times New Roman" w:hAnsi="Times New Roman"/>
      <w:b/>
      <w:sz w:val="24"/>
      <w:lang w:val="en-GB" w:eastAsia="en-US"/>
    </w:rPr>
  </w:style>
  <w:style w:type="character" w:customStyle="1" w:styleId="ZkladntextChar">
    <w:name w:val="Základný text Char"/>
    <w:link w:val="Zkladntext"/>
    <w:rsid w:val="00374898"/>
    <w:rPr>
      <w:rFonts w:ascii="Times New Roman" w:hAnsi="Times New Roman"/>
      <w:sz w:val="24"/>
      <w:lang w:val="en-GB" w:eastAsia="en-US"/>
    </w:rPr>
  </w:style>
  <w:style w:type="character" w:customStyle="1" w:styleId="HlavikaChar">
    <w:name w:val="Hlavička Char"/>
    <w:link w:val="Hlavika"/>
    <w:rsid w:val="00374898"/>
    <w:rPr>
      <w:rFonts w:ascii="Times New Roman" w:hAnsi="Times New Roman"/>
      <w:lang w:val="en-GB" w:eastAsia="en-US"/>
    </w:rPr>
  </w:style>
  <w:style w:type="character" w:customStyle="1" w:styleId="PtaChar">
    <w:name w:val="Päta Char"/>
    <w:link w:val="Pta"/>
    <w:rsid w:val="00374898"/>
    <w:rPr>
      <w:rFonts w:ascii="Times New Roman" w:hAnsi="Times New Roman"/>
      <w:lang w:val="en-GB" w:eastAsia="en-US"/>
    </w:rPr>
  </w:style>
  <w:style w:type="character" w:customStyle="1" w:styleId="ZarkazkladnhotextuChar">
    <w:name w:val="Zarážka základného textu Char"/>
    <w:link w:val="Zarkazkladnhotextu"/>
    <w:rsid w:val="00374898"/>
    <w:rPr>
      <w:rFonts w:ascii="Times New Roman" w:hAnsi="Times New Roman"/>
      <w:sz w:val="24"/>
      <w:lang w:val="en-GB" w:eastAsia="en-US"/>
    </w:rPr>
  </w:style>
  <w:style w:type="character" w:customStyle="1" w:styleId="Zarkazkladnhotextu2Char">
    <w:name w:val="Zarážka základného textu 2 Char"/>
    <w:link w:val="Zarkazkladnhotextu2"/>
    <w:rsid w:val="00374898"/>
    <w:rPr>
      <w:rFonts w:ascii="Times New Roman" w:hAnsi="Times New Roman"/>
      <w:sz w:val="24"/>
      <w:lang w:val="en-GB" w:eastAsia="en-US"/>
    </w:rPr>
  </w:style>
  <w:style w:type="character" w:customStyle="1" w:styleId="Zarkazkladnhotextu3Char">
    <w:name w:val="Zarážka základného textu 3 Char"/>
    <w:link w:val="Zarkazkladnhotextu3"/>
    <w:rsid w:val="00374898"/>
    <w:rPr>
      <w:rFonts w:ascii="Times New Roman" w:hAnsi="Times New Roman"/>
      <w:color w:val="FF0000"/>
      <w:sz w:val="24"/>
      <w:lang w:val="en-GB" w:eastAsia="en-US"/>
    </w:rPr>
  </w:style>
  <w:style w:type="character" w:customStyle="1" w:styleId="DtumChar">
    <w:name w:val="Dátum Char"/>
    <w:link w:val="Dtum"/>
    <w:rsid w:val="00374898"/>
    <w:rPr>
      <w:rFonts w:ascii="Times New Roman" w:hAnsi="Times New Roman"/>
      <w:lang w:val="en-GB" w:eastAsia="en-US"/>
    </w:rPr>
  </w:style>
  <w:style w:type="character" w:customStyle="1" w:styleId="TextkomentraChar">
    <w:name w:val="Text komentára Char"/>
    <w:link w:val="Textkomentra"/>
    <w:semiHidden/>
    <w:rsid w:val="00374898"/>
    <w:rPr>
      <w:rFonts w:ascii="Times New Roman" w:hAnsi="Times New Roman"/>
      <w:lang w:val="en-GB" w:eastAsia="en-US"/>
    </w:rPr>
  </w:style>
  <w:style w:type="character" w:customStyle="1" w:styleId="PredmetkomentraChar">
    <w:name w:val="Predmet komentára Char"/>
    <w:link w:val="Predmetkomentra"/>
    <w:semiHidden/>
    <w:rsid w:val="00374898"/>
    <w:rPr>
      <w:rFonts w:ascii="Times New Roman" w:hAnsi="Times New Roman"/>
      <w:b/>
      <w:bCs/>
      <w:lang w:val="en-GB" w:eastAsia="en-US"/>
    </w:rPr>
  </w:style>
  <w:style w:type="character" w:customStyle="1" w:styleId="TextbublinyChar">
    <w:name w:val="Text bubliny Char"/>
    <w:link w:val="Textbubliny"/>
    <w:semiHidden/>
    <w:rsid w:val="0037489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4666</Words>
  <Characters>26602</Characters>
  <Application>Microsoft Office Word</Application>
  <DocSecurity>0</DocSecurity>
  <Lines>221</Lines>
  <Paragraphs>62</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Z17283</vt:lpstr>
      <vt:lpstr>Z17283</vt:lpstr>
      <vt:lpstr>Z17283</vt:lpstr>
    </vt:vector>
  </TitlesOfParts>
  <Company/>
  <LinksUpToDate>false</LinksUpToDate>
  <CharactersWithSpaces>31206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Z17283</dc:title>
  <dc:creator>UT</dc:creator>
  <cp:lastModifiedBy>Dočolomanská, Petra</cp:lastModifiedBy>
  <cp:revision>2</cp:revision>
  <cp:lastPrinted>2017-08-15T13:01:00Z</cp:lastPrinted>
  <dcterms:created xsi:type="dcterms:W3CDTF">2017-09-14T12:28:00Z</dcterms:created>
  <dcterms:modified xsi:type="dcterms:W3CDTF">2017-09-14T12:28:00Z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7/8/2016 12:14:16 PM</vt:lpwstr>
  </property>
  <property fmtid="{D5CDD505-2E9C-101B-9397-08002B2CF9AE}" pid="3" name="OS_LastOpenUser">
    <vt:lpwstr>NEUMANNS</vt:lpwstr>
  </property>
</Properties>
</file>