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59D69" w14:textId="77777777" w:rsidR="00961A27" w:rsidRPr="00633E7E" w:rsidRDefault="00961A27" w:rsidP="00961A27">
      <w:pPr>
        <w:widowControl w:val="0"/>
        <w:autoSpaceDE w:val="0"/>
        <w:autoSpaceDN w:val="0"/>
        <w:adjustRightInd w:val="0"/>
        <w:spacing w:after="0" w:line="240" w:lineRule="auto"/>
        <w:ind w:right="-20"/>
        <w:jc w:val="center"/>
        <w:rPr>
          <w:rFonts w:ascii="Times New Roman" w:hAnsi="Times New Roman"/>
        </w:rPr>
      </w:pPr>
      <w:bookmarkStart w:id="0" w:name="_GoBack"/>
      <w:bookmarkEnd w:id="0"/>
      <w:r w:rsidRPr="00633E7E">
        <w:rPr>
          <w:rFonts w:ascii="Times New Roman" w:hAnsi="Times New Roman"/>
          <w:b/>
          <w:bCs/>
        </w:rPr>
        <w:t>SÚHRN CHARAKTERISTICKÝCH VLASTNOSTÍ LIEKU</w:t>
      </w:r>
    </w:p>
    <w:p w14:paraId="0BB4B491"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E7FD5F9"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79408D3E" w14:textId="77777777" w:rsidR="00961A27" w:rsidRPr="00633E7E" w:rsidRDefault="00961A27" w:rsidP="0092747F">
      <w:pPr>
        <w:widowControl w:val="0"/>
        <w:numPr>
          <w:ilvl w:val="0"/>
          <w:numId w:val="1"/>
        </w:numPr>
        <w:tabs>
          <w:tab w:val="left" w:pos="820"/>
        </w:tabs>
        <w:autoSpaceDE w:val="0"/>
        <w:autoSpaceDN w:val="0"/>
        <w:adjustRightInd w:val="0"/>
        <w:spacing w:after="0" w:line="240" w:lineRule="auto"/>
        <w:ind w:left="567" w:hanging="567"/>
        <w:rPr>
          <w:rFonts w:ascii="Times New Roman" w:hAnsi="Times New Roman"/>
          <w:b/>
          <w:bCs/>
        </w:rPr>
      </w:pPr>
      <w:r w:rsidRPr="00633E7E">
        <w:rPr>
          <w:rFonts w:ascii="Times New Roman" w:hAnsi="Times New Roman"/>
          <w:b/>
          <w:bCs/>
        </w:rPr>
        <w:t>NÁZOV LIEKU</w:t>
      </w:r>
    </w:p>
    <w:p w14:paraId="3C7770EB" w14:textId="77777777" w:rsidR="00961A27" w:rsidRPr="00633E7E" w:rsidRDefault="00961A27" w:rsidP="00961A27">
      <w:pPr>
        <w:widowControl w:val="0"/>
        <w:tabs>
          <w:tab w:val="left" w:pos="820"/>
        </w:tabs>
        <w:autoSpaceDE w:val="0"/>
        <w:autoSpaceDN w:val="0"/>
        <w:adjustRightInd w:val="0"/>
        <w:spacing w:after="0" w:line="240" w:lineRule="auto"/>
        <w:rPr>
          <w:rFonts w:ascii="Times New Roman" w:hAnsi="Times New Roman"/>
        </w:rPr>
      </w:pPr>
    </w:p>
    <w:p w14:paraId="4D33C8B4" w14:textId="6F5A826A" w:rsidR="00961A27" w:rsidRPr="00633E7E"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 xml:space="preserve">ALFAMED 0,25 </w:t>
      </w:r>
      <w:proofErr w:type="spellStart"/>
      <w:r w:rsidRPr="00633E7E">
        <w:rPr>
          <w:rFonts w:ascii="Times New Roman" w:hAnsi="Times New Roman"/>
        </w:rPr>
        <w:t>mikrogram</w:t>
      </w:r>
      <w:r w:rsidR="00A901BE">
        <w:rPr>
          <w:rFonts w:ascii="Times New Roman" w:hAnsi="Times New Roman"/>
        </w:rPr>
        <w:t>ov</w:t>
      </w:r>
      <w:proofErr w:type="spellEnd"/>
      <w:r w:rsidRPr="00633E7E">
        <w:rPr>
          <w:rFonts w:ascii="Times New Roman" w:hAnsi="Times New Roman"/>
        </w:rPr>
        <w:t xml:space="preserve"> </w:t>
      </w:r>
    </w:p>
    <w:p w14:paraId="56A7795B" w14:textId="7E4A01CF" w:rsidR="00961A27" w:rsidRPr="00991539" w:rsidRDefault="00961A27" w:rsidP="00961A27">
      <w:pPr>
        <w:widowControl w:val="0"/>
        <w:autoSpaceDE w:val="0"/>
        <w:autoSpaceDN w:val="0"/>
        <w:adjustRightInd w:val="0"/>
        <w:spacing w:after="0" w:line="240" w:lineRule="auto"/>
        <w:ind w:right="550"/>
        <w:rPr>
          <w:rFonts w:ascii="Times New Roman" w:hAnsi="Times New Roman"/>
        </w:rPr>
      </w:pPr>
      <w:r w:rsidRPr="00682A5C">
        <w:rPr>
          <w:rFonts w:ascii="Times New Roman" w:hAnsi="Times New Roman"/>
        </w:rPr>
        <w:t xml:space="preserve">ALFAMED 0,5 </w:t>
      </w:r>
      <w:proofErr w:type="spellStart"/>
      <w:r w:rsidRPr="00682A5C">
        <w:rPr>
          <w:rFonts w:ascii="Times New Roman" w:hAnsi="Times New Roman"/>
        </w:rPr>
        <w:t>mikrogram</w:t>
      </w:r>
      <w:r w:rsidR="00A901BE" w:rsidRPr="00682A5C">
        <w:rPr>
          <w:rFonts w:ascii="Times New Roman" w:hAnsi="Times New Roman"/>
        </w:rPr>
        <w:t>ov</w:t>
      </w:r>
      <w:proofErr w:type="spellEnd"/>
    </w:p>
    <w:p w14:paraId="4A3FC07F" w14:textId="77777777" w:rsidR="00991539" w:rsidRDefault="00961A27" w:rsidP="00961A27">
      <w:pPr>
        <w:widowControl w:val="0"/>
        <w:autoSpaceDE w:val="0"/>
        <w:autoSpaceDN w:val="0"/>
        <w:adjustRightInd w:val="0"/>
        <w:spacing w:after="0" w:line="240" w:lineRule="auto"/>
        <w:ind w:right="550"/>
        <w:rPr>
          <w:rFonts w:ascii="Times New Roman" w:hAnsi="Times New Roman"/>
        </w:rPr>
      </w:pPr>
      <w:r w:rsidRPr="00682A5C">
        <w:rPr>
          <w:rFonts w:ascii="Times New Roman" w:hAnsi="Times New Roman"/>
        </w:rPr>
        <w:t>ALFAMED 1,0 mikrogram</w:t>
      </w:r>
    </w:p>
    <w:p w14:paraId="71E77B56" w14:textId="78345237" w:rsidR="00961A27" w:rsidRPr="00682A5C" w:rsidRDefault="00991539" w:rsidP="00961A27">
      <w:pPr>
        <w:widowControl w:val="0"/>
        <w:autoSpaceDE w:val="0"/>
        <w:autoSpaceDN w:val="0"/>
        <w:adjustRightInd w:val="0"/>
        <w:spacing w:after="0" w:line="240" w:lineRule="auto"/>
        <w:ind w:right="550"/>
        <w:rPr>
          <w:rFonts w:ascii="Times New Roman" w:hAnsi="Times New Roman"/>
          <w:spacing w:val="-1"/>
        </w:rPr>
      </w:pPr>
      <w:r>
        <w:rPr>
          <w:rFonts w:ascii="Times New Roman" w:hAnsi="Times New Roman"/>
        </w:rPr>
        <w:t>mäkké kapsuly</w:t>
      </w:r>
    </w:p>
    <w:p w14:paraId="587385E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2E5E6A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8CF9EA5" w14:textId="0A42F71A" w:rsidR="00961A27" w:rsidRPr="00682A5C" w:rsidRDefault="00961A27" w:rsidP="00682A5C">
      <w:pPr>
        <w:widowControl w:val="0"/>
        <w:numPr>
          <w:ilvl w:val="0"/>
          <w:numId w:val="1"/>
        </w:numPr>
        <w:tabs>
          <w:tab w:val="left" w:pos="820"/>
        </w:tabs>
        <w:autoSpaceDE w:val="0"/>
        <w:autoSpaceDN w:val="0"/>
        <w:adjustRightInd w:val="0"/>
        <w:spacing w:after="0" w:line="240" w:lineRule="auto"/>
        <w:ind w:left="567" w:hanging="567"/>
        <w:rPr>
          <w:rFonts w:ascii="Times New Roman" w:hAnsi="Times New Roman"/>
          <w:b/>
          <w:bCs/>
        </w:rPr>
      </w:pPr>
      <w:r w:rsidRPr="00633E7E">
        <w:rPr>
          <w:rFonts w:ascii="Times New Roman" w:hAnsi="Times New Roman"/>
          <w:b/>
          <w:bCs/>
        </w:rPr>
        <w:t>KVALITATÍVNE A KVANTITATÍVNE ZLOŽENIE</w:t>
      </w:r>
    </w:p>
    <w:p w14:paraId="4005D5F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3AEE3D26" w14:textId="460E624F" w:rsidR="00961A27" w:rsidRPr="00633E7E" w:rsidRDefault="00961A27" w:rsidP="00961A27">
      <w:pPr>
        <w:widowControl w:val="0"/>
        <w:autoSpaceDE w:val="0"/>
        <w:autoSpaceDN w:val="0"/>
        <w:adjustRightInd w:val="0"/>
        <w:spacing w:after="0" w:line="240" w:lineRule="auto"/>
        <w:ind w:right="255"/>
        <w:rPr>
          <w:rFonts w:ascii="Times New Roman" w:hAnsi="Times New Roman"/>
        </w:rPr>
      </w:pPr>
      <w:r w:rsidRPr="00633E7E">
        <w:rPr>
          <w:rFonts w:ascii="Times New Roman" w:hAnsi="Times New Roman"/>
        </w:rPr>
        <w:t xml:space="preserve">ALFAMED 0,25 </w:t>
      </w:r>
      <w:proofErr w:type="spellStart"/>
      <w:r w:rsidRPr="00633E7E">
        <w:rPr>
          <w:rFonts w:ascii="Times New Roman" w:hAnsi="Times New Roman"/>
        </w:rPr>
        <w:t>mikrogram</w:t>
      </w:r>
      <w:r w:rsidR="00991539">
        <w:rPr>
          <w:rFonts w:ascii="Times New Roman" w:hAnsi="Times New Roman"/>
        </w:rPr>
        <w:t>ov</w:t>
      </w:r>
      <w:proofErr w:type="spellEnd"/>
      <w:r w:rsidRPr="00633E7E">
        <w:rPr>
          <w:rFonts w:ascii="Times New Roman" w:hAnsi="Times New Roman"/>
        </w:rPr>
        <w:t xml:space="preserve">: Každá mäkká kapsula obsahuje 0,25 </w:t>
      </w:r>
      <w:proofErr w:type="spellStart"/>
      <w:r w:rsidRPr="00633E7E">
        <w:rPr>
          <w:rFonts w:ascii="Times New Roman" w:hAnsi="Times New Roman"/>
        </w:rPr>
        <w:t>mikrogram</w:t>
      </w:r>
      <w:r w:rsidR="00A901BE">
        <w:rPr>
          <w:rFonts w:ascii="Times New Roman" w:hAnsi="Times New Roman"/>
        </w:rPr>
        <w:t>ov</w:t>
      </w:r>
      <w:proofErr w:type="spellEnd"/>
      <w:r w:rsidRPr="00633E7E">
        <w:rPr>
          <w:rFonts w:ascii="Times New Roman" w:hAnsi="Times New Roman"/>
        </w:rPr>
        <w:t xml:space="preserve"> </w:t>
      </w:r>
      <w:proofErr w:type="spellStart"/>
      <w:r w:rsidRPr="00633E7E">
        <w:rPr>
          <w:rFonts w:ascii="Times New Roman" w:hAnsi="Times New Roman"/>
        </w:rPr>
        <w:t>alfakalcidolu</w:t>
      </w:r>
      <w:proofErr w:type="spellEnd"/>
      <w:r w:rsidR="00E64511">
        <w:rPr>
          <w:rFonts w:ascii="Times New Roman" w:hAnsi="Times New Roman"/>
        </w:rPr>
        <w:t>.</w:t>
      </w:r>
    </w:p>
    <w:p w14:paraId="60AC9B2B" w14:textId="30DE3D94" w:rsidR="00961A27" w:rsidRPr="00991539" w:rsidRDefault="00961A27" w:rsidP="00961A27">
      <w:pPr>
        <w:widowControl w:val="0"/>
        <w:autoSpaceDE w:val="0"/>
        <w:autoSpaceDN w:val="0"/>
        <w:adjustRightInd w:val="0"/>
        <w:spacing w:after="0" w:line="240" w:lineRule="auto"/>
        <w:ind w:right="474"/>
        <w:rPr>
          <w:rFonts w:ascii="Times New Roman" w:hAnsi="Times New Roman"/>
        </w:rPr>
      </w:pPr>
      <w:r w:rsidRPr="00682A5C">
        <w:rPr>
          <w:rFonts w:ascii="Times New Roman" w:hAnsi="Times New Roman"/>
        </w:rPr>
        <w:t xml:space="preserve">ALFAMED 0,5 </w:t>
      </w:r>
      <w:proofErr w:type="spellStart"/>
      <w:r w:rsidRPr="00682A5C">
        <w:rPr>
          <w:rFonts w:ascii="Times New Roman" w:hAnsi="Times New Roman"/>
        </w:rPr>
        <w:t>mikrogram</w:t>
      </w:r>
      <w:r w:rsidR="00A901BE" w:rsidRPr="00682A5C">
        <w:rPr>
          <w:rFonts w:ascii="Times New Roman" w:hAnsi="Times New Roman"/>
        </w:rPr>
        <w:t>ov</w:t>
      </w:r>
      <w:proofErr w:type="spellEnd"/>
      <w:r w:rsidRPr="00682A5C">
        <w:rPr>
          <w:rFonts w:ascii="Times New Roman" w:hAnsi="Times New Roman"/>
        </w:rPr>
        <w:t xml:space="preserve">: Každá mäkká kapsula obsahuje 0,5 </w:t>
      </w:r>
      <w:proofErr w:type="spellStart"/>
      <w:r w:rsidRPr="00682A5C">
        <w:rPr>
          <w:rFonts w:ascii="Times New Roman" w:hAnsi="Times New Roman"/>
        </w:rPr>
        <w:t>mikrogram</w:t>
      </w:r>
      <w:r w:rsidR="00A901BE" w:rsidRPr="00682A5C">
        <w:rPr>
          <w:rFonts w:ascii="Times New Roman" w:hAnsi="Times New Roman"/>
        </w:rPr>
        <w:t>ov</w:t>
      </w:r>
      <w:proofErr w:type="spellEnd"/>
      <w:r w:rsidRPr="00682A5C">
        <w:rPr>
          <w:rFonts w:ascii="Times New Roman" w:hAnsi="Times New Roman"/>
        </w:rPr>
        <w:t xml:space="preserve"> </w:t>
      </w:r>
      <w:proofErr w:type="spellStart"/>
      <w:r w:rsidRPr="00682A5C">
        <w:rPr>
          <w:rFonts w:ascii="Times New Roman" w:hAnsi="Times New Roman"/>
        </w:rPr>
        <w:t>alfakalcidolu</w:t>
      </w:r>
      <w:proofErr w:type="spellEnd"/>
      <w:r w:rsidR="00E64511">
        <w:rPr>
          <w:rFonts w:ascii="Times New Roman" w:hAnsi="Times New Roman"/>
        </w:rPr>
        <w:t>.</w:t>
      </w:r>
    </w:p>
    <w:p w14:paraId="58C99B95" w14:textId="58ED182D" w:rsidR="00961A27" w:rsidRPr="00682A5C" w:rsidRDefault="00961A27" w:rsidP="00961A27">
      <w:pPr>
        <w:widowControl w:val="0"/>
        <w:autoSpaceDE w:val="0"/>
        <w:autoSpaceDN w:val="0"/>
        <w:adjustRightInd w:val="0"/>
        <w:spacing w:after="0" w:line="240" w:lineRule="auto"/>
        <w:ind w:right="550"/>
        <w:rPr>
          <w:rFonts w:ascii="Times New Roman" w:hAnsi="Times New Roman"/>
          <w:spacing w:val="-1"/>
        </w:rPr>
      </w:pPr>
      <w:r w:rsidRPr="00682A5C">
        <w:rPr>
          <w:rFonts w:ascii="Times New Roman" w:hAnsi="Times New Roman"/>
        </w:rPr>
        <w:t xml:space="preserve">ALFAMED 1,0 </w:t>
      </w:r>
      <w:proofErr w:type="spellStart"/>
      <w:r w:rsidRPr="00682A5C">
        <w:rPr>
          <w:rFonts w:ascii="Times New Roman" w:hAnsi="Times New Roman"/>
        </w:rPr>
        <w:t>mikrogram</w:t>
      </w:r>
      <w:proofErr w:type="spellEnd"/>
      <w:r w:rsidRPr="00682A5C">
        <w:rPr>
          <w:rFonts w:ascii="Times New Roman" w:hAnsi="Times New Roman"/>
        </w:rPr>
        <w:t xml:space="preserve">: Každá mäkká kapsula obsahuje 1,0 </w:t>
      </w:r>
      <w:proofErr w:type="spellStart"/>
      <w:r w:rsidRPr="00682A5C">
        <w:rPr>
          <w:rFonts w:ascii="Times New Roman" w:hAnsi="Times New Roman"/>
        </w:rPr>
        <w:t>mikrogramu</w:t>
      </w:r>
      <w:proofErr w:type="spellEnd"/>
      <w:r w:rsidRPr="00682A5C">
        <w:rPr>
          <w:rFonts w:ascii="Times New Roman" w:hAnsi="Times New Roman"/>
        </w:rPr>
        <w:t xml:space="preserve"> </w:t>
      </w:r>
      <w:proofErr w:type="spellStart"/>
      <w:r w:rsidRPr="00682A5C">
        <w:rPr>
          <w:rFonts w:ascii="Times New Roman" w:hAnsi="Times New Roman"/>
        </w:rPr>
        <w:t>alfakalcidolu</w:t>
      </w:r>
      <w:proofErr w:type="spellEnd"/>
      <w:r w:rsidR="00E64511">
        <w:rPr>
          <w:rFonts w:ascii="Times New Roman" w:hAnsi="Times New Roman"/>
        </w:rPr>
        <w:t>.</w:t>
      </w:r>
    </w:p>
    <w:p w14:paraId="49629099"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55225E1" w14:textId="77777777" w:rsidR="00961A27" w:rsidRPr="00633E7E" w:rsidRDefault="00961A27" w:rsidP="00961A27">
      <w:pPr>
        <w:widowControl w:val="0"/>
        <w:autoSpaceDE w:val="0"/>
        <w:autoSpaceDN w:val="0"/>
        <w:adjustRightInd w:val="0"/>
        <w:spacing w:after="0" w:line="240" w:lineRule="auto"/>
        <w:rPr>
          <w:rFonts w:ascii="Times New Roman" w:hAnsi="Times New Roman"/>
          <w:spacing w:val="-1"/>
        </w:rPr>
      </w:pPr>
      <w:r w:rsidRPr="00633E7E">
        <w:rPr>
          <w:rFonts w:ascii="Times New Roman" w:hAnsi="Times New Roman"/>
        </w:rPr>
        <w:t>Pomocné látky so známym účinkom:</w:t>
      </w:r>
    </w:p>
    <w:p w14:paraId="1B8422F3" w14:textId="77777777" w:rsidR="00961A27" w:rsidRPr="00633E7E" w:rsidRDefault="00961A27" w:rsidP="00961A27">
      <w:pPr>
        <w:widowControl w:val="0"/>
        <w:autoSpaceDE w:val="0"/>
        <w:autoSpaceDN w:val="0"/>
        <w:adjustRightInd w:val="0"/>
        <w:spacing w:after="0" w:line="240" w:lineRule="auto"/>
        <w:rPr>
          <w:rFonts w:ascii="Times New Roman" w:hAnsi="Times New Roman"/>
          <w:spacing w:val="1"/>
        </w:rPr>
      </w:pPr>
      <w:r w:rsidRPr="00633E7E">
        <w:rPr>
          <w:rFonts w:ascii="Times New Roman" w:hAnsi="Times New Roman"/>
        </w:rPr>
        <w:t>Každá mäkká kapsula obsahuje 98,7 mg arašidového oleja (podzemnicový olej), 1,0 mg bezvodého etanolu a 10 mg sorbitolu.</w:t>
      </w:r>
    </w:p>
    <w:p w14:paraId="373D8192"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DA087D8" w14:textId="77777777"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Úplný zoznam pomocných látok, pozri časť 6.1.</w:t>
      </w:r>
    </w:p>
    <w:p w14:paraId="2288401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00F64E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99FEF9A" w14:textId="1AC56625" w:rsidR="00961A27" w:rsidRPr="00682A5C" w:rsidRDefault="00961A27" w:rsidP="00682A5C">
      <w:pPr>
        <w:widowControl w:val="0"/>
        <w:numPr>
          <w:ilvl w:val="0"/>
          <w:numId w:val="1"/>
        </w:numPr>
        <w:tabs>
          <w:tab w:val="left" w:pos="820"/>
        </w:tabs>
        <w:autoSpaceDE w:val="0"/>
        <w:autoSpaceDN w:val="0"/>
        <w:adjustRightInd w:val="0"/>
        <w:spacing w:after="0" w:line="240" w:lineRule="auto"/>
        <w:ind w:left="567" w:hanging="567"/>
        <w:rPr>
          <w:rFonts w:ascii="Times New Roman" w:hAnsi="Times New Roman"/>
          <w:b/>
          <w:bCs/>
        </w:rPr>
      </w:pPr>
      <w:r w:rsidRPr="00633E7E">
        <w:rPr>
          <w:rFonts w:ascii="Times New Roman" w:hAnsi="Times New Roman"/>
          <w:b/>
          <w:bCs/>
        </w:rPr>
        <w:t>LIEKOVÁ FORMA</w:t>
      </w:r>
    </w:p>
    <w:p w14:paraId="17B7CB6D"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103DE55" w14:textId="21EC4D38" w:rsidR="00961A27" w:rsidRPr="00633E7E" w:rsidRDefault="00961A27" w:rsidP="00961A27">
      <w:pPr>
        <w:widowControl w:val="0"/>
        <w:autoSpaceDE w:val="0"/>
        <w:autoSpaceDN w:val="0"/>
        <w:adjustRightInd w:val="0"/>
        <w:spacing w:after="0" w:line="240" w:lineRule="auto"/>
        <w:ind w:right="551"/>
        <w:rPr>
          <w:rFonts w:ascii="Times New Roman" w:hAnsi="Times New Roman"/>
          <w:spacing w:val="-1"/>
        </w:rPr>
      </w:pPr>
      <w:r w:rsidRPr="00633E7E">
        <w:rPr>
          <w:rFonts w:ascii="Times New Roman" w:hAnsi="Times New Roman"/>
        </w:rPr>
        <w:t xml:space="preserve">Mäkká kapsula </w:t>
      </w:r>
      <w:r w:rsidRPr="00633E7E">
        <w:rPr>
          <w:rFonts w:ascii="Times New Roman" w:hAnsi="Times New Roman"/>
          <w:color w:val="000000"/>
        </w:rPr>
        <w:t>(kapsula)</w:t>
      </w:r>
      <w:r w:rsidR="00C37B24">
        <w:rPr>
          <w:rFonts w:ascii="Times New Roman" w:hAnsi="Times New Roman"/>
          <w:color w:val="000000"/>
        </w:rPr>
        <w:t>.</w:t>
      </w:r>
      <w:r w:rsidRPr="00633E7E">
        <w:rPr>
          <w:rFonts w:ascii="Times New Roman" w:hAnsi="Times New Roman"/>
          <w:color w:val="000000"/>
        </w:rPr>
        <w:t xml:space="preserve"> </w:t>
      </w:r>
    </w:p>
    <w:p w14:paraId="0C750C2B" w14:textId="015B2488" w:rsidR="00961A27" w:rsidRPr="00633E7E" w:rsidRDefault="00961A27" w:rsidP="00961A27">
      <w:pPr>
        <w:widowControl w:val="0"/>
        <w:autoSpaceDE w:val="0"/>
        <w:autoSpaceDN w:val="0"/>
        <w:adjustRightInd w:val="0"/>
        <w:spacing w:after="0" w:line="240" w:lineRule="auto"/>
        <w:ind w:right="551"/>
        <w:rPr>
          <w:rFonts w:ascii="Times New Roman" w:hAnsi="Times New Roman"/>
        </w:rPr>
      </w:pPr>
      <w:r w:rsidRPr="00633E7E">
        <w:rPr>
          <w:rFonts w:ascii="Times New Roman" w:hAnsi="Times New Roman"/>
        </w:rPr>
        <w:t>ALFAMED 0,25 mikrogram</w:t>
      </w:r>
      <w:r w:rsidR="00A901BE">
        <w:rPr>
          <w:rFonts w:ascii="Times New Roman" w:hAnsi="Times New Roman"/>
        </w:rPr>
        <w:t>ov</w:t>
      </w:r>
      <w:r w:rsidRPr="00633E7E">
        <w:rPr>
          <w:rFonts w:ascii="Times New Roman" w:hAnsi="Times New Roman"/>
        </w:rPr>
        <w:t>: Mäkké želatínové kapsuly oválneho tvaru, červeno</w:t>
      </w:r>
      <w:r w:rsidR="00872D62">
        <w:rPr>
          <w:rFonts w:ascii="Times New Roman" w:hAnsi="Times New Roman"/>
        </w:rPr>
        <w:t>-</w:t>
      </w:r>
      <w:r w:rsidRPr="00633E7E">
        <w:rPr>
          <w:rFonts w:ascii="Times New Roman" w:hAnsi="Times New Roman"/>
        </w:rPr>
        <w:t>hnedej farby, obsahujúce svetložltú číru olejovitú kvapalinu. Veľkosť je približne 10,4 mm x 5,6 mm</w:t>
      </w:r>
      <w:r w:rsidR="00872D62">
        <w:rPr>
          <w:rFonts w:ascii="Times New Roman" w:hAnsi="Times New Roman"/>
        </w:rPr>
        <w:t>.</w:t>
      </w:r>
    </w:p>
    <w:p w14:paraId="01608453" w14:textId="209517F3" w:rsidR="00961A27" w:rsidRPr="00872D62" w:rsidRDefault="00961A27" w:rsidP="00961A27">
      <w:pPr>
        <w:widowControl w:val="0"/>
        <w:autoSpaceDE w:val="0"/>
        <w:autoSpaceDN w:val="0"/>
        <w:adjustRightInd w:val="0"/>
        <w:spacing w:after="0" w:line="240" w:lineRule="auto"/>
        <w:ind w:right="422"/>
        <w:rPr>
          <w:rFonts w:ascii="Times New Roman" w:hAnsi="Times New Roman"/>
        </w:rPr>
      </w:pPr>
      <w:r w:rsidRPr="00682A5C">
        <w:rPr>
          <w:rFonts w:ascii="Times New Roman" w:hAnsi="Times New Roman"/>
        </w:rPr>
        <w:t>ALFAMED 0,5 mikrogram</w:t>
      </w:r>
      <w:r w:rsidR="00A901BE" w:rsidRPr="00682A5C">
        <w:rPr>
          <w:rFonts w:ascii="Times New Roman" w:hAnsi="Times New Roman"/>
        </w:rPr>
        <w:t>ov</w:t>
      </w:r>
      <w:r w:rsidRPr="00682A5C">
        <w:rPr>
          <w:rFonts w:ascii="Times New Roman" w:hAnsi="Times New Roman"/>
        </w:rPr>
        <w:t>: Mäkké želatínové kapsuly oválneho tvaru, svetloružovej farby, obsahujúce svetložltú číru olejovitú kvapalinu.</w:t>
      </w:r>
      <w:r w:rsidR="005B59C7">
        <w:rPr>
          <w:rFonts w:ascii="Times New Roman" w:hAnsi="Times New Roman"/>
        </w:rPr>
        <w:t xml:space="preserve"> </w:t>
      </w:r>
      <w:r w:rsidRPr="00682A5C">
        <w:rPr>
          <w:rFonts w:ascii="Times New Roman" w:hAnsi="Times New Roman"/>
        </w:rPr>
        <w:t>Veľkosť je približne 10,4 mm x 5,6 mm</w:t>
      </w:r>
      <w:r w:rsidR="00872D62">
        <w:rPr>
          <w:rFonts w:ascii="Times New Roman" w:hAnsi="Times New Roman"/>
        </w:rPr>
        <w:t>.</w:t>
      </w:r>
    </w:p>
    <w:p w14:paraId="6EC113B1" w14:textId="12C49501" w:rsidR="00961A27" w:rsidRPr="00682A5C" w:rsidRDefault="00961A27" w:rsidP="00961A27">
      <w:pPr>
        <w:widowControl w:val="0"/>
        <w:autoSpaceDE w:val="0"/>
        <w:autoSpaceDN w:val="0"/>
        <w:adjustRightInd w:val="0"/>
        <w:spacing w:after="0" w:line="240" w:lineRule="auto"/>
        <w:ind w:right="315"/>
        <w:rPr>
          <w:rFonts w:ascii="Times New Roman" w:hAnsi="Times New Roman"/>
          <w:spacing w:val="-1"/>
        </w:rPr>
      </w:pPr>
      <w:r w:rsidRPr="00682A5C">
        <w:rPr>
          <w:rFonts w:ascii="Times New Roman" w:hAnsi="Times New Roman"/>
        </w:rPr>
        <w:t>ALFAMED 1,0 mikrogram: Mäkké želatínové kapsuly oválneho tvaru, bledožltej farby, obsahujúce svetložltú číru olejovitú kvapalinu.</w:t>
      </w:r>
      <w:r w:rsidR="005B59C7">
        <w:rPr>
          <w:rFonts w:ascii="Times New Roman" w:hAnsi="Times New Roman"/>
        </w:rPr>
        <w:t xml:space="preserve"> </w:t>
      </w:r>
      <w:r w:rsidRPr="00682A5C">
        <w:rPr>
          <w:rFonts w:ascii="Times New Roman" w:hAnsi="Times New Roman"/>
        </w:rPr>
        <w:t>Veľkosť je približne 10,4 mm x 5,6 mm</w:t>
      </w:r>
      <w:r w:rsidR="00872D62">
        <w:rPr>
          <w:rFonts w:ascii="Times New Roman" w:hAnsi="Times New Roman"/>
        </w:rPr>
        <w:t>.</w:t>
      </w:r>
    </w:p>
    <w:p w14:paraId="001D63F5"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2904B9B"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74B1231E" w14:textId="1A951089" w:rsidR="00961A27" w:rsidRPr="00682A5C" w:rsidRDefault="00961A27" w:rsidP="00682A5C">
      <w:pPr>
        <w:widowControl w:val="0"/>
        <w:numPr>
          <w:ilvl w:val="0"/>
          <w:numId w:val="1"/>
        </w:numPr>
        <w:tabs>
          <w:tab w:val="left" w:pos="820"/>
        </w:tabs>
        <w:autoSpaceDE w:val="0"/>
        <w:autoSpaceDN w:val="0"/>
        <w:adjustRightInd w:val="0"/>
        <w:spacing w:after="0" w:line="240" w:lineRule="auto"/>
        <w:ind w:left="567" w:hanging="567"/>
        <w:rPr>
          <w:rFonts w:ascii="Times New Roman" w:hAnsi="Times New Roman"/>
          <w:b/>
          <w:bCs/>
        </w:rPr>
      </w:pPr>
      <w:r w:rsidRPr="00633E7E">
        <w:rPr>
          <w:rFonts w:ascii="Times New Roman" w:hAnsi="Times New Roman"/>
          <w:b/>
          <w:bCs/>
        </w:rPr>
        <w:t>KLINICKÉ ÚDAJE</w:t>
      </w:r>
    </w:p>
    <w:p w14:paraId="4A9D2BC0"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AA4341A" w14:textId="77777777" w:rsidR="00961A27" w:rsidRPr="00633E7E" w:rsidRDefault="00961A27" w:rsidP="0092747F">
      <w:pPr>
        <w:widowControl w:val="0"/>
        <w:tabs>
          <w:tab w:val="left" w:pos="820"/>
        </w:tabs>
        <w:autoSpaceDE w:val="0"/>
        <w:autoSpaceDN w:val="0"/>
        <w:adjustRightInd w:val="0"/>
        <w:spacing w:after="0" w:line="240" w:lineRule="auto"/>
        <w:ind w:left="567" w:hanging="567"/>
        <w:rPr>
          <w:rFonts w:ascii="Times New Roman" w:hAnsi="Times New Roman"/>
        </w:rPr>
      </w:pPr>
      <w:r w:rsidRPr="00633E7E">
        <w:rPr>
          <w:rFonts w:ascii="Times New Roman" w:hAnsi="Times New Roman"/>
          <w:b/>
          <w:bCs/>
        </w:rPr>
        <w:t>4.1</w:t>
      </w:r>
      <w:r w:rsidRPr="00633E7E">
        <w:rPr>
          <w:rFonts w:ascii="Times New Roman" w:hAnsi="Times New Roman"/>
          <w:b/>
          <w:bCs/>
        </w:rPr>
        <w:tab/>
        <w:t>Terapeutické indikácie</w:t>
      </w:r>
    </w:p>
    <w:p w14:paraId="586F8AA2" w14:textId="77777777" w:rsidR="00961A27" w:rsidRPr="00633E7E" w:rsidRDefault="00961A27" w:rsidP="00961A27">
      <w:pPr>
        <w:widowControl w:val="0"/>
        <w:tabs>
          <w:tab w:val="left" w:pos="820"/>
        </w:tabs>
        <w:autoSpaceDE w:val="0"/>
        <w:autoSpaceDN w:val="0"/>
        <w:adjustRightInd w:val="0"/>
        <w:spacing w:after="0" w:line="240" w:lineRule="auto"/>
        <w:rPr>
          <w:rFonts w:ascii="Times New Roman" w:hAnsi="Times New Roman"/>
        </w:rPr>
      </w:pPr>
    </w:p>
    <w:p w14:paraId="7665E2D1" w14:textId="77777777" w:rsidR="003F3FD9" w:rsidRDefault="003F3FD9" w:rsidP="00961A27">
      <w:pPr>
        <w:widowControl w:val="0"/>
        <w:autoSpaceDE w:val="0"/>
        <w:autoSpaceDN w:val="0"/>
        <w:adjustRightInd w:val="0"/>
        <w:spacing w:after="0" w:line="240" w:lineRule="auto"/>
        <w:rPr>
          <w:rFonts w:ascii="Times New Roman" w:hAnsi="Times New Roman"/>
        </w:rPr>
      </w:pPr>
      <w:bookmarkStart w:id="1" w:name="_Hlk488137389"/>
      <w:r>
        <w:rPr>
          <w:rFonts w:ascii="Times New Roman" w:hAnsi="Times New Roman"/>
        </w:rPr>
        <w:t>ALFAMED je indikovaný pre deti vo veku nad 4 roky, dospievajúcich a dospelých.</w:t>
      </w:r>
    </w:p>
    <w:bookmarkEnd w:id="1"/>
    <w:p w14:paraId="5A3B7F37" w14:textId="77777777" w:rsidR="003F3FD9" w:rsidRDefault="003F3FD9" w:rsidP="00961A27">
      <w:pPr>
        <w:widowControl w:val="0"/>
        <w:autoSpaceDE w:val="0"/>
        <w:autoSpaceDN w:val="0"/>
        <w:adjustRightInd w:val="0"/>
        <w:spacing w:after="0" w:line="240" w:lineRule="auto"/>
        <w:rPr>
          <w:rFonts w:ascii="Times New Roman" w:hAnsi="Times New Roman"/>
        </w:rPr>
      </w:pPr>
    </w:p>
    <w:p w14:paraId="4A2643BD" w14:textId="3DBB6C6E" w:rsidR="00961A27" w:rsidRPr="00633E7E"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ALFAMED je indikovaný pri stavoch, kde dochádza k narušeniu metabolizmu vápnika v dôsledku zhoršenej 1-α hydroxylácie, napríklad vtedy, keď je znížená funkcia obličiek. Hlavné indikácie sú:</w:t>
      </w:r>
    </w:p>
    <w:p w14:paraId="3901902A"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C046152" w14:textId="499EF93A"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 xml:space="preserve">a) </w:t>
      </w:r>
      <w:proofErr w:type="spellStart"/>
      <w:r w:rsidRPr="00633E7E">
        <w:rPr>
          <w:rFonts w:ascii="Times New Roman" w:hAnsi="Times New Roman"/>
        </w:rPr>
        <w:t>renálna</w:t>
      </w:r>
      <w:proofErr w:type="spellEnd"/>
      <w:r w:rsidRPr="00633E7E">
        <w:rPr>
          <w:rFonts w:ascii="Times New Roman" w:hAnsi="Times New Roman"/>
        </w:rPr>
        <w:t xml:space="preserve"> </w:t>
      </w:r>
      <w:proofErr w:type="spellStart"/>
      <w:r w:rsidRPr="00633E7E">
        <w:rPr>
          <w:rFonts w:ascii="Times New Roman" w:hAnsi="Times New Roman"/>
        </w:rPr>
        <w:t>osteodystrofia</w:t>
      </w:r>
      <w:proofErr w:type="spellEnd"/>
      <w:r w:rsidR="0091099D">
        <w:rPr>
          <w:rFonts w:ascii="Times New Roman" w:hAnsi="Times New Roman"/>
        </w:rPr>
        <w:t>,</w:t>
      </w:r>
    </w:p>
    <w:p w14:paraId="1F1633E6" w14:textId="72CBFB90"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 xml:space="preserve">b) </w:t>
      </w:r>
      <w:proofErr w:type="spellStart"/>
      <w:r w:rsidRPr="00633E7E">
        <w:rPr>
          <w:rFonts w:ascii="Times New Roman" w:hAnsi="Times New Roman"/>
        </w:rPr>
        <w:t>hyperparatyreóza</w:t>
      </w:r>
      <w:proofErr w:type="spellEnd"/>
      <w:r w:rsidRPr="00633E7E">
        <w:rPr>
          <w:rFonts w:ascii="Times New Roman" w:hAnsi="Times New Roman"/>
        </w:rPr>
        <w:t xml:space="preserve"> (s ochorením kostí)</w:t>
      </w:r>
      <w:r w:rsidR="0091099D">
        <w:rPr>
          <w:rFonts w:ascii="Times New Roman" w:hAnsi="Times New Roman"/>
        </w:rPr>
        <w:t>,</w:t>
      </w:r>
    </w:p>
    <w:p w14:paraId="31D1BF5E" w14:textId="167EA6D2"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 xml:space="preserve">c) </w:t>
      </w:r>
      <w:proofErr w:type="spellStart"/>
      <w:r w:rsidRPr="00633E7E">
        <w:rPr>
          <w:rFonts w:ascii="Times New Roman" w:hAnsi="Times New Roman"/>
        </w:rPr>
        <w:t>hypoparatyreóza</w:t>
      </w:r>
      <w:proofErr w:type="spellEnd"/>
      <w:r w:rsidR="0091099D">
        <w:rPr>
          <w:rFonts w:ascii="Times New Roman" w:hAnsi="Times New Roman"/>
        </w:rPr>
        <w:t>,</w:t>
      </w:r>
    </w:p>
    <w:p w14:paraId="56A7578F" w14:textId="4007FA08"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 xml:space="preserve">d) </w:t>
      </w:r>
      <w:proofErr w:type="spellStart"/>
      <w:r w:rsidR="005D7DD0">
        <w:rPr>
          <w:rFonts w:ascii="Times New Roman" w:hAnsi="Times New Roman"/>
        </w:rPr>
        <w:t>pseudodeficientná</w:t>
      </w:r>
      <w:proofErr w:type="spellEnd"/>
      <w:r w:rsidR="005D7DD0">
        <w:rPr>
          <w:rFonts w:ascii="Times New Roman" w:hAnsi="Times New Roman"/>
        </w:rPr>
        <w:t xml:space="preserve"> (závislá od vitamínu D) </w:t>
      </w:r>
      <w:r w:rsidRPr="00633E7E">
        <w:rPr>
          <w:rFonts w:ascii="Times New Roman" w:hAnsi="Times New Roman"/>
        </w:rPr>
        <w:t>rachitída a</w:t>
      </w:r>
      <w:r w:rsidR="0091099D">
        <w:rPr>
          <w:rFonts w:ascii="Times New Roman" w:hAnsi="Times New Roman"/>
        </w:rPr>
        <w:t> </w:t>
      </w:r>
      <w:proofErr w:type="spellStart"/>
      <w:r w:rsidRPr="00633E7E">
        <w:rPr>
          <w:rFonts w:ascii="Times New Roman" w:hAnsi="Times New Roman"/>
        </w:rPr>
        <w:t>osteomalácia</w:t>
      </w:r>
      <w:proofErr w:type="spellEnd"/>
      <w:r w:rsidR="0091099D">
        <w:rPr>
          <w:rFonts w:ascii="Times New Roman" w:hAnsi="Times New Roman"/>
        </w:rPr>
        <w:t>,</w:t>
      </w:r>
    </w:p>
    <w:p w14:paraId="6CD6DDB1" w14:textId="2659D324"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e) hypofosfatemická rachitída a osteomalácia</w:t>
      </w:r>
      <w:r w:rsidR="005D7DD0">
        <w:rPr>
          <w:rFonts w:ascii="Times New Roman" w:hAnsi="Times New Roman"/>
        </w:rPr>
        <w:t xml:space="preserve"> rezistentná na vitamín D</w:t>
      </w:r>
      <w:r w:rsidR="0091099D">
        <w:rPr>
          <w:rFonts w:ascii="Times New Roman" w:hAnsi="Times New Roman"/>
        </w:rPr>
        <w:t>.</w:t>
      </w:r>
    </w:p>
    <w:p w14:paraId="0A03B9DA"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BFD9F0F"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b/>
          <w:bCs/>
        </w:rPr>
      </w:pPr>
      <w:r w:rsidRPr="00633E7E">
        <w:rPr>
          <w:rFonts w:ascii="Times New Roman" w:hAnsi="Times New Roman"/>
          <w:b/>
          <w:bCs/>
        </w:rPr>
        <w:t>4.2</w:t>
      </w:r>
      <w:r w:rsidRPr="00633E7E">
        <w:rPr>
          <w:rFonts w:ascii="Times New Roman" w:hAnsi="Times New Roman"/>
          <w:b/>
          <w:bCs/>
        </w:rPr>
        <w:tab/>
        <w:t>Dávkovanie a spôsob podávania</w:t>
      </w:r>
    </w:p>
    <w:p w14:paraId="5BCBEB7F" w14:textId="77777777" w:rsidR="00961A27" w:rsidRPr="00633E7E" w:rsidRDefault="00961A27" w:rsidP="00961A27">
      <w:pPr>
        <w:widowControl w:val="0"/>
        <w:tabs>
          <w:tab w:val="left" w:pos="820"/>
        </w:tabs>
        <w:autoSpaceDE w:val="0"/>
        <w:autoSpaceDN w:val="0"/>
        <w:adjustRightInd w:val="0"/>
        <w:spacing w:after="0" w:line="240" w:lineRule="auto"/>
        <w:ind w:right="-20"/>
        <w:rPr>
          <w:rFonts w:ascii="Times New Roman" w:hAnsi="Times New Roman"/>
          <w:color w:val="000000"/>
          <w:u w:val="single"/>
          <w:shd w:val="clear" w:color="auto" w:fill="FFFFFF"/>
        </w:rPr>
      </w:pPr>
    </w:p>
    <w:p w14:paraId="39165A4D" w14:textId="77777777" w:rsidR="00961A27" w:rsidRPr="00633E7E" w:rsidRDefault="00961A27" w:rsidP="00961A27">
      <w:pPr>
        <w:widowControl w:val="0"/>
        <w:tabs>
          <w:tab w:val="left" w:pos="820"/>
        </w:tabs>
        <w:autoSpaceDE w:val="0"/>
        <w:autoSpaceDN w:val="0"/>
        <w:adjustRightInd w:val="0"/>
        <w:spacing w:after="0" w:line="240" w:lineRule="auto"/>
        <w:ind w:right="-20"/>
        <w:rPr>
          <w:rFonts w:ascii="Times New Roman" w:hAnsi="Times New Roman"/>
        </w:rPr>
      </w:pPr>
      <w:r w:rsidRPr="00633E7E">
        <w:rPr>
          <w:rFonts w:ascii="Times New Roman" w:hAnsi="Times New Roman"/>
          <w:color w:val="000000"/>
          <w:u w:val="single"/>
          <w:shd w:val="clear" w:color="auto" w:fill="FFFFFF"/>
        </w:rPr>
        <w:t>Dávkovanie</w:t>
      </w:r>
    </w:p>
    <w:p w14:paraId="29931CC8"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BC3F236" w14:textId="77777777" w:rsidR="00961A27" w:rsidRDefault="00961A27" w:rsidP="00961A27">
      <w:pPr>
        <w:widowControl w:val="0"/>
        <w:autoSpaceDE w:val="0"/>
        <w:autoSpaceDN w:val="0"/>
        <w:adjustRightInd w:val="0"/>
        <w:spacing w:after="0" w:line="240" w:lineRule="auto"/>
        <w:rPr>
          <w:rFonts w:ascii="Times New Roman" w:hAnsi="Times New Roman"/>
          <w:b/>
          <w:bCs/>
        </w:rPr>
      </w:pPr>
      <w:r w:rsidRPr="00633E7E">
        <w:rPr>
          <w:rFonts w:ascii="Times New Roman" w:hAnsi="Times New Roman"/>
          <w:b/>
          <w:bCs/>
        </w:rPr>
        <w:t>Počiatočná dávka pre všetky indikácie:</w:t>
      </w:r>
    </w:p>
    <w:tbl>
      <w:tblPr>
        <w:tblW w:w="0" w:type="auto"/>
        <w:tblInd w:w="-142" w:type="dxa"/>
        <w:tblLook w:val="04A0" w:firstRow="1" w:lastRow="0" w:firstColumn="1" w:lastColumn="0" w:noHBand="0" w:noVBand="1"/>
      </w:tblPr>
      <w:tblGrid>
        <w:gridCol w:w="3929"/>
        <w:gridCol w:w="4009"/>
      </w:tblGrid>
      <w:tr w:rsidR="00961A27" w:rsidRPr="00633E7E" w14:paraId="499E0AE7" w14:textId="77777777" w:rsidTr="00633E7E">
        <w:tc>
          <w:tcPr>
            <w:tcW w:w="3929" w:type="dxa"/>
          </w:tcPr>
          <w:p w14:paraId="772FB504" w14:textId="77777777" w:rsidR="00961A27" w:rsidRPr="00633E7E" w:rsidRDefault="00961A27" w:rsidP="00682A5C">
            <w:pPr>
              <w:widowControl w:val="0"/>
              <w:autoSpaceDE w:val="0"/>
              <w:autoSpaceDN w:val="0"/>
              <w:adjustRightInd w:val="0"/>
              <w:spacing w:after="0" w:line="240" w:lineRule="auto"/>
              <w:ind w:left="142" w:right="59"/>
              <w:jc w:val="both"/>
              <w:rPr>
                <w:rFonts w:ascii="Times New Roman" w:hAnsi="Times New Roman"/>
                <w:spacing w:val="2"/>
              </w:rPr>
            </w:pPr>
            <w:r w:rsidRPr="00633E7E">
              <w:rPr>
                <w:rFonts w:ascii="Times New Roman" w:hAnsi="Times New Roman"/>
              </w:rPr>
              <w:t>Dospelí:</w:t>
            </w:r>
          </w:p>
        </w:tc>
        <w:tc>
          <w:tcPr>
            <w:tcW w:w="4009" w:type="dxa"/>
          </w:tcPr>
          <w:p w14:paraId="7C404B84" w14:textId="52E9EF86" w:rsidR="00961A27" w:rsidRPr="00633E7E" w:rsidRDefault="00961A27" w:rsidP="00BC63E3">
            <w:pPr>
              <w:widowControl w:val="0"/>
              <w:autoSpaceDE w:val="0"/>
              <w:autoSpaceDN w:val="0"/>
              <w:adjustRightInd w:val="0"/>
              <w:spacing w:after="0" w:line="240" w:lineRule="auto"/>
              <w:ind w:right="59"/>
              <w:jc w:val="both"/>
              <w:rPr>
                <w:rFonts w:ascii="Times New Roman" w:hAnsi="Times New Roman"/>
                <w:spacing w:val="2"/>
              </w:rPr>
            </w:pPr>
            <w:r w:rsidRPr="00633E7E">
              <w:rPr>
                <w:rFonts w:ascii="Times New Roman" w:hAnsi="Times New Roman"/>
              </w:rPr>
              <w:t>0,25-0,50 mikrogram</w:t>
            </w:r>
            <w:r w:rsidR="00A901BE">
              <w:rPr>
                <w:rFonts w:ascii="Times New Roman" w:hAnsi="Times New Roman"/>
              </w:rPr>
              <w:t>ov</w:t>
            </w:r>
            <w:r w:rsidRPr="00633E7E">
              <w:rPr>
                <w:rFonts w:ascii="Times New Roman" w:hAnsi="Times New Roman"/>
              </w:rPr>
              <w:t>/deň</w:t>
            </w:r>
          </w:p>
        </w:tc>
      </w:tr>
      <w:tr w:rsidR="00961A27" w:rsidRPr="00633E7E" w14:paraId="1500B36A" w14:textId="77777777" w:rsidTr="00633E7E">
        <w:tc>
          <w:tcPr>
            <w:tcW w:w="3929" w:type="dxa"/>
          </w:tcPr>
          <w:p w14:paraId="4F1514D0" w14:textId="77777777" w:rsidR="00961A27" w:rsidRPr="00633E7E" w:rsidRDefault="00961A27" w:rsidP="00682A5C">
            <w:pPr>
              <w:widowControl w:val="0"/>
              <w:autoSpaceDE w:val="0"/>
              <w:autoSpaceDN w:val="0"/>
              <w:adjustRightInd w:val="0"/>
              <w:spacing w:after="0" w:line="240" w:lineRule="auto"/>
              <w:ind w:left="142" w:right="59"/>
              <w:jc w:val="both"/>
              <w:rPr>
                <w:rFonts w:ascii="Times New Roman" w:hAnsi="Times New Roman"/>
                <w:spacing w:val="2"/>
              </w:rPr>
            </w:pPr>
            <w:r w:rsidRPr="00633E7E">
              <w:rPr>
                <w:rFonts w:ascii="Times New Roman" w:hAnsi="Times New Roman"/>
              </w:rPr>
              <w:t>Dávkovanie u starších osôb:</w:t>
            </w:r>
          </w:p>
        </w:tc>
        <w:tc>
          <w:tcPr>
            <w:tcW w:w="4009" w:type="dxa"/>
          </w:tcPr>
          <w:p w14:paraId="76CC41AE" w14:textId="7396CC4E" w:rsidR="00961A27" w:rsidRPr="00633E7E" w:rsidRDefault="00961A27" w:rsidP="00BC63E3">
            <w:pPr>
              <w:widowControl w:val="0"/>
              <w:autoSpaceDE w:val="0"/>
              <w:autoSpaceDN w:val="0"/>
              <w:adjustRightInd w:val="0"/>
              <w:spacing w:after="0" w:line="240" w:lineRule="auto"/>
              <w:ind w:right="59"/>
              <w:jc w:val="both"/>
              <w:rPr>
                <w:rFonts w:ascii="Times New Roman" w:hAnsi="Times New Roman"/>
                <w:spacing w:val="2"/>
              </w:rPr>
            </w:pPr>
            <w:r w:rsidRPr="00633E7E">
              <w:rPr>
                <w:rFonts w:ascii="Times New Roman" w:hAnsi="Times New Roman"/>
              </w:rPr>
              <w:t>0,25-0,50 mikrogram</w:t>
            </w:r>
            <w:r w:rsidR="00A901BE">
              <w:rPr>
                <w:rFonts w:ascii="Times New Roman" w:hAnsi="Times New Roman"/>
              </w:rPr>
              <w:t>ov</w:t>
            </w:r>
            <w:r w:rsidRPr="00633E7E">
              <w:rPr>
                <w:rFonts w:ascii="Times New Roman" w:hAnsi="Times New Roman"/>
              </w:rPr>
              <w:t>/deň</w:t>
            </w:r>
          </w:p>
        </w:tc>
      </w:tr>
      <w:tr w:rsidR="00961A27" w:rsidRPr="00633E7E" w14:paraId="1A946FAD" w14:textId="77777777" w:rsidTr="00633E7E">
        <w:tc>
          <w:tcPr>
            <w:tcW w:w="3929" w:type="dxa"/>
          </w:tcPr>
          <w:p w14:paraId="56EF9F15" w14:textId="7B28CA5D" w:rsidR="00961A27" w:rsidRPr="00633E7E" w:rsidRDefault="00961A27" w:rsidP="00682A5C">
            <w:pPr>
              <w:widowControl w:val="0"/>
              <w:autoSpaceDE w:val="0"/>
              <w:autoSpaceDN w:val="0"/>
              <w:adjustRightInd w:val="0"/>
              <w:spacing w:after="0" w:line="240" w:lineRule="auto"/>
              <w:ind w:left="142" w:right="59"/>
              <w:jc w:val="both"/>
              <w:rPr>
                <w:rFonts w:ascii="Times New Roman" w:hAnsi="Times New Roman"/>
                <w:spacing w:val="2"/>
              </w:rPr>
            </w:pPr>
            <w:r w:rsidRPr="00633E7E">
              <w:rPr>
                <w:rFonts w:ascii="Times New Roman" w:hAnsi="Times New Roman"/>
              </w:rPr>
              <w:lastRenderedPageBreak/>
              <w:t>Deti nad 4 roky:</w:t>
            </w:r>
          </w:p>
        </w:tc>
        <w:tc>
          <w:tcPr>
            <w:tcW w:w="4009" w:type="dxa"/>
          </w:tcPr>
          <w:p w14:paraId="41B6BD99" w14:textId="66E83F8E" w:rsidR="00961A27" w:rsidRPr="00633E7E" w:rsidRDefault="00961A27" w:rsidP="00BC63E3">
            <w:pPr>
              <w:widowControl w:val="0"/>
              <w:autoSpaceDE w:val="0"/>
              <w:autoSpaceDN w:val="0"/>
              <w:adjustRightInd w:val="0"/>
              <w:spacing w:after="0" w:line="240" w:lineRule="auto"/>
              <w:ind w:right="59"/>
              <w:jc w:val="both"/>
              <w:rPr>
                <w:rFonts w:ascii="Times New Roman" w:hAnsi="Times New Roman"/>
                <w:spacing w:val="2"/>
              </w:rPr>
            </w:pPr>
            <w:r w:rsidRPr="00633E7E">
              <w:rPr>
                <w:rFonts w:ascii="Times New Roman" w:hAnsi="Times New Roman"/>
              </w:rPr>
              <w:t>0,25-0,50 mikrogram</w:t>
            </w:r>
            <w:r w:rsidR="00A901BE">
              <w:rPr>
                <w:rFonts w:ascii="Times New Roman" w:hAnsi="Times New Roman"/>
              </w:rPr>
              <w:t>ov</w:t>
            </w:r>
            <w:r w:rsidRPr="00633E7E">
              <w:rPr>
                <w:rFonts w:ascii="Times New Roman" w:hAnsi="Times New Roman"/>
              </w:rPr>
              <w:t>/deň</w:t>
            </w:r>
          </w:p>
        </w:tc>
      </w:tr>
    </w:tbl>
    <w:p w14:paraId="4B8CF233" w14:textId="77777777" w:rsidR="00961A27" w:rsidRPr="00633E7E" w:rsidRDefault="00961A27" w:rsidP="00961A27">
      <w:pPr>
        <w:widowControl w:val="0"/>
        <w:autoSpaceDE w:val="0"/>
        <w:autoSpaceDN w:val="0"/>
        <w:adjustRightInd w:val="0"/>
        <w:spacing w:after="0" w:line="240" w:lineRule="auto"/>
        <w:ind w:right="59"/>
        <w:jc w:val="both"/>
        <w:rPr>
          <w:rFonts w:ascii="Times New Roman" w:hAnsi="Times New Roman"/>
          <w:spacing w:val="2"/>
        </w:rPr>
      </w:pPr>
    </w:p>
    <w:p w14:paraId="79346AC3" w14:textId="677EAC0E" w:rsidR="00961A27" w:rsidRPr="00633E7E" w:rsidRDefault="00961A27" w:rsidP="00961A27">
      <w:pPr>
        <w:widowControl w:val="0"/>
        <w:autoSpaceDE w:val="0"/>
        <w:autoSpaceDN w:val="0"/>
        <w:adjustRightInd w:val="0"/>
        <w:spacing w:after="0" w:line="240" w:lineRule="auto"/>
        <w:ind w:right="59"/>
        <w:rPr>
          <w:rFonts w:ascii="Times New Roman" w:hAnsi="Times New Roman"/>
        </w:rPr>
      </w:pPr>
      <w:r w:rsidRPr="00633E7E">
        <w:rPr>
          <w:rFonts w:ascii="Times New Roman" w:hAnsi="Times New Roman"/>
        </w:rPr>
        <w:t xml:space="preserve">Dávka lieku ALFAMED sa </w:t>
      </w:r>
      <w:r w:rsidR="00B173F6">
        <w:rPr>
          <w:rFonts w:ascii="Times New Roman" w:hAnsi="Times New Roman"/>
        </w:rPr>
        <w:t>má</w:t>
      </w:r>
      <w:r w:rsidRPr="00633E7E">
        <w:rPr>
          <w:rFonts w:ascii="Times New Roman" w:hAnsi="Times New Roman"/>
        </w:rPr>
        <w:t xml:space="preserve"> </w:t>
      </w:r>
      <w:r w:rsidR="005D7DD0">
        <w:rPr>
          <w:rFonts w:ascii="Times New Roman" w:hAnsi="Times New Roman"/>
        </w:rPr>
        <w:t>následne</w:t>
      </w:r>
      <w:r w:rsidR="005D7DD0" w:rsidRPr="00633E7E">
        <w:rPr>
          <w:rFonts w:ascii="Times New Roman" w:hAnsi="Times New Roman"/>
        </w:rPr>
        <w:t xml:space="preserve"> </w:t>
      </w:r>
      <w:r w:rsidRPr="00633E7E">
        <w:rPr>
          <w:rFonts w:ascii="Times New Roman" w:hAnsi="Times New Roman"/>
        </w:rPr>
        <w:t xml:space="preserve">upraviť podľa biochemickej odpovede, aby sa zabránilo hyperkalciémii. Medzi indikátory odpovede patria plazmatické hladiny vápnika (ideálne korigované </w:t>
      </w:r>
      <w:r w:rsidR="005D7DD0">
        <w:rPr>
          <w:rFonts w:ascii="Times New Roman" w:hAnsi="Times New Roman"/>
        </w:rPr>
        <w:t>o</w:t>
      </w:r>
      <w:r w:rsidR="0091099D">
        <w:rPr>
          <w:rFonts w:ascii="Times New Roman" w:hAnsi="Times New Roman"/>
        </w:rPr>
        <w:t> </w:t>
      </w:r>
      <w:r w:rsidRPr="00633E7E">
        <w:rPr>
          <w:rFonts w:ascii="Times New Roman" w:hAnsi="Times New Roman"/>
        </w:rPr>
        <w:t xml:space="preserve">väzbu na proteíny), </w:t>
      </w:r>
      <w:r w:rsidR="005D7DD0" w:rsidRPr="00633E7E">
        <w:rPr>
          <w:rFonts w:ascii="Times New Roman" w:hAnsi="Times New Roman"/>
        </w:rPr>
        <w:t>alkalick</w:t>
      </w:r>
      <w:r w:rsidR="005D7DD0">
        <w:rPr>
          <w:rFonts w:ascii="Times New Roman" w:hAnsi="Times New Roman"/>
        </w:rPr>
        <w:t>ej</w:t>
      </w:r>
      <w:r w:rsidR="005D7DD0" w:rsidRPr="00633E7E">
        <w:rPr>
          <w:rFonts w:ascii="Times New Roman" w:hAnsi="Times New Roman"/>
        </w:rPr>
        <w:t xml:space="preserve"> </w:t>
      </w:r>
      <w:proofErr w:type="spellStart"/>
      <w:r w:rsidR="005D7DD0" w:rsidRPr="00633E7E">
        <w:rPr>
          <w:rFonts w:ascii="Times New Roman" w:hAnsi="Times New Roman"/>
        </w:rPr>
        <w:t>fosfat</w:t>
      </w:r>
      <w:r w:rsidR="005D7DD0">
        <w:rPr>
          <w:rFonts w:ascii="Times New Roman" w:hAnsi="Times New Roman"/>
        </w:rPr>
        <w:t>ázy</w:t>
      </w:r>
      <w:proofErr w:type="spellEnd"/>
      <w:r w:rsidRPr="00633E7E">
        <w:rPr>
          <w:rFonts w:ascii="Times New Roman" w:hAnsi="Times New Roman"/>
        </w:rPr>
        <w:t xml:space="preserve">, </w:t>
      </w:r>
      <w:r w:rsidR="005D7DD0">
        <w:rPr>
          <w:rFonts w:ascii="Times New Roman" w:hAnsi="Times New Roman"/>
        </w:rPr>
        <w:t xml:space="preserve">fosfátu, súčinu hladiny </w:t>
      </w:r>
      <w:r w:rsidRPr="00633E7E">
        <w:rPr>
          <w:rFonts w:ascii="Times New Roman" w:hAnsi="Times New Roman"/>
        </w:rPr>
        <w:t>fosfát</w:t>
      </w:r>
      <w:r w:rsidR="005D7DD0">
        <w:rPr>
          <w:rFonts w:ascii="Times New Roman" w:hAnsi="Times New Roman"/>
        </w:rPr>
        <w:t>u a vápnika</w:t>
      </w:r>
      <w:r w:rsidRPr="00633E7E">
        <w:rPr>
          <w:rFonts w:ascii="Times New Roman" w:hAnsi="Times New Roman"/>
        </w:rPr>
        <w:t xml:space="preserve">, </w:t>
      </w:r>
      <w:proofErr w:type="spellStart"/>
      <w:r w:rsidRPr="00633E7E">
        <w:rPr>
          <w:rFonts w:ascii="Times New Roman" w:hAnsi="Times New Roman"/>
        </w:rPr>
        <w:t>parat</w:t>
      </w:r>
      <w:r w:rsidR="005D7DD0">
        <w:rPr>
          <w:rFonts w:ascii="Times New Roman" w:hAnsi="Times New Roman"/>
        </w:rPr>
        <w:t>hormónu</w:t>
      </w:r>
      <w:proofErr w:type="spellEnd"/>
      <w:r w:rsidRPr="00633E7E">
        <w:rPr>
          <w:rFonts w:ascii="Times New Roman" w:hAnsi="Times New Roman"/>
        </w:rPr>
        <w:t>, ako aj</w:t>
      </w:r>
      <w:r w:rsidR="005D7DD0">
        <w:rPr>
          <w:rFonts w:ascii="Times New Roman" w:hAnsi="Times New Roman"/>
        </w:rPr>
        <w:t xml:space="preserve"> </w:t>
      </w:r>
      <w:r w:rsidR="008940F9" w:rsidRPr="008940F9">
        <w:rPr>
          <w:rFonts w:ascii="Times New Roman" w:hAnsi="Times New Roman"/>
        </w:rPr>
        <w:t>röntgenové</w:t>
      </w:r>
      <w:r w:rsidR="005D7DD0" w:rsidRPr="00633E7E">
        <w:rPr>
          <w:rFonts w:ascii="Times New Roman" w:hAnsi="Times New Roman"/>
        </w:rPr>
        <w:t xml:space="preserve"> </w:t>
      </w:r>
      <w:r w:rsidRPr="00633E7E">
        <w:rPr>
          <w:rFonts w:ascii="Times New Roman" w:hAnsi="Times New Roman"/>
        </w:rPr>
        <w:t>a histologické vyšetrenia.</w:t>
      </w:r>
    </w:p>
    <w:p w14:paraId="6AF0ABA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DF72155" w14:textId="6FE3935D" w:rsidR="00961A27" w:rsidRPr="00633E7E" w:rsidRDefault="00961A27" w:rsidP="00961A27">
      <w:pPr>
        <w:widowControl w:val="0"/>
        <w:autoSpaceDE w:val="0"/>
        <w:autoSpaceDN w:val="0"/>
        <w:adjustRightInd w:val="0"/>
        <w:spacing w:after="0" w:line="240" w:lineRule="auto"/>
        <w:ind w:right="57"/>
        <w:rPr>
          <w:rFonts w:ascii="Times New Roman" w:hAnsi="Times New Roman"/>
        </w:rPr>
      </w:pPr>
      <w:r w:rsidRPr="00633E7E">
        <w:rPr>
          <w:rFonts w:ascii="Times New Roman" w:hAnsi="Times New Roman"/>
        </w:rPr>
        <w:t xml:space="preserve">Na začiatku sa </w:t>
      </w:r>
      <w:r w:rsidR="00B173F6">
        <w:rPr>
          <w:rFonts w:ascii="Times New Roman" w:hAnsi="Times New Roman"/>
        </w:rPr>
        <w:t xml:space="preserve">majú </w:t>
      </w:r>
      <w:r w:rsidRPr="00633E7E">
        <w:rPr>
          <w:rFonts w:ascii="Times New Roman" w:hAnsi="Times New Roman"/>
        </w:rPr>
        <w:t xml:space="preserve">plazmatické hladiny merať v týždenných intervaloch. Denná dávka lieku ALFAMED sa môže zvýšiť o prírastky 0,25 - 0,5 </w:t>
      </w:r>
      <w:r w:rsidR="00BC63E3" w:rsidRPr="00633E7E">
        <w:rPr>
          <w:rFonts w:ascii="Times New Roman" w:hAnsi="Times New Roman"/>
        </w:rPr>
        <w:t>mikrogram</w:t>
      </w:r>
      <w:r w:rsidR="00BC63E3">
        <w:rPr>
          <w:rFonts w:ascii="Times New Roman" w:hAnsi="Times New Roman"/>
        </w:rPr>
        <w:t>ov</w:t>
      </w:r>
      <w:r w:rsidRPr="00633E7E">
        <w:rPr>
          <w:rFonts w:ascii="Times New Roman" w:hAnsi="Times New Roman"/>
        </w:rPr>
        <w:t>. Po stanovení dávky sa majú každé 2 až 4 týždne vykonať vyšetrenia plazmatických hladín vápnika, fosforu a kreatinínu.</w:t>
      </w:r>
    </w:p>
    <w:p w14:paraId="7CC67BBD"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585F4E6" w14:textId="020C716E" w:rsidR="00961A27" w:rsidRPr="00633E7E" w:rsidRDefault="00961A27" w:rsidP="00961A27">
      <w:pPr>
        <w:widowControl w:val="0"/>
        <w:autoSpaceDE w:val="0"/>
        <w:autoSpaceDN w:val="0"/>
        <w:adjustRightInd w:val="0"/>
        <w:spacing w:after="0" w:line="240" w:lineRule="auto"/>
        <w:ind w:right="55"/>
        <w:rPr>
          <w:rFonts w:ascii="Times New Roman" w:hAnsi="Times New Roman"/>
        </w:rPr>
      </w:pPr>
      <w:r w:rsidRPr="00633E7E">
        <w:rPr>
          <w:rFonts w:ascii="Times New Roman" w:hAnsi="Times New Roman"/>
        </w:rPr>
        <w:t>Ak sa vyskytnú biochemické alebo rádiografické dôkazy o hojení kostí (a u pacientov s hypoparatyreózou, keď sa dosiahli normálne hladiny vápnika v plazme), dávka sa zvyčajne znižuje. Udržiavacie dávky sú všeobecne v rozmedzí od 0,25 do 1 mikrogram</w:t>
      </w:r>
      <w:r w:rsidR="008D254C">
        <w:rPr>
          <w:rFonts w:ascii="Times New Roman" w:hAnsi="Times New Roman"/>
        </w:rPr>
        <w:t>u</w:t>
      </w:r>
      <w:r w:rsidRPr="00633E7E">
        <w:rPr>
          <w:rFonts w:ascii="Times New Roman" w:hAnsi="Times New Roman"/>
        </w:rPr>
        <w:t xml:space="preserve"> denne. Ak sa vyskytne hyperkalciémia, podávanie lieku ALFAMED sa má zastaviť, kým sa vápnik v plazme nevráti na normálnu hodnotu (približne 1 týždeň), a potom sa opäť začne s dávkou, ktorá je polovi</w:t>
      </w:r>
      <w:r w:rsidR="00C33B44">
        <w:rPr>
          <w:rFonts w:ascii="Times New Roman" w:hAnsi="Times New Roman"/>
        </w:rPr>
        <w:t>cou</w:t>
      </w:r>
      <w:r w:rsidRPr="00633E7E">
        <w:rPr>
          <w:rFonts w:ascii="Times New Roman" w:hAnsi="Times New Roman"/>
        </w:rPr>
        <w:t xml:space="preserve"> </w:t>
      </w:r>
      <w:r w:rsidR="00C33B44">
        <w:rPr>
          <w:rFonts w:ascii="Times New Roman" w:hAnsi="Times New Roman"/>
        </w:rPr>
        <w:t xml:space="preserve">poslednej podanej </w:t>
      </w:r>
      <w:r w:rsidRPr="00633E7E">
        <w:rPr>
          <w:rFonts w:ascii="Times New Roman" w:hAnsi="Times New Roman"/>
        </w:rPr>
        <w:t>dávk</w:t>
      </w:r>
      <w:r w:rsidR="00C33B44">
        <w:rPr>
          <w:rFonts w:ascii="Times New Roman" w:hAnsi="Times New Roman"/>
        </w:rPr>
        <w:t>y</w:t>
      </w:r>
      <w:r w:rsidRPr="00633E7E">
        <w:rPr>
          <w:rFonts w:ascii="Times New Roman" w:hAnsi="Times New Roman"/>
        </w:rPr>
        <w:t>.</w:t>
      </w:r>
    </w:p>
    <w:p w14:paraId="5F11037B" w14:textId="77777777" w:rsidR="00961A27" w:rsidRPr="00633E7E" w:rsidRDefault="00961A27" w:rsidP="00961A27">
      <w:pPr>
        <w:widowControl w:val="0"/>
        <w:autoSpaceDE w:val="0"/>
        <w:autoSpaceDN w:val="0"/>
        <w:adjustRightInd w:val="0"/>
        <w:spacing w:after="0" w:line="240" w:lineRule="auto"/>
        <w:ind w:right="55"/>
        <w:rPr>
          <w:rFonts w:ascii="Times New Roman" w:hAnsi="Times New Roman"/>
        </w:rPr>
      </w:pPr>
    </w:p>
    <w:p w14:paraId="2ABF5D0D" w14:textId="59D08F3B" w:rsidR="00961A27" w:rsidRPr="00633E7E" w:rsidRDefault="003F3FD9" w:rsidP="00961A27">
      <w:pPr>
        <w:widowControl w:val="0"/>
        <w:autoSpaceDE w:val="0"/>
        <w:autoSpaceDN w:val="0"/>
        <w:adjustRightInd w:val="0"/>
        <w:spacing w:after="0" w:line="240" w:lineRule="auto"/>
        <w:ind w:right="60"/>
        <w:rPr>
          <w:rFonts w:ascii="Times New Roman" w:hAnsi="Times New Roman"/>
        </w:rPr>
      </w:pPr>
      <w:r>
        <w:rPr>
          <w:rFonts w:ascii="Times New Roman" w:hAnsi="Times New Roman"/>
        </w:rPr>
        <w:t xml:space="preserve">Počiatočná dávka lieku ALFAMED je podobná u detí vo veku nad 4 roky, dospelých a starších osôb. </w:t>
      </w:r>
      <w:bookmarkStart w:id="2" w:name="_Hlk488138227"/>
      <w:r w:rsidR="00961A27" w:rsidRPr="00633E7E">
        <w:rPr>
          <w:rFonts w:ascii="Times New Roman" w:hAnsi="Times New Roman"/>
        </w:rPr>
        <w:t xml:space="preserve">Ďalšie </w:t>
      </w:r>
      <w:r w:rsidR="009C7FFA">
        <w:rPr>
          <w:rFonts w:ascii="Times New Roman" w:hAnsi="Times New Roman"/>
        </w:rPr>
        <w:t xml:space="preserve">liekové </w:t>
      </w:r>
      <w:r w:rsidR="00961A27" w:rsidRPr="00633E7E">
        <w:rPr>
          <w:rFonts w:ascii="Times New Roman" w:hAnsi="Times New Roman"/>
        </w:rPr>
        <w:t xml:space="preserve">formy sú dostupné pre </w:t>
      </w:r>
      <w:r>
        <w:rPr>
          <w:rFonts w:ascii="Times New Roman" w:hAnsi="Times New Roman"/>
        </w:rPr>
        <w:t xml:space="preserve">prípad, že treba podať </w:t>
      </w:r>
      <w:r w:rsidR="00961A27" w:rsidRPr="00633E7E">
        <w:rPr>
          <w:rFonts w:ascii="Times New Roman" w:hAnsi="Times New Roman"/>
        </w:rPr>
        <w:t>dávku nižšiu ako 0,25 mikrogram</w:t>
      </w:r>
      <w:r w:rsidR="00A901BE">
        <w:rPr>
          <w:rFonts w:ascii="Times New Roman" w:hAnsi="Times New Roman"/>
        </w:rPr>
        <w:t>ov</w:t>
      </w:r>
      <w:bookmarkEnd w:id="2"/>
      <w:r w:rsidR="00C018E7">
        <w:rPr>
          <w:rFonts w:ascii="Times New Roman" w:hAnsi="Times New Roman"/>
        </w:rPr>
        <w:t>.</w:t>
      </w:r>
    </w:p>
    <w:p w14:paraId="0A618D9F"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5B82D4B1" w14:textId="77777777" w:rsidR="00961A27" w:rsidRPr="00633E7E" w:rsidRDefault="00961A27" w:rsidP="00961A27">
      <w:pPr>
        <w:widowControl w:val="0"/>
        <w:autoSpaceDE w:val="0"/>
        <w:autoSpaceDN w:val="0"/>
        <w:adjustRightInd w:val="0"/>
        <w:spacing w:after="0" w:line="240" w:lineRule="auto"/>
        <w:ind w:right="5497"/>
        <w:jc w:val="both"/>
        <w:rPr>
          <w:rFonts w:ascii="Times New Roman" w:hAnsi="Times New Roman"/>
        </w:rPr>
      </w:pPr>
      <w:r w:rsidRPr="00633E7E">
        <w:rPr>
          <w:rFonts w:ascii="Times New Roman" w:hAnsi="Times New Roman"/>
          <w:b/>
          <w:bCs/>
        </w:rPr>
        <w:t>(a) Renálne ochorenie kostí:</w:t>
      </w:r>
    </w:p>
    <w:p w14:paraId="4526728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F0471EB" w14:textId="33428DD0" w:rsidR="00961A27" w:rsidRPr="00633E7E" w:rsidRDefault="00961A27" w:rsidP="00961A27">
      <w:pPr>
        <w:widowControl w:val="0"/>
        <w:autoSpaceDE w:val="0"/>
        <w:autoSpaceDN w:val="0"/>
        <w:adjustRightInd w:val="0"/>
        <w:spacing w:after="0" w:line="240" w:lineRule="auto"/>
        <w:ind w:right="58"/>
        <w:rPr>
          <w:rFonts w:ascii="Times New Roman" w:hAnsi="Times New Roman"/>
        </w:rPr>
      </w:pPr>
      <w:r w:rsidRPr="00633E7E">
        <w:rPr>
          <w:rFonts w:ascii="Times New Roman" w:hAnsi="Times New Roman"/>
        </w:rPr>
        <w:t xml:space="preserve">Pred liečbou a počas liečby liekom ALFAMED mäkké kapsuly </w:t>
      </w:r>
      <w:r w:rsidR="005D7DD0">
        <w:rPr>
          <w:rFonts w:ascii="Times New Roman" w:hAnsi="Times New Roman"/>
        </w:rPr>
        <w:t>je potrebné</w:t>
      </w:r>
      <w:r w:rsidR="005D7DD0" w:rsidRPr="00633E7E">
        <w:rPr>
          <w:rFonts w:ascii="Times New Roman" w:hAnsi="Times New Roman"/>
        </w:rPr>
        <w:t xml:space="preserve"> </w:t>
      </w:r>
      <w:r w:rsidR="005D7DD0">
        <w:rPr>
          <w:rFonts w:ascii="Times New Roman" w:hAnsi="Times New Roman"/>
        </w:rPr>
        <w:t>zvážiť</w:t>
      </w:r>
      <w:r w:rsidR="005D7DD0" w:rsidRPr="00633E7E">
        <w:rPr>
          <w:rFonts w:ascii="Times New Roman" w:hAnsi="Times New Roman"/>
        </w:rPr>
        <w:t xml:space="preserve"> </w:t>
      </w:r>
      <w:r w:rsidRPr="00633E7E">
        <w:rPr>
          <w:rFonts w:ascii="Times New Roman" w:hAnsi="Times New Roman"/>
        </w:rPr>
        <w:t xml:space="preserve">látky viažuce fosfát, aby sa zabránilo hyperfosfatémii. Zvlášť dôležité je vykonávanie častých meraní </w:t>
      </w:r>
      <w:r w:rsidR="00377904">
        <w:rPr>
          <w:rFonts w:ascii="Times New Roman" w:hAnsi="Times New Roman"/>
        </w:rPr>
        <w:t xml:space="preserve">hladiny </w:t>
      </w:r>
      <w:r w:rsidRPr="00633E7E">
        <w:rPr>
          <w:rFonts w:ascii="Times New Roman" w:hAnsi="Times New Roman"/>
        </w:rPr>
        <w:t xml:space="preserve">vápnika v plazme u pacientov s chronickým zlyhaním obličiek, pretože </w:t>
      </w:r>
      <w:proofErr w:type="spellStart"/>
      <w:r w:rsidRPr="00633E7E">
        <w:rPr>
          <w:rFonts w:ascii="Times New Roman" w:hAnsi="Times New Roman"/>
        </w:rPr>
        <w:t>dlhodobejšia</w:t>
      </w:r>
      <w:proofErr w:type="spellEnd"/>
      <w:r w:rsidRPr="00633E7E">
        <w:rPr>
          <w:rFonts w:ascii="Times New Roman" w:hAnsi="Times New Roman"/>
        </w:rPr>
        <w:t xml:space="preserve"> </w:t>
      </w:r>
      <w:proofErr w:type="spellStart"/>
      <w:r w:rsidRPr="00633E7E">
        <w:rPr>
          <w:rFonts w:ascii="Times New Roman" w:hAnsi="Times New Roman"/>
        </w:rPr>
        <w:t>hyperkalc</w:t>
      </w:r>
      <w:r w:rsidR="0090154F">
        <w:rPr>
          <w:rFonts w:ascii="Times New Roman" w:hAnsi="Times New Roman"/>
        </w:rPr>
        <w:t>i</w:t>
      </w:r>
      <w:r w:rsidRPr="00633E7E">
        <w:rPr>
          <w:rFonts w:ascii="Times New Roman" w:hAnsi="Times New Roman"/>
        </w:rPr>
        <w:t>émia</w:t>
      </w:r>
      <w:proofErr w:type="spellEnd"/>
      <w:r w:rsidRPr="00633E7E">
        <w:rPr>
          <w:rFonts w:ascii="Times New Roman" w:hAnsi="Times New Roman"/>
        </w:rPr>
        <w:t xml:space="preserve"> môže zhoršiť pokles renálnych funkcií.</w:t>
      </w:r>
    </w:p>
    <w:p w14:paraId="18932C26"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111774F" w14:textId="77777777" w:rsidR="00961A27" w:rsidRPr="00633E7E" w:rsidRDefault="00961A27" w:rsidP="00961A27">
      <w:pPr>
        <w:widowControl w:val="0"/>
        <w:autoSpaceDE w:val="0"/>
        <w:autoSpaceDN w:val="0"/>
        <w:adjustRightInd w:val="0"/>
        <w:spacing w:after="0" w:line="240" w:lineRule="auto"/>
        <w:ind w:right="5192"/>
        <w:jc w:val="both"/>
        <w:rPr>
          <w:rFonts w:ascii="Times New Roman" w:hAnsi="Times New Roman"/>
        </w:rPr>
      </w:pPr>
      <w:r w:rsidRPr="00633E7E">
        <w:rPr>
          <w:rFonts w:ascii="Times New Roman" w:hAnsi="Times New Roman"/>
          <w:b/>
          <w:bCs/>
        </w:rPr>
        <w:t>(b) Hyperparatyreóza:</w:t>
      </w:r>
    </w:p>
    <w:p w14:paraId="761AF2C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2E1B244" w14:textId="32683AA4" w:rsidR="00961A27" w:rsidRPr="00633E7E" w:rsidRDefault="00961A27" w:rsidP="00961A27">
      <w:pPr>
        <w:widowControl w:val="0"/>
        <w:autoSpaceDE w:val="0"/>
        <w:autoSpaceDN w:val="0"/>
        <w:adjustRightInd w:val="0"/>
        <w:spacing w:after="0" w:line="240" w:lineRule="auto"/>
        <w:ind w:right="56"/>
        <w:rPr>
          <w:rFonts w:ascii="Times New Roman" w:hAnsi="Times New Roman"/>
        </w:rPr>
      </w:pPr>
      <w:r w:rsidRPr="00633E7E">
        <w:rPr>
          <w:rFonts w:ascii="Times New Roman" w:hAnsi="Times New Roman"/>
        </w:rPr>
        <w:t>U pacientov s primárnou alebo terciárnou hyperparatyreózou, ktorí majú podstúpiť paratyreoidektómiu, predoperačná liečba liekom ALFAMED počas 2-3 týždňov nezhoršuje predoperačnú hyperkalciémiu. Aby sa znížila pooperačná hypokalciémia, podávanie lieku ALFAMED má pokračovať, kým hladiny alkalickej fosfatázy v plazme nedosiahnu normálnu úroveň alebo kým sa nevyskytne hyperkalc</w:t>
      </w:r>
      <w:r w:rsidR="0040493D">
        <w:rPr>
          <w:rFonts w:ascii="Times New Roman" w:hAnsi="Times New Roman"/>
        </w:rPr>
        <w:t>i</w:t>
      </w:r>
      <w:r w:rsidRPr="00633E7E">
        <w:rPr>
          <w:rFonts w:ascii="Times New Roman" w:hAnsi="Times New Roman"/>
        </w:rPr>
        <w:t>émia.</w:t>
      </w:r>
    </w:p>
    <w:p w14:paraId="27807DB2"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762E8D7" w14:textId="77777777" w:rsidR="00961A27" w:rsidRPr="00633E7E" w:rsidRDefault="00961A27" w:rsidP="00961A27">
      <w:pPr>
        <w:widowControl w:val="0"/>
        <w:autoSpaceDE w:val="0"/>
        <w:autoSpaceDN w:val="0"/>
        <w:adjustRightInd w:val="0"/>
        <w:spacing w:after="0" w:line="240" w:lineRule="auto"/>
        <w:ind w:right="5302"/>
        <w:jc w:val="both"/>
        <w:rPr>
          <w:rFonts w:ascii="Times New Roman" w:hAnsi="Times New Roman"/>
        </w:rPr>
      </w:pPr>
      <w:r w:rsidRPr="00633E7E">
        <w:rPr>
          <w:rFonts w:ascii="Times New Roman" w:hAnsi="Times New Roman"/>
          <w:b/>
          <w:bCs/>
        </w:rPr>
        <w:t>(c) Hypoparatyreóza:</w:t>
      </w:r>
    </w:p>
    <w:p w14:paraId="788B3C0C" w14:textId="77777777" w:rsidR="00961A27" w:rsidRPr="00633E7E" w:rsidRDefault="00961A27" w:rsidP="00961A27">
      <w:pPr>
        <w:widowControl w:val="0"/>
        <w:autoSpaceDE w:val="0"/>
        <w:autoSpaceDN w:val="0"/>
        <w:adjustRightInd w:val="0"/>
        <w:spacing w:after="0" w:line="240" w:lineRule="auto"/>
        <w:ind w:right="68"/>
        <w:jc w:val="both"/>
        <w:rPr>
          <w:rFonts w:ascii="Times New Roman" w:hAnsi="Times New Roman"/>
          <w:spacing w:val="-4"/>
        </w:rPr>
      </w:pPr>
    </w:p>
    <w:p w14:paraId="108B7E31" w14:textId="77777777" w:rsidR="00961A27" w:rsidRPr="00633E7E" w:rsidRDefault="00961A27" w:rsidP="00961A27">
      <w:pPr>
        <w:widowControl w:val="0"/>
        <w:autoSpaceDE w:val="0"/>
        <w:autoSpaceDN w:val="0"/>
        <w:adjustRightInd w:val="0"/>
        <w:spacing w:after="0" w:line="240" w:lineRule="auto"/>
        <w:ind w:right="58"/>
        <w:rPr>
          <w:rFonts w:ascii="Times New Roman" w:hAnsi="Times New Roman"/>
        </w:rPr>
      </w:pPr>
      <w:r w:rsidRPr="00633E7E">
        <w:rPr>
          <w:rFonts w:ascii="Times New Roman" w:hAnsi="Times New Roman"/>
        </w:rPr>
        <w:t>Závažná hypokalciémia sa rýchlejšie koriguje pomocou vyšších dávok lieku ALFAMED (napr. 3-5 mikrogramov) spolu s doplnkami vápnika.</w:t>
      </w:r>
    </w:p>
    <w:p w14:paraId="5274CB95"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5B2EC4B" w14:textId="639E6977" w:rsidR="00961A27" w:rsidRPr="00633E7E" w:rsidRDefault="00961A27" w:rsidP="00961A27">
      <w:pPr>
        <w:widowControl w:val="0"/>
        <w:autoSpaceDE w:val="0"/>
        <w:autoSpaceDN w:val="0"/>
        <w:adjustRightInd w:val="0"/>
        <w:spacing w:after="0" w:line="240" w:lineRule="auto"/>
        <w:ind w:right="1844"/>
        <w:jc w:val="both"/>
        <w:rPr>
          <w:rFonts w:ascii="Times New Roman" w:hAnsi="Times New Roman"/>
        </w:rPr>
      </w:pPr>
      <w:r w:rsidRPr="00633E7E">
        <w:rPr>
          <w:rFonts w:ascii="Times New Roman" w:hAnsi="Times New Roman"/>
          <w:b/>
          <w:bCs/>
        </w:rPr>
        <w:t xml:space="preserve">(d) </w:t>
      </w:r>
      <w:proofErr w:type="spellStart"/>
      <w:r w:rsidR="00ED2840">
        <w:rPr>
          <w:rFonts w:ascii="Times New Roman" w:hAnsi="Times New Roman"/>
          <w:b/>
          <w:bCs/>
        </w:rPr>
        <w:t>Pseudo</w:t>
      </w:r>
      <w:r w:rsidR="00ED2840" w:rsidRPr="00ED2840">
        <w:rPr>
          <w:rFonts w:ascii="Times New Roman" w:hAnsi="Times New Roman"/>
          <w:b/>
          <w:bCs/>
        </w:rPr>
        <w:t>deficientná</w:t>
      </w:r>
      <w:proofErr w:type="spellEnd"/>
      <w:r w:rsidR="00ED2840" w:rsidRPr="00ED2840">
        <w:rPr>
          <w:rFonts w:ascii="Times New Roman" w:hAnsi="Times New Roman"/>
          <w:b/>
          <w:bCs/>
        </w:rPr>
        <w:t xml:space="preserve"> </w:t>
      </w:r>
      <w:r w:rsidR="00ED2840">
        <w:rPr>
          <w:rFonts w:ascii="Times New Roman" w:hAnsi="Times New Roman"/>
          <w:b/>
          <w:bCs/>
        </w:rPr>
        <w:t>r</w:t>
      </w:r>
      <w:r w:rsidRPr="00633E7E">
        <w:rPr>
          <w:rFonts w:ascii="Times New Roman" w:hAnsi="Times New Roman"/>
          <w:b/>
          <w:bCs/>
        </w:rPr>
        <w:t xml:space="preserve">achitída </w:t>
      </w:r>
      <w:r w:rsidR="0040493D" w:rsidRPr="00633E7E">
        <w:rPr>
          <w:rFonts w:ascii="Times New Roman" w:hAnsi="Times New Roman"/>
          <w:b/>
          <w:bCs/>
        </w:rPr>
        <w:t xml:space="preserve">a </w:t>
      </w:r>
      <w:proofErr w:type="spellStart"/>
      <w:r w:rsidR="0040493D" w:rsidRPr="00633E7E">
        <w:rPr>
          <w:rFonts w:ascii="Times New Roman" w:hAnsi="Times New Roman"/>
          <w:b/>
          <w:bCs/>
        </w:rPr>
        <w:t>osteomalácia</w:t>
      </w:r>
      <w:proofErr w:type="spellEnd"/>
      <w:r w:rsidR="0040493D" w:rsidRPr="00633E7E">
        <w:rPr>
          <w:rFonts w:ascii="Times New Roman" w:hAnsi="Times New Roman"/>
          <w:b/>
          <w:bCs/>
        </w:rPr>
        <w:t xml:space="preserve"> </w:t>
      </w:r>
      <w:r w:rsidRPr="00633E7E">
        <w:rPr>
          <w:rFonts w:ascii="Times New Roman" w:hAnsi="Times New Roman"/>
          <w:b/>
          <w:bCs/>
        </w:rPr>
        <w:t>závislá od vitamínu D:</w:t>
      </w:r>
    </w:p>
    <w:p w14:paraId="1C1FD8EF"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CD1FA94" w14:textId="1D1B81B7" w:rsidR="00961A27" w:rsidRPr="00633E7E" w:rsidRDefault="00961A27" w:rsidP="00961A27">
      <w:pPr>
        <w:widowControl w:val="0"/>
        <w:autoSpaceDE w:val="0"/>
        <w:autoSpaceDN w:val="0"/>
        <w:adjustRightInd w:val="0"/>
        <w:spacing w:after="0" w:line="240" w:lineRule="auto"/>
        <w:ind w:right="60"/>
        <w:rPr>
          <w:rFonts w:ascii="Times New Roman" w:hAnsi="Times New Roman"/>
        </w:rPr>
      </w:pPr>
      <w:r w:rsidRPr="00633E7E">
        <w:rPr>
          <w:rFonts w:ascii="Times New Roman" w:hAnsi="Times New Roman"/>
        </w:rPr>
        <w:t>Na liečbu sa odporúča 0,5 až 2,0</w:t>
      </w:r>
      <w:r w:rsidR="00ED2840">
        <w:rPr>
          <w:rFonts w:ascii="Times New Roman" w:hAnsi="Times New Roman"/>
        </w:rPr>
        <w:t xml:space="preserve"> </w:t>
      </w:r>
      <w:proofErr w:type="spellStart"/>
      <w:r w:rsidR="00ED2840">
        <w:rPr>
          <w:rFonts w:ascii="Times New Roman" w:hAnsi="Times New Roman"/>
        </w:rPr>
        <w:t>mikrogramov</w:t>
      </w:r>
      <w:proofErr w:type="spellEnd"/>
      <w:r w:rsidRPr="00633E7E">
        <w:rPr>
          <w:rFonts w:ascii="Times New Roman" w:hAnsi="Times New Roman"/>
        </w:rPr>
        <w:t>. Alfakalcidol má byť súčasťou liečby zahŕňajúcej vitamín D, 25</w:t>
      </w:r>
      <w:r w:rsidR="00ED2840">
        <w:rPr>
          <w:rFonts w:ascii="Times New Roman" w:hAnsi="Times New Roman"/>
        </w:rPr>
        <w:t>(</w:t>
      </w:r>
      <w:r w:rsidRPr="00633E7E">
        <w:rPr>
          <w:rFonts w:ascii="Times New Roman" w:hAnsi="Times New Roman"/>
        </w:rPr>
        <w:t>OH</w:t>
      </w:r>
      <w:r w:rsidR="00ED2840">
        <w:rPr>
          <w:rFonts w:ascii="Times New Roman" w:hAnsi="Times New Roman"/>
        </w:rPr>
        <w:t>)</w:t>
      </w:r>
      <w:r w:rsidRPr="00633E7E">
        <w:rPr>
          <w:rFonts w:ascii="Times New Roman" w:hAnsi="Times New Roman"/>
        </w:rPr>
        <w:t xml:space="preserve"> vitamín D a 1α(OH) vitamín D</w:t>
      </w:r>
      <w:r w:rsidR="00ED2840">
        <w:rPr>
          <w:rFonts w:ascii="Times New Roman" w:hAnsi="Times New Roman"/>
        </w:rPr>
        <w:t>.</w:t>
      </w:r>
    </w:p>
    <w:p w14:paraId="6E86CA9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417FAD8" w14:textId="77777777" w:rsidR="00961A27" w:rsidRPr="00633E7E" w:rsidRDefault="00961A27" w:rsidP="00961A27">
      <w:pPr>
        <w:widowControl w:val="0"/>
        <w:autoSpaceDE w:val="0"/>
        <w:autoSpaceDN w:val="0"/>
        <w:adjustRightInd w:val="0"/>
        <w:spacing w:after="0" w:line="240" w:lineRule="auto"/>
        <w:ind w:right="1105"/>
        <w:jc w:val="both"/>
        <w:rPr>
          <w:rFonts w:ascii="Times New Roman" w:hAnsi="Times New Roman"/>
        </w:rPr>
      </w:pPr>
      <w:r w:rsidRPr="00633E7E">
        <w:rPr>
          <w:rFonts w:ascii="Times New Roman" w:hAnsi="Times New Roman"/>
          <w:b/>
          <w:bCs/>
        </w:rPr>
        <w:t xml:space="preserve">(e) Hypofosfatemická rachitída </w:t>
      </w:r>
      <w:r w:rsidR="0040493D" w:rsidRPr="00633E7E">
        <w:rPr>
          <w:rFonts w:ascii="Times New Roman" w:hAnsi="Times New Roman"/>
          <w:b/>
          <w:bCs/>
        </w:rPr>
        <w:t xml:space="preserve">a osteomalácia </w:t>
      </w:r>
      <w:r w:rsidRPr="00633E7E">
        <w:rPr>
          <w:rFonts w:ascii="Times New Roman" w:hAnsi="Times New Roman"/>
          <w:b/>
          <w:bCs/>
        </w:rPr>
        <w:t xml:space="preserve">rezistentná </w:t>
      </w:r>
      <w:r w:rsidR="0040493D">
        <w:rPr>
          <w:rFonts w:ascii="Times New Roman" w:hAnsi="Times New Roman"/>
          <w:b/>
          <w:bCs/>
        </w:rPr>
        <w:t>na</w:t>
      </w:r>
      <w:r w:rsidRPr="00633E7E">
        <w:rPr>
          <w:rFonts w:ascii="Times New Roman" w:hAnsi="Times New Roman"/>
          <w:b/>
          <w:bCs/>
        </w:rPr>
        <w:t xml:space="preserve"> vitamín D:</w:t>
      </w:r>
    </w:p>
    <w:p w14:paraId="66FF1C9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3F8AAD0" w14:textId="184DB8B8" w:rsidR="00961A27" w:rsidRPr="00633E7E" w:rsidRDefault="00961A27" w:rsidP="00961A27">
      <w:pPr>
        <w:widowControl w:val="0"/>
        <w:autoSpaceDE w:val="0"/>
        <w:autoSpaceDN w:val="0"/>
        <w:adjustRightInd w:val="0"/>
        <w:spacing w:after="0" w:line="240" w:lineRule="auto"/>
        <w:ind w:right="60"/>
        <w:rPr>
          <w:rFonts w:ascii="Times New Roman" w:hAnsi="Times New Roman"/>
        </w:rPr>
      </w:pPr>
      <w:r w:rsidRPr="00633E7E">
        <w:rPr>
          <w:rFonts w:ascii="Times New Roman" w:hAnsi="Times New Roman"/>
        </w:rPr>
        <w:t>Ani veľké dávky materského vitamínu D</w:t>
      </w:r>
      <w:r w:rsidR="007944EC">
        <w:rPr>
          <w:rFonts w:ascii="Times New Roman" w:hAnsi="Times New Roman"/>
        </w:rPr>
        <w:t>,</w:t>
      </w:r>
      <w:r w:rsidRPr="00633E7E">
        <w:rPr>
          <w:rFonts w:ascii="Times New Roman" w:hAnsi="Times New Roman"/>
        </w:rPr>
        <w:t xml:space="preserve"> ani fosfátové doplnky nie sú úplne uspokojivé. Liečba liekom </w:t>
      </w:r>
      <w:r w:rsidR="00ED2840">
        <w:rPr>
          <w:rFonts w:ascii="Times New Roman" w:hAnsi="Times New Roman"/>
        </w:rPr>
        <w:t>ALFAMED</w:t>
      </w:r>
      <w:r w:rsidRPr="00633E7E">
        <w:rPr>
          <w:rFonts w:ascii="Times New Roman" w:hAnsi="Times New Roman"/>
        </w:rPr>
        <w:t xml:space="preserve"> (1 až 3 </w:t>
      </w:r>
      <w:proofErr w:type="spellStart"/>
      <w:r w:rsidR="00ED2840">
        <w:rPr>
          <w:rFonts w:ascii="Times New Roman" w:hAnsi="Times New Roman"/>
        </w:rPr>
        <w:t>mikrogram</w:t>
      </w:r>
      <w:r w:rsidR="007944EC">
        <w:rPr>
          <w:rFonts w:ascii="Times New Roman" w:hAnsi="Times New Roman"/>
        </w:rPr>
        <w:t>y</w:t>
      </w:r>
      <w:proofErr w:type="spellEnd"/>
      <w:r w:rsidRPr="00633E7E">
        <w:rPr>
          <w:rFonts w:ascii="Times New Roman" w:hAnsi="Times New Roman"/>
        </w:rPr>
        <w:t xml:space="preserve">/deň) rýchlo zmierňuje </w:t>
      </w:r>
      <w:proofErr w:type="spellStart"/>
      <w:r w:rsidRPr="00633E7E">
        <w:rPr>
          <w:rFonts w:ascii="Times New Roman" w:hAnsi="Times New Roman"/>
        </w:rPr>
        <w:t>myopatiu</w:t>
      </w:r>
      <w:proofErr w:type="spellEnd"/>
      <w:r w:rsidRPr="00633E7E">
        <w:rPr>
          <w:rFonts w:ascii="Times New Roman" w:hAnsi="Times New Roman"/>
        </w:rPr>
        <w:t>, keď je prítomná, a zvyšuje retenciu vápnika a fosfátu. U niektorých pacientov môže byť potrebné aj podávanie doplnkov s fosfátom.</w:t>
      </w:r>
    </w:p>
    <w:p w14:paraId="55BDE539" w14:textId="77777777" w:rsidR="00961A27" w:rsidRPr="00633E7E" w:rsidRDefault="00961A27" w:rsidP="00961A27">
      <w:pPr>
        <w:widowControl w:val="0"/>
        <w:autoSpaceDE w:val="0"/>
        <w:autoSpaceDN w:val="0"/>
        <w:adjustRightInd w:val="0"/>
        <w:spacing w:after="0" w:line="240" w:lineRule="auto"/>
        <w:ind w:right="60"/>
        <w:rPr>
          <w:rFonts w:ascii="Times New Roman" w:hAnsi="Times New Roman"/>
        </w:rPr>
      </w:pPr>
    </w:p>
    <w:p w14:paraId="710F989E" w14:textId="77777777" w:rsidR="00961A27" w:rsidRPr="00633E7E" w:rsidRDefault="00961A27" w:rsidP="00961A27">
      <w:pPr>
        <w:widowControl w:val="0"/>
        <w:tabs>
          <w:tab w:val="left" w:pos="820"/>
        </w:tabs>
        <w:autoSpaceDE w:val="0"/>
        <w:autoSpaceDN w:val="0"/>
        <w:adjustRightInd w:val="0"/>
        <w:spacing w:after="0" w:line="240" w:lineRule="auto"/>
        <w:ind w:right="-20"/>
        <w:rPr>
          <w:rFonts w:ascii="Times New Roman" w:hAnsi="Times New Roman"/>
          <w:color w:val="000000"/>
          <w:u w:val="single"/>
          <w:shd w:val="clear" w:color="auto" w:fill="FFFFFF"/>
        </w:rPr>
      </w:pPr>
      <w:r w:rsidRPr="00633E7E">
        <w:rPr>
          <w:rFonts w:ascii="Times New Roman" w:hAnsi="Times New Roman"/>
          <w:color w:val="000000"/>
          <w:u w:val="single"/>
          <w:shd w:val="clear" w:color="auto" w:fill="FFFFFF"/>
        </w:rPr>
        <w:t>Spôsob podávania</w:t>
      </w:r>
    </w:p>
    <w:p w14:paraId="7E5EC83A" w14:textId="77777777" w:rsidR="00961A27" w:rsidRPr="00633E7E" w:rsidRDefault="00961A27" w:rsidP="00961A27">
      <w:pPr>
        <w:pStyle w:val="Normlnywebov"/>
        <w:shd w:val="clear" w:color="auto" w:fill="FFFFFF"/>
        <w:spacing w:before="0" w:beforeAutospacing="0" w:after="0" w:afterAutospacing="0"/>
        <w:rPr>
          <w:sz w:val="22"/>
          <w:szCs w:val="22"/>
        </w:rPr>
      </w:pPr>
      <w:r w:rsidRPr="00633E7E">
        <w:rPr>
          <w:sz w:val="22"/>
          <w:szCs w:val="22"/>
        </w:rPr>
        <w:t>Perorálne.</w:t>
      </w:r>
    </w:p>
    <w:p w14:paraId="15344964"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11F03F99"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4.3</w:t>
      </w:r>
      <w:r w:rsidRPr="00633E7E">
        <w:rPr>
          <w:rFonts w:ascii="Times New Roman" w:hAnsi="Times New Roman"/>
          <w:b/>
          <w:bCs/>
        </w:rPr>
        <w:tab/>
        <w:t>Kontraindikácie</w:t>
      </w:r>
    </w:p>
    <w:p w14:paraId="48C481E2"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35B7A8DF" w14:textId="78B42B21" w:rsidR="00961A27" w:rsidRPr="00B41065" w:rsidRDefault="00961A27" w:rsidP="00961A27">
      <w:pPr>
        <w:widowControl w:val="0"/>
        <w:autoSpaceDE w:val="0"/>
        <w:autoSpaceDN w:val="0"/>
        <w:adjustRightInd w:val="0"/>
        <w:spacing w:after="0" w:line="240" w:lineRule="auto"/>
        <w:ind w:right="4081"/>
        <w:jc w:val="both"/>
        <w:rPr>
          <w:rFonts w:ascii="Times New Roman" w:hAnsi="Times New Roman"/>
        </w:rPr>
      </w:pPr>
      <w:bookmarkStart w:id="3" w:name="OLE_LINK5"/>
      <w:bookmarkStart w:id="4" w:name="OLE_LINK6"/>
      <w:proofErr w:type="spellStart"/>
      <w:r w:rsidRPr="00B41065">
        <w:rPr>
          <w:rFonts w:ascii="Times New Roman" w:hAnsi="Times New Roman"/>
        </w:rPr>
        <w:t>Hyperkalciémia</w:t>
      </w:r>
      <w:proofErr w:type="spellEnd"/>
      <w:r w:rsidR="00ED7CF2">
        <w:rPr>
          <w:rFonts w:ascii="Times New Roman" w:hAnsi="Times New Roman"/>
        </w:rPr>
        <w:t>.</w:t>
      </w:r>
      <w:r w:rsidRPr="00B41065">
        <w:rPr>
          <w:rFonts w:ascii="Times New Roman" w:hAnsi="Times New Roman"/>
        </w:rPr>
        <w:t xml:space="preserve"> </w:t>
      </w:r>
    </w:p>
    <w:bookmarkEnd w:id="3"/>
    <w:bookmarkEnd w:id="4"/>
    <w:p w14:paraId="75E77203" w14:textId="28F9F45B" w:rsidR="00961A27" w:rsidRDefault="00B41065" w:rsidP="00961A27">
      <w:pPr>
        <w:widowControl w:val="0"/>
        <w:autoSpaceDE w:val="0"/>
        <w:autoSpaceDN w:val="0"/>
        <w:adjustRightInd w:val="0"/>
        <w:spacing w:after="0" w:line="240" w:lineRule="auto"/>
        <w:rPr>
          <w:rFonts w:ascii="Times New Roman" w:hAnsi="Times New Roman"/>
        </w:rPr>
      </w:pPr>
      <w:r w:rsidRPr="00B41065">
        <w:rPr>
          <w:rFonts w:ascii="Times New Roman" w:hAnsi="Times New Roman"/>
        </w:rPr>
        <w:t xml:space="preserve">Precitlivenosť na </w:t>
      </w:r>
      <w:r>
        <w:rPr>
          <w:rFonts w:ascii="Times New Roman" w:hAnsi="Times New Roman"/>
        </w:rPr>
        <w:t>alfakalcidol, arašidový olej (podzemnicový olej)</w:t>
      </w:r>
      <w:r w:rsidRPr="00B41065">
        <w:rPr>
          <w:rFonts w:ascii="Times New Roman" w:hAnsi="Times New Roman"/>
        </w:rPr>
        <w:t xml:space="preserve"> alebo na ktorúkoľvek z pomocných látok uvedených v časti 6.1</w:t>
      </w:r>
      <w:r>
        <w:rPr>
          <w:rFonts w:ascii="Times New Roman" w:hAnsi="Times New Roman"/>
        </w:rPr>
        <w:t>.</w:t>
      </w:r>
    </w:p>
    <w:p w14:paraId="6A1DB741" w14:textId="77777777" w:rsidR="00B41065" w:rsidRPr="00633E7E" w:rsidRDefault="00B41065" w:rsidP="00961A27">
      <w:pPr>
        <w:widowControl w:val="0"/>
        <w:autoSpaceDE w:val="0"/>
        <w:autoSpaceDN w:val="0"/>
        <w:adjustRightInd w:val="0"/>
        <w:spacing w:after="0" w:line="240" w:lineRule="auto"/>
        <w:rPr>
          <w:rFonts w:ascii="Times New Roman" w:hAnsi="Times New Roman"/>
        </w:rPr>
      </w:pPr>
    </w:p>
    <w:p w14:paraId="4B0DC23E"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4.4</w:t>
      </w:r>
      <w:r w:rsidRPr="00633E7E">
        <w:rPr>
          <w:rFonts w:ascii="Times New Roman" w:hAnsi="Times New Roman"/>
          <w:b/>
          <w:bCs/>
        </w:rPr>
        <w:tab/>
        <w:t>Osobitné upozornenia a opatrenia pri používaní</w:t>
      </w:r>
    </w:p>
    <w:p w14:paraId="69E1A6C1" w14:textId="77777777" w:rsidR="00961A27" w:rsidRPr="00633E7E" w:rsidRDefault="00961A27" w:rsidP="00961A27">
      <w:pPr>
        <w:widowControl w:val="0"/>
        <w:autoSpaceDE w:val="0"/>
        <w:autoSpaceDN w:val="0"/>
        <w:adjustRightInd w:val="0"/>
        <w:spacing w:after="0" w:line="240" w:lineRule="auto"/>
        <w:ind w:right="3018"/>
        <w:jc w:val="both"/>
        <w:rPr>
          <w:rFonts w:ascii="Times New Roman" w:hAnsi="Times New Roman"/>
          <w:spacing w:val="-1"/>
        </w:rPr>
      </w:pPr>
    </w:p>
    <w:p w14:paraId="10C718FA" w14:textId="32E78B59" w:rsidR="00961A27" w:rsidRPr="00633E7E" w:rsidRDefault="00961A27" w:rsidP="00961A27">
      <w:pPr>
        <w:widowControl w:val="0"/>
        <w:autoSpaceDE w:val="0"/>
        <w:autoSpaceDN w:val="0"/>
        <w:adjustRightInd w:val="0"/>
        <w:spacing w:after="0" w:line="240" w:lineRule="auto"/>
        <w:ind w:right="910"/>
        <w:jc w:val="both"/>
        <w:rPr>
          <w:rFonts w:ascii="Times New Roman" w:hAnsi="Times New Roman"/>
          <w:spacing w:val="-1"/>
        </w:rPr>
      </w:pPr>
      <w:r w:rsidRPr="00633E7E">
        <w:rPr>
          <w:rFonts w:ascii="Times New Roman" w:hAnsi="Times New Roman"/>
        </w:rPr>
        <w:t xml:space="preserve">Počas liečby liekom ALFAMED </w:t>
      </w:r>
      <w:r w:rsidR="0040493D">
        <w:rPr>
          <w:rFonts w:ascii="Times New Roman" w:hAnsi="Times New Roman"/>
        </w:rPr>
        <w:t xml:space="preserve">sa musia pravidelne kontrolovať </w:t>
      </w:r>
      <w:r w:rsidRPr="00633E7E">
        <w:rPr>
          <w:rFonts w:ascii="Times New Roman" w:hAnsi="Times New Roman"/>
        </w:rPr>
        <w:t xml:space="preserve">hladiny vápnika a fosfátu v sére, </w:t>
      </w:r>
      <w:r w:rsidR="0040493D" w:rsidRPr="00ED7CF2">
        <w:rPr>
          <w:rFonts w:ascii="Times New Roman" w:hAnsi="Times New Roman"/>
        </w:rPr>
        <w:t>súčin hladiny vápnika a fosfátu</w:t>
      </w:r>
      <w:r w:rsidRPr="00633E7E">
        <w:rPr>
          <w:rFonts w:ascii="Times New Roman" w:hAnsi="Times New Roman"/>
        </w:rPr>
        <w:t xml:space="preserve"> a hladiny parathormónu (PTH), najmä u detí, u pacientov s poškodením funkcie obličiek a u pacientov, ktorí dostávajú vysoké dávky.</w:t>
      </w:r>
    </w:p>
    <w:p w14:paraId="4115E0A6" w14:textId="77777777" w:rsidR="00961A27" w:rsidRPr="00633E7E" w:rsidRDefault="00961A27" w:rsidP="00961A27">
      <w:pPr>
        <w:widowControl w:val="0"/>
        <w:autoSpaceDE w:val="0"/>
        <w:autoSpaceDN w:val="0"/>
        <w:adjustRightInd w:val="0"/>
        <w:spacing w:after="0" w:line="240" w:lineRule="auto"/>
        <w:ind w:right="3018"/>
        <w:jc w:val="both"/>
        <w:rPr>
          <w:rFonts w:ascii="Times New Roman" w:hAnsi="Times New Roman"/>
          <w:spacing w:val="-1"/>
        </w:rPr>
      </w:pPr>
    </w:p>
    <w:p w14:paraId="7F58121F" w14:textId="77777777" w:rsidR="00961A27" w:rsidRPr="00633E7E" w:rsidRDefault="00961A27" w:rsidP="00961A27">
      <w:pPr>
        <w:widowControl w:val="0"/>
        <w:autoSpaceDE w:val="0"/>
        <w:autoSpaceDN w:val="0"/>
        <w:adjustRightInd w:val="0"/>
        <w:spacing w:after="0" w:line="240" w:lineRule="auto"/>
        <w:ind w:right="3018"/>
        <w:jc w:val="both"/>
        <w:rPr>
          <w:rFonts w:ascii="Times New Roman" w:hAnsi="Times New Roman"/>
        </w:rPr>
      </w:pPr>
      <w:r w:rsidRPr="00633E7E">
        <w:rPr>
          <w:rFonts w:ascii="Times New Roman" w:hAnsi="Times New Roman"/>
        </w:rPr>
        <w:t xml:space="preserve">ALFAMED sa má </w:t>
      </w:r>
      <w:r w:rsidR="0040493D">
        <w:rPr>
          <w:rFonts w:ascii="Times New Roman" w:hAnsi="Times New Roman"/>
        </w:rPr>
        <w:t xml:space="preserve">s opatrnosťou </w:t>
      </w:r>
      <w:r w:rsidRPr="00633E7E">
        <w:rPr>
          <w:rFonts w:ascii="Times New Roman" w:hAnsi="Times New Roman"/>
        </w:rPr>
        <w:t>používať</w:t>
      </w:r>
      <w:r w:rsidR="002A5757">
        <w:rPr>
          <w:rFonts w:ascii="Times New Roman" w:hAnsi="Times New Roman"/>
        </w:rPr>
        <w:t xml:space="preserve"> </w:t>
      </w:r>
      <w:r w:rsidRPr="00633E7E">
        <w:rPr>
          <w:rFonts w:ascii="Times New Roman" w:hAnsi="Times New Roman"/>
        </w:rPr>
        <w:t>u:</w:t>
      </w:r>
    </w:p>
    <w:p w14:paraId="70BC3CF3" w14:textId="228A53A2" w:rsidR="00961A27" w:rsidRPr="00633E7E" w:rsidRDefault="00961A27" w:rsidP="00633E7E">
      <w:pPr>
        <w:widowControl w:val="0"/>
        <w:autoSpaceDE w:val="0"/>
        <w:autoSpaceDN w:val="0"/>
        <w:adjustRightInd w:val="0"/>
        <w:spacing w:after="0" w:line="240" w:lineRule="auto"/>
        <w:ind w:left="426" w:right="60" w:hanging="426"/>
        <w:rPr>
          <w:rFonts w:ascii="Times New Roman" w:hAnsi="Times New Roman"/>
        </w:rPr>
      </w:pPr>
      <w:r w:rsidRPr="00633E7E">
        <w:rPr>
          <w:rFonts w:ascii="Times New Roman" w:hAnsi="Times New Roman"/>
          <w:noProof/>
          <w:lang w:eastAsia="sk-SK"/>
        </w:rPr>
        <w:drawing>
          <wp:inline distT="0" distB="0" distL="0" distR="0" wp14:anchorId="272A436C" wp14:editId="1B6954B0">
            <wp:extent cx="1238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633E7E">
        <w:rPr>
          <w:rFonts w:ascii="Times New Roman" w:hAnsi="Times New Roman"/>
        </w:rPr>
        <w:t xml:space="preserve">pacientov liečených </w:t>
      </w:r>
      <w:proofErr w:type="spellStart"/>
      <w:r w:rsidRPr="00633E7E">
        <w:rPr>
          <w:rFonts w:ascii="Times New Roman" w:hAnsi="Times New Roman"/>
        </w:rPr>
        <w:t>kardioaktívnymi</w:t>
      </w:r>
      <w:proofErr w:type="spellEnd"/>
      <w:r w:rsidRPr="00633E7E">
        <w:rPr>
          <w:rFonts w:ascii="Times New Roman" w:hAnsi="Times New Roman"/>
        </w:rPr>
        <w:t xml:space="preserve"> </w:t>
      </w:r>
      <w:proofErr w:type="spellStart"/>
      <w:r w:rsidRPr="00633E7E">
        <w:rPr>
          <w:rFonts w:ascii="Times New Roman" w:hAnsi="Times New Roman"/>
        </w:rPr>
        <w:t>glykozidmi</w:t>
      </w:r>
      <w:proofErr w:type="spellEnd"/>
      <w:r w:rsidRPr="00633E7E">
        <w:rPr>
          <w:rFonts w:ascii="Times New Roman" w:hAnsi="Times New Roman"/>
        </w:rPr>
        <w:t xml:space="preserve"> alebo </w:t>
      </w:r>
      <w:proofErr w:type="spellStart"/>
      <w:r w:rsidRPr="00633E7E">
        <w:rPr>
          <w:rFonts w:ascii="Times New Roman" w:hAnsi="Times New Roman"/>
        </w:rPr>
        <w:t>digitalisom</w:t>
      </w:r>
      <w:proofErr w:type="spellEnd"/>
      <w:r w:rsidRPr="00633E7E">
        <w:rPr>
          <w:rFonts w:ascii="Times New Roman" w:hAnsi="Times New Roman"/>
        </w:rPr>
        <w:t xml:space="preserve">, pretože </w:t>
      </w:r>
      <w:proofErr w:type="spellStart"/>
      <w:r w:rsidRPr="00633E7E">
        <w:rPr>
          <w:rFonts w:ascii="Times New Roman" w:hAnsi="Times New Roman"/>
        </w:rPr>
        <w:t>hyperkalciémia</w:t>
      </w:r>
      <w:proofErr w:type="spellEnd"/>
      <w:r w:rsidRPr="00633E7E">
        <w:rPr>
          <w:rFonts w:ascii="Times New Roman" w:hAnsi="Times New Roman"/>
        </w:rPr>
        <w:t xml:space="preserve"> u</w:t>
      </w:r>
      <w:r w:rsidR="004C1CB1">
        <w:rPr>
          <w:rFonts w:ascii="Times New Roman" w:hAnsi="Times New Roman"/>
        </w:rPr>
        <w:t> </w:t>
      </w:r>
      <w:r w:rsidR="00633E7E">
        <w:rPr>
          <w:rFonts w:ascii="Times New Roman" w:hAnsi="Times New Roman"/>
        </w:rPr>
        <w:t>t</w:t>
      </w:r>
      <w:r w:rsidRPr="00633E7E">
        <w:rPr>
          <w:rFonts w:ascii="Times New Roman" w:hAnsi="Times New Roman"/>
        </w:rPr>
        <w:t>akýchto pacientov môže viesť k</w:t>
      </w:r>
      <w:r w:rsidR="0091099D">
        <w:rPr>
          <w:rFonts w:ascii="Times New Roman" w:hAnsi="Times New Roman"/>
        </w:rPr>
        <w:t> </w:t>
      </w:r>
      <w:proofErr w:type="spellStart"/>
      <w:r w:rsidRPr="00633E7E">
        <w:rPr>
          <w:rFonts w:ascii="Times New Roman" w:hAnsi="Times New Roman"/>
        </w:rPr>
        <w:t>arytmii</w:t>
      </w:r>
      <w:proofErr w:type="spellEnd"/>
      <w:r w:rsidR="0091099D">
        <w:rPr>
          <w:rFonts w:ascii="Times New Roman" w:hAnsi="Times New Roman"/>
        </w:rPr>
        <w:t>,</w:t>
      </w:r>
      <w:r w:rsidRPr="00633E7E">
        <w:rPr>
          <w:rFonts w:ascii="Times New Roman" w:hAnsi="Times New Roman"/>
        </w:rPr>
        <w:t xml:space="preserve">  </w:t>
      </w:r>
    </w:p>
    <w:p w14:paraId="007B22B4" w14:textId="2426AFE8" w:rsidR="00961A27" w:rsidRPr="00633E7E" w:rsidRDefault="00961A27" w:rsidP="00961A27">
      <w:pPr>
        <w:widowControl w:val="0"/>
        <w:autoSpaceDE w:val="0"/>
        <w:autoSpaceDN w:val="0"/>
        <w:adjustRightInd w:val="0"/>
        <w:spacing w:after="0" w:line="240" w:lineRule="auto"/>
        <w:ind w:right="4755"/>
        <w:jc w:val="both"/>
        <w:rPr>
          <w:rFonts w:ascii="Times New Roman" w:hAnsi="Times New Roman"/>
        </w:rPr>
      </w:pPr>
      <w:r w:rsidRPr="00633E7E">
        <w:rPr>
          <w:rFonts w:ascii="Times New Roman" w:hAnsi="Times New Roman"/>
          <w:noProof/>
          <w:lang w:eastAsia="sk-SK"/>
        </w:rPr>
        <w:drawing>
          <wp:inline distT="0" distB="0" distL="0" distR="0" wp14:anchorId="32E29E3C" wp14:editId="3ADD2369">
            <wp:extent cx="12382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633E7E">
        <w:rPr>
          <w:rFonts w:ascii="Times New Roman" w:hAnsi="Times New Roman"/>
        </w:rPr>
        <w:t>pacientov s</w:t>
      </w:r>
      <w:r w:rsidR="0091099D">
        <w:rPr>
          <w:rFonts w:ascii="Times New Roman" w:hAnsi="Times New Roman"/>
        </w:rPr>
        <w:t> </w:t>
      </w:r>
      <w:proofErr w:type="spellStart"/>
      <w:r w:rsidRPr="00633E7E">
        <w:rPr>
          <w:rFonts w:ascii="Times New Roman" w:hAnsi="Times New Roman"/>
        </w:rPr>
        <w:t>nefrolitiázou</w:t>
      </w:r>
      <w:proofErr w:type="spellEnd"/>
      <w:r w:rsidR="0091099D">
        <w:rPr>
          <w:rFonts w:ascii="Times New Roman" w:hAnsi="Times New Roman"/>
        </w:rPr>
        <w:t>.</w:t>
      </w:r>
    </w:p>
    <w:p w14:paraId="0EEF0093"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E1A23DD" w14:textId="77777777" w:rsidR="00961A27" w:rsidRPr="00633E7E" w:rsidRDefault="00961A27" w:rsidP="00961A27">
      <w:pPr>
        <w:widowControl w:val="0"/>
        <w:autoSpaceDE w:val="0"/>
        <w:autoSpaceDN w:val="0"/>
        <w:adjustRightInd w:val="0"/>
        <w:spacing w:after="0" w:line="240" w:lineRule="auto"/>
        <w:ind w:right="53"/>
        <w:jc w:val="both"/>
        <w:rPr>
          <w:rFonts w:ascii="Times New Roman" w:hAnsi="Times New Roman"/>
        </w:rPr>
      </w:pPr>
      <w:r w:rsidRPr="00633E7E">
        <w:rPr>
          <w:rFonts w:ascii="Times New Roman" w:hAnsi="Times New Roman"/>
        </w:rPr>
        <w:t>U pacientov liečených liekom ALFAMED sa môže objaviť hyperkalciémia, ktorej skoré príznaky sú nasledovné:</w:t>
      </w:r>
    </w:p>
    <w:p w14:paraId="5BDEB90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A6E2621" w14:textId="77777777" w:rsidR="00633E7E" w:rsidRPr="00633E7E" w:rsidRDefault="00633E7E" w:rsidP="00633E7E">
      <w:pPr>
        <w:pStyle w:val="Odsekzoznamu"/>
        <w:widowControl w:val="0"/>
        <w:numPr>
          <w:ilvl w:val="0"/>
          <w:numId w:val="5"/>
        </w:numPr>
        <w:autoSpaceDE w:val="0"/>
        <w:autoSpaceDN w:val="0"/>
        <w:adjustRightInd w:val="0"/>
        <w:spacing w:after="0" w:line="240" w:lineRule="auto"/>
        <w:ind w:left="426" w:right="6319" w:hanging="426"/>
        <w:rPr>
          <w:rFonts w:ascii="Times New Roman" w:hAnsi="Times New Roman"/>
        </w:rPr>
      </w:pPr>
      <w:r w:rsidRPr="00633E7E">
        <w:rPr>
          <w:rFonts w:ascii="Times New Roman" w:hAnsi="Times New Roman"/>
        </w:rPr>
        <w:t>polyúria,</w:t>
      </w:r>
    </w:p>
    <w:p w14:paraId="3EB983E0" w14:textId="77777777" w:rsidR="00961A27" w:rsidRPr="00633E7E" w:rsidRDefault="00633E7E" w:rsidP="00633E7E">
      <w:pPr>
        <w:pStyle w:val="Odsekzoznamu"/>
        <w:widowControl w:val="0"/>
        <w:numPr>
          <w:ilvl w:val="0"/>
          <w:numId w:val="5"/>
        </w:numPr>
        <w:autoSpaceDE w:val="0"/>
        <w:autoSpaceDN w:val="0"/>
        <w:adjustRightInd w:val="0"/>
        <w:spacing w:after="0" w:line="240" w:lineRule="auto"/>
        <w:ind w:left="426" w:right="6319" w:hanging="426"/>
        <w:rPr>
          <w:rFonts w:ascii="Times New Roman" w:hAnsi="Times New Roman"/>
        </w:rPr>
      </w:pPr>
      <w:r w:rsidRPr="00633E7E">
        <w:rPr>
          <w:rFonts w:ascii="Times New Roman" w:hAnsi="Times New Roman"/>
        </w:rPr>
        <w:t>polydipsia,</w:t>
      </w:r>
    </w:p>
    <w:p w14:paraId="6E04F194" w14:textId="77777777" w:rsidR="00633E7E" w:rsidRPr="00633E7E" w:rsidRDefault="00961A27" w:rsidP="00633E7E">
      <w:pPr>
        <w:pStyle w:val="Odsekzoznamu"/>
        <w:widowControl w:val="0"/>
        <w:numPr>
          <w:ilvl w:val="0"/>
          <w:numId w:val="5"/>
        </w:numPr>
        <w:autoSpaceDE w:val="0"/>
        <w:autoSpaceDN w:val="0"/>
        <w:adjustRightInd w:val="0"/>
        <w:spacing w:after="0" w:line="240" w:lineRule="auto"/>
        <w:ind w:left="426" w:right="3570" w:hanging="426"/>
        <w:rPr>
          <w:rFonts w:ascii="Times New Roman" w:hAnsi="Times New Roman"/>
        </w:rPr>
      </w:pPr>
      <w:r w:rsidRPr="00633E7E">
        <w:rPr>
          <w:rFonts w:ascii="Times New Roman" w:hAnsi="Times New Roman"/>
        </w:rPr>
        <w:t xml:space="preserve">slabosť, bolesť hlavy, nauzea, zápcha, </w:t>
      </w:r>
    </w:p>
    <w:p w14:paraId="4EB4A65D" w14:textId="77777777" w:rsidR="00961A27" w:rsidRPr="00633E7E" w:rsidRDefault="00961A27" w:rsidP="00633E7E">
      <w:pPr>
        <w:pStyle w:val="Odsekzoznamu"/>
        <w:widowControl w:val="0"/>
        <w:numPr>
          <w:ilvl w:val="0"/>
          <w:numId w:val="5"/>
        </w:numPr>
        <w:autoSpaceDE w:val="0"/>
        <w:autoSpaceDN w:val="0"/>
        <w:adjustRightInd w:val="0"/>
        <w:spacing w:after="0" w:line="240" w:lineRule="auto"/>
        <w:ind w:left="426" w:right="3570" w:hanging="426"/>
        <w:rPr>
          <w:rFonts w:ascii="Times New Roman" w:hAnsi="Times New Roman"/>
        </w:rPr>
      </w:pPr>
      <w:r w:rsidRPr="00633E7E">
        <w:rPr>
          <w:rFonts w:ascii="Times New Roman" w:hAnsi="Times New Roman"/>
        </w:rPr>
        <w:t>sucho v</w:t>
      </w:r>
      <w:r w:rsidR="00633E7E" w:rsidRPr="00633E7E">
        <w:rPr>
          <w:rFonts w:ascii="Times New Roman" w:hAnsi="Times New Roman"/>
        </w:rPr>
        <w:t> </w:t>
      </w:r>
      <w:r w:rsidRPr="00633E7E">
        <w:rPr>
          <w:rFonts w:ascii="Times New Roman" w:hAnsi="Times New Roman"/>
        </w:rPr>
        <w:t>ústach</w:t>
      </w:r>
      <w:r w:rsidR="00633E7E" w:rsidRPr="00633E7E">
        <w:rPr>
          <w:rFonts w:ascii="Times New Roman" w:hAnsi="Times New Roman"/>
        </w:rPr>
        <w:t>,</w:t>
      </w:r>
    </w:p>
    <w:p w14:paraId="035F1156" w14:textId="77777777" w:rsidR="00633E7E" w:rsidRPr="00633E7E" w:rsidRDefault="00961A27" w:rsidP="00633E7E">
      <w:pPr>
        <w:pStyle w:val="Odsekzoznamu"/>
        <w:widowControl w:val="0"/>
        <w:numPr>
          <w:ilvl w:val="0"/>
          <w:numId w:val="5"/>
        </w:numPr>
        <w:autoSpaceDE w:val="0"/>
        <w:autoSpaceDN w:val="0"/>
        <w:adjustRightInd w:val="0"/>
        <w:spacing w:after="0" w:line="240" w:lineRule="auto"/>
        <w:ind w:left="426" w:right="5322" w:hanging="426"/>
        <w:rPr>
          <w:rFonts w:ascii="Times New Roman" w:hAnsi="Times New Roman"/>
        </w:rPr>
      </w:pPr>
      <w:r w:rsidRPr="00633E7E">
        <w:rPr>
          <w:rFonts w:ascii="Times New Roman" w:hAnsi="Times New Roman"/>
        </w:rPr>
        <w:t xml:space="preserve">bolesti svalov a kostí, </w:t>
      </w:r>
    </w:p>
    <w:p w14:paraId="7128B1A8" w14:textId="77777777" w:rsidR="00961A27" w:rsidRPr="00633E7E" w:rsidRDefault="00961A27" w:rsidP="00633E7E">
      <w:pPr>
        <w:pStyle w:val="Odsekzoznamu"/>
        <w:widowControl w:val="0"/>
        <w:numPr>
          <w:ilvl w:val="0"/>
          <w:numId w:val="5"/>
        </w:numPr>
        <w:autoSpaceDE w:val="0"/>
        <w:autoSpaceDN w:val="0"/>
        <w:adjustRightInd w:val="0"/>
        <w:spacing w:after="0" w:line="240" w:lineRule="auto"/>
        <w:ind w:left="426" w:right="5322" w:hanging="426"/>
        <w:rPr>
          <w:rFonts w:ascii="Times New Roman" w:hAnsi="Times New Roman"/>
        </w:rPr>
      </w:pPr>
      <w:r w:rsidRPr="00633E7E">
        <w:rPr>
          <w:rFonts w:ascii="Times New Roman" w:hAnsi="Times New Roman"/>
        </w:rPr>
        <w:t>kovová chuť</w:t>
      </w:r>
      <w:r w:rsidR="00633E7E" w:rsidRPr="00633E7E">
        <w:rPr>
          <w:rFonts w:ascii="Times New Roman" w:hAnsi="Times New Roman"/>
        </w:rPr>
        <w:t>.</w:t>
      </w:r>
    </w:p>
    <w:p w14:paraId="41347AAF" w14:textId="77777777" w:rsidR="00961A27" w:rsidRPr="00633E7E" w:rsidRDefault="00961A27" w:rsidP="00961A27">
      <w:pPr>
        <w:widowControl w:val="0"/>
        <w:autoSpaceDE w:val="0"/>
        <w:autoSpaceDN w:val="0"/>
        <w:adjustRightInd w:val="0"/>
        <w:spacing w:after="0" w:line="240" w:lineRule="auto"/>
        <w:ind w:right="370"/>
        <w:rPr>
          <w:rFonts w:ascii="Times New Roman" w:hAnsi="Times New Roman"/>
        </w:rPr>
      </w:pPr>
    </w:p>
    <w:p w14:paraId="155360C5" w14:textId="0DD795C9" w:rsidR="00961A27" w:rsidRPr="00633E7E" w:rsidRDefault="00961A27" w:rsidP="00961A27">
      <w:pPr>
        <w:widowControl w:val="0"/>
        <w:autoSpaceDE w:val="0"/>
        <w:autoSpaceDN w:val="0"/>
        <w:adjustRightInd w:val="0"/>
        <w:spacing w:after="0" w:line="240" w:lineRule="auto"/>
        <w:ind w:right="58"/>
        <w:jc w:val="both"/>
        <w:rPr>
          <w:rFonts w:ascii="Times New Roman" w:hAnsi="Times New Roman"/>
        </w:rPr>
      </w:pPr>
      <w:r w:rsidRPr="00633E7E">
        <w:rPr>
          <w:rFonts w:ascii="Times New Roman" w:hAnsi="Times New Roman"/>
        </w:rPr>
        <w:t xml:space="preserve">V prípade </w:t>
      </w:r>
      <w:proofErr w:type="spellStart"/>
      <w:r w:rsidRPr="00633E7E">
        <w:rPr>
          <w:rFonts w:ascii="Times New Roman" w:hAnsi="Times New Roman"/>
        </w:rPr>
        <w:t>hyperkalc</w:t>
      </w:r>
      <w:r w:rsidR="0091099D">
        <w:rPr>
          <w:rFonts w:ascii="Times New Roman" w:hAnsi="Times New Roman"/>
        </w:rPr>
        <w:t>i</w:t>
      </w:r>
      <w:r w:rsidRPr="00633E7E">
        <w:rPr>
          <w:rFonts w:ascii="Times New Roman" w:hAnsi="Times New Roman"/>
        </w:rPr>
        <w:t>émie</w:t>
      </w:r>
      <w:proofErr w:type="spellEnd"/>
      <w:r w:rsidRPr="00633E7E">
        <w:rPr>
          <w:rFonts w:ascii="Times New Roman" w:hAnsi="Times New Roman"/>
        </w:rPr>
        <w:t xml:space="preserve"> sa musí liečba alfakalcidolom zastaviť, kým sa koncentrácie vápnika v sére nevrátia na normálnu hodnotu, obvykle </w:t>
      </w:r>
      <w:r w:rsidR="0091099D">
        <w:rPr>
          <w:rFonts w:ascii="Times New Roman" w:hAnsi="Times New Roman"/>
        </w:rPr>
        <w:t xml:space="preserve">asi </w:t>
      </w:r>
      <w:r w:rsidRPr="00633E7E">
        <w:rPr>
          <w:rFonts w:ascii="Times New Roman" w:hAnsi="Times New Roman"/>
        </w:rPr>
        <w:t xml:space="preserve">za 1 týždeň. Podávanie alfakalcidolu sa potom môže znova </w:t>
      </w:r>
      <w:r w:rsidRPr="00C33B44">
        <w:rPr>
          <w:rFonts w:ascii="Times New Roman" w:hAnsi="Times New Roman"/>
        </w:rPr>
        <w:t xml:space="preserve">začať </w:t>
      </w:r>
      <w:r w:rsidR="00C33B44">
        <w:rPr>
          <w:rFonts w:ascii="Times New Roman" w:hAnsi="Times New Roman"/>
        </w:rPr>
        <w:t>s dávkou, ktorá je polovicou poslednej podanej dávky</w:t>
      </w:r>
      <w:r w:rsidRPr="00633E7E">
        <w:rPr>
          <w:rFonts w:ascii="Times New Roman" w:hAnsi="Times New Roman"/>
        </w:rPr>
        <w:t>.</w:t>
      </w:r>
    </w:p>
    <w:p w14:paraId="3AB42D33"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D36C9E1" w14:textId="060B2D3A" w:rsidR="00961A27" w:rsidRPr="00633E7E"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 xml:space="preserve">Hyperkalciémia v spojení s hyperfosfatémiou zvyšuje riziko metastatických kalcifikácií. Pri ochoreniach, pri ktorých sa môže vyskytnúť hyperfosfatémia, napríklad znížená funkcia obličiek, sa </w:t>
      </w:r>
      <w:r w:rsidR="007944EC">
        <w:rPr>
          <w:rFonts w:ascii="Times New Roman" w:hAnsi="Times New Roman"/>
        </w:rPr>
        <w:t>majú</w:t>
      </w:r>
      <w:r w:rsidRPr="00633E7E">
        <w:rPr>
          <w:rFonts w:ascii="Times New Roman" w:hAnsi="Times New Roman"/>
        </w:rPr>
        <w:t xml:space="preserve"> používať látky viažuce fosfáty.</w:t>
      </w:r>
    </w:p>
    <w:p w14:paraId="29EB9A1A"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E83975C" w14:textId="75D2C915" w:rsidR="00961A27" w:rsidRPr="00633E7E" w:rsidRDefault="00961A27" w:rsidP="00961A27">
      <w:pPr>
        <w:widowControl w:val="0"/>
        <w:autoSpaceDE w:val="0"/>
        <w:autoSpaceDN w:val="0"/>
        <w:adjustRightInd w:val="0"/>
        <w:spacing w:after="0" w:line="240" w:lineRule="auto"/>
        <w:ind w:right="57"/>
        <w:rPr>
          <w:rFonts w:ascii="Times New Roman" w:hAnsi="Times New Roman"/>
        </w:rPr>
      </w:pPr>
      <w:r w:rsidRPr="00633E7E">
        <w:rPr>
          <w:rFonts w:ascii="Times New Roman" w:hAnsi="Times New Roman"/>
        </w:rPr>
        <w:t xml:space="preserve">Pacienti s relatívne vysokými počiatočnými hladinami vápnika v plazme môžu mať autonómnu hyperparatyreózu, ktorá často nereaguje na ALFAMED mäkké </w:t>
      </w:r>
      <w:r w:rsidR="00BB499D">
        <w:rPr>
          <w:rFonts w:ascii="Times New Roman" w:hAnsi="Times New Roman"/>
        </w:rPr>
        <w:t>k</w:t>
      </w:r>
      <w:r w:rsidRPr="00633E7E">
        <w:rPr>
          <w:rFonts w:ascii="Times New Roman" w:hAnsi="Times New Roman"/>
        </w:rPr>
        <w:t>apsuly. Môžu byť indikované ďalšie terapeutické opatrenia.</w:t>
      </w:r>
    </w:p>
    <w:p w14:paraId="29527BF1" w14:textId="77777777" w:rsidR="00961A27" w:rsidRPr="00633E7E" w:rsidRDefault="00961A27" w:rsidP="00961A27">
      <w:pPr>
        <w:widowControl w:val="0"/>
        <w:tabs>
          <w:tab w:val="left" w:pos="1893"/>
        </w:tabs>
        <w:autoSpaceDE w:val="0"/>
        <w:autoSpaceDN w:val="0"/>
        <w:adjustRightInd w:val="0"/>
        <w:spacing w:after="0" w:line="240" w:lineRule="auto"/>
        <w:rPr>
          <w:rFonts w:ascii="Times New Roman" w:hAnsi="Times New Roman"/>
        </w:rPr>
      </w:pPr>
      <w:r w:rsidRPr="00633E7E">
        <w:rPr>
          <w:rFonts w:ascii="Times New Roman" w:hAnsi="Times New Roman"/>
        </w:rPr>
        <w:tab/>
      </w:r>
    </w:p>
    <w:p w14:paraId="6669549F" w14:textId="3279219E" w:rsidR="00961A27" w:rsidRDefault="00961A27" w:rsidP="00961A27">
      <w:pPr>
        <w:spacing w:after="0" w:line="240" w:lineRule="auto"/>
        <w:rPr>
          <w:rFonts w:ascii="Times New Roman" w:hAnsi="Times New Roman"/>
        </w:rPr>
      </w:pPr>
      <w:r w:rsidRPr="00633E7E">
        <w:rPr>
          <w:rFonts w:ascii="Times New Roman" w:hAnsi="Times New Roman"/>
        </w:rPr>
        <w:t xml:space="preserve">ALFAMED mäkká kapsula obsahuje arašidový olej (podzemnicový olej). Ak ste alergický na arašidy alebo sóju, neužívajte tento liek. Tento liek obsahuje ako pomocnú látku aj sorbitol a nesmie sa používať u pacientov so </w:t>
      </w:r>
      <w:r w:rsidR="00EC466A">
        <w:rPr>
          <w:rFonts w:ascii="Times New Roman" w:hAnsi="Times New Roman"/>
        </w:rPr>
        <w:t>zriedkavou</w:t>
      </w:r>
      <w:r w:rsidRPr="00633E7E">
        <w:rPr>
          <w:rFonts w:ascii="Times New Roman" w:hAnsi="Times New Roman"/>
        </w:rPr>
        <w:t xml:space="preserve"> dedičnou intoleranciou fruktózy. Tento liek obsahuje malé množstvo etanolu (alko</w:t>
      </w:r>
      <w:r w:rsidR="00633E7E">
        <w:rPr>
          <w:rFonts w:ascii="Times New Roman" w:hAnsi="Times New Roman"/>
        </w:rPr>
        <w:t>hol), menej ako 100 mg v kapsule</w:t>
      </w:r>
      <w:r w:rsidRPr="00633E7E">
        <w:rPr>
          <w:rFonts w:ascii="Times New Roman" w:hAnsi="Times New Roman"/>
        </w:rPr>
        <w:t>.</w:t>
      </w:r>
    </w:p>
    <w:p w14:paraId="71E043F5" w14:textId="77777777" w:rsidR="00633E7E" w:rsidRPr="00633E7E" w:rsidRDefault="00633E7E" w:rsidP="00961A27">
      <w:pPr>
        <w:spacing w:after="0" w:line="240" w:lineRule="auto"/>
        <w:rPr>
          <w:rFonts w:ascii="Times New Roman" w:hAnsi="Times New Roman"/>
        </w:rPr>
      </w:pPr>
    </w:p>
    <w:p w14:paraId="439BF2EF"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4.5</w:t>
      </w:r>
      <w:r w:rsidRPr="00633E7E">
        <w:rPr>
          <w:rFonts w:ascii="Times New Roman" w:hAnsi="Times New Roman"/>
          <w:b/>
          <w:bCs/>
        </w:rPr>
        <w:tab/>
        <w:t>Liekové a iné interakcie</w:t>
      </w:r>
    </w:p>
    <w:p w14:paraId="50C38813"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7848252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U pacientov užívajúcich prípravky s obsahom digitalisu môže hyperkalciémia vyvolať srdcové arytmie.</w:t>
      </w:r>
    </w:p>
    <w:p w14:paraId="02C64AB9"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C2D50EF" w14:textId="602719D5" w:rsidR="00961A27" w:rsidRPr="00633E7E" w:rsidRDefault="00961A27" w:rsidP="00961A27">
      <w:pPr>
        <w:widowControl w:val="0"/>
        <w:autoSpaceDE w:val="0"/>
        <w:autoSpaceDN w:val="0"/>
        <w:adjustRightInd w:val="0"/>
        <w:spacing w:after="0" w:line="240" w:lineRule="auto"/>
        <w:ind w:right="55"/>
        <w:rPr>
          <w:rFonts w:ascii="Times New Roman" w:hAnsi="Times New Roman"/>
        </w:rPr>
      </w:pPr>
      <w:r w:rsidRPr="00633E7E">
        <w:rPr>
          <w:rFonts w:ascii="Times New Roman" w:hAnsi="Times New Roman"/>
        </w:rPr>
        <w:t xml:space="preserve">Pacienti užívajúci barbituráty alebo antikonvulzíva môžu v dôsledku indukcie pečeňových </w:t>
      </w:r>
      <w:proofErr w:type="spellStart"/>
      <w:r w:rsidR="00B97559">
        <w:rPr>
          <w:rFonts w:ascii="Times New Roman" w:hAnsi="Times New Roman"/>
        </w:rPr>
        <w:t>detoxifikačných</w:t>
      </w:r>
      <w:proofErr w:type="spellEnd"/>
      <w:r w:rsidR="00B97559">
        <w:rPr>
          <w:rFonts w:ascii="Times New Roman" w:hAnsi="Times New Roman"/>
        </w:rPr>
        <w:t xml:space="preserve"> </w:t>
      </w:r>
      <w:r w:rsidRPr="00633E7E">
        <w:rPr>
          <w:rFonts w:ascii="Times New Roman" w:hAnsi="Times New Roman"/>
        </w:rPr>
        <w:t xml:space="preserve">enzýmov pečene potrebovať na zaistenie požadovaného účinku väčšie dávky lieku ALFAMED. </w:t>
      </w:r>
    </w:p>
    <w:p w14:paraId="41869D5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45006FD" w14:textId="3192F2DF" w:rsidR="00961A27" w:rsidRPr="00633E7E" w:rsidRDefault="00961A27" w:rsidP="00961A27">
      <w:pPr>
        <w:widowControl w:val="0"/>
        <w:autoSpaceDE w:val="0"/>
        <w:autoSpaceDN w:val="0"/>
        <w:adjustRightInd w:val="0"/>
        <w:spacing w:after="0" w:line="240" w:lineRule="auto"/>
        <w:ind w:right="63"/>
        <w:rPr>
          <w:rFonts w:ascii="Times New Roman" w:hAnsi="Times New Roman"/>
        </w:rPr>
      </w:pPr>
      <w:r w:rsidRPr="00633E7E">
        <w:rPr>
          <w:rFonts w:ascii="Times New Roman" w:hAnsi="Times New Roman"/>
        </w:rPr>
        <w:t xml:space="preserve">Súbežné podávanie </w:t>
      </w:r>
      <w:proofErr w:type="spellStart"/>
      <w:r w:rsidR="0040493D">
        <w:rPr>
          <w:rFonts w:ascii="Times New Roman" w:hAnsi="Times New Roman"/>
        </w:rPr>
        <w:t>ch</w:t>
      </w:r>
      <w:r w:rsidRPr="00633E7E">
        <w:rPr>
          <w:rFonts w:ascii="Times New Roman" w:hAnsi="Times New Roman"/>
        </w:rPr>
        <w:t>olestyramínu</w:t>
      </w:r>
      <w:proofErr w:type="spellEnd"/>
      <w:r w:rsidRPr="00633E7E">
        <w:rPr>
          <w:rFonts w:ascii="Times New Roman" w:hAnsi="Times New Roman"/>
        </w:rPr>
        <w:t xml:space="preserve"> môže interferovať s</w:t>
      </w:r>
      <w:r w:rsidR="004E57CE">
        <w:rPr>
          <w:rFonts w:ascii="Times New Roman" w:hAnsi="Times New Roman"/>
        </w:rPr>
        <w:t>o</w:t>
      </w:r>
      <w:r w:rsidRPr="00633E7E">
        <w:rPr>
          <w:rFonts w:ascii="Times New Roman" w:hAnsi="Times New Roman"/>
        </w:rPr>
        <w:t xml:space="preserve"> </w:t>
      </w:r>
      <w:r w:rsidR="0040493D">
        <w:rPr>
          <w:rFonts w:ascii="Times New Roman" w:hAnsi="Times New Roman"/>
        </w:rPr>
        <w:t>vstrebávaním</w:t>
      </w:r>
      <w:r w:rsidRPr="00633E7E">
        <w:rPr>
          <w:rFonts w:ascii="Times New Roman" w:hAnsi="Times New Roman"/>
        </w:rPr>
        <w:t xml:space="preserve"> </w:t>
      </w:r>
      <w:proofErr w:type="spellStart"/>
      <w:r w:rsidRPr="00633E7E">
        <w:rPr>
          <w:rFonts w:ascii="Times New Roman" w:hAnsi="Times New Roman"/>
        </w:rPr>
        <w:t>alfakalcidolu</w:t>
      </w:r>
      <w:proofErr w:type="spellEnd"/>
      <w:r w:rsidR="0040493D">
        <w:rPr>
          <w:rFonts w:ascii="Times New Roman" w:hAnsi="Times New Roman"/>
        </w:rPr>
        <w:t xml:space="preserve"> v čreve</w:t>
      </w:r>
      <w:r w:rsidRPr="00633E7E">
        <w:rPr>
          <w:rFonts w:ascii="Times New Roman" w:hAnsi="Times New Roman"/>
        </w:rPr>
        <w:t>.</w:t>
      </w:r>
    </w:p>
    <w:p w14:paraId="6D28FF62"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58DA4CE2" w14:textId="77777777" w:rsidR="00961A27" w:rsidRPr="00633E7E" w:rsidRDefault="00961A27" w:rsidP="00961A27">
      <w:pPr>
        <w:widowControl w:val="0"/>
        <w:autoSpaceDE w:val="0"/>
        <w:autoSpaceDN w:val="0"/>
        <w:adjustRightInd w:val="0"/>
        <w:spacing w:after="0" w:line="240" w:lineRule="auto"/>
        <w:ind w:right="62"/>
        <w:rPr>
          <w:rFonts w:ascii="Times New Roman" w:hAnsi="Times New Roman"/>
        </w:rPr>
      </w:pPr>
      <w:r w:rsidRPr="00633E7E">
        <w:rPr>
          <w:rFonts w:ascii="Times New Roman" w:hAnsi="Times New Roman"/>
        </w:rPr>
        <w:t>Používajte s opatrnosťou u pacientov liečených tiazidovými diuretikami, pretože môžu mať zvýšené riziko vzniku hyperkalciémie.</w:t>
      </w:r>
    </w:p>
    <w:p w14:paraId="49C464B9" w14:textId="77777777" w:rsidR="00961A27" w:rsidRPr="00633E7E" w:rsidRDefault="00961A27" w:rsidP="00961A27">
      <w:pPr>
        <w:widowControl w:val="0"/>
        <w:autoSpaceDE w:val="0"/>
        <w:autoSpaceDN w:val="0"/>
        <w:adjustRightInd w:val="0"/>
        <w:spacing w:after="0" w:line="240" w:lineRule="auto"/>
        <w:ind w:right="62"/>
        <w:rPr>
          <w:rFonts w:ascii="Times New Roman" w:hAnsi="Times New Roman"/>
        </w:rPr>
      </w:pPr>
    </w:p>
    <w:p w14:paraId="0E58F942" w14:textId="6C0B6EF5" w:rsidR="00961A27" w:rsidRPr="00633E7E" w:rsidRDefault="00961A27" w:rsidP="00961A27">
      <w:pPr>
        <w:widowControl w:val="0"/>
        <w:autoSpaceDE w:val="0"/>
        <w:autoSpaceDN w:val="0"/>
        <w:adjustRightInd w:val="0"/>
        <w:spacing w:after="0" w:line="240" w:lineRule="auto"/>
        <w:ind w:right="62"/>
        <w:rPr>
          <w:rFonts w:ascii="Times New Roman" w:hAnsi="Times New Roman"/>
        </w:rPr>
      </w:pPr>
      <w:r w:rsidRPr="000810F8">
        <w:rPr>
          <w:rFonts w:ascii="Times New Roman" w:hAnsi="Times New Roman"/>
        </w:rPr>
        <w:t>Antac</w:t>
      </w:r>
      <w:r w:rsidRPr="00633E7E">
        <w:rPr>
          <w:rFonts w:ascii="Times New Roman" w:hAnsi="Times New Roman"/>
        </w:rPr>
        <w:t>idá na báze horčíka a laxatíva sa počas liečby alfakalcidolom nesmú používať kvôli zvýšenému riziku hypermagneziémie. Vitamín D alebo jeho analógy</w:t>
      </w:r>
      <w:r w:rsidR="0040493D">
        <w:rPr>
          <w:rFonts w:ascii="Times New Roman" w:hAnsi="Times New Roman"/>
        </w:rPr>
        <w:t xml:space="preserve"> </w:t>
      </w:r>
      <w:r w:rsidRPr="00633E7E">
        <w:rPr>
          <w:rFonts w:ascii="Times New Roman" w:hAnsi="Times New Roman"/>
        </w:rPr>
        <w:t>a vápnik alebo prípravky obsahujúce vápnik sa nesmú podávať súbežne s alfakalcidolom.</w:t>
      </w:r>
    </w:p>
    <w:p w14:paraId="065F099C"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70054BB"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4.6</w:t>
      </w:r>
      <w:r w:rsidRPr="00633E7E">
        <w:rPr>
          <w:rFonts w:ascii="Times New Roman" w:hAnsi="Times New Roman"/>
          <w:b/>
          <w:bCs/>
        </w:rPr>
        <w:tab/>
        <w:t xml:space="preserve"> Fertilita, gravidita a laktácia</w:t>
      </w:r>
    </w:p>
    <w:p w14:paraId="32BF401C"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E0B3228" w14:textId="77777777" w:rsidR="00961A27" w:rsidRPr="00633E7E" w:rsidRDefault="00633E7E" w:rsidP="00961A27">
      <w:pPr>
        <w:widowControl w:val="0"/>
        <w:autoSpaceDE w:val="0"/>
        <w:autoSpaceDN w:val="0"/>
        <w:adjustRightInd w:val="0"/>
        <w:spacing w:after="0" w:line="240" w:lineRule="auto"/>
        <w:ind w:right="62"/>
        <w:jc w:val="both"/>
        <w:rPr>
          <w:rFonts w:ascii="Times New Roman" w:hAnsi="Times New Roman"/>
          <w:u w:val="single"/>
        </w:rPr>
      </w:pPr>
      <w:r>
        <w:rPr>
          <w:rFonts w:ascii="Times New Roman" w:hAnsi="Times New Roman"/>
          <w:u w:val="single"/>
        </w:rPr>
        <w:t>Gravidita</w:t>
      </w:r>
    </w:p>
    <w:p w14:paraId="3E902D61" w14:textId="77777777" w:rsidR="00961A27" w:rsidRPr="00633E7E" w:rsidRDefault="00961A27" w:rsidP="00961A27">
      <w:pPr>
        <w:widowControl w:val="0"/>
        <w:autoSpaceDE w:val="0"/>
        <w:autoSpaceDN w:val="0"/>
        <w:adjustRightInd w:val="0"/>
        <w:spacing w:after="0" w:line="240" w:lineRule="auto"/>
        <w:ind w:right="58"/>
        <w:jc w:val="both"/>
        <w:rPr>
          <w:rFonts w:ascii="Times New Roman" w:hAnsi="Times New Roman"/>
        </w:rPr>
      </w:pPr>
      <w:r w:rsidRPr="00633E7E">
        <w:rPr>
          <w:rFonts w:ascii="Times New Roman" w:hAnsi="Times New Roman"/>
        </w:rPr>
        <w:t>Nie sú dostupné žiadne údaje o používaní alfakalcidolu u gravidných žien. Pri štúdiách na zvieratách sa preukázala repr</w:t>
      </w:r>
      <w:r w:rsidR="006F33B5">
        <w:rPr>
          <w:rFonts w:ascii="Times New Roman" w:hAnsi="Times New Roman"/>
        </w:rPr>
        <w:t>odukčná toxicita (pozri časť 5.</w:t>
      </w:r>
      <w:r w:rsidRPr="00633E7E">
        <w:rPr>
          <w:rFonts w:ascii="Times New Roman" w:hAnsi="Times New Roman"/>
        </w:rPr>
        <w:t>3). Potenciálne riziká pre ľudí nie sú známe. Pri predpisovaní tehotným ženám je potrebná opatrnosť, pretože hyperkalciémia počas tehotenstva môže spôsobiť vrodené poruchy u potomstva.</w:t>
      </w:r>
    </w:p>
    <w:p w14:paraId="3C29BE0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86BD994"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Alfakalcidol sa nesmie používať v tehotenstve, pokiaľ to nie je jednoznačne potrebné.</w:t>
      </w:r>
    </w:p>
    <w:p w14:paraId="4C86BDBC"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829AD43" w14:textId="77777777" w:rsidR="00961A27" w:rsidRPr="00633E7E" w:rsidRDefault="00961A27" w:rsidP="00961A27">
      <w:pPr>
        <w:widowControl w:val="0"/>
        <w:autoSpaceDE w:val="0"/>
        <w:autoSpaceDN w:val="0"/>
        <w:adjustRightInd w:val="0"/>
        <w:spacing w:after="0" w:line="240" w:lineRule="auto"/>
        <w:rPr>
          <w:rFonts w:ascii="Times New Roman" w:hAnsi="Times New Roman"/>
          <w:u w:val="single"/>
        </w:rPr>
      </w:pPr>
      <w:r w:rsidRPr="00633E7E">
        <w:rPr>
          <w:rFonts w:ascii="Times New Roman" w:hAnsi="Times New Roman"/>
          <w:u w:val="single"/>
        </w:rPr>
        <w:t>Dojčenie</w:t>
      </w:r>
    </w:p>
    <w:p w14:paraId="21E8C69F" w14:textId="77777777" w:rsidR="00961A27"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 xml:space="preserve">Predpokladá sa, že alfakalcidol sa vylučuje </w:t>
      </w:r>
      <w:r w:rsidRPr="00BC4EA8">
        <w:rPr>
          <w:rFonts w:ascii="Times New Roman" w:hAnsi="Times New Roman"/>
        </w:rPr>
        <w:t>do materského</w:t>
      </w:r>
      <w:r w:rsidRPr="00633E7E">
        <w:rPr>
          <w:rFonts w:ascii="Times New Roman" w:hAnsi="Times New Roman"/>
        </w:rPr>
        <w:t xml:space="preserve"> mlieka. Pri vysokých dávkach nemožno u dojčaťa vylúčiť hyperkalc</w:t>
      </w:r>
      <w:r w:rsidR="0040493D">
        <w:rPr>
          <w:rFonts w:ascii="Times New Roman" w:hAnsi="Times New Roman"/>
        </w:rPr>
        <w:t>i</w:t>
      </w:r>
      <w:r w:rsidRPr="00633E7E">
        <w:rPr>
          <w:rFonts w:ascii="Times New Roman" w:hAnsi="Times New Roman"/>
        </w:rPr>
        <w:t xml:space="preserve">émiu. Z dôvodu nedostatočných údajov sa dojčenie počas liečby alfalkalcidolom neodporúča. </w:t>
      </w:r>
    </w:p>
    <w:p w14:paraId="7A188F16" w14:textId="77777777" w:rsidR="00633E7E" w:rsidRPr="00633E7E" w:rsidRDefault="00633E7E" w:rsidP="00961A27">
      <w:pPr>
        <w:widowControl w:val="0"/>
        <w:autoSpaceDE w:val="0"/>
        <w:autoSpaceDN w:val="0"/>
        <w:adjustRightInd w:val="0"/>
        <w:spacing w:after="0" w:line="240" w:lineRule="auto"/>
        <w:rPr>
          <w:rFonts w:ascii="Times New Roman" w:hAnsi="Times New Roman"/>
          <w:spacing w:val="-1"/>
        </w:rPr>
      </w:pPr>
    </w:p>
    <w:p w14:paraId="1B362A38" w14:textId="77777777" w:rsidR="00961A27" w:rsidRPr="00633E7E" w:rsidRDefault="00961A27" w:rsidP="00961A27">
      <w:pPr>
        <w:widowControl w:val="0"/>
        <w:autoSpaceDE w:val="0"/>
        <w:autoSpaceDN w:val="0"/>
        <w:adjustRightInd w:val="0"/>
        <w:spacing w:after="0" w:line="240" w:lineRule="auto"/>
        <w:rPr>
          <w:rFonts w:ascii="Times New Roman" w:hAnsi="Times New Roman"/>
          <w:spacing w:val="-1"/>
          <w:u w:val="single"/>
        </w:rPr>
      </w:pPr>
      <w:r w:rsidRPr="00633E7E">
        <w:rPr>
          <w:rFonts w:ascii="Times New Roman" w:hAnsi="Times New Roman"/>
          <w:u w:val="single"/>
        </w:rPr>
        <w:t>Fertilita</w:t>
      </w:r>
    </w:p>
    <w:p w14:paraId="07FE5720" w14:textId="2FE5F0F9" w:rsidR="00961A27" w:rsidRPr="00633E7E" w:rsidRDefault="00961A27" w:rsidP="00961A27">
      <w:pPr>
        <w:widowControl w:val="0"/>
        <w:autoSpaceDE w:val="0"/>
        <w:autoSpaceDN w:val="0"/>
        <w:adjustRightInd w:val="0"/>
        <w:spacing w:after="0" w:line="240" w:lineRule="auto"/>
        <w:rPr>
          <w:rFonts w:ascii="Times New Roman" w:hAnsi="Times New Roman"/>
          <w:spacing w:val="-1"/>
        </w:rPr>
      </w:pPr>
      <w:r w:rsidRPr="00633E7E">
        <w:rPr>
          <w:rFonts w:ascii="Times New Roman" w:hAnsi="Times New Roman"/>
        </w:rPr>
        <w:t>Nie sú dostupné žiadne údaje o</w:t>
      </w:r>
      <w:r w:rsidR="005F3FAE">
        <w:rPr>
          <w:rFonts w:ascii="Times New Roman" w:hAnsi="Times New Roman"/>
        </w:rPr>
        <w:t> </w:t>
      </w:r>
      <w:proofErr w:type="spellStart"/>
      <w:r w:rsidRPr="00633E7E">
        <w:rPr>
          <w:rFonts w:ascii="Times New Roman" w:hAnsi="Times New Roman"/>
        </w:rPr>
        <w:t>fertilite</w:t>
      </w:r>
      <w:proofErr w:type="spellEnd"/>
      <w:r w:rsidR="005F3FAE">
        <w:rPr>
          <w:rFonts w:ascii="Times New Roman" w:hAnsi="Times New Roman"/>
        </w:rPr>
        <w:t xml:space="preserve"> pri použití </w:t>
      </w:r>
      <w:proofErr w:type="spellStart"/>
      <w:r w:rsidR="005F3FAE">
        <w:rPr>
          <w:rFonts w:ascii="Times New Roman" w:hAnsi="Times New Roman"/>
        </w:rPr>
        <w:t>alfakalcidolu</w:t>
      </w:r>
      <w:proofErr w:type="spellEnd"/>
      <w:r w:rsidRPr="00633E7E">
        <w:rPr>
          <w:rFonts w:ascii="Times New Roman" w:hAnsi="Times New Roman"/>
        </w:rPr>
        <w:t>.</w:t>
      </w:r>
    </w:p>
    <w:p w14:paraId="4361239E" w14:textId="77777777" w:rsidR="00961A27" w:rsidRPr="00633E7E" w:rsidRDefault="00961A27" w:rsidP="00961A27">
      <w:pPr>
        <w:widowControl w:val="0"/>
        <w:autoSpaceDE w:val="0"/>
        <w:autoSpaceDN w:val="0"/>
        <w:adjustRightInd w:val="0"/>
        <w:spacing w:after="0" w:line="240" w:lineRule="auto"/>
        <w:rPr>
          <w:rFonts w:ascii="Times New Roman" w:hAnsi="Times New Roman"/>
          <w:spacing w:val="-1"/>
        </w:rPr>
      </w:pPr>
    </w:p>
    <w:p w14:paraId="00A038B2"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4.7</w:t>
      </w:r>
      <w:r w:rsidRPr="00633E7E">
        <w:rPr>
          <w:rFonts w:ascii="Times New Roman" w:hAnsi="Times New Roman"/>
          <w:b/>
          <w:bCs/>
        </w:rPr>
        <w:tab/>
        <w:t>Ovplyvnenie schopnosti viesť vozidlá a obsluhovať stroje</w:t>
      </w:r>
    </w:p>
    <w:p w14:paraId="1DABC568"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1C0D7DC" w14:textId="77777777" w:rsidR="00961A27" w:rsidRPr="00633E7E" w:rsidRDefault="00961A27" w:rsidP="00961A27">
      <w:pPr>
        <w:widowControl w:val="0"/>
        <w:autoSpaceDE w:val="0"/>
        <w:autoSpaceDN w:val="0"/>
        <w:adjustRightInd w:val="0"/>
        <w:spacing w:after="0" w:line="240" w:lineRule="auto"/>
        <w:ind w:right="62"/>
        <w:jc w:val="both"/>
        <w:rPr>
          <w:rFonts w:ascii="Times New Roman" w:hAnsi="Times New Roman"/>
        </w:rPr>
      </w:pPr>
      <w:r w:rsidRPr="00633E7E">
        <w:rPr>
          <w:rFonts w:ascii="Times New Roman" w:hAnsi="Times New Roman"/>
        </w:rPr>
        <w:t>ALFAMED nemá žiadny alebo má zanedbateľný vplyv na schopnosť viesť vozidlá alebo obsluhovať stroje.</w:t>
      </w:r>
    </w:p>
    <w:p w14:paraId="3E25F74A"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518CA44E"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4.8</w:t>
      </w:r>
      <w:r w:rsidRPr="00633E7E">
        <w:rPr>
          <w:rFonts w:ascii="Times New Roman" w:hAnsi="Times New Roman"/>
          <w:b/>
          <w:bCs/>
        </w:rPr>
        <w:tab/>
        <w:t>Nežiaduce účinky</w:t>
      </w:r>
    </w:p>
    <w:p w14:paraId="1B8816AF"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1E736D2" w14:textId="235A3EF3"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sidRPr="00846E8B">
        <w:rPr>
          <w:rFonts w:ascii="Times New Roman" w:hAnsi="Times New Roman"/>
          <w:spacing w:val="-1"/>
        </w:rPr>
        <w:t>Odhad frekvencie nežiaducich účinkov je založený na súhrnnej analýze údajov z klinických štúdií a</w:t>
      </w:r>
      <w:r w:rsidR="0091099D">
        <w:rPr>
          <w:rFonts w:ascii="Times New Roman" w:hAnsi="Times New Roman"/>
          <w:spacing w:val="-1"/>
        </w:rPr>
        <w:t> </w:t>
      </w:r>
      <w:r w:rsidRPr="00846E8B">
        <w:rPr>
          <w:rFonts w:ascii="Times New Roman" w:hAnsi="Times New Roman"/>
          <w:spacing w:val="-1"/>
        </w:rPr>
        <w:t>spontánneho hlásenia</w:t>
      </w:r>
      <w:r>
        <w:rPr>
          <w:rFonts w:ascii="Times New Roman" w:hAnsi="Times New Roman"/>
          <w:spacing w:val="-1"/>
        </w:rPr>
        <w:t>.</w:t>
      </w:r>
    </w:p>
    <w:p w14:paraId="5E2EEDF4" w14:textId="77777777" w:rsidR="003F3FD9" w:rsidRPr="00026E83" w:rsidRDefault="003F3FD9" w:rsidP="001D75B8">
      <w:pPr>
        <w:widowControl w:val="0"/>
        <w:autoSpaceDE w:val="0"/>
        <w:autoSpaceDN w:val="0"/>
        <w:adjustRightInd w:val="0"/>
        <w:spacing w:after="0" w:line="252" w:lineRule="exact"/>
        <w:ind w:right="62"/>
        <w:jc w:val="both"/>
        <w:rPr>
          <w:rFonts w:ascii="Times New Roman" w:hAnsi="Times New Roman"/>
          <w:spacing w:val="-1"/>
        </w:rPr>
      </w:pPr>
    </w:p>
    <w:p w14:paraId="496B9769" w14:textId="6CBE9474"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sidRPr="00846E8B">
        <w:rPr>
          <w:rFonts w:ascii="Times New Roman" w:hAnsi="Times New Roman"/>
          <w:spacing w:val="-1"/>
        </w:rPr>
        <w:t>Najčastejšie hlásenými nežiaducimi účinkami sú</w:t>
      </w:r>
      <w:r w:rsidR="004C5835">
        <w:rPr>
          <w:rFonts w:ascii="Times New Roman" w:hAnsi="Times New Roman"/>
          <w:spacing w:val="-1"/>
        </w:rPr>
        <w:t xml:space="preserve"> rôzne kožné reakcie, ako je </w:t>
      </w:r>
      <w:proofErr w:type="spellStart"/>
      <w:r w:rsidR="004C5835">
        <w:rPr>
          <w:rFonts w:ascii="Times New Roman" w:hAnsi="Times New Roman"/>
          <w:spacing w:val="-1"/>
        </w:rPr>
        <w:t>pru</w:t>
      </w:r>
      <w:r w:rsidRPr="00846E8B">
        <w:rPr>
          <w:rFonts w:ascii="Times New Roman" w:hAnsi="Times New Roman"/>
          <w:spacing w:val="-1"/>
        </w:rPr>
        <w:t>ritus</w:t>
      </w:r>
      <w:proofErr w:type="spellEnd"/>
      <w:r w:rsidRPr="00846E8B">
        <w:rPr>
          <w:rFonts w:ascii="Times New Roman" w:hAnsi="Times New Roman"/>
          <w:spacing w:val="-1"/>
        </w:rPr>
        <w:t xml:space="preserve"> a vyrážka, </w:t>
      </w:r>
      <w:proofErr w:type="spellStart"/>
      <w:r w:rsidRPr="00846E8B">
        <w:rPr>
          <w:rFonts w:ascii="Times New Roman" w:hAnsi="Times New Roman"/>
          <w:spacing w:val="-1"/>
        </w:rPr>
        <w:t>hyperkalc</w:t>
      </w:r>
      <w:r w:rsidR="00F755BD">
        <w:rPr>
          <w:rFonts w:ascii="Times New Roman" w:hAnsi="Times New Roman"/>
          <w:spacing w:val="-1"/>
        </w:rPr>
        <w:t>i</w:t>
      </w:r>
      <w:r w:rsidRPr="00846E8B">
        <w:rPr>
          <w:rFonts w:ascii="Times New Roman" w:hAnsi="Times New Roman"/>
          <w:spacing w:val="-1"/>
        </w:rPr>
        <w:t>émia</w:t>
      </w:r>
      <w:proofErr w:type="spellEnd"/>
      <w:r w:rsidRPr="00846E8B">
        <w:rPr>
          <w:rFonts w:ascii="Times New Roman" w:hAnsi="Times New Roman"/>
          <w:spacing w:val="-1"/>
        </w:rPr>
        <w:t xml:space="preserve">, </w:t>
      </w:r>
      <w:proofErr w:type="spellStart"/>
      <w:r w:rsidRPr="00846E8B">
        <w:rPr>
          <w:rFonts w:ascii="Times New Roman" w:hAnsi="Times New Roman"/>
          <w:spacing w:val="-1"/>
        </w:rPr>
        <w:t>gastrointestinálna</w:t>
      </w:r>
      <w:proofErr w:type="spellEnd"/>
      <w:r w:rsidRPr="00846E8B">
        <w:rPr>
          <w:rFonts w:ascii="Times New Roman" w:hAnsi="Times New Roman"/>
          <w:spacing w:val="-1"/>
        </w:rPr>
        <w:t xml:space="preserve"> bolesť/</w:t>
      </w:r>
      <w:proofErr w:type="spellStart"/>
      <w:r w:rsidRPr="00846E8B">
        <w:rPr>
          <w:rFonts w:ascii="Times New Roman" w:hAnsi="Times New Roman"/>
          <w:spacing w:val="-1"/>
        </w:rPr>
        <w:t>diskomfort</w:t>
      </w:r>
      <w:proofErr w:type="spellEnd"/>
      <w:r w:rsidRPr="00846E8B">
        <w:rPr>
          <w:rFonts w:ascii="Times New Roman" w:hAnsi="Times New Roman"/>
          <w:spacing w:val="-1"/>
        </w:rPr>
        <w:t xml:space="preserve"> a</w:t>
      </w:r>
      <w:r>
        <w:rPr>
          <w:rFonts w:ascii="Times New Roman" w:hAnsi="Times New Roman"/>
          <w:spacing w:val="-1"/>
        </w:rPr>
        <w:t> </w:t>
      </w:r>
      <w:proofErr w:type="spellStart"/>
      <w:r w:rsidRPr="00846E8B">
        <w:rPr>
          <w:rFonts w:ascii="Times New Roman" w:hAnsi="Times New Roman"/>
          <w:spacing w:val="-1"/>
        </w:rPr>
        <w:t>hyperfosfatémia</w:t>
      </w:r>
      <w:proofErr w:type="spellEnd"/>
      <w:r>
        <w:rPr>
          <w:rFonts w:ascii="Times New Roman" w:hAnsi="Times New Roman"/>
          <w:spacing w:val="-1"/>
        </w:rPr>
        <w:t>.</w:t>
      </w:r>
    </w:p>
    <w:p w14:paraId="3F9C74F5" w14:textId="77777777" w:rsidR="003F3FD9" w:rsidRPr="00026E83" w:rsidRDefault="003F3FD9" w:rsidP="001D75B8">
      <w:pPr>
        <w:widowControl w:val="0"/>
        <w:autoSpaceDE w:val="0"/>
        <w:autoSpaceDN w:val="0"/>
        <w:adjustRightInd w:val="0"/>
        <w:spacing w:after="0" w:line="252" w:lineRule="exact"/>
        <w:ind w:right="62"/>
        <w:jc w:val="both"/>
        <w:rPr>
          <w:rFonts w:ascii="Times New Roman" w:hAnsi="Times New Roman"/>
          <w:spacing w:val="-1"/>
        </w:rPr>
      </w:pPr>
    </w:p>
    <w:p w14:paraId="703F9E5D" w14:textId="64B07DC4"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sidRPr="00846E8B">
        <w:rPr>
          <w:rFonts w:ascii="Times New Roman" w:hAnsi="Times New Roman"/>
          <w:spacing w:val="-1"/>
        </w:rPr>
        <w:t>Po uvedení lieku na trh bolo hlásené zlyhanie obličiek</w:t>
      </w:r>
      <w:r>
        <w:rPr>
          <w:rFonts w:ascii="Times New Roman" w:hAnsi="Times New Roman"/>
          <w:spacing w:val="-1"/>
        </w:rPr>
        <w:t>.</w:t>
      </w:r>
    </w:p>
    <w:p w14:paraId="53AB3AF0" w14:textId="77777777" w:rsidR="003F3FD9" w:rsidRPr="00026E83" w:rsidRDefault="003F3FD9" w:rsidP="001D75B8">
      <w:pPr>
        <w:widowControl w:val="0"/>
        <w:autoSpaceDE w:val="0"/>
        <w:autoSpaceDN w:val="0"/>
        <w:adjustRightInd w:val="0"/>
        <w:spacing w:after="0" w:line="252" w:lineRule="exact"/>
        <w:ind w:right="62"/>
        <w:jc w:val="both"/>
        <w:rPr>
          <w:rFonts w:ascii="Times New Roman" w:hAnsi="Times New Roman"/>
          <w:spacing w:val="-1"/>
        </w:rPr>
      </w:pPr>
    </w:p>
    <w:p w14:paraId="6B00EB6B" w14:textId="4F138D97"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sidRPr="00846E8B">
        <w:rPr>
          <w:rFonts w:ascii="Times New Roman" w:hAnsi="Times New Roman"/>
          <w:spacing w:val="-1"/>
        </w:rPr>
        <w:t xml:space="preserve">Nežiaduce účinky sú uvedené podľa </w:t>
      </w:r>
      <w:r w:rsidR="004C5835">
        <w:rPr>
          <w:rFonts w:ascii="Times New Roman" w:hAnsi="Times New Roman"/>
          <w:spacing w:val="-1"/>
        </w:rPr>
        <w:t xml:space="preserve">tried orgánových systémov </w:t>
      </w:r>
      <w:proofErr w:type="spellStart"/>
      <w:r w:rsidRPr="00846E8B">
        <w:rPr>
          <w:rFonts w:ascii="Times New Roman" w:hAnsi="Times New Roman"/>
          <w:spacing w:val="-1"/>
        </w:rPr>
        <w:t>MedDRA</w:t>
      </w:r>
      <w:proofErr w:type="spellEnd"/>
      <w:r w:rsidRPr="00846E8B">
        <w:rPr>
          <w:rFonts w:ascii="Times New Roman" w:hAnsi="Times New Roman"/>
          <w:spacing w:val="-1"/>
        </w:rPr>
        <w:t xml:space="preserve"> (SOC</w:t>
      </w:r>
      <w:r w:rsidR="00ED7726">
        <w:rPr>
          <w:rFonts w:ascii="Times New Roman" w:hAnsi="Times New Roman"/>
          <w:spacing w:val="-1"/>
        </w:rPr>
        <w:t xml:space="preserve"> –</w:t>
      </w:r>
      <w:proofErr w:type="spellStart"/>
      <w:r w:rsidR="00ED7726">
        <w:rPr>
          <w:rFonts w:ascii="Times New Roman" w:hAnsi="Times New Roman"/>
          <w:spacing w:val="-1"/>
        </w:rPr>
        <w:t>System</w:t>
      </w:r>
      <w:proofErr w:type="spellEnd"/>
      <w:r w:rsidR="00ED7726">
        <w:rPr>
          <w:rFonts w:ascii="Times New Roman" w:hAnsi="Times New Roman"/>
          <w:spacing w:val="-1"/>
        </w:rPr>
        <w:t xml:space="preserve"> Organ </w:t>
      </w:r>
      <w:proofErr w:type="spellStart"/>
      <w:r w:rsidR="00ED7726">
        <w:rPr>
          <w:rFonts w:ascii="Times New Roman" w:hAnsi="Times New Roman"/>
          <w:spacing w:val="-1"/>
        </w:rPr>
        <w:t>Class</w:t>
      </w:r>
      <w:proofErr w:type="spellEnd"/>
      <w:r w:rsidRPr="00846E8B">
        <w:rPr>
          <w:rFonts w:ascii="Times New Roman" w:hAnsi="Times New Roman"/>
          <w:spacing w:val="-1"/>
        </w:rPr>
        <w:t>) a jednotlivé nežiaduce účinky sú uvedené</w:t>
      </w:r>
      <w:r>
        <w:rPr>
          <w:rFonts w:ascii="Times New Roman" w:hAnsi="Times New Roman"/>
          <w:spacing w:val="-1"/>
        </w:rPr>
        <w:t xml:space="preserve"> </w:t>
      </w:r>
      <w:r w:rsidR="004C5835">
        <w:rPr>
          <w:rFonts w:ascii="Times New Roman" w:hAnsi="Times New Roman"/>
          <w:spacing w:val="-1"/>
        </w:rPr>
        <w:t xml:space="preserve">v </w:t>
      </w:r>
      <w:r>
        <w:rPr>
          <w:rFonts w:ascii="Times New Roman" w:hAnsi="Times New Roman"/>
          <w:spacing w:val="-1"/>
        </w:rPr>
        <w:t>poradí od najčastejšie hlásených</w:t>
      </w:r>
      <w:r w:rsidRPr="00846E8B">
        <w:rPr>
          <w:rFonts w:ascii="Times New Roman" w:hAnsi="Times New Roman"/>
          <w:spacing w:val="-1"/>
        </w:rPr>
        <w:t xml:space="preserve">. V rámci každej </w:t>
      </w:r>
      <w:r>
        <w:rPr>
          <w:rFonts w:ascii="Times New Roman" w:hAnsi="Times New Roman"/>
          <w:spacing w:val="-1"/>
        </w:rPr>
        <w:t xml:space="preserve">frekvenčnej </w:t>
      </w:r>
      <w:r w:rsidRPr="00846E8B">
        <w:rPr>
          <w:rFonts w:ascii="Times New Roman" w:hAnsi="Times New Roman"/>
          <w:spacing w:val="-1"/>
        </w:rPr>
        <w:t>skupiny sú nežiaduce reakcie uvedené v poradí klesajúcej závažnosti</w:t>
      </w:r>
      <w:r>
        <w:rPr>
          <w:rFonts w:ascii="Times New Roman" w:hAnsi="Times New Roman"/>
          <w:spacing w:val="-1"/>
        </w:rPr>
        <w:t>.</w:t>
      </w:r>
    </w:p>
    <w:p w14:paraId="1D5446BC" w14:textId="77777777" w:rsidR="003F3FD9" w:rsidRPr="00026E83" w:rsidRDefault="003F3FD9" w:rsidP="001D75B8">
      <w:pPr>
        <w:widowControl w:val="0"/>
        <w:autoSpaceDE w:val="0"/>
        <w:autoSpaceDN w:val="0"/>
        <w:adjustRightInd w:val="0"/>
        <w:spacing w:after="0" w:line="252" w:lineRule="exact"/>
        <w:ind w:right="62"/>
        <w:jc w:val="both"/>
        <w:rPr>
          <w:rFonts w:ascii="Times New Roman" w:hAnsi="Times New Roman"/>
          <w:spacing w:val="-1"/>
        </w:rPr>
      </w:pPr>
    </w:p>
    <w:p w14:paraId="452A4C46" w14:textId="2AB9B6A9"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Pr>
          <w:rFonts w:ascii="Times New Roman" w:hAnsi="Times New Roman"/>
          <w:spacing w:val="-1"/>
        </w:rPr>
        <w:t>Veľmi časté</w:t>
      </w:r>
      <w:r w:rsidR="003F3FD9" w:rsidRPr="00026E83">
        <w:rPr>
          <w:rFonts w:ascii="Times New Roman" w:hAnsi="Times New Roman"/>
          <w:spacing w:val="-1"/>
        </w:rPr>
        <w:tab/>
      </w:r>
      <w:r w:rsidR="00FE74BB">
        <w:rPr>
          <w:rFonts w:ascii="Times New Roman" w:hAnsi="Times New Roman"/>
          <w:spacing w:val="-1"/>
        </w:rPr>
        <w:tab/>
      </w:r>
      <w:r w:rsidR="003F3FD9" w:rsidRPr="00026E83">
        <w:rPr>
          <w:rFonts w:ascii="Times New Roman" w:hAnsi="Times New Roman"/>
          <w:spacing w:val="-1"/>
        </w:rPr>
        <w:t>≥ 1/10</w:t>
      </w:r>
    </w:p>
    <w:p w14:paraId="02BCF931" w14:textId="31A136DB"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Pr>
          <w:rFonts w:ascii="Times New Roman" w:hAnsi="Times New Roman"/>
          <w:spacing w:val="-1"/>
        </w:rPr>
        <w:t>Časté</w:t>
      </w:r>
      <w:r>
        <w:rPr>
          <w:rFonts w:ascii="Times New Roman" w:hAnsi="Times New Roman"/>
          <w:spacing w:val="-1"/>
        </w:rPr>
        <w:tab/>
      </w:r>
      <w:r>
        <w:rPr>
          <w:rFonts w:ascii="Times New Roman" w:hAnsi="Times New Roman"/>
          <w:spacing w:val="-1"/>
        </w:rPr>
        <w:tab/>
      </w:r>
      <w:r w:rsidR="00FE74BB">
        <w:rPr>
          <w:rFonts w:ascii="Times New Roman" w:hAnsi="Times New Roman"/>
          <w:spacing w:val="-1"/>
        </w:rPr>
        <w:tab/>
      </w:r>
      <w:r>
        <w:rPr>
          <w:rFonts w:ascii="Times New Roman" w:hAnsi="Times New Roman"/>
          <w:spacing w:val="-1"/>
        </w:rPr>
        <w:t>≥ 1/100 až</w:t>
      </w:r>
      <w:r w:rsidR="003F3FD9" w:rsidRPr="00026E83">
        <w:rPr>
          <w:rFonts w:ascii="Times New Roman" w:hAnsi="Times New Roman"/>
          <w:spacing w:val="-1"/>
        </w:rPr>
        <w:t xml:space="preserve"> &lt;1/10</w:t>
      </w:r>
    </w:p>
    <w:p w14:paraId="26B08586" w14:textId="0FADCDD4"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Pr>
          <w:rFonts w:ascii="Times New Roman" w:hAnsi="Times New Roman"/>
          <w:spacing w:val="-1"/>
        </w:rPr>
        <w:t>Menej časté</w:t>
      </w:r>
      <w:r>
        <w:rPr>
          <w:rFonts w:ascii="Times New Roman" w:hAnsi="Times New Roman"/>
          <w:spacing w:val="-1"/>
        </w:rPr>
        <w:tab/>
      </w:r>
      <w:r>
        <w:rPr>
          <w:rFonts w:ascii="Times New Roman" w:hAnsi="Times New Roman"/>
          <w:spacing w:val="-1"/>
        </w:rPr>
        <w:tab/>
        <w:t>≥ 1/1 </w:t>
      </w:r>
      <w:r w:rsidR="003F3FD9" w:rsidRPr="00026E83">
        <w:rPr>
          <w:rFonts w:ascii="Times New Roman" w:hAnsi="Times New Roman"/>
          <w:spacing w:val="-1"/>
        </w:rPr>
        <w:t xml:space="preserve">000 </w:t>
      </w:r>
      <w:r>
        <w:rPr>
          <w:rFonts w:ascii="Times New Roman" w:hAnsi="Times New Roman"/>
          <w:spacing w:val="-1"/>
        </w:rPr>
        <w:t>až</w:t>
      </w:r>
      <w:r w:rsidR="003F3FD9" w:rsidRPr="00026E83">
        <w:rPr>
          <w:rFonts w:ascii="Times New Roman" w:hAnsi="Times New Roman"/>
          <w:spacing w:val="-1"/>
        </w:rPr>
        <w:t xml:space="preserve"> &lt;1/100</w:t>
      </w:r>
    </w:p>
    <w:p w14:paraId="5CFF2C6A" w14:textId="0869E106"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Pr>
          <w:rFonts w:ascii="Times New Roman" w:hAnsi="Times New Roman"/>
          <w:spacing w:val="-1"/>
        </w:rPr>
        <w:t>Zriedkavé</w:t>
      </w:r>
      <w:r w:rsidR="00FE74BB">
        <w:rPr>
          <w:rFonts w:ascii="Times New Roman" w:hAnsi="Times New Roman"/>
          <w:spacing w:val="-1"/>
        </w:rPr>
        <w:tab/>
      </w:r>
      <w:r w:rsidR="00FE74BB">
        <w:rPr>
          <w:rFonts w:ascii="Times New Roman" w:hAnsi="Times New Roman"/>
          <w:spacing w:val="-1"/>
        </w:rPr>
        <w:tab/>
      </w:r>
      <w:r>
        <w:rPr>
          <w:rFonts w:ascii="Times New Roman" w:hAnsi="Times New Roman"/>
          <w:spacing w:val="-1"/>
        </w:rPr>
        <w:t>≥ 1/10 </w:t>
      </w:r>
      <w:r w:rsidR="003F3FD9" w:rsidRPr="00026E83">
        <w:rPr>
          <w:rFonts w:ascii="Times New Roman" w:hAnsi="Times New Roman"/>
          <w:spacing w:val="-1"/>
        </w:rPr>
        <w:t xml:space="preserve">000 </w:t>
      </w:r>
      <w:r>
        <w:rPr>
          <w:rFonts w:ascii="Times New Roman" w:hAnsi="Times New Roman"/>
          <w:spacing w:val="-1"/>
        </w:rPr>
        <w:t>až &lt;1/1 </w:t>
      </w:r>
      <w:r w:rsidR="003F3FD9" w:rsidRPr="00026E83">
        <w:rPr>
          <w:rFonts w:ascii="Times New Roman" w:hAnsi="Times New Roman"/>
          <w:spacing w:val="-1"/>
        </w:rPr>
        <w:t>000</w:t>
      </w:r>
    </w:p>
    <w:p w14:paraId="4457BAF8" w14:textId="60EA590D" w:rsidR="003F3FD9" w:rsidRPr="00026E83" w:rsidRDefault="00846E8B" w:rsidP="001D75B8">
      <w:pPr>
        <w:widowControl w:val="0"/>
        <w:autoSpaceDE w:val="0"/>
        <w:autoSpaceDN w:val="0"/>
        <w:adjustRightInd w:val="0"/>
        <w:spacing w:after="0" w:line="252" w:lineRule="exact"/>
        <w:ind w:right="62"/>
        <w:jc w:val="both"/>
        <w:rPr>
          <w:rFonts w:ascii="Times New Roman" w:hAnsi="Times New Roman"/>
          <w:spacing w:val="-1"/>
        </w:rPr>
      </w:pPr>
      <w:r>
        <w:rPr>
          <w:rFonts w:ascii="Times New Roman" w:hAnsi="Times New Roman"/>
          <w:spacing w:val="-1"/>
        </w:rPr>
        <w:t>Veľmi zriedkavé</w:t>
      </w:r>
      <w:r>
        <w:rPr>
          <w:rFonts w:ascii="Times New Roman" w:hAnsi="Times New Roman"/>
          <w:spacing w:val="-1"/>
        </w:rPr>
        <w:tab/>
        <w:t>&lt; 1/10 </w:t>
      </w:r>
      <w:r w:rsidR="003F3FD9" w:rsidRPr="00026E83">
        <w:rPr>
          <w:rFonts w:ascii="Times New Roman" w:hAnsi="Times New Roman"/>
          <w:spacing w:val="-1"/>
        </w:rPr>
        <w:t>000</w:t>
      </w:r>
    </w:p>
    <w:p w14:paraId="74AC9B79" w14:textId="77777777" w:rsidR="003F3FD9" w:rsidRDefault="003F3FD9" w:rsidP="001D75B8">
      <w:pPr>
        <w:widowControl w:val="0"/>
        <w:autoSpaceDE w:val="0"/>
        <w:autoSpaceDN w:val="0"/>
        <w:adjustRightInd w:val="0"/>
        <w:spacing w:after="0" w:line="252" w:lineRule="exact"/>
        <w:ind w:right="5657"/>
        <w:rPr>
          <w:rFonts w:ascii="Times New Roman" w:hAnsi="Times New Roman"/>
        </w:rPr>
      </w:pPr>
    </w:p>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4"/>
        <w:gridCol w:w="5386"/>
      </w:tblGrid>
      <w:tr w:rsidR="003F3FD9" w:rsidRPr="00D12DEA" w14:paraId="44B3546F" w14:textId="77777777" w:rsidTr="001D75B8">
        <w:tc>
          <w:tcPr>
            <w:tcW w:w="8510" w:type="dxa"/>
            <w:gridSpan w:val="2"/>
            <w:shd w:val="clear" w:color="auto" w:fill="auto"/>
          </w:tcPr>
          <w:p w14:paraId="1CD579EE" w14:textId="0BFD9DED" w:rsidR="003F3FD9" w:rsidRPr="00D12DEA" w:rsidRDefault="00846E8B" w:rsidP="001D75B8">
            <w:pPr>
              <w:spacing w:after="0" w:line="240" w:lineRule="auto"/>
              <w:ind w:right="57"/>
              <w:rPr>
                <w:rFonts w:ascii="Times New Roman" w:hAnsi="Times New Roman"/>
                <w:i/>
                <w:lang w:val="nl-NL" w:eastAsia="nl-NL"/>
              </w:rPr>
            </w:pPr>
            <w:r w:rsidRPr="00846E8B">
              <w:rPr>
                <w:rFonts w:ascii="Times New Roman" w:hAnsi="Times New Roman"/>
                <w:b/>
                <w:i/>
                <w:lang w:val="nl-NL" w:eastAsia="nl-NL"/>
              </w:rPr>
              <w:t>Poruchy metabolizmu a výživy</w:t>
            </w:r>
          </w:p>
        </w:tc>
      </w:tr>
      <w:tr w:rsidR="003F3FD9" w:rsidRPr="00D12DEA" w14:paraId="37AA6804" w14:textId="77777777" w:rsidTr="001D75B8">
        <w:tc>
          <w:tcPr>
            <w:tcW w:w="3124" w:type="dxa"/>
            <w:shd w:val="clear" w:color="auto" w:fill="auto"/>
          </w:tcPr>
          <w:p w14:paraId="2EBB1046" w14:textId="608B721B"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Časté</w:t>
            </w:r>
            <w:r w:rsidR="003F3FD9" w:rsidRPr="00D12DEA">
              <w:rPr>
                <w:rFonts w:ascii="Times New Roman" w:hAnsi="Times New Roman"/>
                <w:i/>
                <w:lang w:val="nl-NL" w:eastAsia="nl-NL"/>
              </w:rPr>
              <w:t>:</w:t>
            </w:r>
          </w:p>
        </w:tc>
        <w:tc>
          <w:tcPr>
            <w:tcW w:w="5386" w:type="dxa"/>
            <w:shd w:val="clear" w:color="auto" w:fill="auto"/>
          </w:tcPr>
          <w:p w14:paraId="596C2120" w14:textId="0805552C"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Hyperkalcié</w:t>
            </w:r>
            <w:r w:rsidR="003F3FD9" w:rsidRPr="00D12DEA">
              <w:rPr>
                <w:rFonts w:ascii="Times New Roman" w:hAnsi="Times New Roman"/>
                <w:i/>
                <w:lang w:val="nl-NL" w:eastAsia="nl-NL"/>
              </w:rPr>
              <w:t>mia</w:t>
            </w:r>
          </w:p>
          <w:p w14:paraId="243F9E58" w14:textId="412454C8"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Hyperfosfaté</w:t>
            </w:r>
            <w:r w:rsidR="003F3FD9" w:rsidRPr="00D12DEA">
              <w:rPr>
                <w:rFonts w:ascii="Times New Roman" w:hAnsi="Times New Roman"/>
                <w:i/>
                <w:lang w:val="nl-NL" w:eastAsia="nl-NL"/>
              </w:rPr>
              <w:t>mia</w:t>
            </w:r>
          </w:p>
        </w:tc>
      </w:tr>
      <w:tr w:rsidR="003F3FD9" w:rsidRPr="00D12DEA" w14:paraId="090824C7" w14:textId="77777777" w:rsidTr="001D75B8">
        <w:tc>
          <w:tcPr>
            <w:tcW w:w="8510" w:type="dxa"/>
            <w:gridSpan w:val="2"/>
            <w:shd w:val="clear" w:color="auto" w:fill="auto"/>
          </w:tcPr>
          <w:p w14:paraId="1F653753" w14:textId="66520513" w:rsidR="003F3FD9" w:rsidRPr="00D12DEA" w:rsidRDefault="00846E8B" w:rsidP="001D75B8">
            <w:pPr>
              <w:spacing w:after="0" w:line="240" w:lineRule="auto"/>
              <w:ind w:right="57"/>
              <w:rPr>
                <w:rFonts w:ascii="Times New Roman" w:hAnsi="Times New Roman"/>
                <w:i/>
                <w:lang w:val="nl-NL" w:eastAsia="nl-NL"/>
              </w:rPr>
            </w:pPr>
            <w:r w:rsidRPr="00846E8B">
              <w:rPr>
                <w:rFonts w:ascii="Times New Roman" w:hAnsi="Times New Roman"/>
                <w:b/>
                <w:i/>
                <w:lang w:val="nl-NL" w:eastAsia="nl-NL"/>
              </w:rPr>
              <w:t>Psychi</w:t>
            </w:r>
            <w:r w:rsidR="008E09A0">
              <w:rPr>
                <w:rFonts w:ascii="Times New Roman" w:hAnsi="Times New Roman"/>
                <w:b/>
                <w:i/>
                <w:lang w:val="nl-NL" w:eastAsia="nl-NL"/>
              </w:rPr>
              <w:t>cké</w:t>
            </w:r>
            <w:r w:rsidRPr="00846E8B">
              <w:rPr>
                <w:rFonts w:ascii="Times New Roman" w:hAnsi="Times New Roman"/>
                <w:b/>
                <w:i/>
                <w:lang w:val="nl-NL" w:eastAsia="nl-NL"/>
              </w:rPr>
              <w:t xml:space="preserve"> poruchy</w:t>
            </w:r>
          </w:p>
        </w:tc>
      </w:tr>
      <w:tr w:rsidR="003F3FD9" w:rsidRPr="00D12DEA" w14:paraId="34684D5F" w14:textId="77777777" w:rsidTr="001D75B8">
        <w:tc>
          <w:tcPr>
            <w:tcW w:w="3124" w:type="dxa"/>
            <w:shd w:val="clear" w:color="auto" w:fill="auto"/>
          </w:tcPr>
          <w:p w14:paraId="18778D8F" w14:textId="788612EE"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Menej časté</w:t>
            </w:r>
            <w:r w:rsidR="003F3FD9" w:rsidRPr="00D12DEA">
              <w:rPr>
                <w:rFonts w:ascii="Times New Roman" w:hAnsi="Times New Roman"/>
                <w:i/>
                <w:lang w:val="nl-NL" w:eastAsia="nl-NL"/>
              </w:rPr>
              <w:t>:</w:t>
            </w:r>
          </w:p>
        </w:tc>
        <w:tc>
          <w:tcPr>
            <w:tcW w:w="5386" w:type="dxa"/>
            <w:shd w:val="clear" w:color="auto" w:fill="auto"/>
          </w:tcPr>
          <w:p w14:paraId="3D7E6152" w14:textId="178DC3BF"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Stav zmätenosti</w:t>
            </w:r>
          </w:p>
        </w:tc>
      </w:tr>
      <w:tr w:rsidR="003F3FD9" w:rsidRPr="00D12DEA" w14:paraId="138DFA63" w14:textId="77777777" w:rsidTr="001D75B8">
        <w:tc>
          <w:tcPr>
            <w:tcW w:w="8510" w:type="dxa"/>
            <w:gridSpan w:val="2"/>
            <w:shd w:val="clear" w:color="auto" w:fill="auto"/>
          </w:tcPr>
          <w:p w14:paraId="206D1366" w14:textId="3BC9C482" w:rsidR="003F3FD9" w:rsidRPr="00D12DEA" w:rsidRDefault="00846E8B" w:rsidP="001D75B8">
            <w:pPr>
              <w:spacing w:after="0" w:line="240" w:lineRule="auto"/>
              <w:ind w:right="57"/>
              <w:rPr>
                <w:rFonts w:ascii="Times New Roman" w:hAnsi="Times New Roman"/>
                <w:i/>
                <w:lang w:val="nl-NL" w:eastAsia="nl-NL"/>
              </w:rPr>
            </w:pPr>
            <w:r w:rsidRPr="00846E8B">
              <w:rPr>
                <w:rFonts w:ascii="Times New Roman" w:hAnsi="Times New Roman"/>
                <w:b/>
                <w:i/>
                <w:lang w:val="nl-NL" w:eastAsia="nl-NL"/>
              </w:rPr>
              <w:t>Poruchy nervového systému</w:t>
            </w:r>
          </w:p>
        </w:tc>
      </w:tr>
      <w:tr w:rsidR="003F3FD9" w:rsidRPr="00D12DEA" w14:paraId="68B87B19" w14:textId="77777777" w:rsidTr="001D75B8">
        <w:tc>
          <w:tcPr>
            <w:tcW w:w="3124" w:type="dxa"/>
            <w:shd w:val="clear" w:color="auto" w:fill="auto"/>
          </w:tcPr>
          <w:p w14:paraId="48CB62A2" w14:textId="77FEA0B0"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Menej časté</w:t>
            </w:r>
            <w:r w:rsidR="003F3FD9" w:rsidRPr="00D12DEA">
              <w:rPr>
                <w:rFonts w:ascii="Times New Roman" w:hAnsi="Times New Roman"/>
                <w:i/>
                <w:lang w:val="nl-NL" w:eastAsia="nl-NL"/>
              </w:rPr>
              <w:t>:</w:t>
            </w:r>
          </w:p>
        </w:tc>
        <w:tc>
          <w:tcPr>
            <w:tcW w:w="5386" w:type="dxa"/>
            <w:shd w:val="clear" w:color="auto" w:fill="auto"/>
          </w:tcPr>
          <w:p w14:paraId="3D93C34F" w14:textId="688A425B"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Bolesť hlavy</w:t>
            </w:r>
          </w:p>
        </w:tc>
      </w:tr>
      <w:tr w:rsidR="003F3FD9" w:rsidRPr="00D12DEA" w14:paraId="16EDAFA4" w14:textId="77777777" w:rsidTr="001D75B8">
        <w:tc>
          <w:tcPr>
            <w:tcW w:w="3124" w:type="dxa"/>
            <w:shd w:val="clear" w:color="auto" w:fill="auto"/>
          </w:tcPr>
          <w:p w14:paraId="08576047" w14:textId="73DEC8E0" w:rsidR="003F3FD9" w:rsidRPr="00D12DEA" w:rsidRDefault="004C5835" w:rsidP="001D75B8">
            <w:pPr>
              <w:spacing w:after="0" w:line="240" w:lineRule="auto"/>
              <w:ind w:right="57"/>
              <w:rPr>
                <w:rFonts w:ascii="Times New Roman" w:hAnsi="Times New Roman"/>
                <w:i/>
                <w:lang w:val="nl-NL" w:eastAsia="nl-NL"/>
              </w:rPr>
            </w:pPr>
            <w:r>
              <w:rPr>
                <w:rFonts w:ascii="Times New Roman" w:hAnsi="Times New Roman"/>
                <w:i/>
                <w:lang w:val="nl-NL" w:eastAsia="nl-NL"/>
              </w:rPr>
              <w:t>Zriedkavé</w:t>
            </w:r>
            <w:r w:rsidR="003F3FD9" w:rsidRPr="00D12DEA">
              <w:rPr>
                <w:rFonts w:ascii="Times New Roman" w:hAnsi="Times New Roman"/>
                <w:i/>
                <w:lang w:val="nl-NL" w:eastAsia="nl-NL"/>
              </w:rPr>
              <w:t>:</w:t>
            </w:r>
          </w:p>
        </w:tc>
        <w:tc>
          <w:tcPr>
            <w:tcW w:w="5386" w:type="dxa"/>
            <w:shd w:val="clear" w:color="auto" w:fill="auto"/>
          </w:tcPr>
          <w:p w14:paraId="1B153061" w14:textId="0505405C"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Závrat</w:t>
            </w:r>
          </w:p>
        </w:tc>
      </w:tr>
      <w:tr w:rsidR="003F3FD9" w:rsidRPr="00D12DEA" w14:paraId="0B37654C" w14:textId="77777777" w:rsidTr="001D75B8">
        <w:tc>
          <w:tcPr>
            <w:tcW w:w="8510" w:type="dxa"/>
            <w:gridSpan w:val="2"/>
            <w:shd w:val="clear" w:color="auto" w:fill="auto"/>
          </w:tcPr>
          <w:p w14:paraId="3777D51C" w14:textId="73998922" w:rsidR="003F3FD9" w:rsidRPr="00D12DEA" w:rsidRDefault="008E09A0" w:rsidP="001D75B8">
            <w:pPr>
              <w:spacing w:after="0" w:line="240" w:lineRule="auto"/>
              <w:ind w:right="57"/>
              <w:rPr>
                <w:rFonts w:ascii="Times New Roman" w:hAnsi="Times New Roman"/>
                <w:i/>
                <w:lang w:val="nl-NL" w:eastAsia="nl-NL"/>
              </w:rPr>
            </w:pPr>
            <w:r w:rsidRPr="008E09A0">
              <w:rPr>
                <w:rFonts w:ascii="Times New Roman" w:hAnsi="Times New Roman"/>
                <w:b/>
                <w:i/>
                <w:lang w:val="nl-NL" w:eastAsia="nl-NL"/>
              </w:rPr>
              <w:t>Poru</w:t>
            </w:r>
            <w:r>
              <w:rPr>
                <w:rFonts w:ascii="Times New Roman" w:hAnsi="Times New Roman"/>
                <w:b/>
                <w:i/>
                <w:lang w:val="nl-NL" w:eastAsia="nl-NL"/>
              </w:rPr>
              <w:t>chy gastrointestinálneho traktu</w:t>
            </w:r>
          </w:p>
        </w:tc>
      </w:tr>
      <w:tr w:rsidR="003F3FD9" w:rsidRPr="00D12DEA" w14:paraId="05316FC7" w14:textId="77777777" w:rsidTr="001D75B8">
        <w:tc>
          <w:tcPr>
            <w:tcW w:w="3124" w:type="dxa"/>
            <w:shd w:val="clear" w:color="auto" w:fill="auto"/>
          </w:tcPr>
          <w:p w14:paraId="6735CB15" w14:textId="32F99CEF"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lastRenderedPageBreak/>
              <w:t>Časté</w:t>
            </w:r>
            <w:r w:rsidR="003F3FD9" w:rsidRPr="00D12DEA">
              <w:rPr>
                <w:rFonts w:ascii="Times New Roman" w:hAnsi="Times New Roman"/>
                <w:i/>
                <w:lang w:val="nl-NL" w:eastAsia="nl-NL"/>
              </w:rPr>
              <w:t>:</w:t>
            </w:r>
          </w:p>
        </w:tc>
        <w:tc>
          <w:tcPr>
            <w:tcW w:w="5386" w:type="dxa"/>
            <w:shd w:val="clear" w:color="auto" w:fill="auto"/>
          </w:tcPr>
          <w:p w14:paraId="15BCC07E" w14:textId="58B1D286"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Brušná bolesť a diskomfort</w:t>
            </w:r>
          </w:p>
        </w:tc>
      </w:tr>
      <w:tr w:rsidR="003F3FD9" w:rsidRPr="00D12DEA" w14:paraId="3FDA122C" w14:textId="77777777" w:rsidTr="001D75B8">
        <w:tc>
          <w:tcPr>
            <w:tcW w:w="3124" w:type="dxa"/>
            <w:shd w:val="clear" w:color="auto" w:fill="auto"/>
          </w:tcPr>
          <w:p w14:paraId="5499DC24" w14:textId="654EDF6A"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Menej časté</w:t>
            </w:r>
            <w:r w:rsidR="003F3FD9" w:rsidRPr="00D12DEA">
              <w:rPr>
                <w:rFonts w:ascii="Times New Roman" w:hAnsi="Times New Roman"/>
                <w:i/>
                <w:lang w:val="nl-NL" w:eastAsia="nl-NL"/>
              </w:rPr>
              <w:t>:</w:t>
            </w:r>
          </w:p>
        </w:tc>
        <w:tc>
          <w:tcPr>
            <w:tcW w:w="5386" w:type="dxa"/>
            <w:shd w:val="clear" w:color="auto" w:fill="auto"/>
          </w:tcPr>
          <w:p w14:paraId="2D9F296C" w14:textId="2468E568"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Hnačka</w:t>
            </w:r>
          </w:p>
          <w:p w14:paraId="4E04CDA1" w14:textId="7B12FA05"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Vracanie</w:t>
            </w:r>
          </w:p>
          <w:p w14:paraId="29517893" w14:textId="23AFE146"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Zápcha</w:t>
            </w:r>
          </w:p>
          <w:p w14:paraId="358B6623" w14:textId="4C29DA3B"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Nauzea</w:t>
            </w:r>
          </w:p>
        </w:tc>
      </w:tr>
      <w:tr w:rsidR="003F3FD9" w:rsidRPr="00D12DEA" w14:paraId="65B5261B" w14:textId="77777777" w:rsidTr="001D75B8">
        <w:tc>
          <w:tcPr>
            <w:tcW w:w="8510" w:type="dxa"/>
            <w:gridSpan w:val="2"/>
            <w:shd w:val="clear" w:color="auto" w:fill="auto"/>
          </w:tcPr>
          <w:p w14:paraId="2BF80A70" w14:textId="172D73FF" w:rsidR="003F3FD9" w:rsidRPr="001D75B8" w:rsidRDefault="00846E8B" w:rsidP="001D75B8">
            <w:pPr>
              <w:spacing w:after="0" w:line="240" w:lineRule="auto"/>
              <w:ind w:right="57"/>
              <w:rPr>
                <w:rFonts w:ascii="Times New Roman" w:hAnsi="Times New Roman"/>
                <w:i/>
                <w:lang w:eastAsia="nl-NL"/>
              </w:rPr>
            </w:pPr>
            <w:r w:rsidRPr="001D75B8">
              <w:rPr>
                <w:rFonts w:ascii="Times New Roman" w:hAnsi="Times New Roman"/>
                <w:b/>
                <w:i/>
                <w:lang w:eastAsia="nl-NL"/>
              </w:rPr>
              <w:t>Poruchy kože a podkožného tkaniva</w:t>
            </w:r>
          </w:p>
        </w:tc>
      </w:tr>
      <w:tr w:rsidR="003F3FD9" w:rsidRPr="00D12DEA" w14:paraId="1B59D7DD" w14:textId="77777777" w:rsidTr="001D75B8">
        <w:tc>
          <w:tcPr>
            <w:tcW w:w="3124" w:type="dxa"/>
            <w:shd w:val="clear" w:color="auto" w:fill="auto"/>
          </w:tcPr>
          <w:p w14:paraId="7183B538" w14:textId="6E137863"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Časté</w:t>
            </w:r>
            <w:r w:rsidR="003F3FD9" w:rsidRPr="00D12DEA">
              <w:rPr>
                <w:rFonts w:ascii="Times New Roman" w:hAnsi="Times New Roman"/>
                <w:i/>
                <w:lang w:val="nl-NL" w:eastAsia="nl-NL"/>
              </w:rPr>
              <w:t xml:space="preserve">: </w:t>
            </w:r>
          </w:p>
        </w:tc>
        <w:tc>
          <w:tcPr>
            <w:tcW w:w="5386" w:type="dxa"/>
            <w:shd w:val="clear" w:color="auto" w:fill="auto"/>
          </w:tcPr>
          <w:p w14:paraId="047ED7FE" w14:textId="0FAD04BC" w:rsidR="003F3FD9" w:rsidRPr="001D75B8" w:rsidRDefault="00846E8B" w:rsidP="001D75B8">
            <w:pPr>
              <w:spacing w:after="0" w:line="240" w:lineRule="auto"/>
              <w:ind w:right="57"/>
              <w:rPr>
                <w:rFonts w:ascii="Times New Roman" w:hAnsi="Times New Roman"/>
                <w:i/>
                <w:lang w:val="nl-NL" w:eastAsia="nl-NL"/>
              </w:rPr>
            </w:pPr>
            <w:r w:rsidRPr="001D75B8">
              <w:rPr>
                <w:rFonts w:ascii="Times New Roman" w:hAnsi="Times New Roman"/>
                <w:i/>
                <w:lang w:val="nl-NL" w:eastAsia="nl-NL"/>
              </w:rPr>
              <w:t>Vyrážka</w:t>
            </w:r>
            <w:r w:rsidR="003F3FD9" w:rsidRPr="001D75B8">
              <w:rPr>
                <w:rFonts w:ascii="Times New Roman" w:hAnsi="Times New Roman"/>
                <w:i/>
                <w:lang w:val="nl-NL" w:eastAsia="nl-NL"/>
              </w:rPr>
              <w:t>*</w:t>
            </w:r>
          </w:p>
          <w:p w14:paraId="7B9B55CB" w14:textId="602080A4" w:rsidR="004C5835" w:rsidRPr="001D75B8" w:rsidRDefault="004C5835" w:rsidP="001D75B8">
            <w:pPr>
              <w:spacing w:after="0" w:line="240" w:lineRule="auto"/>
              <w:ind w:right="57"/>
              <w:rPr>
                <w:rFonts w:ascii="Times New Roman" w:hAnsi="Times New Roman"/>
                <w:i/>
                <w:lang w:val="nl-NL" w:eastAsia="nl-NL"/>
              </w:rPr>
            </w:pPr>
            <w:r w:rsidRPr="001D75B8">
              <w:rPr>
                <w:rFonts w:ascii="Times New Roman" w:hAnsi="Times New Roman"/>
                <w:i/>
                <w:lang w:val="nl-NL" w:eastAsia="nl-NL"/>
              </w:rPr>
              <w:t>Pruritus</w:t>
            </w:r>
          </w:p>
          <w:p w14:paraId="1130E1F9" w14:textId="2F30BEA9" w:rsidR="003F3FD9" w:rsidRPr="001D75B8" w:rsidRDefault="003F3FD9" w:rsidP="001D75B8">
            <w:pPr>
              <w:spacing w:after="0" w:line="240" w:lineRule="auto"/>
              <w:ind w:right="57"/>
              <w:rPr>
                <w:rFonts w:ascii="Times New Roman" w:hAnsi="Times New Roman"/>
                <w:i/>
                <w:lang w:val="nl-NL" w:eastAsia="nl-NL"/>
              </w:rPr>
            </w:pPr>
            <w:r w:rsidRPr="001D75B8">
              <w:rPr>
                <w:rFonts w:ascii="Times New Roman" w:hAnsi="Times New Roman"/>
                <w:i/>
                <w:lang w:val="nl-NL" w:eastAsia="nl-NL"/>
              </w:rPr>
              <w:t>*</w:t>
            </w:r>
            <w:r w:rsidR="00FE74BB" w:rsidRPr="001D75B8">
              <w:rPr>
                <w:rFonts w:ascii="Times New Roman" w:hAnsi="Times New Roman"/>
                <w:i/>
                <w:lang w:val="nl-NL" w:eastAsia="nl-NL"/>
              </w:rPr>
              <w:t>Boli hlásené rôzne typy vyrážok, ako je erytematózna, makulopapulárna a pustulárna.</w:t>
            </w:r>
          </w:p>
        </w:tc>
      </w:tr>
      <w:tr w:rsidR="003F3FD9" w:rsidRPr="00D12DEA" w14:paraId="00390E13" w14:textId="77777777" w:rsidTr="001D75B8">
        <w:tc>
          <w:tcPr>
            <w:tcW w:w="8510" w:type="dxa"/>
            <w:gridSpan w:val="2"/>
            <w:shd w:val="clear" w:color="auto" w:fill="auto"/>
          </w:tcPr>
          <w:p w14:paraId="60BAFAEC" w14:textId="74300B54" w:rsidR="003F3FD9" w:rsidRPr="001D75B8" w:rsidRDefault="00846E8B" w:rsidP="001D75B8">
            <w:pPr>
              <w:spacing w:after="0" w:line="240" w:lineRule="auto"/>
              <w:ind w:right="57"/>
              <w:rPr>
                <w:rFonts w:ascii="Times New Roman" w:hAnsi="Times New Roman"/>
                <w:i/>
                <w:lang w:eastAsia="nl-NL"/>
              </w:rPr>
            </w:pPr>
            <w:r w:rsidRPr="001D75B8">
              <w:rPr>
                <w:rFonts w:ascii="Times New Roman" w:hAnsi="Times New Roman"/>
                <w:b/>
                <w:i/>
                <w:lang w:eastAsia="nl-NL"/>
              </w:rPr>
              <w:t>Poruchy kostrov</w:t>
            </w:r>
            <w:r w:rsidR="008E09A0">
              <w:rPr>
                <w:rFonts w:ascii="Times New Roman" w:hAnsi="Times New Roman"/>
                <w:b/>
                <w:i/>
                <w:lang w:eastAsia="nl-NL"/>
              </w:rPr>
              <w:t>ej a </w:t>
            </w:r>
            <w:r w:rsidRPr="001D75B8">
              <w:rPr>
                <w:rFonts w:ascii="Times New Roman" w:hAnsi="Times New Roman"/>
                <w:b/>
                <w:i/>
                <w:lang w:eastAsia="nl-NL"/>
              </w:rPr>
              <w:t>sval</w:t>
            </w:r>
            <w:r w:rsidR="008E09A0">
              <w:rPr>
                <w:rFonts w:ascii="Times New Roman" w:hAnsi="Times New Roman"/>
                <w:b/>
                <w:i/>
                <w:lang w:eastAsia="nl-NL"/>
              </w:rPr>
              <w:t>ovej</w:t>
            </w:r>
            <w:r w:rsidRPr="001D75B8">
              <w:rPr>
                <w:rFonts w:ascii="Times New Roman" w:hAnsi="Times New Roman"/>
                <w:b/>
                <w:i/>
                <w:lang w:eastAsia="nl-NL"/>
              </w:rPr>
              <w:t xml:space="preserve"> </w:t>
            </w:r>
            <w:r w:rsidR="008E09A0">
              <w:rPr>
                <w:rFonts w:ascii="Times New Roman" w:hAnsi="Times New Roman"/>
                <w:b/>
                <w:i/>
                <w:lang w:eastAsia="nl-NL"/>
              </w:rPr>
              <w:t xml:space="preserve">sústavy </w:t>
            </w:r>
            <w:r w:rsidRPr="001D75B8">
              <w:rPr>
                <w:rFonts w:ascii="Times New Roman" w:hAnsi="Times New Roman"/>
                <w:b/>
                <w:i/>
                <w:lang w:eastAsia="nl-NL"/>
              </w:rPr>
              <w:t>a spojivového tkaniva</w:t>
            </w:r>
          </w:p>
        </w:tc>
      </w:tr>
      <w:tr w:rsidR="003F3FD9" w:rsidRPr="00D12DEA" w14:paraId="74D11E05" w14:textId="77777777" w:rsidTr="001D75B8">
        <w:tc>
          <w:tcPr>
            <w:tcW w:w="3124" w:type="dxa"/>
            <w:shd w:val="clear" w:color="auto" w:fill="auto"/>
          </w:tcPr>
          <w:p w14:paraId="27DD9651" w14:textId="6B3CB4B6"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Menej časté</w:t>
            </w:r>
            <w:r w:rsidR="003F3FD9" w:rsidRPr="00D12DEA">
              <w:rPr>
                <w:rFonts w:ascii="Times New Roman" w:hAnsi="Times New Roman"/>
                <w:i/>
                <w:lang w:val="nl-NL" w:eastAsia="nl-NL"/>
              </w:rPr>
              <w:t>:</w:t>
            </w:r>
          </w:p>
        </w:tc>
        <w:tc>
          <w:tcPr>
            <w:tcW w:w="5386" w:type="dxa"/>
            <w:shd w:val="clear" w:color="auto" w:fill="auto"/>
          </w:tcPr>
          <w:p w14:paraId="7ADC69BB" w14:textId="77777777" w:rsidR="003F3FD9" w:rsidRPr="00D12DEA" w:rsidRDefault="003F3FD9" w:rsidP="001D75B8">
            <w:pPr>
              <w:spacing w:after="0" w:line="240" w:lineRule="auto"/>
              <w:ind w:right="57"/>
              <w:rPr>
                <w:rFonts w:ascii="Times New Roman" w:hAnsi="Times New Roman"/>
                <w:i/>
                <w:lang w:val="nl-NL" w:eastAsia="nl-NL"/>
              </w:rPr>
            </w:pPr>
            <w:r w:rsidRPr="00D12DEA">
              <w:rPr>
                <w:rFonts w:ascii="Times New Roman" w:hAnsi="Times New Roman"/>
                <w:i/>
                <w:lang w:val="nl-NL" w:eastAsia="nl-NL"/>
              </w:rPr>
              <w:t>Myalgia</w:t>
            </w:r>
          </w:p>
        </w:tc>
      </w:tr>
      <w:tr w:rsidR="003F3FD9" w:rsidRPr="00D12DEA" w14:paraId="76E2DF8F" w14:textId="77777777" w:rsidTr="001D75B8">
        <w:tc>
          <w:tcPr>
            <w:tcW w:w="8510" w:type="dxa"/>
            <w:gridSpan w:val="2"/>
            <w:shd w:val="clear" w:color="auto" w:fill="auto"/>
          </w:tcPr>
          <w:p w14:paraId="1579A606" w14:textId="14FE5240" w:rsidR="003F3FD9" w:rsidRPr="00D12DEA" w:rsidRDefault="00846E8B" w:rsidP="001D75B8">
            <w:pPr>
              <w:spacing w:after="0" w:line="240" w:lineRule="auto"/>
              <w:ind w:right="57"/>
              <w:rPr>
                <w:rFonts w:ascii="Times New Roman" w:hAnsi="Times New Roman"/>
                <w:i/>
                <w:lang w:val="nl-NL" w:eastAsia="nl-NL"/>
              </w:rPr>
            </w:pPr>
            <w:r w:rsidRPr="00846E8B">
              <w:rPr>
                <w:rFonts w:ascii="Times New Roman" w:hAnsi="Times New Roman"/>
                <w:b/>
                <w:i/>
                <w:lang w:val="nl-NL" w:eastAsia="nl-NL"/>
              </w:rPr>
              <w:t>Poruchy obličiek a močových ciest</w:t>
            </w:r>
          </w:p>
        </w:tc>
      </w:tr>
      <w:tr w:rsidR="003F3FD9" w:rsidRPr="00D12DEA" w14:paraId="58E2EBCC" w14:textId="77777777" w:rsidTr="001D75B8">
        <w:tc>
          <w:tcPr>
            <w:tcW w:w="3124" w:type="dxa"/>
            <w:shd w:val="clear" w:color="auto" w:fill="auto"/>
          </w:tcPr>
          <w:p w14:paraId="78A777AB" w14:textId="5AA1878A"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Časté</w:t>
            </w:r>
            <w:r w:rsidR="003F3FD9" w:rsidRPr="00D12DEA">
              <w:rPr>
                <w:rFonts w:ascii="Times New Roman" w:hAnsi="Times New Roman"/>
                <w:i/>
                <w:lang w:val="nl-NL" w:eastAsia="nl-NL"/>
              </w:rPr>
              <w:t>:</w:t>
            </w:r>
          </w:p>
        </w:tc>
        <w:tc>
          <w:tcPr>
            <w:tcW w:w="5386" w:type="dxa"/>
            <w:shd w:val="clear" w:color="auto" w:fill="auto"/>
          </w:tcPr>
          <w:p w14:paraId="4BA6CBBD" w14:textId="7FEA5AF8" w:rsidR="003F3FD9" w:rsidRPr="00D12DEA" w:rsidRDefault="00FE74BB" w:rsidP="001D75B8">
            <w:pPr>
              <w:spacing w:after="0" w:line="240" w:lineRule="auto"/>
              <w:ind w:right="57"/>
              <w:rPr>
                <w:rFonts w:ascii="Times New Roman" w:hAnsi="Times New Roman"/>
                <w:i/>
                <w:lang w:val="nl-NL" w:eastAsia="nl-NL"/>
              </w:rPr>
            </w:pPr>
            <w:r>
              <w:rPr>
                <w:rFonts w:ascii="Times New Roman" w:hAnsi="Times New Roman"/>
                <w:i/>
                <w:lang w:val="nl-NL" w:eastAsia="nl-NL"/>
              </w:rPr>
              <w:t>Hyperkalciú</w:t>
            </w:r>
            <w:r w:rsidR="003F3FD9" w:rsidRPr="00D12DEA">
              <w:rPr>
                <w:rFonts w:ascii="Times New Roman" w:hAnsi="Times New Roman"/>
                <w:i/>
                <w:lang w:val="nl-NL" w:eastAsia="nl-NL"/>
              </w:rPr>
              <w:t>ria</w:t>
            </w:r>
          </w:p>
        </w:tc>
      </w:tr>
      <w:tr w:rsidR="003F3FD9" w:rsidRPr="00D12DEA" w14:paraId="48DA6FAC" w14:textId="77777777" w:rsidTr="001D75B8">
        <w:tc>
          <w:tcPr>
            <w:tcW w:w="3124" w:type="dxa"/>
            <w:shd w:val="clear" w:color="auto" w:fill="auto"/>
          </w:tcPr>
          <w:p w14:paraId="147CDEA8" w14:textId="14D975C2"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Menej časté</w:t>
            </w:r>
            <w:r w:rsidR="003F3FD9" w:rsidRPr="00D12DEA">
              <w:rPr>
                <w:rFonts w:ascii="Times New Roman" w:hAnsi="Times New Roman"/>
                <w:i/>
                <w:lang w:val="nl-NL" w:eastAsia="nl-NL"/>
              </w:rPr>
              <w:t>:</w:t>
            </w:r>
          </w:p>
        </w:tc>
        <w:tc>
          <w:tcPr>
            <w:tcW w:w="5386" w:type="dxa"/>
            <w:shd w:val="clear" w:color="auto" w:fill="auto"/>
          </w:tcPr>
          <w:p w14:paraId="15769BF0" w14:textId="5EA9BF87" w:rsidR="003F3FD9" w:rsidRPr="001D75B8" w:rsidRDefault="00FE74BB" w:rsidP="001D75B8">
            <w:pPr>
              <w:spacing w:after="0" w:line="240" w:lineRule="auto"/>
              <w:ind w:right="57"/>
              <w:rPr>
                <w:rFonts w:ascii="Times New Roman" w:hAnsi="Times New Roman"/>
                <w:i/>
                <w:lang w:val="nl-NL" w:eastAsia="nl-NL"/>
              </w:rPr>
            </w:pPr>
            <w:r w:rsidRPr="001D75B8">
              <w:rPr>
                <w:rFonts w:ascii="Times New Roman" w:hAnsi="Times New Roman"/>
                <w:i/>
                <w:lang w:val="nl-NL" w:eastAsia="nl-NL"/>
              </w:rPr>
              <w:t>Poškodenie funkcie obličiek (vrátane akútneho zlyhania obličiek</w:t>
            </w:r>
            <w:r w:rsidR="003F3FD9" w:rsidRPr="001D75B8">
              <w:rPr>
                <w:rFonts w:ascii="Times New Roman" w:hAnsi="Times New Roman"/>
                <w:i/>
                <w:lang w:val="nl-NL" w:eastAsia="nl-NL"/>
              </w:rPr>
              <w:t>)</w:t>
            </w:r>
          </w:p>
          <w:p w14:paraId="024915EA" w14:textId="2533B551" w:rsidR="003F3FD9" w:rsidRPr="00D12DEA" w:rsidRDefault="00FE74BB" w:rsidP="001D75B8">
            <w:pPr>
              <w:spacing w:after="0" w:line="240" w:lineRule="auto"/>
              <w:ind w:right="57"/>
              <w:rPr>
                <w:rFonts w:ascii="Times New Roman" w:hAnsi="Times New Roman"/>
                <w:i/>
                <w:lang w:val="nl-NL" w:eastAsia="nl-NL"/>
              </w:rPr>
            </w:pPr>
            <w:r>
              <w:rPr>
                <w:rFonts w:ascii="Times New Roman" w:hAnsi="Times New Roman"/>
                <w:i/>
                <w:lang w:val="nl-NL" w:eastAsia="nl-NL"/>
              </w:rPr>
              <w:t>Nefrolitiáza/nefrokalcinóza</w:t>
            </w:r>
          </w:p>
        </w:tc>
      </w:tr>
      <w:tr w:rsidR="003F3FD9" w:rsidRPr="00D12DEA" w14:paraId="7F271F5D" w14:textId="77777777" w:rsidTr="001D75B8">
        <w:tc>
          <w:tcPr>
            <w:tcW w:w="8510" w:type="dxa"/>
            <w:gridSpan w:val="2"/>
            <w:shd w:val="clear" w:color="auto" w:fill="auto"/>
          </w:tcPr>
          <w:p w14:paraId="7EFB0621" w14:textId="4BBFA563" w:rsidR="003F3FD9" w:rsidRPr="00D12DEA" w:rsidRDefault="00846E8B" w:rsidP="001D75B8">
            <w:pPr>
              <w:spacing w:after="0" w:line="240" w:lineRule="auto"/>
              <w:ind w:right="57"/>
              <w:rPr>
                <w:rFonts w:ascii="Times New Roman" w:hAnsi="Times New Roman"/>
                <w:i/>
                <w:lang w:val="en-GB" w:eastAsia="nl-NL"/>
              </w:rPr>
            </w:pPr>
            <w:proofErr w:type="spellStart"/>
            <w:r w:rsidRPr="00846E8B">
              <w:rPr>
                <w:rFonts w:ascii="Times New Roman" w:hAnsi="Times New Roman"/>
                <w:b/>
                <w:i/>
                <w:lang w:val="en-GB" w:eastAsia="nl-NL"/>
              </w:rPr>
              <w:t>Celkové</w:t>
            </w:r>
            <w:proofErr w:type="spellEnd"/>
            <w:r w:rsidRPr="00846E8B">
              <w:rPr>
                <w:rFonts w:ascii="Times New Roman" w:hAnsi="Times New Roman"/>
                <w:b/>
                <w:i/>
                <w:lang w:val="en-GB" w:eastAsia="nl-NL"/>
              </w:rPr>
              <w:t xml:space="preserve"> </w:t>
            </w:r>
            <w:proofErr w:type="spellStart"/>
            <w:r>
              <w:rPr>
                <w:rFonts w:ascii="Times New Roman" w:hAnsi="Times New Roman"/>
                <w:b/>
                <w:i/>
                <w:lang w:val="en-GB" w:eastAsia="nl-NL"/>
              </w:rPr>
              <w:t>poruchy</w:t>
            </w:r>
            <w:proofErr w:type="spellEnd"/>
            <w:r>
              <w:rPr>
                <w:rFonts w:ascii="Times New Roman" w:hAnsi="Times New Roman"/>
                <w:b/>
                <w:i/>
                <w:lang w:val="en-GB" w:eastAsia="nl-NL"/>
              </w:rPr>
              <w:t xml:space="preserve"> a </w:t>
            </w:r>
            <w:proofErr w:type="spellStart"/>
            <w:r w:rsidR="008E09A0">
              <w:rPr>
                <w:rFonts w:ascii="Times New Roman" w:hAnsi="Times New Roman"/>
                <w:b/>
                <w:i/>
                <w:lang w:val="en-GB" w:eastAsia="nl-NL"/>
              </w:rPr>
              <w:t>reakcie</w:t>
            </w:r>
            <w:proofErr w:type="spellEnd"/>
            <w:r>
              <w:rPr>
                <w:rFonts w:ascii="Times New Roman" w:hAnsi="Times New Roman"/>
                <w:b/>
                <w:i/>
                <w:lang w:val="en-GB" w:eastAsia="nl-NL"/>
              </w:rPr>
              <w:t xml:space="preserve"> v </w:t>
            </w:r>
            <w:proofErr w:type="spellStart"/>
            <w:r>
              <w:rPr>
                <w:rFonts w:ascii="Times New Roman" w:hAnsi="Times New Roman"/>
                <w:b/>
                <w:i/>
                <w:lang w:val="en-GB" w:eastAsia="nl-NL"/>
              </w:rPr>
              <w:t>mieste</w:t>
            </w:r>
            <w:proofErr w:type="spellEnd"/>
            <w:r>
              <w:rPr>
                <w:rFonts w:ascii="Times New Roman" w:hAnsi="Times New Roman"/>
                <w:b/>
                <w:i/>
                <w:lang w:val="en-GB" w:eastAsia="nl-NL"/>
              </w:rPr>
              <w:t xml:space="preserve"> </w:t>
            </w:r>
            <w:proofErr w:type="spellStart"/>
            <w:r>
              <w:rPr>
                <w:rFonts w:ascii="Times New Roman" w:hAnsi="Times New Roman"/>
                <w:b/>
                <w:i/>
                <w:lang w:val="en-GB" w:eastAsia="nl-NL"/>
              </w:rPr>
              <w:t>podania</w:t>
            </w:r>
            <w:proofErr w:type="spellEnd"/>
          </w:p>
        </w:tc>
      </w:tr>
      <w:tr w:rsidR="003F3FD9" w:rsidRPr="00D12DEA" w14:paraId="09367689" w14:textId="77777777" w:rsidTr="001D75B8">
        <w:tc>
          <w:tcPr>
            <w:tcW w:w="3124" w:type="dxa"/>
            <w:shd w:val="clear" w:color="auto" w:fill="auto"/>
          </w:tcPr>
          <w:p w14:paraId="1AEB2AE6" w14:textId="640CEC8B" w:rsidR="003F3FD9" w:rsidRPr="00D12DEA" w:rsidRDefault="00846E8B" w:rsidP="001D75B8">
            <w:pPr>
              <w:spacing w:after="0" w:line="240" w:lineRule="auto"/>
              <w:ind w:right="57"/>
              <w:rPr>
                <w:rFonts w:ascii="Times New Roman" w:hAnsi="Times New Roman"/>
                <w:i/>
                <w:lang w:val="nl-NL" w:eastAsia="nl-NL"/>
              </w:rPr>
            </w:pPr>
            <w:r>
              <w:rPr>
                <w:rFonts w:ascii="Times New Roman" w:hAnsi="Times New Roman"/>
                <w:i/>
                <w:lang w:val="nl-NL" w:eastAsia="nl-NL"/>
              </w:rPr>
              <w:t>Menej časté</w:t>
            </w:r>
            <w:r w:rsidR="003F3FD9" w:rsidRPr="00D12DEA">
              <w:rPr>
                <w:rFonts w:ascii="Times New Roman" w:hAnsi="Times New Roman"/>
                <w:i/>
                <w:lang w:val="nl-NL" w:eastAsia="nl-NL"/>
              </w:rPr>
              <w:t>:</w:t>
            </w:r>
          </w:p>
        </w:tc>
        <w:tc>
          <w:tcPr>
            <w:tcW w:w="5386" w:type="dxa"/>
            <w:shd w:val="clear" w:color="auto" w:fill="auto"/>
          </w:tcPr>
          <w:p w14:paraId="4AD973A0" w14:textId="4F54B1B5" w:rsidR="003F3FD9" w:rsidRPr="00D12DEA" w:rsidRDefault="00FE74BB" w:rsidP="001D75B8">
            <w:pPr>
              <w:spacing w:after="0" w:line="240" w:lineRule="auto"/>
              <w:ind w:right="57"/>
              <w:rPr>
                <w:rFonts w:ascii="Times New Roman" w:hAnsi="Times New Roman"/>
                <w:i/>
                <w:lang w:val="nl-NL" w:eastAsia="nl-NL"/>
              </w:rPr>
            </w:pPr>
            <w:r w:rsidRPr="00FE74BB">
              <w:rPr>
                <w:rFonts w:ascii="Times New Roman" w:hAnsi="Times New Roman"/>
                <w:i/>
                <w:lang w:val="nl-NL" w:eastAsia="nl-NL"/>
              </w:rPr>
              <w:t>Únava/asténia/malátnosť</w:t>
            </w:r>
          </w:p>
          <w:p w14:paraId="13359233" w14:textId="44C27142" w:rsidR="003F3FD9" w:rsidRPr="00D12DEA" w:rsidRDefault="00FE74BB" w:rsidP="001D75B8">
            <w:pPr>
              <w:spacing w:after="0" w:line="240" w:lineRule="auto"/>
              <w:ind w:right="57"/>
              <w:rPr>
                <w:rFonts w:ascii="Times New Roman" w:hAnsi="Times New Roman"/>
                <w:i/>
                <w:lang w:val="nl-NL" w:eastAsia="nl-NL"/>
              </w:rPr>
            </w:pPr>
            <w:r>
              <w:rPr>
                <w:rFonts w:ascii="Times New Roman" w:hAnsi="Times New Roman"/>
                <w:i/>
                <w:lang w:val="nl-NL" w:eastAsia="nl-NL"/>
              </w:rPr>
              <w:t>Kalcinóza</w:t>
            </w:r>
          </w:p>
        </w:tc>
      </w:tr>
    </w:tbl>
    <w:p w14:paraId="62FE92B3" w14:textId="77777777" w:rsidR="003F3FD9" w:rsidRDefault="003F3FD9" w:rsidP="00FE74BB">
      <w:pPr>
        <w:pStyle w:val="Default"/>
        <w:rPr>
          <w:sz w:val="22"/>
          <w:szCs w:val="22"/>
          <w:u w:val="single"/>
        </w:rPr>
      </w:pPr>
    </w:p>
    <w:p w14:paraId="5B4EC52D" w14:textId="37103184" w:rsidR="003F3FD9" w:rsidRPr="00026E83" w:rsidRDefault="00FE74BB" w:rsidP="001D75B8">
      <w:pPr>
        <w:widowControl w:val="0"/>
        <w:autoSpaceDE w:val="0"/>
        <w:autoSpaceDN w:val="0"/>
        <w:adjustRightInd w:val="0"/>
        <w:spacing w:after="0" w:line="240" w:lineRule="auto"/>
        <w:rPr>
          <w:rFonts w:ascii="Times New Roman" w:hAnsi="Times New Roman"/>
          <w:spacing w:val="-1"/>
          <w:u w:val="single"/>
        </w:rPr>
      </w:pPr>
      <w:r>
        <w:rPr>
          <w:rFonts w:ascii="Times New Roman" w:hAnsi="Times New Roman"/>
          <w:spacing w:val="-1"/>
          <w:u w:val="single"/>
        </w:rPr>
        <w:t>P</w:t>
      </w:r>
      <w:r w:rsidR="003F3FD9" w:rsidRPr="00026E83">
        <w:rPr>
          <w:rFonts w:ascii="Times New Roman" w:hAnsi="Times New Roman"/>
          <w:spacing w:val="-1"/>
          <w:u w:val="single"/>
        </w:rPr>
        <w:t>ediatric</w:t>
      </w:r>
      <w:r>
        <w:rPr>
          <w:rFonts w:ascii="Times New Roman" w:hAnsi="Times New Roman"/>
          <w:spacing w:val="-1"/>
          <w:u w:val="single"/>
        </w:rPr>
        <w:t>ká</w:t>
      </w:r>
      <w:r w:rsidR="003F3FD9" w:rsidRPr="00026E83">
        <w:rPr>
          <w:rFonts w:ascii="Times New Roman" w:hAnsi="Times New Roman"/>
          <w:spacing w:val="-1"/>
          <w:u w:val="single"/>
        </w:rPr>
        <w:t xml:space="preserve"> </w:t>
      </w:r>
      <w:r>
        <w:rPr>
          <w:rFonts w:ascii="Times New Roman" w:hAnsi="Times New Roman"/>
          <w:spacing w:val="-1"/>
          <w:u w:val="single"/>
        </w:rPr>
        <w:t>populácia</w:t>
      </w:r>
    </w:p>
    <w:p w14:paraId="47F5F5E5" w14:textId="0EE4E628" w:rsidR="003F3FD9" w:rsidRPr="001D75B8" w:rsidRDefault="00FE74BB" w:rsidP="001D75B8">
      <w:pPr>
        <w:widowControl w:val="0"/>
        <w:autoSpaceDE w:val="0"/>
        <w:autoSpaceDN w:val="0"/>
        <w:adjustRightInd w:val="0"/>
        <w:spacing w:after="0" w:line="240" w:lineRule="auto"/>
        <w:rPr>
          <w:rFonts w:ascii="Times New Roman" w:hAnsi="Times New Roman"/>
          <w:spacing w:val="-1"/>
        </w:rPr>
      </w:pPr>
      <w:r w:rsidRPr="00FE74BB">
        <w:rPr>
          <w:rFonts w:ascii="Times New Roman" w:hAnsi="Times New Roman"/>
          <w:spacing w:val="-1"/>
        </w:rPr>
        <w:t>Pozorovaný bezpečnostný profil je podobný u detí a dospelých</w:t>
      </w:r>
      <w:r w:rsidR="003F3FD9" w:rsidRPr="00026E83">
        <w:rPr>
          <w:rFonts w:ascii="Times New Roman" w:hAnsi="Times New Roman"/>
          <w:spacing w:val="-1"/>
        </w:rPr>
        <w:t>.</w:t>
      </w:r>
    </w:p>
    <w:p w14:paraId="1ABAC178" w14:textId="77777777" w:rsidR="00961A27" w:rsidRPr="00633E7E" w:rsidRDefault="00961A27" w:rsidP="00961A27">
      <w:pPr>
        <w:widowControl w:val="0"/>
        <w:autoSpaceDE w:val="0"/>
        <w:autoSpaceDN w:val="0"/>
        <w:adjustRightInd w:val="0"/>
        <w:spacing w:after="0" w:line="240" w:lineRule="auto"/>
        <w:ind w:right="5657"/>
        <w:jc w:val="center"/>
        <w:rPr>
          <w:rFonts w:ascii="Times New Roman" w:hAnsi="Times New Roman"/>
        </w:rPr>
      </w:pPr>
    </w:p>
    <w:p w14:paraId="099CDA29" w14:textId="77777777" w:rsidR="00961A27" w:rsidRPr="00633E7E" w:rsidRDefault="00961A27" w:rsidP="00961A27">
      <w:pPr>
        <w:pStyle w:val="Default"/>
        <w:rPr>
          <w:sz w:val="22"/>
          <w:szCs w:val="22"/>
          <w:u w:val="single"/>
        </w:rPr>
      </w:pPr>
      <w:r w:rsidRPr="00633E7E">
        <w:rPr>
          <w:sz w:val="22"/>
          <w:szCs w:val="22"/>
          <w:u w:val="single"/>
        </w:rPr>
        <w:t xml:space="preserve">Hlásenie podozrení na nežiaduce reakcie </w:t>
      </w:r>
    </w:p>
    <w:p w14:paraId="616A07E5" w14:textId="2B58752D" w:rsidR="00961A27" w:rsidRPr="00633E7E" w:rsidRDefault="00961A27" w:rsidP="005B433E">
      <w:pPr>
        <w:widowControl w:val="0"/>
        <w:autoSpaceDE w:val="0"/>
        <w:autoSpaceDN w:val="0"/>
        <w:adjustRightInd w:val="0"/>
        <w:spacing w:after="0" w:line="240" w:lineRule="auto"/>
        <w:ind w:right="-80"/>
        <w:rPr>
          <w:rFonts w:ascii="Times New Roman" w:hAnsi="Times New Roman"/>
        </w:rPr>
      </w:pPr>
      <w:r w:rsidRPr="00633E7E">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5B433E" w:rsidRPr="005B433E">
        <w:rPr>
          <w:rFonts w:ascii="Times New Roman" w:hAnsi="Times New Roman"/>
          <w:noProof/>
          <w:highlight w:val="lightGray"/>
          <w:lang w:eastAsia="sk-SK"/>
        </w:rPr>
        <w:t>národné centrum hlásenia uvedené v </w:t>
      </w:r>
      <w:hyperlink r:id="rId9" w:history="1">
        <w:r w:rsidR="005B433E" w:rsidRPr="005B433E">
          <w:rPr>
            <w:rFonts w:ascii="Times New Roman" w:hAnsi="Times New Roman"/>
            <w:noProof/>
            <w:color w:val="0000FF"/>
            <w:highlight w:val="lightGray"/>
            <w:u w:val="single"/>
            <w:lang w:eastAsia="sk-SK"/>
          </w:rPr>
          <w:t>Prílohe V</w:t>
        </w:r>
      </w:hyperlink>
      <w:r w:rsidR="005B433E" w:rsidRPr="005B433E">
        <w:rPr>
          <w:rFonts w:ascii="Times New Roman" w:hAnsi="Times New Roman"/>
          <w:noProof/>
          <w:lang w:eastAsia="sk-SK"/>
        </w:rPr>
        <w:t>.</w:t>
      </w:r>
    </w:p>
    <w:p w14:paraId="3BBDD474"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7C8C2E12" w14:textId="77777777" w:rsidR="00961A27" w:rsidRPr="00633E7E" w:rsidRDefault="00961A27" w:rsidP="0092747F">
      <w:pPr>
        <w:widowControl w:val="0"/>
        <w:tabs>
          <w:tab w:val="left" w:pos="820"/>
        </w:tabs>
        <w:autoSpaceDE w:val="0"/>
        <w:autoSpaceDN w:val="0"/>
        <w:adjustRightInd w:val="0"/>
        <w:spacing w:after="0" w:line="240" w:lineRule="auto"/>
        <w:ind w:left="567" w:hanging="567"/>
        <w:rPr>
          <w:rFonts w:ascii="Times New Roman" w:hAnsi="Times New Roman"/>
        </w:rPr>
      </w:pPr>
      <w:r w:rsidRPr="00633E7E">
        <w:rPr>
          <w:rFonts w:ascii="Times New Roman" w:hAnsi="Times New Roman"/>
          <w:b/>
          <w:bCs/>
        </w:rPr>
        <w:t>4.9</w:t>
      </w:r>
      <w:r w:rsidRPr="00633E7E">
        <w:rPr>
          <w:rFonts w:ascii="Times New Roman" w:hAnsi="Times New Roman"/>
          <w:b/>
          <w:bCs/>
        </w:rPr>
        <w:tab/>
        <w:t>Predávkovanie</w:t>
      </w:r>
    </w:p>
    <w:p w14:paraId="28D050C4" w14:textId="77777777" w:rsidR="00961A27" w:rsidRPr="00633E7E" w:rsidRDefault="00961A27" w:rsidP="00961A27">
      <w:pPr>
        <w:widowControl w:val="0"/>
        <w:autoSpaceDE w:val="0"/>
        <w:autoSpaceDN w:val="0"/>
        <w:adjustRightInd w:val="0"/>
        <w:spacing w:after="0" w:line="240" w:lineRule="auto"/>
        <w:rPr>
          <w:rFonts w:ascii="Times New Roman" w:hAnsi="Times New Roman"/>
          <w:spacing w:val="-1"/>
        </w:rPr>
      </w:pPr>
    </w:p>
    <w:p w14:paraId="5AB73C2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 xml:space="preserve">Hyperkalciémia </w:t>
      </w:r>
      <w:r w:rsidR="00CE2CF8">
        <w:rPr>
          <w:rFonts w:ascii="Times New Roman" w:hAnsi="Times New Roman"/>
        </w:rPr>
        <w:t>sa lieči</w:t>
      </w:r>
      <w:r w:rsidRPr="00633E7E">
        <w:rPr>
          <w:rFonts w:ascii="Times New Roman" w:hAnsi="Times New Roman"/>
        </w:rPr>
        <w:t xml:space="preserve"> </w:t>
      </w:r>
      <w:r w:rsidR="00CE2CF8">
        <w:rPr>
          <w:rFonts w:ascii="Times New Roman" w:hAnsi="Times New Roman"/>
        </w:rPr>
        <w:t>prerušením</w:t>
      </w:r>
      <w:r w:rsidR="00CE2CF8" w:rsidRPr="00633E7E">
        <w:rPr>
          <w:rFonts w:ascii="Times New Roman" w:hAnsi="Times New Roman"/>
        </w:rPr>
        <w:t xml:space="preserve"> </w:t>
      </w:r>
      <w:r w:rsidRPr="00633E7E">
        <w:rPr>
          <w:rFonts w:ascii="Times New Roman" w:hAnsi="Times New Roman"/>
        </w:rPr>
        <w:t>podávania lieku ALFAMED.</w:t>
      </w:r>
    </w:p>
    <w:p w14:paraId="428B92EA"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7F8FE050" w14:textId="233AC96E" w:rsidR="00961A27" w:rsidRPr="00633E7E" w:rsidRDefault="006647A5" w:rsidP="00961A27">
      <w:pPr>
        <w:widowControl w:val="0"/>
        <w:autoSpaceDE w:val="0"/>
        <w:autoSpaceDN w:val="0"/>
        <w:adjustRightInd w:val="0"/>
        <w:spacing w:after="0" w:line="240" w:lineRule="auto"/>
        <w:rPr>
          <w:rFonts w:ascii="Times New Roman" w:hAnsi="Times New Roman"/>
        </w:rPr>
      </w:pPr>
      <w:r>
        <w:rPr>
          <w:rFonts w:ascii="Times New Roman" w:hAnsi="Times New Roman"/>
        </w:rPr>
        <w:t>Pri</w:t>
      </w:r>
      <w:r w:rsidR="00961A27" w:rsidRPr="00633E7E">
        <w:rPr>
          <w:rFonts w:ascii="Times New Roman" w:hAnsi="Times New Roman"/>
        </w:rPr>
        <w:t xml:space="preserve"> závažných prípadoch </w:t>
      </w:r>
      <w:proofErr w:type="spellStart"/>
      <w:r w:rsidR="00961A27" w:rsidRPr="00633E7E">
        <w:rPr>
          <w:rFonts w:ascii="Times New Roman" w:hAnsi="Times New Roman"/>
        </w:rPr>
        <w:t>hyperkalciémie</w:t>
      </w:r>
      <w:proofErr w:type="spellEnd"/>
      <w:r w:rsidR="00961A27" w:rsidRPr="00633E7E">
        <w:rPr>
          <w:rFonts w:ascii="Times New Roman" w:hAnsi="Times New Roman"/>
        </w:rPr>
        <w:t xml:space="preserve"> je potrebné </w:t>
      </w:r>
      <w:r>
        <w:rPr>
          <w:rFonts w:ascii="Times New Roman" w:hAnsi="Times New Roman"/>
        </w:rPr>
        <w:t>vykonať</w:t>
      </w:r>
      <w:r w:rsidR="00CE2CF8" w:rsidRPr="00633E7E">
        <w:rPr>
          <w:rFonts w:ascii="Times New Roman" w:hAnsi="Times New Roman"/>
        </w:rPr>
        <w:t xml:space="preserve"> </w:t>
      </w:r>
      <w:r w:rsidR="00961A27" w:rsidRPr="00633E7E">
        <w:rPr>
          <w:rFonts w:ascii="Times New Roman" w:hAnsi="Times New Roman"/>
        </w:rPr>
        <w:t>všeobecné podporné opatrenia. Udrž</w:t>
      </w:r>
      <w:r w:rsidR="00CE2CF8">
        <w:rPr>
          <w:rFonts w:ascii="Times New Roman" w:hAnsi="Times New Roman"/>
        </w:rPr>
        <w:t>iava</w:t>
      </w:r>
      <w:r w:rsidR="00961A27" w:rsidRPr="00633E7E">
        <w:rPr>
          <w:rFonts w:ascii="Times New Roman" w:hAnsi="Times New Roman"/>
        </w:rPr>
        <w:t>jte pacienta dobre hydratovaného i</w:t>
      </w:r>
      <w:r>
        <w:rPr>
          <w:rFonts w:ascii="Times New Roman" w:hAnsi="Times New Roman"/>
        </w:rPr>
        <w:t>ntravenóznou</w:t>
      </w:r>
      <w:r w:rsidR="00961A27" w:rsidRPr="00633E7E">
        <w:rPr>
          <w:rFonts w:ascii="Times New Roman" w:hAnsi="Times New Roman"/>
        </w:rPr>
        <w:t xml:space="preserve"> infúziou fyziologického roztoku (</w:t>
      </w:r>
      <w:r w:rsidR="006104FD">
        <w:rPr>
          <w:rFonts w:ascii="Times New Roman" w:hAnsi="Times New Roman"/>
        </w:rPr>
        <w:t>nútená</w:t>
      </w:r>
      <w:r w:rsidR="00961A27" w:rsidRPr="00633E7E">
        <w:rPr>
          <w:rFonts w:ascii="Times New Roman" w:hAnsi="Times New Roman"/>
        </w:rPr>
        <w:t xml:space="preserve"> </w:t>
      </w:r>
      <w:proofErr w:type="spellStart"/>
      <w:r w:rsidR="00961A27" w:rsidRPr="00633E7E">
        <w:rPr>
          <w:rFonts w:ascii="Times New Roman" w:hAnsi="Times New Roman"/>
        </w:rPr>
        <w:t>diuréza</w:t>
      </w:r>
      <w:proofErr w:type="spellEnd"/>
      <w:r w:rsidR="00961A27" w:rsidRPr="00633E7E">
        <w:rPr>
          <w:rFonts w:ascii="Times New Roman" w:hAnsi="Times New Roman"/>
        </w:rPr>
        <w:t xml:space="preserve">), merajte </w:t>
      </w:r>
      <w:r>
        <w:rPr>
          <w:rFonts w:ascii="Times New Roman" w:hAnsi="Times New Roman"/>
        </w:rPr>
        <w:t xml:space="preserve">hladiny </w:t>
      </w:r>
      <w:r w:rsidR="00961A27" w:rsidRPr="00633E7E">
        <w:rPr>
          <w:rFonts w:ascii="Times New Roman" w:hAnsi="Times New Roman"/>
        </w:rPr>
        <w:t>elektrolyt</w:t>
      </w:r>
      <w:r>
        <w:rPr>
          <w:rFonts w:ascii="Times New Roman" w:hAnsi="Times New Roman"/>
        </w:rPr>
        <w:t>ov</w:t>
      </w:r>
      <w:r w:rsidR="00961A27" w:rsidRPr="00633E7E">
        <w:rPr>
          <w:rFonts w:ascii="Times New Roman" w:hAnsi="Times New Roman"/>
        </w:rPr>
        <w:t>, vápnik</w:t>
      </w:r>
      <w:r>
        <w:rPr>
          <w:rFonts w:ascii="Times New Roman" w:hAnsi="Times New Roman"/>
        </w:rPr>
        <w:t>a</w:t>
      </w:r>
      <w:r w:rsidR="00961A27" w:rsidRPr="00633E7E">
        <w:rPr>
          <w:rFonts w:ascii="Times New Roman" w:hAnsi="Times New Roman"/>
        </w:rPr>
        <w:t xml:space="preserve"> a</w:t>
      </w:r>
      <w:r w:rsidR="00AD3C5A">
        <w:rPr>
          <w:rFonts w:ascii="Times New Roman" w:hAnsi="Times New Roman"/>
        </w:rPr>
        <w:t xml:space="preserve"> vyšetrite </w:t>
      </w:r>
      <w:r w:rsidR="00961A27" w:rsidRPr="00633E7E">
        <w:rPr>
          <w:rFonts w:ascii="Times New Roman" w:hAnsi="Times New Roman"/>
        </w:rPr>
        <w:t>funkci</w:t>
      </w:r>
      <w:r w:rsidR="001362AD">
        <w:rPr>
          <w:rFonts w:ascii="Times New Roman" w:hAnsi="Times New Roman"/>
        </w:rPr>
        <w:t>u obli</w:t>
      </w:r>
      <w:r>
        <w:rPr>
          <w:rFonts w:ascii="Times New Roman" w:hAnsi="Times New Roman"/>
        </w:rPr>
        <w:t>čiek</w:t>
      </w:r>
      <w:r w:rsidR="00961A27" w:rsidRPr="00633E7E">
        <w:rPr>
          <w:rFonts w:ascii="Times New Roman" w:hAnsi="Times New Roman"/>
        </w:rPr>
        <w:t xml:space="preserve">; </w:t>
      </w:r>
      <w:r w:rsidR="00CE2CF8">
        <w:rPr>
          <w:rFonts w:ascii="Times New Roman" w:hAnsi="Times New Roman"/>
        </w:rPr>
        <w:t>vy</w:t>
      </w:r>
      <w:r>
        <w:rPr>
          <w:rFonts w:ascii="Times New Roman" w:hAnsi="Times New Roman"/>
        </w:rPr>
        <w:t>hodnoťte</w:t>
      </w:r>
      <w:r w:rsidR="00CE2CF8" w:rsidRPr="00633E7E">
        <w:rPr>
          <w:rFonts w:ascii="Times New Roman" w:hAnsi="Times New Roman"/>
        </w:rPr>
        <w:t xml:space="preserve"> </w:t>
      </w:r>
      <w:proofErr w:type="spellStart"/>
      <w:r w:rsidR="00961A27" w:rsidRPr="00633E7E">
        <w:rPr>
          <w:rFonts w:ascii="Times New Roman" w:hAnsi="Times New Roman"/>
        </w:rPr>
        <w:t>elektrokardiografické</w:t>
      </w:r>
      <w:proofErr w:type="spellEnd"/>
      <w:r w:rsidR="00961A27" w:rsidRPr="00633E7E">
        <w:rPr>
          <w:rFonts w:ascii="Times New Roman" w:hAnsi="Times New Roman"/>
        </w:rPr>
        <w:t xml:space="preserve"> abnormality, najmä u pacientov </w:t>
      </w:r>
      <w:r>
        <w:rPr>
          <w:rFonts w:ascii="Times New Roman" w:hAnsi="Times New Roman"/>
        </w:rPr>
        <w:t>užívajúcich</w:t>
      </w:r>
      <w:r w:rsidR="00961A27" w:rsidRPr="00633E7E">
        <w:rPr>
          <w:rFonts w:ascii="Times New Roman" w:hAnsi="Times New Roman"/>
        </w:rPr>
        <w:t xml:space="preserve"> </w:t>
      </w:r>
      <w:proofErr w:type="spellStart"/>
      <w:r w:rsidR="00961A27" w:rsidRPr="00633E7E">
        <w:rPr>
          <w:rFonts w:ascii="Times New Roman" w:hAnsi="Times New Roman"/>
        </w:rPr>
        <w:t>digitalisov</w:t>
      </w:r>
      <w:r>
        <w:rPr>
          <w:rFonts w:ascii="Times New Roman" w:hAnsi="Times New Roman"/>
        </w:rPr>
        <w:t>é</w:t>
      </w:r>
      <w:proofErr w:type="spellEnd"/>
      <w:r w:rsidR="00961A27" w:rsidRPr="00633E7E">
        <w:rPr>
          <w:rFonts w:ascii="Times New Roman" w:hAnsi="Times New Roman"/>
        </w:rPr>
        <w:t xml:space="preserve"> </w:t>
      </w:r>
      <w:r w:rsidR="001673A8">
        <w:rPr>
          <w:rFonts w:ascii="Times New Roman" w:hAnsi="Times New Roman"/>
        </w:rPr>
        <w:t>prípravky</w:t>
      </w:r>
      <w:r w:rsidR="00961A27" w:rsidRPr="00633E7E">
        <w:rPr>
          <w:rFonts w:ascii="Times New Roman" w:hAnsi="Times New Roman"/>
        </w:rPr>
        <w:t xml:space="preserve">. </w:t>
      </w:r>
      <w:r>
        <w:rPr>
          <w:rFonts w:ascii="Times New Roman" w:hAnsi="Times New Roman"/>
        </w:rPr>
        <w:t>Presnejšie</w:t>
      </w:r>
      <w:r w:rsidR="00961A27" w:rsidRPr="00633E7E">
        <w:rPr>
          <w:rFonts w:ascii="Times New Roman" w:hAnsi="Times New Roman"/>
        </w:rPr>
        <w:t xml:space="preserve">, treba zvážiť liečbu </w:t>
      </w:r>
      <w:proofErr w:type="spellStart"/>
      <w:r w:rsidR="00961A27" w:rsidRPr="00633E7E">
        <w:rPr>
          <w:rFonts w:ascii="Times New Roman" w:hAnsi="Times New Roman"/>
        </w:rPr>
        <w:t>glukokortikosteroidmi</w:t>
      </w:r>
      <w:proofErr w:type="spellEnd"/>
      <w:r w:rsidR="00961A27" w:rsidRPr="00633E7E">
        <w:rPr>
          <w:rFonts w:ascii="Times New Roman" w:hAnsi="Times New Roman"/>
        </w:rPr>
        <w:t xml:space="preserve">, </w:t>
      </w:r>
      <w:proofErr w:type="spellStart"/>
      <w:r w:rsidR="001673A8">
        <w:rPr>
          <w:rFonts w:ascii="Times New Roman" w:hAnsi="Times New Roman"/>
        </w:rPr>
        <w:t>kľ</w:t>
      </w:r>
      <w:r w:rsidR="00961A27" w:rsidRPr="00633E7E">
        <w:rPr>
          <w:rFonts w:ascii="Times New Roman" w:hAnsi="Times New Roman"/>
        </w:rPr>
        <w:t>učkovými</w:t>
      </w:r>
      <w:proofErr w:type="spellEnd"/>
      <w:r w:rsidR="00961A27" w:rsidRPr="00633E7E">
        <w:rPr>
          <w:rFonts w:ascii="Times New Roman" w:hAnsi="Times New Roman"/>
        </w:rPr>
        <w:t xml:space="preserve"> diuretikami, </w:t>
      </w:r>
      <w:proofErr w:type="spellStart"/>
      <w:r w:rsidR="00961A27" w:rsidRPr="00633E7E">
        <w:rPr>
          <w:rFonts w:ascii="Times New Roman" w:hAnsi="Times New Roman"/>
        </w:rPr>
        <w:t>bisfosfonátmi</w:t>
      </w:r>
      <w:proofErr w:type="spellEnd"/>
      <w:r w:rsidR="00961A27" w:rsidRPr="00633E7E">
        <w:rPr>
          <w:rFonts w:ascii="Times New Roman" w:hAnsi="Times New Roman"/>
        </w:rPr>
        <w:t xml:space="preserve">, </w:t>
      </w:r>
      <w:proofErr w:type="spellStart"/>
      <w:r w:rsidR="00961A27" w:rsidRPr="00633E7E">
        <w:rPr>
          <w:rFonts w:ascii="Times New Roman" w:hAnsi="Times New Roman"/>
        </w:rPr>
        <w:t>kalcitonínom</w:t>
      </w:r>
      <w:proofErr w:type="spellEnd"/>
      <w:r w:rsidR="00961A27" w:rsidRPr="00633E7E">
        <w:rPr>
          <w:rFonts w:ascii="Times New Roman" w:hAnsi="Times New Roman"/>
        </w:rPr>
        <w:t xml:space="preserve"> a prípadne hemodialýzou s nízkym obsahom vápnika.</w:t>
      </w:r>
    </w:p>
    <w:p w14:paraId="4D9D5DF0"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929AA36"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3E73B448" w14:textId="1B276063" w:rsidR="00961A27" w:rsidRPr="00682A5C" w:rsidRDefault="00961A27" w:rsidP="00682A5C">
      <w:pPr>
        <w:widowControl w:val="0"/>
        <w:tabs>
          <w:tab w:val="left" w:pos="820"/>
        </w:tabs>
        <w:autoSpaceDE w:val="0"/>
        <w:autoSpaceDN w:val="0"/>
        <w:adjustRightInd w:val="0"/>
        <w:spacing w:after="0" w:line="240" w:lineRule="auto"/>
        <w:ind w:right="-20"/>
        <w:rPr>
          <w:rFonts w:ascii="Times New Roman" w:hAnsi="Times New Roman"/>
          <w:b/>
          <w:bCs/>
        </w:rPr>
      </w:pPr>
      <w:r w:rsidRPr="00682A5C">
        <w:rPr>
          <w:rFonts w:ascii="Times New Roman" w:hAnsi="Times New Roman"/>
          <w:b/>
          <w:bCs/>
        </w:rPr>
        <w:t>5</w:t>
      </w:r>
      <w:r w:rsidR="0091099D">
        <w:rPr>
          <w:rFonts w:ascii="Times New Roman" w:hAnsi="Times New Roman"/>
          <w:b/>
          <w:bCs/>
        </w:rPr>
        <w:t>.</w:t>
      </w:r>
      <w:r w:rsidRPr="00682A5C">
        <w:rPr>
          <w:rFonts w:ascii="Times New Roman" w:hAnsi="Times New Roman"/>
          <w:b/>
          <w:bCs/>
        </w:rPr>
        <w:tab/>
        <w:t>FARMAKOLOGICKÉ VLASTNOSTI</w:t>
      </w:r>
    </w:p>
    <w:p w14:paraId="77D7FFC0"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347B6189"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b/>
          <w:bCs/>
        </w:rPr>
      </w:pPr>
      <w:r w:rsidRPr="00633E7E">
        <w:rPr>
          <w:rFonts w:ascii="Times New Roman" w:hAnsi="Times New Roman"/>
          <w:b/>
          <w:bCs/>
        </w:rPr>
        <w:t>5.1</w:t>
      </w:r>
      <w:r w:rsidRPr="00633E7E">
        <w:rPr>
          <w:rFonts w:ascii="Times New Roman" w:hAnsi="Times New Roman"/>
          <w:b/>
          <w:bCs/>
        </w:rPr>
        <w:tab/>
        <w:t>Farmakodynamické vlastnosti</w:t>
      </w:r>
    </w:p>
    <w:p w14:paraId="7C59971D"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14072548" w14:textId="214E5196" w:rsidR="00961A27" w:rsidRPr="00633E7E" w:rsidRDefault="00961A27" w:rsidP="00961A27">
      <w:pPr>
        <w:widowControl w:val="0"/>
        <w:tabs>
          <w:tab w:val="left" w:pos="9214"/>
        </w:tabs>
        <w:autoSpaceDE w:val="0"/>
        <w:autoSpaceDN w:val="0"/>
        <w:adjustRightInd w:val="0"/>
        <w:spacing w:after="0" w:line="240" w:lineRule="auto"/>
        <w:ind w:right="141"/>
        <w:rPr>
          <w:rFonts w:ascii="Times New Roman" w:hAnsi="Times New Roman"/>
        </w:rPr>
      </w:pPr>
      <w:proofErr w:type="spellStart"/>
      <w:r w:rsidRPr="00633E7E">
        <w:rPr>
          <w:rFonts w:ascii="Times New Roman" w:hAnsi="Times New Roman"/>
        </w:rPr>
        <w:t>Farmakoterapeutická</w:t>
      </w:r>
      <w:proofErr w:type="spellEnd"/>
      <w:r w:rsidRPr="00633E7E">
        <w:rPr>
          <w:rFonts w:ascii="Times New Roman" w:hAnsi="Times New Roman"/>
        </w:rPr>
        <w:t xml:space="preserve"> skupina: Vitamíny; </w:t>
      </w:r>
      <w:r w:rsidR="00C87DE0">
        <w:rPr>
          <w:rFonts w:ascii="Times New Roman" w:hAnsi="Times New Roman"/>
        </w:rPr>
        <w:t>V</w:t>
      </w:r>
      <w:r w:rsidRPr="00633E7E">
        <w:rPr>
          <w:rFonts w:ascii="Times New Roman" w:hAnsi="Times New Roman"/>
        </w:rPr>
        <w:t xml:space="preserve">itamín D a </w:t>
      </w:r>
      <w:proofErr w:type="spellStart"/>
      <w:r w:rsidRPr="00633E7E">
        <w:rPr>
          <w:rFonts w:ascii="Times New Roman" w:hAnsi="Times New Roman"/>
        </w:rPr>
        <w:t>analógy</w:t>
      </w:r>
      <w:proofErr w:type="spellEnd"/>
      <w:r w:rsidRPr="00633E7E">
        <w:rPr>
          <w:rFonts w:ascii="Times New Roman" w:hAnsi="Times New Roman"/>
        </w:rPr>
        <w:t>. ATC kód: A11CC03</w:t>
      </w:r>
    </w:p>
    <w:p w14:paraId="712DE470"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08A1A01E" w14:textId="77777777" w:rsidR="00961A27" w:rsidRPr="00633E7E" w:rsidRDefault="00961A27" w:rsidP="00961A27">
      <w:pPr>
        <w:widowControl w:val="0"/>
        <w:autoSpaceDE w:val="0"/>
        <w:autoSpaceDN w:val="0"/>
        <w:adjustRightInd w:val="0"/>
        <w:spacing w:after="0" w:line="240" w:lineRule="auto"/>
        <w:rPr>
          <w:rFonts w:ascii="Times New Roman" w:hAnsi="Times New Roman"/>
          <w:i/>
        </w:rPr>
      </w:pPr>
      <w:r w:rsidRPr="00633E7E">
        <w:rPr>
          <w:rFonts w:ascii="Times New Roman" w:hAnsi="Times New Roman"/>
          <w:i/>
        </w:rPr>
        <w:t>Mechanizmus účinku</w:t>
      </w:r>
    </w:p>
    <w:p w14:paraId="3B884317" w14:textId="6E5ACDAE" w:rsidR="00961A27" w:rsidRPr="00633E7E" w:rsidRDefault="00961A27" w:rsidP="00961A27">
      <w:pPr>
        <w:widowControl w:val="0"/>
        <w:tabs>
          <w:tab w:val="left" w:pos="9214"/>
        </w:tabs>
        <w:autoSpaceDE w:val="0"/>
        <w:autoSpaceDN w:val="0"/>
        <w:adjustRightInd w:val="0"/>
        <w:spacing w:after="0" w:line="240" w:lineRule="auto"/>
        <w:ind w:right="141"/>
        <w:rPr>
          <w:rFonts w:ascii="Times New Roman" w:hAnsi="Times New Roman"/>
        </w:rPr>
      </w:pPr>
      <w:proofErr w:type="spellStart"/>
      <w:r w:rsidRPr="00633E7E">
        <w:rPr>
          <w:rFonts w:ascii="Times New Roman" w:hAnsi="Times New Roman"/>
        </w:rPr>
        <w:t>Alfakalcidol</w:t>
      </w:r>
      <w:proofErr w:type="spellEnd"/>
      <w:r w:rsidRPr="00633E7E">
        <w:rPr>
          <w:rFonts w:ascii="Times New Roman" w:hAnsi="Times New Roman"/>
        </w:rPr>
        <w:t xml:space="preserve"> </w:t>
      </w:r>
      <w:r w:rsidRPr="00DE4067">
        <w:rPr>
          <w:rFonts w:ascii="Times New Roman" w:hAnsi="Times New Roman"/>
        </w:rPr>
        <w:t>p</w:t>
      </w:r>
      <w:r w:rsidR="00AE6E96" w:rsidRPr="00DE4067">
        <w:rPr>
          <w:rFonts w:ascii="Times New Roman" w:hAnsi="Times New Roman"/>
        </w:rPr>
        <w:t>odlieha</w:t>
      </w:r>
      <w:r w:rsidRPr="00DE4067">
        <w:rPr>
          <w:rFonts w:ascii="Times New Roman" w:hAnsi="Times New Roman"/>
        </w:rPr>
        <w:t xml:space="preserve"> rýchl</w:t>
      </w:r>
      <w:r w:rsidR="00AE6E96" w:rsidRPr="00DE4067">
        <w:rPr>
          <w:rFonts w:ascii="Times New Roman" w:hAnsi="Times New Roman"/>
        </w:rPr>
        <w:t>ej</w:t>
      </w:r>
      <w:r w:rsidRPr="00DE4067">
        <w:rPr>
          <w:rFonts w:ascii="Times New Roman" w:hAnsi="Times New Roman"/>
        </w:rPr>
        <w:t xml:space="preserve"> </w:t>
      </w:r>
      <w:r w:rsidR="00AE6E96" w:rsidRPr="00DE4067">
        <w:rPr>
          <w:rFonts w:ascii="Times New Roman" w:hAnsi="Times New Roman"/>
        </w:rPr>
        <w:t>pečeňovej</w:t>
      </w:r>
      <w:r w:rsidRPr="00DE4067">
        <w:rPr>
          <w:rFonts w:ascii="Times New Roman" w:hAnsi="Times New Roman"/>
        </w:rPr>
        <w:t xml:space="preserve"> konverzi</w:t>
      </w:r>
      <w:r w:rsidR="00AE6E96">
        <w:rPr>
          <w:rFonts w:ascii="Times New Roman" w:hAnsi="Times New Roman"/>
        </w:rPr>
        <w:t>i</w:t>
      </w:r>
      <w:r w:rsidRPr="00633E7E">
        <w:rPr>
          <w:rFonts w:ascii="Times New Roman" w:hAnsi="Times New Roman"/>
        </w:rPr>
        <w:t xml:space="preserve"> na 1,25-dihydroxyvitamín D3, metabolit vitamínu D3, ktorý pôsobí ako regulátor metabolizmu vápnika a fosfátu. Vzhľadom na túto rýchlu konverziu sú terapeutické prínosy alfa D3 (alfakalcidolu) prakticky rovnaké ako terapeutické účinky 1,25-dihydroxyvitamínu D3. Hlavnými účinkami je zvýšenie hladín 1,25-dihydroxyvitamínu D3 v</w:t>
      </w:r>
      <w:r w:rsidR="00DB4BE6">
        <w:rPr>
          <w:rFonts w:ascii="Times New Roman" w:hAnsi="Times New Roman"/>
        </w:rPr>
        <w:t> </w:t>
      </w:r>
      <w:r w:rsidRPr="00633E7E">
        <w:rPr>
          <w:rFonts w:ascii="Times New Roman" w:hAnsi="Times New Roman"/>
        </w:rPr>
        <w:t>obehu</w:t>
      </w:r>
      <w:r w:rsidR="00DB4BE6">
        <w:rPr>
          <w:rFonts w:ascii="Times New Roman" w:hAnsi="Times New Roman"/>
        </w:rPr>
        <w:t>,</w:t>
      </w:r>
      <w:r w:rsidRPr="00633E7E">
        <w:rPr>
          <w:rFonts w:ascii="Times New Roman" w:hAnsi="Times New Roman"/>
        </w:rPr>
        <w:t xml:space="preserve"> a tým zvýšenie črevnej absorpcie vápnika a fosfátu, podpora mineralizácie kostí, zníženie hladín </w:t>
      </w:r>
      <w:proofErr w:type="spellStart"/>
      <w:r w:rsidRPr="00633E7E">
        <w:rPr>
          <w:rFonts w:ascii="Times New Roman" w:hAnsi="Times New Roman"/>
        </w:rPr>
        <w:t>parathormónu</w:t>
      </w:r>
      <w:proofErr w:type="spellEnd"/>
      <w:r w:rsidRPr="00633E7E">
        <w:rPr>
          <w:rFonts w:ascii="Times New Roman" w:hAnsi="Times New Roman"/>
        </w:rPr>
        <w:t xml:space="preserve"> v</w:t>
      </w:r>
      <w:r w:rsidR="00DB4BE6">
        <w:rPr>
          <w:rFonts w:ascii="Times New Roman" w:hAnsi="Times New Roman"/>
        </w:rPr>
        <w:t> </w:t>
      </w:r>
      <w:r w:rsidRPr="00633E7E">
        <w:rPr>
          <w:rFonts w:ascii="Times New Roman" w:hAnsi="Times New Roman"/>
        </w:rPr>
        <w:t>plazme</w:t>
      </w:r>
      <w:r w:rsidR="00DB4BE6">
        <w:rPr>
          <w:rFonts w:ascii="Times New Roman" w:hAnsi="Times New Roman"/>
        </w:rPr>
        <w:t>,</w:t>
      </w:r>
      <w:r w:rsidRPr="00633E7E">
        <w:rPr>
          <w:rFonts w:ascii="Times New Roman" w:hAnsi="Times New Roman"/>
        </w:rPr>
        <w:t xml:space="preserve"> a</w:t>
      </w:r>
      <w:r w:rsidR="00C87DE0">
        <w:rPr>
          <w:rFonts w:ascii="Times New Roman" w:hAnsi="Times New Roman"/>
        </w:rPr>
        <w:t>ko aj</w:t>
      </w:r>
      <w:r w:rsidRPr="00633E7E">
        <w:rPr>
          <w:rFonts w:ascii="Times New Roman" w:hAnsi="Times New Roman"/>
        </w:rPr>
        <w:t xml:space="preserve"> zníženie kostnej </w:t>
      </w:r>
      <w:proofErr w:type="spellStart"/>
      <w:r w:rsidRPr="00633E7E">
        <w:rPr>
          <w:rFonts w:ascii="Times New Roman" w:hAnsi="Times New Roman"/>
        </w:rPr>
        <w:t>resorpcie</w:t>
      </w:r>
      <w:proofErr w:type="spellEnd"/>
      <w:r w:rsidRPr="00633E7E">
        <w:rPr>
          <w:rFonts w:ascii="Times New Roman" w:hAnsi="Times New Roman"/>
        </w:rPr>
        <w:t>, čo vedie k úľave od bolesti kostí a svalov.</w:t>
      </w:r>
    </w:p>
    <w:p w14:paraId="758298ED"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E31B88E" w14:textId="2C916E4B" w:rsidR="00961A27" w:rsidRPr="00633E7E" w:rsidRDefault="00961A27" w:rsidP="00961A27">
      <w:pPr>
        <w:widowControl w:val="0"/>
        <w:autoSpaceDE w:val="0"/>
        <w:autoSpaceDN w:val="0"/>
        <w:adjustRightInd w:val="0"/>
        <w:spacing w:after="0" w:line="240" w:lineRule="auto"/>
        <w:ind w:right="54"/>
        <w:jc w:val="both"/>
        <w:rPr>
          <w:rFonts w:ascii="Times New Roman" w:hAnsi="Times New Roman"/>
        </w:rPr>
      </w:pPr>
      <w:r w:rsidRPr="00633E7E">
        <w:rPr>
          <w:rFonts w:ascii="Times New Roman" w:hAnsi="Times New Roman"/>
        </w:rPr>
        <w:t>Zhoršená 1α-hydroxylácia v obličkách znižuje tvorbu endogénneho 1,25-dihydroxyvitamínu D. To prispieva k narušeniu metabolizmu minerálov, ktor</w:t>
      </w:r>
      <w:r w:rsidR="00CE2CF8">
        <w:rPr>
          <w:rFonts w:ascii="Times New Roman" w:hAnsi="Times New Roman"/>
        </w:rPr>
        <w:t>é</w:t>
      </w:r>
      <w:r w:rsidRPr="00633E7E">
        <w:rPr>
          <w:rFonts w:ascii="Times New Roman" w:hAnsi="Times New Roman"/>
        </w:rPr>
        <w:t xml:space="preserve"> sa vyskytuje pri niektorých poruchách, vrátane </w:t>
      </w:r>
      <w:r w:rsidRPr="00633E7E">
        <w:rPr>
          <w:rFonts w:ascii="Times New Roman" w:hAnsi="Times New Roman"/>
        </w:rPr>
        <w:lastRenderedPageBreak/>
        <w:t xml:space="preserve">renálneho ochorenia kostí, hypoparatyreózy a rachitídy závislej od vitamínu D. Tieto poruchy, na ktorých korekciu sa vyžadujú vysoké dávky </w:t>
      </w:r>
      <w:r w:rsidRPr="006104FD">
        <w:rPr>
          <w:rFonts w:ascii="Times New Roman" w:hAnsi="Times New Roman"/>
        </w:rPr>
        <w:t>pôvodného</w:t>
      </w:r>
      <w:r w:rsidRPr="00633E7E">
        <w:rPr>
          <w:rFonts w:ascii="Times New Roman" w:hAnsi="Times New Roman"/>
        </w:rPr>
        <w:t xml:space="preserve"> vitamínu D, budú reagovať na malé dávky lieku ALFAMED.</w:t>
      </w:r>
    </w:p>
    <w:p w14:paraId="4481EE30" w14:textId="77777777" w:rsidR="00961A27" w:rsidRPr="00633E7E" w:rsidRDefault="00961A27" w:rsidP="00961A27">
      <w:pPr>
        <w:widowControl w:val="0"/>
        <w:autoSpaceDE w:val="0"/>
        <w:autoSpaceDN w:val="0"/>
        <w:adjustRightInd w:val="0"/>
        <w:spacing w:after="0" w:line="240" w:lineRule="auto"/>
        <w:ind w:right="54"/>
        <w:jc w:val="both"/>
        <w:rPr>
          <w:rFonts w:ascii="Times New Roman" w:hAnsi="Times New Roman"/>
        </w:rPr>
      </w:pPr>
    </w:p>
    <w:p w14:paraId="479B6FAB" w14:textId="77777777" w:rsidR="00961A27" w:rsidRPr="00633E7E" w:rsidRDefault="00961A27" w:rsidP="00961A27">
      <w:pPr>
        <w:widowControl w:val="0"/>
        <w:autoSpaceDE w:val="0"/>
        <w:autoSpaceDN w:val="0"/>
        <w:adjustRightInd w:val="0"/>
        <w:spacing w:after="0" w:line="240" w:lineRule="auto"/>
        <w:rPr>
          <w:rFonts w:ascii="Times New Roman" w:hAnsi="Times New Roman"/>
          <w:i/>
        </w:rPr>
      </w:pPr>
      <w:r w:rsidRPr="00633E7E">
        <w:rPr>
          <w:rFonts w:ascii="Times New Roman" w:hAnsi="Times New Roman"/>
          <w:i/>
        </w:rPr>
        <w:t>Farmakodynamické účinky</w:t>
      </w:r>
    </w:p>
    <w:p w14:paraId="3117D0DC" w14:textId="6241043E" w:rsidR="00961A27" w:rsidRPr="00633E7E" w:rsidRDefault="00961A27" w:rsidP="00961A27">
      <w:pPr>
        <w:widowControl w:val="0"/>
        <w:autoSpaceDE w:val="0"/>
        <w:autoSpaceDN w:val="0"/>
        <w:adjustRightInd w:val="0"/>
        <w:spacing w:after="0" w:line="240" w:lineRule="auto"/>
        <w:ind w:right="56"/>
        <w:jc w:val="both"/>
        <w:rPr>
          <w:rFonts w:ascii="Times New Roman" w:hAnsi="Times New Roman"/>
        </w:rPr>
      </w:pPr>
      <w:r w:rsidRPr="00633E7E">
        <w:rPr>
          <w:rFonts w:ascii="Times New Roman" w:hAnsi="Times New Roman"/>
        </w:rPr>
        <w:t>Oneskorenie od</w:t>
      </w:r>
      <w:r w:rsidR="006104FD">
        <w:rPr>
          <w:rFonts w:ascii="Times New Roman" w:hAnsi="Times New Roman"/>
        </w:rPr>
        <w:t>povede</w:t>
      </w:r>
      <w:r w:rsidRPr="00633E7E">
        <w:rPr>
          <w:rFonts w:ascii="Times New Roman" w:hAnsi="Times New Roman"/>
        </w:rPr>
        <w:t xml:space="preserve"> a vysoké dávkovanie potrebné pri liečbe týchto porúch pôvodným vitamínom D sťažuje úpravu dávkovania. To môže mať za následok nepredvídateľnú hyperkalciémiu, ktorej zvrátenie môže trvať týždne alebo mesiace. Hlavnou výhodou lieku ALFAMED je rýchlejší nástup odpovede, čo umožňuje presnejšiu titráciu dávkovania. Ak sa vyskytne neúmyselná hyperkalciémia, môže sa zvrátiť do niekoľkých dní od zastavenia liečby.</w:t>
      </w:r>
    </w:p>
    <w:p w14:paraId="79B44450" w14:textId="77777777" w:rsidR="00961A27" w:rsidRPr="00633E7E" w:rsidRDefault="00961A27" w:rsidP="00961A27">
      <w:pPr>
        <w:widowControl w:val="0"/>
        <w:autoSpaceDE w:val="0"/>
        <w:autoSpaceDN w:val="0"/>
        <w:adjustRightInd w:val="0"/>
        <w:spacing w:after="0" w:line="240" w:lineRule="auto"/>
        <w:ind w:right="56"/>
        <w:jc w:val="both"/>
        <w:rPr>
          <w:rFonts w:ascii="Times New Roman" w:hAnsi="Times New Roman"/>
        </w:rPr>
      </w:pPr>
    </w:p>
    <w:p w14:paraId="13AD9A57" w14:textId="5E86420C" w:rsidR="00961A27" w:rsidRPr="00633E7E" w:rsidRDefault="00961A27" w:rsidP="00961A27">
      <w:pPr>
        <w:autoSpaceDE w:val="0"/>
        <w:autoSpaceDN w:val="0"/>
        <w:adjustRightInd w:val="0"/>
        <w:spacing w:after="0" w:line="240" w:lineRule="auto"/>
        <w:rPr>
          <w:rFonts w:ascii="Times New Roman" w:hAnsi="Times New Roman"/>
        </w:rPr>
      </w:pPr>
      <w:r w:rsidRPr="00633E7E">
        <w:rPr>
          <w:rFonts w:ascii="Times New Roman" w:hAnsi="Times New Roman"/>
        </w:rPr>
        <w:t>U pacientov s renálnym zlyhaním</w:t>
      </w:r>
      <w:r w:rsidR="00CE2CF8">
        <w:rPr>
          <w:rFonts w:ascii="Times New Roman" w:hAnsi="Times New Roman"/>
        </w:rPr>
        <w:t xml:space="preserve"> dávka</w:t>
      </w:r>
      <w:r w:rsidRPr="00633E7E">
        <w:rPr>
          <w:rFonts w:ascii="Times New Roman" w:hAnsi="Times New Roman"/>
        </w:rPr>
        <w:t xml:space="preserve"> 1 - 5 mikrogramov/deň 1α-hydroxyvitamínu D (1α-OHD3) zvýšil</w:t>
      </w:r>
      <w:r w:rsidR="00CE2CF8">
        <w:rPr>
          <w:rFonts w:ascii="Times New Roman" w:hAnsi="Times New Roman"/>
        </w:rPr>
        <w:t>a črevnú</w:t>
      </w:r>
      <w:r w:rsidRPr="00633E7E">
        <w:rPr>
          <w:rFonts w:ascii="Times New Roman" w:hAnsi="Times New Roman"/>
        </w:rPr>
        <w:t xml:space="preserve"> absorpciu vápnika a fosforu </w:t>
      </w:r>
      <w:r w:rsidR="00DD241B">
        <w:rPr>
          <w:rFonts w:ascii="Times New Roman" w:hAnsi="Times New Roman"/>
        </w:rPr>
        <w:t xml:space="preserve">v závislosti </w:t>
      </w:r>
      <w:r w:rsidR="00DB4BE6">
        <w:rPr>
          <w:rFonts w:ascii="Times New Roman" w:hAnsi="Times New Roman"/>
        </w:rPr>
        <w:t>od</w:t>
      </w:r>
      <w:r w:rsidR="00DD241B">
        <w:rPr>
          <w:rFonts w:ascii="Times New Roman" w:hAnsi="Times New Roman"/>
        </w:rPr>
        <w:t xml:space="preserve"> dávk</w:t>
      </w:r>
      <w:r w:rsidR="00DB4BE6">
        <w:rPr>
          <w:rFonts w:ascii="Times New Roman" w:hAnsi="Times New Roman"/>
        </w:rPr>
        <w:t>y</w:t>
      </w:r>
      <w:r w:rsidRPr="00633E7E">
        <w:rPr>
          <w:rFonts w:ascii="Times New Roman" w:hAnsi="Times New Roman"/>
        </w:rPr>
        <w:t xml:space="preserve">. Tento účinok bol pozorovaný do 3 dní od začiatku podávania lieku a naopak </w:t>
      </w:r>
      <w:r w:rsidR="00CE2CF8">
        <w:rPr>
          <w:rFonts w:ascii="Times New Roman" w:hAnsi="Times New Roman"/>
        </w:rPr>
        <w:t xml:space="preserve">vymizol </w:t>
      </w:r>
      <w:r w:rsidRPr="00633E7E">
        <w:rPr>
          <w:rFonts w:ascii="Times New Roman" w:hAnsi="Times New Roman"/>
        </w:rPr>
        <w:t>do 3 dní od prerušenia jeho podávania.</w:t>
      </w:r>
    </w:p>
    <w:p w14:paraId="0606B707" w14:textId="77777777" w:rsidR="00961A27" w:rsidRPr="00633E7E" w:rsidRDefault="00961A27" w:rsidP="00961A27">
      <w:pPr>
        <w:autoSpaceDE w:val="0"/>
        <w:autoSpaceDN w:val="0"/>
        <w:adjustRightInd w:val="0"/>
        <w:spacing w:after="0" w:line="240" w:lineRule="auto"/>
        <w:rPr>
          <w:rFonts w:ascii="Times New Roman" w:hAnsi="Times New Roman"/>
        </w:rPr>
      </w:pPr>
    </w:p>
    <w:p w14:paraId="4AA83C98" w14:textId="12146DDB" w:rsidR="00961A27" w:rsidRPr="00633E7E" w:rsidRDefault="00961A27" w:rsidP="00961A27">
      <w:pPr>
        <w:autoSpaceDE w:val="0"/>
        <w:autoSpaceDN w:val="0"/>
        <w:adjustRightInd w:val="0"/>
        <w:spacing w:after="0" w:line="240" w:lineRule="auto"/>
        <w:rPr>
          <w:rFonts w:ascii="Times New Roman" w:hAnsi="Times New Roman"/>
        </w:rPr>
      </w:pPr>
      <w:r w:rsidRPr="00633E7E">
        <w:rPr>
          <w:rFonts w:ascii="Times New Roman" w:hAnsi="Times New Roman"/>
        </w:rPr>
        <w:t>Pacienti s chronickým zlyhaním obličiek preukázali zvýšené hladiny vápnika v sére do 5 dní od podania 1α-OHD3 v dávke 0,5</w:t>
      </w:r>
      <w:r w:rsidR="00DB4BE6">
        <w:rPr>
          <w:rFonts w:ascii="Times New Roman" w:hAnsi="Times New Roman"/>
        </w:rPr>
        <w:t xml:space="preserve"> </w:t>
      </w:r>
      <w:r w:rsidRPr="00633E7E">
        <w:rPr>
          <w:rFonts w:ascii="Times New Roman" w:hAnsi="Times New Roman"/>
        </w:rPr>
        <w:t>-</w:t>
      </w:r>
      <w:r w:rsidR="00DB4BE6">
        <w:rPr>
          <w:rFonts w:ascii="Times New Roman" w:hAnsi="Times New Roman"/>
        </w:rPr>
        <w:t xml:space="preserve"> </w:t>
      </w:r>
      <w:r w:rsidRPr="00633E7E">
        <w:rPr>
          <w:rFonts w:ascii="Times New Roman" w:hAnsi="Times New Roman"/>
        </w:rPr>
        <w:t>1,0 mikrogram/deň. Pri zvyšovaní sérového vápnika klesali hladiny PTH a alkalickej fosfatázy k normálu.</w:t>
      </w:r>
    </w:p>
    <w:p w14:paraId="33295DC6"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54FF4481"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5.2</w:t>
      </w:r>
      <w:r w:rsidRPr="00633E7E">
        <w:rPr>
          <w:rFonts w:ascii="Times New Roman" w:hAnsi="Times New Roman"/>
          <w:b/>
          <w:bCs/>
        </w:rPr>
        <w:tab/>
        <w:t>Farmakokinetické vlastnosti</w:t>
      </w:r>
    </w:p>
    <w:p w14:paraId="5FF3DEF4" w14:textId="77777777" w:rsidR="00961A27" w:rsidRPr="00633E7E" w:rsidRDefault="00961A27" w:rsidP="00961A27">
      <w:pPr>
        <w:autoSpaceDE w:val="0"/>
        <w:autoSpaceDN w:val="0"/>
        <w:adjustRightInd w:val="0"/>
        <w:spacing w:after="0" w:line="240" w:lineRule="auto"/>
        <w:rPr>
          <w:rFonts w:ascii="Times New Roman" w:hAnsi="Times New Roman"/>
        </w:rPr>
      </w:pPr>
    </w:p>
    <w:p w14:paraId="29BD2B88" w14:textId="77777777" w:rsidR="00961A27" w:rsidRPr="00633E7E" w:rsidRDefault="00961A27" w:rsidP="00961A27">
      <w:pPr>
        <w:autoSpaceDE w:val="0"/>
        <w:autoSpaceDN w:val="0"/>
        <w:adjustRightInd w:val="0"/>
        <w:spacing w:after="0" w:line="240" w:lineRule="auto"/>
        <w:rPr>
          <w:rFonts w:ascii="Times New Roman" w:hAnsi="Times New Roman"/>
          <w:i/>
        </w:rPr>
      </w:pPr>
      <w:r w:rsidRPr="00633E7E">
        <w:rPr>
          <w:rFonts w:ascii="Times New Roman" w:hAnsi="Times New Roman"/>
          <w:i/>
        </w:rPr>
        <w:t xml:space="preserve">Absorpcia </w:t>
      </w:r>
    </w:p>
    <w:p w14:paraId="593BC1AB" w14:textId="77777777" w:rsidR="00961A27" w:rsidRPr="00633E7E" w:rsidRDefault="00961A27" w:rsidP="00961A27">
      <w:pPr>
        <w:autoSpaceDE w:val="0"/>
        <w:autoSpaceDN w:val="0"/>
        <w:adjustRightInd w:val="0"/>
        <w:spacing w:after="0" w:line="240" w:lineRule="auto"/>
        <w:rPr>
          <w:rFonts w:ascii="Times New Roman" w:hAnsi="Times New Roman"/>
        </w:rPr>
      </w:pPr>
      <w:r w:rsidRPr="00633E7E">
        <w:rPr>
          <w:rFonts w:ascii="Times New Roman" w:hAnsi="Times New Roman"/>
        </w:rPr>
        <w:t xml:space="preserve">Alfakalcidol sa vstrebáva pasívne a takmer úplne v tenkom čreve. 1α-OHD3 tiež spôsobuje zvýšenie plazmatickej hladiny anorganického fosforu v dôsledku zvýšenej absorpcie v čreve a reabsorpcie v renálnych tubuloch. Tento posledný účinok je výsledkom supresie PTH pomocou 1α-OHD3. Účinok lieku na </w:t>
      </w:r>
      <w:r w:rsidR="00CE2CF8">
        <w:rPr>
          <w:rFonts w:ascii="Times New Roman" w:hAnsi="Times New Roman"/>
        </w:rPr>
        <w:t xml:space="preserve">absorpciu </w:t>
      </w:r>
      <w:r w:rsidRPr="00633E7E">
        <w:rPr>
          <w:rFonts w:ascii="Times New Roman" w:hAnsi="Times New Roman"/>
        </w:rPr>
        <w:t>vápnik</w:t>
      </w:r>
      <w:r w:rsidR="00CE2CF8">
        <w:rPr>
          <w:rFonts w:ascii="Times New Roman" w:hAnsi="Times New Roman"/>
        </w:rPr>
        <w:t>a</w:t>
      </w:r>
      <w:r w:rsidRPr="00633E7E">
        <w:rPr>
          <w:rFonts w:ascii="Times New Roman" w:hAnsi="Times New Roman"/>
        </w:rPr>
        <w:t xml:space="preserve"> bol približne dvojnásobný ako jeho účinok na absorpciu fosforu.</w:t>
      </w:r>
    </w:p>
    <w:p w14:paraId="64819EFA" w14:textId="77777777" w:rsidR="00961A27" w:rsidRPr="00633E7E" w:rsidRDefault="00961A27" w:rsidP="00961A27">
      <w:pPr>
        <w:autoSpaceDE w:val="0"/>
        <w:autoSpaceDN w:val="0"/>
        <w:adjustRightInd w:val="0"/>
        <w:spacing w:after="0" w:line="240" w:lineRule="auto"/>
        <w:rPr>
          <w:rFonts w:ascii="Times New Roman" w:hAnsi="Times New Roman"/>
        </w:rPr>
      </w:pPr>
    </w:p>
    <w:p w14:paraId="5BBCBF33" w14:textId="77777777" w:rsidR="00961A27" w:rsidRPr="00633E7E" w:rsidRDefault="00961A27" w:rsidP="00961A27">
      <w:pPr>
        <w:autoSpaceDE w:val="0"/>
        <w:autoSpaceDN w:val="0"/>
        <w:adjustRightInd w:val="0"/>
        <w:spacing w:after="0" w:line="240" w:lineRule="auto"/>
        <w:rPr>
          <w:rFonts w:ascii="Times New Roman" w:hAnsi="Times New Roman"/>
          <w:i/>
          <w:spacing w:val="-4"/>
        </w:rPr>
      </w:pPr>
      <w:r w:rsidRPr="00633E7E">
        <w:rPr>
          <w:rFonts w:ascii="Times New Roman" w:hAnsi="Times New Roman"/>
          <w:i/>
        </w:rPr>
        <w:t>Biotrasformácia</w:t>
      </w:r>
    </w:p>
    <w:p w14:paraId="72FFF452" w14:textId="77777777" w:rsidR="00961A27" w:rsidRPr="00633E7E" w:rsidRDefault="00961A27" w:rsidP="00961A27">
      <w:pPr>
        <w:widowControl w:val="0"/>
        <w:autoSpaceDE w:val="0"/>
        <w:autoSpaceDN w:val="0"/>
        <w:adjustRightInd w:val="0"/>
        <w:spacing w:after="0" w:line="240" w:lineRule="auto"/>
        <w:ind w:right="57"/>
        <w:jc w:val="both"/>
        <w:rPr>
          <w:rFonts w:ascii="Times New Roman" w:hAnsi="Times New Roman"/>
        </w:rPr>
      </w:pPr>
      <w:r w:rsidRPr="00633E7E">
        <w:rPr>
          <w:rFonts w:ascii="Times New Roman" w:hAnsi="Times New Roman"/>
        </w:rPr>
        <w:t>Alfakalcidol sa v pečeni rýchlo konvertuje na 1,25-dihydroxyvitamín D. Ide o metabolit vitamínu D, ktorý pôsobí ako regulátor metabolizmu vápnika a fosfátu. Keďže táto konverzia je rýchla, klinické účinky lieku ALFAMED a 1,25-dihydroxyvitamínu D sú veľmi podobné.</w:t>
      </w:r>
    </w:p>
    <w:p w14:paraId="604CE419" w14:textId="77777777" w:rsidR="00961A27" w:rsidRPr="00633E7E" w:rsidRDefault="00961A27" w:rsidP="00961A27">
      <w:pPr>
        <w:widowControl w:val="0"/>
        <w:autoSpaceDE w:val="0"/>
        <w:autoSpaceDN w:val="0"/>
        <w:adjustRightInd w:val="0"/>
        <w:spacing w:after="0" w:line="240" w:lineRule="auto"/>
        <w:ind w:right="57"/>
        <w:jc w:val="both"/>
        <w:rPr>
          <w:rFonts w:ascii="Times New Roman" w:hAnsi="Times New Roman"/>
        </w:rPr>
      </w:pPr>
    </w:p>
    <w:p w14:paraId="00D78C18" w14:textId="77777777" w:rsidR="00961A27" w:rsidRPr="00633E7E" w:rsidRDefault="00961A27" w:rsidP="00961A27">
      <w:pPr>
        <w:widowControl w:val="0"/>
        <w:autoSpaceDE w:val="0"/>
        <w:autoSpaceDN w:val="0"/>
        <w:adjustRightInd w:val="0"/>
        <w:spacing w:after="0" w:line="240" w:lineRule="auto"/>
        <w:ind w:right="57"/>
        <w:jc w:val="both"/>
        <w:rPr>
          <w:rFonts w:ascii="Times New Roman" w:hAnsi="Times New Roman"/>
          <w:i/>
        </w:rPr>
      </w:pPr>
      <w:r w:rsidRPr="00633E7E">
        <w:rPr>
          <w:rFonts w:ascii="Times New Roman" w:hAnsi="Times New Roman"/>
          <w:i/>
        </w:rPr>
        <w:t xml:space="preserve">Eliminácia </w:t>
      </w:r>
    </w:p>
    <w:p w14:paraId="6826359B" w14:textId="77777777" w:rsidR="00961A27" w:rsidRPr="00633E7E" w:rsidRDefault="00961A27" w:rsidP="00961A27">
      <w:pPr>
        <w:widowControl w:val="0"/>
        <w:autoSpaceDE w:val="0"/>
        <w:autoSpaceDN w:val="0"/>
        <w:adjustRightInd w:val="0"/>
        <w:spacing w:after="0" w:line="240" w:lineRule="auto"/>
        <w:ind w:right="57"/>
        <w:jc w:val="both"/>
        <w:rPr>
          <w:rFonts w:ascii="Times New Roman" w:hAnsi="Times New Roman"/>
        </w:rPr>
      </w:pPr>
      <w:r w:rsidRPr="00633E7E">
        <w:rPr>
          <w:rFonts w:ascii="Times New Roman" w:hAnsi="Times New Roman"/>
        </w:rPr>
        <w:t>Biologický polčas alfacalcidolu je približne 4 hodiny. Farmakologický účinok je 3-5 dní.</w:t>
      </w:r>
    </w:p>
    <w:p w14:paraId="1CE360B1"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5A011C06"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b/>
          <w:bCs/>
        </w:rPr>
      </w:pPr>
      <w:r w:rsidRPr="00633E7E">
        <w:rPr>
          <w:rFonts w:ascii="Times New Roman" w:hAnsi="Times New Roman"/>
          <w:b/>
          <w:bCs/>
        </w:rPr>
        <w:t>5.3</w:t>
      </w:r>
      <w:r w:rsidRPr="00633E7E">
        <w:rPr>
          <w:rFonts w:ascii="Times New Roman" w:hAnsi="Times New Roman"/>
          <w:b/>
          <w:bCs/>
        </w:rPr>
        <w:tab/>
        <w:t>Predklinické údaje o bezpečnosti</w:t>
      </w:r>
    </w:p>
    <w:p w14:paraId="779CF515" w14:textId="77777777" w:rsidR="00961A27" w:rsidRPr="00633E7E" w:rsidRDefault="00961A27" w:rsidP="00961A27">
      <w:pPr>
        <w:widowControl w:val="0"/>
        <w:tabs>
          <w:tab w:val="left" w:pos="820"/>
        </w:tabs>
        <w:autoSpaceDE w:val="0"/>
        <w:autoSpaceDN w:val="0"/>
        <w:adjustRightInd w:val="0"/>
        <w:spacing w:after="0" w:line="240" w:lineRule="auto"/>
        <w:ind w:right="-20"/>
        <w:rPr>
          <w:rFonts w:ascii="Times New Roman" w:hAnsi="Times New Roman"/>
        </w:rPr>
      </w:pPr>
    </w:p>
    <w:p w14:paraId="5B731DD7" w14:textId="77777777" w:rsidR="00961A27" w:rsidRPr="00633E7E" w:rsidRDefault="00961A27" w:rsidP="00961A27">
      <w:pPr>
        <w:autoSpaceDE w:val="0"/>
        <w:autoSpaceDN w:val="0"/>
        <w:adjustRightInd w:val="0"/>
        <w:spacing w:after="0" w:line="240" w:lineRule="auto"/>
        <w:rPr>
          <w:rFonts w:ascii="Times New Roman" w:hAnsi="Times New Roman"/>
          <w:i/>
        </w:rPr>
      </w:pPr>
      <w:r w:rsidRPr="00633E7E">
        <w:rPr>
          <w:rFonts w:ascii="Times New Roman" w:hAnsi="Times New Roman"/>
          <w:i/>
        </w:rPr>
        <w:t>Chronická toxicita:</w:t>
      </w:r>
    </w:p>
    <w:p w14:paraId="6A4C9AA4" w14:textId="01DD48A1" w:rsidR="00961A27" w:rsidRPr="00633E7E" w:rsidRDefault="006C6454" w:rsidP="00961A27">
      <w:pPr>
        <w:autoSpaceDE w:val="0"/>
        <w:autoSpaceDN w:val="0"/>
        <w:adjustRightInd w:val="0"/>
        <w:spacing w:after="0" w:line="240" w:lineRule="auto"/>
        <w:rPr>
          <w:rFonts w:ascii="Times New Roman" w:hAnsi="Times New Roman"/>
        </w:rPr>
      </w:pPr>
      <w:r>
        <w:rPr>
          <w:rFonts w:ascii="Times New Roman" w:hAnsi="Times New Roman"/>
        </w:rPr>
        <w:t>Pred</w:t>
      </w:r>
      <w:r w:rsidR="00961A27" w:rsidRPr="00633E7E">
        <w:rPr>
          <w:rFonts w:ascii="Times New Roman" w:hAnsi="Times New Roman"/>
        </w:rPr>
        <w:t xml:space="preserve">klinická toxicita </w:t>
      </w:r>
      <w:proofErr w:type="spellStart"/>
      <w:r w:rsidR="00961A27" w:rsidRPr="00633E7E">
        <w:rPr>
          <w:rFonts w:ascii="Times New Roman" w:hAnsi="Times New Roman"/>
        </w:rPr>
        <w:t>alfakalcidolu</w:t>
      </w:r>
      <w:proofErr w:type="spellEnd"/>
      <w:r w:rsidR="00961A27" w:rsidRPr="00633E7E">
        <w:rPr>
          <w:rFonts w:ascii="Times New Roman" w:hAnsi="Times New Roman"/>
        </w:rPr>
        <w:t xml:space="preserve"> sa pripisuje </w:t>
      </w:r>
      <w:r w:rsidR="00961A27" w:rsidRPr="00DE4067">
        <w:rPr>
          <w:rFonts w:ascii="Times New Roman" w:hAnsi="Times New Roman"/>
        </w:rPr>
        <w:t xml:space="preserve">známemu účinku </w:t>
      </w:r>
      <w:r w:rsidRPr="00DE4067">
        <w:rPr>
          <w:rFonts w:ascii="Times New Roman" w:hAnsi="Times New Roman"/>
        </w:rPr>
        <w:t xml:space="preserve">vitamínu D </w:t>
      </w:r>
      <w:proofErr w:type="spellStart"/>
      <w:r w:rsidRPr="00DE4067">
        <w:rPr>
          <w:rFonts w:ascii="Times New Roman" w:hAnsi="Times New Roman"/>
        </w:rPr>
        <w:t>kalcitriolu</w:t>
      </w:r>
      <w:proofErr w:type="spellEnd"/>
      <w:r w:rsidR="00961A27" w:rsidRPr="00633E7E">
        <w:rPr>
          <w:rFonts w:ascii="Times New Roman" w:hAnsi="Times New Roman"/>
        </w:rPr>
        <w:t xml:space="preserve"> na </w:t>
      </w:r>
      <w:proofErr w:type="spellStart"/>
      <w:r w:rsidR="00961A27" w:rsidRPr="00633E7E">
        <w:rPr>
          <w:rFonts w:ascii="Times New Roman" w:hAnsi="Times New Roman"/>
        </w:rPr>
        <w:t>homeostázu</w:t>
      </w:r>
      <w:proofErr w:type="spellEnd"/>
      <w:r w:rsidR="00961A27" w:rsidRPr="00633E7E">
        <w:rPr>
          <w:rFonts w:ascii="Times New Roman" w:hAnsi="Times New Roman"/>
        </w:rPr>
        <w:t xml:space="preserve"> vápnika, ktor</w:t>
      </w:r>
      <w:r>
        <w:rPr>
          <w:rFonts w:ascii="Times New Roman" w:hAnsi="Times New Roman"/>
        </w:rPr>
        <w:t>ý</w:t>
      </w:r>
      <w:r w:rsidR="00961A27" w:rsidRPr="00633E7E">
        <w:rPr>
          <w:rFonts w:ascii="Times New Roman" w:hAnsi="Times New Roman"/>
        </w:rPr>
        <w:t xml:space="preserve"> je charakterizovan</w:t>
      </w:r>
      <w:r>
        <w:rPr>
          <w:rFonts w:ascii="Times New Roman" w:hAnsi="Times New Roman"/>
        </w:rPr>
        <w:t>ý</w:t>
      </w:r>
      <w:r w:rsidR="00961A27" w:rsidRPr="00633E7E">
        <w:rPr>
          <w:rFonts w:ascii="Times New Roman" w:hAnsi="Times New Roman"/>
        </w:rPr>
        <w:t xml:space="preserve"> </w:t>
      </w:r>
      <w:proofErr w:type="spellStart"/>
      <w:r w:rsidR="00961A27" w:rsidRPr="00633E7E">
        <w:rPr>
          <w:rFonts w:ascii="Times New Roman" w:hAnsi="Times New Roman"/>
        </w:rPr>
        <w:t>hyperkalciémiou</w:t>
      </w:r>
      <w:proofErr w:type="spellEnd"/>
      <w:r w:rsidR="00961A27" w:rsidRPr="00633E7E">
        <w:rPr>
          <w:rFonts w:ascii="Times New Roman" w:hAnsi="Times New Roman"/>
        </w:rPr>
        <w:t xml:space="preserve">, </w:t>
      </w:r>
      <w:proofErr w:type="spellStart"/>
      <w:r w:rsidR="00961A27" w:rsidRPr="00633E7E">
        <w:rPr>
          <w:rFonts w:ascii="Times New Roman" w:hAnsi="Times New Roman"/>
        </w:rPr>
        <w:t>hyperkalciúriou</w:t>
      </w:r>
      <w:proofErr w:type="spellEnd"/>
      <w:r w:rsidR="00961A27" w:rsidRPr="00633E7E">
        <w:rPr>
          <w:rFonts w:ascii="Times New Roman" w:hAnsi="Times New Roman"/>
        </w:rPr>
        <w:t xml:space="preserve"> a prípadne kalcifikáciou mäkkého tkaniva.</w:t>
      </w:r>
    </w:p>
    <w:p w14:paraId="17D5881B" w14:textId="77777777" w:rsidR="00961A27" w:rsidRPr="00633E7E" w:rsidRDefault="00961A27" w:rsidP="00961A27">
      <w:pPr>
        <w:autoSpaceDE w:val="0"/>
        <w:autoSpaceDN w:val="0"/>
        <w:adjustRightInd w:val="0"/>
        <w:spacing w:after="0" w:line="240" w:lineRule="auto"/>
        <w:rPr>
          <w:rFonts w:ascii="Times New Roman" w:hAnsi="Times New Roman"/>
        </w:rPr>
      </w:pPr>
    </w:p>
    <w:p w14:paraId="75D33751" w14:textId="77777777" w:rsidR="00961A27" w:rsidRPr="00633E7E" w:rsidRDefault="00961A27" w:rsidP="00961A27">
      <w:pPr>
        <w:autoSpaceDE w:val="0"/>
        <w:autoSpaceDN w:val="0"/>
        <w:adjustRightInd w:val="0"/>
        <w:spacing w:after="0" w:line="240" w:lineRule="auto"/>
        <w:rPr>
          <w:rFonts w:ascii="Times New Roman" w:hAnsi="Times New Roman"/>
          <w:i/>
        </w:rPr>
      </w:pPr>
      <w:r w:rsidRPr="00633E7E">
        <w:rPr>
          <w:rFonts w:ascii="Times New Roman" w:hAnsi="Times New Roman"/>
          <w:i/>
        </w:rPr>
        <w:t>Genotoxicita:</w:t>
      </w:r>
    </w:p>
    <w:p w14:paraId="42FE1184" w14:textId="77777777" w:rsidR="00961A27" w:rsidRPr="00633E7E" w:rsidRDefault="00961A27" w:rsidP="00961A27">
      <w:pPr>
        <w:autoSpaceDE w:val="0"/>
        <w:autoSpaceDN w:val="0"/>
        <w:adjustRightInd w:val="0"/>
        <w:spacing w:after="0" w:line="240" w:lineRule="auto"/>
        <w:rPr>
          <w:rFonts w:ascii="Times New Roman" w:hAnsi="Times New Roman"/>
        </w:rPr>
      </w:pPr>
      <w:r w:rsidRPr="00633E7E">
        <w:rPr>
          <w:rFonts w:ascii="Times New Roman" w:hAnsi="Times New Roman"/>
        </w:rPr>
        <w:t>Alfakalcidol nie je genotoxický.</w:t>
      </w:r>
    </w:p>
    <w:p w14:paraId="27F2CECB" w14:textId="77777777" w:rsidR="00961A27" w:rsidRPr="00633E7E" w:rsidRDefault="00961A27" w:rsidP="00961A27">
      <w:pPr>
        <w:autoSpaceDE w:val="0"/>
        <w:autoSpaceDN w:val="0"/>
        <w:adjustRightInd w:val="0"/>
        <w:spacing w:after="0" w:line="240" w:lineRule="auto"/>
        <w:rPr>
          <w:rFonts w:ascii="Times New Roman" w:hAnsi="Times New Roman"/>
        </w:rPr>
      </w:pPr>
    </w:p>
    <w:p w14:paraId="28F4136B" w14:textId="77777777" w:rsidR="00961A27" w:rsidRPr="00633E7E" w:rsidRDefault="00961A27" w:rsidP="00961A27">
      <w:pPr>
        <w:autoSpaceDE w:val="0"/>
        <w:autoSpaceDN w:val="0"/>
        <w:adjustRightInd w:val="0"/>
        <w:spacing w:after="0" w:line="240" w:lineRule="auto"/>
        <w:rPr>
          <w:rFonts w:ascii="Times New Roman" w:hAnsi="Times New Roman"/>
          <w:i/>
        </w:rPr>
      </w:pPr>
      <w:r w:rsidRPr="00633E7E">
        <w:rPr>
          <w:rFonts w:ascii="Times New Roman" w:hAnsi="Times New Roman"/>
          <w:i/>
        </w:rPr>
        <w:t>Reprodukčná toxicita:</w:t>
      </w:r>
    </w:p>
    <w:p w14:paraId="3699C943" w14:textId="2137F0CD" w:rsidR="00961A27" w:rsidRPr="00633E7E" w:rsidRDefault="00961A27" w:rsidP="00961A27">
      <w:pPr>
        <w:autoSpaceDE w:val="0"/>
        <w:autoSpaceDN w:val="0"/>
        <w:adjustRightInd w:val="0"/>
        <w:spacing w:after="0" w:line="240" w:lineRule="auto"/>
        <w:rPr>
          <w:rFonts w:ascii="Times New Roman" w:hAnsi="Times New Roman"/>
        </w:rPr>
      </w:pPr>
      <w:r w:rsidRPr="00633E7E">
        <w:rPr>
          <w:rFonts w:ascii="Times New Roman" w:hAnsi="Times New Roman"/>
        </w:rPr>
        <w:t xml:space="preserve">Žiadne špecifické účinky alfakalcidolu na plodnosť alebo správanie potomstva neboli pozorované u potkanov a králikov. Pokiaľ ide o vývoj embrya a plodu, pozorovala sa </w:t>
      </w:r>
      <w:proofErr w:type="spellStart"/>
      <w:r w:rsidRPr="00633E7E">
        <w:rPr>
          <w:rFonts w:ascii="Times New Roman" w:hAnsi="Times New Roman"/>
        </w:rPr>
        <w:t>fetálna</w:t>
      </w:r>
      <w:proofErr w:type="spellEnd"/>
      <w:r w:rsidRPr="00633E7E">
        <w:rPr>
          <w:rFonts w:ascii="Times New Roman" w:hAnsi="Times New Roman"/>
        </w:rPr>
        <w:t xml:space="preserve"> toxicita (</w:t>
      </w:r>
      <w:proofErr w:type="spellStart"/>
      <w:r w:rsidRPr="00633E7E">
        <w:rPr>
          <w:rFonts w:ascii="Times New Roman" w:hAnsi="Times New Roman"/>
        </w:rPr>
        <w:t>postimplantačná</w:t>
      </w:r>
      <w:proofErr w:type="spellEnd"/>
      <w:r w:rsidRPr="00633E7E">
        <w:rPr>
          <w:rFonts w:ascii="Times New Roman" w:hAnsi="Times New Roman"/>
        </w:rPr>
        <w:t xml:space="preserve"> strata, nižšia </w:t>
      </w:r>
      <w:r w:rsidR="00D77938">
        <w:rPr>
          <w:rFonts w:ascii="Times New Roman" w:hAnsi="Times New Roman"/>
        </w:rPr>
        <w:t>početnosť</w:t>
      </w:r>
      <w:r w:rsidR="00D77938" w:rsidRPr="00633E7E">
        <w:rPr>
          <w:rFonts w:ascii="Times New Roman" w:hAnsi="Times New Roman"/>
        </w:rPr>
        <w:t xml:space="preserve"> </w:t>
      </w:r>
      <w:r w:rsidRPr="00633E7E">
        <w:rPr>
          <w:rFonts w:ascii="Times New Roman" w:hAnsi="Times New Roman"/>
        </w:rPr>
        <w:t>vrhu a nižšia hmotnosť mláďat) v dávkach dostatočne vysokých na to, aby spôsobili toxicitu u matiek. Vysoké dávky vitamínu D sú známe ako teratogénne u pokusných zvierat.</w:t>
      </w:r>
    </w:p>
    <w:p w14:paraId="44CADD91" w14:textId="77777777" w:rsidR="00961A27" w:rsidRPr="00633E7E" w:rsidRDefault="00961A27" w:rsidP="00961A27">
      <w:pPr>
        <w:widowControl w:val="0"/>
        <w:autoSpaceDE w:val="0"/>
        <w:autoSpaceDN w:val="0"/>
        <w:adjustRightInd w:val="0"/>
        <w:spacing w:after="0" w:line="240" w:lineRule="auto"/>
        <w:rPr>
          <w:rFonts w:ascii="Times New Roman" w:hAnsi="Times New Roman"/>
          <w:spacing w:val="2"/>
        </w:rPr>
      </w:pPr>
    </w:p>
    <w:p w14:paraId="35A2CF6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1FC7AF0" w14:textId="50A971E8"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6</w:t>
      </w:r>
      <w:r w:rsidR="0091099D">
        <w:rPr>
          <w:rFonts w:ascii="Times New Roman" w:hAnsi="Times New Roman"/>
          <w:b/>
          <w:bCs/>
        </w:rPr>
        <w:t>.</w:t>
      </w:r>
      <w:r w:rsidRPr="00633E7E">
        <w:rPr>
          <w:rFonts w:ascii="Times New Roman" w:hAnsi="Times New Roman"/>
          <w:b/>
          <w:bCs/>
        </w:rPr>
        <w:tab/>
        <w:t>FARMACEUTICKÉ INFORMÁCIE</w:t>
      </w:r>
    </w:p>
    <w:p w14:paraId="0E052A13"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772BC90E"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6.1</w:t>
      </w:r>
      <w:r w:rsidRPr="00633E7E">
        <w:rPr>
          <w:rFonts w:ascii="Times New Roman" w:hAnsi="Times New Roman"/>
          <w:b/>
          <w:bCs/>
        </w:rPr>
        <w:tab/>
        <w:t>Zoznam pomocných látok</w:t>
      </w:r>
    </w:p>
    <w:p w14:paraId="01A58F4F" w14:textId="77777777" w:rsidR="00DB4BE6" w:rsidRDefault="00DB4BE6" w:rsidP="00961A27">
      <w:pPr>
        <w:widowControl w:val="0"/>
        <w:autoSpaceDE w:val="0"/>
        <w:autoSpaceDN w:val="0"/>
        <w:adjustRightInd w:val="0"/>
        <w:spacing w:after="0" w:line="240" w:lineRule="auto"/>
        <w:ind w:right="-20"/>
        <w:rPr>
          <w:rFonts w:ascii="Times New Roman" w:hAnsi="Times New Roman"/>
        </w:rPr>
      </w:pPr>
    </w:p>
    <w:p w14:paraId="65CD1A17" w14:textId="15ABFA14"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lastRenderedPageBreak/>
        <w:t>Obsah kapsuly:</w:t>
      </w:r>
    </w:p>
    <w:p w14:paraId="086ED5E0" w14:textId="288DBF48"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Kyselina citrónová, bezvodá (E330)</w:t>
      </w:r>
    </w:p>
    <w:p w14:paraId="1F0FACF9" w14:textId="611C321A" w:rsidR="00961A27" w:rsidRPr="00633E7E" w:rsidRDefault="00F25114" w:rsidP="00961A27">
      <w:pPr>
        <w:widowControl w:val="0"/>
        <w:autoSpaceDE w:val="0"/>
        <w:autoSpaceDN w:val="0"/>
        <w:adjustRightInd w:val="0"/>
        <w:spacing w:after="0" w:line="240" w:lineRule="auto"/>
        <w:ind w:right="2260"/>
        <w:rPr>
          <w:rFonts w:ascii="Times New Roman" w:hAnsi="Times New Roman"/>
        </w:rPr>
      </w:pPr>
      <w:proofErr w:type="spellStart"/>
      <w:r>
        <w:rPr>
          <w:rFonts w:ascii="Times New Roman" w:hAnsi="Times New Roman"/>
        </w:rPr>
        <w:t>All-</w:t>
      </w:r>
      <w:r w:rsidRPr="00682A5C">
        <w:rPr>
          <w:rFonts w:ascii="Times New Roman" w:hAnsi="Times New Roman"/>
          <w:i/>
        </w:rPr>
        <w:t>rac</w:t>
      </w:r>
      <w:proofErr w:type="spellEnd"/>
      <w:r w:rsidR="00961A27" w:rsidRPr="00682A5C">
        <w:rPr>
          <w:rFonts w:ascii="Times New Roman" w:hAnsi="Times New Roman"/>
          <w:i/>
        </w:rPr>
        <w:t>-α</w:t>
      </w:r>
      <w:r w:rsidR="00961A27" w:rsidRPr="00633E7E">
        <w:rPr>
          <w:rFonts w:ascii="Times New Roman" w:hAnsi="Times New Roman"/>
        </w:rPr>
        <w:t>-</w:t>
      </w:r>
      <w:proofErr w:type="spellStart"/>
      <w:r>
        <w:rPr>
          <w:rFonts w:ascii="Times New Roman" w:hAnsi="Times New Roman"/>
        </w:rPr>
        <w:t>T</w:t>
      </w:r>
      <w:r w:rsidR="00961A27" w:rsidRPr="00633E7E">
        <w:rPr>
          <w:rFonts w:ascii="Times New Roman" w:hAnsi="Times New Roman"/>
        </w:rPr>
        <w:t>okoferol</w:t>
      </w:r>
      <w:proofErr w:type="spellEnd"/>
      <w:r w:rsidR="00961A27" w:rsidRPr="00633E7E">
        <w:rPr>
          <w:rFonts w:ascii="Times New Roman" w:hAnsi="Times New Roman"/>
        </w:rPr>
        <w:t xml:space="preserve"> (E307)</w:t>
      </w:r>
    </w:p>
    <w:p w14:paraId="376B8195" w14:textId="77777777" w:rsidR="00961A27" w:rsidRPr="00633E7E" w:rsidRDefault="00961A27" w:rsidP="00961A27">
      <w:pPr>
        <w:widowControl w:val="0"/>
        <w:autoSpaceDE w:val="0"/>
        <w:autoSpaceDN w:val="0"/>
        <w:adjustRightInd w:val="0"/>
        <w:spacing w:after="0" w:line="240" w:lineRule="auto"/>
        <w:ind w:right="2260"/>
        <w:rPr>
          <w:rFonts w:ascii="Times New Roman" w:hAnsi="Times New Roman"/>
        </w:rPr>
      </w:pPr>
      <w:r w:rsidRPr="00633E7E">
        <w:rPr>
          <w:rFonts w:ascii="Times New Roman" w:hAnsi="Times New Roman"/>
        </w:rPr>
        <w:t>Propylgalát (E310)</w:t>
      </w:r>
    </w:p>
    <w:p w14:paraId="325702A7" w14:textId="11BAE996" w:rsidR="00961A27" w:rsidRPr="00633E7E" w:rsidRDefault="00961A27" w:rsidP="00961A27">
      <w:pPr>
        <w:widowControl w:val="0"/>
        <w:autoSpaceDE w:val="0"/>
        <w:autoSpaceDN w:val="0"/>
        <w:adjustRightInd w:val="0"/>
        <w:spacing w:after="0" w:line="240" w:lineRule="auto"/>
        <w:ind w:right="5615"/>
        <w:rPr>
          <w:rFonts w:ascii="Times New Roman" w:hAnsi="Times New Roman"/>
        </w:rPr>
      </w:pPr>
      <w:r w:rsidRPr="00633E7E">
        <w:rPr>
          <w:rFonts w:ascii="Times New Roman" w:hAnsi="Times New Roman"/>
        </w:rPr>
        <w:t>Etanol, bezvodý</w:t>
      </w:r>
    </w:p>
    <w:p w14:paraId="4F0D8C1F" w14:textId="4A9FE6AC" w:rsidR="00961A27" w:rsidRPr="00633E7E" w:rsidRDefault="00A80F17" w:rsidP="00961A27">
      <w:pPr>
        <w:widowControl w:val="0"/>
        <w:autoSpaceDE w:val="0"/>
        <w:autoSpaceDN w:val="0"/>
        <w:adjustRightInd w:val="0"/>
        <w:spacing w:after="0" w:line="240" w:lineRule="auto"/>
        <w:rPr>
          <w:rFonts w:ascii="Times New Roman" w:hAnsi="Times New Roman"/>
        </w:rPr>
      </w:pPr>
      <w:r>
        <w:rPr>
          <w:rFonts w:ascii="Times New Roman" w:hAnsi="Times New Roman"/>
        </w:rPr>
        <w:t>Podzemnicový</w:t>
      </w:r>
      <w:r w:rsidR="00961A27" w:rsidRPr="00633E7E">
        <w:rPr>
          <w:rFonts w:ascii="Times New Roman" w:hAnsi="Times New Roman"/>
        </w:rPr>
        <w:t xml:space="preserve"> olej, rafinovaný</w:t>
      </w:r>
    </w:p>
    <w:p w14:paraId="55C557BA" w14:textId="77777777" w:rsidR="00961A27" w:rsidRPr="00633E7E" w:rsidRDefault="00961A27" w:rsidP="00961A27">
      <w:pPr>
        <w:widowControl w:val="0"/>
        <w:autoSpaceDE w:val="0"/>
        <w:autoSpaceDN w:val="0"/>
        <w:adjustRightInd w:val="0"/>
        <w:spacing w:after="0" w:line="240" w:lineRule="auto"/>
        <w:ind w:right="-20"/>
        <w:rPr>
          <w:rFonts w:ascii="Times New Roman" w:hAnsi="Times New Roman"/>
          <w:spacing w:val="2"/>
        </w:rPr>
      </w:pPr>
    </w:p>
    <w:p w14:paraId="0EC36BF1" w14:textId="77777777"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Obal kapsuly obsahuje:</w:t>
      </w:r>
    </w:p>
    <w:p w14:paraId="7A10A934" w14:textId="736143C0" w:rsidR="00961A27" w:rsidRPr="00633E7E" w:rsidRDefault="00961A27" w:rsidP="00961A27">
      <w:pPr>
        <w:widowControl w:val="0"/>
        <w:autoSpaceDE w:val="0"/>
        <w:autoSpaceDN w:val="0"/>
        <w:adjustRightInd w:val="0"/>
        <w:spacing w:after="0" w:line="240" w:lineRule="auto"/>
        <w:ind w:right="6930"/>
        <w:rPr>
          <w:rFonts w:ascii="Times New Roman" w:hAnsi="Times New Roman"/>
        </w:rPr>
      </w:pPr>
      <w:r w:rsidRPr="00633E7E">
        <w:rPr>
          <w:rFonts w:ascii="Times New Roman" w:hAnsi="Times New Roman"/>
        </w:rPr>
        <w:t>Želatín</w:t>
      </w:r>
      <w:r w:rsidR="00F25114">
        <w:rPr>
          <w:rFonts w:ascii="Times New Roman" w:hAnsi="Times New Roman"/>
        </w:rPr>
        <w:t>u</w:t>
      </w:r>
      <w:r w:rsidRPr="00633E7E">
        <w:rPr>
          <w:rFonts w:ascii="Times New Roman" w:hAnsi="Times New Roman"/>
        </w:rPr>
        <w:t xml:space="preserve"> (E441)</w:t>
      </w:r>
    </w:p>
    <w:p w14:paraId="6C3839FB" w14:textId="757112D6" w:rsidR="00961A27" w:rsidRPr="00633E7E" w:rsidRDefault="00961A27" w:rsidP="00961A27">
      <w:pPr>
        <w:widowControl w:val="0"/>
        <w:autoSpaceDE w:val="0"/>
        <w:autoSpaceDN w:val="0"/>
        <w:adjustRightInd w:val="0"/>
        <w:spacing w:after="0" w:line="240" w:lineRule="auto"/>
        <w:ind w:right="6475"/>
        <w:rPr>
          <w:rFonts w:ascii="Times New Roman" w:hAnsi="Times New Roman"/>
        </w:rPr>
      </w:pPr>
      <w:r w:rsidRPr="00633E7E">
        <w:rPr>
          <w:rFonts w:ascii="Times New Roman" w:hAnsi="Times New Roman"/>
        </w:rPr>
        <w:t>Glycerol (E422)</w:t>
      </w:r>
    </w:p>
    <w:p w14:paraId="44154965" w14:textId="0DEC7FC6" w:rsidR="00961A27" w:rsidRPr="00633E7E" w:rsidRDefault="00961A27" w:rsidP="00961A27">
      <w:pPr>
        <w:widowControl w:val="0"/>
        <w:autoSpaceDE w:val="0"/>
        <w:autoSpaceDN w:val="0"/>
        <w:adjustRightInd w:val="0"/>
        <w:spacing w:after="0" w:line="240" w:lineRule="auto"/>
        <w:ind w:right="-20"/>
        <w:rPr>
          <w:rFonts w:ascii="Times New Roman" w:hAnsi="Times New Roman"/>
        </w:rPr>
      </w:pPr>
      <w:proofErr w:type="spellStart"/>
      <w:r w:rsidRPr="00633E7E">
        <w:rPr>
          <w:rFonts w:ascii="Times New Roman" w:hAnsi="Times New Roman"/>
        </w:rPr>
        <w:t>Sorbitol</w:t>
      </w:r>
      <w:proofErr w:type="spellEnd"/>
      <w:r w:rsidRPr="00633E7E">
        <w:rPr>
          <w:rFonts w:ascii="Times New Roman" w:hAnsi="Times New Roman"/>
        </w:rPr>
        <w:t xml:space="preserve">, čiastočne dehydratovaný </w:t>
      </w:r>
      <w:r w:rsidR="00A80F17">
        <w:rPr>
          <w:rFonts w:ascii="Times New Roman" w:hAnsi="Times New Roman"/>
        </w:rPr>
        <w:t xml:space="preserve">roztok </w:t>
      </w:r>
      <w:r w:rsidRPr="00633E7E">
        <w:rPr>
          <w:rFonts w:ascii="Times New Roman" w:hAnsi="Times New Roman"/>
        </w:rPr>
        <w:t>(E420)</w:t>
      </w:r>
    </w:p>
    <w:p w14:paraId="7FAD813A" w14:textId="0FE200DE"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Čisten</w:t>
      </w:r>
      <w:r w:rsidR="00F25114">
        <w:rPr>
          <w:rFonts w:ascii="Times New Roman" w:hAnsi="Times New Roman"/>
        </w:rPr>
        <w:t>ú</w:t>
      </w:r>
      <w:r w:rsidRPr="00633E7E">
        <w:rPr>
          <w:rFonts w:ascii="Times New Roman" w:hAnsi="Times New Roman"/>
        </w:rPr>
        <w:t xml:space="preserve"> vod</w:t>
      </w:r>
      <w:r w:rsidR="00F25114">
        <w:rPr>
          <w:rFonts w:ascii="Times New Roman" w:hAnsi="Times New Roman"/>
        </w:rPr>
        <w:t>u</w:t>
      </w:r>
      <w:r w:rsidRPr="00633E7E">
        <w:rPr>
          <w:rFonts w:ascii="Times New Roman" w:hAnsi="Times New Roman"/>
        </w:rPr>
        <w:t xml:space="preserve"> </w:t>
      </w:r>
    </w:p>
    <w:p w14:paraId="440C02AE" w14:textId="6839D0C6" w:rsidR="003A7912" w:rsidRDefault="003A7912" w:rsidP="00961A27">
      <w:pPr>
        <w:widowControl w:val="0"/>
        <w:autoSpaceDE w:val="0"/>
        <w:autoSpaceDN w:val="0"/>
        <w:adjustRightInd w:val="0"/>
        <w:spacing w:after="0" w:line="240" w:lineRule="auto"/>
        <w:ind w:right="-20"/>
        <w:rPr>
          <w:rFonts w:ascii="Times New Roman" w:hAnsi="Times New Roman"/>
          <w:color w:val="000000"/>
        </w:rPr>
      </w:pPr>
      <w:r>
        <w:rPr>
          <w:rFonts w:ascii="Times New Roman" w:hAnsi="Times New Roman"/>
          <w:color w:val="000000"/>
        </w:rPr>
        <w:t>Stredne nasýtené triacylglyceroly</w:t>
      </w:r>
    </w:p>
    <w:p w14:paraId="410F013E" w14:textId="1F8DFABB" w:rsidR="00961A27" w:rsidRPr="00633E7E" w:rsidRDefault="003A7912" w:rsidP="00961A27">
      <w:pPr>
        <w:widowControl w:val="0"/>
        <w:autoSpaceDE w:val="0"/>
        <w:autoSpaceDN w:val="0"/>
        <w:adjustRightInd w:val="0"/>
        <w:spacing w:after="0" w:line="240" w:lineRule="auto"/>
        <w:ind w:right="-20"/>
        <w:rPr>
          <w:rFonts w:ascii="Times New Roman" w:hAnsi="Times New Roman"/>
          <w:spacing w:val="1"/>
        </w:rPr>
      </w:pPr>
      <w:r>
        <w:rPr>
          <w:rFonts w:ascii="Times New Roman" w:hAnsi="Times New Roman"/>
        </w:rPr>
        <w:t>O</w:t>
      </w:r>
      <w:r w:rsidR="00961A27" w:rsidRPr="00633E7E">
        <w:rPr>
          <w:rFonts w:ascii="Times New Roman" w:hAnsi="Times New Roman"/>
        </w:rPr>
        <w:t xml:space="preserve">xid </w:t>
      </w:r>
      <w:proofErr w:type="spellStart"/>
      <w:r w:rsidR="00961A27" w:rsidRPr="00633E7E">
        <w:rPr>
          <w:rFonts w:ascii="Times New Roman" w:hAnsi="Times New Roman"/>
        </w:rPr>
        <w:t>titaničitý</w:t>
      </w:r>
      <w:proofErr w:type="spellEnd"/>
      <w:r w:rsidR="00961A27" w:rsidRPr="00633E7E">
        <w:rPr>
          <w:rFonts w:ascii="Times New Roman" w:hAnsi="Times New Roman"/>
        </w:rPr>
        <w:t xml:space="preserve"> (E171)</w:t>
      </w:r>
    </w:p>
    <w:p w14:paraId="77AF822F" w14:textId="2548EBB6" w:rsidR="00961A27" w:rsidRPr="00682A5C" w:rsidRDefault="00961A27" w:rsidP="00961A27">
      <w:pPr>
        <w:widowControl w:val="0"/>
        <w:autoSpaceDE w:val="0"/>
        <w:autoSpaceDN w:val="0"/>
        <w:adjustRightInd w:val="0"/>
        <w:spacing w:after="0" w:line="240" w:lineRule="auto"/>
        <w:ind w:right="-20"/>
        <w:rPr>
          <w:rFonts w:ascii="Times New Roman" w:hAnsi="Times New Roman"/>
          <w:spacing w:val="1"/>
        </w:rPr>
      </w:pPr>
      <w:r w:rsidRPr="00682A5C">
        <w:rPr>
          <w:rFonts w:ascii="Times New Roman" w:hAnsi="Times New Roman"/>
        </w:rPr>
        <w:t xml:space="preserve">Červený oxid železitý (E172) – len v kapsulách s obsahom 0,25 </w:t>
      </w:r>
      <w:proofErr w:type="spellStart"/>
      <w:r w:rsidRPr="00682A5C">
        <w:rPr>
          <w:rFonts w:ascii="Times New Roman" w:hAnsi="Times New Roman"/>
        </w:rPr>
        <w:t>mikrogram</w:t>
      </w:r>
      <w:r w:rsidR="003A7912">
        <w:rPr>
          <w:rFonts w:ascii="Times New Roman" w:hAnsi="Times New Roman"/>
        </w:rPr>
        <w:t>ov</w:t>
      </w:r>
      <w:proofErr w:type="spellEnd"/>
      <w:r w:rsidRPr="00682A5C">
        <w:rPr>
          <w:rFonts w:ascii="Times New Roman" w:hAnsi="Times New Roman"/>
        </w:rPr>
        <w:t xml:space="preserve"> a 0,5 </w:t>
      </w:r>
      <w:proofErr w:type="spellStart"/>
      <w:r w:rsidRPr="00682A5C">
        <w:rPr>
          <w:rFonts w:ascii="Times New Roman" w:hAnsi="Times New Roman"/>
        </w:rPr>
        <w:t>mikrogram</w:t>
      </w:r>
      <w:r w:rsidR="003A7912">
        <w:rPr>
          <w:rFonts w:ascii="Times New Roman" w:hAnsi="Times New Roman"/>
        </w:rPr>
        <w:t>ov</w:t>
      </w:r>
      <w:proofErr w:type="spellEnd"/>
    </w:p>
    <w:p w14:paraId="23223D09" w14:textId="79876B52" w:rsidR="00961A27" w:rsidRPr="00682A5C" w:rsidRDefault="00961A27" w:rsidP="00961A27">
      <w:pPr>
        <w:widowControl w:val="0"/>
        <w:autoSpaceDE w:val="0"/>
        <w:autoSpaceDN w:val="0"/>
        <w:adjustRightInd w:val="0"/>
        <w:spacing w:after="0" w:line="240" w:lineRule="auto"/>
        <w:ind w:right="-20"/>
        <w:rPr>
          <w:rFonts w:ascii="Times New Roman" w:hAnsi="Times New Roman"/>
          <w:spacing w:val="1"/>
        </w:rPr>
      </w:pPr>
      <w:r w:rsidRPr="00682A5C">
        <w:rPr>
          <w:rFonts w:ascii="Times New Roman" w:hAnsi="Times New Roman"/>
        </w:rPr>
        <w:t xml:space="preserve">Čierny oxid železitý (E172) – len v kapsulách s obsahom 0,25 </w:t>
      </w:r>
      <w:proofErr w:type="spellStart"/>
      <w:r w:rsidRPr="00682A5C">
        <w:rPr>
          <w:rFonts w:ascii="Times New Roman" w:hAnsi="Times New Roman"/>
        </w:rPr>
        <w:t>mikrogram</w:t>
      </w:r>
      <w:r w:rsidR="003A7912">
        <w:rPr>
          <w:rFonts w:ascii="Times New Roman" w:hAnsi="Times New Roman"/>
        </w:rPr>
        <w:t>ov</w:t>
      </w:r>
      <w:proofErr w:type="spellEnd"/>
    </w:p>
    <w:p w14:paraId="738C54C3" w14:textId="77777777" w:rsidR="00961A27" w:rsidRPr="00633E7E" w:rsidRDefault="00961A27" w:rsidP="00961A27">
      <w:pPr>
        <w:widowControl w:val="0"/>
        <w:autoSpaceDE w:val="0"/>
        <w:autoSpaceDN w:val="0"/>
        <w:adjustRightInd w:val="0"/>
        <w:spacing w:after="0" w:line="240" w:lineRule="auto"/>
        <w:ind w:right="-20"/>
        <w:rPr>
          <w:rFonts w:ascii="Times New Roman" w:hAnsi="Times New Roman"/>
          <w:spacing w:val="1"/>
        </w:rPr>
      </w:pPr>
      <w:r w:rsidRPr="00682A5C">
        <w:rPr>
          <w:rFonts w:ascii="Times New Roman" w:hAnsi="Times New Roman"/>
        </w:rPr>
        <w:t>Žltý oxid železitý (E172) – len v kapsulách s obsahom 1,0 mikrogramu</w:t>
      </w:r>
    </w:p>
    <w:p w14:paraId="699CBC84"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3CF90193"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6.2</w:t>
      </w:r>
      <w:r w:rsidRPr="00633E7E">
        <w:rPr>
          <w:rFonts w:ascii="Times New Roman" w:hAnsi="Times New Roman"/>
          <w:b/>
          <w:bCs/>
        </w:rPr>
        <w:tab/>
        <w:t>Inkompatibility</w:t>
      </w:r>
    </w:p>
    <w:p w14:paraId="22E72BDC" w14:textId="77777777" w:rsidR="00962B3D" w:rsidRDefault="00962B3D" w:rsidP="00961A27">
      <w:pPr>
        <w:widowControl w:val="0"/>
        <w:autoSpaceDE w:val="0"/>
        <w:autoSpaceDN w:val="0"/>
        <w:adjustRightInd w:val="0"/>
        <w:spacing w:after="0" w:line="240" w:lineRule="auto"/>
        <w:ind w:right="-20"/>
        <w:rPr>
          <w:rFonts w:ascii="Times New Roman" w:hAnsi="Times New Roman"/>
        </w:rPr>
      </w:pPr>
    </w:p>
    <w:p w14:paraId="37BE3447" w14:textId="777A1E3E"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Neaplikovateľné.</w:t>
      </w:r>
    </w:p>
    <w:p w14:paraId="16E85366"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9D42E18"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6.3</w:t>
      </w:r>
      <w:r w:rsidRPr="00633E7E">
        <w:rPr>
          <w:rFonts w:ascii="Times New Roman" w:hAnsi="Times New Roman"/>
          <w:b/>
          <w:bCs/>
        </w:rPr>
        <w:tab/>
        <w:t>Čas použiteľnosti</w:t>
      </w:r>
    </w:p>
    <w:p w14:paraId="693DFDC2" w14:textId="77777777" w:rsidR="00962B3D" w:rsidRDefault="00962B3D" w:rsidP="00961A27">
      <w:pPr>
        <w:widowControl w:val="0"/>
        <w:autoSpaceDE w:val="0"/>
        <w:autoSpaceDN w:val="0"/>
        <w:adjustRightInd w:val="0"/>
        <w:spacing w:after="0" w:line="240" w:lineRule="auto"/>
        <w:ind w:right="-20"/>
        <w:rPr>
          <w:rFonts w:ascii="Times New Roman" w:hAnsi="Times New Roman"/>
        </w:rPr>
      </w:pPr>
    </w:p>
    <w:p w14:paraId="0BF937D9" w14:textId="198A49CD"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2 roky.</w:t>
      </w:r>
    </w:p>
    <w:p w14:paraId="72E02D3C" w14:textId="6FACBCE1"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F25114">
        <w:rPr>
          <w:rFonts w:ascii="Times New Roman" w:hAnsi="Times New Roman"/>
        </w:rPr>
        <w:t>A</w:t>
      </w:r>
      <w:r w:rsidR="00F25114">
        <w:rPr>
          <w:rFonts w:ascii="Times New Roman" w:hAnsi="Times New Roman"/>
        </w:rPr>
        <w:t>LFAMED</w:t>
      </w:r>
      <w:r w:rsidRPr="00633E7E">
        <w:rPr>
          <w:rFonts w:ascii="Times New Roman" w:hAnsi="Times New Roman"/>
        </w:rPr>
        <w:t xml:space="preserve"> 0,25 </w:t>
      </w:r>
      <w:proofErr w:type="spellStart"/>
      <w:r w:rsidRPr="00633E7E">
        <w:rPr>
          <w:rFonts w:ascii="Times New Roman" w:hAnsi="Times New Roman"/>
        </w:rPr>
        <w:t>mikrogram</w:t>
      </w:r>
      <w:r w:rsidR="00A901BE">
        <w:rPr>
          <w:rFonts w:ascii="Times New Roman" w:hAnsi="Times New Roman"/>
        </w:rPr>
        <w:t>ov</w:t>
      </w:r>
      <w:proofErr w:type="spellEnd"/>
      <w:r w:rsidRPr="00633E7E">
        <w:rPr>
          <w:rFonts w:ascii="Times New Roman" w:hAnsi="Times New Roman"/>
        </w:rPr>
        <w:t>, 0,5 mikrogram</w:t>
      </w:r>
      <w:r w:rsidR="00A901BE">
        <w:rPr>
          <w:rFonts w:ascii="Times New Roman" w:hAnsi="Times New Roman"/>
        </w:rPr>
        <w:t>ov</w:t>
      </w:r>
      <w:r w:rsidRPr="00633E7E">
        <w:rPr>
          <w:rFonts w:ascii="Times New Roman" w:hAnsi="Times New Roman"/>
        </w:rPr>
        <w:t xml:space="preserve"> a 1,0 mikrogram mäkké kapsuly sa m</w:t>
      </w:r>
      <w:r w:rsidR="003A7912">
        <w:rPr>
          <w:rFonts w:ascii="Times New Roman" w:hAnsi="Times New Roman"/>
        </w:rPr>
        <w:t>ajú</w:t>
      </w:r>
      <w:r w:rsidRPr="00633E7E">
        <w:rPr>
          <w:rFonts w:ascii="Times New Roman" w:hAnsi="Times New Roman"/>
        </w:rPr>
        <w:t xml:space="preserve"> spotrebovať v priebehu 90 dní od otvorenia fľaše.</w:t>
      </w:r>
    </w:p>
    <w:p w14:paraId="1D3459D9"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7C67A7D4"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6.4</w:t>
      </w:r>
      <w:r w:rsidRPr="00633E7E">
        <w:rPr>
          <w:rFonts w:ascii="Times New Roman" w:hAnsi="Times New Roman"/>
          <w:b/>
          <w:bCs/>
        </w:rPr>
        <w:tab/>
        <w:t>Špeciálne upozornenia na uchovávanie</w:t>
      </w:r>
    </w:p>
    <w:p w14:paraId="69AC654B" w14:textId="77777777" w:rsidR="00D77FD6" w:rsidRDefault="00D77FD6" w:rsidP="00961A27">
      <w:pPr>
        <w:widowControl w:val="0"/>
        <w:autoSpaceDE w:val="0"/>
        <w:autoSpaceDN w:val="0"/>
        <w:adjustRightInd w:val="0"/>
        <w:spacing w:after="0" w:line="240" w:lineRule="auto"/>
        <w:ind w:right="-20"/>
        <w:rPr>
          <w:rFonts w:ascii="Times New Roman" w:hAnsi="Times New Roman"/>
        </w:rPr>
      </w:pPr>
    </w:p>
    <w:p w14:paraId="2F9E7397" w14:textId="7B46E42C"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Tento liek nevyžaduje žiadne zvláštne podmienky na uchovávanie.</w:t>
      </w:r>
    </w:p>
    <w:p w14:paraId="6CC54032"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r w:rsidRPr="00633E7E">
        <w:rPr>
          <w:rFonts w:ascii="Times New Roman" w:hAnsi="Times New Roman"/>
        </w:rPr>
        <w:t>Podmienky na uchovávanie po prvom otvorení lieku, pozri časť 6.3.</w:t>
      </w:r>
    </w:p>
    <w:p w14:paraId="663C9DEC"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3E8345F8"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6.5</w:t>
      </w:r>
      <w:r w:rsidRPr="00633E7E">
        <w:rPr>
          <w:rFonts w:ascii="Times New Roman" w:hAnsi="Times New Roman"/>
          <w:b/>
          <w:bCs/>
        </w:rPr>
        <w:tab/>
        <w:t>Druh obalu a obsah balenia</w:t>
      </w:r>
    </w:p>
    <w:p w14:paraId="4D200FC3"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2098F6B" w14:textId="648B1D30" w:rsidR="00961A27" w:rsidRPr="00633E7E" w:rsidRDefault="00961A27" w:rsidP="00961A27">
      <w:pPr>
        <w:widowControl w:val="0"/>
        <w:autoSpaceDE w:val="0"/>
        <w:autoSpaceDN w:val="0"/>
        <w:adjustRightInd w:val="0"/>
        <w:spacing w:after="0" w:line="240" w:lineRule="auto"/>
        <w:ind w:right="14"/>
        <w:rPr>
          <w:rFonts w:ascii="Times New Roman" w:hAnsi="Times New Roman"/>
        </w:rPr>
      </w:pPr>
      <w:r w:rsidRPr="00633E7E">
        <w:rPr>
          <w:rFonts w:ascii="Times New Roman" w:hAnsi="Times New Roman"/>
        </w:rPr>
        <w:t xml:space="preserve">Konečným produktom sú </w:t>
      </w:r>
      <w:r w:rsidR="00F25114">
        <w:rPr>
          <w:rFonts w:ascii="Times New Roman" w:hAnsi="Times New Roman"/>
        </w:rPr>
        <w:t>ALFAMED</w:t>
      </w:r>
      <w:r w:rsidRPr="00633E7E">
        <w:rPr>
          <w:rFonts w:ascii="Times New Roman" w:hAnsi="Times New Roman"/>
        </w:rPr>
        <w:t xml:space="preserve"> 0,25 </w:t>
      </w:r>
      <w:proofErr w:type="spellStart"/>
      <w:r w:rsidRPr="00633E7E">
        <w:rPr>
          <w:rFonts w:ascii="Times New Roman" w:hAnsi="Times New Roman"/>
        </w:rPr>
        <w:t>mikrogram</w:t>
      </w:r>
      <w:r w:rsidR="00A901BE">
        <w:rPr>
          <w:rFonts w:ascii="Times New Roman" w:hAnsi="Times New Roman"/>
        </w:rPr>
        <w:t>ov</w:t>
      </w:r>
      <w:proofErr w:type="spellEnd"/>
      <w:r w:rsidRPr="00633E7E">
        <w:rPr>
          <w:rFonts w:ascii="Times New Roman" w:hAnsi="Times New Roman"/>
        </w:rPr>
        <w:t>, 0,5 mikrogram</w:t>
      </w:r>
      <w:r w:rsidR="00A901BE">
        <w:rPr>
          <w:rFonts w:ascii="Times New Roman" w:hAnsi="Times New Roman"/>
        </w:rPr>
        <w:t>ov</w:t>
      </w:r>
      <w:r w:rsidRPr="00633E7E">
        <w:rPr>
          <w:rFonts w:ascii="Times New Roman" w:hAnsi="Times New Roman"/>
        </w:rPr>
        <w:t xml:space="preserve"> a 1,0 mikrogram mäkké kapsuly, ktoré sa môžu uvádzať na trh v:</w:t>
      </w:r>
    </w:p>
    <w:p w14:paraId="23CFE513" w14:textId="0E48D90F" w:rsidR="00961A27" w:rsidRDefault="00633E7E" w:rsidP="00633E7E">
      <w:pPr>
        <w:pStyle w:val="Odsekzoznamu"/>
        <w:widowControl w:val="0"/>
        <w:numPr>
          <w:ilvl w:val="0"/>
          <w:numId w:val="6"/>
        </w:numPr>
        <w:autoSpaceDE w:val="0"/>
        <w:autoSpaceDN w:val="0"/>
        <w:adjustRightInd w:val="0"/>
        <w:spacing w:after="0" w:line="240" w:lineRule="auto"/>
        <w:ind w:right="14"/>
        <w:rPr>
          <w:rFonts w:ascii="Times New Roman" w:hAnsi="Times New Roman"/>
        </w:rPr>
      </w:pPr>
      <w:r w:rsidRPr="00633E7E">
        <w:rPr>
          <w:rFonts w:ascii="Times New Roman" w:hAnsi="Times New Roman"/>
        </w:rPr>
        <w:t>b</w:t>
      </w:r>
      <w:r w:rsidR="00961A27" w:rsidRPr="00633E7E">
        <w:rPr>
          <w:rFonts w:ascii="Times New Roman" w:hAnsi="Times New Roman"/>
        </w:rPr>
        <w:t>iel</w:t>
      </w:r>
      <w:r w:rsidR="00BC57D1">
        <w:rPr>
          <w:rFonts w:ascii="Times New Roman" w:hAnsi="Times New Roman"/>
        </w:rPr>
        <w:t>om</w:t>
      </w:r>
      <w:r w:rsidR="00961A27" w:rsidRPr="00633E7E">
        <w:rPr>
          <w:rFonts w:ascii="Times New Roman" w:hAnsi="Times New Roman"/>
        </w:rPr>
        <w:t xml:space="preserve"> nepriehľadn</w:t>
      </w:r>
      <w:r w:rsidR="00BC57D1">
        <w:rPr>
          <w:rFonts w:ascii="Times New Roman" w:hAnsi="Times New Roman"/>
        </w:rPr>
        <w:t>om</w:t>
      </w:r>
      <w:r w:rsidR="00961A27" w:rsidRPr="00633E7E">
        <w:rPr>
          <w:rFonts w:ascii="Times New Roman" w:hAnsi="Times New Roman"/>
        </w:rPr>
        <w:t xml:space="preserve"> HDPE </w:t>
      </w:r>
      <w:r w:rsidR="00BC57D1">
        <w:rPr>
          <w:rFonts w:ascii="Times New Roman" w:hAnsi="Times New Roman"/>
        </w:rPr>
        <w:t>obal</w:t>
      </w:r>
      <w:r w:rsidR="00961A27" w:rsidRPr="00633E7E">
        <w:rPr>
          <w:rFonts w:ascii="Times New Roman" w:hAnsi="Times New Roman"/>
        </w:rPr>
        <w:t>e s bielym nepriehľadným HDPE skrutkovým uzáverom a indukčným tesnením: 30 a 50 kapsúl</w:t>
      </w:r>
      <w:r w:rsidR="00D77FD6">
        <w:rPr>
          <w:rFonts w:ascii="Times New Roman" w:hAnsi="Times New Roman"/>
        </w:rPr>
        <w:t>,</w:t>
      </w:r>
      <w:r w:rsidR="00961A27" w:rsidRPr="00633E7E">
        <w:rPr>
          <w:rFonts w:ascii="Times New Roman" w:hAnsi="Times New Roman"/>
        </w:rPr>
        <w:t xml:space="preserve"> </w:t>
      </w:r>
    </w:p>
    <w:p w14:paraId="7993BE46" w14:textId="2099C07E" w:rsidR="00961A27" w:rsidRPr="00633E7E" w:rsidRDefault="00633E7E" w:rsidP="00961A27">
      <w:pPr>
        <w:pStyle w:val="Odsekzoznamu"/>
        <w:widowControl w:val="0"/>
        <w:numPr>
          <w:ilvl w:val="0"/>
          <w:numId w:val="6"/>
        </w:numPr>
        <w:autoSpaceDE w:val="0"/>
        <w:autoSpaceDN w:val="0"/>
        <w:adjustRightInd w:val="0"/>
        <w:spacing w:after="0" w:line="240" w:lineRule="auto"/>
        <w:ind w:right="14"/>
        <w:rPr>
          <w:rFonts w:ascii="Times New Roman" w:hAnsi="Times New Roman"/>
        </w:rPr>
      </w:pPr>
      <w:r>
        <w:rPr>
          <w:rFonts w:ascii="Times New Roman" w:hAnsi="Times New Roman"/>
        </w:rPr>
        <w:t>b</w:t>
      </w:r>
      <w:r w:rsidR="00961A27" w:rsidRPr="00633E7E">
        <w:rPr>
          <w:rFonts w:ascii="Times New Roman" w:hAnsi="Times New Roman"/>
        </w:rPr>
        <w:t xml:space="preserve">ielom </w:t>
      </w:r>
      <w:r w:rsidR="00BC57D1">
        <w:rPr>
          <w:rFonts w:ascii="Times New Roman" w:hAnsi="Times New Roman"/>
        </w:rPr>
        <w:t xml:space="preserve">nepriehľadnom </w:t>
      </w:r>
      <w:r w:rsidR="00961A27" w:rsidRPr="00633E7E">
        <w:rPr>
          <w:rFonts w:ascii="Times New Roman" w:hAnsi="Times New Roman"/>
        </w:rPr>
        <w:t>HDPE obale s bielym nepriehľadným PP skrutkovým uzáverom a indukčným tesnením: 90 a 100 kapsúl</w:t>
      </w:r>
      <w:r w:rsidR="00D77FD6">
        <w:rPr>
          <w:rFonts w:ascii="Times New Roman" w:hAnsi="Times New Roman"/>
        </w:rPr>
        <w:t>.</w:t>
      </w:r>
    </w:p>
    <w:p w14:paraId="33F7825C" w14:textId="77777777" w:rsidR="00961A27" w:rsidRDefault="00961A27" w:rsidP="00961A27">
      <w:pPr>
        <w:widowControl w:val="0"/>
        <w:autoSpaceDE w:val="0"/>
        <w:autoSpaceDN w:val="0"/>
        <w:adjustRightInd w:val="0"/>
        <w:spacing w:after="0" w:line="240" w:lineRule="auto"/>
        <w:ind w:right="10"/>
        <w:rPr>
          <w:rFonts w:ascii="Times New Roman" w:hAnsi="Times New Roman"/>
        </w:rPr>
      </w:pPr>
      <w:r w:rsidRPr="00633E7E">
        <w:rPr>
          <w:rFonts w:ascii="Times New Roman" w:hAnsi="Times New Roman"/>
        </w:rPr>
        <w:t>Na trh nemusia byť uvedené všetky veľkosti balenia.</w:t>
      </w:r>
    </w:p>
    <w:p w14:paraId="3950D1DF" w14:textId="77777777" w:rsidR="00633E7E" w:rsidRPr="00633E7E" w:rsidRDefault="00633E7E" w:rsidP="00961A27">
      <w:pPr>
        <w:widowControl w:val="0"/>
        <w:autoSpaceDE w:val="0"/>
        <w:autoSpaceDN w:val="0"/>
        <w:adjustRightInd w:val="0"/>
        <w:spacing w:after="0" w:line="240" w:lineRule="auto"/>
        <w:ind w:right="10"/>
        <w:rPr>
          <w:rFonts w:ascii="Times New Roman" w:hAnsi="Times New Roman"/>
        </w:rPr>
      </w:pPr>
    </w:p>
    <w:p w14:paraId="6C9038AB" w14:textId="7777777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6.6</w:t>
      </w:r>
      <w:r w:rsidRPr="00633E7E">
        <w:rPr>
          <w:rFonts w:ascii="Times New Roman" w:hAnsi="Times New Roman"/>
          <w:b/>
          <w:bCs/>
        </w:rPr>
        <w:tab/>
        <w:t xml:space="preserve"> Špeciálne opatrenia na likvidáciu a iné zaobchádzanie s liekom</w:t>
      </w:r>
    </w:p>
    <w:p w14:paraId="73DADE18"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E87472A" w14:textId="77777777" w:rsidR="00961A27" w:rsidRPr="00633E7E" w:rsidRDefault="00961A27" w:rsidP="00961A27">
      <w:pPr>
        <w:widowControl w:val="0"/>
        <w:autoSpaceDE w:val="0"/>
        <w:autoSpaceDN w:val="0"/>
        <w:adjustRightInd w:val="0"/>
        <w:spacing w:after="0" w:line="240" w:lineRule="auto"/>
        <w:ind w:right="-20"/>
        <w:rPr>
          <w:rFonts w:ascii="Times New Roman" w:hAnsi="Times New Roman"/>
        </w:rPr>
      </w:pPr>
      <w:r w:rsidRPr="00633E7E">
        <w:rPr>
          <w:rFonts w:ascii="Times New Roman" w:hAnsi="Times New Roman"/>
        </w:rPr>
        <w:t>Žiadne zvláštne požiadavky.</w:t>
      </w:r>
    </w:p>
    <w:p w14:paraId="16C1E742"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7D19004"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D8EB668" w14:textId="0F83B71D"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7</w:t>
      </w:r>
      <w:r w:rsidR="0091099D">
        <w:rPr>
          <w:rFonts w:ascii="Times New Roman" w:hAnsi="Times New Roman"/>
          <w:b/>
          <w:bCs/>
        </w:rPr>
        <w:t>.</w:t>
      </w:r>
      <w:r w:rsidRPr="00633E7E">
        <w:rPr>
          <w:rFonts w:ascii="Times New Roman" w:hAnsi="Times New Roman"/>
          <w:b/>
          <w:bCs/>
        </w:rPr>
        <w:tab/>
        <w:t>DRŽITEĽ ROZHODNUTIA O REGISTRÁCII</w:t>
      </w:r>
    </w:p>
    <w:p w14:paraId="56F87C29"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6F3B42C7" w14:textId="7224CA89" w:rsidR="00577667" w:rsidRPr="007E6A05" w:rsidRDefault="00F67496" w:rsidP="00682A5C">
      <w:pPr>
        <w:widowControl w:val="0"/>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CANDE </w:t>
      </w:r>
      <w:r w:rsidR="00577667" w:rsidRPr="007E6A05">
        <w:rPr>
          <w:rFonts w:ascii="Times New Roman" w:hAnsi="Times New Roman"/>
          <w:color w:val="000000"/>
          <w:lang w:val="en-US"/>
        </w:rPr>
        <w:t xml:space="preserve">s.r.o. </w:t>
      </w:r>
    </w:p>
    <w:p w14:paraId="4F7DC4DA" w14:textId="0FC90B90" w:rsidR="00577667" w:rsidRDefault="00577667" w:rsidP="00577667">
      <w:pPr>
        <w:autoSpaceDE w:val="0"/>
        <w:autoSpaceDN w:val="0"/>
        <w:adjustRightInd w:val="0"/>
        <w:spacing w:after="0" w:line="240" w:lineRule="auto"/>
        <w:rPr>
          <w:rFonts w:ascii="Times New Roman" w:hAnsi="Times New Roman"/>
          <w:color w:val="000000"/>
          <w:lang w:val="en-US"/>
        </w:rPr>
      </w:pPr>
      <w:r w:rsidRPr="00B60BA6">
        <w:rPr>
          <w:rFonts w:ascii="Times New Roman" w:hAnsi="Times New Roman"/>
          <w:color w:val="000000"/>
          <w:lang w:val="en-US"/>
        </w:rPr>
        <w:t xml:space="preserve">E. </w:t>
      </w:r>
      <w:proofErr w:type="spellStart"/>
      <w:r w:rsidRPr="00B60BA6">
        <w:rPr>
          <w:rFonts w:ascii="Times New Roman" w:hAnsi="Times New Roman"/>
          <w:color w:val="000000"/>
          <w:lang w:val="en-US"/>
        </w:rPr>
        <w:t>Belluša</w:t>
      </w:r>
      <w:proofErr w:type="spellEnd"/>
      <w:r w:rsidRPr="00B60BA6">
        <w:rPr>
          <w:rFonts w:ascii="Times New Roman" w:hAnsi="Times New Roman"/>
          <w:color w:val="000000"/>
          <w:lang w:val="en-US"/>
        </w:rPr>
        <w:t xml:space="preserve"> 6752/4</w:t>
      </w:r>
    </w:p>
    <w:p w14:paraId="26F5C314" w14:textId="2ECD5507" w:rsidR="00577667" w:rsidRPr="007E6A05" w:rsidRDefault="00D77FD6" w:rsidP="00577667">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921 01 </w:t>
      </w:r>
      <w:proofErr w:type="spellStart"/>
      <w:r w:rsidR="00577667" w:rsidRPr="00B60BA6">
        <w:rPr>
          <w:rFonts w:ascii="Times New Roman" w:hAnsi="Times New Roman"/>
          <w:color w:val="000000"/>
          <w:lang w:val="en-US"/>
        </w:rPr>
        <w:t>Piešťany</w:t>
      </w:r>
      <w:proofErr w:type="spellEnd"/>
    </w:p>
    <w:p w14:paraId="49F0E74A" w14:textId="77777777" w:rsidR="00577667" w:rsidRPr="00B60BA6" w:rsidRDefault="00577667" w:rsidP="00577667">
      <w:pPr>
        <w:spacing w:after="0" w:line="240" w:lineRule="auto"/>
        <w:rPr>
          <w:rFonts w:ascii="Times New Roman" w:eastAsia="Calibri" w:hAnsi="Times New Roman"/>
          <w:color w:val="000000"/>
          <w:lang w:val="en-US"/>
        </w:rPr>
      </w:pPr>
      <w:proofErr w:type="spellStart"/>
      <w:r w:rsidRPr="00B60BA6">
        <w:rPr>
          <w:rFonts w:ascii="Times New Roman" w:hAnsi="Times New Roman"/>
          <w:color w:val="000000"/>
          <w:lang w:val="en-US"/>
        </w:rPr>
        <w:t>Slovenská</w:t>
      </w:r>
      <w:proofErr w:type="spellEnd"/>
      <w:r w:rsidRPr="00B60BA6">
        <w:rPr>
          <w:rFonts w:ascii="Times New Roman" w:hAnsi="Times New Roman"/>
          <w:color w:val="000000"/>
          <w:lang w:val="en-US"/>
        </w:rPr>
        <w:t xml:space="preserve"> </w:t>
      </w:r>
      <w:proofErr w:type="spellStart"/>
      <w:r w:rsidRPr="00B60BA6">
        <w:rPr>
          <w:rFonts w:ascii="Times New Roman" w:hAnsi="Times New Roman"/>
          <w:color w:val="000000"/>
          <w:lang w:val="en-US"/>
        </w:rPr>
        <w:t>republika</w:t>
      </w:r>
      <w:proofErr w:type="spellEnd"/>
    </w:p>
    <w:p w14:paraId="0E2A53EE" w14:textId="77777777" w:rsidR="00BC4348" w:rsidRDefault="00BC4348" w:rsidP="00961A27">
      <w:pPr>
        <w:widowControl w:val="0"/>
        <w:autoSpaceDE w:val="0"/>
        <w:autoSpaceDN w:val="0"/>
        <w:adjustRightInd w:val="0"/>
        <w:spacing w:after="0" w:line="240" w:lineRule="auto"/>
        <w:rPr>
          <w:rFonts w:ascii="Times New Roman" w:hAnsi="Times New Roman"/>
          <w:lang w:val="en-US"/>
        </w:rPr>
      </w:pPr>
    </w:p>
    <w:p w14:paraId="1FE6A5D8" w14:textId="77777777" w:rsidR="00577667" w:rsidRPr="00577667" w:rsidRDefault="00577667" w:rsidP="00961A27">
      <w:pPr>
        <w:widowControl w:val="0"/>
        <w:autoSpaceDE w:val="0"/>
        <w:autoSpaceDN w:val="0"/>
        <w:adjustRightInd w:val="0"/>
        <w:spacing w:after="0" w:line="240" w:lineRule="auto"/>
        <w:rPr>
          <w:rFonts w:ascii="Times New Roman" w:hAnsi="Times New Roman"/>
          <w:lang w:val="en-US"/>
        </w:rPr>
      </w:pPr>
    </w:p>
    <w:p w14:paraId="0536E189" w14:textId="070637BA"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8</w:t>
      </w:r>
      <w:r w:rsidR="0091099D">
        <w:rPr>
          <w:rFonts w:ascii="Times New Roman" w:hAnsi="Times New Roman"/>
          <w:b/>
          <w:bCs/>
        </w:rPr>
        <w:t>.</w:t>
      </w:r>
      <w:r w:rsidRPr="00633E7E">
        <w:rPr>
          <w:rFonts w:ascii="Times New Roman" w:hAnsi="Times New Roman"/>
          <w:b/>
          <w:bCs/>
        </w:rPr>
        <w:tab/>
        <w:t>REGISTRAČNÉ ČÍSLA</w:t>
      </w:r>
    </w:p>
    <w:p w14:paraId="2576F001"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5EE228C8" w14:textId="7ACCDB76" w:rsidR="00961A27" w:rsidRDefault="005462CB" w:rsidP="00961A27">
      <w:pPr>
        <w:widowControl w:val="0"/>
        <w:autoSpaceDE w:val="0"/>
        <w:autoSpaceDN w:val="0"/>
        <w:adjustRightInd w:val="0"/>
        <w:spacing w:after="0" w:line="240" w:lineRule="auto"/>
        <w:ind w:right="-20"/>
        <w:rPr>
          <w:rFonts w:ascii="Times New Roman" w:hAnsi="Times New Roman"/>
        </w:rPr>
      </w:pPr>
      <w:r>
        <w:rPr>
          <w:rFonts w:ascii="Times New Roman" w:hAnsi="Times New Roman"/>
        </w:rPr>
        <w:t xml:space="preserve">ALFAMED 0,25 mikrogramov: </w:t>
      </w:r>
      <w:r w:rsidRPr="005462CB">
        <w:rPr>
          <w:rFonts w:ascii="Times New Roman" w:hAnsi="Times New Roman"/>
        </w:rPr>
        <w:t>86/0263/17-S</w:t>
      </w:r>
    </w:p>
    <w:p w14:paraId="2EE7AAC0" w14:textId="44A59CAB" w:rsidR="005462CB" w:rsidRDefault="005462CB" w:rsidP="005462CB">
      <w:pPr>
        <w:widowControl w:val="0"/>
        <w:autoSpaceDE w:val="0"/>
        <w:autoSpaceDN w:val="0"/>
        <w:adjustRightInd w:val="0"/>
        <w:spacing w:after="0" w:line="240" w:lineRule="auto"/>
        <w:ind w:right="-20"/>
        <w:rPr>
          <w:rFonts w:ascii="Times New Roman" w:hAnsi="Times New Roman"/>
        </w:rPr>
      </w:pPr>
      <w:r>
        <w:rPr>
          <w:rFonts w:ascii="Times New Roman" w:hAnsi="Times New Roman"/>
        </w:rPr>
        <w:t>ALFAMED 0,5 mikrogramov: 86/0264</w:t>
      </w:r>
      <w:r w:rsidRPr="005462CB">
        <w:rPr>
          <w:rFonts w:ascii="Times New Roman" w:hAnsi="Times New Roman"/>
        </w:rPr>
        <w:t>/17-S</w:t>
      </w:r>
    </w:p>
    <w:p w14:paraId="200C38AD" w14:textId="248FD993" w:rsidR="005462CB" w:rsidRPr="00633E7E" w:rsidRDefault="005462CB" w:rsidP="00961A27">
      <w:pPr>
        <w:widowControl w:val="0"/>
        <w:autoSpaceDE w:val="0"/>
        <w:autoSpaceDN w:val="0"/>
        <w:adjustRightInd w:val="0"/>
        <w:spacing w:after="0" w:line="240" w:lineRule="auto"/>
        <w:ind w:right="-20"/>
        <w:rPr>
          <w:rFonts w:ascii="Times New Roman" w:hAnsi="Times New Roman"/>
        </w:rPr>
      </w:pPr>
      <w:r>
        <w:rPr>
          <w:rFonts w:ascii="Times New Roman" w:hAnsi="Times New Roman"/>
        </w:rPr>
        <w:t>ALFAMED 1,0 mikrogram: 86/0265</w:t>
      </w:r>
      <w:r w:rsidRPr="005462CB">
        <w:rPr>
          <w:rFonts w:ascii="Times New Roman" w:hAnsi="Times New Roman"/>
        </w:rPr>
        <w:t>/17-S</w:t>
      </w:r>
    </w:p>
    <w:p w14:paraId="2543795E"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2893D687"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4A99C88B" w14:textId="6CAEF9B8" w:rsidR="00961A27" w:rsidRPr="00633E7E" w:rsidRDefault="00961A27" w:rsidP="0092747F">
      <w:pPr>
        <w:widowControl w:val="0"/>
        <w:tabs>
          <w:tab w:val="left" w:pos="820"/>
        </w:tabs>
        <w:autoSpaceDE w:val="0"/>
        <w:autoSpaceDN w:val="0"/>
        <w:adjustRightInd w:val="0"/>
        <w:spacing w:after="0" w:line="240" w:lineRule="auto"/>
        <w:ind w:left="567" w:right="516" w:hanging="567"/>
        <w:rPr>
          <w:rFonts w:ascii="Times New Roman" w:hAnsi="Times New Roman"/>
        </w:rPr>
      </w:pPr>
      <w:r w:rsidRPr="00633E7E">
        <w:rPr>
          <w:rFonts w:ascii="Times New Roman" w:hAnsi="Times New Roman"/>
          <w:b/>
          <w:bCs/>
        </w:rPr>
        <w:t>9</w:t>
      </w:r>
      <w:r w:rsidR="0091099D">
        <w:rPr>
          <w:rFonts w:ascii="Times New Roman" w:hAnsi="Times New Roman"/>
          <w:b/>
          <w:bCs/>
        </w:rPr>
        <w:t>.</w:t>
      </w:r>
      <w:r w:rsidRPr="00633E7E">
        <w:rPr>
          <w:rFonts w:ascii="Times New Roman" w:hAnsi="Times New Roman"/>
          <w:b/>
          <w:bCs/>
        </w:rPr>
        <w:tab/>
        <w:t>DÁTUM PRVEJ REGISTRÁCIE/PREDĹŽENIA REGISTRÁCIE</w:t>
      </w:r>
    </w:p>
    <w:p w14:paraId="08AF4BA0"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564E4E48"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151E1725" w14:textId="0FAEEBA7" w:rsidR="00961A27" w:rsidRPr="00633E7E" w:rsidRDefault="00961A27" w:rsidP="0092747F">
      <w:pPr>
        <w:widowControl w:val="0"/>
        <w:tabs>
          <w:tab w:val="left" w:pos="820"/>
        </w:tabs>
        <w:autoSpaceDE w:val="0"/>
        <w:autoSpaceDN w:val="0"/>
        <w:adjustRightInd w:val="0"/>
        <w:spacing w:after="0" w:line="240" w:lineRule="auto"/>
        <w:ind w:left="567" w:right="-20" w:hanging="567"/>
        <w:rPr>
          <w:rFonts w:ascii="Times New Roman" w:hAnsi="Times New Roman"/>
        </w:rPr>
      </w:pPr>
      <w:r w:rsidRPr="00633E7E">
        <w:rPr>
          <w:rFonts w:ascii="Times New Roman" w:hAnsi="Times New Roman"/>
          <w:b/>
          <w:bCs/>
        </w:rPr>
        <w:t>10</w:t>
      </w:r>
      <w:r w:rsidR="0091099D">
        <w:rPr>
          <w:rFonts w:ascii="Times New Roman" w:hAnsi="Times New Roman"/>
          <w:b/>
          <w:bCs/>
        </w:rPr>
        <w:t>.</w:t>
      </w:r>
      <w:r w:rsidRPr="00633E7E">
        <w:rPr>
          <w:rFonts w:ascii="Times New Roman" w:hAnsi="Times New Roman"/>
          <w:b/>
          <w:bCs/>
        </w:rPr>
        <w:tab/>
        <w:t>DÁTUM REVÍZIE TEXTU</w:t>
      </w:r>
    </w:p>
    <w:p w14:paraId="3E6AAB00" w14:textId="77777777" w:rsidR="00961A27" w:rsidRPr="00633E7E" w:rsidRDefault="00961A27" w:rsidP="00961A27">
      <w:pPr>
        <w:widowControl w:val="0"/>
        <w:autoSpaceDE w:val="0"/>
        <w:autoSpaceDN w:val="0"/>
        <w:adjustRightInd w:val="0"/>
        <w:spacing w:after="0" w:line="240" w:lineRule="auto"/>
        <w:rPr>
          <w:rFonts w:ascii="Times New Roman" w:hAnsi="Times New Roman"/>
        </w:rPr>
      </w:pPr>
    </w:p>
    <w:p w14:paraId="1D2F008F" w14:textId="4B646D6B" w:rsidR="00961A27" w:rsidRDefault="00802411" w:rsidP="00961A27">
      <w:pPr>
        <w:widowControl w:val="0"/>
        <w:autoSpaceDE w:val="0"/>
        <w:autoSpaceDN w:val="0"/>
        <w:adjustRightInd w:val="0"/>
        <w:spacing w:after="0" w:line="240" w:lineRule="auto"/>
        <w:ind w:right="-20"/>
        <w:rPr>
          <w:rFonts w:ascii="Times New Roman" w:hAnsi="Times New Roman"/>
        </w:rPr>
      </w:pPr>
      <w:r>
        <w:rPr>
          <w:rFonts w:ascii="Times New Roman" w:hAnsi="Times New Roman"/>
        </w:rPr>
        <w:t>10</w:t>
      </w:r>
      <w:r w:rsidR="00476E59">
        <w:rPr>
          <w:rFonts w:ascii="Times New Roman" w:hAnsi="Times New Roman"/>
        </w:rPr>
        <w:t>/2017</w:t>
      </w:r>
    </w:p>
    <w:p w14:paraId="71F5B531" w14:textId="77777777" w:rsidR="00476E59" w:rsidRPr="00633E7E" w:rsidRDefault="00476E59" w:rsidP="00961A27">
      <w:pPr>
        <w:widowControl w:val="0"/>
        <w:autoSpaceDE w:val="0"/>
        <w:autoSpaceDN w:val="0"/>
        <w:adjustRightInd w:val="0"/>
        <w:spacing w:after="0" w:line="240" w:lineRule="auto"/>
        <w:ind w:right="-20"/>
        <w:rPr>
          <w:rFonts w:ascii="Times New Roman" w:hAnsi="Times New Roman"/>
        </w:rPr>
      </w:pPr>
    </w:p>
    <w:p w14:paraId="2F353475" w14:textId="77777777" w:rsidR="0029707E" w:rsidRPr="00633E7E" w:rsidRDefault="0029707E">
      <w:pPr>
        <w:rPr>
          <w:rFonts w:ascii="Times New Roman" w:hAnsi="Times New Roman"/>
        </w:rPr>
      </w:pPr>
    </w:p>
    <w:sectPr w:rsidR="0029707E" w:rsidRPr="00633E7E" w:rsidSect="00682A5C">
      <w:headerReference w:type="first" r:id="rId10"/>
      <w:pgSz w:w="11907" w:h="16840" w:code="9"/>
      <w:pgMar w:top="1134" w:right="1418" w:bottom="1134" w:left="1418" w:header="737" w:footer="73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2DCE0" w14:textId="77777777" w:rsidR="00DE4067" w:rsidRDefault="00DE4067" w:rsidP="00991539">
      <w:pPr>
        <w:spacing w:after="0" w:line="240" w:lineRule="auto"/>
      </w:pPr>
      <w:r>
        <w:separator/>
      </w:r>
    </w:p>
  </w:endnote>
  <w:endnote w:type="continuationSeparator" w:id="0">
    <w:p w14:paraId="4A3F8814" w14:textId="77777777" w:rsidR="00DE4067" w:rsidRDefault="00DE4067" w:rsidP="0099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92EAA" w14:textId="77777777" w:rsidR="00DE4067" w:rsidRDefault="00DE4067" w:rsidP="00991539">
      <w:pPr>
        <w:spacing w:after="0" w:line="240" w:lineRule="auto"/>
      </w:pPr>
      <w:r>
        <w:separator/>
      </w:r>
    </w:p>
  </w:footnote>
  <w:footnote w:type="continuationSeparator" w:id="0">
    <w:p w14:paraId="076B29C5" w14:textId="77777777" w:rsidR="00DE4067" w:rsidRDefault="00DE4067" w:rsidP="00991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3BCB" w14:textId="32DDCD53" w:rsidR="00DE4067" w:rsidRPr="00607E71" w:rsidRDefault="00DE4067" w:rsidP="00991539">
    <w:pPr>
      <w:pStyle w:val="Hlavika"/>
      <w:rPr>
        <w:rFonts w:ascii="Times New Roman" w:hAnsi="Times New Roman"/>
        <w:sz w:val="18"/>
        <w:szCs w:val="18"/>
      </w:rPr>
    </w:pPr>
    <w:r>
      <w:rPr>
        <w:rFonts w:ascii="Times New Roman" w:hAnsi="Times New Roman"/>
        <w:sz w:val="18"/>
        <w:szCs w:val="18"/>
      </w:rPr>
      <w:t>Schválený text k rozhodnutiu o registrácii, ev. č.: 2016/02234-REG, 2016/02235</w:t>
    </w:r>
    <w:r w:rsidRPr="00DF6DE7">
      <w:rPr>
        <w:rFonts w:ascii="Times New Roman" w:hAnsi="Times New Roman"/>
        <w:sz w:val="18"/>
        <w:szCs w:val="18"/>
      </w:rPr>
      <w:t>-REG</w:t>
    </w:r>
    <w:r>
      <w:rPr>
        <w:rFonts w:ascii="Times New Roman" w:hAnsi="Times New Roman"/>
        <w:sz w:val="18"/>
        <w:szCs w:val="18"/>
      </w:rPr>
      <w:t>, 2016/02239-REG</w:t>
    </w:r>
  </w:p>
  <w:p w14:paraId="0098E96F" w14:textId="77777777" w:rsidR="00DE4067" w:rsidRDefault="00DE406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6AD"/>
    <w:multiLevelType w:val="hybridMultilevel"/>
    <w:tmpl w:val="FE20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1A3A"/>
    <w:multiLevelType w:val="hybridMultilevel"/>
    <w:tmpl w:val="BACA5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272750"/>
    <w:multiLevelType w:val="hybridMultilevel"/>
    <w:tmpl w:val="A5B6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47B9D"/>
    <w:multiLevelType w:val="hybridMultilevel"/>
    <w:tmpl w:val="F99EEB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2768A4"/>
    <w:multiLevelType w:val="hybridMultilevel"/>
    <w:tmpl w:val="84A64AC2"/>
    <w:lvl w:ilvl="0" w:tplc="26423A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3604F"/>
    <w:multiLevelType w:val="hybridMultilevel"/>
    <w:tmpl w:val="11C4E64A"/>
    <w:lvl w:ilvl="0" w:tplc="041B000F">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9866F8"/>
    <w:multiLevelType w:val="hybridMultilevel"/>
    <w:tmpl w:val="23B663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75EC34F6"/>
    <w:multiLevelType w:val="hybridMultilevel"/>
    <w:tmpl w:val="EE4C6A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27"/>
    <w:rsid w:val="000810F8"/>
    <w:rsid w:val="001362AD"/>
    <w:rsid w:val="001673A8"/>
    <w:rsid w:val="001964ED"/>
    <w:rsid w:val="001D75B8"/>
    <w:rsid w:val="00291AF2"/>
    <w:rsid w:val="0029707E"/>
    <w:rsid w:val="002A5757"/>
    <w:rsid w:val="002C127A"/>
    <w:rsid w:val="002E27AA"/>
    <w:rsid w:val="003470A4"/>
    <w:rsid w:val="00377904"/>
    <w:rsid w:val="003A7912"/>
    <w:rsid w:val="003C5E42"/>
    <w:rsid w:val="003F3FD9"/>
    <w:rsid w:val="0040493D"/>
    <w:rsid w:val="00414F45"/>
    <w:rsid w:val="00476E59"/>
    <w:rsid w:val="004B5CBA"/>
    <w:rsid w:val="004C1CB1"/>
    <w:rsid w:val="004C5835"/>
    <w:rsid w:val="004E57CE"/>
    <w:rsid w:val="004F26CF"/>
    <w:rsid w:val="00534525"/>
    <w:rsid w:val="005462CB"/>
    <w:rsid w:val="00577667"/>
    <w:rsid w:val="005A1B68"/>
    <w:rsid w:val="005B433E"/>
    <w:rsid w:val="005B59C7"/>
    <w:rsid w:val="005D7DD0"/>
    <w:rsid w:val="005E33D1"/>
    <w:rsid w:val="005F3FAE"/>
    <w:rsid w:val="006104FD"/>
    <w:rsid w:val="0062548A"/>
    <w:rsid w:val="00633E7E"/>
    <w:rsid w:val="006647A5"/>
    <w:rsid w:val="00682A5C"/>
    <w:rsid w:val="006C6454"/>
    <w:rsid w:val="006F33B5"/>
    <w:rsid w:val="007944EC"/>
    <w:rsid w:val="007C6600"/>
    <w:rsid w:val="00802411"/>
    <w:rsid w:val="0081705B"/>
    <w:rsid w:val="00846E8B"/>
    <w:rsid w:val="00863C40"/>
    <w:rsid w:val="00872D62"/>
    <w:rsid w:val="00874EB6"/>
    <w:rsid w:val="008940F9"/>
    <w:rsid w:val="008B76AF"/>
    <w:rsid w:val="008D254C"/>
    <w:rsid w:val="008E09A0"/>
    <w:rsid w:val="0090154F"/>
    <w:rsid w:val="0091099D"/>
    <w:rsid w:val="0092747F"/>
    <w:rsid w:val="00961A27"/>
    <w:rsid w:val="00962B3D"/>
    <w:rsid w:val="00991539"/>
    <w:rsid w:val="009C7FFA"/>
    <w:rsid w:val="00A12121"/>
    <w:rsid w:val="00A80F17"/>
    <w:rsid w:val="00A901BE"/>
    <w:rsid w:val="00AD3C5A"/>
    <w:rsid w:val="00AE6E96"/>
    <w:rsid w:val="00B173F6"/>
    <w:rsid w:val="00B34264"/>
    <w:rsid w:val="00B41065"/>
    <w:rsid w:val="00B50CEE"/>
    <w:rsid w:val="00B5347D"/>
    <w:rsid w:val="00B66710"/>
    <w:rsid w:val="00B87BFF"/>
    <w:rsid w:val="00B97559"/>
    <w:rsid w:val="00BB499D"/>
    <w:rsid w:val="00BC4348"/>
    <w:rsid w:val="00BC4EA8"/>
    <w:rsid w:val="00BC57D1"/>
    <w:rsid w:val="00BC63E3"/>
    <w:rsid w:val="00BC7E2A"/>
    <w:rsid w:val="00C018E7"/>
    <w:rsid w:val="00C33B44"/>
    <w:rsid w:val="00C37B24"/>
    <w:rsid w:val="00C87DE0"/>
    <w:rsid w:val="00C940C1"/>
    <w:rsid w:val="00CA3F13"/>
    <w:rsid w:val="00CE2CF8"/>
    <w:rsid w:val="00D57352"/>
    <w:rsid w:val="00D67E81"/>
    <w:rsid w:val="00D77938"/>
    <w:rsid w:val="00D77FD6"/>
    <w:rsid w:val="00DB4BE6"/>
    <w:rsid w:val="00DD241B"/>
    <w:rsid w:val="00DE4067"/>
    <w:rsid w:val="00E07549"/>
    <w:rsid w:val="00E64511"/>
    <w:rsid w:val="00E8674A"/>
    <w:rsid w:val="00EC466A"/>
    <w:rsid w:val="00ED2840"/>
    <w:rsid w:val="00ED7726"/>
    <w:rsid w:val="00ED7CF2"/>
    <w:rsid w:val="00EE62D2"/>
    <w:rsid w:val="00F21FBD"/>
    <w:rsid w:val="00F25114"/>
    <w:rsid w:val="00F67496"/>
    <w:rsid w:val="00F755BD"/>
    <w:rsid w:val="00FE74BB"/>
    <w:rsid w:val="00FF218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DDC5B7"/>
  <w15:docId w15:val="{11E4B714-0E94-403A-B404-F875827A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1A27"/>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61A2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61A27"/>
    <w:rPr>
      <w:rFonts w:ascii="Tahoma" w:eastAsia="Times New Roman" w:hAnsi="Tahoma" w:cs="Tahoma"/>
      <w:sz w:val="16"/>
      <w:szCs w:val="16"/>
    </w:rPr>
  </w:style>
  <w:style w:type="character" w:styleId="Odkaznakomentr">
    <w:name w:val="annotation reference"/>
    <w:uiPriority w:val="99"/>
    <w:semiHidden/>
    <w:unhideWhenUsed/>
    <w:rsid w:val="00961A27"/>
    <w:rPr>
      <w:sz w:val="16"/>
      <w:szCs w:val="16"/>
    </w:rPr>
  </w:style>
  <w:style w:type="paragraph" w:styleId="Textkomentra">
    <w:name w:val="annotation text"/>
    <w:basedOn w:val="Normlny"/>
    <w:link w:val="TextkomentraChar"/>
    <w:uiPriority w:val="99"/>
    <w:semiHidden/>
    <w:unhideWhenUsed/>
    <w:rsid w:val="00961A27"/>
    <w:rPr>
      <w:sz w:val="20"/>
      <w:szCs w:val="20"/>
    </w:rPr>
  </w:style>
  <w:style w:type="character" w:customStyle="1" w:styleId="TextkomentraChar">
    <w:name w:val="Text komentára Char"/>
    <w:basedOn w:val="Predvolenpsmoodseku"/>
    <w:link w:val="Textkomentra"/>
    <w:uiPriority w:val="99"/>
    <w:semiHidden/>
    <w:rsid w:val="00961A27"/>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961A27"/>
    <w:rPr>
      <w:b/>
      <w:bCs/>
    </w:rPr>
  </w:style>
  <w:style w:type="character" w:customStyle="1" w:styleId="PredmetkomentraChar">
    <w:name w:val="Predmet komentára Char"/>
    <w:basedOn w:val="TextkomentraChar"/>
    <w:link w:val="Predmetkomentra"/>
    <w:uiPriority w:val="99"/>
    <w:semiHidden/>
    <w:rsid w:val="00961A27"/>
    <w:rPr>
      <w:rFonts w:ascii="Calibri" w:eastAsia="Times New Roman" w:hAnsi="Calibri" w:cs="Times New Roman"/>
      <w:b/>
      <w:bCs/>
      <w:sz w:val="20"/>
      <w:szCs w:val="20"/>
    </w:rPr>
  </w:style>
  <w:style w:type="table" w:styleId="Mriekatabuky">
    <w:name w:val="Table Grid"/>
    <w:basedOn w:val="Normlnatabuka"/>
    <w:uiPriority w:val="59"/>
    <w:rsid w:val="00961A2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61A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zia">
    <w:name w:val="Revision"/>
    <w:hidden/>
    <w:uiPriority w:val="99"/>
    <w:semiHidden/>
    <w:rsid w:val="00961A27"/>
    <w:pPr>
      <w:spacing w:after="0" w:line="240" w:lineRule="auto"/>
    </w:pPr>
    <w:rPr>
      <w:rFonts w:ascii="Calibri" w:eastAsia="Times New Roman" w:hAnsi="Calibri" w:cs="Times New Roman"/>
    </w:rPr>
  </w:style>
  <w:style w:type="paragraph" w:styleId="Normlnywebov">
    <w:name w:val="Normal (Web)"/>
    <w:basedOn w:val="Normlny"/>
    <w:uiPriority w:val="99"/>
    <w:semiHidden/>
    <w:unhideWhenUsed/>
    <w:rsid w:val="00961A27"/>
    <w:pPr>
      <w:spacing w:before="100" w:beforeAutospacing="1" w:after="100" w:afterAutospacing="1" w:line="240" w:lineRule="auto"/>
    </w:pPr>
    <w:rPr>
      <w:rFonts w:ascii="Times New Roman" w:hAnsi="Times New Roman"/>
      <w:sz w:val="24"/>
      <w:szCs w:val="24"/>
    </w:rPr>
  </w:style>
  <w:style w:type="paragraph" w:styleId="Odsekzoznamu">
    <w:name w:val="List Paragraph"/>
    <w:basedOn w:val="Normlny"/>
    <w:uiPriority w:val="34"/>
    <w:qFormat/>
    <w:rsid w:val="00633E7E"/>
    <w:pPr>
      <w:ind w:left="720"/>
      <w:contextualSpacing/>
    </w:pPr>
  </w:style>
  <w:style w:type="character" w:styleId="Hypertextovprepojenie">
    <w:name w:val="Hyperlink"/>
    <w:basedOn w:val="Predvolenpsmoodseku"/>
    <w:uiPriority w:val="99"/>
    <w:unhideWhenUsed/>
    <w:rsid w:val="00291AF2"/>
    <w:rPr>
      <w:color w:val="0563C1" w:themeColor="hyperlink"/>
      <w:u w:val="single"/>
    </w:rPr>
  </w:style>
  <w:style w:type="paragraph" w:styleId="Hlavika">
    <w:name w:val="header"/>
    <w:basedOn w:val="Normlny"/>
    <w:link w:val="HlavikaChar"/>
    <w:unhideWhenUsed/>
    <w:rsid w:val="00991539"/>
    <w:pPr>
      <w:tabs>
        <w:tab w:val="center" w:pos="4536"/>
        <w:tab w:val="right" w:pos="9072"/>
      </w:tabs>
      <w:spacing w:after="0" w:line="240" w:lineRule="auto"/>
    </w:pPr>
  </w:style>
  <w:style w:type="character" w:customStyle="1" w:styleId="HlavikaChar">
    <w:name w:val="Hlavička Char"/>
    <w:basedOn w:val="Predvolenpsmoodseku"/>
    <w:link w:val="Hlavika"/>
    <w:rsid w:val="00991539"/>
    <w:rPr>
      <w:rFonts w:ascii="Calibri" w:eastAsia="Times New Roman" w:hAnsi="Calibri" w:cs="Times New Roman"/>
    </w:rPr>
  </w:style>
  <w:style w:type="paragraph" w:styleId="Pta">
    <w:name w:val="footer"/>
    <w:basedOn w:val="Normlny"/>
    <w:link w:val="PtaChar"/>
    <w:uiPriority w:val="99"/>
    <w:unhideWhenUsed/>
    <w:rsid w:val="00991539"/>
    <w:pPr>
      <w:tabs>
        <w:tab w:val="center" w:pos="4536"/>
        <w:tab w:val="right" w:pos="9072"/>
      </w:tabs>
      <w:spacing w:after="0" w:line="240" w:lineRule="auto"/>
    </w:pPr>
  </w:style>
  <w:style w:type="character" w:customStyle="1" w:styleId="PtaChar">
    <w:name w:val="Päta Char"/>
    <w:basedOn w:val="Predvolenpsmoodseku"/>
    <w:link w:val="Pta"/>
    <w:uiPriority w:val="99"/>
    <w:rsid w:val="0099153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B3A1-FC5E-46AE-85CA-51764EF2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8</Pages>
  <Words>2481</Words>
  <Characters>14145</Characters>
  <Application>Microsoft Office Word</Application>
  <DocSecurity>0</DocSecurity>
  <Lines>117</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ReviewerPG</dc:creator>
  <cp:lastModifiedBy>Lacková, Beáta</cp:lastModifiedBy>
  <cp:revision>34</cp:revision>
  <dcterms:created xsi:type="dcterms:W3CDTF">2017-07-17T13:01:00Z</dcterms:created>
  <dcterms:modified xsi:type="dcterms:W3CDTF">2017-10-09T09:24:00Z</dcterms:modified>
</cp:coreProperties>
</file>