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39136" w14:textId="05C85B77" w:rsidR="006432FF" w:rsidRPr="00F52A78" w:rsidRDefault="006432FF" w:rsidP="006432FF">
      <w:pPr>
        <w:widowControl w:val="0"/>
        <w:spacing w:line="240" w:lineRule="auto"/>
      </w:pPr>
      <w:r w:rsidRPr="00D32E60">
        <w:rPr>
          <w:sz w:val="18"/>
          <w:szCs w:val="18"/>
        </w:rPr>
        <w:t>Schválený text k rozhodn</w:t>
      </w:r>
      <w:r>
        <w:rPr>
          <w:sz w:val="18"/>
          <w:szCs w:val="18"/>
        </w:rPr>
        <w:t xml:space="preserve">utiu o registrácii, ev. č. </w:t>
      </w:r>
      <w:r w:rsidRPr="00CE7D60">
        <w:rPr>
          <w:sz w:val="18"/>
          <w:szCs w:val="18"/>
        </w:rPr>
        <w:t>2016/02151-REG</w:t>
      </w:r>
    </w:p>
    <w:p w14:paraId="1486C3B3" w14:textId="77777777" w:rsidR="006432FF" w:rsidRDefault="006432FF" w:rsidP="006432FF">
      <w:pPr>
        <w:widowControl w:val="0"/>
        <w:spacing w:line="240" w:lineRule="auto"/>
        <w:rPr>
          <w:bCs/>
          <w:iCs/>
          <w:noProof/>
        </w:rPr>
      </w:pPr>
    </w:p>
    <w:p w14:paraId="110E5FE7" w14:textId="77777777" w:rsidR="006432FF" w:rsidRPr="00B0253E" w:rsidRDefault="006432FF" w:rsidP="006432FF">
      <w:pPr>
        <w:widowControl w:val="0"/>
        <w:spacing w:line="240" w:lineRule="auto"/>
        <w:jc w:val="center"/>
        <w:rPr>
          <w:bCs/>
          <w:iCs/>
          <w:noProof/>
        </w:rPr>
      </w:pPr>
      <w:r w:rsidRPr="00B0253E">
        <w:rPr>
          <w:b/>
        </w:rPr>
        <w:t>SÚHRN CHARAKTERISTICKÝCH VLASTNOSTÍ LIEKU</w:t>
      </w:r>
    </w:p>
    <w:p w14:paraId="6F81EB65" w14:textId="77777777" w:rsidR="006432FF" w:rsidRDefault="006432FF" w:rsidP="009F4BA4">
      <w:pPr>
        <w:widowControl w:val="0"/>
        <w:spacing w:line="240" w:lineRule="auto"/>
      </w:pPr>
    </w:p>
    <w:p w14:paraId="663070A9" w14:textId="77777777" w:rsidR="001D29E6" w:rsidRPr="00B0253E" w:rsidRDefault="001D29E6" w:rsidP="009F4BA4">
      <w:pPr>
        <w:widowControl w:val="0"/>
        <w:spacing w:line="240" w:lineRule="auto"/>
      </w:pPr>
      <w:r w:rsidRPr="00B0253E">
        <w:rPr>
          <w:noProof/>
        </w:rPr>
        <w:t>1.</w:t>
      </w:r>
      <w:r w:rsidRPr="00B0253E">
        <w:tab/>
      </w:r>
      <w:r w:rsidRPr="00B0253E">
        <w:rPr>
          <w:b/>
        </w:rPr>
        <w:t>NÁZOV LIEKU</w:t>
      </w:r>
    </w:p>
    <w:p w14:paraId="6B5EDDAE" w14:textId="77777777" w:rsidR="001D29E6" w:rsidRPr="00B0253E" w:rsidRDefault="001D29E6" w:rsidP="009F4BA4">
      <w:pPr>
        <w:spacing w:line="240" w:lineRule="auto"/>
        <w:rPr>
          <w:iCs/>
        </w:rPr>
      </w:pPr>
    </w:p>
    <w:p w14:paraId="7E100853" w14:textId="62DBA6EF" w:rsidR="00F43C02" w:rsidRPr="00B0253E" w:rsidRDefault="003F3260" w:rsidP="009F4BA4">
      <w:pPr>
        <w:spacing w:line="240" w:lineRule="auto"/>
        <w:rPr>
          <w:noProof/>
        </w:rPr>
      </w:pPr>
      <w:r>
        <w:t>Mucopret</w:t>
      </w:r>
      <w:r w:rsidR="00F43C02" w:rsidRPr="00B0253E">
        <w:t xml:space="preserve"> </w:t>
      </w:r>
    </w:p>
    <w:p w14:paraId="481C4EFD" w14:textId="1FA00A59" w:rsidR="001D29E6" w:rsidRPr="00B0253E" w:rsidRDefault="006432FF" w:rsidP="009F4BA4">
      <w:pPr>
        <w:spacing w:line="240" w:lineRule="auto"/>
        <w:rPr>
          <w:noProof/>
        </w:rPr>
      </w:pPr>
      <w:r>
        <w:t>f</w:t>
      </w:r>
      <w:r w:rsidR="00D2776F" w:rsidRPr="00B0253E">
        <w:t>ilmom obalen</w:t>
      </w:r>
      <w:r w:rsidR="000A7411">
        <w:t>é</w:t>
      </w:r>
      <w:r w:rsidR="00D2776F" w:rsidRPr="00B0253E">
        <w:t xml:space="preserve"> tablet</w:t>
      </w:r>
      <w:r w:rsidR="000A7411">
        <w:t>y</w:t>
      </w:r>
    </w:p>
    <w:p w14:paraId="010F1D0D" w14:textId="77777777" w:rsidR="001D29E6" w:rsidRPr="00B0253E" w:rsidRDefault="001D29E6" w:rsidP="009F4BA4">
      <w:pPr>
        <w:spacing w:line="240" w:lineRule="auto"/>
        <w:rPr>
          <w:iCs/>
        </w:rPr>
      </w:pPr>
    </w:p>
    <w:p w14:paraId="3BDA26BB" w14:textId="77777777" w:rsidR="001D29E6" w:rsidRPr="00B0253E" w:rsidRDefault="001D29E6" w:rsidP="009F4BA4">
      <w:pPr>
        <w:widowControl w:val="0"/>
        <w:spacing w:line="240" w:lineRule="auto"/>
        <w:rPr>
          <w:b/>
        </w:rPr>
      </w:pPr>
    </w:p>
    <w:p w14:paraId="3B0CB7D1" w14:textId="77777777" w:rsidR="001D29E6" w:rsidRPr="00B0253E" w:rsidRDefault="001D29E6" w:rsidP="009F4BA4">
      <w:pPr>
        <w:widowControl w:val="0"/>
        <w:spacing w:line="240" w:lineRule="auto"/>
        <w:rPr>
          <w:b/>
        </w:rPr>
      </w:pPr>
      <w:r w:rsidRPr="00B0253E">
        <w:rPr>
          <w:b/>
        </w:rPr>
        <w:t>2.</w:t>
      </w:r>
      <w:r w:rsidRPr="00B0253E">
        <w:tab/>
      </w:r>
      <w:r w:rsidRPr="00B0253E">
        <w:rPr>
          <w:b/>
        </w:rPr>
        <w:t>KVALITATÍVNE A KVANTITATÍVNE ZLOŽENIE</w:t>
      </w:r>
    </w:p>
    <w:p w14:paraId="71F490BC" w14:textId="77777777" w:rsidR="00DD238F" w:rsidRPr="00B0253E" w:rsidRDefault="00DD238F" w:rsidP="009F4BA4">
      <w:pPr>
        <w:widowControl w:val="0"/>
        <w:spacing w:line="240" w:lineRule="auto"/>
      </w:pPr>
    </w:p>
    <w:p w14:paraId="4E6164E5" w14:textId="77777777" w:rsidR="001D29E6" w:rsidRPr="00B0253E" w:rsidRDefault="00DD238F" w:rsidP="00DD238F">
      <w:pPr>
        <w:spacing w:line="240" w:lineRule="auto"/>
      </w:pPr>
      <w:r w:rsidRPr="00B0253E">
        <w:t>1 filmom obalená tableta obsahuje:</w:t>
      </w:r>
    </w:p>
    <w:p w14:paraId="096894EA" w14:textId="77777777" w:rsidR="00BB1CD9" w:rsidRPr="00B0253E" w:rsidRDefault="00F46485" w:rsidP="00F46485">
      <w:pPr>
        <w:spacing w:line="240" w:lineRule="auto"/>
      </w:pPr>
      <w:r w:rsidRPr="00B0253E">
        <w:t xml:space="preserve">60 mg extraktu (ako suchý extrakt) z </w:t>
      </w:r>
      <w:r w:rsidRPr="00B0253E">
        <w:rPr>
          <w:i/>
        </w:rPr>
        <w:t>Primula veris</w:t>
      </w:r>
      <w:r w:rsidRPr="00B0253E">
        <w:t xml:space="preserve"> L./</w:t>
      </w:r>
      <w:r w:rsidRPr="00B0253E">
        <w:rPr>
          <w:i/>
        </w:rPr>
        <w:t>Primula elatior</w:t>
      </w:r>
      <w:r w:rsidRPr="00B0253E">
        <w:t xml:space="preserve"> (L.) Hill, </w:t>
      </w:r>
      <w:r w:rsidRPr="00F52A78">
        <w:rPr>
          <w:i/>
        </w:rPr>
        <w:t xml:space="preserve">radix </w:t>
      </w:r>
      <w:r w:rsidRPr="00B0253E">
        <w:t xml:space="preserve">(koreň prvosienky) (6 - 7 : 1). </w:t>
      </w:r>
    </w:p>
    <w:p w14:paraId="0C2581D2" w14:textId="1759123C" w:rsidR="00F46485" w:rsidRPr="00B0253E" w:rsidRDefault="00F46485" w:rsidP="00F46485">
      <w:pPr>
        <w:spacing w:line="240" w:lineRule="auto"/>
      </w:pPr>
      <w:r w:rsidRPr="00B0253E">
        <w:t xml:space="preserve">Extrakčné </w:t>
      </w:r>
      <w:r w:rsidR="000A7411">
        <w:t>činidlo</w:t>
      </w:r>
      <w:r w:rsidR="00BE3A89">
        <w:t>: etanol 47,4</w:t>
      </w:r>
      <w:r w:rsidRPr="00B0253E">
        <w:t>% (</w:t>
      </w:r>
      <w:r w:rsidR="00D452DF">
        <w:t>V</w:t>
      </w:r>
      <w:r w:rsidRPr="00B0253E">
        <w:t>/</w:t>
      </w:r>
      <w:r w:rsidR="00D452DF">
        <w:t>V</w:t>
      </w:r>
      <w:r w:rsidRPr="00B0253E">
        <w:t>).</w:t>
      </w:r>
    </w:p>
    <w:p w14:paraId="21E9E31D" w14:textId="77777777" w:rsidR="00BE3A89" w:rsidRDefault="00F46485" w:rsidP="00F46485">
      <w:pPr>
        <w:spacing w:line="240" w:lineRule="auto"/>
      </w:pPr>
      <w:r w:rsidRPr="00B0253E">
        <w:t xml:space="preserve">160 mg extraktu (ako suchý extrakt) z </w:t>
      </w:r>
      <w:r w:rsidRPr="00B0253E">
        <w:rPr>
          <w:i/>
        </w:rPr>
        <w:t>Thymus vulgaris</w:t>
      </w:r>
      <w:r w:rsidRPr="00B0253E">
        <w:t xml:space="preserve"> L./</w:t>
      </w:r>
      <w:r w:rsidRPr="00B0253E">
        <w:rPr>
          <w:i/>
        </w:rPr>
        <w:t>Thymus zygis</w:t>
      </w:r>
      <w:r w:rsidRPr="00B0253E">
        <w:t xml:space="preserve"> L., </w:t>
      </w:r>
      <w:r w:rsidRPr="00F52A78">
        <w:rPr>
          <w:i/>
        </w:rPr>
        <w:t>herba</w:t>
      </w:r>
      <w:r w:rsidRPr="00B0253E">
        <w:t xml:space="preserve"> (</w:t>
      </w:r>
      <w:r w:rsidR="000A7411">
        <w:t xml:space="preserve">vňať </w:t>
      </w:r>
      <w:r w:rsidRPr="00B0253E">
        <w:t>dúšk</w:t>
      </w:r>
      <w:r w:rsidR="000A7411">
        <w:t>y</w:t>
      </w:r>
      <w:r w:rsidR="00BE3A89">
        <w:t xml:space="preserve">) </w:t>
      </w:r>
    </w:p>
    <w:p w14:paraId="15F1FA3B" w14:textId="24BAA0E9" w:rsidR="00490B33" w:rsidRPr="00B0253E" w:rsidRDefault="00BE3A89" w:rsidP="00F46485">
      <w:pPr>
        <w:spacing w:line="240" w:lineRule="auto"/>
      </w:pPr>
      <w:r>
        <w:t>(6 - 10</w:t>
      </w:r>
      <w:r w:rsidR="00F46485" w:rsidRPr="00B0253E">
        <w:t xml:space="preserve">: 1). </w:t>
      </w:r>
    </w:p>
    <w:p w14:paraId="7F1971F6" w14:textId="65B15BAF" w:rsidR="00F43C02" w:rsidRPr="00B0253E" w:rsidRDefault="00F46485" w:rsidP="002B7782">
      <w:pPr>
        <w:spacing w:line="240" w:lineRule="auto"/>
      </w:pPr>
      <w:r w:rsidRPr="00B0253E">
        <w:t xml:space="preserve">Extrakčné </w:t>
      </w:r>
      <w:r w:rsidR="000A7411">
        <w:t>činidlo</w:t>
      </w:r>
      <w:r w:rsidRPr="00B0253E">
        <w:t>: etanol 70% (</w:t>
      </w:r>
      <w:r w:rsidR="00D452DF">
        <w:t>V</w:t>
      </w:r>
      <w:r w:rsidRPr="00B0253E">
        <w:t>/</w:t>
      </w:r>
      <w:r w:rsidR="00D452DF">
        <w:t>V</w:t>
      </w:r>
      <w:r w:rsidRPr="00B0253E">
        <w:t>).</w:t>
      </w:r>
    </w:p>
    <w:p w14:paraId="0E35E3FB" w14:textId="77777777" w:rsidR="00F43C02" w:rsidRPr="00B0253E" w:rsidRDefault="00F43C02" w:rsidP="009F4BA4">
      <w:pPr>
        <w:spacing w:line="240" w:lineRule="auto"/>
      </w:pPr>
    </w:p>
    <w:p w14:paraId="4477C02B" w14:textId="77777777" w:rsidR="00D2776F" w:rsidRPr="00B0253E" w:rsidRDefault="00D2776F" w:rsidP="009F4BA4">
      <w:pPr>
        <w:pStyle w:val="EMEAEnBodyText"/>
        <w:autoSpaceDE w:val="0"/>
        <w:autoSpaceDN w:val="0"/>
        <w:adjustRightInd w:val="0"/>
        <w:spacing w:before="0" w:after="0"/>
        <w:rPr>
          <w:iCs/>
          <w:u w:val="single"/>
        </w:rPr>
      </w:pPr>
      <w:r w:rsidRPr="00B0253E">
        <w:rPr>
          <w:u w:val="single"/>
        </w:rPr>
        <w:t>Pomocné látky so známym účinkom</w:t>
      </w:r>
    </w:p>
    <w:p w14:paraId="4113FD00" w14:textId="77777777" w:rsidR="00412950" w:rsidRPr="00B0253E" w:rsidRDefault="00DD1F8B" w:rsidP="00D2776F">
      <w:pPr>
        <w:spacing w:line="240" w:lineRule="auto"/>
      </w:pPr>
      <w:r w:rsidRPr="00B0253E">
        <w:t>Glukóza vypočítaná ako bezvodá: 34,105 mg</w:t>
      </w:r>
    </w:p>
    <w:p w14:paraId="36DDB880" w14:textId="77777777" w:rsidR="00D31F22" w:rsidRPr="00B0253E" w:rsidRDefault="004317D3" w:rsidP="00D2776F">
      <w:pPr>
        <w:spacing w:line="240" w:lineRule="auto"/>
      </w:pPr>
      <w:r w:rsidRPr="00B0253E">
        <w:t>Laktóza vypočítaná ako bezvodá: 47,536 mg</w:t>
      </w:r>
    </w:p>
    <w:p w14:paraId="72FBD59F" w14:textId="77777777" w:rsidR="001D29E6" w:rsidRPr="00B0253E" w:rsidRDefault="001D29E6" w:rsidP="009F4BA4">
      <w:pPr>
        <w:spacing w:line="240" w:lineRule="auto"/>
      </w:pPr>
      <w:r w:rsidRPr="00B0253E">
        <w:t>Úplný zoznam pomocných látok, pozri časť 6.1.</w:t>
      </w:r>
    </w:p>
    <w:p w14:paraId="423F2DC5" w14:textId="77777777" w:rsidR="001D29E6" w:rsidRPr="00B0253E" w:rsidRDefault="001D29E6" w:rsidP="009F4BA4">
      <w:pPr>
        <w:spacing w:line="240" w:lineRule="auto"/>
      </w:pPr>
    </w:p>
    <w:p w14:paraId="0CCBC5E5" w14:textId="77777777" w:rsidR="001D29E6" w:rsidRPr="00B0253E" w:rsidRDefault="001D29E6" w:rsidP="009F4BA4">
      <w:pPr>
        <w:spacing w:line="240" w:lineRule="auto"/>
      </w:pPr>
    </w:p>
    <w:p w14:paraId="0073A82E" w14:textId="77777777" w:rsidR="001D29E6" w:rsidRPr="00B0253E" w:rsidRDefault="001D29E6" w:rsidP="009F4BA4">
      <w:pPr>
        <w:spacing w:line="240" w:lineRule="auto"/>
        <w:ind w:left="567" w:hanging="567"/>
        <w:rPr>
          <w:b/>
          <w:caps/>
        </w:rPr>
      </w:pPr>
      <w:r w:rsidRPr="00B0253E">
        <w:rPr>
          <w:b/>
        </w:rPr>
        <w:t>3.</w:t>
      </w:r>
      <w:r w:rsidRPr="00B0253E">
        <w:tab/>
      </w:r>
      <w:r w:rsidRPr="00B0253E">
        <w:rPr>
          <w:b/>
        </w:rPr>
        <w:t xml:space="preserve">LIEKOVÁ </w:t>
      </w:r>
      <w:r w:rsidRPr="00B0253E">
        <w:rPr>
          <w:b/>
          <w:caps/>
        </w:rPr>
        <w:t>forma</w:t>
      </w:r>
    </w:p>
    <w:p w14:paraId="700792D9" w14:textId="77777777" w:rsidR="001D29E6" w:rsidRPr="00B0253E" w:rsidRDefault="001D29E6" w:rsidP="009F4BA4">
      <w:pPr>
        <w:spacing w:line="240" w:lineRule="auto"/>
      </w:pPr>
    </w:p>
    <w:p w14:paraId="6D997A21" w14:textId="77777777" w:rsidR="001D29E6" w:rsidRPr="00B0253E" w:rsidRDefault="00D2776F" w:rsidP="009F4BA4">
      <w:pPr>
        <w:spacing w:line="240" w:lineRule="auto"/>
      </w:pPr>
      <w:r w:rsidRPr="00B0253E">
        <w:t>Filmom obalené tablety</w:t>
      </w:r>
    </w:p>
    <w:p w14:paraId="33EF2D90" w14:textId="77777777" w:rsidR="00BB1CD9" w:rsidRPr="00B0253E" w:rsidRDefault="00BB1CD9" w:rsidP="009F4BA4">
      <w:pPr>
        <w:spacing w:line="240" w:lineRule="auto"/>
      </w:pPr>
    </w:p>
    <w:p w14:paraId="79B3C49A" w14:textId="77777777" w:rsidR="00BB1CD9" w:rsidRPr="00B0253E" w:rsidRDefault="00BB1CD9" w:rsidP="009F4BA4">
      <w:pPr>
        <w:spacing w:line="240" w:lineRule="auto"/>
      </w:pPr>
      <w:r w:rsidRPr="00B0253E">
        <w:t xml:space="preserve">Filmom obalené tablety sú zelené, okrúhle, </w:t>
      </w:r>
      <w:r w:rsidR="000A7411">
        <w:t>bikonvexné</w:t>
      </w:r>
      <w:r w:rsidR="000A7411" w:rsidRPr="00B0253E">
        <w:t xml:space="preserve"> </w:t>
      </w:r>
      <w:r w:rsidRPr="00B0253E">
        <w:t>s polomatným povrchom. Filmom obalená tableta má priemer 10,1 – 10,3 mm.</w:t>
      </w:r>
    </w:p>
    <w:p w14:paraId="008A393E" w14:textId="77777777" w:rsidR="009947F6" w:rsidRPr="00B0253E" w:rsidRDefault="009947F6" w:rsidP="009F4BA4">
      <w:pPr>
        <w:spacing w:line="240" w:lineRule="auto"/>
      </w:pPr>
    </w:p>
    <w:p w14:paraId="51C2A536" w14:textId="77777777" w:rsidR="001D29E6" w:rsidRPr="00B0253E" w:rsidRDefault="001D29E6" w:rsidP="009F4BA4">
      <w:pPr>
        <w:spacing w:line="240" w:lineRule="auto"/>
      </w:pPr>
    </w:p>
    <w:p w14:paraId="3348F078" w14:textId="77777777" w:rsidR="001D29E6" w:rsidRPr="00B0253E" w:rsidRDefault="001D29E6" w:rsidP="009F4BA4">
      <w:pPr>
        <w:spacing w:line="240" w:lineRule="auto"/>
        <w:ind w:left="567" w:hanging="567"/>
        <w:rPr>
          <w:caps/>
        </w:rPr>
      </w:pPr>
      <w:r w:rsidRPr="00B0253E">
        <w:rPr>
          <w:b/>
          <w:caps/>
        </w:rPr>
        <w:t>4.</w:t>
      </w:r>
      <w:r w:rsidRPr="00B0253E">
        <w:tab/>
      </w:r>
      <w:r w:rsidRPr="00B0253E">
        <w:rPr>
          <w:b/>
          <w:caps/>
        </w:rPr>
        <w:t>Klinické údaje</w:t>
      </w:r>
    </w:p>
    <w:p w14:paraId="103E0776" w14:textId="77777777" w:rsidR="001D29E6" w:rsidRPr="00B0253E" w:rsidRDefault="001D29E6" w:rsidP="009F4BA4">
      <w:pPr>
        <w:spacing w:line="240" w:lineRule="auto"/>
      </w:pPr>
    </w:p>
    <w:p w14:paraId="36B0E181" w14:textId="77777777" w:rsidR="001D29E6" w:rsidRPr="00B0253E" w:rsidRDefault="001D29E6" w:rsidP="009F4BA4">
      <w:pPr>
        <w:spacing w:line="240" w:lineRule="auto"/>
        <w:ind w:left="567" w:hanging="567"/>
      </w:pPr>
      <w:r w:rsidRPr="00B0253E">
        <w:rPr>
          <w:b/>
        </w:rPr>
        <w:t>4.1</w:t>
      </w:r>
      <w:r w:rsidRPr="00B0253E">
        <w:tab/>
      </w:r>
      <w:r w:rsidRPr="00B0253E">
        <w:rPr>
          <w:b/>
        </w:rPr>
        <w:t>Terapeutické indikácie</w:t>
      </w:r>
    </w:p>
    <w:p w14:paraId="3AC7EF13" w14:textId="77777777" w:rsidR="001D29E6" w:rsidRPr="00B0253E" w:rsidRDefault="001D29E6" w:rsidP="009F4BA4">
      <w:pPr>
        <w:spacing w:line="240" w:lineRule="auto"/>
      </w:pPr>
    </w:p>
    <w:p w14:paraId="232B843F" w14:textId="77777777" w:rsidR="00D2776F" w:rsidRPr="00B0253E" w:rsidRDefault="00490B33" w:rsidP="00D2776F">
      <w:pPr>
        <w:tabs>
          <w:tab w:val="clear" w:pos="567"/>
        </w:tabs>
        <w:autoSpaceDE w:val="0"/>
        <w:autoSpaceDN w:val="0"/>
        <w:adjustRightInd w:val="0"/>
        <w:spacing w:after="140" w:line="240" w:lineRule="auto"/>
        <w:rPr>
          <w:szCs w:val="22"/>
        </w:rPr>
      </w:pPr>
      <w:r w:rsidRPr="00B0253E">
        <w:t xml:space="preserve">Rastlinný liek sa používa ako expektorancium pri produktívnom kašli. </w:t>
      </w:r>
    </w:p>
    <w:p w14:paraId="577D1E48" w14:textId="77777777" w:rsidR="0032274D" w:rsidRPr="00B0253E" w:rsidRDefault="003F3260" w:rsidP="002B7782">
      <w:pPr>
        <w:spacing w:line="240" w:lineRule="auto"/>
        <w:rPr>
          <w:szCs w:val="22"/>
        </w:rPr>
      </w:pPr>
      <w:r>
        <w:t>Mucopret</w:t>
      </w:r>
      <w:r w:rsidR="00D2776F" w:rsidRPr="00B0253E">
        <w:t xml:space="preserve"> je indikovaný dospelým.</w:t>
      </w:r>
    </w:p>
    <w:p w14:paraId="75FF8F3D" w14:textId="77777777" w:rsidR="00D2776F" w:rsidRPr="00B0253E" w:rsidRDefault="00D2776F" w:rsidP="009F4BA4">
      <w:pPr>
        <w:spacing w:line="240" w:lineRule="auto"/>
      </w:pPr>
    </w:p>
    <w:p w14:paraId="68270441" w14:textId="77777777" w:rsidR="001D29E6" w:rsidRPr="00B0253E" w:rsidRDefault="001D29E6" w:rsidP="009F4BA4">
      <w:pPr>
        <w:spacing w:line="240" w:lineRule="auto"/>
        <w:ind w:left="567" w:hanging="567"/>
        <w:rPr>
          <w:b/>
        </w:rPr>
      </w:pPr>
      <w:r w:rsidRPr="00B0253E">
        <w:rPr>
          <w:b/>
        </w:rPr>
        <w:t>4.2</w:t>
      </w:r>
      <w:r w:rsidRPr="00B0253E">
        <w:tab/>
      </w:r>
      <w:r w:rsidRPr="00B0253E">
        <w:rPr>
          <w:b/>
        </w:rPr>
        <w:t>Dávkovanie a spôsob podávania</w:t>
      </w:r>
    </w:p>
    <w:p w14:paraId="3BDB1D70" w14:textId="77777777" w:rsidR="001D29E6" w:rsidRPr="00B0253E" w:rsidRDefault="001D29E6" w:rsidP="009F4BA4">
      <w:pPr>
        <w:spacing w:line="240" w:lineRule="auto"/>
        <w:ind w:left="567" w:hanging="567"/>
      </w:pPr>
    </w:p>
    <w:p w14:paraId="600513C6" w14:textId="77777777" w:rsidR="00C53ACC" w:rsidRPr="005D2893" w:rsidRDefault="00C53ACC" w:rsidP="009F4BA4">
      <w:pPr>
        <w:tabs>
          <w:tab w:val="clear" w:pos="567"/>
        </w:tabs>
        <w:spacing w:line="240" w:lineRule="auto"/>
        <w:rPr>
          <w:bCs/>
          <w:iCs/>
          <w:szCs w:val="22"/>
          <w:u w:val="single"/>
        </w:rPr>
      </w:pPr>
      <w:r w:rsidRPr="005D2893">
        <w:rPr>
          <w:u w:val="single"/>
        </w:rPr>
        <w:t>Dávkovanie</w:t>
      </w:r>
    </w:p>
    <w:p w14:paraId="3DD474B6" w14:textId="77777777" w:rsidR="00684C0C" w:rsidRPr="00B0253E" w:rsidRDefault="00684C0C" w:rsidP="00684C0C">
      <w:pPr>
        <w:tabs>
          <w:tab w:val="clear" w:pos="567"/>
        </w:tabs>
        <w:spacing w:line="240" w:lineRule="auto"/>
        <w:rPr>
          <w:szCs w:val="22"/>
        </w:rPr>
      </w:pPr>
    </w:p>
    <w:p w14:paraId="1A8E4588" w14:textId="77777777" w:rsidR="00840860" w:rsidRPr="00B0253E" w:rsidRDefault="00840860" w:rsidP="00684C0C">
      <w:pPr>
        <w:tabs>
          <w:tab w:val="clear" w:pos="567"/>
        </w:tabs>
        <w:spacing w:line="240" w:lineRule="auto"/>
        <w:rPr>
          <w:szCs w:val="22"/>
        </w:rPr>
      </w:pPr>
      <w:r w:rsidRPr="00B0253E">
        <w:t>Dospelí užívajú 1 filmom obalenú tabletu trikrát denne (maximálne 3 filmom obalené tablety denne).</w:t>
      </w:r>
    </w:p>
    <w:p w14:paraId="5F0E3CF5" w14:textId="77777777" w:rsidR="00840860" w:rsidRPr="00B0253E" w:rsidRDefault="00840860" w:rsidP="00684C0C">
      <w:pPr>
        <w:tabs>
          <w:tab w:val="clear" w:pos="567"/>
        </w:tabs>
        <w:spacing w:line="240" w:lineRule="auto"/>
        <w:rPr>
          <w:szCs w:val="22"/>
        </w:rPr>
      </w:pPr>
    </w:p>
    <w:p w14:paraId="404578F1" w14:textId="77777777" w:rsidR="00C53ACC" w:rsidRPr="00B0253E" w:rsidRDefault="00C53ACC" w:rsidP="009F4BA4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B0253E">
        <w:rPr>
          <w:i/>
        </w:rPr>
        <w:t>Pediatrická populácia</w:t>
      </w:r>
    </w:p>
    <w:p w14:paraId="443D8BA5" w14:textId="113F7335" w:rsidR="004317D3" w:rsidRPr="00B0253E" w:rsidRDefault="000A7411" w:rsidP="009F4BA4">
      <w:pPr>
        <w:tabs>
          <w:tab w:val="clear" w:pos="567"/>
        </w:tabs>
        <w:spacing w:line="240" w:lineRule="auto"/>
        <w:rPr>
          <w:bCs/>
          <w:iCs/>
          <w:szCs w:val="22"/>
        </w:rPr>
      </w:pPr>
      <w:r>
        <w:t>Neodporúča sa pou</w:t>
      </w:r>
      <w:r w:rsidR="004317D3" w:rsidRPr="00B0253E">
        <w:t>žívanie u detí a dospievajúcich do 18 rokov veku (pozri časť 4.4 Osobitné upozornenia a opatrenia pri používaní)</w:t>
      </w:r>
      <w:r w:rsidR="006432FF">
        <w:t>.</w:t>
      </w:r>
    </w:p>
    <w:p w14:paraId="08230778" w14:textId="77777777" w:rsidR="00013ADC" w:rsidRPr="00B0253E" w:rsidRDefault="00013ADC" w:rsidP="009F4BA4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42E247DB" w14:textId="77777777" w:rsidR="00C020AE" w:rsidRPr="00B0253E" w:rsidRDefault="00C020AE" w:rsidP="00C020AE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B0253E">
        <w:rPr>
          <w:i/>
        </w:rPr>
        <w:t>Osobitné populácie</w:t>
      </w:r>
    </w:p>
    <w:p w14:paraId="7DEB7E69" w14:textId="77BA52B0" w:rsidR="00C020AE" w:rsidRPr="00B0253E" w:rsidRDefault="00C020AE" w:rsidP="009F4BA4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B0253E">
        <w:t xml:space="preserve">Neexistujú dostatočné údaje </w:t>
      </w:r>
      <w:r w:rsidR="006432FF">
        <w:t>na</w:t>
      </w:r>
      <w:r w:rsidR="00334297">
        <w:t xml:space="preserve"> odporúčanie</w:t>
      </w:r>
      <w:r w:rsidRPr="00B0253E">
        <w:t xml:space="preserve"> osobitného dávkovania u pacientov so zníženou funkciou obličiek/pečene.</w:t>
      </w:r>
    </w:p>
    <w:p w14:paraId="4E5D8AE3" w14:textId="77777777" w:rsidR="00BB7B25" w:rsidRDefault="00BB7B25" w:rsidP="009F4BA4">
      <w:pPr>
        <w:tabs>
          <w:tab w:val="clear" w:pos="567"/>
        </w:tabs>
        <w:spacing w:line="240" w:lineRule="auto"/>
        <w:rPr>
          <w:i/>
        </w:rPr>
      </w:pPr>
    </w:p>
    <w:p w14:paraId="75A61355" w14:textId="77777777" w:rsidR="00013ADC" w:rsidRPr="00B0253E" w:rsidRDefault="00C53ACC" w:rsidP="009F4BA4">
      <w:pPr>
        <w:tabs>
          <w:tab w:val="clear" w:pos="567"/>
        </w:tabs>
        <w:spacing w:line="240" w:lineRule="auto"/>
        <w:rPr>
          <w:b/>
          <w:szCs w:val="22"/>
        </w:rPr>
      </w:pPr>
      <w:r w:rsidRPr="00B0253E">
        <w:rPr>
          <w:i/>
        </w:rPr>
        <w:t xml:space="preserve">Spôsob podávania </w:t>
      </w:r>
    </w:p>
    <w:p w14:paraId="7F40A128" w14:textId="77777777" w:rsidR="00013ADC" w:rsidRPr="00B0253E" w:rsidRDefault="00013ADC" w:rsidP="009F4BA4">
      <w:pPr>
        <w:tabs>
          <w:tab w:val="clear" w:pos="567"/>
        </w:tabs>
        <w:spacing w:line="240" w:lineRule="auto"/>
        <w:rPr>
          <w:szCs w:val="22"/>
        </w:rPr>
      </w:pPr>
      <w:r w:rsidRPr="00B0253E">
        <w:lastRenderedPageBreak/>
        <w:t>Filmom obalené tablety sa užívajú nerozhryzené pred jedlom s dostatočným množstvom tekutiny (najlepšie s pohárom vody).</w:t>
      </w:r>
    </w:p>
    <w:p w14:paraId="6D737058" w14:textId="7C8FB402" w:rsidR="00013ADC" w:rsidRPr="00B0253E" w:rsidRDefault="00744639" w:rsidP="009F4BA4">
      <w:pPr>
        <w:tabs>
          <w:tab w:val="clear" w:pos="567"/>
        </w:tabs>
        <w:spacing w:line="240" w:lineRule="auto"/>
        <w:rPr>
          <w:szCs w:val="22"/>
        </w:rPr>
      </w:pPr>
      <w:r w:rsidRPr="00B0253E">
        <w:t xml:space="preserve">Ak príznaky pretrvávajú viac ako 1 týždeň počas používania lieku, </w:t>
      </w:r>
      <w:r w:rsidR="006432FF">
        <w:t>je potrebné</w:t>
      </w:r>
      <w:r w:rsidR="006432FF" w:rsidRPr="00B0253E">
        <w:t xml:space="preserve"> </w:t>
      </w:r>
      <w:r w:rsidRPr="00B0253E">
        <w:t>sa obrátiť na lekára alebo kvalifikovaného zdravotní</w:t>
      </w:r>
      <w:r w:rsidR="006432FF">
        <w:t>ckeho pracovníka.</w:t>
      </w:r>
    </w:p>
    <w:p w14:paraId="00A9C0B5" w14:textId="77777777" w:rsidR="001D29E6" w:rsidRPr="00B0253E" w:rsidRDefault="001D29E6" w:rsidP="009F4BA4">
      <w:pPr>
        <w:spacing w:line="240" w:lineRule="auto"/>
      </w:pPr>
    </w:p>
    <w:p w14:paraId="0B52800D" w14:textId="77777777" w:rsidR="001D29E6" w:rsidRPr="00B0253E" w:rsidRDefault="001D29E6" w:rsidP="009F4BA4">
      <w:pPr>
        <w:spacing w:line="240" w:lineRule="auto"/>
        <w:ind w:left="567" w:hanging="567"/>
      </w:pPr>
      <w:r w:rsidRPr="00B0253E">
        <w:rPr>
          <w:b/>
        </w:rPr>
        <w:t>4.3</w:t>
      </w:r>
      <w:r w:rsidRPr="00B0253E">
        <w:tab/>
      </w:r>
      <w:r w:rsidRPr="00B0253E">
        <w:rPr>
          <w:b/>
        </w:rPr>
        <w:t>Kontraindikácie</w:t>
      </w:r>
    </w:p>
    <w:p w14:paraId="77073136" w14:textId="77777777" w:rsidR="001D29E6" w:rsidRPr="00B0253E" w:rsidRDefault="001D29E6" w:rsidP="009F4BA4">
      <w:pPr>
        <w:spacing w:line="240" w:lineRule="auto"/>
      </w:pPr>
    </w:p>
    <w:p w14:paraId="69F7DCB0" w14:textId="77777777" w:rsidR="001D29E6" w:rsidRPr="00B0253E" w:rsidRDefault="0084654B" w:rsidP="009F4BA4">
      <w:pPr>
        <w:spacing w:line="240" w:lineRule="auto"/>
      </w:pPr>
      <w:r w:rsidRPr="00B0253E">
        <w:t xml:space="preserve">Precitlivenosť na </w:t>
      </w:r>
      <w:r w:rsidR="000A7411">
        <w:t>liečivá</w:t>
      </w:r>
      <w:r w:rsidRPr="00B0253E">
        <w:t xml:space="preserve">, na iné rastliny </w:t>
      </w:r>
      <w:r w:rsidR="00347DB8">
        <w:t xml:space="preserve">z </w:t>
      </w:r>
      <w:r w:rsidRPr="00B0253E">
        <w:t>čeľade hluchavkovitých alebo na ktorúkoľvek z pomocných látok uvedených v časti 6.1.</w:t>
      </w:r>
    </w:p>
    <w:p w14:paraId="64DA3C1A" w14:textId="77777777" w:rsidR="001D29E6" w:rsidRPr="00B0253E" w:rsidRDefault="001D29E6" w:rsidP="009F4BA4">
      <w:pPr>
        <w:spacing w:line="240" w:lineRule="auto"/>
      </w:pPr>
    </w:p>
    <w:p w14:paraId="2340AE6E" w14:textId="77777777" w:rsidR="001D29E6" w:rsidRPr="00B0253E" w:rsidRDefault="001D29E6" w:rsidP="009F4BA4">
      <w:pPr>
        <w:spacing w:line="240" w:lineRule="auto"/>
        <w:ind w:left="567" w:hanging="567"/>
        <w:rPr>
          <w:b/>
        </w:rPr>
      </w:pPr>
      <w:r w:rsidRPr="00B0253E">
        <w:rPr>
          <w:b/>
        </w:rPr>
        <w:t>4.4</w:t>
      </w:r>
      <w:r w:rsidRPr="00B0253E">
        <w:tab/>
      </w:r>
      <w:r w:rsidRPr="00B0253E">
        <w:rPr>
          <w:b/>
        </w:rPr>
        <w:t>Osobitné upozornenia a opatrenia pri používaní</w:t>
      </w:r>
    </w:p>
    <w:p w14:paraId="0370648B" w14:textId="77777777" w:rsidR="00C53ACC" w:rsidRPr="00B0253E" w:rsidRDefault="00C53ACC" w:rsidP="009F4BA4">
      <w:pPr>
        <w:spacing w:line="240" w:lineRule="auto"/>
        <w:ind w:left="567" w:hanging="567"/>
      </w:pPr>
    </w:p>
    <w:p w14:paraId="09CDCCEA" w14:textId="77777777" w:rsidR="005B1CD7" w:rsidRPr="00B0253E" w:rsidRDefault="005B1CD7" w:rsidP="005B1CD7">
      <w:pPr>
        <w:tabs>
          <w:tab w:val="clear" w:pos="567"/>
          <w:tab w:val="left" w:pos="0"/>
        </w:tabs>
        <w:spacing w:line="240" w:lineRule="auto"/>
      </w:pPr>
      <w:r w:rsidRPr="00B0253E">
        <w:t>V prípade výskytu dýchavičnosti, horúčky alebo hnisavého hlienu je potrebné poradiť sa s lekárom alebo s lekárnikom.</w:t>
      </w:r>
    </w:p>
    <w:p w14:paraId="373AEB20" w14:textId="77777777" w:rsidR="005B1CD7" w:rsidRPr="00B0253E" w:rsidRDefault="005B1CD7" w:rsidP="005B1CD7">
      <w:pPr>
        <w:tabs>
          <w:tab w:val="clear" w:pos="567"/>
          <w:tab w:val="left" w:pos="0"/>
        </w:tabs>
        <w:spacing w:line="240" w:lineRule="auto"/>
      </w:pPr>
      <w:r w:rsidRPr="00B0253E">
        <w:t>Odporúča sa opatrnosť u pacientov s gastritídou alebo žalúdočným vredom.</w:t>
      </w:r>
    </w:p>
    <w:p w14:paraId="6A5AF45A" w14:textId="2FF9B8CC" w:rsidR="006C3FD6" w:rsidRPr="00B0253E" w:rsidRDefault="006C3FD6" w:rsidP="005B1CD7">
      <w:pPr>
        <w:tabs>
          <w:tab w:val="clear" w:pos="567"/>
          <w:tab w:val="left" w:pos="0"/>
        </w:tabs>
        <w:spacing w:line="240" w:lineRule="auto"/>
      </w:pPr>
      <w:r w:rsidRPr="00B0253E">
        <w:t xml:space="preserve">Ak sa príznaky zhoršia počas užívania lieku, </w:t>
      </w:r>
      <w:r w:rsidR="006432FF">
        <w:t>je potrebné</w:t>
      </w:r>
      <w:r w:rsidR="006432FF" w:rsidRPr="00B0253E">
        <w:t xml:space="preserve"> </w:t>
      </w:r>
      <w:r w:rsidRPr="00B0253E">
        <w:t>sa poradiť s lekárom alebo lekárnikom.</w:t>
      </w:r>
    </w:p>
    <w:p w14:paraId="3E5D16B5" w14:textId="2EBE858A" w:rsidR="005B1CD7" w:rsidRPr="00B0253E" w:rsidRDefault="005B1CD7" w:rsidP="005B1CD7">
      <w:pPr>
        <w:tabs>
          <w:tab w:val="clear" w:pos="567"/>
          <w:tab w:val="left" w:pos="0"/>
        </w:tabs>
        <w:spacing w:line="240" w:lineRule="auto"/>
      </w:pPr>
      <w:r w:rsidRPr="00B0253E">
        <w:t xml:space="preserve">Tento liek obsahuje glukózu a laktózu. Pacienti so zriedkavými dedičnými problémami galaktózovej intolerancie, </w:t>
      </w:r>
      <w:r w:rsidR="002F2506">
        <w:t xml:space="preserve">celkovým </w:t>
      </w:r>
      <w:r w:rsidR="00347DB8">
        <w:t>deficit</w:t>
      </w:r>
      <w:r w:rsidR="002F2506">
        <w:t>om</w:t>
      </w:r>
      <w:r w:rsidR="00347DB8">
        <w:t xml:space="preserve"> laktázy</w:t>
      </w:r>
      <w:r w:rsidRPr="00B0253E">
        <w:t xml:space="preserve"> alebo glukózo-galaktózov</w:t>
      </w:r>
      <w:r w:rsidR="002F2506">
        <w:t>ou</w:t>
      </w:r>
      <w:r w:rsidRPr="00B0253E">
        <w:t xml:space="preserve"> malabsorpci</w:t>
      </w:r>
      <w:r w:rsidR="002F2506">
        <w:t>ou</w:t>
      </w:r>
      <w:r w:rsidRPr="00B0253E">
        <w:t xml:space="preserve"> </w:t>
      </w:r>
      <w:r w:rsidR="00347DB8">
        <w:t>nesmú</w:t>
      </w:r>
      <w:r w:rsidRPr="00B0253E">
        <w:t xml:space="preserve"> užívať tento liek. </w:t>
      </w:r>
    </w:p>
    <w:p w14:paraId="143CFAD1" w14:textId="77777777" w:rsidR="005B1CD7" w:rsidRPr="00B0253E" w:rsidRDefault="005B1CD7" w:rsidP="005B1CD7">
      <w:pPr>
        <w:tabs>
          <w:tab w:val="clear" w:pos="567"/>
          <w:tab w:val="left" w:pos="0"/>
        </w:tabs>
        <w:spacing w:line="240" w:lineRule="auto"/>
      </w:pPr>
    </w:p>
    <w:p w14:paraId="026EEE55" w14:textId="77777777" w:rsidR="00490B33" w:rsidRPr="00B0253E" w:rsidRDefault="00490B33" w:rsidP="005B1CD7">
      <w:pPr>
        <w:tabs>
          <w:tab w:val="clear" w:pos="567"/>
          <w:tab w:val="left" w:pos="0"/>
        </w:tabs>
        <w:spacing w:line="240" w:lineRule="auto"/>
      </w:pPr>
      <w:r w:rsidRPr="00B0253E">
        <w:t>Poznámka pre diabetikov:</w:t>
      </w:r>
    </w:p>
    <w:p w14:paraId="74B9F483" w14:textId="77777777" w:rsidR="00490B33" w:rsidRPr="00B0253E" w:rsidRDefault="00490B33" w:rsidP="005B1CD7">
      <w:pPr>
        <w:tabs>
          <w:tab w:val="clear" w:pos="567"/>
          <w:tab w:val="left" w:pos="0"/>
        </w:tabs>
        <w:spacing w:line="240" w:lineRule="auto"/>
      </w:pPr>
      <w:r w:rsidRPr="00B0253E">
        <w:t xml:space="preserve">Jedna filmom obalená tableta </w:t>
      </w:r>
      <w:r w:rsidR="003F3260">
        <w:t>Mucopret</w:t>
      </w:r>
      <w:r w:rsidR="006432FF">
        <w:t>u</w:t>
      </w:r>
      <w:r w:rsidRPr="00B0253E">
        <w:t xml:space="preserve"> obsahuje v priemere 0,3 </w:t>
      </w:r>
      <w:r w:rsidRPr="00EB7856">
        <w:t>g využiteľných sacharidov.</w:t>
      </w:r>
    </w:p>
    <w:p w14:paraId="1CE64A4B" w14:textId="77777777" w:rsidR="00490B33" w:rsidRPr="00B0253E" w:rsidRDefault="00490B33" w:rsidP="005B1CD7">
      <w:pPr>
        <w:tabs>
          <w:tab w:val="clear" w:pos="567"/>
          <w:tab w:val="left" w:pos="0"/>
        </w:tabs>
        <w:spacing w:line="240" w:lineRule="auto"/>
      </w:pPr>
    </w:p>
    <w:p w14:paraId="49BCDDA9" w14:textId="77777777" w:rsidR="005B1CD7" w:rsidRPr="00B0253E" w:rsidRDefault="003E445D" w:rsidP="005B1CD7">
      <w:pPr>
        <w:spacing w:line="240" w:lineRule="auto"/>
        <w:ind w:left="567" w:hanging="567"/>
        <w:rPr>
          <w:u w:val="single"/>
        </w:rPr>
      </w:pPr>
      <w:r w:rsidRPr="00B0253E">
        <w:rPr>
          <w:u w:val="single"/>
        </w:rPr>
        <w:t>Pediatrická populácia</w:t>
      </w:r>
    </w:p>
    <w:p w14:paraId="6D9081FF" w14:textId="77777777" w:rsidR="0084654B" w:rsidRPr="00B0253E" w:rsidRDefault="005B1CD7" w:rsidP="00490B33">
      <w:pPr>
        <w:tabs>
          <w:tab w:val="clear" w:pos="567"/>
        </w:tabs>
        <w:spacing w:line="240" w:lineRule="auto"/>
      </w:pPr>
      <w:r w:rsidRPr="00B0253E">
        <w:t>Užívanie u detí a dospievajúcich d</w:t>
      </w:r>
      <w:r w:rsidR="00347DB8">
        <w:t>o</w:t>
      </w:r>
      <w:r w:rsidRPr="00B0253E">
        <w:t xml:space="preserve"> 18 rokov veku ešte nebolo stanovené z dôvodu chýbajúcich </w:t>
      </w:r>
      <w:r w:rsidR="0001610A">
        <w:t>adekvátnych</w:t>
      </w:r>
      <w:r w:rsidR="0001610A" w:rsidRPr="00B0253E">
        <w:t xml:space="preserve"> </w:t>
      </w:r>
      <w:r w:rsidRPr="00B0253E">
        <w:t>údajov o účinnosti.</w:t>
      </w:r>
    </w:p>
    <w:p w14:paraId="077E9EE5" w14:textId="77777777" w:rsidR="001D29E6" w:rsidRPr="00B0253E" w:rsidRDefault="001D29E6" w:rsidP="009F4BA4">
      <w:pPr>
        <w:spacing w:line="240" w:lineRule="auto"/>
      </w:pPr>
    </w:p>
    <w:p w14:paraId="1FA27A7B" w14:textId="77777777" w:rsidR="001D29E6" w:rsidRPr="00B0253E" w:rsidRDefault="001D29E6" w:rsidP="009F4BA4">
      <w:pPr>
        <w:spacing w:line="240" w:lineRule="auto"/>
        <w:ind w:left="567" w:hanging="567"/>
      </w:pPr>
      <w:r w:rsidRPr="00B0253E">
        <w:rPr>
          <w:b/>
        </w:rPr>
        <w:t>4.5</w:t>
      </w:r>
      <w:r w:rsidRPr="00B0253E">
        <w:tab/>
      </w:r>
      <w:r w:rsidRPr="00B0253E">
        <w:rPr>
          <w:b/>
        </w:rPr>
        <w:t>Liekové a iné interakcie</w:t>
      </w:r>
    </w:p>
    <w:p w14:paraId="37417882" w14:textId="77777777" w:rsidR="001D29E6" w:rsidRPr="00B0253E" w:rsidRDefault="001D29E6" w:rsidP="009F4BA4">
      <w:pPr>
        <w:spacing w:line="240" w:lineRule="auto"/>
      </w:pPr>
    </w:p>
    <w:p w14:paraId="65B8D310" w14:textId="77777777" w:rsidR="00F408D6" w:rsidRPr="00B0253E" w:rsidRDefault="00AD1DC6" w:rsidP="009F4BA4">
      <w:pPr>
        <w:spacing w:line="240" w:lineRule="auto"/>
      </w:pPr>
      <w:r w:rsidRPr="00B0253E">
        <w:t>Neuskutočnili sa žiadne klinické interakčné štúdie.</w:t>
      </w:r>
    </w:p>
    <w:p w14:paraId="7E8603B8" w14:textId="77777777" w:rsidR="001D29E6" w:rsidRPr="00B0253E" w:rsidRDefault="001D29E6" w:rsidP="009F4BA4">
      <w:pPr>
        <w:spacing w:line="240" w:lineRule="auto"/>
      </w:pPr>
    </w:p>
    <w:p w14:paraId="7649B429" w14:textId="77777777" w:rsidR="001D29E6" w:rsidRPr="00B0253E" w:rsidRDefault="001D29E6" w:rsidP="009F4BA4">
      <w:pPr>
        <w:spacing w:line="240" w:lineRule="auto"/>
        <w:ind w:left="567" w:hanging="567"/>
      </w:pPr>
      <w:r w:rsidRPr="00B0253E">
        <w:rPr>
          <w:b/>
        </w:rPr>
        <w:t>4.6</w:t>
      </w:r>
      <w:r w:rsidRPr="00B0253E">
        <w:tab/>
      </w:r>
      <w:r w:rsidRPr="00B0253E">
        <w:rPr>
          <w:b/>
        </w:rPr>
        <w:t>Fertilita, gravidita a laktácia</w:t>
      </w:r>
    </w:p>
    <w:p w14:paraId="04916EBA" w14:textId="77777777" w:rsidR="00C020AE" w:rsidRPr="00B0253E" w:rsidRDefault="00C020AE" w:rsidP="009F4BA4">
      <w:pPr>
        <w:spacing w:line="240" w:lineRule="auto"/>
        <w:rPr>
          <w:noProof/>
          <w:szCs w:val="22"/>
          <w:u w:val="single"/>
        </w:rPr>
      </w:pPr>
    </w:p>
    <w:p w14:paraId="5A51835A" w14:textId="77777777" w:rsidR="006A6354" w:rsidRPr="00B0253E" w:rsidRDefault="006A6354" w:rsidP="009F4BA4">
      <w:pPr>
        <w:spacing w:line="240" w:lineRule="auto"/>
        <w:rPr>
          <w:noProof/>
          <w:szCs w:val="22"/>
          <w:u w:val="single"/>
        </w:rPr>
      </w:pPr>
      <w:r w:rsidRPr="00B0253E">
        <w:rPr>
          <w:noProof/>
          <w:u w:val="single"/>
        </w:rPr>
        <w:t>Gravidita</w:t>
      </w:r>
    </w:p>
    <w:p w14:paraId="0428ECDD" w14:textId="77777777" w:rsidR="006A6354" w:rsidRPr="00B0253E" w:rsidRDefault="004E0D9A" w:rsidP="009F4BA4">
      <w:pPr>
        <w:spacing w:line="240" w:lineRule="auto"/>
        <w:rPr>
          <w:noProof/>
          <w:szCs w:val="22"/>
        </w:rPr>
      </w:pPr>
      <w:r w:rsidRPr="00B0253E">
        <w:t xml:space="preserve">Bezpečnosť počas gravidity nebola stanovená. </w:t>
      </w:r>
      <w:r w:rsidR="000A7411">
        <w:t>Vzhľadom na nedostatočné údaje</w:t>
      </w:r>
      <w:r w:rsidRPr="00B0253E">
        <w:t xml:space="preserve"> sa užívanie počas gravidity neodporúča.</w:t>
      </w:r>
    </w:p>
    <w:p w14:paraId="3113939B" w14:textId="77777777" w:rsidR="004E0D9A" w:rsidRPr="00B0253E" w:rsidRDefault="004E0D9A" w:rsidP="009F4BA4">
      <w:pPr>
        <w:spacing w:line="240" w:lineRule="auto"/>
        <w:rPr>
          <w:noProof/>
          <w:szCs w:val="22"/>
        </w:rPr>
      </w:pPr>
    </w:p>
    <w:p w14:paraId="5712796C" w14:textId="77777777" w:rsidR="006A6354" w:rsidRPr="00B0253E" w:rsidRDefault="006A6354" w:rsidP="009F4BA4">
      <w:pPr>
        <w:spacing w:line="240" w:lineRule="auto"/>
        <w:rPr>
          <w:noProof/>
          <w:szCs w:val="22"/>
          <w:u w:val="single"/>
        </w:rPr>
      </w:pPr>
      <w:r w:rsidRPr="00B0253E">
        <w:rPr>
          <w:noProof/>
          <w:u w:val="single"/>
        </w:rPr>
        <w:t>Dojčenie</w:t>
      </w:r>
    </w:p>
    <w:p w14:paraId="7AC91573" w14:textId="35E7D5A4" w:rsidR="006A6354" w:rsidRPr="00B0253E" w:rsidRDefault="006A6354" w:rsidP="009F4BA4">
      <w:pPr>
        <w:spacing w:line="240" w:lineRule="auto"/>
        <w:rPr>
          <w:noProof/>
          <w:szCs w:val="22"/>
        </w:rPr>
      </w:pPr>
      <w:r w:rsidRPr="00B0253E">
        <w:t xml:space="preserve">Nie je známe, či sa </w:t>
      </w:r>
      <w:r w:rsidR="00425F95">
        <w:t>liečivá</w:t>
      </w:r>
      <w:r w:rsidRPr="00B0253E">
        <w:t xml:space="preserve"> alebo metabolity </w:t>
      </w:r>
      <w:r w:rsidR="003F3260">
        <w:t>Mucopret</w:t>
      </w:r>
      <w:r w:rsidR="006432FF">
        <w:t>u</w:t>
      </w:r>
      <w:r w:rsidRPr="00B0253E">
        <w:t xml:space="preserve"> vylučujú do ľudského mlieka. </w:t>
      </w:r>
      <w:r w:rsidR="003F3260">
        <w:t>Mucopret</w:t>
      </w:r>
      <w:r w:rsidRPr="00B0253E">
        <w:t xml:space="preserve"> by sa preto nemal užívať počas dojčenia.</w:t>
      </w:r>
    </w:p>
    <w:p w14:paraId="0F48C83A" w14:textId="77777777" w:rsidR="006A6354" w:rsidRPr="00B0253E" w:rsidRDefault="006A6354" w:rsidP="009F4BA4">
      <w:pPr>
        <w:spacing w:line="240" w:lineRule="auto"/>
        <w:rPr>
          <w:noProof/>
          <w:szCs w:val="22"/>
          <w:u w:val="single"/>
        </w:rPr>
      </w:pPr>
    </w:p>
    <w:p w14:paraId="76361ED3" w14:textId="77777777" w:rsidR="006A6354" w:rsidRPr="00B0253E" w:rsidRDefault="006A6354" w:rsidP="009F4BA4">
      <w:pPr>
        <w:spacing w:line="240" w:lineRule="auto"/>
        <w:rPr>
          <w:noProof/>
          <w:szCs w:val="22"/>
          <w:u w:val="single"/>
        </w:rPr>
      </w:pPr>
      <w:r w:rsidRPr="00B0253E">
        <w:rPr>
          <w:noProof/>
          <w:u w:val="single"/>
        </w:rPr>
        <w:t>Fertilita</w:t>
      </w:r>
    </w:p>
    <w:p w14:paraId="154988FB" w14:textId="4A1F7FB5" w:rsidR="006A6354" w:rsidRPr="005D2893" w:rsidRDefault="004E0D9A" w:rsidP="008A7B64">
      <w:pPr>
        <w:tabs>
          <w:tab w:val="clear" w:pos="567"/>
        </w:tabs>
        <w:spacing w:line="240" w:lineRule="auto"/>
        <w:rPr>
          <w:noProof/>
          <w:szCs w:val="22"/>
        </w:rPr>
      </w:pPr>
      <w:r w:rsidRPr="005D2893">
        <w:rPr>
          <w:noProof/>
        </w:rPr>
        <w:t xml:space="preserve">Nie sú k dispozícii údaje týkajúce sa </w:t>
      </w:r>
      <w:r w:rsidR="006432FF">
        <w:rPr>
          <w:noProof/>
        </w:rPr>
        <w:t xml:space="preserve">účinkov na ľudskú </w:t>
      </w:r>
      <w:r w:rsidRPr="005D2893">
        <w:rPr>
          <w:noProof/>
        </w:rPr>
        <w:t>fertilit</w:t>
      </w:r>
      <w:r w:rsidR="006432FF">
        <w:rPr>
          <w:noProof/>
        </w:rPr>
        <w:t>u.</w:t>
      </w:r>
    </w:p>
    <w:p w14:paraId="4118B045" w14:textId="77777777" w:rsidR="008A7B64" w:rsidRPr="00B0253E" w:rsidRDefault="008A7B64" w:rsidP="009F4BA4">
      <w:pPr>
        <w:spacing w:line="240" w:lineRule="auto"/>
        <w:ind w:left="567" w:hanging="567"/>
        <w:rPr>
          <w:b/>
        </w:rPr>
      </w:pPr>
    </w:p>
    <w:p w14:paraId="6B2F0B8C" w14:textId="77777777" w:rsidR="001D29E6" w:rsidRPr="00B0253E" w:rsidRDefault="001D29E6" w:rsidP="009F4BA4">
      <w:pPr>
        <w:spacing w:line="240" w:lineRule="auto"/>
        <w:ind w:left="567" w:hanging="567"/>
      </w:pPr>
      <w:r w:rsidRPr="00B0253E">
        <w:rPr>
          <w:b/>
        </w:rPr>
        <w:t>4.7</w:t>
      </w:r>
      <w:r w:rsidRPr="00B0253E">
        <w:tab/>
      </w:r>
      <w:r w:rsidRPr="00B0253E">
        <w:rPr>
          <w:b/>
        </w:rPr>
        <w:t>Ovplyvnenie schopnosti viesť vozidlá a obsluhovať stroje</w:t>
      </w:r>
    </w:p>
    <w:p w14:paraId="06DAFAD1" w14:textId="77777777" w:rsidR="001D29E6" w:rsidRPr="00B0253E" w:rsidRDefault="001D29E6" w:rsidP="009F4BA4">
      <w:pPr>
        <w:spacing w:line="240" w:lineRule="auto"/>
      </w:pPr>
    </w:p>
    <w:p w14:paraId="19D4C845" w14:textId="35730FDB" w:rsidR="008A7B64" w:rsidRPr="00B0253E" w:rsidRDefault="003F3260" w:rsidP="009F4BA4">
      <w:pPr>
        <w:spacing w:line="240" w:lineRule="auto"/>
      </w:pPr>
      <w:r>
        <w:t>Mucopret</w:t>
      </w:r>
      <w:r w:rsidR="00EB0E5E" w:rsidRPr="00B0253E">
        <w:t xml:space="preserve"> nemá žiadny alebo má zanedbateľný vplyv na schopnosť viesť vozidlá a obsluhovať stroje.</w:t>
      </w:r>
    </w:p>
    <w:p w14:paraId="1313B637" w14:textId="77777777" w:rsidR="008A7B64" w:rsidRPr="00B0253E" w:rsidRDefault="008A7B64" w:rsidP="009F4BA4">
      <w:pPr>
        <w:spacing w:line="240" w:lineRule="auto"/>
      </w:pPr>
    </w:p>
    <w:p w14:paraId="764229D4" w14:textId="77777777" w:rsidR="001D29E6" w:rsidRPr="00B0253E" w:rsidRDefault="001D29E6" w:rsidP="009F4BA4">
      <w:pPr>
        <w:numPr>
          <w:ilvl w:val="1"/>
          <w:numId w:val="10"/>
        </w:numPr>
        <w:spacing w:line="240" w:lineRule="auto"/>
        <w:rPr>
          <w:b/>
        </w:rPr>
      </w:pPr>
      <w:r w:rsidRPr="00B0253E">
        <w:rPr>
          <w:b/>
        </w:rPr>
        <w:t>Nežiaduce účinky</w:t>
      </w:r>
    </w:p>
    <w:p w14:paraId="634B9FA7" w14:textId="77777777" w:rsidR="001D29E6" w:rsidRPr="00B0253E" w:rsidRDefault="001D29E6" w:rsidP="009F4BA4">
      <w:pPr>
        <w:spacing w:line="240" w:lineRule="auto"/>
      </w:pPr>
    </w:p>
    <w:p w14:paraId="6738AA66" w14:textId="77777777" w:rsidR="003475E2" w:rsidRPr="00B0253E" w:rsidRDefault="003475E2" w:rsidP="00FA1C23">
      <w:pPr>
        <w:spacing w:line="240" w:lineRule="auto"/>
      </w:pPr>
      <w:r w:rsidRPr="00B0253E">
        <w:t>Poruchy imunitného systému</w:t>
      </w:r>
    </w:p>
    <w:p w14:paraId="03EDF801" w14:textId="77777777" w:rsidR="003475E2" w:rsidRPr="00B0253E" w:rsidRDefault="003475E2" w:rsidP="00FA1C23">
      <w:pPr>
        <w:spacing w:line="240" w:lineRule="auto"/>
      </w:pPr>
      <w:r w:rsidRPr="00B0253E">
        <w:t>veľmi zriedkavé (&lt;</w:t>
      </w:r>
      <w:r w:rsidR="006432FF">
        <w:t xml:space="preserve"> </w:t>
      </w:r>
      <w:r w:rsidRPr="00B0253E">
        <w:t>1/10 000): Reakcie z precitlivenosti, napríklad dýchavičnosť, vyrážka, žihľavka, svrbenie tváre, úst a/alebo hltana.</w:t>
      </w:r>
    </w:p>
    <w:p w14:paraId="19FBD46A" w14:textId="77777777" w:rsidR="007C7B15" w:rsidRDefault="007C7B15" w:rsidP="00FA1C23">
      <w:pPr>
        <w:spacing w:line="240" w:lineRule="auto"/>
      </w:pPr>
    </w:p>
    <w:p w14:paraId="5B4FF5E2" w14:textId="77777777" w:rsidR="003475E2" w:rsidRPr="00B0253E" w:rsidRDefault="00425F95" w:rsidP="00FA1C23">
      <w:pPr>
        <w:spacing w:line="240" w:lineRule="auto"/>
      </w:pPr>
      <w:r>
        <w:t>P</w:t>
      </w:r>
      <w:r w:rsidR="003475E2" w:rsidRPr="00B0253E">
        <w:t>oruchy</w:t>
      </w:r>
      <w:r>
        <w:t xml:space="preserve"> gastrointestinálneho traktu</w:t>
      </w:r>
    </w:p>
    <w:p w14:paraId="2598CFCC" w14:textId="1A341AE1" w:rsidR="00FA1C23" w:rsidRPr="00B0253E" w:rsidRDefault="00425F95" w:rsidP="00FA1C23">
      <w:pPr>
        <w:spacing w:line="240" w:lineRule="auto"/>
      </w:pPr>
      <w:r>
        <w:t>menej časté</w:t>
      </w:r>
      <w:r w:rsidRPr="00B0253E">
        <w:t xml:space="preserve"> </w:t>
      </w:r>
      <w:r w:rsidR="003475E2" w:rsidRPr="00B0253E">
        <w:t>(≥ 1/1 000 až &lt; 1/100): Gastrointestinálne poruchy, napríklad kŕče, nau</w:t>
      </w:r>
      <w:r w:rsidR="008D634B">
        <w:t>z</w:t>
      </w:r>
      <w:r w:rsidR="003475E2" w:rsidRPr="00B0253E">
        <w:t>ea, vracanie a hnačk</w:t>
      </w:r>
      <w:r w:rsidR="00447CAC">
        <w:t>a</w:t>
      </w:r>
      <w:r w:rsidR="003475E2" w:rsidRPr="00B0253E">
        <w:t>.</w:t>
      </w:r>
    </w:p>
    <w:p w14:paraId="72687FC7" w14:textId="77777777" w:rsidR="00340774" w:rsidRPr="00B0253E" w:rsidRDefault="00340774" w:rsidP="00FA1C23">
      <w:pPr>
        <w:spacing w:line="240" w:lineRule="auto"/>
      </w:pPr>
    </w:p>
    <w:p w14:paraId="0B33AE4E" w14:textId="6D10A632" w:rsidR="00FA1C23" w:rsidRPr="00B0253E" w:rsidRDefault="00FA1C23" w:rsidP="00FA1C23">
      <w:pPr>
        <w:spacing w:line="240" w:lineRule="auto"/>
      </w:pPr>
      <w:r w:rsidRPr="00B0253E">
        <w:t xml:space="preserve">Pri prvých príznakoch hypersenzitívnej reakcie sa </w:t>
      </w:r>
      <w:r w:rsidR="003F3260">
        <w:t>Mucopret</w:t>
      </w:r>
      <w:r w:rsidRPr="00B0253E">
        <w:t xml:space="preserve"> nesmie znovu užiť.</w:t>
      </w:r>
    </w:p>
    <w:p w14:paraId="58B299BC" w14:textId="77777777" w:rsidR="00FA1C23" w:rsidRPr="00B0253E" w:rsidRDefault="00FA1C23" w:rsidP="00FA1C23">
      <w:pPr>
        <w:spacing w:line="240" w:lineRule="auto"/>
      </w:pPr>
    </w:p>
    <w:p w14:paraId="56C0B25D" w14:textId="77777777" w:rsidR="00F00876" w:rsidRPr="00B0253E" w:rsidRDefault="00F00876" w:rsidP="009F4BA4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B0253E">
        <w:rPr>
          <w:u w:val="single"/>
        </w:rPr>
        <w:t>Hlásenie podozrení na nežiaduce reakcie</w:t>
      </w:r>
    </w:p>
    <w:p w14:paraId="3987774C" w14:textId="77777777" w:rsidR="00F00876" w:rsidRPr="00B0253E" w:rsidRDefault="00F00876" w:rsidP="009F4BA4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B0253E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5D2893">
        <w:rPr>
          <w:shd w:val="clear" w:color="auto" w:fill="BFBFBF" w:themeFill="background1" w:themeFillShade="BF"/>
        </w:rPr>
        <w:t xml:space="preserve">národné centrum hlásenia uvedené v </w:t>
      </w:r>
      <w:hyperlink r:id="rId8">
        <w:r w:rsidRPr="005D2893">
          <w:rPr>
            <w:rStyle w:val="Hypertextovprepojenie"/>
            <w:shd w:val="clear" w:color="auto" w:fill="BFBFBF" w:themeFill="background1" w:themeFillShade="BF"/>
          </w:rPr>
          <w:t>prílohe V</w:t>
        </w:r>
      </w:hyperlink>
      <w:r w:rsidRPr="00B0253E">
        <w:t>.</w:t>
      </w:r>
    </w:p>
    <w:p w14:paraId="1CF86C76" w14:textId="77777777" w:rsidR="00DC1818" w:rsidRPr="00B0253E" w:rsidRDefault="00DC1818" w:rsidP="00DC1818">
      <w:pPr>
        <w:spacing w:line="240" w:lineRule="auto"/>
        <w:rPr>
          <w:b/>
        </w:rPr>
      </w:pPr>
    </w:p>
    <w:p w14:paraId="0165BA25" w14:textId="77777777" w:rsidR="001D29E6" w:rsidRPr="00B0253E" w:rsidRDefault="001D29E6" w:rsidP="00DC1818">
      <w:pPr>
        <w:spacing w:line="240" w:lineRule="auto"/>
      </w:pPr>
      <w:r w:rsidRPr="00B0253E">
        <w:rPr>
          <w:b/>
        </w:rPr>
        <w:t>4.9</w:t>
      </w:r>
      <w:r w:rsidRPr="00B0253E">
        <w:tab/>
      </w:r>
      <w:r w:rsidRPr="00B0253E">
        <w:rPr>
          <w:b/>
        </w:rPr>
        <w:t>Predávkovanie</w:t>
      </w:r>
    </w:p>
    <w:p w14:paraId="36A2D7A9" w14:textId="77777777" w:rsidR="001D29E6" w:rsidRPr="00B0253E" w:rsidRDefault="001D29E6" w:rsidP="009F4BA4">
      <w:pPr>
        <w:spacing w:line="240" w:lineRule="auto"/>
      </w:pPr>
    </w:p>
    <w:p w14:paraId="20384D68" w14:textId="77777777" w:rsidR="005E6B83" w:rsidRPr="00B0253E" w:rsidRDefault="005E6B83" w:rsidP="00EB7F91">
      <w:pPr>
        <w:spacing w:line="240" w:lineRule="auto"/>
      </w:pPr>
      <w:r w:rsidRPr="00B0253E">
        <w:t>Nebol nahlásený žiadny prípad predávkovania.</w:t>
      </w:r>
    </w:p>
    <w:p w14:paraId="2AFE5A03" w14:textId="77777777" w:rsidR="00EB7F91" w:rsidRPr="00B0253E" w:rsidRDefault="00EB7F91" w:rsidP="00EB7F91">
      <w:pPr>
        <w:spacing w:line="240" w:lineRule="auto"/>
      </w:pPr>
      <w:r w:rsidRPr="00B0253E">
        <w:t>Predávkovanie môže viesť k žalúdočným ťažkostiam, vracaniu alebo hnačke.</w:t>
      </w:r>
    </w:p>
    <w:p w14:paraId="7ACFE6A6" w14:textId="505E4819" w:rsidR="00EB7F91" w:rsidRPr="00B0253E" w:rsidRDefault="00EB7F91" w:rsidP="00EB7F91">
      <w:pPr>
        <w:spacing w:line="240" w:lineRule="auto"/>
      </w:pPr>
      <w:r w:rsidRPr="00B0253E">
        <w:t xml:space="preserve">Liečba predávkovania: V prípade predávkovania </w:t>
      </w:r>
      <w:r w:rsidR="00447CAC">
        <w:t>je potrebné</w:t>
      </w:r>
      <w:r w:rsidR="00447CAC" w:rsidRPr="00B0253E">
        <w:t xml:space="preserve"> </w:t>
      </w:r>
      <w:r w:rsidRPr="00B0253E">
        <w:t xml:space="preserve">začať </w:t>
      </w:r>
      <w:r w:rsidR="00BB7B25">
        <w:t xml:space="preserve">symptomatickú </w:t>
      </w:r>
      <w:r w:rsidRPr="00B0253E">
        <w:t>liečbu.</w:t>
      </w:r>
    </w:p>
    <w:p w14:paraId="1ACD6752" w14:textId="77777777" w:rsidR="002826DD" w:rsidRPr="00B0253E" w:rsidRDefault="002826DD" w:rsidP="009F4BA4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501644B" w14:textId="77777777" w:rsidR="001D29E6" w:rsidRPr="00B0253E" w:rsidRDefault="001D29E6" w:rsidP="009F4BA4">
      <w:pPr>
        <w:spacing w:line="240" w:lineRule="auto"/>
      </w:pPr>
    </w:p>
    <w:p w14:paraId="3171713B" w14:textId="77777777" w:rsidR="001D29E6" w:rsidRPr="00B0253E" w:rsidRDefault="001D29E6" w:rsidP="002B7782">
      <w:pPr>
        <w:spacing w:line="240" w:lineRule="auto"/>
        <w:ind w:left="567" w:hanging="567"/>
      </w:pPr>
      <w:r w:rsidRPr="00B0253E">
        <w:rPr>
          <w:b/>
        </w:rPr>
        <w:t>5.</w:t>
      </w:r>
      <w:r w:rsidRPr="00B0253E">
        <w:tab/>
      </w:r>
      <w:r w:rsidRPr="00B0253E">
        <w:rPr>
          <w:b/>
        </w:rPr>
        <w:t>FARMAKOLOGICKÉ VLASTNOSTI</w:t>
      </w:r>
    </w:p>
    <w:p w14:paraId="6811B20F" w14:textId="77777777" w:rsidR="001D29E6" w:rsidRPr="00B0253E" w:rsidRDefault="001D29E6" w:rsidP="009F4BA4">
      <w:pPr>
        <w:spacing w:line="240" w:lineRule="auto"/>
        <w:rPr>
          <w:b/>
        </w:rPr>
      </w:pPr>
    </w:p>
    <w:p w14:paraId="09E8CA2F" w14:textId="77777777" w:rsidR="001D29E6" w:rsidRPr="00B0253E" w:rsidRDefault="001D29E6" w:rsidP="009F4BA4">
      <w:pPr>
        <w:spacing w:line="240" w:lineRule="auto"/>
        <w:ind w:left="567" w:hanging="567"/>
      </w:pPr>
      <w:r w:rsidRPr="00B0253E">
        <w:rPr>
          <w:b/>
        </w:rPr>
        <w:t xml:space="preserve">5.1 </w:t>
      </w:r>
      <w:r w:rsidRPr="00B0253E">
        <w:tab/>
      </w:r>
      <w:r w:rsidRPr="00B0253E">
        <w:rPr>
          <w:b/>
        </w:rPr>
        <w:t>Farmakodynamické vlastnosti</w:t>
      </w:r>
    </w:p>
    <w:p w14:paraId="42A133A8" w14:textId="77777777" w:rsidR="001D29E6" w:rsidRPr="00B0253E" w:rsidRDefault="001D29E6" w:rsidP="009F4BA4">
      <w:pPr>
        <w:spacing w:line="240" w:lineRule="auto"/>
      </w:pPr>
    </w:p>
    <w:p w14:paraId="3D4791EB" w14:textId="4C00CA10" w:rsidR="00BB7B25" w:rsidRDefault="007B651C" w:rsidP="007B651C">
      <w:pPr>
        <w:spacing w:line="240" w:lineRule="auto"/>
      </w:pPr>
      <w:r w:rsidRPr="00B0253E">
        <w:t>Farmakoterapeutická skupina: respiračný systém</w:t>
      </w:r>
      <w:r w:rsidR="00E93F7E">
        <w:t>;</w:t>
      </w:r>
      <w:r w:rsidRPr="00B0253E">
        <w:t xml:space="preserve"> </w:t>
      </w:r>
    </w:p>
    <w:p w14:paraId="7DB5AEB2" w14:textId="56B76663" w:rsidR="00BB7B25" w:rsidRPr="00B0253E" w:rsidRDefault="007B651C" w:rsidP="007B651C">
      <w:pPr>
        <w:spacing w:line="240" w:lineRule="auto"/>
      </w:pPr>
      <w:r w:rsidRPr="00B0253E">
        <w:t>ATC kód: R05C</w:t>
      </w:r>
    </w:p>
    <w:p w14:paraId="3DFBEA0F" w14:textId="77777777" w:rsidR="008E6A79" w:rsidRPr="00B0253E" w:rsidRDefault="008E6A79" w:rsidP="004F61DD">
      <w:pPr>
        <w:spacing w:line="240" w:lineRule="auto"/>
      </w:pPr>
      <w:r w:rsidRPr="00B0253E">
        <w:t xml:space="preserve">Mechanizmus účinku: </w:t>
      </w:r>
    </w:p>
    <w:p w14:paraId="044F23FC" w14:textId="77777777" w:rsidR="007B651C" w:rsidRPr="00B0253E" w:rsidRDefault="007B651C" w:rsidP="004F61DD">
      <w:pPr>
        <w:spacing w:line="240" w:lineRule="auto"/>
        <w:rPr>
          <w:vertAlign w:val="superscript"/>
        </w:rPr>
      </w:pPr>
      <w:r w:rsidRPr="00B0253E">
        <w:t>M</w:t>
      </w:r>
      <w:r w:rsidR="002B7782" w:rsidRPr="00B0253E">
        <w:t>echanizmus účinku nie je známy.</w:t>
      </w:r>
    </w:p>
    <w:p w14:paraId="6B24288D" w14:textId="77777777" w:rsidR="00EC1415" w:rsidRPr="00B0253E" w:rsidRDefault="00EC1415" w:rsidP="009F4BA4">
      <w:pPr>
        <w:spacing w:line="240" w:lineRule="auto"/>
      </w:pPr>
    </w:p>
    <w:p w14:paraId="6534974A" w14:textId="77777777" w:rsidR="001D29E6" w:rsidRPr="00B0253E" w:rsidRDefault="001D29E6" w:rsidP="009F4BA4">
      <w:pPr>
        <w:spacing w:line="240" w:lineRule="auto"/>
        <w:ind w:left="567" w:hanging="567"/>
        <w:rPr>
          <w:b/>
        </w:rPr>
      </w:pPr>
      <w:r w:rsidRPr="00B0253E">
        <w:rPr>
          <w:b/>
        </w:rPr>
        <w:t>5.2</w:t>
      </w:r>
      <w:r w:rsidRPr="00B0253E">
        <w:tab/>
      </w:r>
      <w:r w:rsidRPr="00B0253E">
        <w:rPr>
          <w:b/>
        </w:rPr>
        <w:t>Farmakodynamické účinky</w:t>
      </w:r>
    </w:p>
    <w:p w14:paraId="2D9CEBA5" w14:textId="77777777" w:rsidR="00C53ACC" w:rsidRPr="00B0253E" w:rsidRDefault="00C53ACC" w:rsidP="009F4BA4">
      <w:pPr>
        <w:spacing w:line="240" w:lineRule="auto"/>
        <w:ind w:left="567" w:hanging="567"/>
      </w:pPr>
    </w:p>
    <w:p w14:paraId="7808D2C8" w14:textId="77777777" w:rsidR="00840860" w:rsidRPr="00B0253E" w:rsidRDefault="00840860" w:rsidP="005318E6">
      <w:r w:rsidRPr="00B0253E">
        <w:t>Údaje nie sú k dispozícii.</w:t>
      </w:r>
    </w:p>
    <w:p w14:paraId="058B4B8E" w14:textId="77777777" w:rsidR="00EC1415" w:rsidRPr="00B0253E" w:rsidRDefault="00EC1415" w:rsidP="009F4BA4">
      <w:pPr>
        <w:spacing w:line="240" w:lineRule="auto"/>
        <w:rPr>
          <w:b/>
        </w:rPr>
      </w:pPr>
    </w:p>
    <w:p w14:paraId="4BDE34AB" w14:textId="77777777" w:rsidR="001D29E6" w:rsidRPr="00B0253E" w:rsidRDefault="001D29E6" w:rsidP="009F4BA4">
      <w:pPr>
        <w:spacing w:line="240" w:lineRule="auto"/>
        <w:ind w:left="567" w:hanging="567"/>
        <w:rPr>
          <w:b/>
        </w:rPr>
      </w:pPr>
      <w:r w:rsidRPr="00B0253E">
        <w:rPr>
          <w:b/>
        </w:rPr>
        <w:t>5.3</w:t>
      </w:r>
      <w:r w:rsidRPr="00B0253E">
        <w:tab/>
      </w:r>
      <w:r w:rsidRPr="00B0253E">
        <w:rPr>
          <w:b/>
        </w:rPr>
        <w:t>Predklinické údaje o bezpečnosti</w:t>
      </w:r>
    </w:p>
    <w:p w14:paraId="269752CC" w14:textId="77777777" w:rsidR="00EC1415" w:rsidRPr="00B0253E" w:rsidRDefault="00EC1415" w:rsidP="009F4BA4">
      <w:pPr>
        <w:spacing w:line="240" w:lineRule="auto"/>
        <w:ind w:left="567" w:hanging="567"/>
      </w:pPr>
    </w:p>
    <w:p w14:paraId="16502B50" w14:textId="77777777" w:rsidR="00EE5DB4" w:rsidRPr="00B0253E" w:rsidRDefault="003134E9" w:rsidP="00E13235">
      <w:pPr>
        <w:spacing w:line="240" w:lineRule="auto"/>
      </w:pPr>
      <w:r>
        <w:t>Predklinické</w:t>
      </w:r>
      <w:r w:rsidR="00EE5DB4" w:rsidRPr="00B0253E">
        <w:t xml:space="preserve"> údaje získané na základe obvyklých farmakologických štúdií bezpečnosti, akútnej toxicity, toxicity po opakovanom podávaní, genotoxicity a reprodukčnej toxicity a vývinu neodhalili žiadne osobitné riziko pre ľudí.</w:t>
      </w:r>
    </w:p>
    <w:p w14:paraId="1C9A4F51" w14:textId="77777777" w:rsidR="004C3BCE" w:rsidRPr="00B0253E" w:rsidRDefault="004C3BCE" w:rsidP="009F4BA4">
      <w:pPr>
        <w:spacing w:line="240" w:lineRule="auto"/>
      </w:pPr>
    </w:p>
    <w:p w14:paraId="66E19331" w14:textId="77777777" w:rsidR="004C3BCE" w:rsidRPr="00B0253E" w:rsidRDefault="00264A9F" w:rsidP="009F4BA4">
      <w:pPr>
        <w:spacing w:line="240" w:lineRule="auto"/>
      </w:pPr>
      <w:r w:rsidRPr="00B0253E">
        <w:t>Testy karcinogenicity neboli vykonané.</w:t>
      </w:r>
    </w:p>
    <w:p w14:paraId="76D8A48D" w14:textId="77777777" w:rsidR="001D29E6" w:rsidRPr="00B0253E" w:rsidRDefault="001D29E6" w:rsidP="009F4BA4">
      <w:pPr>
        <w:spacing w:line="240" w:lineRule="auto"/>
        <w:rPr>
          <w:b/>
        </w:rPr>
      </w:pPr>
    </w:p>
    <w:p w14:paraId="702DA8AF" w14:textId="77777777" w:rsidR="001D29E6" w:rsidRPr="00B0253E" w:rsidRDefault="001D29E6" w:rsidP="009F4BA4">
      <w:pPr>
        <w:spacing w:line="240" w:lineRule="auto"/>
        <w:rPr>
          <w:b/>
        </w:rPr>
      </w:pPr>
    </w:p>
    <w:p w14:paraId="22AD3E55" w14:textId="77777777" w:rsidR="001D29E6" w:rsidRPr="00B0253E" w:rsidRDefault="001D29E6" w:rsidP="009F4BA4">
      <w:pPr>
        <w:spacing w:line="240" w:lineRule="auto"/>
        <w:ind w:left="567" w:hanging="567"/>
        <w:rPr>
          <w:b/>
        </w:rPr>
      </w:pPr>
      <w:r w:rsidRPr="00B0253E">
        <w:rPr>
          <w:b/>
        </w:rPr>
        <w:t>6.</w:t>
      </w:r>
      <w:r w:rsidRPr="00B0253E">
        <w:tab/>
      </w:r>
      <w:r w:rsidRPr="00B0253E">
        <w:rPr>
          <w:b/>
        </w:rPr>
        <w:t>FARMACEUTICKÉ INFORMÁCIE</w:t>
      </w:r>
    </w:p>
    <w:p w14:paraId="6B3D06FD" w14:textId="77777777" w:rsidR="001D29E6" w:rsidRPr="00B0253E" w:rsidRDefault="001D29E6" w:rsidP="009F4BA4">
      <w:pPr>
        <w:spacing w:line="240" w:lineRule="auto"/>
        <w:rPr>
          <w:b/>
        </w:rPr>
      </w:pPr>
    </w:p>
    <w:p w14:paraId="1F41F606" w14:textId="77777777" w:rsidR="001D29E6" w:rsidRPr="00B0253E" w:rsidRDefault="001D29E6" w:rsidP="009F4BA4">
      <w:pPr>
        <w:spacing w:line="240" w:lineRule="auto"/>
        <w:ind w:left="567" w:hanging="567"/>
        <w:rPr>
          <w:b/>
        </w:rPr>
      </w:pPr>
      <w:r w:rsidRPr="00B0253E">
        <w:rPr>
          <w:b/>
        </w:rPr>
        <w:t>6.1</w:t>
      </w:r>
      <w:r w:rsidRPr="00B0253E">
        <w:tab/>
      </w:r>
      <w:r w:rsidRPr="00B0253E">
        <w:rPr>
          <w:b/>
        </w:rPr>
        <w:t>Zoznam pomocných látok</w:t>
      </w:r>
    </w:p>
    <w:p w14:paraId="4087FD0D" w14:textId="77777777" w:rsidR="001D29E6" w:rsidRPr="00B0253E" w:rsidRDefault="001D29E6" w:rsidP="009F4BA4">
      <w:pPr>
        <w:spacing w:line="240" w:lineRule="auto"/>
      </w:pPr>
    </w:p>
    <w:p w14:paraId="3C03B064" w14:textId="77777777" w:rsidR="009C0D3A" w:rsidRPr="00B0253E" w:rsidRDefault="009C0D3A" w:rsidP="009C0D3A">
      <w:pPr>
        <w:spacing w:line="240" w:lineRule="auto"/>
      </w:pPr>
      <w:r w:rsidRPr="00B0253E">
        <w:t>mikrokryštalická celulóza</w:t>
      </w:r>
    </w:p>
    <w:p w14:paraId="7492CFE8" w14:textId="77777777" w:rsidR="009C0D3A" w:rsidRPr="00B0253E" w:rsidRDefault="009C0D3A" w:rsidP="009C0D3A">
      <w:pPr>
        <w:spacing w:line="240" w:lineRule="auto"/>
      </w:pPr>
      <w:r w:rsidRPr="00B0253E">
        <w:t>monohydrát laktózy</w:t>
      </w:r>
    </w:p>
    <w:p w14:paraId="3F3EE07B" w14:textId="54DFC213" w:rsidR="009C0D3A" w:rsidRPr="00B0253E" w:rsidRDefault="009C0D3A" w:rsidP="002B7782">
      <w:pPr>
        <w:spacing w:line="240" w:lineRule="auto"/>
      </w:pPr>
      <w:r w:rsidRPr="00B0253E">
        <w:t>tekutá glukóza</w:t>
      </w:r>
      <w:r w:rsidR="00E93F7E">
        <w:t xml:space="preserve"> disperzne</w:t>
      </w:r>
      <w:r w:rsidRPr="00B0253E">
        <w:t xml:space="preserve"> sušená </w:t>
      </w:r>
    </w:p>
    <w:p w14:paraId="6A36A96B" w14:textId="77777777" w:rsidR="009C0D3A" w:rsidRPr="00B0253E" w:rsidRDefault="009C0D3A" w:rsidP="002B7782">
      <w:pPr>
        <w:spacing w:line="240" w:lineRule="auto"/>
      </w:pPr>
      <w:r w:rsidRPr="00B0253E">
        <w:t xml:space="preserve">koloidný bezvodý </w:t>
      </w:r>
      <w:r w:rsidR="003134E9">
        <w:t xml:space="preserve">oxid </w:t>
      </w:r>
      <w:r w:rsidRPr="00B0253E">
        <w:t>krem</w:t>
      </w:r>
      <w:r w:rsidR="003134E9">
        <w:t>ičitý</w:t>
      </w:r>
    </w:p>
    <w:p w14:paraId="4E0E6CCD" w14:textId="27253223" w:rsidR="009C0D3A" w:rsidRPr="00B0253E" w:rsidRDefault="009C0D3A" w:rsidP="009C0D3A">
      <w:pPr>
        <w:spacing w:line="240" w:lineRule="auto"/>
      </w:pPr>
      <w:r w:rsidRPr="00B0253E">
        <w:t>polyakrylátová disperzia 30%</w:t>
      </w:r>
    </w:p>
    <w:p w14:paraId="1A70C2C6" w14:textId="77777777" w:rsidR="009C0D3A" w:rsidRPr="00B0253E" w:rsidRDefault="003134E9" w:rsidP="009C0D3A">
      <w:pPr>
        <w:spacing w:line="240" w:lineRule="auto"/>
      </w:pPr>
      <w:r>
        <w:t>k</w:t>
      </w:r>
      <w:r w:rsidRPr="00B0253E">
        <w:t>rospovid</w:t>
      </w:r>
      <w:r>
        <w:t>ó</w:t>
      </w:r>
      <w:r w:rsidRPr="00B0253E">
        <w:t>n</w:t>
      </w:r>
    </w:p>
    <w:p w14:paraId="72ECF8A6" w14:textId="77777777" w:rsidR="009C0D3A" w:rsidRPr="00B0253E" w:rsidRDefault="009C0D3A" w:rsidP="009C0D3A">
      <w:pPr>
        <w:spacing w:line="240" w:lineRule="auto"/>
      </w:pPr>
      <w:r w:rsidRPr="00B0253E">
        <w:t>hypromelóza</w:t>
      </w:r>
    </w:p>
    <w:p w14:paraId="080BE687" w14:textId="77777777" w:rsidR="009C0D3A" w:rsidRPr="00B0253E" w:rsidRDefault="009C0D3A" w:rsidP="009C0D3A">
      <w:pPr>
        <w:spacing w:line="240" w:lineRule="auto"/>
      </w:pPr>
      <w:r w:rsidRPr="00B0253E">
        <w:t>mastenec</w:t>
      </w:r>
    </w:p>
    <w:p w14:paraId="4B978403" w14:textId="77777777" w:rsidR="009C0D3A" w:rsidRPr="00B0253E" w:rsidRDefault="009C0D3A" w:rsidP="009C0D3A">
      <w:pPr>
        <w:spacing w:line="240" w:lineRule="auto"/>
      </w:pPr>
      <w:r w:rsidRPr="00B0253E">
        <w:t>povidón K 25</w:t>
      </w:r>
    </w:p>
    <w:p w14:paraId="0EB03F0F" w14:textId="59013D62" w:rsidR="009C0D3A" w:rsidRPr="00B0253E" w:rsidRDefault="009C0D3A" w:rsidP="009C0D3A">
      <w:pPr>
        <w:spacing w:line="240" w:lineRule="auto"/>
      </w:pPr>
      <w:r w:rsidRPr="00B0253E">
        <w:t>stear</w:t>
      </w:r>
      <w:r w:rsidR="00E93F7E">
        <w:t>an</w:t>
      </w:r>
      <w:r w:rsidRPr="00B0253E">
        <w:t xml:space="preserve"> horečnatý</w:t>
      </w:r>
    </w:p>
    <w:p w14:paraId="1A6FDF5E" w14:textId="77777777" w:rsidR="009C0D3A" w:rsidRPr="00B0253E" w:rsidRDefault="009C0D3A" w:rsidP="009C0D3A">
      <w:pPr>
        <w:spacing w:line="240" w:lineRule="auto"/>
      </w:pPr>
      <w:r w:rsidRPr="00B0253E">
        <w:t>oxid titaničitý (E171)</w:t>
      </w:r>
    </w:p>
    <w:p w14:paraId="50D8E679" w14:textId="77777777" w:rsidR="009C0D3A" w:rsidRPr="00B0253E" w:rsidRDefault="009C0D3A" w:rsidP="009C0D3A">
      <w:pPr>
        <w:spacing w:line="240" w:lineRule="auto"/>
      </w:pPr>
      <w:r w:rsidRPr="00B0253E">
        <w:t>propylénglykol</w:t>
      </w:r>
    </w:p>
    <w:p w14:paraId="2C0E9B2E" w14:textId="4534E9A4" w:rsidR="009C0D3A" w:rsidRPr="00B0253E" w:rsidRDefault="00D7763B" w:rsidP="009C0D3A">
      <w:pPr>
        <w:spacing w:line="240" w:lineRule="auto"/>
      </w:pPr>
      <w:r>
        <w:t>„</w:t>
      </w:r>
      <w:r w:rsidR="00217860" w:rsidRPr="00B0253E">
        <w:t>mätová aróma</w:t>
      </w:r>
    </w:p>
    <w:p w14:paraId="7516646D" w14:textId="3D41FF32" w:rsidR="00895359" w:rsidRPr="00B0253E" w:rsidRDefault="00895359" w:rsidP="00217860">
      <w:pPr>
        <w:spacing w:line="240" w:lineRule="auto"/>
        <w:ind w:left="284"/>
      </w:pPr>
      <w:r w:rsidRPr="00B0253E">
        <w:t>arabská guma</w:t>
      </w:r>
    </w:p>
    <w:p w14:paraId="63FE50AD" w14:textId="41A6F641" w:rsidR="00895359" w:rsidRPr="00B0253E" w:rsidRDefault="00895359" w:rsidP="00217860">
      <w:pPr>
        <w:spacing w:line="240" w:lineRule="auto"/>
        <w:ind w:left="284"/>
      </w:pPr>
      <w:r w:rsidRPr="00B0253E">
        <w:t>maltodextrín</w:t>
      </w:r>
    </w:p>
    <w:p w14:paraId="2E69FBA1" w14:textId="55FF8617" w:rsidR="00777534" w:rsidRPr="00B0253E" w:rsidRDefault="00895359" w:rsidP="00217860">
      <w:pPr>
        <w:spacing w:line="240" w:lineRule="auto"/>
        <w:ind w:left="284"/>
      </w:pPr>
      <w:r w:rsidRPr="00B0253E">
        <w:t>laktóza</w:t>
      </w:r>
      <w:r w:rsidR="00D7763B">
        <w:t>“</w:t>
      </w:r>
    </w:p>
    <w:p w14:paraId="32E70FDA" w14:textId="212C8308" w:rsidR="009947F6" w:rsidRPr="00B0253E" w:rsidRDefault="00D7763B" w:rsidP="009C0D3A">
      <w:pPr>
        <w:spacing w:line="240" w:lineRule="auto"/>
        <w:rPr>
          <w:rFonts w:cs="SimSun"/>
          <w:szCs w:val="22"/>
        </w:rPr>
      </w:pPr>
      <w:r>
        <w:lastRenderedPageBreak/>
        <w:t>„</w:t>
      </w:r>
      <w:r w:rsidR="00217860" w:rsidRPr="00B0253E">
        <w:t>chl</w:t>
      </w:r>
      <w:r w:rsidR="00E338B4">
        <w:t>o</w:t>
      </w:r>
      <w:r w:rsidR="00217860" w:rsidRPr="00B0253E">
        <w:t>rofylín meďnatý E 141</w:t>
      </w:r>
    </w:p>
    <w:p w14:paraId="6557F928" w14:textId="39ECC17C" w:rsidR="009947F6" w:rsidRPr="00B0253E" w:rsidRDefault="00D21DCF" w:rsidP="00217860">
      <w:pPr>
        <w:spacing w:line="240" w:lineRule="auto"/>
        <w:ind w:left="284"/>
        <w:rPr>
          <w:rFonts w:cs="SimSun"/>
          <w:szCs w:val="22"/>
        </w:rPr>
      </w:pPr>
      <w:r w:rsidRPr="00B0253E">
        <w:t>glukózový sirup</w:t>
      </w:r>
      <w:r w:rsidR="00D7763B">
        <w:t>“</w:t>
      </w:r>
    </w:p>
    <w:p w14:paraId="7AFE6100" w14:textId="77777777" w:rsidR="009C0D3A" w:rsidRPr="00B0253E" w:rsidRDefault="00E338B4" w:rsidP="001B6569">
      <w:pPr>
        <w:spacing w:line="240" w:lineRule="auto"/>
      </w:pPr>
      <w:r>
        <w:t>sodná soľ sacharínu</w:t>
      </w:r>
    </w:p>
    <w:p w14:paraId="0BDC254E" w14:textId="77777777" w:rsidR="00FF2141" w:rsidRPr="00B0253E" w:rsidRDefault="00FF2141" w:rsidP="001B6569">
      <w:pPr>
        <w:spacing w:line="240" w:lineRule="auto"/>
      </w:pPr>
      <w:r w:rsidRPr="00B0253E">
        <w:t xml:space="preserve">simetikón </w:t>
      </w:r>
    </w:p>
    <w:p w14:paraId="178FCED2" w14:textId="77777777" w:rsidR="009C0D3A" w:rsidRPr="00B0253E" w:rsidRDefault="009C0D3A" w:rsidP="009C0D3A">
      <w:pPr>
        <w:spacing w:line="240" w:lineRule="auto"/>
      </w:pPr>
      <w:r w:rsidRPr="00B0253E">
        <w:t>dimetikón</w:t>
      </w:r>
    </w:p>
    <w:p w14:paraId="02FE0B96" w14:textId="77777777" w:rsidR="009C0D3A" w:rsidRPr="00B0253E" w:rsidRDefault="009C0D3A" w:rsidP="009C0D3A">
      <w:pPr>
        <w:spacing w:line="240" w:lineRule="auto"/>
      </w:pPr>
      <w:r w:rsidRPr="00B0253E">
        <w:t>riboflavín (E101)</w:t>
      </w:r>
    </w:p>
    <w:p w14:paraId="670F1CEE" w14:textId="77777777" w:rsidR="009C0D3A" w:rsidRPr="00B0253E" w:rsidRDefault="009C0D3A" w:rsidP="009F4BA4">
      <w:pPr>
        <w:spacing w:line="240" w:lineRule="auto"/>
      </w:pPr>
    </w:p>
    <w:p w14:paraId="49D5D372" w14:textId="77777777" w:rsidR="001D29E6" w:rsidRPr="00B0253E" w:rsidRDefault="001D29E6" w:rsidP="009F4BA4">
      <w:pPr>
        <w:spacing w:line="240" w:lineRule="auto"/>
        <w:ind w:left="567" w:hanging="567"/>
      </w:pPr>
      <w:r w:rsidRPr="00B0253E">
        <w:rPr>
          <w:b/>
        </w:rPr>
        <w:t>6.2</w:t>
      </w:r>
      <w:r w:rsidRPr="00B0253E">
        <w:tab/>
      </w:r>
      <w:r w:rsidRPr="00B0253E">
        <w:rPr>
          <w:b/>
        </w:rPr>
        <w:t>Inkompatibility</w:t>
      </w:r>
    </w:p>
    <w:p w14:paraId="2B1D85FF" w14:textId="77777777" w:rsidR="001D29E6" w:rsidRPr="00B0253E" w:rsidRDefault="001D29E6" w:rsidP="009F4BA4">
      <w:pPr>
        <w:spacing w:line="240" w:lineRule="auto"/>
      </w:pPr>
    </w:p>
    <w:p w14:paraId="26AA495A" w14:textId="77777777" w:rsidR="001D29E6" w:rsidRPr="00B0253E" w:rsidRDefault="009C0D3A" w:rsidP="009F4BA4">
      <w:pPr>
        <w:spacing w:line="240" w:lineRule="auto"/>
      </w:pPr>
      <w:r w:rsidRPr="00B0253E">
        <w:t>Neaplikovateľné.</w:t>
      </w:r>
    </w:p>
    <w:p w14:paraId="6DCCC0A2" w14:textId="77777777" w:rsidR="00B65CF4" w:rsidRPr="00B0253E" w:rsidRDefault="00B65CF4" w:rsidP="009F4BA4">
      <w:pPr>
        <w:spacing w:line="240" w:lineRule="auto"/>
      </w:pPr>
    </w:p>
    <w:p w14:paraId="6306F6DE" w14:textId="77777777" w:rsidR="001D29E6" w:rsidRPr="00B0253E" w:rsidRDefault="001D29E6" w:rsidP="009F4BA4">
      <w:pPr>
        <w:spacing w:line="240" w:lineRule="auto"/>
        <w:ind w:left="567" w:hanging="567"/>
      </w:pPr>
      <w:r w:rsidRPr="00B0253E">
        <w:rPr>
          <w:b/>
        </w:rPr>
        <w:t>6.3</w:t>
      </w:r>
      <w:r w:rsidRPr="00B0253E">
        <w:tab/>
      </w:r>
      <w:r w:rsidRPr="00B0253E">
        <w:rPr>
          <w:b/>
        </w:rPr>
        <w:t>Čas použiteľnosti</w:t>
      </w:r>
    </w:p>
    <w:p w14:paraId="1D3991C5" w14:textId="77777777" w:rsidR="001D29E6" w:rsidRPr="00B0253E" w:rsidRDefault="001D29E6" w:rsidP="009F4BA4">
      <w:pPr>
        <w:spacing w:line="240" w:lineRule="auto"/>
      </w:pPr>
    </w:p>
    <w:p w14:paraId="4499F45A" w14:textId="77777777" w:rsidR="001D29E6" w:rsidRPr="00B0253E" w:rsidRDefault="00F65320" w:rsidP="009F4BA4">
      <w:pPr>
        <w:spacing w:line="240" w:lineRule="auto"/>
      </w:pPr>
      <w:r w:rsidRPr="00B0253E">
        <w:t>3 roky</w:t>
      </w:r>
    </w:p>
    <w:p w14:paraId="61400CF7" w14:textId="77777777" w:rsidR="001D29E6" w:rsidRPr="00B0253E" w:rsidRDefault="001D29E6" w:rsidP="009F4BA4">
      <w:pPr>
        <w:spacing w:line="240" w:lineRule="auto"/>
        <w:rPr>
          <w:b/>
        </w:rPr>
      </w:pPr>
    </w:p>
    <w:p w14:paraId="713E4BA0" w14:textId="77777777" w:rsidR="009C0D3A" w:rsidRPr="00B0253E" w:rsidRDefault="001D29E6" w:rsidP="009C0D3A">
      <w:pPr>
        <w:spacing w:line="240" w:lineRule="auto"/>
        <w:ind w:left="567" w:hanging="567"/>
        <w:rPr>
          <w:b/>
        </w:rPr>
      </w:pPr>
      <w:r w:rsidRPr="00B0253E">
        <w:rPr>
          <w:b/>
        </w:rPr>
        <w:t>6.4</w:t>
      </w:r>
      <w:r w:rsidRPr="00B0253E">
        <w:tab/>
      </w:r>
      <w:r w:rsidRPr="00B0253E">
        <w:rPr>
          <w:b/>
        </w:rPr>
        <w:t>Špeciálne upozornenia na uchovávanie</w:t>
      </w:r>
    </w:p>
    <w:p w14:paraId="7DE8288A" w14:textId="77777777" w:rsidR="00B65CF4" w:rsidRPr="00B0253E" w:rsidRDefault="00B65CF4" w:rsidP="009C0D3A">
      <w:pPr>
        <w:spacing w:line="240" w:lineRule="auto"/>
        <w:ind w:left="567" w:hanging="567"/>
        <w:rPr>
          <w:b/>
        </w:rPr>
      </w:pPr>
    </w:p>
    <w:p w14:paraId="4E683A3B" w14:textId="4AC79135" w:rsidR="009C0D3A" w:rsidRPr="00B0253E" w:rsidRDefault="00E338B4" w:rsidP="009C0D3A">
      <w:pPr>
        <w:spacing w:line="240" w:lineRule="auto"/>
        <w:ind w:left="567" w:hanging="567"/>
        <w:rPr>
          <w:iCs/>
        </w:rPr>
      </w:pPr>
      <w:r>
        <w:t>U</w:t>
      </w:r>
      <w:r w:rsidR="009C0D3A" w:rsidRPr="00B0253E">
        <w:t xml:space="preserve">chovávajte pri teplote </w:t>
      </w:r>
      <w:r>
        <w:t xml:space="preserve">neprevyšujúcej </w:t>
      </w:r>
      <w:r w:rsidR="009C0D3A" w:rsidRPr="00B0253E">
        <w:t>25</w:t>
      </w:r>
      <w:r w:rsidR="00D7763B">
        <w:t xml:space="preserve"> </w:t>
      </w:r>
      <w:r w:rsidR="009C0D3A" w:rsidRPr="00B0253E">
        <w:t>°C.</w:t>
      </w:r>
    </w:p>
    <w:p w14:paraId="0F8ECC44" w14:textId="32C4B524" w:rsidR="00DF7888" w:rsidRPr="00B0253E" w:rsidRDefault="00DF7888" w:rsidP="009C0D3A">
      <w:pPr>
        <w:spacing w:line="240" w:lineRule="auto"/>
        <w:ind w:left="567" w:hanging="567"/>
        <w:rPr>
          <w:iCs/>
        </w:rPr>
      </w:pPr>
      <w:r w:rsidRPr="00B0253E">
        <w:t>Blistre uchovávajte vo vonkajš</w:t>
      </w:r>
      <w:r w:rsidR="00D7763B">
        <w:t>om</w:t>
      </w:r>
      <w:r w:rsidRPr="00B0253E">
        <w:t xml:space="preserve"> </w:t>
      </w:r>
      <w:r w:rsidR="00D7763B">
        <w:t>obale</w:t>
      </w:r>
      <w:r w:rsidR="007C7B15">
        <w:t xml:space="preserve"> </w:t>
      </w:r>
      <w:r w:rsidR="00D7763B">
        <w:t>na ochranu</w:t>
      </w:r>
      <w:r w:rsidRPr="00B0253E">
        <w:t xml:space="preserve"> pred svetlom a vlhkosťou.</w:t>
      </w:r>
    </w:p>
    <w:p w14:paraId="743F1694" w14:textId="77777777" w:rsidR="00C05714" w:rsidRPr="00B0253E" w:rsidRDefault="00C05714" w:rsidP="009F4BA4">
      <w:pPr>
        <w:spacing w:line="240" w:lineRule="auto"/>
      </w:pPr>
    </w:p>
    <w:p w14:paraId="33522FB7" w14:textId="77777777" w:rsidR="001D29E6" w:rsidRPr="00B0253E" w:rsidRDefault="001D29E6" w:rsidP="009F4BA4">
      <w:pPr>
        <w:numPr>
          <w:ilvl w:val="1"/>
          <w:numId w:val="11"/>
        </w:numPr>
        <w:spacing w:line="240" w:lineRule="auto"/>
        <w:rPr>
          <w:b/>
        </w:rPr>
      </w:pPr>
      <w:r w:rsidRPr="00B0253E">
        <w:rPr>
          <w:b/>
        </w:rPr>
        <w:t>Druh obalu a obsah balenia</w:t>
      </w:r>
    </w:p>
    <w:p w14:paraId="72FD545F" w14:textId="77777777" w:rsidR="00C05714" w:rsidRPr="00B0253E" w:rsidRDefault="00C05714" w:rsidP="00B65CF4">
      <w:pPr>
        <w:tabs>
          <w:tab w:val="clear" w:pos="567"/>
        </w:tabs>
        <w:spacing w:line="240" w:lineRule="auto"/>
        <w:ind w:left="570"/>
        <w:rPr>
          <w:b/>
        </w:rPr>
      </w:pPr>
    </w:p>
    <w:p w14:paraId="7B9AB8FE" w14:textId="77777777" w:rsidR="00C05714" w:rsidRPr="00B0253E" w:rsidRDefault="00637C56" w:rsidP="00C05714">
      <w:pPr>
        <w:spacing w:line="240" w:lineRule="auto"/>
      </w:pPr>
      <w:r w:rsidRPr="00B0253E">
        <w:t xml:space="preserve">Blister z PVC/PVDC/hliníka. </w:t>
      </w:r>
    </w:p>
    <w:p w14:paraId="79B7EB78" w14:textId="77777777" w:rsidR="00C05714" w:rsidRPr="00B0253E" w:rsidRDefault="00637C56" w:rsidP="00C05714">
      <w:pPr>
        <w:spacing w:line="240" w:lineRule="auto"/>
      </w:pPr>
      <w:r w:rsidRPr="00B0253E">
        <w:t>Veľkosti balenia: 20, 50, 100 filmom obalených tabliet</w:t>
      </w:r>
    </w:p>
    <w:p w14:paraId="1FD15CE5" w14:textId="77777777" w:rsidR="00C05714" w:rsidRPr="00B0253E" w:rsidRDefault="00C05714" w:rsidP="00C05714">
      <w:pPr>
        <w:spacing w:line="240" w:lineRule="auto"/>
      </w:pPr>
    </w:p>
    <w:p w14:paraId="3DE5923C" w14:textId="77777777" w:rsidR="001D29E6" w:rsidRPr="00B0253E" w:rsidRDefault="001D29E6" w:rsidP="009F4BA4">
      <w:pPr>
        <w:spacing w:line="240" w:lineRule="auto"/>
      </w:pPr>
      <w:r w:rsidRPr="00B0253E">
        <w:t>Na trh nemusia byť uvedené všetky veľkosti balenia.</w:t>
      </w:r>
    </w:p>
    <w:p w14:paraId="2B27E7DB" w14:textId="77777777" w:rsidR="001D29E6" w:rsidRPr="00B0253E" w:rsidRDefault="001D29E6" w:rsidP="009F4BA4">
      <w:pPr>
        <w:spacing w:line="240" w:lineRule="auto"/>
      </w:pPr>
    </w:p>
    <w:p w14:paraId="34F69127" w14:textId="77777777" w:rsidR="001D29E6" w:rsidRPr="00B0253E" w:rsidRDefault="001D29E6" w:rsidP="009F4BA4">
      <w:pPr>
        <w:spacing w:line="240" w:lineRule="auto"/>
        <w:ind w:left="567" w:hanging="567"/>
        <w:outlineLvl w:val="0"/>
      </w:pPr>
      <w:r w:rsidRPr="00B0253E">
        <w:rPr>
          <w:b/>
        </w:rPr>
        <w:t>6.6</w:t>
      </w:r>
      <w:r w:rsidRPr="00B0253E">
        <w:tab/>
      </w:r>
      <w:r w:rsidRPr="00B0253E">
        <w:rPr>
          <w:b/>
        </w:rPr>
        <w:t>Špeciálne opatrenia na likvidáciu</w:t>
      </w:r>
    </w:p>
    <w:p w14:paraId="722B61C7" w14:textId="77777777" w:rsidR="001D29E6" w:rsidRPr="00B0253E" w:rsidRDefault="001D29E6" w:rsidP="009F4BA4">
      <w:pPr>
        <w:spacing w:line="240" w:lineRule="auto"/>
      </w:pPr>
    </w:p>
    <w:p w14:paraId="0552FC9E" w14:textId="77777777" w:rsidR="001D29E6" w:rsidRPr="00B0253E" w:rsidRDefault="001D29E6" w:rsidP="009F4BA4">
      <w:pPr>
        <w:spacing w:line="240" w:lineRule="auto"/>
      </w:pPr>
      <w:r w:rsidRPr="00B0253E">
        <w:t>Žiadne zvláštne požiadavky.</w:t>
      </w:r>
    </w:p>
    <w:p w14:paraId="5BB1ED79" w14:textId="77777777" w:rsidR="00F408D6" w:rsidRPr="00B0253E" w:rsidRDefault="00F408D6" w:rsidP="009F4BA4">
      <w:pPr>
        <w:spacing w:line="240" w:lineRule="auto"/>
      </w:pPr>
    </w:p>
    <w:p w14:paraId="53F01E03" w14:textId="77777777" w:rsidR="001D29E6" w:rsidRPr="00B0253E" w:rsidRDefault="001D29E6" w:rsidP="009F4BA4">
      <w:pPr>
        <w:spacing w:line="240" w:lineRule="auto"/>
      </w:pPr>
    </w:p>
    <w:p w14:paraId="3DBC37E0" w14:textId="77777777" w:rsidR="001D29E6" w:rsidRPr="00B0253E" w:rsidRDefault="001D29E6" w:rsidP="009F4BA4">
      <w:pPr>
        <w:spacing w:line="240" w:lineRule="auto"/>
        <w:ind w:left="567" w:hanging="567"/>
      </w:pPr>
      <w:r w:rsidRPr="00B0253E">
        <w:rPr>
          <w:b/>
        </w:rPr>
        <w:t>7.</w:t>
      </w:r>
      <w:r w:rsidRPr="00B0253E">
        <w:tab/>
      </w:r>
      <w:r w:rsidRPr="00B0253E">
        <w:rPr>
          <w:b/>
        </w:rPr>
        <w:t>DRŽITEĽ ROZHODNUTIA O REGISTRÁCII</w:t>
      </w:r>
    </w:p>
    <w:p w14:paraId="78B85D98" w14:textId="77777777" w:rsidR="001D29E6" w:rsidRPr="00B0253E" w:rsidRDefault="001D29E6" w:rsidP="009F4BA4">
      <w:pPr>
        <w:spacing w:line="240" w:lineRule="auto"/>
      </w:pPr>
    </w:p>
    <w:p w14:paraId="53EB8C86" w14:textId="77777777" w:rsidR="00B65CF4" w:rsidRPr="00B0253E" w:rsidRDefault="00B65CF4" w:rsidP="00B65CF4">
      <w:pPr>
        <w:rPr>
          <w:noProof/>
        </w:rPr>
      </w:pPr>
      <w:r w:rsidRPr="00B0253E">
        <w:t>BIONORICA SE</w:t>
      </w:r>
    </w:p>
    <w:p w14:paraId="0E7AD7B6" w14:textId="77777777" w:rsidR="00B65CF4" w:rsidRPr="00B0253E" w:rsidRDefault="00FE4F58" w:rsidP="00B65CF4">
      <w:pPr>
        <w:rPr>
          <w:noProof/>
        </w:rPr>
      </w:pPr>
      <w:r w:rsidRPr="00B0253E">
        <w:t>Kerschensteinerstraße 11-15</w:t>
      </w:r>
    </w:p>
    <w:p w14:paraId="19B20B3B" w14:textId="77777777" w:rsidR="00B65CF4" w:rsidRPr="00B0253E" w:rsidRDefault="00B65CF4" w:rsidP="00B65CF4">
      <w:pPr>
        <w:rPr>
          <w:noProof/>
        </w:rPr>
      </w:pPr>
      <w:r w:rsidRPr="00B0253E">
        <w:t>92318 Neumarkt</w:t>
      </w:r>
    </w:p>
    <w:p w14:paraId="5E658D0E" w14:textId="77777777" w:rsidR="00637C56" w:rsidRPr="00B0253E" w:rsidRDefault="00637C56" w:rsidP="00B65CF4">
      <w:pPr>
        <w:rPr>
          <w:noProof/>
        </w:rPr>
      </w:pPr>
      <w:r w:rsidRPr="00B0253E">
        <w:t>Nemecko</w:t>
      </w:r>
    </w:p>
    <w:p w14:paraId="78E13BE2" w14:textId="77777777" w:rsidR="00B65CF4" w:rsidRPr="00B0253E" w:rsidRDefault="00B65CF4" w:rsidP="00B65CF4">
      <w:pPr>
        <w:rPr>
          <w:noProof/>
        </w:rPr>
      </w:pPr>
      <w:r w:rsidRPr="00B0253E">
        <w:t>Tel: +49 (0)9181 231-90</w:t>
      </w:r>
    </w:p>
    <w:p w14:paraId="73C33938" w14:textId="77777777" w:rsidR="00B65CF4" w:rsidRPr="00B0253E" w:rsidRDefault="00B65CF4" w:rsidP="00B65CF4">
      <w:pPr>
        <w:rPr>
          <w:noProof/>
        </w:rPr>
      </w:pPr>
      <w:r w:rsidRPr="00B0253E">
        <w:t>Fax: +49 (0)9181 231-265</w:t>
      </w:r>
    </w:p>
    <w:p w14:paraId="23771DBE" w14:textId="77777777" w:rsidR="00B65CF4" w:rsidRPr="00B0253E" w:rsidRDefault="00B65CF4" w:rsidP="002B7782">
      <w:pPr>
        <w:rPr>
          <w:noProof/>
        </w:rPr>
      </w:pPr>
      <w:r w:rsidRPr="00B0253E">
        <w:t>E-mail: info@bionorica.de</w:t>
      </w:r>
    </w:p>
    <w:p w14:paraId="2BBCDA5E" w14:textId="77777777" w:rsidR="00B65CF4" w:rsidRPr="00B0253E" w:rsidRDefault="00B65CF4" w:rsidP="009F4BA4">
      <w:pPr>
        <w:spacing w:line="240" w:lineRule="auto"/>
      </w:pPr>
    </w:p>
    <w:p w14:paraId="0712018C" w14:textId="77777777" w:rsidR="001D29E6" w:rsidRPr="00B0253E" w:rsidRDefault="001D29E6" w:rsidP="009F4BA4">
      <w:pPr>
        <w:spacing w:line="240" w:lineRule="auto"/>
      </w:pPr>
    </w:p>
    <w:p w14:paraId="58D21094" w14:textId="6B88BA2A" w:rsidR="001D29E6" w:rsidRPr="00B0253E" w:rsidRDefault="001D29E6" w:rsidP="009F4BA4">
      <w:pPr>
        <w:spacing w:line="240" w:lineRule="auto"/>
        <w:ind w:left="567" w:hanging="567"/>
        <w:rPr>
          <w:b/>
        </w:rPr>
      </w:pPr>
      <w:r w:rsidRPr="00B0253E">
        <w:rPr>
          <w:b/>
        </w:rPr>
        <w:t>8.</w:t>
      </w:r>
      <w:r w:rsidRPr="00B0253E">
        <w:tab/>
      </w:r>
      <w:r w:rsidRPr="00B0253E">
        <w:rPr>
          <w:b/>
        </w:rPr>
        <w:t xml:space="preserve">REGISTRAČNÉ ČÍSLO </w:t>
      </w:r>
    </w:p>
    <w:p w14:paraId="0DD2EADD" w14:textId="77777777" w:rsidR="001D29E6" w:rsidRPr="00B0253E" w:rsidRDefault="001D29E6" w:rsidP="009F4BA4">
      <w:pPr>
        <w:spacing w:line="240" w:lineRule="auto"/>
        <w:rPr>
          <w:i/>
        </w:rPr>
      </w:pPr>
    </w:p>
    <w:p w14:paraId="6F88E5BE" w14:textId="731D267F" w:rsidR="001D29E6" w:rsidRDefault="00C202FE" w:rsidP="009F4BA4">
      <w:pPr>
        <w:spacing w:line="240" w:lineRule="auto"/>
      </w:pPr>
      <w:r w:rsidRPr="00C202FE">
        <w:t>52/0303/17-S</w:t>
      </w:r>
    </w:p>
    <w:p w14:paraId="405AD059" w14:textId="77777777" w:rsidR="00C202FE" w:rsidRDefault="00C202FE" w:rsidP="009F4BA4">
      <w:pPr>
        <w:spacing w:line="240" w:lineRule="auto"/>
      </w:pPr>
    </w:p>
    <w:p w14:paraId="71E29279" w14:textId="77777777" w:rsidR="00E338B4" w:rsidRPr="00B0253E" w:rsidRDefault="00E338B4" w:rsidP="009F4BA4">
      <w:pPr>
        <w:spacing w:line="240" w:lineRule="auto"/>
      </w:pPr>
    </w:p>
    <w:p w14:paraId="1C1A0DE4" w14:textId="77777777" w:rsidR="001D29E6" w:rsidRPr="00B0253E" w:rsidRDefault="001D29E6" w:rsidP="009F4BA4">
      <w:pPr>
        <w:spacing w:line="240" w:lineRule="auto"/>
        <w:ind w:left="567" w:hanging="567"/>
      </w:pPr>
      <w:r w:rsidRPr="00B0253E">
        <w:rPr>
          <w:b/>
        </w:rPr>
        <w:t>9.</w:t>
      </w:r>
      <w:r w:rsidRPr="00B0253E">
        <w:tab/>
      </w:r>
      <w:r w:rsidRPr="00B0253E">
        <w:rPr>
          <w:b/>
        </w:rPr>
        <w:t>DÁTUM PRVEJ REGISTRÁCIE/PREDĹŽENIA REGISTRÁCIE</w:t>
      </w:r>
    </w:p>
    <w:p w14:paraId="2E93A6E4" w14:textId="77777777" w:rsidR="001D29E6" w:rsidRPr="00B0253E" w:rsidRDefault="001D29E6" w:rsidP="009F4BA4">
      <w:pPr>
        <w:spacing w:line="240" w:lineRule="auto"/>
        <w:rPr>
          <w:i/>
        </w:rPr>
      </w:pPr>
    </w:p>
    <w:p w14:paraId="7176421B" w14:textId="77777777" w:rsidR="00167629" w:rsidRPr="00B0253E" w:rsidRDefault="00AE7786" w:rsidP="009F4BA4">
      <w:pPr>
        <w:spacing w:line="240" w:lineRule="auto"/>
        <w:rPr>
          <w:i/>
          <w:noProof/>
          <w:szCs w:val="22"/>
        </w:rPr>
      </w:pPr>
      <w:r w:rsidRPr="00B0253E">
        <w:t xml:space="preserve">Dátum prvej registrácie: </w:t>
      </w:r>
    </w:p>
    <w:p w14:paraId="60D2F85F" w14:textId="77777777" w:rsidR="001D29E6" w:rsidRPr="00B0253E" w:rsidRDefault="001D29E6" w:rsidP="009F4BA4">
      <w:pPr>
        <w:spacing w:line="240" w:lineRule="auto"/>
        <w:rPr>
          <w:iCs/>
        </w:rPr>
      </w:pPr>
    </w:p>
    <w:p w14:paraId="188F4A60" w14:textId="77777777" w:rsidR="001D29E6" w:rsidRPr="00B0253E" w:rsidRDefault="001D29E6" w:rsidP="009F4BA4">
      <w:pPr>
        <w:spacing w:line="240" w:lineRule="auto"/>
      </w:pPr>
    </w:p>
    <w:p w14:paraId="4C251400" w14:textId="77777777" w:rsidR="001D29E6" w:rsidRPr="00B0253E" w:rsidRDefault="001D29E6" w:rsidP="009F4BA4">
      <w:pPr>
        <w:spacing w:line="240" w:lineRule="auto"/>
        <w:ind w:left="567" w:hanging="567"/>
        <w:rPr>
          <w:b/>
        </w:rPr>
      </w:pPr>
      <w:r w:rsidRPr="00B0253E">
        <w:rPr>
          <w:b/>
        </w:rPr>
        <w:t>10.</w:t>
      </w:r>
      <w:r w:rsidRPr="00B0253E">
        <w:tab/>
      </w:r>
      <w:r w:rsidRPr="00B0253E">
        <w:rPr>
          <w:b/>
        </w:rPr>
        <w:t>DÁTUM REVÍZIE TEXTU</w:t>
      </w:r>
    </w:p>
    <w:p w14:paraId="457D16A5" w14:textId="77777777" w:rsidR="001D29E6" w:rsidRDefault="001D29E6" w:rsidP="009F4BA4">
      <w:pPr>
        <w:spacing w:line="240" w:lineRule="auto"/>
      </w:pPr>
    </w:p>
    <w:p w14:paraId="413706F4" w14:textId="420B8EA2" w:rsidR="00BA528E" w:rsidRDefault="00EE3990" w:rsidP="00C202FE">
      <w:pPr>
        <w:spacing w:line="240" w:lineRule="auto"/>
        <w:rPr>
          <w:rFonts w:cs="SimSun"/>
          <w:sz w:val="18"/>
          <w:szCs w:val="18"/>
        </w:rPr>
      </w:pPr>
      <w:r>
        <w:t>10/2017</w:t>
      </w:r>
      <w:bookmarkStart w:id="0" w:name="_GoBack"/>
      <w:bookmarkEnd w:id="0"/>
    </w:p>
    <w:p w14:paraId="7712A12B" w14:textId="77777777" w:rsidR="0032274D" w:rsidRPr="0032274D" w:rsidRDefault="0032274D" w:rsidP="00BA528E">
      <w:pPr>
        <w:rPr>
          <w:noProof/>
        </w:rPr>
      </w:pPr>
    </w:p>
    <w:sectPr w:rsidR="0032274D" w:rsidRPr="0032274D" w:rsidSect="0084172C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3C9E7" w14:textId="77777777" w:rsidR="00486609" w:rsidRDefault="00486609">
      <w:r>
        <w:separator/>
      </w:r>
    </w:p>
  </w:endnote>
  <w:endnote w:type="continuationSeparator" w:id="0">
    <w:p w14:paraId="6FDB653A" w14:textId="77777777" w:rsidR="00486609" w:rsidRDefault="0048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0DBF9" w14:textId="77777777" w:rsidR="00BF144D" w:rsidRPr="000C1913" w:rsidRDefault="00BF144D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C202FE">
      <w:rPr>
        <w:rStyle w:val="slostrany"/>
        <w:rFonts w:ascii="Arial" w:hAnsi="Arial" w:cs="Arial"/>
        <w:noProof/>
      </w:rPr>
      <w:t>4</w:t>
    </w:r>
    <w:r w:rsidRPr="000C1913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C474F" w14:textId="77777777" w:rsidR="00BF144D" w:rsidRPr="000C1913" w:rsidRDefault="00BF144D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C202FE">
      <w:rPr>
        <w:rStyle w:val="slostrany"/>
        <w:rFonts w:ascii="Arial" w:hAnsi="Arial" w:cs="Arial"/>
        <w:noProof/>
      </w:rPr>
      <w:t>1</w:t>
    </w:r>
    <w:r w:rsidRPr="000C1913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92D71" w14:textId="77777777" w:rsidR="00486609" w:rsidRDefault="00486609">
      <w:r>
        <w:separator/>
      </w:r>
    </w:p>
  </w:footnote>
  <w:footnote w:type="continuationSeparator" w:id="0">
    <w:p w14:paraId="3E6FE09D" w14:textId="77777777" w:rsidR="00486609" w:rsidRDefault="0048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4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7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0"/>
  </w:num>
  <w:num w:numId="6">
    <w:abstractNumId w:val="20"/>
  </w:num>
  <w:num w:numId="7">
    <w:abstractNumId w:val="19"/>
  </w:num>
  <w:num w:numId="8">
    <w:abstractNumId w:val="6"/>
  </w:num>
  <w:num w:numId="9">
    <w:abstractNumId w:val="29"/>
  </w:num>
  <w:num w:numId="10">
    <w:abstractNumId w:val="30"/>
  </w:num>
  <w:num w:numId="11">
    <w:abstractNumId w:val="15"/>
  </w:num>
  <w:num w:numId="12">
    <w:abstractNumId w:val="12"/>
  </w:num>
  <w:num w:numId="13">
    <w:abstractNumId w:val="2"/>
  </w:num>
  <w:num w:numId="14">
    <w:abstractNumId w:val="28"/>
  </w:num>
  <w:num w:numId="15">
    <w:abstractNumId w:val="17"/>
  </w:num>
  <w:num w:numId="16">
    <w:abstractNumId w:val="33"/>
  </w:num>
  <w:num w:numId="17">
    <w:abstractNumId w:val="7"/>
  </w:num>
  <w:num w:numId="18">
    <w:abstractNumId w:val="1"/>
  </w:num>
  <w:num w:numId="19">
    <w:abstractNumId w:val="16"/>
  </w:num>
  <w:num w:numId="20">
    <w:abstractNumId w:val="3"/>
  </w:num>
  <w:num w:numId="21">
    <w:abstractNumId w:val="5"/>
  </w:num>
  <w:num w:numId="22">
    <w:abstractNumId w:val="23"/>
  </w:num>
  <w:num w:numId="23">
    <w:abstractNumId w:val="27"/>
  </w:num>
  <w:num w:numId="24">
    <w:abstractNumId w:val="22"/>
  </w:num>
  <w:num w:numId="25">
    <w:abstractNumId w:val="11"/>
  </w:num>
  <w:num w:numId="26">
    <w:abstractNumId w:val="9"/>
  </w:num>
  <w:num w:numId="27">
    <w:abstractNumId w:val="18"/>
  </w:num>
  <w:num w:numId="28">
    <w:abstractNumId w:val="21"/>
  </w:num>
  <w:num w:numId="29">
    <w:abstractNumId w:val="13"/>
  </w:num>
  <w:num w:numId="30">
    <w:abstractNumId w:val="8"/>
  </w:num>
  <w:num w:numId="31">
    <w:abstractNumId w:val="25"/>
  </w:num>
  <w:num w:numId="32">
    <w:abstractNumId w:val="26"/>
  </w:num>
  <w:num w:numId="33">
    <w:abstractNumId w:val="24"/>
  </w:num>
  <w:num w:numId="34">
    <w:abstractNumId w:val="14"/>
  </w:num>
  <w:num w:numId="35">
    <w:abstractNumId w:val="4"/>
  </w:num>
  <w:num w:numId="36">
    <w:abstractNumId w:val="34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64E6"/>
    <w:rsid w:val="000131C2"/>
    <w:rsid w:val="00013ADC"/>
    <w:rsid w:val="0001610A"/>
    <w:rsid w:val="00026BF2"/>
    <w:rsid w:val="00036864"/>
    <w:rsid w:val="00041F9F"/>
    <w:rsid w:val="000425D4"/>
    <w:rsid w:val="00043B8F"/>
    <w:rsid w:val="00052FB0"/>
    <w:rsid w:val="00055A54"/>
    <w:rsid w:val="00061E2F"/>
    <w:rsid w:val="00064AAE"/>
    <w:rsid w:val="00066C1A"/>
    <w:rsid w:val="00067954"/>
    <w:rsid w:val="00067D17"/>
    <w:rsid w:val="0007379F"/>
    <w:rsid w:val="00083518"/>
    <w:rsid w:val="00086803"/>
    <w:rsid w:val="000927F7"/>
    <w:rsid w:val="00095EE9"/>
    <w:rsid w:val="000A7411"/>
    <w:rsid w:val="000C1913"/>
    <w:rsid w:val="000C63FE"/>
    <w:rsid w:val="000D7AA6"/>
    <w:rsid w:val="00110291"/>
    <w:rsid w:val="00140E56"/>
    <w:rsid w:val="00152CC5"/>
    <w:rsid w:val="00152E50"/>
    <w:rsid w:val="001659FC"/>
    <w:rsid w:val="00167629"/>
    <w:rsid w:val="00167F28"/>
    <w:rsid w:val="00185256"/>
    <w:rsid w:val="00197D0B"/>
    <w:rsid w:val="001A3F30"/>
    <w:rsid w:val="001A6044"/>
    <w:rsid w:val="001B43BA"/>
    <w:rsid w:val="001B6569"/>
    <w:rsid w:val="001B7372"/>
    <w:rsid w:val="001C159B"/>
    <w:rsid w:val="001C7A30"/>
    <w:rsid w:val="001D29E6"/>
    <w:rsid w:val="001D390D"/>
    <w:rsid w:val="001D6379"/>
    <w:rsid w:val="001E0EEC"/>
    <w:rsid w:val="001E20CD"/>
    <w:rsid w:val="001E3123"/>
    <w:rsid w:val="001F3539"/>
    <w:rsid w:val="00206B9A"/>
    <w:rsid w:val="002074BB"/>
    <w:rsid w:val="00211F4D"/>
    <w:rsid w:val="00214304"/>
    <w:rsid w:val="002175C2"/>
    <w:rsid w:val="00217860"/>
    <w:rsid w:val="00222922"/>
    <w:rsid w:val="00232029"/>
    <w:rsid w:val="0023601F"/>
    <w:rsid w:val="00242FBE"/>
    <w:rsid w:val="00246C7F"/>
    <w:rsid w:val="00247EA7"/>
    <w:rsid w:val="00251790"/>
    <w:rsid w:val="002541E4"/>
    <w:rsid w:val="0025621A"/>
    <w:rsid w:val="00261838"/>
    <w:rsid w:val="00264A9F"/>
    <w:rsid w:val="00276569"/>
    <w:rsid w:val="002826AA"/>
    <w:rsid w:val="002826DD"/>
    <w:rsid w:val="002839CF"/>
    <w:rsid w:val="00293853"/>
    <w:rsid w:val="0029721A"/>
    <w:rsid w:val="002A0DCA"/>
    <w:rsid w:val="002B57B9"/>
    <w:rsid w:val="002B7782"/>
    <w:rsid w:val="002D29AD"/>
    <w:rsid w:val="002D2FF8"/>
    <w:rsid w:val="002D3EAD"/>
    <w:rsid w:val="002E08A4"/>
    <w:rsid w:val="002E5E87"/>
    <w:rsid w:val="002F20FB"/>
    <w:rsid w:val="002F2506"/>
    <w:rsid w:val="002F3ECB"/>
    <w:rsid w:val="00302BE1"/>
    <w:rsid w:val="00303190"/>
    <w:rsid w:val="0031220F"/>
    <w:rsid w:val="003134E9"/>
    <w:rsid w:val="0032274D"/>
    <w:rsid w:val="00324A74"/>
    <w:rsid w:val="00331B86"/>
    <w:rsid w:val="00334297"/>
    <w:rsid w:val="0034005B"/>
    <w:rsid w:val="00340774"/>
    <w:rsid w:val="00343C56"/>
    <w:rsid w:val="00344940"/>
    <w:rsid w:val="003475E2"/>
    <w:rsid w:val="00347DB8"/>
    <w:rsid w:val="003521B2"/>
    <w:rsid w:val="0035271A"/>
    <w:rsid w:val="00377878"/>
    <w:rsid w:val="00386217"/>
    <w:rsid w:val="0039023A"/>
    <w:rsid w:val="003920BC"/>
    <w:rsid w:val="003A0C48"/>
    <w:rsid w:val="003A58FB"/>
    <w:rsid w:val="003A7D53"/>
    <w:rsid w:val="003A7E41"/>
    <w:rsid w:val="003B3D77"/>
    <w:rsid w:val="003C25C7"/>
    <w:rsid w:val="003C61F0"/>
    <w:rsid w:val="003D212C"/>
    <w:rsid w:val="003D525D"/>
    <w:rsid w:val="003E355A"/>
    <w:rsid w:val="003E445D"/>
    <w:rsid w:val="003F3260"/>
    <w:rsid w:val="0040493F"/>
    <w:rsid w:val="00412950"/>
    <w:rsid w:val="00415992"/>
    <w:rsid w:val="00425F95"/>
    <w:rsid w:val="004317D3"/>
    <w:rsid w:val="00432CBC"/>
    <w:rsid w:val="00447CAC"/>
    <w:rsid w:val="00451EE0"/>
    <w:rsid w:val="00462660"/>
    <w:rsid w:val="004673AE"/>
    <w:rsid w:val="00482AEF"/>
    <w:rsid w:val="00482B1B"/>
    <w:rsid w:val="00486609"/>
    <w:rsid w:val="00490A19"/>
    <w:rsid w:val="00490B33"/>
    <w:rsid w:val="004A5069"/>
    <w:rsid w:val="004B0CE9"/>
    <w:rsid w:val="004B4AC3"/>
    <w:rsid w:val="004B7053"/>
    <w:rsid w:val="004C33C5"/>
    <w:rsid w:val="004C3BCE"/>
    <w:rsid w:val="004C582F"/>
    <w:rsid w:val="004D0712"/>
    <w:rsid w:val="004D5189"/>
    <w:rsid w:val="004D766B"/>
    <w:rsid w:val="004E0D9A"/>
    <w:rsid w:val="004E675C"/>
    <w:rsid w:val="004F3E49"/>
    <w:rsid w:val="004F61DD"/>
    <w:rsid w:val="005022DB"/>
    <w:rsid w:val="00503F54"/>
    <w:rsid w:val="00515932"/>
    <w:rsid w:val="00521F11"/>
    <w:rsid w:val="00522BAA"/>
    <w:rsid w:val="005318E6"/>
    <w:rsid w:val="00532B90"/>
    <w:rsid w:val="00546E2D"/>
    <w:rsid w:val="00547410"/>
    <w:rsid w:val="00550F19"/>
    <w:rsid w:val="00560E0D"/>
    <w:rsid w:val="0056769B"/>
    <w:rsid w:val="00584E63"/>
    <w:rsid w:val="0059608B"/>
    <w:rsid w:val="005A099B"/>
    <w:rsid w:val="005A1533"/>
    <w:rsid w:val="005B0688"/>
    <w:rsid w:val="005B1CD7"/>
    <w:rsid w:val="005C298D"/>
    <w:rsid w:val="005C3B1D"/>
    <w:rsid w:val="005C624E"/>
    <w:rsid w:val="005D2893"/>
    <w:rsid w:val="005D5343"/>
    <w:rsid w:val="005D5A90"/>
    <w:rsid w:val="005E11DA"/>
    <w:rsid w:val="005E47F8"/>
    <w:rsid w:val="005E6B83"/>
    <w:rsid w:val="005F7B5B"/>
    <w:rsid w:val="00607091"/>
    <w:rsid w:val="00610B88"/>
    <w:rsid w:val="00616BCA"/>
    <w:rsid w:val="006217BC"/>
    <w:rsid w:val="0062351C"/>
    <w:rsid w:val="006348AB"/>
    <w:rsid w:val="00634C6B"/>
    <w:rsid w:val="00637C56"/>
    <w:rsid w:val="00642E0C"/>
    <w:rsid w:val="006432FF"/>
    <w:rsid w:val="006464FE"/>
    <w:rsid w:val="006644CE"/>
    <w:rsid w:val="0068165B"/>
    <w:rsid w:val="00684C0C"/>
    <w:rsid w:val="00686587"/>
    <w:rsid w:val="006A5078"/>
    <w:rsid w:val="006A6354"/>
    <w:rsid w:val="006B0624"/>
    <w:rsid w:val="006B7920"/>
    <w:rsid w:val="006C3FD6"/>
    <w:rsid w:val="006C5957"/>
    <w:rsid w:val="006D70F1"/>
    <w:rsid w:val="006E4D52"/>
    <w:rsid w:val="006F7E38"/>
    <w:rsid w:val="00713B52"/>
    <w:rsid w:val="0073003D"/>
    <w:rsid w:val="00744639"/>
    <w:rsid w:val="00760459"/>
    <w:rsid w:val="007710EC"/>
    <w:rsid w:val="00777534"/>
    <w:rsid w:val="00777769"/>
    <w:rsid w:val="0078408B"/>
    <w:rsid w:val="007B5A91"/>
    <w:rsid w:val="007B651C"/>
    <w:rsid w:val="007C7B15"/>
    <w:rsid w:val="007D3315"/>
    <w:rsid w:val="007D34E2"/>
    <w:rsid w:val="007E7143"/>
    <w:rsid w:val="007F3AA6"/>
    <w:rsid w:val="007F7E38"/>
    <w:rsid w:val="00807D71"/>
    <w:rsid w:val="0081037F"/>
    <w:rsid w:val="00812662"/>
    <w:rsid w:val="008225EB"/>
    <w:rsid w:val="008227EA"/>
    <w:rsid w:val="00825791"/>
    <w:rsid w:val="00825CF6"/>
    <w:rsid w:val="00840860"/>
    <w:rsid w:val="0084172C"/>
    <w:rsid w:val="0084213D"/>
    <w:rsid w:val="00844430"/>
    <w:rsid w:val="0084654B"/>
    <w:rsid w:val="0087542F"/>
    <w:rsid w:val="008807F8"/>
    <w:rsid w:val="00887CC8"/>
    <w:rsid w:val="0089216F"/>
    <w:rsid w:val="00895359"/>
    <w:rsid w:val="00895506"/>
    <w:rsid w:val="008A3D6B"/>
    <w:rsid w:val="008A7B64"/>
    <w:rsid w:val="008B63EB"/>
    <w:rsid w:val="008C1007"/>
    <w:rsid w:val="008C24B6"/>
    <w:rsid w:val="008C3DC6"/>
    <w:rsid w:val="008D4CE4"/>
    <w:rsid w:val="008D634B"/>
    <w:rsid w:val="008E0F57"/>
    <w:rsid w:val="008E5F74"/>
    <w:rsid w:val="008E6A79"/>
    <w:rsid w:val="009004CC"/>
    <w:rsid w:val="00921FB2"/>
    <w:rsid w:val="0092688B"/>
    <w:rsid w:val="009315F7"/>
    <w:rsid w:val="00941F43"/>
    <w:rsid w:val="00946B71"/>
    <w:rsid w:val="00955149"/>
    <w:rsid w:val="00956407"/>
    <w:rsid w:val="00956B0D"/>
    <w:rsid w:val="00962267"/>
    <w:rsid w:val="009623D3"/>
    <w:rsid w:val="009669E8"/>
    <w:rsid w:val="00977213"/>
    <w:rsid w:val="00984DE0"/>
    <w:rsid w:val="0099472E"/>
    <w:rsid w:val="009947F6"/>
    <w:rsid w:val="009A1F4B"/>
    <w:rsid w:val="009C0D3A"/>
    <w:rsid w:val="009C1925"/>
    <w:rsid w:val="009D7D54"/>
    <w:rsid w:val="009E0A87"/>
    <w:rsid w:val="009F4BA4"/>
    <w:rsid w:val="00A0248D"/>
    <w:rsid w:val="00A113C8"/>
    <w:rsid w:val="00A13C48"/>
    <w:rsid w:val="00A20993"/>
    <w:rsid w:val="00A26F79"/>
    <w:rsid w:val="00A34977"/>
    <w:rsid w:val="00A359C3"/>
    <w:rsid w:val="00A3757C"/>
    <w:rsid w:val="00A50657"/>
    <w:rsid w:val="00A52216"/>
    <w:rsid w:val="00A54618"/>
    <w:rsid w:val="00A57054"/>
    <w:rsid w:val="00A61D57"/>
    <w:rsid w:val="00A62132"/>
    <w:rsid w:val="00A62745"/>
    <w:rsid w:val="00A64772"/>
    <w:rsid w:val="00A70A18"/>
    <w:rsid w:val="00A74A62"/>
    <w:rsid w:val="00A7648F"/>
    <w:rsid w:val="00A92702"/>
    <w:rsid w:val="00AA2392"/>
    <w:rsid w:val="00AC2464"/>
    <w:rsid w:val="00AC3E02"/>
    <w:rsid w:val="00AC6148"/>
    <w:rsid w:val="00AD1DC6"/>
    <w:rsid w:val="00AD757B"/>
    <w:rsid w:val="00AE7786"/>
    <w:rsid w:val="00AF0A54"/>
    <w:rsid w:val="00AF3B45"/>
    <w:rsid w:val="00AF48FD"/>
    <w:rsid w:val="00AF4E48"/>
    <w:rsid w:val="00B0253E"/>
    <w:rsid w:val="00B02B79"/>
    <w:rsid w:val="00B0720F"/>
    <w:rsid w:val="00B257D9"/>
    <w:rsid w:val="00B26129"/>
    <w:rsid w:val="00B311CA"/>
    <w:rsid w:val="00B3208E"/>
    <w:rsid w:val="00B41BA2"/>
    <w:rsid w:val="00B54AFE"/>
    <w:rsid w:val="00B6331C"/>
    <w:rsid w:val="00B64AD4"/>
    <w:rsid w:val="00B64F3D"/>
    <w:rsid w:val="00B65CF4"/>
    <w:rsid w:val="00B84A9E"/>
    <w:rsid w:val="00B85C02"/>
    <w:rsid w:val="00B93404"/>
    <w:rsid w:val="00BA528E"/>
    <w:rsid w:val="00BB1CD9"/>
    <w:rsid w:val="00BB4C55"/>
    <w:rsid w:val="00BB7B25"/>
    <w:rsid w:val="00BC0DE9"/>
    <w:rsid w:val="00BD1081"/>
    <w:rsid w:val="00BE3A89"/>
    <w:rsid w:val="00BF144D"/>
    <w:rsid w:val="00BF60F9"/>
    <w:rsid w:val="00BF767C"/>
    <w:rsid w:val="00C00F58"/>
    <w:rsid w:val="00C020AE"/>
    <w:rsid w:val="00C05714"/>
    <w:rsid w:val="00C05BD9"/>
    <w:rsid w:val="00C05D4F"/>
    <w:rsid w:val="00C05DF8"/>
    <w:rsid w:val="00C14E69"/>
    <w:rsid w:val="00C202FE"/>
    <w:rsid w:val="00C30A5C"/>
    <w:rsid w:val="00C327C8"/>
    <w:rsid w:val="00C33D5F"/>
    <w:rsid w:val="00C45C2C"/>
    <w:rsid w:val="00C53ACC"/>
    <w:rsid w:val="00C541BB"/>
    <w:rsid w:val="00C56AB5"/>
    <w:rsid w:val="00C815C0"/>
    <w:rsid w:val="00C8465F"/>
    <w:rsid w:val="00C9230B"/>
    <w:rsid w:val="00CA252F"/>
    <w:rsid w:val="00CB1467"/>
    <w:rsid w:val="00CB327B"/>
    <w:rsid w:val="00CC28FB"/>
    <w:rsid w:val="00CC7459"/>
    <w:rsid w:val="00CD494C"/>
    <w:rsid w:val="00CD4FC9"/>
    <w:rsid w:val="00CD6CB9"/>
    <w:rsid w:val="00CD758F"/>
    <w:rsid w:val="00CF3E39"/>
    <w:rsid w:val="00CF66D7"/>
    <w:rsid w:val="00D02BD3"/>
    <w:rsid w:val="00D160BF"/>
    <w:rsid w:val="00D21DCF"/>
    <w:rsid w:val="00D2776F"/>
    <w:rsid w:val="00D31F22"/>
    <w:rsid w:val="00D32DA3"/>
    <w:rsid w:val="00D36DC0"/>
    <w:rsid w:val="00D37B85"/>
    <w:rsid w:val="00D4345C"/>
    <w:rsid w:val="00D43772"/>
    <w:rsid w:val="00D452CE"/>
    <w:rsid w:val="00D452DF"/>
    <w:rsid w:val="00D52919"/>
    <w:rsid w:val="00D570BC"/>
    <w:rsid w:val="00D7069B"/>
    <w:rsid w:val="00D7137A"/>
    <w:rsid w:val="00D720AA"/>
    <w:rsid w:val="00D74541"/>
    <w:rsid w:val="00D7763B"/>
    <w:rsid w:val="00D8105D"/>
    <w:rsid w:val="00D824DD"/>
    <w:rsid w:val="00D86910"/>
    <w:rsid w:val="00D9705B"/>
    <w:rsid w:val="00DA529D"/>
    <w:rsid w:val="00DB4B2C"/>
    <w:rsid w:val="00DC1818"/>
    <w:rsid w:val="00DC2D03"/>
    <w:rsid w:val="00DD1F8B"/>
    <w:rsid w:val="00DD238F"/>
    <w:rsid w:val="00DD49C5"/>
    <w:rsid w:val="00DF2920"/>
    <w:rsid w:val="00DF3645"/>
    <w:rsid w:val="00DF7888"/>
    <w:rsid w:val="00E044A8"/>
    <w:rsid w:val="00E13235"/>
    <w:rsid w:val="00E1335F"/>
    <w:rsid w:val="00E21255"/>
    <w:rsid w:val="00E26437"/>
    <w:rsid w:val="00E26E06"/>
    <w:rsid w:val="00E27E3F"/>
    <w:rsid w:val="00E338B4"/>
    <w:rsid w:val="00E351F9"/>
    <w:rsid w:val="00E43E06"/>
    <w:rsid w:val="00E52D3D"/>
    <w:rsid w:val="00E53ED4"/>
    <w:rsid w:val="00E6352E"/>
    <w:rsid w:val="00E64E3C"/>
    <w:rsid w:val="00E70E83"/>
    <w:rsid w:val="00E74980"/>
    <w:rsid w:val="00E80132"/>
    <w:rsid w:val="00E93F7E"/>
    <w:rsid w:val="00EA553E"/>
    <w:rsid w:val="00EB0E5E"/>
    <w:rsid w:val="00EB7856"/>
    <w:rsid w:val="00EB7F91"/>
    <w:rsid w:val="00EC1415"/>
    <w:rsid w:val="00ED17CD"/>
    <w:rsid w:val="00EE33C0"/>
    <w:rsid w:val="00EE3990"/>
    <w:rsid w:val="00EE5DB4"/>
    <w:rsid w:val="00F00876"/>
    <w:rsid w:val="00F029B6"/>
    <w:rsid w:val="00F150BE"/>
    <w:rsid w:val="00F23102"/>
    <w:rsid w:val="00F24065"/>
    <w:rsid w:val="00F264A0"/>
    <w:rsid w:val="00F2702B"/>
    <w:rsid w:val="00F27C9E"/>
    <w:rsid w:val="00F408D6"/>
    <w:rsid w:val="00F42CEA"/>
    <w:rsid w:val="00F43C02"/>
    <w:rsid w:val="00F46485"/>
    <w:rsid w:val="00F47A3E"/>
    <w:rsid w:val="00F52A78"/>
    <w:rsid w:val="00F539CC"/>
    <w:rsid w:val="00F62C57"/>
    <w:rsid w:val="00F63D30"/>
    <w:rsid w:val="00F65320"/>
    <w:rsid w:val="00F7032C"/>
    <w:rsid w:val="00F7602B"/>
    <w:rsid w:val="00F87E05"/>
    <w:rsid w:val="00F96B2D"/>
    <w:rsid w:val="00FA1C23"/>
    <w:rsid w:val="00FA559C"/>
    <w:rsid w:val="00FB397E"/>
    <w:rsid w:val="00FB3F4F"/>
    <w:rsid w:val="00FB6B28"/>
    <w:rsid w:val="00FB7397"/>
    <w:rsid w:val="00FC41D6"/>
    <w:rsid w:val="00FD4510"/>
    <w:rsid w:val="00FE34FC"/>
    <w:rsid w:val="00FE4F58"/>
    <w:rsid w:val="00FF1CA9"/>
    <w:rsid w:val="00FF2141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A7779"/>
  <w14:defaultImageDpi w14:val="0"/>
  <w15:docId w15:val="{A31463AC-4045-4541-9D4B-428F5A9B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sk-SK"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2"/>
      <w:lang w:val="sk-SK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2"/>
      <w:lang w:val="sk-SK" w:eastAsia="sk-SK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2"/>
      <w:lang w:val="sk-SK" w:eastAsia="sk-SK"/>
    </w:rPr>
  </w:style>
  <w:style w:type="paragraph" w:styleId="Zkladntext3">
    <w:name w:val="Body Text 3"/>
    <w:basedOn w:val="Normlny"/>
    <w:link w:val="Zkladntext3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2"/>
      <w:lang w:val="sk-SK" w:eastAsia="sk-SK"/>
    </w:rPr>
  </w:style>
  <w:style w:type="paragraph" w:styleId="Zkladntext2">
    <w:name w:val="Body Text 2"/>
    <w:basedOn w:val="Normlny"/>
    <w:link w:val="Zkladntext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2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D17CD"/>
    <w:rPr>
      <w:rFonts w:cs="Times New Roman"/>
      <w:lang w:val="sk-SK" w:eastAsia="sk-SK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sk-SK" w:eastAsia="sk-SK"/>
    </w:rPr>
  </w:style>
  <w:style w:type="character" w:styleId="PouitHypertextovPrepojenie">
    <w:name w:val="FollowedHyperlink"/>
    <w:basedOn w:val="Predvolenpsmoodseku"/>
    <w:uiPriority w:val="99"/>
    <w:rPr>
      <w:rFonts w:cs="Times New Roman"/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53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lang w:val="sk-SK" w:eastAsia="sk-SK"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F00876"/>
    <w:rPr>
      <w:rFonts w:ascii="Verdana" w:hAnsi="Verdana"/>
      <w:sz w:val="18"/>
    </w:rPr>
  </w:style>
  <w:style w:type="paragraph" w:styleId="Revzia">
    <w:name w:val="Revision"/>
    <w:hidden/>
    <w:uiPriority w:val="99"/>
    <w:semiHidden/>
    <w:rsid w:val="003E445D"/>
    <w:rPr>
      <w:sz w:val="22"/>
    </w:rPr>
  </w:style>
  <w:style w:type="paragraph" w:styleId="Textvysvetlivky">
    <w:name w:val="endnote text"/>
    <w:basedOn w:val="Normlny"/>
    <w:link w:val="TextvysvetlivkyChar"/>
    <w:uiPriority w:val="99"/>
    <w:rsid w:val="00CA252F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CA252F"/>
    <w:rPr>
      <w:rFonts w:cs="Times New Roman"/>
      <w:lang w:val="sk-SK" w:eastAsia="sk-SK"/>
    </w:rPr>
  </w:style>
  <w:style w:type="character" w:styleId="Odkaznavysvetlivku">
    <w:name w:val="endnote reference"/>
    <w:basedOn w:val="Predvolenpsmoodseku"/>
    <w:uiPriority w:val="99"/>
    <w:rsid w:val="00CA252F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25621A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5621A"/>
    <w:rPr>
      <w:rFonts w:cs="Times New Roman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5621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AB0F-0D59-4C07-A958-52C843E7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European Medicines Agency</dc:creator>
  <cp:lastModifiedBy>Petriková, Miroslava</cp:lastModifiedBy>
  <cp:revision>20</cp:revision>
  <cp:lastPrinted>2017-08-01T13:29:00Z</cp:lastPrinted>
  <dcterms:created xsi:type="dcterms:W3CDTF">2017-10-05T11:06:00Z</dcterms:created>
  <dcterms:modified xsi:type="dcterms:W3CDTF">2017-10-12T10:59:00Z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</Properties>
</file>