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CD" w:rsidRPr="0093686A" w:rsidRDefault="002F32CD" w:rsidP="00592542">
      <w:pPr>
        <w:rPr>
          <w:noProof/>
          <w:szCs w:val="22"/>
        </w:rPr>
      </w:pPr>
    </w:p>
    <w:p w:rsidR="003F79A1" w:rsidRPr="0093686A" w:rsidRDefault="003F79A1" w:rsidP="00592542">
      <w:pPr>
        <w:rPr>
          <w:noProof/>
          <w:szCs w:val="22"/>
        </w:rPr>
      </w:pPr>
    </w:p>
    <w:p w:rsidR="00780926" w:rsidRPr="00172CCA" w:rsidRDefault="00780926" w:rsidP="00592542">
      <w:pPr>
        <w:jc w:val="center"/>
        <w:rPr>
          <w:b/>
          <w:noProof/>
          <w:szCs w:val="22"/>
        </w:rPr>
      </w:pPr>
      <w:r w:rsidRPr="00172CCA">
        <w:rPr>
          <w:b/>
          <w:noProof/>
          <w:szCs w:val="22"/>
        </w:rPr>
        <w:t>SÚHRN CHARAKTERISTICKÝCH VLASTNOSTÍ LIEKU</w:t>
      </w:r>
    </w:p>
    <w:p w:rsidR="00634656" w:rsidRPr="0093686A" w:rsidRDefault="00634656" w:rsidP="00592542">
      <w:pPr>
        <w:rPr>
          <w:noProof/>
          <w:szCs w:val="22"/>
        </w:rPr>
      </w:pPr>
    </w:p>
    <w:p w:rsidR="00634656" w:rsidRPr="0093686A" w:rsidRDefault="00634656" w:rsidP="00592542">
      <w:pPr>
        <w:rPr>
          <w:noProof/>
          <w:szCs w:val="22"/>
        </w:rPr>
      </w:pPr>
    </w:p>
    <w:p w:rsidR="00780926" w:rsidRPr="00CC627C" w:rsidRDefault="00780926" w:rsidP="00592542">
      <w:pPr>
        <w:rPr>
          <w:noProof/>
          <w:szCs w:val="22"/>
        </w:rPr>
      </w:pPr>
      <w:r w:rsidRPr="00CC627C">
        <w:rPr>
          <w:b/>
          <w:noProof/>
          <w:szCs w:val="22"/>
        </w:rPr>
        <w:t>1.</w:t>
      </w:r>
      <w:r w:rsidRPr="00CC627C">
        <w:rPr>
          <w:b/>
          <w:noProof/>
          <w:szCs w:val="22"/>
        </w:rPr>
        <w:tab/>
        <w:t>NÁZOV LIEKU</w:t>
      </w:r>
    </w:p>
    <w:p w:rsidR="00780926" w:rsidRPr="002B16BA" w:rsidRDefault="00780926" w:rsidP="00592542">
      <w:pPr>
        <w:rPr>
          <w:noProof/>
          <w:szCs w:val="22"/>
        </w:rPr>
      </w:pPr>
    </w:p>
    <w:p w:rsidR="003C2912" w:rsidRPr="00CA59BB" w:rsidRDefault="003C2912" w:rsidP="00592542">
      <w:pPr>
        <w:ind w:left="0" w:firstLine="0"/>
        <w:rPr>
          <w:noProof/>
          <w:szCs w:val="22"/>
        </w:rPr>
      </w:pPr>
      <w:r w:rsidRPr="00A7071C">
        <w:rPr>
          <w:noProof/>
          <w:szCs w:val="22"/>
        </w:rPr>
        <w:t>Ranitidine Accord 150</w:t>
      </w:r>
      <w:r w:rsidR="006F0BA9" w:rsidRPr="00CA59BB">
        <w:rPr>
          <w:noProof/>
          <w:szCs w:val="22"/>
        </w:rPr>
        <w:t xml:space="preserve"> </w:t>
      </w:r>
      <w:r w:rsidRPr="00CA59BB">
        <w:rPr>
          <w:noProof/>
          <w:szCs w:val="22"/>
        </w:rPr>
        <w:t>mg filmom obalené tablety</w:t>
      </w:r>
    </w:p>
    <w:p w:rsidR="003C2912" w:rsidRPr="0049301E" w:rsidRDefault="003C2912" w:rsidP="00592542">
      <w:pPr>
        <w:ind w:left="0" w:firstLine="0"/>
        <w:rPr>
          <w:noProof/>
          <w:szCs w:val="22"/>
        </w:rPr>
      </w:pPr>
      <w:r w:rsidRPr="0049301E">
        <w:rPr>
          <w:noProof/>
          <w:szCs w:val="22"/>
        </w:rPr>
        <w:t>Ranitidine Accord 300 mg filmom obalené tablety</w:t>
      </w:r>
    </w:p>
    <w:p w:rsidR="00780926" w:rsidRPr="0007548D" w:rsidRDefault="00780926" w:rsidP="00592542">
      <w:pPr>
        <w:ind w:left="0" w:firstLine="0"/>
        <w:rPr>
          <w:noProof/>
          <w:szCs w:val="22"/>
        </w:rPr>
      </w:pPr>
    </w:p>
    <w:p w:rsidR="00765B43" w:rsidRPr="00A06AA1" w:rsidRDefault="00765B43" w:rsidP="00592542">
      <w:pPr>
        <w:ind w:left="0" w:firstLine="0"/>
        <w:rPr>
          <w:noProof/>
          <w:szCs w:val="22"/>
        </w:rPr>
      </w:pPr>
    </w:p>
    <w:p w:rsidR="00780926" w:rsidRPr="00261532" w:rsidRDefault="00780926" w:rsidP="00592542">
      <w:pPr>
        <w:rPr>
          <w:noProof/>
          <w:szCs w:val="22"/>
        </w:rPr>
      </w:pPr>
      <w:r w:rsidRPr="00261532">
        <w:rPr>
          <w:b/>
          <w:noProof/>
          <w:szCs w:val="22"/>
        </w:rPr>
        <w:t>2.</w:t>
      </w:r>
      <w:r w:rsidRPr="00261532">
        <w:rPr>
          <w:b/>
          <w:noProof/>
          <w:szCs w:val="22"/>
        </w:rPr>
        <w:tab/>
        <w:t>KVALITATÍVNE A KVANTITATÍVNE ZLOŽENIE</w:t>
      </w:r>
    </w:p>
    <w:p w:rsidR="00780926" w:rsidRPr="003A2E04" w:rsidRDefault="00780926" w:rsidP="00592542">
      <w:pPr>
        <w:ind w:left="0" w:firstLine="0"/>
        <w:rPr>
          <w:noProof/>
          <w:szCs w:val="22"/>
        </w:rPr>
      </w:pPr>
    </w:p>
    <w:p w:rsidR="003C2912" w:rsidRPr="00172CCA" w:rsidRDefault="003C2912" w:rsidP="00592542">
      <w:pPr>
        <w:ind w:left="0" w:firstLine="0"/>
        <w:rPr>
          <w:noProof/>
          <w:szCs w:val="22"/>
        </w:rPr>
      </w:pPr>
      <w:r w:rsidRPr="0024190F">
        <w:rPr>
          <w:noProof/>
          <w:szCs w:val="22"/>
        </w:rPr>
        <w:t>Ranitidine Accord 150</w:t>
      </w:r>
      <w:r w:rsidR="006F0BA9" w:rsidRPr="0056687E">
        <w:rPr>
          <w:noProof/>
          <w:szCs w:val="22"/>
        </w:rPr>
        <w:t xml:space="preserve"> </w:t>
      </w:r>
      <w:r w:rsidRPr="00301E12">
        <w:rPr>
          <w:noProof/>
          <w:szCs w:val="22"/>
        </w:rPr>
        <w:t>mg filmom obalené tablety</w:t>
      </w:r>
      <w:r w:rsidR="00172CCA">
        <w:rPr>
          <w:noProof/>
          <w:szCs w:val="22"/>
        </w:rPr>
        <w:t>.</w:t>
      </w:r>
    </w:p>
    <w:p w:rsidR="003C2912" w:rsidRPr="0094639D" w:rsidRDefault="003C2912" w:rsidP="00592542">
      <w:pPr>
        <w:ind w:left="0" w:firstLine="0"/>
        <w:rPr>
          <w:noProof/>
          <w:szCs w:val="22"/>
        </w:rPr>
      </w:pPr>
      <w:r w:rsidRPr="00321B28">
        <w:rPr>
          <w:noProof/>
          <w:szCs w:val="22"/>
        </w:rPr>
        <w:t xml:space="preserve">Každá </w:t>
      </w:r>
      <w:r w:rsidRPr="0094639D">
        <w:rPr>
          <w:noProof/>
          <w:szCs w:val="22"/>
        </w:rPr>
        <w:t xml:space="preserve">tableta obsahuje </w:t>
      </w:r>
      <w:r w:rsidR="00D06C4A" w:rsidRPr="0094639D">
        <w:rPr>
          <w:noProof/>
          <w:szCs w:val="22"/>
        </w:rPr>
        <w:t xml:space="preserve">167,5 mg </w:t>
      </w:r>
      <w:r w:rsidRPr="0094639D">
        <w:rPr>
          <w:noProof/>
          <w:szCs w:val="22"/>
        </w:rPr>
        <w:t>ranitidíniumchlorid</w:t>
      </w:r>
      <w:r w:rsidR="003F79A1">
        <w:rPr>
          <w:noProof/>
          <w:szCs w:val="22"/>
        </w:rPr>
        <w:t>u</w:t>
      </w:r>
      <w:r w:rsidRPr="0094639D">
        <w:rPr>
          <w:noProof/>
          <w:szCs w:val="22"/>
        </w:rPr>
        <w:t>, čo zodpovedá 150 mg ranitidínu.</w:t>
      </w:r>
    </w:p>
    <w:p w:rsidR="00780926" w:rsidRPr="002B16BA" w:rsidRDefault="00780926" w:rsidP="005925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CC627C">
        <w:rPr>
          <w:noProof/>
          <w:szCs w:val="22"/>
          <w:lang w:val="sk-SK"/>
        </w:rPr>
        <w:t>Pomocná látka</w:t>
      </w:r>
      <w:r w:rsidR="003C2912" w:rsidRPr="00CC627C">
        <w:rPr>
          <w:noProof/>
          <w:szCs w:val="22"/>
          <w:lang w:val="sk-SK"/>
        </w:rPr>
        <w:t xml:space="preserve"> </w:t>
      </w:r>
      <w:r w:rsidR="00CB25B2" w:rsidRPr="00CC627C">
        <w:rPr>
          <w:noProof/>
          <w:szCs w:val="22"/>
          <w:lang w:val="sk-SK"/>
        </w:rPr>
        <w:t>so známym účinkom</w:t>
      </w:r>
      <w:r w:rsidRPr="00CC627C">
        <w:rPr>
          <w:noProof/>
          <w:szCs w:val="22"/>
          <w:lang w:val="sk-SK"/>
        </w:rPr>
        <w:t>:</w:t>
      </w:r>
      <w:r w:rsidR="003C2912" w:rsidRPr="00CC627C">
        <w:rPr>
          <w:noProof/>
          <w:szCs w:val="22"/>
          <w:lang w:val="sk-SK"/>
        </w:rPr>
        <w:t xml:space="preserve"> </w:t>
      </w:r>
      <w:r w:rsidR="003C2912" w:rsidRPr="002B16BA">
        <w:rPr>
          <w:szCs w:val="22"/>
          <w:lang w:val="sk-SK"/>
        </w:rPr>
        <w:t xml:space="preserve">každá filmom obalená tableta obsahuje 1,52 </w:t>
      </w:r>
      <w:r w:rsidR="00D05277" w:rsidRPr="002B16BA">
        <w:rPr>
          <w:szCs w:val="22"/>
          <w:lang w:val="sk-SK"/>
        </w:rPr>
        <w:t>ricínového</w:t>
      </w:r>
      <w:r w:rsidR="003C2912" w:rsidRPr="002B16BA">
        <w:rPr>
          <w:szCs w:val="22"/>
          <w:lang w:val="sk-SK"/>
        </w:rPr>
        <w:t xml:space="preserve"> oleja.</w:t>
      </w:r>
    </w:p>
    <w:p w:rsidR="00765B43" w:rsidRPr="00A7071C" w:rsidRDefault="00765B43" w:rsidP="005925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3C2912" w:rsidRPr="0094639D" w:rsidRDefault="003C2912" w:rsidP="00592542">
      <w:pPr>
        <w:ind w:left="0" w:firstLine="0"/>
        <w:rPr>
          <w:noProof/>
          <w:szCs w:val="22"/>
        </w:rPr>
      </w:pPr>
      <w:r w:rsidRPr="0049301E">
        <w:rPr>
          <w:noProof/>
          <w:szCs w:val="22"/>
        </w:rPr>
        <w:t>Ranitidine Accord 300 mg filmom obalené tablety</w:t>
      </w:r>
      <w:r w:rsidR="0094639D">
        <w:rPr>
          <w:noProof/>
          <w:szCs w:val="22"/>
        </w:rPr>
        <w:t>.</w:t>
      </w:r>
    </w:p>
    <w:p w:rsidR="003C2912" w:rsidRPr="00CC627C" w:rsidRDefault="003C2912" w:rsidP="00592542">
      <w:pPr>
        <w:ind w:left="0" w:firstLine="0"/>
        <w:rPr>
          <w:noProof/>
          <w:szCs w:val="22"/>
        </w:rPr>
      </w:pPr>
      <w:r w:rsidRPr="0094639D">
        <w:rPr>
          <w:noProof/>
          <w:szCs w:val="22"/>
        </w:rPr>
        <w:t xml:space="preserve">Každá tableta obsahuje </w:t>
      </w:r>
      <w:r w:rsidR="00D06C4A" w:rsidRPr="00CC627C">
        <w:rPr>
          <w:noProof/>
          <w:szCs w:val="22"/>
        </w:rPr>
        <w:t xml:space="preserve">335,0 mg </w:t>
      </w:r>
      <w:r w:rsidRPr="00CC627C">
        <w:rPr>
          <w:noProof/>
          <w:szCs w:val="22"/>
        </w:rPr>
        <w:t>ranitidíniumchlorid</w:t>
      </w:r>
      <w:r w:rsidR="003F79A1">
        <w:rPr>
          <w:noProof/>
          <w:szCs w:val="22"/>
        </w:rPr>
        <w:t>u</w:t>
      </w:r>
      <w:r w:rsidRPr="00CC627C">
        <w:rPr>
          <w:noProof/>
          <w:szCs w:val="22"/>
        </w:rPr>
        <w:t>, čo zodpovedá 300 mg ranitidínu.</w:t>
      </w:r>
    </w:p>
    <w:p w:rsidR="003C2912" w:rsidRPr="002B16BA" w:rsidRDefault="003C2912" w:rsidP="00E93BC1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CC627C">
        <w:rPr>
          <w:noProof/>
          <w:szCs w:val="22"/>
          <w:lang w:val="sk-SK"/>
        </w:rPr>
        <w:t xml:space="preserve">Pomocná látka so známym účinkom: </w:t>
      </w:r>
      <w:r w:rsidRPr="00CC627C">
        <w:rPr>
          <w:szCs w:val="22"/>
          <w:lang w:val="sk-SK"/>
        </w:rPr>
        <w:t xml:space="preserve">každá filmom obalená tableta obsahuje 3,04 </w:t>
      </w:r>
      <w:r w:rsidR="00D05277" w:rsidRPr="002B16BA">
        <w:rPr>
          <w:szCs w:val="22"/>
          <w:lang w:val="sk-SK"/>
        </w:rPr>
        <w:t>ricínového</w:t>
      </w:r>
      <w:r w:rsidRPr="002B16BA">
        <w:rPr>
          <w:szCs w:val="22"/>
          <w:lang w:val="sk-SK"/>
        </w:rPr>
        <w:t xml:space="preserve"> oleja.</w:t>
      </w:r>
    </w:p>
    <w:p w:rsidR="003C2912" w:rsidRPr="00A7071C" w:rsidRDefault="003C2912" w:rsidP="0093686A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szCs w:val="22"/>
          <w:lang w:val="sk-SK"/>
        </w:rPr>
      </w:pPr>
    </w:p>
    <w:p w:rsidR="00780926" w:rsidRPr="0049301E" w:rsidRDefault="00780926" w:rsidP="00E93BC1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 w:rsidRPr="0049301E">
        <w:rPr>
          <w:noProof/>
          <w:szCs w:val="22"/>
          <w:lang w:eastAsia="en-US"/>
        </w:rPr>
        <w:t>Úplný zoznam pomocných látok, pozri časť 6.1.</w:t>
      </w:r>
    </w:p>
    <w:p w:rsidR="00780926" w:rsidRPr="0007548D" w:rsidRDefault="00780926" w:rsidP="00592542">
      <w:pPr>
        <w:rPr>
          <w:noProof/>
          <w:szCs w:val="22"/>
        </w:rPr>
      </w:pPr>
    </w:p>
    <w:p w:rsidR="00780926" w:rsidRPr="00A06AA1" w:rsidRDefault="00780926" w:rsidP="00592542">
      <w:pPr>
        <w:rPr>
          <w:noProof/>
          <w:szCs w:val="22"/>
        </w:rPr>
      </w:pPr>
    </w:p>
    <w:p w:rsidR="00780926" w:rsidRPr="00261532" w:rsidRDefault="00780926" w:rsidP="00592542">
      <w:pPr>
        <w:rPr>
          <w:caps/>
          <w:noProof/>
          <w:szCs w:val="22"/>
        </w:rPr>
      </w:pPr>
      <w:r w:rsidRPr="00261532">
        <w:rPr>
          <w:b/>
          <w:noProof/>
          <w:szCs w:val="22"/>
        </w:rPr>
        <w:t>3.</w:t>
      </w:r>
      <w:r w:rsidRPr="00261532">
        <w:rPr>
          <w:b/>
          <w:noProof/>
          <w:szCs w:val="22"/>
        </w:rPr>
        <w:tab/>
        <w:t>LIEKOVÁ FORMA</w:t>
      </w:r>
    </w:p>
    <w:p w:rsidR="00780926" w:rsidRPr="003A2E04" w:rsidRDefault="00780926" w:rsidP="00592542">
      <w:pPr>
        <w:rPr>
          <w:noProof/>
          <w:szCs w:val="22"/>
        </w:rPr>
      </w:pPr>
    </w:p>
    <w:p w:rsidR="00780926" w:rsidRPr="00301E12" w:rsidRDefault="00621B15" w:rsidP="00592542">
      <w:pPr>
        <w:rPr>
          <w:noProof/>
          <w:szCs w:val="22"/>
        </w:rPr>
      </w:pPr>
      <w:r w:rsidRPr="0024190F">
        <w:rPr>
          <w:noProof/>
          <w:szCs w:val="22"/>
        </w:rPr>
        <w:t>Filmom obalená tablet</w:t>
      </w:r>
      <w:r w:rsidRPr="0056687E">
        <w:rPr>
          <w:noProof/>
          <w:szCs w:val="22"/>
        </w:rPr>
        <w:t>a.</w:t>
      </w:r>
    </w:p>
    <w:p w:rsidR="00780926" w:rsidRPr="008930DD" w:rsidRDefault="00780926" w:rsidP="00592542">
      <w:pPr>
        <w:rPr>
          <w:noProof/>
          <w:szCs w:val="22"/>
        </w:rPr>
      </w:pPr>
    </w:p>
    <w:p w:rsidR="00621B15" w:rsidRPr="00576DF6" w:rsidRDefault="00621B15" w:rsidP="00592542">
      <w:pPr>
        <w:rPr>
          <w:noProof/>
          <w:szCs w:val="22"/>
        </w:rPr>
      </w:pPr>
      <w:r w:rsidRPr="00576DF6">
        <w:rPr>
          <w:noProof/>
          <w:szCs w:val="22"/>
        </w:rPr>
        <w:t>Ranitidine Accord 150 mg filmom obalené tablety.</w:t>
      </w:r>
    </w:p>
    <w:p w:rsidR="00621B15" w:rsidRPr="0052067A" w:rsidRDefault="00621B15" w:rsidP="00C8276E">
      <w:pPr>
        <w:ind w:left="0" w:firstLine="0"/>
        <w:rPr>
          <w:noProof/>
          <w:szCs w:val="22"/>
        </w:rPr>
      </w:pPr>
      <w:r w:rsidRPr="005C40B4">
        <w:rPr>
          <w:noProof/>
          <w:szCs w:val="22"/>
        </w:rPr>
        <w:t xml:space="preserve">Krémovo žlté, okrúhle, bikonvexné, filmom obalené tablety s priemerom približne 10 mm s nápisom </w:t>
      </w:r>
    </w:p>
    <w:p w:rsidR="00621B15" w:rsidRPr="001D0EB1" w:rsidRDefault="00621B15" w:rsidP="00592542">
      <w:pPr>
        <w:rPr>
          <w:noProof/>
          <w:szCs w:val="22"/>
        </w:rPr>
      </w:pPr>
      <w:r w:rsidRPr="00306F83">
        <w:rPr>
          <w:noProof/>
          <w:spacing w:val="1"/>
          <w:szCs w:val="22"/>
        </w:rPr>
        <w:t>"</w:t>
      </w:r>
      <w:r w:rsidRPr="00E94519">
        <w:rPr>
          <w:noProof/>
          <w:spacing w:val="-4"/>
          <w:szCs w:val="22"/>
        </w:rPr>
        <w:t>I</w:t>
      </w:r>
      <w:r w:rsidRPr="001D0EB1">
        <w:rPr>
          <w:noProof/>
          <w:szCs w:val="22"/>
        </w:rPr>
        <w:t>L" na jednej strane a hladké na druhej strane.</w:t>
      </w:r>
    </w:p>
    <w:p w:rsidR="00621B15" w:rsidRPr="00E212AB" w:rsidRDefault="00621B15" w:rsidP="00592542">
      <w:pPr>
        <w:rPr>
          <w:noProof/>
          <w:szCs w:val="22"/>
        </w:rPr>
      </w:pPr>
    </w:p>
    <w:p w:rsidR="00621B15" w:rsidRPr="00407DB6" w:rsidRDefault="00621B15" w:rsidP="00592542">
      <w:pPr>
        <w:rPr>
          <w:noProof/>
          <w:szCs w:val="22"/>
        </w:rPr>
      </w:pPr>
      <w:r w:rsidRPr="00407DB6">
        <w:rPr>
          <w:noProof/>
          <w:szCs w:val="22"/>
        </w:rPr>
        <w:t>Ranitidine Accord 150 mg filmom obalené tablety.</w:t>
      </w:r>
    </w:p>
    <w:p w:rsidR="00621B15" w:rsidRPr="002B700A" w:rsidRDefault="00621B15" w:rsidP="00C8276E">
      <w:pPr>
        <w:ind w:left="0" w:firstLine="0"/>
        <w:rPr>
          <w:noProof/>
          <w:szCs w:val="22"/>
        </w:rPr>
      </w:pPr>
      <w:r w:rsidRPr="007129CD">
        <w:rPr>
          <w:noProof/>
          <w:szCs w:val="22"/>
        </w:rPr>
        <w:t>Krémo</w:t>
      </w:r>
      <w:r w:rsidRPr="00AF4EC7">
        <w:rPr>
          <w:noProof/>
          <w:szCs w:val="22"/>
        </w:rPr>
        <w:t xml:space="preserve">vo žlté, okrúhle, bikonvexné, filmom obalené tablety s priemerom približne 12,5 mm s nápisom </w:t>
      </w:r>
    </w:p>
    <w:p w:rsidR="00621B15" w:rsidRPr="000C6CCC" w:rsidRDefault="006F0BA9" w:rsidP="00592542">
      <w:pPr>
        <w:rPr>
          <w:noProof/>
          <w:szCs w:val="22"/>
        </w:rPr>
      </w:pPr>
      <w:r w:rsidRPr="0042378E">
        <w:rPr>
          <w:noProof/>
          <w:spacing w:val="-2"/>
          <w:szCs w:val="22"/>
        </w:rPr>
        <w:t>"</w:t>
      </w:r>
      <w:r w:rsidR="00621B15" w:rsidRPr="009F342E">
        <w:rPr>
          <w:noProof/>
          <w:spacing w:val="-2"/>
          <w:szCs w:val="22"/>
        </w:rPr>
        <w:t>I</w:t>
      </w:r>
      <w:r w:rsidR="00621B15" w:rsidRPr="009F342E">
        <w:rPr>
          <w:noProof/>
          <w:spacing w:val="-4"/>
          <w:szCs w:val="22"/>
        </w:rPr>
        <w:t>I</w:t>
      </w:r>
      <w:r w:rsidR="00621B15" w:rsidRPr="000C6CCC">
        <w:rPr>
          <w:noProof/>
          <w:szCs w:val="22"/>
        </w:rPr>
        <w:t>" na jednej strane a hladké na druhej strane.</w:t>
      </w:r>
    </w:p>
    <w:p w:rsidR="00780926" w:rsidRPr="00A24B51" w:rsidRDefault="00780926" w:rsidP="00592542">
      <w:pPr>
        <w:rPr>
          <w:noProof/>
          <w:szCs w:val="22"/>
        </w:rPr>
      </w:pPr>
    </w:p>
    <w:p w:rsidR="00780926" w:rsidRPr="00B971D7" w:rsidRDefault="00780926" w:rsidP="00592542">
      <w:pPr>
        <w:rPr>
          <w:noProof/>
          <w:szCs w:val="22"/>
        </w:rPr>
      </w:pPr>
    </w:p>
    <w:p w:rsidR="00780926" w:rsidRPr="00C31981" w:rsidRDefault="00780926" w:rsidP="00592542">
      <w:pPr>
        <w:rPr>
          <w:caps/>
          <w:noProof/>
          <w:szCs w:val="22"/>
        </w:rPr>
      </w:pPr>
      <w:r w:rsidRPr="001E5C3D">
        <w:rPr>
          <w:b/>
          <w:caps/>
          <w:noProof/>
          <w:szCs w:val="22"/>
        </w:rPr>
        <w:t>4.</w:t>
      </w:r>
      <w:r w:rsidRPr="001E5C3D">
        <w:rPr>
          <w:b/>
          <w:caps/>
          <w:noProof/>
          <w:szCs w:val="22"/>
        </w:rPr>
        <w:tab/>
        <w:t>KLINICKÉ ÚDAJE</w:t>
      </w:r>
    </w:p>
    <w:p w:rsidR="00780926" w:rsidRPr="004D0022" w:rsidRDefault="00780926" w:rsidP="00592542">
      <w:pPr>
        <w:rPr>
          <w:noProof/>
          <w:szCs w:val="22"/>
        </w:rPr>
      </w:pPr>
    </w:p>
    <w:p w:rsidR="00780926" w:rsidRPr="0050704B" w:rsidRDefault="00780926" w:rsidP="00592542">
      <w:pPr>
        <w:rPr>
          <w:noProof/>
          <w:szCs w:val="22"/>
        </w:rPr>
      </w:pPr>
      <w:r w:rsidRPr="00D968C8">
        <w:rPr>
          <w:b/>
          <w:noProof/>
          <w:szCs w:val="22"/>
        </w:rPr>
        <w:t>4.1</w:t>
      </w:r>
      <w:r w:rsidRPr="00D968C8">
        <w:rPr>
          <w:b/>
          <w:noProof/>
          <w:szCs w:val="22"/>
        </w:rPr>
        <w:tab/>
        <w:t>Terapeutické indikácie</w:t>
      </w:r>
    </w:p>
    <w:p w:rsidR="00780926" w:rsidRPr="00F44C96" w:rsidRDefault="00780926" w:rsidP="00592542">
      <w:pPr>
        <w:rPr>
          <w:noProof/>
          <w:szCs w:val="22"/>
        </w:rPr>
      </w:pPr>
    </w:p>
    <w:p w:rsidR="00621B15" w:rsidRPr="00734304" w:rsidRDefault="00621B15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144" w:right="144" w:hanging="144"/>
        <w:rPr>
          <w:noProof/>
          <w:szCs w:val="22"/>
        </w:rPr>
      </w:pPr>
      <w:r w:rsidRPr="00E223ED">
        <w:rPr>
          <w:b/>
          <w:bCs/>
          <w:noProof/>
          <w:spacing w:val="-1"/>
          <w:szCs w:val="22"/>
        </w:rPr>
        <w:t>R</w:t>
      </w:r>
      <w:r w:rsidRPr="00DA7902">
        <w:rPr>
          <w:b/>
          <w:bCs/>
          <w:noProof/>
          <w:szCs w:val="22"/>
        </w:rPr>
        <w:t>ani</w:t>
      </w:r>
      <w:r w:rsidRPr="003B5D38">
        <w:rPr>
          <w:b/>
          <w:bCs/>
          <w:noProof/>
          <w:spacing w:val="-1"/>
          <w:szCs w:val="22"/>
        </w:rPr>
        <w:t>t</w:t>
      </w:r>
      <w:r w:rsidRPr="00501CEF">
        <w:rPr>
          <w:b/>
          <w:bCs/>
          <w:noProof/>
          <w:spacing w:val="1"/>
          <w:szCs w:val="22"/>
        </w:rPr>
        <w:t>i</w:t>
      </w:r>
      <w:r w:rsidRPr="00B25049">
        <w:rPr>
          <w:b/>
          <w:bCs/>
          <w:noProof/>
          <w:szCs w:val="22"/>
        </w:rPr>
        <w:t>d</w:t>
      </w:r>
      <w:r w:rsidR="003C2912" w:rsidRPr="007F1BBF">
        <w:rPr>
          <w:b/>
          <w:bCs/>
          <w:noProof/>
          <w:szCs w:val="22"/>
        </w:rPr>
        <w:t xml:space="preserve">ín </w:t>
      </w:r>
      <w:r w:rsidRPr="00AD4326">
        <w:rPr>
          <w:b/>
          <w:bCs/>
          <w:noProof/>
          <w:szCs w:val="22"/>
        </w:rPr>
        <w:t>150</w:t>
      </w:r>
      <w:r w:rsidRPr="006D0F6A">
        <w:rPr>
          <w:b/>
          <w:bCs/>
          <w:noProof/>
          <w:spacing w:val="-2"/>
          <w:szCs w:val="22"/>
        </w:rPr>
        <w:t xml:space="preserve"> </w:t>
      </w:r>
      <w:r w:rsidRPr="00084F2F">
        <w:rPr>
          <w:b/>
          <w:bCs/>
          <w:noProof/>
          <w:spacing w:val="1"/>
          <w:szCs w:val="22"/>
        </w:rPr>
        <w:t>m</w:t>
      </w:r>
      <w:r w:rsidRPr="0035019A">
        <w:rPr>
          <w:b/>
          <w:bCs/>
          <w:noProof/>
          <w:szCs w:val="22"/>
        </w:rPr>
        <w:t xml:space="preserve">g </w:t>
      </w:r>
      <w:r w:rsidRPr="00135023">
        <w:rPr>
          <w:b/>
          <w:bCs/>
          <w:noProof/>
          <w:spacing w:val="-1"/>
          <w:szCs w:val="22"/>
        </w:rPr>
        <w:t>t</w:t>
      </w:r>
      <w:r w:rsidRPr="003D257F">
        <w:rPr>
          <w:b/>
          <w:bCs/>
          <w:noProof/>
          <w:szCs w:val="22"/>
        </w:rPr>
        <w:t>abl</w:t>
      </w:r>
      <w:r w:rsidRPr="009836E5">
        <w:rPr>
          <w:b/>
          <w:bCs/>
          <w:noProof/>
          <w:spacing w:val="-1"/>
          <w:szCs w:val="22"/>
        </w:rPr>
        <w:t>e</w:t>
      </w:r>
      <w:r w:rsidRPr="00F83D37">
        <w:rPr>
          <w:b/>
          <w:bCs/>
          <w:noProof/>
          <w:spacing w:val="1"/>
          <w:szCs w:val="22"/>
        </w:rPr>
        <w:t>t</w:t>
      </w:r>
      <w:r w:rsidR="003C2912" w:rsidRPr="00307E1F">
        <w:rPr>
          <w:b/>
          <w:bCs/>
          <w:noProof/>
          <w:szCs w:val="22"/>
        </w:rPr>
        <w:t>y</w:t>
      </w:r>
    </w:p>
    <w:p w:rsidR="00621B15" w:rsidRPr="003A38DD" w:rsidRDefault="00621B15" w:rsidP="00592542">
      <w:pPr>
        <w:rPr>
          <w:noProof/>
          <w:szCs w:val="22"/>
        </w:rPr>
      </w:pPr>
    </w:p>
    <w:p w:rsidR="00780926" w:rsidRPr="00C10C95" w:rsidRDefault="00621B15" w:rsidP="00592542">
      <w:pPr>
        <w:rPr>
          <w:noProof/>
          <w:szCs w:val="22"/>
        </w:rPr>
      </w:pPr>
      <w:r w:rsidRPr="00880543">
        <w:rPr>
          <w:noProof/>
          <w:szCs w:val="22"/>
        </w:rPr>
        <w:t>- Duodenálny vred</w:t>
      </w:r>
    </w:p>
    <w:p w:rsidR="00621B15" w:rsidRPr="00CA59BB" w:rsidRDefault="00621B15" w:rsidP="00592542">
      <w:pPr>
        <w:rPr>
          <w:noProof/>
          <w:szCs w:val="22"/>
        </w:rPr>
      </w:pPr>
      <w:r w:rsidRPr="00073402">
        <w:rPr>
          <w:noProof/>
          <w:szCs w:val="22"/>
        </w:rPr>
        <w:t xml:space="preserve">- Benígny </w:t>
      </w:r>
      <w:r w:rsidRPr="001F27B8">
        <w:rPr>
          <w:noProof/>
          <w:szCs w:val="22"/>
        </w:rPr>
        <w:t>vred</w:t>
      </w:r>
      <w:r w:rsidR="00CA59BB">
        <w:rPr>
          <w:noProof/>
          <w:szCs w:val="22"/>
        </w:rPr>
        <w:t xml:space="preserve"> žalúdka</w:t>
      </w:r>
    </w:p>
    <w:p w:rsidR="00621B15" w:rsidRPr="0049301E" w:rsidRDefault="00621B15" w:rsidP="00592542">
      <w:pPr>
        <w:rPr>
          <w:noProof/>
          <w:szCs w:val="22"/>
        </w:rPr>
      </w:pPr>
      <w:r w:rsidRPr="0049301E">
        <w:rPr>
          <w:noProof/>
          <w:szCs w:val="22"/>
        </w:rPr>
        <w:t>- Dlhodobá liečba duodenálnych vredov</w:t>
      </w:r>
    </w:p>
    <w:p w:rsidR="00621B15" w:rsidRPr="0007548D" w:rsidRDefault="00621B15" w:rsidP="00592542">
      <w:pPr>
        <w:rPr>
          <w:noProof/>
          <w:szCs w:val="22"/>
        </w:rPr>
      </w:pPr>
      <w:r w:rsidRPr="0007548D">
        <w:rPr>
          <w:noProof/>
          <w:szCs w:val="22"/>
        </w:rPr>
        <w:t>- Refluxná ezofagitída</w:t>
      </w:r>
    </w:p>
    <w:p w:rsidR="003C2912" w:rsidRPr="00A06AA1" w:rsidRDefault="00621B15" w:rsidP="00592542">
      <w:pPr>
        <w:ind w:left="0" w:firstLine="0"/>
        <w:rPr>
          <w:noProof/>
          <w:szCs w:val="22"/>
        </w:rPr>
      </w:pPr>
      <w:r w:rsidRPr="00A06AA1">
        <w:rPr>
          <w:noProof/>
          <w:szCs w:val="22"/>
        </w:rPr>
        <w:t xml:space="preserve">- </w:t>
      </w:r>
      <w:r w:rsidR="003C2912" w:rsidRPr="00A06AA1">
        <w:rPr>
          <w:noProof/>
          <w:szCs w:val="22"/>
        </w:rPr>
        <w:t>Zollingerov-Elisonov syndróm</w:t>
      </w:r>
    </w:p>
    <w:p w:rsidR="00621B15" w:rsidRPr="00261532" w:rsidRDefault="00621B15" w:rsidP="00592542">
      <w:pPr>
        <w:rPr>
          <w:noProof/>
          <w:szCs w:val="22"/>
        </w:rPr>
      </w:pPr>
    </w:p>
    <w:p w:rsidR="00621B15" w:rsidRPr="005C0F09" w:rsidRDefault="00621B15" w:rsidP="00592542">
      <w:pPr>
        <w:rPr>
          <w:noProof/>
          <w:szCs w:val="22"/>
          <w:u w:val="single"/>
        </w:rPr>
      </w:pPr>
      <w:r w:rsidRPr="003A2E04">
        <w:rPr>
          <w:noProof/>
          <w:szCs w:val="22"/>
          <w:u w:val="single"/>
        </w:rPr>
        <w:t xml:space="preserve">Deti </w:t>
      </w:r>
      <w:r w:rsidR="005C0F09">
        <w:rPr>
          <w:noProof/>
          <w:szCs w:val="22"/>
          <w:u w:val="single"/>
        </w:rPr>
        <w:t xml:space="preserve">vo veku </w:t>
      </w:r>
      <w:r w:rsidRPr="005C0F09">
        <w:rPr>
          <w:noProof/>
          <w:szCs w:val="22"/>
          <w:u w:val="single"/>
        </w:rPr>
        <w:t>od 3 do 18 rokov</w:t>
      </w:r>
    </w:p>
    <w:p w:rsidR="00621B15" w:rsidRPr="00236290" w:rsidRDefault="00621B15" w:rsidP="00592542">
      <w:pPr>
        <w:rPr>
          <w:noProof/>
          <w:szCs w:val="22"/>
        </w:rPr>
      </w:pPr>
      <w:r w:rsidRPr="0007548D">
        <w:rPr>
          <w:noProof/>
          <w:szCs w:val="22"/>
        </w:rPr>
        <w:t xml:space="preserve">- </w:t>
      </w:r>
      <w:r w:rsidR="00A06CFE" w:rsidRPr="00236290">
        <w:rPr>
          <w:noProof/>
          <w:szCs w:val="22"/>
        </w:rPr>
        <w:t>Krátkodobá liečba peptického vredu</w:t>
      </w:r>
    </w:p>
    <w:p w:rsidR="007074F7" w:rsidRPr="00A06AA1" w:rsidRDefault="00A06CFE" w:rsidP="00C8276E">
      <w:pPr>
        <w:ind w:left="142" w:hanging="142"/>
        <w:rPr>
          <w:noProof/>
          <w:szCs w:val="22"/>
        </w:rPr>
      </w:pPr>
      <w:r w:rsidRPr="00A06AA1">
        <w:rPr>
          <w:noProof/>
          <w:szCs w:val="22"/>
        </w:rPr>
        <w:t>- Liečba gastroezofageálneho refluxu vrátane refluxnej ezofagitídy a</w:t>
      </w:r>
      <w:r w:rsidR="00561C87" w:rsidRPr="00561C87">
        <w:rPr>
          <w:noProof/>
          <w:szCs w:val="22"/>
        </w:rPr>
        <w:t xml:space="preserve"> </w:t>
      </w:r>
      <w:r w:rsidR="00561C87">
        <w:rPr>
          <w:noProof/>
          <w:szCs w:val="22"/>
        </w:rPr>
        <w:t>symptomatického</w:t>
      </w:r>
      <w:r w:rsidRPr="00A06AA1">
        <w:rPr>
          <w:noProof/>
          <w:szCs w:val="22"/>
        </w:rPr>
        <w:t xml:space="preserve"> </w:t>
      </w:r>
      <w:r w:rsidR="007074F7" w:rsidRPr="00A06AA1">
        <w:rPr>
          <w:noProof/>
          <w:szCs w:val="22"/>
        </w:rPr>
        <w:t>zmierneni</w:t>
      </w:r>
      <w:r w:rsidR="00350BA7">
        <w:rPr>
          <w:noProof/>
          <w:szCs w:val="22"/>
        </w:rPr>
        <w:t>a</w:t>
      </w:r>
      <w:r w:rsidR="007074F7" w:rsidRPr="00A06AA1">
        <w:rPr>
          <w:noProof/>
          <w:szCs w:val="22"/>
        </w:rPr>
        <w:t xml:space="preserve"> gastroezofageálnej refluxnej choroby</w:t>
      </w:r>
    </w:p>
    <w:p w:rsidR="00621B15" w:rsidRPr="00261532" w:rsidRDefault="00621B15" w:rsidP="00592542">
      <w:pPr>
        <w:rPr>
          <w:noProof/>
          <w:szCs w:val="22"/>
        </w:rPr>
      </w:pPr>
    </w:p>
    <w:p w:rsidR="00A06CFE" w:rsidRPr="001032C9" w:rsidRDefault="007074F7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144" w:right="144" w:hanging="144"/>
        <w:rPr>
          <w:b/>
          <w:bCs/>
          <w:noProof/>
          <w:szCs w:val="22"/>
        </w:rPr>
      </w:pPr>
      <w:r w:rsidRPr="003A2E04">
        <w:rPr>
          <w:b/>
          <w:bCs/>
          <w:noProof/>
          <w:spacing w:val="-1"/>
          <w:szCs w:val="22"/>
        </w:rPr>
        <w:t>R</w:t>
      </w:r>
      <w:r w:rsidRPr="0024190F">
        <w:rPr>
          <w:b/>
          <w:bCs/>
          <w:noProof/>
          <w:szCs w:val="22"/>
        </w:rPr>
        <w:t>ani</w:t>
      </w:r>
      <w:r w:rsidRPr="0056687E">
        <w:rPr>
          <w:b/>
          <w:bCs/>
          <w:noProof/>
          <w:spacing w:val="-1"/>
          <w:szCs w:val="22"/>
        </w:rPr>
        <w:t>t</w:t>
      </w:r>
      <w:r w:rsidRPr="00301E12">
        <w:rPr>
          <w:b/>
          <w:bCs/>
          <w:noProof/>
          <w:spacing w:val="1"/>
          <w:szCs w:val="22"/>
        </w:rPr>
        <w:t>i</w:t>
      </w:r>
      <w:r w:rsidRPr="008930DD">
        <w:rPr>
          <w:b/>
          <w:bCs/>
          <w:noProof/>
          <w:szCs w:val="22"/>
        </w:rPr>
        <w:t xml:space="preserve">dín </w:t>
      </w:r>
      <w:r w:rsidR="00A06CFE" w:rsidRPr="00576DF6">
        <w:rPr>
          <w:b/>
          <w:bCs/>
          <w:noProof/>
          <w:szCs w:val="22"/>
        </w:rPr>
        <w:t>300</w:t>
      </w:r>
      <w:r w:rsidR="00A06CFE" w:rsidRPr="00D07A3E">
        <w:rPr>
          <w:b/>
          <w:bCs/>
          <w:noProof/>
          <w:spacing w:val="-2"/>
          <w:szCs w:val="22"/>
        </w:rPr>
        <w:t xml:space="preserve"> </w:t>
      </w:r>
      <w:r w:rsidR="00A06CFE" w:rsidRPr="005C40B4">
        <w:rPr>
          <w:b/>
          <w:bCs/>
          <w:noProof/>
          <w:spacing w:val="1"/>
          <w:szCs w:val="22"/>
        </w:rPr>
        <w:t>m</w:t>
      </w:r>
      <w:r w:rsidR="00A06CFE" w:rsidRPr="0052067A">
        <w:rPr>
          <w:b/>
          <w:bCs/>
          <w:noProof/>
          <w:szCs w:val="22"/>
        </w:rPr>
        <w:t xml:space="preserve">g </w:t>
      </w:r>
      <w:r w:rsidR="00A06CFE" w:rsidRPr="00306F83">
        <w:rPr>
          <w:b/>
          <w:bCs/>
          <w:noProof/>
          <w:spacing w:val="-1"/>
          <w:szCs w:val="22"/>
        </w:rPr>
        <w:t>t</w:t>
      </w:r>
      <w:r w:rsidR="00A06CFE" w:rsidRPr="00E94519">
        <w:rPr>
          <w:b/>
          <w:bCs/>
          <w:noProof/>
          <w:szCs w:val="22"/>
        </w:rPr>
        <w:t>abl</w:t>
      </w:r>
      <w:r w:rsidR="00A06CFE" w:rsidRPr="001D0EB1">
        <w:rPr>
          <w:b/>
          <w:bCs/>
          <w:noProof/>
          <w:spacing w:val="-1"/>
          <w:szCs w:val="22"/>
        </w:rPr>
        <w:t>e</w:t>
      </w:r>
      <w:r w:rsidR="00A06CFE" w:rsidRPr="00E212AB">
        <w:rPr>
          <w:b/>
          <w:bCs/>
          <w:noProof/>
          <w:spacing w:val="1"/>
          <w:szCs w:val="22"/>
        </w:rPr>
        <w:t>t</w:t>
      </w:r>
      <w:r w:rsidRPr="00407DB6">
        <w:rPr>
          <w:b/>
          <w:bCs/>
          <w:noProof/>
          <w:szCs w:val="22"/>
        </w:rPr>
        <w:t>y</w:t>
      </w:r>
    </w:p>
    <w:p w:rsidR="00A06CFE" w:rsidRPr="007129CD" w:rsidRDefault="00A06CFE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0" w:right="144" w:firstLine="0"/>
        <w:rPr>
          <w:noProof/>
          <w:szCs w:val="22"/>
        </w:rPr>
      </w:pPr>
    </w:p>
    <w:p w:rsidR="00A06CFE" w:rsidRPr="00AF4EC7" w:rsidRDefault="00A06CFE" w:rsidP="00592542">
      <w:pPr>
        <w:rPr>
          <w:noProof/>
          <w:szCs w:val="22"/>
        </w:rPr>
      </w:pPr>
      <w:r w:rsidRPr="00AF4EC7">
        <w:rPr>
          <w:noProof/>
          <w:szCs w:val="22"/>
        </w:rPr>
        <w:t>- Duodenálny vred</w:t>
      </w:r>
    </w:p>
    <w:p w:rsidR="00A06CFE" w:rsidRPr="00261532" w:rsidRDefault="00A06CFE" w:rsidP="00592542">
      <w:pPr>
        <w:rPr>
          <w:noProof/>
          <w:szCs w:val="22"/>
        </w:rPr>
      </w:pPr>
      <w:r w:rsidRPr="00AF4EC7">
        <w:rPr>
          <w:noProof/>
          <w:szCs w:val="22"/>
        </w:rPr>
        <w:lastRenderedPageBreak/>
        <w:t xml:space="preserve">- Benígny </w:t>
      </w:r>
      <w:r w:rsidRPr="0042378E">
        <w:rPr>
          <w:noProof/>
          <w:szCs w:val="22"/>
        </w:rPr>
        <w:t>vred</w:t>
      </w:r>
      <w:r w:rsidR="00261532">
        <w:rPr>
          <w:noProof/>
          <w:szCs w:val="22"/>
        </w:rPr>
        <w:t xml:space="preserve"> žalúdka</w:t>
      </w:r>
    </w:p>
    <w:p w:rsidR="00A06CFE" w:rsidRPr="003A2E04" w:rsidRDefault="00A06CFE" w:rsidP="00592542">
      <w:pPr>
        <w:rPr>
          <w:noProof/>
          <w:szCs w:val="22"/>
        </w:rPr>
      </w:pPr>
      <w:r w:rsidRPr="003A2E04">
        <w:rPr>
          <w:noProof/>
          <w:szCs w:val="22"/>
        </w:rPr>
        <w:t>- Refluxná ezofagitída</w:t>
      </w:r>
    </w:p>
    <w:p w:rsidR="00A06CFE" w:rsidRPr="0024190F" w:rsidRDefault="00A06CFE" w:rsidP="00592542">
      <w:pPr>
        <w:rPr>
          <w:noProof/>
          <w:szCs w:val="22"/>
        </w:rPr>
      </w:pPr>
      <w:r w:rsidRPr="0024190F">
        <w:rPr>
          <w:noProof/>
          <w:szCs w:val="22"/>
        </w:rPr>
        <w:t xml:space="preserve">- </w:t>
      </w:r>
      <w:r w:rsidR="007074F7" w:rsidRPr="0024190F">
        <w:rPr>
          <w:noProof/>
          <w:szCs w:val="22"/>
        </w:rPr>
        <w:t>Zollingerov-Elisonov syndróm</w:t>
      </w:r>
    </w:p>
    <w:p w:rsidR="00A06CFE" w:rsidRPr="0056687E" w:rsidRDefault="00A06CFE" w:rsidP="00592542">
      <w:pPr>
        <w:rPr>
          <w:noProof/>
          <w:szCs w:val="22"/>
        </w:rPr>
      </w:pPr>
    </w:p>
    <w:p w:rsidR="00A06CFE" w:rsidRPr="003A2E04" w:rsidRDefault="00A06CFE" w:rsidP="00592542">
      <w:pPr>
        <w:rPr>
          <w:noProof/>
          <w:szCs w:val="22"/>
          <w:u w:val="single"/>
        </w:rPr>
      </w:pPr>
      <w:r w:rsidRPr="00301E12">
        <w:rPr>
          <w:noProof/>
          <w:szCs w:val="22"/>
          <w:u w:val="single"/>
        </w:rPr>
        <w:t xml:space="preserve">Deti </w:t>
      </w:r>
      <w:r w:rsidR="003A2E04">
        <w:rPr>
          <w:noProof/>
          <w:szCs w:val="22"/>
          <w:u w:val="single"/>
        </w:rPr>
        <w:t xml:space="preserve">vo veku </w:t>
      </w:r>
      <w:r w:rsidRPr="003A2E04">
        <w:rPr>
          <w:noProof/>
          <w:szCs w:val="22"/>
          <w:u w:val="single"/>
        </w:rPr>
        <w:t>od 3 do 18 rokov</w:t>
      </w:r>
    </w:p>
    <w:p w:rsidR="00A06CFE" w:rsidRPr="0024190F" w:rsidRDefault="00A06CFE" w:rsidP="00592542">
      <w:pPr>
        <w:rPr>
          <w:noProof/>
          <w:szCs w:val="22"/>
        </w:rPr>
      </w:pPr>
      <w:r w:rsidRPr="0024190F">
        <w:rPr>
          <w:noProof/>
          <w:szCs w:val="22"/>
        </w:rPr>
        <w:t>- Krátkodobá liečba peptického vredu</w:t>
      </w:r>
    </w:p>
    <w:p w:rsidR="007074F7" w:rsidRPr="0024190F" w:rsidRDefault="00A06CFE" w:rsidP="00C8276E">
      <w:pPr>
        <w:ind w:left="142" w:hanging="142"/>
        <w:rPr>
          <w:noProof/>
          <w:szCs w:val="22"/>
        </w:rPr>
      </w:pPr>
      <w:r w:rsidRPr="0024190F">
        <w:rPr>
          <w:noProof/>
          <w:szCs w:val="22"/>
        </w:rPr>
        <w:t xml:space="preserve">- Liečba gastroezofageálneho refluxu vrátane refluxnej ezofagitídy </w:t>
      </w:r>
      <w:r w:rsidR="007074F7" w:rsidRPr="0024190F">
        <w:rPr>
          <w:noProof/>
          <w:szCs w:val="22"/>
        </w:rPr>
        <w:t>a</w:t>
      </w:r>
      <w:r w:rsidR="00561C87" w:rsidRPr="00561C87">
        <w:rPr>
          <w:noProof/>
          <w:szCs w:val="22"/>
        </w:rPr>
        <w:t xml:space="preserve"> </w:t>
      </w:r>
      <w:r w:rsidR="00561C87">
        <w:rPr>
          <w:noProof/>
          <w:szCs w:val="22"/>
        </w:rPr>
        <w:t>symptomatického</w:t>
      </w:r>
      <w:r w:rsidR="007074F7" w:rsidRPr="0024190F">
        <w:rPr>
          <w:noProof/>
          <w:szCs w:val="22"/>
        </w:rPr>
        <w:t xml:space="preserve"> zmierneni</w:t>
      </w:r>
      <w:r w:rsidR="00350BA7">
        <w:rPr>
          <w:noProof/>
          <w:szCs w:val="22"/>
        </w:rPr>
        <w:t>a</w:t>
      </w:r>
      <w:r w:rsidR="007074F7" w:rsidRPr="0024190F">
        <w:rPr>
          <w:noProof/>
          <w:szCs w:val="22"/>
        </w:rPr>
        <w:t xml:space="preserve"> gastroezofageálnej refluxnej choroby</w:t>
      </w:r>
    </w:p>
    <w:p w:rsidR="00A06CFE" w:rsidRPr="0024190F" w:rsidRDefault="00A06CFE" w:rsidP="00592542">
      <w:pPr>
        <w:rPr>
          <w:noProof/>
          <w:szCs w:val="22"/>
        </w:rPr>
      </w:pPr>
    </w:p>
    <w:p w:rsidR="00780926" w:rsidRPr="0056687E" w:rsidRDefault="00780926" w:rsidP="00592542">
      <w:pPr>
        <w:rPr>
          <w:b/>
          <w:noProof/>
          <w:szCs w:val="22"/>
        </w:rPr>
      </w:pPr>
      <w:r w:rsidRPr="0056687E">
        <w:rPr>
          <w:b/>
          <w:noProof/>
          <w:szCs w:val="22"/>
        </w:rPr>
        <w:t>4.2</w:t>
      </w:r>
      <w:r w:rsidRPr="0056687E">
        <w:rPr>
          <w:b/>
          <w:noProof/>
          <w:szCs w:val="22"/>
        </w:rPr>
        <w:tab/>
        <w:t>Dávkovanie a spôsob podávania</w:t>
      </w:r>
    </w:p>
    <w:p w:rsidR="00780926" w:rsidRPr="00301E12" w:rsidRDefault="00780926" w:rsidP="00592542">
      <w:pPr>
        <w:rPr>
          <w:noProof/>
          <w:szCs w:val="22"/>
        </w:rPr>
      </w:pPr>
    </w:p>
    <w:p w:rsidR="00A06CFE" w:rsidRPr="008930DD" w:rsidRDefault="00A06CFE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144" w:right="144" w:hanging="144"/>
        <w:rPr>
          <w:b/>
          <w:bCs/>
          <w:noProof/>
          <w:szCs w:val="22"/>
        </w:rPr>
      </w:pPr>
      <w:r w:rsidRPr="008930DD">
        <w:rPr>
          <w:b/>
          <w:bCs/>
          <w:noProof/>
          <w:spacing w:val="-1"/>
          <w:szCs w:val="22"/>
        </w:rPr>
        <w:t>R</w:t>
      </w:r>
      <w:r w:rsidRPr="008930DD">
        <w:rPr>
          <w:b/>
          <w:bCs/>
          <w:noProof/>
          <w:szCs w:val="22"/>
        </w:rPr>
        <w:t>ani</w:t>
      </w:r>
      <w:r w:rsidRPr="008930DD">
        <w:rPr>
          <w:b/>
          <w:bCs/>
          <w:noProof/>
          <w:spacing w:val="-1"/>
          <w:szCs w:val="22"/>
        </w:rPr>
        <w:t>t</w:t>
      </w:r>
      <w:r w:rsidRPr="008930DD">
        <w:rPr>
          <w:b/>
          <w:bCs/>
          <w:noProof/>
          <w:spacing w:val="1"/>
          <w:szCs w:val="22"/>
        </w:rPr>
        <w:t>i</w:t>
      </w:r>
      <w:r w:rsidRPr="008930DD">
        <w:rPr>
          <w:b/>
          <w:bCs/>
          <w:noProof/>
          <w:szCs w:val="22"/>
        </w:rPr>
        <w:t>d</w:t>
      </w:r>
      <w:r w:rsidR="007074F7" w:rsidRPr="008930DD">
        <w:rPr>
          <w:b/>
          <w:bCs/>
          <w:noProof/>
          <w:szCs w:val="22"/>
        </w:rPr>
        <w:t>ín</w:t>
      </w:r>
      <w:r w:rsidRPr="008930DD">
        <w:rPr>
          <w:b/>
          <w:bCs/>
          <w:noProof/>
          <w:spacing w:val="-2"/>
          <w:szCs w:val="22"/>
        </w:rPr>
        <w:t xml:space="preserve"> </w:t>
      </w:r>
      <w:r w:rsidRPr="008930DD">
        <w:rPr>
          <w:b/>
          <w:bCs/>
          <w:noProof/>
          <w:szCs w:val="22"/>
        </w:rPr>
        <w:t>150</w:t>
      </w:r>
      <w:r w:rsidRPr="008930DD">
        <w:rPr>
          <w:b/>
          <w:bCs/>
          <w:noProof/>
          <w:spacing w:val="-2"/>
          <w:szCs w:val="22"/>
        </w:rPr>
        <w:t xml:space="preserve"> </w:t>
      </w:r>
      <w:r w:rsidRPr="008930DD">
        <w:rPr>
          <w:b/>
          <w:bCs/>
          <w:noProof/>
          <w:spacing w:val="1"/>
          <w:szCs w:val="22"/>
        </w:rPr>
        <w:t>m</w:t>
      </w:r>
      <w:r w:rsidRPr="008930DD">
        <w:rPr>
          <w:b/>
          <w:bCs/>
          <w:noProof/>
          <w:szCs w:val="22"/>
        </w:rPr>
        <w:t xml:space="preserve">g </w:t>
      </w:r>
      <w:r w:rsidRPr="008930DD">
        <w:rPr>
          <w:b/>
          <w:bCs/>
          <w:noProof/>
          <w:spacing w:val="-1"/>
          <w:szCs w:val="22"/>
        </w:rPr>
        <w:t>t</w:t>
      </w:r>
      <w:r w:rsidRPr="008930DD">
        <w:rPr>
          <w:b/>
          <w:bCs/>
          <w:noProof/>
          <w:szCs w:val="22"/>
        </w:rPr>
        <w:t>abl</w:t>
      </w:r>
      <w:r w:rsidRPr="008930DD">
        <w:rPr>
          <w:b/>
          <w:bCs/>
          <w:noProof/>
          <w:spacing w:val="-1"/>
          <w:szCs w:val="22"/>
        </w:rPr>
        <w:t>e</w:t>
      </w:r>
      <w:r w:rsidRPr="008930DD">
        <w:rPr>
          <w:b/>
          <w:bCs/>
          <w:noProof/>
          <w:spacing w:val="1"/>
          <w:szCs w:val="22"/>
        </w:rPr>
        <w:t>t</w:t>
      </w:r>
      <w:r w:rsidR="007074F7" w:rsidRPr="008930DD">
        <w:rPr>
          <w:b/>
          <w:bCs/>
          <w:noProof/>
          <w:szCs w:val="22"/>
        </w:rPr>
        <w:t>y</w:t>
      </w:r>
    </w:p>
    <w:p w:rsidR="001F5163" w:rsidRPr="00576DF6" w:rsidRDefault="001F5163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144" w:right="144" w:hanging="144"/>
        <w:rPr>
          <w:noProof/>
          <w:szCs w:val="22"/>
        </w:rPr>
      </w:pPr>
    </w:p>
    <w:p w:rsidR="00A06CFE" w:rsidRPr="00576DF6" w:rsidRDefault="00A06CFE" w:rsidP="00592542">
      <w:pPr>
        <w:rPr>
          <w:noProof/>
          <w:szCs w:val="22"/>
        </w:rPr>
      </w:pPr>
      <w:r w:rsidRPr="00576DF6">
        <w:rPr>
          <w:noProof/>
          <w:szCs w:val="22"/>
        </w:rPr>
        <w:t xml:space="preserve">Tablety sa </w:t>
      </w:r>
      <w:r w:rsidR="00ED2E1E" w:rsidRPr="00576DF6">
        <w:rPr>
          <w:noProof/>
          <w:szCs w:val="22"/>
        </w:rPr>
        <w:t xml:space="preserve">prehĺtajú s </w:t>
      </w:r>
      <w:r w:rsidR="007074F7" w:rsidRPr="00576DF6">
        <w:rPr>
          <w:noProof/>
          <w:szCs w:val="22"/>
        </w:rPr>
        <w:t xml:space="preserve">trochou </w:t>
      </w:r>
      <w:r w:rsidRPr="00576DF6">
        <w:rPr>
          <w:noProof/>
          <w:szCs w:val="22"/>
        </w:rPr>
        <w:t>tekutin</w:t>
      </w:r>
      <w:r w:rsidR="007074F7" w:rsidRPr="00576DF6">
        <w:rPr>
          <w:noProof/>
          <w:szCs w:val="22"/>
        </w:rPr>
        <w:t>y</w:t>
      </w:r>
      <w:r w:rsidRPr="00576DF6">
        <w:rPr>
          <w:noProof/>
          <w:szCs w:val="22"/>
        </w:rPr>
        <w:t>. Nie je nutné užívať tablety spolu s jedlom.</w:t>
      </w:r>
    </w:p>
    <w:p w:rsidR="007074F7" w:rsidRPr="00D07A3E" w:rsidRDefault="007074F7" w:rsidP="00592542">
      <w:pPr>
        <w:rPr>
          <w:noProof/>
          <w:szCs w:val="22"/>
        </w:rPr>
      </w:pPr>
    </w:p>
    <w:p w:rsidR="00A06CFE" w:rsidRPr="0056687E" w:rsidRDefault="00A06CFE" w:rsidP="00592542">
      <w:pPr>
        <w:rPr>
          <w:noProof/>
          <w:szCs w:val="22"/>
        </w:rPr>
      </w:pPr>
      <w:r w:rsidRPr="00D07A3E">
        <w:rPr>
          <w:noProof/>
          <w:szCs w:val="22"/>
        </w:rPr>
        <w:t>DOSPELÍ (VRÁTANE STARŠÍCH</w:t>
      </w:r>
      <w:r w:rsidR="006A780E" w:rsidRPr="00D07A3E">
        <w:rPr>
          <w:noProof/>
          <w:szCs w:val="22"/>
        </w:rPr>
        <w:t>)/DOSPIEVAJÚCI</w:t>
      </w:r>
      <w:r w:rsidR="00301E12">
        <w:rPr>
          <w:noProof/>
          <w:szCs w:val="22"/>
        </w:rPr>
        <w:t xml:space="preserve"> </w:t>
      </w:r>
      <w:r w:rsidR="006A780E" w:rsidRPr="00301E12">
        <w:rPr>
          <w:noProof/>
          <w:szCs w:val="22"/>
        </w:rPr>
        <w:t>(</w:t>
      </w:r>
      <w:r w:rsidR="0056687E">
        <w:rPr>
          <w:noProof/>
          <w:szCs w:val="22"/>
        </w:rPr>
        <w:t xml:space="preserve">VO VEKU </w:t>
      </w:r>
      <w:r w:rsidR="006A780E" w:rsidRPr="0056687E">
        <w:rPr>
          <w:noProof/>
          <w:szCs w:val="22"/>
        </w:rPr>
        <w:t>12 RO</w:t>
      </w:r>
      <w:r w:rsidR="0056687E">
        <w:rPr>
          <w:noProof/>
          <w:szCs w:val="22"/>
        </w:rPr>
        <w:t>KOV</w:t>
      </w:r>
      <w:r w:rsidR="003A6BE0" w:rsidRPr="0056687E">
        <w:rPr>
          <w:noProof/>
          <w:szCs w:val="22"/>
        </w:rPr>
        <w:t xml:space="preserve"> A STARŠÍ)</w:t>
      </w:r>
    </w:p>
    <w:p w:rsidR="003A6BE0" w:rsidRPr="00301E12" w:rsidRDefault="003A6BE0" w:rsidP="00592542">
      <w:pPr>
        <w:rPr>
          <w:noProof/>
          <w:szCs w:val="22"/>
        </w:rPr>
      </w:pPr>
    </w:p>
    <w:p w:rsidR="003A6BE0" w:rsidRPr="00301E12" w:rsidRDefault="003A6BE0" w:rsidP="00592542">
      <w:pPr>
        <w:rPr>
          <w:noProof/>
          <w:szCs w:val="22"/>
        </w:rPr>
      </w:pPr>
      <w:r w:rsidRPr="00301E12">
        <w:rPr>
          <w:noProof/>
          <w:szCs w:val="22"/>
        </w:rPr>
        <w:t>Pre dospelých (vrátane starších) a dospievajúcich (</w:t>
      </w:r>
      <w:r w:rsidR="00301E12">
        <w:rPr>
          <w:noProof/>
          <w:szCs w:val="22"/>
        </w:rPr>
        <w:t xml:space="preserve">vo veku </w:t>
      </w:r>
      <w:r w:rsidRPr="00301E12">
        <w:rPr>
          <w:noProof/>
          <w:szCs w:val="22"/>
        </w:rPr>
        <w:t>12 ro</w:t>
      </w:r>
      <w:r w:rsidR="00301E12">
        <w:rPr>
          <w:noProof/>
          <w:szCs w:val="22"/>
        </w:rPr>
        <w:t>kov</w:t>
      </w:r>
      <w:r w:rsidRPr="00301E12">
        <w:rPr>
          <w:noProof/>
          <w:szCs w:val="22"/>
        </w:rPr>
        <w:t xml:space="preserve"> a starší) s normálnou funkciou </w:t>
      </w:r>
    </w:p>
    <w:p w:rsidR="003A6BE0" w:rsidRPr="008930DD" w:rsidRDefault="003A6BE0" w:rsidP="00592542">
      <w:pPr>
        <w:rPr>
          <w:noProof/>
          <w:szCs w:val="22"/>
        </w:rPr>
      </w:pPr>
      <w:r w:rsidRPr="008930DD">
        <w:rPr>
          <w:noProof/>
          <w:szCs w:val="22"/>
        </w:rPr>
        <w:t>obličiek platia nasledovné pokyny na dávkovanie:</w:t>
      </w:r>
    </w:p>
    <w:p w:rsidR="003A6BE0" w:rsidRPr="00576DF6" w:rsidRDefault="003A6BE0" w:rsidP="00592542">
      <w:pPr>
        <w:rPr>
          <w:noProof/>
          <w:szCs w:val="22"/>
        </w:rPr>
      </w:pPr>
    </w:p>
    <w:p w:rsidR="003A6BE0" w:rsidRPr="008930DD" w:rsidRDefault="003A6BE0" w:rsidP="00592542">
      <w:pPr>
        <w:rPr>
          <w:noProof/>
          <w:szCs w:val="22"/>
        </w:rPr>
      </w:pPr>
      <w:r w:rsidRPr="00576DF6">
        <w:rPr>
          <w:noProof/>
          <w:szCs w:val="22"/>
        </w:rPr>
        <w:t>DUODENÁLNY VRED A BENÍGNY VRED</w:t>
      </w:r>
      <w:r w:rsidR="008930DD">
        <w:rPr>
          <w:noProof/>
          <w:szCs w:val="22"/>
        </w:rPr>
        <w:t xml:space="preserve"> ŽALÚDKA</w:t>
      </w:r>
    </w:p>
    <w:p w:rsidR="003A6BE0" w:rsidRPr="00576DF6" w:rsidRDefault="003A6BE0" w:rsidP="00592542">
      <w:pPr>
        <w:rPr>
          <w:noProof/>
          <w:szCs w:val="22"/>
        </w:rPr>
      </w:pPr>
    </w:p>
    <w:p w:rsidR="003A6BE0" w:rsidRPr="00576DF6" w:rsidRDefault="007074F7" w:rsidP="00592542">
      <w:pPr>
        <w:rPr>
          <w:noProof/>
          <w:szCs w:val="22"/>
        </w:rPr>
      </w:pPr>
      <w:r w:rsidRPr="00576DF6">
        <w:rPr>
          <w:noProof/>
          <w:szCs w:val="22"/>
        </w:rPr>
        <w:t>Dve</w:t>
      </w:r>
      <w:r w:rsidR="003A6BE0" w:rsidRPr="00576DF6">
        <w:rPr>
          <w:noProof/>
          <w:szCs w:val="22"/>
        </w:rPr>
        <w:t xml:space="preserve"> 150 mg tablety </w:t>
      </w:r>
      <w:r w:rsidR="00576DF6">
        <w:rPr>
          <w:noProof/>
          <w:szCs w:val="22"/>
        </w:rPr>
        <w:t xml:space="preserve">s obsahom </w:t>
      </w:r>
      <w:r w:rsidR="003A6BE0" w:rsidRPr="00576DF6">
        <w:rPr>
          <w:noProof/>
          <w:szCs w:val="22"/>
        </w:rPr>
        <w:t>ranitid</w:t>
      </w:r>
      <w:r w:rsidR="006A780E" w:rsidRPr="00576DF6">
        <w:rPr>
          <w:noProof/>
          <w:szCs w:val="22"/>
        </w:rPr>
        <w:t>ín</w:t>
      </w:r>
      <w:r w:rsidR="003A6BE0" w:rsidRPr="00576DF6">
        <w:rPr>
          <w:noProof/>
          <w:szCs w:val="22"/>
        </w:rPr>
        <w:t xml:space="preserve">u </w:t>
      </w:r>
      <w:r w:rsidR="003A6BE0" w:rsidRPr="00576DF6">
        <w:rPr>
          <w:noProof/>
          <w:spacing w:val="1"/>
          <w:szCs w:val="22"/>
        </w:rPr>
        <w:t>(</w:t>
      </w:r>
      <w:r w:rsidR="003A6BE0" w:rsidRPr="00576DF6">
        <w:rPr>
          <w:noProof/>
          <w:szCs w:val="22"/>
        </w:rPr>
        <w:t>= 300</w:t>
      </w:r>
      <w:r w:rsidR="003A6BE0" w:rsidRPr="00576DF6">
        <w:rPr>
          <w:noProof/>
          <w:spacing w:val="-2"/>
          <w:szCs w:val="22"/>
        </w:rPr>
        <w:t xml:space="preserve"> </w:t>
      </w:r>
      <w:r w:rsidR="003A6BE0" w:rsidRPr="00576DF6">
        <w:rPr>
          <w:noProof/>
          <w:spacing w:val="-1"/>
          <w:szCs w:val="22"/>
        </w:rPr>
        <w:t>m</w:t>
      </w:r>
      <w:r w:rsidR="003A6BE0" w:rsidRPr="00576DF6">
        <w:rPr>
          <w:noProof/>
          <w:szCs w:val="22"/>
        </w:rPr>
        <w:t>g</w:t>
      </w:r>
      <w:r w:rsidR="003A6BE0" w:rsidRPr="00576DF6">
        <w:rPr>
          <w:noProof/>
          <w:spacing w:val="-2"/>
          <w:szCs w:val="22"/>
        </w:rPr>
        <w:t xml:space="preserve"> </w:t>
      </w:r>
      <w:r w:rsidR="003A6BE0" w:rsidRPr="00576DF6">
        <w:rPr>
          <w:noProof/>
          <w:spacing w:val="1"/>
          <w:szCs w:val="22"/>
        </w:rPr>
        <w:t>r</w:t>
      </w:r>
      <w:r w:rsidR="003A6BE0" w:rsidRPr="00576DF6">
        <w:rPr>
          <w:noProof/>
          <w:szCs w:val="22"/>
        </w:rPr>
        <w:t>an</w:t>
      </w:r>
      <w:r w:rsidR="003A6BE0" w:rsidRPr="00576DF6">
        <w:rPr>
          <w:noProof/>
          <w:spacing w:val="1"/>
          <w:szCs w:val="22"/>
        </w:rPr>
        <w:t>i</w:t>
      </w:r>
      <w:r w:rsidR="003A6BE0" w:rsidRPr="00576DF6">
        <w:rPr>
          <w:noProof/>
          <w:spacing w:val="-1"/>
          <w:szCs w:val="22"/>
        </w:rPr>
        <w:t>t</w:t>
      </w:r>
      <w:r w:rsidR="003A6BE0" w:rsidRPr="00576DF6">
        <w:rPr>
          <w:noProof/>
          <w:spacing w:val="1"/>
          <w:szCs w:val="22"/>
        </w:rPr>
        <w:t>idínu</w:t>
      </w:r>
      <w:r w:rsidR="003A6BE0" w:rsidRPr="00576DF6">
        <w:rPr>
          <w:noProof/>
          <w:szCs w:val="22"/>
        </w:rPr>
        <w:t>) p</w:t>
      </w:r>
      <w:r w:rsidR="006A780E" w:rsidRPr="00576DF6">
        <w:rPr>
          <w:noProof/>
          <w:szCs w:val="22"/>
        </w:rPr>
        <w:t>o večeri</w:t>
      </w:r>
      <w:r w:rsidR="003A6BE0" w:rsidRPr="00576DF6">
        <w:rPr>
          <w:noProof/>
          <w:szCs w:val="22"/>
        </w:rPr>
        <w:t xml:space="preserve"> alebo </w:t>
      </w:r>
      <w:r w:rsidRPr="00576DF6">
        <w:rPr>
          <w:noProof/>
          <w:szCs w:val="22"/>
        </w:rPr>
        <w:t>pred spaním</w:t>
      </w:r>
      <w:r w:rsidR="003A6BE0" w:rsidRPr="00576DF6">
        <w:rPr>
          <w:noProof/>
          <w:szCs w:val="22"/>
        </w:rPr>
        <w:t>.</w:t>
      </w:r>
    </w:p>
    <w:p w:rsidR="00404BA0" w:rsidRPr="00576DF6" w:rsidRDefault="00322FF3" w:rsidP="00404BA0">
      <w:pPr>
        <w:rPr>
          <w:noProof/>
          <w:szCs w:val="22"/>
        </w:rPr>
      </w:pPr>
      <w:r w:rsidRPr="00576DF6">
        <w:rPr>
          <w:noProof/>
          <w:szCs w:val="22"/>
        </w:rPr>
        <w:t>Alebo</w:t>
      </w:r>
      <w:r w:rsidR="00404BA0" w:rsidRPr="00576DF6">
        <w:rPr>
          <w:noProof/>
          <w:szCs w:val="22"/>
        </w:rPr>
        <w:t xml:space="preserve"> jedna 150 mg tableta </w:t>
      </w:r>
      <w:r w:rsidR="00576DF6">
        <w:rPr>
          <w:noProof/>
          <w:szCs w:val="22"/>
        </w:rPr>
        <w:t xml:space="preserve">s obsahom </w:t>
      </w:r>
      <w:r w:rsidR="00404BA0" w:rsidRPr="00576DF6">
        <w:rPr>
          <w:noProof/>
          <w:szCs w:val="22"/>
        </w:rPr>
        <w:t>ranitidínu dvakrát denne, jedna ráno a jedna večer.</w:t>
      </w:r>
    </w:p>
    <w:p w:rsidR="00322FF3" w:rsidRPr="00576DF6" w:rsidRDefault="00322FF3" w:rsidP="00592542">
      <w:pPr>
        <w:rPr>
          <w:noProof/>
          <w:szCs w:val="22"/>
        </w:rPr>
      </w:pPr>
    </w:p>
    <w:p w:rsidR="00322FF3" w:rsidRPr="005C40B4" w:rsidRDefault="00322FF3" w:rsidP="00592542">
      <w:pPr>
        <w:ind w:left="0" w:firstLine="0"/>
        <w:rPr>
          <w:noProof/>
          <w:szCs w:val="22"/>
        </w:rPr>
      </w:pPr>
      <w:r w:rsidRPr="00D07A3E">
        <w:rPr>
          <w:noProof/>
          <w:szCs w:val="22"/>
        </w:rPr>
        <w:t>Dĺžka liečby je 4 týždne. U niek</w:t>
      </w:r>
      <w:r w:rsidR="005E13CC" w:rsidRPr="00D07A3E">
        <w:rPr>
          <w:noProof/>
          <w:szCs w:val="22"/>
        </w:rPr>
        <w:t>torých</w:t>
      </w:r>
      <w:r w:rsidRPr="00D07A3E">
        <w:rPr>
          <w:noProof/>
          <w:szCs w:val="22"/>
        </w:rPr>
        <w:t xml:space="preserve"> pacientov, u ktorých sa po 4 týždň</w:t>
      </w:r>
      <w:r w:rsidR="001F5163" w:rsidRPr="00D07A3E">
        <w:rPr>
          <w:noProof/>
          <w:szCs w:val="22"/>
        </w:rPr>
        <w:t>och liečby vredy úplne nezahoja</w:t>
      </w:r>
      <w:r w:rsidRPr="005C40B4">
        <w:rPr>
          <w:noProof/>
          <w:szCs w:val="22"/>
        </w:rPr>
        <w:t xml:space="preserve">, má </w:t>
      </w:r>
      <w:r w:rsidR="00F61760" w:rsidRPr="005C40B4">
        <w:rPr>
          <w:noProof/>
          <w:szCs w:val="22"/>
        </w:rPr>
        <w:t xml:space="preserve">liečba </w:t>
      </w:r>
      <w:r w:rsidRPr="005C40B4">
        <w:rPr>
          <w:noProof/>
          <w:szCs w:val="22"/>
        </w:rPr>
        <w:t xml:space="preserve">pokračovať </w:t>
      </w:r>
      <w:r w:rsidR="007A27DF" w:rsidRPr="005C40B4">
        <w:rPr>
          <w:noProof/>
          <w:szCs w:val="22"/>
        </w:rPr>
        <w:t>ďalšie 4 týždne</w:t>
      </w:r>
      <w:r w:rsidRPr="005C40B4">
        <w:rPr>
          <w:noProof/>
          <w:szCs w:val="22"/>
        </w:rPr>
        <w:t xml:space="preserve"> pri rovnakom dávkovaní.</w:t>
      </w:r>
    </w:p>
    <w:p w:rsidR="00322FF3" w:rsidRPr="0052067A" w:rsidRDefault="00322FF3" w:rsidP="00592542">
      <w:pPr>
        <w:rPr>
          <w:noProof/>
          <w:szCs w:val="22"/>
        </w:rPr>
      </w:pPr>
    </w:p>
    <w:p w:rsidR="00322FF3" w:rsidRPr="00306F83" w:rsidRDefault="00322FF3" w:rsidP="00592542">
      <w:pPr>
        <w:rPr>
          <w:noProof/>
          <w:szCs w:val="22"/>
        </w:rPr>
      </w:pPr>
      <w:r w:rsidRPr="00306F83">
        <w:rPr>
          <w:noProof/>
          <w:szCs w:val="22"/>
        </w:rPr>
        <w:t>DLHODOBÁ LIEČBA DUODENÁLNEHO VREDU</w:t>
      </w:r>
    </w:p>
    <w:p w:rsidR="00322FF3" w:rsidRPr="00E94519" w:rsidRDefault="00322FF3" w:rsidP="00592542">
      <w:pPr>
        <w:rPr>
          <w:noProof/>
          <w:szCs w:val="22"/>
        </w:rPr>
      </w:pPr>
    </w:p>
    <w:p w:rsidR="00322FF3" w:rsidRPr="00576DF6" w:rsidRDefault="00322FF3" w:rsidP="00592542">
      <w:pPr>
        <w:ind w:left="0" w:firstLine="0"/>
        <w:rPr>
          <w:noProof/>
          <w:szCs w:val="22"/>
        </w:rPr>
      </w:pPr>
      <w:r w:rsidRPr="00E94519">
        <w:rPr>
          <w:noProof/>
          <w:szCs w:val="22"/>
        </w:rPr>
        <w:t xml:space="preserve">Pacienti, ktorí reagovali na </w:t>
      </w:r>
      <w:r w:rsidR="007074F7" w:rsidRPr="00E94519">
        <w:rPr>
          <w:noProof/>
          <w:szCs w:val="22"/>
        </w:rPr>
        <w:t xml:space="preserve">túto </w:t>
      </w:r>
      <w:r w:rsidRPr="00E94519">
        <w:rPr>
          <w:noProof/>
          <w:szCs w:val="22"/>
        </w:rPr>
        <w:t>krátkodobú liečbu a pacienti</w:t>
      </w:r>
      <w:r w:rsidR="007074F7" w:rsidRPr="00E94519">
        <w:rPr>
          <w:noProof/>
          <w:szCs w:val="22"/>
        </w:rPr>
        <w:t>,</w:t>
      </w:r>
      <w:r w:rsidRPr="00E94519">
        <w:rPr>
          <w:noProof/>
          <w:szCs w:val="22"/>
        </w:rPr>
        <w:t xml:space="preserve"> najmä </w:t>
      </w:r>
      <w:r w:rsidR="005E13CC" w:rsidRPr="00E94519">
        <w:rPr>
          <w:noProof/>
          <w:szCs w:val="22"/>
        </w:rPr>
        <w:t>tí, ktorí majú v</w:t>
      </w:r>
      <w:r w:rsidRPr="00E94519">
        <w:rPr>
          <w:noProof/>
          <w:szCs w:val="22"/>
        </w:rPr>
        <w:t xml:space="preserve"> </w:t>
      </w:r>
      <w:r w:rsidR="005C46E8" w:rsidRPr="00E94519">
        <w:rPr>
          <w:noProof/>
          <w:szCs w:val="22"/>
        </w:rPr>
        <w:t>anamnéz</w:t>
      </w:r>
      <w:r w:rsidR="005E13CC" w:rsidRPr="00E94519">
        <w:rPr>
          <w:noProof/>
          <w:szCs w:val="22"/>
        </w:rPr>
        <w:t>e</w:t>
      </w:r>
      <w:r w:rsidR="005C46E8" w:rsidRPr="00E94519">
        <w:rPr>
          <w:noProof/>
          <w:szCs w:val="22"/>
        </w:rPr>
        <w:t xml:space="preserve"> </w:t>
      </w:r>
      <w:r w:rsidR="005E13CC" w:rsidRPr="001D0EB1">
        <w:rPr>
          <w:noProof/>
          <w:szCs w:val="22"/>
        </w:rPr>
        <w:t>údaj o</w:t>
      </w:r>
      <w:r w:rsidR="00576DF6">
        <w:rPr>
          <w:noProof/>
          <w:szCs w:val="22"/>
        </w:rPr>
        <w:t> </w:t>
      </w:r>
      <w:r w:rsidR="005C46E8" w:rsidRPr="00576DF6">
        <w:rPr>
          <w:noProof/>
          <w:szCs w:val="22"/>
        </w:rPr>
        <w:t>rekurentných vredo</w:t>
      </w:r>
      <w:r w:rsidR="005E13CC" w:rsidRPr="00576DF6">
        <w:rPr>
          <w:noProof/>
          <w:szCs w:val="22"/>
        </w:rPr>
        <w:t>ch</w:t>
      </w:r>
      <w:r w:rsidR="005C46E8" w:rsidRPr="00576DF6">
        <w:rPr>
          <w:noProof/>
          <w:szCs w:val="22"/>
        </w:rPr>
        <w:t xml:space="preserve"> </w:t>
      </w:r>
      <w:r w:rsidR="005E13CC" w:rsidRPr="00576DF6">
        <w:rPr>
          <w:noProof/>
          <w:szCs w:val="22"/>
        </w:rPr>
        <w:t>majú</w:t>
      </w:r>
      <w:r w:rsidR="005C46E8" w:rsidRPr="00576DF6">
        <w:rPr>
          <w:noProof/>
          <w:szCs w:val="22"/>
        </w:rPr>
        <w:t xml:space="preserve">, ak je to nevyhnutné, pokračovať v liečbe s </w:t>
      </w:r>
      <w:r w:rsidR="005E13CC" w:rsidRPr="00576DF6">
        <w:rPr>
          <w:noProof/>
          <w:szCs w:val="22"/>
        </w:rPr>
        <w:t>jednou</w:t>
      </w:r>
      <w:r w:rsidR="005C46E8" w:rsidRPr="00576DF6">
        <w:rPr>
          <w:noProof/>
          <w:szCs w:val="22"/>
        </w:rPr>
        <w:t xml:space="preserve"> 150 mg tabletou </w:t>
      </w:r>
      <w:r w:rsidR="00576DF6">
        <w:rPr>
          <w:noProof/>
          <w:szCs w:val="22"/>
        </w:rPr>
        <w:t xml:space="preserve">s obsahom </w:t>
      </w:r>
      <w:r w:rsidR="005C46E8" w:rsidRPr="00576DF6">
        <w:rPr>
          <w:noProof/>
          <w:szCs w:val="22"/>
        </w:rPr>
        <w:t xml:space="preserve">ranitidínu </w:t>
      </w:r>
      <w:r w:rsidR="005E13CC" w:rsidRPr="00576DF6">
        <w:rPr>
          <w:noProof/>
          <w:szCs w:val="22"/>
        </w:rPr>
        <w:t>večer pred spaním</w:t>
      </w:r>
      <w:r w:rsidR="00C35D11" w:rsidRPr="00576DF6">
        <w:rPr>
          <w:noProof/>
          <w:szCs w:val="22"/>
        </w:rPr>
        <w:t>. Títo pacienti musia podstúpiť endoskopické vyšetrenie v</w:t>
      </w:r>
      <w:r w:rsidR="00576DF6">
        <w:rPr>
          <w:noProof/>
          <w:szCs w:val="22"/>
        </w:rPr>
        <w:t> </w:t>
      </w:r>
      <w:r w:rsidR="00C35D11" w:rsidRPr="00576DF6">
        <w:rPr>
          <w:noProof/>
          <w:szCs w:val="22"/>
        </w:rPr>
        <w:t>pravidelných intervaloch.</w:t>
      </w:r>
    </w:p>
    <w:p w:rsidR="00322FF3" w:rsidRPr="00D07A3E" w:rsidRDefault="00322FF3" w:rsidP="00592542">
      <w:pPr>
        <w:rPr>
          <w:noProof/>
          <w:szCs w:val="22"/>
        </w:rPr>
      </w:pPr>
    </w:p>
    <w:p w:rsidR="00322FF3" w:rsidRPr="005C40B4" w:rsidRDefault="00C35D11" w:rsidP="00592542">
      <w:pPr>
        <w:rPr>
          <w:noProof/>
          <w:szCs w:val="22"/>
        </w:rPr>
      </w:pPr>
      <w:r w:rsidRPr="005C40B4">
        <w:rPr>
          <w:noProof/>
          <w:szCs w:val="22"/>
        </w:rPr>
        <w:t>REFLUXNÁ EZOFAGITÍDA</w:t>
      </w:r>
    </w:p>
    <w:p w:rsidR="00322FF3" w:rsidRPr="0052067A" w:rsidRDefault="00322FF3" w:rsidP="00592542">
      <w:pPr>
        <w:rPr>
          <w:noProof/>
          <w:szCs w:val="22"/>
        </w:rPr>
      </w:pPr>
    </w:p>
    <w:p w:rsidR="00322FF3" w:rsidRPr="005C40B4" w:rsidRDefault="005E13CC" w:rsidP="00C8276E">
      <w:pPr>
        <w:ind w:left="0" w:firstLine="0"/>
        <w:rPr>
          <w:noProof/>
          <w:szCs w:val="22"/>
        </w:rPr>
      </w:pPr>
      <w:r w:rsidRPr="0052067A">
        <w:rPr>
          <w:noProof/>
          <w:szCs w:val="22"/>
        </w:rPr>
        <w:t>Dve</w:t>
      </w:r>
      <w:r w:rsidR="00C35D11" w:rsidRPr="00306F83">
        <w:rPr>
          <w:noProof/>
          <w:szCs w:val="22"/>
        </w:rPr>
        <w:t xml:space="preserve"> 150 mg tablety </w:t>
      </w:r>
      <w:r w:rsidR="00D07A3E">
        <w:rPr>
          <w:noProof/>
          <w:szCs w:val="22"/>
        </w:rPr>
        <w:t xml:space="preserve">s obsahom </w:t>
      </w:r>
      <w:r w:rsidR="00C35D11" w:rsidRPr="00D07A3E">
        <w:rPr>
          <w:noProof/>
          <w:szCs w:val="22"/>
        </w:rPr>
        <w:t xml:space="preserve">ranitidínu </w:t>
      </w:r>
      <w:r w:rsidR="00C35D11" w:rsidRPr="00D07A3E">
        <w:rPr>
          <w:noProof/>
          <w:spacing w:val="1"/>
          <w:szCs w:val="22"/>
        </w:rPr>
        <w:t>(</w:t>
      </w:r>
      <w:r w:rsidR="00C35D11" w:rsidRPr="00D07A3E">
        <w:rPr>
          <w:noProof/>
          <w:szCs w:val="22"/>
        </w:rPr>
        <w:t>= 300</w:t>
      </w:r>
      <w:r w:rsidR="00C35D11" w:rsidRPr="00D07A3E">
        <w:rPr>
          <w:noProof/>
          <w:spacing w:val="-2"/>
          <w:szCs w:val="22"/>
        </w:rPr>
        <w:t xml:space="preserve"> </w:t>
      </w:r>
      <w:r w:rsidR="00C35D11" w:rsidRPr="00D07A3E">
        <w:rPr>
          <w:noProof/>
          <w:spacing w:val="-1"/>
          <w:szCs w:val="22"/>
        </w:rPr>
        <w:t>m</w:t>
      </w:r>
      <w:r w:rsidR="00C35D11" w:rsidRPr="00D07A3E">
        <w:rPr>
          <w:noProof/>
          <w:szCs w:val="22"/>
        </w:rPr>
        <w:t>g</w:t>
      </w:r>
      <w:r w:rsidR="00C35D11" w:rsidRPr="00D07A3E">
        <w:rPr>
          <w:noProof/>
          <w:spacing w:val="-2"/>
          <w:szCs w:val="22"/>
        </w:rPr>
        <w:t xml:space="preserve"> </w:t>
      </w:r>
      <w:r w:rsidR="00C35D11" w:rsidRPr="00D07A3E">
        <w:rPr>
          <w:noProof/>
          <w:spacing w:val="1"/>
          <w:szCs w:val="22"/>
        </w:rPr>
        <w:t>r</w:t>
      </w:r>
      <w:r w:rsidR="00C35D11" w:rsidRPr="00D07A3E">
        <w:rPr>
          <w:noProof/>
          <w:szCs w:val="22"/>
        </w:rPr>
        <w:t>an</w:t>
      </w:r>
      <w:r w:rsidR="00C35D11" w:rsidRPr="00D07A3E">
        <w:rPr>
          <w:noProof/>
          <w:spacing w:val="1"/>
          <w:szCs w:val="22"/>
        </w:rPr>
        <w:t>i</w:t>
      </w:r>
      <w:r w:rsidR="00C35D11" w:rsidRPr="00D07A3E">
        <w:rPr>
          <w:noProof/>
          <w:spacing w:val="-1"/>
          <w:szCs w:val="22"/>
        </w:rPr>
        <w:t>t</w:t>
      </w:r>
      <w:r w:rsidR="00C35D11" w:rsidRPr="00D07A3E">
        <w:rPr>
          <w:noProof/>
          <w:spacing w:val="1"/>
          <w:szCs w:val="22"/>
        </w:rPr>
        <w:t>i</w:t>
      </w:r>
      <w:r w:rsidR="00C35D11" w:rsidRPr="00D07A3E">
        <w:rPr>
          <w:noProof/>
          <w:spacing w:val="-2"/>
          <w:szCs w:val="22"/>
        </w:rPr>
        <w:t>d</w:t>
      </w:r>
      <w:r w:rsidR="00C35D11" w:rsidRPr="00D07A3E">
        <w:rPr>
          <w:noProof/>
          <w:spacing w:val="1"/>
          <w:szCs w:val="22"/>
        </w:rPr>
        <w:t>ínu</w:t>
      </w:r>
      <w:r w:rsidR="00C35D11" w:rsidRPr="005C40B4">
        <w:rPr>
          <w:noProof/>
          <w:szCs w:val="22"/>
        </w:rPr>
        <w:t xml:space="preserve">) po večeri </w:t>
      </w:r>
      <w:r w:rsidR="00404BA0" w:rsidRPr="005C40B4">
        <w:rPr>
          <w:noProof/>
          <w:szCs w:val="22"/>
        </w:rPr>
        <w:t xml:space="preserve">alebo </w:t>
      </w:r>
      <w:r w:rsidRPr="005C40B4">
        <w:rPr>
          <w:noProof/>
          <w:szCs w:val="22"/>
        </w:rPr>
        <w:t>pred</w:t>
      </w:r>
      <w:r w:rsidR="00D07A3E">
        <w:rPr>
          <w:noProof/>
          <w:szCs w:val="22"/>
        </w:rPr>
        <w:t> </w:t>
      </w:r>
      <w:r w:rsidRPr="00D07A3E">
        <w:rPr>
          <w:noProof/>
          <w:szCs w:val="22"/>
        </w:rPr>
        <w:t>spaním</w:t>
      </w:r>
      <w:r w:rsidR="00C35D11" w:rsidRPr="005C40B4">
        <w:rPr>
          <w:noProof/>
          <w:szCs w:val="22"/>
        </w:rPr>
        <w:t>.</w:t>
      </w:r>
    </w:p>
    <w:p w:rsidR="00C35D11" w:rsidRPr="005C40B4" w:rsidRDefault="00C35D11" w:rsidP="00C8276E">
      <w:pPr>
        <w:ind w:left="0" w:firstLine="0"/>
        <w:rPr>
          <w:noProof/>
          <w:szCs w:val="22"/>
        </w:rPr>
      </w:pPr>
      <w:r w:rsidRPr="005C40B4">
        <w:rPr>
          <w:noProof/>
          <w:szCs w:val="22"/>
        </w:rPr>
        <w:t xml:space="preserve">Alebo </w:t>
      </w:r>
      <w:r w:rsidR="005E13CC" w:rsidRPr="005C40B4">
        <w:rPr>
          <w:noProof/>
          <w:szCs w:val="22"/>
        </w:rPr>
        <w:t>jedna</w:t>
      </w:r>
      <w:r w:rsidRPr="005C40B4">
        <w:rPr>
          <w:noProof/>
          <w:szCs w:val="22"/>
        </w:rPr>
        <w:t xml:space="preserve"> 150 mg tableta </w:t>
      </w:r>
      <w:r w:rsidR="005C40B4">
        <w:rPr>
          <w:noProof/>
          <w:szCs w:val="22"/>
        </w:rPr>
        <w:t xml:space="preserve">s obsahom </w:t>
      </w:r>
      <w:r w:rsidRPr="005C40B4">
        <w:rPr>
          <w:noProof/>
          <w:szCs w:val="22"/>
        </w:rPr>
        <w:t>ranitidínu dvakrát denne, maximálne 8 týždňov, ak je to nevyhnutné.</w:t>
      </w:r>
    </w:p>
    <w:p w:rsidR="00C35D11" w:rsidRPr="0052067A" w:rsidRDefault="00C35D11" w:rsidP="00592542">
      <w:pPr>
        <w:rPr>
          <w:noProof/>
          <w:szCs w:val="22"/>
        </w:rPr>
      </w:pPr>
    </w:p>
    <w:p w:rsidR="000425BE" w:rsidRPr="001032C9" w:rsidRDefault="00C35D11" w:rsidP="00306F83">
      <w:pPr>
        <w:ind w:left="0" w:firstLine="0"/>
        <w:rPr>
          <w:noProof/>
          <w:szCs w:val="22"/>
        </w:rPr>
      </w:pPr>
      <w:r w:rsidRPr="0052067A">
        <w:rPr>
          <w:noProof/>
          <w:szCs w:val="22"/>
        </w:rPr>
        <w:t xml:space="preserve">PACIENTI S VEĽMI SILNOU </w:t>
      </w:r>
      <w:r w:rsidR="00404BA0" w:rsidRPr="00306F83">
        <w:rPr>
          <w:noProof/>
          <w:szCs w:val="22"/>
        </w:rPr>
        <w:t xml:space="preserve">SEKRÉCIOU </w:t>
      </w:r>
      <w:r w:rsidR="000425BE" w:rsidRPr="00306F83">
        <w:rPr>
          <w:noProof/>
          <w:szCs w:val="22"/>
        </w:rPr>
        <w:t>ŽALÚDOČNEJ KYSELINY, NAPRÍKLAD PRI</w:t>
      </w:r>
      <w:r w:rsidR="00306F83">
        <w:rPr>
          <w:caps/>
          <w:noProof/>
          <w:szCs w:val="22"/>
        </w:rPr>
        <w:t> </w:t>
      </w:r>
      <w:r w:rsidR="000425BE" w:rsidRPr="00306F83">
        <w:rPr>
          <w:caps/>
          <w:noProof/>
          <w:szCs w:val="22"/>
        </w:rPr>
        <w:t>Zollinger</w:t>
      </w:r>
      <w:r w:rsidR="005E13CC" w:rsidRPr="00306F83">
        <w:rPr>
          <w:caps/>
          <w:noProof/>
          <w:szCs w:val="22"/>
        </w:rPr>
        <w:t>ov</w:t>
      </w:r>
      <w:r w:rsidR="000425BE" w:rsidRPr="00306F83">
        <w:rPr>
          <w:caps/>
          <w:noProof/>
          <w:szCs w:val="22"/>
        </w:rPr>
        <w:t xml:space="preserve">-EllisonovOM syndrómE </w:t>
      </w:r>
      <w:r w:rsidR="000425BE" w:rsidRPr="00306F83">
        <w:rPr>
          <w:noProof/>
          <w:szCs w:val="22"/>
        </w:rPr>
        <w:t xml:space="preserve">majú byť </w:t>
      </w:r>
      <w:r w:rsidR="005E13CC" w:rsidRPr="00E94519">
        <w:rPr>
          <w:noProof/>
          <w:szCs w:val="22"/>
        </w:rPr>
        <w:t>zo začiatku</w:t>
      </w:r>
      <w:r w:rsidR="000425BE" w:rsidRPr="00E94519">
        <w:rPr>
          <w:noProof/>
          <w:szCs w:val="22"/>
        </w:rPr>
        <w:t xml:space="preserve"> liečení </w:t>
      </w:r>
      <w:r w:rsidR="005E13CC" w:rsidRPr="00E94519">
        <w:rPr>
          <w:noProof/>
          <w:szCs w:val="22"/>
        </w:rPr>
        <w:t>jednou</w:t>
      </w:r>
      <w:r w:rsidR="000425BE" w:rsidRPr="00E94519">
        <w:rPr>
          <w:noProof/>
          <w:szCs w:val="22"/>
        </w:rPr>
        <w:t xml:space="preserve"> 150 mg tabletou </w:t>
      </w:r>
      <w:r w:rsidR="00E94519">
        <w:rPr>
          <w:noProof/>
          <w:szCs w:val="22"/>
        </w:rPr>
        <w:t xml:space="preserve">s obsahom </w:t>
      </w:r>
      <w:r w:rsidR="000425BE" w:rsidRPr="00E94519">
        <w:rPr>
          <w:noProof/>
          <w:szCs w:val="22"/>
        </w:rPr>
        <w:t>ranitidínu</w:t>
      </w:r>
      <w:r w:rsidR="005E13CC" w:rsidRPr="00E94519">
        <w:rPr>
          <w:noProof/>
          <w:szCs w:val="22"/>
        </w:rPr>
        <w:t xml:space="preserve"> </w:t>
      </w:r>
      <w:r w:rsidR="000425BE" w:rsidRPr="00E94519">
        <w:rPr>
          <w:noProof/>
          <w:szCs w:val="22"/>
        </w:rPr>
        <w:t xml:space="preserve">trikrát denne </w:t>
      </w:r>
      <w:r w:rsidR="000425BE" w:rsidRPr="00E94519">
        <w:rPr>
          <w:noProof/>
          <w:spacing w:val="1"/>
          <w:szCs w:val="22"/>
        </w:rPr>
        <w:t>(</w:t>
      </w:r>
      <w:r w:rsidR="000425BE" w:rsidRPr="00E94519">
        <w:rPr>
          <w:noProof/>
          <w:szCs w:val="22"/>
        </w:rPr>
        <w:t>= 4</w:t>
      </w:r>
      <w:r w:rsidR="000425BE" w:rsidRPr="00E94519">
        <w:rPr>
          <w:noProof/>
          <w:spacing w:val="-2"/>
          <w:szCs w:val="22"/>
        </w:rPr>
        <w:t>5</w:t>
      </w:r>
      <w:r w:rsidR="000425BE" w:rsidRPr="00E94519">
        <w:rPr>
          <w:noProof/>
          <w:szCs w:val="22"/>
        </w:rPr>
        <w:t xml:space="preserve">0 </w:t>
      </w:r>
      <w:r w:rsidR="000425BE" w:rsidRPr="00E94519">
        <w:rPr>
          <w:noProof/>
          <w:spacing w:val="-4"/>
          <w:szCs w:val="22"/>
        </w:rPr>
        <w:t>m</w:t>
      </w:r>
      <w:r w:rsidR="000425BE" w:rsidRPr="00E94519">
        <w:rPr>
          <w:noProof/>
          <w:szCs w:val="22"/>
        </w:rPr>
        <w:t>g</w:t>
      </w:r>
      <w:r w:rsidR="000425BE" w:rsidRPr="00E94519">
        <w:rPr>
          <w:noProof/>
          <w:spacing w:val="-2"/>
          <w:szCs w:val="22"/>
        </w:rPr>
        <w:t xml:space="preserve"> </w:t>
      </w:r>
      <w:r w:rsidR="000425BE" w:rsidRPr="00E94519">
        <w:rPr>
          <w:noProof/>
          <w:spacing w:val="1"/>
          <w:szCs w:val="22"/>
        </w:rPr>
        <w:t>r</w:t>
      </w:r>
      <w:r w:rsidR="000425BE" w:rsidRPr="001D0EB1">
        <w:rPr>
          <w:noProof/>
          <w:szCs w:val="22"/>
        </w:rPr>
        <w:t>an</w:t>
      </w:r>
      <w:r w:rsidR="000425BE" w:rsidRPr="001D0EB1">
        <w:rPr>
          <w:noProof/>
          <w:spacing w:val="1"/>
          <w:szCs w:val="22"/>
        </w:rPr>
        <w:t>i</w:t>
      </w:r>
      <w:r w:rsidR="000425BE" w:rsidRPr="001D0EB1">
        <w:rPr>
          <w:noProof/>
          <w:spacing w:val="-1"/>
          <w:szCs w:val="22"/>
        </w:rPr>
        <w:t>t</w:t>
      </w:r>
      <w:r w:rsidR="000425BE" w:rsidRPr="001D0EB1">
        <w:rPr>
          <w:noProof/>
          <w:spacing w:val="1"/>
          <w:szCs w:val="22"/>
        </w:rPr>
        <w:t>idínu denne)</w:t>
      </w:r>
      <w:r w:rsidR="000425BE" w:rsidRPr="001D0EB1">
        <w:rPr>
          <w:noProof/>
          <w:szCs w:val="22"/>
        </w:rPr>
        <w:t>. Ak je to nevyh</w:t>
      </w:r>
      <w:r w:rsidR="005E13CC" w:rsidRPr="001D0EB1">
        <w:rPr>
          <w:noProof/>
          <w:szCs w:val="22"/>
        </w:rPr>
        <w:t>nutné, dávka sa môže zvýšiť na štyri až šesť</w:t>
      </w:r>
      <w:r w:rsidR="000425BE" w:rsidRPr="001D0EB1">
        <w:rPr>
          <w:noProof/>
          <w:szCs w:val="22"/>
        </w:rPr>
        <w:t xml:space="preserve"> 150 mg tabliet </w:t>
      </w:r>
      <w:r w:rsidR="001D0EB1">
        <w:rPr>
          <w:noProof/>
          <w:szCs w:val="22"/>
        </w:rPr>
        <w:t xml:space="preserve">s obsahom </w:t>
      </w:r>
      <w:r w:rsidR="000425BE" w:rsidRPr="001D0EB1">
        <w:rPr>
          <w:noProof/>
          <w:szCs w:val="22"/>
        </w:rPr>
        <w:t xml:space="preserve">ranitidínu denne </w:t>
      </w:r>
      <w:r w:rsidR="000425BE" w:rsidRPr="001D0EB1">
        <w:rPr>
          <w:noProof/>
          <w:spacing w:val="1"/>
          <w:szCs w:val="22"/>
        </w:rPr>
        <w:t>(</w:t>
      </w:r>
      <w:r w:rsidR="000425BE" w:rsidRPr="001D0EB1">
        <w:rPr>
          <w:noProof/>
          <w:szCs w:val="22"/>
        </w:rPr>
        <w:t>=</w:t>
      </w:r>
      <w:r w:rsidR="000425BE" w:rsidRPr="001D0EB1">
        <w:rPr>
          <w:noProof/>
          <w:spacing w:val="-2"/>
          <w:szCs w:val="22"/>
        </w:rPr>
        <w:t xml:space="preserve"> </w:t>
      </w:r>
      <w:r w:rsidR="000425BE" w:rsidRPr="001D0EB1">
        <w:rPr>
          <w:noProof/>
          <w:szCs w:val="22"/>
        </w:rPr>
        <w:t>600</w:t>
      </w:r>
      <w:r w:rsidR="00E212AB">
        <w:rPr>
          <w:noProof/>
          <w:spacing w:val="-4"/>
          <w:szCs w:val="22"/>
        </w:rPr>
        <w:t xml:space="preserve"> – </w:t>
      </w:r>
      <w:r w:rsidR="000425BE" w:rsidRPr="001D0EB1">
        <w:rPr>
          <w:noProof/>
          <w:szCs w:val="22"/>
        </w:rPr>
        <w:t xml:space="preserve">900 </w:t>
      </w:r>
      <w:r w:rsidR="000425BE" w:rsidRPr="001D0EB1">
        <w:rPr>
          <w:noProof/>
          <w:spacing w:val="-1"/>
          <w:szCs w:val="22"/>
        </w:rPr>
        <w:t>m</w:t>
      </w:r>
      <w:r w:rsidR="000425BE" w:rsidRPr="001D0EB1">
        <w:rPr>
          <w:noProof/>
          <w:szCs w:val="22"/>
        </w:rPr>
        <w:t xml:space="preserve">g </w:t>
      </w:r>
      <w:r w:rsidR="000425BE" w:rsidRPr="001D0EB1">
        <w:rPr>
          <w:noProof/>
          <w:spacing w:val="1"/>
          <w:szCs w:val="22"/>
        </w:rPr>
        <w:t>r</w:t>
      </w:r>
      <w:r w:rsidR="000425BE" w:rsidRPr="001D0EB1">
        <w:rPr>
          <w:noProof/>
          <w:szCs w:val="22"/>
        </w:rPr>
        <w:t>a</w:t>
      </w:r>
      <w:r w:rsidR="000425BE" w:rsidRPr="00E212AB">
        <w:rPr>
          <w:noProof/>
          <w:spacing w:val="-2"/>
          <w:szCs w:val="22"/>
        </w:rPr>
        <w:t>n</w:t>
      </w:r>
      <w:r w:rsidR="000425BE" w:rsidRPr="00E212AB">
        <w:rPr>
          <w:noProof/>
          <w:spacing w:val="1"/>
          <w:szCs w:val="22"/>
        </w:rPr>
        <w:t>itidínu</w:t>
      </w:r>
      <w:r w:rsidR="000425BE" w:rsidRPr="00E212AB">
        <w:rPr>
          <w:noProof/>
          <w:spacing w:val="2"/>
          <w:szCs w:val="22"/>
        </w:rPr>
        <w:t xml:space="preserve"> </w:t>
      </w:r>
      <w:r w:rsidR="000425BE" w:rsidRPr="00407DB6">
        <w:rPr>
          <w:noProof/>
          <w:szCs w:val="22"/>
        </w:rPr>
        <w:t>d</w:t>
      </w:r>
      <w:r w:rsidR="000425BE" w:rsidRPr="00407DB6">
        <w:rPr>
          <w:noProof/>
          <w:spacing w:val="-2"/>
          <w:szCs w:val="22"/>
        </w:rPr>
        <w:t>en</w:t>
      </w:r>
      <w:r w:rsidR="000425BE" w:rsidRPr="001032C9">
        <w:rPr>
          <w:noProof/>
          <w:spacing w:val="-2"/>
          <w:szCs w:val="22"/>
        </w:rPr>
        <w:t>ne</w:t>
      </w:r>
      <w:r w:rsidR="000425BE" w:rsidRPr="001032C9">
        <w:rPr>
          <w:noProof/>
          <w:spacing w:val="1"/>
          <w:szCs w:val="22"/>
        </w:rPr>
        <w:t>)</w:t>
      </w:r>
      <w:r w:rsidR="000425BE" w:rsidRPr="001032C9">
        <w:rPr>
          <w:noProof/>
          <w:szCs w:val="22"/>
        </w:rPr>
        <w:t>.</w:t>
      </w:r>
    </w:p>
    <w:p w:rsidR="00322FF3" w:rsidRPr="007129CD" w:rsidRDefault="00322FF3" w:rsidP="00592542">
      <w:pPr>
        <w:ind w:left="0" w:firstLine="0"/>
        <w:rPr>
          <w:noProof/>
          <w:szCs w:val="22"/>
        </w:rPr>
      </w:pPr>
    </w:p>
    <w:p w:rsidR="00322FF3" w:rsidRDefault="005E13CC" w:rsidP="00592542">
      <w:pPr>
        <w:ind w:left="0" w:firstLine="0"/>
        <w:rPr>
          <w:noProof/>
          <w:szCs w:val="22"/>
        </w:rPr>
      </w:pPr>
      <w:r w:rsidRPr="00AF4EC7">
        <w:rPr>
          <w:noProof/>
          <w:szCs w:val="22"/>
        </w:rPr>
        <w:t>Pacientov je možné</w:t>
      </w:r>
      <w:r w:rsidR="000425BE" w:rsidRPr="002B700A">
        <w:rPr>
          <w:noProof/>
          <w:szCs w:val="22"/>
        </w:rPr>
        <w:t xml:space="preserve"> stabilizovať vyššou dávkou (napr. 1</w:t>
      </w:r>
      <w:r w:rsidR="00407DB6">
        <w:rPr>
          <w:noProof/>
          <w:szCs w:val="22"/>
        </w:rPr>
        <w:t> </w:t>
      </w:r>
      <w:r w:rsidR="000425BE" w:rsidRPr="00407DB6">
        <w:rPr>
          <w:noProof/>
          <w:szCs w:val="22"/>
        </w:rPr>
        <w:t>200 mg denne), ak sa to považuje za klinicky nevyhnutné. Podávali sa denné dávky až do 6 g ranitidínu. Dávky sa môžu užívať nezávisle od jedla.</w:t>
      </w:r>
    </w:p>
    <w:p w:rsidR="00561C87" w:rsidRDefault="00561C87" w:rsidP="00592542">
      <w:pPr>
        <w:ind w:left="0" w:firstLine="0"/>
        <w:rPr>
          <w:noProof/>
          <w:szCs w:val="22"/>
        </w:rPr>
      </w:pPr>
    </w:p>
    <w:p w:rsidR="00561C87" w:rsidRDefault="00561C87" w:rsidP="00561C87">
      <w:pPr>
        <w:rPr>
          <w:b/>
          <w:noProof/>
          <w:szCs w:val="22"/>
          <w:u w:val="single"/>
        </w:rPr>
      </w:pPr>
      <w:r>
        <w:rPr>
          <w:b/>
          <w:noProof/>
          <w:szCs w:val="22"/>
          <w:u w:val="single"/>
        </w:rPr>
        <w:t>Deti vo veku 12 a viac rokov</w:t>
      </w:r>
    </w:p>
    <w:p w:rsidR="00561C87" w:rsidRDefault="00561C87" w:rsidP="00561C87">
      <w:pPr>
        <w:rPr>
          <w:noProof/>
          <w:szCs w:val="22"/>
        </w:rPr>
      </w:pPr>
      <w:r>
        <w:rPr>
          <w:noProof/>
          <w:szCs w:val="22"/>
        </w:rPr>
        <w:t>Deťom vo veku 12 a viac rokov sa podáva dávka pre dospelých.</w:t>
      </w:r>
    </w:p>
    <w:p w:rsidR="00322FF3" w:rsidRPr="007129CD" w:rsidRDefault="00322FF3" w:rsidP="00592542">
      <w:pPr>
        <w:rPr>
          <w:b/>
          <w:noProof/>
          <w:szCs w:val="22"/>
          <w:u w:val="single"/>
        </w:rPr>
      </w:pPr>
    </w:p>
    <w:p w:rsidR="00322FF3" w:rsidRPr="001032C9" w:rsidRDefault="00350BA7" w:rsidP="00592542">
      <w:pPr>
        <w:rPr>
          <w:b/>
          <w:noProof/>
          <w:szCs w:val="22"/>
          <w:u w:val="single"/>
        </w:rPr>
      </w:pPr>
      <w:r w:rsidRPr="007129CD">
        <w:rPr>
          <w:b/>
          <w:noProof/>
          <w:szCs w:val="22"/>
          <w:u w:val="single"/>
        </w:rPr>
        <w:t xml:space="preserve">Deti </w:t>
      </w:r>
      <w:r>
        <w:rPr>
          <w:b/>
          <w:noProof/>
          <w:szCs w:val="22"/>
          <w:u w:val="single"/>
        </w:rPr>
        <w:t xml:space="preserve">vo veku </w:t>
      </w:r>
      <w:r w:rsidRPr="001032C9">
        <w:rPr>
          <w:b/>
          <w:noProof/>
          <w:szCs w:val="22"/>
          <w:u w:val="single"/>
        </w:rPr>
        <w:t>od 3 do 11 rokov a</w:t>
      </w:r>
      <w:r>
        <w:rPr>
          <w:b/>
          <w:noProof/>
          <w:szCs w:val="22"/>
          <w:u w:val="single"/>
        </w:rPr>
        <w:t xml:space="preserve"> s telesnou hmotnosťou </w:t>
      </w:r>
      <w:r w:rsidRPr="001032C9">
        <w:rPr>
          <w:b/>
          <w:noProof/>
          <w:szCs w:val="22"/>
          <w:u w:val="single"/>
        </w:rPr>
        <w:t>nad 30 kg</w:t>
      </w:r>
    </w:p>
    <w:p w:rsidR="00322FF3" w:rsidRPr="007129CD" w:rsidRDefault="00EF29BA" w:rsidP="00592542">
      <w:pPr>
        <w:rPr>
          <w:noProof/>
          <w:szCs w:val="22"/>
        </w:rPr>
      </w:pPr>
      <w:r w:rsidRPr="007129CD">
        <w:rPr>
          <w:noProof/>
          <w:szCs w:val="22"/>
        </w:rPr>
        <w:t xml:space="preserve">Pozri časť 5.2 Farmakokinetické vlastnosti - Osobitné </w:t>
      </w:r>
      <w:r w:rsidR="005E13CC" w:rsidRPr="007129CD">
        <w:rPr>
          <w:noProof/>
          <w:szCs w:val="22"/>
        </w:rPr>
        <w:t xml:space="preserve">skupiny </w:t>
      </w:r>
      <w:r w:rsidRPr="007129CD">
        <w:rPr>
          <w:noProof/>
          <w:szCs w:val="22"/>
        </w:rPr>
        <w:t>pacientov</w:t>
      </w:r>
      <w:r w:rsidR="00965B17">
        <w:rPr>
          <w:noProof/>
          <w:szCs w:val="22"/>
        </w:rPr>
        <w:t>.</w:t>
      </w:r>
    </w:p>
    <w:p w:rsidR="00404BA0" w:rsidRPr="00AF4EC7" w:rsidRDefault="00404BA0" w:rsidP="00592542">
      <w:pPr>
        <w:rPr>
          <w:b/>
          <w:noProof/>
          <w:szCs w:val="22"/>
        </w:rPr>
      </w:pPr>
    </w:p>
    <w:p w:rsidR="00322FF3" w:rsidRPr="0042378E" w:rsidRDefault="00EF29BA" w:rsidP="0093686A">
      <w:pPr>
        <w:keepNext/>
        <w:rPr>
          <w:noProof/>
          <w:szCs w:val="22"/>
        </w:rPr>
      </w:pPr>
      <w:r w:rsidRPr="002B700A">
        <w:rPr>
          <w:b/>
          <w:noProof/>
          <w:szCs w:val="22"/>
        </w:rPr>
        <w:lastRenderedPageBreak/>
        <w:t>Akútna liečba peptického vredu</w:t>
      </w:r>
    </w:p>
    <w:p w:rsidR="001F5163" w:rsidRPr="001E5C3D" w:rsidRDefault="00EF29BA" w:rsidP="00592542">
      <w:pPr>
        <w:ind w:left="0" w:firstLine="0"/>
        <w:rPr>
          <w:noProof/>
          <w:szCs w:val="22"/>
        </w:rPr>
      </w:pPr>
      <w:r w:rsidRPr="009F342E">
        <w:rPr>
          <w:noProof/>
          <w:szCs w:val="22"/>
        </w:rPr>
        <w:t>Odporúčaná perorálna dávka na liečbu peptického vredu u detí je 4 mg/kg/deň až 8 mg/kg/deň podávaná v dvoch oddelených dávkach až po maxi</w:t>
      </w:r>
      <w:r w:rsidR="00F61760" w:rsidRPr="000C6CCC">
        <w:rPr>
          <w:noProof/>
          <w:szCs w:val="22"/>
        </w:rPr>
        <w:t>málne</w:t>
      </w:r>
      <w:r w:rsidRPr="00A24B51">
        <w:rPr>
          <w:noProof/>
          <w:szCs w:val="22"/>
        </w:rPr>
        <w:t xml:space="preserve"> 300 mg ranitidín</w:t>
      </w:r>
      <w:r w:rsidRPr="00B971D7">
        <w:rPr>
          <w:noProof/>
          <w:szCs w:val="22"/>
        </w:rPr>
        <w:t>u za deň počas 4 týždňov.</w:t>
      </w:r>
    </w:p>
    <w:p w:rsidR="00EF29BA" w:rsidRPr="001E5C3D" w:rsidRDefault="00EF29BA" w:rsidP="00592542">
      <w:pPr>
        <w:ind w:left="0" w:firstLine="0"/>
        <w:rPr>
          <w:noProof/>
          <w:szCs w:val="22"/>
        </w:rPr>
      </w:pPr>
      <w:r w:rsidRPr="001E5C3D">
        <w:rPr>
          <w:noProof/>
          <w:szCs w:val="22"/>
        </w:rPr>
        <w:t xml:space="preserve">U pacientov s nedostatočným hojením sa indikujú ďalšie 4 týždne liečby, keďže zahojenie sa zvyčajne dostaví po </w:t>
      </w:r>
      <w:r w:rsidR="00ED2E1E" w:rsidRPr="001E5C3D">
        <w:rPr>
          <w:noProof/>
          <w:szCs w:val="22"/>
        </w:rPr>
        <w:t xml:space="preserve">ôsmich </w:t>
      </w:r>
      <w:r w:rsidRPr="001E5C3D">
        <w:rPr>
          <w:noProof/>
          <w:szCs w:val="22"/>
        </w:rPr>
        <w:t>týždňoch liečby.</w:t>
      </w:r>
    </w:p>
    <w:p w:rsidR="005E13CC" w:rsidRPr="00C31981" w:rsidRDefault="005E13CC" w:rsidP="00592542">
      <w:pPr>
        <w:rPr>
          <w:noProof/>
          <w:szCs w:val="22"/>
        </w:rPr>
      </w:pPr>
    </w:p>
    <w:p w:rsidR="00EF29BA" w:rsidRPr="004D0022" w:rsidRDefault="00EF29BA" w:rsidP="00592542">
      <w:pPr>
        <w:rPr>
          <w:b/>
          <w:noProof/>
          <w:szCs w:val="22"/>
        </w:rPr>
      </w:pPr>
      <w:r w:rsidRPr="004D0022">
        <w:rPr>
          <w:b/>
          <w:noProof/>
          <w:szCs w:val="22"/>
        </w:rPr>
        <w:t>Gastroezofageálny reflux</w:t>
      </w:r>
    </w:p>
    <w:p w:rsidR="001F5163" w:rsidRPr="00AD1925" w:rsidRDefault="00EF29BA" w:rsidP="00592542">
      <w:pPr>
        <w:ind w:left="0" w:firstLine="0"/>
        <w:rPr>
          <w:noProof/>
          <w:szCs w:val="22"/>
        </w:rPr>
      </w:pPr>
      <w:r w:rsidRPr="00D968C8">
        <w:rPr>
          <w:noProof/>
          <w:szCs w:val="22"/>
        </w:rPr>
        <w:t>Odporúčaná perorálna dávka na liečbu gastroezofageálneho refl</w:t>
      </w:r>
      <w:r w:rsidRPr="00AD1925">
        <w:rPr>
          <w:noProof/>
          <w:szCs w:val="22"/>
        </w:rPr>
        <w:t xml:space="preserve">uxu u detí je 5 mg/kg/deň až </w:t>
      </w:r>
    </w:p>
    <w:p w:rsidR="00EF29BA" w:rsidRPr="00F44C96" w:rsidRDefault="00EF29BA" w:rsidP="00592542">
      <w:pPr>
        <w:ind w:left="0" w:firstLine="0"/>
        <w:rPr>
          <w:noProof/>
          <w:szCs w:val="22"/>
        </w:rPr>
      </w:pPr>
      <w:r w:rsidRPr="0050704B">
        <w:rPr>
          <w:noProof/>
          <w:szCs w:val="22"/>
        </w:rPr>
        <w:t xml:space="preserve">10 mg/kg/deň podávaná v dvoch oddelených dávkach po maximálnu dávku 600 mg </w:t>
      </w:r>
      <w:r w:rsidR="001F5163" w:rsidRPr="009061D8">
        <w:rPr>
          <w:noProof/>
          <w:szCs w:val="22"/>
        </w:rPr>
        <w:t>(</w:t>
      </w:r>
      <w:r w:rsidRPr="00F44C96">
        <w:rPr>
          <w:noProof/>
          <w:szCs w:val="22"/>
        </w:rPr>
        <w:t>maximálna dávka sa pravdepodobne použije u ťažších detí a dospievajúcich so závažnými symptómami).</w:t>
      </w:r>
    </w:p>
    <w:p w:rsidR="001F5163" w:rsidRPr="00E223ED" w:rsidRDefault="001F5163" w:rsidP="00592542">
      <w:pPr>
        <w:ind w:left="0" w:firstLine="0"/>
        <w:rPr>
          <w:noProof/>
          <w:szCs w:val="22"/>
        </w:rPr>
      </w:pPr>
    </w:p>
    <w:p w:rsidR="00561C87" w:rsidRPr="0093686A" w:rsidRDefault="00561C87" w:rsidP="00561C87">
      <w:pPr>
        <w:ind w:left="0" w:firstLine="0"/>
        <w:rPr>
          <w:b/>
          <w:noProof/>
          <w:szCs w:val="22"/>
          <w:u w:val="single"/>
        </w:rPr>
      </w:pPr>
      <w:r w:rsidRPr="0093686A">
        <w:rPr>
          <w:b/>
          <w:noProof/>
          <w:szCs w:val="22"/>
          <w:u w:val="single"/>
        </w:rPr>
        <w:t>Novorodenci</w:t>
      </w:r>
    </w:p>
    <w:p w:rsidR="00EF29BA" w:rsidRPr="002B700A" w:rsidRDefault="009543F5" w:rsidP="00592542">
      <w:pPr>
        <w:ind w:left="0" w:firstLine="0"/>
        <w:rPr>
          <w:noProof/>
          <w:szCs w:val="22"/>
        </w:rPr>
      </w:pPr>
      <w:r w:rsidRPr="00E223ED">
        <w:rPr>
          <w:noProof/>
          <w:szCs w:val="22"/>
        </w:rPr>
        <w:t>Bezpečnosť a účinnosť u novorodencov nebol</w:t>
      </w:r>
      <w:r w:rsidR="00AF4EC7">
        <w:rPr>
          <w:noProof/>
          <w:szCs w:val="22"/>
        </w:rPr>
        <w:t>i</w:t>
      </w:r>
      <w:r w:rsidRPr="00AF4EC7">
        <w:rPr>
          <w:noProof/>
          <w:szCs w:val="22"/>
        </w:rPr>
        <w:t xml:space="preserve"> stanoven</w:t>
      </w:r>
      <w:r w:rsidR="00AF4EC7">
        <w:rPr>
          <w:noProof/>
          <w:szCs w:val="22"/>
        </w:rPr>
        <w:t>é</w:t>
      </w:r>
      <w:r w:rsidRPr="002B700A">
        <w:rPr>
          <w:noProof/>
          <w:szCs w:val="22"/>
        </w:rPr>
        <w:t>.</w:t>
      </w:r>
    </w:p>
    <w:p w:rsidR="00EF29BA" w:rsidRPr="0042378E" w:rsidRDefault="00EF29BA" w:rsidP="00592542">
      <w:pPr>
        <w:rPr>
          <w:noProof/>
          <w:szCs w:val="22"/>
        </w:rPr>
      </w:pPr>
    </w:p>
    <w:p w:rsidR="00EF29BA" w:rsidRPr="00AB2C3F" w:rsidRDefault="009543F5" w:rsidP="00592542">
      <w:pPr>
        <w:rPr>
          <w:noProof/>
          <w:szCs w:val="22"/>
        </w:rPr>
      </w:pPr>
      <w:r w:rsidRPr="009F342E">
        <w:rPr>
          <w:noProof/>
          <w:szCs w:val="22"/>
        </w:rPr>
        <w:t>REŽIM DÁVKOVANIA U PACIENTOV S RENÁLNOU DYSFUNKCIOU</w:t>
      </w:r>
    </w:p>
    <w:p w:rsidR="009543F5" w:rsidRPr="0042378E" w:rsidRDefault="009543F5" w:rsidP="00592542">
      <w:pPr>
        <w:ind w:left="0" w:firstLine="0"/>
        <w:rPr>
          <w:noProof/>
          <w:szCs w:val="22"/>
        </w:rPr>
      </w:pPr>
      <w:r w:rsidRPr="00AB2C3F">
        <w:rPr>
          <w:noProof/>
          <w:szCs w:val="22"/>
        </w:rPr>
        <w:t xml:space="preserve">U pacientov s poruchou funkcie obličiek (klírens kreatinínu menší ako </w:t>
      </w:r>
      <w:r w:rsidRPr="00AB2C3F">
        <w:rPr>
          <w:rFonts w:eastAsia="Batang"/>
          <w:bCs/>
          <w:iCs/>
          <w:noProof/>
          <w:szCs w:val="22"/>
          <w:lang w:eastAsia="ko-KR"/>
        </w:rPr>
        <w:t xml:space="preserve">50 ml/min) </w:t>
      </w:r>
      <w:r w:rsidR="001F5163" w:rsidRPr="00AB2C3F">
        <w:rPr>
          <w:rFonts w:eastAsia="Batang"/>
          <w:bCs/>
          <w:iCs/>
          <w:noProof/>
          <w:szCs w:val="22"/>
          <w:lang w:eastAsia="ko-KR"/>
        </w:rPr>
        <w:t>d</w:t>
      </w:r>
      <w:r w:rsidR="002B700A">
        <w:rPr>
          <w:rFonts w:eastAsia="Batang"/>
          <w:bCs/>
          <w:iCs/>
          <w:noProof/>
          <w:szCs w:val="22"/>
          <w:lang w:eastAsia="ko-KR"/>
        </w:rPr>
        <w:t>ochádza</w:t>
      </w:r>
      <w:r w:rsidR="001F5163" w:rsidRPr="002B700A">
        <w:rPr>
          <w:rFonts w:eastAsia="Batang"/>
          <w:bCs/>
          <w:iCs/>
          <w:noProof/>
          <w:szCs w:val="22"/>
          <w:lang w:eastAsia="ko-KR"/>
        </w:rPr>
        <w:t xml:space="preserve"> k</w:t>
      </w:r>
      <w:r w:rsidR="002B700A">
        <w:rPr>
          <w:rFonts w:eastAsia="Batang"/>
          <w:bCs/>
          <w:iCs/>
          <w:noProof/>
          <w:szCs w:val="22"/>
          <w:lang w:eastAsia="ko-KR"/>
        </w:rPr>
        <w:t> </w:t>
      </w:r>
      <w:r w:rsidR="001F5163" w:rsidRPr="002B700A">
        <w:rPr>
          <w:rFonts w:eastAsia="Batang"/>
          <w:bCs/>
          <w:iCs/>
          <w:noProof/>
          <w:szCs w:val="22"/>
          <w:lang w:eastAsia="ko-KR"/>
        </w:rPr>
        <w:t>hromadeniu</w:t>
      </w:r>
      <w:r w:rsidRPr="002B700A">
        <w:rPr>
          <w:rFonts w:eastAsia="Batang"/>
          <w:bCs/>
          <w:iCs/>
          <w:noProof/>
          <w:szCs w:val="22"/>
          <w:lang w:eastAsia="ko-KR"/>
        </w:rPr>
        <w:t xml:space="preserve"> ranitidínu, </w:t>
      </w:r>
      <w:r w:rsidR="001F5163" w:rsidRPr="002B700A">
        <w:rPr>
          <w:rFonts w:eastAsia="Batang"/>
          <w:bCs/>
          <w:iCs/>
          <w:noProof/>
          <w:szCs w:val="22"/>
          <w:lang w:eastAsia="ko-KR"/>
        </w:rPr>
        <w:t xml:space="preserve">čo </w:t>
      </w:r>
      <w:r w:rsidRPr="002B700A">
        <w:rPr>
          <w:rFonts w:eastAsia="Batang"/>
          <w:bCs/>
          <w:iCs/>
          <w:noProof/>
          <w:szCs w:val="22"/>
          <w:lang w:eastAsia="ko-KR"/>
        </w:rPr>
        <w:t>vedie k vysokým koncentráci</w:t>
      </w:r>
      <w:r w:rsidR="00965B17">
        <w:rPr>
          <w:rFonts w:eastAsia="Batang"/>
          <w:bCs/>
          <w:iCs/>
          <w:noProof/>
          <w:szCs w:val="22"/>
          <w:lang w:eastAsia="ko-KR"/>
        </w:rPr>
        <w:t>á</w:t>
      </w:r>
      <w:r w:rsidRPr="002B700A">
        <w:rPr>
          <w:rFonts w:eastAsia="Batang"/>
          <w:bCs/>
          <w:iCs/>
          <w:noProof/>
          <w:szCs w:val="22"/>
          <w:lang w:eastAsia="ko-KR"/>
        </w:rPr>
        <w:t>m v plazme. U týchto pacientov sa odporúča</w:t>
      </w:r>
      <w:r w:rsidR="00272224" w:rsidRPr="0042378E">
        <w:rPr>
          <w:rFonts w:eastAsia="Batang"/>
          <w:bCs/>
          <w:iCs/>
          <w:noProof/>
          <w:szCs w:val="22"/>
          <w:lang w:eastAsia="ko-KR"/>
        </w:rPr>
        <w:t xml:space="preserve"> 150 mg denná dávka.</w:t>
      </w:r>
    </w:p>
    <w:p w:rsidR="009543F5" w:rsidRPr="009F342E" w:rsidRDefault="009543F5" w:rsidP="00592542">
      <w:pPr>
        <w:rPr>
          <w:noProof/>
          <w:szCs w:val="22"/>
        </w:rPr>
      </w:pPr>
    </w:p>
    <w:p w:rsidR="009543F5" w:rsidRPr="0042378E" w:rsidRDefault="00272224" w:rsidP="00592542">
      <w:pPr>
        <w:ind w:left="0" w:firstLine="0"/>
        <w:rPr>
          <w:noProof/>
          <w:szCs w:val="22"/>
        </w:rPr>
      </w:pPr>
      <w:r w:rsidRPr="000C6CCC">
        <w:rPr>
          <w:noProof/>
          <w:szCs w:val="22"/>
        </w:rPr>
        <w:t xml:space="preserve">Ranitidín je dialyzovateľný. Hemodialýza znižuje hladiny ranitidínu v krvi. Preto pacientom </w:t>
      </w:r>
      <w:r w:rsidR="0042378E">
        <w:rPr>
          <w:noProof/>
          <w:szCs w:val="22"/>
        </w:rPr>
        <w:t>podstupujúcim</w:t>
      </w:r>
      <w:r w:rsidRPr="0042378E">
        <w:rPr>
          <w:noProof/>
          <w:szCs w:val="22"/>
        </w:rPr>
        <w:t xml:space="preserve"> dialýz</w:t>
      </w:r>
      <w:r w:rsidR="0042378E">
        <w:rPr>
          <w:noProof/>
          <w:szCs w:val="22"/>
        </w:rPr>
        <w:t>u</w:t>
      </w:r>
      <w:r w:rsidRPr="0042378E">
        <w:rPr>
          <w:noProof/>
          <w:szCs w:val="22"/>
        </w:rPr>
        <w:t xml:space="preserve"> sa má podať ranitidín po dialýze.</w:t>
      </w:r>
    </w:p>
    <w:p w:rsidR="009543F5" w:rsidRPr="009F342E" w:rsidRDefault="009543F5" w:rsidP="00592542">
      <w:pPr>
        <w:rPr>
          <w:noProof/>
          <w:szCs w:val="22"/>
        </w:rPr>
      </w:pPr>
    </w:p>
    <w:p w:rsidR="00272224" w:rsidRPr="000C6CCC" w:rsidRDefault="00272224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144" w:right="144" w:hanging="144"/>
        <w:rPr>
          <w:b/>
          <w:bCs/>
          <w:noProof/>
          <w:szCs w:val="22"/>
        </w:rPr>
      </w:pPr>
      <w:r w:rsidRPr="000C6CCC">
        <w:rPr>
          <w:b/>
          <w:bCs/>
          <w:noProof/>
          <w:spacing w:val="-1"/>
          <w:szCs w:val="22"/>
        </w:rPr>
        <w:t>R</w:t>
      </w:r>
      <w:r w:rsidRPr="000C6CCC">
        <w:rPr>
          <w:b/>
          <w:bCs/>
          <w:noProof/>
          <w:szCs w:val="22"/>
        </w:rPr>
        <w:t>ani</w:t>
      </w:r>
      <w:r w:rsidRPr="000C6CCC">
        <w:rPr>
          <w:b/>
          <w:bCs/>
          <w:noProof/>
          <w:spacing w:val="-1"/>
          <w:szCs w:val="22"/>
        </w:rPr>
        <w:t>t</w:t>
      </w:r>
      <w:r w:rsidRPr="000C6CCC">
        <w:rPr>
          <w:b/>
          <w:bCs/>
          <w:noProof/>
          <w:spacing w:val="1"/>
          <w:szCs w:val="22"/>
        </w:rPr>
        <w:t>i</w:t>
      </w:r>
      <w:r w:rsidR="001F5163" w:rsidRPr="000C6CCC">
        <w:rPr>
          <w:b/>
          <w:bCs/>
          <w:noProof/>
          <w:szCs w:val="22"/>
        </w:rPr>
        <w:t>dí</w:t>
      </w:r>
      <w:r w:rsidRPr="000C6CCC">
        <w:rPr>
          <w:b/>
          <w:bCs/>
          <w:noProof/>
          <w:szCs w:val="22"/>
        </w:rPr>
        <w:t>n</w:t>
      </w:r>
      <w:r w:rsidRPr="000C6CCC">
        <w:rPr>
          <w:b/>
          <w:bCs/>
          <w:noProof/>
          <w:spacing w:val="-2"/>
          <w:szCs w:val="22"/>
        </w:rPr>
        <w:t xml:space="preserve"> </w:t>
      </w:r>
      <w:r w:rsidRPr="000C6CCC">
        <w:rPr>
          <w:b/>
          <w:bCs/>
          <w:noProof/>
          <w:szCs w:val="22"/>
        </w:rPr>
        <w:t>300</w:t>
      </w:r>
      <w:r w:rsidRPr="000C6CCC">
        <w:rPr>
          <w:b/>
          <w:bCs/>
          <w:noProof/>
          <w:spacing w:val="-2"/>
          <w:szCs w:val="22"/>
        </w:rPr>
        <w:t xml:space="preserve"> </w:t>
      </w:r>
      <w:r w:rsidRPr="000C6CCC">
        <w:rPr>
          <w:b/>
          <w:bCs/>
          <w:noProof/>
          <w:spacing w:val="1"/>
          <w:szCs w:val="22"/>
        </w:rPr>
        <w:t>m</w:t>
      </w:r>
      <w:r w:rsidRPr="000C6CCC">
        <w:rPr>
          <w:b/>
          <w:bCs/>
          <w:noProof/>
          <w:szCs w:val="22"/>
        </w:rPr>
        <w:t xml:space="preserve">g </w:t>
      </w:r>
      <w:r w:rsidRPr="000C6CCC">
        <w:rPr>
          <w:b/>
          <w:bCs/>
          <w:noProof/>
          <w:spacing w:val="-1"/>
          <w:szCs w:val="22"/>
        </w:rPr>
        <w:t>t</w:t>
      </w:r>
      <w:r w:rsidRPr="000C6CCC">
        <w:rPr>
          <w:b/>
          <w:bCs/>
          <w:noProof/>
          <w:szCs w:val="22"/>
        </w:rPr>
        <w:t>abl</w:t>
      </w:r>
      <w:r w:rsidRPr="000C6CCC">
        <w:rPr>
          <w:b/>
          <w:bCs/>
          <w:noProof/>
          <w:spacing w:val="-1"/>
          <w:szCs w:val="22"/>
        </w:rPr>
        <w:t>e</w:t>
      </w:r>
      <w:r w:rsidRPr="000C6CCC">
        <w:rPr>
          <w:b/>
          <w:bCs/>
          <w:noProof/>
          <w:spacing w:val="1"/>
          <w:szCs w:val="22"/>
        </w:rPr>
        <w:t>t</w:t>
      </w:r>
      <w:r w:rsidR="001F5163" w:rsidRPr="000C6CCC">
        <w:rPr>
          <w:b/>
          <w:bCs/>
          <w:noProof/>
          <w:szCs w:val="22"/>
        </w:rPr>
        <w:t>y</w:t>
      </w:r>
    </w:p>
    <w:p w:rsidR="001F5163" w:rsidRPr="00A24B51" w:rsidRDefault="001F5163" w:rsidP="00592542">
      <w:pPr>
        <w:widowControl w:val="0"/>
        <w:tabs>
          <w:tab w:val="left" w:pos="90"/>
          <w:tab w:val="left" w:pos="1620"/>
        </w:tabs>
        <w:autoSpaceDE w:val="0"/>
        <w:autoSpaceDN w:val="0"/>
        <w:adjustRightInd w:val="0"/>
        <w:ind w:left="144" w:right="144" w:hanging="144"/>
        <w:rPr>
          <w:noProof/>
          <w:szCs w:val="22"/>
        </w:rPr>
      </w:pPr>
    </w:p>
    <w:p w:rsidR="009543F5" w:rsidRPr="00A24B51" w:rsidRDefault="00272224" w:rsidP="00592542">
      <w:pPr>
        <w:rPr>
          <w:b/>
          <w:noProof/>
          <w:szCs w:val="22"/>
        </w:rPr>
      </w:pPr>
      <w:r w:rsidRPr="00A24B51">
        <w:rPr>
          <w:b/>
          <w:noProof/>
          <w:szCs w:val="22"/>
        </w:rPr>
        <w:t xml:space="preserve">Tablety sa </w:t>
      </w:r>
      <w:r w:rsidR="00ED2E1E" w:rsidRPr="00A24B51">
        <w:rPr>
          <w:b/>
          <w:noProof/>
          <w:szCs w:val="22"/>
        </w:rPr>
        <w:t xml:space="preserve">prehĺtajú s </w:t>
      </w:r>
      <w:r w:rsidR="001F5163" w:rsidRPr="00A24B51">
        <w:rPr>
          <w:b/>
          <w:noProof/>
          <w:szCs w:val="22"/>
        </w:rPr>
        <w:t xml:space="preserve">trochou </w:t>
      </w:r>
      <w:r w:rsidR="00ED2E1E" w:rsidRPr="00A24B51">
        <w:rPr>
          <w:b/>
          <w:noProof/>
          <w:szCs w:val="22"/>
        </w:rPr>
        <w:t>tekutiny</w:t>
      </w:r>
      <w:r w:rsidRPr="00A24B51">
        <w:rPr>
          <w:b/>
          <w:noProof/>
          <w:szCs w:val="22"/>
        </w:rPr>
        <w:t>. Nie je nutné užívať tablety s</w:t>
      </w:r>
      <w:r w:rsidR="001F5163" w:rsidRPr="00A24B51">
        <w:rPr>
          <w:b/>
          <w:noProof/>
          <w:szCs w:val="22"/>
        </w:rPr>
        <w:t xml:space="preserve">polu s </w:t>
      </w:r>
      <w:r w:rsidRPr="00A24B51">
        <w:rPr>
          <w:b/>
          <w:noProof/>
          <w:szCs w:val="22"/>
        </w:rPr>
        <w:t>jedlom.</w:t>
      </w:r>
    </w:p>
    <w:p w:rsidR="009543F5" w:rsidRPr="00B971D7" w:rsidRDefault="009543F5" w:rsidP="00592542">
      <w:pPr>
        <w:rPr>
          <w:noProof/>
          <w:szCs w:val="22"/>
        </w:rPr>
      </w:pPr>
    </w:p>
    <w:p w:rsidR="00272224" w:rsidRPr="00AB2C3F" w:rsidRDefault="00272224" w:rsidP="00592542">
      <w:pPr>
        <w:rPr>
          <w:noProof/>
          <w:szCs w:val="22"/>
        </w:rPr>
      </w:pPr>
      <w:r w:rsidRPr="00B971D7">
        <w:rPr>
          <w:noProof/>
          <w:szCs w:val="22"/>
        </w:rPr>
        <w:t>DOSPELÍ (VRÁTANE STARŠÍCH)/DOSPIEVAJÚCI (</w:t>
      </w:r>
      <w:r w:rsidR="00AB2C3F">
        <w:rPr>
          <w:noProof/>
          <w:szCs w:val="22"/>
        </w:rPr>
        <w:t xml:space="preserve">VO VEKU </w:t>
      </w:r>
      <w:r w:rsidRPr="00AB2C3F">
        <w:rPr>
          <w:noProof/>
          <w:szCs w:val="22"/>
        </w:rPr>
        <w:t>12 RO</w:t>
      </w:r>
      <w:r w:rsidR="00AB2C3F">
        <w:rPr>
          <w:noProof/>
          <w:szCs w:val="22"/>
        </w:rPr>
        <w:t>KOV</w:t>
      </w:r>
      <w:r w:rsidRPr="00AB2C3F">
        <w:rPr>
          <w:noProof/>
          <w:szCs w:val="22"/>
        </w:rPr>
        <w:t xml:space="preserve"> A STARŠÍ)</w:t>
      </w:r>
    </w:p>
    <w:p w:rsidR="009543F5" w:rsidRPr="000C6CCC" w:rsidRDefault="009543F5" w:rsidP="00592542">
      <w:pPr>
        <w:rPr>
          <w:noProof/>
          <w:szCs w:val="22"/>
        </w:rPr>
      </w:pPr>
    </w:p>
    <w:p w:rsidR="00272224" w:rsidRPr="000C6CCC" w:rsidRDefault="00272224" w:rsidP="00592542">
      <w:pPr>
        <w:rPr>
          <w:noProof/>
          <w:szCs w:val="22"/>
        </w:rPr>
      </w:pPr>
      <w:r w:rsidRPr="000C6CCC">
        <w:rPr>
          <w:noProof/>
          <w:szCs w:val="22"/>
        </w:rPr>
        <w:t>Pre dospelých (vrátane starších) a dospievajúcich (</w:t>
      </w:r>
      <w:r w:rsidR="000C6CCC">
        <w:rPr>
          <w:noProof/>
          <w:szCs w:val="22"/>
        </w:rPr>
        <w:t xml:space="preserve">vo veku </w:t>
      </w:r>
      <w:r w:rsidRPr="000C6CCC">
        <w:rPr>
          <w:noProof/>
          <w:szCs w:val="22"/>
        </w:rPr>
        <w:t>12 r</w:t>
      </w:r>
      <w:r w:rsidR="000C6CCC">
        <w:rPr>
          <w:noProof/>
          <w:szCs w:val="22"/>
        </w:rPr>
        <w:t>okov</w:t>
      </w:r>
      <w:r w:rsidRPr="000C6CCC">
        <w:rPr>
          <w:noProof/>
          <w:szCs w:val="22"/>
        </w:rPr>
        <w:t xml:space="preserve"> a starší) s normálnou funkciou </w:t>
      </w:r>
    </w:p>
    <w:p w:rsidR="00272224" w:rsidRPr="00A24B51" w:rsidRDefault="00272224" w:rsidP="00592542">
      <w:pPr>
        <w:rPr>
          <w:noProof/>
          <w:szCs w:val="22"/>
        </w:rPr>
      </w:pPr>
      <w:r w:rsidRPr="00A24B51">
        <w:rPr>
          <w:noProof/>
          <w:szCs w:val="22"/>
        </w:rPr>
        <w:t>obličiek platia nasledovné pokyny na dávkovanie:</w:t>
      </w:r>
    </w:p>
    <w:p w:rsidR="00272224" w:rsidRPr="00B971D7" w:rsidRDefault="00272224" w:rsidP="00592542">
      <w:pPr>
        <w:rPr>
          <w:noProof/>
          <w:szCs w:val="22"/>
        </w:rPr>
      </w:pPr>
    </w:p>
    <w:p w:rsidR="00272224" w:rsidRPr="00A24B51" w:rsidRDefault="00272224" w:rsidP="00592542">
      <w:pPr>
        <w:rPr>
          <w:noProof/>
          <w:szCs w:val="22"/>
        </w:rPr>
      </w:pPr>
      <w:r w:rsidRPr="00B971D7">
        <w:rPr>
          <w:noProof/>
          <w:szCs w:val="22"/>
        </w:rPr>
        <w:t>DUODENÁLNY VRED A BENÍGNY VRED</w:t>
      </w:r>
      <w:r w:rsidR="00A24B51">
        <w:rPr>
          <w:noProof/>
          <w:szCs w:val="22"/>
        </w:rPr>
        <w:t xml:space="preserve"> ŽALÚDKA</w:t>
      </w:r>
    </w:p>
    <w:p w:rsidR="009543F5" w:rsidRPr="00B971D7" w:rsidRDefault="009543F5" w:rsidP="00592542">
      <w:pPr>
        <w:rPr>
          <w:noProof/>
          <w:szCs w:val="22"/>
        </w:rPr>
      </w:pPr>
    </w:p>
    <w:p w:rsidR="00272224" w:rsidRPr="004D0022" w:rsidRDefault="0048142A" w:rsidP="00592542">
      <w:pPr>
        <w:rPr>
          <w:noProof/>
          <w:szCs w:val="22"/>
        </w:rPr>
      </w:pPr>
      <w:r w:rsidRPr="001E5C3D">
        <w:rPr>
          <w:noProof/>
          <w:szCs w:val="22"/>
        </w:rPr>
        <w:t>Jedna</w:t>
      </w:r>
      <w:r w:rsidR="00272224" w:rsidRPr="001E5C3D">
        <w:rPr>
          <w:noProof/>
          <w:szCs w:val="22"/>
        </w:rPr>
        <w:t xml:space="preserve"> tablet</w:t>
      </w:r>
      <w:r w:rsidRPr="001E5C3D">
        <w:rPr>
          <w:noProof/>
          <w:szCs w:val="22"/>
        </w:rPr>
        <w:t>a</w:t>
      </w:r>
      <w:r w:rsidR="00272224" w:rsidRPr="001E5C3D">
        <w:rPr>
          <w:noProof/>
          <w:szCs w:val="22"/>
        </w:rPr>
        <w:t xml:space="preserve"> </w:t>
      </w:r>
      <w:r w:rsidR="00272224" w:rsidRPr="001E5C3D">
        <w:rPr>
          <w:noProof/>
          <w:spacing w:val="1"/>
          <w:szCs w:val="22"/>
        </w:rPr>
        <w:t>(</w:t>
      </w:r>
      <w:r w:rsidR="00272224" w:rsidRPr="001E5C3D">
        <w:rPr>
          <w:noProof/>
          <w:szCs w:val="22"/>
        </w:rPr>
        <w:t>= 300</w:t>
      </w:r>
      <w:r w:rsidR="00272224" w:rsidRPr="00C31981">
        <w:rPr>
          <w:noProof/>
          <w:spacing w:val="-2"/>
          <w:szCs w:val="22"/>
        </w:rPr>
        <w:t xml:space="preserve"> </w:t>
      </w:r>
      <w:r w:rsidR="00272224" w:rsidRPr="00C31981">
        <w:rPr>
          <w:noProof/>
          <w:spacing w:val="-1"/>
          <w:szCs w:val="22"/>
        </w:rPr>
        <w:t>m</w:t>
      </w:r>
      <w:r w:rsidR="00272224" w:rsidRPr="00C31981">
        <w:rPr>
          <w:noProof/>
          <w:szCs w:val="22"/>
        </w:rPr>
        <w:t>g</w:t>
      </w:r>
      <w:r w:rsidR="00272224" w:rsidRPr="004D0022">
        <w:rPr>
          <w:noProof/>
          <w:spacing w:val="-2"/>
          <w:szCs w:val="22"/>
        </w:rPr>
        <w:t xml:space="preserve"> </w:t>
      </w:r>
      <w:r w:rsidR="00272224" w:rsidRPr="004D0022">
        <w:rPr>
          <w:noProof/>
          <w:spacing w:val="1"/>
          <w:szCs w:val="22"/>
        </w:rPr>
        <w:t>r</w:t>
      </w:r>
      <w:r w:rsidR="00272224" w:rsidRPr="004D0022">
        <w:rPr>
          <w:noProof/>
          <w:szCs w:val="22"/>
        </w:rPr>
        <w:t>an</w:t>
      </w:r>
      <w:r w:rsidR="00272224" w:rsidRPr="004D0022">
        <w:rPr>
          <w:noProof/>
          <w:spacing w:val="1"/>
          <w:szCs w:val="22"/>
        </w:rPr>
        <w:t>i</w:t>
      </w:r>
      <w:r w:rsidR="00272224" w:rsidRPr="004D0022">
        <w:rPr>
          <w:noProof/>
          <w:spacing w:val="-1"/>
          <w:szCs w:val="22"/>
        </w:rPr>
        <w:t>t</w:t>
      </w:r>
      <w:r w:rsidR="00272224" w:rsidRPr="004D0022">
        <w:rPr>
          <w:noProof/>
          <w:spacing w:val="1"/>
          <w:szCs w:val="22"/>
        </w:rPr>
        <w:t>idínu</w:t>
      </w:r>
      <w:r w:rsidR="00272224" w:rsidRPr="004D0022">
        <w:rPr>
          <w:noProof/>
          <w:szCs w:val="22"/>
        </w:rPr>
        <w:t xml:space="preserve">) po večeri alebo </w:t>
      </w:r>
      <w:r w:rsidR="001F5163" w:rsidRPr="004D0022">
        <w:rPr>
          <w:noProof/>
          <w:szCs w:val="22"/>
        </w:rPr>
        <w:t>pred spaním</w:t>
      </w:r>
      <w:r w:rsidR="00272224" w:rsidRPr="004D0022">
        <w:rPr>
          <w:noProof/>
          <w:szCs w:val="22"/>
        </w:rPr>
        <w:t>.</w:t>
      </w:r>
    </w:p>
    <w:p w:rsidR="00272224" w:rsidRPr="00D968C8" w:rsidRDefault="00272224" w:rsidP="00592542">
      <w:pPr>
        <w:rPr>
          <w:noProof/>
          <w:szCs w:val="22"/>
        </w:rPr>
      </w:pPr>
    </w:p>
    <w:p w:rsidR="00272224" w:rsidRPr="00E223ED" w:rsidRDefault="00272224" w:rsidP="00592542">
      <w:pPr>
        <w:ind w:left="0" w:firstLine="0"/>
        <w:rPr>
          <w:noProof/>
          <w:szCs w:val="22"/>
        </w:rPr>
      </w:pPr>
      <w:r w:rsidRPr="0050704B">
        <w:rPr>
          <w:noProof/>
          <w:szCs w:val="22"/>
        </w:rPr>
        <w:t xml:space="preserve">Dĺžka liečby je 4 týždne. U </w:t>
      </w:r>
      <w:r w:rsidR="001F5163" w:rsidRPr="009061D8">
        <w:rPr>
          <w:noProof/>
          <w:szCs w:val="22"/>
        </w:rPr>
        <w:t>niektorých</w:t>
      </w:r>
      <w:r w:rsidRPr="00F44C96">
        <w:rPr>
          <w:noProof/>
          <w:szCs w:val="22"/>
        </w:rPr>
        <w:t xml:space="preserve"> pacientov, u ktorých sa po 4 týždňoc</w:t>
      </w:r>
      <w:r w:rsidR="007A27DF" w:rsidRPr="00F44C96">
        <w:rPr>
          <w:noProof/>
          <w:szCs w:val="22"/>
        </w:rPr>
        <w:t>h liečby vredy úplne nezahoja</w:t>
      </w:r>
      <w:r w:rsidRPr="00E223ED">
        <w:rPr>
          <w:noProof/>
          <w:szCs w:val="22"/>
        </w:rPr>
        <w:t xml:space="preserve">, </w:t>
      </w:r>
      <w:r w:rsidR="00A95995" w:rsidRPr="00E223ED">
        <w:rPr>
          <w:noProof/>
          <w:szCs w:val="22"/>
        </w:rPr>
        <w:t xml:space="preserve">má </w:t>
      </w:r>
      <w:r w:rsidRPr="00E223ED">
        <w:rPr>
          <w:noProof/>
          <w:szCs w:val="22"/>
        </w:rPr>
        <w:t>liečba pokračovať ďalš</w:t>
      </w:r>
      <w:r w:rsidR="007A27DF" w:rsidRPr="00E223ED">
        <w:rPr>
          <w:noProof/>
          <w:szCs w:val="22"/>
        </w:rPr>
        <w:t>ie</w:t>
      </w:r>
      <w:r w:rsidRPr="00E223ED">
        <w:rPr>
          <w:noProof/>
          <w:szCs w:val="22"/>
        </w:rPr>
        <w:t xml:space="preserve"> 4 týždň</w:t>
      </w:r>
      <w:r w:rsidR="007A27DF" w:rsidRPr="00E223ED">
        <w:rPr>
          <w:noProof/>
          <w:szCs w:val="22"/>
        </w:rPr>
        <w:t>ne</w:t>
      </w:r>
      <w:r w:rsidR="00A95995" w:rsidRPr="00E223ED">
        <w:rPr>
          <w:noProof/>
          <w:szCs w:val="22"/>
        </w:rPr>
        <w:t xml:space="preserve"> </w:t>
      </w:r>
      <w:r w:rsidRPr="00E223ED">
        <w:rPr>
          <w:noProof/>
          <w:szCs w:val="22"/>
        </w:rPr>
        <w:t>pri rovnakom dávkovaní.</w:t>
      </w:r>
    </w:p>
    <w:p w:rsidR="00272224" w:rsidRPr="00DA7902" w:rsidRDefault="00272224" w:rsidP="00592542">
      <w:pPr>
        <w:ind w:left="0" w:firstLine="0"/>
        <w:rPr>
          <w:noProof/>
          <w:szCs w:val="22"/>
        </w:rPr>
      </w:pPr>
    </w:p>
    <w:p w:rsidR="00272224" w:rsidRPr="003B5D38" w:rsidRDefault="00272224" w:rsidP="00592542">
      <w:pPr>
        <w:rPr>
          <w:noProof/>
          <w:szCs w:val="22"/>
        </w:rPr>
      </w:pPr>
      <w:r w:rsidRPr="003B5D38">
        <w:rPr>
          <w:noProof/>
          <w:szCs w:val="22"/>
        </w:rPr>
        <w:t>REFLUXNÁ EZOFAGITÍDA</w:t>
      </w:r>
    </w:p>
    <w:p w:rsidR="00272224" w:rsidRPr="00501CEF" w:rsidRDefault="00272224" w:rsidP="00592542">
      <w:pPr>
        <w:ind w:left="0" w:firstLine="0"/>
        <w:rPr>
          <w:noProof/>
          <w:szCs w:val="22"/>
        </w:rPr>
      </w:pPr>
    </w:p>
    <w:p w:rsidR="00272224" w:rsidRPr="00C31981" w:rsidRDefault="00A95995" w:rsidP="00592542">
      <w:pPr>
        <w:ind w:left="0" w:firstLine="0"/>
        <w:rPr>
          <w:noProof/>
          <w:szCs w:val="22"/>
        </w:rPr>
      </w:pPr>
      <w:r w:rsidRPr="00B25049">
        <w:rPr>
          <w:noProof/>
          <w:szCs w:val="22"/>
        </w:rPr>
        <w:t>Jedna</w:t>
      </w:r>
      <w:r w:rsidR="00272224" w:rsidRPr="00B25049">
        <w:rPr>
          <w:noProof/>
          <w:szCs w:val="22"/>
        </w:rPr>
        <w:t xml:space="preserve"> 300 mg tableta </w:t>
      </w:r>
      <w:r w:rsidR="00B971D7">
        <w:rPr>
          <w:noProof/>
          <w:szCs w:val="22"/>
        </w:rPr>
        <w:t xml:space="preserve">s obsahom </w:t>
      </w:r>
      <w:r w:rsidR="00272224" w:rsidRPr="00B971D7">
        <w:rPr>
          <w:noProof/>
          <w:szCs w:val="22"/>
        </w:rPr>
        <w:t xml:space="preserve">ranitidínu (= 300 </w:t>
      </w:r>
      <w:r w:rsidR="00272224" w:rsidRPr="00B971D7">
        <w:rPr>
          <w:noProof/>
          <w:spacing w:val="-3"/>
          <w:szCs w:val="22"/>
        </w:rPr>
        <w:t>m</w:t>
      </w:r>
      <w:r w:rsidR="00272224" w:rsidRPr="00B971D7">
        <w:rPr>
          <w:noProof/>
          <w:szCs w:val="22"/>
        </w:rPr>
        <w:t>g</w:t>
      </w:r>
      <w:r w:rsidR="00272224" w:rsidRPr="00B971D7">
        <w:rPr>
          <w:noProof/>
          <w:spacing w:val="-2"/>
          <w:szCs w:val="22"/>
        </w:rPr>
        <w:t xml:space="preserve"> </w:t>
      </w:r>
      <w:r w:rsidR="00272224" w:rsidRPr="00B971D7">
        <w:rPr>
          <w:noProof/>
          <w:spacing w:val="1"/>
          <w:szCs w:val="22"/>
        </w:rPr>
        <w:t>r</w:t>
      </w:r>
      <w:r w:rsidR="00272224" w:rsidRPr="00B971D7">
        <w:rPr>
          <w:noProof/>
          <w:szCs w:val="22"/>
        </w:rPr>
        <w:t>an</w:t>
      </w:r>
      <w:r w:rsidR="00272224" w:rsidRPr="00B971D7">
        <w:rPr>
          <w:noProof/>
          <w:spacing w:val="1"/>
          <w:szCs w:val="22"/>
        </w:rPr>
        <w:t>i</w:t>
      </w:r>
      <w:r w:rsidR="00272224" w:rsidRPr="00B971D7">
        <w:rPr>
          <w:noProof/>
          <w:spacing w:val="-1"/>
          <w:szCs w:val="22"/>
        </w:rPr>
        <w:t>t</w:t>
      </w:r>
      <w:r w:rsidR="00272224" w:rsidRPr="00B971D7">
        <w:rPr>
          <w:noProof/>
          <w:spacing w:val="1"/>
          <w:szCs w:val="22"/>
        </w:rPr>
        <w:t>i</w:t>
      </w:r>
      <w:r w:rsidR="00272224" w:rsidRPr="00B971D7">
        <w:rPr>
          <w:noProof/>
          <w:spacing w:val="-2"/>
          <w:szCs w:val="22"/>
        </w:rPr>
        <w:t>d</w:t>
      </w:r>
      <w:r w:rsidR="00272224" w:rsidRPr="00B971D7">
        <w:rPr>
          <w:noProof/>
          <w:spacing w:val="1"/>
          <w:szCs w:val="22"/>
        </w:rPr>
        <w:t>í</w:t>
      </w:r>
      <w:r w:rsidR="00272224" w:rsidRPr="001E5C3D">
        <w:rPr>
          <w:noProof/>
          <w:szCs w:val="22"/>
        </w:rPr>
        <w:t xml:space="preserve">nu) po večeri alebo </w:t>
      </w:r>
      <w:r w:rsidR="007A27DF" w:rsidRPr="001E5C3D">
        <w:rPr>
          <w:noProof/>
          <w:szCs w:val="22"/>
        </w:rPr>
        <w:t>pred spaním</w:t>
      </w:r>
      <w:r w:rsidR="00272224" w:rsidRPr="001E5C3D">
        <w:rPr>
          <w:noProof/>
          <w:szCs w:val="22"/>
        </w:rPr>
        <w:t xml:space="preserve"> </w:t>
      </w:r>
      <w:r w:rsidRPr="001E5C3D">
        <w:rPr>
          <w:noProof/>
          <w:szCs w:val="22"/>
        </w:rPr>
        <w:t xml:space="preserve">počas </w:t>
      </w:r>
      <w:r w:rsidR="00272224" w:rsidRPr="00C31981">
        <w:rPr>
          <w:noProof/>
          <w:szCs w:val="22"/>
        </w:rPr>
        <w:t xml:space="preserve">maximálne </w:t>
      </w:r>
      <w:r w:rsidR="007A27DF" w:rsidRPr="00C31981">
        <w:rPr>
          <w:noProof/>
          <w:szCs w:val="22"/>
        </w:rPr>
        <w:t>8</w:t>
      </w:r>
      <w:r w:rsidR="00272224" w:rsidRPr="00C31981">
        <w:rPr>
          <w:noProof/>
          <w:szCs w:val="22"/>
        </w:rPr>
        <w:t xml:space="preserve"> týždňov, ak je to nevyhnutné.</w:t>
      </w:r>
    </w:p>
    <w:p w:rsidR="00272224" w:rsidRPr="004D0022" w:rsidRDefault="00272224" w:rsidP="00592542">
      <w:pPr>
        <w:rPr>
          <w:noProof/>
          <w:szCs w:val="22"/>
        </w:rPr>
      </w:pPr>
    </w:p>
    <w:p w:rsidR="00A95995" w:rsidRPr="009061D8" w:rsidRDefault="00A95995" w:rsidP="00592542">
      <w:pPr>
        <w:ind w:left="0" w:firstLine="0"/>
        <w:rPr>
          <w:noProof/>
          <w:szCs w:val="22"/>
        </w:rPr>
      </w:pPr>
      <w:r w:rsidRPr="004D0022">
        <w:rPr>
          <w:noProof/>
          <w:szCs w:val="22"/>
        </w:rPr>
        <w:t xml:space="preserve">PACIENTI S VEĽMI SILNOU </w:t>
      </w:r>
      <w:r w:rsidR="00D05277" w:rsidRPr="004D0022">
        <w:rPr>
          <w:noProof/>
          <w:szCs w:val="22"/>
        </w:rPr>
        <w:t xml:space="preserve">SEKRÉCIOU </w:t>
      </w:r>
      <w:r w:rsidRPr="004D0022">
        <w:rPr>
          <w:noProof/>
          <w:szCs w:val="22"/>
        </w:rPr>
        <w:t>ŽALÚDOČNEJ KYSELINY, NAPRÍKLAD PRI</w:t>
      </w:r>
      <w:r w:rsidR="001E5C3D">
        <w:rPr>
          <w:caps/>
          <w:noProof/>
          <w:szCs w:val="22"/>
        </w:rPr>
        <w:t> </w:t>
      </w:r>
      <w:r w:rsidRPr="001E5C3D">
        <w:rPr>
          <w:caps/>
          <w:noProof/>
          <w:szCs w:val="22"/>
        </w:rPr>
        <w:t>Zollinger</w:t>
      </w:r>
      <w:r w:rsidR="007A27DF" w:rsidRPr="001E5C3D">
        <w:rPr>
          <w:caps/>
          <w:noProof/>
          <w:szCs w:val="22"/>
        </w:rPr>
        <w:t>ov</w:t>
      </w:r>
      <w:r w:rsidRPr="001E5C3D">
        <w:rPr>
          <w:caps/>
          <w:noProof/>
          <w:szCs w:val="22"/>
        </w:rPr>
        <w:t xml:space="preserve">-EllisonovOM </w:t>
      </w:r>
      <w:r w:rsidRPr="00C31981">
        <w:rPr>
          <w:caps/>
          <w:noProof/>
          <w:szCs w:val="22"/>
        </w:rPr>
        <w:t xml:space="preserve">syndrómE </w:t>
      </w:r>
      <w:r w:rsidRPr="00C31981">
        <w:rPr>
          <w:noProof/>
          <w:szCs w:val="22"/>
        </w:rPr>
        <w:t xml:space="preserve">majú byť </w:t>
      </w:r>
      <w:r w:rsidR="007A27DF" w:rsidRPr="00C31981">
        <w:rPr>
          <w:noProof/>
          <w:szCs w:val="22"/>
        </w:rPr>
        <w:t>zo začiatku</w:t>
      </w:r>
      <w:r w:rsidRPr="004D0022">
        <w:rPr>
          <w:noProof/>
          <w:szCs w:val="22"/>
        </w:rPr>
        <w:t xml:space="preserve"> liečení 150 mg ranitidínu trikrát denne </w:t>
      </w:r>
      <w:r w:rsidRPr="004D0022">
        <w:rPr>
          <w:noProof/>
          <w:spacing w:val="1"/>
          <w:szCs w:val="22"/>
        </w:rPr>
        <w:t>(</w:t>
      </w:r>
      <w:r w:rsidRPr="004D0022">
        <w:rPr>
          <w:noProof/>
          <w:szCs w:val="22"/>
        </w:rPr>
        <w:t>= 4</w:t>
      </w:r>
      <w:r w:rsidRPr="004D0022">
        <w:rPr>
          <w:noProof/>
          <w:spacing w:val="-2"/>
          <w:szCs w:val="22"/>
        </w:rPr>
        <w:t>5</w:t>
      </w:r>
      <w:r w:rsidRPr="004D0022">
        <w:rPr>
          <w:noProof/>
          <w:szCs w:val="22"/>
        </w:rPr>
        <w:t xml:space="preserve">0 </w:t>
      </w:r>
      <w:r w:rsidRPr="004D0022">
        <w:rPr>
          <w:noProof/>
          <w:spacing w:val="-4"/>
          <w:szCs w:val="22"/>
        </w:rPr>
        <w:t>m</w:t>
      </w:r>
      <w:r w:rsidRPr="004D0022">
        <w:rPr>
          <w:noProof/>
          <w:szCs w:val="22"/>
        </w:rPr>
        <w:t>g</w:t>
      </w:r>
      <w:r w:rsidRPr="004D0022">
        <w:rPr>
          <w:noProof/>
          <w:spacing w:val="-2"/>
          <w:szCs w:val="22"/>
        </w:rPr>
        <w:t xml:space="preserve"> </w:t>
      </w:r>
      <w:r w:rsidRPr="004D0022">
        <w:rPr>
          <w:noProof/>
          <w:spacing w:val="1"/>
          <w:szCs w:val="22"/>
        </w:rPr>
        <w:t>r</w:t>
      </w:r>
      <w:r w:rsidRPr="004D0022">
        <w:rPr>
          <w:noProof/>
          <w:szCs w:val="22"/>
        </w:rPr>
        <w:t>an</w:t>
      </w:r>
      <w:r w:rsidRPr="004D0022">
        <w:rPr>
          <w:noProof/>
          <w:spacing w:val="1"/>
          <w:szCs w:val="22"/>
        </w:rPr>
        <w:t>i</w:t>
      </w:r>
      <w:r w:rsidRPr="004D0022">
        <w:rPr>
          <w:noProof/>
          <w:spacing w:val="-1"/>
          <w:szCs w:val="22"/>
        </w:rPr>
        <w:t>t</w:t>
      </w:r>
      <w:r w:rsidRPr="00D968C8">
        <w:rPr>
          <w:noProof/>
          <w:spacing w:val="1"/>
          <w:szCs w:val="22"/>
        </w:rPr>
        <w:t>idínu denne)</w:t>
      </w:r>
      <w:r w:rsidRPr="00AD1925">
        <w:rPr>
          <w:noProof/>
          <w:szCs w:val="22"/>
        </w:rPr>
        <w:t>. Ak je to nevyhnutné, dávka sa môže zvýšiť na</w:t>
      </w:r>
      <w:r w:rsidR="00C31981">
        <w:rPr>
          <w:noProof/>
          <w:szCs w:val="22"/>
        </w:rPr>
        <w:t> </w:t>
      </w:r>
      <w:r w:rsidR="007A27DF" w:rsidRPr="004D0022">
        <w:rPr>
          <w:noProof/>
          <w:szCs w:val="22"/>
        </w:rPr>
        <w:t>dve až tri</w:t>
      </w:r>
      <w:r w:rsidRPr="004D0022">
        <w:rPr>
          <w:noProof/>
          <w:szCs w:val="22"/>
        </w:rPr>
        <w:t xml:space="preserve"> 300 mg tablety </w:t>
      </w:r>
      <w:r w:rsidR="004D0022">
        <w:rPr>
          <w:noProof/>
          <w:szCs w:val="22"/>
        </w:rPr>
        <w:t xml:space="preserve">s obsahom </w:t>
      </w:r>
      <w:r w:rsidRPr="004D0022">
        <w:rPr>
          <w:noProof/>
          <w:szCs w:val="22"/>
        </w:rPr>
        <w:t xml:space="preserve">ranitidínu denne </w:t>
      </w:r>
      <w:r w:rsidRPr="004D0022">
        <w:rPr>
          <w:noProof/>
          <w:spacing w:val="1"/>
          <w:szCs w:val="22"/>
        </w:rPr>
        <w:t>(</w:t>
      </w:r>
      <w:r w:rsidRPr="004D0022">
        <w:rPr>
          <w:noProof/>
          <w:szCs w:val="22"/>
        </w:rPr>
        <w:t>=</w:t>
      </w:r>
      <w:r w:rsidRPr="004D0022">
        <w:rPr>
          <w:noProof/>
          <w:spacing w:val="-2"/>
          <w:szCs w:val="22"/>
        </w:rPr>
        <w:t xml:space="preserve"> </w:t>
      </w:r>
      <w:r w:rsidRPr="004D0022">
        <w:rPr>
          <w:noProof/>
          <w:szCs w:val="22"/>
        </w:rPr>
        <w:t>600</w:t>
      </w:r>
      <w:r w:rsidR="00AD1925">
        <w:rPr>
          <w:noProof/>
          <w:spacing w:val="-4"/>
          <w:szCs w:val="22"/>
        </w:rPr>
        <w:t xml:space="preserve"> – </w:t>
      </w:r>
      <w:r w:rsidRPr="004D0022">
        <w:rPr>
          <w:noProof/>
          <w:szCs w:val="22"/>
        </w:rPr>
        <w:t xml:space="preserve">900 </w:t>
      </w:r>
      <w:r w:rsidRPr="004D0022">
        <w:rPr>
          <w:noProof/>
          <w:spacing w:val="-1"/>
          <w:szCs w:val="22"/>
        </w:rPr>
        <w:t>m</w:t>
      </w:r>
      <w:r w:rsidRPr="004D0022">
        <w:rPr>
          <w:noProof/>
          <w:szCs w:val="22"/>
        </w:rPr>
        <w:t xml:space="preserve">g </w:t>
      </w:r>
      <w:r w:rsidRPr="004D0022">
        <w:rPr>
          <w:noProof/>
          <w:spacing w:val="1"/>
          <w:szCs w:val="22"/>
        </w:rPr>
        <w:t>r</w:t>
      </w:r>
      <w:r w:rsidRPr="004D0022">
        <w:rPr>
          <w:noProof/>
          <w:szCs w:val="22"/>
        </w:rPr>
        <w:t>a</w:t>
      </w:r>
      <w:r w:rsidRPr="00D968C8">
        <w:rPr>
          <w:noProof/>
          <w:spacing w:val="-2"/>
          <w:szCs w:val="22"/>
        </w:rPr>
        <w:t>n</w:t>
      </w:r>
      <w:r w:rsidRPr="00AD1925">
        <w:rPr>
          <w:noProof/>
          <w:spacing w:val="1"/>
          <w:szCs w:val="22"/>
        </w:rPr>
        <w:t>itidínu</w:t>
      </w:r>
      <w:r w:rsidRPr="00AD1925">
        <w:rPr>
          <w:noProof/>
          <w:spacing w:val="2"/>
          <w:szCs w:val="22"/>
        </w:rPr>
        <w:t xml:space="preserve"> </w:t>
      </w:r>
      <w:r w:rsidRPr="00AD1925">
        <w:rPr>
          <w:noProof/>
          <w:szCs w:val="22"/>
        </w:rPr>
        <w:t>d</w:t>
      </w:r>
      <w:r w:rsidRPr="00AD1925">
        <w:rPr>
          <w:noProof/>
          <w:spacing w:val="-2"/>
          <w:szCs w:val="22"/>
        </w:rPr>
        <w:t>enne</w:t>
      </w:r>
      <w:r w:rsidRPr="0050704B">
        <w:rPr>
          <w:noProof/>
          <w:spacing w:val="1"/>
          <w:szCs w:val="22"/>
        </w:rPr>
        <w:t>)</w:t>
      </w:r>
      <w:r w:rsidRPr="009061D8">
        <w:rPr>
          <w:noProof/>
          <w:szCs w:val="22"/>
        </w:rPr>
        <w:t>.</w:t>
      </w:r>
    </w:p>
    <w:p w:rsidR="00A95995" w:rsidRPr="009061D8" w:rsidRDefault="007A27DF" w:rsidP="00592542">
      <w:pPr>
        <w:ind w:left="0" w:firstLine="0"/>
        <w:rPr>
          <w:noProof/>
          <w:szCs w:val="22"/>
        </w:rPr>
      </w:pPr>
      <w:r w:rsidRPr="00F44C96">
        <w:rPr>
          <w:noProof/>
          <w:szCs w:val="22"/>
        </w:rPr>
        <w:t>P</w:t>
      </w:r>
      <w:r w:rsidR="00A95995" w:rsidRPr="00F44C96">
        <w:rPr>
          <w:noProof/>
          <w:szCs w:val="22"/>
        </w:rPr>
        <w:t>acientov je možné stabilizovať vyššou dávkou (napr.</w:t>
      </w:r>
      <w:r w:rsidRPr="00F44C96">
        <w:rPr>
          <w:noProof/>
          <w:szCs w:val="22"/>
        </w:rPr>
        <w:t xml:space="preserve"> </w:t>
      </w:r>
      <w:r w:rsidR="00A95995" w:rsidRPr="00F44C96">
        <w:rPr>
          <w:noProof/>
          <w:szCs w:val="22"/>
        </w:rPr>
        <w:t>1</w:t>
      </w:r>
      <w:r w:rsidR="009061D8">
        <w:rPr>
          <w:noProof/>
          <w:szCs w:val="22"/>
        </w:rPr>
        <w:t> </w:t>
      </w:r>
      <w:r w:rsidR="00A95995" w:rsidRPr="009061D8">
        <w:rPr>
          <w:noProof/>
          <w:szCs w:val="22"/>
        </w:rPr>
        <w:t>200 mg denne), ak sa to považuje za klinicky nevyhnutné. Boli podávané denné dávky až do 6 g ranitidínu.</w:t>
      </w:r>
    </w:p>
    <w:p w:rsidR="00272224" w:rsidRPr="00F44C96" w:rsidRDefault="00272224" w:rsidP="00592542">
      <w:pPr>
        <w:rPr>
          <w:noProof/>
          <w:szCs w:val="22"/>
        </w:rPr>
      </w:pPr>
    </w:p>
    <w:p w:rsidR="00272224" w:rsidRPr="00E223ED" w:rsidRDefault="00A95995" w:rsidP="00592542">
      <w:pPr>
        <w:ind w:left="0" w:firstLine="0"/>
        <w:rPr>
          <w:noProof/>
          <w:szCs w:val="22"/>
        </w:rPr>
      </w:pPr>
      <w:r w:rsidRPr="00F44C96">
        <w:rPr>
          <w:noProof/>
          <w:szCs w:val="22"/>
        </w:rPr>
        <w:t>Dávka 150 mg ranitidínu sa nemôže pod</w:t>
      </w:r>
      <w:r w:rsidR="00F44C96">
        <w:rPr>
          <w:noProof/>
          <w:szCs w:val="22"/>
        </w:rPr>
        <w:t>áva</w:t>
      </w:r>
      <w:r w:rsidRPr="00F44C96">
        <w:rPr>
          <w:noProof/>
          <w:szCs w:val="22"/>
        </w:rPr>
        <w:t xml:space="preserve">ť pri použití 300 mg tabliet </w:t>
      </w:r>
      <w:r w:rsidR="00E223ED">
        <w:rPr>
          <w:noProof/>
          <w:szCs w:val="22"/>
        </w:rPr>
        <w:t xml:space="preserve">s obsahom </w:t>
      </w:r>
      <w:r w:rsidRPr="00F44C96">
        <w:rPr>
          <w:noProof/>
          <w:szCs w:val="22"/>
        </w:rPr>
        <w:t>ranitidínu.</w:t>
      </w:r>
      <w:r w:rsidR="00E24D3E" w:rsidRPr="00F44C96">
        <w:rPr>
          <w:noProof/>
          <w:szCs w:val="22"/>
        </w:rPr>
        <w:t xml:space="preserve"> Pre toto dávkovanie sa majú použiť 150 mg tablety</w:t>
      </w:r>
      <w:r w:rsidR="00DA7902">
        <w:rPr>
          <w:noProof/>
          <w:szCs w:val="22"/>
        </w:rPr>
        <w:t xml:space="preserve"> s obsahom</w:t>
      </w:r>
      <w:r w:rsidR="00E24D3E" w:rsidRPr="00F44C96">
        <w:rPr>
          <w:noProof/>
          <w:szCs w:val="22"/>
        </w:rPr>
        <w:t xml:space="preserve"> ran</w:t>
      </w:r>
      <w:r w:rsidR="00E24D3E" w:rsidRPr="00E223ED">
        <w:rPr>
          <w:noProof/>
          <w:szCs w:val="22"/>
        </w:rPr>
        <w:t>itidínu.</w:t>
      </w:r>
    </w:p>
    <w:p w:rsidR="00E24D3E" w:rsidRDefault="00E24D3E" w:rsidP="00592542">
      <w:pPr>
        <w:ind w:left="0" w:firstLine="0"/>
        <w:rPr>
          <w:noProof/>
          <w:szCs w:val="22"/>
        </w:rPr>
      </w:pPr>
      <w:r w:rsidRPr="00DA7902">
        <w:rPr>
          <w:noProof/>
          <w:szCs w:val="22"/>
        </w:rPr>
        <w:t>Dávky sa môžu užiť nezávisle od jedla.</w:t>
      </w:r>
    </w:p>
    <w:p w:rsidR="00561C87" w:rsidRDefault="00561C87" w:rsidP="00592542">
      <w:pPr>
        <w:ind w:left="0" w:firstLine="0"/>
        <w:rPr>
          <w:noProof/>
          <w:szCs w:val="22"/>
        </w:rPr>
      </w:pPr>
    </w:p>
    <w:p w:rsidR="00561C87" w:rsidRDefault="00561C87" w:rsidP="00561C87">
      <w:pPr>
        <w:rPr>
          <w:b/>
          <w:noProof/>
          <w:szCs w:val="22"/>
          <w:u w:val="single"/>
        </w:rPr>
      </w:pPr>
      <w:r>
        <w:rPr>
          <w:b/>
          <w:noProof/>
          <w:szCs w:val="22"/>
          <w:u w:val="single"/>
        </w:rPr>
        <w:t>Deti vo veku 12 a viac rokov</w:t>
      </w:r>
    </w:p>
    <w:p w:rsidR="00561C87" w:rsidRDefault="00561C87" w:rsidP="00561C87">
      <w:pPr>
        <w:rPr>
          <w:noProof/>
          <w:szCs w:val="22"/>
        </w:rPr>
      </w:pPr>
      <w:r>
        <w:rPr>
          <w:noProof/>
          <w:szCs w:val="22"/>
        </w:rPr>
        <w:t>Deťom vo veku 12 a viac rokov sa podáva dávka pre dospelých.</w:t>
      </w:r>
    </w:p>
    <w:p w:rsidR="000F48CF" w:rsidRPr="00DA7902" w:rsidRDefault="000F48CF" w:rsidP="00592542">
      <w:pPr>
        <w:ind w:left="0" w:firstLine="0"/>
        <w:rPr>
          <w:noProof/>
          <w:szCs w:val="22"/>
        </w:rPr>
      </w:pPr>
    </w:p>
    <w:p w:rsidR="00272224" w:rsidRPr="003B5D38" w:rsidRDefault="000F48CF" w:rsidP="0093686A">
      <w:pPr>
        <w:keepNext/>
        <w:rPr>
          <w:b/>
          <w:noProof/>
          <w:szCs w:val="22"/>
          <w:u w:val="single"/>
        </w:rPr>
      </w:pPr>
      <w:r w:rsidRPr="003B5D38">
        <w:rPr>
          <w:b/>
          <w:noProof/>
          <w:szCs w:val="22"/>
          <w:u w:val="single"/>
        </w:rPr>
        <w:lastRenderedPageBreak/>
        <w:t xml:space="preserve">Deti </w:t>
      </w:r>
      <w:r>
        <w:rPr>
          <w:b/>
          <w:noProof/>
          <w:szCs w:val="22"/>
          <w:u w:val="single"/>
        </w:rPr>
        <w:t xml:space="preserve">vo veku </w:t>
      </w:r>
      <w:r w:rsidRPr="003B5D38">
        <w:rPr>
          <w:b/>
          <w:noProof/>
          <w:szCs w:val="22"/>
          <w:u w:val="single"/>
        </w:rPr>
        <w:t xml:space="preserve">od 3 do 11 rokov a </w:t>
      </w:r>
      <w:r>
        <w:rPr>
          <w:b/>
          <w:noProof/>
          <w:szCs w:val="22"/>
          <w:u w:val="single"/>
        </w:rPr>
        <w:t xml:space="preserve">s telesnou hmotnosťou </w:t>
      </w:r>
      <w:r w:rsidRPr="003B5D38">
        <w:rPr>
          <w:b/>
          <w:noProof/>
          <w:szCs w:val="22"/>
          <w:u w:val="single"/>
        </w:rPr>
        <w:t>nad 30 kg</w:t>
      </w:r>
    </w:p>
    <w:p w:rsidR="00E24D3E" w:rsidRPr="006F457D" w:rsidRDefault="00E24D3E" w:rsidP="00592542">
      <w:pPr>
        <w:rPr>
          <w:noProof/>
          <w:szCs w:val="22"/>
        </w:rPr>
      </w:pPr>
      <w:r w:rsidRPr="00501CEF">
        <w:rPr>
          <w:noProof/>
          <w:szCs w:val="22"/>
        </w:rPr>
        <w:t xml:space="preserve">Pozri časť 5.2 Farmakokinetické vlastnosti - Osobitné </w:t>
      </w:r>
      <w:r w:rsidR="007A27DF" w:rsidRPr="006F457D">
        <w:rPr>
          <w:noProof/>
          <w:szCs w:val="22"/>
        </w:rPr>
        <w:t>skupiny</w:t>
      </w:r>
      <w:r w:rsidRPr="006F457D">
        <w:rPr>
          <w:noProof/>
          <w:szCs w:val="22"/>
        </w:rPr>
        <w:t xml:space="preserve"> pacientov.</w:t>
      </w:r>
    </w:p>
    <w:p w:rsidR="00E24D3E" w:rsidRPr="00B25049" w:rsidRDefault="00E24D3E" w:rsidP="00592542">
      <w:pPr>
        <w:rPr>
          <w:noProof/>
          <w:szCs w:val="22"/>
        </w:rPr>
      </w:pPr>
    </w:p>
    <w:p w:rsidR="00E24D3E" w:rsidRPr="00AD4326" w:rsidRDefault="00E24D3E" w:rsidP="00592542">
      <w:pPr>
        <w:ind w:left="0" w:firstLine="0"/>
        <w:rPr>
          <w:noProof/>
          <w:szCs w:val="22"/>
        </w:rPr>
      </w:pPr>
      <w:r w:rsidRPr="007F1BBF">
        <w:rPr>
          <w:b/>
          <w:noProof/>
          <w:szCs w:val="22"/>
        </w:rPr>
        <w:t>Akútna liečba peptického vredu</w:t>
      </w:r>
    </w:p>
    <w:p w:rsidR="00E24D3E" w:rsidRPr="007F1BBF" w:rsidRDefault="00E24D3E" w:rsidP="00592542">
      <w:pPr>
        <w:ind w:left="0" w:firstLine="0"/>
        <w:rPr>
          <w:noProof/>
          <w:szCs w:val="22"/>
        </w:rPr>
      </w:pPr>
      <w:r w:rsidRPr="006D0F6A">
        <w:rPr>
          <w:noProof/>
          <w:szCs w:val="22"/>
        </w:rPr>
        <w:t>Odporúčaná perorálna dávka na liečbu peptického vredu u de</w:t>
      </w:r>
      <w:r w:rsidRPr="00084F2F">
        <w:rPr>
          <w:noProof/>
          <w:szCs w:val="22"/>
        </w:rPr>
        <w:t>tí je 4 mg/kg/deň až 8 mg/kg/deň podávaná v dvoch oddelených dávkach až po maxim</w:t>
      </w:r>
      <w:r w:rsidR="00F61760" w:rsidRPr="0035019A">
        <w:rPr>
          <w:noProof/>
          <w:szCs w:val="22"/>
        </w:rPr>
        <w:t xml:space="preserve">álne </w:t>
      </w:r>
      <w:r w:rsidRPr="00135023">
        <w:rPr>
          <w:noProof/>
          <w:szCs w:val="22"/>
        </w:rPr>
        <w:t>300 mg ranitidínu za deň počas 4 týždňov. U</w:t>
      </w:r>
      <w:r w:rsidR="00B25049">
        <w:rPr>
          <w:noProof/>
          <w:szCs w:val="22"/>
        </w:rPr>
        <w:t> </w:t>
      </w:r>
      <w:r w:rsidRPr="00B25049">
        <w:rPr>
          <w:noProof/>
          <w:szCs w:val="22"/>
        </w:rPr>
        <w:t xml:space="preserve">pacientov s nedostatočným hojením sa indikujú ďalšie 4 týždne liečby, keďže zahojenie sa zvyčajne dostaví po </w:t>
      </w:r>
      <w:r w:rsidR="00ED2E1E" w:rsidRPr="00B25049">
        <w:rPr>
          <w:noProof/>
          <w:szCs w:val="22"/>
        </w:rPr>
        <w:t xml:space="preserve">ôsmich </w:t>
      </w:r>
      <w:r w:rsidRPr="00B25049">
        <w:rPr>
          <w:noProof/>
          <w:szCs w:val="22"/>
        </w:rPr>
        <w:t>týžd</w:t>
      </w:r>
      <w:r w:rsidRPr="007F1BBF">
        <w:rPr>
          <w:noProof/>
          <w:szCs w:val="22"/>
        </w:rPr>
        <w:t>ňoch liečby.</w:t>
      </w:r>
    </w:p>
    <w:p w:rsidR="00E24D3E" w:rsidRPr="00AD4326" w:rsidRDefault="00E24D3E" w:rsidP="00592542">
      <w:pPr>
        <w:ind w:left="0" w:firstLine="0"/>
        <w:rPr>
          <w:noProof/>
          <w:szCs w:val="22"/>
        </w:rPr>
      </w:pPr>
    </w:p>
    <w:p w:rsidR="00E24D3E" w:rsidRPr="006D0F6A" w:rsidRDefault="00E24D3E" w:rsidP="00592542">
      <w:pPr>
        <w:ind w:left="0" w:firstLine="0"/>
        <w:rPr>
          <w:b/>
          <w:noProof/>
          <w:szCs w:val="22"/>
        </w:rPr>
      </w:pPr>
      <w:r w:rsidRPr="006D0F6A">
        <w:rPr>
          <w:b/>
          <w:noProof/>
          <w:szCs w:val="22"/>
        </w:rPr>
        <w:t>Gastroezofageálny reflux</w:t>
      </w:r>
    </w:p>
    <w:p w:rsidR="00E24D3E" w:rsidRPr="0035019A" w:rsidRDefault="00E24D3E" w:rsidP="00592542">
      <w:pPr>
        <w:ind w:left="0" w:firstLine="0"/>
        <w:rPr>
          <w:noProof/>
          <w:szCs w:val="22"/>
        </w:rPr>
      </w:pPr>
      <w:r w:rsidRPr="00084F2F">
        <w:rPr>
          <w:noProof/>
          <w:szCs w:val="22"/>
        </w:rPr>
        <w:t xml:space="preserve">Odporúčaná perorálna dávka na liečbu gastroezofageálneho refluxu u detí je 5 mg/kg/deň až </w:t>
      </w:r>
      <w:r w:rsidR="000F48CF" w:rsidRPr="00084F2F">
        <w:rPr>
          <w:noProof/>
          <w:szCs w:val="22"/>
        </w:rPr>
        <w:t>10</w:t>
      </w:r>
      <w:r w:rsidR="000F48CF">
        <w:rPr>
          <w:noProof/>
          <w:szCs w:val="22"/>
        </w:rPr>
        <w:t> </w:t>
      </w:r>
      <w:r w:rsidRPr="00084F2F">
        <w:rPr>
          <w:noProof/>
          <w:szCs w:val="22"/>
        </w:rPr>
        <w:t xml:space="preserve">mg/kg/deň podávaná v dvoch oddelených dávkach po maximálnu dávku 600 mg (maximálna dávka sa pravdepodobne použije u ťažších </w:t>
      </w:r>
      <w:r w:rsidRPr="0035019A">
        <w:rPr>
          <w:noProof/>
          <w:szCs w:val="22"/>
        </w:rPr>
        <w:t>detí a dospievajúcich so závažnými symptómami).</w:t>
      </w:r>
    </w:p>
    <w:p w:rsidR="00E24D3E" w:rsidRPr="00135023" w:rsidRDefault="00E24D3E" w:rsidP="00592542">
      <w:pPr>
        <w:ind w:left="0" w:firstLine="0"/>
        <w:rPr>
          <w:noProof/>
          <w:szCs w:val="22"/>
        </w:rPr>
      </w:pPr>
    </w:p>
    <w:p w:rsidR="00561C87" w:rsidRPr="0093686A" w:rsidRDefault="00561C87" w:rsidP="00561C87">
      <w:pPr>
        <w:ind w:left="0" w:firstLine="0"/>
        <w:rPr>
          <w:b/>
          <w:noProof/>
          <w:szCs w:val="22"/>
          <w:u w:val="single"/>
        </w:rPr>
      </w:pPr>
      <w:r w:rsidRPr="0093686A">
        <w:rPr>
          <w:b/>
          <w:noProof/>
          <w:szCs w:val="22"/>
          <w:u w:val="single"/>
        </w:rPr>
        <w:t>Novorodenci</w:t>
      </w:r>
    </w:p>
    <w:p w:rsidR="00E24D3E" w:rsidRPr="007F1BBF" w:rsidRDefault="00E24D3E" w:rsidP="00592542">
      <w:pPr>
        <w:ind w:left="0" w:firstLine="0"/>
        <w:rPr>
          <w:noProof/>
          <w:szCs w:val="22"/>
        </w:rPr>
      </w:pPr>
      <w:r w:rsidRPr="00135023">
        <w:rPr>
          <w:noProof/>
          <w:szCs w:val="22"/>
        </w:rPr>
        <w:t>Bezpečnosť a účinnosť u novorodencov nebol</w:t>
      </w:r>
      <w:r w:rsidR="007F1BBF">
        <w:rPr>
          <w:noProof/>
          <w:szCs w:val="22"/>
        </w:rPr>
        <w:t>i</w:t>
      </w:r>
      <w:r w:rsidRPr="007F1BBF">
        <w:rPr>
          <w:noProof/>
          <w:szCs w:val="22"/>
        </w:rPr>
        <w:t xml:space="preserve"> stanoven</w:t>
      </w:r>
      <w:r w:rsidR="007F1BBF">
        <w:rPr>
          <w:noProof/>
          <w:szCs w:val="22"/>
        </w:rPr>
        <w:t>é</w:t>
      </w:r>
      <w:r w:rsidRPr="007F1BBF">
        <w:rPr>
          <w:noProof/>
          <w:szCs w:val="22"/>
        </w:rPr>
        <w:t>.</w:t>
      </w:r>
    </w:p>
    <w:p w:rsidR="00E24D3E" w:rsidRPr="00AD4326" w:rsidRDefault="00E24D3E" w:rsidP="00592542">
      <w:pPr>
        <w:ind w:left="0" w:firstLine="0"/>
        <w:rPr>
          <w:noProof/>
          <w:szCs w:val="22"/>
        </w:rPr>
      </w:pPr>
    </w:p>
    <w:p w:rsidR="00E24D3E" w:rsidRPr="006D0F6A" w:rsidRDefault="00E24D3E" w:rsidP="00592542">
      <w:pPr>
        <w:ind w:left="0" w:firstLine="0"/>
        <w:rPr>
          <w:noProof/>
          <w:szCs w:val="22"/>
        </w:rPr>
      </w:pPr>
      <w:r w:rsidRPr="006D0F6A">
        <w:rPr>
          <w:noProof/>
          <w:szCs w:val="22"/>
        </w:rPr>
        <w:t>REŽIM DÁVKOVANIA U PACIENTOV S RENÁLNOU DYSFUNKCIOU</w:t>
      </w:r>
    </w:p>
    <w:p w:rsidR="00E24D3E" w:rsidRPr="006D0F6A" w:rsidRDefault="00E24D3E" w:rsidP="00592542">
      <w:pPr>
        <w:ind w:left="0" w:firstLine="0"/>
        <w:rPr>
          <w:noProof/>
          <w:szCs w:val="22"/>
        </w:rPr>
      </w:pPr>
      <w:r w:rsidRPr="006D0F6A">
        <w:rPr>
          <w:noProof/>
          <w:szCs w:val="22"/>
        </w:rPr>
        <w:t xml:space="preserve">U pacientov s poruchou funkcie obličiek (klírens kreatinínu menší ako </w:t>
      </w:r>
      <w:r w:rsidRPr="006D0F6A">
        <w:rPr>
          <w:rFonts w:eastAsia="Batang"/>
          <w:bCs/>
          <w:iCs/>
          <w:noProof/>
          <w:szCs w:val="22"/>
          <w:lang w:eastAsia="ko-KR"/>
        </w:rPr>
        <w:t xml:space="preserve">50 ml/min) </w:t>
      </w:r>
      <w:r w:rsidR="005827D1" w:rsidRPr="006D0F6A">
        <w:rPr>
          <w:rFonts w:eastAsia="Batang"/>
          <w:bCs/>
          <w:iCs/>
          <w:noProof/>
          <w:szCs w:val="22"/>
          <w:lang w:eastAsia="ko-KR"/>
        </w:rPr>
        <w:t>d</w:t>
      </w:r>
      <w:r w:rsidR="00AD4326">
        <w:rPr>
          <w:rFonts w:eastAsia="Batang"/>
          <w:bCs/>
          <w:iCs/>
          <w:noProof/>
          <w:szCs w:val="22"/>
          <w:lang w:eastAsia="ko-KR"/>
        </w:rPr>
        <w:t>ochádza</w:t>
      </w:r>
      <w:r w:rsidR="005827D1" w:rsidRPr="00AD4326">
        <w:rPr>
          <w:rFonts w:eastAsia="Batang"/>
          <w:bCs/>
          <w:iCs/>
          <w:noProof/>
          <w:szCs w:val="22"/>
          <w:lang w:eastAsia="ko-KR"/>
        </w:rPr>
        <w:t xml:space="preserve"> k</w:t>
      </w:r>
      <w:r w:rsidR="00AD4326">
        <w:rPr>
          <w:rFonts w:eastAsia="Batang"/>
          <w:bCs/>
          <w:iCs/>
          <w:noProof/>
          <w:szCs w:val="22"/>
          <w:lang w:eastAsia="ko-KR"/>
        </w:rPr>
        <w:t> </w:t>
      </w:r>
      <w:r w:rsidR="005827D1" w:rsidRPr="00AD4326">
        <w:rPr>
          <w:rFonts w:eastAsia="Batang"/>
          <w:bCs/>
          <w:iCs/>
          <w:noProof/>
          <w:szCs w:val="22"/>
          <w:lang w:eastAsia="ko-KR"/>
        </w:rPr>
        <w:t>hromadeniu</w:t>
      </w:r>
      <w:r w:rsidRPr="00AD4326">
        <w:rPr>
          <w:rFonts w:eastAsia="Batang"/>
          <w:bCs/>
          <w:iCs/>
          <w:noProof/>
          <w:szCs w:val="22"/>
          <w:lang w:eastAsia="ko-KR"/>
        </w:rPr>
        <w:t xml:space="preserve"> ranitidínu, </w:t>
      </w:r>
      <w:r w:rsidR="005827D1" w:rsidRPr="00AD4326">
        <w:rPr>
          <w:rFonts w:eastAsia="Batang"/>
          <w:bCs/>
          <w:iCs/>
          <w:noProof/>
          <w:szCs w:val="22"/>
          <w:lang w:eastAsia="ko-KR"/>
        </w:rPr>
        <w:t xml:space="preserve">čo </w:t>
      </w:r>
      <w:r w:rsidRPr="00AD4326">
        <w:rPr>
          <w:rFonts w:eastAsia="Batang"/>
          <w:bCs/>
          <w:iCs/>
          <w:noProof/>
          <w:szCs w:val="22"/>
          <w:lang w:eastAsia="ko-KR"/>
        </w:rPr>
        <w:t>vedie k vysokým koncentráci</w:t>
      </w:r>
      <w:r w:rsidR="000F48CF">
        <w:rPr>
          <w:rFonts w:eastAsia="Batang"/>
          <w:bCs/>
          <w:iCs/>
          <w:noProof/>
          <w:szCs w:val="22"/>
          <w:lang w:eastAsia="ko-KR"/>
        </w:rPr>
        <w:t>á</w:t>
      </w:r>
      <w:r w:rsidRPr="00AD4326">
        <w:rPr>
          <w:rFonts w:eastAsia="Batang"/>
          <w:bCs/>
          <w:iCs/>
          <w:noProof/>
          <w:szCs w:val="22"/>
          <w:lang w:eastAsia="ko-KR"/>
        </w:rPr>
        <w:t>m v plazme. U týchto pacientov sa odporúča 150 mg denná dávka.</w:t>
      </w:r>
    </w:p>
    <w:p w:rsidR="00E24D3E" w:rsidRPr="00084F2F" w:rsidRDefault="00E24D3E" w:rsidP="00592542">
      <w:pPr>
        <w:ind w:left="0" w:firstLine="0"/>
        <w:rPr>
          <w:noProof/>
          <w:szCs w:val="22"/>
        </w:rPr>
      </w:pPr>
    </w:p>
    <w:p w:rsidR="00E24D3E" w:rsidRPr="006D0F6A" w:rsidRDefault="00E24D3E" w:rsidP="00592542">
      <w:pPr>
        <w:ind w:left="0" w:firstLine="0"/>
        <w:rPr>
          <w:noProof/>
          <w:szCs w:val="22"/>
        </w:rPr>
      </w:pPr>
      <w:r w:rsidRPr="0035019A">
        <w:rPr>
          <w:noProof/>
          <w:szCs w:val="22"/>
        </w:rPr>
        <w:t>Ranitidín je dialyzovateľný. Hemodialýza znižuje hladiny ranitidínu v krvi. Preto pacientom</w:t>
      </w:r>
      <w:r w:rsidR="006D0F6A">
        <w:rPr>
          <w:noProof/>
          <w:szCs w:val="22"/>
        </w:rPr>
        <w:t xml:space="preserve"> podstupujúcim</w:t>
      </w:r>
      <w:r w:rsidRPr="006D0F6A">
        <w:rPr>
          <w:noProof/>
          <w:szCs w:val="22"/>
        </w:rPr>
        <w:t xml:space="preserve"> dialýz</w:t>
      </w:r>
      <w:r w:rsidR="006D0F6A">
        <w:rPr>
          <w:noProof/>
          <w:szCs w:val="22"/>
        </w:rPr>
        <w:t>u</w:t>
      </w:r>
      <w:r w:rsidRPr="006D0F6A">
        <w:rPr>
          <w:noProof/>
          <w:szCs w:val="22"/>
        </w:rPr>
        <w:t xml:space="preserve"> sa má podať ranitidín po dialýze.</w:t>
      </w:r>
    </w:p>
    <w:p w:rsidR="00E24D3E" w:rsidRPr="00084F2F" w:rsidRDefault="00E24D3E" w:rsidP="00592542">
      <w:pPr>
        <w:ind w:left="0" w:firstLine="0"/>
        <w:rPr>
          <w:noProof/>
          <w:szCs w:val="22"/>
        </w:rPr>
      </w:pPr>
    </w:p>
    <w:p w:rsidR="00780926" w:rsidRPr="00830C81" w:rsidRDefault="00780926" w:rsidP="00592542">
      <w:pPr>
        <w:ind w:left="0" w:firstLine="0"/>
        <w:rPr>
          <w:noProof/>
          <w:szCs w:val="22"/>
        </w:rPr>
      </w:pPr>
      <w:r w:rsidRPr="0035019A">
        <w:rPr>
          <w:b/>
          <w:noProof/>
          <w:szCs w:val="22"/>
        </w:rPr>
        <w:t>4.3</w:t>
      </w:r>
      <w:r w:rsidRPr="0035019A">
        <w:rPr>
          <w:b/>
          <w:noProof/>
          <w:szCs w:val="22"/>
        </w:rPr>
        <w:tab/>
        <w:t>Kontra</w:t>
      </w:r>
      <w:r w:rsidRPr="00830C81">
        <w:rPr>
          <w:b/>
          <w:noProof/>
          <w:szCs w:val="22"/>
        </w:rPr>
        <w:t>indikácie</w:t>
      </w:r>
    </w:p>
    <w:p w:rsidR="00780926" w:rsidRPr="00135023" w:rsidRDefault="00780926" w:rsidP="00592542">
      <w:pPr>
        <w:ind w:left="0" w:firstLine="0"/>
        <w:rPr>
          <w:noProof/>
          <w:szCs w:val="22"/>
        </w:rPr>
      </w:pPr>
    </w:p>
    <w:p w:rsidR="00780926" w:rsidRPr="0035019A" w:rsidRDefault="00561C87" w:rsidP="00592542">
      <w:pPr>
        <w:ind w:left="0" w:firstLine="0"/>
        <w:rPr>
          <w:noProof/>
          <w:szCs w:val="22"/>
        </w:rPr>
      </w:pPr>
      <w:r>
        <w:rPr>
          <w:noProof/>
          <w:szCs w:val="22"/>
        </w:rPr>
        <w:t>Tablety Ranitidine sú kontraindikované u pacientov so známou precitlivenosťou na ktorúkoľvek zložku prípravku.</w:t>
      </w:r>
    </w:p>
    <w:p w:rsidR="000F48CF" w:rsidRPr="0093686A" w:rsidRDefault="000F48CF" w:rsidP="00592542">
      <w:pPr>
        <w:ind w:left="0" w:firstLine="0"/>
        <w:rPr>
          <w:noProof/>
          <w:szCs w:val="22"/>
        </w:rPr>
      </w:pPr>
    </w:p>
    <w:p w:rsidR="00780926" w:rsidRPr="00135023" w:rsidRDefault="00780926" w:rsidP="00592542">
      <w:pPr>
        <w:ind w:left="0" w:firstLine="0"/>
        <w:rPr>
          <w:b/>
          <w:noProof/>
          <w:szCs w:val="22"/>
        </w:rPr>
      </w:pPr>
      <w:r w:rsidRPr="00135023">
        <w:rPr>
          <w:b/>
          <w:noProof/>
          <w:szCs w:val="22"/>
        </w:rPr>
        <w:t>4.4</w:t>
      </w:r>
      <w:r w:rsidRPr="00135023">
        <w:rPr>
          <w:b/>
          <w:noProof/>
          <w:szCs w:val="22"/>
        </w:rPr>
        <w:tab/>
        <w:t>Osobitné upozornenia a opatrenia pri používaní</w:t>
      </w:r>
    </w:p>
    <w:p w:rsidR="00E1698A" w:rsidRPr="003D257F" w:rsidRDefault="00E1698A" w:rsidP="00592542">
      <w:pPr>
        <w:ind w:left="0" w:firstLine="0"/>
        <w:rPr>
          <w:noProof/>
          <w:szCs w:val="22"/>
        </w:rPr>
      </w:pPr>
    </w:p>
    <w:p w:rsidR="00561C87" w:rsidRPr="00561C87" w:rsidRDefault="00561C87" w:rsidP="00561C87">
      <w:pPr>
        <w:ind w:left="0" w:firstLine="0"/>
        <w:rPr>
          <w:noProof/>
          <w:szCs w:val="22"/>
          <w:u w:val="single"/>
        </w:rPr>
      </w:pPr>
      <w:r w:rsidRPr="00561C87">
        <w:rPr>
          <w:noProof/>
          <w:szCs w:val="22"/>
          <w:u w:val="single"/>
        </w:rPr>
        <w:t>Malignita</w:t>
      </w:r>
    </w:p>
    <w:p w:rsidR="0060445B" w:rsidRPr="00307E1F" w:rsidRDefault="00F31F48" w:rsidP="00592542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Možnosť vzniku maliginít </w:t>
      </w:r>
      <w:r w:rsidR="0060445B" w:rsidRPr="009836E5">
        <w:rPr>
          <w:noProof/>
          <w:szCs w:val="22"/>
        </w:rPr>
        <w:t>sa má vylúči</w:t>
      </w:r>
      <w:r w:rsidR="005827D1" w:rsidRPr="009836E5">
        <w:rPr>
          <w:noProof/>
          <w:szCs w:val="22"/>
        </w:rPr>
        <w:t>ť</w:t>
      </w:r>
      <w:r w:rsidR="0060445B" w:rsidRPr="009836E5">
        <w:rPr>
          <w:noProof/>
          <w:szCs w:val="22"/>
        </w:rPr>
        <w:t xml:space="preserve"> </w:t>
      </w:r>
      <w:r w:rsidRPr="00F31F48">
        <w:rPr>
          <w:noProof/>
          <w:szCs w:val="22"/>
        </w:rPr>
        <w:t>pred zahájením liečby u pacientov so žal</w:t>
      </w:r>
      <w:r w:rsidR="000F48CF">
        <w:rPr>
          <w:noProof/>
          <w:szCs w:val="22"/>
        </w:rPr>
        <w:t>ú</w:t>
      </w:r>
      <w:r w:rsidRPr="00F31F48">
        <w:rPr>
          <w:noProof/>
          <w:szCs w:val="22"/>
        </w:rPr>
        <w:t>d</w:t>
      </w:r>
      <w:r w:rsidR="000F48CF">
        <w:rPr>
          <w:noProof/>
          <w:szCs w:val="22"/>
        </w:rPr>
        <w:t>o</w:t>
      </w:r>
      <w:r w:rsidRPr="00F31F48">
        <w:rPr>
          <w:noProof/>
          <w:szCs w:val="22"/>
        </w:rPr>
        <w:t>čným vredom, keďže liečba ranitidínom môže maskovať symptómy, ktoré sprevádzajú rakovinu žalúdka</w:t>
      </w:r>
      <w:r>
        <w:rPr>
          <w:noProof/>
          <w:szCs w:val="22"/>
        </w:rPr>
        <w:t>.</w:t>
      </w:r>
    </w:p>
    <w:p w:rsidR="000F48CF" w:rsidRDefault="000F48CF" w:rsidP="00561C87">
      <w:pPr>
        <w:ind w:left="0" w:firstLine="0"/>
        <w:rPr>
          <w:noProof/>
          <w:szCs w:val="22"/>
          <w:u w:val="single"/>
        </w:rPr>
      </w:pPr>
    </w:p>
    <w:p w:rsidR="00561C87" w:rsidRPr="00561C87" w:rsidRDefault="00561C87" w:rsidP="00561C87">
      <w:pPr>
        <w:ind w:left="0" w:firstLine="0"/>
        <w:rPr>
          <w:noProof/>
          <w:szCs w:val="22"/>
          <w:u w:val="single"/>
        </w:rPr>
      </w:pPr>
      <w:r w:rsidRPr="00561C87">
        <w:rPr>
          <w:noProof/>
          <w:szCs w:val="22"/>
          <w:u w:val="single"/>
        </w:rPr>
        <w:t>Ochorenie obličiek</w:t>
      </w:r>
    </w:p>
    <w:p w:rsidR="00561C87" w:rsidRPr="00561C87" w:rsidRDefault="00561C87" w:rsidP="00561C87">
      <w:pPr>
        <w:ind w:left="0" w:firstLine="0"/>
        <w:rPr>
          <w:noProof/>
          <w:szCs w:val="22"/>
        </w:rPr>
      </w:pPr>
      <w:r w:rsidRPr="00561C87">
        <w:rPr>
          <w:noProof/>
          <w:szCs w:val="22"/>
        </w:rPr>
        <w:t>Ranitidín sa vylučuje obličkami, takže hladiny liečiva v plazme sa zvyšujú u pacientov s ťažkým poškodením funkcie obličiek. Zníženie dávky je nevyhnutné u pacientov s poškodenou funkciou obličiek (pozri časť 4.2).</w:t>
      </w:r>
    </w:p>
    <w:p w:rsidR="0060445B" w:rsidRPr="003A38DD" w:rsidRDefault="0060445B" w:rsidP="00592542">
      <w:pPr>
        <w:ind w:left="0" w:firstLine="0"/>
        <w:rPr>
          <w:noProof/>
          <w:spacing w:val="1"/>
          <w:szCs w:val="22"/>
        </w:rPr>
      </w:pPr>
    </w:p>
    <w:p w:rsidR="00F31F48" w:rsidRPr="00F31F48" w:rsidRDefault="00F31F48" w:rsidP="00F31F48">
      <w:pPr>
        <w:ind w:left="0" w:firstLine="0"/>
        <w:rPr>
          <w:noProof/>
          <w:spacing w:val="1"/>
          <w:szCs w:val="22"/>
        </w:rPr>
      </w:pPr>
      <w:r w:rsidRPr="00F31F48">
        <w:rPr>
          <w:noProof/>
          <w:spacing w:val="1"/>
          <w:szCs w:val="22"/>
        </w:rPr>
        <w:t>Odporúča sa pravidelná kontrola pacientov, ktorí užívajú nesteroidné antiflogistik</w:t>
      </w:r>
      <w:r w:rsidR="000F48CF">
        <w:rPr>
          <w:noProof/>
          <w:spacing w:val="1"/>
          <w:szCs w:val="22"/>
        </w:rPr>
        <w:t>á</w:t>
      </w:r>
      <w:r w:rsidRPr="00F31F48">
        <w:rPr>
          <w:noProof/>
          <w:spacing w:val="1"/>
          <w:szCs w:val="22"/>
        </w:rPr>
        <w:t xml:space="preserve"> sú</w:t>
      </w:r>
      <w:r w:rsidR="000F48CF">
        <w:rPr>
          <w:noProof/>
          <w:spacing w:val="1"/>
          <w:szCs w:val="22"/>
        </w:rPr>
        <w:t>bežne</w:t>
      </w:r>
      <w:r w:rsidRPr="00F31F48">
        <w:rPr>
          <w:noProof/>
          <w:spacing w:val="1"/>
          <w:szCs w:val="22"/>
        </w:rPr>
        <w:t xml:space="preserve"> s ranitidínom, najmä starších pacientov a pacientov s peptickým vredom v anaméze.</w:t>
      </w:r>
    </w:p>
    <w:p w:rsidR="00C7221F" w:rsidRDefault="00C7221F" w:rsidP="00592542">
      <w:pPr>
        <w:ind w:left="0" w:firstLine="0"/>
        <w:rPr>
          <w:noProof/>
          <w:spacing w:val="1"/>
          <w:szCs w:val="22"/>
        </w:rPr>
      </w:pPr>
    </w:p>
    <w:p w:rsidR="00561C87" w:rsidRDefault="00561C87" w:rsidP="00561C87">
      <w:pPr>
        <w:ind w:left="0" w:firstLine="0"/>
        <w:rPr>
          <w:noProof/>
          <w:szCs w:val="22"/>
        </w:rPr>
      </w:pPr>
      <w:r w:rsidRPr="00D05277">
        <w:rPr>
          <w:noProof/>
          <w:szCs w:val="22"/>
        </w:rPr>
        <w:t>Zriedkavé klinické hlásenia naznačujú, že ranitidín môže vyvolať akútne záchvaty porfýrie. Pacienti s akútnou intermitentnou porfýriouv anamnéze sa nesmú liečiť ranitidínom.</w:t>
      </w:r>
    </w:p>
    <w:p w:rsidR="00561C87" w:rsidRDefault="00561C87" w:rsidP="00561C87">
      <w:pPr>
        <w:ind w:left="0" w:firstLine="0"/>
        <w:rPr>
          <w:noProof/>
          <w:szCs w:val="22"/>
        </w:rPr>
      </w:pPr>
    </w:p>
    <w:p w:rsidR="00561C87" w:rsidRDefault="00561C87" w:rsidP="00561C87">
      <w:pPr>
        <w:ind w:left="0" w:firstLine="0"/>
        <w:rPr>
          <w:noProof/>
          <w:szCs w:val="22"/>
        </w:rPr>
      </w:pPr>
      <w:r w:rsidRPr="00D05277">
        <w:rPr>
          <w:noProof/>
          <w:szCs w:val="22"/>
        </w:rPr>
        <w:t>U pacientov, ako sú starší pacienti, pacienti s chronickým ochorením pľúc, diabetom alebo s o</w:t>
      </w:r>
      <w:r w:rsidR="000C4139">
        <w:rPr>
          <w:noProof/>
          <w:szCs w:val="22"/>
        </w:rPr>
        <w:t>s</w:t>
      </w:r>
      <w:r w:rsidRPr="00D05277">
        <w:rPr>
          <w:noProof/>
          <w:szCs w:val="22"/>
        </w:rPr>
        <w:t>labeným imun</w:t>
      </w:r>
      <w:r w:rsidR="000C4139">
        <w:rPr>
          <w:noProof/>
          <w:szCs w:val="22"/>
        </w:rPr>
        <w:t>i</w:t>
      </w:r>
      <w:r w:rsidRPr="00D05277">
        <w:rPr>
          <w:noProof/>
          <w:szCs w:val="22"/>
        </w:rPr>
        <w:t>t</w:t>
      </w:r>
      <w:r w:rsidR="000C4139">
        <w:rPr>
          <w:noProof/>
          <w:szCs w:val="22"/>
        </w:rPr>
        <w:t>n</w:t>
      </w:r>
      <w:r w:rsidRPr="00D05277">
        <w:rPr>
          <w:noProof/>
          <w:szCs w:val="22"/>
        </w:rPr>
        <w:t>ým systémom môže byť zvýšené riziko rozvoja pneumónie získanej v komunite.</w:t>
      </w:r>
    </w:p>
    <w:p w:rsidR="00561C87" w:rsidRDefault="00561C87" w:rsidP="00561C87">
      <w:pPr>
        <w:ind w:left="0" w:firstLine="0"/>
        <w:rPr>
          <w:noProof/>
          <w:szCs w:val="22"/>
        </w:rPr>
      </w:pPr>
    </w:p>
    <w:p w:rsidR="00561C87" w:rsidRPr="00D05277" w:rsidRDefault="00561C87" w:rsidP="00561C87">
      <w:pPr>
        <w:ind w:left="0" w:firstLine="0"/>
        <w:rPr>
          <w:noProof/>
          <w:szCs w:val="22"/>
        </w:rPr>
      </w:pPr>
      <w:r w:rsidRPr="00D05277">
        <w:rPr>
          <w:noProof/>
          <w:szCs w:val="22"/>
        </w:rPr>
        <w:t xml:space="preserve">V rozsiahlej epidemiologickej štúdii sa ukázalo zvýšené riziko rozvoja </w:t>
      </w:r>
      <w:r>
        <w:rPr>
          <w:noProof/>
          <w:szCs w:val="22"/>
        </w:rPr>
        <w:t xml:space="preserve">komunitnej </w:t>
      </w:r>
      <w:r w:rsidRPr="00D05277">
        <w:rPr>
          <w:noProof/>
          <w:szCs w:val="22"/>
        </w:rPr>
        <w:t>pneumónie u</w:t>
      </w:r>
      <w:r w:rsidR="000C4139">
        <w:rPr>
          <w:noProof/>
          <w:szCs w:val="22"/>
        </w:rPr>
        <w:t> </w:t>
      </w:r>
      <w:r w:rsidRPr="00D05277">
        <w:rPr>
          <w:noProof/>
          <w:szCs w:val="22"/>
        </w:rPr>
        <w:t xml:space="preserve">pacientov </w:t>
      </w:r>
      <w:r w:rsidR="000C4139">
        <w:rPr>
          <w:noProof/>
          <w:szCs w:val="22"/>
        </w:rPr>
        <w:t xml:space="preserve">aktuálne </w:t>
      </w:r>
      <w:r w:rsidRPr="00D05277">
        <w:rPr>
          <w:noProof/>
          <w:szCs w:val="22"/>
        </w:rPr>
        <w:t xml:space="preserve">užívajúcich </w:t>
      </w:r>
      <w:r>
        <w:rPr>
          <w:noProof/>
          <w:szCs w:val="22"/>
        </w:rPr>
        <w:t>samotný ranitidín</w:t>
      </w:r>
      <w:r w:rsidRPr="00D05277">
        <w:rPr>
          <w:noProof/>
          <w:szCs w:val="22"/>
        </w:rPr>
        <w:t xml:space="preserve"> v porovaní s tými, ktorí ukončili liečbu</w:t>
      </w:r>
      <w:r>
        <w:rPr>
          <w:noProof/>
          <w:szCs w:val="22"/>
        </w:rPr>
        <w:t>,</w:t>
      </w:r>
      <w:r w:rsidRPr="00D05277">
        <w:rPr>
          <w:noProof/>
          <w:szCs w:val="22"/>
        </w:rPr>
        <w:t xml:space="preserve"> </w:t>
      </w:r>
      <w:r>
        <w:rPr>
          <w:noProof/>
          <w:szCs w:val="22"/>
        </w:rPr>
        <w:t>s pozorovaným upraveným r</w:t>
      </w:r>
      <w:r w:rsidRPr="00D05277">
        <w:rPr>
          <w:noProof/>
          <w:szCs w:val="22"/>
        </w:rPr>
        <w:t>elatívn</w:t>
      </w:r>
      <w:r>
        <w:rPr>
          <w:noProof/>
          <w:szCs w:val="22"/>
        </w:rPr>
        <w:t>ym</w:t>
      </w:r>
      <w:r w:rsidRPr="00D05277">
        <w:rPr>
          <w:noProof/>
          <w:szCs w:val="22"/>
        </w:rPr>
        <w:t xml:space="preserve"> </w:t>
      </w:r>
      <w:r w:rsidR="00B87039">
        <w:rPr>
          <w:noProof/>
          <w:szCs w:val="22"/>
        </w:rPr>
        <w:t>zvýšením</w:t>
      </w:r>
      <w:r w:rsidR="00B87039" w:rsidRPr="00D05277">
        <w:rPr>
          <w:noProof/>
          <w:szCs w:val="22"/>
        </w:rPr>
        <w:t xml:space="preserve"> </w:t>
      </w:r>
      <w:r w:rsidRPr="00D05277">
        <w:rPr>
          <w:noProof/>
          <w:szCs w:val="22"/>
        </w:rPr>
        <w:t>rizik</w:t>
      </w:r>
      <w:r w:rsidR="00B87039">
        <w:rPr>
          <w:noProof/>
          <w:szCs w:val="22"/>
        </w:rPr>
        <w:t>a</w:t>
      </w:r>
      <w:r w:rsidRPr="00D05277">
        <w:rPr>
          <w:noProof/>
          <w:szCs w:val="22"/>
        </w:rPr>
        <w:t xml:space="preserve"> </w:t>
      </w:r>
      <w:r w:rsidR="00B87039">
        <w:rPr>
          <w:noProof/>
          <w:szCs w:val="22"/>
        </w:rPr>
        <w:t xml:space="preserve">o </w:t>
      </w:r>
      <w:r w:rsidRPr="00D05277">
        <w:rPr>
          <w:noProof/>
          <w:szCs w:val="22"/>
        </w:rPr>
        <w:t xml:space="preserve">1,82 </w:t>
      </w:r>
      <w:r w:rsidRPr="00D05277">
        <w:rPr>
          <w:noProof/>
          <w:spacing w:val="1"/>
          <w:szCs w:val="22"/>
        </w:rPr>
        <w:t>(</w:t>
      </w:r>
      <w:r w:rsidRPr="00D05277">
        <w:rPr>
          <w:noProof/>
          <w:szCs w:val="22"/>
        </w:rPr>
        <w:t>9</w:t>
      </w:r>
      <w:r w:rsidRPr="00D05277">
        <w:rPr>
          <w:noProof/>
          <w:spacing w:val="-2"/>
          <w:szCs w:val="22"/>
        </w:rPr>
        <w:t>5</w:t>
      </w:r>
      <w:r w:rsidRPr="00D05277">
        <w:rPr>
          <w:noProof/>
          <w:szCs w:val="22"/>
        </w:rPr>
        <w:t>%</w:t>
      </w:r>
      <w:r w:rsidRPr="00D05277">
        <w:rPr>
          <w:noProof/>
          <w:spacing w:val="1"/>
          <w:szCs w:val="22"/>
        </w:rPr>
        <w:t xml:space="preserve"> </w:t>
      </w:r>
      <w:r w:rsidRPr="00D05277">
        <w:rPr>
          <w:noProof/>
          <w:spacing w:val="-1"/>
          <w:szCs w:val="22"/>
        </w:rPr>
        <w:t>C</w:t>
      </w:r>
      <w:r w:rsidRPr="00D05277">
        <w:rPr>
          <w:noProof/>
          <w:spacing w:val="-4"/>
          <w:szCs w:val="22"/>
        </w:rPr>
        <w:t>I</w:t>
      </w:r>
      <w:r w:rsidRPr="00D05277">
        <w:rPr>
          <w:noProof/>
          <w:szCs w:val="22"/>
        </w:rPr>
        <w:t>, 1,</w:t>
      </w:r>
      <w:r w:rsidRPr="00D05277">
        <w:rPr>
          <w:noProof/>
          <w:spacing w:val="1"/>
          <w:szCs w:val="22"/>
        </w:rPr>
        <w:t>26</w:t>
      </w:r>
      <w:r w:rsidRPr="00D05277">
        <w:rPr>
          <w:noProof/>
          <w:szCs w:val="22"/>
        </w:rPr>
        <w:t>-2,64</w:t>
      </w:r>
      <w:r w:rsidRPr="00D05277">
        <w:rPr>
          <w:noProof/>
          <w:spacing w:val="1"/>
          <w:szCs w:val="22"/>
        </w:rPr>
        <w:t>)</w:t>
      </w:r>
      <w:r w:rsidRPr="00D05277">
        <w:rPr>
          <w:noProof/>
          <w:szCs w:val="22"/>
        </w:rPr>
        <w:t>.</w:t>
      </w:r>
    </w:p>
    <w:p w:rsidR="00561C87" w:rsidRPr="009836E5" w:rsidRDefault="00561C87" w:rsidP="00592542">
      <w:pPr>
        <w:ind w:left="0" w:firstLine="0"/>
        <w:rPr>
          <w:noProof/>
          <w:spacing w:val="1"/>
          <w:szCs w:val="22"/>
        </w:rPr>
      </w:pPr>
    </w:p>
    <w:p w:rsidR="00780926" w:rsidRPr="00844C3D" w:rsidRDefault="00780926" w:rsidP="00592542">
      <w:pPr>
        <w:rPr>
          <w:b/>
          <w:noProof/>
          <w:szCs w:val="22"/>
        </w:rPr>
      </w:pPr>
      <w:r w:rsidRPr="00844C3D">
        <w:rPr>
          <w:b/>
          <w:noProof/>
          <w:szCs w:val="22"/>
        </w:rPr>
        <w:t>4.5</w:t>
      </w:r>
      <w:r w:rsidRPr="00844C3D">
        <w:rPr>
          <w:b/>
          <w:noProof/>
          <w:szCs w:val="22"/>
        </w:rPr>
        <w:tab/>
        <w:t>Liekové a iné interakcie</w:t>
      </w:r>
    </w:p>
    <w:p w:rsidR="00780926" w:rsidRPr="006A54E9" w:rsidRDefault="00780926" w:rsidP="00592542">
      <w:pPr>
        <w:rPr>
          <w:noProof/>
          <w:szCs w:val="22"/>
        </w:rPr>
      </w:pPr>
    </w:p>
    <w:p w:rsidR="005A672E" w:rsidRPr="00844C3D" w:rsidRDefault="005A672E" w:rsidP="00592542">
      <w:pPr>
        <w:rPr>
          <w:noProof/>
          <w:szCs w:val="22"/>
        </w:rPr>
      </w:pPr>
      <w:r w:rsidRPr="006A54E9">
        <w:rPr>
          <w:noProof/>
          <w:szCs w:val="22"/>
        </w:rPr>
        <w:t xml:space="preserve">Ranitidín </w:t>
      </w:r>
      <w:r w:rsidR="00484A97" w:rsidRPr="006A54E9">
        <w:rPr>
          <w:noProof/>
          <w:szCs w:val="22"/>
        </w:rPr>
        <w:t xml:space="preserve">môže ovplyvniť </w:t>
      </w:r>
      <w:r w:rsidRPr="006A54E9">
        <w:rPr>
          <w:noProof/>
          <w:szCs w:val="22"/>
        </w:rPr>
        <w:t>absor</w:t>
      </w:r>
      <w:r w:rsidR="004B3116">
        <w:rPr>
          <w:noProof/>
          <w:szCs w:val="22"/>
        </w:rPr>
        <w:t>p</w:t>
      </w:r>
      <w:r w:rsidRPr="00844C3D">
        <w:rPr>
          <w:noProof/>
          <w:szCs w:val="22"/>
        </w:rPr>
        <w:t>ciu, metabolizmus alebo renálnu exkréciu iných liečiv.</w:t>
      </w:r>
    </w:p>
    <w:p w:rsidR="005A672E" w:rsidRPr="006A54E9" w:rsidRDefault="005A672E" w:rsidP="00592542">
      <w:pPr>
        <w:rPr>
          <w:noProof/>
          <w:szCs w:val="22"/>
        </w:rPr>
      </w:pPr>
      <w:r w:rsidRPr="006A54E9">
        <w:rPr>
          <w:noProof/>
          <w:szCs w:val="22"/>
        </w:rPr>
        <w:lastRenderedPageBreak/>
        <w:t>Zmenená farmakokinetika môže vyžadova</w:t>
      </w:r>
      <w:r w:rsidR="00484A97" w:rsidRPr="006A54E9">
        <w:rPr>
          <w:noProof/>
          <w:szCs w:val="22"/>
        </w:rPr>
        <w:t>ť úpravu dávkovania</w:t>
      </w:r>
      <w:r w:rsidRPr="006A54E9">
        <w:rPr>
          <w:noProof/>
          <w:szCs w:val="22"/>
        </w:rPr>
        <w:t xml:space="preserve"> </w:t>
      </w:r>
      <w:r w:rsidR="00484A97" w:rsidRPr="006A54E9">
        <w:rPr>
          <w:noProof/>
          <w:szCs w:val="22"/>
        </w:rPr>
        <w:t>iného</w:t>
      </w:r>
      <w:r w:rsidRPr="006A54E9">
        <w:rPr>
          <w:noProof/>
          <w:szCs w:val="22"/>
        </w:rPr>
        <w:t xml:space="preserve"> </w:t>
      </w:r>
      <w:r w:rsidR="00484A97" w:rsidRPr="006A54E9">
        <w:rPr>
          <w:noProof/>
          <w:szCs w:val="22"/>
        </w:rPr>
        <w:t>liečiva</w:t>
      </w:r>
      <w:r w:rsidRPr="006A54E9">
        <w:rPr>
          <w:noProof/>
          <w:szCs w:val="22"/>
        </w:rPr>
        <w:t xml:space="preserve"> alebo ukončenie liečby.</w:t>
      </w:r>
    </w:p>
    <w:p w:rsidR="00CC090F" w:rsidRPr="006325B7" w:rsidRDefault="00CC090F" w:rsidP="00592542">
      <w:pPr>
        <w:rPr>
          <w:noProof/>
          <w:szCs w:val="22"/>
        </w:rPr>
      </w:pPr>
    </w:p>
    <w:p w:rsidR="00CC090F" w:rsidRPr="00E02402" w:rsidRDefault="00484A97" w:rsidP="00844C3D">
      <w:pPr>
        <w:rPr>
          <w:noProof/>
          <w:szCs w:val="22"/>
        </w:rPr>
      </w:pPr>
      <w:r w:rsidRPr="00FB20A4">
        <w:rPr>
          <w:noProof/>
          <w:szCs w:val="22"/>
        </w:rPr>
        <w:t>Interakcie prebiehajú niekoľkými mechanizmami vrátane:</w:t>
      </w:r>
    </w:p>
    <w:p w:rsidR="00484A97" w:rsidRPr="006A54E9" w:rsidRDefault="006A54E9" w:rsidP="00592542">
      <w:pPr>
        <w:numPr>
          <w:ilvl w:val="0"/>
          <w:numId w:val="12"/>
        </w:numPr>
        <w:rPr>
          <w:noProof/>
          <w:szCs w:val="22"/>
        </w:rPr>
      </w:pPr>
      <w:r>
        <w:t>Inhibíci</w:t>
      </w:r>
      <w:r w:rsidR="00FB20A4">
        <w:t>e</w:t>
      </w:r>
      <w:r>
        <w:t xml:space="preserve"> systému </w:t>
      </w:r>
      <w:proofErr w:type="spellStart"/>
      <w:r>
        <w:t>oxygenáz</w:t>
      </w:r>
      <w:proofErr w:type="spellEnd"/>
      <w:r>
        <w:t xml:space="preserve"> so zmiešanou funkciou obsahujúcich </w:t>
      </w:r>
      <w:proofErr w:type="spellStart"/>
      <w:r>
        <w:t>cytochróm</w:t>
      </w:r>
      <w:proofErr w:type="spellEnd"/>
      <w:r>
        <w:t xml:space="preserve"> P450</w:t>
      </w:r>
      <w:r w:rsidR="00484A97" w:rsidRPr="006A54E9">
        <w:rPr>
          <w:noProof/>
          <w:szCs w:val="22"/>
        </w:rPr>
        <w:t>:</w:t>
      </w:r>
    </w:p>
    <w:p w:rsidR="00484A97" w:rsidRPr="00FB20A4" w:rsidRDefault="00F61760" w:rsidP="00592542">
      <w:pPr>
        <w:ind w:left="0" w:firstLine="0"/>
        <w:rPr>
          <w:noProof/>
          <w:szCs w:val="22"/>
        </w:rPr>
      </w:pPr>
      <w:r w:rsidRPr="006325B7">
        <w:rPr>
          <w:noProof/>
          <w:szCs w:val="22"/>
        </w:rPr>
        <w:t xml:space="preserve">Ranitidín vo </w:t>
      </w:r>
      <w:r w:rsidR="00484A97" w:rsidRPr="00FB20A4">
        <w:rPr>
          <w:noProof/>
          <w:szCs w:val="22"/>
        </w:rPr>
        <w:t>zvyčajných terapeutických dávkach nezosilňuje účinky liečiv, ktoré sú inaktivované týmto enzýmovým systémom, ako sú diazepam, lidokaín, fenytoín, propranolol a teofylín.</w:t>
      </w:r>
    </w:p>
    <w:p w:rsidR="00484A97" w:rsidRPr="00E02402" w:rsidRDefault="00484A97" w:rsidP="00592542">
      <w:pPr>
        <w:ind w:left="360" w:hanging="360"/>
        <w:rPr>
          <w:noProof/>
          <w:szCs w:val="22"/>
        </w:rPr>
      </w:pPr>
    </w:p>
    <w:p w:rsidR="00484A97" w:rsidRPr="005016FA" w:rsidRDefault="00484A97" w:rsidP="00592542">
      <w:pPr>
        <w:ind w:left="0" w:firstLine="0"/>
        <w:rPr>
          <w:noProof/>
          <w:szCs w:val="22"/>
        </w:rPr>
      </w:pPr>
      <w:r w:rsidRPr="00E02402">
        <w:rPr>
          <w:noProof/>
          <w:szCs w:val="22"/>
        </w:rPr>
        <w:t>Pri kumarínových antikoagulanci</w:t>
      </w:r>
      <w:r w:rsidR="006C5A53" w:rsidRPr="00DF7EBD">
        <w:rPr>
          <w:noProof/>
          <w:szCs w:val="22"/>
        </w:rPr>
        <w:t xml:space="preserve">ách </w:t>
      </w:r>
      <w:r w:rsidRPr="00DF7EBD">
        <w:rPr>
          <w:noProof/>
          <w:szCs w:val="22"/>
        </w:rPr>
        <w:t xml:space="preserve">(napr. warfarín) boli hlásené zmeny protrombínového času. </w:t>
      </w:r>
      <w:r w:rsidR="00AA5C1D" w:rsidRPr="00DF7EBD">
        <w:rPr>
          <w:noProof/>
          <w:szCs w:val="22"/>
        </w:rPr>
        <w:t xml:space="preserve">Počas súbežnej liečby ranitidínom sa </w:t>
      </w:r>
      <w:r w:rsidR="00AA5C1D" w:rsidRPr="00025CF8">
        <w:rPr>
          <w:noProof/>
          <w:szCs w:val="22"/>
        </w:rPr>
        <w:t xml:space="preserve">kvôli </w:t>
      </w:r>
      <w:r w:rsidRPr="00025CF8">
        <w:rPr>
          <w:noProof/>
          <w:szCs w:val="22"/>
        </w:rPr>
        <w:t xml:space="preserve">zúženému terapeutickému indexu </w:t>
      </w:r>
      <w:r w:rsidRPr="001A6434">
        <w:rPr>
          <w:noProof/>
          <w:szCs w:val="22"/>
        </w:rPr>
        <w:t>odporúča dôsledné sledovanie zvýšeného alebo zníženého protrombínového času</w:t>
      </w:r>
      <w:r w:rsidRPr="005016FA">
        <w:rPr>
          <w:noProof/>
          <w:szCs w:val="22"/>
        </w:rPr>
        <w:t>.</w:t>
      </w:r>
    </w:p>
    <w:p w:rsidR="00484A97" w:rsidRPr="00B72BAD" w:rsidRDefault="00484A97" w:rsidP="00592542">
      <w:pPr>
        <w:ind w:left="0" w:firstLine="0"/>
        <w:rPr>
          <w:noProof/>
          <w:szCs w:val="22"/>
        </w:rPr>
      </w:pPr>
    </w:p>
    <w:p w:rsidR="00484A97" w:rsidRPr="00227317" w:rsidRDefault="00253CB0" w:rsidP="00592542">
      <w:pPr>
        <w:numPr>
          <w:ilvl w:val="0"/>
          <w:numId w:val="12"/>
        </w:numPr>
        <w:ind w:left="0" w:firstLine="0"/>
        <w:rPr>
          <w:noProof/>
          <w:szCs w:val="22"/>
        </w:rPr>
      </w:pPr>
      <w:r w:rsidRPr="00227317">
        <w:rPr>
          <w:noProof/>
          <w:szCs w:val="22"/>
        </w:rPr>
        <w:t>K</w:t>
      </w:r>
      <w:r w:rsidR="00484A97" w:rsidRPr="00227317">
        <w:rPr>
          <w:noProof/>
          <w:szCs w:val="22"/>
        </w:rPr>
        <w:t>ompetície pri renálnej tubulárnej sekrécii:</w:t>
      </w:r>
    </w:p>
    <w:p w:rsidR="00484A97" w:rsidRPr="005016FA" w:rsidRDefault="00253CB0" w:rsidP="00592542">
      <w:pPr>
        <w:ind w:left="0" w:firstLine="0"/>
        <w:rPr>
          <w:noProof/>
          <w:szCs w:val="22"/>
        </w:rPr>
      </w:pPr>
      <w:r w:rsidRPr="00E02402">
        <w:rPr>
          <w:noProof/>
          <w:szCs w:val="22"/>
        </w:rPr>
        <w:t>Keďže</w:t>
      </w:r>
      <w:r w:rsidRPr="001C64C6">
        <w:rPr>
          <w:noProof/>
          <w:szCs w:val="22"/>
        </w:rPr>
        <w:t xml:space="preserve"> </w:t>
      </w:r>
      <w:r w:rsidRPr="00E02402">
        <w:rPr>
          <w:noProof/>
          <w:szCs w:val="22"/>
        </w:rPr>
        <w:t>sa</w:t>
      </w:r>
      <w:r w:rsidRPr="001C64C6">
        <w:rPr>
          <w:noProof/>
          <w:szCs w:val="22"/>
        </w:rPr>
        <w:t xml:space="preserve"> r</w:t>
      </w:r>
      <w:r w:rsidR="004A4DC2" w:rsidRPr="001C64C6">
        <w:rPr>
          <w:noProof/>
          <w:szCs w:val="22"/>
        </w:rPr>
        <w:t xml:space="preserve">anitidín </w:t>
      </w:r>
      <w:r w:rsidRPr="00DF7EBD">
        <w:rPr>
          <w:noProof/>
          <w:szCs w:val="22"/>
        </w:rPr>
        <w:t>čiastočne eliminuje katiónovým systémom</w:t>
      </w:r>
      <w:r>
        <w:rPr>
          <w:noProof/>
          <w:szCs w:val="22"/>
        </w:rPr>
        <w:t>,</w:t>
      </w:r>
      <w:r w:rsidRPr="001C64C6">
        <w:rPr>
          <w:noProof/>
          <w:szCs w:val="22"/>
        </w:rPr>
        <w:t xml:space="preserve"> </w:t>
      </w:r>
      <w:r w:rsidR="004A4DC2" w:rsidRPr="001C64C6">
        <w:rPr>
          <w:noProof/>
          <w:szCs w:val="22"/>
        </w:rPr>
        <w:t>môže ovplyvniť klírens iných liečiv vylučovaných touto cestou</w:t>
      </w:r>
      <w:r w:rsidR="00025CF8">
        <w:rPr>
          <w:noProof/>
          <w:szCs w:val="22"/>
        </w:rPr>
        <w:t>.</w:t>
      </w:r>
      <w:r w:rsidR="00484A97" w:rsidRPr="00DF7EBD">
        <w:rPr>
          <w:noProof/>
          <w:szCs w:val="22"/>
        </w:rPr>
        <w:t xml:space="preserve"> </w:t>
      </w:r>
      <w:r w:rsidR="00484A97" w:rsidRPr="00025CF8">
        <w:rPr>
          <w:noProof/>
          <w:szCs w:val="22"/>
        </w:rPr>
        <w:t>Vysoké dávky ranitidínu (napr. ako sú tie, ktoré sa používajú pri</w:t>
      </w:r>
      <w:r w:rsidR="001A6434">
        <w:rPr>
          <w:noProof/>
          <w:szCs w:val="22"/>
        </w:rPr>
        <w:t> </w:t>
      </w:r>
      <w:r w:rsidR="00484A97" w:rsidRPr="00025CF8">
        <w:rPr>
          <w:noProof/>
          <w:szCs w:val="22"/>
        </w:rPr>
        <w:t>liečbe Zollingerovho-Ellisonovho syndrómu) môžu znížiť vylučovanie prokaínamidu a</w:t>
      </w:r>
      <w:r w:rsidR="006C5A53" w:rsidRPr="001A6434">
        <w:rPr>
          <w:noProof/>
          <w:szCs w:val="22"/>
        </w:rPr>
        <w:t xml:space="preserve"> </w:t>
      </w:r>
      <w:r w:rsidR="00484A97" w:rsidRPr="005016FA">
        <w:rPr>
          <w:noProof/>
          <w:szCs w:val="22"/>
        </w:rPr>
        <w:t>N</w:t>
      </w:r>
      <w:r w:rsidR="00484A97" w:rsidRPr="005016FA">
        <w:rPr>
          <w:noProof/>
          <w:szCs w:val="22"/>
        </w:rPr>
        <w:noBreakHyphen/>
        <w:t>acetylprokaínamidu, čo vedie k zvýšeniu hladín týchto liečiv v plazme.</w:t>
      </w:r>
    </w:p>
    <w:p w:rsidR="00500844" w:rsidRPr="00B72BAD" w:rsidRDefault="00500844" w:rsidP="00592542">
      <w:pPr>
        <w:ind w:left="0" w:firstLine="0"/>
        <w:rPr>
          <w:noProof/>
          <w:szCs w:val="22"/>
        </w:rPr>
      </w:pPr>
    </w:p>
    <w:p w:rsidR="00484A97" w:rsidRPr="00227317" w:rsidRDefault="00253CB0" w:rsidP="00592542">
      <w:pPr>
        <w:numPr>
          <w:ilvl w:val="0"/>
          <w:numId w:val="12"/>
        </w:numPr>
        <w:tabs>
          <w:tab w:val="num" w:pos="180"/>
        </w:tabs>
        <w:ind w:left="0" w:firstLine="0"/>
        <w:rPr>
          <w:noProof/>
          <w:szCs w:val="22"/>
        </w:rPr>
      </w:pPr>
      <w:r w:rsidRPr="00227317">
        <w:rPr>
          <w:noProof/>
          <w:szCs w:val="22"/>
        </w:rPr>
        <w:t>Z</w:t>
      </w:r>
      <w:r w:rsidR="00484A97" w:rsidRPr="00227317">
        <w:rPr>
          <w:noProof/>
          <w:szCs w:val="22"/>
        </w:rPr>
        <w:t>mien pH žalúdka:</w:t>
      </w:r>
    </w:p>
    <w:p w:rsidR="00500844" w:rsidRPr="00227317" w:rsidRDefault="00484A97" w:rsidP="00592542">
      <w:pPr>
        <w:ind w:left="0" w:firstLine="0"/>
        <w:rPr>
          <w:noProof/>
          <w:szCs w:val="22"/>
        </w:rPr>
      </w:pPr>
      <w:r w:rsidRPr="001C64C6">
        <w:rPr>
          <w:noProof/>
          <w:szCs w:val="22"/>
        </w:rPr>
        <w:t xml:space="preserve">Biologická dostupnosť určitých liečiv môže byť ovplyvnená. To môže viesť buď k zvýšeniu absorpcie (napr. triazolam, midazolam, glipizid) alebo zníženiu absorpcie (napr. ketokonazol, </w:t>
      </w:r>
      <w:r w:rsidR="00500844" w:rsidRPr="00B1415F">
        <w:rPr>
          <w:noProof/>
          <w:szCs w:val="22"/>
        </w:rPr>
        <w:t xml:space="preserve">itrakonazol, posakonazol, </w:t>
      </w:r>
      <w:r w:rsidRPr="00B1415F">
        <w:rPr>
          <w:noProof/>
          <w:szCs w:val="22"/>
        </w:rPr>
        <w:t>atazanavir, delavirid</w:t>
      </w:r>
      <w:r w:rsidR="005016FA">
        <w:rPr>
          <w:noProof/>
          <w:szCs w:val="22"/>
        </w:rPr>
        <w:t>í</w:t>
      </w:r>
      <w:r w:rsidRPr="00B72BAD">
        <w:rPr>
          <w:noProof/>
          <w:szCs w:val="22"/>
        </w:rPr>
        <w:t>n, gefiti</w:t>
      </w:r>
      <w:r w:rsidR="00500844" w:rsidRPr="000A1881">
        <w:rPr>
          <w:noProof/>
          <w:szCs w:val="22"/>
        </w:rPr>
        <w:t>nib)</w:t>
      </w:r>
      <w:r w:rsidR="00253CB0">
        <w:rPr>
          <w:noProof/>
          <w:szCs w:val="22"/>
        </w:rPr>
        <w:t>.</w:t>
      </w:r>
    </w:p>
    <w:p w:rsidR="00484A97" w:rsidRPr="00CB76D6" w:rsidRDefault="00484A97" w:rsidP="00592542">
      <w:pPr>
        <w:ind w:left="0" w:firstLine="0"/>
        <w:rPr>
          <w:noProof/>
          <w:szCs w:val="22"/>
        </w:rPr>
      </w:pPr>
    </w:p>
    <w:p w:rsidR="00484A97" w:rsidRDefault="00A52CCA" w:rsidP="00592542">
      <w:pPr>
        <w:ind w:left="0" w:firstLine="0"/>
        <w:rPr>
          <w:noProof/>
          <w:szCs w:val="22"/>
        </w:rPr>
      </w:pPr>
      <w:r w:rsidRPr="00622DCF">
        <w:rPr>
          <w:noProof/>
          <w:szCs w:val="22"/>
        </w:rPr>
        <w:t xml:space="preserve">Nie sú </w:t>
      </w:r>
      <w:r w:rsidR="006C5A53" w:rsidRPr="00622DCF">
        <w:rPr>
          <w:noProof/>
          <w:szCs w:val="22"/>
        </w:rPr>
        <w:t xml:space="preserve">k dispozícii </w:t>
      </w:r>
      <w:r w:rsidR="00F31F48" w:rsidRPr="006E7C9E">
        <w:rPr>
          <w:noProof/>
          <w:szCs w:val="22"/>
        </w:rPr>
        <w:t>dôkaz</w:t>
      </w:r>
      <w:r w:rsidR="00F31F48">
        <w:rPr>
          <w:noProof/>
          <w:szCs w:val="22"/>
        </w:rPr>
        <w:t>y</w:t>
      </w:r>
      <w:r w:rsidR="00253CB0">
        <w:rPr>
          <w:noProof/>
          <w:szCs w:val="22"/>
        </w:rPr>
        <w:t xml:space="preserve"> </w:t>
      </w:r>
      <w:r w:rsidRPr="00622DCF">
        <w:rPr>
          <w:noProof/>
          <w:szCs w:val="22"/>
        </w:rPr>
        <w:t>o interakcii medzi ranitidínom a amoxicilínom alebo metronidazolom.</w:t>
      </w:r>
    </w:p>
    <w:p w:rsidR="00F31F48" w:rsidRDefault="00F31F48" w:rsidP="00592542">
      <w:pPr>
        <w:ind w:left="0" w:firstLine="0"/>
        <w:rPr>
          <w:noProof/>
          <w:szCs w:val="22"/>
        </w:rPr>
      </w:pPr>
    </w:p>
    <w:p w:rsidR="00F31F48" w:rsidRPr="00622DCF" w:rsidRDefault="00F31F48" w:rsidP="00592542">
      <w:pPr>
        <w:ind w:left="0" w:firstLine="0"/>
        <w:rPr>
          <w:noProof/>
          <w:szCs w:val="22"/>
        </w:rPr>
      </w:pPr>
      <w:r>
        <w:rPr>
          <w:szCs w:val="22"/>
        </w:rPr>
        <w:t xml:space="preserve">Pri podávaní vysokých dávok (2 g) </w:t>
      </w:r>
      <w:proofErr w:type="spellStart"/>
      <w:r>
        <w:rPr>
          <w:szCs w:val="22"/>
        </w:rPr>
        <w:t>sukralfátu</w:t>
      </w:r>
      <w:proofErr w:type="spellEnd"/>
      <w:r w:rsidRPr="006E7C9E">
        <w:rPr>
          <w:szCs w:val="22"/>
        </w:rPr>
        <w:t xml:space="preserve"> </w:t>
      </w:r>
      <w:r>
        <w:rPr>
          <w:szCs w:val="22"/>
        </w:rPr>
        <w:t>sú</w:t>
      </w:r>
      <w:r w:rsidR="00253CB0">
        <w:rPr>
          <w:szCs w:val="22"/>
        </w:rPr>
        <w:t>bež</w:t>
      </w:r>
      <w:r>
        <w:rPr>
          <w:szCs w:val="22"/>
        </w:rPr>
        <w:t>ne s </w:t>
      </w:r>
      <w:proofErr w:type="spellStart"/>
      <w:r>
        <w:rPr>
          <w:szCs w:val="22"/>
        </w:rPr>
        <w:t>ranitidínom</w:t>
      </w:r>
      <w:proofErr w:type="spellEnd"/>
      <w:r>
        <w:rPr>
          <w:szCs w:val="22"/>
        </w:rPr>
        <w:t xml:space="preserve"> môže byť absorpcia </w:t>
      </w:r>
      <w:proofErr w:type="spellStart"/>
      <w:r>
        <w:rPr>
          <w:szCs w:val="22"/>
        </w:rPr>
        <w:t>ranitidínu</w:t>
      </w:r>
      <w:proofErr w:type="spellEnd"/>
      <w:r>
        <w:rPr>
          <w:szCs w:val="22"/>
        </w:rPr>
        <w:t xml:space="preserve"> znížená. Tento účinok nie je pozorovaný, ak sa </w:t>
      </w:r>
      <w:proofErr w:type="spellStart"/>
      <w:r>
        <w:rPr>
          <w:szCs w:val="22"/>
        </w:rPr>
        <w:t>sukralfát</w:t>
      </w:r>
      <w:proofErr w:type="spellEnd"/>
      <w:r>
        <w:rPr>
          <w:szCs w:val="22"/>
        </w:rPr>
        <w:t xml:space="preserve"> užíva </w:t>
      </w:r>
      <w:r w:rsidR="00E3172B">
        <w:rPr>
          <w:szCs w:val="22"/>
        </w:rPr>
        <w:t xml:space="preserve">s odstupom </w:t>
      </w:r>
      <w:r>
        <w:rPr>
          <w:szCs w:val="22"/>
        </w:rPr>
        <w:t>v </w:t>
      </w:r>
      <w:r w:rsidR="00E3172B">
        <w:rPr>
          <w:szCs w:val="22"/>
        </w:rPr>
        <w:t xml:space="preserve">intervale </w:t>
      </w:r>
      <w:r>
        <w:rPr>
          <w:szCs w:val="22"/>
        </w:rPr>
        <w:t>dvo</w:t>
      </w:r>
      <w:r w:rsidR="00E3172B">
        <w:rPr>
          <w:szCs w:val="22"/>
        </w:rPr>
        <w:t>ch hodín</w:t>
      </w:r>
      <w:r>
        <w:rPr>
          <w:szCs w:val="22"/>
        </w:rPr>
        <w:t>.</w:t>
      </w:r>
    </w:p>
    <w:p w:rsidR="00780926" w:rsidRPr="00EB6778" w:rsidRDefault="00780926" w:rsidP="00592542">
      <w:pPr>
        <w:rPr>
          <w:noProof/>
          <w:szCs w:val="22"/>
        </w:rPr>
      </w:pPr>
    </w:p>
    <w:p w:rsidR="00780926" w:rsidRPr="009348B5" w:rsidRDefault="00780926" w:rsidP="00592542">
      <w:pPr>
        <w:rPr>
          <w:noProof/>
          <w:szCs w:val="22"/>
        </w:rPr>
      </w:pPr>
      <w:r w:rsidRPr="00B345B8">
        <w:rPr>
          <w:b/>
          <w:noProof/>
          <w:szCs w:val="22"/>
        </w:rPr>
        <w:t>4.6</w:t>
      </w:r>
      <w:r w:rsidRPr="00B345B8">
        <w:rPr>
          <w:b/>
          <w:noProof/>
          <w:szCs w:val="22"/>
        </w:rPr>
        <w:tab/>
      </w:r>
      <w:r w:rsidR="00E1698A" w:rsidRPr="00B345B8">
        <w:rPr>
          <w:b/>
          <w:noProof/>
          <w:szCs w:val="22"/>
        </w:rPr>
        <w:t>Fertilita, g</w:t>
      </w:r>
      <w:r w:rsidRPr="00D1071A">
        <w:rPr>
          <w:b/>
          <w:noProof/>
          <w:szCs w:val="22"/>
        </w:rPr>
        <w:t>ravidita a laktácia</w:t>
      </w:r>
    </w:p>
    <w:p w:rsidR="00F31F48" w:rsidRDefault="00F31F48" w:rsidP="00F31F48">
      <w:pPr>
        <w:rPr>
          <w:noProof/>
          <w:szCs w:val="22"/>
        </w:rPr>
      </w:pPr>
    </w:p>
    <w:p w:rsidR="00E1698A" w:rsidRPr="0093686A" w:rsidRDefault="00A52CCA" w:rsidP="00592542">
      <w:pPr>
        <w:rPr>
          <w:caps/>
          <w:noProof/>
          <w:szCs w:val="22"/>
          <w:u w:val="single"/>
        </w:rPr>
      </w:pPr>
      <w:r w:rsidRPr="0093686A">
        <w:rPr>
          <w:caps/>
          <w:noProof/>
          <w:szCs w:val="22"/>
          <w:u w:val="single"/>
        </w:rPr>
        <w:t>G</w:t>
      </w:r>
      <w:r w:rsidR="00F31F48" w:rsidRPr="0093686A">
        <w:rPr>
          <w:noProof/>
          <w:szCs w:val="22"/>
          <w:u w:val="single"/>
        </w:rPr>
        <w:t>ravidita</w:t>
      </w:r>
    </w:p>
    <w:p w:rsidR="00561C87" w:rsidRDefault="00561C87" w:rsidP="00561C87">
      <w:pPr>
        <w:ind w:left="0" w:firstLine="0"/>
        <w:rPr>
          <w:bCs/>
          <w:noProof/>
          <w:szCs w:val="22"/>
        </w:rPr>
      </w:pPr>
      <w:r w:rsidRPr="00D05277">
        <w:rPr>
          <w:bCs/>
          <w:noProof/>
          <w:szCs w:val="22"/>
        </w:rPr>
        <w:t xml:space="preserve">Ranitidín prechádza placentou. </w:t>
      </w:r>
      <w:r>
        <w:rPr>
          <w:bCs/>
          <w:noProof/>
          <w:szCs w:val="22"/>
        </w:rPr>
        <w:t xml:space="preserve">Tak ako </w:t>
      </w:r>
      <w:r w:rsidR="00E3172B">
        <w:rPr>
          <w:bCs/>
          <w:noProof/>
          <w:szCs w:val="22"/>
        </w:rPr>
        <w:t>iné</w:t>
      </w:r>
      <w:r>
        <w:rPr>
          <w:bCs/>
          <w:noProof/>
          <w:szCs w:val="22"/>
        </w:rPr>
        <w:t xml:space="preserve"> lie</w:t>
      </w:r>
      <w:r w:rsidR="00E3172B">
        <w:rPr>
          <w:bCs/>
          <w:noProof/>
          <w:szCs w:val="22"/>
        </w:rPr>
        <w:t>čivá</w:t>
      </w:r>
      <w:r>
        <w:rPr>
          <w:bCs/>
          <w:noProof/>
          <w:szCs w:val="22"/>
        </w:rPr>
        <w:t>, aj r</w:t>
      </w:r>
      <w:r w:rsidRPr="00D05277">
        <w:rPr>
          <w:bCs/>
          <w:noProof/>
          <w:szCs w:val="22"/>
        </w:rPr>
        <w:t>anitidín sa môže používať počas gravidity, len ak sa to považuje za nevyhnutné.</w:t>
      </w:r>
    </w:p>
    <w:p w:rsidR="002F32CD" w:rsidRPr="00EB6778" w:rsidRDefault="002F32CD" w:rsidP="00592542">
      <w:pPr>
        <w:ind w:left="0" w:firstLine="0"/>
        <w:rPr>
          <w:bCs/>
          <w:noProof/>
          <w:szCs w:val="22"/>
        </w:rPr>
      </w:pPr>
    </w:p>
    <w:p w:rsidR="00E1698A" w:rsidRPr="0093686A" w:rsidRDefault="00F31F48" w:rsidP="00592542">
      <w:pPr>
        <w:rPr>
          <w:caps/>
          <w:noProof/>
          <w:szCs w:val="22"/>
          <w:u w:val="single"/>
        </w:rPr>
      </w:pPr>
      <w:r w:rsidRPr="0093686A">
        <w:rPr>
          <w:noProof/>
          <w:szCs w:val="22"/>
          <w:u w:val="single"/>
        </w:rPr>
        <w:t>Dojčenie</w:t>
      </w:r>
    </w:p>
    <w:p w:rsidR="001C2D08" w:rsidRDefault="001C2D08" w:rsidP="00592542">
      <w:pPr>
        <w:pStyle w:val="Nadpis5"/>
        <w:jc w:val="left"/>
        <w:rPr>
          <w:bCs/>
          <w:szCs w:val="22"/>
          <w:lang w:val="sk-SK"/>
        </w:rPr>
      </w:pPr>
      <w:r w:rsidRPr="00622DCF">
        <w:rPr>
          <w:bCs/>
          <w:szCs w:val="22"/>
          <w:lang w:val="sk-SK"/>
        </w:rPr>
        <w:t xml:space="preserve">Ranitidín sa vylučuje do materského mlieka u ľudí. Tak ako iné liečivá, </w:t>
      </w:r>
      <w:r w:rsidR="00E3172B">
        <w:rPr>
          <w:bCs/>
          <w:szCs w:val="22"/>
          <w:lang w:val="sk-SK"/>
        </w:rPr>
        <w:t xml:space="preserve">aj </w:t>
      </w:r>
      <w:r w:rsidRPr="00622DCF">
        <w:rPr>
          <w:bCs/>
          <w:szCs w:val="22"/>
          <w:lang w:val="sk-SK"/>
        </w:rPr>
        <w:t xml:space="preserve">ranitidín sa môže používať počas </w:t>
      </w:r>
      <w:r w:rsidR="00622DCF">
        <w:rPr>
          <w:bCs/>
          <w:szCs w:val="22"/>
          <w:lang w:val="sk-SK"/>
        </w:rPr>
        <w:t>dojčenia</w:t>
      </w:r>
      <w:r w:rsidRPr="00622DCF">
        <w:rPr>
          <w:bCs/>
          <w:szCs w:val="22"/>
          <w:lang w:val="sk-SK"/>
        </w:rPr>
        <w:t>, len ak sa to považuje za nevyhnutné.</w:t>
      </w:r>
    </w:p>
    <w:p w:rsidR="00561C87" w:rsidRDefault="00561C87" w:rsidP="0093686A"/>
    <w:p w:rsidR="00561C87" w:rsidRPr="0093686A" w:rsidRDefault="00561C87" w:rsidP="00561C87">
      <w:pPr>
        <w:rPr>
          <w:noProof/>
          <w:szCs w:val="22"/>
          <w:u w:val="single"/>
        </w:rPr>
      </w:pPr>
      <w:r w:rsidRPr="0093686A">
        <w:rPr>
          <w:noProof/>
          <w:szCs w:val="22"/>
          <w:u w:val="single"/>
        </w:rPr>
        <w:t>Fertilita</w:t>
      </w:r>
    </w:p>
    <w:p w:rsidR="00561C87" w:rsidRPr="003F79A1" w:rsidRDefault="00561C87" w:rsidP="0093686A">
      <w:pPr>
        <w:ind w:left="0" w:firstLine="0"/>
      </w:pPr>
      <w:r>
        <w:rPr>
          <w:szCs w:val="22"/>
          <w:lang w:eastAsia="en-GB"/>
        </w:rPr>
        <w:t xml:space="preserve">Nie sú k dispozícii údaje o účinkoch </w:t>
      </w:r>
      <w:proofErr w:type="spellStart"/>
      <w:r>
        <w:rPr>
          <w:szCs w:val="22"/>
          <w:lang w:eastAsia="en-GB"/>
        </w:rPr>
        <w:t>ranitidínu</w:t>
      </w:r>
      <w:proofErr w:type="spellEnd"/>
      <w:r>
        <w:rPr>
          <w:szCs w:val="22"/>
          <w:lang w:eastAsia="en-GB"/>
        </w:rPr>
        <w:t xml:space="preserve"> na ľudskú </w:t>
      </w:r>
      <w:proofErr w:type="spellStart"/>
      <w:r>
        <w:rPr>
          <w:szCs w:val="22"/>
          <w:lang w:eastAsia="en-GB"/>
        </w:rPr>
        <w:t>fertilitu</w:t>
      </w:r>
      <w:proofErr w:type="spellEnd"/>
      <w:r>
        <w:rPr>
          <w:szCs w:val="22"/>
          <w:lang w:eastAsia="en-GB"/>
        </w:rPr>
        <w:t xml:space="preserve">. Pri štúdiách na zvieratách neboli pozorované žiadne účinky na </w:t>
      </w:r>
      <w:r w:rsidR="00E3172B">
        <w:rPr>
          <w:szCs w:val="22"/>
          <w:lang w:eastAsia="en-GB"/>
        </w:rPr>
        <w:t>samčiu</w:t>
      </w:r>
      <w:r>
        <w:rPr>
          <w:szCs w:val="22"/>
          <w:lang w:eastAsia="en-GB"/>
        </w:rPr>
        <w:t xml:space="preserve"> a </w:t>
      </w:r>
      <w:r w:rsidR="00E3172B">
        <w:rPr>
          <w:szCs w:val="22"/>
          <w:lang w:eastAsia="en-GB"/>
        </w:rPr>
        <w:t>samičiu</w:t>
      </w:r>
      <w:r>
        <w:rPr>
          <w:szCs w:val="22"/>
          <w:lang w:eastAsia="en-GB"/>
        </w:rPr>
        <w:t xml:space="preserve"> </w:t>
      </w:r>
      <w:proofErr w:type="spellStart"/>
      <w:r>
        <w:rPr>
          <w:szCs w:val="22"/>
          <w:lang w:eastAsia="en-GB"/>
        </w:rPr>
        <w:t>fertilitu</w:t>
      </w:r>
      <w:proofErr w:type="spellEnd"/>
      <w:r>
        <w:rPr>
          <w:szCs w:val="22"/>
          <w:lang w:eastAsia="en-GB"/>
        </w:rPr>
        <w:t xml:space="preserve"> (pozri časť 5.3).</w:t>
      </w:r>
    </w:p>
    <w:p w:rsidR="001C2D08" w:rsidRPr="00EB6778" w:rsidRDefault="001C2D08" w:rsidP="00592542">
      <w:pPr>
        <w:rPr>
          <w:caps/>
          <w:noProof/>
          <w:szCs w:val="22"/>
        </w:rPr>
      </w:pPr>
    </w:p>
    <w:p w:rsidR="00780926" w:rsidRPr="00F368ED" w:rsidRDefault="00780926" w:rsidP="00592542">
      <w:pPr>
        <w:rPr>
          <w:noProof/>
          <w:szCs w:val="22"/>
        </w:rPr>
      </w:pPr>
      <w:r w:rsidRPr="00EB6778">
        <w:rPr>
          <w:b/>
          <w:noProof/>
          <w:szCs w:val="22"/>
        </w:rPr>
        <w:t>4.7</w:t>
      </w:r>
      <w:r w:rsidRPr="00EB6778">
        <w:rPr>
          <w:b/>
          <w:noProof/>
          <w:szCs w:val="22"/>
        </w:rPr>
        <w:tab/>
        <w:t>Ovplyvnenie schopnosti viesť vozidlá a obsluhovať stroje</w:t>
      </w:r>
    </w:p>
    <w:p w:rsidR="00780926" w:rsidRPr="00B345B8" w:rsidRDefault="00780926" w:rsidP="00592542">
      <w:pPr>
        <w:rPr>
          <w:noProof/>
          <w:szCs w:val="22"/>
        </w:rPr>
      </w:pPr>
    </w:p>
    <w:p w:rsidR="00CE7CBF" w:rsidRDefault="00561C87" w:rsidP="00592542">
      <w:pPr>
        <w:rPr>
          <w:noProof/>
          <w:szCs w:val="22"/>
        </w:rPr>
      </w:pPr>
      <w:r>
        <w:rPr>
          <w:noProof/>
          <w:szCs w:val="22"/>
        </w:rPr>
        <w:t>Nebolo hlásené.</w:t>
      </w:r>
    </w:p>
    <w:p w:rsidR="00780926" w:rsidRPr="00B345B8" w:rsidRDefault="00780926" w:rsidP="00592542">
      <w:pPr>
        <w:rPr>
          <w:noProof/>
          <w:szCs w:val="22"/>
        </w:rPr>
      </w:pPr>
    </w:p>
    <w:p w:rsidR="00780926" w:rsidRPr="00D1071A" w:rsidRDefault="00780926" w:rsidP="00592542">
      <w:pPr>
        <w:rPr>
          <w:b/>
          <w:noProof/>
          <w:szCs w:val="22"/>
        </w:rPr>
      </w:pPr>
      <w:r w:rsidRPr="00D1071A">
        <w:rPr>
          <w:b/>
          <w:noProof/>
          <w:szCs w:val="22"/>
        </w:rPr>
        <w:t>4.8</w:t>
      </w:r>
      <w:r w:rsidRPr="00D1071A">
        <w:rPr>
          <w:b/>
          <w:noProof/>
          <w:szCs w:val="22"/>
        </w:rPr>
        <w:tab/>
        <w:t>Nežiaduce účinky</w:t>
      </w:r>
    </w:p>
    <w:p w:rsidR="00780926" w:rsidRPr="009348B5" w:rsidRDefault="00780926" w:rsidP="00592542">
      <w:pPr>
        <w:rPr>
          <w:i/>
          <w:noProof/>
          <w:szCs w:val="22"/>
        </w:rPr>
      </w:pPr>
    </w:p>
    <w:p w:rsidR="00561C87" w:rsidRDefault="00CE7CBF" w:rsidP="00561C87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Nežiaduce účinky boli </w:t>
      </w:r>
      <w:r w:rsidR="00561C87">
        <w:rPr>
          <w:noProof/>
          <w:szCs w:val="22"/>
        </w:rPr>
        <w:t>kla</w:t>
      </w:r>
      <w:r>
        <w:rPr>
          <w:noProof/>
          <w:szCs w:val="22"/>
        </w:rPr>
        <w:t>s</w:t>
      </w:r>
      <w:r w:rsidR="00561C87">
        <w:rPr>
          <w:noProof/>
          <w:szCs w:val="22"/>
        </w:rPr>
        <w:t>ifik</w:t>
      </w:r>
      <w:r>
        <w:rPr>
          <w:noProof/>
          <w:szCs w:val="22"/>
        </w:rPr>
        <w:t>ované podľa</w:t>
      </w:r>
      <w:r w:rsidR="00561C87">
        <w:rPr>
          <w:noProof/>
          <w:szCs w:val="22"/>
        </w:rPr>
        <w:t xml:space="preserve"> nasledujúc</w:t>
      </w:r>
      <w:r>
        <w:rPr>
          <w:noProof/>
          <w:szCs w:val="22"/>
        </w:rPr>
        <w:t>ej</w:t>
      </w:r>
      <w:r w:rsidR="00561C87">
        <w:rPr>
          <w:noProof/>
          <w:szCs w:val="22"/>
        </w:rPr>
        <w:t xml:space="preserve"> </w:t>
      </w:r>
      <w:r>
        <w:rPr>
          <w:noProof/>
          <w:szCs w:val="22"/>
        </w:rPr>
        <w:t>konvencie</w:t>
      </w:r>
      <w:r w:rsidR="00561C87">
        <w:rPr>
          <w:noProof/>
          <w:szCs w:val="22"/>
        </w:rPr>
        <w:t>: v</w:t>
      </w:r>
      <w:r w:rsidR="00561C87" w:rsidRPr="00D05277">
        <w:rPr>
          <w:noProof/>
          <w:szCs w:val="22"/>
        </w:rPr>
        <w:t xml:space="preserve">eľmi časté (≥1/10), časté (≥1/100 až </w:t>
      </w:r>
      <w:r w:rsidR="00561C87" w:rsidRPr="00D05277">
        <w:rPr>
          <w:noProof/>
          <w:szCs w:val="22"/>
        </w:rPr>
        <w:sym w:font="Symbol" w:char="F03C"/>
      </w:r>
      <w:r w:rsidR="00561C87" w:rsidRPr="00D05277">
        <w:rPr>
          <w:noProof/>
          <w:szCs w:val="22"/>
        </w:rPr>
        <w:t xml:space="preserve">1/10), menej časté (≥1/1 000 až </w:t>
      </w:r>
      <w:r w:rsidR="00561C87" w:rsidRPr="00D05277">
        <w:rPr>
          <w:noProof/>
          <w:szCs w:val="22"/>
        </w:rPr>
        <w:sym w:font="Symbol" w:char="F03C"/>
      </w:r>
      <w:r w:rsidR="00561C87" w:rsidRPr="00D05277">
        <w:rPr>
          <w:noProof/>
          <w:szCs w:val="22"/>
        </w:rPr>
        <w:t xml:space="preserve">1/100), zriedkavé (≥1/10 000 až </w:t>
      </w:r>
      <w:r w:rsidR="00561C87" w:rsidRPr="00D05277">
        <w:rPr>
          <w:noProof/>
          <w:szCs w:val="22"/>
        </w:rPr>
        <w:sym w:font="Symbol" w:char="F03C"/>
      </w:r>
      <w:r w:rsidR="00561C87" w:rsidRPr="00D05277">
        <w:rPr>
          <w:noProof/>
          <w:szCs w:val="22"/>
        </w:rPr>
        <w:t>1/1000), veľmi zriedkavé (</w:t>
      </w:r>
      <w:r w:rsidR="00561C87" w:rsidRPr="00D05277">
        <w:rPr>
          <w:noProof/>
          <w:szCs w:val="22"/>
        </w:rPr>
        <w:sym w:font="Symbol" w:char="F03C"/>
      </w:r>
      <w:r w:rsidR="00561C87" w:rsidRPr="00D05277">
        <w:rPr>
          <w:noProof/>
          <w:szCs w:val="22"/>
        </w:rPr>
        <w:t>1/10 000)</w:t>
      </w:r>
      <w:r w:rsidR="00561C87">
        <w:rPr>
          <w:noProof/>
          <w:szCs w:val="22"/>
        </w:rPr>
        <w:t>.</w:t>
      </w:r>
    </w:p>
    <w:p w:rsidR="00561C87" w:rsidRDefault="00561C87" w:rsidP="00561C87">
      <w:pPr>
        <w:rPr>
          <w:noProof/>
          <w:szCs w:val="22"/>
        </w:rPr>
      </w:pPr>
      <w:r>
        <w:rPr>
          <w:noProof/>
          <w:szCs w:val="22"/>
        </w:rPr>
        <w:t xml:space="preserve">Frekvencia nežiaducich udalostí </w:t>
      </w:r>
      <w:r w:rsidR="00CE7CBF">
        <w:rPr>
          <w:noProof/>
          <w:szCs w:val="22"/>
        </w:rPr>
        <w:t>bola</w:t>
      </w:r>
      <w:r>
        <w:rPr>
          <w:noProof/>
          <w:szCs w:val="22"/>
        </w:rPr>
        <w:t xml:space="preserve"> odhad</w:t>
      </w:r>
      <w:r w:rsidR="00CE7CBF">
        <w:rPr>
          <w:noProof/>
          <w:szCs w:val="22"/>
        </w:rPr>
        <w:t>ovaná</w:t>
      </w:r>
      <w:r>
        <w:rPr>
          <w:noProof/>
          <w:szCs w:val="22"/>
        </w:rPr>
        <w:t xml:space="preserve"> zo spontánnych hlásení po uvedení lieku na trh.</w:t>
      </w:r>
    </w:p>
    <w:p w:rsidR="007B4A9B" w:rsidRDefault="007B4A9B" w:rsidP="00592542">
      <w:pPr>
        <w:rPr>
          <w:noProof/>
          <w:szCs w:val="22"/>
        </w:rPr>
      </w:pPr>
    </w:p>
    <w:p w:rsidR="00F31F48" w:rsidRPr="00723A3E" w:rsidRDefault="00F31F48" w:rsidP="00F31F48">
      <w:pPr>
        <w:rPr>
          <w:b/>
          <w:noProof/>
          <w:szCs w:val="22"/>
        </w:rPr>
      </w:pPr>
      <w:r w:rsidRPr="00723A3E">
        <w:rPr>
          <w:b/>
          <w:noProof/>
          <w:szCs w:val="22"/>
        </w:rPr>
        <w:t>Poruchy krvi a lymfatického systému</w:t>
      </w:r>
    </w:p>
    <w:p w:rsidR="00F31F48" w:rsidRPr="00723A3E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 xml:space="preserve">: </w:t>
      </w:r>
      <w:r>
        <w:rPr>
          <w:noProof/>
          <w:szCs w:val="22"/>
        </w:rPr>
        <w:t>zmeny počtu krviniek</w:t>
      </w:r>
      <w:r w:rsidRPr="0028779D">
        <w:rPr>
          <w:noProof/>
          <w:szCs w:val="22"/>
        </w:rPr>
        <w:t xml:space="preserve"> (leukopénia</w:t>
      </w:r>
      <w:r>
        <w:rPr>
          <w:noProof/>
          <w:szCs w:val="22"/>
        </w:rPr>
        <w:t xml:space="preserve">, </w:t>
      </w:r>
      <w:r w:rsidRPr="0028779D">
        <w:rPr>
          <w:noProof/>
          <w:szCs w:val="22"/>
        </w:rPr>
        <w:t>trombocytopénia). Tieto zmeny sú zvyčajne vratné.</w:t>
      </w:r>
      <w:r>
        <w:rPr>
          <w:noProof/>
          <w:szCs w:val="22"/>
        </w:rPr>
        <w:t xml:space="preserve"> A</w:t>
      </w:r>
      <w:r w:rsidRPr="0028779D">
        <w:rPr>
          <w:noProof/>
          <w:szCs w:val="22"/>
        </w:rPr>
        <w:t>granulocytóza</w:t>
      </w:r>
      <w:r>
        <w:t xml:space="preserve"> alebo </w:t>
      </w:r>
      <w:proofErr w:type="spellStart"/>
      <w:r>
        <w:t>pancytopénia</w:t>
      </w:r>
      <w:proofErr w:type="spellEnd"/>
      <w:r>
        <w:t>, niekedy s</w:t>
      </w:r>
      <w:r w:rsidRPr="0028779D">
        <w:t xml:space="preserve"> </w:t>
      </w:r>
      <w:proofErr w:type="spellStart"/>
      <w:r>
        <w:t>apláziou</w:t>
      </w:r>
      <w:proofErr w:type="spellEnd"/>
      <w:r>
        <w:t>/</w:t>
      </w:r>
      <w:proofErr w:type="spellStart"/>
      <w:r>
        <w:t>hypopláziou</w:t>
      </w:r>
      <w:proofErr w:type="spellEnd"/>
      <w:r>
        <w:t xml:space="preserve"> kostnej drene</w:t>
      </w:r>
      <w:r w:rsidRPr="0028779D">
        <w:t>.</w:t>
      </w:r>
    </w:p>
    <w:p w:rsidR="00F31F48" w:rsidRDefault="00F31F48" w:rsidP="00F31F48">
      <w:pPr>
        <w:ind w:left="0" w:firstLine="0"/>
        <w:rPr>
          <w:noProof/>
          <w:szCs w:val="22"/>
        </w:rPr>
      </w:pPr>
    </w:p>
    <w:p w:rsidR="00F31F48" w:rsidRPr="00C70D79" w:rsidRDefault="00F31F48" w:rsidP="0093686A">
      <w:pPr>
        <w:keepNext/>
        <w:rPr>
          <w:b/>
          <w:noProof/>
          <w:szCs w:val="22"/>
        </w:rPr>
      </w:pPr>
      <w:r w:rsidRPr="00C70D79">
        <w:rPr>
          <w:b/>
          <w:noProof/>
          <w:szCs w:val="22"/>
        </w:rPr>
        <w:lastRenderedPageBreak/>
        <w:t>Poruchy imunitného systému</w:t>
      </w:r>
    </w:p>
    <w:p w:rsidR="00F31F48" w:rsidRPr="0028779D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Zriedkavé</w:t>
      </w:r>
      <w:r w:rsidRPr="0028779D">
        <w:rPr>
          <w:noProof/>
          <w:szCs w:val="22"/>
        </w:rPr>
        <w:t xml:space="preserve">: hypersenzitívne reakcie (žihľavka, </w:t>
      </w:r>
      <w:r>
        <w:rPr>
          <w:noProof/>
          <w:szCs w:val="22"/>
        </w:rPr>
        <w:t xml:space="preserve">angioneurotický edém, </w:t>
      </w:r>
      <w:r w:rsidRPr="0028779D">
        <w:rPr>
          <w:noProof/>
          <w:szCs w:val="22"/>
        </w:rPr>
        <w:t xml:space="preserve">horúčka, </w:t>
      </w:r>
      <w:r>
        <w:rPr>
          <w:noProof/>
          <w:szCs w:val="22"/>
        </w:rPr>
        <w:t xml:space="preserve">bronchospasmus, </w:t>
      </w:r>
      <w:r w:rsidRPr="0028779D">
        <w:rPr>
          <w:noProof/>
          <w:szCs w:val="22"/>
        </w:rPr>
        <w:t>pokles krvného tlaku, bolesť na hrudi</w:t>
      </w:r>
      <w:r>
        <w:rPr>
          <w:noProof/>
          <w:szCs w:val="22"/>
        </w:rPr>
        <w:t>)</w:t>
      </w:r>
      <w:r w:rsidRPr="0028779D">
        <w:rPr>
          <w:noProof/>
          <w:szCs w:val="22"/>
        </w:rPr>
        <w:t>.</w:t>
      </w:r>
    </w:p>
    <w:p w:rsidR="00F31F48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98794A">
        <w:rPr>
          <w:noProof/>
          <w:szCs w:val="22"/>
        </w:rPr>
        <w:t>:</w:t>
      </w:r>
      <w:r w:rsidRPr="0028779D">
        <w:rPr>
          <w:noProof/>
          <w:szCs w:val="22"/>
        </w:rPr>
        <w:t xml:space="preserve"> anafylaktický šok</w:t>
      </w:r>
    </w:p>
    <w:p w:rsidR="00F31F48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Neznáme</w:t>
      </w:r>
      <w:r>
        <w:rPr>
          <w:noProof/>
          <w:szCs w:val="22"/>
        </w:rPr>
        <w:t>: dyspnoe</w:t>
      </w:r>
    </w:p>
    <w:p w:rsidR="00F31F48" w:rsidRDefault="00F31F48" w:rsidP="00F31F48">
      <w:pPr>
        <w:ind w:left="0" w:firstLine="0"/>
        <w:rPr>
          <w:noProof/>
          <w:szCs w:val="22"/>
        </w:rPr>
      </w:pPr>
      <w:r w:rsidRPr="00C70D79">
        <w:rPr>
          <w:noProof/>
          <w:szCs w:val="22"/>
        </w:rPr>
        <w:t xml:space="preserve">Tieto reakcie </w:t>
      </w:r>
      <w:r>
        <w:rPr>
          <w:noProof/>
          <w:szCs w:val="22"/>
        </w:rPr>
        <w:t>boli hlásené</w:t>
      </w:r>
      <w:r w:rsidRPr="00C70D79">
        <w:rPr>
          <w:noProof/>
          <w:szCs w:val="22"/>
        </w:rPr>
        <w:t xml:space="preserve"> po podaní jednorazovej dávky.</w:t>
      </w:r>
    </w:p>
    <w:p w:rsidR="00F31F48" w:rsidRDefault="00F31F48" w:rsidP="00F31F48">
      <w:pPr>
        <w:ind w:left="0" w:firstLine="0"/>
        <w:rPr>
          <w:noProof/>
          <w:szCs w:val="22"/>
        </w:rPr>
      </w:pPr>
    </w:p>
    <w:p w:rsidR="00F31F48" w:rsidRPr="00F92B84" w:rsidRDefault="00F31F48" w:rsidP="00F31F48">
      <w:pPr>
        <w:rPr>
          <w:b/>
          <w:noProof/>
          <w:szCs w:val="22"/>
        </w:rPr>
      </w:pPr>
      <w:r w:rsidRPr="00F92B84">
        <w:rPr>
          <w:b/>
          <w:noProof/>
          <w:szCs w:val="22"/>
        </w:rPr>
        <w:t>Psychické poruchy</w:t>
      </w:r>
    </w:p>
    <w:p w:rsidR="00F31F48" w:rsidRDefault="00F31F48" w:rsidP="00F31F48">
      <w:pPr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i/>
          <w:noProof/>
          <w:szCs w:val="22"/>
        </w:rPr>
        <w:t>:</w:t>
      </w:r>
      <w:r w:rsidRPr="0028779D">
        <w:rPr>
          <w:noProof/>
          <w:szCs w:val="22"/>
        </w:rPr>
        <w:t xml:space="preserve"> reverzibilné stavy zmätenosti</w:t>
      </w:r>
      <w:r>
        <w:rPr>
          <w:noProof/>
          <w:szCs w:val="22"/>
        </w:rPr>
        <w:t>, depresia a</w:t>
      </w:r>
      <w:r w:rsidRPr="0028779D">
        <w:rPr>
          <w:noProof/>
          <w:szCs w:val="22"/>
        </w:rPr>
        <w:t xml:space="preserve"> halucinácie. </w:t>
      </w:r>
      <w:r>
        <w:rPr>
          <w:noProof/>
          <w:szCs w:val="22"/>
        </w:rPr>
        <w:t xml:space="preserve">Tieto boli hlásené predovšetkým u ťažko chorých, </w:t>
      </w:r>
      <w:r w:rsidRPr="0028779D">
        <w:rPr>
          <w:noProof/>
          <w:szCs w:val="22"/>
        </w:rPr>
        <w:t>starších pacientov</w:t>
      </w:r>
      <w:r>
        <w:rPr>
          <w:noProof/>
          <w:szCs w:val="22"/>
        </w:rPr>
        <w:t xml:space="preserve"> a pacientov s nefropatiou.</w:t>
      </w:r>
    </w:p>
    <w:p w:rsidR="00F31F48" w:rsidRDefault="00F31F48" w:rsidP="00F31F48">
      <w:pPr>
        <w:rPr>
          <w:noProof/>
          <w:szCs w:val="22"/>
        </w:rPr>
      </w:pPr>
    </w:p>
    <w:p w:rsidR="00F31F48" w:rsidRPr="0082018C" w:rsidRDefault="00F31F48" w:rsidP="00F31F48">
      <w:pPr>
        <w:rPr>
          <w:b/>
          <w:noProof/>
          <w:szCs w:val="22"/>
        </w:rPr>
      </w:pPr>
      <w:r w:rsidRPr="0082018C">
        <w:rPr>
          <w:b/>
          <w:noProof/>
          <w:szCs w:val="22"/>
        </w:rPr>
        <w:t>Poruchy nervového systému</w:t>
      </w:r>
    </w:p>
    <w:p w:rsidR="00F31F48" w:rsidRPr="0028779D" w:rsidRDefault="00F31F48" w:rsidP="0093686A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>: bolesť hlavy</w:t>
      </w:r>
      <w:r>
        <w:rPr>
          <w:noProof/>
          <w:szCs w:val="22"/>
        </w:rPr>
        <w:t xml:space="preserve"> (niekedy silná), závrate</w:t>
      </w:r>
      <w:r w:rsidRPr="0028779D">
        <w:rPr>
          <w:noProof/>
          <w:szCs w:val="22"/>
        </w:rPr>
        <w:t xml:space="preserve"> a reverzibilné poruchy </w:t>
      </w:r>
      <w:r w:rsidR="002F524B">
        <w:rPr>
          <w:noProof/>
          <w:szCs w:val="22"/>
        </w:rPr>
        <w:t xml:space="preserve">prejavujúce sa </w:t>
      </w:r>
      <w:r w:rsidRPr="0028779D">
        <w:rPr>
          <w:noProof/>
          <w:szCs w:val="22"/>
        </w:rPr>
        <w:t>mimovoľný</w:t>
      </w:r>
      <w:r w:rsidR="002F524B">
        <w:rPr>
          <w:noProof/>
          <w:szCs w:val="22"/>
        </w:rPr>
        <w:t>mi</w:t>
      </w:r>
      <w:r w:rsidRPr="0028779D">
        <w:rPr>
          <w:noProof/>
          <w:szCs w:val="22"/>
        </w:rPr>
        <w:t xml:space="preserve"> pohyb</w:t>
      </w:r>
      <w:r w:rsidR="002F524B">
        <w:rPr>
          <w:noProof/>
          <w:szCs w:val="22"/>
        </w:rPr>
        <w:t>mi</w:t>
      </w:r>
      <w:r w:rsidRPr="0028779D">
        <w:rPr>
          <w:noProof/>
          <w:szCs w:val="22"/>
        </w:rPr>
        <w:t>.</w:t>
      </w:r>
    </w:p>
    <w:p w:rsidR="00F31F48" w:rsidRDefault="00F31F48" w:rsidP="00F31F48">
      <w:pPr>
        <w:rPr>
          <w:noProof/>
          <w:szCs w:val="22"/>
        </w:rPr>
      </w:pPr>
    </w:p>
    <w:p w:rsidR="00F31F48" w:rsidRPr="009C58A5" w:rsidRDefault="00F31F48" w:rsidP="00F31F48">
      <w:pPr>
        <w:rPr>
          <w:b/>
          <w:noProof/>
          <w:szCs w:val="22"/>
        </w:rPr>
      </w:pPr>
      <w:r w:rsidRPr="009C58A5">
        <w:rPr>
          <w:b/>
          <w:noProof/>
          <w:szCs w:val="22"/>
        </w:rPr>
        <w:t>Poruchy oka</w:t>
      </w:r>
    </w:p>
    <w:p w:rsidR="00F31F48" w:rsidRDefault="00F31F48" w:rsidP="00F31F48">
      <w:pPr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 xml:space="preserve">: </w:t>
      </w:r>
      <w:r>
        <w:rPr>
          <w:noProof/>
          <w:szCs w:val="22"/>
        </w:rPr>
        <w:t xml:space="preserve">reverzibilné </w:t>
      </w:r>
      <w:r w:rsidRPr="0028779D">
        <w:rPr>
          <w:noProof/>
          <w:szCs w:val="22"/>
        </w:rPr>
        <w:t>rozmazané videnie</w:t>
      </w:r>
    </w:p>
    <w:p w:rsidR="00F31F48" w:rsidRDefault="00F31F48" w:rsidP="00F31F48">
      <w:pPr>
        <w:rPr>
          <w:noProof/>
          <w:szCs w:val="22"/>
        </w:rPr>
      </w:pPr>
      <w:r>
        <w:rPr>
          <w:noProof/>
          <w:szCs w:val="22"/>
        </w:rPr>
        <w:t>Bolo hlásené rozmazané videnie, čo poukazuje na zmenu zrakovej akomodácie</w:t>
      </w:r>
      <w:r w:rsidRPr="0028779D">
        <w:rPr>
          <w:noProof/>
          <w:szCs w:val="22"/>
        </w:rPr>
        <w:t>.</w:t>
      </w:r>
    </w:p>
    <w:p w:rsidR="00F31F48" w:rsidRDefault="00F31F48" w:rsidP="00F31F48">
      <w:pPr>
        <w:rPr>
          <w:noProof/>
          <w:szCs w:val="22"/>
        </w:rPr>
      </w:pPr>
    </w:p>
    <w:p w:rsidR="00F31F48" w:rsidRPr="00DD5D3F" w:rsidRDefault="00F31F48" w:rsidP="00F31F48">
      <w:pPr>
        <w:rPr>
          <w:b/>
          <w:noProof/>
          <w:szCs w:val="22"/>
        </w:rPr>
      </w:pPr>
      <w:r w:rsidRPr="00DD5D3F">
        <w:rPr>
          <w:b/>
          <w:noProof/>
          <w:szCs w:val="22"/>
        </w:rPr>
        <w:t xml:space="preserve">Poruchy srdca </w:t>
      </w:r>
      <w:r w:rsidR="002F524B">
        <w:rPr>
          <w:b/>
          <w:noProof/>
          <w:szCs w:val="22"/>
        </w:rPr>
        <w:t>a srdcovej činnosti</w:t>
      </w:r>
    </w:p>
    <w:p w:rsidR="00F31F48" w:rsidRDefault="00F31F48" w:rsidP="00F31F48">
      <w:pPr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8F1D6A">
        <w:rPr>
          <w:noProof/>
          <w:szCs w:val="22"/>
        </w:rPr>
        <w:t>:</w:t>
      </w:r>
      <w:r>
        <w:rPr>
          <w:noProof/>
          <w:szCs w:val="22"/>
        </w:rPr>
        <w:t xml:space="preserve"> tak ako u iných </w:t>
      </w:r>
      <w:r w:rsidRPr="001C4F30">
        <w:rPr>
          <w:noProof/>
          <w:szCs w:val="22"/>
        </w:rPr>
        <w:t>antagonist</w:t>
      </w:r>
      <w:r>
        <w:rPr>
          <w:noProof/>
          <w:szCs w:val="22"/>
        </w:rPr>
        <w:t>ov</w:t>
      </w:r>
      <w:r w:rsidRPr="001C4F30">
        <w:rPr>
          <w:noProof/>
          <w:szCs w:val="22"/>
        </w:rPr>
        <w:t xml:space="preserve"> H2-receptorov</w:t>
      </w:r>
      <w:r>
        <w:rPr>
          <w:noProof/>
          <w:szCs w:val="22"/>
        </w:rPr>
        <w:t xml:space="preserve"> bradykardia, </w:t>
      </w:r>
      <w:r w:rsidRPr="0028779D">
        <w:t>AV blok</w:t>
      </w:r>
      <w:r>
        <w:t xml:space="preserve"> a </w:t>
      </w:r>
      <w:proofErr w:type="spellStart"/>
      <w:r>
        <w:t>tachykardia</w:t>
      </w:r>
      <w:proofErr w:type="spellEnd"/>
      <w:r>
        <w:t xml:space="preserve"> (všetky formulácie)</w:t>
      </w:r>
    </w:p>
    <w:p w:rsidR="00F31F48" w:rsidRDefault="00F31F48" w:rsidP="00F31F48">
      <w:pPr>
        <w:rPr>
          <w:noProof/>
          <w:szCs w:val="22"/>
        </w:rPr>
      </w:pPr>
    </w:p>
    <w:p w:rsidR="00F31F48" w:rsidRPr="00DD5D3F" w:rsidRDefault="00F31F48" w:rsidP="00F31F48">
      <w:pPr>
        <w:rPr>
          <w:b/>
          <w:noProof/>
          <w:szCs w:val="22"/>
        </w:rPr>
      </w:pPr>
      <w:r w:rsidRPr="00DD5D3F">
        <w:rPr>
          <w:b/>
          <w:noProof/>
          <w:szCs w:val="22"/>
        </w:rPr>
        <w:t>Poruchy ciev</w:t>
      </w:r>
    </w:p>
    <w:p w:rsidR="00F31F48" w:rsidRPr="0028779D" w:rsidRDefault="00F31F48" w:rsidP="00F31F48">
      <w:pPr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85498D">
        <w:rPr>
          <w:noProof/>
          <w:szCs w:val="22"/>
        </w:rPr>
        <w:t>:</w:t>
      </w:r>
      <w:r w:rsidRPr="0028779D">
        <w:rPr>
          <w:noProof/>
          <w:szCs w:val="22"/>
        </w:rPr>
        <w:t xml:space="preserve"> vaskulitída</w:t>
      </w:r>
    </w:p>
    <w:p w:rsidR="00F31F48" w:rsidRPr="0028779D" w:rsidRDefault="00F31F48" w:rsidP="00F31F48">
      <w:pPr>
        <w:rPr>
          <w:noProof/>
          <w:szCs w:val="22"/>
        </w:rPr>
      </w:pPr>
    </w:p>
    <w:p w:rsidR="00F31F48" w:rsidRPr="00AB663E" w:rsidRDefault="00F31F48" w:rsidP="00F31F48">
      <w:pPr>
        <w:rPr>
          <w:b/>
          <w:noProof/>
          <w:szCs w:val="22"/>
        </w:rPr>
      </w:pPr>
      <w:r w:rsidRPr="00AB663E">
        <w:rPr>
          <w:b/>
          <w:noProof/>
          <w:szCs w:val="22"/>
        </w:rPr>
        <w:t>Poruchy gastrointestinálneho traktu</w:t>
      </w:r>
    </w:p>
    <w:p w:rsidR="00F31F48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Menej časté</w:t>
      </w:r>
      <w:r w:rsidRPr="0028779D">
        <w:rPr>
          <w:noProof/>
          <w:szCs w:val="22"/>
        </w:rPr>
        <w:t>: bolesť brucha</w:t>
      </w:r>
      <w:r>
        <w:rPr>
          <w:noProof/>
          <w:szCs w:val="22"/>
        </w:rPr>
        <w:t>, zápcha, nauzea (t</w:t>
      </w:r>
      <w:r w:rsidRPr="0028779D">
        <w:rPr>
          <w:noProof/>
          <w:szCs w:val="22"/>
        </w:rPr>
        <w:t>ieto príznaky vo väčšine prípadov ustúpia počas pokračujúcej liečby</w:t>
      </w:r>
      <w:r>
        <w:rPr>
          <w:noProof/>
          <w:szCs w:val="22"/>
        </w:rPr>
        <w:t>)</w:t>
      </w:r>
      <w:r w:rsidRPr="0028779D">
        <w:rPr>
          <w:noProof/>
          <w:szCs w:val="22"/>
        </w:rPr>
        <w:t>.</w:t>
      </w:r>
    </w:p>
    <w:p w:rsidR="00561C87" w:rsidRDefault="00561C87" w:rsidP="00561C87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 xml:space="preserve">: </w:t>
      </w:r>
      <w:r>
        <w:rPr>
          <w:noProof/>
          <w:szCs w:val="22"/>
        </w:rPr>
        <w:t>akútna pankreatitída, hnačka</w:t>
      </w:r>
    </w:p>
    <w:p w:rsidR="00F31F48" w:rsidRPr="0028779D" w:rsidRDefault="00F31F48" w:rsidP="00F31F48">
      <w:pPr>
        <w:ind w:left="0" w:firstLine="0"/>
        <w:rPr>
          <w:noProof/>
          <w:szCs w:val="22"/>
        </w:rPr>
      </w:pPr>
    </w:p>
    <w:p w:rsidR="00F31F48" w:rsidRPr="00FC3CBE" w:rsidRDefault="00F31F48" w:rsidP="00F31F48">
      <w:pPr>
        <w:ind w:left="0" w:firstLine="0"/>
        <w:rPr>
          <w:b/>
          <w:noProof/>
          <w:szCs w:val="22"/>
        </w:rPr>
      </w:pPr>
      <w:r w:rsidRPr="00FC3CBE">
        <w:rPr>
          <w:b/>
          <w:noProof/>
          <w:szCs w:val="22"/>
        </w:rPr>
        <w:t>Poruchy pečene a žlčových ciest</w:t>
      </w:r>
    </w:p>
    <w:p w:rsidR="00F31F48" w:rsidRPr="0028779D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Zriedkavé</w:t>
      </w:r>
      <w:r w:rsidRPr="00AC2AEC">
        <w:rPr>
          <w:noProof/>
          <w:szCs w:val="22"/>
        </w:rPr>
        <w:t>:</w:t>
      </w:r>
      <w:r w:rsidRPr="0028779D">
        <w:rPr>
          <w:noProof/>
          <w:szCs w:val="22"/>
        </w:rPr>
        <w:t xml:space="preserve"> vyskytli sa prechodné zmeny funkčných pečeňových testov.</w:t>
      </w:r>
    </w:p>
    <w:p w:rsidR="00F31F48" w:rsidRPr="0028779D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>: hepatitída (</w:t>
      </w:r>
      <w:r>
        <w:rPr>
          <w:noProof/>
          <w:szCs w:val="22"/>
        </w:rPr>
        <w:t>hepatocelulárna, hepatokanalikulárna alebo zmiešaná</w:t>
      </w:r>
      <w:r w:rsidRPr="0028779D">
        <w:rPr>
          <w:noProof/>
          <w:szCs w:val="22"/>
        </w:rPr>
        <w:t>) so žltačkou alebo bez nej</w:t>
      </w:r>
      <w:r>
        <w:rPr>
          <w:noProof/>
          <w:szCs w:val="22"/>
        </w:rPr>
        <w:t>.</w:t>
      </w:r>
      <w:r w:rsidRPr="0028779D">
        <w:rPr>
          <w:noProof/>
          <w:szCs w:val="22"/>
        </w:rPr>
        <w:t xml:space="preserve"> Vo väčšine prípadov boli tieto zmeny </w:t>
      </w:r>
      <w:r>
        <w:rPr>
          <w:noProof/>
          <w:szCs w:val="22"/>
        </w:rPr>
        <w:t>vratné</w:t>
      </w:r>
      <w:r w:rsidRPr="0028779D">
        <w:rPr>
          <w:noProof/>
          <w:szCs w:val="22"/>
        </w:rPr>
        <w:t xml:space="preserve"> po ukončení liečby.</w:t>
      </w:r>
    </w:p>
    <w:p w:rsidR="00F31F48" w:rsidRPr="0028779D" w:rsidRDefault="00F31F48" w:rsidP="00F31F48">
      <w:pPr>
        <w:rPr>
          <w:noProof/>
          <w:szCs w:val="22"/>
        </w:rPr>
      </w:pPr>
    </w:p>
    <w:p w:rsidR="00F31F48" w:rsidRPr="003B1F0A" w:rsidRDefault="00F31F48" w:rsidP="00F31F48">
      <w:pPr>
        <w:rPr>
          <w:b/>
          <w:noProof/>
          <w:szCs w:val="22"/>
        </w:rPr>
      </w:pPr>
      <w:r w:rsidRPr="003B1F0A">
        <w:rPr>
          <w:b/>
          <w:noProof/>
          <w:szCs w:val="22"/>
        </w:rPr>
        <w:t>Poruchy kože a podkožného tkaniva</w:t>
      </w:r>
    </w:p>
    <w:p w:rsidR="00F31F48" w:rsidRPr="0028779D" w:rsidRDefault="00F31F48" w:rsidP="00F31F48">
      <w:pPr>
        <w:rPr>
          <w:i/>
          <w:noProof/>
          <w:szCs w:val="22"/>
        </w:rPr>
      </w:pPr>
      <w:r w:rsidRPr="0093686A">
        <w:rPr>
          <w:i/>
          <w:noProof/>
          <w:szCs w:val="22"/>
        </w:rPr>
        <w:t>Zriedkavé</w:t>
      </w:r>
      <w:r w:rsidRPr="0028779D">
        <w:rPr>
          <w:noProof/>
          <w:szCs w:val="22"/>
        </w:rPr>
        <w:t>: kožná vyrážka</w:t>
      </w:r>
    </w:p>
    <w:p w:rsidR="00F31F48" w:rsidRPr="0028779D" w:rsidRDefault="00F31F48" w:rsidP="00F31F48">
      <w:pPr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>: multiformný erytém</w:t>
      </w:r>
      <w:r>
        <w:rPr>
          <w:noProof/>
          <w:szCs w:val="22"/>
        </w:rPr>
        <w:t>, alopécia</w:t>
      </w:r>
    </w:p>
    <w:p w:rsidR="00F31F48" w:rsidRPr="0028779D" w:rsidRDefault="00F31F48" w:rsidP="00F31F48">
      <w:pPr>
        <w:rPr>
          <w:noProof/>
          <w:szCs w:val="22"/>
        </w:rPr>
      </w:pPr>
    </w:p>
    <w:p w:rsidR="00F31F48" w:rsidRPr="00A748A8" w:rsidRDefault="00F31F48" w:rsidP="00F31F48">
      <w:pPr>
        <w:rPr>
          <w:b/>
          <w:noProof/>
          <w:szCs w:val="22"/>
        </w:rPr>
      </w:pPr>
      <w:r w:rsidRPr="00A748A8">
        <w:rPr>
          <w:b/>
          <w:noProof/>
          <w:szCs w:val="22"/>
        </w:rPr>
        <w:t>Poruchy kostrovej a svalovej sústavy a spojivového tkaniva</w:t>
      </w:r>
    </w:p>
    <w:p w:rsidR="00F31F48" w:rsidRPr="0028779D" w:rsidRDefault="00F31F48" w:rsidP="00F31F48">
      <w:pPr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A748A8">
        <w:rPr>
          <w:noProof/>
          <w:szCs w:val="22"/>
        </w:rPr>
        <w:t>:</w:t>
      </w:r>
      <w:r>
        <w:rPr>
          <w:noProof/>
          <w:szCs w:val="22"/>
        </w:rPr>
        <w:t xml:space="preserve"> </w:t>
      </w:r>
      <w:r w:rsidRPr="00A748A8">
        <w:rPr>
          <w:noProof/>
          <w:szCs w:val="22"/>
        </w:rPr>
        <w:t xml:space="preserve">muskuloskeletálne </w:t>
      </w:r>
      <w:r>
        <w:rPr>
          <w:noProof/>
          <w:szCs w:val="22"/>
        </w:rPr>
        <w:t>príznaky, ako je artralgia a myalgia</w:t>
      </w:r>
    </w:p>
    <w:p w:rsidR="00F31F48" w:rsidRPr="0028779D" w:rsidRDefault="00F31F48" w:rsidP="00F31F4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31F48" w:rsidRPr="00DA1A86" w:rsidRDefault="00F31F48" w:rsidP="00F31F48">
      <w:pPr>
        <w:rPr>
          <w:b/>
          <w:noProof/>
          <w:szCs w:val="22"/>
        </w:rPr>
      </w:pPr>
      <w:r w:rsidRPr="00DA1A86">
        <w:rPr>
          <w:b/>
          <w:noProof/>
          <w:szCs w:val="22"/>
        </w:rPr>
        <w:t>Poruchy obličiek a močových ciest</w:t>
      </w:r>
    </w:p>
    <w:p w:rsidR="00F31F48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Zriedkavé</w:t>
      </w:r>
      <w:r w:rsidRPr="0028779D">
        <w:rPr>
          <w:noProof/>
          <w:szCs w:val="22"/>
        </w:rPr>
        <w:t xml:space="preserve">: zvýšenie hladín kreatinínu </w:t>
      </w:r>
      <w:r>
        <w:rPr>
          <w:noProof/>
          <w:szCs w:val="22"/>
        </w:rPr>
        <w:t>v plazme (</w:t>
      </w:r>
      <w:r w:rsidRPr="0028779D">
        <w:rPr>
          <w:noProof/>
          <w:szCs w:val="22"/>
        </w:rPr>
        <w:t>vačšinou malé</w:t>
      </w:r>
      <w:r>
        <w:rPr>
          <w:noProof/>
          <w:szCs w:val="22"/>
        </w:rPr>
        <w:t>;</w:t>
      </w:r>
      <w:r w:rsidRPr="0028779D">
        <w:rPr>
          <w:noProof/>
          <w:szCs w:val="22"/>
        </w:rPr>
        <w:t xml:space="preserve"> </w:t>
      </w:r>
      <w:r>
        <w:rPr>
          <w:noProof/>
          <w:szCs w:val="22"/>
        </w:rPr>
        <w:t>v priebehu pokračujúcej liečby došlo k ustáleniu)</w:t>
      </w:r>
      <w:r w:rsidRPr="0028779D">
        <w:rPr>
          <w:noProof/>
          <w:szCs w:val="22"/>
        </w:rPr>
        <w:t>.</w:t>
      </w:r>
    </w:p>
    <w:p w:rsidR="00561C87" w:rsidRDefault="00561C87" w:rsidP="00561C87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28779D">
        <w:rPr>
          <w:noProof/>
          <w:szCs w:val="22"/>
        </w:rPr>
        <w:t>: akútna intersticiálna nefritída</w:t>
      </w:r>
    </w:p>
    <w:p w:rsidR="002F524B" w:rsidRDefault="002F524B" w:rsidP="00561C87">
      <w:pPr>
        <w:ind w:left="0" w:firstLine="0"/>
        <w:rPr>
          <w:noProof/>
          <w:szCs w:val="22"/>
        </w:rPr>
      </w:pPr>
    </w:p>
    <w:p w:rsidR="00F31F48" w:rsidRPr="005E50C7" w:rsidRDefault="00F31F48" w:rsidP="00F31F48">
      <w:pPr>
        <w:rPr>
          <w:b/>
          <w:noProof/>
          <w:szCs w:val="22"/>
        </w:rPr>
      </w:pPr>
      <w:r w:rsidRPr="005E50C7">
        <w:rPr>
          <w:b/>
          <w:noProof/>
          <w:szCs w:val="22"/>
        </w:rPr>
        <w:t>Poruchy reprodukčného systému a prsníkov</w:t>
      </w:r>
    </w:p>
    <w:p w:rsidR="00F31F48" w:rsidRPr="0028779D" w:rsidRDefault="00F31F48" w:rsidP="00F31F48">
      <w:pPr>
        <w:ind w:left="0" w:firstLine="0"/>
        <w:rPr>
          <w:noProof/>
          <w:szCs w:val="22"/>
        </w:rPr>
      </w:pPr>
      <w:r w:rsidRPr="0093686A">
        <w:rPr>
          <w:i/>
          <w:noProof/>
          <w:szCs w:val="22"/>
        </w:rPr>
        <w:t>Veľmi zriedkavé</w:t>
      </w:r>
      <w:r w:rsidRPr="00A748A8">
        <w:rPr>
          <w:noProof/>
          <w:szCs w:val="22"/>
        </w:rPr>
        <w:t>:</w:t>
      </w:r>
      <w:r w:rsidRPr="0028779D">
        <w:rPr>
          <w:noProof/>
          <w:szCs w:val="22"/>
        </w:rPr>
        <w:t xml:space="preserve"> </w:t>
      </w:r>
      <w:r>
        <w:rPr>
          <w:noProof/>
          <w:szCs w:val="22"/>
        </w:rPr>
        <w:t>reverzibilná impotencia, prsné príznaky a poruchy (ako gynekomastia a galaktorea).</w:t>
      </w:r>
    </w:p>
    <w:p w:rsidR="00F31F48" w:rsidRPr="00A7071C" w:rsidRDefault="00F31F48" w:rsidP="00592542">
      <w:pPr>
        <w:rPr>
          <w:noProof/>
          <w:szCs w:val="22"/>
        </w:rPr>
      </w:pPr>
    </w:p>
    <w:p w:rsidR="007B4A9B" w:rsidRPr="00B039ED" w:rsidRDefault="00B039ED" w:rsidP="00592542">
      <w:pPr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Pediatrická populácia</w:t>
      </w:r>
    </w:p>
    <w:p w:rsidR="007B4A9B" w:rsidRDefault="007B4A9B" w:rsidP="00592542">
      <w:pPr>
        <w:ind w:left="0" w:firstLine="0"/>
        <w:rPr>
          <w:noProof/>
          <w:szCs w:val="22"/>
        </w:rPr>
      </w:pPr>
      <w:r w:rsidRPr="000167A9">
        <w:rPr>
          <w:noProof/>
          <w:szCs w:val="22"/>
        </w:rPr>
        <w:t xml:space="preserve">Bezpečnosť ranitidínu sa hodnotila u detí </w:t>
      </w:r>
      <w:r w:rsidR="00EA512A" w:rsidRPr="000167A9">
        <w:rPr>
          <w:noProof/>
          <w:szCs w:val="22"/>
        </w:rPr>
        <w:t xml:space="preserve">vo veku </w:t>
      </w:r>
      <w:r w:rsidRPr="000167A9">
        <w:rPr>
          <w:noProof/>
          <w:szCs w:val="22"/>
        </w:rPr>
        <w:t>od 0 do 16 rokov s</w:t>
      </w:r>
      <w:r w:rsidR="00EA512A" w:rsidRPr="000167A9">
        <w:rPr>
          <w:noProof/>
          <w:szCs w:val="22"/>
        </w:rPr>
        <w:t xml:space="preserve"> ochoreniami súvisiacimi </w:t>
      </w:r>
      <w:r w:rsidR="00765B43" w:rsidRPr="000167A9">
        <w:rPr>
          <w:noProof/>
          <w:szCs w:val="22"/>
        </w:rPr>
        <w:t>s</w:t>
      </w:r>
      <w:r w:rsidR="000167A9">
        <w:rPr>
          <w:noProof/>
          <w:szCs w:val="22"/>
        </w:rPr>
        <w:t>o</w:t>
      </w:r>
      <w:r w:rsidR="000167A9">
        <w:t xml:space="preserve"> žalúdočnou </w:t>
      </w:r>
      <w:r w:rsidR="00EA512A" w:rsidRPr="000167A9">
        <w:rPr>
          <w:noProof/>
          <w:szCs w:val="22"/>
        </w:rPr>
        <w:t>kyselinou</w:t>
      </w:r>
      <w:r w:rsidR="00F31F48">
        <w:rPr>
          <w:noProof/>
          <w:szCs w:val="22"/>
        </w:rPr>
        <w:t xml:space="preserve"> </w:t>
      </w:r>
      <w:r w:rsidR="00F31F48">
        <w:rPr>
          <w:szCs w:val="22"/>
        </w:rPr>
        <w:t>a liek bol obecne dobre znášaný a vykazoval podobný profil nežiaducich vedľajších účinkov ako u dospelých</w:t>
      </w:r>
      <w:r w:rsidR="00EA512A" w:rsidRPr="000167A9">
        <w:rPr>
          <w:noProof/>
          <w:szCs w:val="22"/>
        </w:rPr>
        <w:t xml:space="preserve">. </w:t>
      </w:r>
      <w:r w:rsidR="00770ACD">
        <w:rPr>
          <w:noProof/>
          <w:szCs w:val="22"/>
        </w:rPr>
        <w:t>K dispozícii sú obmedzené</w:t>
      </w:r>
      <w:r w:rsidR="00770ACD" w:rsidRPr="000167A9">
        <w:rPr>
          <w:noProof/>
          <w:szCs w:val="22"/>
        </w:rPr>
        <w:t xml:space="preserve"> </w:t>
      </w:r>
      <w:r w:rsidRPr="000167A9">
        <w:rPr>
          <w:noProof/>
          <w:szCs w:val="22"/>
        </w:rPr>
        <w:t>údaje o</w:t>
      </w:r>
      <w:r w:rsidR="00194F36">
        <w:rPr>
          <w:noProof/>
          <w:szCs w:val="22"/>
        </w:rPr>
        <w:t xml:space="preserve"> bezpečnosti pri </w:t>
      </w:r>
      <w:r w:rsidRPr="000167A9">
        <w:rPr>
          <w:noProof/>
          <w:szCs w:val="22"/>
        </w:rPr>
        <w:t>dlhodob</w:t>
      </w:r>
      <w:r w:rsidR="00194F36">
        <w:rPr>
          <w:noProof/>
          <w:szCs w:val="22"/>
        </w:rPr>
        <w:t>om používaní</w:t>
      </w:r>
      <w:r w:rsidR="00C82EC6" w:rsidRPr="000167A9">
        <w:rPr>
          <w:noProof/>
          <w:szCs w:val="22"/>
        </w:rPr>
        <w:t xml:space="preserve">, najmä </w:t>
      </w:r>
      <w:r w:rsidR="00194F36">
        <w:rPr>
          <w:noProof/>
          <w:szCs w:val="22"/>
        </w:rPr>
        <w:t>v súvislosti s</w:t>
      </w:r>
      <w:r w:rsidR="00C82EC6" w:rsidRPr="000167A9">
        <w:rPr>
          <w:noProof/>
          <w:szCs w:val="22"/>
        </w:rPr>
        <w:t xml:space="preserve"> rast</w:t>
      </w:r>
      <w:r w:rsidR="00194F36">
        <w:rPr>
          <w:noProof/>
          <w:szCs w:val="22"/>
        </w:rPr>
        <w:t>om</w:t>
      </w:r>
      <w:r w:rsidR="00C82EC6" w:rsidRPr="000167A9">
        <w:rPr>
          <w:noProof/>
          <w:szCs w:val="22"/>
        </w:rPr>
        <w:t xml:space="preserve"> a </w:t>
      </w:r>
      <w:r w:rsidRPr="000167A9">
        <w:rPr>
          <w:noProof/>
          <w:szCs w:val="22"/>
        </w:rPr>
        <w:t>vývoj</w:t>
      </w:r>
      <w:r w:rsidR="00194F36">
        <w:rPr>
          <w:noProof/>
          <w:szCs w:val="22"/>
        </w:rPr>
        <w:t>om</w:t>
      </w:r>
      <w:r w:rsidRPr="000167A9">
        <w:rPr>
          <w:noProof/>
          <w:szCs w:val="22"/>
        </w:rPr>
        <w:t>.</w:t>
      </w:r>
    </w:p>
    <w:p w:rsidR="00F31F48" w:rsidRDefault="00F31F48" w:rsidP="00592542">
      <w:pPr>
        <w:ind w:left="0" w:firstLine="0"/>
        <w:rPr>
          <w:noProof/>
          <w:szCs w:val="22"/>
        </w:rPr>
      </w:pPr>
    </w:p>
    <w:p w:rsidR="00F31F48" w:rsidRPr="00892D9B" w:rsidRDefault="00F31F48" w:rsidP="0093686A">
      <w:pPr>
        <w:keepNext/>
        <w:ind w:left="0" w:firstLine="0"/>
        <w:rPr>
          <w:noProof/>
          <w:szCs w:val="22"/>
          <w:u w:val="single"/>
        </w:rPr>
      </w:pPr>
      <w:r w:rsidRPr="00892D9B">
        <w:rPr>
          <w:noProof/>
          <w:szCs w:val="22"/>
          <w:u w:val="single"/>
        </w:rPr>
        <w:lastRenderedPageBreak/>
        <w:t>Hlásenie podozrení na nežiaduce reakcie</w:t>
      </w:r>
    </w:p>
    <w:p w:rsidR="00A10396" w:rsidRDefault="00F31F48" w:rsidP="0093686A">
      <w:pPr>
        <w:numPr>
          <w:ilvl w:val="12"/>
          <w:numId w:val="0"/>
        </w:numPr>
        <w:ind w:right="-29"/>
        <w:rPr>
          <w:szCs w:val="22"/>
        </w:rPr>
      </w:pPr>
      <w:r w:rsidRPr="00892D9B">
        <w:rPr>
          <w:noProof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10396" w:rsidRPr="0093686A">
        <w:rPr>
          <w:noProof/>
          <w:szCs w:val="22"/>
        </w:rPr>
        <w:t xml:space="preserve">na </w:t>
      </w:r>
      <w:r w:rsidR="00A10396" w:rsidRPr="0093686A">
        <w:rPr>
          <w:noProof/>
          <w:szCs w:val="22"/>
          <w:highlight w:val="lightGray"/>
        </w:rPr>
        <w:t>národné centrum hlásenia uvedené v</w:t>
      </w:r>
      <w:r w:rsidR="00A10396">
        <w:rPr>
          <w:noProof/>
          <w:szCs w:val="22"/>
          <w:highlight w:val="lightGray"/>
        </w:rPr>
        <w:t xml:space="preserve"> </w:t>
      </w:r>
      <w:hyperlink r:id="rId8" w:history="1">
        <w:r w:rsidR="00A10396" w:rsidRPr="00B13F68">
          <w:rPr>
            <w:rStyle w:val="Hypertextovprepojenie"/>
            <w:szCs w:val="22"/>
            <w:highlight w:val="lightGray"/>
          </w:rPr>
          <w:t>Prílohe V</w:t>
        </w:r>
      </w:hyperlink>
      <w:r w:rsidR="00A10396">
        <w:rPr>
          <w:szCs w:val="22"/>
        </w:rPr>
        <w:t>.</w:t>
      </w:r>
    </w:p>
    <w:p w:rsidR="00FD18CE" w:rsidRPr="00B92A4D" w:rsidRDefault="00FD18CE" w:rsidP="0093686A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770ACD" w:rsidRDefault="00780926" w:rsidP="00592542">
      <w:pPr>
        <w:rPr>
          <w:noProof/>
          <w:szCs w:val="22"/>
        </w:rPr>
      </w:pPr>
      <w:r w:rsidRPr="00770ACD">
        <w:rPr>
          <w:b/>
          <w:noProof/>
          <w:szCs w:val="22"/>
        </w:rPr>
        <w:t>4.9</w:t>
      </w:r>
      <w:r w:rsidRPr="00770ACD">
        <w:rPr>
          <w:b/>
          <w:noProof/>
          <w:szCs w:val="22"/>
        </w:rPr>
        <w:tab/>
        <w:t>Predávkovanie</w:t>
      </w:r>
    </w:p>
    <w:p w:rsidR="00780926" w:rsidRPr="00194F36" w:rsidRDefault="00780926" w:rsidP="00592542">
      <w:pPr>
        <w:rPr>
          <w:noProof/>
          <w:szCs w:val="22"/>
        </w:rPr>
      </w:pPr>
    </w:p>
    <w:p w:rsidR="00561C87" w:rsidRPr="0093686A" w:rsidRDefault="00561C87" w:rsidP="00561C87">
      <w:pPr>
        <w:ind w:left="0" w:firstLine="0"/>
        <w:rPr>
          <w:noProof/>
          <w:szCs w:val="22"/>
          <w:u w:val="single"/>
        </w:rPr>
      </w:pPr>
      <w:r w:rsidRPr="0093686A">
        <w:rPr>
          <w:noProof/>
          <w:szCs w:val="22"/>
          <w:u w:val="single"/>
        </w:rPr>
        <w:t>Symptómy a príznaky</w:t>
      </w:r>
    </w:p>
    <w:p w:rsidR="00561C87" w:rsidRDefault="00561C87" w:rsidP="00561C87">
      <w:pPr>
        <w:ind w:left="0" w:firstLine="0"/>
        <w:rPr>
          <w:noProof/>
          <w:szCs w:val="22"/>
        </w:rPr>
      </w:pPr>
      <w:r>
        <w:rPr>
          <w:noProof/>
          <w:szCs w:val="22"/>
        </w:rPr>
        <w:t>Ranitidín má veľmi špecifický účinok a neočakávajú sa žiadne konkrétne problémy po predávkovaní liekmi s obsahom ranitidínu.</w:t>
      </w:r>
    </w:p>
    <w:p w:rsidR="00561C87" w:rsidRDefault="00561C87" w:rsidP="00561C87">
      <w:pPr>
        <w:ind w:left="0" w:firstLine="0"/>
        <w:rPr>
          <w:noProof/>
          <w:szCs w:val="22"/>
        </w:rPr>
      </w:pPr>
    </w:p>
    <w:p w:rsidR="00561C87" w:rsidRPr="0093686A" w:rsidRDefault="00561C87" w:rsidP="00561C87">
      <w:pPr>
        <w:ind w:left="0" w:firstLine="0"/>
        <w:rPr>
          <w:noProof/>
          <w:szCs w:val="22"/>
          <w:u w:val="single"/>
        </w:rPr>
      </w:pPr>
      <w:r w:rsidRPr="0093686A">
        <w:rPr>
          <w:noProof/>
          <w:szCs w:val="22"/>
          <w:u w:val="single"/>
        </w:rPr>
        <w:t>Liečba</w:t>
      </w:r>
    </w:p>
    <w:p w:rsidR="00561C87" w:rsidRDefault="00561C87" w:rsidP="00561C87">
      <w:pPr>
        <w:ind w:left="0" w:firstLine="0"/>
        <w:rPr>
          <w:noProof/>
          <w:szCs w:val="22"/>
        </w:rPr>
      </w:pPr>
      <w:r w:rsidRPr="00D05277">
        <w:rPr>
          <w:noProof/>
          <w:szCs w:val="22"/>
        </w:rPr>
        <w:t>Ak je to nevyhnutné, má sa podať symptomatická a podporná liečba.</w:t>
      </w:r>
    </w:p>
    <w:p w:rsidR="003E2592" w:rsidRPr="00BA5233" w:rsidRDefault="003E2592" w:rsidP="00592542">
      <w:pPr>
        <w:rPr>
          <w:noProof/>
          <w:szCs w:val="22"/>
        </w:rPr>
      </w:pPr>
    </w:p>
    <w:p w:rsidR="003E2592" w:rsidRPr="006E4345" w:rsidRDefault="003E2592" w:rsidP="00592542">
      <w:pPr>
        <w:rPr>
          <w:noProof/>
          <w:szCs w:val="22"/>
        </w:rPr>
      </w:pPr>
    </w:p>
    <w:p w:rsidR="00780926" w:rsidRPr="009F30D8" w:rsidRDefault="00780926" w:rsidP="00592542">
      <w:pPr>
        <w:rPr>
          <w:noProof/>
          <w:szCs w:val="22"/>
        </w:rPr>
      </w:pPr>
      <w:r w:rsidRPr="009F30D8">
        <w:rPr>
          <w:b/>
          <w:noProof/>
          <w:szCs w:val="22"/>
        </w:rPr>
        <w:t>5.</w:t>
      </w:r>
      <w:r w:rsidRPr="009F30D8">
        <w:rPr>
          <w:b/>
          <w:noProof/>
          <w:szCs w:val="22"/>
        </w:rPr>
        <w:tab/>
        <w:t>FARMAKOLOGICKÉ VLASTNOSTI</w:t>
      </w:r>
    </w:p>
    <w:p w:rsidR="00780926" w:rsidRPr="002320F5" w:rsidRDefault="00780926" w:rsidP="00592542">
      <w:pPr>
        <w:rPr>
          <w:bCs/>
          <w:noProof/>
          <w:szCs w:val="22"/>
        </w:rPr>
      </w:pPr>
    </w:p>
    <w:p w:rsidR="00780926" w:rsidRPr="00D048E9" w:rsidRDefault="00780926" w:rsidP="00592542">
      <w:pPr>
        <w:rPr>
          <w:noProof/>
          <w:szCs w:val="22"/>
        </w:rPr>
      </w:pPr>
      <w:r w:rsidRPr="00D048E9">
        <w:rPr>
          <w:b/>
          <w:noProof/>
          <w:szCs w:val="22"/>
        </w:rPr>
        <w:t>5.1</w:t>
      </w:r>
      <w:r w:rsidRPr="00D048E9">
        <w:rPr>
          <w:b/>
          <w:noProof/>
          <w:szCs w:val="22"/>
        </w:rPr>
        <w:tab/>
        <w:t>Farmakodynamické vlastnosti</w:t>
      </w:r>
    </w:p>
    <w:p w:rsidR="00780926" w:rsidRPr="003616B2" w:rsidRDefault="00780926" w:rsidP="00592542">
      <w:pPr>
        <w:rPr>
          <w:noProof/>
          <w:szCs w:val="22"/>
        </w:rPr>
      </w:pPr>
    </w:p>
    <w:p w:rsidR="00780926" w:rsidRPr="00BA5233" w:rsidRDefault="00780926" w:rsidP="00592542">
      <w:pPr>
        <w:outlineLvl w:val="0"/>
        <w:rPr>
          <w:noProof/>
          <w:szCs w:val="22"/>
        </w:rPr>
      </w:pPr>
      <w:r w:rsidRPr="003616B2">
        <w:rPr>
          <w:noProof/>
          <w:szCs w:val="22"/>
        </w:rPr>
        <w:t xml:space="preserve">Farmakoterapeutická skupina: </w:t>
      </w:r>
      <w:r w:rsidR="004963B7" w:rsidRPr="003616B2">
        <w:rPr>
          <w:noProof/>
          <w:szCs w:val="22"/>
        </w:rPr>
        <w:t xml:space="preserve">antagonisty </w:t>
      </w:r>
      <w:r w:rsidR="003E2592" w:rsidRPr="003616B2">
        <w:rPr>
          <w:noProof/>
          <w:spacing w:val="1"/>
          <w:szCs w:val="22"/>
        </w:rPr>
        <w:t>H</w:t>
      </w:r>
      <w:r w:rsidR="002E3A65">
        <w:rPr>
          <w:noProof/>
          <w:spacing w:val="1"/>
          <w:szCs w:val="22"/>
        </w:rPr>
        <w:t>2</w:t>
      </w:r>
      <w:r w:rsidR="003E2592" w:rsidRPr="002E3A65">
        <w:rPr>
          <w:noProof/>
          <w:spacing w:val="-4"/>
          <w:szCs w:val="22"/>
        </w:rPr>
        <w:t>-</w:t>
      </w:r>
      <w:r w:rsidR="004963B7" w:rsidRPr="00644245">
        <w:rPr>
          <w:noProof/>
          <w:spacing w:val="1"/>
          <w:szCs w:val="22"/>
        </w:rPr>
        <w:t>r</w:t>
      </w:r>
      <w:r w:rsidR="004963B7" w:rsidRPr="00644245">
        <w:rPr>
          <w:noProof/>
          <w:szCs w:val="22"/>
        </w:rPr>
        <w:t>e</w:t>
      </w:r>
      <w:r w:rsidR="004963B7" w:rsidRPr="00644245">
        <w:rPr>
          <w:noProof/>
          <w:spacing w:val="1"/>
          <w:szCs w:val="22"/>
        </w:rPr>
        <w:t>c</w:t>
      </w:r>
      <w:r w:rsidR="004963B7" w:rsidRPr="00644245">
        <w:rPr>
          <w:noProof/>
          <w:szCs w:val="22"/>
        </w:rPr>
        <w:t>ep</w:t>
      </w:r>
      <w:r w:rsidR="004963B7" w:rsidRPr="00BA5233">
        <w:rPr>
          <w:noProof/>
          <w:spacing w:val="1"/>
          <w:szCs w:val="22"/>
        </w:rPr>
        <w:t>t</w:t>
      </w:r>
      <w:r w:rsidR="004963B7" w:rsidRPr="00BA5233">
        <w:rPr>
          <w:noProof/>
          <w:szCs w:val="22"/>
        </w:rPr>
        <w:t>orov</w:t>
      </w:r>
      <w:r w:rsidR="002F32CD" w:rsidRPr="00BA5233">
        <w:rPr>
          <w:noProof/>
          <w:szCs w:val="22"/>
        </w:rPr>
        <w:t>.</w:t>
      </w:r>
      <w:r w:rsidRPr="00BA5233">
        <w:rPr>
          <w:noProof/>
          <w:szCs w:val="22"/>
        </w:rPr>
        <w:t xml:space="preserve"> ATC kód: </w:t>
      </w:r>
      <w:r w:rsidR="003E2592" w:rsidRPr="00BA5233">
        <w:rPr>
          <w:noProof/>
          <w:spacing w:val="-1"/>
          <w:szCs w:val="22"/>
        </w:rPr>
        <w:t>A</w:t>
      </w:r>
      <w:r w:rsidR="003E2592" w:rsidRPr="00BA5233">
        <w:rPr>
          <w:noProof/>
          <w:szCs w:val="22"/>
        </w:rPr>
        <w:t>02</w:t>
      </w:r>
      <w:r w:rsidR="003E2592" w:rsidRPr="00BA5233">
        <w:rPr>
          <w:noProof/>
          <w:spacing w:val="-1"/>
          <w:szCs w:val="22"/>
        </w:rPr>
        <w:t>BA</w:t>
      </w:r>
      <w:r w:rsidR="003E2592" w:rsidRPr="00BA5233">
        <w:rPr>
          <w:noProof/>
          <w:szCs w:val="22"/>
        </w:rPr>
        <w:t>02.</w:t>
      </w:r>
    </w:p>
    <w:p w:rsidR="00780926" w:rsidRPr="006E4345" w:rsidRDefault="00780926" w:rsidP="00592542">
      <w:pPr>
        <w:ind w:left="0" w:firstLine="0"/>
        <w:outlineLvl w:val="0"/>
        <w:rPr>
          <w:noProof/>
          <w:szCs w:val="22"/>
        </w:rPr>
      </w:pPr>
    </w:p>
    <w:p w:rsidR="003E2592" w:rsidRPr="00BA5233" w:rsidRDefault="003E2592" w:rsidP="00592542">
      <w:pPr>
        <w:ind w:left="0" w:firstLine="0"/>
        <w:rPr>
          <w:bCs/>
          <w:noProof/>
          <w:szCs w:val="22"/>
        </w:rPr>
      </w:pPr>
      <w:r w:rsidRPr="006E4345">
        <w:rPr>
          <w:bCs/>
          <w:noProof/>
          <w:szCs w:val="22"/>
        </w:rPr>
        <w:t xml:space="preserve">Ranitidín je </w:t>
      </w:r>
      <w:r w:rsidRPr="009F30D8">
        <w:rPr>
          <w:bCs/>
          <w:noProof/>
          <w:szCs w:val="22"/>
        </w:rPr>
        <w:t>kompetitívny histamínový antagonista H</w:t>
      </w:r>
      <w:r w:rsidR="00644245">
        <w:rPr>
          <w:bCs/>
          <w:noProof/>
          <w:szCs w:val="22"/>
        </w:rPr>
        <w:t>2</w:t>
      </w:r>
      <w:r w:rsidRPr="00644245">
        <w:rPr>
          <w:bCs/>
          <w:noProof/>
          <w:szCs w:val="22"/>
        </w:rPr>
        <w:t>-receptora. Inhibuje bazálnu sekréciu žalúdočnej kyseliny a sekréciu žalúdočnej kyseliny stimulovanú napríklad histamínom, pentagastrínom a jedlom. Ranitidín znižuje množstvo kyseliny a do menšej miery pepsínu a znižu</w:t>
      </w:r>
      <w:r w:rsidRPr="00BA5233">
        <w:rPr>
          <w:bCs/>
          <w:noProof/>
          <w:szCs w:val="22"/>
        </w:rPr>
        <w:t xml:space="preserve">je objem </w:t>
      </w:r>
      <w:r w:rsidR="0058227B" w:rsidRPr="00BA5233">
        <w:rPr>
          <w:bCs/>
          <w:noProof/>
          <w:szCs w:val="22"/>
        </w:rPr>
        <w:t>žalúdočných štiav.</w:t>
      </w:r>
    </w:p>
    <w:p w:rsidR="003E2592" w:rsidRPr="006E4345" w:rsidRDefault="003E2592" w:rsidP="00592542">
      <w:pPr>
        <w:rPr>
          <w:bCs/>
          <w:noProof/>
          <w:szCs w:val="22"/>
        </w:rPr>
      </w:pPr>
    </w:p>
    <w:p w:rsidR="0058227B" w:rsidRPr="002320F5" w:rsidRDefault="0058227B" w:rsidP="00592542">
      <w:pPr>
        <w:ind w:left="0" w:firstLine="0"/>
        <w:rPr>
          <w:bCs/>
          <w:noProof/>
          <w:szCs w:val="22"/>
        </w:rPr>
      </w:pPr>
      <w:r w:rsidRPr="009F30D8">
        <w:rPr>
          <w:bCs/>
          <w:noProof/>
          <w:szCs w:val="22"/>
        </w:rPr>
        <w:t>V dvoch štúdi</w:t>
      </w:r>
      <w:r w:rsidR="00A10396">
        <w:rPr>
          <w:bCs/>
          <w:noProof/>
          <w:szCs w:val="22"/>
        </w:rPr>
        <w:t>á</w:t>
      </w:r>
      <w:r w:rsidRPr="009F30D8">
        <w:rPr>
          <w:bCs/>
          <w:noProof/>
          <w:szCs w:val="22"/>
        </w:rPr>
        <w:t>ch, v ktorých sa používali terapeutické dávky ranitidínu 150 mg dvakrát denne, sa znížila sekrécia žalúdočnej kyseliny v priemere o</w:t>
      </w:r>
      <w:r w:rsidR="00172BC2" w:rsidRPr="009F30D8">
        <w:rPr>
          <w:bCs/>
          <w:noProof/>
          <w:szCs w:val="22"/>
        </w:rPr>
        <w:t> </w:t>
      </w:r>
      <w:r w:rsidRPr="002320F5">
        <w:rPr>
          <w:bCs/>
          <w:noProof/>
          <w:szCs w:val="22"/>
        </w:rPr>
        <w:t>63</w:t>
      </w:r>
      <w:r w:rsidR="00172BC2" w:rsidRPr="002320F5">
        <w:rPr>
          <w:bCs/>
          <w:noProof/>
          <w:szCs w:val="22"/>
        </w:rPr>
        <w:t> </w:t>
      </w:r>
      <w:r w:rsidRPr="002320F5">
        <w:rPr>
          <w:bCs/>
          <w:noProof/>
          <w:szCs w:val="22"/>
        </w:rPr>
        <w:t>% resp. 69</w:t>
      </w:r>
      <w:r w:rsidR="00172BC2" w:rsidRPr="002320F5">
        <w:rPr>
          <w:bCs/>
          <w:noProof/>
          <w:szCs w:val="22"/>
        </w:rPr>
        <w:t> </w:t>
      </w:r>
      <w:r w:rsidRPr="002320F5">
        <w:rPr>
          <w:bCs/>
          <w:noProof/>
          <w:szCs w:val="22"/>
        </w:rPr>
        <w:t>% za 24 hodín, so znížením o</w:t>
      </w:r>
      <w:r w:rsidR="00172BC2" w:rsidRPr="00D048E9">
        <w:rPr>
          <w:bCs/>
          <w:noProof/>
          <w:szCs w:val="22"/>
        </w:rPr>
        <w:t> </w:t>
      </w:r>
      <w:r w:rsidRPr="00D048E9">
        <w:rPr>
          <w:bCs/>
          <w:noProof/>
          <w:szCs w:val="22"/>
        </w:rPr>
        <w:t>73</w:t>
      </w:r>
      <w:r w:rsidR="00172BC2" w:rsidRPr="00D048E9">
        <w:rPr>
          <w:bCs/>
          <w:noProof/>
          <w:szCs w:val="22"/>
        </w:rPr>
        <w:t> </w:t>
      </w:r>
      <w:r w:rsidRPr="00D048E9">
        <w:rPr>
          <w:bCs/>
          <w:noProof/>
          <w:szCs w:val="22"/>
        </w:rPr>
        <w:t>% resp. 90</w:t>
      </w:r>
      <w:r w:rsidR="00172BC2" w:rsidRPr="003616B2">
        <w:rPr>
          <w:bCs/>
          <w:noProof/>
          <w:szCs w:val="22"/>
        </w:rPr>
        <w:t> </w:t>
      </w:r>
      <w:r w:rsidRPr="003616B2">
        <w:rPr>
          <w:bCs/>
          <w:noProof/>
          <w:szCs w:val="22"/>
        </w:rPr>
        <w:t>% pri nočnej sekréci</w:t>
      </w:r>
      <w:r w:rsidR="002F32CD" w:rsidRPr="003616B2">
        <w:rPr>
          <w:bCs/>
          <w:noProof/>
          <w:szCs w:val="22"/>
        </w:rPr>
        <w:t>i</w:t>
      </w:r>
      <w:r w:rsidRPr="003616B2">
        <w:rPr>
          <w:bCs/>
          <w:noProof/>
          <w:szCs w:val="22"/>
        </w:rPr>
        <w:t xml:space="preserve"> </w:t>
      </w:r>
      <w:r w:rsidRPr="006E4345">
        <w:rPr>
          <w:bCs/>
          <w:noProof/>
          <w:szCs w:val="22"/>
        </w:rPr>
        <w:t xml:space="preserve">žalúdočnej </w:t>
      </w:r>
      <w:r w:rsidRPr="009F30D8">
        <w:rPr>
          <w:bCs/>
          <w:noProof/>
          <w:szCs w:val="22"/>
        </w:rPr>
        <w:t>kyseliny. V dvoch štúdi</w:t>
      </w:r>
      <w:r w:rsidR="00A10396">
        <w:rPr>
          <w:bCs/>
          <w:noProof/>
          <w:szCs w:val="22"/>
        </w:rPr>
        <w:t>á</w:t>
      </w:r>
      <w:r w:rsidRPr="009F30D8">
        <w:rPr>
          <w:bCs/>
          <w:noProof/>
          <w:szCs w:val="22"/>
        </w:rPr>
        <w:t>ch s použitím odporúčanej dávky na</w:t>
      </w:r>
      <w:r w:rsidR="009F30D8">
        <w:rPr>
          <w:bCs/>
          <w:noProof/>
          <w:szCs w:val="22"/>
        </w:rPr>
        <w:t> </w:t>
      </w:r>
      <w:r w:rsidRPr="009F30D8">
        <w:rPr>
          <w:bCs/>
          <w:noProof/>
          <w:szCs w:val="22"/>
        </w:rPr>
        <w:t>profylaxiu výskytu (150 mg večer) vykazoval ranitidín priemerné zníženie v sekrécii žalúdočnej kyseliny o</w:t>
      </w:r>
      <w:r w:rsidR="00172BC2" w:rsidRPr="009F30D8">
        <w:rPr>
          <w:bCs/>
          <w:noProof/>
          <w:szCs w:val="22"/>
        </w:rPr>
        <w:t> </w:t>
      </w:r>
      <w:r w:rsidRPr="002320F5">
        <w:rPr>
          <w:bCs/>
          <w:noProof/>
          <w:szCs w:val="22"/>
        </w:rPr>
        <w:t>42</w:t>
      </w:r>
      <w:r w:rsidR="00172BC2" w:rsidRPr="002320F5">
        <w:rPr>
          <w:bCs/>
          <w:noProof/>
          <w:szCs w:val="22"/>
        </w:rPr>
        <w:t> </w:t>
      </w:r>
      <w:r w:rsidRPr="002320F5">
        <w:rPr>
          <w:bCs/>
          <w:noProof/>
          <w:szCs w:val="22"/>
        </w:rPr>
        <w:t>% resp. 69</w:t>
      </w:r>
      <w:r w:rsidR="00172BC2" w:rsidRPr="002320F5">
        <w:rPr>
          <w:bCs/>
          <w:noProof/>
          <w:szCs w:val="22"/>
        </w:rPr>
        <w:t> </w:t>
      </w:r>
      <w:r w:rsidRPr="002320F5">
        <w:rPr>
          <w:bCs/>
          <w:noProof/>
          <w:szCs w:val="22"/>
        </w:rPr>
        <w:t>% za 24 hodín.</w:t>
      </w:r>
    </w:p>
    <w:p w:rsidR="0058227B" w:rsidRPr="00D048E9" w:rsidRDefault="0058227B" w:rsidP="00592542">
      <w:pPr>
        <w:rPr>
          <w:bCs/>
          <w:noProof/>
          <w:szCs w:val="22"/>
        </w:rPr>
      </w:pPr>
    </w:p>
    <w:p w:rsidR="0058227B" w:rsidRPr="004F0EFA" w:rsidRDefault="0058227B" w:rsidP="00592542">
      <w:pPr>
        <w:ind w:left="0" w:firstLine="0"/>
        <w:rPr>
          <w:bCs/>
          <w:noProof/>
          <w:szCs w:val="22"/>
        </w:rPr>
      </w:pPr>
      <w:r w:rsidRPr="003616B2">
        <w:rPr>
          <w:bCs/>
          <w:noProof/>
          <w:szCs w:val="22"/>
        </w:rPr>
        <w:t>Sekrécia žalúdočnej kyseliny sa znížila v priemere o 50 až 60</w:t>
      </w:r>
      <w:r w:rsidR="00172BC2" w:rsidRPr="003616B2">
        <w:rPr>
          <w:bCs/>
          <w:noProof/>
          <w:szCs w:val="22"/>
        </w:rPr>
        <w:t> </w:t>
      </w:r>
      <w:r w:rsidRPr="003616B2">
        <w:rPr>
          <w:bCs/>
          <w:noProof/>
          <w:szCs w:val="22"/>
        </w:rPr>
        <w:t xml:space="preserve">% v priebehu 24 hodín po </w:t>
      </w:r>
      <w:r w:rsidR="00782619" w:rsidRPr="003616B2">
        <w:rPr>
          <w:bCs/>
          <w:noProof/>
          <w:szCs w:val="22"/>
        </w:rPr>
        <w:t xml:space="preserve">užití </w:t>
      </w:r>
      <w:r w:rsidRPr="00B60DBE">
        <w:rPr>
          <w:bCs/>
          <w:noProof/>
          <w:szCs w:val="22"/>
        </w:rPr>
        <w:t>terapeutickej dávk</w:t>
      </w:r>
      <w:r w:rsidR="00782619" w:rsidRPr="001E42BA">
        <w:rPr>
          <w:bCs/>
          <w:noProof/>
          <w:szCs w:val="22"/>
        </w:rPr>
        <w:t>y</w:t>
      </w:r>
      <w:r w:rsidRPr="00764CC4">
        <w:rPr>
          <w:bCs/>
          <w:noProof/>
          <w:szCs w:val="22"/>
        </w:rPr>
        <w:t xml:space="preserve"> 300 mg ranitidínu večer, zatiaľ čo </w:t>
      </w:r>
      <w:r w:rsidR="00BA0938" w:rsidRPr="00E95D17">
        <w:rPr>
          <w:bCs/>
          <w:noProof/>
          <w:szCs w:val="22"/>
        </w:rPr>
        <w:t>nočná sekrécia žalúdočnej kyseliny sa znížila asi o</w:t>
      </w:r>
      <w:r w:rsidR="00172BC2" w:rsidRPr="00E81EA2">
        <w:rPr>
          <w:bCs/>
          <w:noProof/>
          <w:szCs w:val="22"/>
        </w:rPr>
        <w:t> </w:t>
      </w:r>
      <w:r w:rsidR="00BA0938" w:rsidRPr="00E81EA2">
        <w:rPr>
          <w:bCs/>
          <w:noProof/>
          <w:szCs w:val="22"/>
        </w:rPr>
        <w:t>90</w:t>
      </w:r>
      <w:r w:rsidR="00172BC2" w:rsidRPr="00E81EA2">
        <w:rPr>
          <w:bCs/>
          <w:noProof/>
          <w:szCs w:val="22"/>
        </w:rPr>
        <w:t> </w:t>
      </w:r>
      <w:r w:rsidR="00BA0938" w:rsidRPr="00095A49">
        <w:rPr>
          <w:bCs/>
          <w:noProof/>
          <w:szCs w:val="22"/>
        </w:rPr>
        <w:t>%.</w:t>
      </w:r>
    </w:p>
    <w:p w:rsidR="00780926" w:rsidRPr="0092370D" w:rsidRDefault="00780926" w:rsidP="00592542">
      <w:pPr>
        <w:rPr>
          <w:noProof/>
          <w:szCs w:val="22"/>
        </w:rPr>
      </w:pPr>
    </w:p>
    <w:p w:rsidR="00782619" w:rsidRPr="000759AF" w:rsidRDefault="00780926" w:rsidP="00592542">
      <w:pPr>
        <w:numPr>
          <w:ilvl w:val="1"/>
          <w:numId w:val="14"/>
        </w:numPr>
        <w:rPr>
          <w:b/>
          <w:noProof/>
          <w:szCs w:val="22"/>
        </w:rPr>
      </w:pPr>
      <w:r w:rsidRPr="00CD1A52">
        <w:rPr>
          <w:b/>
          <w:noProof/>
          <w:szCs w:val="22"/>
        </w:rPr>
        <w:t>Farmakokinetické vlastnosti</w:t>
      </w:r>
    </w:p>
    <w:p w:rsidR="00782619" w:rsidRPr="00CD4DE0" w:rsidRDefault="00782619" w:rsidP="00592542">
      <w:pPr>
        <w:ind w:left="0" w:firstLine="0"/>
        <w:rPr>
          <w:b/>
          <w:noProof/>
          <w:szCs w:val="22"/>
        </w:rPr>
      </w:pPr>
    </w:p>
    <w:p w:rsidR="00782619" w:rsidRPr="00A279FF" w:rsidRDefault="00BA0938" w:rsidP="00592542">
      <w:pPr>
        <w:ind w:left="0" w:firstLine="0"/>
        <w:rPr>
          <w:b/>
          <w:noProof/>
          <w:szCs w:val="22"/>
        </w:rPr>
      </w:pPr>
      <w:r w:rsidRPr="008711C0">
        <w:rPr>
          <w:noProof/>
          <w:szCs w:val="22"/>
          <w:u w:val="single"/>
        </w:rPr>
        <w:t>Absorpcia</w:t>
      </w:r>
    </w:p>
    <w:p w:rsidR="00CE3888" w:rsidRPr="00B60DBE" w:rsidRDefault="00BA0938" w:rsidP="00592542">
      <w:pPr>
        <w:ind w:left="0" w:firstLine="0"/>
        <w:rPr>
          <w:b/>
          <w:noProof/>
          <w:szCs w:val="22"/>
        </w:rPr>
      </w:pPr>
      <w:r w:rsidRPr="00B80A2F">
        <w:rPr>
          <w:noProof/>
          <w:szCs w:val="22"/>
        </w:rPr>
        <w:t>Ranitidín sa po perorálnom pod</w:t>
      </w:r>
      <w:r w:rsidR="002320F5">
        <w:rPr>
          <w:noProof/>
          <w:szCs w:val="22"/>
        </w:rPr>
        <w:t>áva</w:t>
      </w:r>
      <w:r w:rsidRPr="002320F5">
        <w:rPr>
          <w:noProof/>
          <w:szCs w:val="22"/>
        </w:rPr>
        <w:t>ní rýchlo absorbuje a maximálne koncentrácie v krvi sa dosiahnu za</w:t>
      </w:r>
      <w:r w:rsidR="00D048E9">
        <w:rPr>
          <w:noProof/>
          <w:szCs w:val="22"/>
        </w:rPr>
        <w:t> </w:t>
      </w:r>
      <w:r w:rsidRPr="002320F5">
        <w:rPr>
          <w:noProof/>
          <w:szCs w:val="22"/>
        </w:rPr>
        <w:t>približne 1,25</w:t>
      </w:r>
      <w:r w:rsidR="00D048E9">
        <w:rPr>
          <w:noProof/>
          <w:szCs w:val="22"/>
        </w:rPr>
        <w:t xml:space="preserve"> – </w:t>
      </w:r>
      <w:r w:rsidRPr="002320F5">
        <w:rPr>
          <w:noProof/>
          <w:szCs w:val="22"/>
        </w:rPr>
        <w:t xml:space="preserve">3 </w:t>
      </w:r>
      <w:r w:rsidR="000A7F13" w:rsidRPr="00D048E9">
        <w:rPr>
          <w:noProof/>
          <w:szCs w:val="22"/>
        </w:rPr>
        <w:t>hodiny</w:t>
      </w:r>
      <w:r w:rsidRPr="00D048E9">
        <w:rPr>
          <w:noProof/>
          <w:szCs w:val="22"/>
        </w:rPr>
        <w:t xml:space="preserve">. Priemerná biologická dostupnosť ranitidínu </w:t>
      </w:r>
      <w:r w:rsidR="00722D4F" w:rsidRPr="00D048E9">
        <w:rPr>
          <w:noProof/>
          <w:szCs w:val="22"/>
        </w:rPr>
        <w:t>pod</w:t>
      </w:r>
      <w:r w:rsidR="00D048E9">
        <w:rPr>
          <w:noProof/>
          <w:szCs w:val="22"/>
        </w:rPr>
        <w:t>áva</w:t>
      </w:r>
      <w:r w:rsidR="00722D4F" w:rsidRPr="00D048E9">
        <w:rPr>
          <w:noProof/>
          <w:szCs w:val="22"/>
        </w:rPr>
        <w:t xml:space="preserve">ného vo </w:t>
      </w:r>
      <w:r w:rsidRPr="00D048E9">
        <w:rPr>
          <w:noProof/>
          <w:szCs w:val="22"/>
        </w:rPr>
        <w:t xml:space="preserve">forme </w:t>
      </w:r>
      <w:r w:rsidR="00722D4F" w:rsidRPr="00D048E9">
        <w:rPr>
          <w:noProof/>
          <w:szCs w:val="22"/>
        </w:rPr>
        <w:t xml:space="preserve">tablety </w:t>
      </w:r>
      <w:r w:rsidRPr="00D048E9">
        <w:rPr>
          <w:noProof/>
          <w:szCs w:val="22"/>
        </w:rPr>
        <w:t>je približne 50</w:t>
      </w:r>
      <w:r w:rsidR="00172BC2" w:rsidRPr="00D048E9">
        <w:rPr>
          <w:noProof/>
          <w:szCs w:val="22"/>
        </w:rPr>
        <w:t> </w:t>
      </w:r>
      <w:r w:rsidRPr="003616B2">
        <w:rPr>
          <w:noProof/>
          <w:szCs w:val="22"/>
        </w:rPr>
        <w:t>%, ale interindividuálna variabilita v biologickej dostupnosti je vysoká, 28</w:t>
      </w:r>
      <w:r w:rsidR="003616B2">
        <w:rPr>
          <w:noProof/>
          <w:szCs w:val="22"/>
        </w:rPr>
        <w:t xml:space="preserve"> – </w:t>
      </w:r>
      <w:r w:rsidRPr="003616B2">
        <w:rPr>
          <w:noProof/>
          <w:szCs w:val="22"/>
        </w:rPr>
        <w:t>76</w:t>
      </w:r>
      <w:r w:rsidR="00172BC2" w:rsidRPr="003616B2">
        <w:rPr>
          <w:noProof/>
          <w:szCs w:val="22"/>
        </w:rPr>
        <w:t> </w:t>
      </w:r>
      <w:r w:rsidRPr="003616B2">
        <w:rPr>
          <w:noProof/>
          <w:szCs w:val="22"/>
        </w:rPr>
        <w:t>% (</w:t>
      </w:r>
      <w:r w:rsidR="00722D4F" w:rsidRPr="003616B2">
        <w:rPr>
          <w:noProof/>
          <w:szCs w:val="22"/>
        </w:rPr>
        <w:t xml:space="preserve">ako sa uvádza v </w:t>
      </w:r>
      <w:r w:rsidR="00722D4F" w:rsidRPr="00B60DBE">
        <w:rPr>
          <w:noProof/>
          <w:szCs w:val="22"/>
        </w:rPr>
        <w:t>štúdii).</w:t>
      </w:r>
    </w:p>
    <w:p w:rsidR="00CE3888" w:rsidRPr="001E42BA" w:rsidRDefault="00CE3888" w:rsidP="00592542">
      <w:pPr>
        <w:ind w:left="0" w:firstLine="0"/>
        <w:rPr>
          <w:b/>
          <w:noProof/>
          <w:szCs w:val="22"/>
        </w:rPr>
      </w:pPr>
    </w:p>
    <w:p w:rsidR="00CE3888" w:rsidRPr="00764CC4" w:rsidRDefault="00CE3888" w:rsidP="00592542">
      <w:pPr>
        <w:ind w:left="0" w:firstLine="0"/>
        <w:rPr>
          <w:noProof/>
          <w:szCs w:val="22"/>
          <w:u w:val="single"/>
        </w:rPr>
      </w:pPr>
      <w:r w:rsidRPr="00764CC4">
        <w:rPr>
          <w:noProof/>
          <w:szCs w:val="22"/>
          <w:u w:val="single"/>
        </w:rPr>
        <w:t>Distribúcia</w:t>
      </w:r>
    </w:p>
    <w:p w:rsidR="00CE3888" w:rsidRPr="00B60DBE" w:rsidRDefault="00CE3888" w:rsidP="00592542">
      <w:pPr>
        <w:ind w:left="0" w:firstLine="0"/>
        <w:rPr>
          <w:noProof/>
          <w:szCs w:val="22"/>
        </w:rPr>
      </w:pPr>
      <w:r w:rsidRPr="003D1642">
        <w:rPr>
          <w:noProof/>
          <w:szCs w:val="22"/>
        </w:rPr>
        <w:t>Väzba na bielkoviny plazmy je približne 15</w:t>
      </w:r>
      <w:r w:rsidR="00172BC2" w:rsidRPr="003D1642">
        <w:rPr>
          <w:noProof/>
          <w:szCs w:val="22"/>
        </w:rPr>
        <w:t> </w:t>
      </w:r>
      <w:r w:rsidRPr="003D1642">
        <w:rPr>
          <w:noProof/>
          <w:szCs w:val="22"/>
        </w:rPr>
        <w:t>%. Zjavný distribučný objem u dospelých je 1,2</w:t>
      </w:r>
      <w:r w:rsidR="003616B2">
        <w:rPr>
          <w:noProof/>
          <w:szCs w:val="22"/>
        </w:rPr>
        <w:t xml:space="preserve"> – </w:t>
      </w:r>
      <w:r w:rsidRPr="003616B2">
        <w:rPr>
          <w:noProof/>
          <w:szCs w:val="22"/>
        </w:rPr>
        <w:t xml:space="preserve">1,8 </w:t>
      </w:r>
      <w:r w:rsidRPr="003616B2">
        <w:rPr>
          <w:noProof/>
          <w:spacing w:val="1"/>
          <w:szCs w:val="22"/>
        </w:rPr>
        <w:t>l/</w:t>
      </w:r>
      <w:r w:rsidRPr="003616B2">
        <w:rPr>
          <w:noProof/>
          <w:spacing w:val="-2"/>
          <w:szCs w:val="22"/>
        </w:rPr>
        <w:t>k</w:t>
      </w:r>
      <w:r w:rsidRPr="003616B2">
        <w:rPr>
          <w:noProof/>
          <w:szCs w:val="22"/>
        </w:rPr>
        <w:t>g a</w:t>
      </w:r>
      <w:r w:rsidR="003616B2">
        <w:rPr>
          <w:noProof/>
          <w:szCs w:val="22"/>
        </w:rPr>
        <w:t xml:space="preserve"> </w:t>
      </w:r>
      <w:r w:rsidRPr="00B60DBE">
        <w:rPr>
          <w:noProof/>
          <w:szCs w:val="22"/>
        </w:rPr>
        <w:t>u detí 2,5</w:t>
      </w:r>
      <w:r w:rsidRPr="00B60DBE">
        <w:rPr>
          <w:noProof/>
          <w:spacing w:val="-2"/>
          <w:szCs w:val="22"/>
        </w:rPr>
        <w:t xml:space="preserve"> </w:t>
      </w:r>
      <w:r w:rsidRPr="00B60DBE">
        <w:rPr>
          <w:noProof/>
          <w:spacing w:val="2"/>
          <w:szCs w:val="22"/>
        </w:rPr>
        <w:t>l</w:t>
      </w:r>
      <w:r w:rsidRPr="00B60DBE">
        <w:rPr>
          <w:noProof/>
          <w:spacing w:val="1"/>
          <w:szCs w:val="22"/>
        </w:rPr>
        <w:t>/</w:t>
      </w:r>
      <w:r w:rsidRPr="00B60DBE">
        <w:rPr>
          <w:noProof/>
          <w:spacing w:val="-2"/>
          <w:szCs w:val="22"/>
        </w:rPr>
        <w:t>kg</w:t>
      </w:r>
      <w:r w:rsidRPr="00B60DBE">
        <w:rPr>
          <w:noProof/>
          <w:szCs w:val="22"/>
        </w:rPr>
        <w:t>.</w:t>
      </w:r>
    </w:p>
    <w:p w:rsidR="00CE3888" w:rsidRPr="001E42BA" w:rsidRDefault="00CE3888" w:rsidP="00592542">
      <w:pPr>
        <w:ind w:left="0" w:firstLine="0"/>
        <w:rPr>
          <w:noProof/>
          <w:szCs w:val="22"/>
        </w:rPr>
      </w:pPr>
    </w:p>
    <w:p w:rsidR="00CE3888" w:rsidRPr="00B60DBE" w:rsidRDefault="00CE3888" w:rsidP="00592542">
      <w:pPr>
        <w:ind w:left="0" w:firstLine="0"/>
        <w:rPr>
          <w:noProof/>
          <w:szCs w:val="22"/>
        </w:rPr>
      </w:pPr>
      <w:r w:rsidRPr="001E42BA">
        <w:rPr>
          <w:noProof/>
          <w:szCs w:val="22"/>
        </w:rPr>
        <w:t>Po perorálnom požití 150 mg ranitidínu vo forme tablety sú dosiahnuté maximálne koncentrácie v</w:t>
      </w:r>
      <w:r w:rsidR="00B60DBE">
        <w:rPr>
          <w:noProof/>
          <w:szCs w:val="22"/>
        </w:rPr>
        <w:t> </w:t>
      </w:r>
      <w:r w:rsidRPr="00B60DBE">
        <w:rPr>
          <w:noProof/>
          <w:szCs w:val="22"/>
        </w:rPr>
        <w:t>plazme približne 400</w:t>
      </w:r>
      <w:r w:rsidRPr="00B60DBE">
        <w:rPr>
          <w:noProof/>
          <w:spacing w:val="2"/>
          <w:szCs w:val="22"/>
        </w:rPr>
        <w:t xml:space="preserve"> </w:t>
      </w:r>
      <w:r w:rsidRPr="00B60DBE">
        <w:rPr>
          <w:noProof/>
          <w:szCs w:val="22"/>
        </w:rPr>
        <w:t>n</w:t>
      </w:r>
      <w:r w:rsidRPr="00B60DBE">
        <w:rPr>
          <w:noProof/>
          <w:spacing w:val="-2"/>
          <w:szCs w:val="22"/>
        </w:rPr>
        <w:t>g</w:t>
      </w:r>
      <w:r w:rsidRPr="00B60DBE">
        <w:rPr>
          <w:noProof/>
          <w:spacing w:val="1"/>
          <w:szCs w:val="22"/>
        </w:rPr>
        <w:t>/</w:t>
      </w:r>
      <w:r w:rsidRPr="00B60DBE">
        <w:rPr>
          <w:noProof/>
          <w:spacing w:val="-4"/>
          <w:szCs w:val="22"/>
        </w:rPr>
        <w:t>m</w:t>
      </w:r>
      <w:r w:rsidRPr="00B60DBE">
        <w:rPr>
          <w:noProof/>
          <w:szCs w:val="22"/>
        </w:rPr>
        <w:t>l s vysokou individuálnou variabilitou. Po dvanástich hodinách priemerné hladiny v plazme boli stále na úrovni približne 40 n</w:t>
      </w:r>
      <w:r w:rsidRPr="001E42BA">
        <w:rPr>
          <w:noProof/>
          <w:spacing w:val="-2"/>
          <w:szCs w:val="22"/>
        </w:rPr>
        <w:t>g</w:t>
      </w:r>
      <w:r w:rsidRPr="001E42BA">
        <w:rPr>
          <w:noProof/>
          <w:spacing w:val="1"/>
          <w:szCs w:val="22"/>
        </w:rPr>
        <w:t>/</w:t>
      </w:r>
      <w:r w:rsidRPr="001E42BA">
        <w:rPr>
          <w:noProof/>
          <w:spacing w:val="-4"/>
          <w:szCs w:val="22"/>
        </w:rPr>
        <w:t>m</w:t>
      </w:r>
      <w:r w:rsidRPr="001E42BA">
        <w:rPr>
          <w:noProof/>
          <w:spacing w:val="1"/>
          <w:szCs w:val="22"/>
        </w:rPr>
        <w:t>l</w:t>
      </w:r>
      <w:r w:rsidRPr="001E42BA">
        <w:rPr>
          <w:noProof/>
          <w:szCs w:val="22"/>
        </w:rPr>
        <w:t>. Po užití 300 mg ranitidínu boli dosiahnuté hladiny v plazme približne 700</w:t>
      </w:r>
      <w:r w:rsidR="00B60DBE">
        <w:rPr>
          <w:noProof/>
          <w:szCs w:val="22"/>
        </w:rPr>
        <w:t xml:space="preserve"> – </w:t>
      </w:r>
      <w:r w:rsidRPr="00B60DBE">
        <w:rPr>
          <w:noProof/>
          <w:szCs w:val="22"/>
        </w:rPr>
        <w:t>800 n</w:t>
      </w:r>
      <w:r w:rsidRPr="00B60DBE">
        <w:rPr>
          <w:noProof/>
          <w:spacing w:val="-2"/>
          <w:szCs w:val="22"/>
        </w:rPr>
        <w:t>g</w:t>
      </w:r>
      <w:r w:rsidRPr="00B60DBE">
        <w:rPr>
          <w:noProof/>
          <w:spacing w:val="3"/>
          <w:szCs w:val="22"/>
        </w:rPr>
        <w:t>/</w:t>
      </w:r>
      <w:r w:rsidRPr="00B60DBE">
        <w:rPr>
          <w:noProof/>
          <w:spacing w:val="-4"/>
          <w:szCs w:val="22"/>
        </w:rPr>
        <w:t>m</w:t>
      </w:r>
      <w:r w:rsidRPr="00B60DBE">
        <w:rPr>
          <w:noProof/>
          <w:szCs w:val="22"/>
        </w:rPr>
        <w:t>l.</w:t>
      </w:r>
    </w:p>
    <w:p w:rsidR="00CE3888" w:rsidRPr="001E42BA" w:rsidRDefault="00CE3888" w:rsidP="00592542">
      <w:pPr>
        <w:ind w:left="0" w:firstLine="0"/>
        <w:rPr>
          <w:noProof/>
          <w:szCs w:val="22"/>
        </w:rPr>
      </w:pPr>
    </w:p>
    <w:p w:rsidR="00CE3888" w:rsidRPr="00B60DBE" w:rsidRDefault="00CE3888" w:rsidP="00592542">
      <w:pPr>
        <w:ind w:left="0" w:firstLine="0"/>
        <w:rPr>
          <w:noProof/>
          <w:szCs w:val="22"/>
        </w:rPr>
      </w:pPr>
      <w:r w:rsidRPr="001E42BA">
        <w:rPr>
          <w:noProof/>
          <w:szCs w:val="22"/>
        </w:rPr>
        <w:t>Koncentrácie v plazme potrebné na 50</w:t>
      </w:r>
      <w:r w:rsidR="00172BC2" w:rsidRPr="001E42BA">
        <w:rPr>
          <w:noProof/>
          <w:szCs w:val="22"/>
        </w:rPr>
        <w:t> </w:t>
      </w:r>
      <w:r w:rsidRPr="001E42BA">
        <w:rPr>
          <w:noProof/>
          <w:szCs w:val="22"/>
        </w:rPr>
        <w:t xml:space="preserve">% -nú inhibíciu sekrécie </w:t>
      </w:r>
      <w:r w:rsidR="00B60DBE">
        <w:rPr>
          <w:noProof/>
          <w:szCs w:val="22"/>
        </w:rPr>
        <w:t xml:space="preserve">žalúdočnej </w:t>
      </w:r>
      <w:r w:rsidRPr="00B60DBE">
        <w:rPr>
          <w:noProof/>
          <w:szCs w:val="22"/>
        </w:rPr>
        <w:t>kyseliny u dospelých sa pohybovali v priemere od 73</w:t>
      </w:r>
      <w:r w:rsidR="001E42BA">
        <w:rPr>
          <w:noProof/>
          <w:spacing w:val="-4"/>
          <w:szCs w:val="22"/>
        </w:rPr>
        <w:t xml:space="preserve"> do </w:t>
      </w:r>
      <w:r w:rsidRPr="00B60DBE">
        <w:rPr>
          <w:noProof/>
          <w:szCs w:val="22"/>
        </w:rPr>
        <w:t>165 n</w:t>
      </w:r>
      <w:r w:rsidRPr="00B60DBE">
        <w:rPr>
          <w:noProof/>
          <w:spacing w:val="-2"/>
          <w:szCs w:val="22"/>
        </w:rPr>
        <w:t>g</w:t>
      </w:r>
      <w:r w:rsidRPr="00B60DBE">
        <w:rPr>
          <w:noProof/>
          <w:spacing w:val="3"/>
          <w:szCs w:val="22"/>
        </w:rPr>
        <w:t>/</w:t>
      </w:r>
      <w:r w:rsidRPr="00B60DBE">
        <w:rPr>
          <w:noProof/>
          <w:spacing w:val="-4"/>
          <w:szCs w:val="22"/>
        </w:rPr>
        <w:t>m</w:t>
      </w:r>
      <w:r w:rsidRPr="00B60DBE">
        <w:rPr>
          <w:noProof/>
          <w:szCs w:val="22"/>
        </w:rPr>
        <w:t>l v mnohých štúdiách.</w:t>
      </w:r>
    </w:p>
    <w:p w:rsidR="001E42BA" w:rsidRDefault="001E42BA" w:rsidP="00C8276E">
      <w:pPr>
        <w:widowControl w:val="0"/>
        <w:tabs>
          <w:tab w:val="left" w:pos="90"/>
        </w:tabs>
        <w:autoSpaceDE w:val="0"/>
        <w:autoSpaceDN w:val="0"/>
        <w:adjustRightInd w:val="0"/>
        <w:ind w:left="0" w:firstLine="0"/>
        <w:rPr>
          <w:spacing w:val="-1"/>
          <w:szCs w:val="22"/>
        </w:rPr>
      </w:pPr>
    </w:p>
    <w:p w:rsidR="00AE08CD" w:rsidRPr="00C8276E" w:rsidRDefault="00AE08CD" w:rsidP="00C8276E">
      <w:pPr>
        <w:widowControl w:val="0"/>
        <w:tabs>
          <w:tab w:val="left" w:pos="90"/>
        </w:tabs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C8276E">
        <w:rPr>
          <w:spacing w:val="-1"/>
          <w:szCs w:val="22"/>
        </w:rPr>
        <w:t>R</w:t>
      </w:r>
      <w:r w:rsidRPr="00C8276E">
        <w:rPr>
          <w:szCs w:val="22"/>
        </w:rPr>
        <w:t>an</w:t>
      </w:r>
      <w:r w:rsidRPr="00C8276E">
        <w:rPr>
          <w:spacing w:val="1"/>
          <w:szCs w:val="22"/>
        </w:rPr>
        <w:t>i</w:t>
      </w:r>
      <w:r w:rsidRPr="00C8276E">
        <w:rPr>
          <w:spacing w:val="-1"/>
          <w:szCs w:val="22"/>
        </w:rPr>
        <w:t>t</w:t>
      </w:r>
      <w:r w:rsidRPr="00C8276E">
        <w:rPr>
          <w:spacing w:val="1"/>
          <w:szCs w:val="22"/>
        </w:rPr>
        <w:t>i</w:t>
      </w:r>
      <w:r w:rsidRPr="00C8276E">
        <w:rPr>
          <w:spacing w:val="-2"/>
          <w:szCs w:val="22"/>
        </w:rPr>
        <w:t>d</w:t>
      </w:r>
      <w:r w:rsidR="001E42BA">
        <w:rPr>
          <w:spacing w:val="1"/>
          <w:szCs w:val="22"/>
        </w:rPr>
        <w:t>í</w:t>
      </w:r>
      <w:r w:rsidRPr="00C8276E">
        <w:rPr>
          <w:szCs w:val="22"/>
        </w:rPr>
        <w:t>n</w:t>
      </w:r>
      <w:proofErr w:type="spellEnd"/>
      <w:r w:rsidRPr="00C8276E">
        <w:rPr>
          <w:szCs w:val="22"/>
        </w:rPr>
        <w:t xml:space="preserve"> </w:t>
      </w:r>
      <w:r w:rsidR="001E42BA">
        <w:rPr>
          <w:spacing w:val="-2"/>
          <w:szCs w:val="22"/>
        </w:rPr>
        <w:t xml:space="preserve">prechádza do </w:t>
      </w:r>
      <w:proofErr w:type="spellStart"/>
      <w:r w:rsidR="001E42BA">
        <w:rPr>
          <w:spacing w:val="-2"/>
          <w:szCs w:val="22"/>
        </w:rPr>
        <w:t>cerebrospinálnej</w:t>
      </w:r>
      <w:proofErr w:type="spellEnd"/>
      <w:r w:rsidR="001E42BA">
        <w:rPr>
          <w:spacing w:val="-2"/>
          <w:szCs w:val="22"/>
        </w:rPr>
        <w:t xml:space="preserve"> tekutiny vo veľmi malých množstvách.</w:t>
      </w:r>
    </w:p>
    <w:p w:rsidR="00CE3888" w:rsidRPr="004E4C7A" w:rsidRDefault="00CE3888" w:rsidP="001E42BA">
      <w:pPr>
        <w:ind w:left="0" w:firstLine="0"/>
        <w:rPr>
          <w:noProof/>
          <w:szCs w:val="22"/>
        </w:rPr>
      </w:pPr>
    </w:p>
    <w:p w:rsidR="00CE3888" w:rsidRPr="00321B28" w:rsidRDefault="00CE3888" w:rsidP="00592542">
      <w:pPr>
        <w:ind w:left="0" w:firstLine="0"/>
        <w:rPr>
          <w:noProof/>
          <w:szCs w:val="22"/>
        </w:rPr>
      </w:pPr>
      <w:r w:rsidRPr="00172CCA">
        <w:rPr>
          <w:noProof/>
          <w:szCs w:val="22"/>
          <w:u w:val="single"/>
        </w:rPr>
        <w:lastRenderedPageBreak/>
        <w:t>Biotransformácia</w:t>
      </w:r>
    </w:p>
    <w:p w:rsidR="00CE3888" w:rsidRPr="00E94519" w:rsidRDefault="00CE3888" w:rsidP="00592542">
      <w:pPr>
        <w:ind w:left="0" w:firstLine="0"/>
        <w:rPr>
          <w:noProof/>
          <w:position w:val="1"/>
          <w:szCs w:val="22"/>
        </w:rPr>
      </w:pPr>
      <w:r w:rsidRPr="00CC627C">
        <w:rPr>
          <w:bCs/>
          <w:noProof/>
          <w:szCs w:val="22"/>
        </w:rPr>
        <w:t xml:space="preserve">Ranitidín sa metabolizuje v pečeni na ranitidín-N-oxid, </w:t>
      </w:r>
      <w:r w:rsidRPr="00CC627C">
        <w:rPr>
          <w:noProof/>
          <w:position w:val="1"/>
          <w:szCs w:val="22"/>
        </w:rPr>
        <w:t>N</w:t>
      </w:r>
      <w:r w:rsidRPr="00CC627C">
        <w:rPr>
          <w:noProof/>
          <w:spacing w:val="-4"/>
          <w:position w:val="1"/>
          <w:szCs w:val="22"/>
        </w:rPr>
        <w:t>-</w:t>
      </w:r>
      <w:r w:rsidRPr="002B16BA">
        <w:rPr>
          <w:noProof/>
          <w:position w:val="1"/>
          <w:szCs w:val="22"/>
        </w:rPr>
        <w:t>de</w:t>
      </w:r>
      <w:r w:rsidRPr="002B16BA">
        <w:rPr>
          <w:noProof/>
          <w:spacing w:val="-4"/>
          <w:position w:val="1"/>
          <w:szCs w:val="22"/>
        </w:rPr>
        <w:t>m</w:t>
      </w:r>
      <w:r w:rsidRPr="002B16BA">
        <w:rPr>
          <w:noProof/>
          <w:position w:val="1"/>
          <w:szCs w:val="22"/>
        </w:rPr>
        <w:t>e</w:t>
      </w:r>
      <w:r w:rsidRPr="002B16BA">
        <w:rPr>
          <w:noProof/>
          <w:spacing w:val="1"/>
          <w:position w:val="1"/>
          <w:szCs w:val="22"/>
        </w:rPr>
        <w:t>t</w:t>
      </w:r>
      <w:r w:rsidRPr="002B16BA">
        <w:rPr>
          <w:noProof/>
          <w:spacing w:val="-2"/>
          <w:position w:val="1"/>
          <w:szCs w:val="22"/>
        </w:rPr>
        <w:t>y</w:t>
      </w:r>
      <w:r w:rsidRPr="002B16BA">
        <w:rPr>
          <w:noProof/>
          <w:position w:val="1"/>
          <w:szCs w:val="22"/>
        </w:rPr>
        <w:t>l</w:t>
      </w:r>
      <w:r w:rsidRPr="002B16BA">
        <w:rPr>
          <w:noProof/>
          <w:spacing w:val="1"/>
          <w:position w:val="1"/>
          <w:szCs w:val="22"/>
        </w:rPr>
        <w:t>r</w:t>
      </w:r>
      <w:r w:rsidRPr="002B16BA">
        <w:rPr>
          <w:noProof/>
          <w:position w:val="1"/>
          <w:szCs w:val="22"/>
        </w:rPr>
        <w:t>an</w:t>
      </w:r>
      <w:r w:rsidRPr="00A7071C">
        <w:rPr>
          <w:noProof/>
          <w:spacing w:val="-1"/>
          <w:position w:val="1"/>
          <w:szCs w:val="22"/>
        </w:rPr>
        <w:t>i</w:t>
      </w:r>
      <w:r w:rsidRPr="0049301E">
        <w:rPr>
          <w:noProof/>
          <w:spacing w:val="1"/>
          <w:position w:val="1"/>
          <w:szCs w:val="22"/>
        </w:rPr>
        <w:t>t</w:t>
      </w:r>
      <w:r w:rsidRPr="0007548D">
        <w:rPr>
          <w:noProof/>
          <w:spacing w:val="-1"/>
          <w:position w:val="1"/>
          <w:szCs w:val="22"/>
        </w:rPr>
        <w:t>i</w:t>
      </w:r>
      <w:r w:rsidRPr="00A06AA1">
        <w:rPr>
          <w:noProof/>
          <w:position w:val="1"/>
          <w:szCs w:val="22"/>
        </w:rPr>
        <w:t>d</w:t>
      </w:r>
      <w:r w:rsidRPr="00261532">
        <w:rPr>
          <w:noProof/>
          <w:spacing w:val="1"/>
          <w:position w:val="1"/>
          <w:szCs w:val="22"/>
        </w:rPr>
        <w:t>í</w:t>
      </w:r>
      <w:r w:rsidRPr="003A2E04">
        <w:rPr>
          <w:noProof/>
          <w:spacing w:val="-2"/>
          <w:position w:val="1"/>
          <w:szCs w:val="22"/>
        </w:rPr>
        <w:t>n</w:t>
      </w:r>
      <w:r w:rsidRPr="0024190F">
        <w:rPr>
          <w:bCs/>
          <w:noProof/>
          <w:szCs w:val="22"/>
        </w:rPr>
        <w:t xml:space="preserve">, </w:t>
      </w:r>
      <w:r w:rsidRPr="0056687E">
        <w:rPr>
          <w:noProof/>
          <w:spacing w:val="1"/>
          <w:position w:val="1"/>
          <w:szCs w:val="22"/>
        </w:rPr>
        <w:t>r</w:t>
      </w:r>
      <w:r w:rsidRPr="00301E12">
        <w:rPr>
          <w:noProof/>
          <w:position w:val="1"/>
          <w:szCs w:val="22"/>
        </w:rPr>
        <w:t>a</w:t>
      </w:r>
      <w:r w:rsidRPr="00301E12">
        <w:rPr>
          <w:noProof/>
          <w:spacing w:val="-2"/>
          <w:position w:val="1"/>
          <w:szCs w:val="22"/>
        </w:rPr>
        <w:t>n</w:t>
      </w:r>
      <w:r w:rsidRPr="00301E12">
        <w:rPr>
          <w:noProof/>
          <w:spacing w:val="1"/>
          <w:position w:val="1"/>
          <w:szCs w:val="22"/>
        </w:rPr>
        <w:t>i</w:t>
      </w:r>
      <w:r w:rsidRPr="008930DD">
        <w:rPr>
          <w:noProof/>
          <w:spacing w:val="-1"/>
          <w:position w:val="1"/>
          <w:szCs w:val="22"/>
        </w:rPr>
        <w:t>t</w:t>
      </w:r>
      <w:r w:rsidRPr="00576DF6">
        <w:rPr>
          <w:noProof/>
          <w:spacing w:val="1"/>
          <w:position w:val="1"/>
          <w:szCs w:val="22"/>
        </w:rPr>
        <w:t>i</w:t>
      </w:r>
      <w:r w:rsidRPr="00D07A3E">
        <w:rPr>
          <w:noProof/>
          <w:spacing w:val="-2"/>
          <w:position w:val="1"/>
          <w:szCs w:val="22"/>
        </w:rPr>
        <w:t>dín</w:t>
      </w:r>
      <w:r w:rsidRPr="00D07A3E">
        <w:rPr>
          <w:noProof/>
          <w:position w:val="1"/>
          <w:szCs w:val="22"/>
        </w:rPr>
        <w:t xml:space="preserve"> </w:t>
      </w:r>
      <w:r w:rsidRPr="005C40B4">
        <w:rPr>
          <w:noProof/>
          <w:spacing w:val="2"/>
          <w:position w:val="1"/>
          <w:szCs w:val="22"/>
        </w:rPr>
        <w:t>S</w:t>
      </w:r>
      <w:r w:rsidRPr="005C40B4">
        <w:rPr>
          <w:noProof/>
          <w:spacing w:val="-4"/>
          <w:position w:val="1"/>
          <w:szCs w:val="22"/>
        </w:rPr>
        <w:t>-</w:t>
      </w:r>
      <w:r w:rsidRPr="0052067A">
        <w:rPr>
          <w:noProof/>
          <w:position w:val="1"/>
          <w:szCs w:val="22"/>
        </w:rPr>
        <w:t>ox</w:t>
      </w:r>
      <w:r w:rsidRPr="00306F83">
        <w:rPr>
          <w:noProof/>
          <w:spacing w:val="1"/>
          <w:position w:val="1"/>
          <w:szCs w:val="22"/>
        </w:rPr>
        <w:t>i</w:t>
      </w:r>
      <w:r w:rsidRPr="00E94519">
        <w:rPr>
          <w:noProof/>
          <w:position w:val="1"/>
          <w:szCs w:val="22"/>
        </w:rPr>
        <w:t>d a analóg kyseliny furoovej.</w:t>
      </w:r>
    </w:p>
    <w:p w:rsidR="00782619" w:rsidRPr="001D0EB1" w:rsidRDefault="00782619" w:rsidP="00592542">
      <w:pPr>
        <w:ind w:left="0" w:firstLine="0"/>
        <w:rPr>
          <w:noProof/>
          <w:position w:val="1"/>
          <w:szCs w:val="22"/>
        </w:rPr>
      </w:pPr>
    </w:p>
    <w:p w:rsidR="00782619" w:rsidRPr="00407DB6" w:rsidRDefault="00CD6DD4" w:rsidP="00592542">
      <w:pPr>
        <w:ind w:left="0" w:firstLine="0"/>
        <w:rPr>
          <w:noProof/>
          <w:position w:val="1"/>
          <w:szCs w:val="22"/>
        </w:rPr>
      </w:pPr>
      <w:r w:rsidRPr="00E212AB">
        <w:rPr>
          <w:noProof/>
          <w:szCs w:val="22"/>
          <w:u w:val="single"/>
        </w:rPr>
        <w:t>Eliminácia</w:t>
      </w:r>
    </w:p>
    <w:p w:rsidR="00CD6DD4" w:rsidRPr="00C10C95" w:rsidRDefault="00CE3888" w:rsidP="00592542">
      <w:pPr>
        <w:ind w:left="0" w:firstLine="0"/>
        <w:rPr>
          <w:noProof/>
          <w:position w:val="1"/>
          <w:szCs w:val="22"/>
        </w:rPr>
      </w:pPr>
      <w:r w:rsidRPr="001032C9">
        <w:rPr>
          <w:noProof/>
          <w:szCs w:val="22"/>
        </w:rPr>
        <w:t>Merania</w:t>
      </w:r>
      <w:r w:rsidR="00CD6DD4" w:rsidRPr="007129CD">
        <w:rPr>
          <w:noProof/>
          <w:szCs w:val="22"/>
        </w:rPr>
        <w:t xml:space="preserve"> celkového klírensu </w:t>
      </w:r>
      <w:r w:rsidR="005F5318" w:rsidRPr="00AF4EC7">
        <w:rPr>
          <w:noProof/>
          <w:szCs w:val="22"/>
        </w:rPr>
        <w:t>udáva</w:t>
      </w:r>
      <w:r w:rsidRPr="002B700A">
        <w:rPr>
          <w:noProof/>
          <w:szCs w:val="22"/>
        </w:rPr>
        <w:t>jú</w:t>
      </w:r>
      <w:r w:rsidR="005F5318" w:rsidRPr="0042378E">
        <w:rPr>
          <w:noProof/>
          <w:szCs w:val="22"/>
        </w:rPr>
        <w:t xml:space="preserve"> priemerné hodn</w:t>
      </w:r>
      <w:r w:rsidR="00CD6DD4" w:rsidRPr="009F342E">
        <w:rPr>
          <w:noProof/>
          <w:szCs w:val="22"/>
        </w:rPr>
        <w:t>o</w:t>
      </w:r>
      <w:r w:rsidR="005F5318" w:rsidRPr="000C6CCC">
        <w:rPr>
          <w:noProof/>
          <w:szCs w:val="22"/>
        </w:rPr>
        <w:t>t</w:t>
      </w:r>
      <w:r w:rsidR="00CD6DD4" w:rsidRPr="00A24B51">
        <w:rPr>
          <w:noProof/>
          <w:szCs w:val="22"/>
        </w:rPr>
        <w:t>y 570</w:t>
      </w:r>
      <w:r w:rsidR="005A348E">
        <w:rPr>
          <w:noProof/>
          <w:szCs w:val="22"/>
        </w:rPr>
        <w:t xml:space="preserve"> – </w:t>
      </w:r>
      <w:r w:rsidR="00CD6DD4" w:rsidRPr="00A24B51">
        <w:rPr>
          <w:noProof/>
          <w:szCs w:val="22"/>
        </w:rPr>
        <w:t>710</w:t>
      </w:r>
      <w:r w:rsidR="00AE08CD" w:rsidRPr="00B971D7">
        <w:rPr>
          <w:noProof/>
          <w:szCs w:val="22"/>
        </w:rPr>
        <w:t xml:space="preserve"> </w:t>
      </w:r>
      <w:r w:rsidR="00CD6DD4" w:rsidRPr="001E5C3D">
        <w:rPr>
          <w:noProof/>
          <w:szCs w:val="22"/>
        </w:rPr>
        <w:t xml:space="preserve">ml/min u dospelých. </w:t>
      </w:r>
      <w:r w:rsidR="005F5318" w:rsidRPr="00C31981">
        <w:rPr>
          <w:noProof/>
          <w:szCs w:val="22"/>
        </w:rPr>
        <w:t xml:space="preserve">U detí </w:t>
      </w:r>
      <w:r w:rsidR="00093407">
        <w:rPr>
          <w:noProof/>
          <w:szCs w:val="22"/>
        </w:rPr>
        <w:t> </w:t>
      </w:r>
      <w:r w:rsidR="00093407" w:rsidRPr="00C31981">
        <w:rPr>
          <w:noProof/>
          <w:szCs w:val="22"/>
        </w:rPr>
        <w:t>a</w:t>
      </w:r>
      <w:r w:rsidR="00093407">
        <w:rPr>
          <w:noProof/>
          <w:szCs w:val="22"/>
        </w:rPr>
        <w:t> </w:t>
      </w:r>
      <w:r w:rsidR="005F5318" w:rsidRPr="00D968C8">
        <w:rPr>
          <w:noProof/>
          <w:szCs w:val="22"/>
        </w:rPr>
        <w:t>dospievajúcich je</w:t>
      </w:r>
      <w:r w:rsidR="005F5318" w:rsidRPr="0050704B">
        <w:rPr>
          <w:noProof/>
          <w:szCs w:val="22"/>
        </w:rPr>
        <w:t xml:space="preserve"> zistený celkový klírens takmer 800 ml/min/1,73m</w:t>
      </w:r>
      <w:r w:rsidR="005F5318" w:rsidRPr="00F44C96">
        <w:rPr>
          <w:noProof/>
          <w:szCs w:val="22"/>
          <w:vertAlign w:val="superscript"/>
        </w:rPr>
        <w:t xml:space="preserve">2 </w:t>
      </w:r>
      <w:r w:rsidR="005F5318" w:rsidRPr="00E223ED">
        <w:rPr>
          <w:noProof/>
          <w:szCs w:val="22"/>
        </w:rPr>
        <w:t>s vysokým stupňom disperzie. Po</w:t>
      </w:r>
      <w:r w:rsidR="004F0EFA">
        <w:rPr>
          <w:noProof/>
          <w:szCs w:val="22"/>
        </w:rPr>
        <w:t> </w:t>
      </w:r>
      <w:r w:rsidR="005F5318" w:rsidRPr="00E223ED">
        <w:rPr>
          <w:noProof/>
          <w:szCs w:val="22"/>
        </w:rPr>
        <w:t>perorálnom požití sa ranitidín vylúči v priebehu 24 hodín obličkami, približne 30</w:t>
      </w:r>
      <w:r w:rsidR="00172BC2" w:rsidRPr="00DA7902">
        <w:rPr>
          <w:noProof/>
          <w:szCs w:val="22"/>
        </w:rPr>
        <w:t> </w:t>
      </w:r>
      <w:r w:rsidR="005F5318" w:rsidRPr="003B5D38">
        <w:rPr>
          <w:noProof/>
          <w:szCs w:val="22"/>
        </w:rPr>
        <w:t>% ako nezmenený ranitidín až do približne 6</w:t>
      </w:r>
      <w:r w:rsidR="00172BC2" w:rsidRPr="00501CEF">
        <w:rPr>
          <w:noProof/>
          <w:szCs w:val="22"/>
        </w:rPr>
        <w:t> </w:t>
      </w:r>
      <w:r w:rsidR="005F5318" w:rsidRPr="00B25049">
        <w:rPr>
          <w:noProof/>
          <w:szCs w:val="22"/>
        </w:rPr>
        <w:t>% ako N-oxid a v menšom rozsahu ako demetylovaná</w:t>
      </w:r>
      <w:r w:rsidR="005F5318" w:rsidRPr="007F1BBF">
        <w:rPr>
          <w:noProof/>
          <w:szCs w:val="22"/>
        </w:rPr>
        <w:t xml:space="preserve"> forma a forma S-oxidu a ako analóg kyseliny furoovej. U pacientov s normálnou funkciou obličiek sa renálne vylučovanie deje predovšetkým tubulárnou sekréciou s renálnym klírensom približne </w:t>
      </w:r>
      <w:r w:rsidR="005F5318" w:rsidRPr="00AD4326">
        <w:rPr>
          <w:noProof/>
          <w:spacing w:val="-2"/>
          <w:szCs w:val="22"/>
        </w:rPr>
        <w:t>4</w:t>
      </w:r>
      <w:r w:rsidR="005F5318" w:rsidRPr="006D0F6A">
        <w:rPr>
          <w:noProof/>
          <w:szCs w:val="22"/>
        </w:rPr>
        <w:t>9</w:t>
      </w:r>
      <w:r w:rsidR="005F5318" w:rsidRPr="00084F2F">
        <w:rPr>
          <w:noProof/>
          <w:spacing w:val="2"/>
          <w:szCs w:val="22"/>
        </w:rPr>
        <w:t>0</w:t>
      </w:r>
      <w:r w:rsidR="0092370D">
        <w:rPr>
          <w:noProof/>
          <w:spacing w:val="-2"/>
          <w:szCs w:val="22"/>
        </w:rPr>
        <w:t xml:space="preserve"> – </w:t>
      </w:r>
      <w:r w:rsidR="005F5318" w:rsidRPr="00135023">
        <w:rPr>
          <w:noProof/>
          <w:szCs w:val="22"/>
        </w:rPr>
        <w:t xml:space="preserve">520 </w:t>
      </w:r>
      <w:r w:rsidR="005F5318" w:rsidRPr="003D257F">
        <w:rPr>
          <w:noProof/>
          <w:spacing w:val="-4"/>
          <w:szCs w:val="22"/>
        </w:rPr>
        <w:t>m</w:t>
      </w:r>
      <w:r w:rsidR="005F5318" w:rsidRPr="009836E5">
        <w:rPr>
          <w:noProof/>
          <w:spacing w:val="1"/>
          <w:szCs w:val="22"/>
        </w:rPr>
        <w:t>l/</w:t>
      </w:r>
      <w:r w:rsidR="005F5318" w:rsidRPr="00F83D37">
        <w:rPr>
          <w:noProof/>
          <w:spacing w:val="-4"/>
          <w:szCs w:val="22"/>
        </w:rPr>
        <w:t>m</w:t>
      </w:r>
      <w:r w:rsidR="005F5318" w:rsidRPr="00307E1F">
        <w:rPr>
          <w:noProof/>
          <w:spacing w:val="1"/>
          <w:szCs w:val="22"/>
        </w:rPr>
        <w:t>i</w:t>
      </w:r>
      <w:r w:rsidR="005F5318" w:rsidRPr="00734304">
        <w:rPr>
          <w:noProof/>
          <w:szCs w:val="22"/>
        </w:rPr>
        <w:t xml:space="preserve">n. Ranitidín sa vylučuje </w:t>
      </w:r>
      <w:r w:rsidRPr="003A38DD">
        <w:rPr>
          <w:noProof/>
          <w:szCs w:val="22"/>
        </w:rPr>
        <w:t xml:space="preserve">tiež </w:t>
      </w:r>
      <w:r w:rsidR="005F5318" w:rsidRPr="00880543">
        <w:rPr>
          <w:noProof/>
          <w:szCs w:val="22"/>
        </w:rPr>
        <w:t>žlčou.</w:t>
      </w:r>
    </w:p>
    <w:p w:rsidR="00CE3888" w:rsidRPr="00073402" w:rsidRDefault="00CE3888" w:rsidP="00592542">
      <w:pPr>
        <w:ind w:left="0" w:firstLine="0"/>
        <w:rPr>
          <w:noProof/>
          <w:position w:val="1"/>
          <w:szCs w:val="22"/>
        </w:rPr>
      </w:pPr>
    </w:p>
    <w:p w:rsidR="005F5318" w:rsidRPr="001F27B8" w:rsidRDefault="005F5318" w:rsidP="00592542">
      <w:pPr>
        <w:pStyle w:val="Zkladntext"/>
        <w:rPr>
          <w:b/>
          <w:noProof/>
          <w:szCs w:val="22"/>
        </w:rPr>
      </w:pPr>
      <w:r w:rsidRPr="00BC11DD">
        <w:rPr>
          <w:b/>
          <w:noProof/>
          <w:szCs w:val="22"/>
        </w:rPr>
        <w:t>Osobitné skupin</w:t>
      </w:r>
      <w:r w:rsidRPr="001F27B8">
        <w:rPr>
          <w:b/>
          <w:noProof/>
          <w:szCs w:val="22"/>
        </w:rPr>
        <w:t>y pacientov</w:t>
      </w:r>
    </w:p>
    <w:p w:rsidR="005F5318" w:rsidRPr="0093686A" w:rsidRDefault="005F5318" w:rsidP="00592542">
      <w:pPr>
        <w:pStyle w:val="Zkladntext"/>
        <w:rPr>
          <w:noProof/>
          <w:szCs w:val="22"/>
        </w:rPr>
      </w:pPr>
    </w:p>
    <w:p w:rsidR="005F5318" w:rsidRPr="00844C3D" w:rsidRDefault="005F5318" w:rsidP="00592542">
      <w:pPr>
        <w:pStyle w:val="Zkladntext"/>
        <w:rPr>
          <w:b/>
          <w:noProof/>
          <w:szCs w:val="22"/>
          <w:u w:val="single"/>
        </w:rPr>
      </w:pPr>
      <w:r w:rsidRPr="000D1ED9">
        <w:rPr>
          <w:b/>
          <w:noProof/>
          <w:szCs w:val="22"/>
          <w:u w:val="single"/>
        </w:rPr>
        <w:t>Deti (</w:t>
      </w:r>
      <w:r w:rsidR="0092370D">
        <w:rPr>
          <w:b/>
          <w:noProof/>
          <w:szCs w:val="22"/>
          <w:u w:val="single"/>
        </w:rPr>
        <w:t xml:space="preserve">vo veku </w:t>
      </w:r>
      <w:r w:rsidR="00B31276" w:rsidRPr="008D1200">
        <w:rPr>
          <w:b/>
          <w:noProof/>
          <w:szCs w:val="22"/>
          <w:u w:val="single"/>
        </w:rPr>
        <w:t xml:space="preserve">3 roky a </w:t>
      </w:r>
      <w:r w:rsidR="00CE3888" w:rsidRPr="00844C3D">
        <w:rPr>
          <w:b/>
          <w:noProof/>
          <w:szCs w:val="22"/>
          <w:u w:val="single"/>
        </w:rPr>
        <w:t>staršie</w:t>
      </w:r>
      <w:r w:rsidRPr="00844C3D">
        <w:rPr>
          <w:b/>
          <w:noProof/>
          <w:szCs w:val="22"/>
          <w:u w:val="single"/>
        </w:rPr>
        <w:t>)</w:t>
      </w:r>
    </w:p>
    <w:p w:rsidR="005F5318" w:rsidRPr="00454F21" w:rsidRDefault="005F5318" w:rsidP="00592542">
      <w:pPr>
        <w:pStyle w:val="Zkladntext"/>
        <w:rPr>
          <w:noProof/>
          <w:szCs w:val="22"/>
        </w:rPr>
      </w:pPr>
      <w:r w:rsidRPr="006A54E9">
        <w:rPr>
          <w:noProof/>
          <w:szCs w:val="22"/>
        </w:rPr>
        <w:t xml:space="preserve">Obmedzené farmakokinetické údaje </w:t>
      </w:r>
      <w:r w:rsidR="00CE3888" w:rsidRPr="006325B7">
        <w:rPr>
          <w:noProof/>
          <w:szCs w:val="22"/>
        </w:rPr>
        <w:t>preukázali</w:t>
      </w:r>
      <w:r w:rsidRPr="00E02402">
        <w:rPr>
          <w:noProof/>
          <w:szCs w:val="22"/>
        </w:rPr>
        <w:t xml:space="preserve">, že </w:t>
      </w:r>
      <w:r w:rsidR="00B31276" w:rsidRPr="00E02402">
        <w:rPr>
          <w:noProof/>
          <w:szCs w:val="22"/>
        </w:rPr>
        <w:t>nie sú</w:t>
      </w:r>
      <w:r w:rsidRPr="00DF7EBD">
        <w:rPr>
          <w:noProof/>
          <w:szCs w:val="22"/>
        </w:rPr>
        <w:t xml:space="preserve"> žiadne významné rozdiely v polčase (rozsah </w:t>
      </w:r>
      <w:r w:rsidR="00CE3888" w:rsidRPr="00025CF8">
        <w:rPr>
          <w:noProof/>
          <w:szCs w:val="22"/>
        </w:rPr>
        <w:t>u</w:t>
      </w:r>
      <w:r w:rsidRPr="001A6434">
        <w:rPr>
          <w:noProof/>
          <w:szCs w:val="22"/>
        </w:rPr>
        <w:t xml:space="preserve"> det</w:t>
      </w:r>
      <w:r w:rsidR="00CE3888" w:rsidRPr="005016FA">
        <w:rPr>
          <w:noProof/>
          <w:szCs w:val="22"/>
        </w:rPr>
        <w:t xml:space="preserve">í vo veku </w:t>
      </w:r>
      <w:r w:rsidRPr="00B72BAD">
        <w:rPr>
          <w:noProof/>
          <w:szCs w:val="22"/>
        </w:rPr>
        <w:t xml:space="preserve">od 3 rokov a </w:t>
      </w:r>
      <w:r w:rsidR="00CE3888" w:rsidRPr="00227317">
        <w:rPr>
          <w:noProof/>
          <w:szCs w:val="22"/>
        </w:rPr>
        <w:t>viac</w:t>
      </w:r>
      <w:r w:rsidR="00B31276" w:rsidRPr="001C64C6">
        <w:rPr>
          <w:noProof/>
          <w:szCs w:val="22"/>
        </w:rPr>
        <w:t xml:space="preserve"> je </w:t>
      </w:r>
      <w:r w:rsidRPr="00B1415F">
        <w:rPr>
          <w:noProof/>
          <w:szCs w:val="22"/>
        </w:rPr>
        <w:t>1,7</w:t>
      </w:r>
      <w:r w:rsidR="00CD1A52">
        <w:rPr>
          <w:noProof/>
          <w:szCs w:val="22"/>
        </w:rPr>
        <w:t xml:space="preserve"> – </w:t>
      </w:r>
      <w:r w:rsidRPr="00B1415F">
        <w:rPr>
          <w:noProof/>
          <w:szCs w:val="22"/>
        </w:rPr>
        <w:t>2,2 hodín) a</w:t>
      </w:r>
      <w:r w:rsidR="00B31276" w:rsidRPr="00EC6964">
        <w:rPr>
          <w:noProof/>
          <w:szCs w:val="22"/>
        </w:rPr>
        <w:t xml:space="preserve"> </w:t>
      </w:r>
      <w:r w:rsidRPr="00570972">
        <w:rPr>
          <w:noProof/>
          <w:szCs w:val="22"/>
        </w:rPr>
        <w:t>v plazmatick</w:t>
      </w:r>
      <w:r w:rsidR="00B31276" w:rsidRPr="003C0A7E">
        <w:rPr>
          <w:noProof/>
          <w:szCs w:val="22"/>
        </w:rPr>
        <w:t>om</w:t>
      </w:r>
      <w:r w:rsidRPr="00CB76D6">
        <w:rPr>
          <w:noProof/>
          <w:szCs w:val="22"/>
        </w:rPr>
        <w:t xml:space="preserve"> klírens</w:t>
      </w:r>
      <w:r w:rsidR="00B31276" w:rsidRPr="00622DCF">
        <w:rPr>
          <w:noProof/>
          <w:szCs w:val="22"/>
        </w:rPr>
        <w:t>e</w:t>
      </w:r>
      <w:r w:rsidRPr="00EB6778">
        <w:rPr>
          <w:noProof/>
          <w:szCs w:val="22"/>
        </w:rPr>
        <w:t xml:space="preserve"> (rozsah</w:t>
      </w:r>
      <w:r w:rsidR="00B31276" w:rsidRPr="00B345B8">
        <w:rPr>
          <w:noProof/>
          <w:szCs w:val="22"/>
        </w:rPr>
        <w:t xml:space="preserve"> </w:t>
      </w:r>
      <w:r w:rsidR="00CE3888" w:rsidRPr="00D1071A">
        <w:rPr>
          <w:noProof/>
          <w:szCs w:val="22"/>
        </w:rPr>
        <w:t>u detí</w:t>
      </w:r>
      <w:r w:rsidR="00B31276" w:rsidRPr="009348B5">
        <w:rPr>
          <w:noProof/>
          <w:szCs w:val="22"/>
        </w:rPr>
        <w:t xml:space="preserve"> </w:t>
      </w:r>
      <w:r w:rsidR="00CE3888" w:rsidRPr="00324C63">
        <w:rPr>
          <w:noProof/>
          <w:szCs w:val="22"/>
        </w:rPr>
        <w:t xml:space="preserve">vo veku </w:t>
      </w:r>
      <w:r w:rsidR="00B31276" w:rsidRPr="0031044F">
        <w:rPr>
          <w:noProof/>
          <w:szCs w:val="22"/>
        </w:rPr>
        <w:t xml:space="preserve">od 3 rokov a </w:t>
      </w:r>
      <w:r w:rsidR="00CE3888" w:rsidRPr="00B039ED">
        <w:rPr>
          <w:noProof/>
          <w:szCs w:val="22"/>
        </w:rPr>
        <w:t xml:space="preserve">viac </w:t>
      </w:r>
      <w:r w:rsidR="00B31276" w:rsidRPr="000167A9">
        <w:rPr>
          <w:noProof/>
          <w:szCs w:val="22"/>
        </w:rPr>
        <w:t>je</w:t>
      </w:r>
      <w:r w:rsidRPr="00B92A4D">
        <w:rPr>
          <w:noProof/>
          <w:szCs w:val="22"/>
        </w:rPr>
        <w:t xml:space="preserve"> 9</w:t>
      </w:r>
      <w:r w:rsidR="00CD1A52">
        <w:rPr>
          <w:noProof/>
          <w:szCs w:val="22"/>
        </w:rPr>
        <w:t xml:space="preserve"> – </w:t>
      </w:r>
      <w:r w:rsidRPr="00B92A4D">
        <w:rPr>
          <w:noProof/>
          <w:szCs w:val="22"/>
        </w:rPr>
        <w:t>22 ml/min/kg) medzi deťmi a </w:t>
      </w:r>
      <w:r w:rsidR="00B31276" w:rsidRPr="00770ACD">
        <w:rPr>
          <w:noProof/>
          <w:szCs w:val="22"/>
        </w:rPr>
        <w:t xml:space="preserve">zdravými </w:t>
      </w:r>
      <w:r w:rsidRPr="00194F36">
        <w:rPr>
          <w:noProof/>
          <w:szCs w:val="22"/>
        </w:rPr>
        <w:t xml:space="preserve">dospelými, ktorí </w:t>
      </w:r>
      <w:r w:rsidR="00B31276" w:rsidRPr="009279FE">
        <w:rPr>
          <w:noProof/>
          <w:szCs w:val="22"/>
        </w:rPr>
        <w:t>uží</w:t>
      </w:r>
      <w:r w:rsidR="00B31276" w:rsidRPr="00FD18CE">
        <w:rPr>
          <w:noProof/>
          <w:szCs w:val="22"/>
        </w:rPr>
        <w:t>vajú</w:t>
      </w:r>
      <w:r w:rsidRPr="00FD18CE">
        <w:rPr>
          <w:noProof/>
          <w:szCs w:val="22"/>
        </w:rPr>
        <w:t xml:space="preserve"> ranitidín </w:t>
      </w:r>
      <w:r w:rsidR="00B31276" w:rsidRPr="00454F21">
        <w:rPr>
          <w:noProof/>
          <w:szCs w:val="22"/>
        </w:rPr>
        <w:t>perorálne</w:t>
      </w:r>
      <w:r w:rsidRPr="00454F21">
        <w:rPr>
          <w:noProof/>
          <w:szCs w:val="22"/>
        </w:rPr>
        <w:t>, ak sa urobila korekcia na ich telesnú hmotnosť.</w:t>
      </w:r>
    </w:p>
    <w:p w:rsidR="00B31276" w:rsidRPr="00A0777C" w:rsidRDefault="00B31276" w:rsidP="00592542">
      <w:pPr>
        <w:pStyle w:val="Zkladntext"/>
        <w:rPr>
          <w:noProof/>
          <w:szCs w:val="22"/>
        </w:rPr>
      </w:pPr>
    </w:p>
    <w:p w:rsidR="00780926" w:rsidRPr="00644245" w:rsidRDefault="00780926" w:rsidP="00592542">
      <w:pPr>
        <w:rPr>
          <w:noProof/>
          <w:szCs w:val="22"/>
        </w:rPr>
      </w:pPr>
      <w:r w:rsidRPr="00644245">
        <w:rPr>
          <w:b/>
          <w:noProof/>
          <w:szCs w:val="22"/>
        </w:rPr>
        <w:t>5.3</w:t>
      </w:r>
      <w:r w:rsidRPr="00644245">
        <w:rPr>
          <w:b/>
          <w:noProof/>
          <w:szCs w:val="22"/>
        </w:rPr>
        <w:tab/>
        <w:t>Predklinické údaje o bezpečnosti</w:t>
      </w:r>
    </w:p>
    <w:p w:rsidR="00780926" w:rsidRPr="00BA5233" w:rsidRDefault="00780926" w:rsidP="00592542">
      <w:pPr>
        <w:rPr>
          <w:noProof/>
          <w:szCs w:val="22"/>
        </w:rPr>
      </w:pPr>
    </w:p>
    <w:p w:rsidR="00780926" w:rsidRPr="003616B2" w:rsidRDefault="00780926" w:rsidP="00592542">
      <w:pPr>
        <w:ind w:left="0" w:firstLine="0"/>
        <w:rPr>
          <w:noProof/>
          <w:szCs w:val="22"/>
        </w:rPr>
      </w:pPr>
      <w:r w:rsidRPr="006E4345">
        <w:rPr>
          <w:noProof/>
          <w:szCs w:val="22"/>
        </w:rPr>
        <w:t>Predklinické údaje získané na základe obvyklých farmakologických štúdií bezpečnosti, toxicity po</w:t>
      </w:r>
      <w:r w:rsidR="00CD1A52">
        <w:rPr>
          <w:noProof/>
          <w:szCs w:val="22"/>
        </w:rPr>
        <w:t> </w:t>
      </w:r>
      <w:r w:rsidRPr="006E4345">
        <w:rPr>
          <w:noProof/>
          <w:szCs w:val="22"/>
        </w:rPr>
        <w:t>opakovanom pod</w:t>
      </w:r>
      <w:r w:rsidR="00CD1A52">
        <w:rPr>
          <w:noProof/>
          <w:szCs w:val="22"/>
        </w:rPr>
        <w:t>áva</w:t>
      </w:r>
      <w:r w:rsidRPr="006E4345">
        <w:rPr>
          <w:noProof/>
          <w:szCs w:val="22"/>
        </w:rPr>
        <w:t>ní, genotoxicity, karcinogénne</w:t>
      </w:r>
      <w:r w:rsidRPr="009F30D8">
        <w:rPr>
          <w:noProof/>
          <w:szCs w:val="22"/>
        </w:rPr>
        <w:t>ho potenciálu</w:t>
      </w:r>
      <w:r w:rsidR="00E1698A" w:rsidRPr="002320F5">
        <w:rPr>
          <w:noProof/>
          <w:szCs w:val="22"/>
        </w:rPr>
        <w:t xml:space="preserve">, </w:t>
      </w:r>
      <w:r w:rsidRPr="00D048E9">
        <w:rPr>
          <w:noProof/>
          <w:szCs w:val="22"/>
        </w:rPr>
        <w:t>reprodukčnej toxicity neodhalili ž</w:t>
      </w:r>
      <w:r w:rsidR="00B31276" w:rsidRPr="00D048E9">
        <w:rPr>
          <w:noProof/>
          <w:szCs w:val="22"/>
        </w:rPr>
        <w:t>iadne osobitné riziko pre ľudí.</w:t>
      </w:r>
    </w:p>
    <w:p w:rsidR="00780926" w:rsidRPr="00B60DBE" w:rsidRDefault="00780926" w:rsidP="00592542">
      <w:pPr>
        <w:rPr>
          <w:noProof/>
          <w:szCs w:val="22"/>
        </w:rPr>
      </w:pPr>
    </w:p>
    <w:p w:rsidR="00E1698A" w:rsidRPr="001E42BA" w:rsidRDefault="00E1698A" w:rsidP="00592542">
      <w:pPr>
        <w:rPr>
          <w:noProof/>
          <w:szCs w:val="22"/>
        </w:rPr>
      </w:pPr>
    </w:p>
    <w:p w:rsidR="00780926" w:rsidRPr="00764CC4" w:rsidRDefault="00780926" w:rsidP="00592542">
      <w:pPr>
        <w:rPr>
          <w:b/>
          <w:noProof/>
          <w:szCs w:val="22"/>
        </w:rPr>
      </w:pPr>
      <w:r w:rsidRPr="00764CC4">
        <w:rPr>
          <w:b/>
          <w:noProof/>
          <w:szCs w:val="22"/>
        </w:rPr>
        <w:t>6.</w:t>
      </w:r>
      <w:r w:rsidRPr="00764CC4">
        <w:rPr>
          <w:b/>
          <w:noProof/>
          <w:szCs w:val="22"/>
        </w:rPr>
        <w:tab/>
        <w:t>FARMACEUTICKÉ INFORMÁCIE</w:t>
      </w:r>
    </w:p>
    <w:p w:rsidR="00780926" w:rsidRPr="00E95D17" w:rsidRDefault="00780926" w:rsidP="00592542">
      <w:pPr>
        <w:rPr>
          <w:noProof/>
          <w:szCs w:val="22"/>
        </w:rPr>
      </w:pPr>
    </w:p>
    <w:p w:rsidR="00780926" w:rsidRPr="00095A49" w:rsidRDefault="00780926" w:rsidP="00592542">
      <w:pPr>
        <w:rPr>
          <w:noProof/>
          <w:szCs w:val="22"/>
        </w:rPr>
      </w:pPr>
      <w:r w:rsidRPr="00095A49">
        <w:rPr>
          <w:b/>
          <w:noProof/>
          <w:szCs w:val="22"/>
        </w:rPr>
        <w:t>6.1</w:t>
      </w:r>
      <w:r w:rsidRPr="00095A49">
        <w:rPr>
          <w:b/>
          <w:noProof/>
          <w:szCs w:val="22"/>
        </w:rPr>
        <w:tab/>
        <w:t>Zoznam pomocných látok</w:t>
      </w:r>
    </w:p>
    <w:p w:rsidR="00780926" w:rsidRPr="004F0EFA" w:rsidRDefault="00780926" w:rsidP="00592542">
      <w:pPr>
        <w:rPr>
          <w:noProof/>
          <w:szCs w:val="22"/>
        </w:rPr>
      </w:pPr>
    </w:p>
    <w:p w:rsidR="00634656" w:rsidRPr="0092370D" w:rsidRDefault="00634656" w:rsidP="00592542">
      <w:pPr>
        <w:rPr>
          <w:b/>
          <w:noProof/>
          <w:szCs w:val="22"/>
        </w:rPr>
      </w:pPr>
      <w:r w:rsidRPr="0092370D">
        <w:rPr>
          <w:b/>
          <w:noProof/>
          <w:szCs w:val="22"/>
        </w:rPr>
        <w:t>Ranitidine Accord 150</w:t>
      </w:r>
      <w:r w:rsidR="00677951">
        <w:rPr>
          <w:b/>
          <w:noProof/>
          <w:szCs w:val="22"/>
        </w:rPr>
        <w:t xml:space="preserve"> </w:t>
      </w:r>
      <w:r w:rsidRPr="0092370D">
        <w:rPr>
          <w:b/>
          <w:noProof/>
          <w:szCs w:val="22"/>
        </w:rPr>
        <w:t>mg a 300 mg filmom obalené tablety</w:t>
      </w:r>
    </w:p>
    <w:p w:rsidR="00780926" w:rsidRPr="00CD1A52" w:rsidRDefault="00780926" w:rsidP="00592542">
      <w:pPr>
        <w:rPr>
          <w:noProof/>
          <w:szCs w:val="22"/>
        </w:rPr>
      </w:pPr>
    </w:p>
    <w:p w:rsidR="00634656" w:rsidRPr="000759AF" w:rsidRDefault="00634656" w:rsidP="00592542">
      <w:pPr>
        <w:rPr>
          <w:b/>
          <w:noProof/>
          <w:szCs w:val="22"/>
        </w:rPr>
      </w:pPr>
      <w:r w:rsidRPr="000759AF">
        <w:rPr>
          <w:b/>
          <w:noProof/>
          <w:szCs w:val="22"/>
        </w:rPr>
        <w:t>Jadro tablety:</w:t>
      </w:r>
    </w:p>
    <w:p w:rsidR="00634656" w:rsidRPr="00CD4DE0" w:rsidRDefault="00634656" w:rsidP="00592542">
      <w:pPr>
        <w:rPr>
          <w:b/>
          <w:noProof/>
          <w:szCs w:val="22"/>
        </w:rPr>
      </w:pPr>
    </w:p>
    <w:p w:rsidR="00634656" w:rsidRPr="00CD4DE0" w:rsidRDefault="00093407" w:rsidP="00592542">
      <w:pPr>
        <w:rPr>
          <w:noProof/>
          <w:szCs w:val="22"/>
        </w:rPr>
      </w:pPr>
      <w:r w:rsidRPr="00CD4DE0">
        <w:rPr>
          <w:noProof/>
          <w:szCs w:val="22"/>
        </w:rPr>
        <w:t>m</w:t>
      </w:r>
      <w:r w:rsidR="00634656" w:rsidRPr="00CD4DE0">
        <w:rPr>
          <w:noProof/>
          <w:szCs w:val="22"/>
        </w:rPr>
        <w:t>ikrokryštalická celulóza (</w:t>
      </w:r>
      <w:r w:rsidR="004963B7" w:rsidRPr="00CD4DE0">
        <w:rPr>
          <w:noProof/>
          <w:szCs w:val="22"/>
        </w:rPr>
        <w:t>E460</w:t>
      </w:r>
      <w:r w:rsidR="00634656" w:rsidRPr="00CD4DE0">
        <w:rPr>
          <w:noProof/>
          <w:szCs w:val="22"/>
        </w:rPr>
        <w:t>)</w:t>
      </w:r>
    </w:p>
    <w:p w:rsidR="00634656" w:rsidRPr="00172CCA" w:rsidRDefault="00093407" w:rsidP="00592542">
      <w:pPr>
        <w:rPr>
          <w:noProof/>
          <w:spacing w:val="-4"/>
          <w:szCs w:val="22"/>
        </w:rPr>
      </w:pPr>
      <w:r w:rsidRPr="00CD4DE0">
        <w:rPr>
          <w:noProof/>
          <w:szCs w:val="22"/>
        </w:rPr>
        <w:t>s</w:t>
      </w:r>
      <w:r w:rsidR="00634656" w:rsidRPr="00CD4DE0">
        <w:rPr>
          <w:noProof/>
          <w:szCs w:val="22"/>
        </w:rPr>
        <w:t xml:space="preserve">odná soľ </w:t>
      </w:r>
      <w:proofErr w:type="spellStart"/>
      <w:r w:rsidR="004963B7" w:rsidRPr="00C8276E">
        <w:rPr>
          <w:szCs w:val="22"/>
        </w:rPr>
        <w:t>k</w:t>
      </w:r>
      <w:r w:rsidR="00CD4DE0">
        <w:rPr>
          <w:szCs w:val="22"/>
        </w:rPr>
        <w:t>roskarme</w:t>
      </w:r>
      <w:r w:rsidR="004963B7" w:rsidRPr="00C8276E">
        <w:rPr>
          <w:szCs w:val="22"/>
        </w:rPr>
        <w:t>lózy</w:t>
      </w:r>
      <w:proofErr w:type="spellEnd"/>
      <w:r w:rsidR="00634656" w:rsidRPr="00172CCA">
        <w:rPr>
          <w:noProof/>
          <w:szCs w:val="22"/>
        </w:rPr>
        <w:t xml:space="preserve"> </w:t>
      </w:r>
      <w:r w:rsidR="00634656" w:rsidRPr="00172CCA">
        <w:rPr>
          <w:noProof/>
          <w:spacing w:val="-4"/>
          <w:szCs w:val="22"/>
        </w:rPr>
        <w:t>(E468)</w:t>
      </w:r>
    </w:p>
    <w:p w:rsidR="00634656" w:rsidRPr="00CC627C" w:rsidRDefault="00093407" w:rsidP="00592542">
      <w:pPr>
        <w:rPr>
          <w:noProof/>
          <w:szCs w:val="22"/>
        </w:rPr>
      </w:pPr>
      <w:r w:rsidRPr="00321B28">
        <w:rPr>
          <w:noProof/>
          <w:szCs w:val="22"/>
        </w:rPr>
        <w:t>k</w:t>
      </w:r>
      <w:r w:rsidR="00FB5BDA" w:rsidRPr="00321B28">
        <w:rPr>
          <w:noProof/>
          <w:szCs w:val="22"/>
        </w:rPr>
        <w:t>oloidný</w:t>
      </w:r>
      <w:r w:rsidR="008711C0">
        <w:rPr>
          <w:noProof/>
          <w:szCs w:val="22"/>
        </w:rPr>
        <w:t>, bezvodý</w:t>
      </w:r>
      <w:r w:rsidR="00FB5BDA" w:rsidRPr="00321B28">
        <w:rPr>
          <w:noProof/>
          <w:szCs w:val="22"/>
        </w:rPr>
        <w:t xml:space="preserve"> oxid kremičitý (E551)</w:t>
      </w:r>
    </w:p>
    <w:p w:rsidR="00634656" w:rsidRPr="002B16BA" w:rsidRDefault="00093407" w:rsidP="00592542">
      <w:pPr>
        <w:rPr>
          <w:noProof/>
          <w:spacing w:val="-2"/>
          <w:szCs w:val="22"/>
        </w:rPr>
      </w:pPr>
      <w:r w:rsidRPr="002B16BA">
        <w:rPr>
          <w:noProof/>
          <w:szCs w:val="22"/>
        </w:rPr>
        <w:t>m</w:t>
      </w:r>
      <w:r w:rsidR="00FB5BDA" w:rsidRPr="002B16BA">
        <w:rPr>
          <w:noProof/>
          <w:szCs w:val="22"/>
        </w:rPr>
        <w:t xml:space="preserve">astenec </w:t>
      </w:r>
      <w:r w:rsidR="00FB5BDA" w:rsidRPr="002B16BA">
        <w:rPr>
          <w:noProof/>
          <w:spacing w:val="-2"/>
          <w:szCs w:val="22"/>
        </w:rPr>
        <w:t>(E553b)</w:t>
      </w:r>
    </w:p>
    <w:p w:rsidR="00FB5BDA" w:rsidRPr="00A7071C" w:rsidRDefault="00093407" w:rsidP="00592542">
      <w:pPr>
        <w:rPr>
          <w:noProof/>
          <w:spacing w:val="-2"/>
          <w:szCs w:val="22"/>
        </w:rPr>
      </w:pPr>
      <w:r>
        <w:rPr>
          <w:noProof/>
          <w:spacing w:val="-2"/>
          <w:szCs w:val="22"/>
        </w:rPr>
        <w:t>s</w:t>
      </w:r>
      <w:r w:rsidR="00A279FF">
        <w:rPr>
          <w:noProof/>
          <w:spacing w:val="-2"/>
          <w:szCs w:val="22"/>
        </w:rPr>
        <w:t>tearan horečnatý</w:t>
      </w:r>
      <w:r w:rsidR="00FB5BDA" w:rsidRPr="00A7071C">
        <w:rPr>
          <w:noProof/>
          <w:spacing w:val="-2"/>
          <w:szCs w:val="22"/>
        </w:rPr>
        <w:t xml:space="preserve"> (E572)</w:t>
      </w:r>
    </w:p>
    <w:p w:rsidR="00FB5BDA" w:rsidRPr="0049301E" w:rsidRDefault="00FB5BDA" w:rsidP="00592542">
      <w:pPr>
        <w:rPr>
          <w:noProof/>
          <w:szCs w:val="22"/>
        </w:rPr>
      </w:pPr>
    </w:p>
    <w:p w:rsidR="00FB5BDA" w:rsidRPr="0007548D" w:rsidRDefault="00FB5BDA" w:rsidP="00592542">
      <w:pPr>
        <w:rPr>
          <w:b/>
          <w:noProof/>
          <w:szCs w:val="22"/>
        </w:rPr>
      </w:pPr>
      <w:r w:rsidRPr="0007548D">
        <w:rPr>
          <w:b/>
          <w:noProof/>
          <w:szCs w:val="22"/>
        </w:rPr>
        <w:t>Obal tablety:</w:t>
      </w:r>
    </w:p>
    <w:p w:rsidR="00FB5BDA" w:rsidRPr="00A06AA1" w:rsidRDefault="00FB5BDA" w:rsidP="00592542">
      <w:pPr>
        <w:rPr>
          <w:b/>
          <w:noProof/>
          <w:szCs w:val="22"/>
        </w:rPr>
      </w:pPr>
    </w:p>
    <w:p w:rsidR="00FB5BDA" w:rsidRPr="00261532" w:rsidRDefault="00093407" w:rsidP="00592542">
      <w:pPr>
        <w:rPr>
          <w:noProof/>
          <w:szCs w:val="22"/>
        </w:rPr>
      </w:pPr>
      <w:r w:rsidRPr="00261532">
        <w:rPr>
          <w:noProof/>
          <w:szCs w:val="22"/>
        </w:rPr>
        <w:t>h</w:t>
      </w:r>
      <w:r w:rsidR="00FB5BDA" w:rsidRPr="00261532">
        <w:rPr>
          <w:noProof/>
          <w:szCs w:val="22"/>
        </w:rPr>
        <w:t>y</w:t>
      </w:r>
      <w:r w:rsidR="007B31C2">
        <w:rPr>
          <w:noProof/>
          <w:szCs w:val="22"/>
        </w:rPr>
        <w:t>prome</w:t>
      </w:r>
      <w:r w:rsidR="00FB5BDA" w:rsidRPr="00261532">
        <w:rPr>
          <w:noProof/>
          <w:szCs w:val="22"/>
        </w:rPr>
        <w:t>lóza (E464)</w:t>
      </w:r>
    </w:p>
    <w:p w:rsidR="00FB5BDA" w:rsidRPr="003A2E04" w:rsidRDefault="00093407" w:rsidP="00592542">
      <w:pPr>
        <w:rPr>
          <w:noProof/>
          <w:szCs w:val="22"/>
        </w:rPr>
      </w:pPr>
      <w:r w:rsidRPr="003A2E04">
        <w:rPr>
          <w:noProof/>
          <w:szCs w:val="22"/>
        </w:rPr>
        <w:t>r</w:t>
      </w:r>
      <w:r w:rsidR="00FB5BDA" w:rsidRPr="003A2E04">
        <w:rPr>
          <w:noProof/>
          <w:szCs w:val="22"/>
        </w:rPr>
        <w:t>ic</w:t>
      </w:r>
      <w:r w:rsidR="0060637B">
        <w:rPr>
          <w:noProof/>
          <w:szCs w:val="22"/>
        </w:rPr>
        <w:t>í</w:t>
      </w:r>
      <w:r w:rsidR="00FB5BDA" w:rsidRPr="003A2E04">
        <w:rPr>
          <w:noProof/>
          <w:szCs w:val="22"/>
        </w:rPr>
        <w:t>nový olej</w:t>
      </w:r>
    </w:p>
    <w:p w:rsidR="00FB5BDA" w:rsidRPr="0056687E" w:rsidRDefault="00093407" w:rsidP="00592542">
      <w:pPr>
        <w:rPr>
          <w:noProof/>
          <w:szCs w:val="22"/>
        </w:rPr>
      </w:pPr>
      <w:r w:rsidRPr="0024190F">
        <w:rPr>
          <w:noProof/>
          <w:szCs w:val="22"/>
        </w:rPr>
        <w:t>o</w:t>
      </w:r>
      <w:r w:rsidR="00FB5BDA" w:rsidRPr="0024190F">
        <w:rPr>
          <w:noProof/>
          <w:szCs w:val="22"/>
        </w:rPr>
        <w:t>xid ti</w:t>
      </w:r>
      <w:r w:rsidR="00FB5BDA" w:rsidRPr="0056687E">
        <w:rPr>
          <w:noProof/>
          <w:szCs w:val="22"/>
        </w:rPr>
        <w:t>taničitý (E171)</w:t>
      </w:r>
    </w:p>
    <w:p w:rsidR="00FB5BDA" w:rsidRPr="00301E12" w:rsidRDefault="00093407" w:rsidP="00592542">
      <w:pPr>
        <w:rPr>
          <w:noProof/>
          <w:szCs w:val="22"/>
        </w:rPr>
      </w:pPr>
      <w:r w:rsidRPr="00301E12">
        <w:rPr>
          <w:noProof/>
          <w:szCs w:val="22"/>
        </w:rPr>
        <w:t>ž</w:t>
      </w:r>
      <w:r w:rsidR="00FB5BDA" w:rsidRPr="00301E12">
        <w:rPr>
          <w:noProof/>
          <w:szCs w:val="22"/>
        </w:rPr>
        <w:t>ltý oxid železitý (E172)</w:t>
      </w:r>
    </w:p>
    <w:p w:rsidR="00FB5BDA" w:rsidRPr="008930DD" w:rsidRDefault="00093407" w:rsidP="00592542">
      <w:pPr>
        <w:rPr>
          <w:noProof/>
          <w:szCs w:val="22"/>
        </w:rPr>
      </w:pPr>
      <w:r w:rsidRPr="008930DD">
        <w:rPr>
          <w:noProof/>
          <w:szCs w:val="22"/>
        </w:rPr>
        <w:t>m</w:t>
      </w:r>
      <w:r w:rsidR="00FB5BDA" w:rsidRPr="008930DD">
        <w:rPr>
          <w:noProof/>
          <w:szCs w:val="22"/>
        </w:rPr>
        <w:t>astenec (E553b)</w:t>
      </w:r>
    </w:p>
    <w:p w:rsidR="00FB5BDA" w:rsidRPr="00576DF6" w:rsidRDefault="00FB5BDA" w:rsidP="00592542">
      <w:pPr>
        <w:rPr>
          <w:b/>
          <w:noProof/>
          <w:szCs w:val="22"/>
        </w:rPr>
      </w:pPr>
    </w:p>
    <w:p w:rsidR="00780926" w:rsidRPr="00D07A3E" w:rsidRDefault="00780926" w:rsidP="00592542">
      <w:pPr>
        <w:rPr>
          <w:noProof/>
          <w:szCs w:val="22"/>
        </w:rPr>
      </w:pPr>
      <w:r w:rsidRPr="00D07A3E">
        <w:rPr>
          <w:b/>
          <w:noProof/>
          <w:szCs w:val="22"/>
        </w:rPr>
        <w:t>6.2</w:t>
      </w:r>
      <w:r w:rsidRPr="00D07A3E">
        <w:rPr>
          <w:b/>
          <w:noProof/>
          <w:szCs w:val="22"/>
        </w:rPr>
        <w:tab/>
        <w:t>Inkompatibility</w:t>
      </w:r>
    </w:p>
    <w:p w:rsidR="00780926" w:rsidRPr="005C40B4" w:rsidRDefault="00780926" w:rsidP="00592542">
      <w:pPr>
        <w:rPr>
          <w:noProof/>
          <w:szCs w:val="22"/>
        </w:rPr>
      </w:pPr>
    </w:p>
    <w:p w:rsidR="00780926" w:rsidRPr="00E94519" w:rsidRDefault="00780926" w:rsidP="00592542">
      <w:pPr>
        <w:rPr>
          <w:noProof/>
          <w:szCs w:val="22"/>
        </w:rPr>
      </w:pPr>
      <w:r w:rsidRPr="0052067A">
        <w:rPr>
          <w:noProof/>
          <w:szCs w:val="22"/>
        </w:rPr>
        <w:t>Neaplikovateľné</w:t>
      </w:r>
      <w:r w:rsidR="00FB5BDA" w:rsidRPr="00306F83">
        <w:rPr>
          <w:noProof/>
          <w:szCs w:val="22"/>
        </w:rPr>
        <w:t>.</w:t>
      </w:r>
    </w:p>
    <w:p w:rsidR="00780926" w:rsidRPr="001D0EB1" w:rsidRDefault="00780926" w:rsidP="00592542">
      <w:pPr>
        <w:rPr>
          <w:noProof/>
          <w:szCs w:val="22"/>
        </w:rPr>
      </w:pPr>
    </w:p>
    <w:p w:rsidR="00780926" w:rsidRPr="00407DB6" w:rsidRDefault="00780926" w:rsidP="00592542">
      <w:pPr>
        <w:rPr>
          <w:noProof/>
          <w:szCs w:val="22"/>
        </w:rPr>
      </w:pPr>
      <w:r w:rsidRPr="00E212AB">
        <w:rPr>
          <w:b/>
          <w:noProof/>
          <w:szCs w:val="22"/>
        </w:rPr>
        <w:t>6.3</w:t>
      </w:r>
      <w:r w:rsidRPr="00E212AB">
        <w:rPr>
          <w:b/>
          <w:noProof/>
          <w:szCs w:val="22"/>
        </w:rPr>
        <w:tab/>
        <w:t>Čas použiteľnosti</w:t>
      </w:r>
    </w:p>
    <w:p w:rsidR="00780926" w:rsidRPr="001032C9" w:rsidRDefault="00780926" w:rsidP="00592542">
      <w:pPr>
        <w:rPr>
          <w:noProof/>
          <w:szCs w:val="22"/>
        </w:rPr>
      </w:pPr>
    </w:p>
    <w:p w:rsidR="00780926" w:rsidRPr="002B700A" w:rsidRDefault="00F31F48" w:rsidP="00592542">
      <w:pPr>
        <w:ind w:left="540" w:hanging="540"/>
        <w:rPr>
          <w:noProof/>
          <w:szCs w:val="22"/>
        </w:rPr>
      </w:pPr>
      <w:r>
        <w:rPr>
          <w:noProof/>
          <w:szCs w:val="22"/>
        </w:rPr>
        <w:t>3</w:t>
      </w:r>
      <w:r w:rsidRPr="007129CD">
        <w:rPr>
          <w:noProof/>
          <w:szCs w:val="22"/>
        </w:rPr>
        <w:t> </w:t>
      </w:r>
      <w:r w:rsidR="00780926" w:rsidRPr="007129CD">
        <w:rPr>
          <w:noProof/>
          <w:szCs w:val="22"/>
        </w:rPr>
        <w:t>roky</w:t>
      </w:r>
      <w:r w:rsidR="00777AF0" w:rsidRPr="00AF4EC7">
        <w:rPr>
          <w:noProof/>
          <w:szCs w:val="22"/>
        </w:rPr>
        <w:t>.</w:t>
      </w:r>
    </w:p>
    <w:p w:rsidR="00780926" w:rsidRPr="0042378E" w:rsidRDefault="00780926" w:rsidP="00592542">
      <w:pPr>
        <w:rPr>
          <w:noProof/>
          <w:szCs w:val="22"/>
        </w:rPr>
      </w:pPr>
    </w:p>
    <w:p w:rsidR="00780926" w:rsidRPr="009F342E" w:rsidRDefault="00780926" w:rsidP="00592542">
      <w:pPr>
        <w:rPr>
          <w:b/>
          <w:noProof/>
          <w:szCs w:val="22"/>
        </w:rPr>
      </w:pPr>
      <w:r w:rsidRPr="009F342E">
        <w:rPr>
          <w:b/>
          <w:noProof/>
          <w:szCs w:val="22"/>
        </w:rPr>
        <w:t>6.4</w:t>
      </w:r>
      <w:r w:rsidRPr="009F342E">
        <w:rPr>
          <w:b/>
          <w:noProof/>
          <w:szCs w:val="22"/>
        </w:rPr>
        <w:tab/>
        <w:t>Špeciálne upozornenia na uchovávanie</w:t>
      </w:r>
    </w:p>
    <w:p w:rsidR="00777AF0" w:rsidRPr="000C6CCC" w:rsidRDefault="00777AF0" w:rsidP="00592542">
      <w:pPr>
        <w:rPr>
          <w:b/>
          <w:noProof/>
          <w:szCs w:val="22"/>
        </w:rPr>
      </w:pPr>
    </w:p>
    <w:p w:rsidR="00777AF0" w:rsidRPr="00A24B51" w:rsidRDefault="00777AF0" w:rsidP="00592542">
      <w:pPr>
        <w:rPr>
          <w:noProof/>
          <w:szCs w:val="22"/>
        </w:rPr>
      </w:pPr>
      <w:r w:rsidRPr="00A24B51">
        <w:rPr>
          <w:noProof/>
          <w:szCs w:val="22"/>
        </w:rPr>
        <w:t>Tento liek nevyžaduje žiadne zvláštne podmienky na uchovávanie.</w:t>
      </w:r>
    </w:p>
    <w:p w:rsidR="00777AF0" w:rsidRPr="00B971D7" w:rsidRDefault="00777AF0" w:rsidP="00592542">
      <w:pPr>
        <w:rPr>
          <w:noProof/>
          <w:szCs w:val="22"/>
        </w:rPr>
      </w:pPr>
    </w:p>
    <w:p w:rsidR="00780926" w:rsidRPr="00D968C8" w:rsidRDefault="00780926" w:rsidP="00592542">
      <w:pPr>
        <w:rPr>
          <w:noProof/>
          <w:szCs w:val="22"/>
        </w:rPr>
      </w:pPr>
      <w:r w:rsidRPr="00C02928">
        <w:rPr>
          <w:b/>
          <w:noProof/>
          <w:szCs w:val="22"/>
        </w:rPr>
        <w:t>6.5</w:t>
      </w:r>
      <w:r w:rsidRPr="00C02928">
        <w:rPr>
          <w:b/>
          <w:noProof/>
          <w:szCs w:val="22"/>
        </w:rPr>
        <w:tab/>
        <w:t>Druh obalu a obsah balenia</w:t>
      </w:r>
    </w:p>
    <w:p w:rsidR="00780926" w:rsidRPr="0050704B" w:rsidRDefault="00780926" w:rsidP="00592542">
      <w:pPr>
        <w:rPr>
          <w:noProof/>
          <w:szCs w:val="22"/>
        </w:rPr>
      </w:pPr>
    </w:p>
    <w:p w:rsidR="00777AF0" w:rsidRDefault="00777AF0" w:rsidP="00592542">
      <w:pPr>
        <w:rPr>
          <w:noProof/>
          <w:szCs w:val="22"/>
        </w:rPr>
      </w:pPr>
      <w:r w:rsidRPr="00F44C96">
        <w:rPr>
          <w:noProof/>
          <w:szCs w:val="22"/>
        </w:rPr>
        <w:t xml:space="preserve">Ranitidín 150 mg a 300 mg tablety sú balené v hliníkových blistroch </w:t>
      </w:r>
      <w:r w:rsidR="00CA145E">
        <w:rPr>
          <w:noProof/>
          <w:szCs w:val="22"/>
        </w:rPr>
        <w:t>po</w:t>
      </w:r>
      <w:r w:rsidRPr="00F44C96">
        <w:rPr>
          <w:noProof/>
          <w:szCs w:val="22"/>
        </w:rPr>
        <w:t xml:space="preserve"> 10 tabl</w:t>
      </w:r>
      <w:r w:rsidR="00CA145E">
        <w:rPr>
          <w:noProof/>
          <w:szCs w:val="22"/>
        </w:rPr>
        <w:t>iet</w:t>
      </w:r>
      <w:r w:rsidRPr="00F44C96">
        <w:rPr>
          <w:noProof/>
          <w:szCs w:val="22"/>
        </w:rPr>
        <w:t>.</w:t>
      </w:r>
    </w:p>
    <w:p w:rsidR="00C02928" w:rsidRDefault="00C02928" w:rsidP="0093686A">
      <w:pPr>
        <w:ind w:left="0" w:firstLine="0"/>
        <w:rPr>
          <w:noProof/>
          <w:szCs w:val="22"/>
        </w:rPr>
      </w:pPr>
    </w:p>
    <w:p w:rsidR="00C645AE" w:rsidRDefault="00DF1615" w:rsidP="0093686A">
      <w:pPr>
        <w:ind w:left="0" w:firstLine="0"/>
        <w:rPr>
          <w:noProof/>
          <w:szCs w:val="22"/>
        </w:rPr>
      </w:pPr>
      <w:r w:rsidRPr="00DF1615">
        <w:rPr>
          <w:noProof/>
          <w:szCs w:val="22"/>
        </w:rPr>
        <w:t>Ranitidine Accord 150 mg filmom obalené tablety sú dodávané v baleniach obsahujúcich 30,</w:t>
      </w:r>
      <w:r w:rsidR="00AF63E5">
        <w:rPr>
          <w:noProof/>
          <w:szCs w:val="22"/>
        </w:rPr>
        <w:t xml:space="preserve"> </w:t>
      </w:r>
      <w:r w:rsidRPr="00DF1615">
        <w:rPr>
          <w:noProof/>
          <w:szCs w:val="22"/>
        </w:rPr>
        <w:t>60 a 100 tabliet.</w:t>
      </w:r>
    </w:p>
    <w:p w:rsidR="00C645AE" w:rsidRDefault="00DF1615" w:rsidP="0093686A">
      <w:pPr>
        <w:ind w:left="0" w:firstLine="0"/>
        <w:rPr>
          <w:noProof/>
          <w:szCs w:val="22"/>
        </w:rPr>
      </w:pPr>
      <w:r w:rsidRPr="00DF1615">
        <w:rPr>
          <w:noProof/>
          <w:szCs w:val="22"/>
        </w:rPr>
        <w:t>Ranitidine Accord 300 mg filmom obalené tablety sú dodávané v baleniach obsahujúcich 30,</w:t>
      </w:r>
      <w:r w:rsidR="00AF63E5">
        <w:rPr>
          <w:noProof/>
          <w:szCs w:val="22"/>
        </w:rPr>
        <w:t xml:space="preserve"> </w:t>
      </w:r>
      <w:r w:rsidRPr="00DF1615">
        <w:rPr>
          <w:noProof/>
          <w:szCs w:val="22"/>
        </w:rPr>
        <w:t>60 a 100 tabliet.</w:t>
      </w:r>
    </w:p>
    <w:p w:rsidR="00C02928" w:rsidRDefault="00C02928" w:rsidP="0093686A">
      <w:pPr>
        <w:ind w:left="0" w:firstLine="0"/>
        <w:rPr>
          <w:noProof/>
          <w:szCs w:val="22"/>
        </w:rPr>
      </w:pPr>
    </w:p>
    <w:p w:rsidR="00780926" w:rsidRPr="007F1BBF" w:rsidRDefault="00CA145E" w:rsidP="00592542">
      <w:pPr>
        <w:rPr>
          <w:noProof/>
          <w:szCs w:val="22"/>
        </w:rPr>
      </w:pPr>
      <w:r>
        <w:rPr>
          <w:noProof/>
          <w:szCs w:val="22"/>
        </w:rPr>
        <w:t xml:space="preserve">Na trh nemusia byť uvedené </w:t>
      </w:r>
      <w:r w:rsidR="00780926" w:rsidRPr="00501CEF">
        <w:rPr>
          <w:noProof/>
          <w:szCs w:val="22"/>
        </w:rPr>
        <w:t>všetky veľkosti balenia</w:t>
      </w:r>
      <w:r w:rsidR="00777AF0" w:rsidRPr="00B25049">
        <w:rPr>
          <w:noProof/>
          <w:szCs w:val="22"/>
        </w:rPr>
        <w:t>.</w:t>
      </w:r>
    </w:p>
    <w:p w:rsidR="00780926" w:rsidRPr="00AD4326" w:rsidRDefault="00780926" w:rsidP="00592542">
      <w:pPr>
        <w:rPr>
          <w:noProof/>
          <w:szCs w:val="22"/>
        </w:rPr>
      </w:pPr>
    </w:p>
    <w:p w:rsidR="00780926" w:rsidRPr="009836E5" w:rsidRDefault="00780926" w:rsidP="00592542">
      <w:pPr>
        <w:rPr>
          <w:b/>
          <w:bCs/>
          <w:noProof/>
          <w:szCs w:val="22"/>
        </w:rPr>
      </w:pPr>
      <w:r w:rsidRPr="006D0F6A">
        <w:rPr>
          <w:b/>
          <w:noProof/>
          <w:szCs w:val="22"/>
        </w:rPr>
        <w:t>6.6</w:t>
      </w:r>
      <w:r w:rsidRPr="006D0F6A">
        <w:rPr>
          <w:b/>
          <w:noProof/>
          <w:szCs w:val="22"/>
        </w:rPr>
        <w:tab/>
      </w:r>
      <w:r w:rsidRPr="00084F2F">
        <w:rPr>
          <w:b/>
          <w:bCs/>
          <w:noProof/>
          <w:szCs w:val="22"/>
        </w:rPr>
        <w:t>Špeciálne opatrenia na likvidáciu</w:t>
      </w:r>
      <w:r w:rsidRPr="0035019A">
        <w:rPr>
          <w:b/>
          <w:noProof/>
          <w:szCs w:val="22"/>
        </w:rPr>
        <w:t xml:space="preserve"> </w:t>
      </w:r>
      <w:r w:rsidR="00777AF0" w:rsidRPr="00135023">
        <w:rPr>
          <w:b/>
          <w:bCs/>
          <w:noProof/>
          <w:szCs w:val="22"/>
        </w:rPr>
        <w:t xml:space="preserve">a iné zaobchádzanie </w:t>
      </w:r>
      <w:r w:rsidR="00777AF0" w:rsidRPr="003D257F">
        <w:rPr>
          <w:b/>
          <w:bCs/>
          <w:noProof/>
          <w:szCs w:val="22"/>
        </w:rPr>
        <w:t>s liekom</w:t>
      </w:r>
    </w:p>
    <w:p w:rsidR="00780926" w:rsidRPr="00F83D37" w:rsidRDefault="00780926" w:rsidP="00592542">
      <w:pPr>
        <w:rPr>
          <w:b/>
          <w:bCs/>
          <w:noProof/>
          <w:szCs w:val="22"/>
        </w:rPr>
      </w:pPr>
    </w:p>
    <w:p w:rsidR="00780926" w:rsidRPr="003A38DD" w:rsidRDefault="00780926" w:rsidP="00592542">
      <w:pPr>
        <w:rPr>
          <w:noProof/>
          <w:szCs w:val="22"/>
        </w:rPr>
      </w:pPr>
      <w:r w:rsidRPr="00307E1F">
        <w:rPr>
          <w:noProof/>
          <w:szCs w:val="22"/>
        </w:rPr>
        <w:t>Žiadne zvláštne požiadavky</w:t>
      </w:r>
      <w:r w:rsidR="00777AF0" w:rsidRPr="00734304">
        <w:rPr>
          <w:noProof/>
          <w:szCs w:val="22"/>
        </w:rPr>
        <w:t>.</w:t>
      </w:r>
    </w:p>
    <w:p w:rsidR="00780926" w:rsidRPr="00BC11DD" w:rsidRDefault="00CA145E" w:rsidP="00592542">
      <w:pPr>
        <w:ind w:left="0" w:firstLine="0"/>
        <w:rPr>
          <w:noProof/>
          <w:szCs w:val="22"/>
        </w:rPr>
      </w:pPr>
      <w:r>
        <w:rPr>
          <w:noProof/>
          <w:szCs w:val="22"/>
        </w:rPr>
        <w:t>Všetok n</w:t>
      </w:r>
      <w:r w:rsidR="004963B7" w:rsidRPr="00C10C95">
        <w:rPr>
          <w:noProof/>
          <w:szCs w:val="22"/>
        </w:rPr>
        <w:t xml:space="preserve">epoužitý liek </w:t>
      </w:r>
      <w:r>
        <w:rPr>
          <w:noProof/>
          <w:szCs w:val="22"/>
        </w:rPr>
        <w:t>a</w:t>
      </w:r>
      <w:r w:rsidR="004963B7" w:rsidRPr="00C10C95">
        <w:rPr>
          <w:noProof/>
          <w:szCs w:val="22"/>
        </w:rPr>
        <w:t xml:space="preserve">lebo odpad vzniknutý z lieku </w:t>
      </w:r>
      <w:r>
        <w:rPr>
          <w:noProof/>
          <w:szCs w:val="22"/>
        </w:rPr>
        <w:t>sa má zlikvidovať v súlade s národnými požiadavkami</w:t>
      </w:r>
      <w:r w:rsidR="00777AF0" w:rsidRPr="00073402">
        <w:rPr>
          <w:noProof/>
          <w:szCs w:val="22"/>
        </w:rPr>
        <w:t>.</w:t>
      </w:r>
    </w:p>
    <w:p w:rsidR="00780926" w:rsidRPr="001F27B8" w:rsidRDefault="00780926" w:rsidP="00592542">
      <w:pPr>
        <w:rPr>
          <w:noProof/>
          <w:szCs w:val="22"/>
        </w:rPr>
      </w:pPr>
    </w:p>
    <w:p w:rsidR="00780926" w:rsidRPr="00241892" w:rsidRDefault="00780926" w:rsidP="00592542">
      <w:pPr>
        <w:rPr>
          <w:noProof/>
          <w:szCs w:val="22"/>
        </w:rPr>
      </w:pPr>
    </w:p>
    <w:p w:rsidR="00780926" w:rsidRPr="000D1ED9" w:rsidRDefault="00780926" w:rsidP="00592542">
      <w:pPr>
        <w:rPr>
          <w:b/>
          <w:noProof/>
          <w:szCs w:val="22"/>
        </w:rPr>
      </w:pPr>
      <w:r w:rsidRPr="000D1ED9">
        <w:rPr>
          <w:b/>
          <w:noProof/>
          <w:szCs w:val="22"/>
        </w:rPr>
        <w:t>7.</w:t>
      </w:r>
      <w:r w:rsidRPr="000D1ED9">
        <w:rPr>
          <w:b/>
          <w:noProof/>
          <w:szCs w:val="22"/>
        </w:rPr>
        <w:tab/>
        <w:t>DRŽITEĽ ROZHODNUTIA O REGISTRÁCII</w:t>
      </w:r>
    </w:p>
    <w:p w:rsidR="00780926" w:rsidRPr="008D1200" w:rsidRDefault="00780926" w:rsidP="00592542">
      <w:pPr>
        <w:rPr>
          <w:noProof/>
          <w:szCs w:val="22"/>
        </w:rPr>
      </w:pPr>
    </w:p>
    <w:p w:rsidR="006F0BA9" w:rsidRPr="00844C3D" w:rsidRDefault="006F0BA9" w:rsidP="00592542">
      <w:pPr>
        <w:rPr>
          <w:bCs/>
          <w:color w:val="000000"/>
          <w:szCs w:val="22"/>
        </w:rPr>
      </w:pPr>
      <w:proofErr w:type="spellStart"/>
      <w:r w:rsidRPr="00844C3D">
        <w:rPr>
          <w:bCs/>
          <w:color w:val="000000"/>
          <w:szCs w:val="22"/>
        </w:rPr>
        <w:t>Accord</w:t>
      </w:r>
      <w:proofErr w:type="spellEnd"/>
      <w:r w:rsidRPr="00844C3D">
        <w:rPr>
          <w:bCs/>
          <w:color w:val="000000"/>
          <w:szCs w:val="22"/>
        </w:rPr>
        <w:t xml:space="preserve"> </w:t>
      </w:r>
      <w:proofErr w:type="spellStart"/>
      <w:r w:rsidRPr="00844C3D">
        <w:rPr>
          <w:bCs/>
          <w:color w:val="000000"/>
          <w:szCs w:val="22"/>
        </w:rPr>
        <w:t>Healthcare</w:t>
      </w:r>
      <w:proofErr w:type="spellEnd"/>
      <w:r w:rsidRPr="00844C3D">
        <w:rPr>
          <w:bCs/>
          <w:color w:val="000000"/>
          <w:szCs w:val="22"/>
        </w:rPr>
        <w:t xml:space="preserve"> </w:t>
      </w:r>
      <w:proofErr w:type="spellStart"/>
      <w:r w:rsidRPr="00844C3D">
        <w:rPr>
          <w:bCs/>
          <w:color w:val="000000"/>
          <w:szCs w:val="22"/>
        </w:rPr>
        <w:t>Limited</w:t>
      </w:r>
      <w:proofErr w:type="spellEnd"/>
    </w:p>
    <w:p w:rsidR="00E93BC1" w:rsidRPr="006325B7" w:rsidRDefault="006F0BA9" w:rsidP="00592542">
      <w:pPr>
        <w:rPr>
          <w:bCs/>
          <w:color w:val="000000"/>
          <w:szCs w:val="22"/>
        </w:rPr>
      </w:pPr>
      <w:proofErr w:type="spellStart"/>
      <w:r w:rsidRPr="006A54E9">
        <w:rPr>
          <w:bCs/>
          <w:color w:val="000000"/>
          <w:szCs w:val="22"/>
        </w:rPr>
        <w:t>Sage</w:t>
      </w:r>
      <w:proofErr w:type="spellEnd"/>
      <w:r w:rsidRPr="006A54E9">
        <w:rPr>
          <w:bCs/>
          <w:color w:val="000000"/>
          <w:szCs w:val="22"/>
        </w:rPr>
        <w:t xml:space="preserve"> </w:t>
      </w:r>
      <w:proofErr w:type="spellStart"/>
      <w:r w:rsidRPr="006A54E9">
        <w:rPr>
          <w:bCs/>
          <w:color w:val="000000"/>
          <w:szCs w:val="22"/>
        </w:rPr>
        <w:t>House</w:t>
      </w:r>
      <w:proofErr w:type="spellEnd"/>
      <w:r w:rsidRPr="006A54E9">
        <w:rPr>
          <w:bCs/>
          <w:color w:val="000000"/>
          <w:szCs w:val="22"/>
        </w:rPr>
        <w:t xml:space="preserve">, 319 </w:t>
      </w:r>
      <w:proofErr w:type="spellStart"/>
      <w:r w:rsidRPr="006A54E9">
        <w:rPr>
          <w:bCs/>
          <w:color w:val="000000"/>
          <w:szCs w:val="22"/>
        </w:rPr>
        <w:t>Pinner</w:t>
      </w:r>
      <w:proofErr w:type="spellEnd"/>
      <w:r w:rsidRPr="006A54E9">
        <w:rPr>
          <w:bCs/>
          <w:color w:val="000000"/>
          <w:szCs w:val="22"/>
        </w:rPr>
        <w:t xml:space="preserve"> </w:t>
      </w:r>
      <w:proofErr w:type="spellStart"/>
      <w:r w:rsidRPr="006A54E9">
        <w:rPr>
          <w:bCs/>
          <w:color w:val="000000"/>
          <w:szCs w:val="22"/>
        </w:rPr>
        <w:t>Road</w:t>
      </w:r>
      <w:proofErr w:type="spellEnd"/>
      <w:r w:rsidRPr="006A54E9">
        <w:rPr>
          <w:bCs/>
          <w:color w:val="000000"/>
          <w:szCs w:val="22"/>
        </w:rPr>
        <w:t xml:space="preserve"> </w:t>
      </w:r>
    </w:p>
    <w:p w:rsidR="006F0BA9" w:rsidRPr="00025CF8" w:rsidRDefault="006F0BA9" w:rsidP="00592542">
      <w:pPr>
        <w:rPr>
          <w:bCs/>
          <w:color w:val="000000"/>
          <w:szCs w:val="22"/>
        </w:rPr>
      </w:pPr>
      <w:proofErr w:type="spellStart"/>
      <w:r w:rsidRPr="00E02402">
        <w:rPr>
          <w:bCs/>
          <w:color w:val="000000"/>
          <w:szCs w:val="22"/>
        </w:rPr>
        <w:t>Harrow</w:t>
      </w:r>
      <w:proofErr w:type="spellEnd"/>
      <w:r w:rsidRPr="00E02402">
        <w:rPr>
          <w:bCs/>
          <w:color w:val="000000"/>
          <w:szCs w:val="22"/>
        </w:rPr>
        <w:t xml:space="preserve">, </w:t>
      </w:r>
      <w:proofErr w:type="spellStart"/>
      <w:r w:rsidR="00E93BC1" w:rsidRPr="00DF7EBD">
        <w:rPr>
          <w:bCs/>
          <w:color w:val="000000"/>
          <w:szCs w:val="22"/>
        </w:rPr>
        <w:t>Middlesex</w:t>
      </w:r>
      <w:proofErr w:type="spellEnd"/>
      <w:r w:rsidR="00E93BC1" w:rsidRPr="00DF7EBD">
        <w:rPr>
          <w:bCs/>
          <w:color w:val="000000"/>
          <w:szCs w:val="22"/>
        </w:rPr>
        <w:t>, HA1 4HF</w:t>
      </w:r>
    </w:p>
    <w:p w:rsidR="006F0BA9" w:rsidRPr="001A6434" w:rsidRDefault="006F0BA9" w:rsidP="00592542">
      <w:pPr>
        <w:rPr>
          <w:bCs/>
          <w:color w:val="000000"/>
          <w:szCs w:val="22"/>
        </w:rPr>
      </w:pPr>
      <w:r w:rsidRPr="001A6434">
        <w:rPr>
          <w:bCs/>
          <w:color w:val="000000"/>
          <w:szCs w:val="22"/>
        </w:rPr>
        <w:t>Veľká Británia</w:t>
      </w:r>
    </w:p>
    <w:p w:rsidR="00780926" w:rsidRPr="005016FA" w:rsidRDefault="00780926" w:rsidP="00592542">
      <w:pPr>
        <w:rPr>
          <w:noProof/>
          <w:szCs w:val="22"/>
        </w:rPr>
      </w:pPr>
    </w:p>
    <w:p w:rsidR="00780926" w:rsidRPr="00B72BAD" w:rsidRDefault="00780926" w:rsidP="00592542">
      <w:pPr>
        <w:rPr>
          <w:noProof/>
          <w:szCs w:val="22"/>
        </w:rPr>
      </w:pPr>
    </w:p>
    <w:p w:rsidR="00780926" w:rsidRPr="00227317" w:rsidRDefault="00780926" w:rsidP="00592542">
      <w:pPr>
        <w:rPr>
          <w:b/>
          <w:noProof/>
          <w:szCs w:val="22"/>
        </w:rPr>
      </w:pPr>
      <w:r w:rsidRPr="00227317">
        <w:rPr>
          <w:b/>
          <w:noProof/>
          <w:szCs w:val="22"/>
        </w:rPr>
        <w:t>8.</w:t>
      </w:r>
      <w:r w:rsidRPr="00227317">
        <w:rPr>
          <w:b/>
          <w:noProof/>
          <w:szCs w:val="22"/>
        </w:rPr>
        <w:tab/>
        <w:t>REGISTRAČNÉ ČÍSLA</w:t>
      </w:r>
    </w:p>
    <w:p w:rsidR="00780926" w:rsidRPr="001C64C6" w:rsidRDefault="00780926" w:rsidP="00592542">
      <w:pPr>
        <w:rPr>
          <w:i/>
          <w:noProof/>
          <w:szCs w:val="22"/>
        </w:rPr>
      </w:pPr>
    </w:p>
    <w:p w:rsidR="00777AF0" w:rsidRPr="00622DCF" w:rsidRDefault="00777AF0" w:rsidP="00592542">
      <w:pPr>
        <w:rPr>
          <w:noProof/>
          <w:szCs w:val="22"/>
        </w:rPr>
      </w:pPr>
      <w:r w:rsidRPr="00B1415F">
        <w:rPr>
          <w:noProof/>
          <w:szCs w:val="22"/>
        </w:rPr>
        <w:t>Ranitidine Accord 150</w:t>
      </w:r>
      <w:r w:rsidR="00E93BC1" w:rsidRPr="00EC6964">
        <w:rPr>
          <w:noProof/>
          <w:szCs w:val="22"/>
        </w:rPr>
        <w:t xml:space="preserve"> </w:t>
      </w:r>
      <w:r w:rsidRPr="00570972">
        <w:rPr>
          <w:noProof/>
          <w:szCs w:val="22"/>
        </w:rPr>
        <w:t>mg filmom obalené tablety:</w:t>
      </w:r>
      <w:r w:rsidR="007D5146" w:rsidRPr="003C0A7E">
        <w:rPr>
          <w:szCs w:val="22"/>
        </w:rPr>
        <w:t xml:space="preserve"> </w:t>
      </w:r>
      <w:r w:rsidR="000675D5" w:rsidRPr="000675D5">
        <w:rPr>
          <w:szCs w:val="22"/>
        </w:rPr>
        <w:t>09/0087/17-S</w:t>
      </w:r>
    </w:p>
    <w:p w:rsidR="00777AF0" w:rsidRPr="00D1071A" w:rsidRDefault="00777AF0" w:rsidP="00592542">
      <w:pPr>
        <w:rPr>
          <w:noProof/>
          <w:szCs w:val="22"/>
        </w:rPr>
      </w:pPr>
      <w:r w:rsidRPr="00EB6778">
        <w:rPr>
          <w:noProof/>
          <w:szCs w:val="22"/>
        </w:rPr>
        <w:t>Ranitidine Accord 300 mg filmom obalené tablety:</w:t>
      </w:r>
      <w:r w:rsidR="007D5146" w:rsidRPr="00B345B8">
        <w:rPr>
          <w:noProof/>
          <w:szCs w:val="22"/>
        </w:rPr>
        <w:t xml:space="preserve"> </w:t>
      </w:r>
      <w:r w:rsidR="00A526D6" w:rsidRPr="00A526D6">
        <w:rPr>
          <w:noProof/>
          <w:szCs w:val="22"/>
        </w:rPr>
        <w:t>09/0088/17-S</w:t>
      </w:r>
    </w:p>
    <w:p w:rsidR="00777AF0" w:rsidRPr="009348B5" w:rsidRDefault="00777AF0" w:rsidP="00592542">
      <w:pPr>
        <w:rPr>
          <w:noProof/>
          <w:szCs w:val="22"/>
        </w:rPr>
      </w:pPr>
    </w:p>
    <w:p w:rsidR="00780926" w:rsidRPr="00324C63" w:rsidRDefault="00780926" w:rsidP="00592542">
      <w:pPr>
        <w:rPr>
          <w:noProof/>
          <w:szCs w:val="22"/>
        </w:rPr>
      </w:pPr>
    </w:p>
    <w:p w:rsidR="00780926" w:rsidRPr="00B039ED" w:rsidRDefault="00780926" w:rsidP="00592542">
      <w:pPr>
        <w:rPr>
          <w:b/>
          <w:noProof/>
          <w:szCs w:val="22"/>
        </w:rPr>
      </w:pPr>
      <w:r w:rsidRPr="0031044F">
        <w:rPr>
          <w:b/>
          <w:noProof/>
          <w:szCs w:val="22"/>
        </w:rPr>
        <w:t>9.</w:t>
      </w:r>
      <w:r w:rsidRPr="0031044F">
        <w:rPr>
          <w:b/>
          <w:noProof/>
          <w:szCs w:val="22"/>
        </w:rPr>
        <w:tab/>
        <w:t>DÁTUM PRVEJ REGISTRÁCIE/</w:t>
      </w:r>
      <w:r w:rsidRPr="00B039ED">
        <w:rPr>
          <w:b/>
          <w:noProof/>
          <w:szCs w:val="22"/>
        </w:rPr>
        <w:t>PREDĹŽENIA REGISTRÁCIE</w:t>
      </w:r>
    </w:p>
    <w:p w:rsidR="00780926" w:rsidRPr="000167A9" w:rsidRDefault="00780926" w:rsidP="00592542">
      <w:pPr>
        <w:rPr>
          <w:noProof/>
          <w:szCs w:val="22"/>
        </w:rPr>
      </w:pPr>
    </w:p>
    <w:p w:rsidR="00780926" w:rsidRPr="00194F36" w:rsidRDefault="00ED2E1E" w:rsidP="00592542">
      <w:pPr>
        <w:rPr>
          <w:noProof/>
          <w:szCs w:val="22"/>
        </w:rPr>
      </w:pPr>
      <w:r w:rsidRPr="00B92A4D">
        <w:rPr>
          <w:noProof/>
          <w:szCs w:val="22"/>
        </w:rPr>
        <w:t>Dátum prvej regist</w:t>
      </w:r>
      <w:r w:rsidRPr="00770ACD">
        <w:rPr>
          <w:noProof/>
          <w:szCs w:val="22"/>
        </w:rPr>
        <w:t>rácie:</w:t>
      </w:r>
      <w:r w:rsidR="00C02928">
        <w:rPr>
          <w:noProof/>
          <w:szCs w:val="22"/>
        </w:rPr>
        <w:t xml:space="preserve"> 5. apríl 2017</w:t>
      </w:r>
    </w:p>
    <w:p w:rsidR="00ED2E1E" w:rsidRPr="009279FE" w:rsidRDefault="00C02928" w:rsidP="00592542">
      <w:pPr>
        <w:rPr>
          <w:noProof/>
          <w:szCs w:val="22"/>
        </w:rPr>
      </w:pPr>
      <w:r>
        <w:rPr>
          <w:noProof/>
          <w:szCs w:val="22"/>
        </w:rPr>
        <w:t>Dátum posledného predĺženia registrácie:</w:t>
      </w:r>
    </w:p>
    <w:p w:rsidR="00E93BC1" w:rsidRDefault="00E93BC1" w:rsidP="00592542">
      <w:pPr>
        <w:rPr>
          <w:noProof/>
          <w:szCs w:val="22"/>
        </w:rPr>
      </w:pPr>
    </w:p>
    <w:p w:rsidR="00C02928" w:rsidRPr="00FD18CE" w:rsidRDefault="00C02928" w:rsidP="00592542">
      <w:pPr>
        <w:rPr>
          <w:noProof/>
          <w:szCs w:val="22"/>
        </w:rPr>
      </w:pPr>
    </w:p>
    <w:p w:rsidR="00780926" w:rsidRDefault="00780926" w:rsidP="00592542">
      <w:pPr>
        <w:rPr>
          <w:b/>
          <w:noProof/>
          <w:szCs w:val="22"/>
        </w:rPr>
      </w:pPr>
      <w:r w:rsidRPr="00454F21">
        <w:rPr>
          <w:b/>
          <w:noProof/>
          <w:szCs w:val="22"/>
        </w:rPr>
        <w:t>10.</w:t>
      </w:r>
      <w:r w:rsidRPr="00454F21">
        <w:rPr>
          <w:b/>
          <w:noProof/>
          <w:szCs w:val="22"/>
        </w:rPr>
        <w:tab/>
        <w:t>DÁTUM REVÍZIE TEXTU</w:t>
      </w:r>
    </w:p>
    <w:p w:rsidR="001A07CE" w:rsidRPr="0093686A" w:rsidRDefault="001A07CE" w:rsidP="00592542">
      <w:pPr>
        <w:rPr>
          <w:noProof/>
          <w:szCs w:val="22"/>
        </w:rPr>
      </w:pPr>
    </w:p>
    <w:p w:rsidR="001A07CE" w:rsidRPr="00C8276E" w:rsidRDefault="00AF63E5" w:rsidP="00592542">
      <w:pPr>
        <w:rPr>
          <w:noProof/>
          <w:szCs w:val="22"/>
        </w:rPr>
      </w:pPr>
      <w:bookmarkStart w:id="0" w:name="_GoBack"/>
      <w:bookmarkEnd w:id="0"/>
      <w:r>
        <w:rPr>
          <w:noProof/>
          <w:szCs w:val="22"/>
        </w:rPr>
        <w:t>10</w:t>
      </w:r>
      <w:r w:rsidR="00C02928">
        <w:rPr>
          <w:noProof/>
          <w:szCs w:val="22"/>
        </w:rPr>
        <w:t>/2017</w:t>
      </w:r>
    </w:p>
    <w:sectPr w:rsidR="001A07CE" w:rsidRPr="00C8276E" w:rsidSect="00C8276E"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39" w:rsidRDefault="000C4139">
      <w:r>
        <w:separator/>
      </w:r>
    </w:p>
  </w:endnote>
  <w:endnote w:type="continuationSeparator" w:id="0">
    <w:p w:rsidR="000C4139" w:rsidRDefault="000C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39" w:rsidRPr="00C8276E" w:rsidRDefault="000C4139" w:rsidP="0093686A">
    <w:pPr>
      <w:pStyle w:val="Pta"/>
      <w:tabs>
        <w:tab w:val="clear" w:pos="8930"/>
        <w:tab w:val="left" w:pos="4290"/>
        <w:tab w:val="center" w:pos="4487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C8276E">
      <w:rPr>
        <w:rFonts w:ascii="Times New Roman" w:hAnsi="Times New Roman"/>
        <w:sz w:val="18"/>
        <w:szCs w:val="18"/>
      </w:rPr>
      <w:fldChar w:fldCharType="begin"/>
    </w:r>
    <w:r w:rsidRPr="00C8276E">
      <w:rPr>
        <w:rFonts w:ascii="Times New Roman" w:hAnsi="Times New Roman"/>
        <w:sz w:val="18"/>
        <w:szCs w:val="18"/>
      </w:rPr>
      <w:instrText xml:space="preserve"> EQ </w:instrText>
    </w:r>
    <w:r w:rsidRPr="00C8276E">
      <w:rPr>
        <w:rFonts w:ascii="Times New Roman" w:hAnsi="Times New Roman"/>
        <w:sz w:val="18"/>
        <w:szCs w:val="18"/>
      </w:rPr>
      <w:fldChar w:fldCharType="end"/>
    </w:r>
    <w:r w:rsidRPr="00C8276E">
      <w:rPr>
        <w:rStyle w:val="slostrany"/>
        <w:rFonts w:ascii="Times New Roman" w:hAnsi="Times New Roman"/>
        <w:sz w:val="18"/>
        <w:szCs w:val="18"/>
      </w:rPr>
      <w:fldChar w:fldCharType="begin"/>
    </w:r>
    <w:r w:rsidRPr="00C8276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8276E">
      <w:rPr>
        <w:rStyle w:val="slostrany"/>
        <w:rFonts w:ascii="Times New Roman" w:hAnsi="Times New Roman"/>
        <w:sz w:val="18"/>
        <w:szCs w:val="18"/>
      </w:rPr>
      <w:fldChar w:fldCharType="separate"/>
    </w:r>
    <w:r w:rsidR="0093686A">
      <w:rPr>
        <w:rStyle w:val="slostrany"/>
        <w:rFonts w:ascii="Times New Roman" w:hAnsi="Times New Roman"/>
        <w:noProof/>
        <w:sz w:val="18"/>
        <w:szCs w:val="18"/>
      </w:rPr>
      <w:t>9</w:t>
    </w:r>
    <w:r w:rsidRPr="00C8276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39" w:rsidRPr="00C8276E" w:rsidRDefault="000C413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8276E">
      <w:rPr>
        <w:rStyle w:val="slostrany"/>
        <w:rFonts w:ascii="Times New Roman" w:hAnsi="Times New Roman"/>
        <w:sz w:val="18"/>
        <w:szCs w:val="18"/>
      </w:rPr>
      <w:fldChar w:fldCharType="begin"/>
    </w:r>
    <w:r w:rsidRPr="00C8276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8276E">
      <w:rPr>
        <w:rStyle w:val="slostrany"/>
        <w:rFonts w:ascii="Times New Roman" w:hAnsi="Times New Roman"/>
        <w:sz w:val="18"/>
        <w:szCs w:val="18"/>
      </w:rPr>
      <w:fldChar w:fldCharType="separate"/>
    </w:r>
    <w:r w:rsidR="0093686A">
      <w:rPr>
        <w:rStyle w:val="slostrany"/>
        <w:rFonts w:ascii="Times New Roman" w:hAnsi="Times New Roman"/>
        <w:noProof/>
        <w:sz w:val="18"/>
        <w:szCs w:val="18"/>
      </w:rPr>
      <w:t>1</w:t>
    </w:r>
    <w:r w:rsidRPr="00C8276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39" w:rsidRDefault="000C4139">
      <w:r>
        <w:separator/>
      </w:r>
    </w:p>
  </w:footnote>
  <w:footnote w:type="continuationSeparator" w:id="0">
    <w:p w:rsidR="000C4139" w:rsidRDefault="000C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39" w:rsidRPr="00093407" w:rsidRDefault="000C4139" w:rsidP="00AE08CD">
    <w:pPr>
      <w:pStyle w:val="Hlavika"/>
      <w:rPr>
        <w:rFonts w:ascii="Times New Roman" w:hAnsi="Times New Roman"/>
        <w:sz w:val="18"/>
        <w:szCs w:val="18"/>
        <w:lang w:val="sk-SK"/>
      </w:rPr>
    </w:pPr>
    <w:r w:rsidRPr="003F79A1">
      <w:rPr>
        <w:rFonts w:ascii="Times New Roman" w:hAnsi="Times New Roman"/>
        <w:sz w:val="18"/>
        <w:szCs w:val="18"/>
        <w:lang w:val="sk-SK"/>
      </w:rPr>
      <w:t>Schválený text k rozhodnutiu o </w:t>
    </w:r>
    <w:r>
      <w:rPr>
        <w:rFonts w:ascii="Times New Roman" w:hAnsi="Times New Roman"/>
        <w:sz w:val="18"/>
        <w:szCs w:val="18"/>
        <w:lang w:val="sk-SK"/>
      </w:rPr>
      <w:t>predĺžení,</w:t>
    </w:r>
    <w:r w:rsidRPr="003F79A1">
      <w:rPr>
        <w:rFonts w:ascii="Times New Roman" w:hAnsi="Times New Roman"/>
        <w:sz w:val="18"/>
        <w:szCs w:val="18"/>
        <w:lang w:val="sk-SK"/>
      </w:rPr>
      <w:t xml:space="preserve"> ev. č.:</w:t>
    </w:r>
    <w:r w:rsidRPr="0093686A">
      <w:rPr>
        <w:rFonts w:ascii="Times New Roman" w:hAnsi="Times New Roman"/>
        <w:sz w:val="18"/>
        <w:szCs w:val="18"/>
      </w:rPr>
      <w:t xml:space="preserve"> </w:t>
    </w:r>
    <w:r w:rsidRPr="003F79A1">
      <w:rPr>
        <w:rFonts w:ascii="Times New Roman" w:hAnsi="Times New Roman"/>
        <w:sz w:val="18"/>
        <w:szCs w:val="18"/>
        <w:lang w:val="sk-SK"/>
      </w:rPr>
      <w:t>201</w:t>
    </w:r>
    <w:r>
      <w:rPr>
        <w:rFonts w:ascii="Times New Roman" w:hAnsi="Times New Roman"/>
        <w:sz w:val="18"/>
        <w:szCs w:val="18"/>
        <w:lang w:val="sk-SK"/>
      </w:rPr>
      <w:t xml:space="preserve">7/00336-PRE, </w:t>
    </w:r>
    <w:r w:rsidRPr="003F79A1">
      <w:rPr>
        <w:rFonts w:ascii="Times New Roman" w:hAnsi="Times New Roman"/>
        <w:sz w:val="18"/>
        <w:szCs w:val="18"/>
        <w:lang w:val="sk-SK"/>
      </w:rPr>
      <w:t>201</w:t>
    </w:r>
    <w:r>
      <w:rPr>
        <w:rFonts w:ascii="Times New Roman" w:hAnsi="Times New Roman"/>
        <w:sz w:val="18"/>
        <w:szCs w:val="18"/>
        <w:lang w:val="sk-SK"/>
      </w:rPr>
      <w:t>7/00337-PRE</w:t>
    </w:r>
  </w:p>
  <w:p w:rsidR="000C4139" w:rsidRPr="0093686A" w:rsidRDefault="000C4139" w:rsidP="0093686A">
    <w:pPr>
      <w:pStyle w:val="Hlavika"/>
      <w:rPr>
        <w:rFonts w:ascii="Times New Roman" w:hAnsi="Times New Roman"/>
        <w:sz w:val="18"/>
        <w:szCs w:val="18"/>
      </w:rPr>
    </w:pPr>
    <w:proofErr w:type="spellStart"/>
    <w:r w:rsidRPr="0093686A">
      <w:rPr>
        <w:rFonts w:ascii="Times New Roman" w:hAnsi="Times New Roman"/>
        <w:sz w:val="18"/>
        <w:szCs w:val="18"/>
      </w:rPr>
      <w:t>Príloha</w:t>
    </w:r>
    <w:proofErr w:type="spellEnd"/>
    <w:r w:rsidRPr="0093686A">
      <w:rPr>
        <w:rFonts w:ascii="Times New Roman" w:hAnsi="Times New Roman"/>
        <w:sz w:val="18"/>
        <w:szCs w:val="18"/>
      </w:rPr>
      <w:t xml:space="preserve"> </w:t>
    </w:r>
    <w:r w:rsidRPr="0093686A">
      <w:rPr>
        <w:rFonts w:ascii="Times New Roman" w:hAnsi="Times New Roman" w:hint="eastAsia"/>
        <w:sz w:val="18"/>
        <w:szCs w:val="18"/>
      </w:rPr>
      <w:t>č</w:t>
    </w:r>
    <w:r w:rsidRPr="0093686A">
      <w:rPr>
        <w:rFonts w:ascii="Times New Roman" w:hAnsi="Times New Roman"/>
        <w:sz w:val="18"/>
        <w:szCs w:val="18"/>
      </w:rPr>
      <w:t>. 1 k </w:t>
    </w:r>
    <w:proofErr w:type="spellStart"/>
    <w:r w:rsidRPr="0093686A">
      <w:rPr>
        <w:rFonts w:ascii="Times New Roman" w:hAnsi="Times New Roman"/>
        <w:sz w:val="18"/>
        <w:szCs w:val="18"/>
      </w:rPr>
      <w:t>notifikácii</w:t>
    </w:r>
    <w:proofErr w:type="spellEnd"/>
    <w:r w:rsidRPr="0093686A">
      <w:rPr>
        <w:rFonts w:ascii="Times New Roman" w:hAnsi="Times New Roman"/>
        <w:sz w:val="18"/>
        <w:szCs w:val="18"/>
      </w:rPr>
      <w:t xml:space="preserve"> o </w:t>
    </w:r>
    <w:proofErr w:type="spellStart"/>
    <w:r w:rsidRPr="0093686A">
      <w:rPr>
        <w:rFonts w:ascii="Times New Roman" w:hAnsi="Times New Roman"/>
        <w:sz w:val="18"/>
        <w:szCs w:val="18"/>
      </w:rPr>
      <w:t>zmene</w:t>
    </w:r>
    <w:proofErr w:type="spellEnd"/>
    <w:r w:rsidRPr="0093686A">
      <w:rPr>
        <w:rFonts w:ascii="Times New Roman" w:hAnsi="Times New Roman"/>
        <w:sz w:val="18"/>
        <w:szCs w:val="18"/>
      </w:rPr>
      <w:t xml:space="preserve">, ev. </w:t>
    </w:r>
    <w:r w:rsidRPr="0093686A">
      <w:rPr>
        <w:rFonts w:ascii="Times New Roman" w:hAnsi="Times New Roman" w:hint="eastAsia"/>
        <w:sz w:val="18"/>
        <w:szCs w:val="18"/>
      </w:rPr>
      <w:t>č</w:t>
    </w:r>
    <w:r w:rsidRPr="0093686A">
      <w:rPr>
        <w:rFonts w:ascii="Times New Roman" w:hAnsi="Times New Roman"/>
        <w:sz w:val="18"/>
        <w:szCs w:val="18"/>
      </w:rPr>
      <w:t>.: 2014/06983-ZIB, 2016/05952-ZIB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184102"/>
    <w:multiLevelType w:val="multilevel"/>
    <w:tmpl w:val="43B259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4C22C5"/>
    <w:multiLevelType w:val="hybridMultilevel"/>
    <w:tmpl w:val="034CE30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7941D85"/>
    <w:multiLevelType w:val="hybridMultilevel"/>
    <w:tmpl w:val="65585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67A9"/>
    <w:rsid w:val="00025BC8"/>
    <w:rsid w:val="00025CF8"/>
    <w:rsid w:val="000425BE"/>
    <w:rsid w:val="00056045"/>
    <w:rsid w:val="00060513"/>
    <w:rsid w:val="000675D5"/>
    <w:rsid w:val="00073402"/>
    <w:rsid w:val="0007548D"/>
    <w:rsid w:val="000759AF"/>
    <w:rsid w:val="00077CF6"/>
    <w:rsid w:val="00084F2F"/>
    <w:rsid w:val="00090230"/>
    <w:rsid w:val="00093407"/>
    <w:rsid w:val="00095A49"/>
    <w:rsid w:val="00096CAA"/>
    <w:rsid w:val="000A1881"/>
    <w:rsid w:val="000A6785"/>
    <w:rsid w:val="000A7F13"/>
    <w:rsid w:val="000B0984"/>
    <w:rsid w:val="000B6759"/>
    <w:rsid w:val="000C4139"/>
    <w:rsid w:val="000C6CCC"/>
    <w:rsid w:val="000D1ED9"/>
    <w:rsid w:val="000E7685"/>
    <w:rsid w:val="000F48CF"/>
    <w:rsid w:val="001032C9"/>
    <w:rsid w:val="00135023"/>
    <w:rsid w:val="00141412"/>
    <w:rsid w:val="00150F3E"/>
    <w:rsid w:val="0015367B"/>
    <w:rsid w:val="00172BC2"/>
    <w:rsid w:val="00172CCA"/>
    <w:rsid w:val="001731B0"/>
    <w:rsid w:val="00177A4A"/>
    <w:rsid w:val="00194F36"/>
    <w:rsid w:val="001A07CE"/>
    <w:rsid w:val="001A6434"/>
    <w:rsid w:val="001B08B2"/>
    <w:rsid w:val="001B73FD"/>
    <w:rsid w:val="001C2D08"/>
    <w:rsid w:val="001C463D"/>
    <w:rsid w:val="001C64C6"/>
    <w:rsid w:val="001C769F"/>
    <w:rsid w:val="001C7A75"/>
    <w:rsid w:val="001D0EB1"/>
    <w:rsid w:val="001D197D"/>
    <w:rsid w:val="001D1B4B"/>
    <w:rsid w:val="001D4230"/>
    <w:rsid w:val="001E42BA"/>
    <w:rsid w:val="001E5C3D"/>
    <w:rsid w:val="001F27B8"/>
    <w:rsid w:val="001F5163"/>
    <w:rsid w:val="001F78A6"/>
    <w:rsid w:val="002003FB"/>
    <w:rsid w:val="002135BE"/>
    <w:rsid w:val="00215166"/>
    <w:rsid w:val="002227EB"/>
    <w:rsid w:val="0022527A"/>
    <w:rsid w:val="00227317"/>
    <w:rsid w:val="002320F5"/>
    <w:rsid w:val="00236290"/>
    <w:rsid w:val="00241892"/>
    <w:rsid w:val="0024190F"/>
    <w:rsid w:val="00253CB0"/>
    <w:rsid w:val="0025422C"/>
    <w:rsid w:val="0025696C"/>
    <w:rsid w:val="00256B47"/>
    <w:rsid w:val="00261532"/>
    <w:rsid w:val="00272224"/>
    <w:rsid w:val="00281C02"/>
    <w:rsid w:val="00295FEE"/>
    <w:rsid w:val="002A24BE"/>
    <w:rsid w:val="002A46DA"/>
    <w:rsid w:val="002B16BA"/>
    <w:rsid w:val="002B700A"/>
    <w:rsid w:val="002B7838"/>
    <w:rsid w:val="002C428B"/>
    <w:rsid w:val="002E3A65"/>
    <w:rsid w:val="002F32CD"/>
    <w:rsid w:val="002F524B"/>
    <w:rsid w:val="00300646"/>
    <w:rsid w:val="00301E12"/>
    <w:rsid w:val="00302F2A"/>
    <w:rsid w:val="00306120"/>
    <w:rsid w:val="00306F83"/>
    <w:rsid w:val="00307E1F"/>
    <w:rsid w:val="0031044F"/>
    <w:rsid w:val="0031186C"/>
    <w:rsid w:val="00321B28"/>
    <w:rsid w:val="00322FF3"/>
    <w:rsid w:val="00324C63"/>
    <w:rsid w:val="00332DC3"/>
    <w:rsid w:val="0035019A"/>
    <w:rsid w:val="00350BA7"/>
    <w:rsid w:val="00355F02"/>
    <w:rsid w:val="003616B2"/>
    <w:rsid w:val="00382713"/>
    <w:rsid w:val="003A2E04"/>
    <w:rsid w:val="003A38DD"/>
    <w:rsid w:val="003A6BE0"/>
    <w:rsid w:val="003A706F"/>
    <w:rsid w:val="003B5D38"/>
    <w:rsid w:val="003B7B7D"/>
    <w:rsid w:val="003C0A7E"/>
    <w:rsid w:val="003C2912"/>
    <w:rsid w:val="003D1642"/>
    <w:rsid w:val="003D257F"/>
    <w:rsid w:val="003E2592"/>
    <w:rsid w:val="003F1D20"/>
    <w:rsid w:val="003F2753"/>
    <w:rsid w:val="003F79A1"/>
    <w:rsid w:val="00404BA0"/>
    <w:rsid w:val="00407DB6"/>
    <w:rsid w:val="0041172C"/>
    <w:rsid w:val="00413848"/>
    <w:rsid w:val="00423514"/>
    <w:rsid w:val="0042356B"/>
    <w:rsid w:val="00423740"/>
    <w:rsid w:val="0042378E"/>
    <w:rsid w:val="00454F21"/>
    <w:rsid w:val="0048142A"/>
    <w:rsid w:val="00483696"/>
    <w:rsid w:val="00484A97"/>
    <w:rsid w:val="00486C3D"/>
    <w:rsid w:val="0049301E"/>
    <w:rsid w:val="004963B7"/>
    <w:rsid w:val="004A4DC2"/>
    <w:rsid w:val="004B3116"/>
    <w:rsid w:val="004B4DB5"/>
    <w:rsid w:val="004D0022"/>
    <w:rsid w:val="004E4C7A"/>
    <w:rsid w:val="004F0EFA"/>
    <w:rsid w:val="00500844"/>
    <w:rsid w:val="005016FA"/>
    <w:rsid w:val="00501CEF"/>
    <w:rsid w:val="0050704B"/>
    <w:rsid w:val="0052067A"/>
    <w:rsid w:val="00531AB1"/>
    <w:rsid w:val="00561C87"/>
    <w:rsid w:val="0056687E"/>
    <w:rsid w:val="00570972"/>
    <w:rsid w:val="00571C6D"/>
    <w:rsid w:val="00576DF6"/>
    <w:rsid w:val="0058227B"/>
    <w:rsid w:val="005827D1"/>
    <w:rsid w:val="00592542"/>
    <w:rsid w:val="005A348E"/>
    <w:rsid w:val="005A672E"/>
    <w:rsid w:val="005C01F5"/>
    <w:rsid w:val="005C0F09"/>
    <w:rsid w:val="005C40B4"/>
    <w:rsid w:val="005C46E8"/>
    <w:rsid w:val="005D54AC"/>
    <w:rsid w:val="005D6A19"/>
    <w:rsid w:val="005D7CF7"/>
    <w:rsid w:val="005E13CC"/>
    <w:rsid w:val="005F5318"/>
    <w:rsid w:val="0060445B"/>
    <w:rsid w:val="0060637B"/>
    <w:rsid w:val="00621B15"/>
    <w:rsid w:val="00622DCF"/>
    <w:rsid w:val="00626759"/>
    <w:rsid w:val="006325B7"/>
    <w:rsid w:val="00634656"/>
    <w:rsid w:val="00635C39"/>
    <w:rsid w:val="00644245"/>
    <w:rsid w:val="00664192"/>
    <w:rsid w:val="006716AF"/>
    <w:rsid w:val="00677951"/>
    <w:rsid w:val="00685FF3"/>
    <w:rsid w:val="00693217"/>
    <w:rsid w:val="00695671"/>
    <w:rsid w:val="006A0574"/>
    <w:rsid w:val="006A54E9"/>
    <w:rsid w:val="006A68C6"/>
    <w:rsid w:val="006A780E"/>
    <w:rsid w:val="006B1053"/>
    <w:rsid w:val="006C3768"/>
    <w:rsid w:val="006C5A53"/>
    <w:rsid w:val="006D0F6A"/>
    <w:rsid w:val="006E4345"/>
    <w:rsid w:val="006F0BA9"/>
    <w:rsid w:val="006F457D"/>
    <w:rsid w:val="007074F7"/>
    <w:rsid w:val="007129CD"/>
    <w:rsid w:val="00722D4F"/>
    <w:rsid w:val="00724E11"/>
    <w:rsid w:val="0073167B"/>
    <w:rsid w:val="00734304"/>
    <w:rsid w:val="00734C0D"/>
    <w:rsid w:val="0073648F"/>
    <w:rsid w:val="00752040"/>
    <w:rsid w:val="00752FD9"/>
    <w:rsid w:val="00763270"/>
    <w:rsid w:val="00764CC4"/>
    <w:rsid w:val="00765B43"/>
    <w:rsid w:val="00770ACD"/>
    <w:rsid w:val="00777AF0"/>
    <w:rsid w:val="00780926"/>
    <w:rsid w:val="00782619"/>
    <w:rsid w:val="00783152"/>
    <w:rsid w:val="00791189"/>
    <w:rsid w:val="007A27DF"/>
    <w:rsid w:val="007A4C2E"/>
    <w:rsid w:val="007B31C2"/>
    <w:rsid w:val="007B4A9B"/>
    <w:rsid w:val="007D5146"/>
    <w:rsid w:val="007E012B"/>
    <w:rsid w:val="007E1F8F"/>
    <w:rsid w:val="007F1BBF"/>
    <w:rsid w:val="007F2530"/>
    <w:rsid w:val="00803841"/>
    <w:rsid w:val="0081285B"/>
    <w:rsid w:val="00830C81"/>
    <w:rsid w:val="00844C3D"/>
    <w:rsid w:val="0085357F"/>
    <w:rsid w:val="00855657"/>
    <w:rsid w:val="00865CEB"/>
    <w:rsid w:val="008711C0"/>
    <w:rsid w:val="00873520"/>
    <w:rsid w:val="00880543"/>
    <w:rsid w:val="008873CC"/>
    <w:rsid w:val="008930DD"/>
    <w:rsid w:val="008A6556"/>
    <w:rsid w:val="008C1B51"/>
    <w:rsid w:val="008D1200"/>
    <w:rsid w:val="009058FE"/>
    <w:rsid w:val="009061D8"/>
    <w:rsid w:val="0092370D"/>
    <w:rsid w:val="009279FE"/>
    <w:rsid w:val="009348B5"/>
    <w:rsid w:val="0093686A"/>
    <w:rsid w:val="0094639D"/>
    <w:rsid w:val="009543F5"/>
    <w:rsid w:val="00965B17"/>
    <w:rsid w:val="009836E5"/>
    <w:rsid w:val="00990742"/>
    <w:rsid w:val="009963D0"/>
    <w:rsid w:val="009A752A"/>
    <w:rsid w:val="009B423F"/>
    <w:rsid w:val="009D1A36"/>
    <w:rsid w:val="009D773C"/>
    <w:rsid w:val="009F30D8"/>
    <w:rsid w:val="009F342E"/>
    <w:rsid w:val="00A038CB"/>
    <w:rsid w:val="00A06AA1"/>
    <w:rsid w:val="00A06CFE"/>
    <w:rsid w:val="00A0777C"/>
    <w:rsid w:val="00A10396"/>
    <w:rsid w:val="00A10438"/>
    <w:rsid w:val="00A24B51"/>
    <w:rsid w:val="00A279FF"/>
    <w:rsid w:val="00A31FA3"/>
    <w:rsid w:val="00A37C43"/>
    <w:rsid w:val="00A43F3E"/>
    <w:rsid w:val="00A45B0E"/>
    <w:rsid w:val="00A526D6"/>
    <w:rsid w:val="00A52CCA"/>
    <w:rsid w:val="00A7071C"/>
    <w:rsid w:val="00A737B8"/>
    <w:rsid w:val="00A80F9E"/>
    <w:rsid w:val="00A833E5"/>
    <w:rsid w:val="00A85CCE"/>
    <w:rsid w:val="00A95995"/>
    <w:rsid w:val="00AA5C1D"/>
    <w:rsid w:val="00AB2C3F"/>
    <w:rsid w:val="00AD1925"/>
    <w:rsid w:val="00AD4326"/>
    <w:rsid w:val="00AE08CD"/>
    <w:rsid w:val="00AF4EC7"/>
    <w:rsid w:val="00AF63E5"/>
    <w:rsid w:val="00B010A1"/>
    <w:rsid w:val="00B039ED"/>
    <w:rsid w:val="00B04CE0"/>
    <w:rsid w:val="00B07509"/>
    <w:rsid w:val="00B07EB7"/>
    <w:rsid w:val="00B1281C"/>
    <w:rsid w:val="00B13B26"/>
    <w:rsid w:val="00B1415F"/>
    <w:rsid w:val="00B16B2A"/>
    <w:rsid w:val="00B25049"/>
    <w:rsid w:val="00B31276"/>
    <w:rsid w:val="00B323B9"/>
    <w:rsid w:val="00B345B8"/>
    <w:rsid w:val="00B36EA3"/>
    <w:rsid w:val="00B50352"/>
    <w:rsid w:val="00B51B42"/>
    <w:rsid w:val="00B604B7"/>
    <w:rsid w:val="00B60DBE"/>
    <w:rsid w:val="00B72BAD"/>
    <w:rsid w:val="00B736F8"/>
    <w:rsid w:val="00B80A2F"/>
    <w:rsid w:val="00B87039"/>
    <w:rsid w:val="00B92A4D"/>
    <w:rsid w:val="00B971D7"/>
    <w:rsid w:val="00BA0938"/>
    <w:rsid w:val="00BA5233"/>
    <w:rsid w:val="00BB5E61"/>
    <w:rsid w:val="00BC11DD"/>
    <w:rsid w:val="00BF0EA8"/>
    <w:rsid w:val="00C022B2"/>
    <w:rsid w:val="00C02928"/>
    <w:rsid w:val="00C10C95"/>
    <w:rsid w:val="00C24D6D"/>
    <w:rsid w:val="00C26F80"/>
    <w:rsid w:val="00C31981"/>
    <w:rsid w:val="00C35D11"/>
    <w:rsid w:val="00C5263A"/>
    <w:rsid w:val="00C55DBB"/>
    <w:rsid w:val="00C645AE"/>
    <w:rsid w:val="00C7221F"/>
    <w:rsid w:val="00C8276E"/>
    <w:rsid w:val="00C82AA0"/>
    <w:rsid w:val="00C82EC6"/>
    <w:rsid w:val="00C85B40"/>
    <w:rsid w:val="00CA145E"/>
    <w:rsid w:val="00CA59BB"/>
    <w:rsid w:val="00CA6605"/>
    <w:rsid w:val="00CB25B2"/>
    <w:rsid w:val="00CB76D6"/>
    <w:rsid w:val="00CC090F"/>
    <w:rsid w:val="00CC627C"/>
    <w:rsid w:val="00CD175A"/>
    <w:rsid w:val="00CD1A52"/>
    <w:rsid w:val="00CD2D55"/>
    <w:rsid w:val="00CD4DE0"/>
    <w:rsid w:val="00CD6DD4"/>
    <w:rsid w:val="00CE3888"/>
    <w:rsid w:val="00CE6229"/>
    <w:rsid w:val="00CE7CBF"/>
    <w:rsid w:val="00CF76C2"/>
    <w:rsid w:val="00D048E9"/>
    <w:rsid w:val="00D05277"/>
    <w:rsid w:val="00D06B2B"/>
    <w:rsid w:val="00D06C4A"/>
    <w:rsid w:val="00D07A3E"/>
    <w:rsid w:val="00D1071A"/>
    <w:rsid w:val="00D15C7A"/>
    <w:rsid w:val="00D20AB5"/>
    <w:rsid w:val="00D326E1"/>
    <w:rsid w:val="00D33F2E"/>
    <w:rsid w:val="00D52196"/>
    <w:rsid w:val="00D67CF2"/>
    <w:rsid w:val="00D92F55"/>
    <w:rsid w:val="00D968C8"/>
    <w:rsid w:val="00D96F2E"/>
    <w:rsid w:val="00DA7902"/>
    <w:rsid w:val="00DC012E"/>
    <w:rsid w:val="00DF1615"/>
    <w:rsid w:val="00DF4B82"/>
    <w:rsid w:val="00DF7EBD"/>
    <w:rsid w:val="00E02402"/>
    <w:rsid w:val="00E06E25"/>
    <w:rsid w:val="00E13A3E"/>
    <w:rsid w:val="00E1698A"/>
    <w:rsid w:val="00E212AB"/>
    <w:rsid w:val="00E223ED"/>
    <w:rsid w:val="00E23A3A"/>
    <w:rsid w:val="00E24D3E"/>
    <w:rsid w:val="00E3172B"/>
    <w:rsid w:val="00E36BA0"/>
    <w:rsid w:val="00E4167A"/>
    <w:rsid w:val="00E50936"/>
    <w:rsid w:val="00E53556"/>
    <w:rsid w:val="00E53CD7"/>
    <w:rsid w:val="00E757C6"/>
    <w:rsid w:val="00E76382"/>
    <w:rsid w:val="00E81EA2"/>
    <w:rsid w:val="00E877C8"/>
    <w:rsid w:val="00E93BC1"/>
    <w:rsid w:val="00E94519"/>
    <w:rsid w:val="00E95D17"/>
    <w:rsid w:val="00EA405A"/>
    <w:rsid w:val="00EA512A"/>
    <w:rsid w:val="00EB6778"/>
    <w:rsid w:val="00EC6964"/>
    <w:rsid w:val="00ED2E1E"/>
    <w:rsid w:val="00EF29BA"/>
    <w:rsid w:val="00F00D87"/>
    <w:rsid w:val="00F02F60"/>
    <w:rsid w:val="00F30177"/>
    <w:rsid w:val="00F31F48"/>
    <w:rsid w:val="00F368ED"/>
    <w:rsid w:val="00F44613"/>
    <w:rsid w:val="00F44C96"/>
    <w:rsid w:val="00F61760"/>
    <w:rsid w:val="00F63DAD"/>
    <w:rsid w:val="00F81290"/>
    <w:rsid w:val="00F8384D"/>
    <w:rsid w:val="00F83D37"/>
    <w:rsid w:val="00FB20A4"/>
    <w:rsid w:val="00FB533E"/>
    <w:rsid w:val="00FB5BDA"/>
    <w:rsid w:val="00FB612C"/>
    <w:rsid w:val="00FC6918"/>
    <w:rsid w:val="00FD18CE"/>
    <w:rsid w:val="00FE60B7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36BA0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E36BA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E36BA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E36BA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E36B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E36B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36BA0"/>
  </w:style>
  <w:style w:type="paragraph" w:styleId="Pta">
    <w:name w:val="footer"/>
    <w:basedOn w:val="Normlny"/>
    <w:rsid w:val="00E36BA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E36B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E36BA0"/>
    <w:rPr>
      <w:color w:val="0000FF"/>
      <w:u w:val="single"/>
    </w:rPr>
  </w:style>
  <w:style w:type="paragraph" w:customStyle="1" w:styleId="EMEAEnBodyText">
    <w:name w:val="EMEA En Body Text"/>
    <w:basedOn w:val="Normlny"/>
    <w:rsid w:val="00E36BA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E36BA0"/>
    <w:pPr>
      <w:ind w:left="0" w:firstLine="0"/>
    </w:pPr>
  </w:style>
  <w:style w:type="paragraph" w:styleId="Textbubliny">
    <w:name w:val="Balloon Text"/>
    <w:basedOn w:val="Normlny"/>
    <w:semiHidden/>
    <w:rsid w:val="00E36BA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E36BA0"/>
    <w:rPr>
      <w:color w:val="800080"/>
      <w:u w:val="single"/>
    </w:rPr>
  </w:style>
  <w:style w:type="character" w:styleId="Odkaznakomentr">
    <w:name w:val="annotation reference"/>
    <w:semiHidden/>
    <w:rsid w:val="00E36BA0"/>
    <w:rPr>
      <w:sz w:val="16"/>
      <w:szCs w:val="16"/>
    </w:rPr>
  </w:style>
  <w:style w:type="paragraph" w:styleId="Textkomentra">
    <w:name w:val="annotation text"/>
    <w:basedOn w:val="Normlny"/>
    <w:semiHidden/>
    <w:rsid w:val="00E36BA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36BA0"/>
    <w:rPr>
      <w:b/>
      <w:bCs/>
    </w:rPr>
  </w:style>
  <w:style w:type="paragraph" w:styleId="Zkladntext3">
    <w:name w:val="Body Text 3"/>
    <w:basedOn w:val="Normlny"/>
    <w:rsid w:val="00EA512A"/>
    <w:pPr>
      <w:spacing w:after="120"/>
    </w:pPr>
    <w:rPr>
      <w:sz w:val="16"/>
      <w:szCs w:val="16"/>
    </w:rPr>
  </w:style>
  <w:style w:type="paragraph" w:customStyle="1" w:styleId="western">
    <w:name w:val="western"/>
    <w:basedOn w:val="Normlny"/>
    <w:rsid w:val="00FD18CE"/>
    <w:pPr>
      <w:spacing w:before="100" w:beforeAutospacing="1" w:after="119"/>
      <w:ind w:left="0" w:firstLine="0"/>
    </w:pPr>
    <w:rPr>
      <w:color w:val="000000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8A6556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36BA0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E36BA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E36BA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E36BA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E36B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E36B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E36BA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36BA0"/>
  </w:style>
  <w:style w:type="paragraph" w:styleId="Pta">
    <w:name w:val="footer"/>
    <w:basedOn w:val="Normlny"/>
    <w:rsid w:val="00E36BA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E36B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E36BA0"/>
    <w:rPr>
      <w:color w:val="0000FF"/>
      <w:u w:val="single"/>
    </w:rPr>
  </w:style>
  <w:style w:type="paragraph" w:customStyle="1" w:styleId="EMEAEnBodyText">
    <w:name w:val="EMEA En Body Text"/>
    <w:basedOn w:val="Normlny"/>
    <w:rsid w:val="00E36BA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E36BA0"/>
    <w:pPr>
      <w:ind w:left="0" w:firstLine="0"/>
    </w:pPr>
  </w:style>
  <w:style w:type="paragraph" w:styleId="Textbubliny">
    <w:name w:val="Balloon Text"/>
    <w:basedOn w:val="Normlny"/>
    <w:semiHidden/>
    <w:rsid w:val="00E36BA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E36BA0"/>
    <w:rPr>
      <w:color w:val="800080"/>
      <w:u w:val="single"/>
    </w:rPr>
  </w:style>
  <w:style w:type="character" w:styleId="Odkaznakomentr">
    <w:name w:val="annotation reference"/>
    <w:semiHidden/>
    <w:rsid w:val="00E36BA0"/>
    <w:rPr>
      <w:sz w:val="16"/>
      <w:szCs w:val="16"/>
    </w:rPr>
  </w:style>
  <w:style w:type="paragraph" w:styleId="Textkomentra">
    <w:name w:val="annotation text"/>
    <w:basedOn w:val="Normlny"/>
    <w:semiHidden/>
    <w:rsid w:val="00E36BA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36BA0"/>
    <w:rPr>
      <w:b/>
      <w:bCs/>
    </w:rPr>
  </w:style>
  <w:style w:type="paragraph" w:styleId="Zkladntext3">
    <w:name w:val="Body Text 3"/>
    <w:basedOn w:val="Normlny"/>
    <w:rsid w:val="00EA512A"/>
    <w:pPr>
      <w:spacing w:after="120"/>
    </w:pPr>
    <w:rPr>
      <w:sz w:val="16"/>
      <w:szCs w:val="16"/>
    </w:rPr>
  </w:style>
  <w:style w:type="paragraph" w:customStyle="1" w:styleId="western">
    <w:name w:val="western"/>
    <w:basedOn w:val="Normlny"/>
    <w:rsid w:val="00FD18CE"/>
    <w:pPr>
      <w:spacing w:before="100" w:beforeAutospacing="1" w:after="119"/>
      <w:ind w:left="0" w:firstLine="0"/>
    </w:pPr>
    <w:rPr>
      <w:color w:val="000000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8A6556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3048</Words>
  <Characters>17375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LinksUpToDate>false</LinksUpToDate>
  <CharactersWithSpaces>20383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/>
  <cp:lastModifiedBy/>
  <cp:revision>1</cp:revision>
  <cp:lastPrinted>2012-10-09T04:57:00Z</cp:lastPrinted>
  <dcterms:created xsi:type="dcterms:W3CDTF">2017-10-17T15:11:00Z</dcterms:created>
  <dcterms:modified xsi:type="dcterms:W3CDTF">2017-10-17T15:11:00Z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